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14:anchorId="008E0797" wp14:editId="63C5CE78">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72600A" w:rsidP="00F81A21">
      <w:pPr>
        <w:pStyle w:val="ShortT"/>
      </w:pPr>
      <w:r w:rsidRPr="0072600A">
        <w:t>National Greenhouse and Energy Reporti</w:t>
      </w:r>
      <w:r w:rsidR="00FF7A83">
        <w:t>ng (Measurement) Amendment (2021 Update) Determination 2021</w:t>
      </w:r>
      <w:r>
        <w:t xml:space="preserve"> </w:t>
      </w:r>
    </w:p>
    <w:p w:rsidR="00F81A21" w:rsidRPr="002A0313" w:rsidRDefault="00F81A21" w:rsidP="00F81A21">
      <w:pPr>
        <w:pStyle w:val="SignCoverPageStart"/>
        <w:rPr>
          <w:szCs w:val="22"/>
        </w:rPr>
      </w:pPr>
      <w:r w:rsidRPr="002A0313">
        <w:rPr>
          <w:szCs w:val="22"/>
        </w:rPr>
        <w:t xml:space="preserve">I, </w:t>
      </w:r>
      <w:r w:rsidR="005A76B2">
        <w:rPr>
          <w:szCs w:val="22"/>
        </w:rPr>
        <w:t>Angus Taylor</w:t>
      </w:r>
      <w:r w:rsidRPr="002A0313">
        <w:rPr>
          <w:szCs w:val="22"/>
        </w:rPr>
        <w:t xml:space="preserve">, Minister for </w:t>
      </w:r>
      <w:r w:rsidR="005A76B2">
        <w:rPr>
          <w:szCs w:val="22"/>
        </w:rPr>
        <w:t xml:space="preserve">Energy and Emissions Reduction, make the following </w:t>
      </w:r>
      <w:r w:rsidR="0072600A">
        <w:rPr>
          <w:szCs w:val="22"/>
        </w:rPr>
        <w:t>instrument</w:t>
      </w:r>
      <w:r w:rsidRPr="002A0313">
        <w:rPr>
          <w:szCs w:val="22"/>
        </w:rPr>
        <w:t>.</w:t>
      </w:r>
    </w:p>
    <w:p w:rsidR="00F81A21" w:rsidRPr="002A0313" w:rsidRDefault="00F81A21" w:rsidP="00F81A21">
      <w:pPr>
        <w:keepNext/>
        <w:spacing w:before="300" w:line="240" w:lineRule="atLeast"/>
        <w:ind w:right="397"/>
        <w:jc w:val="both"/>
        <w:rPr>
          <w:szCs w:val="22"/>
        </w:rPr>
      </w:pPr>
      <w:r w:rsidRPr="002A0313">
        <w:rPr>
          <w:szCs w:val="22"/>
        </w:rPr>
        <w:t>Dated</w:t>
      </w:r>
      <w:r w:rsidR="00FB502A">
        <w:rPr>
          <w:szCs w:val="22"/>
        </w:rPr>
        <w:t>: 15 June 2021</w:t>
      </w:r>
      <w:r w:rsidRPr="002A0313">
        <w:rPr>
          <w:szCs w:val="22"/>
        </w:rPr>
        <w:tab/>
      </w:r>
      <w:r w:rsidRPr="002A0313">
        <w:rPr>
          <w:szCs w:val="22"/>
        </w:rPr>
        <w:tab/>
      </w:r>
      <w:r w:rsidRPr="002A0313">
        <w:rPr>
          <w:szCs w:val="22"/>
        </w:rPr>
        <w:tab/>
      </w:r>
      <w:r w:rsidRPr="002A0313">
        <w:rPr>
          <w:szCs w:val="22"/>
        </w:rPr>
        <w:tab/>
      </w:r>
      <w:bookmarkStart w:id="0" w:name="BKCheck15B_1"/>
      <w:bookmarkEnd w:id="0"/>
    </w:p>
    <w:p w:rsidR="00F81A21" w:rsidRPr="002A0313" w:rsidRDefault="005A76B2" w:rsidP="009121A5">
      <w:pPr>
        <w:keepNext/>
        <w:tabs>
          <w:tab w:val="left" w:pos="3402"/>
        </w:tabs>
        <w:spacing w:before="1440" w:line="300" w:lineRule="atLeast"/>
        <w:ind w:right="397"/>
        <w:rPr>
          <w:szCs w:val="22"/>
        </w:rPr>
      </w:pPr>
      <w:r>
        <w:rPr>
          <w:szCs w:val="22"/>
        </w:rPr>
        <w:t>Angus Taylor</w:t>
      </w:r>
    </w:p>
    <w:p w:rsidR="00F81A21" w:rsidRPr="002A0313" w:rsidRDefault="00F81A21" w:rsidP="00F81A21">
      <w:pPr>
        <w:pStyle w:val="SignCoverPageEnd"/>
        <w:rPr>
          <w:szCs w:val="22"/>
        </w:rPr>
      </w:pPr>
      <w:r w:rsidRPr="002A0313">
        <w:rPr>
          <w:szCs w:val="22"/>
        </w:rPr>
        <w:t xml:space="preserve">Minister for </w:t>
      </w:r>
      <w:r w:rsidR="005A76B2">
        <w:rPr>
          <w:szCs w:val="22"/>
        </w:rPr>
        <w:t>Energy and Emissions Reduction</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p w:rsidR="002B6A21" w:rsidRDefault="002B6A21">
      <w:pPr>
        <w:pStyle w:val="TOC5"/>
        <w:rPr>
          <w:rFonts w:asciiTheme="minorHAnsi" w:eastAsiaTheme="minorEastAsia" w:hAnsiTheme="minorHAnsi" w:cstheme="minorBidi"/>
          <w:noProof/>
          <w:kern w:val="0"/>
          <w:sz w:val="22"/>
          <w:szCs w:val="22"/>
          <w:lang w:val="en-GB" w:eastAsia="en-GB"/>
        </w:rPr>
      </w:pPr>
      <w:bookmarkStart w:id="1" w:name="BKCheck15B_2"/>
      <w:bookmarkEnd w:id="1"/>
      <w:r>
        <w:rPr>
          <w:noProof/>
        </w:rPr>
        <w:t>1  Name</w:t>
      </w:r>
      <w:r>
        <w:rPr>
          <w:noProof/>
        </w:rPr>
        <w:tab/>
      </w:r>
      <w:r w:rsidR="00C278A5">
        <w:rPr>
          <w:noProof/>
        </w:rPr>
        <w:tab/>
      </w:r>
      <w:r w:rsidR="00CE207D">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2  Commencement</w:t>
      </w:r>
      <w:r>
        <w:rPr>
          <w:noProof/>
        </w:rPr>
        <w:tab/>
      </w:r>
      <w:r w:rsidR="00CE207D">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3  Authority</w:t>
      </w:r>
      <w:r>
        <w:rPr>
          <w:noProof/>
        </w:rPr>
        <w:tab/>
      </w:r>
      <w:r w:rsidR="00CE207D">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4  Schedules</w:t>
      </w:r>
      <w:r>
        <w:rPr>
          <w:noProof/>
        </w:rPr>
        <w:tab/>
      </w:r>
      <w:r w:rsidR="00CE207D">
        <w:rPr>
          <w:noProof/>
        </w:rPr>
        <w:t>3</w:t>
      </w:r>
    </w:p>
    <w:p w:rsidR="002B6A21" w:rsidRDefault="002B6A21">
      <w:pPr>
        <w:pStyle w:val="TOC6"/>
        <w:rPr>
          <w:rFonts w:asciiTheme="minorHAnsi" w:eastAsiaTheme="minorEastAsia" w:hAnsiTheme="minorHAnsi" w:cstheme="minorBidi"/>
          <w:b w:val="0"/>
          <w:noProof/>
          <w:kern w:val="0"/>
          <w:sz w:val="22"/>
          <w:szCs w:val="22"/>
          <w:lang w:val="en-GB" w:eastAsia="en-GB"/>
        </w:rPr>
      </w:pPr>
      <w:r>
        <w:rPr>
          <w:noProof/>
        </w:rPr>
        <w:t>Schedule 1—Amendments</w:t>
      </w:r>
      <w:r>
        <w:rPr>
          <w:noProof/>
        </w:rPr>
        <w:tab/>
      </w:r>
      <w:r w:rsidR="00CE207D">
        <w:rPr>
          <w:noProof/>
        </w:rPr>
        <w:t>4</w:t>
      </w:r>
    </w:p>
    <w:p w:rsidR="002B6A21" w:rsidRDefault="002B6A21">
      <w:pPr>
        <w:pStyle w:val="TOC9"/>
        <w:rPr>
          <w:rFonts w:asciiTheme="minorHAnsi" w:eastAsiaTheme="minorEastAsia" w:hAnsiTheme="minorHAnsi" w:cstheme="minorBidi"/>
          <w:i w:val="0"/>
          <w:noProof/>
          <w:kern w:val="0"/>
          <w:sz w:val="22"/>
          <w:szCs w:val="22"/>
          <w:lang w:val="en-GB" w:eastAsia="en-GB"/>
        </w:rPr>
      </w:pPr>
      <w:r>
        <w:rPr>
          <w:noProof/>
        </w:rPr>
        <w:t>National Greenhouse and Energy Reporting (Measurement) Determination 200</w:t>
      </w:r>
      <w:r w:rsidR="00FF7A83">
        <w:rPr>
          <w:noProof/>
        </w:rPr>
        <w:t>8</w:t>
      </w:r>
      <w:r>
        <w:rPr>
          <w:noProof/>
        </w:rPr>
        <w:tab/>
      </w:r>
      <w:r w:rsidR="00CE207D">
        <w:rPr>
          <w:noProof/>
        </w:rPr>
        <w:t>4</w:t>
      </w:r>
    </w:p>
    <w:p w:rsidR="00536929" w:rsidRDefault="00536929" w:rsidP="00536929">
      <w:pPr>
        <w:spacing w:line="240" w:lineRule="auto"/>
      </w:pPr>
      <w:r>
        <w:br w:type="page"/>
      </w:r>
    </w:p>
    <w:p w:rsidR="00F47AAB" w:rsidRPr="002A0313" w:rsidRDefault="00CE207D" w:rsidP="00AD7BE4">
      <w:pPr>
        <w:pStyle w:val="h5Section"/>
      </w:pPr>
      <w:bookmarkStart w:id="2" w:name="_Toc405889305"/>
      <w:bookmarkStart w:id="3" w:name="_Toc42090449"/>
      <w:r>
        <w:lastRenderedPageBreak/>
        <w:t>1</w:t>
      </w:r>
      <w:r w:rsidR="00AD7BE4">
        <w:t xml:space="preserve"> </w:t>
      </w:r>
      <w:r w:rsidR="004040B2">
        <w:t xml:space="preserve"> </w:t>
      </w:r>
      <w:r w:rsidR="00F47AAB" w:rsidRPr="002A0313">
        <w:t>Name</w:t>
      </w:r>
      <w:bookmarkEnd w:id="2"/>
      <w:bookmarkEnd w:id="3"/>
    </w:p>
    <w:p w:rsidR="00F47AAB" w:rsidRDefault="00F47AAB" w:rsidP="00F47AAB">
      <w:pPr>
        <w:pStyle w:val="tMain"/>
      </w:pPr>
      <w:r w:rsidRPr="002A0313">
        <w:tab/>
      </w:r>
      <w:r w:rsidRPr="002A0313">
        <w:tab/>
        <w:t>This is the</w:t>
      </w:r>
      <w:bookmarkStart w:id="4" w:name="BKCheck15B_3"/>
      <w:bookmarkEnd w:id="4"/>
      <w:r w:rsidR="00A175AD">
        <w:t xml:space="preserve"> </w:t>
      </w:r>
      <w:r w:rsidR="00CE207D">
        <w:rPr>
          <w:i/>
          <w:noProof/>
        </w:rPr>
        <w:t>National Greenhouse and Energy Reporting (Measurement) Amendment (2021 Update) Determination 2021</w:t>
      </w:r>
      <w:r w:rsidRPr="002A0313">
        <w:t>.</w:t>
      </w:r>
    </w:p>
    <w:p w:rsidR="005A76B2" w:rsidRPr="004A278A" w:rsidRDefault="005A76B2" w:rsidP="005A76B2">
      <w:pPr>
        <w:pStyle w:val="h5Section"/>
      </w:pPr>
      <w:bookmarkStart w:id="5" w:name="_Toc524425376"/>
      <w:bookmarkStart w:id="6" w:name="_Toc42090450"/>
      <w:r w:rsidRPr="004A278A">
        <w:rPr>
          <w:rStyle w:val="CharSectno"/>
        </w:rPr>
        <w:t>2</w:t>
      </w:r>
      <w:r w:rsidRPr="004A278A">
        <w:t xml:space="preserve">  Commencement</w:t>
      </w:r>
      <w:bookmarkEnd w:id="5"/>
      <w:bookmarkEnd w:id="6"/>
    </w:p>
    <w:p w:rsidR="005A76B2" w:rsidRPr="00733989" w:rsidRDefault="005A76B2" w:rsidP="005A76B2">
      <w:pPr>
        <w:pStyle w:val="tMain"/>
      </w:pPr>
      <w:r w:rsidRPr="00733989">
        <w:tab/>
        <w:t>(1)</w:t>
      </w:r>
      <w:r w:rsidRPr="00733989">
        <w:tab/>
        <w:t>Each provision of this instrument specified in column 1 of the table commences, or is taken to have commenced, in accordance with column 2 of the table. Any other statement in column 2 has effect according to its terms.</w:t>
      </w:r>
    </w:p>
    <w:p w:rsidR="005A76B2" w:rsidRPr="00733989" w:rsidRDefault="005A76B2" w:rsidP="005A76B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5A76B2" w:rsidRPr="00733989" w:rsidTr="00947C4C">
        <w:trPr>
          <w:tblHeader/>
        </w:trPr>
        <w:tc>
          <w:tcPr>
            <w:tcW w:w="8222" w:type="dxa"/>
            <w:gridSpan w:val="3"/>
            <w:tcBorders>
              <w:top w:val="single" w:sz="12" w:space="0" w:color="auto"/>
              <w:bottom w:val="single" w:sz="2" w:space="0" w:color="auto"/>
            </w:tcBorders>
            <w:shd w:val="clear" w:color="auto" w:fill="auto"/>
            <w:hideMark/>
          </w:tcPr>
          <w:p w:rsidR="005A76B2" w:rsidRPr="00733989" w:rsidRDefault="005A76B2" w:rsidP="00947C4C">
            <w:pPr>
              <w:pStyle w:val="TableHeading"/>
            </w:pPr>
            <w:r w:rsidRPr="00733989">
              <w:t>Commencement information</w:t>
            </w:r>
          </w:p>
        </w:tc>
      </w:tr>
      <w:tr w:rsidR="005A76B2" w:rsidRPr="00733989" w:rsidTr="00947C4C">
        <w:trPr>
          <w:tblHeader/>
        </w:trPr>
        <w:tc>
          <w:tcPr>
            <w:tcW w:w="1701"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1</w:t>
            </w:r>
          </w:p>
        </w:tc>
        <w:tc>
          <w:tcPr>
            <w:tcW w:w="3828"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2</w:t>
            </w:r>
          </w:p>
        </w:tc>
        <w:tc>
          <w:tcPr>
            <w:tcW w:w="2693"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3</w:t>
            </w:r>
          </w:p>
        </w:tc>
      </w:tr>
      <w:tr w:rsidR="005A76B2" w:rsidRPr="00733989" w:rsidTr="00947C4C">
        <w:trPr>
          <w:tblHeader/>
        </w:trPr>
        <w:tc>
          <w:tcPr>
            <w:tcW w:w="1701"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Provisions</w:t>
            </w:r>
          </w:p>
        </w:tc>
        <w:tc>
          <w:tcPr>
            <w:tcW w:w="3828"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Commencement</w:t>
            </w:r>
          </w:p>
        </w:tc>
        <w:tc>
          <w:tcPr>
            <w:tcW w:w="2693"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Date/Details</w:t>
            </w:r>
          </w:p>
        </w:tc>
      </w:tr>
      <w:tr w:rsidR="005A76B2" w:rsidRPr="00733989" w:rsidTr="00947C4C">
        <w:tc>
          <w:tcPr>
            <w:tcW w:w="1701" w:type="dxa"/>
            <w:tcBorders>
              <w:top w:val="single" w:sz="12" w:space="0" w:color="auto"/>
              <w:bottom w:val="single" w:sz="12" w:space="0" w:color="auto"/>
            </w:tcBorders>
            <w:shd w:val="clear" w:color="auto" w:fill="auto"/>
            <w:hideMark/>
          </w:tcPr>
          <w:p w:rsidR="005A76B2" w:rsidRPr="00733989" w:rsidRDefault="005A76B2" w:rsidP="00947C4C">
            <w:pPr>
              <w:pStyle w:val="Tabletext"/>
            </w:pPr>
            <w:r w:rsidRPr="00733989">
              <w:t>1.  The whole of this instrument</w:t>
            </w:r>
          </w:p>
        </w:tc>
        <w:tc>
          <w:tcPr>
            <w:tcW w:w="3828" w:type="dxa"/>
            <w:tcBorders>
              <w:top w:val="single" w:sz="12" w:space="0" w:color="auto"/>
              <w:bottom w:val="single" w:sz="12" w:space="0" w:color="auto"/>
            </w:tcBorders>
            <w:shd w:val="clear" w:color="auto" w:fill="auto"/>
            <w:hideMark/>
          </w:tcPr>
          <w:p w:rsidR="005A76B2" w:rsidRPr="00733989" w:rsidRDefault="00FF7A83" w:rsidP="00947C4C">
            <w:pPr>
              <w:pStyle w:val="Tabletext"/>
            </w:pPr>
            <w:r>
              <w:t>1 July 2021</w:t>
            </w:r>
            <w:r w:rsidR="005A76B2">
              <w:t>.</w:t>
            </w:r>
          </w:p>
        </w:tc>
        <w:tc>
          <w:tcPr>
            <w:tcW w:w="2693" w:type="dxa"/>
            <w:tcBorders>
              <w:top w:val="single" w:sz="12" w:space="0" w:color="auto"/>
              <w:bottom w:val="single" w:sz="12" w:space="0" w:color="auto"/>
            </w:tcBorders>
            <w:shd w:val="clear" w:color="auto" w:fill="auto"/>
          </w:tcPr>
          <w:p w:rsidR="005A76B2" w:rsidRPr="00733989" w:rsidRDefault="00FF7A83" w:rsidP="00947C4C">
            <w:pPr>
              <w:pStyle w:val="Tabletext"/>
            </w:pPr>
            <w:r>
              <w:t>1 July 2021</w:t>
            </w:r>
          </w:p>
        </w:tc>
      </w:tr>
    </w:tbl>
    <w:p w:rsidR="005A76B2" w:rsidRPr="00733989" w:rsidRDefault="005A76B2" w:rsidP="005A76B2">
      <w:pPr>
        <w:pStyle w:val="nMain"/>
      </w:pPr>
      <w:r w:rsidRPr="00733989">
        <w:rPr>
          <w:snapToGrid w:val="0"/>
          <w:lang w:eastAsia="en-US"/>
        </w:rPr>
        <w:t>Note:</w:t>
      </w:r>
      <w:r w:rsidRPr="00733989">
        <w:rPr>
          <w:snapToGrid w:val="0"/>
          <w:lang w:eastAsia="en-US"/>
        </w:rPr>
        <w:tab/>
        <w:t>This table relates only to the provisions of this instrument as originally made. It will not be amended to deal with any later amendments of this instrument.</w:t>
      </w:r>
    </w:p>
    <w:p w:rsidR="005A76B2" w:rsidRPr="00733989" w:rsidRDefault="005A76B2" w:rsidP="005A76B2">
      <w:pPr>
        <w:pStyle w:val="tMain"/>
      </w:pPr>
      <w:r w:rsidRPr="00733989">
        <w:tab/>
        <w:t>(2)</w:t>
      </w:r>
      <w:r w:rsidRPr="00733989">
        <w:tab/>
        <w:t>Any information in column 3 of the table is not part of this instrument. Information may be inserted in this column, or information in it may be edited, in any published version of this instrument.</w:t>
      </w:r>
    </w:p>
    <w:p w:rsidR="005A76B2" w:rsidRPr="004A278A" w:rsidRDefault="005A76B2" w:rsidP="005A76B2">
      <w:pPr>
        <w:pStyle w:val="h5Section"/>
      </w:pPr>
      <w:bookmarkStart w:id="7" w:name="_Toc524425377"/>
      <w:bookmarkStart w:id="8" w:name="_Toc42090451"/>
      <w:r w:rsidRPr="004A278A">
        <w:rPr>
          <w:rStyle w:val="CharSectno"/>
        </w:rPr>
        <w:t>3</w:t>
      </w:r>
      <w:r w:rsidRPr="004A278A">
        <w:t xml:space="preserve">  Authority</w:t>
      </w:r>
      <w:bookmarkEnd w:id="7"/>
      <w:bookmarkEnd w:id="8"/>
    </w:p>
    <w:p w:rsidR="005A76B2" w:rsidRPr="004A278A" w:rsidRDefault="005A76B2" w:rsidP="005A76B2">
      <w:pPr>
        <w:pStyle w:val="tMain"/>
      </w:pPr>
      <w:r w:rsidRPr="004A278A">
        <w:tab/>
      </w:r>
      <w:r w:rsidRPr="004A278A">
        <w:tab/>
      </w:r>
      <w:r w:rsidRPr="00733989">
        <w:t>This instrument is made under</w:t>
      </w:r>
      <w:r>
        <w:t xml:space="preserve"> </w:t>
      </w:r>
      <w:r w:rsidR="00783E42">
        <w:t>sub</w:t>
      </w:r>
      <w:r>
        <w:t>section </w:t>
      </w:r>
      <w:r w:rsidR="00783E42">
        <w:t>10(3)</w:t>
      </w:r>
      <w:r>
        <w:t xml:space="preserve"> of</w:t>
      </w:r>
      <w:r w:rsidRPr="00733989">
        <w:t xml:space="preserve"> the </w:t>
      </w:r>
      <w:r w:rsidR="00783E42">
        <w:rPr>
          <w:i/>
        </w:rPr>
        <w:t>National Greenhouse and Energy Reporting Act 2007</w:t>
      </w:r>
      <w:r w:rsidRPr="00733989">
        <w:rPr>
          <w:i/>
        </w:rPr>
        <w:t>.</w:t>
      </w:r>
    </w:p>
    <w:p w:rsidR="005A76B2" w:rsidRPr="004A278A" w:rsidRDefault="005A76B2" w:rsidP="005A76B2">
      <w:pPr>
        <w:pStyle w:val="h5Section"/>
      </w:pPr>
      <w:bookmarkStart w:id="9" w:name="_Toc524425378"/>
      <w:bookmarkStart w:id="10" w:name="_Toc42090452"/>
      <w:r w:rsidRPr="004A278A">
        <w:rPr>
          <w:rStyle w:val="CharSectno"/>
        </w:rPr>
        <w:t>4</w:t>
      </w:r>
      <w:r w:rsidRPr="004A278A">
        <w:t xml:space="preserve">  Schedules</w:t>
      </w:r>
      <w:bookmarkEnd w:id="9"/>
      <w:bookmarkEnd w:id="10"/>
    </w:p>
    <w:p w:rsidR="005A76B2" w:rsidRDefault="005A76B2" w:rsidP="005A76B2">
      <w:pPr>
        <w:pStyle w:val="tMain"/>
      </w:pPr>
      <w:r w:rsidRPr="004A278A">
        <w:tab/>
      </w:r>
      <w:r w:rsidRPr="004A278A">
        <w:tab/>
        <w:t>Each instrument that is specified in a Schedule to this instrument is amended or repealed as set out in the applicable items in the Schedule concerned, and any other item in a Schedule to this instrument has effect according to its terms.</w:t>
      </w:r>
    </w:p>
    <w:p w:rsidR="005A76B2" w:rsidRPr="004A278A" w:rsidRDefault="005A76B2" w:rsidP="005A76B2">
      <w:pPr>
        <w:pStyle w:val="ActHead6"/>
        <w:pageBreakBefore/>
      </w:pPr>
      <w:bookmarkStart w:id="11" w:name="opcAmSched"/>
      <w:bookmarkStart w:id="12" w:name="_Toc524425379"/>
      <w:bookmarkStart w:id="13" w:name="_Toc42090453"/>
      <w:r w:rsidRPr="004A278A">
        <w:rPr>
          <w:rStyle w:val="CharAmSchNo"/>
        </w:rPr>
        <w:lastRenderedPageBreak/>
        <w:t>Schedule 1</w:t>
      </w:r>
      <w:r w:rsidRPr="004A278A">
        <w:t>—</w:t>
      </w:r>
      <w:r>
        <w:rPr>
          <w:rStyle w:val="CharAmSchText"/>
        </w:rPr>
        <w:t>Amendments</w:t>
      </w:r>
      <w:bookmarkEnd w:id="11"/>
      <w:bookmarkEnd w:id="12"/>
      <w:bookmarkEnd w:id="13"/>
    </w:p>
    <w:p w:rsidR="005A76B2" w:rsidRDefault="0072600A" w:rsidP="005A76B2">
      <w:pPr>
        <w:pStyle w:val="ActHead9"/>
      </w:pPr>
      <w:bookmarkStart w:id="14" w:name="_Toc524425380"/>
      <w:bookmarkStart w:id="15" w:name="_Toc42090454"/>
      <w:r w:rsidRPr="0072600A">
        <w:t xml:space="preserve">National Greenhouse and Energy Reporting (Measurement) Determination </w:t>
      </w:r>
      <w:bookmarkEnd w:id="14"/>
      <w:r>
        <w:t>200</w:t>
      </w:r>
      <w:bookmarkEnd w:id="15"/>
      <w:r w:rsidR="00FF7A83">
        <w:t>8</w:t>
      </w:r>
    </w:p>
    <w:p w:rsidR="000913EA" w:rsidRPr="00A51871" w:rsidRDefault="00CE207D" w:rsidP="000913EA">
      <w:pPr>
        <w:pStyle w:val="h5SchItem"/>
      </w:pPr>
      <w:r>
        <w:t>[1]</w:t>
      </w:r>
      <w:r w:rsidR="000913EA">
        <w:tab/>
        <w:t>At the end of section 1.4</w:t>
      </w:r>
    </w:p>
    <w:p w:rsidR="000913EA" w:rsidRDefault="000913EA" w:rsidP="000913EA">
      <w:pPr>
        <w:pStyle w:val="Item"/>
      </w:pPr>
      <w:r>
        <w:t>Add:</w:t>
      </w:r>
    </w:p>
    <w:p w:rsidR="000913EA" w:rsidRPr="00B32A45" w:rsidRDefault="000913EA" w:rsidP="000913EA">
      <w:pPr>
        <w:pStyle w:val="tMain"/>
      </w:pPr>
      <w:r>
        <w:tab/>
        <w:t>(3)</w:t>
      </w:r>
      <w:r>
        <w:tab/>
        <w:t xml:space="preserve">Data points relevant to the implementation of particular methods are set out </w:t>
      </w:r>
      <w:r w:rsidR="00F67A99">
        <w:t xml:space="preserve">in </w:t>
      </w:r>
      <w:r>
        <w:t xml:space="preserve">column 3 of the tables in Schedule 4 as ‘matters to be identified’.  </w:t>
      </w:r>
    </w:p>
    <w:p w:rsidR="000913EA" w:rsidRPr="000913EA" w:rsidRDefault="000913EA" w:rsidP="000913EA">
      <w:pPr>
        <w:pStyle w:val="nMain"/>
      </w:pPr>
      <w:r>
        <w:t>Note:</w:t>
      </w:r>
      <w:r>
        <w:tab/>
        <w:t>R</w:t>
      </w:r>
      <w:r w:rsidRPr="00327F8C">
        <w:t>egulations</w:t>
      </w:r>
      <w:r>
        <w:t> </w:t>
      </w:r>
      <w:r w:rsidRPr="00327F8C">
        <w:t>4.10, 4.11, 4.13, 4.14, 4.15 and 4.17</w:t>
      </w:r>
      <w:r>
        <w:t xml:space="preserve"> of the Regulations require these matters to be identified to be included in reports under the Act.</w:t>
      </w:r>
    </w:p>
    <w:p w:rsidR="00193D3A" w:rsidRPr="00A51871" w:rsidRDefault="00CE207D" w:rsidP="00193D3A">
      <w:pPr>
        <w:pStyle w:val="h5SchItem"/>
      </w:pPr>
      <w:r>
        <w:t>[2]</w:t>
      </w:r>
      <w:r w:rsidR="00193D3A">
        <w:tab/>
        <w:t xml:space="preserve">Section 1.8 (subparagraph (d)(i) of the definition of </w:t>
      </w:r>
      <w:r w:rsidR="00193D3A">
        <w:rPr>
          <w:i/>
        </w:rPr>
        <w:t>appropriate unit</w:t>
      </w:r>
      <w:r w:rsidR="00193D3A">
        <w:t>)</w:t>
      </w:r>
    </w:p>
    <w:p w:rsidR="00193D3A" w:rsidRPr="00193D3A" w:rsidRDefault="004C54CC" w:rsidP="00193D3A">
      <w:pPr>
        <w:pStyle w:val="Item"/>
      </w:pPr>
      <w:r>
        <w:t>Omit “</w:t>
      </w:r>
      <w:r w:rsidR="00193D3A">
        <w:t>including crude oil condensates,”, substitute “plant condensate”.</w:t>
      </w:r>
    </w:p>
    <w:p w:rsidR="000A02E0" w:rsidRPr="000A02E0" w:rsidRDefault="00CE207D" w:rsidP="000A02E0">
      <w:pPr>
        <w:pStyle w:val="h5SchItem"/>
      </w:pPr>
      <w:r>
        <w:t>[3]</w:t>
      </w:r>
      <w:r w:rsidR="000A02E0" w:rsidRPr="000A02E0">
        <w:tab/>
        <w:t>Section 1.8</w:t>
      </w:r>
    </w:p>
    <w:p w:rsidR="000A02E0" w:rsidRPr="000A02E0" w:rsidRDefault="000A02E0" w:rsidP="000A02E0">
      <w:pPr>
        <w:pStyle w:val="Item"/>
      </w:pPr>
      <w:r w:rsidRPr="000A02E0">
        <w:t>Insert in the appropriate alphabetical position:</w:t>
      </w:r>
    </w:p>
    <w:p w:rsidR="00193D3A" w:rsidRPr="004C54CC" w:rsidRDefault="00193D3A" w:rsidP="00193D3A">
      <w:pPr>
        <w:pStyle w:val="tDefn"/>
        <w:rPr>
          <w:b/>
          <w:i/>
        </w:rPr>
      </w:pPr>
      <w:r w:rsidRPr="004C54CC">
        <w:rPr>
          <w:b/>
          <w:i/>
        </w:rPr>
        <w:t>captured for enhanced oil recovery</w:t>
      </w:r>
      <w:r w:rsidRPr="004C54CC">
        <w:t xml:space="preserve">: a greenhouse gas is captured for enhanced oil recovery if it is captured and transferred to the holder of an enhanced oil recovery authority for injection into a geological formation, such as a natural reservoir, to further oil or gas production activities and is not captured for permanent storage.  </w:t>
      </w:r>
    </w:p>
    <w:p w:rsidR="00193D3A" w:rsidRPr="004C54CC" w:rsidRDefault="00193D3A" w:rsidP="00193D3A">
      <w:pPr>
        <w:pStyle w:val="tDefn"/>
      </w:pPr>
      <w:r w:rsidRPr="004C54CC">
        <w:rPr>
          <w:b/>
          <w:i/>
        </w:rPr>
        <w:t>city gate</w:t>
      </w:r>
      <w:r w:rsidRPr="004C54CC">
        <w:t xml:space="preserve"> means a distribution hub where gas is reduced in pressure before it enters the lower pressure, smaller diameter, distribution pipeline network.</w:t>
      </w:r>
    </w:p>
    <w:p w:rsidR="00193D3A" w:rsidRPr="004C54CC" w:rsidRDefault="00193D3A" w:rsidP="00193D3A">
      <w:pPr>
        <w:pStyle w:val="tDefn"/>
      </w:pPr>
      <w:r w:rsidRPr="004C54CC">
        <w:rPr>
          <w:b/>
          <w:i/>
        </w:rPr>
        <w:t>CO</w:t>
      </w:r>
      <w:r w:rsidRPr="004C54CC">
        <w:rPr>
          <w:b/>
          <w:i/>
          <w:vertAlign w:val="subscript"/>
        </w:rPr>
        <w:t>2</w:t>
      </w:r>
      <w:r w:rsidRPr="004C54CC">
        <w:rPr>
          <w:b/>
          <w:i/>
        </w:rPr>
        <w:t xml:space="preserve"> stimulation</w:t>
      </w:r>
      <w:r w:rsidRPr="004C54CC">
        <w:t xml:space="preserve"> means using carbon dioxide as a fluid in well stimulation treatment which enhances oil and gas production or recovery by increasing the permeability of the formation. </w:t>
      </w:r>
    </w:p>
    <w:p w:rsidR="00193D3A" w:rsidRPr="004C54CC" w:rsidRDefault="00193D3A" w:rsidP="00193D3A">
      <w:pPr>
        <w:pStyle w:val="tDefn"/>
        <w:rPr>
          <w:b/>
          <w:i/>
        </w:rPr>
      </w:pPr>
      <w:r w:rsidRPr="004C54CC">
        <w:rPr>
          <w:b/>
          <w:i/>
        </w:rPr>
        <w:t xml:space="preserve">crude oil </w:t>
      </w:r>
      <w:r w:rsidRPr="004C54CC">
        <w:t>has the meaning given by the Regulations</w:t>
      </w:r>
      <w:r w:rsidRPr="004C54CC">
        <w:rPr>
          <w:i/>
        </w:rPr>
        <w:t>.</w:t>
      </w:r>
    </w:p>
    <w:p w:rsidR="00193D3A" w:rsidRDefault="00193D3A" w:rsidP="00193D3A">
      <w:pPr>
        <w:pStyle w:val="tDefn"/>
      </w:pPr>
      <w:r w:rsidRPr="004C54CC">
        <w:rPr>
          <w:b/>
          <w:i/>
        </w:rPr>
        <w:t>enhanced oil recovery authority</w:t>
      </w:r>
      <w:r w:rsidRPr="004C54CC">
        <w:t xml:space="preserve"> means a licence, lease or approval by or under a law of the Commonwealth, State or Territory which authorises the injection of one or more greenhouse gases into one or more geological formations, such as a natural reservoirs, to further oil or gas production activities.</w:t>
      </w:r>
    </w:p>
    <w:p w:rsidR="00FB7444" w:rsidRPr="001D3FED" w:rsidRDefault="00FB7444" w:rsidP="00FB7444">
      <w:pPr>
        <w:pStyle w:val="tDefn"/>
      </w:pPr>
      <w:r w:rsidRPr="001D3FED">
        <w:rPr>
          <w:b/>
          <w:i/>
        </w:rPr>
        <w:t>equivalent leak detection standard</w:t>
      </w:r>
      <w:r w:rsidR="00D4378E">
        <w:t>, means a standard or</w:t>
      </w:r>
      <w:r w:rsidR="00FB621D">
        <w:t xml:space="preserve"> documented</w:t>
      </w:r>
      <w:r w:rsidR="00D4378E">
        <w:t xml:space="preserve"> approach</w:t>
      </w:r>
      <w:r w:rsidRPr="001D3FED">
        <w:t xml:space="preserve"> that:</w:t>
      </w:r>
    </w:p>
    <w:p w:rsidR="00FB7444" w:rsidRPr="001D3FED" w:rsidRDefault="00FB7444" w:rsidP="00FB7444">
      <w:pPr>
        <w:pStyle w:val="tPara"/>
        <w:shd w:val="clear" w:color="auto" w:fill="FFFFFF"/>
        <w:rPr>
          <w:szCs w:val="22"/>
        </w:rPr>
      </w:pPr>
      <w:r w:rsidRPr="001D3FED">
        <w:rPr>
          <w:szCs w:val="22"/>
        </w:rPr>
        <w:tab/>
        <w:t>(a)</w:t>
      </w:r>
      <w:r w:rsidRPr="001D3FED">
        <w:rPr>
          <w:szCs w:val="22"/>
        </w:rPr>
        <w:tab/>
        <w:t>has equivalent or higher integrity than the method outlined in USEPA Method 21—</w:t>
      </w:r>
      <w:r w:rsidRPr="001D3FED">
        <w:rPr>
          <w:i/>
          <w:szCs w:val="22"/>
        </w:rPr>
        <w:t>Determination of organic volatile compound leaks</w:t>
      </w:r>
      <w:r w:rsidRPr="001D3FED">
        <w:rPr>
          <w:szCs w:val="22"/>
        </w:rPr>
        <w:t>, as set out in Appendix A</w:t>
      </w:r>
      <w:r w:rsidRPr="001D3FED">
        <w:rPr>
          <w:szCs w:val="22"/>
        </w:rPr>
        <w:noBreakHyphen/>
        <w:t>7 of Title 40, Part 60 of the Code of Federal Regulations, United States of America or optical gas imaging in accordance with paragraph 98.234(a)(1) of Title 40, Part 98 of the Code of Federal Regulati</w:t>
      </w:r>
      <w:r w:rsidR="00D4378E">
        <w:rPr>
          <w:szCs w:val="22"/>
        </w:rPr>
        <w:t>ons, United States of America; </w:t>
      </w:r>
      <w:r w:rsidRPr="001D3FED">
        <w:rPr>
          <w:szCs w:val="22"/>
        </w:rPr>
        <w:t>and</w:t>
      </w:r>
    </w:p>
    <w:p w:rsidR="00FB7444" w:rsidRPr="001D3FED" w:rsidRDefault="00FB7444" w:rsidP="00FB7444">
      <w:pPr>
        <w:pStyle w:val="tPara"/>
        <w:shd w:val="clear" w:color="auto" w:fill="FFFFFF"/>
        <w:rPr>
          <w:szCs w:val="22"/>
        </w:rPr>
      </w:pPr>
      <w:r w:rsidRPr="001D3FED">
        <w:rPr>
          <w:szCs w:val="22"/>
        </w:rPr>
        <w:tab/>
        <w:t>(b)</w:t>
      </w:r>
      <w:r w:rsidRPr="001D3FED">
        <w:rPr>
          <w:szCs w:val="22"/>
        </w:rPr>
        <w:tab/>
        <w:t>has equivalent or higher sensitivity for detecting leaks than:</w:t>
      </w:r>
    </w:p>
    <w:p w:rsidR="00FB7444" w:rsidRPr="001D3FED" w:rsidRDefault="00FB7444" w:rsidP="00FB7444">
      <w:pPr>
        <w:pStyle w:val="tSubpara"/>
      </w:pPr>
      <w:r w:rsidRPr="001D3FED">
        <w:tab/>
        <w:t>(i)</w:t>
      </w:r>
      <w:r w:rsidRPr="001D3FED">
        <w:tab/>
        <w:t>60 grams per hour in accordance with paragraph 98.234(a)(1) of Title 40, Part 98 of the Code of Federal Regulations, United States of America; or</w:t>
      </w:r>
    </w:p>
    <w:p w:rsidR="00FB7444" w:rsidRPr="00FB7444" w:rsidRDefault="00FB7444" w:rsidP="00FB7444">
      <w:pPr>
        <w:pStyle w:val="tSubpara"/>
        <w:rPr>
          <w:rFonts w:ascii="Arial" w:eastAsiaTheme="minorHAnsi" w:hAnsi="Arial" w:cs="Arial"/>
          <w:lang w:val="en-GB" w:eastAsia="en-US"/>
        </w:rPr>
      </w:pPr>
      <w:r w:rsidRPr="001D3FED">
        <w:tab/>
        <w:t>(ii)</w:t>
      </w:r>
      <w:r w:rsidRPr="001D3FED">
        <w:tab/>
        <w:t>10,000 parts per million or greater in accordance with the method outlined in USEPA Method 21—</w:t>
      </w:r>
      <w:r w:rsidRPr="001D3FED">
        <w:rPr>
          <w:i/>
        </w:rPr>
        <w:t>Determination of organic volatile compound leaks</w:t>
      </w:r>
      <w:r w:rsidRPr="001D3FED">
        <w:t>, as set</w:t>
      </w:r>
      <w:r w:rsidRPr="001D3FED">
        <w:rPr>
          <w:rFonts w:eastAsiaTheme="minorHAnsi"/>
          <w:lang w:val="en-GB"/>
        </w:rPr>
        <w:t xml:space="preserve"> out in Appendix A</w:t>
      </w:r>
      <w:r w:rsidRPr="001D3FED">
        <w:rPr>
          <w:rFonts w:eastAsiaTheme="minorHAnsi"/>
          <w:lang w:val="en-GB"/>
        </w:rPr>
        <w:noBreakHyphen/>
        <w:t>7 of Title 40, Part 60 of the Code of Federal Regulations, United States of America.</w:t>
      </w:r>
    </w:p>
    <w:p w:rsidR="00193D3A" w:rsidRPr="00B32A45" w:rsidRDefault="00193D3A" w:rsidP="00193D3A">
      <w:pPr>
        <w:pStyle w:val="tDefn"/>
        <w:rPr>
          <w:b/>
          <w:i/>
        </w:rPr>
      </w:pPr>
      <w:r w:rsidRPr="00B32A45">
        <w:rPr>
          <w:b/>
          <w:i/>
        </w:rPr>
        <w:lastRenderedPageBreak/>
        <w:t xml:space="preserve">Leak Detection and Repair Program </w:t>
      </w:r>
      <w:r w:rsidRPr="00B32A45">
        <w:t xml:space="preserve">or </w:t>
      </w:r>
      <w:r w:rsidRPr="00B32A45">
        <w:rPr>
          <w:b/>
          <w:i/>
        </w:rPr>
        <w:t xml:space="preserve">LDAR program </w:t>
      </w:r>
      <w:r w:rsidRPr="00B32A45">
        <w:t>means a system of procedures used at a facility to monitor, locate and repair leaking components in order to minimize emissions.</w:t>
      </w:r>
    </w:p>
    <w:p w:rsidR="00193D3A" w:rsidRPr="00B32A45" w:rsidRDefault="00193D3A" w:rsidP="00193D3A">
      <w:pPr>
        <w:pStyle w:val="tDefn"/>
        <w:rPr>
          <w:szCs w:val="22"/>
        </w:rPr>
      </w:pPr>
      <w:r w:rsidRPr="00B32A45">
        <w:rPr>
          <w:b/>
          <w:i/>
        </w:rPr>
        <w:t>leaker</w:t>
      </w:r>
      <w:r w:rsidRPr="00B32A45">
        <w:t xml:space="preserve">, in relation to a component subject to an LDAR program, means: </w:t>
      </w:r>
    </w:p>
    <w:p w:rsidR="00193D3A" w:rsidRPr="00B32A45" w:rsidRDefault="00193D3A" w:rsidP="00193D3A">
      <w:pPr>
        <w:pStyle w:val="tPara"/>
        <w:shd w:val="clear" w:color="auto" w:fill="FFFFFF"/>
        <w:ind w:left="1515" w:hanging="381"/>
        <w:rPr>
          <w:szCs w:val="22"/>
        </w:rPr>
      </w:pPr>
      <w:r w:rsidRPr="00B32A45">
        <w:rPr>
          <w:szCs w:val="22"/>
        </w:rPr>
        <w:t xml:space="preserve">(a) </w:t>
      </w:r>
      <w:r w:rsidRPr="00B32A45">
        <w:rPr>
          <w:szCs w:val="22"/>
        </w:rPr>
        <w:tab/>
        <w:t>if optical gas imaging is used, a leaker is detected at a sensitivity of 60 grams per hour in accordance with paragraph 98.234(a)(1) of Title 40, Part 98 of the Code of Federal Regulations, United States of America; and</w:t>
      </w:r>
    </w:p>
    <w:p w:rsidR="00193D3A" w:rsidRDefault="00193D3A" w:rsidP="00193D3A">
      <w:pPr>
        <w:pStyle w:val="tPara"/>
        <w:shd w:val="clear" w:color="auto" w:fill="FFFFFF"/>
        <w:ind w:left="1515" w:hanging="381"/>
        <w:rPr>
          <w:szCs w:val="22"/>
        </w:rPr>
      </w:pPr>
      <w:r w:rsidRPr="00B32A45">
        <w:rPr>
          <w:szCs w:val="22"/>
        </w:rPr>
        <w:t xml:space="preserve">(b) </w:t>
      </w:r>
      <w:r w:rsidRPr="00B32A45">
        <w:rPr>
          <w:szCs w:val="22"/>
        </w:rPr>
        <w:tab/>
        <w:t>if 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is used, a leaker is detected if 10,000 parts per million or greater is measu</w:t>
      </w:r>
      <w:r w:rsidR="00C733F2">
        <w:rPr>
          <w:szCs w:val="22"/>
        </w:rPr>
        <w:t>red consistent with that method; and</w:t>
      </w:r>
    </w:p>
    <w:p w:rsidR="00C733F2" w:rsidRPr="00C733F2" w:rsidRDefault="00C733F2" w:rsidP="00C733F2">
      <w:pPr>
        <w:pStyle w:val="tPara"/>
        <w:shd w:val="clear" w:color="auto" w:fill="FFFFFF"/>
        <w:ind w:left="1515" w:hanging="381"/>
        <w:rPr>
          <w:szCs w:val="22"/>
        </w:rPr>
      </w:pPr>
      <w:r>
        <w:rPr>
          <w:szCs w:val="22"/>
        </w:rPr>
        <w:t>(c)</w:t>
      </w:r>
      <w:r>
        <w:rPr>
          <w:szCs w:val="22"/>
        </w:rPr>
        <w:tab/>
        <w:t>if an equivalent leak detection standard is used, a leaker is detected at the sensitivity set for that standard.</w:t>
      </w:r>
    </w:p>
    <w:p w:rsidR="00C733F2" w:rsidRPr="00C733F2" w:rsidRDefault="00C733F2" w:rsidP="00C733F2">
      <w:pPr>
        <w:pStyle w:val="nMain"/>
      </w:pPr>
      <w:r>
        <w:t>Note:</w:t>
      </w:r>
      <w:r>
        <w:tab/>
        <w:t>Under the definition of equivalent leak detection standard, the sensitivity must be equivalent or higher than the approaches in paragraph (a) or (b).</w:t>
      </w:r>
    </w:p>
    <w:p w:rsidR="00193D3A" w:rsidRPr="00B32A45" w:rsidRDefault="00193D3A" w:rsidP="00193D3A">
      <w:pPr>
        <w:pStyle w:val="tDefn"/>
      </w:pPr>
      <w:r w:rsidRPr="00B32A45">
        <w:rPr>
          <w:b/>
          <w:i/>
        </w:rPr>
        <w:t>liquefied natural gas station</w:t>
      </w:r>
      <w:r w:rsidRPr="00B32A45">
        <w:t xml:space="preserve"> means the plant and equipment used in the natural gas liquefaction, storage and transfer of liquefied natural gas, and includes: </w:t>
      </w:r>
    </w:p>
    <w:p w:rsidR="00193D3A" w:rsidRPr="00B32A45" w:rsidRDefault="00193D3A" w:rsidP="00193D3A">
      <w:pPr>
        <w:pStyle w:val="tPara"/>
      </w:pPr>
      <w:r w:rsidRPr="00B32A45">
        <w:tab/>
        <w:t>(a)</w:t>
      </w:r>
      <w:r w:rsidRPr="00B32A45">
        <w:tab/>
        <w:t>all onshore or offshore equipment that receives natural gas, liquefies and stores liquefied natural gas, and transfers the liquefied natural gas to a transportation system; and</w:t>
      </w:r>
    </w:p>
    <w:p w:rsidR="00193D3A" w:rsidRPr="00B32A45" w:rsidRDefault="00193D3A" w:rsidP="00193D3A">
      <w:pPr>
        <w:pStyle w:val="tPara"/>
      </w:pPr>
      <w:r w:rsidRPr="00B32A45">
        <w:tab/>
        <w:t>(b)</w:t>
      </w:r>
      <w:r w:rsidRPr="00B32A45">
        <w:tab/>
        <w:t xml:space="preserve">equipment that receives imported or transported liquefied natural gas, stores liquefied natural gas, re-gasifies liquefied natural gas, and delivers re-gasified natural gas to a natural gas transmission or distribution system. </w:t>
      </w:r>
    </w:p>
    <w:p w:rsidR="00193D3A" w:rsidRPr="00B32A45" w:rsidRDefault="00193D3A" w:rsidP="00193D3A">
      <w:pPr>
        <w:pStyle w:val="tDefn"/>
        <w:rPr>
          <w:bCs/>
          <w:iCs/>
          <w:szCs w:val="22"/>
          <w:shd w:val="clear" w:color="auto" w:fill="FFFFFF"/>
        </w:rPr>
      </w:pPr>
      <w:r w:rsidRPr="00B32A45">
        <w:rPr>
          <w:b/>
          <w:bCs/>
          <w:i/>
          <w:iCs/>
          <w:szCs w:val="22"/>
          <w:shd w:val="clear" w:color="auto" w:fill="FFFFFF"/>
        </w:rPr>
        <w:t xml:space="preserve">natural gas distribution pipelines </w:t>
      </w:r>
      <w:r w:rsidRPr="00B32A45">
        <w:rPr>
          <w:bCs/>
          <w:iCs/>
          <w:szCs w:val="22"/>
          <w:shd w:val="clear" w:color="auto" w:fill="FFFFFF"/>
        </w:rPr>
        <w:t>mean pipelines for the conveyance of pipeline natural gas that:</w:t>
      </w:r>
    </w:p>
    <w:p w:rsidR="00193D3A" w:rsidRPr="00B32A45" w:rsidRDefault="00193D3A" w:rsidP="00193D3A">
      <w:pPr>
        <w:pStyle w:val="tPara"/>
        <w:rPr>
          <w:bCs/>
          <w:iCs/>
          <w:szCs w:val="22"/>
          <w:shd w:val="clear" w:color="auto" w:fill="FFFFFF"/>
        </w:rPr>
      </w:pPr>
      <w:r w:rsidRPr="00B32A45">
        <w:tab/>
        <w:t>(a)</w:t>
      </w:r>
      <w:r w:rsidRPr="00B32A45">
        <w:tab/>
        <w:t>are identified as a distribution pipeline in an access arrangement applicable to the pipeline</w:t>
      </w:r>
      <w:r w:rsidRPr="00B32A45">
        <w:rPr>
          <w:bCs/>
          <w:iCs/>
          <w:szCs w:val="22"/>
          <w:shd w:val="clear" w:color="auto" w:fill="FFFFFF"/>
        </w:rPr>
        <w:t>; or</w:t>
      </w:r>
    </w:p>
    <w:p w:rsidR="00193D3A" w:rsidRPr="00B32A45" w:rsidRDefault="00193D3A" w:rsidP="00193D3A">
      <w:pPr>
        <w:pStyle w:val="tPara"/>
      </w:pPr>
      <w:r w:rsidRPr="00B32A45">
        <w:tab/>
        <w:t>(b)</w:t>
      </w:r>
      <w:r w:rsidRPr="00B32A45">
        <w:tab/>
        <w:t>meet both of the following:</w:t>
      </w:r>
    </w:p>
    <w:p w:rsidR="00193D3A" w:rsidRPr="00B32A45" w:rsidRDefault="00193D3A" w:rsidP="00193D3A">
      <w:pPr>
        <w:pStyle w:val="tSubpara"/>
      </w:pPr>
      <w:r w:rsidRPr="00B32A45">
        <w:tab/>
        <w:t>(i)</w:t>
      </w:r>
      <w:r w:rsidRPr="00B32A45">
        <w:tab/>
        <w:t>have a maximum design pressure of 1,050 kPa or less; and</w:t>
      </w:r>
    </w:p>
    <w:p w:rsidR="00193D3A" w:rsidRPr="00B32A45" w:rsidRDefault="00193D3A" w:rsidP="00193D3A">
      <w:pPr>
        <w:pStyle w:val="tSubpara"/>
      </w:pPr>
      <w:r w:rsidRPr="00B32A45">
        <w:tab/>
        <w:t>(ii)</w:t>
      </w:r>
      <w:r w:rsidRPr="00B32A45">
        <w:tab/>
        <w:t xml:space="preserve">are not natural gas gathering and boosting pipelines. </w:t>
      </w:r>
    </w:p>
    <w:p w:rsidR="00193D3A" w:rsidRPr="00B32A45" w:rsidRDefault="00193D3A" w:rsidP="00193D3A">
      <w:pPr>
        <w:pStyle w:val="tDefn"/>
      </w:pPr>
      <w:r w:rsidRPr="00B32A45">
        <w:rPr>
          <w:b/>
          <w:i/>
        </w:rPr>
        <w:t>natural gas liquefaction, storage and transfer</w:t>
      </w:r>
      <w:r w:rsidRPr="00B32A45">
        <w:t xml:space="preserve"> me</w:t>
      </w:r>
      <w:r w:rsidR="003C22D9">
        <w:t>ans the activity to collect and</w:t>
      </w:r>
      <w:r w:rsidRPr="00B32A45">
        <w:t xml:space="preserve"> liquefy natural gas and to store and transfer liquefied natura</w:t>
      </w:r>
      <w:r w:rsidR="003C22D9">
        <w:t>l gas to a transportation system</w:t>
      </w:r>
      <w:r w:rsidRPr="00B32A45">
        <w:t>.</w:t>
      </w:r>
    </w:p>
    <w:p w:rsidR="00744EA8" w:rsidRPr="00744EA8" w:rsidRDefault="00744EA8" w:rsidP="00193D3A">
      <w:pPr>
        <w:pStyle w:val="tDefn"/>
      </w:pPr>
      <w:r>
        <w:rPr>
          <w:b/>
          <w:i/>
        </w:rPr>
        <w:t>natural gas production</w:t>
      </w:r>
      <w:r>
        <w:t xml:space="preserve"> includes offshore natural gas production and onshore natural gas production.</w:t>
      </w:r>
    </w:p>
    <w:p w:rsidR="00193D3A" w:rsidRPr="00B32A45" w:rsidRDefault="00193D3A" w:rsidP="00193D3A">
      <w:pPr>
        <w:pStyle w:val="tDefn"/>
      </w:pPr>
      <w:r w:rsidRPr="00B32A45">
        <w:rPr>
          <w:b/>
          <w:i/>
        </w:rPr>
        <w:t>natural gas processing</w:t>
      </w:r>
      <w:r w:rsidRPr="00B32A45">
        <w:rPr>
          <w:i/>
        </w:rPr>
        <w:t xml:space="preserve"> </w:t>
      </w:r>
      <w:r w:rsidRPr="00B32A45">
        <w:t>means one or both of the following activities:</w:t>
      </w:r>
    </w:p>
    <w:p w:rsidR="00193D3A" w:rsidRPr="00B32A45" w:rsidRDefault="00193D3A" w:rsidP="00193D3A">
      <w:pPr>
        <w:pStyle w:val="tPara"/>
      </w:pPr>
      <w:r w:rsidRPr="00B32A45">
        <w:tab/>
        <w:t>(a)</w:t>
      </w:r>
      <w:r w:rsidRPr="00B32A45">
        <w:tab/>
        <w:t xml:space="preserve">the separation of natural gas liquids or non-methane gases from unprocessed natural gas or coal seam methane;  </w:t>
      </w:r>
    </w:p>
    <w:p w:rsidR="00193D3A" w:rsidRPr="00B32A45" w:rsidRDefault="00193D3A" w:rsidP="00193D3A">
      <w:pPr>
        <w:pStyle w:val="tPara"/>
      </w:pPr>
      <w:r w:rsidRPr="00B32A45">
        <w:tab/>
        <w:t>(b)</w:t>
      </w:r>
      <w:r w:rsidRPr="00B32A45">
        <w:tab/>
        <w:t>the separation of natural gas liquids into one or more component mixtures.</w:t>
      </w:r>
    </w:p>
    <w:p w:rsidR="00193D3A" w:rsidRPr="00B32A45" w:rsidRDefault="00193D3A" w:rsidP="00193D3A">
      <w:pPr>
        <w:pStyle w:val="nMain"/>
      </w:pPr>
      <w:r w:rsidRPr="00B32A45">
        <w:t>Note:</w:t>
      </w:r>
      <w:r w:rsidRPr="00B32A45">
        <w:tab/>
        <w:t>The separation includes one or more of the following: forced extraction of natural gas liquids, sulphur and carbon dioxide removal, fractionation of natural gas liquids, or the capture of CO</w:t>
      </w:r>
      <w:r w:rsidRPr="00B32A45">
        <w:rPr>
          <w:vertAlign w:val="subscript"/>
        </w:rPr>
        <w:t>2</w:t>
      </w:r>
      <w:r w:rsidRPr="00B32A45">
        <w:t xml:space="preserve"> separated from natural gas streams.</w:t>
      </w:r>
    </w:p>
    <w:p w:rsidR="00193D3A" w:rsidRPr="00B32A45" w:rsidRDefault="00193D3A" w:rsidP="00193D3A">
      <w:pPr>
        <w:pStyle w:val="tDefn"/>
      </w:pPr>
      <w:r w:rsidRPr="00B32A45">
        <w:rPr>
          <w:b/>
          <w:i/>
        </w:rPr>
        <w:t>natural gas storage</w:t>
      </w:r>
      <w:r w:rsidRPr="00B32A45">
        <w:rPr>
          <w:i/>
        </w:rPr>
        <w:t xml:space="preserve"> </w:t>
      </w:r>
      <w:r w:rsidRPr="00B32A45">
        <w:t>means the activity to store unprocessed natural gas, coal seam methane or natural gas that has been transferred from its original location for the primary purpose of load balancing (the process of equalizing the receipt and delivery of natural gas).</w:t>
      </w:r>
    </w:p>
    <w:p w:rsidR="00193D3A" w:rsidRPr="00B32A45" w:rsidRDefault="00193D3A" w:rsidP="00193D3A">
      <w:pPr>
        <w:pStyle w:val="tDefn"/>
      </w:pPr>
      <w:r w:rsidRPr="00B32A45">
        <w:rPr>
          <w:b/>
          <w:i/>
        </w:rPr>
        <w:t>natural gas storage station</w:t>
      </w:r>
      <w:r w:rsidRPr="00B32A45">
        <w:rPr>
          <w:i/>
        </w:rPr>
        <w:t xml:space="preserve"> </w:t>
      </w:r>
      <w:r w:rsidRPr="00B32A45">
        <w:t xml:space="preserve">means the plant and equipment used in natural gas storage, and includes: </w:t>
      </w:r>
    </w:p>
    <w:p w:rsidR="00193D3A" w:rsidRPr="00B32A45" w:rsidRDefault="00193D3A" w:rsidP="00193D3A">
      <w:pPr>
        <w:pStyle w:val="tPara"/>
      </w:pPr>
      <w:r w:rsidRPr="00B32A45">
        <w:lastRenderedPageBreak/>
        <w:tab/>
        <w:t>(a)</w:t>
      </w:r>
      <w:r w:rsidRPr="00B32A45">
        <w:tab/>
        <w:t>subsurface storage, such as depleted gas or oil reservoirs that store gas; and</w:t>
      </w:r>
    </w:p>
    <w:p w:rsidR="00193D3A" w:rsidRPr="00B32A45" w:rsidRDefault="00193D3A" w:rsidP="00193D3A">
      <w:pPr>
        <w:pStyle w:val="tPara"/>
      </w:pPr>
      <w:r w:rsidRPr="00B32A45">
        <w:tab/>
        <w:t>(b)</w:t>
      </w:r>
      <w:r w:rsidRPr="00B32A45">
        <w:tab/>
        <w:t xml:space="preserve">the equipment to undertake natural gas underground storage processes and operations (including compression, dehydration and flow measurement, but excluding natural gas transmission pipelines); and </w:t>
      </w:r>
    </w:p>
    <w:p w:rsidR="00193D3A" w:rsidRDefault="00193D3A" w:rsidP="00193D3A">
      <w:pPr>
        <w:pStyle w:val="tPara"/>
      </w:pPr>
      <w:r w:rsidRPr="00B32A45">
        <w:tab/>
        <w:t>(c)</w:t>
      </w:r>
      <w:r w:rsidRPr="00B32A45">
        <w:tab/>
        <w:t>all the wellheads connected to the compression units located at the station that inject and recover natural gas into and from the underground reservoirs.</w:t>
      </w:r>
      <w:r w:rsidRPr="00B32A45">
        <w:tab/>
      </w:r>
    </w:p>
    <w:p w:rsidR="00744EA8" w:rsidRPr="00B32A45" w:rsidRDefault="00744EA8" w:rsidP="00744EA8">
      <w:pPr>
        <w:pStyle w:val="tDefn"/>
        <w:rPr>
          <w:bCs/>
          <w:iCs/>
          <w:szCs w:val="22"/>
          <w:shd w:val="clear" w:color="auto" w:fill="FFFFFF"/>
        </w:rPr>
      </w:pPr>
      <w:r w:rsidRPr="00B32A45">
        <w:rPr>
          <w:b/>
          <w:bCs/>
          <w:i/>
          <w:iCs/>
          <w:szCs w:val="22"/>
          <w:shd w:val="clear" w:color="auto" w:fill="FFFFFF"/>
        </w:rPr>
        <w:t xml:space="preserve">natural gas transmission pipeline </w:t>
      </w:r>
      <w:r w:rsidRPr="00B32A45">
        <w:rPr>
          <w:bCs/>
          <w:iCs/>
          <w:szCs w:val="22"/>
          <w:shd w:val="clear" w:color="auto" w:fill="FFFFFF"/>
        </w:rPr>
        <w:t>means a pipeline for the conveyance of pipeline natural gas or plant condensate that:</w:t>
      </w:r>
    </w:p>
    <w:p w:rsidR="00744EA8" w:rsidRPr="00B32A45" w:rsidRDefault="00744EA8" w:rsidP="00744EA8">
      <w:pPr>
        <w:pStyle w:val="tPara"/>
        <w:rPr>
          <w:bCs/>
          <w:iCs/>
          <w:szCs w:val="22"/>
          <w:shd w:val="clear" w:color="auto" w:fill="FFFFFF"/>
        </w:rPr>
      </w:pPr>
      <w:r w:rsidRPr="00B32A45">
        <w:rPr>
          <w:bCs/>
          <w:iCs/>
          <w:szCs w:val="22"/>
          <w:shd w:val="clear" w:color="auto" w:fill="FFFFFF"/>
        </w:rPr>
        <w:tab/>
        <w:t>(a)</w:t>
      </w:r>
      <w:r w:rsidRPr="00B32A45">
        <w:rPr>
          <w:bCs/>
          <w:iCs/>
          <w:szCs w:val="22"/>
          <w:shd w:val="clear" w:color="auto" w:fill="FFFFFF"/>
        </w:rPr>
        <w:tab/>
        <w:t xml:space="preserve">is licensed as a transmission pipeline under a Commonwealth, State or Territory law; and </w:t>
      </w:r>
    </w:p>
    <w:p w:rsidR="00744EA8" w:rsidRPr="00B32A45" w:rsidRDefault="00744EA8" w:rsidP="00744EA8">
      <w:pPr>
        <w:pStyle w:val="tPara"/>
        <w:rPr>
          <w:bCs/>
          <w:iCs/>
          <w:szCs w:val="22"/>
          <w:shd w:val="clear" w:color="auto" w:fill="FFFFFF"/>
        </w:rPr>
      </w:pPr>
      <w:r w:rsidRPr="00B32A45">
        <w:rPr>
          <w:bCs/>
          <w:iCs/>
          <w:szCs w:val="22"/>
          <w:shd w:val="clear" w:color="auto" w:fill="FFFFFF"/>
        </w:rPr>
        <w:tab/>
        <w:t>(b)</w:t>
      </w:r>
      <w:r w:rsidRPr="00B32A45">
        <w:rPr>
          <w:bCs/>
          <w:iCs/>
          <w:szCs w:val="22"/>
          <w:shd w:val="clear" w:color="auto" w:fill="FFFFFF"/>
        </w:rPr>
        <w:tab/>
        <w:t>has a maximum design pressure exceeding 1,050 kPa; and</w:t>
      </w:r>
    </w:p>
    <w:p w:rsidR="00744EA8" w:rsidRPr="00744EA8" w:rsidRDefault="00744EA8" w:rsidP="00744EA8">
      <w:pPr>
        <w:pStyle w:val="tPara"/>
        <w:rPr>
          <w:bCs/>
          <w:iCs/>
          <w:szCs w:val="22"/>
          <w:shd w:val="clear" w:color="auto" w:fill="FFFFFF"/>
        </w:rPr>
      </w:pPr>
      <w:r w:rsidRPr="00B32A45">
        <w:rPr>
          <w:bCs/>
          <w:iCs/>
          <w:szCs w:val="22"/>
          <w:shd w:val="clear" w:color="auto" w:fill="FFFFFF"/>
        </w:rPr>
        <w:tab/>
        <w:t>(c)</w:t>
      </w:r>
      <w:r w:rsidRPr="00B32A45">
        <w:rPr>
          <w:bCs/>
          <w:iCs/>
          <w:szCs w:val="22"/>
          <w:shd w:val="clear" w:color="auto" w:fill="FFFFFF"/>
        </w:rPr>
        <w:tab/>
        <w:t>is not a natural gas distribution pipeline</w:t>
      </w:r>
      <w:r w:rsidRPr="00B32A45">
        <w:t xml:space="preserve"> or a natural gas gathering and boosting pipeline</w:t>
      </w:r>
      <w:r w:rsidRPr="00B32A45">
        <w:rPr>
          <w:bCs/>
          <w:iCs/>
          <w:szCs w:val="22"/>
          <w:shd w:val="clear" w:color="auto" w:fill="FFFFFF"/>
        </w:rPr>
        <w:t>.</w:t>
      </w:r>
    </w:p>
    <w:p w:rsidR="00193D3A" w:rsidRPr="00B32A45" w:rsidRDefault="00193D3A" w:rsidP="00193D3A">
      <w:pPr>
        <w:pStyle w:val="tDefn"/>
      </w:pPr>
      <w:r w:rsidRPr="00B32A45">
        <w:rPr>
          <w:b/>
          <w:i/>
        </w:rPr>
        <w:t>oil or gas exploration and development</w:t>
      </w:r>
      <w:r w:rsidRPr="00B32A45">
        <w:t xml:space="preserve"> means the activity to explore for oil and gas resources and test, appraise, drill, develop and complete wells for oil and gas resources and includes the following actions: </w:t>
      </w:r>
    </w:p>
    <w:p w:rsidR="00193D3A" w:rsidRPr="00B32A45" w:rsidRDefault="00193D3A" w:rsidP="00193D3A">
      <w:pPr>
        <w:pStyle w:val="tPara"/>
      </w:pPr>
      <w:r w:rsidRPr="00B32A45">
        <w:tab/>
        <w:t>(a)</w:t>
      </w:r>
      <w:r w:rsidRPr="00B32A45">
        <w:tab/>
        <w:t xml:space="preserve">oil well drilling; </w:t>
      </w:r>
    </w:p>
    <w:p w:rsidR="00193D3A" w:rsidRPr="00B32A45" w:rsidRDefault="00193D3A" w:rsidP="00193D3A">
      <w:pPr>
        <w:pStyle w:val="tPara"/>
      </w:pPr>
      <w:r w:rsidRPr="00B32A45">
        <w:t xml:space="preserve"> </w:t>
      </w:r>
      <w:r w:rsidRPr="00B32A45">
        <w:tab/>
        <w:t>(b)</w:t>
      </w:r>
      <w:r w:rsidRPr="00B32A45">
        <w:tab/>
        <w:t xml:space="preserve">gas well drilling; </w:t>
      </w:r>
    </w:p>
    <w:p w:rsidR="00193D3A" w:rsidRPr="00B32A45" w:rsidRDefault="00193D3A" w:rsidP="00193D3A">
      <w:pPr>
        <w:pStyle w:val="tPara"/>
      </w:pPr>
      <w:r w:rsidRPr="00B32A45">
        <w:tab/>
        <w:t>(c)</w:t>
      </w:r>
      <w:r w:rsidRPr="00B32A45">
        <w:tab/>
        <w:t xml:space="preserve">drill stem testing; </w:t>
      </w:r>
    </w:p>
    <w:p w:rsidR="00193D3A" w:rsidRPr="00B32A45" w:rsidRDefault="00193D3A" w:rsidP="00193D3A">
      <w:pPr>
        <w:pStyle w:val="tPara"/>
      </w:pPr>
      <w:r w:rsidRPr="00B32A45">
        <w:tab/>
        <w:t>(e)</w:t>
      </w:r>
      <w:r w:rsidRPr="00B32A45">
        <w:tab/>
        <w:t xml:space="preserve">well appraisals; </w:t>
      </w:r>
    </w:p>
    <w:p w:rsidR="00193D3A" w:rsidRPr="00B32A45" w:rsidRDefault="00193D3A" w:rsidP="00193D3A">
      <w:pPr>
        <w:pStyle w:val="tPara"/>
      </w:pPr>
      <w:r w:rsidRPr="00B32A45">
        <w:tab/>
        <w:t>(f)</w:t>
      </w:r>
      <w:r w:rsidRPr="00B32A45">
        <w:tab/>
        <w:t xml:space="preserve">development drilling; </w:t>
      </w:r>
    </w:p>
    <w:p w:rsidR="00193D3A" w:rsidRPr="00B32A45" w:rsidRDefault="00193D3A" w:rsidP="00193D3A">
      <w:pPr>
        <w:pStyle w:val="tPara"/>
      </w:pPr>
      <w:r w:rsidRPr="00B32A45">
        <w:tab/>
        <w:t>(g)</w:t>
      </w:r>
      <w:r w:rsidRPr="00B32A45">
        <w:tab/>
        <w:t>well completions;</w:t>
      </w:r>
    </w:p>
    <w:p w:rsidR="00193D3A" w:rsidRPr="00B32A45" w:rsidRDefault="00193D3A" w:rsidP="00193D3A">
      <w:pPr>
        <w:pStyle w:val="tPara"/>
      </w:pPr>
      <w:r w:rsidRPr="00B32A45">
        <w:tab/>
        <w:t>(h)</w:t>
      </w:r>
      <w:r w:rsidRPr="00B32A45">
        <w:tab/>
        <w:t>well workovers associated with the actions in the paragraphs above.</w:t>
      </w:r>
    </w:p>
    <w:p w:rsidR="00193D3A" w:rsidRPr="00B32A45" w:rsidRDefault="00193D3A" w:rsidP="00193D3A">
      <w:pPr>
        <w:pStyle w:val="tDefn"/>
      </w:pPr>
      <w:r w:rsidRPr="00B32A45">
        <w:rPr>
          <w:b/>
          <w:i/>
        </w:rPr>
        <w:t>offshore natural gas production</w:t>
      </w:r>
      <w:r w:rsidRPr="00B32A45">
        <w:t xml:space="preserve"> means the activity to produce, extract, recover, lift, stabilise, separate or treat unprocessed natural gas, condensate or coal seam methane on offshore submerged lands, including well workovers.</w:t>
      </w:r>
    </w:p>
    <w:p w:rsidR="00193D3A" w:rsidRPr="00B32A45" w:rsidRDefault="00193D3A" w:rsidP="00193D3A">
      <w:pPr>
        <w:pStyle w:val="tDefn"/>
      </w:pPr>
      <w:r w:rsidRPr="00B32A45">
        <w:rPr>
          <w:b/>
          <w:i/>
        </w:rPr>
        <w:t>offshore platform</w:t>
      </w:r>
      <w:r w:rsidRPr="00B32A45">
        <w:rPr>
          <w:i/>
        </w:rPr>
        <w:t xml:space="preserve"> </w:t>
      </w:r>
      <w:r w:rsidRPr="00B32A45">
        <w:t xml:space="preserve">includes: </w:t>
      </w:r>
    </w:p>
    <w:p w:rsidR="00193D3A" w:rsidRPr="00B32A45" w:rsidRDefault="00193D3A" w:rsidP="00193D3A">
      <w:pPr>
        <w:pStyle w:val="tPara"/>
      </w:pPr>
      <w:r w:rsidRPr="00B32A45">
        <w:tab/>
        <w:t>(a)</w:t>
      </w:r>
      <w:r w:rsidRPr="00B32A45">
        <w:tab/>
        <w:t xml:space="preserve">any platform structure, affixed temporarily or permanently to offshore submerged lands, that houses plant and equipment to do either or both of the following: </w:t>
      </w:r>
    </w:p>
    <w:p w:rsidR="00193D3A" w:rsidRPr="00B32A45" w:rsidRDefault="00193D3A" w:rsidP="00193D3A">
      <w:pPr>
        <w:pStyle w:val="tSubpara"/>
      </w:pPr>
      <w:r w:rsidRPr="00B32A45">
        <w:tab/>
        <w:t>(i)</w:t>
      </w:r>
      <w:r w:rsidRPr="00B32A45">
        <w:tab/>
        <w:t xml:space="preserve">extract unprocessed natural gas and condensate from the ocean or lake floor; </w:t>
      </w:r>
    </w:p>
    <w:p w:rsidR="00193D3A" w:rsidRPr="00B32A45" w:rsidRDefault="00193D3A" w:rsidP="00193D3A">
      <w:pPr>
        <w:pStyle w:val="tSubpara"/>
      </w:pPr>
      <w:r w:rsidRPr="00B32A45">
        <w:tab/>
        <w:t>(ii)</w:t>
      </w:r>
      <w:r w:rsidRPr="00B32A45">
        <w:tab/>
        <w:t>transfers such unprocessed natural gas and condensate to storage, transport vessels, or onshore; and</w:t>
      </w:r>
    </w:p>
    <w:p w:rsidR="00193D3A" w:rsidRPr="00B32A45" w:rsidRDefault="00193D3A" w:rsidP="00193D3A">
      <w:pPr>
        <w:pStyle w:val="tPara"/>
      </w:pPr>
      <w:r w:rsidRPr="00B32A45">
        <w:tab/>
        <w:t>(b)</w:t>
      </w:r>
      <w:r w:rsidRPr="00B32A45">
        <w:tab/>
        <w:t>secondary platform structures connected to the platform structure via walkways, and</w:t>
      </w:r>
    </w:p>
    <w:p w:rsidR="00193D3A" w:rsidRPr="00B32A45" w:rsidRDefault="00193D3A" w:rsidP="00193D3A">
      <w:pPr>
        <w:pStyle w:val="tPara"/>
      </w:pPr>
      <w:r w:rsidRPr="00B32A45">
        <w:tab/>
        <w:t>(c)</w:t>
      </w:r>
      <w:r w:rsidRPr="00B32A45">
        <w:tab/>
        <w:t xml:space="preserve">storage tanks associated with the platform structure; and </w:t>
      </w:r>
    </w:p>
    <w:p w:rsidR="00193D3A" w:rsidRPr="00B32A45" w:rsidRDefault="00193D3A" w:rsidP="00193D3A">
      <w:pPr>
        <w:pStyle w:val="tPara"/>
      </w:pPr>
      <w:r w:rsidRPr="00B32A45">
        <w:tab/>
        <w:t>(d)</w:t>
      </w:r>
      <w:r w:rsidRPr="00B32A45">
        <w:tab/>
        <w:t xml:space="preserve">floating production and storage offloading equipment; and </w:t>
      </w:r>
    </w:p>
    <w:p w:rsidR="00193D3A" w:rsidRPr="00B32A45" w:rsidRDefault="00193D3A" w:rsidP="00193D3A">
      <w:pPr>
        <w:pStyle w:val="tPara"/>
      </w:pPr>
      <w:r w:rsidRPr="00B32A45">
        <w:tab/>
        <w:t>(e)</w:t>
      </w:r>
      <w:r w:rsidRPr="00B32A45">
        <w:tab/>
        <w:t>submerged wellhead production structures.</w:t>
      </w:r>
    </w:p>
    <w:p w:rsidR="00193D3A" w:rsidRPr="00B32A45" w:rsidRDefault="00193D3A" w:rsidP="00193D3A">
      <w:pPr>
        <w:pStyle w:val="tDefn"/>
      </w:pPr>
      <w:r w:rsidRPr="00B32A45">
        <w:rPr>
          <w:b/>
          <w:i/>
        </w:rPr>
        <w:t>offshore platform (shallow water)</w:t>
      </w:r>
      <w:r w:rsidRPr="00B32A45">
        <w:t xml:space="preserve"> means an offshore platform standing in less than 200 metres of water. </w:t>
      </w:r>
    </w:p>
    <w:p w:rsidR="00193D3A" w:rsidRPr="00B32A45" w:rsidRDefault="00193D3A" w:rsidP="00193D3A">
      <w:pPr>
        <w:pStyle w:val="tDefn"/>
      </w:pPr>
      <w:r w:rsidRPr="00B32A45">
        <w:rPr>
          <w:b/>
          <w:i/>
        </w:rPr>
        <w:t>offshore platform (deep water)</w:t>
      </w:r>
      <w:r w:rsidRPr="00B32A45">
        <w:t xml:space="preserve"> means an offshore platform standing in at least 200 metres of water.</w:t>
      </w:r>
    </w:p>
    <w:p w:rsidR="00193D3A" w:rsidRPr="00B32A45" w:rsidRDefault="00193D3A" w:rsidP="00193D3A">
      <w:pPr>
        <w:pStyle w:val="tDefn"/>
      </w:pPr>
      <w:r w:rsidRPr="00B32A45">
        <w:rPr>
          <w:b/>
          <w:i/>
        </w:rPr>
        <w:t>onshore natural gas production</w:t>
      </w:r>
      <w:r w:rsidRPr="00B32A45">
        <w:t xml:space="preserve"> means the activity to produce, extract, recover, lift, stabilise, separate or treat unprocessed natural gas, condensate or coal seam methane on land, including well workovers.</w:t>
      </w:r>
    </w:p>
    <w:p w:rsidR="00193D3A" w:rsidRPr="00B32A45" w:rsidRDefault="00193D3A" w:rsidP="00193D3A">
      <w:pPr>
        <w:pStyle w:val="tDefn"/>
      </w:pPr>
      <w:r w:rsidRPr="00B32A45">
        <w:rPr>
          <w:b/>
          <w:i/>
        </w:rPr>
        <w:t>onshore natural gas wellhead</w:t>
      </w:r>
      <w:r w:rsidRPr="00B32A45">
        <w:rPr>
          <w:i/>
        </w:rPr>
        <w:t xml:space="preserve"> </w:t>
      </w:r>
      <w:r w:rsidRPr="00B32A45">
        <w:t>means the gas wellhead.</w:t>
      </w:r>
    </w:p>
    <w:p w:rsidR="00193D3A" w:rsidRPr="00B32A45" w:rsidRDefault="00193D3A" w:rsidP="00193D3A">
      <w:pPr>
        <w:pStyle w:val="tDefn"/>
        <w:rPr>
          <w:b/>
          <w:i/>
        </w:rPr>
      </w:pPr>
      <w:r w:rsidRPr="00B32A45">
        <w:rPr>
          <w:b/>
          <w:i/>
        </w:rPr>
        <w:lastRenderedPageBreak/>
        <w:t>plant condensate</w:t>
      </w:r>
      <w:r w:rsidRPr="00B32A45">
        <w:t xml:space="preserve"> has the meaning given by the Regulations</w:t>
      </w:r>
      <w:r w:rsidRPr="00B32A45">
        <w:rPr>
          <w:b/>
          <w:i/>
        </w:rPr>
        <w:t>.</w:t>
      </w:r>
    </w:p>
    <w:p w:rsidR="00193D3A" w:rsidRPr="00B32A45" w:rsidRDefault="00193D3A" w:rsidP="00193D3A">
      <w:pPr>
        <w:pStyle w:val="tDefn"/>
        <w:rPr>
          <w:b/>
          <w:i/>
        </w:rPr>
      </w:pPr>
      <w:r w:rsidRPr="00B32A45">
        <w:rPr>
          <w:b/>
          <w:i/>
        </w:rPr>
        <w:t>pipeline natural gas</w:t>
      </w:r>
      <w:r w:rsidRPr="00B32A45">
        <w:t xml:space="preserve"> means natural gas that is suitable for market consumption.</w:t>
      </w:r>
      <w:r w:rsidRPr="00B32A45">
        <w:rPr>
          <w:b/>
          <w:i/>
        </w:rPr>
        <w:t xml:space="preserve"> </w:t>
      </w:r>
    </w:p>
    <w:p w:rsidR="00A51871" w:rsidRPr="00A51871" w:rsidRDefault="00CE207D" w:rsidP="00A51871">
      <w:pPr>
        <w:pStyle w:val="h5SchItem"/>
      </w:pPr>
      <w:r>
        <w:t>[4]</w:t>
      </w:r>
      <w:r w:rsidR="00193D3A">
        <w:tab/>
        <w:t>Section 1.8</w:t>
      </w:r>
      <w:r w:rsidR="00A51871">
        <w:t xml:space="preserve"> </w:t>
      </w:r>
    </w:p>
    <w:p w:rsidR="0063686C" w:rsidRDefault="00A51871" w:rsidP="0063686C">
      <w:pPr>
        <w:pStyle w:val="Item"/>
      </w:pPr>
      <w:r>
        <w:t>Re</w:t>
      </w:r>
      <w:r w:rsidR="00193D3A">
        <w:t xml:space="preserve">peal the </w:t>
      </w:r>
      <w:r w:rsidR="003C12BC">
        <w:t xml:space="preserve">following </w:t>
      </w:r>
      <w:r w:rsidR="00193D3A">
        <w:t>definition</w:t>
      </w:r>
      <w:r w:rsidR="003C12BC">
        <w:t>s:</w:t>
      </w:r>
    </w:p>
    <w:p w:rsidR="003C12BC" w:rsidRPr="00B32A45" w:rsidRDefault="003C12BC" w:rsidP="003C12BC">
      <w:pPr>
        <w:pStyle w:val="tPara"/>
        <w:shd w:val="clear" w:color="auto" w:fill="FFFFFF"/>
        <w:rPr>
          <w:szCs w:val="22"/>
        </w:rPr>
      </w:pPr>
      <w:r w:rsidRPr="00B32A45">
        <w:rPr>
          <w:szCs w:val="22"/>
        </w:rPr>
        <w:tab/>
        <w:t>(a)</w:t>
      </w:r>
      <w:r w:rsidRPr="00B32A45">
        <w:rPr>
          <w:szCs w:val="22"/>
        </w:rPr>
        <w:tab/>
      </w:r>
      <w:r>
        <w:rPr>
          <w:szCs w:val="22"/>
        </w:rPr>
        <w:t xml:space="preserve">definition of </w:t>
      </w:r>
      <w:r w:rsidRPr="003C12BC">
        <w:rPr>
          <w:b/>
          <w:i/>
          <w:szCs w:val="22"/>
        </w:rPr>
        <w:t>crude oil condensates</w:t>
      </w:r>
      <w:r>
        <w:rPr>
          <w:szCs w:val="22"/>
        </w:rPr>
        <w:t xml:space="preserve">; </w:t>
      </w:r>
    </w:p>
    <w:p w:rsidR="003C12BC" w:rsidRPr="003C12BC" w:rsidRDefault="003C12BC" w:rsidP="003C12BC">
      <w:pPr>
        <w:pStyle w:val="tPara"/>
        <w:shd w:val="clear" w:color="auto" w:fill="FFFFFF"/>
        <w:rPr>
          <w:szCs w:val="22"/>
        </w:rPr>
      </w:pPr>
      <w:r w:rsidRPr="00B32A45">
        <w:rPr>
          <w:szCs w:val="22"/>
        </w:rPr>
        <w:tab/>
        <w:t>(b)</w:t>
      </w:r>
      <w:r w:rsidRPr="00B32A45">
        <w:rPr>
          <w:szCs w:val="22"/>
        </w:rPr>
        <w:tab/>
      </w:r>
      <w:r>
        <w:rPr>
          <w:szCs w:val="22"/>
        </w:rPr>
        <w:t xml:space="preserve">definition of </w:t>
      </w:r>
      <w:r w:rsidRPr="003C12BC">
        <w:rPr>
          <w:b/>
          <w:i/>
          <w:szCs w:val="22"/>
        </w:rPr>
        <w:t>technical guidelines</w:t>
      </w:r>
      <w:r w:rsidRPr="00B32A45">
        <w:rPr>
          <w:szCs w:val="22"/>
        </w:rPr>
        <w:t xml:space="preserve">. </w:t>
      </w:r>
    </w:p>
    <w:p w:rsidR="0063686C" w:rsidRPr="00A51871" w:rsidRDefault="00CE207D" w:rsidP="0063686C">
      <w:pPr>
        <w:pStyle w:val="h5SchItem"/>
      </w:pPr>
      <w:r>
        <w:t>[5]</w:t>
      </w:r>
      <w:r w:rsidR="0063686C">
        <w:tab/>
        <w:t xml:space="preserve">Section 1.8 (definition of </w:t>
      </w:r>
      <w:r w:rsidR="0063686C">
        <w:rPr>
          <w:i/>
        </w:rPr>
        <w:t>fugitive emissions</w:t>
      </w:r>
      <w:r w:rsidR="0063686C">
        <w:t>)</w:t>
      </w:r>
    </w:p>
    <w:p w:rsidR="0063686C" w:rsidRDefault="0063686C" w:rsidP="0063686C">
      <w:pPr>
        <w:pStyle w:val="Item"/>
      </w:pPr>
      <w:r>
        <w:t>Repeal the definition, substitute:</w:t>
      </w:r>
    </w:p>
    <w:p w:rsidR="0063686C" w:rsidRPr="00B32A45" w:rsidRDefault="0063686C" w:rsidP="0063686C">
      <w:pPr>
        <w:pStyle w:val="tDefn"/>
        <w:rPr>
          <w:b/>
        </w:rPr>
      </w:pPr>
      <w:r w:rsidRPr="00B32A45">
        <w:rPr>
          <w:b/>
          <w:i/>
        </w:rPr>
        <w:t xml:space="preserve">fugitive emissions </w:t>
      </w:r>
      <w:r w:rsidRPr="00B32A45">
        <w:t>means greenhouse gas emissions that are:</w:t>
      </w:r>
      <w:r w:rsidRPr="00B32A45">
        <w:rPr>
          <w:b/>
        </w:rPr>
        <w:t xml:space="preserve"> </w:t>
      </w:r>
    </w:p>
    <w:p w:rsidR="0063686C" w:rsidRPr="00B32A45" w:rsidRDefault="0063686C" w:rsidP="0063686C">
      <w:pPr>
        <w:pStyle w:val="tPara"/>
        <w:shd w:val="clear" w:color="auto" w:fill="FFFFFF"/>
        <w:rPr>
          <w:szCs w:val="22"/>
        </w:rPr>
      </w:pPr>
      <w:r w:rsidRPr="00B32A45">
        <w:rPr>
          <w:szCs w:val="22"/>
        </w:rPr>
        <w:tab/>
        <w:t>(a)</w:t>
      </w:r>
      <w:r w:rsidRPr="00B32A45">
        <w:rPr>
          <w:szCs w:val="22"/>
        </w:rPr>
        <w:tab/>
        <w:t>released in connection with, or as a consequence of, the extraction, processing, storage or delivery of fossil fuel; and</w:t>
      </w:r>
    </w:p>
    <w:p w:rsidR="0063686C" w:rsidRDefault="0063686C" w:rsidP="0063686C">
      <w:pPr>
        <w:pStyle w:val="tPara"/>
        <w:shd w:val="clear" w:color="auto" w:fill="FFFFFF"/>
        <w:rPr>
          <w:szCs w:val="22"/>
        </w:rPr>
      </w:pPr>
      <w:r w:rsidRPr="00B32A45">
        <w:rPr>
          <w:szCs w:val="22"/>
        </w:rPr>
        <w:tab/>
        <w:t>(b)</w:t>
      </w:r>
      <w:r w:rsidRPr="00B32A45">
        <w:rPr>
          <w:szCs w:val="22"/>
        </w:rPr>
        <w:tab/>
        <w:t xml:space="preserve">not released from the combustion of fuel for the production of useable heat or electricity. </w:t>
      </w:r>
    </w:p>
    <w:p w:rsidR="0063686C" w:rsidRPr="00A51871" w:rsidRDefault="00CE207D" w:rsidP="0063686C">
      <w:pPr>
        <w:pStyle w:val="h5SchItem"/>
      </w:pPr>
      <w:r>
        <w:t>[6]</w:t>
      </w:r>
      <w:r w:rsidR="0063686C">
        <w:tab/>
        <w:t xml:space="preserve">Section 1.8 (definition of </w:t>
      </w:r>
      <w:r w:rsidR="0063686C">
        <w:rPr>
          <w:i/>
        </w:rPr>
        <w:t>natural gas distribution</w:t>
      </w:r>
      <w:r w:rsidR="0063686C">
        <w:t>)</w:t>
      </w:r>
    </w:p>
    <w:p w:rsidR="0063686C" w:rsidRPr="0063686C" w:rsidRDefault="0063686C" w:rsidP="0063686C">
      <w:pPr>
        <w:pStyle w:val="Item"/>
      </w:pPr>
      <w:r>
        <w:t>Repeal the definition, substitute:</w:t>
      </w:r>
    </w:p>
    <w:p w:rsidR="0063686C" w:rsidRPr="00744EA8" w:rsidRDefault="0063686C" w:rsidP="00744EA8">
      <w:pPr>
        <w:pStyle w:val="tDefn"/>
      </w:pPr>
      <w:r w:rsidRPr="00B32A45">
        <w:rPr>
          <w:b/>
          <w:bCs/>
          <w:i/>
          <w:iCs/>
          <w:szCs w:val="22"/>
          <w:shd w:val="clear" w:color="auto" w:fill="FFFFFF"/>
        </w:rPr>
        <w:t>natural gas distribution</w:t>
      </w:r>
      <w:r w:rsidRPr="00B32A45">
        <w:rPr>
          <w:rStyle w:val="apple-converted-space"/>
          <w:b/>
          <w:bCs/>
          <w:i/>
          <w:iCs/>
          <w:shd w:val="clear" w:color="auto" w:fill="FFFFFF"/>
        </w:rPr>
        <w:t> </w:t>
      </w:r>
      <w:r w:rsidRPr="00B32A45">
        <w:t xml:space="preserve">means the transport of </w:t>
      </w:r>
      <w:r w:rsidRPr="00B32A45">
        <w:rPr>
          <w:bCs/>
          <w:iCs/>
          <w:szCs w:val="22"/>
          <w:shd w:val="clear" w:color="auto" w:fill="FFFFFF"/>
        </w:rPr>
        <w:t xml:space="preserve">pipeline natural </w:t>
      </w:r>
      <w:r w:rsidRPr="00B32A45">
        <w:t>gas over a combination of natural gas distribution pipelines from a city ga</w:t>
      </w:r>
      <w:r w:rsidR="00744EA8">
        <w:t>te to customer delivery points.</w:t>
      </w:r>
    </w:p>
    <w:p w:rsidR="0063686C" w:rsidRPr="00A51871" w:rsidRDefault="00CE207D" w:rsidP="0063686C">
      <w:pPr>
        <w:pStyle w:val="h5SchItem"/>
      </w:pPr>
      <w:r>
        <w:t>[7]</w:t>
      </w:r>
      <w:r w:rsidR="0063686C">
        <w:tab/>
        <w:t xml:space="preserve">Section 1.8 (definition of </w:t>
      </w:r>
      <w:r w:rsidR="0063686C">
        <w:rPr>
          <w:i/>
        </w:rPr>
        <w:t>n</w:t>
      </w:r>
      <w:r w:rsidR="00744EA8">
        <w:rPr>
          <w:i/>
        </w:rPr>
        <w:t>atural gas transmission</w:t>
      </w:r>
      <w:r w:rsidR="0063686C">
        <w:t>)</w:t>
      </w:r>
    </w:p>
    <w:p w:rsidR="0063686C" w:rsidRDefault="0063686C" w:rsidP="0063686C">
      <w:pPr>
        <w:pStyle w:val="Item"/>
      </w:pPr>
      <w:r>
        <w:t>Repeal the definition, substitute:</w:t>
      </w:r>
    </w:p>
    <w:p w:rsidR="00744EA8" w:rsidRPr="00B32A45" w:rsidRDefault="00744EA8" w:rsidP="00744EA8">
      <w:pPr>
        <w:pStyle w:val="tDefn"/>
        <w:rPr>
          <w:szCs w:val="22"/>
          <w:shd w:val="clear" w:color="auto" w:fill="FFFFFF"/>
        </w:rPr>
      </w:pPr>
      <w:r w:rsidRPr="00B32A45">
        <w:rPr>
          <w:b/>
          <w:bCs/>
          <w:i/>
          <w:iCs/>
          <w:szCs w:val="22"/>
          <w:shd w:val="clear" w:color="auto" w:fill="FFFFFF"/>
        </w:rPr>
        <w:t>natural gas transmission</w:t>
      </w:r>
      <w:r w:rsidRPr="00B32A45">
        <w:rPr>
          <w:rStyle w:val="apple-converted-space"/>
          <w:b/>
          <w:bCs/>
          <w:i/>
          <w:iCs/>
          <w:shd w:val="clear" w:color="auto" w:fill="FFFFFF"/>
        </w:rPr>
        <w:t> </w:t>
      </w:r>
      <w:r w:rsidRPr="00B32A45">
        <w:t xml:space="preserve">means </w:t>
      </w:r>
      <w:r w:rsidRPr="00B32A45">
        <w:rPr>
          <w:szCs w:val="22"/>
          <w:shd w:val="clear" w:color="auto" w:fill="FFFFFF"/>
        </w:rPr>
        <w:t>transmission of natural gas or plant condensate through one or more natural gas transmission pipelines from a natural gas processing station or a natural gas gathering and boosting network to any of the following:</w:t>
      </w:r>
    </w:p>
    <w:p w:rsidR="00744EA8" w:rsidRPr="00B32A45" w:rsidRDefault="00744EA8" w:rsidP="00744EA8">
      <w:pPr>
        <w:pStyle w:val="tPara"/>
      </w:pPr>
      <w:r w:rsidRPr="00B32A45">
        <w:rPr>
          <w:szCs w:val="22"/>
          <w:shd w:val="clear" w:color="auto" w:fill="FFFFFF"/>
        </w:rPr>
        <w:tab/>
        <w:t xml:space="preserve"> (a)</w:t>
      </w:r>
      <w:r w:rsidRPr="00B32A45">
        <w:rPr>
          <w:szCs w:val="22"/>
          <w:shd w:val="clear" w:color="auto" w:fill="FFFFFF"/>
        </w:rPr>
        <w:tab/>
        <w:t xml:space="preserve">a natural gas </w:t>
      </w:r>
      <w:r w:rsidRPr="00B32A45">
        <w:rPr>
          <w:bCs/>
          <w:iCs/>
          <w:szCs w:val="22"/>
          <w:shd w:val="clear" w:color="auto" w:fill="FFFFFF"/>
        </w:rPr>
        <w:t>distribution</w:t>
      </w:r>
      <w:r w:rsidRPr="00B32A45">
        <w:rPr>
          <w:szCs w:val="22"/>
          <w:shd w:val="clear" w:color="auto" w:fill="FFFFFF"/>
        </w:rPr>
        <w:t xml:space="preserve"> network</w:t>
      </w:r>
      <w:r w:rsidRPr="00B32A45">
        <w:t xml:space="preserve">; </w:t>
      </w:r>
    </w:p>
    <w:p w:rsidR="00744EA8" w:rsidRPr="00B32A45" w:rsidRDefault="00744EA8" w:rsidP="00744EA8">
      <w:pPr>
        <w:pStyle w:val="tPara"/>
      </w:pPr>
      <w:r w:rsidRPr="00B32A45">
        <w:tab/>
        <w:t>(b)</w:t>
      </w:r>
      <w:r w:rsidRPr="00B32A45">
        <w:tab/>
        <w:t xml:space="preserve">another natural gas processing </w:t>
      </w:r>
      <w:r w:rsidRPr="00B32A45">
        <w:rPr>
          <w:szCs w:val="22"/>
          <w:shd w:val="clear" w:color="auto" w:fill="FFFFFF"/>
        </w:rPr>
        <w:t>station</w:t>
      </w:r>
      <w:r w:rsidRPr="00B32A45">
        <w:t xml:space="preserve">; </w:t>
      </w:r>
    </w:p>
    <w:p w:rsidR="00744EA8" w:rsidRPr="00B32A45" w:rsidRDefault="00744EA8" w:rsidP="00744EA8">
      <w:pPr>
        <w:pStyle w:val="tPara"/>
      </w:pPr>
      <w:r w:rsidRPr="00B32A45">
        <w:tab/>
        <w:t>(c)</w:t>
      </w:r>
      <w:r w:rsidRPr="00B32A45">
        <w:tab/>
        <w:t xml:space="preserve">a liquefied natural gas </w:t>
      </w:r>
      <w:r w:rsidRPr="00B32A45">
        <w:rPr>
          <w:szCs w:val="22"/>
          <w:shd w:val="clear" w:color="auto" w:fill="FFFFFF"/>
        </w:rPr>
        <w:t>station</w:t>
      </w:r>
      <w:r w:rsidRPr="00B32A45">
        <w:t xml:space="preserve">; </w:t>
      </w:r>
    </w:p>
    <w:p w:rsidR="00744EA8" w:rsidRPr="00744EA8" w:rsidRDefault="00744EA8" w:rsidP="00744EA8">
      <w:pPr>
        <w:pStyle w:val="tPara"/>
      </w:pPr>
      <w:r w:rsidRPr="00B32A45">
        <w:tab/>
        <w:t>(d)</w:t>
      </w:r>
      <w:r w:rsidRPr="00B32A45">
        <w:tab/>
        <w:t>a large industrial fac</w:t>
      </w:r>
      <w:r>
        <w:t>ility, such as a power station.</w:t>
      </w:r>
    </w:p>
    <w:p w:rsidR="00F67A99" w:rsidRPr="00A51871" w:rsidRDefault="00CE207D" w:rsidP="00F67A99">
      <w:pPr>
        <w:pStyle w:val="h5SchItem"/>
      </w:pPr>
      <w:r>
        <w:t>[8]</w:t>
      </w:r>
      <w:r w:rsidR="00F67A99" w:rsidRPr="00F67A99">
        <w:rPr>
          <w:rFonts w:ascii="Times New Roman" w:hAnsi="Times New Roman" w:cs="Times New Roman"/>
          <w:b w:val="0"/>
          <w:bCs w:val="0"/>
          <w:kern w:val="0"/>
          <w:sz w:val="22"/>
          <w:szCs w:val="20"/>
        </w:rPr>
        <w:tab/>
      </w:r>
      <w:r w:rsidR="00F67A99">
        <w:t xml:space="preserve">Section 1.8 (definition of </w:t>
      </w:r>
      <w:r w:rsidR="00F67A99">
        <w:rPr>
          <w:i/>
        </w:rPr>
        <w:t>well workover</w:t>
      </w:r>
      <w:r w:rsidR="00F67A99">
        <w:t>)</w:t>
      </w:r>
    </w:p>
    <w:p w:rsidR="00F67A99" w:rsidRDefault="00F67A99" w:rsidP="00F67A99">
      <w:pPr>
        <w:pStyle w:val="Item"/>
      </w:pPr>
      <w:r>
        <w:t>Repeal the definition, substitute:</w:t>
      </w:r>
    </w:p>
    <w:p w:rsidR="00F67A99" w:rsidRPr="00B32A45" w:rsidRDefault="00F67A99" w:rsidP="00F67A99">
      <w:pPr>
        <w:pStyle w:val="tDefn"/>
      </w:pPr>
      <w:r w:rsidRPr="00B32A45">
        <w:rPr>
          <w:b/>
          <w:i/>
        </w:rPr>
        <w:t xml:space="preserve">well workover </w:t>
      </w:r>
      <w:r w:rsidRPr="00B32A45">
        <w:t>means activities performed to restore or increase production which can include any or all of the following processes:</w:t>
      </w:r>
    </w:p>
    <w:p w:rsidR="00F67A99" w:rsidRPr="00B32A45" w:rsidRDefault="00F67A99" w:rsidP="00F67A99">
      <w:pPr>
        <w:pStyle w:val="tPara"/>
      </w:pPr>
      <w:r w:rsidRPr="00B32A45">
        <w:tab/>
        <w:t>(a)</w:t>
      </w:r>
      <w:r w:rsidRPr="00B32A45">
        <w:tab/>
        <w:t xml:space="preserve">well venting; </w:t>
      </w:r>
    </w:p>
    <w:p w:rsidR="00F67A99" w:rsidRPr="00B32A45" w:rsidRDefault="00F67A99" w:rsidP="00F67A99">
      <w:pPr>
        <w:pStyle w:val="tPara"/>
      </w:pPr>
      <w:r w:rsidRPr="00B32A45">
        <w:t xml:space="preserve"> </w:t>
      </w:r>
      <w:r w:rsidRPr="00B32A45">
        <w:tab/>
        <w:t>(b)</w:t>
      </w:r>
      <w:r w:rsidRPr="00B32A45">
        <w:tab/>
        <w:t xml:space="preserve">tubing maintenance; </w:t>
      </w:r>
    </w:p>
    <w:p w:rsidR="00F67A99" w:rsidRPr="00B32A45" w:rsidRDefault="00F67A99" w:rsidP="00F67A99">
      <w:pPr>
        <w:pStyle w:val="tPara"/>
      </w:pPr>
      <w:r w:rsidRPr="00B32A45">
        <w:tab/>
        <w:t>(c)</w:t>
      </w:r>
      <w:r w:rsidRPr="00B32A45">
        <w:tab/>
        <w:t xml:space="preserve">air clean out; </w:t>
      </w:r>
    </w:p>
    <w:p w:rsidR="00F67A99" w:rsidRPr="00B32A45" w:rsidRDefault="00F67A99" w:rsidP="00F67A99">
      <w:pPr>
        <w:pStyle w:val="tPara"/>
      </w:pPr>
      <w:r w:rsidRPr="00B32A45">
        <w:tab/>
        <w:t>(d)</w:t>
      </w:r>
      <w:r w:rsidRPr="00B32A45">
        <w:tab/>
        <w:t xml:space="preserve">hydraulic fracturing and recovery; </w:t>
      </w:r>
    </w:p>
    <w:p w:rsidR="00F67A99" w:rsidRPr="00F67A99" w:rsidRDefault="00F67A99" w:rsidP="00F67A99">
      <w:pPr>
        <w:pStyle w:val="tPara"/>
      </w:pPr>
      <w:r w:rsidRPr="00B32A45">
        <w:tab/>
        <w:t>(e)</w:t>
      </w:r>
      <w:r w:rsidRPr="00B32A45">
        <w:tab/>
        <w:t>well unloading.</w:t>
      </w:r>
    </w:p>
    <w:p w:rsidR="00193D3A" w:rsidRPr="00A51871" w:rsidRDefault="00CE207D" w:rsidP="00193D3A">
      <w:pPr>
        <w:pStyle w:val="h5SchItem"/>
      </w:pPr>
      <w:r>
        <w:t>[9]</w:t>
      </w:r>
      <w:r w:rsidR="00193D3A">
        <w:tab/>
        <w:t>Subsection 1.9(4)</w:t>
      </w:r>
    </w:p>
    <w:p w:rsidR="00193D3A" w:rsidRDefault="00193D3A" w:rsidP="00193D3A">
      <w:pPr>
        <w:pStyle w:val="Item"/>
      </w:pPr>
      <w:r>
        <w:t>Omit “1 July 2014”, substitute “1 January 2020”.</w:t>
      </w:r>
    </w:p>
    <w:p w:rsidR="00193D3A" w:rsidRPr="00A51871" w:rsidRDefault="00CE207D" w:rsidP="00193D3A">
      <w:pPr>
        <w:pStyle w:val="h5SchItem"/>
      </w:pPr>
      <w:r>
        <w:lastRenderedPageBreak/>
        <w:t>[10]</w:t>
      </w:r>
      <w:r w:rsidR="00193D3A">
        <w:tab/>
        <w:t xml:space="preserve">Subsection 1.10(1) </w:t>
      </w:r>
    </w:p>
    <w:p w:rsidR="00193D3A" w:rsidRDefault="00193D3A" w:rsidP="00193D3A">
      <w:pPr>
        <w:pStyle w:val="Item"/>
      </w:pPr>
      <w:r>
        <w:t>Repeal the subsection, substitute:</w:t>
      </w:r>
    </w:p>
    <w:p w:rsidR="00193D3A" w:rsidRPr="00B32A45" w:rsidRDefault="00193D3A" w:rsidP="00193D3A">
      <w:pPr>
        <w:pStyle w:val="tMain"/>
      </w:pPr>
      <w:r w:rsidRPr="00B32A45">
        <w:tab/>
        <w:t>(1)</w:t>
      </w:r>
      <w:r w:rsidRPr="00B32A45">
        <w:tab/>
        <w:t xml:space="preserve">A thing mentioned in the column headed ‘Source of emissions’ of the following table is a </w:t>
      </w:r>
      <w:r w:rsidRPr="00B32A45">
        <w:rPr>
          <w:b/>
          <w:i/>
        </w:rPr>
        <w:t>source</w:t>
      </w:r>
      <w:r w:rsidRPr="00B32A45">
        <w:t>.</w:t>
      </w:r>
    </w:p>
    <w:p w:rsidR="00193D3A" w:rsidRPr="00B32A45" w:rsidRDefault="00193D3A" w:rsidP="00193D3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28"/>
        <w:gridCol w:w="2383"/>
        <w:gridCol w:w="5515"/>
      </w:tblGrid>
      <w:tr w:rsidR="00193D3A" w:rsidRPr="00B32A45" w:rsidTr="00DB6238">
        <w:trPr>
          <w:tblHeader/>
        </w:trPr>
        <w:tc>
          <w:tcPr>
            <w:tcW w:w="625" w:type="pct"/>
            <w:tcBorders>
              <w:top w:val="single" w:sz="12" w:space="0" w:color="auto"/>
              <w:bottom w:val="single" w:sz="12" w:space="0" w:color="auto"/>
            </w:tcBorders>
            <w:shd w:val="clear" w:color="auto" w:fill="auto"/>
          </w:tcPr>
          <w:p w:rsidR="00193D3A" w:rsidRPr="00B32A45" w:rsidRDefault="00193D3A" w:rsidP="00DB6238">
            <w:pPr>
              <w:pStyle w:val="TableHeading"/>
            </w:pPr>
            <w:r w:rsidRPr="00B32A45">
              <w:t>Item</w:t>
            </w:r>
          </w:p>
        </w:tc>
        <w:tc>
          <w:tcPr>
            <w:tcW w:w="1320" w:type="pct"/>
            <w:tcBorders>
              <w:top w:val="single" w:sz="12" w:space="0" w:color="auto"/>
              <w:bottom w:val="single" w:sz="12" w:space="0" w:color="auto"/>
            </w:tcBorders>
            <w:shd w:val="clear" w:color="auto" w:fill="auto"/>
          </w:tcPr>
          <w:p w:rsidR="00193D3A" w:rsidRPr="00B32A45" w:rsidRDefault="00193D3A" w:rsidP="00DB6238">
            <w:pPr>
              <w:pStyle w:val="TableHeading"/>
            </w:pPr>
            <w:r w:rsidRPr="00B32A45">
              <w:t>Category of source</w:t>
            </w:r>
          </w:p>
        </w:tc>
        <w:tc>
          <w:tcPr>
            <w:tcW w:w="3055" w:type="pct"/>
            <w:tcBorders>
              <w:top w:val="single" w:sz="12" w:space="0" w:color="auto"/>
              <w:bottom w:val="single" w:sz="12" w:space="0" w:color="auto"/>
            </w:tcBorders>
            <w:shd w:val="clear" w:color="auto" w:fill="auto"/>
          </w:tcPr>
          <w:p w:rsidR="00193D3A" w:rsidRPr="00B32A45" w:rsidRDefault="00193D3A" w:rsidP="00DB6238">
            <w:pPr>
              <w:pStyle w:val="TableHeading"/>
            </w:pPr>
            <w:r w:rsidRPr="00B32A45">
              <w:t>Source of emissions</w:t>
            </w:r>
          </w:p>
        </w:tc>
      </w:tr>
      <w:tr w:rsidR="00193D3A" w:rsidRPr="00B32A45" w:rsidTr="00DB6238">
        <w:tc>
          <w:tcPr>
            <w:tcW w:w="625" w:type="pct"/>
            <w:tcBorders>
              <w:top w:val="single" w:sz="12" w:space="0" w:color="auto"/>
            </w:tcBorders>
            <w:shd w:val="clear" w:color="auto" w:fill="auto"/>
          </w:tcPr>
          <w:p w:rsidR="00193D3A" w:rsidRPr="00B32A45" w:rsidRDefault="00193D3A" w:rsidP="00DB6238">
            <w:pPr>
              <w:pStyle w:val="Tabletext"/>
            </w:pPr>
            <w:r w:rsidRPr="00B32A45">
              <w:t>1</w:t>
            </w:r>
          </w:p>
        </w:tc>
        <w:tc>
          <w:tcPr>
            <w:tcW w:w="1320" w:type="pct"/>
            <w:tcBorders>
              <w:top w:val="single" w:sz="12" w:space="0" w:color="auto"/>
            </w:tcBorders>
            <w:shd w:val="clear" w:color="auto" w:fill="auto"/>
          </w:tcPr>
          <w:p w:rsidR="00193D3A" w:rsidRPr="00B32A45" w:rsidRDefault="00193D3A" w:rsidP="00DB6238">
            <w:pPr>
              <w:pStyle w:val="Tabletext"/>
            </w:pPr>
            <w:r w:rsidRPr="00B32A45">
              <w:t>Fuel combustion</w:t>
            </w:r>
          </w:p>
        </w:tc>
        <w:tc>
          <w:tcPr>
            <w:tcW w:w="3055" w:type="pct"/>
            <w:tcBorders>
              <w:top w:val="single" w:sz="12" w:space="0" w:color="auto"/>
            </w:tcBorders>
            <w:shd w:val="clear" w:color="auto" w:fill="auto"/>
          </w:tcPr>
          <w:p w:rsidR="00193D3A" w:rsidRPr="00B32A45" w:rsidRDefault="00193D3A" w:rsidP="00DB6238">
            <w:pPr>
              <w:pStyle w:val="Tabletext"/>
            </w:pPr>
          </w:p>
        </w:tc>
      </w:tr>
      <w:tr w:rsidR="00193D3A" w:rsidRPr="00B32A45" w:rsidTr="00DB6238">
        <w:tc>
          <w:tcPr>
            <w:tcW w:w="625" w:type="pct"/>
            <w:shd w:val="clear" w:color="auto" w:fill="auto"/>
          </w:tcPr>
          <w:p w:rsidR="00193D3A" w:rsidRPr="00B32A45" w:rsidRDefault="00193D3A" w:rsidP="00DB6238">
            <w:pPr>
              <w:pStyle w:val="Tabletext"/>
            </w:pPr>
            <w:r w:rsidRPr="00B32A45">
              <w:t>1A</w:t>
            </w:r>
          </w:p>
        </w:tc>
        <w:tc>
          <w:tcPr>
            <w:tcW w:w="1320" w:type="pct"/>
            <w:shd w:val="clear" w:color="auto" w:fill="auto"/>
          </w:tcPr>
          <w:p w:rsidR="00193D3A" w:rsidRPr="00B32A45" w:rsidRDefault="00193D3A" w:rsidP="00DB6238">
            <w:pPr>
              <w:pStyle w:val="Tabletext"/>
            </w:pPr>
          </w:p>
        </w:tc>
        <w:tc>
          <w:tcPr>
            <w:tcW w:w="3055" w:type="pct"/>
            <w:shd w:val="clear" w:color="auto" w:fill="auto"/>
          </w:tcPr>
          <w:p w:rsidR="00193D3A" w:rsidRPr="00B32A45" w:rsidRDefault="00193D3A" w:rsidP="00DB6238">
            <w:pPr>
              <w:pStyle w:val="Tabletext"/>
            </w:pPr>
            <w:r w:rsidRPr="00B32A45">
              <w:t>Fuel combustion</w:t>
            </w:r>
          </w:p>
        </w:tc>
      </w:tr>
      <w:tr w:rsidR="00193D3A" w:rsidRPr="00B32A45" w:rsidTr="00DB6238">
        <w:tc>
          <w:tcPr>
            <w:tcW w:w="625" w:type="pct"/>
            <w:shd w:val="clear" w:color="auto" w:fill="auto"/>
          </w:tcPr>
          <w:p w:rsidR="00193D3A" w:rsidRPr="00B32A45" w:rsidRDefault="00193D3A" w:rsidP="00DB6238">
            <w:pPr>
              <w:pStyle w:val="Tabletext"/>
            </w:pPr>
            <w:r w:rsidRPr="00B32A45">
              <w:t>2</w:t>
            </w:r>
          </w:p>
        </w:tc>
        <w:tc>
          <w:tcPr>
            <w:tcW w:w="1320" w:type="pct"/>
            <w:shd w:val="clear" w:color="auto" w:fill="auto"/>
          </w:tcPr>
          <w:p w:rsidR="00193D3A" w:rsidRPr="00B32A45" w:rsidRDefault="00193D3A" w:rsidP="00DB6238">
            <w:pPr>
              <w:pStyle w:val="Tabletext"/>
            </w:pPr>
            <w:r w:rsidRPr="00B32A45">
              <w:t>Fugitive emissions</w:t>
            </w:r>
          </w:p>
        </w:tc>
        <w:tc>
          <w:tcPr>
            <w:tcW w:w="3055" w:type="pct"/>
            <w:shd w:val="clear" w:color="auto" w:fill="auto"/>
          </w:tcPr>
          <w:p w:rsidR="00193D3A" w:rsidRPr="00B32A45" w:rsidRDefault="00193D3A" w:rsidP="00DB6238">
            <w:pPr>
              <w:pStyle w:val="Tabletext"/>
            </w:pPr>
          </w:p>
        </w:tc>
      </w:tr>
      <w:tr w:rsidR="00193D3A" w:rsidRPr="00B32A45" w:rsidTr="00DB6238">
        <w:tc>
          <w:tcPr>
            <w:tcW w:w="625" w:type="pct"/>
            <w:shd w:val="clear" w:color="auto" w:fill="auto"/>
          </w:tcPr>
          <w:p w:rsidR="00193D3A" w:rsidRPr="00B32A45" w:rsidRDefault="00193D3A" w:rsidP="00DB6238">
            <w:pPr>
              <w:pStyle w:val="Tabletext"/>
            </w:pPr>
            <w:r w:rsidRPr="00B32A45">
              <w:t>2A</w:t>
            </w:r>
          </w:p>
        </w:tc>
        <w:tc>
          <w:tcPr>
            <w:tcW w:w="1320" w:type="pct"/>
            <w:shd w:val="clear" w:color="auto" w:fill="auto"/>
          </w:tcPr>
          <w:p w:rsidR="00193D3A" w:rsidRPr="00B32A45" w:rsidRDefault="00193D3A" w:rsidP="00DB6238">
            <w:pPr>
              <w:pStyle w:val="Tabletext"/>
            </w:pPr>
          </w:p>
        </w:tc>
        <w:tc>
          <w:tcPr>
            <w:tcW w:w="3055" w:type="pct"/>
            <w:shd w:val="clear" w:color="auto" w:fill="auto"/>
          </w:tcPr>
          <w:p w:rsidR="00193D3A" w:rsidRPr="00B32A45" w:rsidRDefault="00193D3A" w:rsidP="00DB6238">
            <w:pPr>
              <w:pStyle w:val="Tabletext"/>
            </w:pPr>
            <w:r w:rsidRPr="00B32A45">
              <w:t>Underground mines</w:t>
            </w:r>
          </w:p>
        </w:tc>
      </w:tr>
      <w:tr w:rsidR="00193D3A" w:rsidRPr="00B32A45" w:rsidTr="00DB6238">
        <w:tc>
          <w:tcPr>
            <w:tcW w:w="625" w:type="pct"/>
            <w:shd w:val="clear" w:color="auto" w:fill="auto"/>
          </w:tcPr>
          <w:p w:rsidR="00193D3A" w:rsidRPr="00B32A45" w:rsidRDefault="00193D3A" w:rsidP="00DB6238">
            <w:pPr>
              <w:pStyle w:val="Tabletext"/>
            </w:pPr>
            <w:r w:rsidRPr="00B32A45">
              <w:t>2B</w:t>
            </w:r>
          </w:p>
        </w:tc>
        <w:tc>
          <w:tcPr>
            <w:tcW w:w="1320" w:type="pct"/>
            <w:shd w:val="clear" w:color="auto" w:fill="auto"/>
          </w:tcPr>
          <w:p w:rsidR="00193D3A" w:rsidRPr="00B32A45" w:rsidRDefault="00193D3A" w:rsidP="00DB6238">
            <w:pPr>
              <w:pStyle w:val="Tabletext"/>
            </w:pPr>
          </w:p>
        </w:tc>
        <w:tc>
          <w:tcPr>
            <w:tcW w:w="3055" w:type="pct"/>
            <w:shd w:val="clear" w:color="auto" w:fill="auto"/>
          </w:tcPr>
          <w:p w:rsidR="00193D3A" w:rsidRPr="00B32A45" w:rsidRDefault="00193D3A" w:rsidP="00DB6238">
            <w:pPr>
              <w:pStyle w:val="Tabletext"/>
            </w:pPr>
            <w:r w:rsidRPr="00B32A45">
              <w:t>Open cut mines</w:t>
            </w:r>
          </w:p>
        </w:tc>
      </w:tr>
      <w:tr w:rsidR="00193D3A" w:rsidRPr="00B32A45" w:rsidTr="00DB6238">
        <w:tc>
          <w:tcPr>
            <w:tcW w:w="625" w:type="pct"/>
            <w:shd w:val="clear" w:color="auto" w:fill="auto"/>
          </w:tcPr>
          <w:p w:rsidR="00193D3A" w:rsidRPr="00B32A45" w:rsidRDefault="00193D3A" w:rsidP="00DB6238">
            <w:pPr>
              <w:pStyle w:val="Tabletext"/>
            </w:pPr>
            <w:r w:rsidRPr="00B32A45">
              <w:t>2C</w:t>
            </w:r>
          </w:p>
        </w:tc>
        <w:tc>
          <w:tcPr>
            <w:tcW w:w="1320" w:type="pct"/>
            <w:shd w:val="clear" w:color="auto" w:fill="auto"/>
          </w:tcPr>
          <w:p w:rsidR="00193D3A" w:rsidRPr="00B32A45" w:rsidRDefault="00193D3A" w:rsidP="00DB6238">
            <w:pPr>
              <w:pStyle w:val="Tabletext"/>
            </w:pPr>
          </w:p>
        </w:tc>
        <w:tc>
          <w:tcPr>
            <w:tcW w:w="3055" w:type="pct"/>
            <w:shd w:val="clear" w:color="auto" w:fill="auto"/>
          </w:tcPr>
          <w:p w:rsidR="00193D3A" w:rsidRPr="00B32A45" w:rsidRDefault="00193D3A" w:rsidP="00DB6238">
            <w:pPr>
              <w:pStyle w:val="Tabletext"/>
            </w:pPr>
            <w:r w:rsidRPr="00B32A45">
              <w:t>Decommissioned underground mines</w:t>
            </w:r>
          </w:p>
        </w:tc>
      </w:tr>
      <w:tr w:rsidR="00133B29" w:rsidRPr="00B32A45" w:rsidTr="00DB6238">
        <w:tc>
          <w:tcPr>
            <w:tcW w:w="625" w:type="pct"/>
            <w:shd w:val="clear" w:color="auto" w:fill="auto"/>
          </w:tcPr>
          <w:p w:rsidR="00133B29" w:rsidRPr="00B32A45" w:rsidRDefault="00133B29" w:rsidP="00133B29">
            <w:pPr>
              <w:pStyle w:val="Tabletext"/>
            </w:pPr>
            <w:r w:rsidRPr="00B32A45">
              <w:t>2D</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Oil or gas exploration and development—flaring</w:t>
            </w:r>
          </w:p>
        </w:tc>
      </w:tr>
      <w:tr w:rsidR="00133B29" w:rsidRPr="00B32A45" w:rsidTr="00DB6238">
        <w:tc>
          <w:tcPr>
            <w:tcW w:w="625" w:type="pct"/>
            <w:shd w:val="clear" w:color="auto" w:fill="auto"/>
          </w:tcPr>
          <w:p w:rsidR="00133B29" w:rsidRPr="00B32A45" w:rsidRDefault="00133B29" w:rsidP="00133B29">
            <w:pPr>
              <w:pStyle w:val="Tabletext"/>
            </w:pPr>
            <w:r w:rsidRPr="00B32A45">
              <w:t>2E</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Oil or gas exploration and development (other than flaring)</w:t>
            </w:r>
          </w:p>
        </w:tc>
      </w:tr>
      <w:tr w:rsidR="00133B29" w:rsidRPr="00B32A45" w:rsidTr="00DB6238">
        <w:tc>
          <w:tcPr>
            <w:tcW w:w="625" w:type="pct"/>
            <w:shd w:val="clear" w:color="auto" w:fill="auto"/>
          </w:tcPr>
          <w:p w:rsidR="00133B29" w:rsidRPr="00B32A45" w:rsidRDefault="00133B29" w:rsidP="00133B29">
            <w:pPr>
              <w:pStyle w:val="Tabletext"/>
            </w:pPr>
            <w:r w:rsidRPr="00B32A45">
              <w:t>2F</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Crude oil production</w:t>
            </w:r>
          </w:p>
        </w:tc>
      </w:tr>
      <w:tr w:rsidR="00133B29" w:rsidRPr="00B32A45" w:rsidTr="00DB6238">
        <w:tc>
          <w:tcPr>
            <w:tcW w:w="625" w:type="pct"/>
            <w:shd w:val="clear" w:color="auto" w:fill="auto"/>
          </w:tcPr>
          <w:p w:rsidR="00133B29" w:rsidRPr="00B32A45" w:rsidRDefault="00133B29" w:rsidP="00133B29">
            <w:pPr>
              <w:pStyle w:val="Tabletext"/>
            </w:pPr>
            <w:r w:rsidRPr="00B32A45">
              <w:t>2G</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Crude oil transport</w:t>
            </w:r>
          </w:p>
        </w:tc>
      </w:tr>
      <w:tr w:rsidR="00133B29" w:rsidRPr="00B32A45" w:rsidTr="00DB6238">
        <w:tc>
          <w:tcPr>
            <w:tcW w:w="625" w:type="pct"/>
            <w:shd w:val="clear" w:color="auto" w:fill="auto"/>
          </w:tcPr>
          <w:p w:rsidR="00133B29" w:rsidRPr="00B32A45" w:rsidRDefault="00133B29" w:rsidP="00133B29">
            <w:pPr>
              <w:pStyle w:val="Tabletext"/>
            </w:pPr>
            <w:r w:rsidRPr="00B32A45">
              <w:t>2H</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Crude oil refining</w:t>
            </w:r>
          </w:p>
        </w:tc>
      </w:tr>
      <w:tr w:rsidR="00133B29" w:rsidRPr="00B32A45" w:rsidTr="00DB6238">
        <w:tc>
          <w:tcPr>
            <w:tcW w:w="625" w:type="pct"/>
            <w:shd w:val="clear" w:color="auto" w:fill="auto"/>
          </w:tcPr>
          <w:p w:rsidR="00133B29" w:rsidRPr="00B32A45" w:rsidRDefault="00133B29" w:rsidP="00133B29">
            <w:pPr>
              <w:pStyle w:val="Tabletext"/>
            </w:pPr>
            <w:r>
              <w:t>2I</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Onshore natural gas production (other than emissions that are vented or flared)</w:t>
            </w:r>
          </w:p>
        </w:tc>
      </w:tr>
      <w:tr w:rsidR="00133B29" w:rsidRPr="00B32A45" w:rsidTr="00DB6238">
        <w:tc>
          <w:tcPr>
            <w:tcW w:w="625" w:type="pct"/>
            <w:shd w:val="clear" w:color="auto" w:fill="auto"/>
          </w:tcPr>
          <w:p w:rsidR="00133B29" w:rsidRPr="00B32A45" w:rsidRDefault="00133B29" w:rsidP="00133B29">
            <w:pPr>
              <w:pStyle w:val="Tabletext"/>
            </w:pPr>
            <w:r>
              <w:t>2J</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Offshore natural gas production (other than emissions that are vented or flared)</w:t>
            </w:r>
            <w:r w:rsidRPr="00B32A45" w:rsidDel="00AB0FA3">
              <w:t xml:space="preserve"> </w:t>
            </w:r>
          </w:p>
        </w:tc>
      </w:tr>
      <w:tr w:rsidR="00133B29" w:rsidRPr="00B32A45" w:rsidTr="00DB6238">
        <w:tc>
          <w:tcPr>
            <w:tcW w:w="625" w:type="pct"/>
            <w:shd w:val="clear" w:color="auto" w:fill="auto"/>
          </w:tcPr>
          <w:p w:rsidR="00133B29" w:rsidRPr="00B32A45" w:rsidRDefault="00133B29" w:rsidP="00133B29">
            <w:pPr>
              <w:pStyle w:val="Tabletext"/>
            </w:pPr>
            <w:r>
              <w:t>2K</w:t>
            </w:r>
          </w:p>
        </w:tc>
        <w:tc>
          <w:tcPr>
            <w:tcW w:w="1320" w:type="pct"/>
            <w:tcBorders>
              <w:bottom w:val="single" w:sz="4" w:space="0" w:color="auto"/>
            </w:tcBorders>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Natural gas gathering and boosting (other than emissions that are vented or flared)</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2L</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 xml:space="preserve">Produced water </w:t>
            </w:r>
            <w:r w:rsidR="00B107A5">
              <w:rPr>
                <w:bCs/>
              </w:rPr>
              <w:t>from oil and</w:t>
            </w:r>
            <w:r w:rsidRPr="00B32A45">
              <w:rPr>
                <w:bCs/>
              </w:rPr>
              <w:t xml:space="preserve"> gas exploration and development, crude oil production, natural gas production or natural gas gathering and boosting </w:t>
            </w:r>
            <w:r w:rsidRPr="00B32A45">
              <w:t>(other than emissions that are vented or flared)</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2M</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processing (other than emissions that are vented or flared)</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2N</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transmission (other than 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2O</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storage (other than emissions that are vented or flared)</w:t>
            </w:r>
          </w:p>
        </w:tc>
      </w:tr>
      <w:tr w:rsidR="00133B29" w:rsidRPr="00B32A45" w:rsidTr="00DB6238">
        <w:tc>
          <w:tcPr>
            <w:tcW w:w="625" w:type="pct"/>
            <w:tcBorders>
              <w:top w:val="single" w:sz="4" w:space="0" w:color="auto"/>
              <w:bottom w:val="single" w:sz="4" w:space="0" w:color="auto"/>
              <w:right w:val="nil"/>
            </w:tcBorders>
            <w:shd w:val="clear" w:color="auto" w:fill="auto"/>
          </w:tcPr>
          <w:p w:rsidR="00133B29" w:rsidRPr="00B32A45" w:rsidRDefault="00133B29" w:rsidP="00133B29">
            <w:pPr>
              <w:pStyle w:val="Tabletext"/>
            </w:pPr>
            <w:r>
              <w:t>2P</w:t>
            </w:r>
          </w:p>
        </w:tc>
        <w:tc>
          <w:tcPr>
            <w:tcW w:w="1320" w:type="pct"/>
            <w:tcBorders>
              <w:top w:val="single" w:sz="4" w:space="0" w:color="auto"/>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top w:val="single" w:sz="4" w:space="0" w:color="auto"/>
              <w:left w:val="nil"/>
              <w:bottom w:val="single" w:sz="4" w:space="0" w:color="auto"/>
            </w:tcBorders>
            <w:shd w:val="clear" w:color="auto" w:fill="auto"/>
          </w:tcPr>
          <w:p w:rsidR="00133B29" w:rsidRPr="00B32A45" w:rsidRDefault="00133B29" w:rsidP="00133B29">
            <w:pPr>
              <w:pStyle w:val="Tabletext"/>
            </w:pPr>
            <w:r w:rsidRPr="00B32A45">
              <w:t>Natural gas liquefaction, storage and transfer (other than emissions that are vented or flared)</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2Q</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distribution (other than 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2R</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t>Onshore n</w:t>
            </w:r>
            <w:r w:rsidRPr="00B32A45">
              <w:t>atural gas production—venting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2S</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Default="00133B29" w:rsidP="00133B29">
            <w:pPr>
              <w:pStyle w:val="Tabletext"/>
            </w:pPr>
            <w:r>
              <w:t>Offshore natural gas production—venting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2T</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Onshore natural gas production—flaring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2U</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 xml:space="preserve">Offshore natural gas production—flaring </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2V</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gathering and boosting—venting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2W</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gathering and boosting—flaring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2X</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processing—venting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2Y</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processing—flaring</w:t>
            </w:r>
          </w:p>
        </w:tc>
      </w:tr>
      <w:tr w:rsidR="00133B29" w:rsidRPr="00B32A45" w:rsidTr="00DB6238">
        <w:tc>
          <w:tcPr>
            <w:tcW w:w="625" w:type="pct"/>
            <w:tcBorders>
              <w:top w:val="single" w:sz="4" w:space="0" w:color="auto"/>
              <w:bottom w:val="single" w:sz="4" w:space="0" w:color="auto"/>
              <w:right w:val="nil"/>
            </w:tcBorders>
            <w:shd w:val="clear" w:color="auto" w:fill="auto"/>
          </w:tcPr>
          <w:p w:rsidR="00133B29" w:rsidRPr="00B32A45" w:rsidRDefault="00133B29" w:rsidP="00133B29">
            <w:pPr>
              <w:pStyle w:val="Tabletext"/>
            </w:pPr>
            <w:r>
              <w:t>2Z</w:t>
            </w:r>
          </w:p>
        </w:tc>
        <w:tc>
          <w:tcPr>
            <w:tcW w:w="1320" w:type="pct"/>
            <w:tcBorders>
              <w:top w:val="single" w:sz="4" w:space="0" w:color="auto"/>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top w:val="single" w:sz="4" w:space="0" w:color="auto"/>
              <w:left w:val="nil"/>
              <w:bottom w:val="single" w:sz="4" w:space="0" w:color="auto"/>
            </w:tcBorders>
            <w:shd w:val="clear" w:color="auto" w:fill="auto"/>
          </w:tcPr>
          <w:p w:rsidR="00133B29" w:rsidRPr="00B32A45" w:rsidRDefault="00133B29" w:rsidP="00133B29">
            <w:pPr>
              <w:pStyle w:val="Tabletext"/>
            </w:pPr>
            <w:r w:rsidRPr="00B32A45">
              <w:t>Natural gas transmission—flaring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2ZA</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storage—venting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rsidRPr="00B32A45">
              <w:t>2</w:t>
            </w:r>
            <w:r>
              <w:t>ZB</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storage—flaring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lastRenderedPageBreak/>
              <w:t>2ZC</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liquefaction, storage and transfer—venting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2ZE</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liquefaction, storage and transfer—flaring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2ZF</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Natural gas distribution—flaring</w:t>
            </w:r>
          </w:p>
        </w:tc>
      </w:tr>
      <w:tr w:rsidR="00133B29" w:rsidRPr="00B32A45" w:rsidTr="00DB6238">
        <w:tc>
          <w:tcPr>
            <w:tcW w:w="625" w:type="pct"/>
            <w:tcBorders>
              <w:right w:val="nil"/>
            </w:tcBorders>
            <w:shd w:val="clear" w:color="auto" w:fill="auto"/>
          </w:tcPr>
          <w:p w:rsidR="00133B29" w:rsidRPr="00B32A45" w:rsidRDefault="00133B29" w:rsidP="00133B29">
            <w:pPr>
              <w:pStyle w:val="Tabletext"/>
            </w:pPr>
            <w:r>
              <w:t>2ZG</w:t>
            </w:r>
          </w:p>
        </w:tc>
        <w:tc>
          <w:tcPr>
            <w:tcW w:w="1320" w:type="pct"/>
            <w:tcBorders>
              <w:left w:val="nil"/>
              <w:bottom w:val="single" w:sz="4" w:space="0" w:color="auto"/>
              <w:right w:val="nil"/>
            </w:tcBorders>
            <w:shd w:val="clear" w:color="auto" w:fill="auto"/>
          </w:tcPr>
          <w:p w:rsidR="00133B29" w:rsidRPr="00B32A45" w:rsidRDefault="00133B29" w:rsidP="00133B29">
            <w:pPr>
              <w:pStyle w:val="Tabletext"/>
            </w:pPr>
          </w:p>
        </w:tc>
        <w:tc>
          <w:tcPr>
            <w:tcW w:w="3055" w:type="pct"/>
            <w:tcBorders>
              <w:left w:val="nil"/>
            </w:tcBorders>
            <w:shd w:val="clear" w:color="auto" w:fill="auto"/>
          </w:tcPr>
          <w:p w:rsidR="00133B29" w:rsidRPr="00B32A45" w:rsidRDefault="00133B29" w:rsidP="00133B29">
            <w:pPr>
              <w:pStyle w:val="Tabletext"/>
            </w:pPr>
            <w:r w:rsidRPr="00B32A45">
              <w:t>Carbon capture and storage</w:t>
            </w:r>
          </w:p>
        </w:tc>
      </w:tr>
      <w:tr w:rsidR="00133B29" w:rsidRPr="00B32A45" w:rsidTr="00DB6238">
        <w:tc>
          <w:tcPr>
            <w:tcW w:w="625" w:type="pct"/>
            <w:shd w:val="clear" w:color="auto" w:fill="auto"/>
          </w:tcPr>
          <w:p w:rsidR="00133B29" w:rsidRPr="00B32A45" w:rsidRDefault="00133B29" w:rsidP="00133B29">
            <w:pPr>
              <w:pStyle w:val="Tabletext"/>
            </w:pPr>
            <w:r>
              <w:t>2ZH</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t>Enhanced oil recovery</w:t>
            </w:r>
          </w:p>
        </w:tc>
      </w:tr>
      <w:tr w:rsidR="00133B29" w:rsidRPr="00B32A45" w:rsidTr="00DB6238">
        <w:tc>
          <w:tcPr>
            <w:tcW w:w="625" w:type="pct"/>
            <w:shd w:val="clear" w:color="auto" w:fill="auto"/>
          </w:tcPr>
          <w:p w:rsidR="00133B29" w:rsidRPr="00B32A45" w:rsidRDefault="00133B29" w:rsidP="00133B29">
            <w:pPr>
              <w:pStyle w:val="Tabletext"/>
            </w:pPr>
            <w:r w:rsidRPr="00B32A45">
              <w:t>3</w:t>
            </w:r>
          </w:p>
        </w:tc>
        <w:tc>
          <w:tcPr>
            <w:tcW w:w="1320" w:type="pct"/>
            <w:shd w:val="clear" w:color="auto" w:fill="auto"/>
          </w:tcPr>
          <w:p w:rsidR="00133B29" w:rsidRPr="00B32A45" w:rsidRDefault="00133B29" w:rsidP="00133B29">
            <w:pPr>
              <w:pStyle w:val="Tabletext"/>
            </w:pPr>
            <w:r w:rsidRPr="00B32A45">
              <w:t>Industrial processes</w:t>
            </w:r>
          </w:p>
        </w:tc>
        <w:tc>
          <w:tcPr>
            <w:tcW w:w="3055" w:type="pct"/>
            <w:shd w:val="clear" w:color="auto" w:fill="auto"/>
          </w:tcPr>
          <w:p w:rsidR="00133B29" w:rsidRPr="00B32A45" w:rsidRDefault="00133B29" w:rsidP="00133B29">
            <w:pPr>
              <w:pStyle w:val="Tabletext"/>
            </w:pPr>
          </w:p>
        </w:tc>
      </w:tr>
      <w:tr w:rsidR="00133B29" w:rsidRPr="00B32A45" w:rsidTr="00DB6238">
        <w:tc>
          <w:tcPr>
            <w:tcW w:w="625" w:type="pct"/>
            <w:shd w:val="clear" w:color="auto" w:fill="auto"/>
          </w:tcPr>
          <w:p w:rsidR="00133B29" w:rsidRPr="00B32A45" w:rsidRDefault="00133B29" w:rsidP="00133B29">
            <w:pPr>
              <w:pStyle w:val="Tabletext"/>
            </w:pPr>
            <w:r w:rsidRPr="00B32A45">
              <w:t>3A</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Cement clinker production</w:t>
            </w:r>
          </w:p>
        </w:tc>
      </w:tr>
      <w:tr w:rsidR="00133B29" w:rsidRPr="00B32A45" w:rsidTr="00DB6238">
        <w:tc>
          <w:tcPr>
            <w:tcW w:w="625" w:type="pct"/>
            <w:shd w:val="clear" w:color="auto" w:fill="auto"/>
          </w:tcPr>
          <w:p w:rsidR="00133B29" w:rsidRPr="00B32A45" w:rsidRDefault="00133B29" w:rsidP="00133B29">
            <w:pPr>
              <w:pStyle w:val="Tabletext"/>
            </w:pPr>
            <w:r w:rsidRPr="00B32A45">
              <w:t>3B</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Lime production</w:t>
            </w:r>
          </w:p>
        </w:tc>
      </w:tr>
      <w:tr w:rsidR="00133B29" w:rsidRPr="00B32A45" w:rsidTr="00DB6238">
        <w:tc>
          <w:tcPr>
            <w:tcW w:w="625" w:type="pct"/>
            <w:shd w:val="clear" w:color="auto" w:fill="auto"/>
          </w:tcPr>
          <w:p w:rsidR="00133B29" w:rsidRPr="00B32A45" w:rsidRDefault="00133B29" w:rsidP="00133B29">
            <w:pPr>
              <w:pStyle w:val="Tabletext"/>
            </w:pPr>
            <w:r w:rsidRPr="00B32A45">
              <w:t>3C</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Use of carbonates for the production of a product other than cement clinker, lime or soda ash</w:t>
            </w:r>
          </w:p>
        </w:tc>
      </w:tr>
      <w:tr w:rsidR="00133B29" w:rsidRPr="00B32A45" w:rsidTr="00DB6238">
        <w:tc>
          <w:tcPr>
            <w:tcW w:w="625" w:type="pct"/>
            <w:shd w:val="clear" w:color="auto" w:fill="auto"/>
          </w:tcPr>
          <w:p w:rsidR="00133B29" w:rsidRPr="00B32A45" w:rsidRDefault="00133B29" w:rsidP="00133B29">
            <w:pPr>
              <w:pStyle w:val="Tabletext"/>
            </w:pPr>
            <w:r w:rsidRPr="00B32A45">
              <w:t>3D</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Soda ash use</w:t>
            </w:r>
          </w:p>
        </w:tc>
      </w:tr>
      <w:tr w:rsidR="00133B29" w:rsidRPr="00B32A45" w:rsidTr="00DB6238">
        <w:tc>
          <w:tcPr>
            <w:tcW w:w="625" w:type="pct"/>
            <w:shd w:val="clear" w:color="auto" w:fill="auto"/>
          </w:tcPr>
          <w:p w:rsidR="00133B29" w:rsidRPr="00B32A45" w:rsidRDefault="00133B29" w:rsidP="00133B29">
            <w:pPr>
              <w:pStyle w:val="Tabletext"/>
            </w:pPr>
            <w:r w:rsidRPr="00B32A45">
              <w:t>3E</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Soda ash production</w:t>
            </w:r>
          </w:p>
        </w:tc>
      </w:tr>
      <w:tr w:rsidR="00133B29" w:rsidRPr="00B32A45" w:rsidTr="00DB6238">
        <w:tc>
          <w:tcPr>
            <w:tcW w:w="625" w:type="pct"/>
            <w:shd w:val="clear" w:color="auto" w:fill="auto"/>
          </w:tcPr>
          <w:p w:rsidR="00133B29" w:rsidRPr="00B32A45" w:rsidRDefault="00133B29" w:rsidP="00133B29">
            <w:pPr>
              <w:pStyle w:val="Tabletext"/>
            </w:pPr>
            <w:r w:rsidRPr="00B32A45">
              <w:t>3F</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Ammonia production</w:t>
            </w:r>
          </w:p>
        </w:tc>
      </w:tr>
      <w:tr w:rsidR="00133B29" w:rsidRPr="00B32A45" w:rsidTr="00DB6238">
        <w:tc>
          <w:tcPr>
            <w:tcW w:w="625" w:type="pct"/>
            <w:shd w:val="clear" w:color="auto" w:fill="auto"/>
          </w:tcPr>
          <w:p w:rsidR="00133B29" w:rsidRPr="00B32A45" w:rsidRDefault="00133B29" w:rsidP="00133B29">
            <w:pPr>
              <w:pStyle w:val="Tabletext"/>
            </w:pPr>
            <w:r w:rsidRPr="00B32A45">
              <w:t>3G</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Nitric acid production</w:t>
            </w:r>
          </w:p>
        </w:tc>
      </w:tr>
      <w:tr w:rsidR="00133B29" w:rsidRPr="00B32A45" w:rsidTr="00DB6238">
        <w:tc>
          <w:tcPr>
            <w:tcW w:w="625" w:type="pct"/>
            <w:shd w:val="clear" w:color="auto" w:fill="auto"/>
          </w:tcPr>
          <w:p w:rsidR="00133B29" w:rsidRPr="00B32A45" w:rsidRDefault="00133B29" w:rsidP="00133B29">
            <w:pPr>
              <w:pStyle w:val="Tabletext"/>
            </w:pPr>
            <w:r w:rsidRPr="00B32A45">
              <w:t>3H</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Adipic acid production</w:t>
            </w:r>
          </w:p>
        </w:tc>
      </w:tr>
      <w:tr w:rsidR="00133B29" w:rsidRPr="00B32A45" w:rsidTr="00DB6238">
        <w:tc>
          <w:tcPr>
            <w:tcW w:w="625" w:type="pct"/>
            <w:shd w:val="clear" w:color="auto" w:fill="auto"/>
          </w:tcPr>
          <w:p w:rsidR="00133B29" w:rsidRPr="00B32A45" w:rsidRDefault="00133B29" w:rsidP="00133B29">
            <w:pPr>
              <w:pStyle w:val="Tabletext"/>
            </w:pPr>
            <w:r w:rsidRPr="00B32A45">
              <w:t>3I</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Carbide production</w:t>
            </w:r>
          </w:p>
        </w:tc>
      </w:tr>
      <w:tr w:rsidR="00133B29" w:rsidRPr="00B32A45" w:rsidTr="00DB6238">
        <w:tc>
          <w:tcPr>
            <w:tcW w:w="625" w:type="pct"/>
            <w:shd w:val="clear" w:color="auto" w:fill="auto"/>
          </w:tcPr>
          <w:p w:rsidR="00133B29" w:rsidRPr="00B32A45" w:rsidRDefault="00133B29" w:rsidP="00133B29">
            <w:pPr>
              <w:pStyle w:val="Tabletext"/>
            </w:pPr>
            <w:r w:rsidRPr="00B32A45">
              <w:t>3J</w:t>
            </w:r>
          </w:p>
        </w:tc>
        <w:tc>
          <w:tcPr>
            <w:tcW w:w="1320" w:type="pct"/>
            <w:shd w:val="clear" w:color="auto" w:fill="auto"/>
          </w:tcPr>
          <w:p w:rsidR="00133B29" w:rsidRPr="00B32A45" w:rsidRDefault="00133B29" w:rsidP="00133B29">
            <w:pPr>
              <w:pStyle w:val="Tabletext"/>
            </w:pPr>
          </w:p>
        </w:tc>
        <w:tc>
          <w:tcPr>
            <w:tcW w:w="3055" w:type="pct"/>
            <w:shd w:val="clear" w:color="auto" w:fill="auto"/>
          </w:tcPr>
          <w:p w:rsidR="00133B29" w:rsidRPr="00B32A45" w:rsidRDefault="00133B29" w:rsidP="00133B29">
            <w:pPr>
              <w:pStyle w:val="Tabletext"/>
            </w:pPr>
            <w:r w:rsidRPr="00B32A45">
              <w:t>Chemical or mineral production, other than carbide production, using a carbon  reductant or carbon anode</w:t>
            </w:r>
          </w:p>
        </w:tc>
      </w:tr>
      <w:tr w:rsidR="000719AE" w:rsidRPr="00B32A45" w:rsidTr="00DB6238">
        <w:tc>
          <w:tcPr>
            <w:tcW w:w="625" w:type="pct"/>
            <w:shd w:val="clear" w:color="auto" w:fill="auto"/>
          </w:tcPr>
          <w:p w:rsidR="000719AE" w:rsidRPr="00B32A45" w:rsidRDefault="000719AE" w:rsidP="000719AE">
            <w:pPr>
              <w:pStyle w:val="Tabletext"/>
            </w:pPr>
            <w:r>
              <w:t>3JA</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Sodium cyanide production</w:t>
            </w:r>
          </w:p>
        </w:tc>
      </w:tr>
      <w:tr w:rsidR="000719AE" w:rsidRPr="00B32A45" w:rsidTr="00DB6238">
        <w:tc>
          <w:tcPr>
            <w:tcW w:w="625" w:type="pct"/>
            <w:shd w:val="clear" w:color="auto" w:fill="auto"/>
          </w:tcPr>
          <w:p w:rsidR="000719AE" w:rsidRPr="00B32A45" w:rsidRDefault="000719AE" w:rsidP="000719AE">
            <w:pPr>
              <w:pStyle w:val="Tabletext"/>
            </w:pPr>
            <w:r>
              <w:t>3JB</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t>Hydrogen production</w:t>
            </w:r>
          </w:p>
        </w:tc>
      </w:tr>
      <w:tr w:rsidR="000719AE" w:rsidRPr="00B32A45" w:rsidTr="00DB6238">
        <w:tc>
          <w:tcPr>
            <w:tcW w:w="625" w:type="pct"/>
            <w:shd w:val="clear" w:color="auto" w:fill="auto"/>
          </w:tcPr>
          <w:p w:rsidR="000719AE" w:rsidRPr="00B32A45" w:rsidRDefault="000719AE" w:rsidP="000719AE">
            <w:pPr>
              <w:pStyle w:val="Tabletext"/>
            </w:pPr>
            <w:r w:rsidRPr="00B32A45">
              <w:t>3K</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Iron, steel or other metal production using an integrated metalworks</w:t>
            </w:r>
          </w:p>
        </w:tc>
      </w:tr>
      <w:tr w:rsidR="000719AE" w:rsidRPr="00B32A45" w:rsidTr="00DB6238">
        <w:tc>
          <w:tcPr>
            <w:tcW w:w="625" w:type="pct"/>
            <w:shd w:val="clear" w:color="auto" w:fill="auto"/>
          </w:tcPr>
          <w:p w:rsidR="000719AE" w:rsidRPr="00B32A45" w:rsidRDefault="000719AE" w:rsidP="000719AE">
            <w:pPr>
              <w:pStyle w:val="Tabletext"/>
            </w:pPr>
            <w:r w:rsidRPr="00B32A45">
              <w:t>3L</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Ferroalloys production</w:t>
            </w:r>
          </w:p>
        </w:tc>
      </w:tr>
      <w:tr w:rsidR="000719AE" w:rsidRPr="00B32A45" w:rsidTr="00DB6238">
        <w:tc>
          <w:tcPr>
            <w:tcW w:w="625" w:type="pct"/>
            <w:shd w:val="clear" w:color="auto" w:fill="auto"/>
          </w:tcPr>
          <w:p w:rsidR="000719AE" w:rsidRPr="00B32A45" w:rsidRDefault="000719AE" w:rsidP="000719AE">
            <w:pPr>
              <w:pStyle w:val="Tabletext"/>
            </w:pPr>
            <w:r w:rsidRPr="00B32A45">
              <w:t>3M</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 xml:space="preserve">Aluminium production </w:t>
            </w:r>
          </w:p>
        </w:tc>
      </w:tr>
      <w:tr w:rsidR="000719AE" w:rsidRPr="00B32A45" w:rsidTr="00DB6238">
        <w:tc>
          <w:tcPr>
            <w:tcW w:w="625" w:type="pct"/>
            <w:shd w:val="clear" w:color="auto" w:fill="auto"/>
          </w:tcPr>
          <w:p w:rsidR="000719AE" w:rsidRPr="00B32A45" w:rsidRDefault="000719AE" w:rsidP="000719AE">
            <w:pPr>
              <w:pStyle w:val="Tabletext"/>
            </w:pPr>
            <w:r w:rsidRPr="00B32A45">
              <w:t>3N</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Other metals production</w:t>
            </w:r>
          </w:p>
        </w:tc>
      </w:tr>
      <w:tr w:rsidR="000719AE" w:rsidRPr="00B32A45" w:rsidTr="00DB6238">
        <w:tc>
          <w:tcPr>
            <w:tcW w:w="625" w:type="pct"/>
            <w:shd w:val="clear" w:color="auto" w:fill="auto"/>
          </w:tcPr>
          <w:p w:rsidR="000719AE" w:rsidRPr="00B32A45" w:rsidRDefault="000719AE" w:rsidP="000719AE">
            <w:pPr>
              <w:pStyle w:val="Tabletext"/>
            </w:pPr>
            <w:r w:rsidRPr="00B32A45">
              <w:t>3O</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Emissions of hydrofluorocarbons and sulphur hexafluoride gases</w:t>
            </w:r>
          </w:p>
        </w:tc>
      </w:tr>
      <w:tr w:rsidR="000719AE" w:rsidRPr="00B32A45" w:rsidTr="00DB6238">
        <w:tc>
          <w:tcPr>
            <w:tcW w:w="625" w:type="pct"/>
            <w:shd w:val="clear" w:color="auto" w:fill="auto"/>
          </w:tcPr>
          <w:p w:rsidR="000719AE" w:rsidRPr="00B32A45" w:rsidRDefault="000719AE" w:rsidP="000719AE">
            <w:pPr>
              <w:pStyle w:val="Tabletext"/>
            </w:pPr>
            <w:r w:rsidRPr="00B32A45">
              <w:t>4</w:t>
            </w:r>
          </w:p>
        </w:tc>
        <w:tc>
          <w:tcPr>
            <w:tcW w:w="1320" w:type="pct"/>
            <w:shd w:val="clear" w:color="auto" w:fill="auto"/>
          </w:tcPr>
          <w:p w:rsidR="000719AE" w:rsidRPr="00B32A45" w:rsidRDefault="000719AE" w:rsidP="000719AE">
            <w:pPr>
              <w:pStyle w:val="Tabletext"/>
            </w:pPr>
            <w:r w:rsidRPr="00B32A45">
              <w:t>Waste</w:t>
            </w:r>
          </w:p>
        </w:tc>
        <w:tc>
          <w:tcPr>
            <w:tcW w:w="3055" w:type="pct"/>
            <w:shd w:val="clear" w:color="auto" w:fill="auto"/>
          </w:tcPr>
          <w:p w:rsidR="000719AE" w:rsidRPr="00B32A45" w:rsidRDefault="000719AE" w:rsidP="000719AE">
            <w:pPr>
              <w:pStyle w:val="Tabletext"/>
            </w:pPr>
          </w:p>
        </w:tc>
      </w:tr>
      <w:tr w:rsidR="000719AE" w:rsidRPr="00B32A45" w:rsidTr="00DB6238">
        <w:tc>
          <w:tcPr>
            <w:tcW w:w="625" w:type="pct"/>
            <w:shd w:val="clear" w:color="auto" w:fill="auto"/>
          </w:tcPr>
          <w:p w:rsidR="000719AE" w:rsidRPr="00B32A45" w:rsidRDefault="000719AE" w:rsidP="000719AE">
            <w:pPr>
              <w:pStyle w:val="Tabletext"/>
            </w:pPr>
            <w:r w:rsidRPr="00B32A45">
              <w:t>4A</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Solid waste disposal on land</w:t>
            </w:r>
          </w:p>
        </w:tc>
      </w:tr>
      <w:tr w:rsidR="000719AE" w:rsidRPr="00B32A45" w:rsidTr="00DB6238">
        <w:tc>
          <w:tcPr>
            <w:tcW w:w="625" w:type="pct"/>
            <w:shd w:val="clear" w:color="auto" w:fill="auto"/>
          </w:tcPr>
          <w:p w:rsidR="000719AE" w:rsidRPr="00B32A45" w:rsidRDefault="000719AE" w:rsidP="000719AE">
            <w:pPr>
              <w:pStyle w:val="Tabletext"/>
            </w:pPr>
            <w:r w:rsidRPr="00B32A45">
              <w:t>4AA</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Biological treatment of solid waste</w:t>
            </w:r>
          </w:p>
        </w:tc>
      </w:tr>
      <w:tr w:rsidR="000719AE" w:rsidRPr="00B32A45" w:rsidTr="00DB6238">
        <w:tc>
          <w:tcPr>
            <w:tcW w:w="625" w:type="pct"/>
            <w:shd w:val="clear" w:color="auto" w:fill="auto"/>
          </w:tcPr>
          <w:p w:rsidR="000719AE" w:rsidRPr="00B32A45" w:rsidRDefault="000719AE" w:rsidP="000719AE">
            <w:pPr>
              <w:pStyle w:val="Tabletext"/>
            </w:pPr>
            <w:r w:rsidRPr="00B32A45">
              <w:t>4B</w:t>
            </w:r>
          </w:p>
        </w:tc>
        <w:tc>
          <w:tcPr>
            <w:tcW w:w="1320" w:type="pct"/>
            <w:shd w:val="clear" w:color="auto" w:fill="auto"/>
          </w:tcPr>
          <w:p w:rsidR="000719AE" w:rsidRPr="00B32A45" w:rsidRDefault="000719AE" w:rsidP="000719AE">
            <w:pPr>
              <w:pStyle w:val="Tabletext"/>
            </w:pPr>
          </w:p>
        </w:tc>
        <w:tc>
          <w:tcPr>
            <w:tcW w:w="3055" w:type="pct"/>
            <w:shd w:val="clear" w:color="auto" w:fill="auto"/>
          </w:tcPr>
          <w:p w:rsidR="000719AE" w:rsidRPr="00B32A45" w:rsidRDefault="000719AE" w:rsidP="000719AE">
            <w:pPr>
              <w:pStyle w:val="Tabletext"/>
            </w:pPr>
            <w:r w:rsidRPr="00B32A45">
              <w:t>Wastewater handling (industrial)</w:t>
            </w:r>
          </w:p>
        </w:tc>
      </w:tr>
      <w:tr w:rsidR="000719AE" w:rsidRPr="00B32A45" w:rsidTr="00DB6238">
        <w:tc>
          <w:tcPr>
            <w:tcW w:w="625" w:type="pct"/>
            <w:tcBorders>
              <w:bottom w:val="single" w:sz="4" w:space="0" w:color="auto"/>
            </w:tcBorders>
            <w:shd w:val="clear" w:color="auto" w:fill="auto"/>
          </w:tcPr>
          <w:p w:rsidR="000719AE" w:rsidRPr="00B32A45" w:rsidRDefault="000719AE" w:rsidP="000719AE">
            <w:pPr>
              <w:pStyle w:val="Tabletext"/>
            </w:pPr>
            <w:r w:rsidRPr="00B32A45">
              <w:t>4C</w:t>
            </w:r>
          </w:p>
        </w:tc>
        <w:tc>
          <w:tcPr>
            <w:tcW w:w="1320" w:type="pct"/>
            <w:tcBorders>
              <w:bottom w:val="single" w:sz="4" w:space="0" w:color="auto"/>
            </w:tcBorders>
            <w:shd w:val="clear" w:color="auto" w:fill="auto"/>
          </w:tcPr>
          <w:p w:rsidR="000719AE" w:rsidRPr="00B32A45" w:rsidRDefault="000719AE" w:rsidP="000719AE">
            <w:pPr>
              <w:pStyle w:val="Tabletext"/>
            </w:pPr>
          </w:p>
        </w:tc>
        <w:tc>
          <w:tcPr>
            <w:tcW w:w="3055" w:type="pct"/>
            <w:tcBorders>
              <w:bottom w:val="single" w:sz="4" w:space="0" w:color="auto"/>
            </w:tcBorders>
            <w:shd w:val="clear" w:color="auto" w:fill="auto"/>
          </w:tcPr>
          <w:p w:rsidR="000719AE" w:rsidRPr="00B32A45" w:rsidRDefault="000719AE" w:rsidP="000719AE">
            <w:pPr>
              <w:pStyle w:val="Tabletext"/>
            </w:pPr>
            <w:r w:rsidRPr="00B32A45">
              <w:t>Wastewater handling (domestic or commercial)</w:t>
            </w:r>
          </w:p>
        </w:tc>
      </w:tr>
      <w:tr w:rsidR="000719AE" w:rsidRPr="00B32A45" w:rsidTr="00DB6238">
        <w:tc>
          <w:tcPr>
            <w:tcW w:w="625" w:type="pct"/>
            <w:tcBorders>
              <w:bottom w:val="single" w:sz="12" w:space="0" w:color="auto"/>
            </w:tcBorders>
            <w:shd w:val="clear" w:color="auto" w:fill="auto"/>
          </w:tcPr>
          <w:p w:rsidR="000719AE" w:rsidRPr="00B32A45" w:rsidRDefault="000719AE" w:rsidP="000719AE">
            <w:pPr>
              <w:pStyle w:val="Tabletext"/>
            </w:pPr>
            <w:r w:rsidRPr="00B32A45">
              <w:t>4D</w:t>
            </w:r>
          </w:p>
        </w:tc>
        <w:tc>
          <w:tcPr>
            <w:tcW w:w="1320" w:type="pct"/>
            <w:tcBorders>
              <w:bottom w:val="single" w:sz="12" w:space="0" w:color="auto"/>
            </w:tcBorders>
            <w:shd w:val="clear" w:color="auto" w:fill="auto"/>
          </w:tcPr>
          <w:p w:rsidR="000719AE" w:rsidRPr="00B32A45" w:rsidRDefault="000719AE" w:rsidP="000719AE">
            <w:pPr>
              <w:pStyle w:val="Tabletext"/>
            </w:pPr>
          </w:p>
        </w:tc>
        <w:tc>
          <w:tcPr>
            <w:tcW w:w="3055" w:type="pct"/>
            <w:tcBorders>
              <w:bottom w:val="single" w:sz="12" w:space="0" w:color="auto"/>
            </w:tcBorders>
            <w:shd w:val="clear" w:color="auto" w:fill="auto"/>
          </w:tcPr>
          <w:p w:rsidR="000719AE" w:rsidRPr="00B32A45" w:rsidRDefault="000719AE" w:rsidP="000719AE">
            <w:pPr>
              <w:pStyle w:val="Tabletext"/>
            </w:pPr>
            <w:r w:rsidRPr="00B32A45">
              <w:t>Waste incineration</w:t>
            </w:r>
          </w:p>
        </w:tc>
      </w:tr>
    </w:tbl>
    <w:p w:rsidR="00ED052A" w:rsidRPr="00A51871" w:rsidRDefault="00CE207D" w:rsidP="00ED052A">
      <w:pPr>
        <w:pStyle w:val="h5SchItem"/>
      </w:pPr>
      <w:r>
        <w:t>[11]</w:t>
      </w:r>
      <w:r w:rsidR="00ED052A">
        <w:tab/>
        <w:t xml:space="preserve">Subsection 2.27(1) </w:t>
      </w:r>
    </w:p>
    <w:p w:rsidR="00ED052A" w:rsidRPr="00ED052A" w:rsidRDefault="00ED052A" w:rsidP="00ED052A">
      <w:pPr>
        <w:pStyle w:val="Item"/>
      </w:pPr>
      <w:r>
        <w:t>After “subsection (2)”, i</w:t>
      </w:r>
      <w:r w:rsidR="00B107A5">
        <w:t>nsert “and</w:t>
      </w:r>
      <w:r>
        <w:t xml:space="preserve"> (3)”.</w:t>
      </w:r>
    </w:p>
    <w:p w:rsidR="00C17B3A" w:rsidRPr="00A51871" w:rsidRDefault="00CE207D" w:rsidP="00C17B3A">
      <w:pPr>
        <w:pStyle w:val="h5SchItem"/>
      </w:pPr>
      <w:r>
        <w:t>[12]</w:t>
      </w:r>
      <w:r w:rsidR="00C17B3A">
        <w:tab/>
        <w:t xml:space="preserve">Subsection 2.27(2) </w:t>
      </w:r>
    </w:p>
    <w:p w:rsidR="00C17B3A" w:rsidRPr="00B32A45" w:rsidRDefault="00C17B3A" w:rsidP="00C17B3A">
      <w:pPr>
        <w:pStyle w:val="Item"/>
      </w:pPr>
      <w:r>
        <w:t>Repeal the subsection, substitute:</w:t>
      </w:r>
    </w:p>
    <w:p w:rsidR="00C17B3A" w:rsidRPr="00B32A45" w:rsidRDefault="00C17B3A" w:rsidP="00C17B3A">
      <w:pPr>
        <w:pStyle w:val="tMain"/>
      </w:pPr>
      <w:r w:rsidRPr="00B32A45">
        <w:tab/>
        <w:t>(2)</w:t>
      </w:r>
      <w:r w:rsidRPr="00B32A45">
        <w:tab/>
        <w:t xml:space="preserve">In applying method 1 under section 2.20, the emission factor </w:t>
      </w:r>
      <w:r w:rsidRPr="00B32A45">
        <w:rPr>
          <w:b/>
          <w:i/>
        </w:rPr>
        <w:t>EF</w:t>
      </w:r>
      <w:r w:rsidRPr="00B32A45">
        <w:rPr>
          <w:b/>
          <w:i/>
          <w:vertAlign w:val="subscript"/>
        </w:rPr>
        <w:t>ijoxec</w:t>
      </w:r>
      <w:r w:rsidRPr="00B32A45">
        <w:t xml:space="preserve"> </w:t>
      </w:r>
      <w:r w:rsidR="00AE2169">
        <w:t>is to</w:t>
      </w:r>
      <w:r w:rsidRPr="00B32A45">
        <w:t xml:space="preserve"> be</w:t>
      </w:r>
      <w:r w:rsidR="00AE2169">
        <w:t xml:space="preserve"> one of the following</w:t>
      </w:r>
      <w:r w:rsidRPr="00B32A45">
        <w:t>:</w:t>
      </w:r>
    </w:p>
    <w:p w:rsidR="00C17B3A" w:rsidRPr="00B32A45" w:rsidRDefault="00C17B3A" w:rsidP="00C17B3A">
      <w:pPr>
        <w:pStyle w:val="tPara"/>
      </w:pPr>
      <w:r w:rsidRPr="00B32A45">
        <w:tab/>
        <w:t>(a)</w:t>
      </w:r>
      <w:r w:rsidRPr="00B32A45">
        <w:tab/>
        <w:t>obtained by using the equipment type emission factors set out in Volume 2, section 2.3.2.3 of the 2006 IPCC Guidelines correct</w:t>
      </w:r>
      <w:r w:rsidR="00AE2169">
        <w:t xml:space="preserve">ed to gross calorific values; </w:t>
      </w:r>
    </w:p>
    <w:p w:rsidR="00C17B3A" w:rsidRDefault="00C17B3A" w:rsidP="00C17B3A">
      <w:pPr>
        <w:pStyle w:val="tPara"/>
      </w:pPr>
      <w:r w:rsidRPr="00B32A45">
        <w:lastRenderedPageBreak/>
        <w:tab/>
        <w:t>(b)</w:t>
      </w:r>
      <w:r w:rsidRPr="00B32A45">
        <w:tab/>
        <w:t>estimated based on the manufacturer’s specification for the specific equipment type under relevant operational conditions, including the effect of any supplementary equipment technologies that modify me</w:t>
      </w:r>
      <w:r w:rsidR="007E686A">
        <w:t>tha</w:t>
      </w:r>
      <w:r w:rsidR="00AE2169">
        <w:t xml:space="preserve">ne emitted to the atmosphere; </w:t>
      </w:r>
    </w:p>
    <w:p w:rsidR="007E686A" w:rsidRPr="007E686A" w:rsidRDefault="007E686A" w:rsidP="007E686A">
      <w:pPr>
        <w:pStyle w:val="tPara"/>
      </w:pPr>
      <w:r>
        <w:tab/>
        <w:t>(c)</w:t>
      </w:r>
      <w:r>
        <w:tab/>
        <w:t xml:space="preserve">if </w:t>
      </w:r>
      <w:r w:rsidR="006A77BA">
        <w:t>an equipment type (k) in column 2 of the following table is used</w:t>
      </w:r>
      <w:r>
        <w:t>—the factor in column 3 of the following table for the equipment</w:t>
      </w:r>
      <w:r w:rsidR="006A77BA">
        <w:t xml:space="preserve"> type in column 2 of the 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3583"/>
        <w:gridCol w:w="2977"/>
        <w:gridCol w:w="1796"/>
      </w:tblGrid>
      <w:tr w:rsidR="007E686A" w:rsidRPr="00DA7ABA" w:rsidTr="00AE2169">
        <w:tc>
          <w:tcPr>
            <w:tcW w:w="371" w:type="pct"/>
            <w:tcBorders>
              <w:top w:val="single" w:sz="12" w:space="0" w:color="auto"/>
              <w:bottom w:val="single" w:sz="12" w:space="0" w:color="auto"/>
            </w:tcBorders>
            <w:shd w:val="clear" w:color="auto" w:fill="auto"/>
          </w:tcPr>
          <w:p w:rsidR="007E686A" w:rsidRPr="007E686A" w:rsidRDefault="007E686A" w:rsidP="000913EA">
            <w:pPr>
              <w:pStyle w:val="TableHeading"/>
            </w:pPr>
            <w:r w:rsidRPr="007E686A">
              <w:t>Item</w:t>
            </w:r>
          </w:p>
        </w:tc>
        <w:tc>
          <w:tcPr>
            <w:tcW w:w="1985" w:type="pct"/>
            <w:tcBorders>
              <w:top w:val="single" w:sz="12" w:space="0" w:color="auto"/>
              <w:bottom w:val="single" w:sz="12" w:space="0" w:color="auto"/>
            </w:tcBorders>
            <w:shd w:val="clear" w:color="auto" w:fill="auto"/>
          </w:tcPr>
          <w:p w:rsidR="007E686A" w:rsidRPr="007E686A" w:rsidRDefault="007E686A" w:rsidP="000913EA">
            <w:pPr>
              <w:pStyle w:val="TableHeading"/>
            </w:pPr>
            <w:r w:rsidRPr="007E686A">
              <w:t>Equipment type (k)</w:t>
            </w:r>
          </w:p>
        </w:tc>
        <w:tc>
          <w:tcPr>
            <w:tcW w:w="1649" w:type="pct"/>
            <w:tcBorders>
              <w:top w:val="single" w:sz="12" w:space="0" w:color="auto"/>
              <w:bottom w:val="single" w:sz="12" w:space="0" w:color="auto"/>
            </w:tcBorders>
          </w:tcPr>
          <w:p w:rsidR="007E686A" w:rsidRPr="007E686A" w:rsidRDefault="007E686A" w:rsidP="000913EA">
            <w:pPr>
              <w:pStyle w:val="TableHeading"/>
            </w:pPr>
            <w:r w:rsidRPr="007E686A">
              <w:t xml:space="preserve">Emission factor for gas type  (j) </w:t>
            </w:r>
            <w:r w:rsidRPr="007E686A">
              <w:br/>
            </w:r>
          </w:p>
        </w:tc>
        <w:tc>
          <w:tcPr>
            <w:tcW w:w="995" w:type="pct"/>
            <w:tcBorders>
              <w:top w:val="single" w:sz="12" w:space="0" w:color="auto"/>
              <w:bottom w:val="single" w:sz="12" w:space="0" w:color="auto"/>
            </w:tcBorders>
          </w:tcPr>
          <w:p w:rsidR="007E686A" w:rsidRPr="007E686A" w:rsidRDefault="007E686A" w:rsidP="000913EA">
            <w:pPr>
              <w:pStyle w:val="TableHeading"/>
            </w:pPr>
            <w:r w:rsidRPr="007E686A">
              <w:br/>
            </w:r>
          </w:p>
        </w:tc>
      </w:tr>
      <w:tr w:rsidR="00AE2169" w:rsidRPr="00DA7ABA" w:rsidDel="0000371C" w:rsidTr="00AE2169">
        <w:trPr>
          <w:trHeight w:val="315"/>
        </w:trPr>
        <w:tc>
          <w:tcPr>
            <w:tcW w:w="371" w:type="pct"/>
            <w:shd w:val="clear" w:color="auto" w:fill="auto"/>
          </w:tcPr>
          <w:p w:rsidR="00AE2169" w:rsidRPr="007E686A" w:rsidRDefault="00AE2169" w:rsidP="000913EA">
            <w:pPr>
              <w:pStyle w:val="Tabletext"/>
            </w:pPr>
          </w:p>
        </w:tc>
        <w:tc>
          <w:tcPr>
            <w:tcW w:w="1985" w:type="pct"/>
            <w:shd w:val="clear" w:color="auto" w:fill="auto"/>
          </w:tcPr>
          <w:p w:rsidR="00AE2169" w:rsidRPr="007E686A" w:rsidDel="0000371C" w:rsidRDefault="00AE2169" w:rsidP="000913EA">
            <w:pPr>
              <w:pStyle w:val="Tabletext"/>
            </w:pPr>
          </w:p>
        </w:tc>
        <w:tc>
          <w:tcPr>
            <w:tcW w:w="1649" w:type="pct"/>
          </w:tcPr>
          <w:p w:rsidR="00AE2169" w:rsidRPr="007E686A" w:rsidRDefault="00AE2169" w:rsidP="000913EA">
            <w:pPr>
              <w:pStyle w:val="Tabletext"/>
              <w:jc w:val="center"/>
            </w:pPr>
            <w:r w:rsidRPr="007E686A">
              <w:t>CH</w:t>
            </w:r>
            <w:r w:rsidRPr="007E686A">
              <w:rPr>
                <w:vertAlign w:val="subscript"/>
              </w:rPr>
              <w:t>4</w:t>
            </w:r>
          </w:p>
        </w:tc>
        <w:tc>
          <w:tcPr>
            <w:tcW w:w="995" w:type="pct"/>
            <w:shd w:val="clear" w:color="auto" w:fill="auto"/>
          </w:tcPr>
          <w:p w:rsidR="00AE2169" w:rsidRPr="007E686A" w:rsidDel="0000371C" w:rsidRDefault="00AE2169" w:rsidP="000913EA">
            <w:pPr>
              <w:pStyle w:val="Tabletext"/>
              <w:jc w:val="center"/>
            </w:pPr>
            <w:r w:rsidRPr="007E686A">
              <w:t>Units</w:t>
            </w:r>
          </w:p>
        </w:tc>
      </w:tr>
      <w:tr w:rsidR="00AE2169" w:rsidRPr="00DA7ABA" w:rsidTr="00AE2169">
        <w:tc>
          <w:tcPr>
            <w:tcW w:w="371"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1</w:t>
            </w:r>
          </w:p>
        </w:tc>
        <w:tc>
          <w:tcPr>
            <w:tcW w:w="1985" w:type="pct"/>
            <w:tcBorders>
              <w:top w:val="single" w:sz="4" w:space="0" w:color="auto"/>
              <w:bottom w:val="single" w:sz="4" w:space="0" w:color="auto"/>
            </w:tcBorders>
            <w:shd w:val="clear" w:color="auto" w:fill="auto"/>
            <w:vAlign w:val="center"/>
          </w:tcPr>
          <w:p w:rsidR="00AE2169" w:rsidRDefault="00AE2169" w:rsidP="000913EA">
            <w:pPr>
              <w:pStyle w:val="Tabletext"/>
              <w:jc w:val="center"/>
            </w:pPr>
            <w:r w:rsidRPr="007E686A">
              <w:t xml:space="preserve">Gas-fired reciprocating engines </w:t>
            </w:r>
            <w:r>
              <w:t>–</w:t>
            </w:r>
            <w:r w:rsidRPr="007E686A">
              <w:t xml:space="preserve"> </w:t>
            </w:r>
          </w:p>
          <w:p w:rsidR="00AE2169" w:rsidRPr="007E686A" w:rsidRDefault="00AE2169" w:rsidP="000913EA">
            <w:pPr>
              <w:pStyle w:val="Tabletext"/>
              <w:jc w:val="center"/>
            </w:pPr>
            <w:r w:rsidRPr="007E686A">
              <w:t>4-stroke lean burn</w:t>
            </w:r>
          </w:p>
        </w:tc>
        <w:tc>
          <w:tcPr>
            <w:tcW w:w="1649" w:type="pct"/>
            <w:tcBorders>
              <w:top w:val="single" w:sz="4" w:space="0" w:color="auto"/>
              <w:bottom w:val="single" w:sz="4" w:space="0" w:color="auto"/>
            </w:tcBorders>
            <w:vAlign w:val="center"/>
          </w:tcPr>
          <w:p w:rsidR="00AE2169" w:rsidRPr="007E686A" w:rsidRDefault="00F64169" w:rsidP="000913EA">
            <w:pPr>
              <w:pStyle w:val="Tabletext"/>
              <w:jc w:val="center"/>
            </w:pPr>
            <w:r>
              <w:t>13.8</w:t>
            </w:r>
          </w:p>
        </w:tc>
        <w:tc>
          <w:tcPr>
            <w:tcW w:w="995"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kg CO</w:t>
            </w:r>
            <w:r w:rsidRPr="007E686A">
              <w:rPr>
                <w:vertAlign w:val="subscript"/>
              </w:rPr>
              <w:t>2</w:t>
            </w:r>
            <w:r w:rsidRPr="007E686A">
              <w:t>-e /GJ</w:t>
            </w:r>
          </w:p>
        </w:tc>
      </w:tr>
      <w:tr w:rsidR="00AE2169" w:rsidRPr="00DA7ABA" w:rsidTr="00AE2169">
        <w:tc>
          <w:tcPr>
            <w:tcW w:w="371" w:type="pct"/>
            <w:tcBorders>
              <w:top w:val="single" w:sz="4" w:space="0" w:color="auto"/>
              <w:bottom w:val="single" w:sz="4" w:space="0" w:color="auto"/>
            </w:tcBorders>
            <w:shd w:val="clear" w:color="auto" w:fill="auto"/>
            <w:vAlign w:val="center"/>
          </w:tcPr>
          <w:p w:rsidR="00AE2169" w:rsidRPr="007E686A" w:rsidRDefault="00CB6014" w:rsidP="000913EA">
            <w:pPr>
              <w:pStyle w:val="Tabletext"/>
              <w:jc w:val="center"/>
            </w:pPr>
            <w:r>
              <w:t>2</w:t>
            </w:r>
          </w:p>
        </w:tc>
        <w:tc>
          <w:tcPr>
            <w:tcW w:w="1985" w:type="pct"/>
            <w:tcBorders>
              <w:top w:val="single" w:sz="4" w:space="0" w:color="auto"/>
              <w:bottom w:val="single" w:sz="4" w:space="0" w:color="auto"/>
            </w:tcBorders>
            <w:shd w:val="clear" w:color="auto" w:fill="auto"/>
            <w:vAlign w:val="center"/>
          </w:tcPr>
          <w:p w:rsidR="00AE2169" w:rsidRDefault="00AE2169" w:rsidP="000913EA">
            <w:pPr>
              <w:pStyle w:val="Tabletext"/>
              <w:jc w:val="center"/>
            </w:pPr>
            <w:r w:rsidRPr="007E686A">
              <w:t xml:space="preserve">Gas-fired reciprocating engines </w:t>
            </w:r>
            <w:r>
              <w:t>–</w:t>
            </w:r>
            <w:r w:rsidRPr="007E686A">
              <w:t xml:space="preserve"> </w:t>
            </w:r>
          </w:p>
          <w:p w:rsidR="00AE2169" w:rsidRPr="007E686A" w:rsidRDefault="00AE2169" w:rsidP="000913EA">
            <w:pPr>
              <w:pStyle w:val="Tabletext"/>
              <w:jc w:val="center"/>
            </w:pPr>
            <w:r w:rsidRPr="007E686A">
              <w:t>4-stroke rich burn</w:t>
            </w:r>
          </w:p>
        </w:tc>
        <w:tc>
          <w:tcPr>
            <w:tcW w:w="1649" w:type="pct"/>
            <w:tcBorders>
              <w:top w:val="single" w:sz="4" w:space="0" w:color="auto"/>
              <w:bottom w:val="single" w:sz="4" w:space="0" w:color="auto"/>
            </w:tcBorders>
            <w:vAlign w:val="center"/>
          </w:tcPr>
          <w:p w:rsidR="00AE2169" w:rsidRPr="007E686A" w:rsidRDefault="00F64169" w:rsidP="000913EA">
            <w:pPr>
              <w:pStyle w:val="Tabletext"/>
              <w:jc w:val="center"/>
            </w:pPr>
            <w:r>
              <w:t>1.2</w:t>
            </w:r>
          </w:p>
        </w:tc>
        <w:tc>
          <w:tcPr>
            <w:tcW w:w="995"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kg CO</w:t>
            </w:r>
            <w:r w:rsidRPr="007E686A">
              <w:rPr>
                <w:vertAlign w:val="subscript"/>
              </w:rPr>
              <w:t>2</w:t>
            </w:r>
            <w:r w:rsidRPr="007E686A">
              <w:t>-e /GJ</w:t>
            </w:r>
          </w:p>
        </w:tc>
      </w:tr>
      <w:tr w:rsidR="00AE2169" w:rsidRPr="00DA7ABA" w:rsidTr="00AE2169">
        <w:tc>
          <w:tcPr>
            <w:tcW w:w="371" w:type="pct"/>
            <w:tcBorders>
              <w:top w:val="single" w:sz="4" w:space="0" w:color="auto"/>
              <w:bottom w:val="single" w:sz="4" w:space="0" w:color="auto"/>
            </w:tcBorders>
            <w:shd w:val="clear" w:color="auto" w:fill="auto"/>
            <w:vAlign w:val="center"/>
          </w:tcPr>
          <w:p w:rsidR="00AE2169" w:rsidRPr="007E686A" w:rsidRDefault="00CB6014" w:rsidP="000913EA">
            <w:pPr>
              <w:pStyle w:val="Tabletext"/>
              <w:jc w:val="center"/>
            </w:pPr>
            <w:r>
              <w:t>3</w:t>
            </w:r>
          </w:p>
        </w:tc>
        <w:tc>
          <w:tcPr>
            <w:tcW w:w="1985" w:type="pct"/>
            <w:tcBorders>
              <w:top w:val="single" w:sz="4" w:space="0" w:color="auto"/>
              <w:bottom w:val="single" w:sz="4" w:space="0" w:color="auto"/>
            </w:tcBorders>
            <w:shd w:val="clear" w:color="auto" w:fill="auto"/>
            <w:vAlign w:val="center"/>
          </w:tcPr>
          <w:p w:rsidR="00AE2169" w:rsidRDefault="00AE2169" w:rsidP="000913EA">
            <w:pPr>
              <w:pStyle w:val="Tabletext"/>
              <w:jc w:val="center"/>
            </w:pPr>
            <w:r w:rsidRPr="007E686A">
              <w:t xml:space="preserve">Gas-fired reciprocating engines </w:t>
            </w:r>
            <w:r>
              <w:t>–</w:t>
            </w:r>
            <w:r w:rsidRPr="007E686A">
              <w:t xml:space="preserve"> </w:t>
            </w:r>
          </w:p>
          <w:p w:rsidR="00AE2169" w:rsidRPr="007E686A" w:rsidRDefault="00AE2169" w:rsidP="000913EA">
            <w:pPr>
              <w:pStyle w:val="Tabletext"/>
              <w:jc w:val="center"/>
            </w:pPr>
            <w:r w:rsidRPr="007E686A">
              <w:t>2-stroke lean burn</w:t>
            </w:r>
          </w:p>
        </w:tc>
        <w:tc>
          <w:tcPr>
            <w:tcW w:w="1649" w:type="pct"/>
            <w:tcBorders>
              <w:top w:val="single" w:sz="4" w:space="0" w:color="auto"/>
              <w:bottom w:val="single" w:sz="4" w:space="0" w:color="auto"/>
            </w:tcBorders>
            <w:vAlign w:val="center"/>
          </w:tcPr>
          <w:p w:rsidR="00AE2169" w:rsidRPr="007E686A" w:rsidRDefault="00F64169" w:rsidP="000913EA">
            <w:pPr>
              <w:pStyle w:val="Tabletext"/>
              <w:jc w:val="center"/>
            </w:pPr>
            <w:r>
              <w:t>17.5</w:t>
            </w:r>
          </w:p>
        </w:tc>
        <w:tc>
          <w:tcPr>
            <w:tcW w:w="995"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kg CO</w:t>
            </w:r>
            <w:r w:rsidRPr="007E686A">
              <w:rPr>
                <w:vertAlign w:val="subscript"/>
              </w:rPr>
              <w:t>2</w:t>
            </w:r>
            <w:r w:rsidRPr="007E686A">
              <w:t>-e /GJ</w:t>
            </w:r>
          </w:p>
        </w:tc>
      </w:tr>
      <w:tr w:rsidR="00AE2169" w:rsidRPr="00DA7ABA" w:rsidTr="00AE2169">
        <w:tc>
          <w:tcPr>
            <w:tcW w:w="371" w:type="pct"/>
            <w:tcBorders>
              <w:top w:val="single" w:sz="4" w:space="0" w:color="auto"/>
              <w:bottom w:val="single" w:sz="4" w:space="0" w:color="auto"/>
            </w:tcBorders>
            <w:shd w:val="clear" w:color="auto" w:fill="auto"/>
            <w:vAlign w:val="center"/>
          </w:tcPr>
          <w:p w:rsidR="00AE2169" w:rsidRPr="007E686A" w:rsidRDefault="00CB6014" w:rsidP="000913EA">
            <w:pPr>
              <w:pStyle w:val="Tabletext"/>
              <w:jc w:val="center"/>
            </w:pPr>
            <w:r>
              <w:t>4</w:t>
            </w:r>
          </w:p>
        </w:tc>
        <w:tc>
          <w:tcPr>
            <w:tcW w:w="1985"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Gas turbines</w:t>
            </w:r>
          </w:p>
        </w:tc>
        <w:tc>
          <w:tcPr>
            <w:tcW w:w="1649" w:type="pct"/>
            <w:tcBorders>
              <w:top w:val="single" w:sz="4" w:space="0" w:color="auto"/>
              <w:bottom w:val="single" w:sz="4" w:space="0" w:color="auto"/>
            </w:tcBorders>
            <w:vAlign w:val="center"/>
          </w:tcPr>
          <w:p w:rsidR="00AE2169" w:rsidRPr="007E686A" w:rsidRDefault="00F64169" w:rsidP="000913EA">
            <w:pPr>
              <w:pStyle w:val="Tabletext"/>
              <w:jc w:val="center"/>
            </w:pPr>
            <w:r>
              <w:t>0.1</w:t>
            </w:r>
          </w:p>
        </w:tc>
        <w:tc>
          <w:tcPr>
            <w:tcW w:w="995" w:type="pct"/>
            <w:tcBorders>
              <w:top w:val="single" w:sz="4" w:space="0" w:color="auto"/>
              <w:bottom w:val="single" w:sz="4" w:space="0" w:color="auto"/>
            </w:tcBorders>
            <w:shd w:val="clear" w:color="auto" w:fill="auto"/>
            <w:vAlign w:val="center"/>
          </w:tcPr>
          <w:p w:rsidR="00AE2169" w:rsidRPr="007E686A" w:rsidRDefault="00AE2169" w:rsidP="000913EA">
            <w:pPr>
              <w:pStyle w:val="Tabletext"/>
              <w:jc w:val="center"/>
            </w:pPr>
            <w:r w:rsidRPr="007E686A">
              <w:t>kg CO</w:t>
            </w:r>
            <w:r w:rsidRPr="007E686A">
              <w:rPr>
                <w:vertAlign w:val="subscript"/>
              </w:rPr>
              <w:t>2</w:t>
            </w:r>
            <w:r w:rsidRPr="007E686A">
              <w:t>-e /GJ</w:t>
            </w:r>
          </w:p>
        </w:tc>
      </w:tr>
    </w:tbl>
    <w:p w:rsidR="0026600B" w:rsidRDefault="0026600B" w:rsidP="00ED052A">
      <w:pPr>
        <w:pStyle w:val="tMain"/>
      </w:pPr>
      <w:r>
        <w:tab/>
        <w:t>(3</w:t>
      </w:r>
      <w:r w:rsidRPr="00B32A45">
        <w:t>)</w:t>
      </w:r>
      <w:r w:rsidRPr="00B32A45">
        <w:tab/>
      </w:r>
      <w:r w:rsidR="007D63FD">
        <w:t xml:space="preserve">If </w:t>
      </w:r>
      <w:r w:rsidR="006A77BA">
        <w:t>applicable to the facility</w:t>
      </w:r>
      <w:r w:rsidR="00ED052A">
        <w:t>,</w:t>
      </w:r>
      <w:r>
        <w:t xml:space="preserve"> the method </w:t>
      </w:r>
      <w:r w:rsidR="00ED052A">
        <w:t>described in section A.2</w:t>
      </w:r>
      <w:r w:rsidR="00EF06B4">
        <w:t>.</w:t>
      </w:r>
      <w:r w:rsidR="00ED052A">
        <w:t>2 of Appendix A of the API Compendium may be used as method 2.</w:t>
      </w:r>
    </w:p>
    <w:p w:rsidR="007E686A" w:rsidRPr="00B32A45" w:rsidRDefault="003C22D9" w:rsidP="00054911">
      <w:pPr>
        <w:pStyle w:val="nMain"/>
      </w:pPr>
      <w:r>
        <w:t>Note:</w:t>
      </w:r>
      <w:r>
        <w:tab/>
        <w:t>In 2021, the API Compendium</w:t>
      </w:r>
      <w:r w:rsidRPr="00B32A45">
        <w:t xml:space="preserve"> could be accessed at </w:t>
      </w:r>
      <w:r w:rsidRPr="003C22D9">
        <w:t>www.api.org</w:t>
      </w:r>
      <w:r w:rsidRPr="00B32A45">
        <w:t>.</w:t>
      </w:r>
    </w:p>
    <w:p w:rsidR="00C17B3A" w:rsidRPr="00A51871" w:rsidRDefault="00CE207D" w:rsidP="00C17B3A">
      <w:pPr>
        <w:pStyle w:val="h5SchItem"/>
      </w:pPr>
      <w:r>
        <w:t>[13]</w:t>
      </w:r>
      <w:r w:rsidR="00C17B3A">
        <w:tab/>
        <w:t xml:space="preserve">Subsection 2.45(1) (table items 3 and 4) </w:t>
      </w:r>
    </w:p>
    <w:p w:rsidR="00C17B3A" w:rsidRDefault="00C17B3A" w:rsidP="00C17B3A">
      <w:pPr>
        <w:pStyle w:val="Item"/>
      </w:pPr>
      <w:r>
        <w:t>Repeal the items, substitute:</w:t>
      </w:r>
    </w:p>
    <w:tbl>
      <w:tblPr>
        <w:tblW w:w="5000" w:type="pct"/>
        <w:shd w:val="clear" w:color="auto" w:fill="FFFFFF"/>
        <w:tblCellMar>
          <w:left w:w="0" w:type="dxa"/>
          <w:right w:w="0" w:type="dxa"/>
        </w:tblCellMar>
        <w:tblLook w:val="04A0" w:firstRow="1" w:lastRow="0" w:firstColumn="1" w:lastColumn="0" w:noHBand="0" w:noVBand="1"/>
      </w:tblPr>
      <w:tblGrid>
        <w:gridCol w:w="930"/>
        <w:gridCol w:w="2327"/>
        <w:gridCol w:w="1953"/>
        <w:gridCol w:w="2141"/>
        <w:gridCol w:w="1675"/>
      </w:tblGrid>
      <w:tr w:rsidR="00C17B3A" w:rsidRPr="00B32A45" w:rsidTr="00DB6238">
        <w:trPr>
          <w:trHeight w:val="401"/>
        </w:trPr>
        <w:tc>
          <w:tcPr>
            <w:tcW w:w="51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3</w:t>
            </w:r>
          </w:p>
        </w:tc>
        <w:tc>
          <w:tcPr>
            <w:tcW w:w="1289"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Crude oil</w:t>
            </w:r>
          </w:p>
        </w:tc>
        <w:tc>
          <w:tcPr>
            <w:tcW w:w="1082"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240</w:t>
            </w:r>
            <w:r w:rsidRPr="00B32A45">
              <w:rPr>
                <w:rFonts w:eastAsia="Times New Roman"/>
                <w:sz w:val="20"/>
                <w:lang w:eastAsia="en-AU"/>
              </w:rPr>
              <w:noBreakHyphen/>
              <w:t>02 (2007)</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4809</w:t>
            </w:r>
            <w:r w:rsidRPr="00B32A45">
              <w:rPr>
                <w:rFonts w:eastAsia="Times New Roman"/>
                <w:sz w:val="20"/>
                <w:lang w:eastAsia="en-AU"/>
              </w:rPr>
              <w:noBreakHyphen/>
              <w:t>06</w:t>
            </w:r>
          </w:p>
        </w:tc>
        <w:tc>
          <w:tcPr>
            <w:tcW w:w="1186"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5291</w:t>
            </w:r>
            <w:r w:rsidRPr="00B32A45">
              <w:rPr>
                <w:rFonts w:eastAsia="Times New Roman"/>
                <w:sz w:val="20"/>
                <w:lang w:eastAsia="en-AU"/>
              </w:rPr>
              <w:noBreakHyphen/>
              <w:t>02 (2007)</w:t>
            </w:r>
          </w:p>
        </w:tc>
        <w:tc>
          <w:tcPr>
            <w:tcW w:w="928"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1298 – 99 (2005) </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5002 – 99 (2005)</w:t>
            </w:r>
          </w:p>
        </w:tc>
      </w:tr>
      <w:tr w:rsidR="00C17B3A" w:rsidRPr="00B32A45" w:rsidTr="00DB6238">
        <w:trPr>
          <w:trHeight w:val="364"/>
        </w:trPr>
        <w:tc>
          <w:tcPr>
            <w:tcW w:w="51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4</w:t>
            </w:r>
          </w:p>
        </w:tc>
        <w:tc>
          <w:tcPr>
            <w:tcW w:w="1289"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Plant condensates and other natural gas liquids not covered by another item in this table</w:t>
            </w:r>
          </w:p>
        </w:tc>
        <w:tc>
          <w:tcPr>
            <w:tcW w:w="1082"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240</w:t>
            </w:r>
            <w:r w:rsidRPr="00B32A45">
              <w:rPr>
                <w:rFonts w:eastAsia="Times New Roman"/>
                <w:sz w:val="20"/>
                <w:lang w:eastAsia="en-AU"/>
              </w:rPr>
              <w:noBreakHyphen/>
              <w:t>02 (2007)</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4809</w:t>
            </w:r>
            <w:r w:rsidRPr="00B32A45">
              <w:rPr>
                <w:rFonts w:eastAsia="Times New Roman"/>
                <w:sz w:val="20"/>
                <w:lang w:eastAsia="en-AU"/>
              </w:rPr>
              <w:noBreakHyphen/>
              <w:t>06</w:t>
            </w:r>
          </w:p>
        </w:tc>
        <w:tc>
          <w:tcPr>
            <w:tcW w:w="1186"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5291</w:t>
            </w:r>
            <w:r w:rsidRPr="00B32A45">
              <w:rPr>
                <w:rFonts w:eastAsia="Times New Roman"/>
                <w:sz w:val="20"/>
                <w:lang w:eastAsia="en-AU"/>
              </w:rPr>
              <w:noBreakHyphen/>
              <w:t>02 (2007)</w:t>
            </w:r>
          </w:p>
        </w:tc>
        <w:tc>
          <w:tcPr>
            <w:tcW w:w="928"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1298 – 99 (2005)</w:t>
            </w:r>
          </w:p>
        </w:tc>
      </w:tr>
    </w:tbl>
    <w:p w:rsidR="00C17B3A" w:rsidRPr="00A51871" w:rsidRDefault="00CE207D" w:rsidP="00C17B3A">
      <w:pPr>
        <w:pStyle w:val="h5SchItem"/>
      </w:pPr>
      <w:r>
        <w:t>[14]</w:t>
      </w:r>
      <w:r w:rsidR="00283594">
        <w:tab/>
        <w:t>Subsection 2.47(3</w:t>
      </w:r>
      <w:r w:rsidR="00C17B3A">
        <w:t xml:space="preserve">) (table items 3 and 4) </w:t>
      </w:r>
    </w:p>
    <w:p w:rsidR="00C17B3A" w:rsidRDefault="00C17B3A" w:rsidP="00C17B3A">
      <w:pPr>
        <w:pStyle w:val="Item"/>
      </w:pPr>
      <w:r>
        <w:t>Repeal the items, substitute:</w:t>
      </w:r>
    </w:p>
    <w:tbl>
      <w:tblPr>
        <w:tblW w:w="5000" w:type="pct"/>
        <w:shd w:val="clear" w:color="auto" w:fill="FFFFFF"/>
        <w:tblCellMar>
          <w:left w:w="0" w:type="dxa"/>
          <w:right w:w="0" w:type="dxa"/>
        </w:tblCellMar>
        <w:tblLook w:val="04A0" w:firstRow="1" w:lastRow="0" w:firstColumn="1" w:lastColumn="0" w:noHBand="0" w:noVBand="1"/>
      </w:tblPr>
      <w:tblGrid>
        <w:gridCol w:w="821"/>
        <w:gridCol w:w="3647"/>
        <w:gridCol w:w="4558"/>
      </w:tblGrid>
      <w:tr w:rsidR="00C17B3A" w:rsidRPr="00B32A45" w:rsidTr="00DB6238">
        <w:trPr>
          <w:trHeight w:val="345"/>
        </w:trPr>
        <w:tc>
          <w:tcPr>
            <w:tcW w:w="45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3</w:t>
            </w:r>
          </w:p>
        </w:tc>
        <w:tc>
          <w:tcPr>
            <w:tcW w:w="202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Crude oil</w:t>
            </w:r>
          </w:p>
        </w:tc>
        <w:tc>
          <w:tcPr>
            <w:tcW w:w="252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ISO 3170:2004</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ISO 3171:1988</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4057 – 06</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4177 – 95 (2005)</w:t>
            </w:r>
          </w:p>
        </w:tc>
      </w:tr>
      <w:tr w:rsidR="00C17B3A" w:rsidRPr="00B32A45" w:rsidTr="00DB6238">
        <w:trPr>
          <w:trHeight w:val="340"/>
        </w:trPr>
        <w:tc>
          <w:tcPr>
            <w:tcW w:w="45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4</w:t>
            </w:r>
          </w:p>
        </w:tc>
        <w:tc>
          <w:tcPr>
            <w:tcW w:w="202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Plant condensates and other natural gas liquids not covered by another item in this table</w:t>
            </w:r>
          </w:p>
        </w:tc>
        <w:tc>
          <w:tcPr>
            <w:tcW w:w="2525" w:type="pct"/>
            <w:tcBorders>
              <w:top w:val="nil"/>
              <w:left w:val="nil"/>
              <w:bottom w:val="single" w:sz="8" w:space="0" w:color="auto"/>
              <w:right w:val="nil"/>
            </w:tcBorders>
            <w:shd w:val="clear" w:color="auto" w:fill="FFFFFF"/>
            <w:tcMar>
              <w:top w:w="0" w:type="dxa"/>
              <w:left w:w="108" w:type="dxa"/>
              <w:bottom w:w="0" w:type="dxa"/>
              <w:right w:w="108" w:type="dxa"/>
            </w:tcMar>
            <w:hideMark/>
          </w:tcPr>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ISO 3170:2004</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ISO 3171:1988</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4057 – 06</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 4177 – 95 (2005)</w:t>
            </w:r>
          </w:p>
          <w:p w:rsidR="00C17B3A" w:rsidRPr="00B32A45" w:rsidRDefault="00C17B3A" w:rsidP="00DB6238">
            <w:pPr>
              <w:spacing w:before="60" w:line="240" w:lineRule="atLeast"/>
              <w:rPr>
                <w:rFonts w:eastAsia="Times New Roman"/>
                <w:sz w:val="20"/>
                <w:lang w:eastAsia="en-AU"/>
              </w:rPr>
            </w:pPr>
            <w:r w:rsidRPr="00B32A45">
              <w:rPr>
                <w:rFonts w:eastAsia="Times New Roman"/>
                <w:sz w:val="20"/>
                <w:lang w:eastAsia="en-AU"/>
              </w:rPr>
              <w:t>ASTM D1265 – 05</w:t>
            </w:r>
          </w:p>
        </w:tc>
      </w:tr>
    </w:tbl>
    <w:p w:rsidR="00C17B3A" w:rsidRPr="00A51871" w:rsidRDefault="00CE207D" w:rsidP="00C17B3A">
      <w:pPr>
        <w:pStyle w:val="h5SchItem"/>
      </w:pPr>
      <w:r>
        <w:t>[15]</w:t>
      </w:r>
      <w:r w:rsidR="00C17B3A">
        <w:tab/>
      </w:r>
      <w:r w:rsidR="00DB6238">
        <w:t>Part 3.3</w:t>
      </w:r>
      <w:r w:rsidR="00C17B3A">
        <w:t xml:space="preserve"> </w:t>
      </w:r>
    </w:p>
    <w:p w:rsidR="00C17B3A" w:rsidRDefault="00C17B3A" w:rsidP="00C17B3A">
      <w:pPr>
        <w:pStyle w:val="Item"/>
      </w:pPr>
      <w:r>
        <w:t xml:space="preserve">Repeal the </w:t>
      </w:r>
      <w:r w:rsidR="00DB6238">
        <w:t>Part, substitute:</w:t>
      </w:r>
    </w:p>
    <w:p w:rsidR="00193D3A" w:rsidRDefault="00193D3A" w:rsidP="00193D3A">
      <w:pPr>
        <w:rPr>
          <w:lang w:eastAsia="en-AU"/>
        </w:rPr>
      </w:pPr>
    </w:p>
    <w:p w:rsidR="00C17B3A" w:rsidRPr="00B32A45" w:rsidRDefault="00C17B3A" w:rsidP="00C17B3A">
      <w:pPr>
        <w:pStyle w:val="h2Part"/>
        <w:pageBreakBefore/>
      </w:pPr>
      <w:bookmarkStart w:id="16" w:name="_Toc69480115"/>
      <w:r w:rsidRPr="00B32A45">
        <w:rPr>
          <w:rStyle w:val="CharPartNo"/>
        </w:rPr>
        <w:lastRenderedPageBreak/>
        <w:t>Part 3.3</w:t>
      </w:r>
      <w:r w:rsidRPr="00B32A45">
        <w:t>—</w:t>
      </w:r>
      <w:r w:rsidRPr="00B32A45">
        <w:rPr>
          <w:rStyle w:val="CharPartText"/>
        </w:rPr>
        <w:t>Oil and natural gas—fugitive emissions</w:t>
      </w:r>
      <w:bookmarkEnd w:id="16"/>
    </w:p>
    <w:p w:rsidR="00C17B3A" w:rsidRPr="00B32A45" w:rsidRDefault="00C17B3A" w:rsidP="00C17B3A">
      <w:pPr>
        <w:pStyle w:val="h3Div"/>
      </w:pPr>
      <w:bookmarkStart w:id="17" w:name="_Toc486862032"/>
      <w:bookmarkStart w:id="18" w:name="_Toc69480116"/>
      <w:r w:rsidRPr="00B32A45">
        <w:rPr>
          <w:rStyle w:val="CharDivNo"/>
        </w:rPr>
        <w:t>Division 3.3.1</w:t>
      </w:r>
      <w:r w:rsidRPr="00B32A45">
        <w:t>—</w:t>
      </w:r>
      <w:r w:rsidRPr="00B32A45">
        <w:rPr>
          <w:rStyle w:val="CharDivText"/>
        </w:rPr>
        <w:t>Preliminary</w:t>
      </w:r>
      <w:bookmarkEnd w:id="17"/>
      <w:bookmarkEnd w:id="18"/>
    </w:p>
    <w:p w:rsidR="00C17B3A" w:rsidRPr="00B32A45" w:rsidRDefault="00C17B3A" w:rsidP="00C17B3A">
      <w:pPr>
        <w:pStyle w:val="h5Section"/>
      </w:pPr>
      <w:bookmarkStart w:id="19" w:name="_Toc486862034"/>
      <w:r w:rsidRPr="00B32A45">
        <w:rPr>
          <w:rStyle w:val="CharSectno"/>
        </w:rPr>
        <w:t>3.41</w:t>
      </w:r>
      <w:r w:rsidRPr="00B32A45">
        <w:t xml:space="preserve">  Outline of Part</w:t>
      </w:r>
      <w:bookmarkEnd w:id="19"/>
    </w:p>
    <w:p w:rsidR="00C17B3A" w:rsidRPr="00B32A45" w:rsidRDefault="00C17B3A" w:rsidP="00C17B3A">
      <w:pPr>
        <w:pStyle w:val="tMain"/>
      </w:pPr>
      <w:r w:rsidRPr="00B32A45">
        <w:tab/>
        <w:t>(1)</w:t>
      </w:r>
      <w:r w:rsidRPr="00B32A45">
        <w:tab/>
        <w:t>This Part provides for fugitive emissions from the following:</w:t>
      </w:r>
    </w:p>
    <w:p w:rsidR="00C17B3A" w:rsidRPr="00B32A45" w:rsidRDefault="00C17B3A" w:rsidP="00C17B3A">
      <w:pPr>
        <w:pStyle w:val="tPara"/>
      </w:pPr>
      <w:r w:rsidRPr="00B32A45">
        <w:tab/>
        <w:t>(a)</w:t>
      </w:r>
      <w:r w:rsidRPr="00B32A45">
        <w:tab/>
        <w:t>oil or gas exploration and development (see Division 3.3.2);</w:t>
      </w:r>
    </w:p>
    <w:p w:rsidR="00C17B3A" w:rsidRPr="00B32A45" w:rsidRDefault="00C17B3A" w:rsidP="00C17B3A">
      <w:pPr>
        <w:pStyle w:val="tPara"/>
      </w:pPr>
      <w:r w:rsidRPr="00B32A45">
        <w:tab/>
        <w:t>(b)</w:t>
      </w:r>
      <w:r w:rsidRPr="00B32A45">
        <w:tab/>
        <w:t>crude oil production (see Division 3.3.3);</w:t>
      </w:r>
    </w:p>
    <w:p w:rsidR="00C17B3A" w:rsidRPr="00B32A45" w:rsidRDefault="00C17B3A" w:rsidP="00C17B3A">
      <w:pPr>
        <w:pStyle w:val="tPara"/>
      </w:pPr>
      <w:r w:rsidRPr="00B32A45">
        <w:tab/>
        <w:t>(c)</w:t>
      </w:r>
      <w:r w:rsidRPr="00B32A45">
        <w:tab/>
        <w:t>crude oil transport (see Division 3.3.4);</w:t>
      </w:r>
    </w:p>
    <w:p w:rsidR="00C17B3A" w:rsidRPr="00B32A45" w:rsidRDefault="00C17B3A" w:rsidP="00C17B3A">
      <w:pPr>
        <w:pStyle w:val="tPara"/>
      </w:pPr>
      <w:r w:rsidRPr="00B32A45">
        <w:tab/>
        <w:t>(d)</w:t>
      </w:r>
      <w:r w:rsidRPr="00B32A45">
        <w:tab/>
        <w:t>crude oil refining (see Division 3.3.5);</w:t>
      </w:r>
    </w:p>
    <w:p w:rsidR="00C17B3A" w:rsidRPr="00B32A45" w:rsidRDefault="00C17B3A" w:rsidP="00C17B3A">
      <w:pPr>
        <w:pStyle w:val="tPara"/>
      </w:pPr>
      <w:r w:rsidRPr="00B32A45">
        <w:tab/>
        <w:t>(e)</w:t>
      </w:r>
      <w:r w:rsidRPr="00B32A45">
        <w:tab/>
        <w:t>onshore natural gas production, other than emissions that are vented or flared (see Division 3.3.6A);</w:t>
      </w:r>
    </w:p>
    <w:p w:rsidR="00C17B3A" w:rsidRPr="00B32A45" w:rsidRDefault="00C17B3A" w:rsidP="00C17B3A">
      <w:pPr>
        <w:pStyle w:val="tPara"/>
      </w:pPr>
      <w:r w:rsidRPr="00B32A45">
        <w:tab/>
        <w:t>(f)</w:t>
      </w:r>
      <w:r w:rsidRPr="00B32A45">
        <w:tab/>
        <w:t>offshore natural gas production, other than emissions that are vented or flared (see Division 3.3.6B);</w:t>
      </w:r>
    </w:p>
    <w:p w:rsidR="00C17B3A" w:rsidRPr="00B32A45" w:rsidRDefault="00C17B3A" w:rsidP="00C17B3A">
      <w:pPr>
        <w:pStyle w:val="tPara"/>
      </w:pPr>
      <w:r w:rsidRPr="00B32A45">
        <w:tab/>
        <w:t>(g)</w:t>
      </w:r>
      <w:r w:rsidRPr="00B32A45">
        <w:tab/>
        <w:t xml:space="preserve">natural gas gathering and boosting, other than emissions that are vented or flared (see Division 3.3.6C); </w:t>
      </w:r>
    </w:p>
    <w:p w:rsidR="00C17B3A" w:rsidRPr="00B32A45" w:rsidRDefault="00C17B3A" w:rsidP="00C17B3A">
      <w:pPr>
        <w:pStyle w:val="tPara"/>
      </w:pPr>
      <w:r w:rsidRPr="00B32A45">
        <w:tab/>
        <w:t>(h)</w:t>
      </w:r>
      <w:r w:rsidRPr="00B32A45">
        <w:tab/>
        <w:t xml:space="preserve">produced water </w:t>
      </w:r>
      <w:r w:rsidR="00D00475">
        <w:rPr>
          <w:bCs/>
        </w:rPr>
        <w:t>from oil and</w:t>
      </w:r>
      <w:r w:rsidRPr="00B32A45">
        <w:rPr>
          <w:bCs/>
        </w:rPr>
        <w:t xml:space="preserve"> gas exploration and development, crude oil production, natural gas production or natural gas gathering and boosting</w:t>
      </w:r>
      <w:r w:rsidRPr="00B32A45">
        <w:t>, other than emissions that are vented or flared (see Division 3.3.6D);</w:t>
      </w:r>
    </w:p>
    <w:p w:rsidR="00C17B3A" w:rsidRPr="00B32A45" w:rsidRDefault="00C17B3A" w:rsidP="00C17B3A">
      <w:pPr>
        <w:pStyle w:val="tPara"/>
      </w:pPr>
      <w:r w:rsidRPr="00B32A45">
        <w:tab/>
        <w:t>(i)</w:t>
      </w:r>
      <w:r w:rsidRPr="00B32A45">
        <w:tab/>
        <w:t>natural gas processing, other than emissions that are vented or flared (see Division 3.3.6E);</w:t>
      </w:r>
    </w:p>
    <w:p w:rsidR="00C17B3A" w:rsidRPr="00B32A45" w:rsidRDefault="00C17B3A" w:rsidP="00C17B3A">
      <w:pPr>
        <w:pStyle w:val="tPara"/>
      </w:pPr>
      <w:r w:rsidRPr="00B32A45">
        <w:tab/>
        <w:t>(j)</w:t>
      </w:r>
      <w:r w:rsidRPr="00B32A45">
        <w:tab/>
        <w:t>natural gas transmission, other than emissions that are flared (see Division 3.3.7);</w:t>
      </w:r>
    </w:p>
    <w:p w:rsidR="00C17B3A" w:rsidRPr="00B32A45" w:rsidRDefault="00C17B3A" w:rsidP="00C17B3A">
      <w:pPr>
        <w:pStyle w:val="tPara"/>
      </w:pPr>
      <w:r w:rsidRPr="00B32A45">
        <w:tab/>
        <w:t>(k)</w:t>
      </w:r>
      <w:r w:rsidRPr="00B32A45">
        <w:tab/>
        <w:t xml:space="preserve">natural gas storage, other than emissions that are vented or flared (see Division 3.3.7A); </w:t>
      </w:r>
    </w:p>
    <w:p w:rsidR="00C17B3A" w:rsidRPr="00B32A45" w:rsidRDefault="00C17B3A" w:rsidP="00C17B3A">
      <w:pPr>
        <w:pStyle w:val="tPara"/>
      </w:pPr>
      <w:r w:rsidRPr="00B32A45">
        <w:tab/>
        <w:t>(l)</w:t>
      </w:r>
      <w:r w:rsidRPr="00B32A45">
        <w:tab/>
        <w:t xml:space="preserve">natural gas liquefaction, storage and transfer, other than emissions that are vented or flared (see Division 3.3.7B); </w:t>
      </w:r>
    </w:p>
    <w:p w:rsidR="00C17B3A" w:rsidRPr="00B32A45" w:rsidRDefault="00C17B3A" w:rsidP="00C17B3A">
      <w:pPr>
        <w:pStyle w:val="tPara"/>
      </w:pPr>
      <w:r w:rsidRPr="00B32A45">
        <w:tab/>
        <w:t>(m)</w:t>
      </w:r>
      <w:r w:rsidRPr="00B32A45">
        <w:tab/>
        <w:t>natural gas distribution, other than emissions that are flared (see Division 3.3.8);</w:t>
      </w:r>
    </w:p>
    <w:p w:rsidR="00C17B3A" w:rsidRPr="00B32A45" w:rsidRDefault="00C17B3A" w:rsidP="00C17B3A">
      <w:pPr>
        <w:pStyle w:val="tPara"/>
      </w:pPr>
      <w:r w:rsidRPr="00B32A45">
        <w:tab/>
        <w:t>(n)</w:t>
      </w:r>
      <w:r w:rsidRPr="00B32A45">
        <w:tab/>
        <w:t>natural gas production (emissions that are vented o</w:t>
      </w:r>
      <w:r w:rsidR="00285895">
        <w:t>r flared) (see Division 3.3.9A);</w:t>
      </w:r>
      <w:r w:rsidRPr="00B32A45">
        <w:t xml:space="preserve"> </w:t>
      </w:r>
    </w:p>
    <w:p w:rsidR="00C17B3A" w:rsidRPr="00B32A45" w:rsidRDefault="00C17B3A" w:rsidP="00C17B3A">
      <w:pPr>
        <w:pStyle w:val="tPara"/>
      </w:pPr>
      <w:r w:rsidRPr="00B32A45">
        <w:tab/>
        <w:t>(o)</w:t>
      </w:r>
      <w:r w:rsidRPr="00B32A45">
        <w:tab/>
        <w:t>natural gas gathering and boosting (emissions that are vented or</w:t>
      </w:r>
      <w:r w:rsidR="00285895">
        <w:t xml:space="preserve"> flared) (see Division 3.3.9B);</w:t>
      </w:r>
    </w:p>
    <w:p w:rsidR="00C17B3A" w:rsidRPr="00B32A45" w:rsidRDefault="00C17B3A" w:rsidP="00C17B3A">
      <w:pPr>
        <w:pStyle w:val="tPara"/>
      </w:pPr>
      <w:r w:rsidRPr="00B32A45">
        <w:tab/>
        <w:t>(p)</w:t>
      </w:r>
      <w:r w:rsidRPr="00B32A45">
        <w:tab/>
        <w:t>natural gas processing (emissions that are vented or</w:t>
      </w:r>
      <w:r w:rsidR="00285895">
        <w:t xml:space="preserve"> flared) (see Division 3.3.9C);</w:t>
      </w:r>
    </w:p>
    <w:p w:rsidR="00C17B3A" w:rsidRPr="00B32A45" w:rsidRDefault="00D00475" w:rsidP="00C17B3A">
      <w:pPr>
        <w:pStyle w:val="tPara"/>
      </w:pPr>
      <w:r>
        <w:tab/>
        <w:t>(q)</w:t>
      </w:r>
      <w:r>
        <w:tab/>
        <w:t>natural gas transmission</w:t>
      </w:r>
      <w:r w:rsidR="00C17B3A" w:rsidRPr="00B32A45">
        <w:t xml:space="preserve"> (emissions that ar</w:t>
      </w:r>
      <w:r w:rsidR="00285895">
        <w:t>e flared) (see Division 3.3.9D);</w:t>
      </w:r>
    </w:p>
    <w:p w:rsidR="00C17B3A" w:rsidRPr="00B32A45" w:rsidRDefault="00C17B3A" w:rsidP="00C17B3A">
      <w:pPr>
        <w:pStyle w:val="tPara"/>
      </w:pPr>
      <w:r w:rsidRPr="00B32A45">
        <w:tab/>
        <w:t>(r)</w:t>
      </w:r>
      <w:r w:rsidRPr="00B32A45">
        <w:tab/>
        <w:t>natural gas storage (emissions that are vented or flared) (see Division 3.3.9E)</w:t>
      </w:r>
      <w:r w:rsidR="00285895">
        <w:t>;</w:t>
      </w:r>
    </w:p>
    <w:p w:rsidR="00C17B3A" w:rsidRPr="00B32A45" w:rsidRDefault="00F97872" w:rsidP="00C17B3A">
      <w:pPr>
        <w:pStyle w:val="tPara"/>
      </w:pPr>
      <w:r>
        <w:tab/>
        <w:t>(s)</w:t>
      </w:r>
      <w:r>
        <w:tab/>
      </w:r>
      <w:r w:rsidR="00C17B3A" w:rsidRPr="00B32A45">
        <w:t xml:space="preserve">natural gas </w:t>
      </w:r>
      <w:r>
        <w:t xml:space="preserve">liquefaction, </w:t>
      </w:r>
      <w:r w:rsidR="00C17B3A" w:rsidRPr="00B32A45">
        <w:t>storage or transfer (emissions that are vented o</w:t>
      </w:r>
      <w:r w:rsidR="00285895">
        <w:t>r flared) (see Division 3.3.9F);</w:t>
      </w:r>
    </w:p>
    <w:p w:rsidR="00C17B3A" w:rsidRPr="00B32A45" w:rsidRDefault="00285895" w:rsidP="00C17B3A">
      <w:pPr>
        <w:pStyle w:val="tPara"/>
      </w:pPr>
      <w:r>
        <w:tab/>
        <w:t>(t)</w:t>
      </w:r>
      <w:r>
        <w:tab/>
      </w:r>
      <w:r w:rsidR="00C17B3A" w:rsidRPr="00B32A45">
        <w:t>natural gas distribution (emissions that are flared) (see Division 3.3.9G).</w:t>
      </w:r>
    </w:p>
    <w:p w:rsidR="00C17B3A" w:rsidRPr="00B32A45" w:rsidRDefault="00C17B3A" w:rsidP="00C17B3A">
      <w:pPr>
        <w:pStyle w:val="tMain"/>
      </w:pPr>
      <w:r w:rsidRPr="00B32A45">
        <w:tab/>
        <w:t>(2)</w:t>
      </w:r>
      <w:r w:rsidRPr="00B32A45">
        <w:tab/>
        <w:t xml:space="preserve">The activities at a facility should be classified in accordance with the relevant definitions to apply the calculations in this Part to comprehensively cover the emissions from the facility, but not count the emissions more than once. </w:t>
      </w:r>
    </w:p>
    <w:p w:rsidR="00C17B3A" w:rsidRPr="00B32A45" w:rsidRDefault="00C17B3A" w:rsidP="00C17B3A">
      <w:pPr>
        <w:pStyle w:val="h5Section"/>
      </w:pPr>
      <w:r w:rsidRPr="00B32A45">
        <w:rPr>
          <w:rStyle w:val="CharSectno"/>
        </w:rPr>
        <w:t>3.41A</w:t>
      </w:r>
      <w:r w:rsidRPr="00B32A45">
        <w:t xml:space="preserve">  Interpretation</w:t>
      </w:r>
    </w:p>
    <w:p w:rsidR="00C17B3A" w:rsidRPr="00B32A45" w:rsidRDefault="00C17B3A" w:rsidP="00C17B3A">
      <w:pPr>
        <w:pStyle w:val="tMain"/>
      </w:pPr>
      <w:r w:rsidRPr="00B32A45">
        <w:tab/>
      </w:r>
      <w:r w:rsidR="007B4CBC">
        <w:t>(1)</w:t>
      </w:r>
      <w:r w:rsidRPr="00B32A45">
        <w:tab/>
        <w:t xml:space="preserve">Terms relating to the oil and gas industry in this Part are to be interpreted: </w:t>
      </w:r>
    </w:p>
    <w:p w:rsidR="00C17B3A" w:rsidRPr="00B32A45" w:rsidRDefault="00C17B3A" w:rsidP="00C17B3A">
      <w:pPr>
        <w:pStyle w:val="tPara"/>
      </w:pPr>
      <w:r w:rsidRPr="00B32A45">
        <w:tab/>
        <w:t>(a)</w:t>
      </w:r>
      <w:r w:rsidRPr="00B32A45">
        <w:tab/>
        <w:t>consistently with their accepted meaning in the oil and gas industry; and</w:t>
      </w:r>
    </w:p>
    <w:p w:rsidR="00C17B3A" w:rsidRDefault="00C17B3A" w:rsidP="00C17B3A">
      <w:pPr>
        <w:pStyle w:val="tPara"/>
      </w:pPr>
      <w:r w:rsidRPr="00B32A45">
        <w:tab/>
        <w:t>(b)</w:t>
      </w:r>
      <w:r w:rsidRPr="00B32A45">
        <w:tab/>
        <w:t>where the term is relevant to methods in the API Compendium—taking into account the meaning and scope of the term in that compendium.</w:t>
      </w:r>
    </w:p>
    <w:p w:rsidR="003C22D9" w:rsidRDefault="003C22D9" w:rsidP="003C22D9">
      <w:pPr>
        <w:pStyle w:val="nMain"/>
      </w:pPr>
      <w:r>
        <w:t>Note:</w:t>
      </w:r>
      <w:r>
        <w:tab/>
        <w:t>In 2021, the API Compendium</w:t>
      </w:r>
      <w:r w:rsidRPr="00B32A45">
        <w:t xml:space="preserve"> could be accessed at </w:t>
      </w:r>
      <w:r w:rsidRPr="003C22D9">
        <w:t>www.api.org</w:t>
      </w:r>
      <w:r w:rsidRPr="00B32A45">
        <w:t>.</w:t>
      </w:r>
    </w:p>
    <w:p w:rsidR="007B4CBC" w:rsidRDefault="007B4CBC" w:rsidP="007B4CBC">
      <w:pPr>
        <w:pStyle w:val="tMain"/>
      </w:pPr>
      <w:r>
        <w:lastRenderedPageBreak/>
        <w:tab/>
        <w:t>(2</w:t>
      </w:r>
      <w:r w:rsidRPr="00B32A45">
        <w:t>)</w:t>
      </w:r>
      <w:r w:rsidRPr="00B32A45">
        <w:tab/>
      </w:r>
      <w:r>
        <w:t xml:space="preserve">If a method in this Part allows for the use of component or equipment emissions factors from </w:t>
      </w:r>
      <w:r w:rsidRPr="00B32A45">
        <w:t xml:space="preserve">the manufacturer of the </w:t>
      </w:r>
      <w:r w:rsidRPr="00B32A45">
        <w:rPr>
          <w:szCs w:val="22"/>
        </w:rPr>
        <w:t xml:space="preserve">component </w:t>
      </w:r>
      <w:r>
        <w:rPr>
          <w:szCs w:val="22"/>
        </w:rPr>
        <w:t xml:space="preserve">or equipment, those factors must not be used if they are likely to result in estimates of emissions inconsistent with the principles in section 1.13. </w:t>
      </w:r>
    </w:p>
    <w:p w:rsidR="007B4CBC" w:rsidRPr="00B32A45" w:rsidRDefault="007B4CBC" w:rsidP="00C17B3A">
      <w:pPr>
        <w:pStyle w:val="tPara"/>
      </w:pPr>
    </w:p>
    <w:p w:rsidR="00C17B3A" w:rsidRPr="00B32A45" w:rsidRDefault="00C17B3A" w:rsidP="00C17B3A">
      <w:pPr>
        <w:pStyle w:val="h3Div"/>
        <w:pageBreakBefore/>
      </w:pPr>
      <w:bookmarkStart w:id="20" w:name="_Toc486862035"/>
      <w:bookmarkStart w:id="21" w:name="_Toc69480117"/>
      <w:r w:rsidRPr="00B32A45">
        <w:rPr>
          <w:rStyle w:val="CharDivNo"/>
        </w:rPr>
        <w:lastRenderedPageBreak/>
        <w:t>Division 3.3.2</w:t>
      </w:r>
      <w:r w:rsidRPr="00B32A45">
        <w:t>—</w:t>
      </w:r>
      <w:r w:rsidRPr="00B32A45">
        <w:rPr>
          <w:rStyle w:val="CharDivText"/>
        </w:rPr>
        <w:t>Oil or gas exploration</w:t>
      </w:r>
      <w:bookmarkEnd w:id="20"/>
      <w:r w:rsidRPr="00B32A45">
        <w:rPr>
          <w:rStyle w:val="CharDivText"/>
        </w:rPr>
        <w:t xml:space="preserve"> and development</w:t>
      </w:r>
      <w:bookmarkEnd w:id="21"/>
    </w:p>
    <w:p w:rsidR="00C17B3A" w:rsidRPr="00B32A45" w:rsidRDefault="00C17B3A" w:rsidP="00C17B3A">
      <w:pPr>
        <w:pStyle w:val="h4Subdiv"/>
      </w:pPr>
      <w:bookmarkStart w:id="22" w:name="_Toc486862036"/>
      <w:r w:rsidRPr="00B32A45">
        <w:rPr>
          <w:rStyle w:val="CharSubdNo"/>
        </w:rPr>
        <w:t>Subdivision 3.3.2.1</w:t>
      </w:r>
      <w:r w:rsidRPr="00B32A45">
        <w:t>—</w:t>
      </w:r>
      <w:r w:rsidRPr="00B32A45">
        <w:rPr>
          <w:rStyle w:val="CharSubdText"/>
        </w:rPr>
        <w:t>Preliminary</w:t>
      </w:r>
      <w:bookmarkEnd w:id="22"/>
    </w:p>
    <w:p w:rsidR="00C17B3A" w:rsidRPr="00B32A45" w:rsidRDefault="00C17B3A" w:rsidP="00C17B3A">
      <w:pPr>
        <w:pStyle w:val="h5Section"/>
      </w:pPr>
      <w:bookmarkStart w:id="23" w:name="_Toc486862037"/>
      <w:r w:rsidRPr="00B32A45">
        <w:rPr>
          <w:rStyle w:val="CharSectno"/>
        </w:rPr>
        <w:t>3.42</w:t>
      </w:r>
      <w:r w:rsidRPr="00B32A45">
        <w:t xml:space="preserve">  Application</w:t>
      </w:r>
      <w:bookmarkEnd w:id="23"/>
    </w:p>
    <w:p w:rsidR="00C17B3A" w:rsidRPr="00B32A45" w:rsidRDefault="00C17B3A" w:rsidP="00C17B3A">
      <w:pPr>
        <w:pStyle w:val="tMain"/>
      </w:pPr>
      <w:r w:rsidRPr="00B32A45">
        <w:tab/>
      </w:r>
      <w:r w:rsidRPr="00B32A45">
        <w:tab/>
        <w:t xml:space="preserve">This Division applies to fugitive emissions from venting or flaring from oil or gas exploration and development activities, including emissions from: </w:t>
      </w:r>
    </w:p>
    <w:p w:rsidR="00C17B3A" w:rsidRPr="00B32A45" w:rsidRDefault="00C17B3A" w:rsidP="00C17B3A">
      <w:pPr>
        <w:pStyle w:val="tPara"/>
      </w:pPr>
      <w:r w:rsidRPr="00B32A45">
        <w:tab/>
        <w:t>(a)</w:t>
      </w:r>
      <w:r w:rsidRPr="00B32A45">
        <w:tab/>
        <w:t>oil well drilling; and</w:t>
      </w:r>
    </w:p>
    <w:p w:rsidR="00C17B3A" w:rsidRPr="00B32A45" w:rsidRDefault="00C17B3A" w:rsidP="00C17B3A">
      <w:pPr>
        <w:pStyle w:val="tPara"/>
      </w:pPr>
      <w:r w:rsidRPr="00B32A45">
        <w:tab/>
        <w:t>(b)</w:t>
      </w:r>
      <w:r w:rsidRPr="00B32A45">
        <w:tab/>
        <w:t>gas well drilling; and</w:t>
      </w:r>
    </w:p>
    <w:p w:rsidR="00C17B3A" w:rsidRPr="00B32A45" w:rsidRDefault="00C17B3A" w:rsidP="00C17B3A">
      <w:pPr>
        <w:pStyle w:val="tPara"/>
      </w:pPr>
      <w:r w:rsidRPr="00B32A45">
        <w:tab/>
        <w:t>(c)</w:t>
      </w:r>
      <w:r w:rsidRPr="00B32A45">
        <w:tab/>
        <w:t>oil well completions; and</w:t>
      </w:r>
    </w:p>
    <w:p w:rsidR="00C17B3A" w:rsidRPr="00B32A45" w:rsidRDefault="00C17B3A" w:rsidP="00C17B3A">
      <w:pPr>
        <w:pStyle w:val="tPara"/>
        <w:ind w:hanging="368"/>
      </w:pPr>
      <w:r w:rsidRPr="00B32A45">
        <w:tab/>
        <w:t>(d)</w:t>
      </w:r>
      <w:r w:rsidRPr="00B32A45">
        <w:tab/>
        <w:t>gas well completions; and</w:t>
      </w:r>
    </w:p>
    <w:p w:rsidR="00C17B3A" w:rsidRPr="00B32A45" w:rsidRDefault="00C17B3A" w:rsidP="00C17B3A">
      <w:pPr>
        <w:pStyle w:val="tPara"/>
        <w:ind w:hanging="368"/>
      </w:pPr>
      <w:r w:rsidRPr="00B32A45">
        <w:t>(e)</w:t>
      </w:r>
      <w:r w:rsidRPr="00B32A45">
        <w:tab/>
      </w:r>
      <w:r w:rsidRPr="00B32A45">
        <w:tab/>
        <w:t>well workovers; and</w:t>
      </w:r>
    </w:p>
    <w:p w:rsidR="00C17B3A" w:rsidRPr="00B32A45" w:rsidRDefault="00C17B3A" w:rsidP="00C17B3A">
      <w:pPr>
        <w:pStyle w:val="tPara"/>
        <w:ind w:hanging="368"/>
      </w:pPr>
      <w:r w:rsidRPr="00B32A45">
        <w:t xml:space="preserve">(f) </w:t>
      </w:r>
      <w:r w:rsidRPr="00B32A45">
        <w:tab/>
        <w:t>well blowouts; and</w:t>
      </w:r>
    </w:p>
    <w:p w:rsidR="00C17B3A" w:rsidRPr="00B32A45" w:rsidRDefault="00C17B3A" w:rsidP="00C17B3A">
      <w:pPr>
        <w:pStyle w:val="tPara"/>
        <w:ind w:hanging="368"/>
      </w:pPr>
      <w:r w:rsidRPr="00B32A45">
        <w:t xml:space="preserve">(g) </w:t>
      </w:r>
      <w:r w:rsidRPr="00B32A45">
        <w:tab/>
        <w:t>cold process vents.</w:t>
      </w:r>
    </w:p>
    <w:p w:rsidR="00C17B3A" w:rsidRPr="00B32A45" w:rsidRDefault="00C17B3A" w:rsidP="00C17B3A">
      <w:pPr>
        <w:pStyle w:val="h4Subdiv"/>
      </w:pPr>
      <w:bookmarkStart w:id="24" w:name="_Toc486862038"/>
      <w:r w:rsidRPr="00B32A45">
        <w:rPr>
          <w:rStyle w:val="CharSubdNo"/>
        </w:rPr>
        <w:t>Subdivision 3.3.2.2</w:t>
      </w:r>
      <w:r w:rsidRPr="00B32A45">
        <w:t>—</w:t>
      </w:r>
      <w:r w:rsidRPr="00B32A45">
        <w:rPr>
          <w:rStyle w:val="CharSubdText"/>
        </w:rPr>
        <w:t xml:space="preserve">Oil or gas exploration and development (emissions that are flared) </w:t>
      </w:r>
      <w:bookmarkEnd w:id="24"/>
    </w:p>
    <w:p w:rsidR="00C17B3A" w:rsidRPr="00B32A45" w:rsidRDefault="00C17B3A" w:rsidP="00C17B3A">
      <w:pPr>
        <w:pStyle w:val="h5Section"/>
      </w:pPr>
      <w:bookmarkStart w:id="25" w:name="_Toc486862039"/>
      <w:r w:rsidRPr="00B32A45">
        <w:rPr>
          <w:rStyle w:val="CharSectno"/>
        </w:rPr>
        <w:t>3.43</w:t>
      </w:r>
      <w:r w:rsidRPr="00B32A45">
        <w:t xml:space="preserve">  Available methods</w:t>
      </w:r>
      <w:bookmarkEnd w:id="25"/>
    </w:p>
    <w:p w:rsidR="00C17B3A" w:rsidRPr="00B32A45" w:rsidRDefault="00C17B3A" w:rsidP="00C17B3A">
      <w:pPr>
        <w:pStyle w:val="tMain"/>
      </w:pPr>
      <w:r w:rsidRPr="00B32A45">
        <w:tab/>
        <w:t>(1)</w:t>
      </w:r>
      <w:r w:rsidRPr="00B32A45">
        <w:tab/>
        <w:t>Subject to section 1.18, for estimating emissions released by oil or gas flaring during the year from the operation of a facility that is constituted by oil or gas exploration and development:</w:t>
      </w:r>
    </w:p>
    <w:p w:rsidR="00C17B3A" w:rsidRPr="00B32A45" w:rsidRDefault="00C17B3A" w:rsidP="00C17B3A">
      <w:pPr>
        <w:pStyle w:val="tPara"/>
      </w:pPr>
      <w:r w:rsidRPr="00B32A45">
        <w:tab/>
        <w:t>(a)</w:t>
      </w:r>
      <w:r w:rsidRPr="00B32A45">
        <w:tab/>
        <w:t>if estimating emissions of carbon dioxide released—one of the following methods must be used:</w:t>
      </w:r>
    </w:p>
    <w:p w:rsidR="00C17B3A" w:rsidRPr="00B32A45" w:rsidRDefault="00C17B3A" w:rsidP="00C17B3A">
      <w:pPr>
        <w:pStyle w:val="tSubpara"/>
      </w:pPr>
      <w:r w:rsidRPr="00B32A45">
        <w:tab/>
        <w:t>(i)</w:t>
      </w:r>
      <w:r w:rsidRPr="00B32A45">
        <w:tab/>
        <w:t>method 1 under section 3.44;</w:t>
      </w:r>
    </w:p>
    <w:p w:rsidR="00C17B3A" w:rsidRPr="00B32A45" w:rsidRDefault="00C17B3A" w:rsidP="00C17B3A">
      <w:pPr>
        <w:pStyle w:val="tSubpara"/>
      </w:pPr>
      <w:r w:rsidRPr="00B32A45">
        <w:tab/>
        <w:t>(ii)</w:t>
      </w:r>
      <w:r w:rsidRPr="00B32A45">
        <w:tab/>
        <w:t>method 2 under section 3.45;</w:t>
      </w:r>
    </w:p>
    <w:p w:rsidR="00C17B3A" w:rsidRPr="00B32A45" w:rsidRDefault="00C17B3A" w:rsidP="00C17B3A">
      <w:pPr>
        <w:pStyle w:val="tSubpara"/>
      </w:pPr>
      <w:r w:rsidRPr="00B32A45">
        <w:tab/>
        <w:t>(iii)</w:t>
      </w:r>
      <w:r w:rsidRPr="00B32A45">
        <w:tab/>
        <w:t>method 3 under section 3.46;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3.44;</w:t>
      </w:r>
    </w:p>
    <w:p w:rsidR="00C17B3A" w:rsidRPr="00B32A45" w:rsidRDefault="00C17B3A" w:rsidP="00C17B3A">
      <w:pPr>
        <w:pStyle w:val="tSubpara"/>
      </w:pPr>
      <w:r w:rsidRPr="00B32A45">
        <w:tab/>
        <w:t>(ii)</w:t>
      </w:r>
      <w:r w:rsidRPr="00B32A45">
        <w:tab/>
        <w:t>method 2A under section 3.45A;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3.44;</w:t>
      </w:r>
    </w:p>
    <w:p w:rsidR="00C17B3A" w:rsidRPr="00B32A45" w:rsidRDefault="00C17B3A" w:rsidP="00C17B3A">
      <w:pPr>
        <w:pStyle w:val="tSubpara"/>
      </w:pPr>
      <w:r w:rsidRPr="00B32A45">
        <w:tab/>
        <w:t>(ii)</w:t>
      </w:r>
      <w:r w:rsidRPr="00B32A45">
        <w:tab/>
        <w:t>method 2A under section 3.45A.</w:t>
      </w:r>
    </w:p>
    <w:p w:rsidR="00C17B3A" w:rsidRPr="00B32A45" w:rsidRDefault="00C17B3A" w:rsidP="00C17B3A">
      <w:pPr>
        <w:pStyle w:val="nMain"/>
      </w:pPr>
      <w:r w:rsidRPr="00B32A45">
        <w:t>Note:</w:t>
      </w:r>
      <w:r w:rsidRPr="00B32A45">
        <w:tab/>
        <w:t>There is no method 4 under paragraph (a) and no method 2, 3 or 4 under paragraph (b) or (c).</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bookmarkStart w:id="26" w:name="_Toc486862040"/>
      <w:r w:rsidRPr="00B32A45">
        <w:rPr>
          <w:rStyle w:val="CharSectno"/>
        </w:rPr>
        <w:t>3.44</w:t>
      </w:r>
      <w:r w:rsidRPr="00B32A45">
        <w:t xml:space="preserve">  Method 1—oil or gas exploration</w:t>
      </w:r>
      <w:bookmarkEnd w:id="26"/>
      <w:r w:rsidRPr="00B32A45">
        <w:t xml:space="preserve"> and development</w:t>
      </w:r>
    </w:p>
    <w:p w:rsidR="00C17B3A" w:rsidRPr="00B32A45" w:rsidRDefault="00C17B3A" w:rsidP="00C17B3A">
      <w:pPr>
        <w:pStyle w:val="tMain"/>
      </w:pPr>
      <w:r w:rsidRPr="00B32A45">
        <w:tab/>
        <w:t>(1)</w:t>
      </w:r>
      <w:r w:rsidRPr="00B32A45">
        <w:tab/>
        <w:t>Method 1 is:</w:t>
      </w:r>
    </w:p>
    <w:p w:rsidR="00C17B3A" w:rsidRPr="00217B5D" w:rsidRDefault="00C17B3A" w:rsidP="00C17B3A">
      <w:pPr>
        <w:pStyle w:val="tMain"/>
        <w:spacing w:before="120" w:after="120"/>
        <w:rPr>
          <w:sz w:val="28"/>
          <w:szCs w:val="28"/>
        </w:rPr>
      </w:pPr>
      <w:r w:rsidRPr="00B32A45">
        <w:rPr>
          <w:sz w:val="32"/>
          <w:szCs w:val="32"/>
        </w:rPr>
        <w:tab/>
      </w:r>
      <w:r w:rsidRPr="00217B5D">
        <w:rPr>
          <w:sz w:val="28"/>
          <w:szCs w:val="28"/>
        </w:rPr>
        <w:tab/>
        <w:t>E</w:t>
      </w:r>
      <w:r w:rsidRPr="00217B5D">
        <w:rPr>
          <w:sz w:val="28"/>
          <w:szCs w:val="28"/>
          <w:vertAlign w:val="subscript"/>
        </w:rPr>
        <w:t xml:space="preserve">ij  </w:t>
      </w:r>
      <w:r w:rsidRPr="00217B5D">
        <w:rPr>
          <w:sz w:val="28"/>
          <w:szCs w:val="28"/>
        </w:rPr>
        <w:t>= Q</w:t>
      </w:r>
      <w:r w:rsidRPr="00217B5D">
        <w:rPr>
          <w:sz w:val="28"/>
          <w:szCs w:val="28"/>
          <w:vertAlign w:val="subscript"/>
        </w:rPr>
        <w:t xml:space="preserve">i  </w:t>
      </w:r>
      <w:r w:rsidRPr="00217B5D">
        <w:rPr>
          <w:sz w:val="28"/>
          <w:szCs w:val="28"/>
        </w:rPr>
        <w:t>×</w:t>
      </w:r>
      <w:r w:rsidRPr="00217B5D">
        <w:rPr>
          <w:sz w:val="28"/>
          <w:szCs w:val="28"/>
          <w:vertAlign w:val="subscript"/>
        </w:rPr>
        <w:t xml:space="preserve">  </w:t>
      </w:r>
      <w:r w:rsidRPr="00217B5D">
        <w:rPr>
          <w:sz w:val="28"/>
          <w:szCs w:val="28"/>
        </w:rPr>
        <w:t>EF</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Fonts w:ascii="Times New Roman Bold" w:hAnsi="Times New Roman Bold"/>
          <w:b/>
          <w:i/>
          <w:vertAlign w:val="subscript"/>
        </w:rPr>
        <w:t>i</w:t>
      </w:r>
      <w:r w:rsidRPr="00B32A45">
        <w:rPr>
          <w:b/>
          <w:i/>
          <w:vertAlign w:val="subscript"/>
        </w:rPr>
        <w:t>j</w:t>
      </w:r>
      <w:r w:rsidRPr="00B32A45">
        <w:rPr>
          <w:b/>
          <w:i/>
        </w:rPr>
        <w:t xml:space="preserve"> </w:t>
      </w:r>
      <w:r w:rsidRPr="00B32A45">
        <w:t>is the fugitive emissions of gas type (</w:t>
      </w:r>
      <w:r w:rsidRPr="00B32A45">
        <w:rPr>
          <w:b/>
          <w:i/>
        </w:rPr>
        <w:t>j</w:t>
      </w:r>
      <w:r w:rsidRPr="00B32A45">
        <w:t>) from a fuel type (</w:t>
      </w:r>
      <w:r w:rsidRPr="00B32A45">
        <w:rPr>
          <w:b/>
          <w:i/>
        </w:rPr>
        <w:t>i</w:t>
      </w:r>
      <w:r w:rsidRPr="00B32A45">
        <w:t>) flared in the oil or gas exploration and development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lastRenderedPageBreak/>
        <w:t>Q</w:t>
      </w:r>
      <w:r w:rsidRPr="00B32A45">
        <w:rPr>
          <w:rFonts w:ascii="Times New Roman Bold" w:hAnsi="Times New Roman Bold"/>
          <w:b/>
          <w:i/>
          <w:vertAlign w:val="subscript"/>
        </w:rPr>
        <w:t xml:space="preserve">i </w:t>
      </w:r>
      <w:r w:rsidRPr="00B32A45">
        <w:t>is the quantity of fuel type (</w:t>
      </w:r>
      <w:r w:rsidRPr="00B32A45">
        <w:rPr>
          <w:b/>
          <w:i/>
        </w:rPr>
        <w:t>i</w:t>
      </w:r>
      <w:r w:rsidRPr="00B32A45">
        <w:t>) flared in the oil or gas exploration and development during the year measured in tonnes.</w:t>
      </w:r>
    </w:p>
    <w:p w:rsidR="00C17B3A" w:rsidRPr="00B32A45" w:rsidRDefault="00C17B3A" w:rsidP="00C17B3A">
      <w:pPr>
        <w:pStyle w:val="nMain"/>
      </w:pPr>
      <w:r w:rsidRPr="00B32A45">
        <w:t>Note:</w:t>
      </w:r>
      <w:r w:rsidRPr="00B32A45">
        <w:tab/>
        <w:t>This quantity includes all of the fuel type, not just hydrocarbons within the fuel type.</w:t>
      </w:r>
    </w:p>
    <w:p w:rsidR="00C17B3A" w:rsidRPr="00B32A45" w:rsidRDefault="00C17B3A" w:rsidP="00C17B3A">
      <w:pPr>
        <w:pStyle w:val="tDefn"/>
      </w:pPr>
      <w:r w:rsidRPr="00B32A45">
        <w:rPr>
          <w:b/>
          <w:i/>
        </w:rPr>
        <w:t>EF</w:t>
      </w:r>
      <w:r w:rsidRPr="00B32A45">
        <w:rPr>
          <w:rFonts w:ascii="Times New Roman Bold" w:hAnsi="Times New Roman Bold"/>
          <w:b/>
          <w:i/>
          <w:vertAlign w:val="subscript"/>
        </w:rPr>
        <w:t xml:space="preserve">ij </w:t>
      </w:r>
      <w:r w:rsidRPr="00B32A45">
        <w:t>is the emission factor for gas type (</w:t>
      </w:r>
      <w:r w:rsidRPr="00B32A45">
        <w:rPr>
          <w:b/>
          <w:i/>
        </w:rPr>
        <w:t>j</w:t>
      </w:r>
      <w:r w:rsidRPr="00B32A45">
        <w:t>) measured in tonnes of CO</w:t>
      </w:r>
      <w:r w:rsidRPr="00B32A45">
        <w:rPr>
          <w:rStyle w:val="charSubscript"/>
          <w:iCs/>
        </w:rPr>
        <w:t>2</w:t>
      </w:r>
      <w:r w:rsidRPr="00B32A45">
        <w:noBreakHyphen/>
        <w:t>e emissions per tonne of the fuel type (</w:t>
      </w:r>
      <w:r w:rsidRPr="00B32A45">
        <w:rPr>
          <w:b/>
          <w:i/>
        </w:rPr>
        <w:t>i</w:t>
      </w:r>
      <w:r w:rsidRPr="00B32A45">
        <w:t>) flared.</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w:t>
      </w:r>
      <w:r w:rsidRPr="00B32A45">
        <w:rPr>
          <w:i/>
          <w:vertAlign w:val="subscript"/>
        </w:rPr>
        <w:t xml:space="preserve"> </w:t>
      </w:r>
      <w:r w:rsidRPr="00B32A45">
        <w:t>in subsection (1), columns 3, 4 and 5 of an item in the following table specify the emission factor, for gas type (</w:t>
      </w:r>
      <w:r w:rsidRPr="00B32A45">
        <w:rPr>
          <w:b/>
          <w:i/>
        </w:rPr>
        <w:t>j</w:t>
      </w:r>
      <w:r w:rsidRPr="00B32A45">
        <w:t>), for each fuel type (</w:t>
      </w:r>
      <w:r w:rsidRPr="00B32A45">
        <w:rPr>
          <w:b/>
          <w:i/>
        </w:rPr>
        <w:t>i</w:t>
      </w:r>
      <w:r w:rsidRPr="00B32A45">
        <w:t>) spec</w:t>
      </w:r>
      <w:r w:rsidR="00524E7C">
        <w:t>ified in column 2 of that item.</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2460"/>
        <w:gridCol w:w="1848"/>
        <w:gridCol w:w="1851"/>
        <w:gridCol w:w="1687"/>
      </w:tblGrid>
      <w:tr w:rsidR="00C17B3A" w:rsidRPr="00B32A45" w:rsidTr="00DB6238">
        <w:trPr>
          <w:cantSplit/>
          <w:tblHeader/>
        </w:trPr>
        <w:tc>
          <w:tcPr>
            <w:tcW w:w="448" w:type="pc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Item</w:t>
            </w:r>
          </w:p>
        </w:tc>
        <w:tc>
          <w:tcPr>
            <w:tcW w:w="1427" w:type="pct"/>
            <w:vMerge w:val="restar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Fuel type (</w:t>
            </w:r>
            <w:r w:rsidRPr="00B32A45">
              <w:rPr>
                <w:b w:val="0"/>
                <w:i/>
              </w:rPr>
              <w:t>i</w:t>
            </w:r>
            <w:r w:rsidRPr="00B32A45">
              <w:t>)</w:t>
            </w:r>
          </w:p>
        </w:tc>
        <w:tc>
          <w:tcPr>
            <w:tcW w:w="3125" w:type="pct"/>
            <w:gridSpan w:val="3"/>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Emission factor for gas type (</w:t>
            </w:r>
            <w:r w:rsidRPr="00B32A45">
              <w:rPr>
                <w:i/>
              </w:rPr>
              <w:t>j</w:t>
            </w:r>
            <w:r w:rsidRPr="00B32A45">
              <w:t>) (tonnes CO</w:t>
            </w:r>
            <w:r w:rsidRPr="00B32A45">
              <w:rPr>
                <w:rStyle w:val="charSubscript"/>
                <w:b w:val="0"/>
                <w:bCs/>
              </w:rPr>
              <w:t>2</w:t>
            </w:r>
            <w:r w:rsidRPr="00B32A45">
              <w:noBreakHyphen/>
              <w:t>e/tonnes of fuel flared)</w:t>
            </w:r>
          </w:p>
        </w:tc>
      </w:tr>
      <w:tr w:rsidR="00C17B3A" w:rsidRPr="00B32A45" w:rsidTr="00DB6238">
        <w:trPr>
          <w:cantSplit/>
          <w:tblHeader/>
        </w:trPr>
        <w:tc>
          <w:tcPr>
            <w:tcW w:w="448" w:type="pct"/>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427" w:type="pct"/>
            <w:vMerge/>
            <w:tcBorders>
              <w:top w:val="nil"/>
              <w:left w:val="nil"/>
              <w:bottom w:val="single" w:sz="12" w:space="0" w:color="auto"/>
              <w:right w:val="nil"/>
            </w:tcBorders>
            <w:shd w:val="clear" w:color="auto" w:fill="auto"/>
          </w:tcPr>
          <w:p w:rsidR="00C17B3A" w:rsidRPr="00B32A45" w:rsidRDefault="00C17B3A" w:rsidP="00DB6238"/>
        </w:tc>
        <w:tc>
          <w:tcPr>
            <w:tcW w:w="1072"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CO</w:t>
            </w:r>
            <w:r w:rsidRPr="00B32A45">
              <w:rPr>
                <w:rStyle w:val="charSubscript"/>
                <w:b w:val="0"/>
                <w:bCs/>
              </w:rPr>
              <w:t>2</w:t>
            </w:r>
          </w:p>
        </w:tc>
        <w:tc>
          <w:tcPr>
            <w:tcW w:w="1074"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CH</w:t>
            </w:r>
            <w:r w:rsidRPr="00B32A45">
              <w:rPr>
                <w:rStyle w:val="charSubscript"/>
                <w:b w:val="0"/>
                <w:bCs/>
              </w:rPr>
              <w:t>4</w:t>
            </w:r>
          </w:p>
        </w:tc>
        <w:tc>
          <w:tcPr>
            <w:tcW w:w="979"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N</w:t>
            </w:r>
            <w:r w:rsidRPr="00B32A45">
              <w:rPr>
                <w:rStyle w:val="charSubscript"/>
                <w:b w:val="0"/>
                <w:bCs/>
              </w:rPr>
              <w:t>2</w:t>
            </w:r>
            <w:r w:rsidRPr="00B32A45">
              <w:t>O</w:t>
            </w:r>
          </w:p>
        </w:tc>
      </w:tr>
      <w:tr w:rsidR="00C17B3A" w:rsidRPr="00B32A45" w:rsidTr="00DB6238">
        <w:trPr>
          <w:cantSplit/>
        </w:trPr>
        <w:tc>
          <w:tcPr>
            <w:tcW w:w="448" w:type="pct"/>
            <w:tcBorders>
              <w:top w:val="single" w:sz="12" w:space="0" w:color="auto"/>
              <w:left w:val="nil"/>
              <w:bottom w:val="single" w:sz="4" w:space="0" w:color="auto"/>
              <w:right w:val="nil"/>
            </w:tcBorders>
          </w:tcPr>
          <w:p w:rsidR="00C17B3A" w:rsidRPr="00B32A45" w:rsidRDefault="00C17B3A" w:rsidP="00DB6238">
            <w:pPr>
              <w:pStyle w:val="Tabletext"/>
            </w:pPr>
            <w:r w:rsidRPr="00B32A45">
              <w:t>1</w:t>
            </w:r>
          </w:p>
        </w:tc>
        <w:tc>
          <w:tcPr>
            <w:tcW w:w="1427" w:type="pct"/>
            <w:tcBorders>
              <w:top w:val="single" w:sz="12" w:space="0" w:color="auto"/>
              <w:left w:val="nil"/>
              <w:bottom w:val="single" w:sz="4" w:space="0" w:color="auto"/>
              <w:right w:val="nil"/>
            </w:tcBorders>
          </w:tcPr>
          <w:p w:rsidR="00C17B3A" w:rsidRPr="00B32A45" w:rsidRDefault="00C17B3A" w:rsidP="00DB6238">
            <w:pPr>
              <w:pStyle w:val="Tabletext"/>
            </w:pPr>
            <w:r w:rsidRPr="00B32A45">
              <w:t>Gas</w:t>
            </w:r>
          </w:p>
        </w:tc>
        <w:tc>
          <w:tcPr>
            <w:tcW w:w="1072" w:type="pct"/>
            <w:tcBorders>
              <w:top w:val="single" w:sz="12" w:space="0" w:color="auto"/>
              <w:left w:val="nil"/>
              <w:bottom w:val="single" w:sz="4" w:space="0" w:color="auto"/>
              <w:right w:val="nil"/>
            </w:tcBorders>
          </w:tcPr>
          <w:p w:rsidR="00C17B3A" w:rsidRPr="00B32A45" w:rsidRDefault="00C17B3A" w:rsidP="00DB6238">
            <w:pPr>
              <w:pStyle w:val="Tabletext"/>
            </w:pPr>
            <w:r w:rsidRPr="00B32A45">
              <w:t>2.80</w:t>
            </w:r>
          </w:p>
        </w:tc>
        <w:tc>
          <w:tcPr>
            <w:tcW w:w="1074" w:type="pct"/>
            <w:tcBorders>
              <w:top w:val="single" w:sz="12" w:space="0" w:color="auto"/>
              <w:left w:val="nil"/>
              <w:bottom w:val="single" w:sz="4" w:space="0" w:color="auto"/>
              <w:right w:val="nil"/>
            </w:tcBorders>
          </w:tcPr>
          <w:p w:rsidR="00C17B3A" w:rsidRPr="00B32A45" w:rsidRDefault="00C17B3A" w:rsidP="00DB6238">
            <w:pPr>
              <w:pStyle w:val="Tabletext"/>
            </w:pPr>
            <w:r w:rsidRPr="00B32A45">
              <w:t>0.933</w:t>
            </w:r>
          </w:p>
        </w:tc>
        <w:tc>
          <w:tcPr>
            <w:tcW w:w="979" w:type="pct"/>
            <w:tcBorders>
              <w:top w:val="single" w:sz="12" w:space="0" w:color="auto"/>
              <w:left w:val="nil"/>
              <w:bottom w:val="single" w:sz="4" w:space="0" w:color="auto"/>
              <w:right w:val="nil"/>
            </w:tcBorders>
          </w:tcPr>
          <w:p w:rsidR="00C17B3A" w:rsidRPr="00B32A45" w:rsidRDefault="00C17B3A" w:rsidP="00DB6238">
            <w:pPr>
              <w:pStyle w:val="Tabletext"/>
            </w:pPr>
            <w:r w:rsidRPr="00B32A45">
              <w:t>0.026</w:t>
            </w:r>
          </w:p>
        </w:tc>
      </w:tr>
      <w:tr w:rsidR="00C17B3A" w:rsidRPr="00B32A45" w:rsidTr="00DB6238">
        <w:trPr>
          <w:cantSplit/>
        </w:trPr>
        <w:tc>
          <w:tcPr>
            <w:tcW w:w="448" w:type="pct"/>
            <w:tcBorders>
              <w:top w:val="single" w:sz="4" w:space="0" w:color="auto"/>
              <w:left w:val="nil"/>
              <w:bottom w:val="single" w:sz="12" w:space="0" w:color="auto"/>
              <w:right w:val="nil"/>
            </w:tcBorders>
          </w:tcPr>
          <w:p w:rsidR="00C17B3A" w:rsidRPr="00B32A45" w:rsidRDefault="00C17B3A" w:rsidP="00DB6238">
            <w:pPr>
              <w:pStyle w:val="Tabletext"/>
            </w:pPr>
            <w:r w:rsidRPr="00B32A45">
              <w:t>2</w:t>
            </w:r>
          </w:p>
        </w:tc>
        <w:tc>
          <w:tcPr>
            <w:tcW w:w="1427" w:type="pct"/>
            <w:tcBorders>
              <w:top w:val="single" w:sz="4" w:space="0" w:color="auto"/>
              <w:left w:val="nil"/>
              <w:bottom w:val="single" w:sz="12" w:space="0" w:color="auto"/>
              <w:right w:val="nil"/>
            </w:tcBorders>
          </w:tcPr>
          <w:p w:rsidR="00C17B3A" w:rsidRPr="00B32A45" w:rsidRDefault="00C17B3A" w:rsidP="00DB6238">
            <w:pPr>
              <w:pStyle w:val="Tabletext"/>
            </w:pPr>
            <w:r w:rsidRPr="00B32A45">
              <w:t>Crude oil and liquids</w:t>
            </w:r>
          </w:p>
        </w:tc>
        <w:tc>
          <w:tcPr>
            <w:tcW w:w="1072" w:type="pct"/>
            <w:tcBorders>
              <w:top w:val="single" w:sz="4" w:space="0" w:color="auto"/>
              <w:left w:val="nil"/>
              <w:bottom w:val="single" w:sz="12" w:space="0" w:color="auto"/>
              <w:right w:val="nil"/>
            </w:tcBorders>
          </w:tcPr>
          <w:p w:rsidR="00C17B3A" w:rsidRPr="00B32A45" w:rsidRDefault="00C17B3A" w:rsidP="00DB6238">
            <w:pPr>
              <w:pStyle w:val="Tabletext"/>
            </w:pPr>
            <w:r w:rsidRPr="00B32A45">
              <w:t>3.20</w:t>
            </w:r>
          </w:p>
        </w:tc>
        <w:tc>
          <w:tcPr>
            <w:tcW w:w="1074" w:type="pct"/>
            <w:tcBorders>
              <w:top w:val="single" w:sz="4" w:space="0" w:color="auto"/>
              <w:left w:val="nil"/>
              <w:bottom w:val="single" w:sz="12" w:space="0" w:color="auto"/>
              <w:right w:val="nil"/>
            </w:tcBorders>
          </w:tcPr>
          <w:p w:rsidR="00C17B3A" w:rsidRPr="00B32A45" w:rsidRDefault="00C17B3A" w:rsidP="00DB6238">
            <w:pPr>
              <w:pStyle w:val="Tabletext"/>
              <w:rPr>
                <w:vertAlign w:val="superscript"/>
              </w:rPr>
            </w:pPr>
            <w:r w:rsidRPr="00B32A45">
              <w:t>0.009</w:t>
            </w:r>
          </w:p>
        </w:tc>
        <w:tc>
          <w:tcPr>
            <w:tcW w:w="979" w:type="pct"/>
            <w:tcBorders>
              <w:top w:val="single" w:sz="4" w:space="0" w:color="auto"/>
              <w:left w:val="nil"/>
              <w:bottom w:val="single" w:sz="12" w:space="0" w:color="auto"/>
              <w:right w:val="nil"/>
            </w:tcBorders>
          </w:tcPr>
          <w:p w:rsidR="00C17B3A" w:rsidRPr="00B32A45" w:rsidRDefault="00C17B3A" w:rsidP="00DB6238">
            <w:pPr>
              <w:pStyle w:val="Tabletext"/>
            </w:pPr>
            <w:r w:rsidRPr="00B32A45">
              <w:t>0.06</w:t>
            </w:r>
          </w:p>
        </w:tc>
      </w:tr>
    </w:tbl>
    <w:p w:rsidR="00C17B3A" w:rsidRPr="00B32A45" w:rsidRDefault="00C17B3A" w:rsidP="00C17B3A">
      <w:pPr>
        <w:pStyle w:val="h5Section"/>
      </w:pPr>
      <w:bookmarkStart w:id="27" w:name="_Toc486862041"/>
      <w:r w:rsidRPr="00B32A45">
        <w:rPr>
          <w:rStyle w:val="CharSectno"/>
        </w:rPr>
        <w:t>3.45</w:t>
      </w:r>
      <w:r w:rsidRPr="00B32A45">
        <w:t xml:space="preserve">  Method 2—oil or gas exploration and development (flared carbon dioxide emissions)</w:t>
      </w:r>
      <w:bookmarkEnd w:id="27"/>
    </w:p>
    <w:p w:rsidR="00C17B3A" w:rsidRPr="00B32A45" w:rsidRDefault="00C17B3A" w:rsidP="00C17B3A">
      <w:pPr>
        <w:pStyle w:val="h6Subsec"/>
      </w:pPr>
      <w:r w:rsidRPr="00B32A45">
        <w:t>Combustion of gaseous fuels (flared) emissions</w:t>
      </w:r>
    </w:p>
    <w:p w:rsidR="00C17B3A" w:rsidRPr="00B32A45" w:rsidRDefault="00C17B3A" w:rsidP="00C17B3A">
      <w:pPr>
        <w:pStyle w:val="tMain"/>
      </w:pPr>
      <w:r w:rsidRPr="00B32A45">
        <w:tab/>
        <w:t>(1)</w:t>
      </w:r>
      <w:r w:rsidRPr="00B32A45">
        <w:tab/>
        <w:t>For subparagraph 3.43(1)(a)(ii), method 2 for combustion of gaseous fuels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607B251B" wp14:editId="6F4B5DFD">
            <wp:extent cx="2070100" cy="241300"/>
            <wp:effectExtent l="0" t="0" r="6350" b="6350"/>
            <wp:docPr id="1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24130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iCs/>
          <w:vertAlign w:val="subscript"/>
        </w:rPr>
        <w:t>iCO</w:t>
      </w:r>
      <w:r w:rsidRPr="00B32A45">
        <w:rPr>
          <w:b/>
          <w:i/>
          <w:position w:val="-6"/>
          <w:vertAlign w:val="subscript"/>
        </w:rPr>
        <w:t>2</w:t>
      </w:r>
      <w:r w:rsidRPr="00B32A45">
        <w:rPr>
          <w:iCs/>
          <w:sz w:val="20"/>
        </w:rPr>
        <w:t xml:space="preserve"> </w:t>
      </w:r>
      <w:r w:rsidRPr="00B32A45">
        <w:t>is the fugitive emissions of CO</w:t>
      </w:r>
      <w:r w:rsidRPr="00B32A45">
        <w:rPr>
          <w:vertAlign w:val="subscript"/>
        </w:rPr>
        <w:t>2</w:t>
      </w:r>
      <w:r w:rsidRPr="00B32A45">
        <w:t xml:space="preserve"> from fuel type (</w:t>
      </w:r>
      <w:r w:rsidRPr="00B32A45">
        <w:rPr>
          <w:b/>
          <w:i/>
        </w:rPr>
        <w:t>i</w:t>
      </w:r>
      <w:r w:rsidRPr="00B32A45">
        <w:t>) flared in oil or gas exploration and development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Q</w:t>
      </w:r>
      <w:r w:rsidRPr="00B32A45">
        <w:rPr>
          <w:b/>
          <w:i/>
          <w:vertAlign w:val="subscript"/>
        </w:rPr>
        <w:t>h</w:t>
      </w:r>
      <w:r w:rsidRPr="00B32A45">
        <w:rPr>
          <w:i/>
        </w:rPr>
        <w:t xml:space="preserve"> </w:t>
      </w:r>
      <w:r w:rsidRPr="00B32A45">
        <w:t>is the total quantity of hydrocarbons (</w:t>
      </w:r>
      <w:r w:rsidRPr="00B32A45">
        <w:rPr>
          <w:b/>
          <w:i/>
        </w:rPr>
        <w:t>h</w:t>
      </w:r>
      <w:r w:rsidRPr="00B32A45">
        <w:t>) within the fuel type (</w:t>
      </w:r>
      <w:r w:rsidRPr="00B32A45">
        <w:rPr>
          <w:b/>
          <w:i/>
        </w:rPr>
        <w:t>i</w:t>
      </w:r>
      <w:r w:rsidRPr="00B32A45">
        <w:t>) in oil or gas exploration and development during the year, measured in tonnes in accordance with Division 2.3.3.</w:t>
      </w:r>
    </w:p>
    <w:p w:rsidR="00C17B3A" w:rsidRPr="00B32A45" w:rsidRDefault="00C17B3A" w:rsidP="00C17B3A">
      <w:pPr>
        <w:pStyle w:val="tDefn"/>
      </w:pPr>
      <w:r w:rsidRPr="00B32A45">
        <w:rPr>
          <w:b/>
          <w:i/>
        </w:rPr>
        <w:t>EF</w:t>
      </w:r>
      <w:r w:rsidRPr="00B32A45">
        <w:rPr>
          <w:b/>
          <w:i/>
          <w:vertAlign w:val="subscript"/>
        </w:rPr>
        <w:t>h</w:t>
      </w:r>
      <w:r w:rsidRPr="00B32A45">
        <w:t xml:space="preserve"> is the emission factor for the total hydrocarbons (</w:t>
      </w:r>
      <w:r w:rsidRPr="00B32A45">
        <w:rPr>
          <w:b/>
          <w:i/>
        </w:rPr>
        <w:t>h</w:t>
      </w:r>
      <w:r w:rsidRPr="00B32A45">
        <w:t>) within the fuel type (</w:t>
      </w:r>
      <w:r w:rsidRPr="00B32A45">
        <w:rPr>
          <w:b/>
          <w:i/>
        </w:rPr>
        <w:t>i</w:t>
      </w:r>
      <w:r w:rsidRPr="00B32A45">
        <w:t>) in oil or gas exploration and development during the year, measured in CO</w:t>
      </w:r>
      <w:r w:rsidRPr="00B32A45">
        <w:rPr>
          <w:vertAlign w:val="subscript"/>
        </w:rPr>
        <w:t>2</w:t>
      </w:r>
      <w:r w:rsidRPr="00B32A45">
        <w:noBreakHyphen/>
        <w:t>e tonnes per tonne of the fuel type (</w:t>
      </w:r>
      <w:r w:rsidRPr="00B32A45">
        <w:rPr>
          <w:b/>
          <w:i/>
        </w:rPr>
        <w:t>i</w:t>
      </w:r>
      <w:r w:rsidRPr="00B32A45">
        <w:t>) flared</w:t>
      </w:r>
      <w:r w:rsidRPr="00B32A45">
        <w:rPr>
          <w:i/>
        </w:rPr>
        <w:t xml:space="preserve">, </w:t>
      </w:r>
      <w:r w:rsidRPr="00B32A45">
        <w:t>estimated in accordance with Division 2.3.3.</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QCO</w:t>
      </w:r>
      <w:r w:rsidRPr="00B32A45">
        <w:rPr>
          <w:b/>
          <w:i/>
          <w:vertAlign w:val="subscript"/>
        </w:rPr>
        <w:t>2</w:t>
      </w:r>
      <w:r w:rsidRPr="00B32A45">
        <w:t xml:space="preserve"> is the quantity of CO</w:t>
      </w:r>
      <w:r w:rsidRPr="00B32A45">
        <w:rPr>
          <w:vertAlign w:val="subscript"/>
        </w:rPr>
        <w:t>2</w:t>
      </w:r>
      <w:r w:rsidRPr="00B32A45">
        <w:t xml:space="preserve"> within fuel type (</w:t>
      </w:r>
      <w:r w:rsidRPr="00B32A45">
        <w:rPr>
          <w:b/>
          <w:i/>
        </w:rPr>
        <w:t>i</w:t>
      </w:r>
      <w:r w:rsidRPr="00B32A45">
        <w:t>) in oil or gas exploration and development during the year, measured in CO</w:t>
      </w:r>
      <w:r w:rsidRPr="00B32A45">
        <w:rPr>
          <w:vertAlign w:val="subscript"/>
        </w:rPr>
        <w:t>2</w:t>
      </w:r>
      <w:r w:rsidRPr="00B32A45">
        <w:noBreakHyphen/>
        <w:t>e tonnes in accordance with Division 2.3.3.</w:t>
      </w:r>
    </w:p>
    <w:p w:rsidR="00C17B3A" w:rsidRPr="00B32A45" w:rsidRDefault="00C17B3A" w:rsidP="00C17B3A">
      <w:pPr>
        <w:pStyle w:val="h6Subsec"/>
      </w:pPr>
      <w:r w:rsidRPr="00B32A45">
        <w:t>Combustion of liquid fuels (flared) emissions</w:t>
      </w:r>
    </w:p>
    <w:p w:rsidR="00C17B3A" w:rsidRPr="00B32A45" w:rsidRDefault="00C17B3A" w:rsidP="00C17B3A">
      <w:pPr>
        <w:pStyle w:val="tMain"/>
      </w:pPr>
      <w:r w:rsidRPr="00B32A45">
        <w:tab/>
        <w:t>(2)</w:t>
      </w:r>
      <w:r w:rsidRPr="00B32A45">
        <w:tab/>
        <w:t xml:space="preserve">For subparagraph 3.43(1)(a)(ii), method 2 for combustion of liquid fuels is the same as method 1 under section 3.44, but the carbon dioxide emissions factor </w:t>
      </w:r>
      <w:r w:rsidRPr="00B32A45">
        <w:rPr>
          <w:b/>
          <w:i/>
        </w:rPr>
        <w:t>EF</w:t>
      </w:r>
      <w:r w:rsidRPr="00B32A45">
        <w:rPr>
          <w:b/>
          <w:i/>
          <w:vertAlign w:val="subscript"/>
        </w:rPr>
        <w:t>ij</w:t>
      </w:r>
      <w:r w:rsidRPr="00B32A45">
        <w:t xml:space="preserve"> must be determined in accordance with method 2 in Division 2.4.3.</w:t>
      </w:r>
    </w:p>
    <w:p w:rsidR="00C17B3A" w:rsidRPr="00B32A45" w:rsidRDefault="00C17B3A" w:rsidP="00C17B3A">
      <w:pPr>
        <w:pStyle w:val="h5Section"/>
      </w:pPr>
      <w:bookmarkStart w:id="28" w:name="_Toc486862042"/>
      <w:r w:rsidRPr="00B32A45">
        <w:rPr>
          <w:rStyle w:val="CharSectno"/>
        </w:rPr>
        <w:t>3.45A</w:t>
      </w:r>
      <w:r w:rsidRPr="00B32A45">
        <w:t xml:space="preserve">  Method 2A—oil or gas exploration and development (flared methane or nitrous oxide emissions)</w:t>
      </w:r>
      <w:bookmarkEnd w:id="28"/>
    </w:p>
    <w:p w:rsidR="00C17B3A" w:rsidRPr="00B32A45" w:rsidRDefault="00C17B3A" w:rsidP="00C17B3A">
      <w:pPr>
        <w:pStyle w:val="tMain"/>
      </w:pPr>
      <w:r w:rsidRPr="00B32A45">
        <w:tab/>
      </w:r>
      <w:r w:rsidRPr="00B32A45">
        <w:tab/>
        <w:t>For subparagraphs 3.43(1)(b)(ii) and (c)(ii), method 2A is:</w:t>
      </w:r>
    </w:p>
    <w:p w:rsidR="00C17B3A" w:rsidRPr="00B32A45" w:rsidRDefault="00C17B3A" w:rsidP="00C17B3A">
      <w:pPr>
        <w:pStyle w:val="subsection2"/>
      </w:pPr>
      <w:r w:rsidRPr="00B32A45">
        <w:rPr>
          <w:noProof/>
        </w:rPr>
        <w:drawing>
          <wp:inline distT="0" distB="0" distL="0" distR="0" wp14:anchorId="3961A34E" wp14:editId="71C2AC7E">
            <wp:extent cx="1318895" cy="2755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895" cy="275590"/>
                    </a:xfrm>
                    <a:prstGeom prst="rect">
                      <a:avLst/>
                    </a:prstGeom>
                    <a:noFill/>
                    <a:ln>
                      <a:noFill/>
                    </a:ln>
                  </pic:spPr>
                </pic:pic>
              </a:graphicData>
            </a:graphic>
          </wp:inline>
        </w:drawing>
      </w:r>
    </w:p>
    <w:p w:rsidR="00C17B3A" w:rsidRPr="00B32A45" w:rsidRDefault="00C17B3A" w:rsidP="00C17B3A">
      <w:pPr>
        <w:pStyle w:val="subsection2"/>
      </w:pPr>
      <w:r w:rsidRPr="00B32A45">
        <w:lastRenderedPageBreak/>
        <w:t>where:</w:t>
      </w:r>
    </w:p>
    <w:p w:rsidR="00C17B3A" w:rsidRPr="00B32A45" w:rsidRDefault="00C17B3A" w:rsidP="00C17B3A">
      <w:pPr>
        <w:pStyle w:val="tDefn"/>
      </w:pPr>
      <w:r w:rsidRPr="00B32A45">
        <w:rPr>
          <w:b/>
          <w:i/>
        </w:rPr>
        <w:t>EF</w:t>
      </w:r>
      <w:r w:rsidRPr="00B32A45">
        <w:rPr>
          <w:b/>
          <w:i/>
          <w:vertAlign w:val="subscript"/>
        </w:rPr>
        <w:t>hij</w:t>
      </w:r>
      <w:r w:rsidRPr="00B32A45">
        <w:t xml:space="preserve"> is the emission factor of gas type (</w:t>
      </w:r>
      <w:r w:rsidRPr="00B32A45">
        <w:rPr>
          <w:b/>
          <w:i/>
        </w:rPr>
        <w:t>j</w:t>
      </w:r>
      <w:r w:rsidRPr="00B32A45">
        <w:t>), being methane or nitrous oxide, for the total hydrocarbons (</w:t>
      </w:r>
      <w:r w:rsidRPr="00B32A45">
        <w:rPr>
          <w:b/>
          <w:i/>
        </w:rPr>
        <w:t>h</w:t>
      </w:r>
      <w:r w:rsidRPr="00B32A45">
        <w:t>) within the fuel type (</w:t>
      </w:r>
      <w:r w:rsidRPr="00B32A45">
        <w:rPr>
          <w:b/>
          <w:i/>
        </w:rPr>
        <w:t>i</w:t>
      </w:r>
      <w:r w:rsidRPr="00B32A45">
        <w:t>) in oil or gas exploration and development during the year, mentioned for the fuel type in the table in subsection 3.44(2) and measured in CO</w:t>
      </w:r>
      <w:r w:rsidRPr="00B32A45">
        <w:rPr>
          <w:vertAlign w:val="subscript"/>
        </w:rPr>
        <w:t>2</w:t>
      </w:r>
      <w:r w:rsidRPr="00B32A45">
        <w:noBreakHyphen/>
        <w:t>e tonnes per tonne of the fuel type (</w:t>
      </w:r>
      <w:r w:rsidRPr="00B32A45">
        <w:rPr>
          <w:b/>
          <w:i/>
        </w:rPr>
        <w:t>i</w:t>
      </w:r>
      <w:r w:rsidRPr="00B32A45">
        <w:t>) flared.</w:t>
      </w:r>
    </w:p>
    <w:p w:rsidR="00C17B3A" w:rsidRPr="00B32A45" w:rsidRDefault="00C17B3A" w:rsidP="00C17B3A">
      <w:pPr>
        <w:pStyle w:val="tDefn"/>
      </w:pPr>
      <w:r w:rsidRPr="00B32A45">
        <w:rPr>
          <w:b/>
          <w:i/>
        </w:rPr>
        <w:t>E</w:t>
      </w:r>
      <w:r w:rsidRPr="00B32A45">
        <w:rPr>
          <w:b/>
          <w:i/>
          <w:vertAlign w:val="subscript"/>
        </w:rPr>
        <w:t>ij</w:t>
      </w:r>
      <w:r w:rsidRPr="00B32A45">
        <w:t xml:space="preserve"> is the fugitive emissions of gas type (</w:t>
      </w:r>
      <w:r w:rsidRPr="00B32A45">
        <w:rPr>
          <w:b/>
          <w:i/>
        </w:rPr>
        <w:t>j</w:t>
      </w:r>
      <w:r w:rsidRPr="00B32A45">
        <w:t>), being methane or nitrous oxide, from fuel type (</w:t>
      </w:r>
      <w:r w:rsidRPr="00B32A45">
        <w:rPr>
          <w:b/>
          <w:i/>
        </w:rPr>
        <w:t>i</w:t>
      </w:r>
      <w:r w:rsidRPr="00B32A45">
        <w:t>) flared</w:t>
      </w:r>
      <w:r w:rsidRPr="00B32A45">
        <w:rPr>
          <w:i/>
        </w:rPr>
        <w:t xml:space="preserve"> </w:t>
      </w:r>
      <w:r w:rsidRPr="00B32A45">
        <w:t>from oil or gas exploration and development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w:t>
      </w:r>
      <w:r w:rsidRPr="00B32A45">
        <w:rPr>
          <w:b/>
          <w:i/>
          <w:vertAlign w:val="subscript"/>
        </w:rPr>
        <w:t>h</w:t>
      </w:r>
      <w:r w:rsidRPr="00B32A45">
        <w:t xml:space="preserve"> is the total quantity of hydrocarbons (</w:t>
      </w:r>
      <w:r w:rsidRPr="00B32A45">
        <w:rPr>
          <w:b/>
          <w:i/>
        </w:rPr>
        <w:t>h</w:t>
      </w:r>
      <w:r w:rsidRPr="00B32A45">
        <w:t>) within the fuel type (</w:t>
      </w:r>
      <w:r w:rsidRPr="00B32A45">
        <w:rPr>
          <w:b/>
          <w:i/>
        </w:rPr>
        <w:t>i</w:t>
      </w:r>
      <w:r w:rsidRPr="00B32A45">
        <w:t>) in oil or gas exploration and development during the year, measured in tonnes in accordance with Division 2.3.3 for gaseous fuels or Division 2.4.3 for liquid fuels.</w:t>
      </w:r>
    </w:p>
    <w:p w:rsidR="00C17B3A" w:rsidRPr="00B32A45" w:rsidRDefault="00C17B3A" w:rsidP="00C17B3A">
      <w:pPr>
        <w:pStyle w:val="h5Section"/>
      </w:pPr>
      <w:bookmarkStart w:id="29" w:name="_Toc486862043"/>
      <w:r w:rsidRPr="00B32A45">
        <w:rPr>
          <w:rStyle w:val="CharSectno"/>
        </w:rPr>
        <w:t>3.46</w:t>
      </w:r>
      <w:r w:rsidRPr="00B32A45">
        <w:t xml:space="preserve">  Method 3—oil or gas exploration</w:t>
      </w:r>
      <w:bookmarkEnd w:id="29"/>
      <w:r w:rsidRPr="00B32A45">
        <w:t xml:space="preserve"> and development</w:t>
      </w:r>
    </w:p>
    <w:p w:rsidR="00C17B3A" w:rsidRPr="00B32A45" w:rsidRDefault="00C17B3A" w:rsidP="00C17B3A">
      <w:pPr>
        <w:pStyle w:val="h6Subsec"/>
      </w:pPr>
      <w:r w:rsidRPr="00B32A45">
        <w:t>Combustion of gaseous fuels (flared) emissions</w:t>
      </w:r>
    </w:p>
    <w:p w:rsidR="00C17B3A" w:rsidRPr="00B32A45" w:rsidRDefault="00C17B3A" w:rsidP="00C17B3A">
      <w:pPr>
        <w:pStyle w:val="tMain"/>
      </w:pPr>
      <w:r w:rsidRPr="00B32A45">
        <w:tab/>
        <w:t>(1)</w:t>
      </w:r>
      <w:r w:rsidRPr="00B32A45">
        <w:tab/>
        <w:t xml:space="preserve">For subparagraph 3.43(1)(a)(iii), method 3 for the combustion of gaseous fuels is the same as method 2, but the carbon dioxide emissions factor </w:t>
      </w:r>
      <w:r w:rsidRPr="00B32A45">
        <w:rPr>
          <w:b/>
          <w:i/>
        </w:rPr>
        <w:t>EF</w:t>
      </w:r>
      <w:r w:rsidRPr="00B32A45">
        <w:rPr>
          <w:rStyle w:val="charSubscript"/>
          <w:b/>
          <w:i/>
        </w:rPr>
        <w:t>h</w:t>
      </w:r>
      <w:r w:rsidRPr="00B32A45">
        <w:t xml:space="preserve"> must be determined in accordance with method 3 in Division 2.3.4.</w:t>
      </w:r>
    </w:p>
    <w:p w:rsidR="00C17B3A" w:rsidRPr="00B32A45" w:rsidRDefault="00C17B3A" w:rsidP="00C17B3A">
      <w:pPr>
        <w:pStyle w:val="h6Subsec"/>
      </w:pPr>
      <w:r w:rsidRPr="00B32A45">
        <w:t>Combustion of liquid fuels (flared) emissions</w:t>
      </w:r>
    </w:p>
    <w:p w:rsidR="00C17B3A" w:rsidRPr="00B32A45" w:rsidRDefault="00C17B3A" w:rsidP="00C17B3A">
      <w:pPr>
        <w:pStyle w:val="tMain"/>
      </w:pPr>
      <w:r w:rsidRPr="00B32A45">
        <w:tab/>
        <w:t>(2)</w:t>
      </w:r>
      <w:r w:rsidRPr="00B32A45">
        <w:tab/>
        <w:t xml:space="preserve">For subparagraph 3.43(1)(a)(iii), method 3 for the combustion of liquid fuels is the same as method 2, but the carbon dioxide emissions factor </w:t>
      </w:r>
      <w:r w:rsidRPr="00B32A45">
        <w:rPr>
          <w:b/>
          <w:i/>
        </w:rPr>
        <w:t>EF</w:t>
      </w:r>
      <w:r w:rsidRPr="00B32A45">
        <w:rPr>
          <w:rStyle w:val="charSubscript"/>
          <w:b/>
          <w:i/>
        </w:rPr>
        <w:t>h</w:t>
      </w:r>
      <w:r w:rsidRPr="00B32A45">
        <w:t xml:space="preserve"> must be determined in accordance with method 3 in Division 2.4.4.</w:t>
      </w:r>
    </w:p>
    <w:p w:rsidR="00C17B3A" w:rsidRPr="00B32A45" w:rsidRDefault="00C17B3A" w:rsidP="00C17B3A">
      <w:pPr>
        <w:pStyle w:val="h4Subdiv"/>
      </w:pPr>
      <w:bookmarkStart w:id="30" w:name="_Toc486862044"/>
      <w:r w:rsidRPr="00B32A45">
        <w:rPr>
          <w:rStyle w:val="CharSubdNo"/>
        </w:rPr>
        <w:t>Subdivision 3.3.2.3</w:t>
      </w:r>
      <w:r w:rsidRPr="00B32A45">
        <w:t>—</w:t>
      </w:r>
      <w:r w:rsidRPr="00B32A45">
        <w:rPr>
          <w:rStyle w:val="CharSubdText"/>
        </w:rPr>
        <w:t xml:space="preserve">Oil or gas exploration and development—fugitive emissions from system upsets, accidents and deliberate releases </w:t>
      </w:r>
      <w:bookmarkEnd w:id="30"/>
    </w:p>
    <w:p w:rsidR="00C17B3A" w:rsidRPr="00B32A45" w:rsidRDefault="00C17B3A" w:rsidP="00C17B3A">
      <w:pPr>
        <w:pStyle w:val="h5Section"/>
      </w:pPr>
      <w:bookmarkStart w:id="31" w:name="_Toc486862045"/>
      <w:r w:rsidRPr="00B32A45">
        <w:rPr>
          <w:rStyle w:val="CharSectno"/>
        </w:rPr>
        <w:t>3.46A</w:t>
      </w:r>
      <w:r w:rsidRPr="00B32A45">
        <w:t xml:space="preserve">  Available methods</w:t>
      </w:r>
      <w:bookmarkEnd w:id="31"/>
    </w:p>
    <w:p w:rsidR="00C17B3A" w:rsidRPr="00B32A45" w:rsidRDefault="00C17B3A" w:rsidP="00C17B3A">
      <w:pPr>
        <w:pStyle w:val="tMain"/>
      </w:pPr>
      <w:r w:rsidRPr="00B32A45">
        <w:tab/>
        <w:t>(1)</w:t>
      </w:r>
      <w:r w:rsidRPr="00B32A45">
        <w:tab/>
        <w:t>Subject to section 1.18, the methods mentioned in subsections (2) and (3) must be used for estimating fugitive emissions that result from system upsets, accidents and deliberate releases during a reporting year from the operation of a facility that is constituted by oil or gas exploration and development.</w:t>
      </w:r>
    </w:p>
    <w:p w:rsidR="00C17B3A" w:rsidRPr="00B32A45" w:rsidRDefault="00C17B3A" w:rsidP="00C17B3A">
      <w:pPr>
        <w:pStyle w:val="tMain"/>
      </w:pPr>
      <w:r w:rsidRPr="00B32A45">
        <w:tab/>
        <w:t>(2)</w:t>
      </w:r>
      <w:r w:rsidRPr="00B32A45">
        <w:tab/>
        <w:t>To estimate emissions for methane and carbon dioxide that result from deliberate releases from process vents, systems upsets and accidents at a facility during a year, for each oil or gas exploration and development activity one of the following methods must be used:</w:t>
      </w:r>
    </w:p>
    <w:p w:rsidR="00C17B3A" w:rsidRPr="00B32A45" w:rsidRDefault="00C17B3A" w:rsidP="00C17B3A">
      <w:pPr>
        <w:pStyle w:val="tPara"/>
      </w:pPr>
      <w:r w:rsidRPr="00B32A45">
        <w:tab/>
        <w:t>(a)</w:t>
      </w:r>
      <w:r w:rsidRPr="00B32A45">
        <w:tab/>
        <w:t>method 1 under:</w:t>
      </w:r>
    </w:p>
    <w:p w:rsidR="00C17B3A" w:rsidRPr="00B32A45" w:rsidRDefault="00C17B3A" w:rsidP="00C17B3A">
      <w:pPr>
        <w:pStyle w:val="tSubpara"/>
      </w:pPr>
      <w:r w:rsidRPr="00B32A45">
        <w:tab/>
        <w:t>(i)</w:t>
      </w:r>
      <w:r w:rsidRPr="00B32A45">
        <w:tab/>
        <w:t>section 3.46AB (natural gas well completions); and</w:t>
      </w:r>
      <w:r w:rsidRPr="00B32A45">
        <w:tab/>
      </w:r>
    </w:p>
    <w:p w:rsidR="00C17B3A" w:rsidRDefault="00C17B3A" w:rsidP="00C17B3A">
      <w:pPr>
        <w:pStyle w:val="tSubpara"/>
      </w:pPr>
      <w:r w:rsidRPr="00B32A45">
        <w:tab/>
        <w:t>(ii)</w:t>
      </w:r>
      <w:r w:rsidRPr="00B32A45">
        <w:tab/>
        <w:t>section 3.56B (emissions from system upsets, accidents and deliberate releases from process vents); and</w:t>
      </w:r>
    </w:p>
    <w:p w:rsidR="00361ECE" w:rsidRPr="00B32A45" w:rsidRDefault="00361ECE" w:rsidP="00361ECE">
      <w:pPr>
        <w:pStyle w:val="tSubpara"/>
      </w:pPr>
      <w:r w:rsidRPr="00B32A45">
        <w:tab/>
        <w:t>(i</w:t>
      </w:r>
      <w:r>
        <w:t>ii</w:t>
      </w:r>
      <w:r w:rsidRPr="00B32A45">
        <w:t>)</w:t>
      </w:r>
      <w:r w:rsidRPr="00B32A45">
        <w:tab/>
        <w:t>section 3.85B (cold process vents);</w:t>
      </w:r>
      <w:r>
        <w:t xml:space="preserve"> and</w:t>
      </w:r>
    </w:p>
    <w:p w:rsidR="00C17B3A" w:rsidRPr="00B32A45" w:rsidRDefault="00361ECE" w:rsidP="00C17B3A">
      <w:pPr>
        <w:pStyle w:val="tSubpara"/>
      </w:pPr>
      <w:r>
        <w:tab/>
        <w:t>(iv</w:t>
      </w:r>
      <w:r w:rsidR="00C17B3A" w:rsidRPr="00B32A45">
        <w:t>)</w:t>
      </w:r>
      <w:r w:rsidR="00C17B3A" w:rsidRPr="00B32A45">
        <w:tab/>
        <w:t>sec</w:t>
      </w:r>
      <w:r>
        <w:t xml:space="preserve">tion 3.85P (well workovers); </w:t>
      </w:r>
    </w:p>
    <w:p w:rsidR="00C17B3A" w:rsidRPr="00B32A45" w:rsidRDefault="00C17B3A" w:rsidP="00C17B3A">
      <w:pPr>
        <w:pStyle w:val="tPara"/>
      </w:pPr>
      <w:r w:rsidRPr="00B32A45">
        <w:tab/>
        <w:t>(b)</w:t>
      </w:r>
      <w:r w:rsidRPr="00B32A45">
        <w:tab/>
        <w:t>method 4 under:</w:t>
      </w:r>
    </w:p>
    <w:p w:rsidR="00C17B3A" w:rsidRPr="00B32A45" w:rsidRDefault="00C17B3A" w:rsidP="00C17B3A">
      <w:pPr>
        <w:pStyle w:val="tSubpara"/>
      </w:pPr>
      <w:r w:rsidRPr="00B32A45">
        <w:tab/>
        <w:t xml:space="preserve">(i) </w:t>
      </w:r>
      <w:r w:rsidRPr="00B32A45">
        <w:tab/>
        <w:t>for emissions of methane and carbon dioxide from natural gas well completions activities, well workovers, cold process vents and</w:t>
      </w:r>
      <w:r w:rsidR="00361ECE">
        <w:t xml:space="preserve"> well blowouts—section 3.46B; and</w:t>
      </w:r>
    </w:p>
    <w:p w:rsidR="00C17B3A" w:rsidRPr="00B32A45" w:rsidRDefault="00C17B3A" w:rsidP="00C17B3A">
      <w:pPr>
        <w:pStyle w:val="tSubpara"/>
      </w:pPr>
      <w:r w:rsidRPr="00B32A45">
        <w:lastRenderedPageBreak/>
        <w:tab/>
        <w:t>(ii)</w:t>
      </w:r>
      <w:r w:rsidRPr="00B32A45">
        <w:tab/>
        <w:t>for emissions and activities not mentioned in subparagraph (i)—Part 1.3.</w:t>
      </w:r>
    </w:p>
    <w:p w:rsidR="00C17B3A" w:rsidRPr="00B32A45" w:rsidRDefault="00C17B3A" w:rsidP="00C17B3A">
      <w:pPr>
        <w:pStyle w:val="tMain"/>
      </w:pPr>
      <w:r w:rsidRPr="00B32A45">
        <w:tab/>
        <w:t>(3)</w:t>
      </w:r>
      <w:r w:rsidRPr="00B32A45">
        <w:tab/>
        <w:t>For estimating incidental emissions that result from deliberate releases from process vents, system upsets and accidents during a year from the operation of the facility, another method may be used that is consistent with the principles mentioned in section 1.13.</w:t>
      </w:r>
    </w:p>
    <w:p w:rsidR="00C17B3A" w:rsidRPr="00B32A45" w:rsidRDefault="00C17B3A" w:rsidP="00C17B3A">
      <w:pPr>
        <w:pStyle w:val="nMain"/>
      </w:pPr>
      <w:r w:rsidRPr="00B32A45">
        <w:t>Note:</w:t>
      </w:r>
      <w:r w:rsidRPr="00B32A45">
        <w:tab/>
        <w:t>There is no method 2 or 3 for this Subdivision.</w:t>
      </w:r>
    </w:p>
    <w:p w:rsidR="00C17B3A" w:rsidRPr="00B32A45" w:rsidRDefault="00C17B3A" w:rsidP="00C17B3A">
      <w:pPr>
        <w:pStyle w:val="nMain"/>
        <w:ind w:left="0" w:firstLine="0"/>
      </w:pPr>
    </w:p>
    <w:p w:rsidR="00C17B3A" w:rsidRPr="00B32A45" w:rsidRDefault="00C17B3A" w:rsidP="00C17B3A">
      <w:pPr>
        <w:pStyle w:val="h4Subdiv"/>
        <w:rPr>
          <w:rStyle w:val="CharSectno"/>
        </w:rPr>
      </w:pPr>
      <w:bookmarkStart w:id="32" w:name="_Toc486862046"/>
      <w:r w:rsidRPr="00B32A45">
        <w:rPr>
          <w:rStyle w:val="CharSubdNo"/>
        </w:rPr>
        <w:t>Subdivision 3.3.2.3.1</w:t>
      </w:r>
      <w:r w:rsidRPr="00B32A45">
        <w:t>—</w:t>
      </w:r>
      <w:r w:rsidRPr="00B32A45">
        <w:rPr>
          <w:rStyle w:val="CharSubdText"/>
        </w:rPr>
        <w:t>Fugitive emissions that result from deliberate releases from process vents, system upsets and accidents</w:t>
      </w:r>
      <w:r w:rsidRPr="00B32A45">
        <w:t>–well completions</w:t>
      </w:r>
    </w:p>
    <w:p w:rsidR="00C17B3A" w:rsidRPr="00B32A45" w:rsidRDefault="00C17B3A" w:rsidP="00C17B3A">
      <w:pPr>
        <w:pStyle w:val="h5Section"/>
      </w:pPr>
      <w:r w:rsidRPr="00B32A45">
        <w:rPr>
          <w:rStyle w:val="CharSectno"/>
        </w:rPr>
        <w:t>3.46AB</w:t>
      </w:r>
      <w:r w:rsidRPr="00B32A45">
        <w:t xml:space="preserve">  Method 1—vented emissions from natural gas well completions </w:t>
      </w:r>
      <w:r w:rsidRPr="00B32A45" w:rsidDel="00C00A7F">
        <w:t xml:space="preserve"> </w:t>
      </w:r>
    </w:p>
    <w:p w:rsidR="00C17B3A" w:rsidRPr="00B32A45" w:rsidRDefault="00C17B3A" w:rsidP="00C17B3A">
      <w:pPr>
        <w:pStyle w:val="tMain"/>
      </w:pPr>
      <w:r w:rsidRPr="00B32A45">
        <w:tab/>
        <w:t xml:space="preserve">(1) </w:t>
      </w:r>
      <w:r w:rsidRPr="00B32A45">
        <w:tab/>
        <w:t>Method 1 is:</w:t>
      </w:r>
    </w:p>
    <w:p w:rsidR="00C17B3A" w:rsidRPr="00217B5D" w:rsidRDefault="00C17B3A" w:rsidP="00C17B3A">
      <w:pPr>
        <w:pStyle w:val="tMain"/>
        <w:spacing w:before="120" w:after="120"/>
        <w:rPr>
          <w:rFonts w:ascii="Times New Roman Bold" w:hAnsi="Times New Roman Bold"/>
          <w:sz w:val="28"/>
          <w:szCs w:val="28"/>
        </w:rPr>
      </w:pPr>
      <w:r w:rsidRPr="00B32A45">
        <w:tab/>
      </w:r>
      <w:r w:rsidRPr="00217B5D">
        <w:rPr>
          <w:sz w:val="28"/>
          <w:szCs w:val="28"/>
        </w:rPr>
        <w:tab/>
        <w:t>E</w:t>
      </w:r>
      <w:r w:rsidRPr="00217B5D">
        <w:rPr>
          <w:sz w:val="28"/>
          <w:szCs w:val="28"/>
          <w:vertAlign w:val="subscript"/>
        </w:rPr>
        <w:t xml:space="preserve">ij  </w:t>
      </w:r>
      <w:r w:rsidRPr="00217B5D">
        <w:rPr>
          <w:sz w:val="28"/>
          <w:szCs w:val="28"/>
        </w:rPr>
        <w:t xml:space="preserve">= </w:t>
      </w:r>
      <w:r w:rsidRPr="00217B5D">
        <w:rPr>
          <w:i/>
          <w:sz w:val="28"/>
          <w:szCs w:val="28"/>
        </w:rPr>
        <w:t>Σ</w:t>
      </w:r>
      <w:r w:rsidRPr="00217B5D">
        <w:rPr>
          <w:i/>
          <w:sz w:val="28"/>
          <w:szCs w:val="28"/>
          <w:vertAlign w:val="subscript"/>
        </w:rPr>
        <w:t>k</w:t>
      </w:r>
      <w:r w:rsidRPr="00217B5D">
        <w:rPr>
          <w:i/>
          <w:sz w:val="28"/>
          <w:szCs w:val="28"/>
        </w:rPr>
        <w:t xml:space="preserve"> </w:t>
      </w:r>
      <w:r w:rsidRPr="00217B5D">
        <w:rPr>
          <w:i/>
          <w:sz w:val="28"/>
          <w:szCs w:val="28"/>
          <w:vertAlign w:val="subscript"/>
        </w:rPr>
        <w:t xml:space="preserve">  </w:t>
      </w:r>
      <w:r w:rsidRPr="00217B5D">
        <w:rPr>
          <w:sz w:val="28"/>
          <w:szCs w:val="28"/>
        </w:rPr>
        <w:t>Q</w:t>
      </w:r>
      <w:r w:rsidRPr="00217B5D">
        <w:rPr>
          <w:sz w:val="28"/>
          <w:szCs w:val="28"/>
          <w:vertAlign w:val="subscript"/>
        </w:rPr>
        <w:t xml:space="preserve">ik   </w:t>
      </w:r>
      <w:r w:rsidRPr="00217B5D">
        <w:rPr>
          <w:rFonts w:ascii="Times New Roman Bold" w:hAnsi="Times New Roman Bold"/>
          <w:sz w:val="28"/>
          <w:szCs w:val="28"/>
        </w:rPr>
        <w:t>×</w:t>
      </w:r>
      <w:r w:rsidRPr="00217B5D">
        <w:rPr>
          <w:sz w:val="28"/>
          <w:szCs w:val="28"/>
          <w:vertAlign w:val="subscript"/>
        </w:rPr>
        <w:t xml:space="preserve">  </w:t>
      </w:r>
      <w:r w:rsidRPr="00217B5D">
        <w:rPr>
          <w:sz w:val="28"/>
          <w:szCs w:val="28"/>
        </w:rPr>
        <w:t>EF</w:t>
      </w:r>
      <w:r w:rsidRPr="00217B5D">
        <w:rPr>
          <w:sz w:val="28"/>
          <w:szCs w:val="28"/>
          <w:vertAlign w:val="subscript"/>
        </w:rPr>
        <w:t xml:space="preserve">ijk  </w:t>
      </w:r>
      <w:r w:rsidRPr="00217B5D">
        <w:rPr>
          <w:rFonts w:ascii="Times New Roman Bold" w:hAnsi="Times New Roman Bold"/>
          <w:sz w:val="28"/>
          <w:szCs w:val="28"/>
        </w:rPr>
        <w:t xml:space="preserve">× </w:t>
      </w:r>
      <w:r w:rsidRPr="00217B5D">
        <w:rPr>
          <w:sz w:val="28"/>
          <w:szCs w:val="28"/>
        </w:rPr>
        <w:t>S</w:t>
      </w:r>
      <w:r w:rsidRPr="00217B5D">
        <w:rPr>
          <w:sz w:val="28"/>
          <w:szCs w:val="28"/>
          <w:vertAlign w:val="subscript"/>
        </w:rPr>
        <w:t xml:space="preserve">ij </w:t>
      </w:r>
      <w:r w:rsidRPr="00217B5D">
        <w:rPr>
          <w:sz w:val="28"/>
          <w:szCs w:val="28"/>
        </w:rPr>
        <w:t>/</w:t>
      </w:r>
      <w:r w:rsidRPr="00217B5D">
        <w:rPr>
          <w:sz w:val="28"/>
          <w:szCs w:val="28"/>
          <w:vertAlign w:val="subscript"/>
        </w:rPr>
        <w:t xml:space="preserve"> </w:t>
      </w:r>
      <w:r w:rsidRPr="00217B5D">
        <w:rPr>
          <w:sz w:val="28"/>
          <w:szCs w:val="28"/>
        </w:rPr>
        <w:t>SD</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gas type (</w:t>
      </w:r>
      <w:r w:rsidRPr="00B32A45">
        <w:rPr>
          <w:b/>
          <w:i/>
        </w:rPr>
        <w:t>j</w:t>
      </w:r>
      <w:r w:rsidRPr="00B32A45">
        <w:t xml:space="preserve">), being methane or carbon dioxide, vented from the </w:t>
      </w:r>
      <w:r w:rsidR="009D075C">
        <w:t>natural</w:t>
      </w:r>
      <w:r w:rsidRPr="00B32A45">
        <w:t xml:space="preserve"> gas exploration and development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all of the equipment of type (</w:t>
      </w:r>
      <w:r w:rsidRPr="00B32A45">
        <w:rPr>
          <w:b/>
          <w:i/>
        </w:rPr>
        <w:t>k</w:t>
      </w:r>
      <w:r w:rsidRPr="00B32A45">
        <w:t xml:space="preserve">) specified in column 2 of the table in subsection (2), if the equipment is used in the </w:t>
      </w:r>
      <w:r w:rsidR="009D075C">
        <w:t>natural</w:t>
      </w:r>
      <w:r w:rsidRPr="00B32A45">
        <w:t xml:space="preserve"> gas exploration and development.</w:t>
      </w:r>
    </w:p>
    <w:p w:rsidR="00DD2C8C" w:rsidRPr="008270B0" w:rsidRDefault="00C17B3A" w:rsidP="00DD2C8C">
      <w:pPr>
        <w:pStyle w:val="tDefn"/>
      </w:pPr>
      <w:r w:rsidRPr="00B32A45">
        <w:rPr>
          <w:b/>
          <w:i/>
        </w:rPr>
        <w:t>Q</w:t>
      </w:r>
      <w:r w:rsidRPr="00B32A45">
        <w:rPr>
          <w:b/>
          <w:i/>
          <w:vertAlign w:val="subscript"/>
        </w:rPr>
        <w:t xml:space="preserve">ik </w:t>
      </w:r>
      <w:r w:rsidRPr="00B32A45">
        <w:t>is the total of the number of well completion events for equipment of type (</w:t>
      </w:r>
      <w:r w:rsidRPr="00B32A45">
        <w:rPr>
          <w:b/>
          <w:i/>
        </w:rPr>
        <w:t>k</w:t>
      </w:r>
      <w:r w:rsidRPr="00B32A45">
        <w:t xml:space="preserve">) specified in column 2 of the table in subsection (2) </w:t>
      </w:r>
      <w:r w:rsidRPr="008270B0">
        <w:t xml:space="preserve">during the year, if the equipment is used in the </w:t>
      </w:r>
      <w:r w:rsidR="009D075C">
        <w:t>natural</w:t>
      </w:r>
      <w:r w:rsidRPr="008270B0">
        <w:t xml:space="preserve"> gas exploration and development.</w:t>
      </w:r>
    </w:p>
    <w:p w:rsidR="00DD2C8C" w:rsidRPr="008270B0" w:rsidRDefault="00DD2C8C" w:rsidP="00DD2C8C">
      <w:pPr>
        <w:pStyle w:val="nMain"/>
      </w:pPr>
      <w:r w:rsidRPr="008270B0">
        <w:t>Note:</w:t>
      </w:r>
      <w:r w:rsidRPr="008270B0">
        <w:tab/>
        <w:t>Consistent with subsection 3.41(2), a well completion event should be</w:t>
      </w:r>
      <w:r w:rsidR="00183C90" w:rsidRPr="008270B0">
        <w:t xml:space="preserve"> reported for a single reporting year and not separately in two consecutive years.</w:t>
      </w:r>
    </w:p>
    <w:p w:rsidR="00C17B3A" w:rsidRPr="00B32A45" w:rsidRDefault="00C17B3A" w:rsidP="00C17B3A">
      <w:pPr>
        <w:pStyle w:val="tDefn"/>
      </w:pPr>
      <w:r w:rsidRPr="008270B0">
        <w:rPr>
          <w:b/>
          <w:i/>
        </w:rPr>
        <w:t>EF</w:t>
      </w:r>
      <w:r w:rsidRPr="008270B0">
        <w:rPr>
          <w:b/>
          <w:i/>
          <w:vertAlign w:val="subscript"/>
        </w:rPr>
        <w:t>ijk</w:t>
      </w:r>
      <w:r w:rsidRPr="008270B0">
        <w:rPr>
          <w:b/>
          <w:i/>
        </w:rPr>
        <w:t xml:space="preserve"> </w:t>
      </w:r>
      <w:r w:rsidRPr="008270B0">
        <w:t>is the emission factor for gas type (</w:t>
      </w:r>
      <w:r w:rsidRPr="008270B0">
        <w:rPr>
          <w:b/>
          <w:i/>
        </w:rPr>
        <w:t>j</w:t>
      </w:r>
      <w:r w:rsidRPr="008270B0">
        <w:t>), being methane or</w:t>
      </w:r>
      <w:r w:rsidRPr="00B32A45">
        <w:t xml:space="preserve"> carbon dioxide, measured in tonnes of CO</w:t>
      </w:r>
      <w:r w:rsidRPr="00B32A45">
        <w:rPr>
          <w:rStyle w:val="charSubscript"/>
          <w:iCs/>
        </w:rPr>
        <w:t>2</w:t>
      </w:r>
      <w:r w:rsidRPr="00B32A45">
        <w:noBreakHyphen/>
        <w:t>e per well completion event using equipment type (</w:t>
      </w:r>
      <w:r w:rsidRPr="00B32A45">
        <w:rPr>
          <w:b/>
          <w:i/>
        </w:rPr>
        <w:t>k</w:t>
      </w:r>
      <w:r w:rsidRPr="00B32A45">
        <w:t>) specified in column 2 of the table in subsection (2) during the year, if the equipment is used in the natural gas exploration and development.</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natural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natural gas (</w:t>
      </w:r>
      <w:r w:rsidRPr="00B32A45">
        <w:rPr>
          <w:b/>
          <w:i/>
        </w:rPr>
        <w:t>i</w:t>
      </w:r>
      <w:r w:rsidRPr="00B32A45">
        <w:t>), for methane SD is 0.832 and for carbon dioxide SD is 0.0345.</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vertAlign w:val="subscript"/>
        </w:rPr>
        <w:t xml:space="preserve"> </w:t>
      </w:r>
      <w:r w:rsidRPr="00B32A45">
        <w:t>mentioned in subsection (1), column 3 of an item in the following table specifies the emission factor for methane for an equipment of type (</w:t>
      </w:r>
      <w:r w:rsidRPr="00B32A45">
        <w:rPr>
          <w:b/>
          <w:i/>
        </w:rPr>
        <w:t>k</w:t>
      </w:r>
      <w:r w:rsidRPr="00B32A45">
        <w:t>) specified in column 2 of that item and column 4 of an item in the following table specifies the emission factor for carbon dioxide for an equipment of type (</w:t>
      </w:r>
      <w:r w:rsidRPr="00B32A45">
        <w:rPr>
          <w:b/>
          <w:i/>
        </w:rPr>
        <w:t>k</w:t>
      </w:r>
      <w:r w:rsidRPr="00B32A45">
        <w:t>) spec</w:t>
      </w:r>
      <w:r w:rsidR="00524E7C">
        <w:t>ified in column 2 of that item:</w:t>
      </w:r>
    </w:p>
    <w:tbl>
      <w:tblPr>
        <w:tblW w:w="5000" w:type="pct"/>
        <w:tblLook w:val="0000" w:firstRow="0" w:lastRow="0" w:firstColumn="0" w:lastColumn="0" w:noHBand="0" w:noVBand="0"/>
      </w:tblPr>
      <w:tblGrid>
        <w:gridCol w:w="802"/>
        <w:gridCol w:w="3228"/>
        <w:gridCol w:w="1713"/>
        <w:gridCol w:w="1368"/>
        <w:gridCol w:w="1915"/>
      </w:tblGrid>
      <w:tr w:rsidR="00C17B3A" w:rsidRPr="00B32A45" w:rsidTr="00DB6238">
        <w:trPr>
          <w:cantSplit/>
          <w:tblHeader/>
        </w:trPr>
        <w:tc>
          <w:tcPr>
            <w:tcW w:w="444" w:type="pct"/>
            <w:tcBorders>
              <w:top w:val="single" w:sz="12" w:space="0" w:color="auto"/>
            </w:tcBorders>
            <w:shd w:val="clear" w:color="auto" w:fill="auto"/>
          </w:tcPr>
          <w:p w:rsidR="00C17B3A" w:rsidRPr="00B32A45" w:rsidRDefault="00C17B3A" w:rsidP="00DB6238">
            <w:pPr>
              <w:pStyle w:val="TableHeading"/>
            </w:pPr>
            <w:r w:rsidRPr="00B32A45">
              <w:t>Item</w:t>
            </w:r>
          </w:p>
        </w:tc>
        <w:tc>
          <w:tcPr>
            <w:tcW w:w="1788" w:type="pct"/>
            <w:vMerge w:val="restart"/>
            <w:tcBorders>
              <w:top w:val="single" w:sz="12" w:space="0" w:color="auto"/>
            </w:tcBorders>
            <w:shd w:val="clear" w:color="auto" w:fill="auto"/>
          </w:tcPr>
          <w:p w:rsidR="00C17B3A" w:rsidRPr="00B32A45" w:rsidRDefault="00C17B3A" w:rsidP="00DB6238">
            <w:pPr>
              <w:pStyle w:val="TableHeading"/>
            </w:pPr>
            <w:r w:rsidRPr="00B32A45">
              <w:t>Equipment type (k)</w:t>
            </w:r>
          </w:p>
        </w:tc>
        <w:tc>
          <w:tcPr>
            <w:tcW w:w="2768" w:type="pct"/>
            <w:gridSpan w:val="3"/>
            <w:tcBorders>
              <w:top w:val="single" w:sz="12" w:space="0" w:color="auto"/>
            </w:tcBorders>
          </w:tcPr>
          <w:p w:rsidR="00C17B3A" w:rsidRPr="00B32A45" w:rsidRDefault="00C17B3A" w:rsidP="00DB6238">
            <w:pPr>
              <w:pStyle w:val="TableHeading"/>
              <w:jc w:val="center"/>
            </w:pPr>
            <w:r w:rsidRPr="00B32A45">
              <w:t xml:space="preserve">Emission factor for gas type (j) </w:t>
            </w:r>
          </w:p>
        </w:tc>
      </w:tr>
      <w:tr w:rsidR="00C17B3A" w:rsidRPr="00B32A45" w:rsidTr="00DB6238">
        <w:trPr>
          <w:cantSplit/>
          <w:tblHeader/>
        </w:trPr>
        <w:tc>
          <w:tcPr>
            <w:tcW w:w="444" w:type="pct"/>
            <w:tcBorders>
              <w:bottom w:val="single" w:sz="12" w:space="0" w:color="auto"/>
            </w:tcBorders>
            <w:shd w:val="clear" w:color="auto" w:fill="auto"/>
          </w:tcPr>
          <w:p w:rsidR="00C17B3A" w:rsidRPr="00B32A45" w:rsidRDefault="00C17B3A" w:rsidP="00DB6238">
            <w:pPr>
              <w:pStyle w:val="TableHeading"/>
            </w:pPr>
          </w:p>
        </w:tc>
        <w:tc>
          <w:tcPr>
            <w:tcW w:w="1788" w:type="pct"/>
            <w:vMerge/>
            <w:tcBorders>
              <w:bottom w:val="single" w:sz="12" w:space="0" w:color="auto"/>
            </w:tcBorders>
            <w:shd w:val="clear" w:color="auto" w:fill="auto"/>
          </w:tcPr>
          <w:p w:rsidR="00C17B3A" w:rsidRPr="00B32A45" w:rsidRDefault="00C17B3A" w:rsidP="00DB6238">
            <w:pPr>
              <w:pStyle w:val="TableHeading"/>
            </w:pPr>
          </w:p>
        </w:tc>
        <w:tc>
          <w:tcPr>
            <w:tcW w:w="949" w:type="pct"/>
            <w:tcBorders>
              <w:bottom w:val="single" w:sz="12" w:space="0" w:color="auto"/>
            </w:tcBorders>
          </w:tcPr>
          <w:p w:rsidR="00C17B3A" w:rsidRPr="00B32A45" w:rsidRDefault="00C17B3A" w:rsidP="00DB6238">
            <w:pPr>
              <w:pStyle w:val="TableHeading"/>
              <w:jc w:val="center"/>
            </w:pPr>
            <w:r w:rsidRPr="00B32A45">
              <w:t>CH</w:t>
            </w:r>
            <w:r w:rsidRPr="00B32A45">
              <w:rPr>
                <w:vertAlign w:val="subscript"/>
              </w:rPr>
              <w:t>4</w:t>
            </w:r>
          </w:p>
        </w:tc>
        <w:tc>
          <w:tcPr>
            <w:tcW w:w="758" w:type="pct"/>
            <w:tcBorders>
              <w:bottom w:val="single" w:sz="12" w:space="0" w:color="auto"/>
            </w:tcBorders>
          </w:tcPr>
          <w:p w:rsidR="00C17B3A" w:rsidRPr="00B32A45" w:rsidRDefault="00C17B3A" w:rsidP="00DB6238">
            <w:pPr>
              <w:pStyle w:val="TableHeading"/>
              <w:jc w:val="center"/>
            </w:pPr>
            <w:r w:rsidRPr="00B32A45">
              <w:t>CO</w:t>
            </w:r>
            <w:r w:rsidRPr="00B32A45">
              <w:rPr>
                <w:rFonts w:ascii="Times New Roman Bold" w:hAnsi="Times New Roman Bold"/>
                <w:vertAlign w:val="subscript"/>
              </w:rPr>
              <w:t>2</w:t>
            </w:r>
          </w:p>
        </w:tc>
        <w:tc>
          <w:tcPr>
            <w:tcW w:w="1061" w:type="pct"/>
            <w:tcBorders>
              <w:top w:val="single" w:sz="4" w:space="0" w:color="auto"/>
              <w:bottom w:val="single" w:sz="12" w:space="0" w:color="auto"/>
            </w:tcBorders>
            <w:shd w:val="clear" w:color="auto" w:fill="auto"/>
          </w:tcPr>
          <w:p w:rsidR="00C17B3A" w:rsidRPr="00B32A45" w:rsidRDefault="00C17B3A" w:rsidP="00DB6238">
            <w:pPr>
              <w:pStyle w:val="TableHeading"/>
              <w:jc w:val="center"/>
            </w:pP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1</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 xml:space="preserve">Well completion without hydraulic fracturing </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5.5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1.1 × 10</w:t>
            </w:r>
            <w:r w:rsidRPr="00B32A45">
              <w:rPr>
                <w:vertAlign w:val="superscript"/>
              </w:rPr>
              <w:t>-2</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completion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lastRenderedPageBreak/>
              <w:t>2</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 xml:space="preserve">Well completion with hydraulic fracturing and venting (no flaring) </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1031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4.2</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completion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3</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 xml:space="preserve">Well completion with hydraulic fracturing with capture (no flaring) </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90.8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0.37</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completion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4</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 xml:space="preserve">Well completion with hydraulic fracturing and flaring </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136.6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0.56</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completion event</w:t>
            </w:r>
          </w:p>
        </w:tc>
      </w:tr>
    </w:tbl>
    <w:p w:rsidR="00C17B3A" w:rsidRPr="00B32A45" w:rsidRDefault="00C17B3A" w:rsidP="00C17B3A">
      <w:pPr>
        <w:pStyle w:val="h5Section"/>
      </w:pPr>
      <w:r w:rsidRPr="00B32A45">
        <w:rPr>
          <w:rStyle w:val="CharSectno"/>
        </w:rPr>
        <w:t>3.46B</w:t>
      </w:r>
      <w:r w:rsidRPr="00B32A45">
        <w:t xml:space="preserve">  Method 4—vented emissions from natural gas well completions, well workovers, cold process vents </w:t>
      </w:r>
      <w:bookmarkEnd w:id="32"/>
      <w:r w:rsidRPr="00B32A45">
        <w:t>and well blowouts</w:t>
      </w:r>
    </w:p>
    <w:p w:rsidR="00C17B3A" w:rsidRPr="00B32A45" w:rsidRDefault="00C17B3A" w:rsidP="00C17B3A">
      <w:pPr>
        <w:pStyle w:val="tMain"/>
      </w:pPr>
      <w:r w:rsidRPr="00B32A45">
        <w:tab/>
      </w:r>
      <w:r w:rsidRPr="00B32A45">
        <w:tab/>
        <w:t xml:space="preserve">Method 4 is, for natural gas well completion activities, well workovers, cold process vents and well blowouts, as described in section 5.7.1 of the API Compendium. </w:t>
      </w:r>
    </w:p>
    <w:p w:rsidR="00C17B3A" w:rsidRPr="00B32A45" w:rsidRDefault="00C17B3A" w:rsidP="00C17B3A">
      <w:pPr>
        <w:pStyle w:val="tPara"/>
      </w:pPr>
    </w:p>
    <w:p w:rsidR="00C17B3A" w:rsidRPr="00B32A45" w:rsidRDefault="00C17B3A" w:rsidP="00C17B3A">
      <w:pPr>
        <w:pStyle w:val="tPara"/>
      </w:pPr>
    </w:p>
    <w:p w:rsidR="00C17B3A" w:rsidRPr="00B32A45" w:rsidRDefault="00C17B3A" w:rsidP="00C17B3A">
      <w:pPr>
        <w:pStyle w:val="tPara"/>
      </w:pPr>
    </w:p>
    <w:p w:rsidR="00C17B3A" w:rsidRPr="00B32A45" w:rsidRDefault="00C17B3A" w:rsidP="00C17B3A">
      <w:pPr>
        <w:pStyle w:val="tPara"/>
      </w:pPr>
    </w:p>
    <w:p w:rsidR="00C17B3A" w:rsidRPr="00B32A45" w:rsidRDefault="00C17B3A" w:rsidP="00C17B3A">
      <w:pPr>
        <w:pStyle w:val="tPara"/>
      </w:pPr>
    </w:p>
    <w:p w:rsidR="00C17B3A" w:rsidRPr="00B32A45" w:rsidRDefault="00C17B3A" w:rsidP="00C17B3A">
      <w:pPr>
        <w:pStyle w:val="tPara"/>
      </w:pPr>
    </w:p>
    <w:p w:rsidR="00C17B3A" w:rsidRPr="00B32A45" w:rsidRDefault="00C17B3A" w:rsidP="00C17B3A">
      <w:pPr>
        <w:pStyle w:val="h3Div"/>
        <w:pageBreakBefore/>
      </w:pPr>
      <w:bookmarkStart w:id="33" w:name="_Toc486862047"/>
      <w:bookmarkStart w:id="34" w:name="_Toc69480118"/>
      <w:r w:rsidRPr="00B32A45">
        <w:rPr>
          <w:rStyle w:val="CharDivNo"/>
        </w:rPr>
        <w:lastRenderedPageBreak/>
        <w:t>Division 3.3.3</w:t>
      </w:r>
      <w:r w:rsidRPr="00B32A45">
        <w:t>—</w:t>
      </w:r>
      <w:r w:rsidRPr="00B32A45">
        <w:rPr>
          <w:rStyle w:val="CharDivText"/>
        </w:rPr>
        <w:t>Crude oil production</w:t>
      </w:r>
      <w:bookmarkEnd w:id="33"/>
      <w:bookmarkEnd w:id="34"/>
    </w:p>
    <w:p w:rsidR="00C17B3A" w:rsidRPr="00B32A45" w:rsidRDefault="00C17B3A" w:rsidP="00C17B3A">
      <w:pPr>
        <w:pStyle w:val="h4Subdiv"/>
      </w:pPr>
      <w:bookmarkStart w:id="35" w:name="_Toc486862048"/>
      <w:r w:rsidRPr="00B32A45">
        <w:rPr>
          <w:rStyle w:val="CharSubdNo"/>
        </w:rPr>
        <w:t>Subdivision 3.3.3.1</w:t>
      </w:r>
      <w:r w:rsidRPr="00B32A45">
        <w:t>—</w:t>
      </w:r>
      <w:r w:rsidRPr="00B32A45">
        <w:rPr>
          <w:rStyle w:val="CharSubdText"/>
        </w:rPr>
        <w:t>Preliminary</w:t>
      </w:r>
      <w:bookmarkEnd w:id="35"/>
    </w:p>
    <w:p w:rsidR="00C17B3A" w:rsidRPr="00B32A45" w:rsidRDefault="00C17B3A" w:rsidP="00C17B3A">
      <w:pPr>
        <w:pStyle w:val="h5Section"/>
      </w:pPr>
      <w:bookmarkStart w:id="36" w:name="_Toc486862049"/>
      <w:r w:rsidRPr="00B32A45">
        <w:rPr>
          <w:rStyle w:val="CharSectno"/>
        </w:rPr>
        <w:t>3.47</w:t>
      </w:r>
      <w:r w:rsidRPr="00B32A45">
        <w:t xml:space="preserve">  Application</w:t>
      </w:r>
      <w:bookmarkEnd w:id="36"/>
    </w:p>
    <w:p w:rsidR="00C17B3A" w:rsidRPr="00B32A45" w:rsidRDefault="00C17B3A" w:rsidP="00C17B3A">
      <w:pPr>
        <w:pStyle w:val="tMain"/>
      </w:pPr>
      <w:r w:rsidRPr="00B32A45">
        <w:tab/>
        <w:t>(1)</w:t>
      </w:r>
      <w:r w:rsidRPr="00B32A45">
        <w:tab/>
        <w:t>This Division applies to fugitive emissions from crude oil production activities, including emissions from flaring, from:</w:t>
      </w:r>
    </w:p>
    <w:p w:rsidR="00C17B3A" w:rsidRPr="00B32A45" w:rsidRDefault="00C17B3A" w:rsidP="00C17B3A">
      <w:pPr>
        <w:pStyle w:val="tPara"/>
      </w:pPr>
      <w:r w:rsidRPr="00B32A45">
        <w:tab/>
        <w:t>(a)</w:t>
      </w:r>
      <w:r w:rsidRPr="00B32A45">
        <w:tab/>
        <w:t>an oil wellhead; and</w:t>
      </w:r>
    </w:p>
    <w:p w:rsidR="00C17B3A" w:rsidRPr="00B32A45" w:rsidRDefault="00C17B3A" w:rsidP="00C17B3A">
      <w:pPr>
        <w:pStyle w:val="tPara"/>
      </w:pPr>
      <w:r w:rsidRPr="00B32A45">
        <w:tab/>
        <w:t>(b)</w:t>
      </w:r>
      <w:r w:rsidRPr="00B32A45">
        <w:tab/>
        <w:t>well servicing; and</w:t>
      </w:r>
    </w:p>
    <w:p w:rsidR="00C17B3A" w:rsidRPr="00B32A45" w:rsidRDefault="00C17B3A" w:rsidP="00C17B3A">
      <w:pPr>
        <w:pStyle w:val="tPara"/>
      </w:pPr>
      <w:r w:rsidRPr="00B32A45">
        <w:tab/>
        <w:t>(c)</w:t>
      </w:r>
      <w:r w:rsidRPr="00B32A45">
        <w:tab/>
        <w:t>oil sands mining; and</w:t>
      </w:r>
    </w:p>
    <w:p w:rsidR="00C17B3A" w:rsidRPr="00B32A45" w:rsidRDefault="00C17B3A" w:rsidP="00C17B3A">
      <w:pPr>
        <w:pStyle w:val="tPara"/>
      </w:pPr>
      <w:r w:rsidRPr="00B32A45">
        <w:tab/>
        <w:t>(d)</w:t>
      </w:r>
      <w:r w:rsidRPr="00B32A45">
        <w:tab/>
        <w:t>shale oil mining; and</w:t>
      </w:r>
    </w:p>
    <w:p w:rsidR="00C17B3A" w:rsidRPr="00B32A45" w:rsidRDefault="00C17B3A" w:rsidP="00C17B3A">
      <w:pPr>
        <w:pStyle w:val="tPara"/>
      </w:pPr>
      <w:r w:rsidRPr="00B32A45">
        <w:tab/>
        <w:t>(e)</w:t>
      </w:r>
      <w:r w:rsidRPr="00B32A45">
        <w:tab/>
        <w:t>the transportation of untreated production to treating or extraction plants; and</w:t>
      </w:r>
    </w:p>
    <w:p w:rsidR="00C17B3A" w:rsidRPr="00B32A45" w:rsidRDefault="00C17B3A" w:rsidP="00C17B3A">
      <w:pPr>
        <w:pStyle w:val="tPara"/>
      </w:pPr>
      <w:r w:rsidRPr="00B32A45">
        <w:tab/>
        <w:t>(f)</w:t>
      </w:r>
      <w:r w:rsidRPr="00B32A45">
        <w:tab/>
        <w:t>activities at extraction plants or heavy oil upgrading plants, and gas reinjection systems; and</w:t>
      </w:r>
    </w:p>
    <w:p w:rsidR="00C17B3A" w:rsidRPr="00B32A45" w:rsidRDefault="00C17B3A" w:rsidP="00C17B3A">
      <w:pPr>
        <w:pStyle w:val="tPara"/>
      </w:pPr>
      <w:r w:rsidRPr="00B32A45">
        <w:tab/>
        <w:t>(g)</w:t>
      </w:r>
      <w:r w:rsidRPr="00B32A45">
        <w:tab/>
        <w:t>activities at upgrading plants and associated gas reinjection systems.</w:t>
      </w:r>
    </w:p>
    <w:p w:rsidR="00C17B3A" w:rsidRPr="00B32A45" w:rsidRDefault="00C17B3A" w:rsidP="00C17B3A">
      <w:pPr>
        <w:pStyle w:val="tMain"/>
      </w:pPr>
      <w:r w:rsidRPr="00B32A45">
        <w:tab/>
        <w:t>(2)</w:t>
      </w:r>
      <w:r w:rsidRPr="00B32A45">
        <w:tab/>
        <w:t xml:space="preserve">For paragraph (1)(e), </w:t>
      </w:r>
      <w:r w:rsidRPr="00B32A45">
        <w:rPr>
          <w:b/>
          <w:i/>
        </w:rPr>
        <w:t>untreated production</w:t>
      </w:r>
      <w:r w:rsidRPr="00B32A45">
        <w:t xml:space="preserve"> includes:</w:t>
      </w:r>
    </w:p>
    <w:p w:rsidR="00C17B3A" w:rsidRPr="00B32A45" w:rsidRDefault="00C17B3A" w:rsidP="00C17B3A">
      <w:pPr>
        <w:pStyle w:val="tPara"/>
      </w:pPr>
      <w:r w:rsidRPr="00B32A45">
        <w:tab/>
        <w:t>(a)</w:t>
      </w:r>
      <w:r w:rsidRPr="00B32A45">
        <w:tab/>
        <w:t>well effluent; and</w:t>
      </w:r>
    </w:p>
    <w:p w:rsidR="00C17B3A" w:rsidRPr="00B32A45" w:rsidRDefault="00C17B3A" w:rsidP="00C17B3A">
      <w:pPr>
        <w:pStyle w:val="tPara"/>
      </w:pPr>
      <w:r w:rsidRPr="00B32A45">
        <w:tab/>
        <w:t>(b)</w:t>
      </w:r>
      <w:r w:rsidRPr="00B32A45">
        <w:tab/>
        <w:t>emulsion; and</w:t>
      </w:r>
    </w:p>
    <w:p w:rsidR="00C17B3A" w:rsidRPr="00B32A45" w:rsidRDefault="00C17B3A" w:rsidP="00C17B3A">
      <w:pPr>
        <w:pStyle w:val="tPara"/>
      </w:pPr>
      <w:r w:rsidRPr="00B32A45">
        <w:tab/>
        <w:t>(c)</w:t>
      </w:r>
      <w:r w:rsidRPr="00B32A45">
        <w:tab/>
        <w:t>oil shale; and</w:t>
      </w:r>
    </w:p>
    <w:p w:rsidR="00C17B3A" w:rsidRPr="00B32A45" w:rsidRDefault="00C17B3A" w:rsidP="00C17B3A">
      <w:pPr>
        <w:pStyle w:val="tPara"/>
      </w:pPr>
      <w:r w:rsidRPr="00B32A45">
        <w:tab/>
        <w:t>(d)</w:t>
      </w:r>
      <w:r w:rsidRPr="00B32A45">
        <w:tab/>
        <w:t>oil sands.</w:t>
      </w:r>
    </w:p>
    <w:p w:rsidR="00C17B3A" w:rsidRPr="00B32A45" w:rsidRDefault="00C17B3A" w:rsidP="00C17B3A">
      <w:pPr>
        <w:pStyle w:val="h4Subdiv"/>
      </w:pPr>
      <w:bookmarkStart w:id="37" w:name="_Toc486862050"/>
      <w:r w:rsidRPr="00B32A45">
        <w:rPr>
          <w:rStyle w:val="CharSubdNo"/>
        </w:rPr>
        <w:t>Subdivision 3.3.3.2</w:t>
      </w:r>
      <w:r w:rsidRPr="00B32A45">
        <w:t>—</w:t>
      </w:r>
      <w:r w:rsidRPr="00B32A45">
        <w:rPr>
          <w:rStyle w:val="CharSubdText"/>
        </w:rPr>
        <w:t>Crude oil production (non</w:t>
      </w:r>
      <w:r w:rsidRPr="00B32A45">
        <w:rPr>
          <w:rStyle w:val="CharSubdText"/>
        </w:rPr>
        <w:noBreakHyphen/>
        <w:t>flared)—fugitive leak emissions of methane</w:t>
      </w:r>
      <w:bookmarkEnd w:id="37"/>
    </w:p>
    <w:p w:rsidR="00C17B3A" w:rsidRPr="00B32A45" w:rsidRDefault="00C17B3A" w:rsidP="00C17B3A">
      <w:pPr>
        <w:pStyle w:val="h5Section"/>
      </w:pPr>
      <w:bookmarkStart w:id="38" w:name="_Toc486862051"/>
      <w:r w:rsidRPr="00B32A45">
        <w:rPr>
          <w:rStyle w:val="CharSectno"/>
        </w:rPr>
        <w:t>3.48</w:t>
      </w:r>
      <w:r w:rsidRPr="00B32A45">
        <w:t xml:space="preserve">  Available methods</w:t>
      </w:r>
      <w:bookmarkEnd w:id="38"/>
    </w:p>
    <w:p w:rsidR="00C17B3A" w:rsidRPr="00B32A45" w:rsidRDefault="00C17B3A" w:rsidP="00C17B3A">
      <w:pPr>
        <w:pStyle w:val="tMain"/>
      </w:pPr>
      <w:r w:rsidRPr="00B32A45">
        <w:tab/>
        <w:t>(1)</w:t>
      </w:r>
      <w:r w:rsidRPr="00B32A45">
        <w:tab/>
        <w:t>Subject to section 1.18, for estimating fugitive emissions of methane, other than fugitive emissions of methane specified in subsection (1A), during a year from the operation of a facility that is constituted by crude oil production, one of the following methods must be used:</w:t>
      </w:r>
    </w:p>
    <w:p w:rsidR="00C17B3A" w:rsidRPr="00B32A45" w:rsidRDefault="00C17B3A" w:rsidP="00C17B3A">
      <w:pPr>
        <w:pStyle w:val="tPara"/>
      </w:pPr>
      <w:r w:rsidRPr="00B32A45">
        <w:tab/>
        <w:t>(a)</w:t>
      </w:r>
      <w:r w:rsidRPr="00B32A45">
        <w:tab/>
        <w:t>method 1 under section 3.49;</w:t>
      </w:r>
    </w:p>
    <w:p w:rsidR="00C17B3A" w:rsidRPr="00B32A45" w:rsidRDefault="00C17B3A" w:rsidP="00C17B3A">
      <w:pPr>
        <w:pStyle w:val="tPara"/>
      </w:pPr>
      <w:r w:rsidRPr="00B32A45">
        <w:tab/>
        <w:t>(b)</w:t>
      </w:r>
      <w:r w:rsidRPr="00B32A45">
        <w:tab/>
        <w:t>method 2 under section 3.50;</w:t>
      </w:r>
    </w:p>
    <w:p w:rsidR="00C17B3A" w:rsidRPr="00B32A45" w:rsidRDefault="00C17B3A" w:rsidP="00C17B3A">
      <w:pPr>
        <w:pStyle w:val="tPara"/>
      </w:pPr>
      <w:r w:rsidRPr="00B32A45">
        <w:tab/>
        <w:t>(c)</w:t>
      </w:r>
      <w:r w:rsidRPr="00B32A45">
        <w:tab/>
        <w:t>method 3 under section 3.51.</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(1A)</w:t>
      </w:r>
      <w:r w:rsidRPr="00B32A45">
        <w:tab/>
        <w:t>For subsection (1), the following fugitive emissions of methane are specified:</w:t>
      </w:r>
    </w:p>
    <w:p w:rsidR="00C17B3A" w:rsidRPr="00B32A45" w:rsidRDefault="00C17B3A" w:rsidP="00C17B3A">
      <w:pPr>
        <w:pStyle w:val="tPara"/>
      </w:pPr>
      <w:r w:rsidRPr="00B32A45">
        <w:tab/>
        <w:t>(a)</w:t>
      </w:r>
      <w:r w:rsidRPr="00B32A45">
        <w:tab/>
        <w:t>fugitive emissions from oil or gas flaring;</w:t>
      </w:r>
    </w:p>
    <w:p w:rsidR="00C17B3A" w:rsidRPr="00B32A45" w:rsidRDefault="00C17B3A" w:rsidP="00C17B3A">
      <w:pPr>
        <w:pStyle w:val="tPara"/>
      </w:pPr>
      <w:r w:rsidRPr="00B32A45">
        <w:tab/>
        <w:t>(b)</w:t>
      </w:r>
      <w:r w:rsidRPr="00B32A45">
        <w:tab/>
        <w:t>fugitive emissions that result from system upsets, accidents or deliberate releases from process vents.</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bookmarkStart w:id="39" w:name="_Toc486862052"/>
      <w:r w:rsidRPr="00B32A45">
        <w:rPr>
          <w:rStyle w:val="CharSectno"/>
        </w:rPr>
        <w:t>3.49</w:t>
      </w:r>
      <w:r w:rsidRPr="00B32A45">
        <w:t xml:space="preserve">  Method 1—crude oil production (non</w:t>
      </w:r>
      <w:r w:rsidRPr="00B32A45">
        <w:noBreakHyphen/>
        <w:t>flared) emissions of methane</w:t>
      </w:r>
      <w:bookmarkEnd w:id="39"/>
    </w:p>
    <w:p w:rsidR="00C17B3A" w:rsidRPr="00B32A45" w:rsidRDefault="00C17B3A" w:rsidP="00C17B3A">
      <w:pPr>
        <w:pStyle w:val="tMain"/>
      </w:pPr>
      <w:r w:rsidRPr="00B32A45">
        <w:tab/>
        <w:t>(1)</w:t>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546050B6" wp14:editId="0E054889">
            <wp:extent cx="2609850" cy="2381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23812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lastRenderedPageBreak/>
        <w:t>E</w:t>
      </w:r>
      <w:r w:rsidRPr="00B32A45">
        <w:rPr>
          <w:b/>
          <w:i/>
          <w:vertAlign w:val="subscript"/>
        </w:rPr>
        <w:t>ij</w:t>
      </w:r>
      <w:r w:rsidRPr="00B32A45">
        <w:rPr>
          <w:b/>
          <w:i/>
        </w:rPr>
        <w:t xml:space="preserve"> </w:t>
      </w:r>
      <w:r w:rsidRPr="00B32A45">
        <w:t>is the fugitive emissions of methane (</w:t>
      </w:r>
      <w:r w:rsidRPr="00B32A45">
        <w:rPr>
          <w:b/>
          <w:i/>
        </w:rPr>
        <w:t>j</w:t>
      </w:r>
      <w:r w:rsidRPr="00B32A45">
        <w:t>) from the crude oil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w:t>
      </w:r>
      <w:r w:rsidRPr="00B32A45">
        <w:rPr>
          <w:b/>
          <w:i/>
        </w:rPr>
        <w:t>j</w:t>
      </w:r>
      <w:r w:rsidRPr="00B32A45">
        <w:t>) measured in tonnes of CO</w:t>
      </w:r>
      <w:r w:rsidRPr="00B32A45">
        <w:rPr>
          <w:rStyle w:val="charSubscript"/>
          <w:iCs/>
        </w:rPr>
        <w:t>2</w:t>
      </w:r>
      <w:r w:rsidRPr="00B32A45">
        <w:noBreakHyphen/>
        <w:t>e and estimated by summing up the emissions released from all of the equipment of type (</w:t>
      </w:r>
      <w:r w:rsidRPr="00B32A45">
        <w:rPr>
          <w:b/>
          <w:i/>
        </w:rPr>
        <w:t>k</w:t>
      </w:r>
      <w:r w:rsidRPr="00B32A45">
        <w:t>) specified in column 2 of the table in subsection (2), if the equipment is used in the crude oil production.</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the quantities of crude oil measured in tonnes that pass through each equipment of type (</w:t>
      </w:r>
      <w:r w:rsidRPr="00B32A45">
        <w:rPr>
          <w:b/>
          <w:i/>
        </w:rPr>
        <w:t>k</w:t>
      </w:r>
      <w:r w:rsidRPr="00B32A45">
        <w:t>) specified in column 2 of the table in subsection (2) during the year, if the equipment is used in the crude oil production.</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methane (</w:t>
      </w:r>
      <w:r w:rsidRPr="00B32A45">
        <w:rPr>
          <w:b/>
          <w:i/>
        </w:rPr>
        <w:t>j</w:t>
      </w:r>
      <w:r w:rsidRPr="00B32A45">
        <w:t>) measured in tonnes of CO</w:t>
      </w:r>
      <w:r w:rsidRPr="00B32A45">
        <w:rPr>
          <w:rStyle w:val="charSubscript"/>
          <w:iCs/>
        </w:rPr>
        <w:t>2</w:t>
      </w:r>
      <w:r w:rsidRPr="00B32A45">
        <w:noBreakHyphen/>
        <w:t>e per tonne of crude oil that passes through each equipment of type (</w:t>
      </w:r>
      <w:r w:rsidRPr="00B32A45">
        <w:rPr>
          <w:b/>
          <w:i/>
        </w:rPr>
        <w:t>k</w:t>
      </w:r>
      <w:r w:rsidRPr="00B32A45">
        <w:t>) specified in column 2 of the table in subsection (2) during the year, if the equipment is used in the crude oil production.</w:t>
      </w:r>
    </w:p>
    <w:p w:rsidR="00C17B3A" w:rsidRPr="00B32A45" w:rsidRDefault="00C17B3A" w:rsidP="00C17B3A">
      <w:pPr>
        <w:pStyle w:val="tDefn"/>
      </w:pPr>
      <w:r w:rsidRPr="00B32A45">
        <w:rPr>
          <w:b/>
          <w:i/>
        </w:rPr>
        <w:t>Q</w:t>
      </w:r>
      <w:r w:rsidRPr="00B32A45">
        <w:rPr>
          <w:b/>
          <w:i/>
          <w:vertAlign w:val="subscript"/>
        </w:rPr>
        <w:t>i</w:t>
      </w:r>
      <w:r w:rsidRPr="00B32A45">
        <w:rPr>
          <w:b/>
          <w:i/>
        </w:rPr>
        <w:t xml:space="preserve"> </w:t>
      </w:r>
      <w:r w:rsidRPr="00B32A45">
        <w:t>is the total quantity of crude oil (</w:t>
      </w:r>
      <w:r w:rsidRPr="00B32A45">
        <w:rPr>
          <w:b/>
          <w:i/>
        </w:rPr>
        <w:t>i</w:t>
      </w:r>
      <w:r w:rsidRPr="00B32A45">
        <w:t>) measured in tonnes that passes through the crude oil production.</w:t>
      </w:r>
    </w:p>
    <w:p w:rsidR="00C17B3A" w:rsidRPr="00B32A45" w:rsidRDefault="00C17B3A" w:rsidP="00C17B3A">
      <w:pPr>
        <w:pStyle w:val="tDefn"/>
      </w:pPr>
      <w:r w:rsidRPr="00B32A45">
        <w:rPr>
          <w:b/>
          <w:i/>
        </w:rPr>
        <w:t>EF</w:t>
      </w:r>
      <w:r w:rsidRPr="00B32A45">
        <w:rPr>
          <w:b/>
          <w:i/>
          <w:vertAlign w:val="subscript"/>
        </w:rPr>
        <w:t xml:space="preserve">(l) ij </w:t>
      </w:r>
      <w:r w:rsidRPr="00B32A45">
        <w:t>is 1.6 × 10</w:t>
      </w:r>
      <w:r w:rsidRPr="00B32A45">
        <w:rPr>
          <w:rStyle w:val="charSuperscript"/>
        </w:rPr>
        <w:noBreakHyphen/>
        <w:t>3</w:t>
      </w:r>
      <w:r w:rsidRPr="00B32A45">
        <w:t>, which is the emission factor for methane (</w:t>
      </w:r>
      <w:r w:rsidRPr="00B32A45">
        <w:rPr>
          <w:b/>
          <w:i/>
        </w:rPr>
        <w:t>j</w:t>
      </w:r>
      <w:r w:rsidRPr="00B32A45">
        <w:t xml:space="preserve">) from general leaks in the crude oil production, measured in </w:t>
      </w:r>
      <w:r w:rsidRPr="00B32A45">
        <w:rPr>
          <w:bCs/>
        </w:rPr>
        <w:t>CO</w:t>
      </w:r>
      <w:r w:rsidRPr="00B32A45">
        <w:rPr>
          <w:rStyle w:val="charSubscript"/>
          <w:bCs/>
        </w:rPr>
        <w:t>2</w:t>
      </w:r>
      <w:r w:rsidRPr="00B32A45">
        <w:rPr>
          <w:bCs/>
        </w:rPr>
        <w:noBreakHyphen/>
        <w:t xml:space="preserve">e </w:t>
      </w:r>
      <w:r w:rsidRPr="00B32A45">
        <w:t>tonnes per tonne of crude oil that passes through the crude oil production.</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vertAlign w:val="subscript"/>
        </w:rPr>
        <w:t xml:space="preserve"> </w:t>
      </w:r>
      <w:r w:rsidRPr="00B32A45">
        <w:t>mentioned in subsection (1), column 3 of an item in the following table specifies the emission factor for an equipment of type (</w:t>
      </w:r>
      <w:r w:rsidRPr="00B32A45">
        <w:rPr>
          <w:b/>
          <w:i/>
        </w:rPr>
        <w:t>k</w:t>
      </w:r>
      <w:r w:rsidRPr="00B32A45">
        <w:t>) spec</w:t>
      </w:r>
      <w:r w:rsidR="00524E7C">
        <w:t>ified in column 2 of that item:</w:t>
      </w:r>
    </w:p>
    <w:tbl>
      <w:tblPr>
        <w:tblW w:w="5000" w:type="pct"/>
        <w:tblLook w:val="0000" w:firstRow="0" w:lastRow="0" w:firstColumn="0" w:lastColumn="0" w:noHBand="0" w:noVBand="0"/>
      </w:tblPr>
      <w:tblGrid>
        <w:gridCol w:w="1892"/>
        <w:gridCol w:w="2621"/>
        <w:gridCol w:w="4513"/>
      </w:tblGrid>
      <w:tr w:rsidR="00C17B3A" w:rsidRPr="00B32A45" w:rsidTr="00DB6238">
        <w:trPr>
          <w:cantSplit/>
          <w:tblHeader/>
        </w:trPr>
        <w:tc>
          <w:tcPr>
            <w:tcW w:w="1048" w:type="pct"/>
            <w:tcBorders>
              <w:top w:val="single" w:sz="12" w:space="0" w:color="auto"/>
            </w:tcBorders>
            <w:shd w:val="clear" w:color="auto" w:fill="auto"/>
          </w:tcPr>
          <w:p w:rsidR="00C17B3A" w:rsidRPr="00B32A45" w:rsidRDefault="00C17B3A" w:rsidP="00DB6238">
            <w:pPr>
              <w:pStyle w:val="TableHeading"/>
            </w:pPr>
            <w:r w:rsidRPr="00B32A45">
              <w:t>Item</w:t>
            </w:r>
          </w:p>
        </w:tc>
        <w:tc>
          <w:tcPr>
            <w:tcW w:w="1452" w:type="pct"/>
            <w:vMerge w:val="restart"/>
            <w:tcBorders>
              <w:top w:val="single" w:sz="12" w:space="0" w:color="auto"/>
            </w:tcBorders>
            <w:shd w:val="clear" w:color="auto" w:fill="auto"/>
          </w:tcPr>
          <w:p w:rsidR="00C17B3A" w:rsidRPr="00B32A45" w:rsidRDefault="00C17B3A" w:rsidP="00DB6238">
            <w:pPr>
              <w:pStyle w:val="TableHeading"/>
            </w:pPr>
            <w:r w:rsidRPr="00B32A45">
              <w:t>Equipment type (k)</w:t>
            </w:r>
          </w:p>
        </w:tc>
        <w:tc>
          <w:tcPr>
            <w:tcW w:w="2500" w:type="pct"/>
            <w:tcBorders>
              <w:top w:val="single" w:sz="12" w:space="0" w:color="auto"/>
              <w:bottom w:val="single" w:sz="4" w:space="0" w:color="auto"/>
            </w:tcBorders>
            <w:shd w:val="clear" w:color="auto" w:fill="auto"/>
          </w:tcPr>
          <w:p w:rsidR="00C17B3A" w:rsidRPr="00B32A45" w:rsidRDefault="00C17B3A" w:rsidP="00DB6238">
            <w:pPr>
              <w:pStyle w:val="TableHeading"/>
            </w:pPr>
            <w:r w:rsidRPr="00B32A45">
              <w:t>Emission factor for gas type (j) (tonnes CO</w:t>
            </w:r>
            <w:r w:rsidRPr="00B32A45">
              <w:rPr>
                <w:vertAlign w:val="subscript"/>
              </w:rPr>
              <w:t>2</w:t>
            </w:r>
            <w:r w:rsidRPr="00B32A45">
              <w:noBreakHyphen/>
              <w:t>e/tonnes fuel throughput)</w:t>
            </w:r>
          </w:p>
        </w:tc>
      </w:tr>
      <w:tr w:rsidR="00C17B3A" w:rsidRPr="00B32A45" w:rsidTr="00DB6238">
        <w:trPr>
          <w:cantSplit/>
          <w:tblHeader/>
        </w:trPr>
        <w:tc>
          <w:tcPr>
            <w:tcW w:w="1048" w:type="pct"/>
            <w:tcBorders>
              <w:bottom w:val="single" w:sz="12" w:space="0" w:color="auto"/>
            </w:tcBorders>
            <w:shd w:val="clear" w:color="auto" w:fill="auto"/>
          </w:tcPr>
          <w:p w:rsidR="00C17B3A" w:rsidRPr="00B32A45" w:rsidRDefault="00C17B3A" w:rsidP="00DB6238">
            <w:pPr>
              <w:pStyle w:val="TableHeading"/>
            </w:pPr>
          </w:p>
        </w:tc>
        <w:tc>
          <w:tcPr>
            <w:tcW w:w="1452" w:type="pct"/>
            <w:vMerge/>
            <w:tcBorders>
              <w:bottom w:val="single" w:sz="12" w:space="0" w:color="auto"/>
            </w:tcBorders>
            <w:shd w:val="clear" w:color="auto" w:fill="auto"/>
          </w:tcPr>
          <w:p w:rsidR="00C17B3A" w:rsidRPr="00B32A45" w:rsidRDefault="00C17B3A" w:rsidP="00DB6238">
            <w:pPr>
              <w:pStyle w:val="TableHeading"/>
            </w:pPr>
          </w:p>
        </w:tc>
        <w:tc>
          <w:tcPr>
            <w:tcW w:w="2500" w:type="pct"/>
            <w:tcBorders>
              <w:top w:val="single" w:sz="4" w:space="0" w:color="auto"/>
              <w:bottom w:val="single" w:sz="12" w:space="0" w:color="auto"/>
            </w:tcBorders>
            <w:shd w:val="clear" w:color="auto" w:fill="auto"/>
          </w:tcPr>
          <w:p w:rsidR="00C17B3A" w:rsidRPr="00B32A45" w:rsidRDefault="00C17B3A" w:rsidP="00DB6238">
            <w:pPr>
              <w:pStyle w:val="TableHeading"/>
            </w:pPr>
            <w:r w:rsidRPr="00B32A45">
              <w:t>CH</w:t>
            </w:r>
            <w:r w:rsidRPr="00B32A45">
              <w:rPr>
                <w:vertAlign w:val="subscript"/>
              </w:rPr>
              <w:t>4</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1</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Internal floating tank</w:t>
            </w:r>
          </w:p>
        </w:tc>
        <w:tc>
          <w:tcPr>
            <w:tcW w:w="2500" w:type="pct"/>
            <w:tcBorders>
              <w:top w:val="single" w:sz="6" w:space="0" w:color="auto"/>
              <w:bottom w:val="single" w:sz="6" w:space="0" w:color="auto"/>
            </w:tcBorders>
          </w:tcPr>
          <w:p w:rsidR="00C17B3A" w:rsidRPr="00B32A45" w:rsidRDefault="00C17B3A" w:rsidP="00DB6238">
            <w:pPr>
              <w:pStyle w:val="Tabletext"/>
              <w:rPr>
                <w:vertAlign w:val="superscript"/>
              </w:rPr>
            </w:pPr>
            <w:r w:rsidRPr="00B32A45">
              <w:t>1.12 × 10</w:t>
            </w:r>
            <w:r w:rsidRPr="00B32A45">
              <w:rPr>
                <w:vertAlign w:val="superscript"/>
              </w:rPr>
              <w:t>-6</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2</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Fixed roof tank</w:t>
            </w:r>
          </w:p>
        </w:tc>
        <w:tc>
          <w:tcPr>
            <w:tcW w:w="2500" w:type="pct"/>
            <w:tcBorders>
              <w:top w:val="single" w:sz="6" w:space="0" w:color="auto"/>
              <w:bottom w:val="single" w:sz="6" w:space="0" w:color="auto"/>
            </w:tcBorders>
          </w:tcPr>
          <w:p w:rsidR="00C17B3A" w:rsidRPr="00B32A45" w:rsidRDefault="00C17B3A" w:rsidP="00DB6238">
            <w:pPr>
              <w:pStyle w:val="Tabletext"/>
            </w:pPr>
            <w:r w:rsidRPr="00B32A45">
              <w:t>5.60 × 10</w:t>
            </w:r>
            <w:r w:rsidRPr="00B32A45">
              <w:rPr>
                <w:vertAlign w:val="superscript"/>
              </w:rPr>
              <w:t>-6</w:t>
            </w:r>
          </w:p>
        </w:tc>
      </w:tr>
      <w:tr w:rsidR="00C17B3A" w:rsidRPr="00B32A45" w:rsidTr="00DB6238">
        <w:trPr>
          <w:cantSplit/>
        </w:trPr>
        <w:tc>
          <w:tcPr>
            <w:tcW w:w="1048" w:type="pct"/>
            <w:tcBorders>
              <w:top w:val="single" w:sz="6" w:space="0" w:color="auto"/>
              <w:bottom w:val="single" w:sz="12" w:space="0" w:color="auto"/>
            </w:tcBorders>
          </w:tcPr>
          <w:p w:rsidR="00C17B3A" w:rsidRPr="00B32A45" w:rsidRDefault="00C17B3A" w:rsidP="00DB6238">
            <w:pPr>
              <w:pStyle w:val="Tabletext"/>
            </w:pPr>
            <w:r w:rsidRPr="00B32A45">
              <w:t>3</w:t>
            </w:r>
          </w:p>
        </w:tc>
        <w:tc>
          <w:tcPr>
            <w:tcW w:w="1452" w:type="pct"/>
            <w:tcBorders>
              <w:top w:val="single" w:sz="6" w:space="0" w:color="auto"/>
              <w:bottom w:val="single" w:sz="12" w:space="0" w:color="auto"/>
            </w:tcBorders>
          </w:tcPr>
          <w:p w:rsidR="00C17B3A" w:rsidRPr="00B32A45" w:rsidRDefault="00C17B3A" w:rsidP="00DB6238">
            <w:pPr>
              <w:pStyle w:val="Tabletext"/>
            </w:pPr>
            <w:r w:rsidRPr="00B32A45">
              <w:t>Floating tank</w:t>
            </w:r>
          </w:p>
        </w:tc>
        <w:tc>
          <w:tcPr>
            <w:tcW w:w="2500" w:type="pct"/>
            <w:tcBorders>
              <w:top w:val="single" w:sz="6" w:space="0" w:color="auto"/>
              <w:bottom w:val="single" w:sz="12" w:space="0" w:color="auto"/>
            </w:tcBorders>
          </w:tcPr>
          <w:p w:rsidR="00C17B3A" w:rsidRPr="00B32A45" w:rsidRDefault="00C17B3A" w:rsidP="00DB6238">
            <w:pPr>
              <w:pStyle w:val="Tabletext"/>
            </w:pPr>
            <w:r w:rsidRPr="00B32A45">
              <w:t>4.27 × 10</w:t>
            </w:r>
            <w:r w:rsidRPr="00B32A45">
              <w:rPr>
                <w:vertAlign w:val="superscript"/>
              </w:rPr>
              <w:t>-6</w:t>
            </w:r>
          </w:p>
        </w:tc>
      </w:tr>
    </w:tbl>
    <w:p w:rsidR="00C17B3A" w:rsidRPr="00B32A45" w:rsidRDefault="00C17B3A" w:rsidP="00C17B3A">
      <w:pPr>
        <w:pStyle w:val="tMain"/>
      </w:pPr>
      <w:r w:rsidRPr="00B32A45">
        <w:tab/>
        <w:t>(3)</w:t>
      </w:r>
      <w:r w:rsidRPr="00B32A45">
        <w:tab/>
        <w:t xml:space="preserve">For </w:t>
      </w:r>
      <w:r w:rsidRPr="00B32A45">
        <w:rPr>
          <w:b/>
          <w:i/>
        </w:rPr>
        <w:t>EF</w:t>
      </w:r>
      <w:r w:rsidRPr="00B32A45">
        <w:rPr>
          <w:b/>
          <w:i/>
          <w:vertAlign w:val="subscript"/>
        </w:rPr>
        <w:t xml:space="preserve">(l) ij </w:t>
      </w:r>
      <w:r w:rsidRPr="00B32A45">
        <w:t>in subsection (1), general leaks in the crude oil production comprise the emissions (other than vent emissions) from equipment listed in sections 5.4.3, 5.6.4, 5.6.5 and 6.1.2 of the API Compendium, if the equipment is used in the crude oil production.</w:t>
      </w:r>
    </w:p>
    <w:p w:rsidR="00C17B3A" w:rsidRPr="00B32A45" w:rsidRDefault="00C17B3A" w:rsidP="00C17B3A">
      <w:pPr>
        <w:pStyle w:val="h5Section"/>
      </w:pPr>
      <w:bookmarkStart w:id="40" w:name="_Toc486862053"/>
      <w:r w:rsidRPr="00B32A45">
        <w:rPr>
          <w:rStyle w:val="CharSectno"/>
        </w:rPr>
        <w:t>3.50</w:t>
      </w:r>
      <w:r w:rsidRPr="00B32A45">
        <w:t xml:space="preserve">  Method 2—crude oil production (non</w:t>
      </w:r>
      <w:r w:rsidRPr="00B32A45">
        <w:noBreakHyphen/>
        <w:t>flared) emissions of methane</w:t>
      </w:r>
      <w:bookmarkEnd w:id="40"/>
    </w:p>
    <w:p w:rsidR="00C17B3A" w:rsidRPr="00B32A45" w:rsidRDefault="00C17B3A" w:rsidP="00C17B3A">
      <w:pPr>
        <w:pStyle w:val="tMain"/>
      </w:pPr>
      <w:r w:rsidRPr="00B32A45">
        <w:tab/>
        <w:t>(1)</w:t>
      </w:r>
      <w:r w:rsidRPr="00B32A45">
        <w:tab/>
        <w:t>Method 2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7BBC7141" wp14:editId="0751C161">
            <wp:extent cx="147637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methane (</w:t>
      </w:r>
      <w:r w:rsidRPr="00B32A45">
        <w:rPr>
          <w:b/>
          <w:i/>
        </w:rPr>
        <w:t>j</w:t>
      </w:r>
      <w:r w:rsidRPr="00B32A45">
        <w:t>) from the crude oil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w:t>
      </w:r>
      <w:r w:rsidRPr="00B32A45">
        <w:rPr>
          <w:b/>
          <w:i/>
        </w:rPr>
        <w:t>j</w:t>
      </w:r>
      <w:r w:rsidRPr="00B32A45">
        <w:t>) measured in tonnes of CO</w:t>
      </w:r>
      <w:r w:rsidRPr="00B32A45">
        <w:rPr>
          <w:rStyle w:val="charSubscript"/>
          <w:iCs/>
        </w:rPr>
        <w:t>2</w:t>
      </w:r>
      <w:r w:rsidRPr="00B32A45">
        <w:noBreakHyphen/>
        <w:t>e and estimated by summing up the emissions released from each equipment type (</w:t>
      </w:r>
      <w:r w:rsidRPr="00B32A45">
        <w:rPr>
          <w:b/>
          <w:i/>
        </w:rPr>
        <w:t>k</w:t>
      </w:r>
      <w:r w:rsidRPr="00B32A45">
        <w:t>) listed in sections 5.4.1, 5.4.2, 5.4.3, 5.6.4, 5.6.5 and 6.1.2 of the API Compendium, if the equipment type is used in the crude oil production.</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the quantities of crude oil that pass through each equipment type (</w:t>
      </w:r>
      <w:r w:rsidRPr="00B32A45">
        <w:rPr>
          <w:b/>
          <w:i/>
        </w:rPr>
        <w:t>k</w:t>
      </w:r>
      <w:r w:rsidRPr="00B32A45">
        <w:t>), or the number of equipment units of type (</w:t>
      </w:r>
      <w:r w:rsidRPr="00B32A45">
        <w:rPr>
          <w:b/>
          <w:i/>
        </w:rPr>
        <w:t>k</w:t>
      </w:r>
      <w:r w:rsidRPr="00B32A45">
        <w:t xml:space="preserve">), listed in sections 5.4.1, 5.4.2, 5.4.3, 5.6.4, </w:t>
      </w:r>
      <w:r w:rsidRPr="00B32A45">
        <w:lastRenderedPageBreak/>
        <w:t>5.6.5 and 6.1.2 of the API Compendium, if the equipment is used in the crude oil production, measured in tonnes.</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methane (</w:t>
      </w:r>
      <w:r w:rsidRPr="00B32A45">
        <w:rPr>
          <w:b/>
          <w:i/>
        </w:rPr>
        <w:t>j</w:t>
      </w:r>
      <w:r w:rsidRPr="00B32A45">
        <w:t>) measured in tonnes of CO</w:t>
      </w:r>
      <w:r w:rsidRPr="00B32A45">
        <w:rPr>
          <w:rStyle w:val="charSubscript"/>
          <w:iCs/>
        </w:rPr>
        <w:t>2</w:t>
      </w:r>
      <w:r w:rsidRPr="00B32A45">
        <w:noBreakHyphen/>
        <w:t>e per tonne of crude oil that passes through each equipment type (</w:t>
      </w:r>
      <w:r w:rsidRPr="00B32A45">
        <w:rPr>
          <w:b/>
          <w:i/>
        </w:rPr>
        <w:t>k</w:t>
      </w:r>
      <w:r w:rsidRPr="00B32A45">
        <w:t>) listed in sections 5.4.1, 5.4.2, 5.4.3, 5.6.4, 5.6.5 and 6.1.2 of the API Compendium as determined under subsection (2), if the equipment is used in the crude oil production.</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t>, the emission factors for methane (</w:t>
      </w:r>
      <w:r w:rsidRPr="00B32A45">
        <w:rPr>
          <w:b/>
          <w:i/>
        </w:rPr>
        <w:t>j</w:t>
      </w:r>
      <w:r w:rsidRPr="00B32A45">
        <w:t>), as crude oil passes through an equipment type (</w:t>
      </w:r>
      <w:r w:rsidRPr="00B32A45">
        <w:rPr>
          <w:b/>
          <w:i/>
        </w:rPr>
        <w:t>k</w:t>
      </w:r>
      <w:r w:rsidRPr="00B32A45">
        <w:t>), are:</w:t>
      </w:r>
    </w:p>
    <w:p w:rsidR="00C17B3A" w:rsidRPr="00B32A45" w:rsidRDefault="00C17B3A" w:rsidP="00C17B3A">
      <w:pPr>
        <w:pStyle w:val="tPara"/>
      </w:pPr>
      <w:r w:rsidRPr="00B32A45">
        <w:tab/>
        <w:t>(a)</w:t>
      </w:r>
      <w:r w:rsidRPr="00B32A45">
        <w:tab/>
        <w:t>as listed in sections 5.4.1, 5.4.2, 5.4.3, 5.6.4, 5.6.5 and 6.1.2 of the API Compendium, for the equipment type; or</w:t>
      </w:r>
    </w:p>
    <w:p w:rsidR="00C17B3A" w:rsidRPr="00B32A45" w:rsidRDefault="00C17B3A" w:rsidP="00C17B3A">
      <w:pPr>
        <w:pStyle w:val="tPara"/>
      </w:pPr>
      <w:r w:rsidRPr="00B32A45">
        <w:tab/>
        <w:t>(b)</w:t>
      </w:r>
      <w:r w:rsidRPr="00B32A45">
        <w:tab/>
        <w:t>if the manufacturer of the equipment supplies equipment</w:t>
      </w:r>
      <w:r w:rsidRPr="00B32A45">
        <w:noBreakHyphen/>
        <w:t>specific emission factors for the equipment type—those factors.</w:t>
      </w:r>
    </w:p>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t>3.51</w:t>
      </w:r>
      <w:r w:rsidRPr="00B32A45">
        <w:rPr>
          <w:b/>
          <w:bCs/>
        </w:rPr>
        <w:t>  Method 3—crude oil production (non-flared) emissions of methane</w:t>
      </w:r>
    </w:p>
    <w:p w:rsidR="00C17B3A" w:rsidRPr="00B32A45" w:rsidRDefault="00217B5D" w:rsidP="00C17B3A">
      <w:pPr>
        <w:pStyle w:val="tMain"/>
        <w:shd w:val="clear" w:color="auto" w:fill="FFFFFF"/>
        <w:tabs>
          <w:tab w:val="left" w:pos="5100"/>
        </w:tabs>
        <w:rPr>
          <w:szCs w:val="22"/>
        </w:rPr>
      </w:pPr>
      <w:r>
        <w:rPr>
          <w:szCs w:val="22"/>
        </w:rPr>
        <w:tab/>
        <w:t>(1)</w:t>
      </w:r>
      <w:r>
        <w:rPr>
          <w:szCs w:val="22"/>
        </w:rPr>
        <w:tab/>
      </w:r>
      <w:r w:rsidR="00C17B3A" w:rsidRPr="00B32A45">
        <w:rPr>
          <w:szCs w:val="22"/>
        </w:rPr>
        <w:t>Method 3 is:</w:t>
      </w:r>
    </w:p>
    <w:p w:rsidR="00C17B3A" w:rsidRPr="00217B5D" w:rsidRDefault="00C17B3A" w:rsidP="00217B5D">
      <w:pPr>
        <w:pStyle w:val="subsection2"/>
        <w:shd w:val="clear" w:color="auto" w:fill="FFFFFF"/>
        <w:rPr>
          <w:sz w:val="28"/>
          <w:szCs w:val="28"/>
        </w:rPr>
      </w:pPr>
      <w:r w:rsidRPr="00217B5D">
        <w:rPr>
          <w:sz w:val="28"/>
          <w:szCs w:val="28"/>
        </w:rPr>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(EF</w:t>
      </w:r>
      <w:r w:rsidRPr="00217B5D">
        <w:rPr>
          <w:sz w:val="28"/>
          <w:szCs w:val="28"/>
          <w:vertAlign w:val="subscript"/>
        </w:rPr>
        <w:t>ijk</w:t>
      </w:r>
      <w:r w:rsidRPr="00217B5D">
        <w:rPr>
          <w:sz w:val="28"/>
          <w:szCs w:val="28"/>
        </w:rPr>
        <w:t xml:space="preserve"> × T</w:t>
      </w:r>
      <w:r w:rsidRPr="00217B5D">
        <w:rPr>
          <w:sz w:val="28"/>
          <w:szCs w:val="28"/>
          <w:vertAlign w:val="subscript"/>
        </w:rPr>
        <w:t xml:space="preserve">ik </w:t>
      </w:r>
      <w:r w:rsidRPr="00217B5D">
        <w:rPr>
          <w:sz w:val="28"/>
          <w:szCs w:val="28"/>
        </w:rPr>
        <w:t>× N</w:t>
      </w:r>
      <w:r w:rsidRPr="00217B5D">
        <w:rPr>
          <w:sz w:val="28"/>
          <w:szCs w:val="28"/>
          <w:vertAlign w:val="subscript"/>
        </w:rPr>
        <w:t>k</w:t>
      </w:r>
      <w:r w:rsidRPr="00217B5D">
        <w:rPr>
          <w:sz w:val="28"/>
          <w:szCs w:val="28"/>
        </w:rPr>
        <w:t>)</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methane (</w:t>
      </w:r>
      <w:r w:rsidRPr="00B32A45">
        <w:rPr>
          <w:b/>
          <w:i/>
        </w:rPr>
        <w:t>j</w:t>
      </w:r>
      <w:r w:rsidRPr="00B32A45">
        <w:t>) from the crude oil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w:t>
      </w:r>
      <w:r w:rsidRPr="00B32A45">
        <w:rPr>
          <w:b/>
          <w:i/>
        </w:rPr>
        <w:t>j</w:t>
      </w:r>
      <w:r w:rsidRPr="00B32A45">
        <w:t>)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listed in section 6.1.3 of the API Compendium, if the component type is used in the crude oil production.</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methane (</w:t>
      </w:r>
      <w:r w:rsidRPr="00B32A45">
        <w:rPr>
          <w:b/>
          <w:i/>
        </w:rPr>
        <w:t>j</w:t>
      </w:r>
      <w:r w:rsidRPr="00B32A45">
        <w:t>) measured in tonnes of CO</w:t>
      </w:r>
      <w:r w:rsidRPr="00B32A45">
        <w:rPr>
          <w:rStyle w:val="charSubscript"/>
          <w:iCs/>
        </w:rPr>
        <w:t>2</w:t>
      </w:r>
      <w:r w:rsidRPr="00B32A45">
        <w:noBreakHyphen/>
        <w:t>e per component-hour that passes through each component type (</w:t>
      </w:r>
      <w:r w:rsidRPr="00B32A45">
        <w:rPr>
          <w:b/>
          <w:i/>
        </w:rPr>
        <w:t>k</w:t>
      </w:r>
      <w:r w:rsidRPr="00B32A45">
        <w:t>) listed in section 6.1.3 of the API Compendium as determined under subsection (2), if the component is used in the crude oil production.</w:t>
      </w:r>
    </w:p>
    <w:p w:rsidR="00C17B3A" w:rsidRPr="00B32A45" w:rsidRDefault="00C17B3A" w:rsidP="00C17B3A">
      <w:pPr>
        <w:pStyle w:val="tDefn"/>
      </w:pPr>
      <w:r w:rsidRPr="00B32A45">
        <w:rPr>
          <w:b/>
          <w:i/>
        </w:rPr>
        <w:t>T</w:t>
      </w:r>
      <w:r w:rsidRPr="00B32A45">
        <w:rPr>
          <w:b/>
          <w:i/>
          <w:vertAlign w:val="subscript"/>
        </w:rPr>
        <w:t>ik</w:t>
      </w:r>
      <w:r w:rsidRPr="00B32A45">
        <w:rPr>
          <w:b/>
          <w:i/>
        </w:rPr>
        <w:t xml:space="preserve"> </w:t>
      </w:r>
      <w:r w:rsidRPr="00B32A45">
        <w:t>is the average hours of operation during the year of the components of each component type (</w:t>
      </w:r>
      <w:r w:rsidRPr="00B32A45">
        <w:rPr>
          <w:b/>
          <w:i/>
        </w:rPr>
        <w:t>k</w:t>
      </w:r>
      <w:r w:rsidRPr="00B32A45">
        <w:t>) listed in section 6.1.3 of the API Compendium, if the component type is used in the crude oil production, measured in hours per year.</w:t>
      </w:r>
    </w:p>
    <w:p w:rsidR="00C17B3A" w:rsidRPr="00B32A45" w:rsidRDefault="00C17B3A" w:rsidP="00C17B3A">
      <w:pPr>
        <w:pStyle w:val="tDefn"/>
      </w:pPr>
      <w:r w:rsidRPr="00B32A45">
        <w:rPr>
          <w:b/>
          <w:i/>
        </w:rPr>
        <w:t>N</w:t>
      </w:r>
      <w:r w:rsidRPr="00B32A45">
        <w:rPr>
          <w:b/>
          <w:i/>
          <w:vertAlign w:val="subscript"/>
        </w:rPr>
        <w:t>k</w:t>
      </w:r>
      <w:r w:rsidRPr="00B32A45">
        <w:rPr>
          <w:b/>
          <w:i/>
        </w:rPr>
        <w:t xml:space="preserve"> </w:t>
      </w:r>
      <w:r w:rsidRPr="00B32A45">
        <w:t>is the total number of each component type (</w:t>
      </w:r>
      <w:r w:rsidRPr="00B32A45">
        <w:rPr>
          <w:b/>
          <w:i/>
        </w:rPr>
        <w:t>k</w:t>
      </w:r>
      <w:r w:rsidRPr="00B32A45">
        <w:t>) listed in section 6.1.3 of the API Compendium, if the component type is used in the crude oil production, measured in components.</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t>, the emission factors for methane (</w:t>
      </w:r>
      <w:r w:rsidRPr="00B32A45">
        <w:rPr>
          <w:b/>
          <w:i/>
        </w:rPr>
        <w:t>j</w:t>
      </w:r>
      <w:r w:rsidRPr="00B32A45">
        <w:t xml:space="preserve">), as crude oil passes through a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which specifies the emission factor for a component of type (</w:t>
      </w:r>
      <w:r w:rsidRPr="00B32A45">
        <w:rPr>
          <w:b/>
          <w:i/>
        </w:rPr>
        <w:t>k</w:t>
      </w:r>
      <w:r w:rsidRPr="00B32A45">
        <w:t>) specified in column 2 of that item:</w:t>
      </w:r>
    </w:p>
    <w:p w:rsidR="00C17B3A" w:rsidRPr="00B32A45" w:rsidRDefault="00C17B3A" w:rsidP="00C17B3A">
      <w:pPr>
        <w:pStyle w:val="tPara"/>
      </w:pPr>
    </w:p>
    <w:tbl>
      <w:tblPr>
        <w:tblW w:w="5000" w:type="pct"/>
        <w:tblLook w:val="0000" w:firstRow="0" w:lastRow="0" w:firstColumn="0" w:lastColumn="0" w:noHBand="0" w:noVBand="0"/>
      </w:tblPr>
      <w:tblGrid>
        <w:gridCol w:w="1892"/>
        <w:gridCol w:w="2621"/>
        <w:gridCol w:w="4513"/>
      </w:tblGrid>
      <w:tr w:rsidR="00C17B3A" w:rsidRPr="00B32A45" w:rsidTr="00DB6238">
        <w:trPr>
          <w:cantSplit/>
          <w:tblHeader/>
        </w:trPr>
        <w:tc>
          <w:tcPr>
            <w:tcW w:w="1048" w:type="pct"/>
            <w:tcBorders>
              <w:top w:val="single" w:sz="12" w:space="0" w:color="auto"/>
            </w:tcBorders>
            <w:shd w:val="clear" w:color="auto" w:fill="auto"/>
          </w:tcPr>
          <w:p w:rsidR="00C17B3A" w:rsidRPr="00B32A45" w:rsidRDefault="00C17B3A" w:rsidP="00DB6238">
            <w:pPr>
              <w:pStyle w:val="TableHeading"/>
            </w:pPr>
            <w:r w:rsidRPr="00B32A45">
              <w:t>Item</w:t>
            </w:r>
          </w:p>
        </w:tc>
        <w:tc>
          <w:tcPr>
            <w:tcW w:w="1452" w:type="pct"/>
            <w:vMerge w:val="restart"/>
            <w:tcBorders>
              <w:top w:val="single" w:sz="12" w:space="0" w:color="auto"/>
            </w:tcBorders>
            <w:shd w:val="clear" w:color="auto" w:fill="auto"/>
          </w:tcPr>
          <w:p w:rsidR="00C17B3A" w:rsidRPr="00B32A45" w:rsidRDefault="00C17B3A" w:rsidP="00DB6238">
            <w:pPr>
              <w:pStyle w:val="TableHeading"/>
            </w:pPr>
            <w:r w:rsidRPr="00B32A45">
              <w:t>Component type (k)</w:t>
            </w:r>
          </w:p>
        </w:tc>
        <w:tc>
          <w:tcPr>
            <w:tcW w:w="2500" w:type="pct"/>
            <w:tcBorders>
              <w:top w:val="single" w:sz="12" w:space="0" w:color="auto"/>
              <w:bottom w:val="single" w:sz="4" w:space="0" w:color="auto"/>
            </w:tcBorders>
            <w:shd w:val="clear" w:color="auto" w:fill="auto"/>
          </w:tcPr>
          <w:p w:rsidR="00C17B3A" w:rsidRPr="00B32A45" w:rsidRDefault="00C17B3A" w:rsidP="00DB6238">
            <w:pPr>
              <w:pStyle w:val="TableHeading"/>
              <w:jc w:val="center"/>
            </w:pPr>
            <w:r w:rsidRPr="00B32A45">
              <w:t>Emission factor for gas type (j) (tonnes CO</w:t>
            </w:r>
            <w:r w:rsidRPr="00B32A45">
              <w:rPr>
                <w:vertAlign w:val="subscript"/>
              </w:rPr>
              <w:t>2</w:t>
            </w:r>
            <w:r w:rsidRPr="00B32A45">
              <w:noBreakHyphen/>
              <w:t>e/component-hour)</w:t>
            </w:r>
          </w:p>
        </w:tc>
      </w:tr>
      <w:tr w:rsidR="00C17B3A" w:rsidRPr="00B32A45" w:rsidTr="00DB6238">
        <w:trPr>
          <w:cantSplit/>
          <w:tblHeader/>
        </w:trPr>
        <w:tc>
          <w:tcPr>
            <w:tcW w:w="1048" w:type="pct"/>
            <w:tcBorders>
              <w:bottom w:val="single" w:sz="12" w:space="0" w:color="auto"/>
            </w:tcBorders>
            <w:shd w:val="clear" w:color="auto" w:fill="auto"/>
          </w:tcPr>
          <w:p w:rsidR="00C17B3A" w:rsidRPr="00B32A45" w:rsidRDefault="00C17B3A" w:rsidP="00DB6238">
            <w:pPr>
              <w:pStyle w:val="TableHeading"/>
            </w:pPr>
          </w:p>
        </w:tc>
        <w:tc>
          <w:tcPr>
            <w:tcW w:w="1452" w:type="pct"/>
            <w:vMerge/>
            <w:tcBorders>
              <w:bottom w:val="single" w:sz="12" w:space="0" w:color="auto"/>
            </w:tcBorders>
            <w:shd w:val="clear" w:color="auto" w:fill="auto"/>
          </w:tcPr>
          <w:p w:rsidR="00C17B3A" w:rsidRPr="00B32A45" w:rsidRDefault="00C17B3A" w:rsidP="00DB6238">
            <w:pPr>
              <w:pStyle w:val="TableHeading"/>
            </w:pPr>
          </w:p>
        </w:tc>
        <w:tc>
          <w:tcPr>
            <w:tcW w:w="2500" w:type="pct"/>
            <w:tcBorders>
              <w:top w:val="single" w:sz="4" w:space="0" w:color="auto"/>
              <w:bottom w:val="single" w:sz="12" w:space="0" w:color="auto"/>
            </w:tcBorders>
            <w:shd w:val="clear" w:color="auto" w:fill="auto"/>
          </w:tcPr>
          <w:p w:rsidR="00C17B3A" w:rsidRPr="00B32A45" w:rsidRDefault="00C17B3A" w:rsidP="00DB6238">
            <w:pPr>
              <w:pStyle w:val="TableHeading"/>
              <w:jc w:val="center"/>
            </w:pPr>
            <w:r w:rsidRPr="00B32A45">
              <w:t>CH</w:t>
            </w:r>
            <w:r w:rsidRPr="00B32A45">
              <w:rPr>
                <w:vertAlign w:val="subscript"/>
              </w:rPr>
              <w:t>4</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1</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Valves – heavy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3.64 × 10</w:t>
            </w:r>
            <w:r w:rsidRPr="00B32A45">
              <w:rPr>
                <w:vertAlign w:val="superscript"/>
              </w:rPr>
              <w:t>-7</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2</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Valves – light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3.70 × 10</w:t>
            </w:r>
            <w:r w:rsidRPr="00B32A45">
              <w:rPr>
                <w:vertAlign w:val="superscript"/>
              </w:rPr>
              <w:t>-5</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lastRenderedPageBreak/>
              <w:t>3</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Connectors – heavy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2.23 × 10</w:t>
            </w:r>
            <w:r w:rsidRPr="00B32A45">
              <w:rPr>
                <w:vertAlign w:val="superscript"/>
              </w:rPr>
              <w:t>-7</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4</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Connectors – light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4.59 × 10</w:t>
            </w:r>
            <w:r w:rsidRPr="00B32A45">
              <w:rPr>
                <w:vertAlign w:val="superscript"/>
              </w:rPr>
              <w:t>-6</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5</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Flanges – heavy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6.13 × 10</w:t>
            </w:r>
            <w:r w:rsidRPr="00B32A45">
              <w:rPr>
                <w:vertAlign w:val="superscript"/>
              </w:rPr>
              <w:t>-7</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6</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Flanges – light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2.15 × 10</w:t>
            </w:r>
            <w:r w:rsidRPr="00B32A45">
              <w:rPr>
                <w:vertAlign w:val="superscript"/>
              </w:rPr>
              <w:t>-6</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7</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Open-ended lines – heavy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4.34 × 10</w:t>
            </w:r>
            <w:r w:rsidRPr="00B32A45">
              <w:rPr>
                <w:vertAlign w:val="superscript"/>
              </w:rPr>
              <w:t>-6</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8</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Open-ended lines – light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3.39 × 10</w:t>
            </w:r>
            <w:r w:rsidRPr="00B32A45">
              <w:rPr>
                <w:vertAlign w:val="superscript"/>
              </w:rPr>
              <w:t>-5</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9</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Pump Seals – light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8.90 × 10</w:t>
            </w:r>
            <w:r w:rsidRPr="00B32A45">
              <w:rPr>
                <w:vertAlign w:val="superscript"/>
              </w:rPr>
              <w:t>-6</w:t>
            </w:r>
          </w:p>
        </w:tc>
      </w:tr>
      <w:tr w:rsidR="00C17B3A" w:rsidRPr="00B32A45" w:rsidTr="00DB6238">
        <w:trPr>
          <w:cantSplit/>
        </w:trPr>
        <w:tc>
          <w:tcPr>
            <w:tcW w:w="1048" w:type="pct"/>
            <w:tcBorders>
              <w:top w:val="single" w:sz="6" w:space="0" w:color="auto"/>
              <w:bottom w:val="single" w:sz="6" w:space="0" w:color="auto"/>
            </w:tcBorders>
          </w:tcPr>
          <w:p w:rsidR="00C17B3A" w:rsidRPr="00B32A45" w:rsidRDefault="00C17B3A" w:rsidP="00DB6238">
            <w:pPr>
              <w:pStyle w:val="Tabletext"/>
            </w:pPr>
            <w:r w:rsidRPr="00B32A45">
              <w:t>10</w:t>
            </w:r>
          </w:p>
        </w:tc>
        <w:tc>
          <w:tcPr>
            <w:tcW w:w="1452" w:type="pct"/>
            <w:tcBorders>
              <w:top w:val="single" w:sz="6" w:space="0" w:color="auto"/>
              <w:bottom w:val="single" w:sz="6" w:space="0" w:color="auto"/>
            </w:tcBorders>
          </w:tcPr>
          <w:p w:rsidR="00C17B3A" w:rsidRPr="00B32A45" w:rsidRDefault="00C17B3A" w:rsidP="00DB6238">
            <w:pPr>
              <w:pStyle w:val="Tabletext"/>
            </w:pPr>
            <w:r w:rsidRPr="00B32A45">
              <w:t>Others – heavy crude production</w:t>
            </w:r>
          </w:p>
        </w:tc>
        <w:tc>
          <w:tcPr>
            <w:tcW w:w="2500" w:type="pct"/>
            <w:tcBorders>
              <w:top w:val="single" w:sz="6" w:space="0" w:color="auto"/>
              <w:bottom w:val="single" w:sz="6" w:space="0" w:color="auto"/>
            </w:tcBorders>
          </w:tcPr>
          <w:p w:rsidR="00C17B3A" w:rsidRPr="00B32A45" w:rsidRDefault="00C17B3A" w:rsidP="00DB6238">
            <w:pPr>
              <w:pStyle w:val="Tabletext"/>
              <w:jc w:val="center"/>
              <w:rPr>
                <w:vertAlign w:val="superscript"/>
              </w:rPr>
            </w:pPr>
            <w:r w:rsidRPr="00B32A45">
              <w:t>1.96 × 10</w:t>
            </w:r>
            <w:r w:rsidRPr="00B32A45">
              <w:rPr>
                <w:vertAlign w:val="superscript"/>
              </w:rPr>
              <w:t>-6</w:t>
            </w:r>
          </w:p>
        </w:tc>
      </w:tr>
      <w:tr w:rsidR="00C17B3A" w:rsidRPr="00B32A45" w:rsidTr="00DB6238">
        <w:trPr>
          <w:cantSplit/>
        </w:trPr>
        <w:tc>
          <w:tcPr>
            <w:tcW w:w="1048" w:type="pct"/>
            <w:tcBorders>
              <w:top w:val="single" w:sz="6" w:space="0" w:color="auto"/>
              <w:bottom w:val="single" w:sz="12" w:space="0" w:color="auto"/>
            </w:tcBorders>
          </w:tcPr>
          <w:p w:rsidR="00C17B3A" w:rsidRPr="00B32A45" w:rsidRDefault="00C17B3A" w:rsidP="00DB6238">
            <w:pPr>
              <w:pStyle w:val="Tabletext"/>
            </w:pPr>
            <w:r w:rsidRPr="00B32A45">
              <w:t>11</w:t>
            </w:r>
          </w:p>
        </w:tc>
        <w:tc>
          <w:tcPr>
            <w:tcW w:w="1452" w:type="pct"/>
            <w:tcBorders>
              <w:top w:val="single" w:sz="6" w:space="0" w:color="auto"/>
              <w:bottom w:val="single" w:sz="12" w:space="0" w:color="auto"/>
            </w:tcBorders>
          </w:tcPr>
          <w:p w:rsidR="00C17B3A" w:rsidRPr="00B32A45" w:rsidRDefault="00C17B3A" w:rsidP="00DB6238">
            <w:pPr>
              <w:pStyle w:val="Tabletext"/>
            </w:pPr>
            <w:r w:rsidRPr="00B32A45">
              <w:t>Others – light crude production</w:t>
            </w:r>
          </w:p>
        </w:tc>
        <w:tc>
          <w:tcPr>
            <w:tcW w:w="2500" w:type="pct"/>
            <w:tcBorders>
              <w:top w:val="single" w:sz="6" w:space="0" w:color="auto"/>
              <w:bottom w:val="single" w:sz="12" w:space="0" w:color="auto"/>
            </w:tcBorders>
          </w:tcPr>
          <w:p w:rsidR="00C17B3A" w:rsidRPr="00B32A45" w:rsidRDefault="00C17B3A" w:rsidP="00DB6238">
            <w:pPr>
              <w:pStyle w:val="Tabletext"/>
              <w:jc w:val="center"/>
              <w:rPr>
                <w:vertAlign w:val="superscript"/>
              </w:rPr>
            </w:pPr>
            <w:r w:rsidRPr="00B32A45">
              <w:t>2.10 × 10</w:t>
            </w:r>
            <w:r w:rsidRPr="00B32A45">
              <w:rPr>
                <w:vertAlign w:val="superscript"/>
              </w:rPr>
              <w:t>-4</w:t>
            </w:r>
          </w:p>
        </w:tc>
      </w:tr>
    </w:tbl>
    <w:p w:rsidR="00C17B3A" w:rsidRPr="00524E7C" w:rsidRDefault="00C17B3A" w:rsidP="00524E7C">
      <w:pPr>
        <w:pStyle w:val="tPara"/>
        <w:rPr>
          <w:sz w:val="16"/>
        </w:rPr>
      </w:pPr>
      <w:r w:rsidRPr="00B32A45">
        <w:rPr>
          <w:sz w:val="16"/>
        </w:rPr>
        <w:t xml:space="preserve">Note: </w:t>
      </w:r>
      <w:r w:rsidRPr="00B32A45">
        <w:rPr>
          <w:sz w:val="16"/>
        </w:rPr>
        <w:tab/>
      </w:r>
      <w:r w:rsidRPr="00B32A45">
        <w:rPr>
          <w:sz w:val="16"/>
        </w:rPr>
        <w:tab/>
        <w:t>API Publication 4615 defines light crude as oil with an API gravity of 20 or more, and heavy crude as oil with a</w:t>
      </w:r>
      <w:r w:rsidR="00524E7C">
        <w:rPr>
          <w:sz w:val="16"/>
        </w:rPr>
        <w:t xml:space="preserve">n API gravity of less than 20. </w:t>
      </w:r>
    </w:p>
    <w:p w:rsidR="00C17B3A" w:rsidRPr="00B32A45" w:rsidRDefault="00C17B3A" w:rsidP="00524E7C">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tab/>
      </w:r>
      <w:r w:rsidR="00524E7C">
        <w:rPr>
          <w:szCs w:val="22"/>
        </w:rPr>
        <w:t>       </w:t>
      </w:r>
    </w:p>
    <w:p w:rsidR="00C17B3A" w:rsidRPr="00B32A45" w:rsidRDefault="00C17B3A" w:rsidP="00C17B3A">
      <w:pPr>
        <w:pStyle w:val="h4Subdiv"/>
      </w:pPr>
      <w:bookmarkStart w:id="41" w:name="_Toc486862054"/>
      <w:r w:rsidRPr="00B32A45">
        <w:rPr>
          <w:rStyle w:val="CharSubdNo"/>
        </w:rPr>
        <w:t>Subdivision 3.3.3.3</w:t>
      </w:r>
      <w:r w:rsidRPr="00B32A45">
        <w:t>—</w:t>
      </w:r>
      <w:r w:rsidRPr="00B32A45">
        <w:rPr>
          <w:rStyle w:val="CharSubdText"/>
        </w:rPr>
        <w:t>Crude oil production (flared)—fugitive emissions of carbon dioxide, methane and nitrous oxide</w:t>
      </w:r>
      <w:bookmarkEnd w:id="41"/>
    </w:p>
    <w:p w:rsidR="00C17B3A" w:rsidRPr="00B32A45" w:rsidRDefault="00C17B3A" w:rsidP="00C17B3A">
      <w:pPr>
        <w:pStyle w:val="h5Section"/>
      </w:pPr>
      <w:bookmarkStart w:id="42" w:name="_Toc486862055"/>
      <w:r w:rsidRPr="00B32A45">
        <w:rPr>
          <w:rStyle w:val="CharSectno"/>
        </w:rPr>
        <w:t>3.52</w:t>
      </w:r>
      <w:r w:rsidRPr="00B32A45">
        <w:t xml:space="preserve">  Available methods</w:t>
      </w:r>
      <w:bookmarkEnd w:id="42"/>
    </w:p>
    <w:p w:rsidR="00C17B3A" w:rsidRPr="00B32A45" w:rsidRDefault="00C17B3A" w:rsidP="00C17B3A">
      <w:pPr>
        <w:pStyle w:val="tMain"/>
      </w:pPr>
      <w:r w:rsidRPr="00B32A45">
        <w:tab/>
        <w:t>(1)</w:t>
      </w:r>
      <w:r w:rsidRPr="00B32A45">
        <w:tab/>
        <w:t>Subject to section 1.18, for estimating emissions released by oil or gas flaring during a year from the operation of a facility that is constituted by crude oil production:</w:t>
      </w:r>
    </w:p>
    <w:p w:rsidR="00C17B3A" w:rsidRPr="00B32A45" w:rsidRDefault="00C17B3A" w:rsidP="00C17B3A">
      <w:pPr>
        <w:pStyle w:val="tPara"/>
      </w:pPr>
      <w:r w:rsidRPr="00B32A45">
        <w:tab/>
        <w:t>(a)</w:t>
      </w:r>
      <w:r w:rsidRPr="00B32A45">
        <w:tab/>
        <w:t>if estimating emissions of carbon dioxide released—one of the following methods must be used:</w:t>
      </w:r>
    </w:p>
    <w:p w:rsidR="00C17B3A" w:rsidRPr="00B32A45" w:rsidRDefault="00C17B3A" w:rsidP="00C17B3A">
      <w:pPr>
        <w:pStyle w:val="tSubpara"/>
      </w:pPr>
      <w:r w:rsidRPr="00B32A45">
        <w:tab/>
        <w:t>(i)</w:t>
      </w:r>
      <w:r w:rsidRPr="00B32A45">
        <w:tab/>
        <w:t>method 1 under section 3.53;</w:t>
      </w:r>
    </w:p>
    <w:p w:rsidR="00C17B3A" w:rsidRPr="00B32A45" w:rsidRDefault="00C17B3A" w:rsidP="00C17B3A">
      <w:pPr>
        <w:pStyle w:val="tSubpara"/>
      </w:pPr>
      <w:r w:rsidRPr="00B32A45">
        <w:tab/>
        <w:t>(ii)</w:t>
      </w:r>
      <w:r w:rsidRPr="00B32A45">
        <w:tab/>
        <w:t>method 2 under section 3.54;</w:t>
      </w:r>
    </w:p>
    <w:p w:rsidR="00C17B3A" w:rsidRPr="00B32A45" w:rsidRDefault="00C17B3A" w:rsidP="00C17B3A">
      <w:pPr>
        <w:pStyle w:val="tSubpara"/>
      </w:pPr>
      <w:r w:rsidRPr="00B32A45">
        <w:tab/>
        <w:t>(iii)</w:t>
      </w:r>
      <w:r w:rsidRPr="00B32A45">
        <w:tab/>
        <w:t>method 3 under section 3.55;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3.53;</w:t>
      </w:r>
    </w:p>
    <w:p w:rsidR="00C17B3A" w:rsidRPr="00B32A45" w:rsidRDefault="00C17B3A" w:rsidP="00C17B3A">
      <w:pPr>
        <w:pStyle w:val="tSubpara"/>
      </w:pPr>
      <w:r w:rsidRPr="00B32A45">
        <w:tab/>
        <w:t>(ii)</w:t>
      </w:r>
      <w:r w:rsidRPr="00B32A45">
        <w:tab/>
        <w:t>method 2A under section 3.54A;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3.53;</w:t>
      </w:r>
    </w:p>
    <w:p w:rsidR="00C17B3A" w:rsidRPr="00B32A45" w:rsidRDefault="00C17B3A" w:rsidP="00C17B3A">
      <w:pPr>
        <w:pStyle w:val="tSubpara"/>
      </w:pPr>
      <w:r w:rsidRPr="00B32A45">
        <w:tab/>
        <w:t>(ii)</w:t>
      </w:r>
      <w:r w:rsidRPr="00B32A45">
        <w:tab/>
        <w:t>method 2A under section 3.54A.</w:t>
      </w:r>
    </w:p>
    <w:p w:rsidR="00C17B3A" w:rsidRPr="00B32A45" w:rsidRDefault="00C17B3A" w:rsidP="00C17B3A">
      <w:pPr>
        <w:pStyle w:val="nMain"/>
      </w:pPr>
      <w:r w:rsidRPr="00B32A45">
        <w:t>Note:</w:t>
      </w:r>
      <w:r w:rsidRPr="00B32A45">
        <w:tab/>
        <w:t>There is no method 4 under paragraph (a) and no method 2, 3 or 4 under paragraph (b) or (c).</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bookmarkStart w:id="43" w:name="_Toc486862056"/>
      <w:r w:rsidRPr="00B32A45">
        <w:rPr>
          <w:rStyle w:val="CharSectno"/>
        </w:rPr>
        <w:lastRenderedPageBreak/>
        <w:t>3.53</w:t>
      </w:r>
      <w:r w:rsidRPr="00B32A45">
        <w:t xml:space="preserve">  Method 1—crude oil production (flared) emissions</w:t>
      </w:r>
      <w:bookmarkEnd w:id="43"/>
    </w:p>
    <w:p w:rsidR="00C17B3A" w:rsidRPr="00B32A45" w:rsidRDefault="00C17B3A" w:rsidP="00C17B3A">
      <w:pPr>
        <w:pStyle w:val="tMain"/>
      </w:pPr>
      <w:r w:rsidRPr="00B32A45">
        <w:tab/>
        <w:t>(1)</w:t>
      </w:r>
      <w:r w:rsidRPr="00B32A45">
        <w:tab/>
        <w:t>For subparagraph 3.52(a)(i), 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667455F7" wp14:editId="1812D99F">
            <wp:extent cx="1019175" cy="2190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Fonts w:ascii="Times New Roman Bold" w:hAnsi="Times New Roman Bold"/>
          <w:b/>
          <w:i/>
          <w:vertAlign w:val="subscript"/>
        </w:rPr>
        <w:t>i</w:t>
      </w:r>
      <w:r w:rsidRPr="00B32A45">
        <w:rPr>
          <w:b/>
          <w:i/>
          <w:vertAlign w:val="subscript"/>
        </w:rPr>
        <w:t>j</w:t>
      </w:r>
      <w:r w:rsidRPr="00B32A45">
        <w:rPr>
          <w:b/>
          <w:i/>
        </w:rPr>
        <w:t xml:space="preserve"> </w:t>
      </w:r>
      <w:r w:rsidRPr="00B32A45">
        <w:t>is the emissions of gas type (</w:t>
      </w:r>
      <w:r w:rsidRPr="00B32A45">
        <w:rPr>
          <w:b/>
          <w:i/>
        </w:rPr>
        <w:t>j</w:t>
      </w:r>
      <w:r w:rsidRPr="00B32A45">
        <w:t>) measured in CO</w:t>
      </w:r>
      <w:r w:rsidRPr="00B32A45">
        <w:rPr>
          <w:rStyle w:val="charSubscript"/>
          <w:iCs/>
        </w:rPr>
        <w:t>2</w:t>
      </w:r>
      <w:r w:rsidRPr="00B32A45">
        <w:noBreakHyphen/>
        <w:t>e tonnes from a fuel type (</w:t>
      </w:r>
      <w:r w:rsidRPr="00B32A45">
        <w:rPr>
          <w:b/>
          <w:i/>
        </w:rPr>
        <w:t>i</w:t>
      </w:r>
      <w:r w:rsidRPr="00B32A45">
        <w:t>) flared in crude oil production during the year.</w:t>
      </w:r>
    </w:p>
    <w:p w:rsidR="00C17B3A" w:rsidRPr="00B32A45" w:rsidRDefault="00C17B3A" w:rsidP="00C17B3A">
      <w:pPr>
        <w:pStyle w:val="tDefn"/>
      </w:pPr>
      <w:r w:rsidRPr="00B32A45">
        <w:rPr>
          <w:b/>
          <w:i/>
        </w:rPr>
        <w:t>Q</w:t>
      </w:r>
      <w:r w:rsidRPr="00B32A45">
        <w:rPr>
          <w:rFonts w:ascii="Times New Roman Bold" w:hAnsi="Times New Roman Bold"/>
          <w:b/>
          <w:i/>
          <w:vertAlign w:val="subscript"/>
        </w:rPr>
        <w:t>i</w:t>
      </w:r>
      <w:r w:rsidRPr="00B32A45">
        <w:rPr>
          <w:b/>
          <w:i/>
        </w:rPr>
        <w:t xml:space="preserve"> </w:t>
      </w:r>
      <w:r w:rsidRPr="00B32A45">
        <w:t>is the quantity of fuel type (</w:t>
      </w:r>
      <w:r w:rsidRPr="00B32A45">
        <w:rPr>
          <w:b/>
          <w:i/>
        </w:rPr>
        <w:t>i</w:t>
      </w:r>
      <w:r w:rsidRPr="00B32A45">
        <w:t>) measured in tonnes flared in crude oil production during the year.</w:t>
      </w:r>
    </w:p>
    <w:p w:rsidR="00C17B3A" w:rsidRPr="00B32A45" w:rsidRDefault="00C17B3A" w:rsidP="00C17B3A">
      <w:pPr>
        <w:pStyle w:val="nMain"/>
      </w:pPr>
      <w:r w:rsidRPr="00B32A45">
        <w:t>Note:</w:t>
      </w:r>
      <w:r w:rsidRPr="00B32A45">
        <w:tab/>
        <w:t>This quantity includes all of the fuel type, not just hydrocarbons within the fuel type.</w:t>
      </w:r>
    </w:p>
    <w:p w:rsidR="00C17B3A" w:rsidRPr="00B32A45" w:rsidRDefault="00C17B3A" w:rsidP="00C17B3A">
      <w:pPr>
        <w:pStyle w:val="tDefn"/>
      </w:pPr>
      <w:r w:rsidRPr="00B32A45">
        <w:rPr>
          <w:b/>
          <w:i/>
        </w:rPr>
        <w:t>EF</w:t>
      </w:r>
      <w:r w:rsidRPr="00B32A45">
        <w:rPr>
          <w:rFonts w:ascii="Times New Roman Bold" w:hAnsi="Times New Roman Bold"/>
          <w:b/>
          <w:i/>
          <w:vertAlign w:val="subscript"/>
        </w:rPr>
        <w:t>i</w:t>
      </w:r>
      <w:r w:rsidRPr="00B32A45">
        <w:rPr>
          <w:b/>
          <w:i/>
          <w:vertAlign w:val="subscript"/>
        </w:rPr>
        <w:t>j</w:t>
      </w:r>
      <w:r w:rsidRPr="00B32A45">
        <w:rPr>
          <w:b/>
          <w:i/>
        </w:rPr>
        <w:t xml:space="preserve"> </w:t>
      </w:r>
      <w:r w:rsidRPr="00B32A45">
        <w:t>is the emission factor for gas type (</w:t>
      </w:r>
      <w:r w:rsidRPr="00B32A45">
        <w:rPr>
          <w:b/>
          <w:i/>
        </w:rPr>
        <w:t>j</w:t>
      </w:r>
      <w:r w:rsidRPr="00B32A45">
        <w:t>) measured in tonnes of CO</w:t>
      </w:r>
      <w:r w:rsidRPr="00B32A45">
        <w:rPr>
          <w:rStyle w:val="charSubscript"/>
          <w:iCs/>
        </w:rPr>
        <w:t>2</w:t>
      </w:r>
      <w:r w:rsidRPr="00B32A45">
        <w:noBreakHyphen/>
        <w:t>e emissions per tonne of the fuel type (</w:t>
      </w:r>
      <w:r w:rsidRPr="00B32A45">
        <w:rPr>
          <w:b/>
          <w:i/>
        </w:rPr>
        <w:t>i</w:t>
      </w:r>
      <w:r w:rsidRPr="00B32A45">
        <w:t>) flared.</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w:t>
      </w:r>
      <w:r w:rsidRPr="00B32A45">
        <w:rPr>
          <w:i/>
          <w:vertAlign w:val="subscript"/>
        </w:rPr>
        <w:t xml:space="preserve"> </w:t>
      </w:r>
      <w:r w:rsidRPr="00B32A45">
        <w:t>mentioned in subsection (1), columns 3, 4 and 5 of an item in following table specify the emission factor for each fuel type (</w:t>
      </w:r>
      <w:r w:rsidRPr="00B32A45">
        <w:rPr>
          <w:b/>
          <w:i/>
        </w:rPr>
        <w:t>i</w:t>
      </w:r>
      <w:r w:rsidRPr="00B32A45">
        <w:t>) spec</w:t>
      </w:r>
      <w:r w:rsidR="00524E7C">
        <w:t>ified in column 2 of that item.</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2460"/>
        <w:gridCol w:w="1848"/>
        <w:gridCol w:w="1852"/>
        <w:gridCol w:w="1688"/>
      </w:tblGrid>
      <w:tr w:rsidR="00C17B3A" w:rsidRPr="00B32A45" w:rsidTr="00DB6238">
        <w:trPr>
          <w:cantSplit/>
          <w:tblHeader/>
        </w:trPr>
        <w:tc>
          <w:tcPr>
            <w:tcW w:w="448" w:type="pc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Item</w:t>
            </w:r>
          </w:p>
        </w:tc>
        <w:tc>
          <w:tcPr>
            <w:tcW w:w="1427" w:type="pct"/>
            <w:vMerge w:val="restar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Fuel type (</w:t>
            </w:r>
            <w:r w:rsidRPr="00B32A45">
              <w:rPr>
                <w:b w:val="0"/>
                <w:i/>
              </w:rPr>
              <w:t>i</w:t>
            </w:r>
            <w:r w:rsidRPr="00B32A45">
              <w:t>)</w:t>
            </w:r>
          </w:p>
        </w:tc>
        <w:tc>
          <w:tcPr>
            <w:tcW w:w="3126" w:type="pct"/>
            <w:gridSpan w:val="3"/>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Emission factor for gas type (</w:t>
            </w:r>
            <w:r w:rsidRPr="00B32A45">
              <w:rPr>
                <w:i/>
              </w:rPr>
              <w:t>j</w:t>
            </w:r>
            <w:r w:rsidRPr="00B32A45">
              <w:t>) (tonnes CO</w:t>
            </w:r>
            <w:r w:rsidRPr="00B32A45">
              <w:rPr>
                <w:rStyle w:val="charSubscript"/>
                <w:b w:val="0"/>
                <w:bCs/>
              </w:rPr>
              <w:t>2</w:t>
            </w:r>
            <w:r w:rsidRPr="00B32A45">
              <w:noBreakHyphen/>
              <w:t>e/tonnes of fuel flared)</w:t>
            </w:r>
          </w:p>
        </w:tc>
      </w:tr>
      <w:tr w:rsidR="00C17B3A" w:rsidRPr="00B32A45" w:rsidTr="00DB6238">
        <w:trPr>
          <w:cantSplit/>
          <w:tblHeader/>
        </w:trPr>
        <w:tc>
          <w:tcPr>
            <w:tcW w:w="448" w:type="pct"/>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427" w:type="pct"/>
            <w:vMerge/>
            <w:tcBorders>
              <w:top w:val="nil"/>
              <w:left w:val="nil"/>
              <w:bottom w:val="single" w:sz="12" w:space="0" w:color="auto"/>
              <w:right w:val="nil"/>
            </w:tcBorders>
            <w:shd w:val="clear" w:color="auto" w:fill="auto"/>
          </w:tcPr>
          <w:p w:rsidR="00C17B3A" w:rsidRPr="00B32A45" w:rsidRDefault="00C17B3A" w:rsidP="00DB6238"/>
        </w:tc>
        <w:tc>
          <w:tcPr>
            <w:tcW w:w="1072"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CO</w:t>
            </w:r>
            <w:r w:rsidRPr="00B32A45">
              <w:rPr>
                <w:rStyle w:val="charSubscript"/>
                <w:b w:val="0"/>
                <w:bCs/>
              </w:rPr>
              <w:t>2</w:t>
            </w:r>
          </w:p>
        </w:tc>
        <w:tc>
          <w:tcPr>
            <w:tcW w:w="1074"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CH</w:t>
            </w:r>
            <w:r w:rsidRPr="00B32A45">
              <w:rPr>
                <w:rStyle w:val="charSubscript"/>
                <w:b w:val="0"/>
                <w:bCs/>
              </w:rPr>
              <w:t>4</w:t>
            </w:r>
          </w:p>
        </w:tc>
        <w:tc>
          <w:tcPr>
            <w:tcW w:w="979"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N</w:t>
            </w:r>
            <w:r w:rsidRPr="00B32A45">
              <w:rPr>
                <w:rStyle w:val="charSubscript"/>
                <w:b w:val="0"/>
                <w:bCs/>
              </w:rPr>
              <w:t>2</w:t>
            </w:r>
            <w:r w:rsidRPr="00B32A45">
              <w:t>O</w:t>
            </w:r>
          </w:p>
        </w:tc>
      </w:tr>
      <w:tr w:rsidR="00C17B3A" w:rsidRPr="00B32A45" w:rsidTr="00DB6238">
        <w:trPr>
          <w:cantSplit/>
        </w:trPr>
        <w:tc>
          <w:tcPr>
            <w:tcW w:w="448" w:type="pct"/>
            <w:tcBorders>
              <w:top w:val="single" w:sz="12" w:space="0" w:color="auto"/>
              <w:left w:val="nil"/>
              <w:bottom w:val="single" w:sz="4" w:space="0" w:color="auto"/>
              <w:right w:val="nil"/>
            </w:tcBorders>
          </w:tcPr>
          <w:p w:rsidR="00C17B3A" w:rsidRPr="00B32A45" w:rsidRDefault="00C17B3A" w:rsidP="00DB6238">
            <w:pPr>
              <w:pStyle w:val="Tabletext"/>
            </w:pPr>
            <w:r w:rsidRPr="00B32A45">
              <w:t>1</w:t>
            </w:r>
          </w:p>
        </w:tc>
        <w:tc>
          <w:tcPr>
            <w:tcW w:w="1427" w:type="pct"/>
            <w:tcBorders>
              <w:top w:val="single" w:sz="12" w:space="0" w:color="auto"/>
              <w:left w:val="nil"/>
              <w:bottom w:val="single" w:sz="4" w:space="0" w:color="auto"/>
              <w:right w:val="nil"/>
            </w:tcBorders>
          </w:tcPr>
          <w:p w:rsidR="00C17B3A" w:rsidRPr="00B32A45" w:rsidRDefault="00C17B3A" w:rsidP="00DB6238">
            <w:pPr>
              <w:pStyle w:val="Tabletext"/>
            </w:pPr>
            <w:r w:rsidRPr="00B32A45">
              <w:t xml:space="preserve">Gas </w:t>
            </w:r>
          </w:p>
        </w:tc>
        <w:tc>
          <w:tcPr>
            <w:tcW w:w="1072" w:type="pct"/>
            <w:tcBorders>
              <w:top w:val="single" w:sz="12" w:space="0" w:color="auto"/>
              <w:left w:val="nil"/>
              <w:bottom w:val="single" w:sz="4" w:space="0" w:color="auto"/>
              <w:right w:val="nil"/>
            </w:tcBorders>
          </w:tcPr>
          <w:p w:rsidR="00C17B3A" w:rsidRPr="00B32A45" w:rsidRDefault="00C17B3A" w:rsidP="00DB6238">
            <w:pPr>
              <w:pStyle w:val="Tabletext"/>
            </w:pPr>
            <w:r w:rsidRPr="00B32A45">
              <w:t>2.80</w:t>
            </w:r>
          </w:p>
        </w:tc>
        <w:tc>
          <w:tcPr>
            <w:tcW w:w="1074" w:type="pct"/>
            <w:tcBorders>
              <w:top w:val="single" w:sz="12" w:space="0" w:color="auto"/>
              <w:left w:val="nil"/>
              <w:bottom w:val="single" w:sz="4" w:space="0" w:color="auto"/>
              <w:right w:val="nil"/>
            </w:tcBorders>
          </w:tcPr>
          <w:p w:rsidR="00C17B3A" w:rsidRPr="00B32A45" w:rsidRDefault="00C17B3A" w:rsidP="00DB6238">
            <w:pPr>
              <w:pStyle w:val="Tabletext"/>
            </w:pPr>
            <w:r w:rsidRPr="00B32A45">
              <w:t>0.933</w:t>
            </w:r>
          </w:p>
        </w:tc>
        <w:tc>
          <w:tcPr>
            <w:tcW w:w="979" w:type="pct"/>
            <w:tcBorders>
              <w:top w:val="single" w:sz="12" w:space="0" w:color="auto"/>
              <w:left w:val="nil"/>
              <w:bottom w:val="single" w:sz="4" w:space="0" w:color="auto"/>
              <w:right w:val="nil"/>
            </w:tcBorders>
          </w:tcPr>
          <w:p w:rsidR="00C17B3A" w:rsidRPr="00B32A45" w:rsidRDefault="00C17B3A" w:rsidP="00DB6238">
            <w:pPr>
              <w:pStyle w:val="Tabletext"/>
            </w:pPr>
            <w:r w:rsidRPr="00B32A45">
              <w:t>0.026</w:t>
            </w:r>
          </w:p>
        </w:tc>
      </w:tr>
      <w:tr w:rsidR="00C17B3A" w:rsidRPr="00B32A45" w:rsidTr="00DB6238">
        <w:trPr>
          <w:cantSplit/>
        </w:trPr>
        <w:tc>
          <w:tcPr>
            <w:tcW w:w="448" w:type="pct"/>
            <w:tcBorders>
              <w:top w:val="single" w:sz="4" w:space="0" w:color="auto"/>
              <w:left w:val="nil"/>
              <w:bottom w:val="single" w:sz="12" w:space="0" w:color="auto"/>
              <w:right w:val="nil"/>
            </w:tcBorders>
          </w:tcPr>
          <w:p w:rsidR="00C17B3A" w:rsidRPr="00B32A45" w:rsidRDefault="00C17B3A" w:rsidP="00DB6238">
            <w:pPr>
              <w:pStyle w:val="Tabletext"/>
            </w:pPr>
            <w:r w:rsidRPr="00B32A45">
              <w:t>2</w:t>
            </w:r>
          </w:p>
        </w:tc>
        <w:tc>
          <w:tcPr>
            <w:tcW w:w="1427" w:type="pct"/>
            <w:tcBorders>
              <w:top w:val="single" w:sz="4" w:space="0" w:color="auto"/>
              <w:left w:val="nil"/>
              <w:bottom w:val="single" w:sz="12" w:space="0" w:color="auto"/>
              <w:right w:val="nil"/>
            </w:tcBorders>
          </w:tcPr>
          <w:p w:rsidR="00C17B3A" w:rsidRPr="00B32A45" w:rsidRDefault="00C17B3A" w:rsidP="00DB6238">
            <w:pPr>
              <w:pStyle w:val="Tabletext"/>
            </w:pPr>
            <w:r w:rsidRPr="00B32A45">
              <w:t>Crude oil and liquids</w:t>
            </w:r>
          </w:p>
        </w:tc>
        <w:tc>
          <w:tcPr>
            <w:tcW w:w="1072" w:type="pct"/>
            <w:tcBorders>
              <w:top w:val="single" w:sz="4" w:space="0" w:color="auto"/>
              <w:left w:val="nil"/>
              <w:bottom w:val="single" w:sz="12" w:space="0" w:color="auto"/>
              <w:right w:val="nil"/>
            </w:tcBorders>
          </w:tcPr>
          <w:p w:rsidR="00C17B3A" w:rsidRPr="00B32A45" w:rsidRDefault="00C17B3A" w:rsidP="00DB6238">
            <w:pPr>
              <w:pStyle w:val="Tabletext"/>
            </w:pPr>
            <w:r w:rsidRPr="00B32A45">
              <w:t>3.20</w:t>
            </w:r>
          </w:p>
        </w:tc>
        <w:tc>
          <w:tcPr>
            <w:tcW w:w="1074" w:type="pct"/>
            <w:tcBorders>
              <w:top w:val="single" w:sz="4" w:space="0" w:color="auto"/>
              <w:left w:val="nil"/>
              <w:bottom w:val="single" w:sz="12" w:space="0" w:color="auto"/>
              <w:right w:val="nil"/>
            </w:tcBorders>
          </w:tcPr>
          <w:p w:rsidR="00C17B3A" w:rsidRPr="00B32A45" w:rsidRDefault="00C17B3A" w:rsidP="00DB6238">
            <w:pPr>
              <w:pStyle w:val="Tabletext"/>
              <w:rPr>
                <w:vertAlign w:val="superscript"/>
              </w:rPr>
            </w:pPr>
            <w:r w:rsidRPr="00B32A45">
              <w:t>0.009</w:t>
            </w:r>
          </w:p>
        </w:tc>
        <w:tc>
          <w:tcPr>
            <w:tcW w:w="979" w:type="pct"/>
            <w:tcBorders>
              <w:top w:val="single" w:sz="4" w:space="0" w:color="auto"/>
              <w:left w:val="nil"/>
              <w:bottom w:val="single" w:sz="12" w:space="0" w:color="auto"/>
              <w:right w:val="nil"/>
            </w:tcBorders>
          </w:tcPr>
          <w:p w:rsidR="00C17B3A" w:rsidRPr="00B32A45" w:rsidRDefault="00C17B3A" w:rsidP="00DB6238">
            <w:pPr>
              <w:pStyle w:val="Tabletext"/>
            </w:pPr>
            <w:r w:rsidRPr="00B32A45">
              <w:t>0.06</w:t>
            </w:r>
          </w:p>
        </w:tc>
      </w:tr>
    </w:tbl>
    <w:p w:rsidR="00C17B3A" w:rsidRPr="00B32A45" w:rsidRDefault="00C17B3A" w:rsidP="00C17B3A">
      <w:pPr>
        <w:pStyle w:val="h5Section"/>
      </w:pPr>
      <w:bookmarkStart w:id="44" w:name="_Toc486862057"/>
      <w:r w:rsidRPr="00B32A45">
        <w:rPr>
          <w:rStyle w:val="CharSectno"/>
        </w:rPr>
        <w:t>3.54</w:t>
      </w:r>
      <w:r w:rsidRPr="00B32A45">
        <w:t xml:space="preserve">  Method 2—crude oil production</w:t>
      </w:r>
      <w:bookmarkEnd w:id="44"/>
    </w:p>
    <w:p w:rsidR="00C17B3A" w:rsidRPr="00B32A45" w:rsidRDefault="00C17B3A" w:rsidP="00C17B3A">
      <w:pPr>
        <w:pStyle w:val="h6Subsec"/>
      </w:pPr>
      <w:r w:rsidRPr="00B32A45">
        <w:t>Combustion of gaseous fuels (flared) emissions of carbon dioxide</w:t>
      </w:r>
    </w:p>
    <w:p w:rsidR="00C17B3A" w:rsidRPr="00B32A45" w:rsidRDefault="00C17B3A" w:rsidP="00C17B3A">
      <w:pPr>
        <w:pStyle w:val="tMain"/>
      </w:pPr>
      <w:r w:rsidRPr="00B32A45">
        <w:tab/>
        <w:t>(1)</w:t>
      </w:r>
      <w:r w:rsidRPr="00B32A45">
        <w:tab/>
        <w:t>For subparagraph 3.52(1)(a)(ii), method 2 for combustion of gaseous fuels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26336A07" wp14:editId="1D774A0A">
            <wp:extent cx="2012950" cy="336550"/>
            <wp:effectExtent l="0" t="0" r="6350" b="0"/>
            <wp:docPr id="19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950" cy="33655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iCO</w:t>
      </w:r>
      <w:r w:rsidRPr="00B32A45">
        <w:rPr>
          <w:b/>
          <w:i/>
          <w:position w:val="-4"/>
          <w:vertAlign w:val="subscript"/>
        </w:rPr>
        <w:t>2</w:t>
      </w:r>
      <w:r w:rsidRPr="00B32A45">
        <w:t xml:space="preserve"> is the fugitive emissions of CO</w:t>
      </w:r>
      <w:r w:rsidRPr="00B32A45">
        <w:rPr>
          <w:vertAlign w:val="subscript"/>
        </w:rPr>
        <w:t>2</w:t>
      </w:r>
      <w:r w:rsidRPr="00B32A45">
        <w:t xml:space="preserve"> from fuel type (</w:t>
      </w:r>
      <w:r w:rsidRPr="00B32A45">
        <w:rPr>
          <w:b/>
          <w:i/>
        </w:rPr>
        <w:t>i</w:t>
      </w:r>
      <w:r w:rsidRPr="00B32A45">
        <w:t>) flared in crude oil production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Q</w:t>
      </w:r>
      <w:r w:rsidRPr="00B32A45">
        <w:rPr>
          <w:b/>
          <w:i/>
          <w:vertAlign w:val="subscript"/>
        </w:rPr>
        <w:t>h</w:t>
      </w:r>
      <w:r w:rsidRPr="00B32A45">
        <w:rPr>
          <w:i/>
        </w:rPr>
        <w:t xml:space="preserve"> </w:t>
      </w:r>
      <w:r w:rsidRPr="00B32A45">
        <w:t>is the total quantity of hydrocarbons (</w:t>
      </w:r>
      <w:r w:rsidRPr="00B32A45">
        <w:rPr>
          <w:b/>
          <w:i/>
        </w:rPr>
        <w:t>h</w:t>
      </w:r>
      <w:r w:rsidRPr="00B32A45">
        <w:t>) within the fuel type (</w:t>
      </w:r>
      <w:r w:rsidRPr="00B32A45">
        <w:rPr>
          <w:b/>
          <w:i/>
        </w:rPr>
        <w:t>i</w:t>
      </w:r>
      <w:r w:rsidRPr="00B32A45">
        <w:t>) in crude oil production during the year, measured in tonnes in accordance with Division 2.3.3.</w:t>
      </w:r>
    </w:p>
    <w:p w:rsidR="00C17B3A" w:rsidRPr="00B32A45" w:rsidRDefault="00C17B3A" w:rsidP="00C17B3A">
      <w:pPr>
        <w:pStyle w:val="tDefn"/>
      </w:pPr>
      <w:r w:rsidRPr="00B32A45">
        <w:rPr>
          <w:b/>
          <w:i/>
        </w:rPr>
        <w:t>EF</w:t>
      </w:r>
      <w:r w:rsidRPr="00B32A45">
        <w:rPr>
          <w:b/>
          <w:i/>
          <w:vertAlign w:val="subscript"/>
        </w:rPr>
        <w:t>h</w:t>
      </w:r>
      <w:r w:rsidRPr="00B32A45">
        <w:t xml:space="preserve"> is the emission factor for the total hydrocarbons (</w:t>
      </w:r>
      <w:r w:rsidRPr="00B32A45">
        <w:rPr>
          <w:b/>
          <w:i/>
        </w:rPr>
        <w:t>h</w:t>
      </w:r>
      <w:r w:rsidRPr="00B32A45">
        <w:t>) within the fuel type (</w:t>
      </w:r>
      <w:r w:rsidRPr="00B32A45">
        <w:rPr>
          <w:b/>
          <w:i/>
        </w:rPr>
        <w:t>i</w:t>
      </w:r>
      <w:r w:rsidRPr="00B32A45">
        <w:t>) in crude oil production during the year, measured in CO</w:t>
      </w:r>
      <w:r w:rsidRPr="00B32A45">
        <w:rPr>
          <w:vertAlign w:val="subscript"/>
        </w:rPr>
        <w:t>2</w:t>
      </w:r>
      <w:r w:rsidRPr="00B32A45">
        <w:noBreakHyphen/>
        <w:t>e tonnes per tonne of fuel type (</w:t>
      </w:r>
      <w:r w:rsidRPr="00B32A45">
        <w:rPr>
          <w:b/>
          <w:i/>
        </w:rPr>
        <w:t>i</w:t>
      </w:r>
      <w:r w:rsidRPr="00B32A45">
        <w:t>) flared</w:t>
      </w:r>
      <w:r w:rsidRPr="00B32A45">
        <w:rPr>
          <w:i/>
        </w:rPr>
        <w:t xml:space="preserve">, </w:t>
      </w:r>
      <w:r w:rsidRPr="00B32A45">
        <w:t>estimated in accordance with method 2 in Division 2.3.3.</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QCO</w:t>
      </w:r>
      <w:r w:rsidRPr="00B32A45">
        <w:rPr>
          <w:b/>
          <w:i/>
          <w:vertAlign w:val="subscript"/>
        </w:rPr>
        <w:t>2</w:t>
      </w:r>
      <w:r w:rsidRPr="00B32A45">
        <w:t xml:space="preserve"> is the quantity of CO</w:t>
      </w:r>
      <w:r w:rsidRPr="00B32A45">
        <w:rPr>
          <w:vertAlign w:val="subscript"/>
        </w:rPr>
        <w:t>2</w:t>
      </w:r>
      <w:r w:rsidRPr="00B32A45">
        <w:t xml:space="preserve"> within the fuel type (</w:t>
      </w:r>
      <w:r w:rsidRPr="00B32A45">
        <w:rPr>
          <w:b/>
          <w:i/>
        </w:rPr>
        <w:t>i</w:t>
      </w:r>
      <w:r w:rsidRPr="00B32A45">
        <w:t>) in crude oil production during the year, measured in CO</w:t>
      </w:r>
      <w:r w:rsidRPr="00B32A45">
        <w:rPr>
          <w:vertAlign w:val="subscript"/>
        </w:rPr>
        <w:t>2</w:t>
      </w:r>
      <w:r w:rsidRPr="00B32A45">
        <w:noBreakHyphen/>
        <w:t>e tonnes in accordance with Division 2.3.3.</w:t>
      </w:r>
    </w:p>
    <w:p w:rsidR="00C17B3A" w:rsidRPr="00B32A45" w:rsidRDefault="00C17B3A" w:rsidP="00C17B3A">
      <w:pPr>
        <w:pStyle w:val="h6Subsec"/>
      </w:pPr>
      <w:r w:rsidRPr="00B32A45">
        <w:t>Combustion of liquid fuels (flared) emissions of carbon dioxide</w:t>
      </w:r>
    </w:p>
    <w:p w:rsidR="00C17B3A" w:rsidRPr="00B32A45" w:rsidRDefault="00C17B3A" w:rsidP="00C17B3A">
      <w:pPr>
        <w:pStyle w:val="tMain"/>
      </w:pPr>
      <w:r w:rsidRPr="00B32A45">
        <w:tab/>
        <w:t>(2)</w:t>
      </w:r>
      <w:r w:rsidRPr="00B32A45">
        <w:tab/>
        <w:t xml:space="preserve">For subparagraph 3.51(1)(a)(ii), method 2 for combustion of liquid fuels is the same as method 1, but the carbon dioxide emissions factor </w:t>
      </w:r>
      <w:r w:rsidRPr="00B32A45">
        <w:rPr>
          <w:b/>
          <w:i/>
        </w:rPr>
        <w:t>EF</w:t>
      </w:r>
      <w:r w:rsidRPr="00B32A45">
        <w:rPr>
          <w:rStyle w:val="charSubscript"/>
          <w:b/>
          <w:i/>
        </w:rPr>
        <w:t>h</w:t>
      </w:r>
      <w:r w:rsidRPr="00B32A45">
        <w:t xml:space="preserve"> must be determined in accordance with method 2 in Division 2.4.3.</w:t>
      </w:r>
    </w:p>
    <w:p w:rsidR="00C17B3A" w:rsidRPr="00B32A45" w:rsidRDefault="00C17B3A" w:rsidP="00C17B3A">
      <w:pPr>
        <w:pStyle w:val="h5Section"/>
      </w:pPr>
      <w:bookmarkStart w:id="45" w:name="_Toc486862058"/>
      <w:r w:rsidRPr="00B32A45">
        <w:rPr>
          <w:rStyle w:val="CharSectno"/>
        </w:rPr>
        <w:lastRenderedPageBreak/>
        <w:t>3.54A</w:t>
      </w:r>
      <w:r w:rsidRPr="00B32A45">
        <w:t xml:space="preserve">  Method 2A—crude oil production (flared methane or nitrous oxide emissions)</w:t>
      </w:r>
      <w:bookmarkEnd w:id="45"/>
    </w:p>
    <w:p w:rsidR="00C17B3A" w:rsidRPr="00B32A45" w:rsidRDefault="00C17B3A" w:rsidP="00C17B3A">
      <w:pPr>
        <w:pStyle w:val="tMain"/>
      </w:pPr>
      <w:r w:rsidRPr="00B32A45">
        <w:tab/>
      </w:r>
      <w:r w:rsidRPr="00B32A45">
        <w:tab/>
        <w:t>For subparagraphs 3.52(1)(b)(ii) and (c)(ii), method 2A is:</w:t>
      </w:r>
    </w:p>
    <w:p w:rsidR="00C17B3A" w:rsidRPr="00B32A45" w:rsidRDefault="00C17B3A" w:rsidP="00C17B3A">
      <w:pPr>
        <w:pStyle w:val="subsection2"/>
      </w:pPr>
      <w:r w:rsidRPr="00B32A45">
        <w:rPr>
          <w:noProof/>
        </w:rPr>
        <w:drawing>
          <wp:inline distT="0" distB="0" distL="0" distR="0" wp14:anchorId="04601DA8" wp14:editId="765E5619">
            <wp:extent cx="1336675" cy="2755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675" cy="27559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EF</w:t>
      </w:r>
      <w:r w:rsidRPr="00B32A45">
        <w:rPr>
          <w:b/>
          <w:i/>
          <w:vertAlign w:val="subscript"/>
        </w:rPr>
        <w:t>hij</w:t>
      </w:r>
      <w:r w:rsidRPr="00B32A45">
        <w:t xml:space="preserve"> is the emission factor of gas type (</w:t>
      </w:r>
      <w:r w:rsidRPr="00B32A45">
        <w:rPr>
          <w:b/>
          <w:i/>
        </w:rPr>
        <w:t>j</w:t>
      </w:r>
      <w:r w:rsidRPr="00B32A45">
        <w:t>), being methane or nitrous oxide, for the total hydrocarbons (</w:t>
      </w:r>
      <w:r w:rsidRPr="00B32A45">
        <w:rPr>
          <w:b/>
          <w:i/>
        </w:rPr>
        <w:t>h</w:t>
      </w:r>
      <w:r w:rsidRPr="00B32A45">
        <w:t>) within the fuel type (</w:t>
      </w:r>
      <w:r w:rsidRPr="00B32A45">
        <w:rPr>
          <w:b/>
          <w:i/>
        </w:rPr>
        <w:t>i</w:t>
      </w:r>
      <w:r w:rsidRPr="00B32A45">
        <w:t>) in crude oil production during the year, mentioned for the fuel type in the table in subsection 3.53(2) and measured in CO</w:t>
      </w:r>
      <w:r w:rsidRPr="00B32A45">
        <w:rPr>
          <w:vertAlign w:val="subscript"/>
        </w:rPr>
        <w:t>2</w:t>
      </w:r>
      <w:r w:rsidRPr="00B32A45">
        <w:noBreakHyphen/>
        <w:t>e tonnes per tonne of the fuel type (</w:t>
      </w:r>
      <w:r w:rsidRPr="00B32A45">
        <w:rPr>
          <w:b/>
          <w:i/>
        </w:rPr>
        <w:t>i</w:t>
      </w:r>
      <w:r w:rsidRPr="00B32A45">
        <w:t>) flared.</w:t>
      </w:r>
    </w:p>
    <w:p w:rsidR="00C17B3A" w:rsidRPr="00B32A45" w:rsidRDefault="00C17B3A" w:rsidP="00C17B3A">
      <w:pPr>
        <w:pStyle w:val="tDefn"/>
      </w:pPr>
      <w:r w:rsidRPr="00B32A45">
        <w:rPr>
          <w:b/>
          <w:i/>
        </w:rPr>
        <w:t>E</w:t>
      </w:r>
      <w:r w:rsidRPr="00B32A45">
        <w:rPr>
          <w:b/>
          <w:i/>
          <w:vertAlign w:val="subscript"/>
        </w:rPr>
        <w:t>ij</w:t>
      </w:r>
      <w:r w:rsidRPr="00B32A45">
        <w:t xml:space="preserve"> is the fugitive emissions of gas type (</w:t>
      </w:r>
      <w:r w:rsidRPr="00B32A45">
        <w:rPr>
          <w:b/>
          <w:i/>
        </w:rPr>
        <w:t>j</w:t>
      </w:r>
      <w:r w:rsidRPr="00B32A45">
        <w:t>), being methane or nitrous oxide, from fuel type (</w:t>
      </w:r>
      <w:r w:rsidRPr="00B32A45">
        <w:rPr>
          <w:b/>
          <w:i/>
        </w:rPr>
        <w:t>i</w:t>
      </w:r>
      <w:r w:rsidRPr="00B32A45">
        <w:t>) flared</w:t>
      </w:r>
      <w:r w:rsidRPr="00B32A45">
        <w:rPr>
          <w:i/>
        </w:rPr>
        <w:t xml:space="preserve"> </w:t>
      </w:r>
      <w:r w:rsidRPr="00B32A45">
        <w:t>from crude oil production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w:t>
      </w:r>
      <w:r w:rsidRPr="00B32A45">
        <w:rPr>
          <w:b/>
          <w:i/>
          <w:vertAlign w:val="subscript"/>
        </w:rPr>
        <w:t>h</w:t>
      </w:r>
      <w:r w:rsidRPr="00B32A45">
        <w:t xml:space="preserve"> is the total quantity of hydrocarbons (</w:t>
      </w:r>
      <w:r w:rsidRPr="00B32A45">
        <w:rPr>
          <w:b/>
          <w:i/>
        </w:rPr>
        <w:t>h</w:t>
      </w:r>
      <w:r w:rsidRPr="00B32A45">
        <w:t>) within the fuel type (</w:t>
      </w:r>
      <w:r w:rsidRPr="00B32A45">
        <w:rPr>
          <w:b/>
          <w:i/>
        </w:rPr>
        <w:t>i</w:t>
      </w:r>
      <w:r w:rsidRPr="00B32A45">
        <w:t>) in crude oil production during the year, measured in tonnes in accordance with Division 2.3.3 for gaseous fuels or Division 2.4.3 for liquid fuels.</w:t>
      </w:r>
    </w:p>
    <w:p w:rsidR="00C17B3A" w:rsidRPr="00B32A45" w:rsidRDefault="00C17B3A" w:rsidP="00C17B3A">
      <w:pPr>
        <w:pStyle w:val="h5Section"/>
      </w:pPr>
      <w:bookmarkStart w:id="46" w:name="_Toc486862059"/>
      <w:r w:rsidRPr="00B32A45">
        <w:rPr>
          <w:rStyle w:val="CharSectno"/>
        </w:rPr>
        <w:t>3.55</w:t>
      </w:r>
      <w:r w:rsidRPr="00B32A45">
        <w:t xml:space="preserve">  Method 3—crude oil production</w:t>
      </w:r>
      <w:bookmarkEnd w:id="46"/>
    </w:p>
    <w:p w:rsidR="00C17B3A" w:rsidRPr="00B32A45" w:rsidRDefault="00C17B3A" w:rsidP="00C17B3A">
      <w:pPr>
        <w:pStyle w:val="h6Subsec"/>
      </w:pPr>
      <w:r w:rsidRPr="00B32A45">
        <w:t>Combustion of gaseous fuels (flared) emissions of carbon dioxide</w:t>
      </w:r>
    </w:p>
    <w:p w:rsidR="00C17B3A" w:rsidRPr="00B32A45" w:rsidRDefault="00C17B3A" w:rsidP="00C17B3A">
      <w:pPr>
        <w:pStyle w:val="tMain"/>
      </w:pPr>
      <w:r w:rsidRPr="00B32A45">
        <w:tab/>
        <w:t>(1)</w:t>
      </w:r>
      <w:r w:rsidRPr="00B32A45">
        <w:tab/>
        <w:t xml:space="preserve">For subparagraph 3.52(1)(a)(iii), method 3 for the combustion of gaseous fuels is the same as method 2, but the carbon dioxide emissions factor </w:t>
      </w:r>
      <w:r w:rsidRPr="00B32A45">
        <w:rPr>
          <w:b/>
          <w:i/>
        </w:rPr>
        <w:t>EF</w:t>
      </w:r>
      <w:r w:rsidRPr="00B32A45">
        <w:rPr>
          <w:rStyle w:val="charSubscript"/>
          <w:b/>
          <w:i/>
        </w:rPr>
        <w:t>h</w:t>
      </w:r>
      <w:r w:rsidRPr="00B32A45">
        <w:t xml:space="preserve"> must be determined in accordance with method 3 in Division 2.3.4.</w:t>
      </w:r>
    </w:p>
    <w:p w:rsidR="00C17B3A" w:rsidRPr="00B32A45" w:rsidRDefault="00C17B3A" w:rsidP="00C17B3A">
      <w:pPr>
        <w:pStyle w:val="h6Subsec"/>
      </w:pPr>
      <w:r w:rsidRPr="00B32A45">
        <w:t>Combustion of liquid fuels (flared) emissions of carbon dioxide</w:t>
      </w:r>
    </w:p>
    <w:p w:rsidR="00C17B3A" w:rsidRPr="00B32A45" w:rsidRDefault="00C17B3A" w:rsidP="00C17B3A">
      <w:pPr>
        <w:pStyle w:val="tMain"/>
      </w:pPr>
      <w:r w:rsidRPr="00B32A45">
        <w:tab/>
        <w:t>(2)</w:t>
      </w:r>
      <w:r w:rsidRPr="00B32A45">
        <w:tab/>
        <w:t xml:space="preserve">For subparagraph 3.52(1)(a)(iii), method 3 for the combustion of liquid fuels is the same as method 2, but the carbon dioxide emissions factor </w:t>
      </w:r>
      <w:r w:rsidRPr="00B32A45">
        <w:rPr>
          <w:b/>
          <w:i/>
        </w:rPr>
        <w:t>EF</w:t>
      </w:r>
      <w:r w:rsidRPr="00B32A45">
        <w:rPr>
          <w:rStyle w:val="charSubscript"/>
          <w:b/>
          <w:i/>
        </w:rPr>
        <w:t>h</w:t>
      </w:r>
      <w:r w:rsidRPr="00B32A45">
        <w:t xml:space="preserve"> must be determined in accordance with method 3 in Division 2.4.4.</w:t>
      </w:r>
    </w:p>
    <w:p w:rsidR="00C17B3A" w:rsidRPr="00B32A45" w:rsidRDefault="00C17B3A" w:rsidP="00C17B3A">
      <w:pPr>
        <w:pStyle w:val="h4Subdiv"/>
      </w:pPr>
      <w:bookmarkStart w:id="47" w:name="_Toc486862060"/>
      <w:r w:rsidRPr="00B32A45">
        <w:rPr>
          <w:rStyle w:val="CharSubdNo"/>
        </w:rPr>
        <w:t>Subdivision 3.3.3.4</w:t>
      </w:r>
      <w:r w:rsidRPr="00B32A45">
        <w:t>—</w:t>
      </w:r>
      <w:r w:rsidRPr="00B32A45">
        <w:rPr>
          <w:rStyle w:val="CharSubdText"/>
        </w:rPr>
        <w:t>Crude oil production (non</w:t>
      </w:r>
      <w:r w:rsidRPr="00B32A45">
        <w:rPr>
          <w:rStyle w:val="CharSubdText"/>
        </w:rPr>
        <w:noBreakHyphen/>
        <w:t>flared)—fugitive vent emissions of methane and carbon dioxide</w:t>
      </w:r>
      <w:bookmarkEnd w:id="47"/>
    </w:p>
    <w:p w:rsidR="00C17B3A" w:rsidRPr="00B32A45" w:rsidRDefault="00C17B3A" w:rsidP="00C17B3A">
      <w:pPr>
        <w:pStyle w:val="h5Section"/>
      </w:pPr>
      <w:bookmarkStart w:id="48" w:name="_Toc486862061"/>
      <w:r w:rsidRPr="00B32A45">
        <w:rPr>
          <w:rStyle w:val="CharSectno"/>
        </w:rPr>
        <w:t>3.56A</w:t>
      </w:r>
      <w:r w:rsidRPr="00B32A45">
        <w:t xml:space="preserve">  Available methods</w:t>
      </w:r>
      <w:bookmarkEnd w:id="48"/>
    </w:p>
    <w:p w:rsidR="00C17B3A" w:rsidRPr="00B32A45" w:rsidRDefault="00C17B3A" w:rsidP="00C17B3A">
      <w:pPr>
        <w:pStyle w:val="tMain"/>
      </w:pPr>
      <w:r w:rsidRPr="00B32A45">
        <w:tab/>
        <w:t>(1)</w:t>
      </w:r>
      <w:r w:rsidRPr="00B32A45">
        <w:tab/>
        <w:t>Subject to section 1.18, the methods mentioned in subsections (2) and (3) must be used for estimating fugitive emissions that result from system upsets, accidents and deliberate releases from process vents during a year from the operation of a facility that is constituted by crude oil production.</w:t>
      </w:r>
    </w:p>
    <w:p w:rsidR="00C17B3A" w:rsidRPr="00B32A45" w:rsidRDefault="00C17B3A" w:rsidP="00C17B3A">
      <w:pPr>
        <w:pStyle w:val="tMain"/>
      </w:pPr>
      <w:r w:rsidRPr="00B32A45">
        <w:tab/>
        <w:t>(2)</w:t>
      </w:r>
      <w:r w:rsidRPr="00B32A45">
        <w:tab/>
        <w:t>To estimate emissions that result from deliberate releases from process vents, system upsets and accidents during a year from the operation of the facility, one of the following methods must be used:</w:t>
      </w:r>
    </w:p>
    <w:p w:rsidR="00C17B3A" w:rsidRPr="00B32A45" w:rsidRDefault="00C17B3A" w:rsidP="00C17B3A">
      <w:pPr>
        <w:pStyle w:val="tPara"/>
      </w:pPr>
      <w:r w:rsidRPr="00B32A45">
        <w:tab/>
        <w:t>(a)</w:t>
      </w:r>
      <w:r w:rsidRPr="00B32A45">
        <w:tab/>
        <w:t>method 1 under section 3.56B;</w:t>
      </w:r>
    </w:p>
    <w:p w:rsidR="00C17B3A" w:rsidRPr="00B32A45" w:rsidRDefault="00C17B3A" w:rsidP="00C17B3A">
      <w:pPr>
        <w:pStyle w:val="tPara"/>
      </w:pPr>
      <w:r w:rsidRPr="00B32A45">
        <w:tab/>
        <w:t>(b)</w:t>
      </w:r>
      <w:r w:rsidRPr="00B32A45">
        <w:tab/>
        <w:t>method 4 under Part 1.3.</w:t>
      </w:r>
    </w:p>
    <w:p w:rsidR="00C17B3A" w:rsidRPr="00B32A45" w:rsidRDefault="00C17B3A" w:rsidP="00C17B3A">
      <w:pPr>
        <w:pStyle w:val="tMain"/>
      </w:pPr>
      <w:r w:rsidRPr="00B32A45">
        <w:tab/>
        <w:t>(3)</w:t>
      </w:r>
      <w:r w:rsidRPr="00B32A45">
        <w:tab/>
        <w:t>For estimating incidental emissions that result from deliberate releases from process vents, system upsets and accidents during a year from the operation of the facility, another method may be used that is consistent with the principles mentioned in section 1.13.</w:t>
      </w:r>
    </w:p>
    <w:p w:rsidR="00C17B3A" w:rsidRPr="00B32A45" w:rsidRDefault="00C17B3A" w:rsidP="00C17B3A">
      <w:pPr>
        <w:pStyle w:val="nMain"/>
      </w:pPr>
      <w:r w:rsidRPr="00B32A45">
        <w:t>Note:</w:t>
      </w:r>
      <w:r w:rsidRPr="00B32A45">
        <w:tab/>
        <w:t>There is no method 2 or 3 for this Subdivision.</w:t>
      </w:r>
    </w:p>
    <w:p w:rsidR="00C17B3A" w:rsidRPr="00B32A45" w:rsidRDefault="00C17B3A" w:rsidP="00C17B3A">
      <w:pPr>
        <w:pStyle w:val="nMain"/>
      </w:pPr>
      <w:r w:rsidRPr="00B32A45">
        <w:lastRenderedPageBreak/>
        <w:t xml:space="preserve">Note: </w:t>
      </w:r>
      <w:r w:rsidRPr="00B32A45">
        <w:tab/>
        <w:t>Methods to estimate vented emissions from condensate storage tanks are available at section 3.85D.</w:t>
      </w:r>
    </w:p>
    <w:p w:rsidR="00C17B3A" w:rsidRPr="00B32A45" w:rsidRDefault="00C17B3A" w:rsidP="00C17B3A">
      <w:pPr>
        <w:pStyle w:val="h5Section"/>
      </w:pPr>
      <w:r w:rsidRPr="00B32A45">
        <w:rPr>
          <w:rStyle w:val="CharSectno"/>
        </w:rPr>
        <w:t>3.56B</w:t>
      </w:r>
      <w:r w:rsidRPr="00B32A45">
        <w:t xml:space="preserve">  Method 1—emissions from system upsets, accidents and deliberate releases from process vents</w:t>
      </w:r>
    </w:p>
    <w:p w:rsidR="00C17B3A" w:rsidRPr="00B32A45" w:rsidRDefault="00C17B3A" w:rsidP="00524E7C">
      <w:pPr>
        <w:pStyle w:val="tMain"/>
      </w:pPr>
      <w:r w:rsidRPr="00B32A45">
        <w:tab/>
        <w:t>(1)</w:t>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r w:rsidR="00C17B3A" w:rsidRPr="00B32A45"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3</w:t>
            </w:r>
          </w:p>
        </w:tc>
        <w:tc>
          <w:tcPr>
            <w:tcW w:w="3574" w:type="pct"/>
            <w:shd w:val="clear" w:color="auto" w:fill="auto"/>
          </w:tcPr>
          <w:p w:rsidR="00C17B3A" w:rsidRPr="00B32A45" w:rsidDel="00BE02E0" w:rsidRDefault="00C17B3A" w:rsidP="00DB6238">
            <w:pPr>
              <w:pStyle w:val="Tabletext"/>
            </w:pPr>
            <w:r w:rsidRPr="00B32A45">
              <w:t>Storage tanks</w:t>
            </w:r>
            <w:r w:rsidRPr="00B32A45">
              <w:rPr>
                <w:vertAlign w:val="superscript"/>
              </w:rPr>
              <w:t xml:space="preserve"> </w:t>
            </w:r>
            <w:r w:rsidRPr="00B32A45">
              <w:t>- vented emissions</w:t>
            </w:r>
          </w:p>
        </w:tc>
        <w:tc>
          <w:tcPr>
            <w:tcW w:w="1025" w:type="pct"/>
            <w:shd w:val="clear" w:color="auto" w:fill="auto"/>
          </w:tcPr>
          <w:p w:rsidR="00C17B3A" w:rsidRPr="00B32A45" w:rsidDel="00BE02E0" w:rsidRDefault="00C17B3A" w:rsidP="00DB6238">
            <w:pPr>
              <w:pStyle w:val="Tabletext"/>
            </w:pPr>
            <w:r w:rsidRPr="00B32A45">
              <w:t>Section 5.4</w:t>
            </w:r>
          </w:p>
        </w:tc>
      </w:tr>
      <w:tr w:rsidR="00C17B3A" w:rsidRPr="00B32A45" w:rsidTr="00DB6238">
        <w:tc>
          <w:tcPr>
            <w:tcW w:w="401" w:type="pct"/>
            <w:shd w:val="clear" w:color="auto" w:fill="auto"/>
          </w:tcPr>
          <w:p w:rsidR="00C17B3A" w:rsidRPr="00B32A45" w:rsidRDefault="00C17B3A" w:rsidP="00DB6238">
            <w:pPr>
              <w:pStyle w:val="Tabletext"/>
            </w:pPr>
            <w:r w:rsidRPr="00B32A45">
              <w:t>4</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5</w:t>
            </w:r>
          </w:p>
        </w:tc>
        <w:tc>
          <w:tcPr>
            <w:tcW w:w="3574" w:type="pct"/>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shd w:val="clear" w:color="auto" w:fill="auto"/>
          </w:tcPr>
          <w:p w:rsidR="00C17B3A" w:rsidRPr="00B32A45" w:rsidDel="00BE02E0" w:rsidRDefault="00C17B3A" w:rsidP="00DB6238">
            <w:pPr>
              <w:pStyle w:val="Tabletext"/>
            </w:pPr>
            <w:r w:rsidRPr="00B32A45">
              <w:t>Section 5.6.2</w:t>
            </w:r>
          </w:p>
        </w:tc>
      </w:tr>
      <w:tr w:rsidR="00C17B3A" w:rsidRPr="00B32A45" w:rsidTr="00DB6238">
        <w:tc>
          <w:tcPr>
            <w:tcW w:w="401" w:type="pct"/>
            <w:shd w:val="clear" w:color="auto" w:fill="auto"/>
          </w:tcPr>
          <w:p w:rsidR="00C17B3A" w:rsidRPr="00B32A45" w:rsidRDefault="00C17B3A" w:rsidP="00DB6238">
            <w:pPr>
              <w:pStyle w:val="Tabletext"/>
            </w:pPr>
            <w:r w:rsidRPr="00B32A45">
              <w:t>6</w:t>
            </w:r>
          </w:p>
        </w:tc>
        <w:tc>
          <w:tcPr>
            <w:tcW w:w="3574" w:type="pct"/>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w:t>
            </w:r>
          </w:p>
        </w:tc>
        <w:tc>
          <w:tcPr>
            <w:tcW w:w="1025" w:type="pct"/>
            <w:shd w:val="clear" w:color="auto" w:fill="auto"/>
          </w:tcPr>
          <w:p w:rsidR="00C17B3A" w:rsidRPr="00B32A45" w:rsidRDefault="00C17B3A" w:rsidP="00DB6238">
            <w:pPr>
              <w:pStyle w:val="Tabletext"/>
            </w:pPr>
            <w:r w:rsidRPr="00B32A45">
              <w:t xml:space="preserve">Section 5.7.1 and 5.7.2 </w:t>
            </w:r>
          </w:p>
        </w:tc>
      </w:tr>
    </w:tbl>
    <w:p w:rsidR="00C17B3A" w:rsidRPr="00B32A45" w:rsidRDefault="00C17B3A" w:rsidP="00C17B3A">
      <w:pPr>
        <w:pStyle w:val="tMain"/>
      </w:pPr>
      <w:bookmarkStart w:id="49" w:name="_Toc486862062"/>
      <w:r w:rsidRPr="00B32A45">
        <w:tab/>
        <w:t>(2)</w:t>
      </w:r>
      <w:r w:rsidRPr="00B32A45">
        <w:tab/>
        <w:t>However, emissions from well workovers may use method 1 under section 3.85P (as if that method referred to crude oil production instead of natural gas production).</w:t>
      </w:r>
    </w:p>
    <w:p w:rsidR="00C17B3A" w:rsidRPr="00B32A45" w:rsidRDefault="00C17B3A" w:rsidP="00C17B3A">
      <w:pPr>
        <w:pStyle w:val="h3Div"/>
        <w:pageBreakBefore/>
      </w:pPr>
      <w:bookmarkStart w:id="50" w:name="_Toc69480119"/>
      <w:r w:rsidRPr="00B32A45">
        <w:rPr>
          <w:rStyle w:val="CharDivNo"/>
        </w:rPr>
        <w:lastRenderedPageBreak/>
        <w:t>Division 3.3.4</w:t>
      </w:r>
      <w:r w:rsidRPr="00B32A45">
        <w:t>—</w:t>
      </w:r>
      <w:r w:rsidRPr="00B32A45">
        <w:rPr>
          <w:rStyle w:val="CharDivText"/>
        </w:rPr>
        <w:t>Crude oil transport</w:t>
      </w:r>
      <w:bookmarkEnd w:id="49"/>
      <w:bookmarkEnd w:id="50"/>
    </w:p>
    <w:p w:rsidR="00C17B3A" w:rsidRPr="00B32A45" w:rsidRDefault="00C17B3A" w:rsidP="00C17B3A">
      <w:pPr>
        <w:pStyle w:val="h5Section"/>
      </w:pPr>
      <w:bookmarkStart w:id="51" w:name="_Toc486862063"/>
      <w:r w:rsidRPr="00B32A45">
        <w:rPr>
          <w:rStyle w:val="CharSectno"/>
        </w:rPr>
        <w:t>3.57</w:t>
      </w:r>
      <w:r w:rsidRPr="00B32A45">
        <w:t xml:space="preserve">  Application</w:t>
      </w:r>
      <w:bookmarkEnd w:id="51"/>
    </w:p>
    <w:p w:rsidR="00C17B3A" w:rsidRPr="00B32A45" w:rsidRDefault="00C17B3A" w:rsidP="00C17B3A">
      <w:pPr>
        <w:pStyle w:val="tMain"/>
      </w:pPr>
      <w:r w:rsidRPr="00B32A45">
        <w:tab/>
      </w:r>
      <w:r w:rsidRPr="00B32A45">
        <w:tab/>
        <w:t xml:space="preserve">This Division applies to fugitive emissions from crude oil transport activities, other than emissions that are flared. </w:t>
      </w:r>
    </w:p>
    <w:p w:rsidR="00C17B3A" w:rsidRPr="00B32A45" w:rsidRDefault="00C17B3A" w:rsidP="00C17B3A">
      <w:pPr>
        <w:pStyle w:val="h5Section"/>
      </w:pPr>
      <w:bookmarkStart w:id="52" w:name="_Toc486862064"/>
      <w:r w:rsidRPr="00B32A45">
        <w:rPr>
          <w:rStyle w:val="CharSectno"/>
        </w:rPr>
        <w:t>3.58</w:t>
      </w:r>
      <w:r w:rsidRPr="00B32A45">
        <w:t xml:space="preserve">  Available methods</w:t>
      </w:r>
      <w:bookmarkEnd w:id="52"/>
    </w:p>
    <w:p w:rsidR="00C17B3A" w:rsidRPr="00B32A45" w:rsidRDefault="00C17B3A" w:rsidP="00C17B3A">
      <w:pPr>
        <w:pStyle w:val="tMain"/>
      </w:pPr>
      <w:r w:rsidRPr="00B32A45">
        <w:tab/>
        <w:t>(1)</w:t>
      </w:r>
      <w:r w:rsidRPr="00B32A45">
        <w:tab/>
        <w:t>Subject to section 1.18, one of the following methods must</w:t>
      </w:r>
      <w:r w:rsidRPr="00B32A45">
        <w:rPr>
          <w:i/>
        </w:rPr>
        <w:t xml:space="preserve"> </w:t>
      </w:r>
      <w:r w:rsidRPr="00B32A45">
        <w:t>be used for estimating fugitive emissions of methane released during a year from the operation of a facility that is constituted by crude oil transport:</w:t>
      </w:r>
    </w:p>
    <w:p w:rsidR="00C17B3A" w:rsidRPr="00B32A45" w:rsidRDefault="00C17B3A" w:rsidP="00C17B3A">
      <w:pPr>
        <w:pStyle w:val="tPara"/>
      </w:pPr>
      <w:r w:rsidRPr="00B32A45">
        <w:tab/>
        <w:t>(a)</w:t>
      </w:r>
      <w:r w:rsidRPr="00B32A45">
        <w:tab/>
        <w:t>method 1 under section 3.59;</w:t>
      </w:r>
    </w:p>
    <w:p w:rsidR="00C17B3A" w:rsidRPr="00B32A45" w:rsidRDefault="00C17B3A" w:rsidP="00C17B3A">
      <w:pPr>
        <w:pStyle w:val="tPara"/>
      </w:pPr>
      <w:r w:rsidRPr="00B32A45">
        <w:tab/>
        <w:t>(b)</w:t>
      </w:r>
      <w:r w:rsidRPr="00B32A45">
        <w:tab/>
        <w:t>method 2 under section 3.60.</w:t>
      </w:r>
    </w:p>
    <w:p w:rsidR="00C17B3A" w:rsidRPr="00B32A45" w:rsidRDefault="00C17B3A" w:rsidP="00C17B3A">
      <w:pPr>
        <w:pStyle w:val="nMain"/>
      </w:pPr>
      <w:r w:rsidRPr="00B32A45">
        <w:t>Note:</w:t>
      </w:r>
      <w:r w:rsidRPr="00B32A45">
        <w:tab/>
        <w:t>There is no method 3 or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bookmarkStart w:id="53" w:name="_Toc486862065"/>
      <w:r w:rsidRPr="00B32A45">
        <w:rPr>
          <w:rStyle w:val="CharSectno"/>
        </w:rPr>
        <w:t>3.59</w:t>
      </w:r>
      <w:r w:rsidRPr="00B32A45">
        <w:t xml:space="preserve">  Method 1—crude oil transport</w:t>
      </w:r>
      <w:bookmarkEnd w:id="53"/>
    </w:p>
    <w:p w:rsidR="00C17B3A" w:rsidRPr="00B32A45" w:rsidRDefault="00C17B3A" w:rsidP="00C17B3A">
      <w:pPr>
        <w:pStyle w:val="tMain"/>
      </w:pPr>
      <w:r w:rsidRPr="00B32A45">
        <w:tab/>
      </w:r>
      <w:r w:rsidRPr="00B32A45">
        <w:tab/>
        <w:t xml:space="preserve">Method 1 is:  </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1C19F365" wp14:editId="2A9B3C57">
            <wp:extent cx="1057275" cy="2571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methane (</w:t>
      </w:r>
      <w:r w:rsidRPr="00B32A45">
        <w:rPr>
          <w:b/>
          <w:i/>
        </w:rPr>
        <w:t>j</w:t>
      </w:r>
      <w:r w:rsidRPr="00B32A45">
        <w:t>) from the crude oil transport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Q</w:t>
      </w:r>
      <w:r w:rsidRPr="00B32A45">
        <w:rPr>
          <w:b/>
          <w:i/>
          <w:vertAlign w:val="subscript"/>
        </w:rPr>
        <w:t>i</w:t>
      </w:r>
      <w:r w:rsidRPr="00B32A45">
        <w:rPr>
          <w:i/>
        </w:rPr>
        <w:t xml:space="preserve"> </w:t>
      </w:r>
      <w:r w:rsidRPr="00B32A45">
        <w:t>is the quantity of crude oil (</w:t>
      </w:r>
      <w:r w:rsidRPr="00B32A45">
        <w:rPr>
          <w:b/>
          <w:i/>
        </w:rPr>
        <w:t>i</w:t>
      </w:r>
      <w:r w:rsidRPr="00B32A45">
        <w:t>) measured in tonnes and transported during the year.</w:t>
      </w:r>
    </w:p>
    <w:p w:rsidR="00C17B3A" w:rsidRPr="00B32A45" w:rsidRDefault="00C17B3A" w:rsidP="00C17B3A">
      <w:pPr>
        <w:pStyle w:val="tDefn"/>
      </w:pPr>
      <w:r w:rsidRPr="00B32A45">
        <w:rPr>
          <w:b/>
          <w:i/>
        </w:rPr>
        <w:t>EF</w:t>
      </w:r>
      <w:r w:rsidRPr="00B32A45">
        <w:rPr>
          <w:b/>
          <w:i/>
          <w:vertAlign w:val="subscript"/>
        </w:rPr>
        <w:t>ij</w:t>
      </w:r>
      <w:r w:rsidRPr="00B32A45">
        <w:rPr>
          <w:b/>
          <w:i/>
        </w:rPr>
        <w:t xml:space="preserve"> </w:t>
      </w:r>
      <w:r w:rsidRPr="00B32A45">
        <w:t>is the emission factor for gas type (</w:t>
      </w:r>
      <w:r w:rsidRPr="00B32A45">
        <w:rPr>
          <w:b/>
          <w:i/>
        </w:rPr>
        <w:t>j</w:t>
      </w:r>
      <w:r w:rsidRPr="00B32A45">
        <w:t>), being methane, which is 9.74 × 10</w:t>
      </w:r>
      <w:r w:rsidRPr="00B32A45">
        <w:rPr>
          <w:vertAlign w:val="superscript"/>
        </w:rPr>
        <w:noBreakHyphen/>
        <w:t xml:space="preserve">4 </w:t>
      </w:r>
      <w:r w:rsidRPr="00B32A45">
        <w:rPr>
          <w:bCs/>
        </w:rPr>
        <w:t>tonnes CO</w:t>
      </w:r>
      <w:r w:rsidRPr="00B32A45">
        <w:rPr>
          <w:rStyle w:val="charSubscript"/>
          <w:bCs/>
        </w:rPr>
        <w:t>2</w:t>
      </w:r>
      <w:r w:rsidRPr="00B32A45">
        <w:rPr>
          <w:bCs/>
        </w:rPr>
        <w:noBreakHyphen/>
        <w:t>e per tonnes of crude oil transported during the year</w:t>
      </w:r>
      <w:r w:rsidRPr="00B32A45">
        <w:t>.</w:t>
      </w:r>
    </w:p>
    <w:p w:rsidR="00C17B3A" w:rsidRPr="00B32A45" w:rsidRDefault="00C17B3A" w:rsidP="00C17B3A">
      <w:pPr>
        <w:pStyle w:val="h5Section"/>
      </w:pPr>
      <w:bookmarkStart w:id="54" w:name="_Toc486862066"/>
      <w:r w:rsidRPr="00B32A45">
        <w:rPr>
          <w:rStyle w:val="CharSectno"/>
        </w:rPr>
        <w:t>3.60</w:t>
      </w:r>
      <w:r w:rsidRPr="00B32A45">
        <w:t xml:space="preserve">  Method 2—fugitive emissions from crude oil transport</w:t>
      </w:r>
      <w:bookmarkEnd w:id="54"/>
    </w:p>
    <w:p w:rsidR="00C17B3A" w:rsidRPr="00B32A45" w:rsidRDefault="00C17B3A" w:rsidP="00C17B3A">
      <w:pPr>
        <w:pStyle w:val="tMain"/>
      </w:pPr>
      <w:r w:rsidRPr="00B32A45">
        <w:tab/>
        <w:t>(1)</w:t>
      </w:r>
      <w:r w:rsidRPr="00B32A45">
        <w:tab/>
        <w:t>Method 2 is:</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(Q</w:t>
      </w:r>
      <w:r w:rsidRPr="00217B5D">
        <w:rPr>
          <w:sz w:val="28"/>
          <w:szCs w:val="28"/>
          <w:vertAlign w:val="subscript"/>
        </w:rPr>
        <w:t>ik</w:t>
      </w:r>
      <w:r w:rsidRPr="00217B5D">
        <w:rPr>
          <w:sz w:val="28"/>
          <w:szCs w:val="28"/>
        </w:rPr>
        <w:t xml:space="preserve"> × EF</w:t>
      </w:r>
      <w:r w:rsidRPr="00217B5D">
        <w:rPr>
          <w:sz w:val="28"/>
          <w:szCs w:val="28"/>
          <w:vertAlign w:val="subscript"/>
        </w:rPr>
        <w:t>ijk</w:t>
      </w:r>
      <w:r w:rsidRPr="00217B5D">
        <w:rPr>
          <w:sz w:val="28"/>
          <w:szCs w:val="28"/>
        </w:rPr>
        <w:t>)</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gas type (</w:t>
      </w:r>
      <w:r w:rsidRPr="00B32A45">
        <w:rPr>
          <w:b/>
          <w:i/>
        </w:rPr>
        <w:t>j</w:t>
      </w:r>
      <w:r w:rsidRPr="00B32A45">
        <w:t>), being methane, from the crude oil transport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measured in tonnes of CO</w:t>
      </w:r>
      <w:r w:rsidRPr="00B32A45">
        <w:rPr>
          <w:rStyle w:val="charSubscript"/>
          <w:iCs/>
        </w:rPr>
        <w:t>2</w:t>
      </w:r>
      <w:r w:rsidRPr="00B32A45">
        <w:noBreakHyphen/>
        <w:t>e and estimated by summing up the emissions from each equipment type (</w:t>
      </w:r>
      <w:r w:rsidRPr="00B32A45">
        <w:rPr>
          <w:b/>
          <w:i/>
        </w:rPr>
        <w:t>k</w:t>
      </w:r>
      <w:r w:rsidRPr="00B32A45">
        <w:t>) listed in sections 5 and 6.1.2 of the API Compendium, if the equipment is used in the crude oil transport.</w:t>
      </w:r>
    </w:p>
    <w:p w:rsidR="00C17B3A" w:rsidRPr="00B32A45" w:rsidRDefault="00C17B3A" w:rsidP="00C17B3A">
      <w:pPr>
        <w:pStyle w:val="tDefn"/>
      </w:pPr>
      <w:r w:rsidRPr="00B32A45">
        <w:rPr>
          <w:b/>
          <w:i/>
        </w:rPr>
        <w:t>Q</w:t>
      </w:r>
      <w:r w:rsidRPr="00B32A45">
        <w:rPr>
          <w:i/>
          <w:vertAlign w:val="subscript"/>
        </w:rPr>
        <w:t>ik</w:t>
      </w:r>
      <w:r w:rsidRPr="00B32A45">
        <w:rPr>
          <w:vertAlign w:val="subscript"/>
        </w:rPr>
        <w:t xml:space="preserve"> </w:t>
      </w:r>
      <w:r w:rsidRPr="00B32A45">
        <w:t>is the total of the quantities of crude oil measured in tonnes that pass through each equipment type (</w:t>
      </w:r>
      <w:r w:rsidRPr="00B32A45">
        <w:rPr>
          <w:b/>
          <w:i/>
        </w:rPr>
        <w:t>k</w:t>
      </w:r>
      <w:r w:rsidRPr="00B32A45">
        <w:t>) listed in sections 5 and 6.1.2 of the API Compendium, if the equipment is used in the crude oil transport.</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measured in tonnes of CO</w:t>
      </w:r>
      <w:r w:rsidRPr="00B32A45">
        <w:rPr>
          <w:rStyle w:val="charSubscript"/>
          <w:iCs/>
        </w:rPr>
        <w:t>2</w:t>
      </w:r>
      <w:r w:rsidRPr="00B32A45">
        <w:noBreakHyphen/>
        <w:t>e per tonne of crude oil that passes through each equipment type (</w:t>
      </w:r>
      <w:r w:rsidRPr="00B32A45">
        <w:rPr>
          <w:b/>
          <w:i/>
        </w:rPr>
        <w:t>k</w:t>
      </w:r>
      <w:r w:rsidRPr="00B32A45">
        <w:t xml:space="preserve">) listed in sections 5 and </w:t>
      </w:r>
      <w:r w:rsidRPr="00B32A45">
        <w:lastRenderedPageBreak/>
        <w:t>6.1.2 of the API Compendium as determined under subsection (2), if the equipment is used in the crude oil transport.</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rPr>
          <w:b/>
          <w:i/>
        </w:rPr>
        <w:t xml:space="preserve">, </w:t>
      </w:r>
      <w:r w:rsidRPr="00B32A45">
        <w:t>the emission factors for gas type (</w:t>
      </w:r>
      <w:r w:rsidRPr="00B32A45">
        <w:rPr>
          <w:b/>
          <w:i/>
        </w:rPr>
        <w:t>j</w:t>
      </w:r>
      <w:r w:rsidRPr="00B32A45">
        <w:t>), being methane, as crude oil passes through equipment type (</w:t>
      </w:r>
      <w:r w:rsidRPr="00B32A45">
        <w:rPr>
          <w:b/>
          <w:i/>
        </w:rPr>
        <w:t>k</w:t>
      </w:r>
      <w:r w:rsidRPr="00B32A45">
        <w:t>), are:</w:t>
      </w:r>
    </w:p>
    <w:p w:rsidR="00C17B3A" w:rsidRPr="00B32A45" w:rsidRDefault="00C17B3A" w:rsidP="00C17B3A">
      <w:pPr>
        <w:pStyle w:val="tPara"/>
      </w:pPr>
      <w:r w:rsidRPr="00B32A45">
        <w:tab/>
        <w:t>(a)</w:t>
      </w:r>
      <w:r w:rsidRPr="00B32A45">
        <w:tab/>
        <w:t>as listed in sections 5 and 6.1.2 of the API Compendium, for the equipment type; or</w:t>
      </w:r>
    </w:p>
    <w:p w:rsidR="00C17B3A" w:rsidRPr="00B32A45" w:rsidRDefault="00C17B3A" w:rsidP="00C17B3A">
      <w:pPr>
        <w:pStyle w:val="tPara"/>
      </w:pPr>
      <w:r w:rsidRPr="00B32A45">
        <w:tab/>
        <w:t>(b)</w:t>
      </w:r>
      <w:r w:rsidRPr="00B32A45">
        <w:tab/>
        <w:t>if the manufacturer of the equipment supplies equipment</w:t>
      </w:r>
      <w:r w:rsidRPr="00B32A45">
        <w:noBreakHyphen/>
        <w:t>specific emission factors for the equipment type—those factors.</w:t>
      </w:r>
    </w:p>
    <w:p w:rsidR="00C17B3A" w:rsidRPr="00B32A45" w:rsidRDefault="00C17B3A" w:rsidP="00C17B3A">
      <w:pPr>
        <w:pStyle w:val="tPara"/>
        <w:rPr>
          <w:szCs w:val="22"/>
        </w:rPr>
      </w:pPr>
      <w:r w:rsidRPr="00B32A45">
        <w:rPr>
          <w:szCs w:val="22"/>
        </w:rPr>
        <w:t>       </w:t>
      </w:r>
    </w:p>
    <w:p w:rsidR="00C17B3A" w:rsidRPr="00B32A45" w:rsidRDefault="00C17B3A" w:rsidP="00C17B3A">
      <w:pPr>
        <w:pStyle w:val="tMain"/>
        <w:rPr>
          <w:szCs w:val="22"/>
        </w:rPr>
      </w:pPr>
    </w:p>
    <w:p w:rsidR="00C17B3A" w:rsidRPr="00B32A45" w:rsidRDefault="00C17B3A" w:rsidP="00C17B3A">
      <w:pPr>
        <w:pStyle w:val="tPara"/>
      </w:pPr>
    </w:p>
    <w:p w:rsidR="00C17B3A" w:rsidRPr="00B32A45" w:rsidRDefault="00C17B3A" w:rsidP="00C17B3A">
      <w:pPr>
        <w:pStyle w:val="h3Div"/>
        <w:pageBreakBefore/>
      </w:pPr>
      <w:bookmarkStart w:id="55" w:name="_Toc486862067"/>
      <w:bookmarkStart w:id="56" w:name="_Toc69480120"/>
      <w:r w:rsidRPr="00B32A45">
        <w:rPr>
          <w:rStyle w:val="CharDivNo"/>
        </w:rPr>
        <w:lastRenderedPageBreak/>
        <w:t>Division 3.3.5</w:t>
      </w:r>
      <w:r w:rsidRPr="00B32A45">
        <w:t>—</w:t>
      </w:r>
      <w:r w:rsidRPr="00B32A45">
        <w:rPr>
          <w:rStyle w:val="CharDivText"/>
        </w:rPr>
        <w:t>Crude oil refining</w:t>
      </w:r>
      <w:bookmarkEnd w:id="55"/>
      <w:bookmarkEnd w:id="56"/>
    </w:p>
    <w:p w:rsidR="00C17B3A" w:rsidRPr="00B32A45" w:rsidRDefault="00C17B3A" w:rsidP="00C17B3A">
      <w:pPr>
        <w:pStyle w:val="h5Section"/>
      </w:pPr>
      <w:bookmarkStart w:id="57" w:name="_Toc486862068"/>
      <w:r w:rsidRPr="00B32A45">
        <w:rPr>
          <w:rStyle w:val="CharSectno"/>
        </w:rPr>
        <w:t>3.62</w:t>
      </w:r>
      <w:r w:rsidRPr="00B32A45">
        <w:t xml:space="preserve">  Application</w:t>
      </w:r>
      <w:bookmarkEnd w:id="57"/>
    </w:p>
    <w:p w:rsidR="00C17B3A" w:rsidRPr="00B32A45" w:rsidRDefault="00C17B3A" w:rsidP="00C17B3A">
      <w:pPr>
        <w:pStyle w:val="tMain"/>
      </w:pPr>
      <w:r w:rsidRPr="00B32A45">
        <w:tab/>
      </w:r>
      <w:r w:rsidRPr="00B32A45">
        <w:tab/>
        <w:t>This Division applies to fugitive emissions from crude oil refining activities, including emissions from flaring at petroleum refineries.</w:t>
      </w:r>
    </w:p>
    <w:p w:rsidR="00C17B3A" w:rsidRPr="00B32A45" w:rsidRDefault="00C17B3A" w:rsidP="00C17B3A">
      <w:pPr>
        <w:pStyle w:val="h5Section"/>
      </w:pPr>
      <w:bookmarkStart w:id="58" w:name="_Toc486862069"/>
      <w:r w:rsidRPr="00B32A45">
        <w:rPr>
          <w:rStyle w:val="CharSectno"/>
        </w:rPr>
        <w:t>3.63</w:t>
      </w:r>
      <w:r w:rsidRPr="00B32A45">
        <w:t xml:space="preserve">  Available methods</w:t>
      </w:r>
      <w:bookmarkEnd w:id="58"/>
    </w:p>
    <w:p w:rsidR="00C17B3A" w:rsidRPr="00B32A45" w:rsidRDefault="00C17B3A" w:rsidP="00C17B3A">
      <w:pPr>
        <w:pStyle w:val="tMain"/>
      </w:pPr>
      <w:r w:rsidRPr="00B32A45">
        <w:tab/>
        <w:t>(1)</w:t>
      </w:r>
      <w:r w:rsidRPr="00B32A45">
        <w:tab/>
        <w:t>Subject to section 1.18, for estimating emissions released during a year from the operation of a facility that is constituted by crude oil refining the methods as set out in this section must be used.</w:t>
      </w:r>
    </w:p>
    <w:p w:rsidR="00C17B3A" w:rsidRPr="00B32A45" w:rsidRDefault="00C17B3A" w:rsidP="00C17B3A">
      <w:pPr>
        <w:pStyle w:val="h6Subsec"/>
      </w:pPr>
      <w:r w:rsidRPr="00B32A45">
        <w:t>Crude oil refining and storage tanks</w:t>
      </w:r>
    </w:p>
    <w:p w:rsidR="00C17B3A" w:rsidRPr="00B32A45" w:rsidRDefault="00C17B3A" w:rsidP="00C17B3A">
      <w:pPr>
        <w:pStyle w:val="tMain"/>
      </w:pPr>
      <w:r w:rsidRPr="00B32A45">
        <w:tab/>
        <w:t>(2)</w:t>
      </w:r>
      <w:r w:rsidRPr="00B32A45">
        <w:tab/>
        <w:t>One of the following methods must be used for estimating fugitive emissions of methane that result from crude oil refining and from storage tanks for crude oil:</w:t>
      </w:r>
    </w:p>
    <w:p w:rsidR="00C17B3A" w:rsidRPr="00B32A45" w:rsidRDefault="00C17B3A" w:rsidP="00C17B3A">
      <w:pPr>
        <w:pStyle w:val="tPara"/>
      </w:pPr>
      <w:r w:rsidRPr="00B32A45">
        <w:tab/>
        <w:t>(a)</w:t>
      </w:r>
      <w:r w:rsidRPr="00B32A45">
        <w:tab/>
        <w:t>method 1 under section 3.64;</w:t>
      </w:r>
    </w:p>
    <w:p w:rsidR="00C17B3A" w:rsidRPr="00B32A45" w:rsidRDefault="00C17B3A" w:rsidP="00C17B3A">
      <w:pPr>
        <w:pStyle w:val="tPara"/>
      </w:pPr>
      <w:r w:rsidRPr="00B32A45">
        <w:tab/>
        <w:t>(b)</w:t>
      </w:r>
      <w:r w:rsidRPr="00B32A45">
        <w:tab/>
        <w:t>method 2 under section 3.65;</w:t>
      </w:r>
    </w:p>
    <w:p w:rsidR="00C17B3A" w:rsidRPr="00B32A45" w:rsidRDefault="00C17B3A" w:rsidP="00C17B3A">
      <w:pPr>
        <w:pStyle w:val="tPara"/>
      </w:pPr>
      <w:r w:rsidRPr="00B32A45">
        <w:tab/>
        <w:t>(c)</w:t>
      </w:r>
      <w:r w:rsidRPr="00B32A45">
        <w:tab/>
        <w:t>method 3 under section 3.66.</w:t>
      </w:r>
    </w:p>
    <w:p w:rsidR="00C17B3A" w:rsidRPr="00B32A45" w:rsidRDefault="00C17B3A" w:rsidP="00C17B3A">
      <w:pPr>
        <w:pStyle w:val="nMain"/>
      </w:pPr>
      <w:r w:rsidRPr="00B32A45">
        <w:t>Note:</w:t>
      </w:r>
      <w:r w:rsidRPr="00B32A45">
        <w:tab/>
        <w:t>There is no method 4 for subsection (2).</w:t>
      </w:r>
    </w:p>
    <w:p w:rsidR="00C17B3A" w:rsidRPr="00B32A45" w:rsidRDefault="00C17B3A" w:rsidP="00C17B3A">
      <w:pPr>
        <w:pStyle w:val="h6Subsec"/>
      </w:pPr>
      <w:r w:rsidRPr="00B32A45">
        <w:t>Process vents, system upsets and accidents</w:t>
      </w:r>
    </w:p>
    <w:p w:rsidR="00C17B3A" w:rsidRPr="00B32A45" w:rsidRDefault="00C17B3A" w:rsidP="00C17B3A">
      <w:pPr>
        <w:pStyle w:val="tMain"/>
      </w:pPr>
      <w:r w:rsidRPr="00B32A45">
        <w:tab/>
        <w:t>(3)</w:t>
      </w:r>
      <w:r w:rsidRPr="00B32A45">
        <w:tab/>
        <w:t>One of the following methods must be used for estimating fugitive emissions of each type of gas, being carbon dioxide, methane and nitrous oxide, that result from deliberate releases from process vents, system upsets and accidents:</w:t>
      </w:r>
    </w:p>
    <w:p w:rsidR="00C17B3A" w:rsidRPr="00B32A45" w:rsidRDefault="00C17B3A" w:rsidP="00C17B3A">
      <w:pPr>
        <w:pStyle w:val="tPara"/>
      </w:pPr>
      <w:r w:rsidRPr="00B32A45">
        <w:tab/>
        <w:t>(a)</w:t>
      </w:r>
      <w:r w:rsidRPr="00B32A45">
        <w:tab/>
        <w:t>method 1 under section 3.67;</w:t>
      </w:r>
    </w:p>
    <w:p w:rsidR="00C17B3A" w:rsidRPr="00B32A45" w:rsidRDefault="00C17B3A" w:rsidP="00C17B3A">
      <w:pPr>
        <w:pStyle w:val="tPara"/>
      </w:pPr>
      <w:r w:rsidRPr="00B32A45">
        <w:tab/>
        <w:t>(b)</w:t>
      </w:r>
      <w:r w:rsidRPr="00B32A45">
        <w:tab/>
        <w:t>method 4 under section 3.68.</w:t>
      </w:r>
    </w:p>
    <w:p w:rsidR="00C17B3A" w:rsidRPr="00B32A45" w:rsidRDefault="00C17B3A" w:rsidP="00C17B3A">
      <w:pPr>
        <w:pStyle w:val="nMain"/>
      </w:pPr>
      <w:r w:rsidRPr="00B32A45">
        <w:t>Note:</w:t>
      </w:r>
      <w:r w:rsidRPr="00B32A45">
        <w:tab/>
        <w:t>There is no method 2 or 3 for subsection (3).</w:t>
      </w:r>
    </w:p>
    <w:p w:rsidR="00C17B3A" w:rsidRPr="00B32A45" w:rsidRDefault="00C17B3A" w:rsidP="00C17B3A">
      <w:pPr>
        <w:pStyle w:val="h6Subsec"/>
      </w:pPr>
      <w:r w:rsidRPr="00B32A45">
        <w:t>Flaring</w:t>
      </w:r>
    </w:p>
    <w:p w:rsidR="00C17B3A" w:rsidRPr="00B32A45" w:rsidRDefault="00C17B3A" w:rsidP="00C17B3A">
      <w:pPr>
        <w:pStyle w:val="tMain"/>
      </w:pPr>
      <w:r w:rsidRPr="00B32A45">
        <w:tab/>
        <w:t>(4)</w:t>
      </w:r>
      <w:r w:rsidRPr="00B32A45">
        <w:tab/>
        <w:t>For estimating emissions released from gas flared from crude oil refining:</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3.69;</w:t>
      </w:r>
    </w:p>
    <w:p w:rsidR="00C17B3A" w:rsidRPr="00B32A45" w:rsidRDefault="00C17B3A" w:rsidP="00C17B3A">
      <w:pPr>
        <w:pStyle w:val="tSubpara"/>
      </w:pPr>
      <w:r w:rsidRPr="00B32A45">
        <w:tab/>
        <w:t>(ii)</w:t>
      </w:r>
      <w:r w:rsidRPr="00B32A45">
        <w:tab/>
        <w:t>method 2 under section 3.70;</w:t>
      </w:r>
    </w:p>
    <w:p w:rsidR="00C17B3A" w:rsidRPr="00B32A45" w:rsidRDefault="00C17B3A" w:rsidP="00C17B3A">
      <w:pPr>
        <w:pStyle w:val="tSubpara"/>
      </w:pPr>
      <w:r w:rsidRPr="00B32A45">
        <w:tab/>
        <w:t>(iii)</w:t>
      </w:r>
      <w:r w:rsidRPr="00B32A45">
        <w:tab/>
        <w:t>method 3 under section 3.71;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3.69;</w:t>
      </w:r>
    </w:p>
    <w:p w:rsidR="00C17B3A" w:rsidRPr="00B32A45" w:rsidRDefault="00C17B3A" w:rsidP="00C17B3A">
      <w:pPr>
        <w:pStyle w:val="tSubpara"/>
      </w:pPr>
      <w:r w:rsidRPr="00B32A45">
        <w:tab/>
        <w:t>(ii)</w:t>
      </w:r>
      <w:r w:rsidRPr="00B32A45">
        <w:tab/>
        <w:t>method 2A under section 3.70A;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3.69;</w:t>
      </w:r>
    </w:p>
    <w:p w:rsidR="00C17B3A" w:rsidRPr="00B32A45" w:rsidRDefault="00C17B3A" w:rsidP="00C17B3A">
      <w:pPr>
        <w:pStyle w:val="tSubpara"/>
      </w:pPr>
      <w:r w:rsidRPr="00B32A45">
        <w:tab/>
        <w:t>(ii)</w:t>
      </w:r>
      <w:r w:rsidRPr="00B32A45">
        <w:tab/>
        <w:t>method 2A under section 3.70A.</w:t>
      </w:r>
    </w:p>
    <w:p w:rsidR="00C17B3A" w:rsidRPr="00B32A45" w:rsidRDefault="00C17B3A" w:rsidP="00C17B3A">
      <w:pPr>
        <w:pStyle w:val="nMain"/>
      </w:pPr>
      <w:r w:rsidRPr="00B32A45">
        <w:t>Note:</w:t>
      </w:r>
      <w:r w:rsidRPr="00B32A45">
        <w:tab/>
        <w:t>The flaring of gas from crude oil refining releases emissions of carbon dioxide, methane and nitrous oxide. The reference to gas type (</w:t>
      </w:r>
      <w:r w:rsidRPr="00B32A45">
        <w:rPr>
          <w:b/>
          <w:i/>
        </w:rPr>
        <w:t>j</w:t>
      </w:r>
      <w:r w:rsidRPr="00B32A45">
        <w:t>) in method 1 under section 3.69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lastRenderedPageBreak/>
        <w:tab/>
        <w:t>(5)</w:t>
      </w:r>
      <w:r w:rsidRPr="00B32A45">
        <w:tab/>
        <w:t>However, for incidental emissions another method may be used that is consistent with the principles in section 1.13.</w:t>
      </w:r>
    </w:p>
    <w:p w:rsidR="00C17B3A" w:rsidRPr="00B32A45" w:rsidRDefault="00C17B3A" w:rsidP="00C17B3A">
      <w:pPr>
        <w:pStyle w:val="h4Subdiv"/>
      </w:pPr>
      <w:bookmarkStart w:id="59" w:name="_Toc486862070"/>
      <w:r w:rsidRPr="00B32A45">
        <w:rPr>
          <w:rStyle w:val="CharSubdNo"/>
        </w:rPr>
        <w:t>Subdivision 3.3.5.1</w:t>
      </w:r>
      <w:r w:rsidRPr="00B32A45">
        <w:t>—</w:t>
      </w:r>
      <w:r w:rsidRPr="00B32A45">
        <w:rPr>
          <w:rStyle w:val="CharSubdText"/>
        </w:rPr>
        <w:t>Fugitive emissions from crude oil refining and from storage tanks for crude oil</w:t>
      </w:r>
      <w:bookmarkEnd w:id="59"/>
    </w:p>
    <w:p w:rsidR="00C17B3A" w:rsidRPr="00B32A45" w:rsidRDefault="00C17B3A" w:rsidP="00C17B3A">
      <w:pPr>
        <w:pStyle w:val="h5Section"/>
      </w:pPr>
      <w:bookmarkStart w:id="60" w:name="_Toc486862071"/>
      <w:r w:rsidRPr="00B32A45">
        <w:rPr>
          <w:rStyle w:val="CharSectno"/>
        </w:rPr>
        <w:t>3.64</w:t>
      </w:r>
      <w:r w:rsidRPr="00B32A45">
        <w:t xml:space="preserve">  Method 1—crude oil refining and storage tanks for crude oil</w:t>
      </w:r>
      <w:bookmarkEnd w:id="60"/>
    </w:p>
    <w:p w:rsidR="00C17B3A" w:rsidRPr="00B32A45" w:rsidRDefault="00C17B3A" w:rsidP="00C17B3A">
      <w:pPr>
        <w:pStyle w:val="tMain"/>
      </w:pPr>
      <w:r w:rsidRPr="00B32A45">
        <w:tab/>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2066967F" wp14:editId="1AA84527">
            <wp:extent cx="1276350" cy="2190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 xml:space="preserve">ij </w:t>
      </w:r>
      <w:r w:rsidRPr="00B32A45">
        <w:t>is the fugitive emissions of gas type (</w:t>
      </w:r>
      <w:r w:rsidRPr="00B32A45">
        <w:rPr>
          <w:b/>
          <w:i/>
        </w:rPr>
        <w:t>j</w:t>
      </w:r>
      <w:r w:rsidRPr="00B32A45">
        <w:t>), being methane or carbon dioxide, from fuel type (</w:t>
      </w:r>
      <w:r w:rsidRPr="00B32A45">
        <w:rPr>
          <w:b/>
          <w:i/>
        </w:rPr>
        <w:t>i</w:t>
      </w:r>
      <w:r w:rsidRPr="00B32A45">
        <w:t>) being crude oil refined or stored in tanks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w:t>
      </w:r>
      <w:r w:rsidRPr="00B32A45">
        <w:rPr>
          <w:b/>
          <w:i/>
          <w:vertAlign w:val="subscript"/>
        </w:rPr>
        <w:t>i</w:t>
      </w:r>
      <w:r w:rsidRPr="00B32A45">
        <w:rPr>
          <w:rFonts w:ascii="Arial (W1)" w:hAnsi="Arial (W1)"/>
          <w:b/>
          <w:i/>
          <w:vertAlign w:val="subscript"/>
        </w:rPr>
        <w:t xml:space="preserve"> </w:t>
      </w:r>
      <w:r w:rsidRPr="00B32A45">
        <w:t>is the sum of emissions of gas type (</w:t>
      </w:r>
      <w:r w:rsidRPr="00B32A45">
        <w:rPr>
          <w:b/>
          <w:i/>
        </w:rPr>
        <w:t>j</w:t>
      </w:r>
      <w:r w:rsidRPr="00B32A45">
        <w:t>), being methane or carbon dioxide, released during refining and from storage tanks during the year.</w:t>
      </w:r>
    </w:p>
    <w:p w:rsidR="00C17B3A" w:rsidRPr="00B32A45" w:rsidRDefault="00C17B3A" w:rsidP="00C17B3A">
      <w:pPr>
        <w:pStyle w:val="tDefn"/>
      </w:pPr>
      <w:r w:rsidRPr="00B32A45">
        <w:rPr>
          <w:b/>
          <w:i/>
        </w:rPr>
        <w:t>Q</w:t>
      </w:r>
      <w:r w:rsidRPr="00B32A45">
        <w:rPr>
          <w:vertAlign w:val="subscript"/>
        </w:rPr>
        <w:t xml:space="preserve">i </w:t>
      </w:r>
      <w:r w:rsidRPr="00B32A45">
        <w:t>is the quantity of crude oil (</w:t>
      </w:r>
      <w:r w:rsidRPr="00B32A45">
        <w:rPr>
          <w:b/>
          <w:i/>
        </w:rPr>
        <w:t>i</w:t>
      </w:r>
      <w:r w:rsidRPr="00B32A45">
        <w:t>) refined or stored in tanks during the year measured in tonnes.</w:t>
      </w:r>
    </w:p>
    <w:p w:rsidR="00C17B3A" w:rsidRPr="00B32A45" w:rsidRDefault="00C17B3A" w:rsidP="00C17B3A">
      <w:pPr>
        <w:pStyle w:val="tDefn"/>
        <w:rPr>
          <w:i/>
        </w:rPr>
      </w:pPr>
      <w:r w:rsidRPr="00B32A45">
        <w:rPr>
          <w:b/>
          <w:i/>
        </w:rPr>
        <w:t>EF</w:t>
      </w:r>
      <w:r w:rsidRPr="00B32A45">
        <w:rPr>
          <w:b/>
          <w:i/>
          <w:vertAlign w:val="subscript"/>
        </w:rPr>
        <w:t>ij</w:t>
      </w:r>
      <w:r w:rsidRPr="00B32A45">
        <w:rPr>
          <w:b/>
          <w:i/>
        </w:rPr>
        <w:t xml:space="preserve"> </w:t>
      </w:r>
      <w:r w:rsidRPr="00B32A45">
        <w:t>is the emission factor for gas type (</w:t>
      </w:r>
      <w:r w:rsidRPr="00B32A45">
        <w:rPr>
          <w:b/>
          <w:i/>
        </w:rPr>
        <w:t>j</w:t>
      </w:r>
      <w:r w:rsidRPr="00B32A45">
        <w:t>), being methane or carbon dioxide, being 9.47 × 10</w:t>
      </w:r>
      <w:r w:rsidRPr="00B32A45">
        <w:rPr>
          <w:vertAlign w:val="superscript"/>
        </w:rPr>
        <w:noBreakHyphen/>
        <w:t xml:space="preserve">4 </w:t>
      </w:r>
      <w:r w:rsidRPr="00B32A45">
        <w:t>tonnes CO</w:t>
      </w:r>
      <w:r w:rsidRPr="00B32A45">
        <w:rPr>
          <w:rStyle w:val="charSubscript"/>
        </w:rPr>
        <w:t>2</w:t>
      </w:r>
      <w:r w:rsidRPr="00B32A45">
        <w:noBreakHyphen/>
        <w:t>e per tonne of crude oil refined and 1.73 × 10</w:t>
      </w:r>
      <w:r w:rsidRPr="00B32A45">
        <w:rPr>
          <w:vertAlign w:val="superscript"/>
        </w:rPr>
        <w:noBreakHyphen/>
        <w:t xml:space="preserve">4 </w:t>
      </w:r>
      <w:r w:rsidRPr="00B32A45">
        <w:t>tonnes CO</w:t>
      </w:r>
      <w:r w:rsidRPr="00B32A45">
        <w:rPr>
          <w:rStyle w:val="charSubscript"/>
        </w:rPr>
        <w:t>2</w:t>
      </w:r>
      <w:r w:rsidRPr="00B32A45">
        <w:noBreakHyphen/>
        <w:t>e per tonne of crude oil stored in tanks</w:t>
      </w:r>
      <w:r w:rsidRPr="00B32A45">
        <w:rPr>
          <w:i/>
        </w:rPr>
        <w:t>.</w:t>
      </w:r>
    </w:p>
    <w:p w:rsidR="00C17B3A" w:rsidRPr="00B32A45" w:rsidRDefault="00C17B3A" w:rsidP="00C17B3A">
      <w:pPr>
        <w:pStyle w:val="h5Section"/>
      </w:pPr>
      <w:bookmarkStart w:id="61" w:name="_Toc486862072"/>
      <w:r w:rsidRPr="00B32A45">
        <w:rPr>
          <w:rStyle w:val="CharSectno"/>
        </w:rPr>
        <w:t>3.65</w:t>
      </w:r>
      <w:r w:rsidRPr="00B32A45">
        <w:t xml:space="preserve">  Method 2—crude oil refining and storage tanks for crude oil</w:t>
      </w:r>
      <w:bookmarkEnd w:id="61"/>
    </w:p>
    <w:p w:rsidR="00C17B3A" w:rsidRPr="00B32A45" w:rsidRDefault="00C17B3A" w:rsidP="00C17B3A">
      <w:pPr>
        <w:pStyle w:val="tMain"/>
      </w:pPr>
      <w:r w:rsidRPr="00B32A45">
        <w:tab/>
        <w:t>(1)</w:t>
      </w:r>
      <w:r w:rsidRPr="00B32A45">
        <w:tab/>
        <w:t>Method 2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4471B9CA" wp14:editId="59F1654E">
            <wp:extent cx="1495425" cy="2571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gas type (</w:t>
      </w:r>
      <w:r w:rsidRPr="00B32A45">
        <w:rPr>
          <w:b/>
          <w:i/>
        </w:rPr>
        <w:t>j</w:t>
      </w:r>
      <w:r w:rsidRPr="00B32A45">
        <w:t>), being methane, from the crude oil refining and from storage tanks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measured in tonnes of CO</w:t>
      </w:r>
      <w:r w:rsidRPr="00B32A45">
        <w:rPr>
          <w:rStyle w:val="charSubscript"/>
          <w:iCs/>
        </w:rPr>
        <w:t>2</w:t>
      </w:r>
      <w:r w:rsidRPr="00B32A45">
        <w:noBreakHyphen/>
        <w:t>e estimated by summing up the emissions released from each equipment types (</w:t>
      </w:r>
      <w:r w:rsidRPr="00B32A45">
        <w:rPr>
          <w:b/>
          <w:i/>
        </w:rPr>
        <w:t>k</w:t>
      </w:r>
      <w:r w:rsidRPr="00B32A45">
        <w:t>) listed in sections 5 and 6.1.2 of the API Compendium as determined under subsection (2), if the equipment is used in the crude oil refining and in the storage tanks.</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the quantities of crude oil (</w:t>
      </w:r>
      <w:r w:rsidRPr="00B32A45">
        <w:rPr>
          <w:b/>
          <w:i/>
        </w:rPr>
        <w:t>i</w:t>
      </w:r>
      <w:r w:rsidRPr="00B32A45">
        <w:t>) measured in tonnes that pass through each equipment type (</w:t>
      </w:r>
      <w:r w:rsidRPr="00B32A45">
        <w:rPr>
          <w:b/>
          <w:i/>
        </w:rPr>
        <w:t>k</w:t>
      </w:r>
      <w:r w:rsidRPr="00B32A45">
        <w:t>) listed in sections 5 and 6.1.2 of the API Compendium, if the equipment is used in the crude oil refining and in the storage tanks.</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measured in tonnes of CO</w:t>
      </w:r>
      <w:r w:rsidRPr="00B32A45">
        <w:rPr>
          <w:rStyle w:val="charSubscript"/>
          <w:iCs/>
        </w:rPr>
        <w:t>2</w:t>
      </w:r>
      <w:r w:rsidRPr="00B32A45">
        <w:noBreakHyphen/>
        <w:t>e per tonne of crude oil that passes through each equipment type (</w:t>
      </w:r>
      <w:r w:rsidRPr="00B32A45">
        <w:rPr>
          <w:b/>
          <w:i/>
        </w:rPr>
        <w:t>k</w:t>
      </w:r>
      <w:r w:rsidRPr="00B32A45">
        <w:t>) listed in sections 5 and 6.1.2 of the API Compendium, if the equipment is used in the crude oil refining and in the storage tanks.</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t>, the emission factors for gas type (</w:t>
      </w:r>
      <w:r w:rsidRPr="00B32A45">
        <w:rPr>
          <w:b/>
          <w:i/>
        </w:rPr>
        <w:t>j</w:t>
      </w:r>
      <w:r w:rsidRPr="00B32A45">
        <w:t>), being methane, as the crude oil passes through an equipment type (</w:t>
      </w:r>
      <w:r w:rsidRPr="00B32A45">
        <w:rPr>
          <w:b/>
          <w:i/>
        </w:rPr>
        <w:t>k</w:t>
      </w:r>
      <w:r w:rsidRPr="00B32A45">
        <w:t>) are:</w:t>
      </w:r>
    </w:p>
    <w:p w:rsidR="00C17B3A" w:rsidRPr="00B32A45" w:rsidRDefault="00C17B3A" w:rsidP="00C17B3A">
      <w:pPr>
        <w:pStyle w:val="tPara"/>
      </w:pPr>
      <w:r w:rsidRPr="00B32A45">
        <w:tab/>
        <w:t>(a)</w:t>
      </w:r>
      <w:r w:rsidRPr="00B32A45">
        <w:tab/>
        <w:t>as listed in sections 5 and 6.1.2 of the API Compendium, for the equipment type; or</w:t>
      </w:r>
    </w:p>
    <w:p w:rsidR="00C17B3A" w:rsidRPr="00B32A45" w:rsidRDefault="00C17B3A" w:rsidP="00C17B3A">
      <w:pPr>
        <w:pStyle w:val="tPara"/>
      </w:pPr>
      <w:r w:rsidRPr="00B32A45">
        <w:tab/>
        <w:t>(b)</w:t>
      </w:r>
      <w:r w:rsidRPr="00B32A45">
        <w:tab/>
        <w:t>if the manufacturer of the equipment supplies equipment</w:t>
      </w:r>
      <w:r w:rsidRPr="00B32A45">
        <w:noBreakHyphen/>
        <w:t>specific emission factors for the equipment type—those factors.</w:t>
      </w:r>
    </w:p>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lastRenderedPageBreak/>
        <w:t>3.66</w:t>
      </w:r>
      <w:r w:rsidRPr="00B32A45">
        <w:rPr>
          <w:b/>
          <w:bCs/>
        </w:rPr>
        <w:t>  Method 3—</w:t>
      </w:r>
      <w:r>
        <w:rPr>
          <w:b/>
          <w:bCs/>
        </w:rPr>
        <w:t>c</w:t>
      </w:r>
      <w:r w:rsidRPr="00B32A45">
        <w:rPr>
          <w:b/>
          <w:bCs/>
        </w:rPr>
        <w:t>rude oil refining and storage tanks for crude oil</w:t>
      </w:r>
    </w:p>
    <w:p w:rsidR="00C17B3A" w:rsidRPr="00B32A45" w:rsidRDefault="00217B5D" w:rsidP="00C17B3A">
      <w:pPr>
        <w:pStyle w:val="tMain"/>
        <w:shd w:val="clear" w:color="auto" w:fill="FFFFFF"/>
        <w:tabs>
          <w:tab w:val="left" w:pos="5100"/>
        </w:tabs>
        <w:rPr>
          <w:szCs w:val="22"/>
        </w:rPr>
      </w:pPr>
      <w:r>
        <w:rPr>
          <w:szCs w:val="22"/>
        </w:rPr>
        <w:tab/>
        <w:t>(1)</w:t>
      </w:r>
      <w:r>
        <w:rPr>
          <w:szCs w:val="22"/>
        </w:rPr>
        <w:tab/>
      </w:r>
      <w:r w:rsidR="00C17B3A" w:rsidRPr="00B32A45">
        <w:rPr>
          <w:szCs w:val="22"/>
        </w:rPr>
        <w:t>Method 3 is:</w:t>
      </w:r>
      <w:r w:rsidR="00C17B3A" w:rsidRPr="00B32A45">
        <w:rPr>
          <w:szCs w:val="22"/>
        </w:rPr>
        <w:tab/>
      </w:r>
    </w:p>
    <w:p w:rsidR="00C17B3A" w:rsidRPr="00217B5D" w:rsidRDefault="00C17B3A" w:rsidP="00217B5D">
      <w:pPr>
        <w:pStyle w:val="tDefn"/>
        <w:rPr>
          <w:sz w:val="28"/>
          <w:szCs w:val="28"/>
        </w:rPr>
      </w:pPr>
      <w:r w:rsidRPr="00217B5D">
        <w:rPr>
          <w:sz w:val="28"/>
          <w:szCs w:val="28"/>
        </w:rPr>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(Q</w:t>
      </w:r>
      <w:r w:rsidRPr="00217B5D">
        <w:rPr>
          <w:sz w:val="28"/>
          <w:szCs w:val="28"/>
          <w:vertAlign w:val="subscript"/>
        </w:rPr>
        <w:t>ik</w:t>
      </w:r>
      <w:r w:rsidRPr="00217B5D">
        <w:rPr>
          <w:sz w:val="28"/>
          <w:szCs w:val="28"/>
        </w:rPr>
        <w:t xml:space="preserve"> × EF</w:t>
      </w:r>
      <w:r w:rsidRPr="00217B5D">
        <w:rPr>
          <w:sz w:val="28"/>
          <w:szCs w:val="28"/>
          <w:vertAlign w:val="subscript"/>
        </w:rPr>
        <w:t>ijk</w:t>
      </w:r>
      <w:r w:rsidRPr="00217B5D">
        <w:rPr>
          <w:sz w:val="28"/>
          <w:szCs w:val="28"/>
        </w:rPr>
        <w:t>)</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of gas type (</w:t>
      </w:r>
      <w:r w:rsidRPr="00B32A45">
        <w:rPr>
          <w:b/>
          <w:i/>
        </w:rPr>
        <w:t>j</w:t>
      </w:r>
      <w:r w:rsidRPr="00B32A45">
        <w:t>), being methane, from the crude oil refining and from storage tanks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listed in section 6.1.3 of the API Compendium, if the component type is used in the crude oil refining and from storage tanks.</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the quantities of crude oil (</w:t>
      </w:r>
      <w:r w:rsidRPr="00B32A45">
        <w:rPr>
          <w:b/>
          <w:i/>
        </w:rPr>
        <w:t>i</w:t>
      </w:r>
      <w:r w:rsidRPr="00B32A45">
        <w:t>) that pass through each component type (</w:t>
      </w:r>
      <w:r w:rsidRPr="00B32A45">
        <w:rPr>
          <w:b/>
          <w:i/>
        </w:rPr>
        <w:t>k</w:t>
      </w:r>
      <w:r w:rsidRPr="00B32A45">
        <w:t>), or the number of components of each component type (</w:t>
      </w:r>
      <w:r w:rsidRPr="00B32A45">
        <w:rPr>
          <w:b/>
          <w:i/>
        </w:rPr>
        <w:t>k</w:t>
      </w:r>
      <w:r w:rsidRPr="00B32A45">
        <w:t>), listed in section 6.1.3 of the API Compendium</w:t>
      </w:r>
      <w:r w:rsidRPr="00B32A45" w:rsidDel="003A1D89">
        <w:t xml:space="preserve"> </w:t>
      </w:r>
      <w:r w:rsidRPr="00B32A45">
        <w:t>, if the component is used in the crude oil refining and from storage tanks, measured in tonnes.</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measured in tonnes of CO</w:t>
      </w:r>
      <w:r w:rsidRPr="00B32A45">
        <w:rPr>
          <w:rStyle w:val="charSubscript"/>
          <w:iCs/>
        </w:rPr>
        <w:t>2</w:t>
      </w:r>
      <w:r w:rsidRPr="00B32A45">
        <w:noBreakHyphen/>
        <w:t>e per tonne of crude oil that passes through each component type (</w:t>
      </w:r>
      <w:r w:rsidRPr="00B32A45">
        <w:rPr>
          <w:b/>
          <w:i/>
        </w:rPr>
        <w:t>k</w:t>
      </w:r>
      <w:r w:rsidRPr="00B32A45">
        <w:t>) listed in section 6.1.3 of the API Compendium as determined under subsection (2), if the component is used in the crude oil refining and from storage tanks.</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t>, the emission factors for gas type (</w:t>
      </w:r>
      <w:r w:rsidRPr="00B32A45">
        <w:rPr>
          <w:b/>
          <w:i/>
        </w:rPr>
        <w:t>j</w:t>
      </w:r>
      <w:r w:rsidRPr="00B32A45">
        <w:t xml:space="preserve">), being methane or carbon dioxide, as crude oil passes through a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 xml:space="preserve">as listed in section 6.1.3 of the API Compendium, for the </w:t>
      </w:r>
      <w:r w:rsidRPr="00B32A45">
        <w:rPr>
          <w:szCs w:val="22"/>
        </w:rPr>
        <w:t xml:space="preserve">component </w:t>
      </w:r>
      <w:r w:rsidRPr="00B32A45">
        <w:t>type; or</w:t>
      </w:r>
    </w:p>
    <w:p w:rsidR="00C17B3A" w:rsidRPr="00B32A45" w:rsidRDefault="00C17B3A" w:rsidP="00C17B3A">
      <w:pPr>
        <w:pStyle w:val="tPara"/>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tab/>
      </w:r>
    </w:p>
    <w:p w:rsidR="00C17B3A" w:rsidRPr="00B32A45" w:rsidRDefault="00C17B3A" w:rsidP="00C17B3A">
      <w:pPr>
        <w:pStyle w:val="h4Subdiv"/>
      </w:pPr>
      <w:bookmarkStart w:id="62" w:name="_Toc486862073"/>
      <w:r w:rsidRPr="00B32A45">
        <w:rPr>
          <w:rStyle w:val="CharSubdNo"/>
        </w:rPr>
        <w:t>Subdivision 3.3.5.2</w:t>
      </w:r>
      <w:r w:rsidRPr="00B32A45">
        <w:t>—</w:t>
      </w:r>
      <w:r w:rsidRPr="00B32A45">
        <w:rPr>
          <w:rStyle w:val="CharSubdText"/>
        </w:rPr>
        <w:t>Fugitive emissions from deliberate releases from process vents, system upsets and accidents</w:t>
      </w:r>
      <w:bookmarkEnd w:id="62"/>
    </w:p>
    <w:p w:rsidR="00C17B3A" w:rsidRPr="00B32A45" w:rsidRDefault="00C17B3A" w:rsidP="00C17B3A">
      <w:pPr>
        <w:pStyle w:val="h5Section"/>
      </w:pPr>
      <w:bookmarkStart w:id="63" w:name="_Toc486862074"/>
      <w:r w:rsidRPr="00B32A45">
        <w:rPr>
          <w:rStyle w:val="CharSectno"/>
        </w:rPr>
        <w:t>3.67</w:t>
      </w:r>
      <w:r w:rsidRPr="00B32A45">
        <w:t xml:space="preserve">  Method 1—fugitive emissions from deliberate releases from process vents, system upsets and accidents</w:t>
      </w:r>
      <w:bookmarkEnd w:id="63"/>
    </w:p>
    <w:p w:rsidR="00C17B3A" w:rsidRPr="00B32A45" w:rsidRDefault="00C17B3A" w:rsidP="00C17B3A">
      <w:pPr>
        <w:pStyle w:val="tMain"/>
      </w:pPr>
      <w:r w:rsidRPr="00B32A45">
        <w:tab/>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1CC842E5" wp14:editId="49BB11B3">
            <wp:extent cx="1609725" cy="2381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w:t>
      </w:r>
      <w:r w:rsidRPr="00B32A45">
        <w:rPr>
          <w:b/>
          <w:i/>
        </w:rPr>
        <w:t xml:space="preserve"> </w:t>
      </w:r>
      <w:r w:rsidRPr="00B32A45">
        <w:t>is the fugitive emissions of carbon dioxide during the year from deliberate releases from process vents, system upsets and accidents in the crude oil refining measured in CO</w:t>
      </w:r>
      <w:r w:rsidRPr="00B32A45">
        <w:rPr>
          <w:vertAlign w:val="subscript"/>
        </w:rPr>
        <w:t>2</w:t>
      </w:r>
      <w:r w:rsidRPr="00B32A45">
        <w:noBreakHyphen/>
        <w:t>e tonnes.</w:t>
      </w:r>
    </w:p>
    <w:p w:rsidR="00C17B3A" w:rsidRPr="00B32A45" w:rsidRDefault="00C17B3A" w:rsidP="00C17B3A">
      <w:pPr>
        <w:pStyle w:val="tDefn"/>
      </w:pPr>
      <w:r w:rsidRPr="00B32A45">
        <w:rPr>
          <w:b/>
          <w:i/>
        </w:rPr>
        <w:t>Q</w:t>
      </w:r>
      <w:r w:rsidRPr="00B32A45">
        <w:rPr>
          <w:b/>
          <w:i/>
          <w:vertAlign w:val="subscript"/>
        </w:rPr>
        <w:t>i</w:t>
      </w:r>
      <w:r w:rsidRPr="00B32A45">
        <w:rPr>
          <w:b/>
          <w:i/>
        </w:rPr>
        <w:t xml:space="preserve"> </w:t>
      </w:r>
      <w:r w:rsidRPr="00B32A45">
        <w:t>is the quantity of refinery coke (</w:t>
      </w:r>
      <w:r w:rsidRPr="00B32A45">
        <w:rPr>
          <w:b/>
          <w:i/>
        </w:rPr>
        <w:t>i</w:t>
      </w:r>
      <w:r w:rsidRPr="00B32A45">
        <w:t>) burnt to restore the activity of the catalyst of the crude oil refinery (and not used for energy) during the year measured in tonnes.</w:t>
      </w:r>
    </w:p>
    <w:p w:rsidR="00C17B3A" w:rsidRPr="00B32A45" w:rsidRDefault="00C17B3A" w:rsidP="00C17B3A">
      <w:pPr>
        <w:pStyle w:val="tDefn"/>
      </w:pPr>
      <w:r w:rsidRPr="00B32A45">
        <w:rPr>
          <w:b/>
          <w:i/>
        </w:rPr>
        <w:t>CCF</w:t>
      </w:r>
      <w:r w:rsidRPr="00B32A45">
        <w:rPr>
          <w:rFonts w:ascii="Helvetica" w:hAnsi="Helvetica"/>
          <w:b/>
          <w:i/>
          <w:vertAlign w:val="subscript"/>
        </w:rPr>
        <w:t>i</w:t>
      </w:r>
      <w:r w:rsidRPr="00B32A45">
        <w:rPr>
          <w:b/>
          <w:i/>
        </w:rPr>
        <w:t xml:space="preserve"> </w:t>
      </w:r>
      <w:r w:rsidRPr="00B32A45">
        <w:t>is the carbon content factor for refinery coke (</w:t>
      </w:r>
      <w:r w:rsidRPr="00B32A45">
        <w:rPr>
          <w:b/>
          <w:i/>
        </w:rPr>
        <w:t>i</w:t>
      </w:r>
      <w:r w:rsidRPr="00B32A45">
        <w:t>) as mentioned in Schedule 3.</w:t>
      </w:r>
    </w:p>
    <w:p w:rsidR="00C17B3A" w:rsidRPr="00B32A45" w:rsidRDefault="00C17B3A" w:rsidP="00C17B3A">
      <w:pPr>
        <w:pStyle w:val="tDefn"/>
      </w:pPr>
      <w:r w:rsidRPr="00B32A45">
        <w:rPr>
          <w:b/>
          <w:i/>
        </w:rPr>
        <w:t>3</w:t>
      </w:r>
      <w:r w:rsidRPr="00B32A45">
        <w:rPr>
          <w:b/>
        </w:rPr>
        <w:t>.</w:t>
      </w:r>
      <w:r w:rsidRPr="00B32A45">
        <w:rPr>
          <w:b/>
          <w:i/>
        </w:rPr>
        <w:t xml:space="preserve">664 </w:t>
      </w:r>
      <w:r w:rsidRPr="00B32A45">
        <w:t>is the conversion factor to convert an amount of carbon in tonnes to an amount of carbon dioxide in tonnes.</w:t>
      </w:r>
    </w:p>
    <w:p w:rsidR="00C17B3A" w:rsidRPr="00B32A45" w:rsidRDefault="00C17B3A" w:rsidP="00C17B3A">
      <w:pPr>
        <w:pStyle w:val="h5Section"/>
      </w:pPr>
      <w:bookmarkStart w:id="64" w:name="_Toc486862075"/>
      <w:r w:rsidRPr="00B32A45">
        <w:rPr>
          <w:rStyle w:val="CharSectno"/>
        </w:rPr>
        <w:lastRenderedPageBreak/>
        <w:t>3.68</w:t>
      </w:r>
      <w:r w:rsidRPr="00B32A45">
        <w:t xml:space="preserve">  Method 4—deliberate releases from process vents, system upsets and accidents</w:t>
      </w:r>
      <w:bookmarkEnd w:id="64"/>
    </w:p>
    <w:p w:rsidR="00C17B3A" w:rsidRPr="00B32A45" w:rsidRDefault="00C17B3A" w:rsidP="00C17B3A">
      <w:pPr>
        <w:pStyle w:val="tMain"/>
      </w:pPr>
      <w:r w:rsidRPr="00B32A45">
        <w:tab/>
        <w:t>(1)</w:t>
      </w:r>
      <w:r w:rsidRPr="00B32A45">
        <w:tab/>
        <w:t>Method 4 is:</w:t>
      </w:r>
    </w:p>
    <w:p w:rsidR="00C17B3A" w:rsidRPr="00B32A45" w:rsidRDefault="00C17B3A" w:rsidP="00C17B3A">
      <w:pPr>
        <w:pStyle w:val="tPara"/>
      </w:pPr>
      <w:r w:rsidRPr="00B32A45">
        <w:tab/>
        <w:t>(a)</w:t>
      </w:r>
      <w:r w:rsidRPr="00B32A45">
        <w:tab/>
        <w:t>is as set out in Part 1.3; or</w:t>
      </w:r>
    </w:p>
    <w:p w:rsidR="00C17B3A" w:rsidRPr="00B32A45" w:rsidRDefault="00C17B3A" w:rsidP="00C17B3A">
      <w:pPr>
        <w:pStyle w:val="tPara"/>
      </w:pPr>
      <w:r w:rsidRPr="00B32A45">
        <w:tab/>
        <w:t>(b)</w:t>
      </w:r>
      <w:r w:rsidRPr="00B32A45">
        <w:tab/>
        <w:t xml:space="preserve">uses the process calculation approach in section 5.2 of the API Compendium. </w:t>
      </w:r>
    </w:p>
    <w:p w:rsidR="00C17B3A" w:rsidRPr="00B32A45" w:rsidRDefault="00C17B3A" w:rsidP="00C17B3A">
      <w:pPr>
        <w:pStyle w:val="tMain"/>
      </w:pPr>
      <w:r w:rsidRPr="00B32A45">
        <w:tab/>
        <w:t>(2)</w:t>
      </w:r>
      <w:r w:rsidRPr="00B32A45">
        <w:tab/>
        <w:t>For paragraph (1)(b), all carbon monoxide is taken to fully oxidise to carbon dioxide and must be included in the calculation.</w:t>
      </w:r>
    </w:p>
    <w:p w:rsidR="00C17B3A" w:rsidRPr="00B32A45" w:rsidRDefault="00C17B3A" w:rsidP="00C17B3A">
      <w:pPr>
        <w:pStyle w:val="h4Subdiv"/>
      </w:pPr>
      <w:bookmarkStart w:id="65" w:name="_Toc486862076"/>
      <w:r w:rsidRPr="00B32A45">
        <w:rPr>
          <w:rStyle w:val="CharSubdNo"/>
        </w:rPr>
        <w:t>Subdivision 3.3.5.3</w:t>
      </w:r>
      <w:r w:rsidRPr="00B32A45">
        <w:t>—</w:t>
      </w:r>
      <w:r w:rsidRPr="00B32A45">
        <w:rPr>
          <w:rStyle w:val="CharSubdText"/>
        </w:rPr>
        <w:t>Fugitive emissions released from gas flared from the oil refinery</w:t>
      </w:r>
      <w:bookmarkEnd w:id="65"/>
    </w:p>
    <w:p w:rsidR="00C17B3A" w:rsidRPr="00B32A45" w:rsidRDefault="00C17B3A" w:rsidP="00C17B3A">
      <w:pPr>
        <w:pStyle w:val="h5Section"/>
      </w:pPr>
      <w:bookmarkStart w:id="66" w:name="_Toc486862077"/>
      <w:r w:rsidRPr="00B32A45">
        <w:rPr>
          <w:rStyle w:val="CharSectno"/>
        </w:rPr>
        <w:t>3.69</w:t>
      </w:r>
      <w:r w:rsidRPr="00B32A45">
        <w:t xml:space="preserve">  Method 1—gas flared from crude oil refining</w:t>
      </w:r>
      <w:bookmarkEnd w:id="66"/>
    </w:p>
    <w:p w:rsidR="00C17B3A" w:rsidRPr="00B32A45" w:rsidRDefault="00C17B3A" w:rsidP="00C17B3A">
      <w:pPr>
        <w:pStyle w:val="tMain"/>
      </w:pPr>
      <w:r w:rsidRPr="00B32A45">
        <w:tab/>
        <w:t>(1)</w:t>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28A2D6F2" wp14:editId="0A1CD05E">
            <wp:extent cx="1009650" cy="2571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emissions of gas type (</w:t>
      </w:r>
      <w:r w:rsidRPr="00B32A45">
        <w:rPr>
          <w:b/>
          <w:i/>
        </w:rPr>
        <w:t>j</w:t>
      </w:r>
      <w:r w:rsidRPr="00B32A45">
        <w:t>) released from the gas flared in the crude oil refining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Q</w:t>
      </w:r>
      <w:r w:rsidRPr="00B32A45">
        <w:rPr>
          <w:b/>
          <w:i/>
          <w:vertAlign w:val="subscript"/>
        </w:rPr>
        <w:t>i</w:t>
      </w:r>
      <w:r w:rsidRPr="00B32A45">
        <w:rPr>
          <w:b/>
          <w:i/>
        </w:rPr>
        <w:t xml:space="preserve"> </w:t>
      </w:r>
      <w:r w:rsidRPr="00B32A45">
        <w:t>is the quantity of gas for the fuel type (</w:t>
      </w:r>
      <w:r w:rsidRPr="00B32A45">
        <w:rPr>
          <w:b/>
          <w:i/>
        </w:rPr>
        <w:t>i</w:t>
      </w:r>
      <w:r w:rsidRPr="00B32A45">
        <w:t>) flared during the year measured in tonnes.</w:t>
      </w:r>
    </w:p>
    <w:p w:rsidR="00C17B3A" w:rsidRPr="00B32A45" w:rsidRDefault="00C17B3A" w:rsidP="00C17B3A">
      <w:pPr>
        <w:pStyle w:val="nMain"/>
      </w:pPr>
      <w:r w:rsidRPr="00B32A45">
        <w:t>Note:</w:t>
      </w:r>
      <w:r w:rsidRPr="00B32A45">
        <w:tab/>
        <w:t>This quantity includes all of the fuel type, not just hydrocarbons within the fuel type.</w:t>
      </w:r>
    </w:p>
    <w:p w:rsidR="00C17B3A" w:rsidRPr="00B32A45" w:rsidRDefault="00C17B3A" w:rsidP="00C17B3A">
      <w:pPr>
        <w:pStyle w:val="tDefn"/>
        <w:rPr>
          <w:i/>
        </w:rPr>
      </w:pPr>
      <w:r w:rsidRPr="00B32A45">
        <w:rPr>
          <w:b/>
          <w:i/>
        </w:rPr>
        <w:t>EF</w:t>
      </w:r>
      <w:r w:rsidRPr="00B32A45">
        <w:rPr>
          <w:b/>
          <w:i/>
          <w:vertAlign w:val="subscript"/>
        </w:rPr>
        <w:t>ij</w:t>
      </w:r>
      <w:r w:rsidRPr="00B32A45">
        <w:rPr>
          <w:b/>
          <w:i/>
        </w:rPr>
        <w:t xml:space="preserve"> </w:t>
      </w:r>
      <w:r w:rsidRPr="00B32A45">
        <w:t>is the emission factor for gas type (</w:t>
      </w:r>
      <w:r w:rsidRPr="00B32A45">
        <w:rPr>
          <w:b/>
          <w:i/>
        </w:rPr>
        <w:t>j</w:t>
      </w:r>
      <w:r w:rsidRPr="00B32A45">
        <w:t>) measured in tonnes of CO</w:t>
      </w:r>
      <w:r w:rsidRPr="00B32A45">
        <w:rPr>
          <w:rStyle w:val="charSubscript"/>
          <w:iCs/>
        </w:rPr>
        <w:t>2</w:t>
      </w:r>
      <w:r w:rsidRPr="00B32A45">
        <w:noBreakHyphen/>
        <w:t>e emissions per tonne of gas type (</w:t>
      </w:r>
      <w:r w:rsidRPr="00B32A45">
        <w:rPr>
          <w:b/>
          <w:i/>
        </w:rPr>
        <w:t>j</w:t>
      </w:r>
      <w:r w:rsidRPr="00B32A45">
        <w:t>) flared in the crude oil refining during the year</w:t>
      </w:r>
      <w:r w:rsidRPr="00B32A45">
        <w:rPr>
          <w:i/>
        </w:rPr>
        <w:t>.</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 xml:space="preserve">ij </w:t>
      </w:r>
      <w:r w:rsidRPr="00B32A45">
        <w:t>in subsection (1), columns 3, 4 and 5 of an item in the following table specify the emission factor for gas type (</w:t>
      </w:r>
      <w:r w:rsidRPr="00B32A45">
        <w:rPr>
          <w:b/>
          <w:i/>
        </w:rPr>
        <w:t>j</w:t>
      </w:r>
      <w:r w:rsidRPr="00B32A45">
        <w:t>) for the fuel type (</w:t>
      </w:r>
      <w:r w:rsidRPr="00B32A45">
        <w:rPr>
          <w:b/>
          <w:i/>
        </w:rPr>
        <w:t>i</w:t>
      </w:r>
      <w:r w:rsidRPr="00B32A45">
        <w:t>) spec</w:t>
      </w:r>
      <w:r w:rsidR="00524E7C">
        <w:t>ified in column 2 of that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742"/>
        <w:gridCol w:w="1886"/>
        <w:gridCol w:w="2033"/>
        <w:gridCol w:w="1914"/>
      </w:tblGrid>
      <w:tr w:rsidR="00C17B3A" w:rsidRPr="00B32A45" w:rsidTr="00DB6238">
        <w:trPr>
          <w:cantSplit/>
          <w:tblHeader/>
        </w:trPr>
        <w:tc>
          <w:tcPr>
            <w:tcW w:w="804" w:type="pc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Item</w:t>
            </w:r>
          </w:p>
        </w:tc>
        <w:tc>
          <w:tcPr>
            <w:tcW w:w="965" w:type="pct"/>
            <w:vMerge w:val="restar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fuel type (i)</w:t>
            </w:r>
          </w:p>
        </w:tc>
        <w:tc>
          <w:tcPr>
            <w:tcW w:w="3231" w:type="pct"/>
            <w:gridSpan w:val="3"/>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Emission factor of gas type (j) (tonnes CO</w:t>
            </w:r>
            <w:r w:rsidRPr="00B32A45">
              <w:rPr>
                <w:vertAlign w:val="subscript"/>
              </w:rPr>
              <w:t>2</w:t>
            </w:r>
            <w:r w:rsidRPr="00B32A45">
              <w:noBreakHyphen/>
              <w:t>e/tonnes fuel flared)</w:t>
            </w:r>
          </w:p>
        </w:tc>
      </w:tr>
      <w:tr w:rsidR="00C17B3A" w:rsidRPr="00B32A45" w:rsidTr="00DB6238">
        <w:trPr>
          <w:cantSplit/>
          <w:tblHeader/>
        </w:trPr>
        <w:tc>
          <w:tcPr>
            <w:tcW w:w="804" w:type="pct"/>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965" w:type="pct"/>
            <w:vMerge/>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045"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CO</w:t>
            </w:r>
            <w:r w:rsidRPr="00B32A45">
              <w:rPr>
                <w:vertAlign w:val="subscript"/>
              </w:rPr>
              <w:t>2</w:t>
            </w:r>
          </w:p>
        </w:tc>
        <w:tc>
          <w:tcPr>
            <w:tcW w:w="1126"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CH</w:t>
            </w:r>
            <w:r w:rsidRPr="00B32A45">
              <w:rPr>
                <w:vertAlign w:val="subscript"/>
              </w:rPr>
              <w:t>4</w:t>
            </w:r>
          </w:p>
        </w:tc>
        <w:tc>
          <w:tcPr>
            <w:tcW w:w="1060"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N</w:t>
            </w:r>
            <w:r w:rsidRPr="00B32A45">
              <w:rPr>
                <w:vertAlign w:val="subscript"/>
              </w:rPr>
              <w:t>2</w:t>
            </w:r>
            <w:r w:rsidRPr="00B32A45">
              <w:t>O</w:t>
            </w:r>
          </w:p>
        </w:tc>
      </w:tr>
      <w:tr w:rsidR="00C17B3A" w:rsidRPr="00B32A45" w:rsidTr="00DB6238">
        <w:tc>
          <w:tcPr>
            <w:tcW w:w="804" w:type="pct"/>
            <w:tcBorders>
              <w:top w:val="single" w:sz="12" w:space="0" w:color="auto"/>
              <w:left w:val="nil"/>
              <w:bottom w:val="single" w:sz="12" w:space="0" w:color="auto"/>
              <w:right w:val="nil"/>
            </w:tcBorders>
          </w:tcPr>
          <w:p w:rsidR="00C17B3A" w:rsidRPr="00B32A45" w:rsidRDefault="00C17B3A" w:rsidP="00DB6238">
            <w:pPr>
              <w:pStyle w:val="Tabletext"/>
            </w:pPr>
            <w:r w:rsidRPr="00B32A45">
              <w:t>1</w:t>
            </w:r>
          </w:p>
        </w:tc>
        <w:tc>
          <w:tcPr>
            <w:tcW w:w="965" w:type="pct"/>
            <w:tcBorders>
              <w:top w:val="single" w:sz="12" w:space="0" w:color="auto"/>
              <w:left w:val="nil"/>
              <w:bottom w:val="single" w:sz="12" w:space="0" w:color="auto"/>
              <w:right w:val="nil"/>
            </w:tcBorders>
          </w:tcPr>
          <w:p w:rsidR="00C17B3A" w:rsidRPr="00B32A45" w:rsidRDefault="00C17B3A" w:rsidP="00DB6238">
            <w:pPr>
              <w:pStyle w:val="Tabletext"/>
            </w:pPr>
            <w:r w:rsidRPr="00B32A45">
              <w:t xml:space="preserve">Gas </w:t>
            </w:r>
          </w:p>
        </w:tc>
        <w:tc>
          <w:tcPr>
            <w:tcW w:w="1045" w:type="pct"/>
            <w:tcBorders>
              <w:top w:val="single" w:sz="12" w:space="0" w:color="auto"/>
              <w:left w:val="nil"/>
              <w:bottom w:val="single" w:sz="12" w:space="0" w:color="auto"/>
              <w:right w:val="nil"/>
            </w:tcBorders>
          </w:tcPr>
          <w:p w:rsidR="00C17B3A" w:rsidRPr="00B32A45" w:rsidRDefault="00C17B3A" w:rsidP="00DB6238">
            <w:pPr>
              <w:pStyle w:val="Tabletext"/>
            </w:pPr>
            <w:r w:rsidRPr="00B32A45">
              <w:t>2.7</w:t>
            </w:r>
          </w:p>
        </w:tc>
        <w:tc>
          <w:tcPr>
            <w:tcW w:w="1126" w:type="pct"/>
            <w:tcBorders>
              <w:top w:val="single" w:sz="12" w:space="0" w:color="auto"/>
              <w:left w:val="nil"/>
              <w:bottom w:val="single" w:sz="12" w:space="0" w:color="auto"/>
              <w:right w:val="nil"/>
            </w:tcBorders>
          </w:tcPr>
          <w:p w:rsidR="00C17B3A" w:rsidRPr="00B32A45" w:rsidRDefault="00C17B3A" w:rsidP="00DB6238">
            <w:pPr>
              <w:pStyle w:val="Tabletext"/>
            </w:pPr>
            <w:r w:rsidRPr="00B32A45">
              <w:t>0.133</w:t>
            </w:r>
          </w:p>
        </w:tc>
        <w:tc>
          <w:tcPr>
            <w:tcW w:w="1060" w:type="pct"/>
            <w:tcBorders>
              <w:top w:val="single" w:sz="12" w:space="0" w:color="auto"/>
              <w:left w:val="nil"/>
              <w:bottom w:val="single" w:sz="12" w:space="0" w:color="auto"/>
              <w:right w:val="nil"/>
            </w:tcBorders>
          </w:tcPr>
          <w:p w:rsidR="00C17B3A" w:rsidRPr="00B32A45" w:rsidRDefault="00C17B3A" w:rsidP="00DB6238">
            <w:pPr>
              <w:pStyle w:val="Tabletext"/>
            </w:pPr>
            <w:r w:rsidRPr="00B32A45">
              <w:t>0.026</w:t>
            </w:r>
          </w:p>
        </w:tc>
      </w:tr>
      <w:tr w:rsidR="00C17B3A" w:rsidRPr="00B32A45" w:rsidTr="00DB6238">
        <w:tc>
          <w:tcPr>
            <w:tcW w:w="804" w:type="pct"/>
            <w:tcBorders>
              <w:top w:val="single" w:sz="12" w:space="0" w:color="auto"/>
              <w:left w:val="nil"/>
              <w:bottom w:val="single" w:sz="12" w:space="0" w:color="auto"/>
              <w:right w:val="nil"/>
            </w:tcBorders>
          </w:tcPr>
          <w:p w:rsidR="00C17B3A" w:rsidRPr="00B32A45" w:rsidRDefault="00C17B3A" w:rsidP="00DB6238">
            <w:pPr>
              <w:pStyle w:val="Tabletext"/>
            </w:pPr>
            <w:r w:rsidRPr="00B32A45">
              <w:t>2</w:t>
            </w:r>
          </w:p>
        </w:tc>
        <w:tc>
          <w:tcPr>
            <w:tcW w:w="965" w:type="pct"/>
            <w:tcBorders>
              <w:top w:val="single" w:sz="12" w:space="0" w:color="auto"/>
              <w:left w:val="nil"/>
              <w:bottom w:val="single" w:sz="12" w:space="0" w:color="auto"/>
              <w:right w:val="nil"/>
            </w:tcBorders>
          </w:tcPr>
          <w:p w:rsidR="00C17B3A" w:rsidRPr="00B32A45" w:rsidRDefault="00C17B3A" w:rsidP="00DB6238">
            <w:pPr>
              <w:pStyle w:val="Tabletext"/>
            </w:pPr>
            <w:r w:rsidRPr="00B32A45">
              <w:t>Crude oil and liquids</w:t>
            </w:r>
          </w:p>
        </w:tc>
        <w:tc>
          <w:tcPr>
            <w:tcW w:w="1045" w:type="pct"/>
            <w:tcBorders>
              <w:top w:val="single" w:sz="12" w:space="0" w:color="auto"/>
              <w:left w:val="nil"/>
              <w:bottom w:val="single" w:sz="12" w:space="0" w:color="auto"/>
              <w:right w:val="nil"/>
            </w:tcBorders>
          </w:tcPr>
          <w:p w:rsidR="00C17B3A" w:rsidRPr="00B32A45" w:rsidRDefault="00C17B3A" w:rsidP="00DB6238">
            <w:pPr>
              <w:pStyle w:val="Tabletext"/>
            </w:pPr>
            <w:r w:rsidRPr="00B32A45">
              <w:t>3.2</w:t>
            </w:r>
          </w:p>
        </w:tc>
        <w:tc>
          <w:tcPr>
            <w:tcW w:w="1126" w:type="pct"/>
            <w:tcBorders>
              <w:top w:val="single" w:sz="12" w:space="0" w:color="auto"/>
              <w:left w:val="nil"/>
              <w:bottom w:val="single" w:sz="12" w:space="0" w:color="auto"/>
              <w:right w:val="nil"/>
            </w:tcBorders>
          </w:tcPr>
          <w:p w:rsidR="00C17B3A" w:rsidRPr="00B32A45" w:rsidRDefault="00C17B3A" w:rsidP="00DB6238">
            <w:pPr>
              <w:pStyle w:val="Tabletext"/>
            </w:pPr>
            <w:r w:rsidRPr="00B32A45">
              <w:t>0.009</w:t>
            </w:r>
          </w:p>
        </w:tc>
        <w:tc>
          <w:tcPr>
            <w:tcW w:w="1060" w:type="pct"/>
            <w:tcBorders>
              <w:top w:val="single" w:sz="12" w:space="0" w:color="auto"/>
              <w:left w:val="nil"/>
              <w:bottom w:val="single" w:sz="12" w:space="0" w:color="auto"/>
              <w:right w:val="nil"/>
            </w:tcBorders>
          </w:tcPr>
          <w:p w:rsidR="00C17B3A" w:rsidRPr="00B32A45" w:rsidRDefault="00C17B3A" w:rsidP="00DB6238">
            <w:pPr>
              <w:pStyle w:val="Tabletext"/>
            </w:pPr>
            <w:r w:rsidRPr="00B32A45">
              <w:t>0.06</w:t>
            </w:r>
          </w:p>
        </w:tc>
      </w:tr>
    </w:tbl>
    <w:p w:rsidR="00C17B3A" w:rsidRPr="00B32A45" w:rsidRDefault="00C17B3A" w:rsidP="00C17B3A">
      <w:pPr>
        <w:pStyle w:val="h5Section"/>
      </w:pPr>
      <w:bookmarkStart w:id="67" w:name="_Toc486862078"/>
      <w:r w:rsidRPr="00B32A45">
        <w:rPr>
          <w:rStyle w:val="CharSectno"/>
        </w:rPr>
        <w:t>3.70</w:t>
      </w:r>
      <w:r w:rsidRPr="00B32A45">
        <w:t xml:space="preserve">  Method 2—gas flared from crude oil refining</w:t>
      </w:r>
      <w:bookmarkEnd w:id="67"/>
    </w:p>
    <w:p w:rsidR="00C17B3A" w:rsidRPr="00B32A45" w:rsidRDefault="00C17B3A" w:rsidP="00C17B3A">
      <w:pPr>
        <w:pStyle w:val="tMain"/>
      </w:pPr>
      <w:r w:rsidRPr="00B32A45">
        <w:tab/>
      </w:r>
      <w:r w:rsidRPr="00B32A45">
        <w:tab/>
        <w:t>For subparagraph 3.63(4)(a)(ii), method 2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0E726072" wp14:editId="54EAB507">
            <wp:extent cx="2070100" cy="241300"/>
            <wp:effectExtent l="0" t="0" r="6350" b="6350"/>
            <wp:docPr id="19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100" cy="24130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iCO</w:t>
      </w:r>
      <w:r w:rsidRPr="00B32A45">
        <w:rPr>
          <w:b/>
          <w:i/>
          <w:position w:val="-4"/>
          <w:vertAlign w:val="subscript"/>
        </w:rPr>
        <w:t>2</w:t>
      </w:r>
      <w:r w:rsidRPr="00B32A45">
        <w:t xml:space="preserve"> is the fugitive emissions of CO</w:t>
      </w:r>
      <w:r w:rsidRPr="00B32A45">
        <w:rPr>
          <w:vertAlign w:val="subscript"/>
        </w:rPr>
        <w:t>2</w:t>
      </w:r>
      <w:r w:rsidRPr="00B32A45">
        <w:t xml:space="preserve"> from fuel type (</w:t>
      </w:r>
      <w:r w:rsidRPr="00B32A45">
        <w:rPr>
          <w:b/>
          <w:i/>
        </w:rPr>
        <w:t>i</w:t>
      </w:r>
      <w:r w:rsidRPr="00B32A45">
        <w:t>) flared in crude oil refining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Q</w:t>
      </w:r>
      <w:r w:rsidRPr="00B32A45">
        <w:rPr>
          <w:b/>
          <w:i/>
          <w:vertAlign w:val="subscript"/>
        </w:rPr>
        <w:t>h</w:t>
      </w:r>
      <w:r w:rsidRPr="00B32A45">
        <w:rPr>
          <w:i/>
        </w:rPr>
        <w:t xml:space="preserve"> </w:t>
      </w:r>
      <w:r w:rsidRPr="00B32A45">
        <w:t>is the total quantity of hydrocarbons (</w:t>
      </w:r>
      <w:r w:rsidRPr="00B32A45">
        <w:rPr>
          <w:b/>
          <w:i/>
        </w:rPr>
        <w:t>h</w:t>
      </w:r>
      <w:r w:rsidRPr="00B32A45">
        <w:t>) within the fuel type (</w:t>
      </w:r>
      <w:r w:rsidRPr="00B32A45">
        <w:rPr>
          <w:b/>
          <w:i/>
        </w:rPr>
        <w:t>i</w:t>
      </w:r>
      <w:r w:rsidRPr="00B32A45">
        <w:t>) in crude oil refining during the year, measured in tonnes in accordance with Division 2.3.3.</w:t>
      </w:r>
    </w:p>
    <w:p w:rsidR="00C17B3A" w:rsidRPr="00B32A45" w:rsidRDefault="00C17B3A" w:rsidP="00C17B3A">
      <w:pPr>
        <w:pStyle w:val="tDefn"/>
      </w:pPr>
      <w:r w:rsidRPr="00B32A45">
        <w:rPr>
          <w:b/>
          <w:i/>
        </w:rPr>
        <w:t>EF</w:t>
      </w:r>
      <w:r w:rsidRPr="00B32A45">
        <w:rPr>
          <w:b/>
          <w:i/>
          <w:vertAlign w:val="subscript"/>
        </w:rPr>
        <w:t>h</w:t>
      </w:r>
      <w:r w:rsidRPr="00B32A45">
        <w:t xml:space="preserve"> is the emission factor for the total hydrocarbons (</w:t>
      </w:r>
      <w:r w:rsidRPr="00B32A45">
        <w:rPr>
          <w:b/>
          <w:i/>
        </w:rPr>
        <w:t>h</w:t>
      </w:r>
      <w:r w:rsidRPr="00B32A45">
        <w:t>) within the fuel type (</w:t>
      </w:r>
      <w:r w:rsidRPr="00B32A45">
        <w:rPr>
          <w:b/>
          <w:i/>
        </w:rPr>
        <w:t>i</w:t>
      </w:r>
      <w:r w:rsidRPr="00B32A45">
        <w:t>) in the crude oil refining during the year, measured in CO</w:t>
      </w:r>
      <w:r w:rsidRPr="00B32A45">
        <w:rPr>
          <w:vertAlign w:val="subscript"/>
        </w:rPr>
        <w:t>2</w:t>
      </w:r>
      <w:r w:rsidRPr="00B32A45">
        <w:noBreakHyphen/>
        <w:t>e tonnes per tonne of fuel type (</w:t>
      </w:r>
      <w:r w:rsidRPr="00B32A45">
        <w:rPr>
          <w:b/>
          <w:i/>
        </w:rPr>
        <w:t>i</w:t>
      </w:r>
      <w:r w:rsidRPr="00B32A45">
        <w:t>) flared, estimated in accordance with method 2 in Division 2.3.3.</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lastRenderedPageBreak/>
        <w:t>QCO</w:t>
      </w:r>
      <w:r w:rsidRPr="00B32A45">
        <w:rPr>
          <w:b/>
          <w:i/>
          <w:vertAlign w:val="subscript"/>
        </w:rPr>
        <w:t>2</w:t>
      </w:r>
      <w:r w:rsidRPr="00B32A45">
        <w:t xml:space="preserve"> is the quantity of CO</w:t>
      </w:r>
      <w:r w:rsidRPr="00B32A45">
        <w:rPr>
          <w:vertAlign w:val="subscript"/>
        </w:rPr>
        <w:t>2</w:t>
      </w:r>
      <w:r w:rsidRPr="00B32A45">
        <w:t xml:space="preserve"> within the fuel type (</w:t>
      </w:r>
      <w:r w:rsidRPr="00B32A45">
        <w:rPr>
          <w:b/>
          <w:i/>
        </w:rPr>
        <w:t>i</w:t>
      </w:r>
      <w:r w:rsidRPr="00B32A45">
        <w:t>) in the crude oil refining during the year, measured in CO</w:t>
      </w:r>
      <w:r w:rsidRPr="00B32A45">
        <w:rPr>
          <w:vertAlign w:val="subscript"/>
        </w:rPr>
        <w:t>2</w:t>
      </w:r>
      <w:r w:rsidRPr="00B32A45">
        <w:noBreakHyphen/>
        <w:t>e tonnes in accordance with Division 2.3.3.</w:t>
      </w:r>
    </w:p>
    <w:p w:rsidR="00C17B3A" w:rsidRPr="00B32A45" w:rsidRDefault="00C17B3A" w:rsidP="00C17B3A">
      <w:pPr>
        <w:pStyle w:val="h5Section"/>
      </w:pPr>
      <w:bookmarkStart w:id="68" w:name="_Toc486862079"/>
      <w:r w:rsidRPr="00B32A45">
        <w:rPr>
          <w:rStyle w:val="CharSectno"/>
        </w:rPr>
        <w:t>3.70A</w:t>
      </w:r>
      <w:r w:rsidRPr="00B32A45">
        <w:t xml:space="preserve">   Method 2A—crude oil refining (flared methane or nitrous oxide emissions)</w:t>
      </w:r>
      <w:bookmarkEnd w:id="68"/>
    </w:p>
    <w:p w:rsidR="00C17B3A" w:rsidRPr="00B32A45" w:rsidRDefault="00C17B3A" w:rsidP="00C17B3A">
      <w:pPr>
        <w:pStyle w:val="tMain"/>
      </w:pPr>
      <w:r w:rsidRPr="00B32A45">
        <w:tab/>
      </w:r>
      <w:r w:rsidRPr="00B32A45">
        <w:tab/>
        <w:t>For subparagraphs 3.63(4)(b)(ii) and (c)(ii), method 2A is:</w:t>
      </w:r>
    </w:p>
    <w:p w:rsidR="00C17B3A" w:rsidRPr="00B32A45" w:rsidRDefault="00FB502A" w:rsidP="00C17B3A">
      <w:pPr>
        <w:pStyle w:val="subsection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22.8pt">
            <v:imagedata r:id="rId22" o:title=""/>
          </v:shape>
        </w:pic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EF</w:t>
      </w:r>
      <w:r w:rsidRPr="00B32A45">
        <w:rPr>
          <w:b/>
          <w:i/>
          <w:vertAlign w:val="subscript"/>
        </w:rPr>
        <w:t>hij</w:t>
      </w:r>
      <w:r w:rsidRPr="00B32A45">
        <w:t xml:space="preserve"> is the emission factor of gas type (</w:t>
      </w:r>
      <w:r w:rsidRPr="00B32A45">
        <w:rPr>
          <w:b/>
          <w:i/>
        </w:rPr>
        <w:t>j</w:t>
      </w:r>
      <w:r w:rsidRPr="00B32A45">
        <w:t>), being methane or nitrous oxide, for the total hydrocarbons (</w:t>
      </w:r>
      <w:r w:rsidRPr="00B32A45">
        <w:rPr>
          <w:b/>
          <w:i/>
        </w:rPr>
        <w:t>h</w:t>
      </w:r>
      <w:r w:rsidRPr="00B32A45">
        <w:t>) within the fuel type (</w:t>
      </w:r>
      <w:r w:rsidRPr="00B32A45">
        <w:rPr>
          <w:b/>
          <w:i/>
        </w:rPr>
        <w:t>i</w:t>
      </w:r>
      <w:r w:rsidRPr="00B32A45">
        <w:t>) in crude oil refining during the year, mentioned for the fuel type in the table in subsection 3.69(2) and measured in CO</w:t>
      </w:r>
      <w:r w:rsidRPr="00B32A45">
        <w:rPr>
          <w:vertAlign w:val="subscript"/>
        </w:rPr>
        <w:t>2</w:t>
      </w:r>
      <w:r w:rsidRPr="00B32A45">
        <w:noBreakHyphen/>
        <w:t>e tonnes per tonne of the fuel type (</w:t>
      </w:r>
      <w:r w:rsidRPr="00B32A45">
        <w:rPr>
          <w:b/>
          <w:i/>
        </w:rPr>
        <w:t>i</w:t>
      </w:r>
      <w:r w:rsidRPr="00B32A45">
        <w:t>) flared.</w:t>
      </w:r>
    </w:p>
    <w:p w:rsidR="00C17B3A" w:rsidRPr="00B32A45" w:rsidRDefault="00C17B3A" w:rsidP="00C17B3A">
      <w:pPr>
        <w:pStyle w:val="tDefn"/>
      </w:pPr>
      <w:r w:rsidRPr="00B32A45">
        <w:rPr>
          <w:b/>
          <w:i/>
        </w:rPr>
        <w:t>E</w:t>
      </w:r>
      <w:r w:rsidRPr="00B32A45">
        <w:rPr>
          <w:b/>
          <w:i/>
          <w:vertAlign w:val="subscript"/>
        </w:rPr>
        <w:t>ij</w:t>
      </w:r>
      <w:r w:rsidRPr="00B32A45">
        <w:t xml:space="preserve"> is the fugitive emissions of gas type (</w:t>
      </w:r>
      <w:r w:rsidRPr="00B32A45">
        <w:rPr>
          <w:b/>
          <w:i/>
        </w:rPr>
        <w:t>j</w:t>
      </w:r>
      <w:r w:rsidRPr="00B32A45">
        <w:t>), being methane or nitrous oxide, from fuel type (</w:t>
      </w:r>
      <w:r w:rsidRPr="00B32A45">
        <w:rPr>
          <w:b/>
          <w:i/>
        </w:rPr>
        <w:t>i</w:t>
      </w:r>
      <w:r w:rsidRPr="00B32A45">
        <w:t>) flared</w:t>
      </w:r>
      <w:r w:rsidRPr="00B32A45">
        <w:rPr>
          <w:i/>
        </w:rPr>
        <w:t xml:space="preserve"> </w:t>
      </w:r>
      <w:r w:rsidRPr="00B32A45">
        <w:t>from crude oil refining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w:t>
      </w:r>
      <w:r w:rsidRPr="00B32A45">
        <w:rPr>
          <w:b/>
          <w:i/>
          <w:vertAlign w:val="subscript"/>
        </w:rPr>
        <w:t>h</w:t>
      </w:r>
      <w:r w:rsidRPr="00B32A45">
        <w:t xml:space="preserve"> is the total quantity of hydrocarbons (</w:t>
      </w:r>
      <w:r w:rsidRPr="00B32A45">
        <w:rPr>
          <w:b/>
          <w:i/>
        </w:rPr>
        <w:t>h</w:t>
      </w:r>
      <w:r w:rsidRPr="00B32A45">
        <w:t>) within the fuel type (</w:t>
      </w:r>
      <w:r w:rsidRPr="00B32A45">
        <w:rPr>
          <w:b/>
          <w:i/>
        </w:rPr>
        <w:t>i</w:t>
      </w:r>
      <w:r w:rsidRPr="00B32A45">
        <w:t>) in crude oil refining during the year, measured in tonnes in accordance with Division 2.3.3.</w:t>
      </w:r>
    </w:p>
    <w:p w:rsidR="00C17B3A" w:rsidRPr="00B32A45" w:rsidRDefault="00C17B3A" w:rsidP="00C17B3A">
      <w:pPr>
        <w:pStyle w:val="h5Section"/>
      </w:pPr>
      <w:bookmarkStart w:id="69" w:name="_Toc486862080"/>
      <w:r w:rsidRPr="00B32A45">
        <w:t>3.71  Method 3—gas flared from crude oil refining</w:t>
      </w:r>
      <w:bookmarkEnd w:id="69"/>
    </w:p>
    <w:p w:rsidR="00C17B3A" w:rsidRPr="00B32A45" w:rsidRDefault="00C17B3A" w:rsidP="00C17B3A">
      <w:pPr>
        <w:pStyle w:val="tMain"/>
      </w:pPr>
      <w:r w:rsidRPr="00B32A45">
        <w:tab/>
      </w:r>
      <w:r w:rsidRPr="00B32A45">
        <w:tab/>
        <w:t xml:space="preserve">For subparagraph 3.63(4)(a)(iii), method 3 is the same as method 2 under section 3.70, but the emission factor </w:t>
      </w:r>
      <w:r w:rsidRPr="00B32A45">
        <w:rPr>
          <w:b/>
          <w:i/>
        </w:rPr>
        <w:t>EF</w:t>
      </w:r>
      <w:r w:rsidRPr="00B32A45">
        <w:rPr>
          <w:b/>
          <w:i/>
          <w:vertAlign w:val="subscript"/>
        </w:rPr>
        <w:t>ij</w:t>
      </w:r>
      <w:r w:rsidRPr="00B32A45">
        <w:t xml:space="preserve"> must be determined in accordance with method 3 for the consumption of gaseous fuels as specified in Division 2.3.4.</w:t>
      </w:r>
    </w:p>
    <w:p w:rsidR="00C17B3A" w:rsidRPr="00B32A45" w:rsidRDefault="00C17B3A" w:rsidP="00C17B3A">
      <w:pPr>
        <w:pStyle w:val="h3Div"/>
        <w:pageBreakBefore/>
      </w:pPr>
      <w:bookmarkStart w:id="70" w:name="_Toc486862081"/>
      <w:bookmarkStart w:id="71" w:name="_Toc69480121"/>
      <w:r w:rsidRPr="00B32A45">
        <w:rPr>
          <w:rStyle w:val="CharDivNo"/>
        </w:rPr>
        <w:lastRenderedPageBreak/>
        <w:t>Division 3.3.6A</w:t>
      </w:r>
      <w:r w:rsidRPr="00B32A45">
        <w:t>—Onshore n</w:t>
      </w:r>
      <w:r w:rsidRPr="00B32A45">
        <w:rPr>
          <w:rStyle w:val="CharDivText"/>
        </w:rPr>
        <w:t>atural gas production (other than emissions that are vented or flared</w:t>
      </w:r>
      <w:bookmarkEnd w:id="70"/>
      <w:r w:rsidRPr="00B32A45">
        <w:rPr>
          <w:rStyle w:val="CharDivText"/>
        </w:rPr>
        <w:t>)</w:t>
      </w:r>
      <w:bookmarkEnd w:id="71"/>
    </w:p>
    <w:p w:rsidR="00C17B3A" w:rsidRPr="00B32A45" w:rsidRDefault="00C17B3A" w:rsidP="00C17B3A">
      <w:pPr>
        <w:pStyle w:val="h5Section"/>
        <w:tabs>
          <w:tab w:val="left" w:pos="5055"/>
        </w:tabs>
      </w:pPr>
      <w:bookmarkStart w:id="72" w:name="_Toc486862082"/>
      <w:r w:rsidRPr="00B32A45">
        <w:rPr>
          <w:rStyle w:val="CharSectno"/>
        </w:rPr>
        <w:t>3.72</w:t>
      </w:r>
      <w:r w:rsidRPr="00B32A45">
        <w:t xml:space="preserve">  Application</w:t>
      </w:r>
      <w:bookmarkEnd w:id="72"/>
      <w:r w:rsidRPr="00B32A45">
        <w:tab/>
      </w:r>
    </w:p>
    <w:p w:rsidR="00C17B3A" w:rsidRPr="00B32A45" w:rsidRDefault="00C17B3A" w:rsidP="00C17B3A">
      <w:pPr>
        <w:pStyle w:val="tMain"/>
      </w:pPr>
      <w:r w:rsidRPr="00B32A45">
        <w:tab/>
      </w:r>
      <w:r w:rsidRPr="00B32A45">
        <w:tab/>
        <w:t>This Division applies to fugitive emissions from onshore natural gas production activities, other than emissions that are vented or flared, including emissions from onshore natural gas wellheads.</w:t>
      </w:r>
    </w:p>
    <w:p w:rsidR="00C17B3A" w:rsidRPr="00B32A45" w:rsidRDefault="00C17B3A" w:rsidP="00C17B3A">
      <w:pPr>
        <w:pStyle w:val="tMain"/>
        <w:tabs>
          <w:tab w:val="clear" w:pos="1021"/>
          <w:tab w:val="right" w:pos="0"/>
        </w:tabs>
        <w:ind w:left="0" w:firstLine="0"/>
        <w:rPr>
          <w:sz w:val="24"/>
          <w:szCs w:val="24"/>
        </w:rPr>
      </w:pPr>
      <w:bookmarkStart w:id="73" w:name="_Toc486862083"/>
      <w:r w:rsidRPr="00B32A45">
        <w:rPr>
          <w:rStyle w:val="CharDivNo"/>
          <w:b/>
          <w:sz w:val="24"/>
          <w:szCs w:val="24"/>
        </w:rPr>
        <w:t>Subdivision 3.3.6A.1</w:t>
      </w:r>
      <w:r w:rsidRPr="00B32A45">
        <w:rPr>
          <w:b/>
          <w:sz w:val="24"/>
          <w:szCs w:val="24"/>
        </w:rPr>
        <w:t>—Onshore n</w:t>
      </w:r>
      <w:r w:rsidRPr="00B32A45">
        <w:rPr>
          <w:rStyle w:val="CharDivText"/>
          <w:b/>
          <w:sz w:val="24"/>
          <w:szCs w:val="24"/>
        </w:rPr>
        <w:t xml:space="preserve">atural gas production, other than emissions that are vented or flared—wellheads  </w:t>
      </w:r>
    </w:p>
    <w:p w:rsidR="00C17B3A" w:rsidRPr="00B32A45" w:rsidRDefault="00C17B3A" w:rsidP="00C17B3A">
      <w:pPr>
        <w:pStyle w:val="h5Section"/>
      </w:pPr>
      <w:r w:rsidRPr="00B32A45">
        <w:rPr>
          <w:rStyle w:val="CharSectno"/>
        </w:rPr>
        <w:t>3.73</w:t>
      </w:r>
      <w:r w:rsidRPr="00B32A45">
        <w:t xml:space="preserve">  Available methods</w:t>
      </w:r>
      <w:bookmarkEnd w:id="73"/>
    </w:p>
    <w:p w:rsidR="00C17B3A" w:rsidRPr="00B32A45" w:rsidRDefault="00C17B3A" w:rsidP="00C17B3A">
      <w:pPr>
        <w:pStyle w:val="tMain"/>
      </w:pPr>
      <w:r w:rsidRPr="00B32A45">
        <w:tab/>
        <w:t>(1)</w:t>
      </w:r>
      <w:r w:rsidRPr="00B32A45">
        <w:tab/>
        <w:t>Subject to section 1.18 and subsections (3) and (4), one of the following methods must</w:t>
      </w:r>
      <w:r w:rsidRPr="00B32A45">
        <w:rPr>
          <w:i/>
        </w:rPr>
        <w:t xml:space="preserve"> </w:t>
      </w:r>
      <w:r w:rsidRPr="00B32A45">
        <w:t>be used for estimating fugitive emissions of methane and carbon dioxide (other than emissions that are vented or flared) released during a year from the operation of a facility that is constituted by onshore natural gas production:</w:t>
      </w:r>
    </w:p>
    <w:p w:rsidR="00C17B3A" w:rsidRPr="00B32A45" w:rsidRDefault="00C17B3A" w:rsidP="00C17B3A">
      <w:pPr>
        <w:pStyle w:val="tPara"/>
      </w:pPr>
      <w:r w:rsidRPr="00B32A45">
        <w:tab/>
        <w:t>(a)</w:t>
      </w:r>
      <w:r w:rsidRPr="00B32A45">
        <w:tab/>
        <w:t>method 1 under section 3.73A;</w:t>
      </w:r>
    </w:p>
    <w:p w:rsidR="00C17B3A" w:rsidRPr="00B32A45" w:rsidRDefault="00C17B3A" w:rsidP="00C17B3A">
      <w:pPr>
        <w:pStyle w:val="tPara"/>
      </w:pPr>
      <w:r w:rsidRPr="00B32A45">
        <w:tab/>
        <w:t>(b)</w:t>
      </w:r>
      <w:r w:rsidRPr="00B32A45">
        <w:tab/>
        <w:t>method 2 under section 3.73B;</w:t>
      </w:r>
    </w:p>
    <w:p w:rsidR="00C17B3A" w:rsidRPr="00B32A45" w:rsidRDefault="00C17B3A" w:rsidP="00C17B3A">
      <w:pPr>
        <w:pStyle w:val="tPara"/>
      </w:pPr>
      <w:r w:rsidRPr="00B32A45">
        <w:tab/>
        <w:t xml:space="preserve">                       (c)  </w:t>
      </w:r>
      <w:r w:rsidRPr="00B32A45">
        <w:tab/>
        <w:t>method 3 under section 3.73C.</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3.3.6B, 3.3.6C, 3.3.6E, 3.3.7A and 3.3.7B if those Divisions are applicable to the facility.</w:t>
      </w:r>
    </w:p>
    <w:p w:rsidR="00C17B3A" w:rsidRPr="00B32A45" w:rsidRDefault="00C17B3A" w:rsidP="00C733F2">
      <w:pPr>
        <w:pStyle w:val="tMain"/>
      </w:pPr>
      <w:r w:rsidRPr="00B32A45">
        <w:tab/>
        <w:t>(4)</w:t>
      </w:r>
      <w:r w:rsidRPr="00B32A45">
        <w:tab/>
        <w:t>If me</w:t>
      </w:r>
      <w:r w:rsidR="00C733F2">
        <w:t xml:space="preserve">thod 3 is used for a facility, </w:t>
      </w:r>
      <w:r w:rsidRPr="00B32A45">
        <w:t xml:space="preserve">all other available methods 3 must be used in Divisions 3.3.6B, 3.3.6C, 3.3.6E, 3.3.7A and 3.3.7B if those Divisions </w:t>
      </w:r>
      <w:r w:rsidR="00C733F2">
        <w:t>are applicable to the facility.</w:t>
      </w:r>
    </w:p>
    <w:p w:rsidR="00C17B3A" w:rsidRPr="00B32A45" w:rsidRDefault="00C17B3A" w:rsidP="00C17B3A">
      <w:pPr>
        <w:pStyle w:val="tMain"/>
        <w:rPr>
          <w:b/>
          <w:kern w:val="28"/>
          <w:sz w:val="24"/>
        </w:rPr>
      </w:pPr>
      <w:r w:rsidRPr="00B32A45">
        <w:rPr>
          <w:b/>
          <w:kern w:val="28"/>
          <w:sz w:val="24"/>
        </w:rPr>
        <w:t>3</w:t>
      </w:r>
      <w:r w:rsidR="00693350">
        <w:rPr>
          <w:b/>
          <w:kern w:val="28"/>
          <w:sz w:val="24"/>
        </w:rPr>
        <w:t>.73A Method 1</w:t>
      </w:r>
      <w:r w:rsidR="00693350" w:rsidRPr="00B32A45">
        <w:t>—</w:t>
      </w:r>
      <w:r w:rsidR="00693350">
        <w:rPr>
          <w:b/>
          <w:kern w:val="28"/>
          <w:sz w:val="24"/>
        </w:rPr>
        <w:t>o</w:t>
      </w:r>
      <w:r w:rsidRPr="00B32A45">
        <w:rPr>
          <w:b/>
          <w:kern w:val="28"/>
          <w:sz w:val="24"/>
        </w:rPr>
        <w:t>nshore natural gas production, other than emissions that are vented or flared—wellheads</w:t>
      </w:r>
    </w:p>
    <w:p w:rsidR="00C17B3A" w:rsidRPr="00B32A45" w:rsidRDefault="00C17B3A" w:rsidP="00C17B3A">
      <w:pPr>
        <w:pStyle w:val="tMain"/>
      </w:pPr>
      <w:r w:rsidRPr="00B32A45">
        <w:tab/>
        <w:t>(1)</w:t>
      </w:r>
      <w:r w:rsidRPr="00B32A45">
        <w:tab/>
        <w:t>Method 1 is:</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  </w:t>
      </w:r>
      <w:r w:rsidRPr="00217B5D">
        <w:rPr>
          <w:sz w:val="28"/>
          <w:szCs w:val="28"/>
        </w:rPr>
        <w:t>= Σ</w:t>
      </w:r>
      <w:r w:rsidRPr="00217B5D">
        <w:rPr>
          <w:sz w:val="28"/>
          <w:szCs w:val="28"/>
          <w:vertAlign w:val="subscript"/>
        </w:rPr>
        <w:t>k</w:t>
      </w:r>
      <w:r w:rsidRPr="00217B5D">
        <w:rPr>
          <w:i/>
          <w:sz w:val="28"/>
          <w:szCs w:val="28"/>
          <w:vertAlign w:val="subscript"/>
        </w:rPr>
        <w:t xml:space="preserve"> </w:t>
      </w:r>
      <w:r w:rsidRPr="00217B5D">
        <w:rPr>
          <w:sz w:val="28"/>
          <w:szCs w:val="28"/>
        </w:rPr>
        <w:t>(Q</w:t>
      </w:r>
      <w:r w:rsidRPr="00217B5D">
        <w:rPr>
          <w:sz w:val="28"/>
          <w:szCs w:val="28"/>
          <w:vertAlign w:val="subscript"/>
        </w:rPr>
        <w:t xml:space="preserve">ik  </w:t>
      </w:r>
      <w:r w:rsidRPr="00217B5D">
        <w:rPr>
          <w:sz w:val="28"/>
          <w:szCs w:val="28"/>
        </w:rPr>
        <w:t>×</w:t>
      </w:r>
      <w:r w:rsidRPr="00217B5D">
        <w:rPr>
          <w:sz w:val="28"/>
          <w:szCs w:val="28"/>
          <w:vertAlign w:val="subscript"/>
        </w:rPr>
        <w:t xml:space="preserve">  </w:t>
      </w:r>
      <w:r w:rsidRPr="00217B5D">
        <w:rPr>
          <w:sz w:val="28"/>
          <w:szCs w:val="28"/>
        </w:rPr>
        <w:t>EF</w:t>
      </w:r>
      <w:r w:rsidRPr="00217B5D">
        <w:rPr>
          <w:sz w:val="28"/>
          <w:szCs w:val="28"/>
          <w:vertAlign w:val="subscript"/>
        </w:rPr>
        <w:t xml:space="preserve">ijk  </w:t>
      </w:r>
      <w:r w:rsidRPr="00217B5D">
        <w:rPr>
          <w:sz w:val="28"/>
          <w:szCs w:val="28"/>
        </w:rPr>
        <w:t>×</w:t>
      </w:r>
      <w:r w:rsidRPr="00217B5D">
        <w:rPr>
          <w:sz w:val="28"/>
          <w:szCs w:val="28"/>
          <w:vertAlign w:val="subscript"/>
        </w:rPr>
        <w:t xml:space="preserve"> </w:t>
      </w:r>
      <w:r w:rsidRPr="00217B5D">
        <w:rPr>
          <w:sz w:val="28"/>
          <w:szCs w:val="28"/>
        </w:rPr>
        <w:t>S</w:t>
      </w:r>
      <w:r w:rsidRPr="00217B5D">
        <w:rPr>
          <w:sz w:val="28"/>
          <w:szCs w:val="28"/>
          <w:vertAlign w:val="subscript"/>
        </w:rPr>
        <w:t>ij</w:t>
      </w:r>
      <w:r w:rsidRPr="00217B5D">
        <w:rPr>
          <w:sz w:val="28"/>
          <w:szCs w:val="28"/>
        </w:rPr>
        <w:t xml:space="preserve"> /</w:t>
      </w:r>
      <w:r w:rsidRPr="00217B5D">
        <w:rPr>
          <w:sz w:val="28"/>
          <w:szCs w:val="28"/>
          <w:vertAlign w:val="subscript"/>
        </w:rPr>
        <w:t xml:space="preserve"> </w:t>
      </w:r>
      <w:r w:rsidRPr="00217B5D">
        <w:rPr>
          <w:sz w:val="28"/>
          <w:szCs w:val="28"/>
        </w:rPr>
        <w:t>SD</w:t>
      </w:r>
      <w:r w:rsidRPr="00217B5D">
        <w:rPr>
          <w:sz w:val="28"/>
          <w:szCs w:val="28"/>
          <w:vertAlign w:val="subscript"/>
        </w:rPr>
        <w:t>ij</w:t>
      </w:r>
      <w:r w:rsidRPr="00217B5D">
        <w:rPr>
          <w:sz w:val="28"/>
          <w:szCs w:val="28"/>
        </w:rPr>
        <w:t>)</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onshore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the onshore natural gas production.</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the quantities of unprocessed natural gas (</w:t>
      </w:r>
      <w:r w:rsidRPr="00B32A45">
        <w:rPr>
          <w:b/>
          <w:i/>
        </w:rPr>
        <w:t>i</w:t>
      </w:r>
      <w:r w:rsidRPr="00B32A45">
        <w:t>) that pass through each equipment type (</w:t>
      </w:r>
      <w:r w:rsidRPr="00B32A45">
        <w:rPr>
          <w:b/>
          <w:i/>
        </w:rPr>
        <w:t>k</w:t>
      </w:r>
      <w:r w:rsidRPr="00B32A45">
        <w:t>) specified in column 2 of the table in subsection (2), during the year measured in tonnes in accordance with Division 2.3.6.</w:t>
      </w:r>
    </w:p>
    <w:p w:rsidR="00360904" w:rsidRPr="00B32A45" w:rsidRDefault="00C17B3A" w:rsidP="00360904">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or carbon dioxide, measured in CO</w:t>
      </w:r>
      <w:r w:rsidRPr="00B32A45">
        <w:rPr>
          <w:rStyle w:val="charSubscript"/>
          <w:iCs/>
        </w:rPr>
        <w:t>2</w:t>
      </w:r>
      <w:r w:rsidRPr="00B32A45">
        <w:noBreakHyphen/>
        <w:t>e tonnes per tonne of unprocessed natural gas (</w:t>
      </w:r>
      <w:r w:rsidRPr="00B32A45">
        <w:rPr>
          <w:b/>
          <w:i/>
        </w:rPr>
        <w:t>i</w:t>
      </w:r>
      <w:r w:rsidRPr="00B32A45">
        <w:t xml:space="preserve">) that passes through each </w:t>
      </w:r>
      <w:r w:rsidRPr="00B32A45">
        <w:lastRenderedPageBreak/>
        <w:t>equipment type (</w:t>
      </w:r>
      <w:r w:rsidRPr="00B32A45">
        <w:rPr>
          <w:b/>
          <w:i/>
        </w:rPr>
        <w:t>k</w:t>
      </w:r>
      <w:r w:rsidRPr="00B32A45">
        <w:t>), if the equipment is used in the onshore natural gas production during the year.</w:t>
      </w:r>
    </w:p>
    <w:p w:rsidR="004F437B" w:rsidRPr="00B32A45" w:rsidRDefault="00360904" w:rsidP="004F437B">
      <w:pPr>
        <w:pStyle w:val="nMain"/>
      </w:pPr>
      <w:r w:rsidRPr="00B32A45">
        <w:t>Note:</w:t>
      </w:r>
      <w:r w:rsidRPr="00B32A45">
        <w:tab/>
      </w:r>
      <w:r>
        <w:t xml:space="preserve">Consistent with subsection </w:t>
      </w:r>
      <w:r w:rsidR="009305BF">
        <w:t>3</w:t>
      </w:r>
      <w:r>
        <w:t xml:space="preserve">.41(2), emissions </w:t>
      </w:r>
      <w:r w:rsidR="004F437B">
        <w:t xml:space="preserve">associated with </w:t>
      </w:r>
      <w:r w:rsidR="004F437B" w:rsidRPr="004F437B">
        <w:t>any piece of equipment</w:t>
      </w:r>
      <w:r w:rsidR="004F437B">
        <w:t xml:space="preserve"> included in this definition</w:t>
      </w:r>
      <w:r w:rsidR="004F437B" w:rsidRPr="004F437B">
        <w:t xml:space="preserve"> should not be counted under this section if those emissions are also counted</w:t>
      </w:r>
      <w:r w:rsidR="004F437B">
        <w:t xml:space="preserve"> as equipment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xml:space="preserve">), being methane or carbon dioxide, in the unprocessed gas </w:t>
      </w:r>
      <w:r w:rsidRPr="00B32A45">
        <w:rPr>
          <w:i/>
        </w:rPr>
        <w:t>(</w:t>
      </w:r>
      <w:r w:rsidRPr="00B32A45">
        <w:rPr>
          <w:b/>
          <w:i/>
        </w:rPr>
        <w:t>i</w:t>
      </w:r>
      <w:r w:rsidRPr="00B32A45">
        <w:rPr>
          <w:i/>
        </w:rPr>
        <w:t>),</w:t>
      </w:r>
      <w:r w:rsidRPr="00B32A45">
        <w:t xml:space="preserve"> by volume, measured in accordance with Division 2.3.3 and the principles in section 1.13.</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0.98 and for carbon dioxide SD is 0.02.</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gas type (</w:t>
      </w:r>
      <w:r w:rsidRPr="00B32A45">
        <w:rPr>
          <w:b/>
          <w:i/>
        </w:rPr>
        <w:t>j</w:t>
      </w:r>
      <w:r w:rsidRPr="00B32A45">
        <w:t>) being methane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specified in column 2</w:t>
      </w:r>
      <w:r w:rsidR="00524E7C">
        <w:t xml:space="preserve"> of that item:</w:t>
      </w: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0"/>
        <w:gridCol w:w="2101"/>
        <w:gridCol w:w="1231"/>
        <w:gridCol w:w="2154"/>
        <w:gridCol w:w="2870"/>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164"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5" w:type="pct"/>
            <w:gridSpan w:val="2"/>
            <w:tcBorders>
              <w:top w:val="single" w:sz="12" w:space="0" w:color="auto"/>
              <w:bottom w:val="single" w:sz="12" w:space="0" w:color="auto"/>
            </w:tcBorders>
          </w:tcPr>
          <w:p w:rsidR="00C17B3A" w:rsidRPr="00B32A45" w:rsidRDefault="00C17B3A" w:rsidP="00DB6238">
            <w:pPr>
              <w:pStyle w:val="TableHeading"/>
            </w:pPr>
            <w:r w:rsidRPr="00B32A45">
              <w:t>Emission factor for gas type  (j)</w:t>
            </w:r>
          </w:p>
        </w:tc>
        <w:tc>
          <w:tcPr>
            <w:tcW w:w="1590"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164" w:type="pct"/>
            <w:shd w:val="clear" w:color="auto" w:fill="auto"/>
          </w:tcPr>
          <w:p w:rsidR="00C17B3A" w:rsidRPr="00B32A45" w:rsidDel="0000371C" w:rsidRDefault="00C17B3A" w:rsidP="00DB6238">
            <w:pPr>
              <w:pStyle w:val="Tabletext"/>
            </w:pPr>
          </w:p>
        </w:tc>
        <w:tc>
          <w:tcPr>
            <w:tcW w:w="682" w:type="pct"/>
          </w:tcPr>
          <w:p w:rsidR="00C17B3A" w:rsidRPr="00B32A45" w:rsidRDefault="00C17B3A" w:rsidP="00DB6238">
            <w:pPr>
              <w:pStyle w:val="Tabletext"/>
              <w:jc w:val="center"/>
            </w:pPr>
            <w:r w:rsidRPr="00B32A45">
              <w:t>CH</w:t>
            </w:r>
            <w:r w:rsidRPr="00B32A45">
              <w:rPr>
                <w:vertAlign w:val="subscript"/>
              </w:rPr>
              <w:t>4</w:t>
            </w:r>
          </w:p>
        </w:tc>
        <w:tc>
          <w:tcPr>
            <w:tcW w:w="1193" w:type="pct"/>
          </w:tcPr>
          <w:p w:rsidR="00C17B3A" w:rsidRPr="00B32A45" w:rsidRDefault="00C17B3A" w:rsidP="00DB6238">
            <w:pPr>
              <w:pStyle w:val="Tabletext"/>
              <w:jc w:val="center"/>
            </w:pPr>
            <w:r w:rsidRPr="00B32A45">
              <w:t>CO</w:t>
            </w:r>
            <w:r w:rsidRPr="00B32A45">
              <w:rPr>
                <w:vertAlign w:val="subscript"/>
              </w:rPr>
              <w:t>2</w:t>
            </w:r>
          </w:p>
        </w:tc>
        <w:tc>
          <w:tcPr>
            <w:tcW w:w="1590"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nil"/>
              <w:bottom w:val="nil"/>
            </w:tcBorders>
            <w:shd w:val="clear" w:color="auto" w:fill="auto"/>
            <w:vAlign w:val="center"/>
          </w:tcPr>
          <w:p w:rsidR="00C17B3A" w:rsidRPr="00B32A45" w:rsidRDefault="00C17B3A" w:rsidP="00DB6238">
            <w:pPr>
              <w:pStyle w:val="Tabletext"/>
              <w:jc w:val="center"/>
            </w:pPr>
            <w:r w:rsidRPr="00B32A45">
              <w:t>1</w:t>
            </w:r>
          </w:p>
        </w:tc>
        <w:tc>
          <w:tcPr>
            <w:tcW w:w="1164" w:type="pct"/>
            <w:tcBorders>
              <w:top w:val="nil"/>
              <w:bottom w:val="nil"/>
            </w:tcBorders>
            <w:shd w:val="clear" w:color="auto" w:fill="auto"/>
            <w:vAlign w:val="center"/>
          </w:tcPr>
          <w:p w:rsidR="00C17B3A" w:rsidRPr="00B32A45" w:rsidRDefault="00C17B3A" w:rsidP="00DB6238">
            <w:pPr>
              <w:pStyle w:val="Tabletext"/>
              <w:jc w:val="center"/>
            </w:pPr>
            <w:r w:rsidRPr="00B32A45">
              <w:t>Onshore natural gas wellheads</w:t>
            </w:r>
          </w:p>
        </w:tc>
        <w:tc>
          <w:tcPr>
            <w:tcW w:w="682" w:type="pct"/>
            <w:tcBorders>
              <w:top w:val="nil"/>
              <w:bottom w:val="nil"/>
            </w:tcBorders>
            <w:vAlign w:val="center"/>
          </w:tcPr>
          <w:p w:rsidR="00C17B3A" w:rsidRPr="00B32A45" w:rsidRDefault="00C17B3A" w:rsidP="00DB6238">
            <w:pPr>
              <w:pStyle w:val="Tabletext"/>
              <w:jc w:val="center"/>
            </w:pPr>
            <w:r w:rsidRPr="00B32A45">
              <w:t>1.32 × 10</w:t>
            </w:r>
            <w:r w:rsidRPr="00B32A45">
              <w:rPr>
                <w:vertAlign w:val="superscript"/>
              </w:rPr>
              <w:t>-3</w:t>
            </w:r>
          </w:p>
        </w:tc>
        <w:tc>
          <w:tcPr>
            <w:tcW w:w="1193" w:type="pct"/>
            <w:tcBorders>
              <w:top w:val="nil"/>
              <w:bottom w:val="nil"/>
            </w:tcBorders>
            <w:vAlign w:val="center"/>
          </w:tcPr>
          <w:p w:rsidR="00C17B3A" w:rsidRPr="00B32A45" w:rsidRDefault="00C17B3A" w:rsidP="00DB6238">
            <w:pPr>
              <w:pStyle w:val="Tabletext"/>
              <w:jc w:val="center"/>
            </w:pPr>
            <w:r w:rsidRPr="00B32A45">
              <w:t>2.60 × 10</w:t>
            </w:r>
            <w:r w:rsidRPr="00B32A45">
              <w:rPr>
                <w:vertAlign w:val="superscript"/>
              </w:rPr>
              <w:t>-6</w:t>
            </w:r>
          </w:p>
        </w:tc>
        <w:tc>
          <w:tcPr>
            <w:tcW w:w="1590" w:type="pct"/>
            <w:tcBorders>
              <w:top w:val="nil"/>
              <w:bottom w:val="nil"/>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-e/t gas throughput</w:t>
            </w:r>
          </w:p>
        </w:tc>
      </w:tr>
    </w:tbl>
    <w:p w:rsidR="00C17B3A" w:rsidRPr="00B32A45" w:rsidRDefault="00C17B3A" w:rsidP="00C17B3A">
      <w:pPr>
        <w:pStyle w:val="h5Section"/>
      </w:pPr>
      <w:r w:rsidRPr="00B32A45">
        <w:rPr>
          <w:rStyle w:val="CharSectno"/>
        </w:rPr>
        <w:t>3.73B</w:t>
      </w:r>
      <w:r w:rsidR="00693350">
        <w:t xml:space="preserve">  Method 2—o</w:t>
      </w:r>
      <w:r w:rsidRPr="00B32A45">
        <w:t>nshore natural gas production, other than emissions that are vented or flared—wellheads</w:t>
      </w:r>
    </w:p>
    <w:p w:rsidR="00C17B3A" w:rsidRPr="00B32A45" w:rsidRDefault="00C17B3A" w:rsidP="00C17B3A">
      <w:pPr>
        <w:pStyle w:val="tMain"/>
      </w:pPr>
      <w:r w:rsidRPr="00B32A45">
        <w:tab/>
        <w:t>(1)</w:t>
      </w:r>
      <w:r w:rsidRPr="00B32A45">
        <w:tab/>
        <w:t>Method 2 is:</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  </w:t>
      </w:r>
      <w:r w:rsidRPr="00217B5D">
        <w:rPr>
          <w:sz w:val="28"/>
          <w:szCs w:val="28"/>
        </w:rPr>
        <w:t>= Σ</w:t>
      </w:r>
      <w:r w:rsidRPr="00217B5D">
        <w:rPr>
          <w:sz w:val="28"/>
          <w:szCs w:val="28"/>
          <w:vertAlign w:val="subscript"/>
        </w:rPr>
        <w:t>k</w:t>
      </w:r>
      <w:r w:rsidRPr="00217B5D">
        <w:rPr>
          <w:i/>
          <w:sz w:val="28"/>
          <w:szCs w:val="28"/>
          <w:vertAlign w:val="subscript"/>
        </w:rPr>
        <w:t xml:space="preserve"> </w:t>
      </w:r>
      <w:r w:rsidRPr="00217B5D">
        <w:rPr>
          <w:sz w:val="28"/>
          <w:szCs w:val="28"/>
        </w:rPr>
        <w:t>(T</w:t>
      </w:r>
      <w:r w:rsidRPr="00217B5D">
        <w:rPr>
          <w:sz w:val="28"/>
          <w:szCs w:val="28"/>
          <w:vertAlign w:val="subscript"/>
        </w:rPr>
        <w:t xml:space="preserve">ik   </w:t>
      </w:r>
      <w:r w:rsidRPr="00217B5D">
        <w:rPr>
          <w:sz w:val="28"/>
          <w:szCs w:val="28"/>
        </w:rPr>
        <w:t>×</w:t>
      </w:r>
      <w:r w:rsidRPr="00217B5D">
        <w:rPr>
          <w:sz w:val="28"/>
          <w:szCs w:val="28"/>
          <w:vertAlign w:val="subscript"/>
        </w:rPr>
        <w:t xml:space="preserve">  </w:t>
      </w:r>
      <w:r w:rsidRPr="00217B5D">
        <w:rPr>
          <w:sz w:val="28"/>
          <w:szCs w:val="28"/>
        </w:rPr>
        <w:t>N</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ij/</w:t>
      </w:r>
      <w:r w:rsidRPr="00217B5D">
        <w:rPr>
          <w:sz w:val="28"/>
          <w:szCs w:val="28"/>
        </w:rPr>
        <w:t>SD</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onshore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the onshore natural gas production.</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the equipment of each equipment type (</w:t>
      </w:r>
      <w:r w:rsidRPr="00B32A45">
        <w:rPr>
          <w:b/>
          <w:i/>
        </w:rPr>
        <w:t>k</w:t>
      </w:r>
      <w:r w:rsidRPr="00B32A45">
        <w:t>), if the equipment is used in the onshore natural gas production during the year.</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equipment units of each equipment type (</w:t>
      </w:r>
      <w:r w:rsidRPr="00B32A45">
        <w:rPr>
          <w:b/>
          <w:i/>
        </w:rPr>
        <w:t>k</w:t>
      </w:r>
      <w:r w:rsidRPr="00B32A45">
        <w:t>)</w:t>
      </w:r>
      <w:r w:rsidR="009B2547">
        <w:t>,</w:t>
      </w:r>
      <w:r w:rsidRPr="00B32A45">
        <w:t xml:space="preserve"> if the equipment type is used in the onshore natural gas production during the year.</w:t>
      </w:r>
    </w:p>
    <w:p w:rsidR="00360904" w:rsidRPr="00B32A45" w:rsidRDefault="00C17B3A" w:rsidP="00360904">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equipment type (</w:t>
      </w:r>
      <w:r w:rsidRPr="00B32A45">
        <w:rPr>
          <w:b/>
          <w:i/>
        </w:rPr>
        <w:t>k</w:t>
      </w:r>
      <w:r w:rsidRPr="00B32A45">
        <w:t>) – hour as determined under subsection (2), if the equipment is used in the onshore natural gas production.</w:t>
      </w:r>
    </w:p>
    <w:p w:rsidR="00360904" w:rsidRPr="00B32A45" w:rsidRDefault="00360904" w:rsidP="00360904">
      <w:pPr>
        <w:pStyle w:val="nMain"/>
      </w:pPr>
      <w:r w:rsidRPr="00B32A45">
        <w:t>Note:</w:t>
      </w:r>
      <w:r w:rsidRPr="00B32A45">
        <w:tab/>
      </w:r>
      <w:r w:rsidR="009305BF">
        <w:t>Consistent with subsection 3</w:t>
      </w:r>
      <w:r>
        <w:t xml:space="preserve">.41(2), </w:t>
      </w:r>
      <w:r w:rsidR="004F437B">
        <w:t xml:space="preserve">emissions associated with </w:t>
      </w:r>
      <w:r w:rsidR="004F437B" w:rsidRPr="004F437B">
        <w:t>any piece of equipment</w:t>
      </w:r>
      <w:r w:rsidR="004F437B">
        <w:t xml:space="preserve"> included in this definition</w:t>
      </w:r>
      <w:r w:rsidR="004F437B" w:rsidRPr="004F437B">
        <w:t xml:space="preserve"> should not be counted under this section if those emissions are also counted</w:t>
      </w:r>
      <w:r w:rsidR="004F437B">
        <w:t xml:space="preserve"> as equipment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lastRenderedPageBreak/>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xml:space="preserve">), being methane or carbon dioxide, in the unprocessed gas </w:t>
      </w:r>
      <w:r w:rsidRPr="00B32A45">
        <w:rPr>
          <w:i/>
        </w:rPr>
        <w:t>(</w:t>
      </w:r>
      <w:r w:rsidRPr="00B32A45">
        <w:rPr>
          <w:b/>
          <w:i/>
        </w:rPr>
        <w:t>i</w:t>
      </w:r>
      <w:r w:rsidRPr="00B32A45">
        <w:rPr>
          <w:i/>
        </w:rPr>
        <w:t>),</w:t>
      </w:r>
      <w:r w:rsidRPr="00B32A45">
        <w:t xml:space="preserve"> by volume, measured in accordance with Division 2.3.3 and the principles in section 1.13.</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7B4CBC"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007B4CBC">
        <w:t>in subsection (1):</w:t>
      </w:r>
    </w:p>
    <w:p w:rsidR="00C17B3A" w:rsidRPr="00B32A45" w:rsidRDefault="007B4CBC" w:rsidP="007B4CBC">
      <w:pPr>
        <w:pStyle w:val="tPara"/>
      </w:pPr>
      <w:r>
        <w:tab/>
        <w:t>(a)</w:t>
      </w:r>
      <w:r>
        <w:tab/>
      </w:r>
      <w:r w:rsidR="00C17B3A" w:rsidRPr="00B32A45">
        <w:t>column 3 of an item in the following table specifies the emission factor for methane (</w:t>
      </w:r>
      <w:r w:rsidR="00C17B3A" w:rsidRPr="00B32A45">
        <w:rPr>
          <w:b/>
          <w:i/>
        </w:rPr>
        <w:t>j</w:t>
      </w:r>
      <w:r w:rsidR="00C17B3A" w:rsidRPr="00B32A45">
        <w:t>) for an equipment type (</w:t>
      </w:r>
      <w:r w:rsidR="00C17B3A" w:rsidRPr="00B32A45">
        <w:rPr>
          <w:b/>
          <w:i/>
        </w:rPr>
        <w:t>k</w:t>
      </w:r>
      <w:r w:rsidR="00C17B3A" w:rsidRPr="00B32A45">
        <w:t>) specified in column 2 of that item and column 4 of an item in the following table specifies the emission factor for carbon dioxide (</w:t>
      </w:r>
      <w:r w:rsidR="00C17B3A" w:rsidRPr="00B32A45">
        <w:rPr>
          <w:b/>
          <w:i/>
        </w:rPr>
        <w:t>j</w:t>
      </w:r>
      <w:r w:rsidR="00C17B3A" w:rsidRPr="00B32A45">
        <w:t>) for an equipment type (</w:t>
      </w:r>
      <w:r w:rsidR="00C17B3A" w:rsidRPr="00B32A45">
        <w:rPr>
          <w:b/>
          <w:i/>
        </w:rPr>
        <w:t>k</w:t>
      </w:r>
      <w:r w:rsidR="00C17B3A" w:rsidRPr="00B32A45">
        <w:t>) specified in column 2 of that item:</w:t>
      </w:r>
      <w:r w:rsidR="00C17B3A" w:rsidRPr="00B32A45" w:rsidDel="00495F5E">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090"/>
        <w:gridCol w:w="6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3"/>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pPr>
            <w:r w:rsidRPr="00B32A45">
              <w:t>CH</w:t>
            </w:r>
            <w:r w:rsidRPr="00B32A45">
              <w:rPr>
                <w:vertAlign w:val="subscript"/>
              </w:rPr>
              <w:t>4</w:t>
            </w:r>
          </w:p>
        </w:tc>
        <w:tc>
          <w:tcPr>
            <w:tcW w:w="1194" w:type="pct"/>
            <w:gridSpan w:val="2"/>
          </w:tcPr>
          <w:p w:rsidR="00C17B3A" w:rsidRPr="00B32A45" w:rsidRDefault="00C17B3A" w:rsidP="00DB6238">
            <w:pPr>
              <w:pStyle w:val="Tabletext"/>
              <w:jc w:val="center"/>
            </w:pPr>
            <w:r w:rsidRPr="00B32A45">
              <w:t>CO</w:t>
            </w:r>
            <w:r w:rsidRPr="00B32A45">
              <w:rPr>
                <w:vertAlign w:val="subscript"/>
              </w:rPr>
              <w:t>2</w:t>
            </w:r>
          </w:p>
        </w:tc>
        <w:tc>
          <w:tcPr>
            <w:tcW w:w="1147"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wellheads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5.04 × 10</w:t>
            </w:r>
            <w:r w:rsidRPr="00B32A45">
              <w:rPr>
                <w:vertAlign w:val="superscript"/>
              </w:rPr>
              <w:t>-4</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separators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1.24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3.08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heaters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1.29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3.20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Reciprocating compressor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4.60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1.14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Screw compressor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2.88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7.15 × 10</w:t>
            </w:r>
            <w:r w:rsidRPr="00B32A45">
              <w:rPr>
                <w:vertAlign w:val="superscript"/>
              </w:rPr>
              <w:t>-5</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90493F" w:rsidP="00DB6238">
            <w:pPr>
              <w:pStyle w:val="Tabletext"/>
              <w:jc w:val="center"/>
            </w:pPr>
            <w:r>
              <w:t>Metering installation and associated piping</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9.86 × 10</w:t>
            </w:r>
            <w:r w:rsidRPr="00B32A45">
              <w:rPr>
                <w:vertAlign w:val="superscript"/>
              </w:rPr>
              <w:t>-4</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Dehydrators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2.00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4.96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bl>
    <w:p w:rsidR="00047DB3" w:rsidRPr="007B4CBC" w:rsidRDefault="00047DB3" w:rsidP="007B4CBC">
      <w:pPr>
        <w:pStyle w:val="tPara"/>
        <w:rPr>
          <w:szCs w:val="22"/>
        </w:rPr>
      </w:pPr>
      <w:r w:rsidRPr="00B32A45">
        <w:tab/>
        <w:t>(b)</w:t>
      </w:r>
      <w:r w:rsidRPr="00B32A45">
        <w:tab/>
        <w:t xml:space="preserve">if the manufacturer of the </w:t>
      </w:r>
      <w:r w:rsidR="002B7374">
        <w:rPr>
          <w:szCs w:val="22"/>
        </w:rPr>
        <w:t>equipment</w:t>
      </w:r>
      <w:r w:rsidRPr="00B32A45">
        <w:rPr>
          <w:szCs w:val="22"/>
        </w:rPr>
        <w:t xml:space="preserve"> </w:t>
      </w:r>
      <w:r w:rsidRPr="00B32A45">
        <w:t xml:space="preserve">supplies </w:t>
      </w:r>
      <w:r w:rsidR="002B7374">
        <w:rPr>
          <w:szCs w:val="22"/>
        </w:rPr>
        <w:t>equipment</w:t>
      </w:r>
      <w:r w:rsidRPr="00B32A45">
        <w:noBreakHyphen/>
        <w:t xml:space="preserve">specific emission factors for the </w:t>
      </w:r>
      <w:r w:rsidR="002B7374">
        <w:rPr>
          <w:szCs w:val="22"/>
        </w:rPr>
        <w:t>equipment</w:t>
      </w:r>
      <w:r w:rsidRPr="00B32A45">
        <w:rPr>
          <w:szCs w:val="22"/>
        </w:rPr>
        <w:t xml:space="preserve"> </w:t>
      </w:r>
      <w:r w:rsidRPr="00B32A45">
        <w:t>type—those factors</w:t>
      </w:r>
      <w:r w:rsidR="002B7374">
        <w:t xml:space="preserve"> are the relevant emissions factors</w:t>
      </w:r>
      <w:r w:rsidRPr="00B32A45">
        <w:t>.</w:t>
      </w:r>
      <w:r w:rsidRPr="00B32A45">
        <w:tab/>
      </w:r>
      <w:r w:rsidR="007B4CBC">
        <w:rPr>
          <w:szCs w:val="22"/>
        </w:rPr>
        <w:t>       </w:t>
      </w:r>
    </w:p>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t>3.73C</w:t>
      </w:r>
      <w:r w:rsidRPr="00B32A45">
        <w:rPr>
          <w:b/>
          <w:bCs/>
        </w:rPr>
        <w:t>  Method 3—</w:t>
      </w:r>
      <w:r w:rsidR="00693350">
        <w:rPr>
          <w:b/>
          <w:kern w:val="28"/>
        </w:rPr>
        <w:t>o</w:t>
      </w:r>
      <w:r w:rsidRPr="00B32A45">
        <w:rPr>
          <w:b/>
          <w:kern w:val="28"/>
        </w:rPr>
        <w:t>nshore natural gas production, other than emissions that are vented or flared—wellheads</w:t>
      </w:r>
    </w:p>
    <w:p w:rsidR="00C17B3A" w:rsidRPr="00B32A45" w:rsidRDefault="00217B5D" w:rsidP="00C17B3A">
      <w:pPr>
        <w:pStyle w:val="tMain"/>
        <w:shd w:val="clear" w:color="auto" w:fill="FFFFFF"/>
        <w:tabs>
          <w:tab w:val="left" w:pos="5100"/>
        </w:tabs>
        <w:rPr>
          <w:szCs w:val="22"/>
        </w:rPr>
      </w:pPr>
      <w:r>
        <w:rPr>
          <w:szCs w:val="22"/>
        </w:rPr>
        <w:tab/>
        <w:t>(1)</w:t>
      </w:r>
      <w:r>
        <w:rPr>
          <w:szCs w:val="22"/>
        </w:rPr>
        <w:tab/>
      </w:r>
      <w:r w:rsidR="00C17B3A" w:rsidRPr="00B32A45">
        <w:rPr>
          <w:szCs w:val="22"/>
        </w:rPr>
        <w:t>Method 3 is:</w:t>
      </w:r>
      <w:r w:rsidR="00C17B3A" w:rsidRPr="00B32A45">
        <w:rPr>
          <w:szCs w:val="22"/>
        </w:rPr>
        <w:tab/>
      </w:r>
    </w:p>
    <w:p w:rsidR="00C17B3A" w:rsidRPr="00217B5D" w:rsidRDefault="00C17B3A" w:rsidP="00217B5D">
      <w:pPr>
        <w:pStyle w:val="subsection2"/>
        <w:shd w:val="clear" w:color="auto" w:fill="FFFFFF"/>
        <w:rPr>
          <w:sz w:val="28"/>
          <w:szCs w:val="28"/>
        </w:rPr>
      </w:pPr>
      <w:r w:rsidRPr="00217B5D">
        <w:rPr>
          <w:sz w:val="28"/>
          <w:szCs w:val="28"/>
        </w:rPr>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(T</w:t>
      </w:r>
      <w:r w:rsidRPr="00217B5D">
        <w:rPr>
          <w:sz w:val="28"/>
          <w:szCs w:val="28"/>
          <w:vertAlign w:val="subscript"/>
        </w:rPr>
        <w:t>ik</w:t>
      </w:r>
      <w:r w:rsidRPr="00217B5D">
        <w:rPr>
          <w:sz w:val="28"/>
          <w:szCs w:val="28"/>
        </w:rPr>
        <w:t xml:space="preserve"> × N</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xml:space="preserve"> ) ×</w:t>
      </w:r>
      <w:r w:rsidRPr="00217B5D">
        <w:rPr>
          <w:sz w:val="28"/>
          <w:szCs w:val="28"/>
          <w:vertAlign w:val="subscript"/>
        </w:rPr>
        <w:t xml:space="preserve"> </w:t>
      </w:r>
      <w:r w:rsidRPr="00217B5D">
        <w:rPr>
          <w:sz w:val="28"/>
          <w:szCs w:val="28"/>
        </w:rPr>
        <w:t>S</w:t>
      </w:r>
      <w:r w:rsidRPr="00217B5D">
        <w:rPr>
          <w:sz w:val="28"/>
          <w:szCs w:val="28"/>
          <w:vertAlign w:val="subscript"/>
        </w:rPr>
        <w:t>ij /</w:t>
      </w:r>
      <w:r w:rsidRPr="00217B5D">
        <w:rPr>
          <w:sz w:val="28"/>
          <w:szCs w:val="28"/>
        </w:rPr>
        <w:t>SD</w:t>
      </w:r>
      <w:r w:rsidRPr="00217B5D">
        <w:rPr>
          <w:sz w:val="28"/>
          <w:szCs w:val="28"/>
          <w:vertAlign w:val="subscript"/>
        </w:rPr>
        <w:t>ij</w:t>
      </w:r>
      <w:r w:rsidRPr="00217B5D">
        <w:rPr>
          <w:b/>
          <w:sz w:val="28"/>
          <w:szCs w:val="28"/>
          <w:vertAlign w:val="subscript"/>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onshore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if the component type is used in the onshore natural gas production during the year.</w:t>
      </w:r>
    </w:p>
    <w:p w:rsidR="00360904" w:rsidRPr="00B32A45" w:rsidRDefault="00C17B3A" w:rsidP="00360904">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component-hour for each component type (</w:t>
      </w:r>
      <w:r w:rsidRPr="00B32A45">
        <w:rPr>
          <w:b/>
          <w:i/>
        </w:rPr>
        <w:t>k</w:t>
      </w:r>
      <w:r w:rsidRPr="00B32A45">
        <w:t>) as determined under subsection (2) or (3), if the component is used in the onshore natural gas production during the year.</w:t>
      </w:r>
    </w:p>
    <w:p w:rsidR="00360904" w:rsidRPr="00B32A45" w:rsidRDefault="00360904" w:rsidP="00360904">
      <w:pPr>
        <w:pStyle w:val="nMain"/>
      </w:pPr>
      <w:r w:rsidRPr="00B32A45">
        <w:lastRenderedPageBreak/>
        <w:t>Note:</w:t>
      </w:r>
      <w:r w:rsidRPr="00B32A45">
        <w:tab/>
      </w:r>
      <w:r>
        <w:t>Consist</w:t>
      </w:r>
      <w:r w:rsidR="009305BF">
        <w:t>ent with subsection 3</w:t>
      </w:r>
      <w:r>
        <w:t xml:space="preserve">.41(2), </w:t>
      </w:r>
      <w:r w:rsidR="004F437B">
        <w:t xml:space="preserve">emissions associated with </w:t>
      </w:r>
      <w:r w:rsidR="004F437B" w:rsidRPr="004F437B">
        <w:t xml:space="preserve">any </w:t>
      </w:r>
      <w:r w:rsidR="004F437B">
        <w:t>components included in this definition</w:t>
      </w:r>
      <w:r w:rsidR="004F437B" w:rsidRPr="004F437B">
        <w:t xml:space="preserve"> should not be counted under this section if those emissions are also counted</w:t>
      </w:r>
      <w:r w:rsidR="004F437B">
        <w:t xml:space="preserve"> as component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components of each component type (</w:t>
      </w:r>
      <w:r w:rsidRPr="00B32A45">
        <w:rPr>
          <w:b/>
          <w:i/>
        </w:rPr>
        <w:t>k</w:t>
      </w:r>
      <w:r w:rsidRPr="00B32A45">
        <w:t>) if the component type is used in the onshore natural gas production during the year.</w:t>
      </w:r>
    </w:p>
    <w:p w:rsidR="00C17B3A" w:rsidRPr="00B32A45" w:rsidRDefault="00C17B3A" w:rsidP="00C17B3A">
      <w:pPr>
        <w:pStyle w:val="tDefn"/>
      </w:pPr>
      <w:r w:rsidRPr="00B32A45">
        <w:rPr>
          <w:b/>
          <w:i/>
        </w:rPr>
        <w:t>T</w:t>
      </w:r>
      <w:r w:rsidRPr="00B32A45">
        <w:rPr>
          <w:b/>
          <w:i/>
          <w:vertAlign w:val="subscript"/>
        </w:rPr>
        <w:t xml:space="preserve">ik </w:t>
      </w:r>
      <w:r w:rsidRPr="00B32A45">
        <w:t xml:space="preserve">is: </w:t>
      </w:r>
    </w:p>
    <w:p w:rsidR="00C17B3A" w:rsidRPr="00B32A45" w:rsidRDefault="00C17B3A" w:rsidP="00C17B3A">
      <w:pPr>
        <w:pStyle w:val="tPara"/>
      </w:pPr>
      <w:r w:rsidRPr="00B32A45">
        <w:tab/>
        <w:t>(a)</w:t>
      </w:r>
      <w:r w:rsidRPr="00B32A45">
        <w:tab/>
        <w:t>if subsection (2) applies—the average hours of operation during the year of the component of each component type (</w:t>
      </w:r>
      <w:r w:rsidRPr="00B32A45">
        <w:rPr>
          <w:b/>
          <w:i/>
        </w:rPr>
        <w:t>k</w:t>
      </w:r>
      <w:r w:rsidRPr="00B32A45">
        <w:t xml:space="preserve">), if the component is used in the onshore natural gas production; </w:t>
      </w:r>
    </w:p>
    <w:p w:rsidR="00C17B3A" w:rsidRPr="00B32A45" w:rsidRDefault="00C17B3A" w:rsidP="00C17B3A">
      <w:pPr>
        <w:pStyle w:val="tPara"/>
      </w:pPr>
      <w:r w:rsidRPr="00B32A45">
        <w:tab/>
        <w:t>(b)</w:t>
      </w:r>
      <w:r w:rsidRPr="00B32A45">
        <w:tab/>
        <w:t>if subsection (3)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C17B3A" w:rsidRPr="00B32A45" w:rsidRDefault="00C17B3A" w:rsidP="00C17B3A">
      <w:pPr>
        <w:pStyle w:val="tMain"/>
      </w:pPr>
      <w:r w:rsidRPr="00B32A45">
        <w:tab/>
        <w:t>(2)</w:t>
      </w:r>
      <w:r w:rsidRPr="00B32A45">
        <w:tab/>
        <w:t xml:space="preserve">Unless subsection (3) is elected and used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524E7C">
      <w:pPr>
        <w:pStyle w:val="tPara"/>
      </w:pPr>
      <w:r w:rsidRPr="00B32A45">
        <w:tab/>
        <w:t>(a)</w:t>
      </w:r>
      <w:r w:rsidRPr="00B32A45">
        <w:tab/>
        <w:t>column 3 of an item in the following table specifies the emission factor for methane (</w:t>
      </w:r>
      <w:r w:rsidRPr="00B32A45">
        <w:rPr>
          <w:b/>
          <w:i/>
        </w:rPr>
        <w:t>j</w:t>
      </w:r>
      <w:r w:rsidRPr="00B32A45">
        <w:t>) for a component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 component type (</w:t>
      </w:r>
      <w:r w:rsidRPr="00B32A45">
        <w:rPr>
          <w:b/>
          <w:i/>
        </w:rPr>
        <w:t>k</w:t>
      </w:r>
      <w:r w:rsidRPr="00B32A45">
        <w:t>) spec</w:t>
      </w:r>
      <w:r w:rsidR="00524E7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7.36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1.83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Connectors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8.99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2.23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3.30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8.22 × 10</w:t>
            </w:r>
            <w:r w:rsidRPr="00B32A45">
              <w:rPr>
                <w:vertAlign w:val="superscript"/>
              </w:rPr>
              <w:t>-9</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Open-ended lines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1.92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4.78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 Seals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5.46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1.36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Others – gas production</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2.57 × 10</w:t>
            </w:r>
            <w:r w:rsidRPr="00B32A45">
              <w:rPr>
                <w:vertAlign w:val="superscript"/>
              </w:rPr>
              <w:t>-4</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6.40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047DB3" w:rsidRDefault="00C17B3A" w:rsidP="00047DB3">
      <w:pPr>
        <w:pStyle w:val="tPara"/>
        <w:rPr>
          <w:sz w:val="16"/>
        </w:rPr>
      </w:pPr>
      <w:r w:rsidRPr="00B32A45">
        <w:rPr>
          <w:sz w:val="16"/>
        </w:rPr>
        <w:tab/>
        <w:t xml:space="preserve">Note: </w:t>
      </w:r>
      <w:r w:rsidRPr="00B32A45">
        <w:rPr>
          <w:sz w:val="16"/>
        </w:rPr>
        <w:tab/>
      </w:r>
      <w:r w:rsidRPr="00B32A45">
        <w:rPr>
          <w:sz w:val="16"/>
        </w:rPr>
        <w:tab/>
        <w:t>These component types are listed in secti</w:t>
      </w:r>
      <w:r w:rsidR="00047DB3">
        <w:rPr>
          <w:sz w:val="16"/>
        </w:rPr>
        <w:t>on 6.1.3 of the API Compendium.</w:t>
      </w:r>
    </w:p>
    <w:p w:rsidR="00C17B3A" w:rsidRPr="00B32A45" w:rsidRDefault="00C17B3A" w:rsidP="00C17B3A">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rPr>
          <w:szCs w:val="22"/>
        </w:rPr>
        <w:t>      </w:t>
      </w:r>
    </w:p>
    <w:p w:rsidR="00C17B3A" w:rsidRPr="00B32A45" w:rsidRDefault="00C17B3A" w:rsidP="00C17B3A">
      <w:pPr>
        <w:pStyle w:val="tMain"/>
      </w:pPr>
      <w:r w:rsidRPr="00B32A45">
        <w:tab/>
        <w:t>(3)</w:t>
      </w:r>
      <w:r w:rsidRPr="00B32A45">
        <w:tab/>
        <w:t xml:space="preserve">If an LDAR program has been carried out at the facility in relation to onshore natural gas production components in accordance with subsection (4) and this subsection elected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specifies the emission factor for methane (</w:t>
      </w:r>
      <w:r w:rsidRPr="00B32A45">
        <w:rPr>
          <w:b/>
          <w:i/>
        </w:rPr>
        <w:t>j</w:t>
      </w:r>
      <w:r w:rsidRPr="00B32A45">
        <w:t>) for a component and leaker/non-leaker type (</w:t>
      </w:r>
      <w:r w:rsidRPr="00B32A45">
        <w:rPr>
          <w:b/>
          <w:i/>
        </w:rPr>
        <w:t>k</w:t>
      </w:r>
      <w:r w:rsidRPr="00B32A45">
        <w:t xml:space="preserve">) specified in column 2 of that item; and </w:t>
      </w:r>
    </w:p>
    <w:p w:rsidR="00C17B3A" w:rsidRPr="00B32A45" w:rsidRDefault="00C17B3A" w:rsidP="00C17B3A">
      <w:pPr>
        <w:pStyle w:val="tPara"/>
      </w:pPr>
      <w:r w:rsidRPr="00B32A45">
        <w:lastRenderedPageBreak/>
        <w:tab/>
        <w:t>(b)</w:t>
      </w:r>
      <w:r w:rsidRPr="00B32A45">
        <w:tab/>
        <w:t>column 4 of an item in the following table specifies the emission factor for carbon dioxide (</w:t>
      </w:r>
      <w:r w:rsidRPr="00B32A45">
        <w:rPr>
          <w:b/>
          <w:i/>
        </w:rPr>
        <w:t>j</w:t>
      </w:r>
      <w:r w:rsidRPr="00B32A45">
        <w:t>) for a component and leaker/non-leaker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7.56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Values—leaker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1.39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Pumps—non leaker</w:t>
            </w:r>
          </w:p>
        </w:tc>
        <w:tc>
          <w:tcPr>
            <w:tcW w:w="683" w:type="pct"/>
            <w:tcBorders>
              <w:top w:val="single" w:sz="4" w:space="0" w:color="auto"/>
              <w:bottom w:val="single" w:sz="4" w:space="0" w:color="auto"/>
            </w:tcBorders>
            <w:vAlign w:val="center"/>
          </w:tcPr>
          <w:p w:rsidR="00C17B3A" w:rsidRPr="00CB6014" w:rsidRDefault="00724E53" w:rsidP="00DB6238">
            <w:pPr>
              <w:pStyle w:val="Tabletext"/>
              <w:jc w:val="center"/>
            </w:pPr>
            <w:r w:rsidRPr="00CB6014">
              <w:t>4.2</w:t>
            </w:r>
            <w:r w:rsidR="00C17B3A" w:rsidRPr="00CB6014">
              <w:t>0 × 10</w:t>
            </w:r>
            <w:r w:rsidRPr="00CB6014">
              <w:rPr>
                <w:vertAlign w:val="superscript"/>
              </w:rPr>
              <w:t>-6</w:t>
            </w:r>
          </w:p>
        </w:tc>
        <w:tc>
          <w:tcPr>
            <w:tcW w:w="1194" w:type="pct"/>
            <w:tcBorders>
              <w:top w:val="single" w:sz="4" w:space="0" w:color="auto"/>
              <w:bottom w:val="single" w:sz="4" w:space="0" w:color="auto"/>
            </w:tcBorders>
            <w:vAlign w:val="center"/>
          </w:tcPr>
          <w:p w:rsidR="00C17B3A" w:rsidRPr="00CB6014" w:rsidRDefault="00724E53" w:rsidP="00DB6238">
            <w:pPr>
              <w:pStyle w:val="Tabletext"/>
              <w:jc w:val="center"/>
            </w:pPr>
            <w:r w:rsidRPr="00CB6014">
              <w:t>1.04</w:t>
            </w:r>
            <w:r w:rsidR="00C17B3A" w:rsidRPr="00CB6014">
              <w:t xml:space="preserve"> × 10</w:t>
            </w:r>
            <w:r w:rsidR="00C17B3A" w:rsidRPr="00CB6014">
              <w:rPr>
                <w:vertAlign w:val="superscript"/>
              </w:rPr>
              <w:t>-8</w:t>
            </w:r>
          </w:p>
        </w:tc>
        <w:tc>
          <w:tcPr>
            <w:tcW w:w="1147" w:type="pct"/>
            <w:tcBorders>
              <w:top w:val="single" w:sz="4" w:space="0" w:color="auto"/>
              <w:bottom w:val="single" w:sz="4" w:space="0" w:color="auto"/>
            </w:tcBorders>
            <w:shd w:val="clear" w:color="auto" w:fill="auto"/>
            <w:vAlign w:val="center"/>
          </w:tcPr>
          <w:p w:rsidR="00C17B3A" w:rsidRPr="00CB6014" w:rsidRDefault="00C17B3A" w:rsidP="00DB6238">
            <w:pPr>
              <w:pStyle w:val="Tabletext"/>
              <w:jc w:val="center"/>
            </w:pPr>
            <w:r w:rsidRPr="00CB6014">
              <w:t>tonnes CO</w:t>
            </w:r>
            <w:r w:rsidRPr="00CB6014">
              <w:rPr>
                <w:vertAlign w:val="subscript"/>
              </w:rPr>
              <w:t>2</w:t>
            </w:r>
            <w:r w:rsidRPr="00CB6014">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2.44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3.92 × 10</w:t>
            </w:r>
            <w:r w:rsidRPr="00B32A45">
              <w:rPr>
                <w:vertAlign w:val="superscript"/>
              </w:rPr>
              <w:t>-7</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9.75 × 10</w:t>
            </w:r>
            <w:r w:rsidRPr="00B32A45">
              <w:rPr>
                <w:vertAlign w:val="superscript"/>
              </w:rPr>
              <w:t>-10</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3.36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8.36 × 10</w:t>
            </w:r>
            <w:r w:rsidRPr="00B32A45">
              <w:rPr>
                <w:vertAlign w:val="superscript"/>
              </w:rPr>
              <w:t>-6</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5.64 × 10</w:t>
            </w:r>
            <w:r w:rsidRPr="00B32A45">
              <w:rPr>
                <w:vertAlign w:val="superscript"/>
              </w:rPr>
              <w:t>-9</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5.88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1.46 × 10</w:t>
            </w:r>
            <w:r w:rsidRPr="00B32A45">
              <w:rPr>
                <w:vertAlign w:val="superscript"/>
              </w:rPr>
              <w:t>-5</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(4)  For </w:t>
      </w:r>
      <w:r w:rsidRPr="00B32A45">
        <w:rPr>
          <w:bCs/>
          <w:iCs/>
          <w:szCs w:val="22"/>
        </w:rPr>
        <w:t>subsection</w:t>
      </w:r>
      <w:r w:rsidRPr="00B32A45">
        <w:rPr>
          <w:szCs w:val="22"/>
        </w:rPr>
        <w:t xml:space="preserve"> (3)</w:t>
      </w:r>
      <w:r w:rsidR="00F44AA9">
        <w:rPr>
          <w:szCs w:val="22"/>
        </w:rPr>
        <w:t>,</w:t>
      </w:r>
      <w:r w:rsidRPr="00B32A45">
        <w:rPr>
          <w:szCs w:val="22"/>
        </w:rPr>
        <w:t xml:space="preserve"> the LDAR program must survey each component used in onshore gas production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17B3A" w:rsidRDefault="00C17B3A" w:rsidP="00C17B3A">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measured consistent with that met</w:t>
      </w:r>
      <w:r w:rsidR="00C733F2">
        <w:rPr>
          <w:szCs w:val="22"/>
        </w:rPr>
        <w:t>hod; or</w:t>
      </w:r>
    </w:p>
    <w:p w:rsidR="00C733F2" w:rsidRPr="00B32A45" w:rsidRDefault="00C733F2" w:rsidP="00C17B3A">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(5)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tMain"/>
        <w:rPr>
          <w:szCs w:val="22"/>
        </w:rPr>
      </w:pPr>
    </w:p>
    <w:p w:rsidR="00C17B3A" w:rsidRPr="00B32A45" w:rsidRDefault="00C17B3A" w:rsidP="00C17B3A">
      <w:pPr>
        <w:pStyle w:val="tPara"/>
        <w:shd w:val="clear" w:color="auto" w:fill="FFFFFF"/>
        <w:ind w:left="0" w:firstLine="0"/>
        <w:rPr>
          <w:szCs w:val="22"/>
        </w:rPr>
      </w:pPr>
    </w:p>
    <w:p w:rsidR="00C17B3A" w:rsidRPr="00B32A45" w:rsidRDefault="00C17B3A" w:rsidP="00C17B3A">
      <w:pPr>
        <w:pStyle w:val="h3Div"/>
        <w:pageBreakBefore/>
      </w:pPr>
      <w:bookmarkStart w:id="74" w:name="_Toc69480122"/>
      <w:r w:rsidRPr="00B32A45">
        <w:lastRenderedPageBreak/>
        <w:t>Division 3.3.6B—Offshore natural gas production (other than emissions that are vented or flared)</w:t>
      </w:r>
      <w:bookmarkEnd w:id="74"/>
    </w:p>
    <w:p w:rsidR="00C17B3A" w:rsidRPr="00B32A45" w:rsidRDefault="00C17B3A" w:rsidP="00C17B3A">
      <w:pPr>
        <w:pStyle w:val="h5Section"/>
        <w:tabs>
          <w:tab w:val="center" w:pos="4156"/>
        </w:tabs>
      </w:pPr>
      <w:r w:rsidRPr="00B32A45">
        <w:rPr>
          <w:rStyle w:val="CharSectno"/>
        </w:rPr>
        <w:t>3.73D</w:t>
      </w:r>
      <w:r w:rsidRPr="00B32A45">
        <w:t xml:space="preserve">  Application</w:t>
      </w:r>
      <w:r w:rsidRPr="00B32A45">
        <w:tab/>
      </w:r>
    </w:p>
    <w:p w:rsidR="00C17B3A" w:rsidRPr="00B32A45" w:rsidRDefault="00C17B3A" w:rsidP="00C17B3A">
      <w:pPr>
        <w:pStyle w:val="tMain"/>
      </w:pPr>
      <w:r w:rsidRPr="00B32A45">
        <w:tab/>
      </w:r>
      <w:r w:rsidRPr="00B32A45">
        <w:tab/>
        <w:t>This Division applies to fugitive emissions from offshore natural gas production activities, other than emissions that are vented or flared, including emissions from:</w:t>
      </w:r>
    </w:p>
    <w:p w:rsidR="00C17B3A" w:rsidRPr="00B32A45" w:rsidRDefault="00C17B3A" w:rsidP="00C17B3A">
      <w:pPr>
        <w:pStyle w:val="tPara"/>
      </w:pPr>
      <w:r w:rsidRPr="00B32A45">
        <w:tab/>
        <w:t>(a)</w:t>
      </w:r>
      <w:r w:rsidRPr="00B32A45">
        <w:tab/>
        <w:t>a gas wellhead through to the inlet of gas processing plants; and</w:t>
      </w:r>
    </w:p>
    <w:p w:rsidR="00C17B3A" w:rsidRPr="00B32A45" w:rsidRDefault="00C17B3A" w:rsidP="009D075C">
      <w:pPr>
        <w:pStyle w:val="tPara"/>
      </w:pPr>
      <w:r w:rsidRPr="00B32A45">
        <w:tab/>
        <w:t>(b)</w:t>
      </w:r>
      <w:r w:rsidRPr="00B32A45">
        <w:tab/>
        <w:t>a gas wellhead through to the tie</w:t>
      </w:r>
      <w:r w:rsidRPr="00B32A45">
        <w:noBreakHyphen/>
        <w:t>in points on gas transmission systems, if processing o</w:t>
      </w:r>
      <w:r w:rsidR="009D075C">
        <w:t>f natural gas is not required.</w:t>
      </w:r>
    </w:p>
    <w:p w:rsidR="00C17B3A" w:rsidRPr="00B32A45" w:rsidRDefault="009D075C" w:rsidP="00C17B3A">
      <w:pPr>
        <w:pStyle w:val="h5Section"/>
        <w:rPr>
          <w:rStyle w:val="CharSectno"/>
        </w:rPr>
      </w:pPr>
      <w:r>
        <w:rPr>
          <w:rStyle w:val="CharSectno"/>
        </w:rPr>
        <w:t>Subdivision 3.3.6B.1—O</w:t>
      </w:r>
      <w:r w:rsidR="00C17B3A" w:rsidRPr="00B32A45">
        <w:rPr>
          <w:rStyle w:val="CharSectno"/>
        </w:rPr>
        <w:t>ffshore natural gas production, other than emissions that are vented or flared—offshore platforms</w:t>
      </w:r>
    </w:p>
    <w:p w:rsidR="00C17B3A" w:rsidRPr="00B32A45" w:rsidRDefault="00C17B3A" w:rsidP="00C17B3A">
      <w:pPr>
        <w:pStyle w:val="h5Section"/>
      </w:pPr>
      <w:r w:rsidRPr="00B32A45">
        <w:rPr>
          <w:rStyle w:val="CharSectno"/>
        </w:rPr>
        <w:t>3.73E</w:t>
      </w:r>
      <w:r w:rsidRPr="00B32A45">
        <w:t xml:space="preserve">  Available methods</w:t>
      </w:r>
    </w:p>
    <w:p w:rsidR="00C17B3A" w:rsidRPr="00B32A45" w:rsidRDefault="00C17B3A" w:rsidP="00C17B3A">
      <w:pPr>
        <w:pStyle w:val="tMain"/>
      </w:pPr>
      <w:r w:rsidRPr="00B32A45">
        <w:tab/>
        <w:t>(1)</w:t>
      </w:r>
      <w:r w:rsidRPr="00B32A45">
        <w:tab/>
        <w:t>Subject to section 1.18 and subsections (3) and (4), one of the following methods must</w:t>
      </w:r>
      <w:r w:rsidRPr="00B32A45">
        <w:rPr>
          <w:i/>
        </w:rPr>
        <w:t xml:space="preserve"> </w:t>
      </w:r>
      <w:r w:rsidRPr="00B32A45">
        <w:t>be used for estimating fugitive emissions of methane and carbon dioxide (other than emissions that are vented or flared) released during a year from the operation of a facility that is constituted by offshore natural gas production:</w:t>
      </w:r>
    </w:p>
    <w:p w:rsidR="00C17B3A" w:rsidRPr="00B32A45" w:rsidRDefault="00C17B3A" w:rsidP="00C17B3A">
      <w:pPr>
        <w:pStyle w:val="tPara"/>
      </w:pPr>
      <w:r w:rsidRPr="00B32A45">
        <w:tab/>
        <w:t>(a)</w:t>
      </w:r>
      <w:r w:rsidRPr="00B32A45">
        <w:tab/>
        <w:t>method 1 under section 3.73F;</w:t>
      </w:r>
    </w:p>
    <w:p w:rsidR="00C17B3A" w:rsidRPr="00B32A45" w:rsidRDefault="00C17B3A" w:rsidP="00C17B3A">
      <w:pPr>
        <w:pStyle w:val="tPara"/>
      </w:pPr>
      <w:r w:rsidRPr="00B32A45">
        <w:tab/>
        <w:t>(b)</w:t>
      </w:r>
      <w:r w:rsidRPr="00B32A45">
        <w:tab/>
        <w:t>method 2 under section 3.73G;</w:t>
      </w:r>
    </w:p>
    <w:p w:rsidR="00C17B3A" w:rsidRPr="00B32A45" w:rsidRDefault="00C17B3A" w:rsidP="00C17B3A">
      <w:pPr>
        <w:pStyle w:val="tPara"/>
      </w:pPr>
      <w:r w:rsidRPr="00B32A45">
        <w:t xml:space="preserve">                       (c)  method 3 under section 3.73H.</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3.3.6A, 3.3.6C, 3.3.6E, 3.3.7A and 3.3.7B if those Divisions are applicable to the facility.</w:t>
      </w:r>
    </w:p>
    <w:p w:rsidR="00C17B3A" w:rsidRPr="00B32A45" w:rsidRDefault="00C17B3A" w:rsidP="00C733F2">
      <w:pPr>
        <w:pStyle w:val="tMain"/>
      </w:pPr>
      <w:r w:rsidRPr="00B32A45">
        <w:tab/>
        <w:t>(4)</w:t>
      </w:r>
      <w:r w:rsidRPr="00B32A45">
        <w:tab/>
        <w:t>If me</w:t>
      </w:r>
      <w:r w:rsidR="00C733F2">
        <w:t xml:space="preserve">thod 3 is used for a facility </w:t>
      </w:r>
      <w:r w:rsidRPr="00B32A45">
        <w:t>all other available methods 3 must be used in Divisions 3.3.6A, 3.3.6C, 3.3.6E, 3.3.7A and 3.3.7B if those Divisions</w:t>
      </w:r>
      <w:r w:rsidR="00C733F2">
        <w:t xml:space="preserve"> are applicable to the facility.</w:t>
      </w:r>
    </w:p>
    <w:p w:rsidR="00C17B3A" w:rsidRPr="00B32A45" w:rsidRDefault="00C17B3A" w:rsidP="00C17B3A">
      <w:pPr>
        <w:pStyle w:val="h5Section"/>
      </w:pPr>
      <w:r w:rsidRPr="00B32A45">
        <w:rPr>
          <w:rStyle w:val="CharSectno"/>
        </w:rPr>
        <w:t>3.73F</w:t>
      </w:r>
      <w:r w:rsidRPr="00B32A45">
        <w:t xml:space="preserve">  Method 1—offshore natural gas production (other than emissions that are vented or flared)</w:t>
      </w:r>
    </w:p>
    <w:p w:rsidR="00C17B3A" w:rsidRPr="00B32A45" w:rsidRDefault="00C17B3A" w:rsidP="00C17B3A">
      <w:pPr>
        <w:pStyle w:val="tMain"/>
      </w:pPr>
      <w:r w:rsidRPr="00B32A45">
        <w:tab/>
        <w:t>(1)</w:t>
      </w:r>
      <w:r w:rsidRPr="00B32A45">
        <w:tab/>
        <w:t>Method 1 is:</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(Q</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ij/</w:t>
      </w:r>
      <w:r w:rsidRPr="00217B5D">
        <w:rPr>
          <w:sz w:val="28"/>
          <w:szCs w:val="28"/>
        </w:rPr>
        <w:t>SD</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offshore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the offshore natural gas production.</w:t>
      </w:r>
    </w:p>
    <w:p w:rsidR="00C17B3A" w:rsidRPr="00B32A45" w:rsidRDefault="00C17B3A" w:rsidP="00C17B3A">
      <w:pPr>
        <w:pStyle w:val="tDefn"/>
      </w:pPr>
      <w:r w:rsidRPr="00B32A45">
        <w:rPr>
          <w:b/>
          <w:i/>
        </w:rPr>
        <w:t>Q</w:t>
      </w:r>
      <w:r w:rsidRPr="00B32A45">
        <w:rPr>
          <w:b/>
          <w:i/>
          <w:vertAlign w:val="subscript"/>
        </w:rPr>
        <w:t xml:space="preserve">ik </w:t>
      </w:r>
      <w:r w:rsidRPr="00B32A45">
        <w:t>is the number of platforms of each equipment type (</w:t>
      </w:r>
      <w:r w:rsidRPr="00B32A45">
        <w:rPr>
          <w:b/>
          <w:i/>
        </w:rPr>
        <w:t>k</w:t>
      </w:r>
      <w:r w:rsidRPr="00B32A45">
        <w:t>) specified in column 2 of the table in subsection (2), during the year.</w:t>
      </w:r>
    </w:p>
    <w:p w:rsidR="00360904" w:rsidRPr="00B32A45" w:rsidRDefault="00C17B3A" w:rsidP="00360904">
      <w:pPr>
        <w:pStyle w:val="tDefn"/>
      </w:pPr>
      <w:r w:rsidRPr="00B32A45">
        <w:rPr>
          <w:b/>
          <w:i/>
        </w:rPr>
        <w:lastRenderedPageBreak/>
        <w:t>EF</w:t>
      </w:r>
      <w:r w:rsidRPr="00B32A45">
        <w:rPr>
          <w:b/>
          <w:i/>
          <w:vertAlign w:val="subscript"/>
        </w:rPr>
        <w:t>ijk</w:t>
      </w:r>
      <w:r w:rsidRPr="00B32A45">
        <w:rPr>
          <w:b/>
          <w:i/>
        </w:rPr>
        <w:t xml:space="preserve"> </w:t>
      </w:r>
      <w:r w:rsidRPr="00B32A45">
        <w:t>is the emission factor for gas type (</w:t>
      </w:r>
      <w:r w:rsidRPr="00B32A45">
        <w:rPr>
          <w:b/>
          <w:i/>
        </w:rPr>
        <w:t>j</w:t>
      </w:r>
      <w:r w:rsidRPr="00B32A45">
        <w:t>) measured in CO</w:t>
      </w:r>
      <w:r w:rsidRPr="00B32A45">
        <w:rPr>
          <w:rStyle w:val="charSubscript"/>
          <w:iCs/>
        </w:rPr>
        <w:t>2</w:t>
      </w:r>
      <w:r w:rsidRPr="00B32A45">
        <w:noBreakHyphen/>
        <w:t>e tonnes per platform during the year as determined under subsection (2), if the equipment is used in the offshore natural gas production.</w:t>
      </w:r>
      <w:r w:rsidR="00360904" w:rsidRPr="00360904">
        <w:t xml:space="preserve"> </w:t>
      </w:r>
    </w:p>
    <w:p w:rsidR="00C17B3A" w:rsidRPr="00B32A45" w:rsidRDefault="00360904" w:rsidP="00360904">
      <w:pPr>
        <w:pStyle w:val="nMain"/>
      </w:pPr>
      <w:r w:rsidRPr="00B32A45">
        <w:t>Note:</w:t>
      </w:r>
      <w:r w:rsidRPr="00B32A45">
        <w:tab/>
      </w:r>
      <w:r w:rsidR="009305BF">
        <w:t>Consistent with subsection 3</w:t>
      </w:r>
      <w:r>
        <w:t xml:space="preserve">.41(2), </w:t>
      </w:r>
      <w:r w:rsidR="004F437B">
        <w:t xml:space="preserve">emissions associated with </w:t>
      </w:r>
      <w:r w:rsidR="004F437B" w:rsidRPr="004F437B">
        <w:t>any piece of equipment</w:t>
      </w:r>
      <w:r w:rsidR="004F437B">
        <w:t xml:space="preserve"> included in this definition</w:t>
      </w:r>
      <w:r w:rsidR="004F437B" w:rsidRPr="004F437B">
        <w:t xml:space="preserve"> should not be counted under this section if those emissions are also counted</w:t>
      </w:r>
      <w:r w:rsidR="004F437B">
        <w:t xml:space="preserve"> as equipment emissions</w:t>
      </w:r>
      <w:r w:rsidR="004F437B" w:rsidRPr="004F437B">
        <w:t xml:space="preserve"> under another section within this Part</w:t>
      </w:r>
      <w:r>
        <w:t xml:space="preserve">. </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where methane SD is 0.832 and carbon dioxide SD is 0.035.</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(j) for an equipment type (</w:t>
      </w:r>
      <w:r w:rsidRPr="00B32A45">
        <w:rPr>
          <w:b/>
          <w:i/>
        </w:rPr>
        <w:t>k</w:t>
      </w:r>
      <w:r w:rsidRPr="00B32A45">
        <w:t>) spec</w:t>
      </w:r>
      <w:r w:rsidR="00524E7C">
        <w:t>ified in column 2 of that item:</w:t>
      </w: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0"/>
        <w:gridCol w:w="3359"/>
        <w:gridCol w:w="1080"/>
        <w:gridCol w:w="1655"/>
        <w:gridCol w:w="2262"/>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86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2768" w:type="pct"/>
            <w:gridSpan w:val="3"/>
            <w:tcBorders>
              <w:top w:val="single" w:sz="12" w:space="0" w:color="auto"/>
              <w:bottom w:val="single" w:sz="12" w:space="0" w:color="auto"/>
            </w:tcBorders>
          </w:tcPr>
          <w:p w:rsidR="00C17B3A" w:rsidRPr="00B32A45" w:rsidRDefault="00C17B3A" w:rsidP="00DB6238">
            <w:pPr>
              <w:pStyle w:val="TableHeading"/>
              <w:jc w:val="center"/>
            </w:pPr>
            <w:r w:rsidRPr="00B32A45">
              <w:t xml:space="preserve">emission factor for gas type  (j) </w:t>
            </w:r>
            <w:r w:rsidRPr="00B32A45">
              <w:br/>
            </w:r>
          </w:p>
        </w:tc>
      </w:tr>
      <w:tr w:rsidR="00C17B3A" w:rsidRPr="00B32A45" w:rsidTr="00DB6238">
        <w:trPr>
          <w:trHeight w:val="315"/>
        </w:trPr>
        <w:tc>
          <w:tcPr>
            <w:tcW w:w="371" w:type="pct"/>
            <w:shd w:val="clear" w:color="auto" w:fill="auto"/>
          </w:tcPr>
          <w:p w:rsidR="00C17B3A" w:rsidRPr="00B32A45" w:rsidRDefault="00C17B3A" w:rsidP="00DB6238">
            <w:pPr>
              <w:pStyle w:val="Tabletext"/>
            </w:pPr>
          </w:p>
        </w:tc>
        <w:tc>
          <w:tcPr>
            <w:tcW w:w="1861" w:type="pct"/>
            <w:shd w:val="clear" w:color="auto" w:fill="auto"/>
          </w:tcPr>
          <w:p w:rsidR="00C17B3A" w:rsidRPr="00B32A45" w:rsidDel="0000371C" w:rsidRDefault="00C17B3A" w:rsidP="00DB6238">
            <w:pPr>
              <w:pStyle w:val="Tabletext"/>
            </w:pPr>
          </w:p>
        </w:tc>
        <w:tc>
          <w:tcPr>
            <w:tcW w:w="598" w:type="pct"/>
          </w:tcPr>
          <w:p w:rsidR="00C17B3A" w:rsidRPr="00B32A45" w:rsidRDefault="00C17B3A" w:rsidP="00DB6238">
            <w:pPr>
              <w:pStyle w:val="Tabletext"/>
            </w:pPr>
            <w:r w:rsidRPr="00B32A45">
              <w:t>CH</w:t>
            </w:r>
            <w:r w:rsidRPr="00B32A45">
              <w:rPr>
                <w:vertAlign w:val="subscript"/>
              </w:rPr>
              <w:t>4</w:t>
            </w:r>
          </w:p>
        </w:tc>
        <w:tc>
          <w:tcPr>
            <w:tcW w:w="917" w:type="pct"/>
          </w:tcPr>
          <w:p w:rsidR="00C17B3A" w:rsidRPr="00B32A45" w:rsidRDefault="00C17B3A" w:rsidP="00DB6238">
            <w:pPr>
              <w:pStyle w:val="Tabletext"/>
              <w:jc w:val="center"/>
            </w:pPr>
            <w:r w:rsidRPr="00B32A45">
              <w:t>CO</w:t>
            </w:r>
            <w:r w:rsidRPr="00B32A45">
              <w:rPr>
                <w:vertAlign w:val="subscript"/>
              </w:rPr>
              <w:t>2</w:t>
            </w:r>
          </w:p>
        </w:tc>
        <w:tc>
          <w:tcPr>
            <w:tcW w:w="1253"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nil"/>
              <w:bottom w:val="nil"/>
            </w:tcBorders>
            <w:shd w:val="clear" w:color="auto" w:fill="auto"/>
          </w:tcPr>
          <w:p w:rsidR="00C17B3A" w:rsidRPr="00B32A45" w:rsidRDefault="00C17B3A" w:rsidP="00DB6238">
            <w:pPr>
              <w:pStyle w:val="Tabletext"/>
            </w:pPr>
            <w:r w:rsidRPr="00B32A45">
              <w:t>1</w:t>
            </w:r>
          </w:p>
        </w:tc>
        <w:tc>
          <w:tcPr>
            <w:tcW w:w="1861" w:type="pct"/>
            <w:tcBorders>
              <w:top w:val="nil"/>
              <w:bottom w:val="nil"/>
            </w:tcBorders>
            <w:shd w:val="clear" w:color="auto" w:fill="auto"/>
          </w:tcPr>
          <w:p w:rsidR="00C17B3A" w:rsidRPr="00B32A45" w:rsidRDefault="00C17B3A" w:rsidP="00DB6238">
            <w:pPr>
              <w:pStyle w:val="Tabletext"/>
            </w:pPr>
            <w:r w:rsidRPr="00B32A45">
              <w:t>Offshore platforms (shallow water)</w:t>
            </w:r>
          </w:p>
        </w:tc>
        <w:tc>
          <w:tcPr>
            <w:tcW w:w="598" w:type="pct"/>
            <w:tcBorders>
              <w:top w:val="nil"/>
              <w:bottom w:val="nil"/>
            </w:tcBorders>
          </w:tcPr>
          <w:p w:rsidR="00C17B3A" w:rsidRPr="00B32A45" w:rsidRDefault="00C17B3A" w:rsidP="00DB6238">
            <w:pPr>
              <w:pStyle w:val="Tabletext"/>
              <w:jc w:val="center"/>
            </w:pPr>
            <w:r w:rsidRPr="00B32A45">
              <w:t xml:space="preserve">1,747.1 </w:t>
            </w:r>
          </w:p>
        </w:tc>
        <w:tc>
          <w:tcPr>
            <w:tcW w:w="917" w:type="pct"/>
            <w:tcBorders>
              <w:top w:val="nil"/>
              <w:bottom w:val="nil"/>
            </w:tcBorders>
          </w:tcPr>
          <w:p w:rsidR="00C17B3A" w:rsidRPr="00B32A45" w:rsidRDefault="00C17B3A" w:rsidP="00DB6238">
            <w:pPr>
              <w:pStyle w:val="Tabletext"/>
              <w:jc w:val="center"/>
            </w:pPr>
            <w:r w:rsidRPr="00B32A45">
              <w:t>7.10</w:t>
            </w:r>
          </w:p>
        </w:tc>
        <w:tc>
          <w:tcPr>
            <w:tcW w:w="1253" w:type="pct"/>
            <w:tcBorders>
              <w:top w:val="nil"/>
              <w:bottom w:val="nil"/>
            </w:tcBorders>
            <w:shd w:val="clear" w:color="auto" w:fill="auto"/>
            <w:vAlign w:val="center"/>
          </w:tcPr>
          <w:p w:rsidR="00C17B3A" w:rsidRPr="00B32A45" w:rsidRDefault="00C17B3A" w:rsidP="00DB6238">
            <w:pPr>
              <w:pStyle w:val="Tabletext"/>
            </w:pPr>
            <w:r w:rsidRPr="00B32A45">
              <w:t>tonnes CO</w:t>
            </w:r>
            <w:r w:rsidRPr="00B32A45">
              <w:rPr>
                <w:vertAlign w:val="subscript"/>
              </w:rPr>
              <w:t>2</w:t>
            </w:r>
            <w:r w:rsidRPr="00B32A45">
              <w:t>-e /platform</w:t>
            </w:r>
          </w:p>
        </w:tc>
      </w:tr>
      <w:tr w:rsidR="00C17B3A" w:rsidRPr="00B32A45" w:rsidTr="00DB6238">
        <w:tc>
          <w:tcPr>
            <w:tcW w:w="371" w:type="pct"/>
            <w:tcBorders>
              <w:top w:val="nil"/>
              <w:bottom w:val="single" w:sz="12" w:space="0" w:color="auto"/>
            </w:tcBorders>
            <w:shd w:val="clear" w:color="auto" w:fill="auto"/>
          </w:tcPr>
          <w:p w:rsidR="00C17B3A" w:rsidRPr="00B32A45" w:rsidRDefault="00C17B3A" w:rsidP="00DB6238">
            <w:pPr>
              <w:pStyle w:val="Tabletext"/>
            </w:pPr>
            <w:r w:rsidRPr="00B32A45">
              <w:t>2</w:t>
            </w:r>
          </w:p>
        </w:tc>
        <w:tc>
          <w:tcPr>
            <w:tcW w:w="1861" w:type="pct"/>
            <w:tcBorders>
              <w:top w:val="nil"/>
              <w:bottom w:val="single" w:sz="12" w:space="0" w:color="auto"/>
            </w:tcBorders>
            <w:shd w:val="clear" w:color="auto" w:fill="auto"/>
          </w:tcPr>
          <w:p w:rsidR="00C17B3A" w:rsidRPr="00B32A45" w:rsidRDefault="00C17B3A" w:rsidP="00DB6238">
            <w:pPr>
              <w:pStyle w:val="Tabletext"/>
            </w:pPr>
            <w:r w:rsidRPr="00B32A45">
              <w:t>Offshore platforms (deep water)</w:t>
            </w:r>
          </w:p>
        </w:tc>
        <w:tc>
          <w:tcPr>
            <w:tcW w:w="598" w:type="pct"/>
            <w:tcBorders>
              <w:top w:val="nil"/>
              <w:bottom w:val="single" w:sz="12" w:space="0" w:color="auto"/>
            </w:tcBorders>
          </w:tcPr>
          <w:p w:rsidR="00C17B3A" w:rsidRPr="00B32A45" w:rsidRDefault="00C17B3A" w:rsidP="00DB6238">
            <w:pPr>
              <w:pStyle w:val="Tabletext"/>
              <w:jc w:val="center"/>
            </w:pPr>
            <w:r w:rsidRPr="00B32A45">
              <w:t xml:space="preserve">18,422.6 </w:t>
            </w:r>
          </w:p>
        </w:tc>
        <w:tc>
          <w:tcPr>
            <w:tcW w:w="917" w:type="pct"/>
            <w:tcBorders>
              <w:top w:val="nil"/>
              <w:bottom w:val="single" w:sz="12" w:space="0" w:color="auto"/>
            </w:tcBorders>
          </w:tcPr>
          <w:p w:rsidR="00C17B3A" w:rsidRPr="00B32A45" w:rsidRDefault="00C17B3A" w:rsidP="00DB6238">
            <w:pPr>
              <w:pStyle w:val="Tabletext"/>
              <w:jc w:val="center"/>
              <w:rPr>
                <w:vertAlign w:val="superscript"/>
              </w:rPr>
            </w:pPr>
            <w:r w:rsidRPr="00B32A45">
              <w:t>75.0</w:t>
            </w:r>
          </w:p>
        </w:tc>
        <w:tc>
          <w:tcPr>
            <w:tcW w:w="1253" w:type="pct"/>
            <w:tcBorders>
              <w:top w:val="nil"/>
              <w:bottom w:val="single" w:sz="12"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platform</w:t>
            </w:r>
          </w:p>
        </w:tc>
      </w:tr>
    </w:tbl>
    <w:p w:rsidR="00C17B3A" w:rsidRPr="00B32A45" w:rsidRDefault="00C17B3A" w:rsidP="00C17B3A">
      <w:pPr>
        <w:pStyle w:val="h5Section"/>
      </w:pPr>
      <w:r w:rsidRPr="00B32A45">
        <w:rPr>
          <w:rStyle w:val="CharSectno"/>
        </w:rPr>
        <w:t>3.73G</w:t>
      </w:r>
      <w:r w:rsidRPr="00B32A45">
        <w:t xml:space="preserve">  Method 2—offshore natural gas production (other than venting and flaring)</w:t>
      </w:r>
    </w:p>
    <w:p w:rsidR="00C17B3A" w:rsidRPr="00B32A45" w:rsidRDefault="00C17B3A" w:rsidP="00C17B3A">
      <w:pPr>
        <w:pStyle w:val="tMain"/>
      </w:pPr>
      <w:r w:rsidRPr="00B32A45">
        <w:tab/>
        <w:t>(1)</w:t>
      </w:r>
      <w:r w:rsidRPr="00B32A45">
        <w:tab/>
        <w:t>Method 2 is:</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(T</w:t>
      </w:r>
      <w:r w:rsidRPr="00217B5D">
        <w:rPr>
          <w:sz w:val="28"/>
          <w:szCs w:val="28"/>
          <w:vertAlign w:val="subscript"/>
        </w:rPr>
        <w:t>ik</w:t>
      </w:r>
      <w:r w:rsidRPr="00217B5D">
        <w:rPr>
          <w:sz w:val="28"/>
          <w:szCs w:val="28"/>
        </w:rPr>
        <w:t xml:space="preserve"> × N</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ij/</w:t>
      </w:r>
      <w:r w:rsidRPr="00217B5D">
        <w:rPr>
          <w:sz w:val="28"/>
          <w:szCs w:val="28"/>
        </w:rPr>
        <w:t>SD</w:t>
      </w:r>
      <w:r w:rsidRPr="00217B5D">
        <w:rPr>
          <w:sz w:val="28"/>
          <w:szCs w:val="28"/>
          <w:vertAlign w:val="subscript"/>
        </w:rPr>
        <w:t xml:space="preserve">ij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offshore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if the equipment is used in the offshore natural gas production.</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the equipment of each equipment type (</w:t>
      </w:r>
      <w:r w:rsidRPr="00B32A45">
        <w:rPr>
          <w:b/>
          <w:i/>
        </w:rPr>
        <w:t>k</w:t>
      </w:r>
      <w:r w:rsidRPr="00B32A45">
        <w:t>), if the equipment is used in the offshore natural gas production during the year.</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equipment units of each equipment type (</w:t>
      </w:r>
      <w:r w:rsidRPr="00B32A45">
        <w:rPr>
          <w:b/>
          <w:i/>
        </w:rPr>
        <w:t>k</w:t>
      </w:r>
      <w:r w:rsidRPr="00B32A45">
        <w:t>)</w:t>
      </w:r>
      <w:r w:rsidR="009B2547">
        <w:t>,</w:t>
      </w:r>
      <w:r w:rsidRPr="00B32A45">
        <w:t xml:space="preserve"> if the equipment type is used in the offshore natural gas production during the year.</w:t>
      </w:r>
    </w:p>
    <w:p w:rsidR="00360904" w:rsidRPr="00B32A45" w:rsidRDefault="00C17B3A" w:rsidP="00360904">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equipment type (</w:t>
      </w:r>
      <w:r w:rsidRPr="00B32A45">
        <w:rPr>
          <w:b/>
          <w:i/>
        </w:rPr>
        <w:t>k</w:t>
      </w:r>
      <w:r w:rsidRPr="00B32A45">
        <w:t>) – hour as determined under subsection (2), if the equipment is used in the offshore natural gas production.</w:t>
      </w:r>
      <w:r w:rsidR="00360904">
        <w:t xml:space="preserve"> </w:t>
      </w:r>
    </w:p>
    <w:p w:rsidR="00C17B3A" w:rsidRPr="00B32A45" w:rsidRDefault="00360904" w:rsidP="00360904">
      <w:pPr>
        <w:pStyle w:val="nMain"/>
      </w:pPr>
      <w:r w:rsidRPr="00B32A45">
        <w:t>Note:</w:t>
      </w:r>
      <w:r w:rsidRPr="00B32A45">
        <w:tab/>
      </w:r>
      <w:r w:rsidR="009305BF">
        <w:t>Consistent with subsection 3</w:t>
      </w:r>
      <w:r>
        <w:t xml:space="preserve">.41(2), </w:t>
      </w:r>
      <w:r w:rsidR="004F437B">
        <w:t xml:space="preserve">emissions associated with </w:t>
      </w:r>
      <w:r w:rsidR="004F437B" w:rsidRPr="004F437B">
        <w:t>any piece of equipment</w:t>
      </w:r>
      <w:r w:rsidR="004F437B">
        <w:t xml:space="preserve"> included in this definition</w:t>
      </w:r>
      <w:r w:rsidR="004F437B" w:rsidRPr="004F437B">
        <w:t xml:space="preserve"> should not be counted under this section if those emissions are also counted</w:t>
      </w:r>
      <w:r w:rsidR="004F437B">
        <w:t xml:space="preserve"> as equipment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lastRenderedPageBreak/>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specified in column 2 of that item:</w:t>
      </w:r>
      <w:r w:rsidRPr="00B32A45" w:rsidDel="00495F5E">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090"/>
        <w:gridCol w:w="6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3"/>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pPr>
            <w:r w:rsidRPr="00B32A45">
              <w:t>CH</w:t>
            </w:r>
            <w:r w:rsidRPr="00B32A45">
              <w:rPr>
                <w:vertAlign w:val="subscript"/>
              </w:rPr>
              <w:t>4</w:t>
            </w:r>
          </w:p>
        </w:tc>
        <w:tc>
          <w:tcPr>
            <w:tcW w:w="1194" w:type="pct"/>
            <w:gridSpan w:val="2"/>
          </w:tcPr>
          <w:p w:rsidR="00C17B3A" w:rsidRPr="00B32A45" w:rsidRDefault="00C17B3A" w:rsidP="00DB6238">
            <w:pPr>
              <w:pStyle w:val="Tabletext"/>
              <w:jc w:val="center"/>
            </w:pPr>
            <w:r w:rsidRPr="00B32A45">
              <w:t>CO</w:t>
            </w:r>
            <w:r w:rsidRPr="00B32A45">
              <w:rPr>
                <w:vertAlign w:val="subscript"/>
              </w:rPr>
              <w:t>2</w:t>
            </w:r>
          </w:p>
        </w:tc>
        <w:tc>
          <w:tcPr>
            <w:tcW w:w="1147"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wellheads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5.04 × 10</w:t>
            </w:r>
            <w:r w:rsidRPr="00B32A45">
              <w:rPr>
                <w:vertAlign w:val="superscript"/>
              </w:rPr>
              <w:t>-4</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separators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1.24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3.08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heaters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1.29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3.20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Reciprocating compressor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4.60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t>1.14</w:t>
            </w:r>
            <w:r w:rsidRPr="00B32A45">
              <w:t xml:space="preserve">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Screw compressor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2.88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7.15 × 10</w:t>
            </w:r>
            <w:r w:rsidRPr="00B32A45">
              <w:rPr>
                <w:vertAlign w:val="superscript"/>
              </w:rPr>
              <w:t>-5</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90493F" w:rsidP="00DB6238">
            <w:pPr>
              <w:pStyle w:val="Tabletext"/>
              <w:jc w:val="center"/>
            </w:pPr>
            <w:r>
              <w:t>Metering installation and associated piping</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9.86 × 10</w:t>
            </w:r>
            <w:r w:rsidRPr="00B32A45">
              <w:rPr>
                <w:vertAlign w:val="superscript"/>
              </w:rPr>
              <w:t>-4</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Dehydrators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2.00 × 10</w:t>
            </w:r>
            <w:r w:rsidRPr="00B32A45">
              <w:rPr>
                <w:vertAlign w:val="superscript"/>
              </w:rPr>
              <w:t>-3</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4.96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Gathering pipelines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7.45 × 10</w:t>
            </w:r>
            <w:r w:rsidRPr="00B32A45">
              <w:rPr>
                <w:vertAlign w:val="superscript"/>
              </w:rPr>
              <w:t>-4</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 - hour</w:t>
            </w:r>
          </w:p>
        </w:tc>
      </w:tr>
    </w:tbl>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t>3.73H</w:t>
      </w:r>
      <w:r w:rsidRPr="00B32A45">
        <w:rPr>
          <w:b/>
          <w:bCs/>
        </w:rPr>
        <w:t>  Method 3—offshore natural gas production (other than emissions that are vented or flared)</w:t>
      </w:r>
    </w:p>
    <w:p w:rsidR="00C17B3A" w:rsidRPr="00B32A45" w:rsidRDefault="00217B5D" w:rsidP="00C17B3A">
      <w:pPr>
        <w:pStyle w:val="tMain"/>
        <w:shd w:val="clear" w:color="auto" w:fill="FFFFFF"/>
        <w:tabs>
          <w:tab w:val="left" w:pos="5100"/>
        </w:tabs>
        <w:rPr>
          <w:szCs w:val="22"/>
        </w:rPr>
      </w:pPr>
      <w:r>
        <w:rPr>
          <w:szCs w:val="22"/>
        </w:rPr>
        <w:tab/>
        <w:t>(1)</w:t>
      </w:r>
      <w:r>
        <w:rPr>
          <w:szCs w:val="22"/>
        </w:rPr>
        <w:tab/>
      </w:r>
      <w:r w:rsidR="00C17B3A" w:rsidRPr="00B32A45">
        <w:rPr>
          <w:szCs w:val="22"/>
        </w:rPr>
        <w:t>Method 3 is:</w:t>
      </w:r>
    </w:p>
    <w:p w:rsidR="00C17B3A" w:rsidRPr="00217B5D" w:rsidRDefault="00C17B3A" w:rsidP="00217B5D">
      <w:pPr>
        <w:pStyle w:val="subsection2"/>
        <w:shd w:val="clear" w:color="auto" w:fill="FFFFFF"/>
        <w:rPr>
          <w:sz w:val="28"/>
          <w:szCs w:val="28"/>
        </w:rPr>
      </w:pPr>
      <w:r w:rsidRPr="00217B5D">
        <w:rPr>
          <w:sz w:val="28"/>
          <w:szCs w:val="28"/>
        </w:rPr>
        <w:t>E</w:t>
      </w:r>
      <w:r w:rsidRPr="00217B5D">
        <w:rPr>
          <w:sz w:val="28"/>
          <w:szCs w:val="28"/>
          <w:vertAlign w:val="subscript"/>
        </w:rPr>
        <w:t xml:space="preserve">ij </w:t>
      </w:r>
      <w:r w:rsidRPr="00217B5D">
        <w:rPr>
          <w:sz w:val="28"/>
          <w:szCs w:val="28"/>
        </w:rPr>
        <w:t>= ∑</w:t>
      </w:r>
      <w:r w:rsidRPr="00217B5D">
        <w:rPr>
          <w:sz w:val="28"/>
          <w:szCs w:val="28"/>
          <w:vertAlign w:val="subscript"/>
        </w:rPr>
        <w:t xml:space="preserve">k </w:t>
      </w:r>
      <w:r w:rsidRPr="00217B5D">
        <w:rPr>
          <w:sz w:val="28"/>
          <w:szCs w:val="28"/>
        </w:rPr>
        <w:t>(T</w:t>
      </w:r>
      <w:r w:rsidRPr="00217B5D">
        <w:rPr>
          <w:sz w:val="28"/>
          <w:szCs w:val="28"/>
          <w:vertAlign w:val="subscript"/>
        </w:rPr>
        <w:t>ik</w:t>
      </w:r>
      <w:r w:rsidRPr="00217B5D">
        <w:rPr>
          <w:sz w:val="28"/>
          <w:szCs w:val="28"/>
        </w:rPr>
        <w:t xml:space="preserve"> × N</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ij /</w:t>
      </w:r>
      <w:r w:rsidRPr="00217B5D">
        <w:rPr>
          <w:sz w:val="28"/>
          <w:szCs w:val="28"/>
        </w:rPr>
        <w:t>SD</w:t>
      </w:r>
      <w:r w:rsidRPr="00217B5D">
        <w:rPr>
          <w:sz w:val="28"/>
          <w:szCs w:val="28"/>
          <w:vertAlign w:val="subscript"/>
        </w:rPr>
        <w:t xml:space="preserve">ij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offshore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if the component type is used in the offshore natural gas production.</w:t>
      </w:r>
    </w:p>
    <w:p w:rsidR="00360904" w:rsidRPr="00B32A45" w:rsidRDefault="00C17B3A" w:rsidP="00360904">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component-hour for each component type (</w:t>
      </w:r>
      <w:r w:rsidRPr="00B32A45">
        <w:rPr>
          <w:b/>
          <w:i/>
        </w:rPr>
        <w:t>k</w:t>
      </w:r>
      <w:r w:rsidRPr="00B32A45">
        <w:t>) as determined under subsection (2) or (3), if the component is used in the offshore natural gas production.</w:t>
      </w:r>
    </w:p>
    <w:p w:rsidR="00360904" w:rsidRPr="00B32A45" w:rsidRDefault="00360904" w:rsidP="00360904">
      <w:pPr>
        <w:pStyle w:val="nMain"/>
      </w:pPr>
      <w:r w:rsidRPr="00B32A45">
        <w:t>Note:</w:t>
      </w:r>
      <w:r w:rsidRPr="00B32A45">
        <w:tab/>
      </w:r>
      <w:r w:rsidR="009305BF">
        <w:t>Consistent with subsection 3</w:t>
      </w:r>
      <w:r>
        <w:t xml:space="preserve">.41(2), </w:t>
      </w:r>
      <w:r w:rsidR="004F437B">
        <w:t>emissions associated with any components included in this definition</w:t>
      </w:r>
      <w:r w:rsidR="004F437B" w:rsidRPr="004F437B">
        <w:t xml:space="preserve"> should not be counted under this section if those emissions are also counted</w:t>
      </w:r>
      <w:r w:rsidR="004F437B">
        <w:t xml:space="preserve"> as component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T</w:t>
      </w:r>
      <w:r w:rsidRPr="00B32A45">
        <w:rPr>
          <w:b/>
          <w:i/>
          <w:vertAlign w:val="subscript"/>
        </w:rPr>
        <w:t xml:space="preserve">ik </w:t>
      </w:r>
      <w:r w:rsidRPr="00B32A45">
        <w:t>is:</w:t>
      </w:r>
    </w:p>
    <w:p w:rsidR="00C17B3A" w:rsidRPr="00B32A45" w:rsidRDefault="00C17B3A" w:rsidP="00C17B3A">
      <w:pPr>
        <w:pStyle w:val="tPara"/>
      </w:pPr>
      <w:r w:rsidRPr="00B32A45">
        <w:tab/>
        <w:t>(a)</w:t>
      </w:r>
      <w:r w:rsidRPr="00B32A45">
        <w:tab/>
        <w:t>if subsection (2) applies—the average hours of operation during the year of the component of each component type (</w:t>
      </w:r>
      <w:r w:rsidRPr="00B32A45">
        <w:rPr>
          <w:b/>
          <w:i/>
        </w:rPr>
        <w:t>k</w:t>
      </w:r>
      <w:r w:rsidRPr="00B32A45">
        <w:t>), if the component is used in the offshore natural gas production; and</w:t>
      </w:r>
    </w:p>
    <w:p w:rsidR="00C17B3A" w:rsidRPr="00B32A45" w:rsidRDefault="00C17B3A" w:rsidP="00C17B3A">
      <w:pPr>
        <w:pStyle w:val="tPara"/>
      </w:pPr>
      <w:r w:rsidRPr="00B32A45">
        <w:lastRenderedPageBreak/>
        <w:tab/>
        <w:t>(b)</w:t>
      </w:r>
      <w:r w:rsidRPr="00B32A45">
        <w:tab/>
        <w:t>if subsection (3)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components of each component type (</w:t>
      </w:r>
      <w:r w:rsidRPr="00B32A45">
        <w:rPr>
          <w:b/>
          <w:i/>
        </w:rPr>
        <w:t>k</w:t>
      </w:r>
      <w:r w:rsidRPr="00B32A45">
        <w:t>) listed if the component type is used in the offshore natural gas production during the year.</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ij</w:t>
      </w:r>
      <w:r w:rsidRPr="00B32A45">
        <w:t xml:space="preserve"> is the measured share of gas type (</w:t>
      </w:r>
      <w:r w:rsidRPr="00B32A45">
        <w:rPr>
          <w:b/>
          <w:i/>
        </w:rPr>
        <w:t>j</w:t>
      </w:r>
      <w:r w:rsidRPr="00B32A45">
        <w:t>), being methane or carbon dioxide,</w:t>
      </w:r>
      <w:r w:rsidRPr="00B32A45" w:rsidDel="00D521A3">
        <w:t xml:space="preserve"> </w:t>
      </w:r>
      <w:r w:rsidRPr="00B32A45">
        <w:t>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C17B3A" w:rsidRPr="00B32A45" w:rsidRDefault="00C17B3A" w:rsidP="00C17B3A">
      <w:pPr>
        <w:pStyle w:val="tMain"/>
      </w:pPr>
      <w:r w:rsidRPr="00B32A45">
        <w:tab/>
        <w:t>(2)</w:t>
      </w:r>
      <w:r w:rsidRPr="00B32A45">
        <w:tab/>
        <w:t xml:space="preserve">Unless subsection (3) is elected and used for all components under this method,  </w:t>
      </w:r>
      <w:r w:rsidRPr="00B32A45">
        <w:rPr>
          <w:b/>
          <w:i/>
        </w:rPr>
        <w:t>EF</w:t>
      </w:r>
      <w:r w:rsidRPr="00B32A45">
        <w:rPr>
          <w:b/>
          <w:i/>
          <w:vertAlign w:val="subscript"/>
        </w:rPr>
        <w:t>ijk</w:t>
      </w:r>
      <w:r w:rsidRPr="00B32A45">
        <w:t>, the emission factors for methane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524E7C">
      <w:pPr>
        <w:pStyle w:val="tPara"/>
      </w:pPr>
      <w:r w:rsidRPr="00B32A45">
        <w:tab/>
        <w:t>(a)</w:t>
      </w:r>
      <w:r w:rsidRPr="00B32A45">
        <w:tab/>
        <w:t>column 3 of an item in the following table specifies the emission factor for methane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w:t>
      </w:r>
      <w:r w:rsidR="00524E7C">
        <w:t>ified in column 2 of that item:</w:t>
      </w:r>
      <w:r w:rsidRPr="00B32A45">
        <w:tab/>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1.44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3.58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 Seals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5.46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1.36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1.94 × 10</w:t>
            </w:r>
            <w:r w:rsidRPr="00B32A45">
              <w:rPr>
                <w:vertAlign w:val="superscript"/>
              </w:rPr>
              <w:t>-4</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4.83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Connectors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3.02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7.52 × 10</w:t>
            </w:r>
            <w:r w:rsidRPr="00B32A45">
              <w:rPr>
                <w:vertAlign w:val="superscript"/>
              </w:rPr>
              <w:t>-9</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5.52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1.37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Open-ended lines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2.83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7.03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524E7C" w:rsidRDefault="00C17B3A" w:rsidP="00524E7C">
      <w:pPr>
        <w:pStyle w:val="tPara"/>
        <w:rPr>
          <w:sz w:val="16"/>
        </w:rPr>
      </w:pPr>
      <w:r w:rsidRPr="00B32A45">
        <w:rPr>
          <w:sz w:val="16"/>
        </w:rPr>
        <w:tab/>
        <w:t xml:space="preserve">Note: </w:t>
      </w:r>
      <w:r w:rsidRPr="00B32A45">
        <w:rPr>
          <w:sz w:val="16"/>
        </w:rPr>
        <w:tab/>
      </w:r>
      <w:r w:rsidRPr="00B32A45">
        <w:rPr>
          <w:sz w:val="16"/>
        </w:rPr>
        <w:tab/>
        <w:t>These component types are listed in secti</w:t>
      </w:r>
      <w:r w:rsidR="00524E7C">
        <w:rPr>
          <w:sz w:val="16"/>
        </w:rPr>
        <w:t>on 6.1.3 of the API Compendium.</w:t>
      </w:r>
    </w:p>
    <w:p w:rsidR="00C17B3A" w:rsidRPr="00B32A45" w:rsidRDefault="00C17B3A" w:rsidP="00C17B3A">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p>
    <w:p w:rsidR="00C17B3A" w:rsidRPr="00B32A45" w:rsidRDefault="00C17B3A" w:rsidP="00C17B3A">
      <w:pPr>
        <w:pStyle w:val="tMain"/>
      </w:pPr>
      <w:r w:rsidRPr="00B32A45">
        <w:tab/>
        <w:t>(3)</w:t>
      </w:r>
      <w:r w:rsidRPr="00B32A45">
        <w:tab/>
        <w:t xml:space="preserve">If an LDAR program has been carried out at the facility in relation to offshore natural gas production components in accordance with subsection (4) and this subsection elected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specifies the emission factor for methane (</w:t>
      </w:r>
      <w:r w:rsidRPr="00B32A45">
        <w:rPr>
          <w:b/>
          <w:i/>
        </w:rPr>
        <w:t>j</w:t>
      </w:r>
      <w:r w:rsidRPr="00B32A45">
        <w:t>) for a component and leaker/non-leaker type (</w:t>
      </w:r>
      <w:r w:rsidRPr="00B32A45">
        <w:rPr>
          <w:b/>
          <w:i/>
        </w:rPr>
        <w:t>k</w:t>
      </w:r>
      <w:r w:rsidRPr="00B32A45">
        <w:t xml:space="preserve">) specified in column 2 of that item; and </w:t>
      </w:r>
    </w:p>
    <w:p w:rsidR="00C17B3A" w:rsidRPr="00B32A45" w:rsidRDefault="00C17B3A" w:rsidP="00C17B3A">
      <w:pPr>
        <w:pStyle w:val="tPara"/>
      </w:pPr>
      <w:r w:rsidRPr="00B32A45">
        <w:tab/>
        <w:t>(b)</w:t>
      </w:r>
      <w:r w:rsidRPr="00B32A45">
        <w:tab/>
        <w:t>column 4 of an item in the following table specifies the emission factor for carbon dioxide (</w:t>
      </w:r>
      <w:r w:rsidRPr="00B32A45">
        <w:rPr>
          <w:b/>
          <w:i/>
        </w:rPr>
        <w:t>j</w:t>
      </w:r>
      <w:r w:rsidRPr="00B32A45">
        <w:t>) for a component and leaker/non-leaker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lastRenderedPageBreak/>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7.56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Values—leaker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1.39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2.10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5.22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2.44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3.92 × 10</w:t>
            </w:r>
            <w:r w:rsidRPr="00B32A45">
              <w:rPr>
                <w:vertAlign w:val="superscript"/>
              </w:rPr>
              <w:t>-7</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9.75 × 10</w:t>
            </w:r>
            <w:r w:rsidRPr="00B32A45">
              <w:rPr>
                <w:vertAlign w:val="superscript"/>
              </w:rPr>
              <w:t>-10</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3.36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8.36 × 10</w:t>
            </w:r>
            <w:r w:rsidRPr="00B32A45">
              <w:rPr>
                <w:vertAlign w:val="superscript"/>
              </w:rPr>
              <w:t>-6</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5.64 × 10</w:t>
            </w:r>
            <w:r w:rsidRPr="00B32A45">
              <w:rPr>
                <w:vertAlign w:val="superscript"/>
              </w:rPr>
              <w:t>-9</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5.88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1.46 × 10</w:t>
            </w:r>
            <w:r w:rsidRPr="00B32A45">
              <w:rPr>
                <w:vertAlign w:val="superscript"/>
              </w:rPr>
              <w:t>-5</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(4)  For </w:t>
      </w:r>
      <w:r w:rsidRPr="00B32A45">
        <w:rPr>
          <w:bCs/>
          <w:iCs/>
          <w:szCs w:val="22"/>
        </w:rPr>
        <w:t>subsection</w:t>
      </w:r>
      <w:r w:rsidRPr="00B32A45">
        <w:rPr>
          <w:szCs w:val="22"/>
        </w:rPr>
        <w:t xml:space="preserve"> (3)</w:t>
      </w:r>
      <w:r w:rsidR="00F44AA9">
        <w:rPr>
          <w:szCs w:val="22"/>
        </w:rPr>
        <w:t>,</w:t>
      </w:r>
      <w:r w:rsidRPr="00B32A45">
        <w:rPr>
          <w:szCs w:val="22"/>
        </w:rPr>
        <w:t xml:space="preserve"> the LDAR program must survey each component used in offshore gas production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733F2" w:rsidRDefault="00C17B3A" w:rsidP="00C733F2">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measured consist</w:t>
      </w:r>
      <w:r w:rsidR="00C733F2">
        <w:rPr>
          <w:szCs w:val="22"/>
        </w:rPr>
        <w:t>ent with that method; or</w:t>
      </w:r>
    </w:p>
    <w:p w:rsidR="00C17B3A" w:rsidRPr="00B32A45" w:rsidRDefault="00C733F2" w:rsidP="00C733F2">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(5)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tMain"/>
        <w:rPr>
          <w:szCs w:val="22"/>
        </w:rPr>
      </w:pPr>
    </w:p>
    <w:p w:rsidR="00C17B3A" w:rsidRPr="00B32A45" w:rsidRDefault="00C17B3A" w:rsidP="00C17B3A">
      <w:pPr>
        <w:pStyle w:val="tPara"/>
        <w:rPr>
          <w:szCs w:val="22"/>
        </w:rPr>
      </w:pPr>
    </w:p>
    <w:p w:rsidR="00C17B3A" w:rsidRPr="00B32A45" w:rsidRDefault="00C17B3A" w:rsidP="00C17B3A">
      <w:pPr>
        <w:pStyle w:val="h3Div"/>
        <w:pageBreakBefore/>
      </w:pPr>
      <w:bookmarkStart w:id="75" w:name="_Toc69480123"/>
      <w:r w:rsidRPr="00B32A45">
        <w:rPr>
          <w:rStyle w:val="CharDivNo"/>
        </w:rPr>
        <w:lastRenderedPageBreak/>
        <w:t>Division 3.3.6C</w:t>
      </w:r>
      <w:r w:rsidRPr="00B32A45">
        <w:t>—N</w:t>
      </w:r>
      <w:r w:rsidRPr="00B32A45">
        <w:rPr>
          <w:rStyle w:val="CharDivText"/>
        </w:rPr>
        <w:t>atural gas gathering and boosting (other than emissions that are vented or flared)</w:t>
      </w:r>
      <w:bookmarkEnd w:id="75"/>
      <w:r w:rsidRPr="00B32A45">
        <w:rPr>
          <w:rStyle w:val="CharDivText"/>
        </w:rPr>
        <w:t xml:space="preserve"> </w:t>
      </w:r>
    </w:p>
    <w:p w:rsidR="00C17B3A" w:rsidRPr="00B32A45" w:rsidRDefault="00C17B3A" w:rsidP="00C17B3A">
      <w:pPr>
        <w:pStyle w:val="h5Section"/>
      </w:pPr>
      <w:r w:rsidRPr="00B32A45">
        <w:rPr>
          <w:rStyle w:val="CharSectno"/>
        </w:rPr>
        <w:t>3.73I</w:t>
      </w:r>
      <w:r w:rsidRPr="00B32A45">
        <w:t xml:space="preserve">  Application</w:t>
      </w:r>
    </w:p>
    <w:p w:rsidR="00C17B3A" w:rsidRPr="00B32A45" w:rsidRDefault="00C17B3A" w:rsidP="00C17B3A">
      <w:pPr>
        <w:pStyle w:val="tMain"/>
      </w:pPr>
      <w:r w:rsidRPr="00B32A45">
        <w:tab/>
      </w:r>
      <w:r w:rsidRPr="00B32A45">
        <w:tab/>
        <w:t xml:space="preserve">This Division applies to fugitive emissions from natural gas gathering and boosting, other than emissions that are vented or flared, including emissions from natural gas gathering and boosting stations and pipelines. </w:t>
      </w:r>
    </w:p>
    <w:p w:rsidR="00C17B3A" w:rsidRPr="00B32A45" w:rsidRDefault="00C17B3A" w:rsidP="00C17B3A">
      <w:pPr>
        <w:pStyle w:val="nMain"/>
      </w:pPr>
      <w:r w:rsidRPr="00B32A45">
        <w:t xml:space="preserve">Note: </w:t>
      </w:r>
      <w:r w:rsidRPr="00B32A45">
        <w:tab/>
        <w:t xml:space="preserve">Division 3.3.6A applies to fugitive emissions from onshore natural gas production activities, other than emissions that are vented or flared, including emissions from wellheads. </w:t>
      </w:r>
    </w:p>
    <w:p w:rsidR="00C17B3A" w:rsidRPr="00B32A45" w:rsidRDefault="00C17B3A" w:rsidP="00C17B3A">
      <w:pPr>
        <w:pStyle w:val="h5Section"/>
      </w:pPr>
      <w:r w:rsidRPr="00B32A45">
        <w:rPr>
          <w:rStyle w:val="CharSectno"/>
        </w:rPr>
        <w:t>3.73J</w:t>
      </w:r>
      <w:r w:rsidRPr="00B32A45">
        <w:t xml:space="preserve">  Available methods</w:t>
      </w:r>
    </w:p>
    <w:p w:rsidR="00C17B3A" w:rsidRPr="00B32A45" w:rsidRDefault="00C17B3A" w:rsidP="00C17B3A">
      <w:pPr>
        <w:pStyle w:val="tMain"/>
      </w:pPr>
      <w:r w:rsidRPr="00B32A45">
        <w:tab/>
        <w:t>(1)</w:t>
      </w:r>
      <w:r w:rsidRPr="00B32A45">
        <w:tab/>
        <w:t>Subject to section 1.18 and subsections (3) and (4), one of the following methods must</w:t>
      </w:r>
      <w:r w:rsidRPr="00B32A45">
        <w:rPr>
          <w:i/>
        </w:rPr>
        <w:t xml:space="preserve"> </w:t>
      </w:r>
      <w:r w:rsidRPr="00B32A45">
        <w:t>be used for estimating fugitive emissions of methane and carbon dioxide (other than emissions that are vented or flared) released during a year from the operation of a facility that is constituted by natural gas gathering and boosting:</w:t>
      </w:r>
    </w:p>
    <w:p w:rsidR="00C17B3A" w:rsidRPr="00B32A45" w:rsidRDefault="00C17B3A" w:rsidP="00C17B3A">
      <w:pPr>
        <w:pStyle w:val="tPara"/>
      </w:pPr>
      <w:r w:rsidRPr="00B32A45">
        <w:tab/>
        <w:t>(a)</w:t>
      </w:r>
      <w:r w:rsidRPr="00B32A45">
        <w:tab/>
        <w:t>method 1 under section 3.73K;</w:t>
      </w:r>
    </w:p>
    <w:p w:rsidR="00C17B3A" w:rsidRPr="00B32A45" w:rsidRDefault="00C17B3A" w:rsidP="00C17B3A">
      <w:pPr>
        <w:pStyle w:val="tPara"/>
      </w:pPr>
      <w:r w:rsidRPr="00B32A45">
        <w:tab/>
        <w:t>(b)</w:t>
      </w:r>
      <w:r w:rsidRPr="00B32A45">
        <w:tab/>
        <w:t>method 2 under section 3.73L;</w:t>
      </w:r>
    </w:p>
    <w:p w:rsidR="00C17B3A" w:rsidRPr="00B32A45" w:rsidRDefault="00C17B3A" w:rsidP="00C17B3A">
      <w:pPr>
        <w:pStyle w:val="tPara"/>
      </w:pPr>
      <w:r w:rsidRPr="00B32A45">
        <w:t xml:space="preserve">                       (c)  </w:t>
      </w:r>
      <w:r w:rsidRPr="00B32A45">
        <w:tab/>
        <w:t>method 3 under section 3.73M.</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3.3.6A, 3.3.6B, 3.3.6E, 3.3.7A and 3.3.7B if those Divisions are applicable to the facility.</w:t>
      </w:r>
    </w:p>
    <w:p w:rsidR="00C17B3A" w:rsidRPr="00B32A45" w:rsidRDefault="00C17B3A" w:rsidP="00C733F2">
      <w:pPr>
        <w:pStyle w:val="tMain"/>
      </w:pPr>
      <w:r w:rsidRPr="00B32A45">
        <w:tab/>
        <w:t>(4)</w:t>
      </w:r>
      <w:r w:rsidRPr="00B32A45">
        <w:tab/>
        <w:t>If me</w:t>
      </w:r>
      <w:r w:rsidR="00C733F2">
        <w:t xml:space="preserve">thod 3 is used for a facility, </w:t>
      </w:r>
      <w:r w:rsidRPr="00B32A45">
        <w:t xml:space="preserve">all other available methods 3 must be used in Divisions 3.3.6A, 3.3.6B, 3.3.6E, 3.3.7A and 3.3.7B if those Divisions </w:t>
      </w:r>
      <w:r w:rsidR="00C733F2">
        <w:t>are applicable to the facility.</w:t>
      </w:r>
    </w:p>
    <w:p w:rsidR="00C17B3A" w:rsidRPr="00B32A45" w:rsidRDefault="00C17B3A" w:rsidP="00C17B3A">
      <w:pPr>
        <w:pStyle w:val="h5Section"/>
      </w:pPr>
      <w:r w:rsidRPr="00B32A45">
        <w:rPr>
          <w:rStyle w:val="CharSectno"/>
        </w:rPr>
        <w:t>3.73K</w:t>
      </w:r>
      <w:r w:rsidR="00693350">
        <w:t xml:space="preserve">  Method 1—n</w:t>
      </w:r>
      <w:r w:rsidRPr="00B32A45">
        <w:t xml:space="preserve">atural gas gathering and boosting (other than venting and flaring) </w:t>
      </w:r>
    </w:p>
    <w:p w:rsidR="00C17B3A" w:rsidRPr="00B32A45" w:rsidRDefault="00C17B3A" w:rsidP="00C17B3A">
      <w:pPr>
        <w:pStyle w:val="tMain"/>
      </w:pPr>
      <w:r w:rsidRPr="00B32A45">
        <w:tab/>
      </w:r>
      <w:r w:rsidRPr="00B32A45">
        <w:tab/>
        <w:t>Method 1 is:</w:t>
      </w:r>
    </w:p>
    <w:p w:rsidR="00C17B3A" w:rsidRPr="00217B5D" w:rsidRDefault="00C17B3A" w:rsidP="00C17B3A">
      <w:pPr>
        <w:pStyle w:val="tMain"/>
        <w:ind w:firstLine="0"/>
        <w:rPr>
          <w:sz w:val="28"/>
          <w:szCs w:val="28"/>
        </w:rPr>
      </w:pPr>
      <w:r w:rsidRPr="00217B5D">
        <w:rPr>
          <w:sz w:val="28"/>
          <w:szCs w:val="28"/>
        </w:rPr>
        <w:t>E</w:t>
      </w:r>
      <w:r w:rsidRPr="00217B5D">
        <w:rPr>
          <w:sz w:val="28"/>
          <w:szCs w:val="28"/>
          <w:vertAlign w:val="subscript"/>
        </w:rPr>
        <w:t xml:space="preserve">ij </w:t>
      </w:r>
      <w:r w:rsidRPr="00217B5D">
        <w:rPr>
          <w:sz w:val="28"/>
          <w:szCs w:val="28"/>
        </w:rPr>
        <w:t>= E</w:t>
      </w:r>
      <w:r w:rsidRPr="00217B5D">
        <w:rPr>
          <w:sz w:val="28"/>
          <w:szCs w:val="28"/>
          <w:vertAlign w:val="subscript"/>
        </w:rPr>
        <w:t>ijs</w:t>
      </w:r>
      <w:r w:rsidRPr="00217B5D">
        <w:rPr>
          <w:sz w:val="28"/>
          <w:szCs w:val="28"/>
        </w:rPr>
        <w:t xml:space="preserve"> + E</w:t>
      </w:r>
      <w:r w:rsidRPr="00217B5D">
        <w:rPr>
          <w:sz w:val="28"/>
          <w:szCs w:val="28"/>
          <w:vertAlign w:val="subscript"/>
        </w:rPr>
        <w:t>ijp</w:t>
      </w:r>
    </w:p>
    <w:p w:rsidR="00C17B3A" w:rsidRPr="00B32A45" w:rsidRDefault="00C17B3A" w:rsidP="00C17B3A">
      <w:pPr>
        <w:pStyle w:val="subsection2"/>
      </w:pP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during the year measured in CO</w:t>
      </w:r>
      <w:r w:rsidRPr="00B32A45">
        <w:rPr>
          <w:rStyle w:val="charSubscript"/>
          <w:iCs/>
        </w:rPr>
        <w:t>2</w:t>
      </w:r>
      <w:r w:rsidRPr="00B32A45">
        <w:noBreakHyphen/>
        <w:t>e tonnes.</w:t>
      </w:r>
    </w:p>
    <w:p w:rsidR="00C17B3A" w:rsidRPr="00B32A45" w:rsidRDefault="00C17B3A" w:rsidP="00C17B3A">
      <w:pPr>
        <w:pStyle w:val="tMain"/>
        <w:ind w:firstLine="0"/>
      </w:pPr>
      <w:r w:rsidRPr="00B32A45">
        <w:rPr>
          <w:b/>
          <w:i/>
        </w:rPr>
        <w:t>E</w:t>
      </w:r>
      <w:r w:rsidRPr="00B32A45">
        <w:rPr>
          <w:b/>
          <w:i/>
          <w:vertAlign w:val="subscript"/>
        </w:rPr>
        <w:t xml:space="preserve">ijs  </w:t>
      </w:r>
      <w:r w:rsidRPr="00B32A45">
        <w:t>is the fugitive emissions (other than emissions that are vented or flared) of gas type (</w:t>
      </w:r>
      <w:r w:rsidRPr="00B32A45">
        <w:rPr>
          <w:b/>
          <w:i/>
        </w:rPr>
        <w:t>j</w:t>
      </w:r>
      <w:r w:rsidRPr="00B32A45">
        <w:t>), being methane or carbon dioxide, from the natural gas gathering and boosting stations (</w:t>
      </w:r>
      <w:r w:rsidRPr="00B32A45">
        <w:rPr>
          <w:b/>
          <w:i/>
        </w:rPr>
        <w:t>s</w:t>
      </w:r>
      <w:r w:rsidRPr="00B32A45">
        <w:t>) during the year measured in CO</w:t>
      </w:r>
      <w:r w:rsidRPr="00B32A45">
        <w:rPr>
          <w:rStyle w:val="charSubscript"/>
          <w:iCs/>
        </w:rPr>
        <w:t>2</w:t>
      </w:r>
      <w:r w:rsidRPr="00B32A45">
        <w:noBreakHyphen/>
        <w:t xml:space="preserve">e tonnes, given by section 3.73KA. </w:t>
      </w:r>
    </w:p>
    <w:p w:rsidR="00C17B3A" w:rsidRPr="00B32A45" w:rsidRDefault="00C17B3A" w:rsidP="00C17B3A">
      <w:pPr>
        <w:pStyle w:val="tMain"/>
        <w:ind w:firstLine="0"/>
        <w:rPr>
          <w:rFonts w:ascii="Times New Roman Bold Italic" w:hAnsi="Times New Roman Bold Italic"/>
        </w:rPr>
      </w:pPr>
      <w:r w:rsidRPr="00B32A45">
        <w:rPr>
          <w:b/>
          <w:i/>
        </w:rPr>
        <w:t>E</w:t>
      </w:r>
      <w:r w:rsidRPr="00B32A45">
        <w:rPr>
          <w:b/>
          <w:i/>
          <w:vertAlign w:val="subscript"/>
        </w:rPr>
        <w:t xml:space="preserve">ijp  </w:t>
      </w:r>
      <w:r w:rsidRPr="00B32A45">
        <w:t>is the fugitive emissions (other than emissions that are vented or flared) of gas type (</w:t>
      </w:r>
      <w:r w:rsidRPr="00B32A45">
        <w:rPr>
          <w:b/>
          <w:i/>
        </w:rPr>
        <w:t>j</w:t>
      </w:r>
      <w:r w:rsidRPr="00B32A45">
        <w:t>), being methane or carbon dioxide, from the natural gas gathering and boosting pipelines (</w:t>
      </w:r>
      <w:r w:rsidRPr="00B32A45">
        <w:rPr>
          <w:b/>
          <w:i/>
        </w:rPr>
        <w:t>p</w:t>
      </w:r>
      <w:r w:rsidRPr="00B32A45">
        <w:t>) during the year measured in CO</w:t>
      </w:r>
      <w:r w:rsidRPr="00B32A45">
        <w:rPr>
          <w:rStyle w:val="charSubscript"/>
          <w:iCs/>
        </w:rPr>
        <w:t>2</w:t>
      </w:r>
      <w:r w:rsidRPr="00B32A45">
        <w:noBreakHyphen/>
        <w:t xml:space="preserve">e tonnes, given by section 3.73KB. </w:t>
      </w:r>
      <w:r w:rsidRPr="00B32A45">
        <w:rPr>
          <w:rFonts w:ascii="Times New Roman Bold Italic" w:hAnsi="Times New Roman Bold Italic"/>
        </w:rPr>
        <w:t xml:space="preserve"> </w:t>
      </w:r>
    </w:p>
    <w:p w:rsidR="00C17B3A" w:rsidRPr="00B32A45" w:rsidRDefault="00693350" w:rsidP="00C17B3A">
      <w:pPr>
        <w:pStyle w:val="tMain"/>
        <w:rPr>
          <w:b/>
          <w:kern w:val="28"/>
          <w:sz w:val="24"/>
        </w:rPr>
      </w:pPr>
      <w:r>
        <w:rPr>
          <w:b/>
          <w:kern w:val="28"/>
          <w:sz w:val="24"/>
        </w:rPr>
        <w:t>3.73KA Method 1—n</w:t>
      </w:r>
      <w:r w:rsidR="00C17B3A" w:rsidRPr="00B32A45">
        <w:rPr>
          <w:b/>
          <w:kern w:val="28"/>
          <w:sz w:val="24"/>
        </w:rPr>
        <w:t>atural gas gathering and boosting, other than emissions that are vented or flared—natural gas gathering and boosting stations</w:t>
      </w:r>
    </w:p>
    <w:p w:rsidR="00C17B3A" w:rsidRPr="00B32A45" w:rsidRDefault="00C17B3A" w:rsidP="00C17B3A">
      <w:pPr>
        <w:pStyle w:val="tMain"/>
      </w:pPr>
      <w:r w:rsidRPr="00B32A45">
        <w:tab/>
        <w:t>(1)</w:t>
      </w:r>
      <w:r w:rsidRPr="00B32A45">
        <w:tab/>
        <w:t>For section 3.73K, E</w:t>
      </w:r>
      <w:r w:rsidRPr="00B32A45">
        <w:rPr>
          <w:vertAlign w:val="subscript"/>
        </w:rPr>
        <w:t xml:space="preserve">ijs </w:t>
      </w:r>
      <w:r w:rsidRPr="00B32A45">
        <w:t>is given by the following formula:</w:t>
      </w:r>
    </w:p>
    <w:p w:rsidR="00C17B3A" w:rsidRPr="00217B5D" w:rsidRDefault="00C17B3A" w:rsidP="00C17B3A">
      <w:pPr>
        <w:pStyle w:val="tMain"/>
        <w:spacing w:before="120" w:after="120"/>
        <w:rPr>
          <w:sz w:val="28"/>
          <w:szCs w:val="28"/>
        </w:rPr>
      </w:pPr>
      <w:r w:rsidRPr="00217B5D">
        <w:rPr>
          <w:sz w:val="28"/>
          <w:szCs w:val="28"/>
        </w:rPr>
        <w:lastRenderedPageBreak/>
        <w:tab/>
      </w:r>
      <w:r w:rsidRPr="00217B5D">
        <w:rPr>
          <w:sz w:val="28"/>
          <w:szCs w:val="28"/>
        </w:rPr>
        <w:tab/>
        <w:t>E</w:t>
      </w:r>
      <w:r w:rsidRPr="00217B5D">
        <w:rPr>
          <w:sz w:val="28"/>
          <w:szCs w:val="28"/>
          <w:vertAlign w:val="subscript"/>
        </w:rPr>
        <w:t xml:space="preserve">ijs  </w:t>
      </w:r>
      <w:r w:rsidRPr="00217B5D">
        <w:rPr>
          <w:sz w:val="28"/>
          <w:szCs w:val="28"/>
        </w:rPr>
        <w:t>= Σ</w:t>
      </w:r>
      <w:r w:rsidRPr="00217B5D">
        <w:rPr>
          <w:sz w:val="28"/>
          <w:szCs w:val="28"/>
          <w:vertAlign w:val="subscript"/>
        </w:rPr>
        <w:t>js</w:t>
      </w:r>
      <w:r w:rsidRPr="00217B5D">
        <w:rPr>
          <w:sz w:val="28"/>
          <w:szCs w:val="28"/>
        </w:rPr>
        <w:t>(Q</w:t>
      </w:r>
      <w:r w:rsidRPr="00217B5D">
        <w:rPr>
          <w:sz w:val="28"/>
          <w:szCs w:val="28"/>
          <w:vertAlign w:val="subscript"/>
        </w:rPr>
        <w:t xml:space="preserve">is </w:t>
      </w:r>
      <w:r w:rsidRPr="00217B5D">
        <w:rPr>
          <w:sz w:val="28"/>
          <w:szCs w:val="28"/>
        </w:rPr>
        <w:t>×</w:t>
      </w:r>
      <w:r w:rsidRPr="00217B5D">
        <w:rPr>
          <w:sz w:val="28"/>
          <w:szCs w:val="28"/>
          <w:vertAlign w:val="subscript"/>
        </w:rPr>
        <w:t xml:space="preserve"> </w:t>
      </w:r>
      <w:r w:rsidRPr="00217B5D">
        <w:rPr>
          <w:sz w:val="28"/>
          <w:szCs w:val="28"/>
        </w:rPr>
        <w:t>EF</w:t>
      </w:r>
      <w:r w:rsidRPr="00217B5D">
        <w:rPr>
          <w:sz w:val="28"/>
          <w:szCs w:val="28"/>
          <w:vertAlign w:val="subscript"/>
        </w:rPr>
        <w:t>j</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 xml:space="preserve">ij / </w:t>
      </w:r>
      <w:r w:rsidRPr="00217B5D">
        <w:rPr>
          <w:sz w:val="28"/>
          <w:szCs w:val="28"/>
        </w:rPr>
        <w:t>SD</w:t>
      </w:r>
      <w:r w:rsidRPr="00217B5D">
        <w:rPr>
          <w:sz w:val="28"/>
          <w:szCs w:val="28"/>
          <w:vertAlign w:val="subscript"/>
        </w:rPr>
        <w:t xml:space="preserve">ij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ijs</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stations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js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natural gas gathering and boosting station (</w:t>
      </w:r>
      <w:r w:rsidRPr="00B32A45">
        <w:rPr>
          <w:b/>
          <w:i/>
        </w:rPr>
        <w:t>s</w:t>
      </w:r>
      <w:r w:rsidRPr="00B32A45">
        <w:t>).</w:t>
      </w:r>
    </w:p>
    <w:p w:rsidR="00C17B3A" w:rsidRPr="00B32A45" w:rsidRDefault="00C17B3A" w:rsidP="00C17B3A">
      <w:pPr>
        <w:pStyle w:val="tDefn"/>
      </w:pPr>
      <w:r w:rsidRPr="00B32A45">
        <w:rPr>
          <w:b/>
          <w:i/>
        </w:rPr>
        <w:t>Q</w:t>
      </w:r>
      <w:r w:rsidRPr="00B32A45">
        <w:rPr>
          <w:b/>
          <w:i/>
          <w:vertAlign w:val="subscript"/>
        </w:rPr>
        <w:t xml:space="preserve">is </w:t>
      </w:r>
      <w:r w:rsidRPr="00B32A45">
        <w:t>is the quantity of unprocessed natural gas (</w:t>
      </w:r>
      <w:r w:rsidRPr="00B32A45">
        <w:rPr>
          <w:b/>
          <w:i/>
        </w:rPr>
        <w:t>i</w:t>
      </w:r>
      <w:r w:rsidRPr="00B32A45">
        <w:t>) that passes through the natural gas gathering and boosting station (</w:t>
      </w:r>
      <w:r w:rsidRPr="00B32A45">
        <w:rPr>
          <w:b/>
          <w:i/>
        </w:rPr>
        <w:t>s</w:t>
      </w:r>
      <w:r w:rsidRPr="00B32A45">
        <w:t>) during the year, measured in tonnes in accordance with Division 2.3.6.</w:t>
      </w:r>
    </w:p>
    <w:p w:rsidR="00C17B3A" w:rsidRPr="00B32A45" w:rsidRDefault="00C17B3A" w:rsidP="00C17B3A">
      <w:pPr>
        <w:pStyle w:val="tDefn"/>
      </w:pPr>
      <w:r w:rsidRPr="00B32A45">
        <w:rPr>
          <w:b/>
          <w:i/>
        </w:rPr>
        <w:t>EF</w:t>
      </w:r>
      <w:r w:rsidRPr="00B32A45">
        <w:rPr>
          <w:b/>
          <w:i/>
          <w:vertAlign w:val="subscript"/>
        </w:rPr>
        <w:t>j</w:t>
      </w:r>
      <w:r w:rsidRPr="00B32A45">
        <w:rPr>
          <w:b/>
          <w:i/>
        </w:rPr>
        <w:t xml:space="preserve"> </w:t>
      </w:r>
      <w:r w:rsidRPr="00B32A45">
        <w:t>is the emission factor for gas type (</w:t>
      </w:r>
      <w:r w:rsidRPr="00B32A45">
        <w:rPr>
          <w:b/>
          <w:i/>
        </w:rPr>
        <w:t>j</w:t>
      </w:r>
      <w:r w:rsidRPr="00B32A45">
        <w:t>), being methane or carbon dioxide, measured in CO</w:t>
      </w:r>
      <w:r w:rsidRPr="00B32A45">
        <w:rPr>
          <w:rStyle w:val="charSubscript"/>
          <w:iCs/>
        </w:rPr>
        <w:t>2</w:t>
      </w:r>
      <w:r w:rsidRPr="00B32A45">
        <w:noBreakHyphen/>
        <w:t>e tonnes per tonne of unprocessed natural gas that passes through each natural gas gathering and boosting station (</w:t>
      </w:r>
      <w:r w:rsidRPr="00B32A45">
        <w:rPr>
          <w:b/>
          <w:i/>
        </w:rPr>
        <w:t>s</w:t>
      </w:r>
      <w:r w:rsidRPr="00B32A45">
        <w:t>) given by subsection (2) or (3).</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0.832 and for carbon dioxide SD is 0.0345.</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j</w:t>
      </w:r>
      <w:r w:rsidRPr="00B32A45">
        <w:rPr>
          <w:i/>
        </w:rPr>
        <w:t xml:space="preserve"> </w:t>
      </w:r>
      <w:r w:rsidRPr="00B32A45">
        <w:t xml:space="preserve">in subsection (1), </w:t>
      </w:r>
      <w:r w:rsidRPr="00B32A45">
        <w:rPr>
          <w:b/>
          <w:i/>
        </w:rPr>
        <w:t>EF</w:t>
      </w:r>
      <w:r w:rsidRPr="00B32A45">
        <w:rPr>
          <w:b/>
          <w:i/>
          <w:vertAlign w:val="subscript"/>
        </w:rPr>
        <w:t>j</w:t>
      </w:r>
      <w:r w:rsidRPr="00B32A45">
        <w:t xml:space="preserve"> for methane is given by the following formula:</w:t>
      </w:r>
    </w:p>
    <w:p w:rsidR="00C17B3A" w:rsidRPr="00217B5D" w:rsidRDefault="00C17B3A" w:rsidP="00C17B3A">
      <w:pPr>
        <w:pStyle w:val="tDefn"/>
        <w:rPr>
          <w:sz w:val="28"/>
          <w:szCs w:val="28"/>
        </w:rPr>
      </w:pPr>
      <w:r w:rsidRPr="00217B5D">
        <w:rPr>
          <w:sz w:val="28"/>
          <w:szCs w:val="28"/>
        </w:rPr>
        <w:t>EF</w:t>
      </w:r>
      <w:r w:rsidRPr="00217B5D">
        <w:rPr>
          <w:sz w:val="28"/>
          <w:szCs w:val="28"/>
          <w:vertAlign w:val="subscript"/>
        </w:rPr>
        <w:t>j</w:t>
      </w:r>
      <w:r w:rsidRPr="00217B5D">
        <w:rPr>
          <w:sz w:val="28"/>
          <w:szCs w:val="28"/>
        </w:rPr>
        <w:t xml:space="preserve">  = GWP</w:t>
      </w:r>
      <w:r w:rsidRPr="00217B5D">
        <w:rPr>
          <w:sz w:val="28"/>
          <w:szCs w:val="28"/>
          <w:vertAlign w:val="subscript"/>
        </w:rPr>
        <w:t>methane</w:t>
      </w:r>
      <w:r w:rsidRPr="00217B5D">
        <w:rPr>
          <w:sz w:val="28"/>
          <w:szCs w:val="28"/>
        </w:rPr>
        <w:t xml:space="preserve"> × 2.386 ×  Q</w:t>
      </w:r>
      <w:r w:rsidRPr="00217B5D">
        <w:rPr>
          <w:sz w:val="28"/>
          <w:szCs w:val="28"/>
          <w:vertAlign w:val="subscript"/>
        </w:rPr>
        <w:t>i</w:t>
      </w:r>
      <w:r w:rsidRPr="00217B5D">
        <w:rPr>
          <w:sz w:val="28"/>
          <w:szCs w:val="28"/>
          <w:vertAlign w:val="superscript"/>
        </w:rPr>
        <w:t>-0.761</w:t>
      </w:r>
    </w:p>
    <w:p w:rsidR="00C17B3A" w:rsidRPr="00B32A45" w:rsidRDefault="00C17B3A" w:rsidP="00C17B3A">
      <w:pPr>
        <w:pStyle w:val="tDefn"/>
      </w:pPr>
      <w:r w:rsidRPr="00B32A45">
        <w:t>where:</w:t>
      </w:r>
    </w:p>
    <w:p w:rsidR="00C17B3A" w:rsidRPr="00B32A45" w:rsidRDefault="00C17B3A" w:rsidP="00C17B3A">
      <w:pPr>
        <w:pStyle w:val="tDefn"/>
      </w:pPr>
      <w:r w:rsidRPr="00B32A45">
        <w:rPr>
          <w:b/>
          <w:i/>
        </w:rPr>
        <w:t>EF</w:t>
      </w:r>
      <w:r w:rsidRPr="00B32A45">
        <w:rPr>
          <w:b/>
          <w:i/>
          <w:vertAlign w:val="subscript"/>
        </w:rPr>
        <w:t>j</w:t>
      </w:r>
      <w:r w:rsidRPr="00B32A45">
        <w:t xml:space="preserve"> is the emission factor for methane (j) measured in CO</w:t>
      </w:r>
      <w:r w:rsidRPr="00B32A45">
        <w:rPr>
          <w:vertAlign w:val="subscript"/>
        </w:rPr>
        <w:t>2</w:t>
      </w:r>
      <w:r w:rsidRPr="00B32A45">
        <w:noBreakHyphen/>
        <w:t>e tonnes per tonne of natural gas that passes through the natural gas gathering and boosting station during the year.</w:t>
      </w:r>
    </w:p>
    <w:p w:rsidR="00C17B3A" w:rsidRPr="00B32A45" w:rsidRDefault="00C17B3A" w:rsidP="00C17B3A">
      <w:pPr>
        <w:pStyle w:val="tDefn"/>
      </w:pPr>
      <w:r w:rsidRPr="00B32A45">
        <w:rPr>
          <w:b/>
          <w:i/>
        </w:rPr>
        <w:t>Q</w:t>
      </w:r>
      <w:r w:rsidRPr="00B32A45">
        <w:rPr>
          <w:b/>
          <w:i/>
          <w:vertAlign w:val="subscript"/>
        </w:rPr>
        <w:t>i</w:t>
      </w:r>
      <w:r w:rsidRPr="00B32A45">
        <w:t xml:space="preserve"> is the quantity of unprocessed natural gas that passes through the natural gas gathering and boosting station during the year, measured in tonnes in accordance with Division 2.3.6.</w:t>
      </w:r>
    </w:p>
    <w:p w:rsidR="00C17B3A" w:rsidRPr="00B32A45" w:rsidRDefault="00C17B3A" w:rsidP="00C17B3A">
      <w:pPr>
        <w:pStyle w:val="tMain"/>
      </w:pPr>
      <w:r w:rsidRPr="00B32A45">
        <w:tab/>
        <w:t>(3)</w:t>
      </w:r>
      <w:r w:rsidRPr="00B32A45">
        <w:tab/>
        <w:t xml:space="preserve">For </w:t>
      </w:r>
      <w:r w:rsidRPr="00B32A45">
        <w:rPr>
          <w:b/>
          <w:i/>
        </w:rPr>
        <w:t>EF</w:t>
      </w:r>
      <w:r w:rsidRPr="00B32A45">
        <w:rPr>
          <w:b/>
          <w:i/>
          <w:vertAlign w:val="subscript"/>
        </w:rPr>
        <w:t>j</w:t>
      </w:r>
      <w:r w:rsidRPr="00B32A45">
        <w:rPr>
          <w:i/>
        </w:rPr>
        <w:t xml:space="preserve"> </w:t>
      </w:r>
      <w:r w:rsidRPr="00B32A45">
        <w:t xml:space="preserve">in subsection (1), </w:t>
      </w:r>
      <w:r w:rsidRPr="00B32A45">
        <w:rPr>
          <w:b/>
          <w:i/>
        </w:rPr>
        <w:t>EF</w:t>
      </w:r>
      <w:r w:rsidRPr="00B32A45">
        <w:rPr>
          <w:b/>
          <w:i/>
          <w:vertAlign w:val="subscript"/>
        </w:rPr>
        <w:t>j</w:t>
      </w:r>
      <w:r w:rsidRPr="00B32A45">
        <w:t xml:space="preserve"> for carbon dioxide is given by the following formula:</w:t>
      </w:r>
    </w:p>
    <w:p w:rsidR="00C17B3A" w:rsidRPr="00217B5D" w:rsidRDefault="00C17B3A" w:rsidP="00C17B3A">
      <w:pPr>
        <w:pStyle w:val="tDefn"/>
        <w:rPr>
          <w:sz w:val="28"/>
          <w:szCs w:val="28"/>
        </w:rPr>
      </w:pPr>
      <w:r w:rsidRPr="00217B5D">
        <w:rPr>
          <w:sz w:val="28"/>
          <w:szCs w:val="28"/>
        </w:rPr>
        <w:t>EF</w:t>
      </w:r>
      <w:r w:rsidRPr="00217B5D">
        <w:rPr>
          <w:sz w:val="28"/>
          <w:szCs w:val="28"/>
          <w:vertAlign w:val="subscript"/>
        </w:rPr>
        <w:t>j</w:t>
      </w:r>
      <w:r w:rsidRPr="00217B5D">
        <w:rPr>
          <w:sz w:val="28"/>
          <w:szCs w:val="28"/>
        </w:rPr>
        <w:t xml:space="preserve">  = 2.386 ×  Q</w:t>
      </w:r>
      <w:r w:rsidRPr="00217B5D">
        <w:rPr>
          <w:sz w:val="28"/>
          <w:szCs w:val="28"/>
          <w:vertAlign w:val="subscript"/>
        </w:rPr>
        <w:t>i</w:t>
      </w:r>
      <w:r w:rsidRPr="00217B5D">
        <w:rPr>
          <w:sz w:val="28"/>
          <w:szCs w:val="28"/>
          <w:vertAlign w:val="superscript"/>
        </w:rPr>
        <w:t>-0.761</w:t>
      </w:r>
      <w:r w:rsidRPr="00217B5D">
        <w:rPr>
          <w:sz w:val="28"/>
          <w:szCs w:val="28"/>
        </w:rPr>
        <w:t xml:space="preserve"> × SD</w:t>
      </w:r>
      <w:r w:rsidRPr="00217B5D">
        <w:rPr>
          <w:sz w:val="28"/>
          <w:szCs w:val="28"/>
          <w:vertAlign w:val="subscript"/>
        </w:rPr>
        <w:t xml:space="preserve">ij=carbon dioxide </w:t>
      </w:r>
      <w:r w:rsidRPr="00217B5D">
        <w:rPr>
          <w:sz w:val="28"/>
          <w:szCs w:val="28"/>
        </w:rPr>
        <w:t>/ SD</w:t>
      </w:r>
      <w:r w:rsidRPr="00217B5D">
        <w:rPr>
          <w:sz w:val="28"/>
          <w:szCs w:val="28"/>
          <w:vertAlign w:val="subscript"/>
        </w:rPr>
        <w:t>ij=methane</w:t>
      </w:r>
    </w:p>
    <w:p w:rsidR="00C17B3A" w:rsidRPr="00B32A45" w:rsidRDefault="00C17B3A" w:rsidP="00C17B3A">
      <w:pPr>
        <w:pStyle w:val="tDefn"/>
      </w:pPr>
      <w:r w:rsidRPr="00B32A45">
        <w:t>where:</w:t>
      </w:r>
    </w:p>
    <w:p w:rsidR="00C17B3A" w:rsidRPr="00B32A45" w:rsidRDefault="00C17B3A" w:rsidP="00C17B3A">
      <w:pPr>
        <w:pStyle w:val="tDefn"/>
      </w:pPr>
      <w:r w:rsidRPr="00B32A45">
        <w:rPr>
          <w:b/>
          <w:i/>
        </w:rPr>
        <w:t>EF</w:t>
      </w:r>
      <w:r w:rsidRPr="00B32A45">
        <w:rPr>
          <w:b/>
          <w:i/>
          <w:vertAlign w:val="subscript"/>
        </w:rPr>
        <w:t>j</w:t>
      </w:r>
      <w:r w:rsidRPr="00B32A45">
        <w:t xml:space="preserve"> is the emission factor for carbon dioxide (j) measured in CO</w:t>
      </w:r>
      <w:r w:rsidRPr="00B32A45">
        <w:rPr>
          <w:vertAlign w:val="subscript"/>
        </w:rPr>
        <w:t>2</w:t>
      </w:r>
      <w:r w:rsidRPr="00B32A45">
        <w:noBreakHyphen/>
        <w:t>e tonnes per tonne of natural gas that passes through the natural gas gathering and boosting station during the year.</w:t>
      </w:r>
    </w:p>
    <w:p w:rsidR="00C17B3A" w:rsidRPr="00B32A45" w:rsidRDefault="00C17B3A" w:rsidP="00C17B3A">
      <w:pPr>
        <w:pStyle w:val="tDefn"/>
      </w:pPr>
      <w:r w:rsidRPr="00B32A45">
        <w:rPr>
          <w:b/>
          <w:i/>
        </w:rPr>
        <w:t>Q</w:t>
      </w:r>
      <w:r w:rsidRPr="00B32A45">
        <w:rPr>
          <w:b/>
          <w:i/>
          <w:vertAlign w:val="subscript"/>
        </w:rPr>
        <w:t>i</w:t>
      </w:r>
      <w:r w:rsidRPr="00B32A45">
        <w:t xml:space="preserve"> is the quantity of unprocessed natural gas that passes through the natural gas gathering and boosting station during the year, measured in tonnes in accordance with Division 2.3.6.</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ij=carbon dioxide</w:t>
      </w:r>
      <w:r w:rsidRPr="00B32A45">
        <w:rPr>
          <w:b/>
          <w:i/>
        </w:rPr>
        <w:t xml:space="preserve"> </w:t>
      </w:r>
      <w:r w:rsidRPr="00B32A45">
        <w:t>is the default share of carbon dioxide (</w:t>
      </w:r>
      <w:r w:rsidRPr="00B32A45">
        <w:rPr>
          <w:b/>
          <w:i/>
        </w:rPr>
        <w:t>j</w:t>
      </w:r>
      <w:r w:rsidRPr="00B32A45">
        <w:t>) in the unprocessed gas (</w:t>
      </w:r>
      <w:r w:rsidRPr="00B32A45">
        <w:rPr>
          <w:b/>
          <w:i/>
        </w:rPr>
        <w:t>i</w:t>
      </w:r>
      <w:r w:rsidRPr="00B32A45">
        <w:t>), which is 0.0345.</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ij=methane</w:t>
      </w:r>
      <w:r w:rsidRPr="00B32A45">
        <w:rPr>
          <w:b/>
          <w:i/>
        </w:rPr>
        <w:t xml:space="preserve"> </w:t>
      </w:r>
      <w:r w:rsidRPr="00B32A45">
        <w:t>is the default share of methane (</w:t>
      </w:r>
      <w:r w:rsidRPr="00B32A45">
        <w:rPr>
          <w:b/>
          <w:i/>
        </w:rPr>
        <w:t>j</w:t>
      </w:r>
      <w:r w:rsidRPr="00B32A45">
        <w:t>) in the unprocessed gas (</w:t>
      </w:r>
      <w:r w:rsidRPr="00B32A45">
        <w:rPr>
          <w:b/>
          <w:i/>
        </w:rPr>
        <w:t>i</w:t>
      </w:r>
      <w:r w:rsidRPr="00B32A45">
        <w:t>), which is 0.832.</w:t>
      </w:r>
    </w:p>
    <w:p w:rsidR="00C17B3A" w:rsidRPr="00B32A45" w:rsidRDefault="00693350" w:rsidP="00C17B3A">
      <w:pPr>
        <w:pStyle w:val="tMain"/>
        <w:rPr>
          <w:b/>
          <w:kern w:val="28"/>
          <w:sz w:val="24"/>
        </w:rPr>
      </w:pPr>
      <w:r>
        <w:rPr>
          <w:b/>
          <w:kern w:val="28"/>
          <w:sz w:val="24"/>
        </w:rPr>
        <w:lastRenderedPageBreak/>
        <w:t>3.73KB Method 1—n</w:t>
      </w:r>
      <w:r w:rsidR="00C17B3A" w:rsidRPr="00B32A45">
        <w:rPr>
          <w:b/>
          <w:kern w:val="28"/>
          <w:sz w:val="24"/>
        </w:rPr>
        <w:t>atural gas gathering and boosting, other than emissions that are vented or flared—natural gas gathering and boosting pipelines</w:t>
      </w:r>
    </w:p>
    <w:p w:rsidR="00C17B3A" w:rsidRPr="00B32A45" w:rsidRDefault="00C17B3A" w:rsidP="00C17B3A">
      <w:pPr>
        <w:pStyle w:val="tMain"/>
      </w:pPr>
      <w:r w:rsidRPr="00B32A45">
        <w:tab/>
        <w:t>(1)</w:t>
      </w:r>
      <w:r w:rsidRPr="00B32A45">
        <w:tab/>
        <w:t>For section 3.73K, subject to subsection (3), E</w:t>
      </w:r>
      <w:r w:rsidRPr="00B32A45">
        <w:rPr>
          <w:vertAlign w:val="subscript"/>
        </w:rPr>
        <w:t xml:space="preserve">ijp </w:t>
      </w:r>
      <w:r w:rsidRPr="00B32A45">
        <w:t>is given by the following formula:</w:t>
      </w:r>
    </w:p>
    <w:p w:rsidR="00C17B3A" w:rsidRPr="00217B5D" w:rsidRDefault="00C17B3A" w:rsidP="00C17B3A">
      <w:pPr>
        <w:pStyle w:val="tMain"/>
        <w:spacing w:before="120" w:after="120"/>
        <w:rPr>
          <w:sz w:val="28"/>
          <w:szCs w:val="28"/>
        </w:rPr>
      </w:pPr>
      <w:r w:rsidRPr="00B32A45">
        <w:tab/>
      </w:r>
      <w:r w:rsidRPr="00217B5D">
        <w:rPr>
          <w:sz w:val="28"/>
          <w:szCs w:val="28"/>
        </w:rPr>
        <w:tab/>
        <w:t>E</w:t>
      </w:r>
      <w:r w:rsidRPr="00217B5D">
        <w:rPr>
          <w:sz w:val="28"/>
          <w:szCs w:val="28"/>
          <w:vertAlign w:val="subscript"/>
        </w:rPr>
        <w:t xml:space="preserve">ijp  </w:t>
      </w:r>
      <w:r w:rsidRPr="00217B5D">
        <w:rPr>
          <w:sz w:val="28"/>
          <w:szCs w:val="28"/>
        </w:rPr>
        <w:t>= P</w:t>
      </w:r>
      <w:r w:rsidRPr="00217B5D">
        <w:rPr>
          <w:sz w:val="28"/>
          <w:szCs w:val="28"/>
          <w:vertAlign w:val="subscript"/>
        </w:rPr>
        <w:t xml:space="preserve">k </w:t>
      </w:r>
      <w:r w:rsidRPr="00217B5D">
        <w:rPr>
          <w:sz w:val="28"/>
          <w:szCs w:val="28"/>
        </w:rPr>
        <w:t>×</w:t>
      </w:r>
      <w:r w:rsidRPr="00217B5D">
        <w:rPr>
          <w:sz w:val="28"/>
          <w:szCs w:val="28"/>
          <w:vertAlign w:val="subscript"/>
        </w:rPr>
        <w:t xml:space="preserve">  </w:t>
      </w:r>
      <w:r w:rsidRPr="00217B5D">
        <w:rPr>
          <w:sz w:val="28"/>
          <w:szCs w:val="28"/>
        </w:rPr>
        <w:t>EF</w:t>
      </w:r>
      <w:r w:rsidRPr="00217B5D">
        <w:rPr>
          <w:sz w:val="28"/>
          <w:szCs w:val="28"/>
          <w:vertAlign w:val="subscript"/>
        </w:rPr>
        <w:t xml:space="preserve">ijk </w:t>
      </w:r>
      <w:r w:rsidRPr="00217B5D">
        <w:rPr>
          <w:sz w:val="28"/>
          <w:szCs w:val="28"/>
        </w:rPr>
        <w:t>×</w:t>
      </w:r>
      <w:r w:rsidRPr="00217B5D">
        <w:rPr>
          <w:sz w:val="28"/>
          <w:szCs w:val="28"/>
          <w:vertAlign w:val="subscript"/>
        </w:rPr>
        <w:t xml:space="preserve"> </w:t>
      </w:r>
      <w:r w:rsidRPr="00217B5D">
        <w:rPr>
          <w:sz w:val="28"/>
          <w:szCs w:val="28"/>
        </w:rPr>
        <w:t>S</w:t>
      </w:r>
      <w:r w:rsidRPr="00217B5D">
        <w:rPr>
          <w:sz w:val="28"/>
          <w:szCs w:val="28"/>
          <w:vertAlign w:val="subscript"/>
        </w:rPr>
        <w:t xml:space="preserve">ij / </w:t>
      </w:r>
      <w:r w:rsidRPr="00217B5D">
        <w:rPr>
          <w:sz w:val="28"/>
          <w:szCs w:val="28"/>
        </w:rPr>
        <w:t>SD</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ijp</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pipelines during the year measured in CO</w:t>
      </w:r>
      <w:r w:rsidRPr="00B32A45">
        <w:rPr>
          <w:rStyle w:val="charSubscript"/>
          <w:iCs/>
        </w:rPr>
        <w:t>2</w:t>
      </w:r>
      <w:r w:rsidRPr="00B32A45">
        <w:noBreakHyphen/>
        <w:t>e tonnes.</w:t>
      </w:r>
    </w:p>
    <w:p w:rsidR="00C17B3A" w:rsidRPr="00B32A45" w:rsidRDefault="00C17B3A" w:rsidP="00C17B3A">
      <w:pPr>
        <w:pStyle w:val="tDefn"/>
        <w:rPr>
          <w:b/>
          <w:i/>
        </w:rPr>
      </w:pPr>
      <w:r w:rsidRPr="00B32A45">
        <w:rPr>
          <w:b/>
          <w:i/>
        </w:rPr>
        <w:t>P</w:t>
      </w:r>
      <w:r w:rsidRPr="00B32A45">
        <w:rPr>
          <w:rFonts w:ascii="Times New Roman Bold Italic" w:hAnsi="Times New Roman Bold Italic"/>
          <w:b/>
          <w:i/>
          <w:vertAlign w:val="subscript"/>
        </w:rPr>
        <w:t>k</w:t>
      </w:r>
      <w:r w:rsidRPr="00B32A45">
        <w:rPr>
          <w:b/>
          <w:i/>
        </w:rPr>
        <w:t xml:space="preserve"> </w:t>
      </w:r>
      <w:r w:rsidRPr="00B32A45">
        <w:t>is the length of the system of gathering and boosting pipelines of type (</w:t>
      </w:r>
      <w:r w:rsidRPr="00B32A45">
        <w:rPr>
          <w:rFonts w:ascii="Times" w:hAnsi="Times"/>
          <w:b/>
          <w:i/>
        </w:rPr>
        <w:t>k</w:t>
      </w:r>
      <w:r w:rsidRPr="00B32A45">
        <w:rPr>
          <w:rFonts w:ascii="Times" w:hAnsi="Times"/>
          <w:i/>
        </w:rPr>
        <w:t>)</w:t>
      </w:r>
      <w:r w:rsidRPr="00B32A45">
        <w:rPr>
          <w:i/>
        </w:rPr>
        <w:t xml:space="preserve"> </w:t>
      </w:r>
      <w:r w:rsidRPr="00B32A45">
        <w:t>during the year</w:t>
      </w:r>
      <w:r w:rsidRPr="00B32A45">
        <w:rPr>
          <w:i/>
        </w:rPr>
        <w:t xml:space="preserve"> </w:t>
      </w:r>
      <w:r w:rsidRPr="00B32A45">
        <w:t>measured in kilometres and used in the natural gas gathering and boosting.</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or carbon dioxide, measured in CO</w:t>
      </w:r>
      <w:r w:rsidRPr="00B32A45">
        <w:rPr>
          <w:rStyle w:val="charSubscript"/>
          <w:iCs/>
        </w:rPr>
        <w:t>2</w:t>
      </w:r>
      <w:r w:rsidRPr="00B32A45">
        <w:noBreakHyphen/>
        <w:t>e tonnes per tonne of natural gas that passes through each equipment type (</w:t>
      </w:r>
      <w:r w:rsidRPr="00B32A45">
        <w:rPr>
          <w:b/>
          <w:i/>
        </w:rPr>
        <w:t>k</w:t>
      </w:r>
      <w:r w:rsidRPr="00B32A45">
        <w:t>), or CO</w:t>
      </w:r>
      <w:r w:rsidRPr="00B32A45">
        <w:rPr>
          <w:rStyle w:val="charSubscript"/>
          <w:iCs/>
        </w:rPr>
        <w:t>2</w:t>
      </w:r>
      <w:r w:rsidRPr="00B32A45">
        <w:noBreakHyphen/>
        <w:t>e tonnes per kilometre of pipeline if the equipment is used in the natural gas gathering and boosting pipelines during the year.</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0.832 and for carbon dioxide SD is 0.0345.</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2"/>
        <w:gridCol w:w="2897"/>
        <w:gridCol w:w="1233"/>
        <w:gridCol w:w="2155"/>
        <w:gridCol w:w="2069"/>
      </w:tblGrid>
      <w:tr w:rsidR="00C17B3A" w:rsidRPr="00B32A45" w:rsidTr="00DB6238">
        <w:tc>
          <w:tcPr>
            <w:tcW w:w="372"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6"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2"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pPr>
            <w:r w:rsidRPr="00B32A45">
              <w:t>CH</w:t>
            </w:r>
            <w:r w:rsidRPr="00B32A45">
              <w:rPr>
                <w:vertAlign w:val="subscript"/>
              </w:rPr>
              <w:t>4</w:t>
            </w:r>
          </w:p>
        </w:tc>
        <w:tc>
          <w:tcPr>
            <w:tcW w:w="1194" w:type="pct"/>
          </w:tcPr>
          <w:p w:rsidR="00C17B3A" w:rsidRPr="00B32A45" w:rsidRDefault="00C17B3A" w:rsidP="00DB6238">
            <w:pPr>
              <w:pStyle w:val="Tabletext"/>
              <w:jc w:val="center"/>
            </w:pPr>
            <w:r w:rsidRPr="00B32A45">
              <w:t>CO</w:t>
            </w:r>
            <w:r w:rsidRPr="00B32A45">
              <w:rPr>
                <w:vertAlign w:val="subscript"/>
              </w:rPr>
              <w:t>2</w:t>
            </w:r>
          </w:p>
        </w:tc>
        <w:tc>
          <w:tcPr>
            <w:tcW w:w="1146"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Onshore gas gathering and boosting pipelines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 xml:space="preserve">6.52 </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2.65 × 10</w:t>
            </w:r>
            <w:r w:rsidRPr="00B32A45">
              <w:rPr>
                <w:vertAlign w:val="superscript"/>
              </w:rPr>
              <w:t>-2</w:t>
            </w:r>
          </w:p>
        </w:tc>
        <w:tc>
          <w:tcPr>
            <w:tcW w:w="1146"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/kilometres of pipeline</w:t>
            </w:r>
          </w:p>
        </w:tc>
      </w:tr>
    </w:tbl>
    <w:p w:rsidR="00DB1F3C" w:rsidRPr="00B32A45" w:rsidRDefault="00C17B3A" w:rsidP="00DB1F3C">
      <w:pPr>
        <w:pStyle w:val="tMain"/>
      </w:pPr>
      <w:r w:rsidRPr="00B32A45">
        <w:tab/>
        <w:t>(3)</w:t>
      </w:r>
      <w:r w:rsidRPr="00B32A45">
        <w:tab/>
        <w:t xml:space="preserve">However, </w:t>
      </w:r>
      <w:r w:rsidRPr="00B32A45">
        <w:rPr>
          <w:b/>
          <w:i/>
        </w:rPr>
        <w:t>E</w:t>
      </w:r>
      <w:r w:rsidRPr="00B32A45">
        <w:rPr>
          <w:b/>
          <w:i/>
          <w:vertAlign w:val="subscript"/>
        </w:rPr>
        <w:t>ijp</w:t>
      </w:r>
      <w:r w:rsidRPr="00B32A45">
        <w:t xml:space="preserve"> may also be calculated by the method in section 3.73LB.</w:t>
      </w:r>
    </w:p>
    <w:p w:rsidR="00DB1F3C" w:rsidRPr="00B32A45" w:rsidRDefault="00DB1F3C" w:rsidP="00DB1F3C">
      <w:pPr>
        <w:pStyle w:val="nMain"/>
      </w:pPr>
      <w:r w:rsidRPr="00B32A45">
        <w:t>Note:</w:t>
      </w:r>
      <w:r w:rsidRPr="00B32A45">
        <w:tab/>
      </w:r>
      <w:r>
        <w:t xml:space="preserve">Calculating this parameter for method 1 under section 3.73LB does not trigger the requirements in </w:t>
      </w:r>
      <w:r w:rsidR="000A4DBC">
        <w:t xml:space="preserve">subsection </w:t>
      </w:r>
      <w:r w:rsidR="00713A3F">
        <w:t>3.73J(3) to use method 2 for other emissions sources</w:t>
      </w:r>
      <w:r>
        <w:t xml:space="preserve">. </w:t>
      </w:r>
    </w:p>
    <w:p w:rsidR="00DB1F3C" w:rsidRPr="00B32A45" w:rsidRDefault="00DB1F3C" w:rsidP="00C17B3A">
      <w:pPr>
        <w:pStyle w:val="tMain"/>
      </w:pPr>
    </w:p>
    <w:p w:rsidR="00C17B3A" w:rsidRPr="00B32A45" w:rsidRDefault="00C17B3A" w:rsidP="00C17B3A">
      <w:pPr>
        <w:pStyle w:val="h5Section"/>
      </w:pPr>
      <w:bookmarkStart w:id="76" w:name="_Toc486862085"/>
      <w:r w:rsidRPr="00B32A45">
        <w:rPr>
          <w:rStyle w:val="CharSectno"/>
        </w:rPr>
        <w:t>3.73L</w:t>
      </w:r>
      <w:r w:rsidR="00693350">
        <w:t xml:space="preserve">  Method 2—n</w:t>
      </w:r>
      <w:r w:rsidRPr="00B32A45">
        <w:t xml:space="preserve">atural gas gathering and boosting (other than venting and flaring) </w:t>
      </w:r>
    </w:p>
    <w:p w:rsidR="00C17B3A" w:rsidRPr="00B32A45" w:rsidRDefault="00C17B3A" w:rsidP="00C17B3A">
      <w:pPr>
        <w:pStyle w:val="tMain"/>
      </w:pPr>
      <w:r w:rsidRPr="00B32A45">
        <w:tab/>
      </w:r>
      <w:r w:rsidRPr="00B32A45">
        <w:tab/>
        <w:t>Method 2 is:</w:t>
      </w:r>
    </w:p>
    <w:p w:rsidR="00C17B3A" w:rsidRPr="00217B5D" w:rsidRDefault="00C17B3A" w:rsidP="00C17B3A">
      <w:pPr>
        <w:pStyle w:val="tMain"/>
        <w:ind w:firstLine="0"/>
        <w:rPr>
          <w:sz w:val="28"/>
          <w:szCs w:val="28"/>
        </w:rPr>
      </w:pPr>
      <w:r w:rsidRPr="00217B5D">
        <w:rPr>
          <w:sz w:val="28"/>
          <w:szCs w:val="28"/>
        </w:rPr>
        <w:t>E</w:t>
      </w:r>
      <w:r w:rsidRPr="00217B5D">
        <w:rPr>
          <w:sz w:val="28"/>
          <w:szCs w:val="28"/>
          <w:vertAlign w:val="subscript"/>
        </w:rPr>
        <w:t xml:space="preserve">ij </w:t>
      </w:r>
      <w:r w:rsidRPr="00217B5D">
        <w:rPr>
          <w:sz w:val="28"/>
          <w:szCs w:val="28"/>
        </w:rPr>
        <w:t>= E</w:t>
      </w:r>
      <w:r w:rsidRPr="00217B5D">
        <w:rPr>
          <w:sz w:val="28"/>
          <w:szCs w:val="28"/>
          <w:vertAlign w:val="subscript"/>
        </w:rPr>
        <w:t>ijs</w:t>
      </w:r>
      <w:r w:rsidRPr="00217B5D">
        <w:rPr>
          <w:sz w:val="28"/>
          <w:szCs w:val="28"/>
        </w:rPr>
        <w:t xml:space="preserve"> + E</w:t>
      </w:r>
      <w:r w:rsidRPr="00217B5D">
        <w:rPr>
          <w:sz w:val="28"/>
          <w:szCs w:val="28"/>
          <w:vertAlign w:val="subscript"/>
        </w:rPr>
        <w:t>ijp</w:t>
      </w:r>
    </w:p>
    <w:p w:rsidR="00C17B3A" w:rsidRPr="00B32A45" w:rsidRDefault="00C17B3A" w:rsidP="00C17B3A">
      <w:pPr>
        <w:pStyle w:val="subsection2"/>
      </w:pP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during the year measured in CO</w:t>
      </w:r>
      <w:r w:rsidRPr="00B32A45">
        <w:rPr>
          <w:rStyle w:val="charSubscript"/>
          <w:iCs/>
        </w:rPr>
        <w:t>2</w:t>
      </w:r>
      <w:r w:rsidRPr="00B32A45">
        <w:noBreakHyphen/>
        <w:t>e tonnes.</w:t>
      </w:r>
    </w:p>
    <w:p w:rsidR="00C17B3A" w:rsidRPr="00B32A45" w:rsidRDefault="00C17B3A" w:rsidP="00C17B3A">
      <w:pPr>
        <w:pStyle w:val="tMain"/>
        <w:ind w:firstLine="0"/>
      </w:pPr>
      <w:r w:rsidRPr="00B32A45">
        <w:rPr>
          <w:b/>
          <w:i/>
        </w:rPr>
        <w:lastRenderedPageBreak/>
        <w:t>E</w:t>
      </w:r>
      <w:r w:rsidRPr="00B32A45">
        <w:rPr>
          <w:b/>
          <w:i/>
          <w:vertAlign w:val="subscript"/>
        </w:rPr>
        <w:t xml:space="preserve">ijs   </w:t>
      </w:r>
      <w:r w:rsidRPr="00B32A45">
        <w:t>is the fugitive emissions (other than emissions that are vented or flared) of gas type (</w:t>
      </w:r>
      <w:r w:rsidRPr="00B32A45">
        <w:rPr>
          <w:b/>
          <w:i/>
        </w:rPr>
        <w:t>j</w:t>
      </w:r>
      <w:r w:rsidRPr="00B32A45">
        <w:t>), being methane or carbon dioxide, from the natural gas gathering and boosting stations (</w:t>
      </w:r>
      <w:r w:rsidRPr="00B32A45">
        <w:rPr>
          <w:b/>
          <w:i/>
        </w:rPr>
        <w:t>s</w:t>
      </w:r>
      <w:r w:rsidRPr="00B32A45">
        <w:t>) during the year measured in CO</w:t>
      </w:r>
      <w:r w:rsidRPr="00B32A45">
        <w:rPr>
          <w:rStyle w:val="charSubscript"/>
          <w:iCs/>
        </w:rPr>
        <w:t>2</w:t>
      </w:r>
      <w:r w:rsidRPr="00B32A45">
        <w:noBreakHyphen/>
        <w:t xml:space="preserve">e tonnes given by section 3.73LA. </w:t>
      </w:r>
    </w:p>
    <w:p w:rsidR="00C17B3A" w:rsidRPr="00B32A45" w:rsidRDefault="00C17B3A" w:rsidP="00C17B3A">
      <w:pPr>
        <w:pStyle w:val="tMain"/>
        <w:ind w:firstLine="0"/>
        <w:rPr>
          <w:rFonts w:ascii="Times New Roman Bold Italic" w:hAnsi="Times New Roman Bold Italic"/>
        </w:rPr>
      </w:pPr>
      <w:r w:rsidRPr="00B32A45">
        <w:rPr>
          <w:b/>
          <w:i/>
        </w:rPr>
        <w:t>E</w:t>
      </w:r>
      <w:r w:rsidRPr="00B32A45">
        <w:rPr>
          <w:b/>
          <w:i/>
          <w:vertAlign w:val="subscript"/>
        </w:rPr>
        <w:t xml:space="preserve">ijp   </w:t>
      </w:r>
      <w:r w:rsidRPr="00B32A45">
        <w:t>is the fugitive emissions (other than emissions that are vented or flared) of gas type (</w:t>
      </w:r>
      <w:r w:rsidRPr="00B32A45">
        <w:rPr>
          <w:b/>
          <w:i/>
        </w:rPr>
        <w:t>j</w:t>
      </w:r>
      <w:r w:rsidRPr="00B32A45">
        <w:t>), being methane or carbon dioxide, from the natural gas gathering and boosting pipelines (</w:t>
      </w:r>
      <w:r w:rsidRPr="00B32A45">
        <w:rPr>
          <w:b/>
          <w:i/>
        </w:rPr>
        <w:t>p</w:t>
      </w:r>
      <w:r w:rsidRPr="00B32A45">
        <w:t>) during the year measured in CO</w:t>
      </w:r>
      <w:r w:rsidRPr="00B32A45">
        <w:rPr>
          <w:rStyle w:val="charSubscript"/>
          <w:iCs/>
        </w:rPr>
        <w:t>2</w:t>
      </w:r>
      <w:r w:rsidRPr="00B32A45">
        <w:noBreakHyphen/>
        <w:t xml:space="preserve">e tonnes, given by section 3.73LB. </w:t>
      </w:r>
      <w:r w:rsidRPr="00B32A45">
        <w:rPr>
          <w:rFonts w:ascii="Times New Roman Bold Italic" w:hAnsi="Times New Roman Bold Italic"/>
        </w:rPr>
        <w:t xml:space="preserve"> </w:t>
      </w:r>
    </w:p>
    <w:p w:rsidR="00C17B3A" w:rsidRPr="00B32A45" w:rsidRDefault="00C17B3A" w:rsidP="00C17B3A">
      <w:pPr>
        <w:pStyle w:val="h5Section"/>
      </w:pPr>
      <w:r w:rsidRPr="00B32A45">
        <w:rPr>
          <w:rStyle w:val="CharSectno"/>
        </w:rPr>
        <w:t>3.73LA</w:t>
      </w:r>
      <w:r w:rsidR="00693350">
        <w:t xml:space="preserve">  Method 2—n</w:t>
      </w:r>
      <w:r w:rsidRPr="00B32A45">
        <w:t xml:space="preserve">atural gas gathering and boosting, other than emissions that are vented or flared—natural gas gathering and boosting stations </w:t>
      </w:r>
    </w:p>
    <w:p w:rsidR="00C17B3A" w:rsidRPr="00B32A45" w:rsidRDefault="00C17B3A" w:rsidP="00C17B3A">
      <w:pPr>
        <w:pStyle w:val="tMain"/>
      </w:pPr>
      <w:r w:rsidRPr="00B32A45">
        <w:tab/>
        <w:t>(1)</w:t>
      </w:r>
      <w:r w:rsidRPr="00B32A45">
        <w:tab/>
        <w:t xml:space="preserve">For section 3.73L, </w:t>
      </w:r>
      <w:r w:rsidRPr="00B32A45">
        <w:rPr>
          <w:i/>
        </w:rPr>
        <w:t>E</w:t>
      </w:r>
      <w:r w:rsidRPr="00B32A45">
        <w:rPr>
          <w:i/>
          <w:vertAlign w:val="subscript"/>
        </w:rPr>
        <w:t>ijs</w:t>
      </w:r>
      <w:r w:rsidRPr="00B32A45">
        <w:rPr>
          <w:vertAlign w:val="subscript"/>
        </w:rPr>
        <w:t xml:space="preserve"> </w:t>
      </w:r>
      <w:r w:rsidRPr="00B32A45">
        <w:t>is given by the following formula:</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 xml:space="preserve"> E</w:t>
      </w:r>
      <w:r w:rsidRPr="00217B5D">
        <w:rPr>
          <w:sz w:val="28"/>
          <w:szCs w:val="28"/>
          <w:vertAlign w:val="subscript"/>
        </w:rPr>
        <w:t xml:space="preserve">ijs </w:t>
      </w:r>
      <w:r w:rsidRPr="00217B5D">
        <w:rPr>
          <w:sz w:val="28"/>
          <w:szCs w:val="28"/>
        </w:rPr>
        <w:t>= ∑</w:t>
      </w:r>
      <w:r w:rsidRPr="00217B5D">
        <w:rPr>
          <w:sz w:val="28"/>
          <w:szCs w:val="28"/>
          <w:vertAlign w:val="subscript"/>
        </w:rPr>
        <w:t xml:space="preserve">k </w:t>
      </w:r>
      <w:r w:rsidRPr="00217B5D">
        <w:rPr>
          <w:sz w:val="28"/>
          <w:szCs w:val="28"/>
        </w:rPr>
        <w:t>(T</w:t>
      </w:r>
      <w:r w:rsidRPr="00217B5D">
        <w:rPr>
          <w:sz w:val="28"/>
          <w:szCs w:val="28"/>
          <w:vertAlign w:val="subscript"/>
        </w:rPr>
        <w:t>ik</w:t>
      </w:r>
      <w:r w:rsidRPr="00217B5D">
        <w:rPr>
          <w:sz w:val="28"/>
          <w:szCs w:val="28"/>
        </w:rPr>
        <w:t xml:space="preserve"> × N</w:t>
      </w:r>
      <w:r w:rsidRPr="00217B5D">
        <w:rPr>
          <w:sz w:val="28"/>
          <w:szCs w:val="28"/>
          <w:vertAlign w:val="subscript"/>
        </w:rPr>
        <w:t>ik</w:t>
      </w:r>
      <w:r w:rsidRPr="00217B5D">
        <w:rPr>
          <w:sz w:val="28"/>
          <w:szCs w:val="28"/>
        </w:rPr>
        <w:t xml:space="preserve"> ×EF</w:t>
      </w:r>
      <w:r w:rsidRPr="00217B5D">
        <w:rPr>
          <w:sz w:val="28"/>
          <w:szCs w:val="28"/>
          <w:vertAlign w:val="subscript"/>
        </w:rPr>
        <w:t>ijk</w:t>
      </w:r>
      <w:r w:rsidRPr="00217B5D">
        <w:rPr>
          <w:sz w:val="28"/>
          <w:szCs w:val="28"/>
        </w:rPr>
        <w:t>) ×</w:t>
      </w:r>
      <w:r w:rsidRPr="00217B5D">
        <w:rPr>
          <w:sz w:val="28"/>
          <w:szCs w:val="28"/>
          <w:vertAlign w:val="subscript"/>
        </w:rPr>
        <w:t xml:space="preserve"> </w:t>
      </w:r>
      <w:r w:rsidRPr="00217B5D">
        <w:rPr>
          <w:sz w:val="28"/>
          <w:szCs w:val="28"/>
        </w:rPr>
        <w:t>S</w:t>
      </w:r>
      <w:r w:rsidRPr="00217B5D">
        <w:rPr>
          <w:sz w:val="28"/>
          <w:szCs w:val="28"/>
          <w:vertAlign w:val="subscript"/>
        </w:rPr>
        <w:t xml:space="preserve">ij / </w:t>
      </w:r>
      <w:r w:rsidRPr="00217B5D">
        <w:rPr>
          <w:sz w:val="28"/>
          <w:szCs w:val="28"/>
        </w:rPr>
        <w:t>SD</w:t>
      </w:r>
      <w:r w:rsidRPr="00217B5D">
        <w:rPr>
          <w:sz w:val="28"/>
          <w:szCs w:val="28"/>
          <w:vertAlign w:val="subscript"/>
        </w:rPr>
        <w:t xml:space="preserve">ij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ijs</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stations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if the equipment is used in the natural gas gathering and boosting station.</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the equipment of each equipment type (</w:t>
      </w:r>
      <w:r w:rsidRPr="00B32A45">
        <w:rPr>
          <w:b/>
          <w:i/>
        </w:rPr>
        <w:t>k</w:t>
      </w:r>
      <w:r w:rsidRPr="00B32A45">
        <w:t>), if the equipment is used in the natural gas gathering and boosting station during the year.</w:t>
      </w:r>
    </w:p>
    <w:p w:rsidR="00360904" w:rsidRPr="00B32A45" w:rsidRDefault="00C17B3A" w:rsidP="00360904">
      <w:pPr>
        <w:pStyle w:val="tDefn"/>
      </w:pPr>
      <w:r w:rsidRPr="00B32A45">
        <w:rPr>
          <w:b/>
          <w:i/>
        </w:rPr>
        <w:t>N</w:t>
      </w:r>
      <w:r w:rsidRPr="00B32A45">
        <w:rPr>
          <w:b/>
          <w:i/>
          <w:vertAlign w:val="subscript"/>
        </w:rPr>
        <w:t>ik</w:t>
      </w:r>
      <w:r w:rsidRPr="00B32A45">
        <w:rPr>
          <w:b/>
          <w:i/>
        </w:rPr>
        <w:t xml:space="preserve"> </w:t>
      </w:r>
      <w:r w:rsidRPr="00B32A45">
        <w:t>is the total number of equipment units of each equipment type (</w:t>
      </w:r>
      <w:r w:rsidRPr="00B32A45">
        <w:rPr>
          <w:b/>
          <w:i/>
        </w:rPr>
        <w:t>k</w:t>
      </w:r>
      <w:r w:rsidRPr="00B32A45">
        <w:t>)</w:t>
      </w:r>
      <w:r w:rsidR="009B2547">
        <w:t>,</w:t>
      </w:r>
      <w:r w:rsidRPr="00B32A45">
        <w:t xml:space="preserve"> if the equipment type is used in the natural gas gathering and boosting station during the year.</w:t>
      </w:r>
    </w:p>
    <w:p w:rsidR="00360904" w:rsidRPr="00B32A45" w:rsidRDefault="00360904" w:rsidP="00360904">
      <w:pPr>
        <w:pStyle w:val="nMain"/>
      </w:pPr>
      <w:r w:rsidRPr="00B32A45">
        <w:t>Note:</w:t>
      </w:r>
      <w:r w:rsidRPr="00B32A45">
        <w:tab/>
      </w:r>
      <w:r w:rsidR="009305BF">
        <w:t>Consistent with subsection 3</w:t>
      </w:r>
      <w:r>
        <w:t xml:space="preserve">.41(2), </w:t>
      </w:r>
      <w:r w:rsidR="004F437B">
        <w:t xml:space="preserve">emissions associated with </w:t>
      </w:r>
      <w:r w:rsidR="004F437B" w:rsidRPr="004F437B">
        <w:t>any piece of equipment</w:t>
      </w:r>
      <w:r w:rsidR="004F437B">
        <w:t xml:space="preserve"> included in this definition</w:t>
      </w:r>
      <w:r w:rsidR="004F437B" w:rsidRPr="004F437B">
        <w:t xml:space="preserve"> should not be counted under this section if those emissions are also counted</w:t>
      </w:r>
      <w:r w:rsidR="004F437B">
        <w:t xml:space="preserve"> as equipment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or carbon dioxide, measured in CO</w:t>
      </w:r>
      <w:r w:rsidRPr="00B32A45">
        <w:rPr>
          <w:rStyle w:val="charSubscript"/>
          <w:iCs/>
        </w:rPr>
        <w:t>2</w:t>
      </w:r>
      <w:r w:rsidRPr="00B32A45">
        <w:noBreakHyphen/>
        <w:t>e tonnes per equipment type (</w:t>
      </w:r>
      <w:r w:rsidRPr="00B32A45">
        <w:rPr>
          <w:b/>
          <w:i/>
        </w:rPr>
        <w:t>k</w:t>
      </w:r>
      <w:r w:rsidRPr="00B32A45">
        <w:t>) – hour as determined under subsection (2), if the equipment is used in the natural gas gathering and boosting station.</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being methane or carbon dioxide, in the unprocessed gas (</w:t>
      </w:r>
      <w:r w:rsidRPr="00B32A45">
        <w:rPr>
          <w:b/>
          <w:i/>
        </w:rPr>
        <w:t>i</w:t>
      </w:r>
      <w:r w:rsidRPr="00B32A45">
        <w:t xml:space="preserve">), by volume, passing through the gathering and boosting station measured in accordance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2B7374"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002B7374">
        <w:t>in subsection (1):</w:t>
      </w:r>
      <w:r w:rsidRPr="00B32A45">
        <w:t xml:space="preserve"> </w:t>
      </w:r>
    </w:p>
    <w:p w:rsidR="00C17B3A" w:rsidRPr="00B32A45" w:rsidRDefault="002B7374" w:rsidP="000A4DBC">
      <w:pPr>
        <w:pStyle w:val="tPara"/>
      </w:pPr>
      <w:r>
        <w:tab/>
        <w:t>(a)</w:t>
      </w:r>
      <w:r>
        <w:tab/>
      </w:r>
      <w:r w:rsidR="00C17B3A" w:rsidRPr="00B32A45">
        <w:t>column 3 of an item in the following table specifies the emission factor for methane (</w:t>
      </w:r>
      <w:r w:rsidR="00C17B3A" w:rsidRPr="00B32A45">
        <w:rPr>
          <w:b/>
          <w:i/>
        </w:rPr>
        <w:t>j</w:t>
      </w:r>
      <w:r w:rsidR="00C17B3A" w:rsidRPr="00B32A45">
        <w:t>) for an equipment type (</w:t>
      </w:r>
      <w:r w:rsidR="00C17B3A" w:rsidRPr="00B32A45">
        <w:rPr>
          <w:b/>
          <w:i/>
        </w:rPr>
        <w:t>k</w:t>
      </w:r>
      <w:r w:rsidR="00C17B3A" w:rsidRPr="00B32A45">
        <w:t>) specified in column 2 of that item and column 4 of an item in the following table specifies the emission factor for carbon dioxide (</w:t>
      </w:r>
      <w:r w:rsidR="00C17B3A" w:rsidRPr="00B32A45">
        <w:rPr>
          <w:b/>
          <w:i/>
        </w:rPr>
        <w:t>j</w:t>
      </w:r>
      <w:r w:rsidR="00C17B3A" w:rsidRPr="00B32A45">
        <w:t>) for an equipment type (</w:t>
      </w:r>
      <w:r w:rsidR="00C17B3A" w:rsidRPr="00B32A45">
        <w:rPr>
          <w:b/>
          <w:i/>
        </w:rPr>
        <w:t>k</w:t>
      </w:r>
      <w:r w:rsidR="00C17B3A" w:rsidRPr="00B32A45">
        <w:t>) spec</w:t>
      </w:r>
      <w:r w:rsidR="000A4DB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9"/>
        <w:gridCol w:w="2897"/>
        <w:gridCol w:w="1358"/>
        <w:gridCol w:w="1966"/>
        <w:gridCol w:w="65"/>
        <w:gridCol w:w="2071"/>
      </w:tblGrid>
      <w:tr w:rsidR="00C17B3A" w:rsidRPr="00B32A45" w:rsidTr="000A4DBC">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3"/>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0A4DBC">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752" w:type="pct"/>
          </w:tcPr>
          <w:p w:rsidR="00C17B3A" w:rsidRPr="00B32A45" w:rsidRDefault="00C17B3A" w:rsidP="00DB6238">
            <w:pPr>
              <w:pStyle w:val="Tabletext"/>
              <w:jc w:val="center"/>
            </w:pPr>
            <w:r w:rsidRPr="00B32A45">
              <w:t>CH</w:t>
            </w:r>
            <w:r w:rsidRPr="00B32A45">
              <w:rPr>
                <w:vertAlign w:val="subscript"/>
              </w:rPr>
              <w:t>4</w:t>
            </w:r>
          </w:p>
        </w:tc>
        <w:tc>
          <w:tcPr>
            <w:tcW w:w="1125" w:type="pct"/>
            <w:gridSpan w:val="2"/>
          </w:tcPr>
          <w:p w:rsidR="00C17B3A" w:rsidRPr="00B32A45" w:rsidRDefault="00C17B3A" w:rsidP="00DB6238">
            <w:pPr>
              <w:pStyle w:val="Tabletext"/>
              <w:jc w:val="center"/>
            </w:pPr>
            <w:r w:rsidRPr="00B32A45">
              <w:t>CO</w:t>
            </w:r>
            <w:r w:rsidRPr="00B32A45">
              <w:rPr>
                <w:vertAlign w:val="subscript"/>
              </w:rPr>
              <w:t>2</w:t>
            </w:r>
          </w:p>
        </w:tc>
        <w:tc>
          <w:tcPr>
            <w:tcW w:w="1147"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separators</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1.24 × 10</w:t>
            </w:r>
            <w:r w:rsidRPr="00B32A45">
              <w:rPr>
                <w:vertAlign w:val="superscript"/>
              </w:rPr>
              <w:t>-3</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3.08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lastRenderedPageBreak/>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Gas heaters</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1.29 × 10</w:t>
            </w:r>
            <w:r w:rsidRPr="00B32A45">
              <w:rPr>
                <w:vertAlign w:val="superscript"/>
              </w:rPr>
              <w:t>-3</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3.20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Reciprocating compressor</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4.60 × 10</w:t>
            </w:r>
            <w:r w:rsidRPr="00B32A45">
              <w:rPr>
                <w:vertAlign w:val="superscript"/>
              </w:rPr>
              <w:t>-2</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1.14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Screw compressor</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2.88 × 10</w:t>
            </w:r>
            <w:r w:rsidRPr="00B32A45">
              <w:rPr>
                <w:vertAlign w:val="superscript"/>
              </w:rPr>
              <w:t>-2</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7.15 × 10</w:t>
            </w:r>
            <w:r w:rsidRPr="00B32A45">
              <w:rPr>
                <w:vertAlign w:val="superscript"/>
              </w:rPr>
              <w:t>-5</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90493F" w:rsidP="00DB6238">
            <w:pPr>
              <w:pStyle w:val="Tabletext"/>
              <w:jc w:val="center"/>
            </w:pPr>
            <w:r>
              <w:t>Metering installation and associated piping</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9.86 × 10</w:t>
            </w:r>
            <w:r w:rsidRPr="00B32A45">
              <w:rPr>
                <w:vertAlign w:val="superscript"/>
              </w:rPr>
              <w:t>-4</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Dehydrators</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2.00 × 10</w:t>
            </w:r>
            <w:r w:rsidRPr="00B32A45">
              <w:rPr>
                <w:vertAlign w:val="superscript"/>
              </w:rPr>
              <w:t>-3</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4.96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bl>
    <w:p w:rsidR="00C17B3A" w:rsidRPr="00B32A45" w:rsidRDefault="00C17B3A" w:rsidP="002B7374">
      <w:pPr>
        <w:pStyle w:val="tPara"/>
      </w:pPr>
      <w:r w:rsidRPr="00B32A45">
        <w:tab/>
        <w:t xml:space="preserve"> </w:t>
      </w:r>
      <w:r w:rsidR="002B7374">
        <w:t>(b)</w:t>
      </w:r>
      <w:r w:rsidR="002B7374">
        <w:tab/>
        <w:t xml:space="preserve">if </w:t>
      </w:r>
      <w:r w:rsidR="002B7374" w:rsidRPr="00B32A45">
        <w:t xml:space="preserve">the manufacturer of the </w:t>
      </w:r>
      <w:r w:rsidR="002B7374" w:rsidRPr="002B7374">
        <w:t>equipment</w:t>
      </w:r>
      <w:r w:rsidR="002B7374" w:rsidRPr="00B32A45">
        <w:rPr>
          <w:szCs w:val="22"/>
        </w:rPr>
        <w:t xml:space="preserve"> </w:t>
      </w:r>
      <w:r w:rsidR="002B7374" w:rsidRPr="00B32A45">
        <w:t xml:space="preserve">supplies </w:t>
      </w:r>
      <w:r w:rsidR="002B7374">
        <w:rPr>
          <w:szCs w:val="22"/>
        </w:rPr>
        <w:t>equipment</w:t>
      </w:r>
      <w:r w:rsidR="002B7374" w:rsidRPr="00B32A45">
        <w:noBreakHyphen/>
        <w:t xml:space="preserve">specific emission factors for the </w:t>
      </w:r>
      <w:r w:rsidR="002B7374">
        <w:rPr>
          <w:szCs w:val="22"/>
        </w:rPr>
        <w:t>equipment</w:t>
      </w:r>
      <w:r w:rsidR="002B7374" w:rsidRPr="00B32A45">
        <w:rPr>
          <w:szCs w:val="22"/>
        </w:rPr>
        <w:t xml:space="preserve"> </w:t>
      </w:r>
      <w:r w:rsidR="002B7374" w:rsidRPr="00B32A45">
        <w:t>type—those factors</w:t>
      </w:r>
      <w:r w:rsidR="002B7374">
        <w:t xml:space="preserve"> are the relevant emissions factors.</w:t>
      </w:r>
    </w:p>
    <w:p w:rsidR="00C17B3A" w:rsidRPr="00B32A45" w:rsidRDefault="00C17B3A" w:rsidP="00C17B3A">
      <w:pPr>
        <w:pStyle w:val="tMain"/>
        <w:rPr>
          <w:b/>
          <w:kern w:val="28"/>
          <w:sz w:val="24"/>
        </w:rPr>
      </w:pPr>
      <w:r w:rsidRPr="00B32A45">
        <w:tab/>
      </w:r>
      <w:r w:rsidR="00693350">
        <w:rPr>
          <w:b/>
          <w:kern w:val="28"/>
          <w:sz w:val="24"/>
        </w:rPr>
        <w:t>3.73LB Method 2—o</w:t>
      </w:r>
      <w:r w:rsidRPr="00B32A45">
        <w:rPr>
          <w:b/>
          <w:kern w:val="28"/>
          <w:sz w:val="24"/>
        </w:rPr>
        <w:t>nshore natural gas production, other than emissions that are vented or flared—onshore gas gathering and boosting pipelines</w:t>
      </w:r>
    </w:p>
    <w:p w:rsidR="00C17B3A" w:rsidRPr="00B32A45" w:rsidRDefault="00C17B3A" w:rsidP="00C17B3A">
      <w:pPr>
        <w:pStyle w:val="tMain"/>
      </w:pPr>
      <w:r w:rsidRPr="00B32A45">
        <w:tab/>
        <w:t>(1)</w:t>
      </w:r>
      <w:r w:rsidRPr="00B32A45">
        <w:tab/>
        <w:t xml:space="preserve">For section 3.73L and subsection 3.73M(1), </w:t>
      </w:r>
      <w:r w:rsidRPr="00B32A45">
        <w:rPr>
          <w:i/>
        </w:rPr>
        <w:t>E</w:t>
      </w:r>
      <w:r w:rsidRPr="00B32A45">
        <w:rPr>
          <w:i/>
          <w:vertAlign w:val="subscript"/>
        </w:rPr>
        <w:t>ijp</w:t>
      </w:r>
      <w:r w:rsidRPr="00B32A45">
        <w:rPr>
          <w:vertAlign w:val="subscript"/>
        </w:rPr>
        <w:t xml:space="preserve"> </w:t>
      </w:r>
      <w:r w:rsidRPr="00B32A45">
        <w:t>is given by the following formula:</w:t>
      </w:r>
    </w:p>
    <w:p w:rsidR="00C17B3A" w:rsidRPr="00217B5D" w:rsidRDefault="00C17B3A" w:rsidP="00C17B3A">
      <w:pPr>
        <w:pStyle w:val="tMain"/>
        <w:spacing w:before="120" w:after="120"/>
        <w:rPr>
          <w:sz w:val="28"/>
          <w:szCs w:val="28"/>
        </w:rPr>
      </w:pPr>
      <w:r w:rsidRPr="00217B5D">
        <w:rPr>
          <w:sz w:val="28"/>
          <w:szCs w:val="28"/>
        </w:rPr>
        <w:tab/>
      </w:r>
      <w:r w:rsidRPr="00217B5D">
        <w:rPr>
          <w:sz w:val="28"/>
          <w:szCs w:val="28"/>
        </w:rPr>
        <w:tab/>
        <w:t>E</w:t>
      </w:r>
      <w:r w:rsidRPr="00217B5D">
        <w:rPr>
          <w:sz w:val="28"/>
          <w:szCs w:val="28"/>
          <w:vertAlign w:val="subscript"/>
        </w:rPr>
        <w:t xml:space="preserve">ijp </w:t>
      </w:r>
      <w:r w:rsidRPr="00217B5D">
        <w:rPr>
          <w:sz w:val="28"/>
          <w:szCs w:val="28"/>
        </w:rPr>
        <w:t>= ∑</w:t>
      </w:r>
      <w:r w:rsidRPr="00217B5D">
        <w:rPr>
          <w:sz w:val="28"/>
          <w:szCs w:val="28"/>
          <w:vertAlign w:val="subscript"/>
        </w:rPr>
        <w:t xml:space="preserve">k </w:t>
      </w:r>
      <w:r w:rsidRPr="00217B5D">
        <w:rPr>
          <w:sz w:val="28"/>
          <w:szCs w:val="28"/>
        </w:rPr>
        <w:t>T</w:t>
      </w:r>
      <w:r w:rsidRPr="00217B5D">
        <w:rPr>
          <w:sz w:val="28"/>
          <w:szCs w:val="28"/>
          <w:vertAlign w:val="subscript"/>
        </w:rPr>
        <w:t>ik</w:t>
      </w:r>
      <w:r w:rsidRPr="00217B5D">
        <w:rPr>
          <w:sz w:val="28"/>
          <w:szCs w:val="28"/>
        </w:rPr>
        <w:t xml:space="preserve"> × P</w:t>
      </w:r>
      <w:r w:rsidRPr="00217B5D">
        <w:rPr>
          <w:sz w:val="28"/>
          <w:szCs w:val="28"/>
          <w:vertAlign w:val="subscript"/>
        </w:rPr>
        <w:t>k</w:t>
      </w:r>
      <w:r w:rsidRPr="00217B5D">
        <w:rPr>
          <w:sz w:val="28"/>
          <w:szCs w:val="28"/>
        </w:rPr>
        <w:t xml:space="preserve"> × EF</w:t>
      </w:r>
      <w:r w:rsidRPr="00217B5D">
        <w:rPr>
          <w:sz w:val="28"/>
          <w:szCs w:val="28"/>
          <w:vertAlign w:val="subscript"/>
        </w:rPr>
        <w:t>ijk</w:t>
      </w:r>
      <w:r w:rsidRPr="00217B5D">
        <w:rPr>
          <w:sz w:val="28"/>
          <w:szCs w:val="28"/>
        </w:rPr>
        <w:t xml:space="preserve"> ×</w:t>
      </w:r>
      <w:r w:rsidRPr="00217B5D">
        <w:rPr>
          <w:sz w:val="28"/>
          <w:szCs w:val="28"/>
          <w:vertAlign w:val="subscript"/>
        </w:rPr>
        <w:t xml:space="preserve"> </w:t>
      </w:r>
      <w:r w:rsidRPr="00217B5D">
        <w:rPr>
          <w:sz w:val="28"/>
          <w:szCs w:val="28"/>
        </w:rPr>
        <w:t>S</w:t>
      </w:r>
      <w:r w:rsidRPr="00217B5D">
        <w:rPr>
          <w:sz w:val="28"/>
          <w:szCs w:val="28"/>
          <w:vertAlign w:val="subscript"/>
        </w:rPr>
        <w:t>ij /</w:t>
      </w:r>
      <w:r w:rsidRPr="00217B5D">
        <w:rPr>
          <w:sz w:val="28"/>
          <w:szCs w:val="28"/>
        </w:rPr>
        <w:t>SD</w:t>
      </w:r>
      <w:r w:rsidRPr="00217B5D">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ijp</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pipelines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natural gas gathering and boosting.</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the equipment of each equipment type (</w:t>
      </w:r>
      <w:r w:rsidRPr="00B32A45">
        <w:rPr>
          <w:b/>
          <w:i/>
        </w:rPr>
        <w:t>k</w:t>
      </w:r>
      <w:r w:rsidRPr="00B32A45">
        <w:t>) specified in column 2 of the table in subsection (2), if the equipment is used in natural gas gathering and boosting during the year.</w:t>
      </w:r>
    </w:p>
    <w:p w:rsidR="00C17B3A" w:rsidRPr="00B32A45" w:rsidRDefault="00C17B3A" w:rsidP="00C17B3A">
      <w:pPr>
        <w:pStyle w:val="tDefn"/>
        <w:rPr>
          <w:b/>
          <w:i/>
        </w:rPr>
      </w:pPr>
      <w:r w:rsidRPr="00B32A45">
        <w:rPr>
          <w:b/>
          <w:i/>
        </w:rPr>
        <w:t>P</w:t>
      </w:r>
      <w:r w:rsidRPr="00B32A45">
        <w:rPr>
          <w:rFonts w:ascii="Times New Roman Bold Italic" w:hAnsi="Times New Roman Bold Italic"/>
          <w:b/>
          <w:i/>
          <w:vertAlign w:val="subscript"/>
        </w:rPr>
        <w:t>k</w:t>
      </w:r>
      <w:r w:rsidRPr="00B32A45">
        <w:rPr>
          <w:b/>
          <w:i/>
        </w:rPr>
        <w:t xml:space="preserve"> </w:t>
      </w:r>
      <w:r w:rsidRPr="00B32A45">
        <w:t>is the length of the system of gathering and boosting pipelines of type (</w:t>
      </w:r>
      <w:r w:rsidRPr="00B32A45">
        <w:rPr>
          <w:rFonts w:ascii="Times" w:hAnsi="Times"/>
          <w:b/>
          <w:i/>
        </w:rPr>
        <w:t>k</w:t>
      </w:r>
      <w:r w:rsidRPr="00B32A45">
        <w:rPr>
          <w:rFonts w:ascii="Times" w:hAnsi="Times"/>
          <w:i/>
        </w:rPr>
        <w:t>)</w:t>
      </w:r>
      <w:r w:rsidRPr="00B32A45">
        <w:rPr>
          <w:i/>
        </w:rPr>
        <w:t xml:space="preserve"> </w:t>
      </w:r>
      <w:r w:rsidRPr="00B32A45">
        <w:t>during the year</w:t>
      </w:r>
      <w:r w:rsidRPr="00B32A45">
        <w:rPr>
          <w:i/>
        </w:rPr>
        <w:t xml:space="preserve"> </w:t>
      </w:r>
      <w:r w:rsidRPr="00B32A45">
        <w:t>measured in kilometres and used in natural gas gathering and boosting.</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w:t>
      </w:r>
      <w:r w:rsidR="001D3FED">
        <w:t xml:space="preserve">ing methane or carbon dioxide, </w:t>
      </w:r>
      <w:r w:rsidRPr="00B32A45">
        <w:t>measured in CO</w:t>
      </w:r>
      <w:r w:rsidRPr="00B32A45">
        <w:rPr>
          <w:rStyle w:val="charSubscript"/>
          <w:iCs/>
        </w:rPr>
        <w:t>2</w:t>
      </w:r>
      <w:r w:rsidRPr="00B32A45">
        <w:noBreakHyphen/>
        <w:t>e tonnes per kilometre-hour of pipeline type (</w:t>
      </w:r>
      <w:r w:rsidRPr="00B32A45">
        <w:rPr>
          <w:b/>
          <w:i/>
        </w:rPr>
        <w:t>k</w:t>
      </w:r>
      <w:r w:rsidRPr="00B32A45">
        <w:t>), if the equipment is used in natural gas gathering and boosting.</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each gas type (</w:t>
      </w:r>
      <w:r w:rsidRPr="00B32A45">
        <w:rPr>
          <w:b/>
          <w:i/>
        </w:rPr>
        <w:t>j</w:t>
      </w:r>
      <w:r w:rsidRPr="00B32A45">
        <w:t>), being methane or carbon dioxide, in the unprocessed gas (</w:t>
      </w:r>
      <w:r w:rsidRPr="00B32A45">
        <w:rPr>
          <w:b/>
          <w:i/>
        </w:rPr>
        <w:t>i</w:t>
      </w:r>
      <w:r w:rsidRPr="00B32A45">
        <w:t xml:space="preserve">), by volume, that passes though the equipment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C17B3A" w:rsidRPr="00B32A45" w:rsidRDefault="00C17B3A" w:rsidP="000A4DB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w:t>
      </w:r>
      <w:r w:rsidR="000A4DB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9"/>
        <w:gridCol w:w="2897"/>
        <w:gridCol w:w="1358"/>
        <w:gridCol w:w="1966"/>
        <w:gridCol w:w="6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3"/>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473"/>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752" w:type="pct"/>
          </w:tcPr>
          <w:p w:rsidR="00C17B3A" w:rsidRPr="00B32A45" w:rsidRDefault="00C17B3A" w:rsidP="00DB6238">
            <w:pPr>
              <w:pStyle w:val="Tabletext"/>
              <w:jc w:val="center"/>
            </w:pPr>
            <w:r w:rsidRPr="00B32A45">
              <w:t>CH</w:t>
            </w:r>
            <w:r w:rsidRPr="00B32A45">
              <w:rPr>
                <w:vertAlign w:val="subscript"/>
              </w:rPr>
              <w:t>4</w:t>
            </w:r>
          </w:p>
        </w:tc>
        <w:tc>
          <w:tcPr>
            <w:tcW w:w="1125" w:type="pct"/>
            <w:gridSpan w:val="2"/>
          </w:tcPr>
          <w:p w:rsidR="00C17B3A" w:rsidRPr="00B32A45" w:rsidRDefault="00C17B3A" w:rsidP="00DB6238">
            <w:pPr>
              <w:pStyle w:val="Tabletext"/>
              <w:jc w:val="center"/>
            </w:pPr>
            <w:r w:rsidRPr="00B32A45">
              <w:t>CO</w:t>
            </w:r>
            <w:r w:rsidRPr="00B32A45">
              <w:rPr>
                <w:vertAlign w:val="subscript"/>
              </w:rPr>
              <w:t>2</w:t>
            </w:r>
          </w:p>
        </w:tc>
        <w:tc>
          <w:tcPr>
            <w:tcW w:w="1147"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lastRenderedPageBreak/>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Onshore gas gathering and boosting pipelines (cast iron)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7.72 × 10</w:t>
            </w:r>
            <w:r w:rsidRPr="00B32A45">
              <w:rPr>
                <w:vertAlign w:val="superscript"/>
              </w:rPr>
              <w:t>-3</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3.14 × 10</w:t>
            </w:r>
            <w:r w:rsidRPr="00B32A45">
              <w:rPr>
                <w:vertAlign w:val="superscript"/>
              </w:rPr>
              <w:t>-5</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/kilometres of pipeline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Onshore gas gathering and boosting pipelines (plastic)</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6.99 × 10</w:t>
            </w:r>
            <w:r w:rsidRPr="00B32A45">
              <w:rPr>
                <w:vertAlign w:val="superscript"/>
              </w:rPr>
              <w:t>-4</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2.85 × 10</w:t>
            </w:r>
            <w:r w:rsidRPr="00B32A45">
              <w:rPr>
                <w:vertAlign w:val="superscript"/>
              </w:rPr>
              <w:t>-6</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/kilometres of pipeline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Onshore gas gathering and boosting pipelines (protected steel)</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1.31 × 10</w:t>
            </w:r>
            <w:r w:rsidRPr="00B32A45">
              <w:rPr>
                <w:vertAlign w:val="superscript"/>
              </w:rPr>
              <w:t>-4</w:t>
            </w:r>
          </w:p>
        </w:tc>
        <w:tc>
          <w:tcPr>
            <w:tcW w:w="1089"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5.34 × 10</w:t>
            </w:r>
            <w:r w:rsidRPr="00B32A45">
              <w:rPr>
                <w:vertAlign w:val="superscript"/>
              </w:rPr>
              <w:t>-7</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/kilometres of pipeline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Onshore gas gathering and boosting pipelines (unprotected steel)</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4.64 × 10</w:t>
            </w:r>
            <w:r w:rsidRPr="00B32A45">
              <w:rPr>
                <w:vertAlign w:val="superscript"/>
              </w:rPr>
              <w:t>-3</w:t>
            </w:r>
          </w:p>
        </w:tc>
        <w:tc>
          <w:tcPr>
            <w:tcW w:w="1089" w:type="pct"/>
            <w:tcBorders>
              <w:top w:val="single" w:sz="4" w:space="0" w:color="auto"/>
              <w:bottom w:val="single" w:sz="4" w:space="0" w:color="auto"/>
            </w:tcBorders>
            <w:vAlign w:val="center"/>
          </w:tcPr>
          <w:p w:rsidR="00C17B3A" w:rsidRPr="00B32A45" w:rsidRDefault="00C17B3A" w:rsidP="00DB6238">
            <w:pPr>
              <w:spacing w:line="240" w:lineRule="auto"/>
              <w:jc w:val="center"/>
              <w:rPr>
                <w:rFonts w:eastAsia="Times New Roman"/>
                <w:sz w:val="20"/>
                <w:lang w:eastAsia="en-AU"/>
              </w:rPr>
            </w:pPr>
            <w:r w:rsidRPr="00B32A45">
              <w:rPr>
                <w:rFonts w:eastAsia="Times New Roman"/>
                <w:sz w:val="20"/>
                <w:lang w:eastAsia="en-AU"/>
              </w:rPr>
              <w:t xml:space="preserve">1.89 </w:t>
            </w:r>
            <w:r w:rsidRPr="00B32A45">
              <w:t>×</w:t>
            </w:r>
            <w:r w:rsidRPr="00B32A45">
              <w:rPr>
                <w:rFonts w:eastAsia="Times New Roman"/>
                <w:sz w:val="20"/>
                <w:lang w:eastAsia="en-AU"/>
              </w:rPr>
              <w:t xml:space="preserve"> 10</w:t>
            </w:r>
            <w:r w:rsidRPr="00B32A45">
              <w:rPr>
                <w:rFonts w:eastAsia="Times New Roman"/>
                <w:sz w:val="20"/>
                <w:vertAlign w:val="superscript"/>
                <w:lang w:eastAsia="en-AU"/>
              </w:rPr>
              <w:t>-5</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/kilometres of pipeline hour</w:t>
            </w:r>
          </w:p>
        </w:tc>
      </w:tr>
    </w:tbl>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t>3.73M</w:t>
      </w:r>
      <w:r w:rsidR="00693350">
        <w:rPr>
          <w:b/>
          <w:bCs/>
        </w:rPr>
        <w:t>  Method 3—n</w:t>
      </w:r>
      <w:r w:rsidRPr="00B32A45">
        <w:rPr>
          <w:b/>
          <w:bCs/>
        </w:rPr>
        <w:t>atural gas gathering and boosting (other than venting and flaring)</w:t>
      </w:r>
    </w:p>
    <w:p w:rsidR="00C17B3A" w:rsidRPr="00B32A45" w:rsidRDefault="00C17B3A" w:rsidP="00C17B3A">
      <w:pPr>
        <w:pStyle w:val="tMain"/>
        <w:ind w:hanging="567"/>
      </w:pPr>
      <w:r w:rsidRPr="00B32A45">
        <w:t>(1)</w:t>
      </w:r>
      <w:r w:rsidRPr="00B32A45">
        <w:tab/>
      </w:r>
      <w:r w:rsidRPr="00B32A45">
        <w:tab/>
        <w:t>Method 3 is:</w:t>
      </w:r>
    </w:p>
    <w:p w:rsidR="00C17B3A" w:rsidRPr="005138FE" w:rsidRDefault="00C17B3A" w:rsidP="00C17B3A">
      <w:pPr>
        <w:pStyle w:val="tMain"/>
        <w:ind w:firstLine="0"/>
        <w:rPr>
          <w:sz w:val="28"/>
          <w:szCs w:val="28"/>
        </w:rPr>
      </w:pPr>
      <w:r w:rsidRPr="005138FE">
        <w:rPr>
          <w:sz w:val="28"/>
          <w:szCs w:val="28"/>
        </w:rPr>
        <w:t>E</w:t>
      </w:r>
      <w:r w:rsidRPr="005138FE">
        <w:rPr>
          <w:sz w:val="28"/>
          <w:szCs w:val="28"/>
          <w:vertAlign w:val="subscript"/>
        </w:rPr>
        <w:t xml:space="preserve">ij </w:t>
      </w:r>
      <w:r w:rsidRPr="005138FE">
        <w:rPr>
          <w:sz w:val="28"/>
          <w:szCs w:val="28"/>
        </w:rPr>
        <w:t>= E</w:t>
      </w:r>
      <w:r w:rsidRPr="005138FE">
        <w:rPr>
          <w:sz w:val="28"/>
          <w:szCs w:val="28"/>
          <w:vertAlign w:val="subscript"/>
        </w:rPr>
        <w:t>ijs</w:t>
      </w:r>
      <w:r w:rsidRPr="005138FE">
        <w:rPr>
          <w:sz w:val="28"/>
          <w:szCs w:val="28"/>
        </w:rPr>
        <w:t xml:space="preserve"> + E</w:t>
      </w:r>
      <w:r w:rsidRPr="005138FE">
        <w:rPr>
          <w:sz w:val="28"/>
          <w:szCs w:val="28"/>
          <w:vertAlign w:val="subscript"/>
        </w:rPr>
        <w:t>ijp</w:t>
      </w:r>
    </w:p>
    <w:p w:rsidR="00C17B3A" w:rsidRPr="00B32A45" w:rsidRDefault="00C17B3A" w:rsidP="00C17B3A">
      <w:pPr>
        <w:pStyle w:val="subsection2"/>
      </w:pP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gathering and boosting during the year measured in CO</w:t>
      </w:r>
      <w:r w:rsidRPr="00B32A45">
        <w:rPr>
          <w:rStyle w:val="charSubscript"/>
          <w:iCs/>
        </w:rPr>
        <w:t>2</w:t>
      </w:r>
      <w:r w:rsidRPr="00B32A45">
        <w:noBreakHyphen/>
        <w:t>e tonnes.</w:t>
      </w:r>
    </w:p>
    <w:p w:rsidR="00C17B3A" w:rsidRPr="00B32A45" w:rsidRDefault="00C17B3A" w:rsidP="00C17B3A">
      <w:pPr>
        <w:pStyle w:val="tMain"/>
        <w:ind w:firstLine="0"/>
      </w:pPr>
      <w:r w:rsidRPr="00B32A45">
        <w:rPr>
          <w:b/>
          <w:i/>
        </w:rPr>
        <w:t>E</w:t>
      </w:r>
      <w:r w:rsidRPr="00B32A45">
        <w:rPr>
          <w:b/>
          <w:i/>
          <w:vertAlign w:val="subscript"/>
        </w:rPr>
        <w:t xml:space="preserve">ijs   </w:t>
      </w:r>
      <w:r w:rsidRPr="00B32A45">
        <w:t>is the fugitive emissions (other than emissions that are vented or flared) of gas type (</w:t>
      </w:r>
      <w:r w:rsidRPr="00B32A45">
        <w:rPr>
          <w:b/>
          <w:i/>
        </w:rPr>
        <w:t>j</w:t>
      </w:r>
      <w:r w:rsidRPr="00B32A45">
        <w:t>), being methane or carbon dioxide, from the natural gas gathering and boosting stations (</w:t>
      </w:r>
      <w:r w:rsidRPr="00B32A45">
        <w:rPr>
          <w:b/>
          <w:i/>
        </w:rPr>
        <w:t>s</w:t>
      </w:r>
      <w:r w:rsidRPr="00B32A45">
        <w:t>) during the year measured in CO</w:t>
      </w:r>
      <w:r w:rsidRPr="00B32A45">
        <w:rPr>
          <w:rStyle w:val="charSubscript"/>
          <w:iCs/>
        </w:rPr>
        <w:t>2</w:t>
      </w:r>
      <w:r w:rsidRPr="00B32A45">
        <w:noBreakHyphen/>
        <w:t xml:space="preserve">e tonnes, given by subsection (2). </w:t>
      </w:r>
    </w:p>
    <w:p w:rsidR="00C17B3A" w:rsidRPr="00B32A45" w:rsidRDefault="00C17B3A" w:rsidP="00C17B3A">
      <w:pPr>
        <w:pStyle w:val="tMain"/>
        <w:ind w:firstLine="0"/>
      </w:pPr>
      <w:r w:rsidRPr="00B32A45">
        <w:rPr>
          <w:b/>
          <w:i/>
        </w:rPr>
        <w:t>E</w:t>
      </w:r>
      <w:r w:rsidRPr="00B32A45">
        <w:rPr>
          <w:b/>
          <w:i/>
          <w:vertAlign w:val="subscript"/>
        </w:rPr>
        <w:t xml:space="preserve">ijp   </w:t>
      </w:r>
      <w:r w:rsidRPr="00B32A45">
        <w:t>is the fugitive emissions (other than emissions that are vented or flared) of gas type (</w:t>
      </w:r>
      <w:r w:rsidRPr="00B32A45">
        <w:rPr>
          <w:b/>
          <w:i/>
        </w:rPr>
        <w:t>j</w:t>
      </w:r>
      <w:r w:rsidRPr="00B32A45">
        <w:t>), being methane or carbon dioxide, from the natural gas gathering and boosting pipelines (</w:t>
      </w:r>
      <w:r w:rsidRPr="00B32A45">
        <w:rPr>
          <w:b/>
          <w:i/>
        </w:rPr>
        <w:t>p</w:t>
      </w:r>
      <w:r w:rsidRPr="00B32A45">
        <w:t>) during the year measured in CO</w:t>
      </w:r>
      <w:r w:rsidRPr="00B32A45">
        <w:rPr>
          <w:rStyle w:val="charSubscript"/>
          <w:iCs/>
        </w:rPr>
        <w:t>2</w:t>
      </w:r>
      <w:r w:rsidRPr="00B32A45">
        <w:noBreakHyphen/>
        <w:t xml:space="preserve">e tonnes, given by section 3.73LB. </w:t>
      </w:r>
      <w:r w:rsidRPr="00B32A45">
        <w:rPr>
          <w:rFonts w:ascii="Times New Roman Bold Italic" w:hAnsi="Times New Roman Bold Italic"/>
        </w:rPr>
        <w:t xml:space="preserve"> </w:t>
      </w:r>
    </w:p>
    <w:p w:rsidR="00C17B3A" w:rsidRPr="00B32A45" w:rsidRDefault="00C17B3A" w:rsidP="00C17B3A">
      <w:pPr>
        <w:pStyle w:val="tMain"/>
      </w:pPr>
      <w:r w:rsidRPr="00B32A45">
        <w:tab/>
        <w:t>(2)</w:t>
      </w:r>
      <w:r w:rsidRPr="00B32A45">
        <w:tab/>
        <w:t xml:space="preserve">For subsection (1), </w:t>
      </w:r>
      <w:r w:rsidRPr="00B32A45">
        <w:rPr>
          <w:i/>
        </w:rPr>
        <w:t>E</w:t>
      </w:r>
      <w:r w:rsidRPr="00B32A45">
        <w:rPr>
          <w:i/>
          <w:vertAlign w:val="subscript"/>
        </w:rPr>
        <w:t>ijs</w:t>
      </w:r>
      <w:r w:rsidRPr="00B32A45">
        <w:rPr>
          <w:vertAlign w:val="subscript"/>
        </w:rPr>
        <w:t xml:space="preserve"> </w:t>
      </w:r>
      <w:r w:rsidRPr="00B32A45">
        <w:t>is given by the following formula:</w:t>
      </w:r>
    </w:p>
    <w:p w:rsidR="00C17B3A" w:rsidRPr="005138FE" w:rsidRDefault="005138FE" w:rsidP="005138FE">
      <w:pPr>
        <w:pStyle w:val="subsection2"/>
        <w:shd w:val="clear" w:color="auto" w:fill="FFFFFF"/>
        <w:rPr>
          <w:sz w:val="28"/>
          <w:szCs w:val="28"/>
        </w:rPr>
      </w:pPr>
      <w:r w:rsidRPr="005138FE">
        <w:rPr>
          <w:sz w:val="28"/>
          <w:szCs w:val="28"/>
        </w:rPr>
        <w:tab/>
      </w:r>
      <w:r w:rsidR="00C17B3A" w:rsidRPr="005138FE">
        <w:rPr>
          <w:sz w:val="28"/>
          <w:szCs w:val="28"/>
        </w:rPr>
        <w:t>E</w:t>
      </w:r>
      <w:r w:rsidR="00C17B3A" w:rsidRPr="005138FE">
        <w:rPr>
          <w:sz w:val="28"/>
          <w:szCs w:val="28"/>
          <w:vertAlign w:val="subscript"/>
        </w:rPr>
        <w:t xml:space="preserve">ijs </w:t>
      </w:r>
      <w:r w:rsidR="00C17B3A" w:rsidRPr="005138FE">
        <w:rPr>
          <w:sz w:val="28"/>
          <w:szCs w:val="28"/>
        </w:rPr>
        <w:t>= ∑</w:t>
      </w:r>
      <w:r w:rsidR="00C17B3A" w:rsidRPr="005138FE">
        <w:rPr>
          <w:sz w:val="28"/>
          <w:szCs w:val="28"/>
          <w:vertAlign w:val="subscript"/>
        </w:rPr>
        <w:t xml:space="preserve">k </w:t>
      </w:r>
      <w:r w:rsidR="00C17B3A" w:rsidRPr="005138FE">
        <w:rPr>
          <w:sz w:val="28"/>
          <w:szCs w:val="28"/>
        </w:rPr>
        <w:t>(T</w:t>
      </w:r>
      <w:r w:rsidR="00C17B3A" w:rsidRPr="005138FE">
        <w:rPr>
          <w:sz w:val="28"/>
          <w:szCs w:val="28"/>
          <w:vertAlign w:val="subscript"/>
        </w:rPr>
        <w:t>ik</w:t>
      </w:r>
      <w:r w:rsidR="00C17B3A" w:rsidRPr="005138FE">
        <w:rPr>
          <w:sz w:val="28"/>
          <w:szCs w:val="28"/>
        </w:rPr>
        <w:t xml:space="preserve"> × N</w:t>
      </w:r>
      <w:r w:rsidR="00C17B3A" w:rsidRPr="005138FE">
        <w:rPr>
          <w:sz w:val="28"/>
          <w:szCs w:val="28"/>
          <w:vertAlign w:val="subscript"/>
        </w:rPr>
        <w:t>ik</w:t>
      </w:r>
      <w:r w:rsidR="00C17B3A" w:rsidRPr="005138FE">
        <w:rPr>
          <w:sz w:val="28"/>
          <w:szCs w:val="28"/>
        </w:rPr>
        <w:t xml:space="preserve"> × EF</w:t>
      </w:r>
      <w:r w:rsidR="00C17B3A" w:rsidRPr="005138FE">
        <w:rPr>
          <w:sz w:val="28"/>
          <w:szCs w:val="28"/>
          <w:vertAlign w:val="subscript"/>
        </w:rPr>
        <w:t>ijk</w:t>
      </w:r>
      <w:r w:rsidR="00C17B3A" w:rsidRPr="005138FE">
        <w:rPr>
          <w:sz w:val="28"/>
          <w:szCs w:val="28"/>
        </w:rPr>
        <w:t>) ×</w:t>
      </w:r>
      <w:r w:rsidR="00C17B3A" w:rsidRPr="005138FE">
        <w:rPr>
          <w:sz w:val="28"/>
          <w:szCs w:val="28"/>
          <w:vertAlign w:val="subscript"/>
        </w:rPr>
        <w:t xml:space="preserve"> </w:t>
      </w:r>
      <w:r w:rsidR="00C17B3A" w:rsidRPr="005138FE">
        <w:rPr>
          <w:sz w:val="28"/>
          <w:szCs w:val="28"/>
        </w:rPr>
        <w:t>S</w:t>
      </w:r>
      <w:r w:rsidR="00C17B3A" w:rsidRPr="005138FE">
        <w:rPr>
          <w:sz w:val="28"/>
          <w:szCs w:val="28"/>
          <w:vertAlign w:val="subscript"/>
        </w:rPr>
        <w:t>ij /</w:t>
      </w:r>
      <w:r w:rsidR="00C17B3A" w:rsidRPr="005138FE">
        <w:rPr>
          <w:sz w:val="28"/>
          <w:szCs w:val="28"/>
        </w:rPr>
        <w:t>SD</w:t>
      </w:r>
      <w:r w:rsidR="00C17B3A" w:rsidRPr="005138FE">
        <w:rPr>
          <w:sz w:val="28"/>
          <w:szCs w:val="28"/>
          <w:vertAlign w:val="subscript"/>
        </w:rPr>
        <w:t>ij</w:t>
      </w:r>
      <w:r w:rsidRPr="005138FE">
        <w:rPr>
          <w:b/>
          <w:sz w:val="28"/>
          <w:szCs w:val="28"/>
          <w:vertAlign w:val="subscript"/>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ijs</w:t>
      </w:r>
      <w:r w:rsidRPr="00B32A45">
        <w:rPr>
          <w:b/>
          <w:i/>
        </w:rPr>
        <w:t xml:space="preserve"> </w:t>
      </w:r>
      <w:r w:rsidRPr="00B32A45">
        <w:t>is the fugitive emissions (other than emissions that are vented or flared) of gas type (</w:t>
      </w:r>
      <w:r w:rsidRPr="00B32A45">
        <w:rPr>
          <w:b/>
          <w:i/>
        </w:rPr>
        <w:t>j</w:t>
      </w:r>
      <w:r w:rsidRPr="00B32A45">
        <w:t xml:space="preserve">), being methane or carbon dioxide, from the natural gas </w:t>
      </w:r>
      <w:r w:rsidRPr="00B32A45">
        <w:rPr>
          <w:bCs/>
        </w:rPr>
        <w:t>gathering and boosting</w:t>
      </w:r>
      <w:r w:rsidRPr="00B32A45">
        <w:t xml:space="preserve"> station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xml:space="preserve">), if the component type is used in the natural gas </w:t>
      </w:r>
      <w:r w:rsidRPr="00B32A45">
        <w:rPr>
          <w:bCs/>
        </w:rPr>
        <w:t>gathering and boosting station</w:t>
      </w:r>
      <w:r w:rsidRPr="00B32A45">
        <w:t>s (</w:t>
      </w:r>
      <w:r w:rsidRPr="00B32A45">
        <w:rPr>
          <w:b/>
          <w:i/>
        </w:rPr>
        <w:t>s</w:t>
      </w:r>
      <w:r w:rsidRPr="00B32A45">
        <w:t>).</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component-hour for each component type (</w:t>
      </w:r>
      <w:r w:rsidRPr="00B32A45">
        <w:rPr>
          <w:b/>
          <w:i/>
        </w:rPr>
        <w:t>k</w:t>
      </w:r>
      <w:r w:rsidRPr="00B32A45">
        <w:t xml:space="preserve">) as determined under subsection (3) or (4), if the component is used in the natural gas </w:t>
      </w:r>
      <w:r w:rsidRPr="00B32A45">
        <w:rPr>
          <w:bCs/>
        </w:rPr>
        <w:t>gathering and boosting station</w:t>
      </w:r>
      <w:r w:rsidRPr="00B32A45">
        <w:t>.</w:t>
      </w:r>
    </w:p>
    <w:p w:rsidR="00C17B3A" w:rsidRPr="00B32A45" w:rsidRDefault="00C17B3A" w:rsidP="00C17B3A">
      <w:pPr>
        <w:pStyle w:val="tDefn"/>
      </w:pPr>
      <w:r w:rsidRPr="00B32A45">
        <w:rPr>
          <w:b/>
          <w:i/>
        </w:rPr>
        <w:t>T</w:t>
      </w:r>
      <w:r w:rsidRPr="00B32A45">
        <w:rPr>
          <w:b/>
          <w:i/>
          <w:vertAlign w:val="subscript"/>
        </w:rPr>
        <w:t xml:space="preserve">ik </w:t>
      </w:r>
      <w:r w:rsidRPr="00B32A45">
        <w:t>is:</w:t>
      </w:r>
    </w:p>
    <w:p w:rsidR="00C17B3A" w:rsidRPr="00B32A45" w:rsidRDefault="00C17B3A" w:rsidP="00C17B3A">
      <w:pPr>
        <w:pStyle w:val="tPara"/>
      </w:pPr>
      <w:r w:rsidRPr="00B32A45">
        <w:tab/>
        <w:t>(a)</w:t>
      </w:r>
      <w:r w:rsidRPr="00B32A45">
        <w:tab/>
        <w:t>if subsection (3) applies—the average hours of operation during the year of the component of each component type (</w:t>
      </w:r>
      <w:r w:rsidRPr="00B32A45">
        <w:rPr>
          <w:b/>
          <w:i/>
        </w:rPr>
        <w:t>k</w:t>
      </w:r>
      <w:r w:rsidRPr="00B32A45">
        <w:t xml:space="preserve">), if the component is used in natural gas </w:t>
      </w:r>
      <w:r w:rsidRPr="00B32A45">
        <w:rPr>
          <w:bCs/>
        </w:rPr>
        <w:t>gathering and boosting</w:t>
      </w:r>
      <w:r w:rsidRPr="00B32A45">
        <w:t xml:space="preserve">; </w:t>
      </w:r>
    </w:p>
    <w:p w:rsidR="00C17B3A" w:rsidRPr="00B32A45" w:rsidRDefault="00C17B3A" w:rsidP="00C17B3A">
      <w:pPr>
        <w:pStyle w:val="tPara"/>
      </w:pPr>
      <w:r w:rsidRPr="00B32A45">
        <w:lastRenderedPageBreak/>
        <w:tab/>
        <w:t>(b)</w:t>
      </w:r>
      <w:r w:rsidRPr="00B32A45">
        <w:tab/>
        <w:t>if subsection (4)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360904" w:rsidRPr="00B32A45" w:rsidRDefault="00C17B3A" w:rsidP="00360904">
      <w:pPr>
        <w:pStyle w:val="tDefn"/>
      </w:pPr>
      <w:r w:rsidRPr="00B32A45">
        <w:rPr>
          <w:b/>
          <w:i/>
        </w:rPr>
        <w:t>N</w:t>
      </w:r>
      <w:r w:rsidRPr="00B32A45">
        <w:rPr>
          <w:b/>
          <w:i/>
          <w:vertAlign w:val="subscript"/>
        </w:rPr>
        <w:t>ik</w:t>
      </w:r>
      <w:r w:rsidRPr="00B32A45">
        <w:rPr>
          <w:b/>
          <w:i/>
        </w:rPr>
        <w:t xml:space="preserve"> </w:t>
      </w:r>
      <w:r w:rsidRPr="00B32A45">
        <w:t>is the total number of components of each component type (</w:t>
      </w:r>
      <w:r w:rsidRPr="00B32A45">
        <w:rPr>
          <w:b/>
          <w:i/>
        </w:rPr>
        <w:t>k</w:t>
      </w:r>
      <w:r w:rsidRPr="00B32A45">
        <w:t xml:space="preserve">), if the component type is used in natural gas </w:t>
      </w:r>
      <w:r w:rsidRPr="00B32A45">
        <w:rPr>
          <w:bCs/>
        </w:rPr>
        <w:t>gathering and boosting</w:t>
      </w:r>
      <w:r w:rsidRPr="00B32A45">
        <w:t>.</w:t>
      </w:r>
    </w:p>
    <w:p w:rsidR="00360904" w:rsidRPr="00B32A45" w:rsidRDefault="00360904" w:rsidP="00360904">
      <w:pPr>
        <w:pStyle w:val="nMain"/>
      </w:pPr>
      <w:r w:rsidRPr="00B32A45">
        <w:t>Note:</w:t>
      </w:r>
      <w:r w:rsidRPr="00B32A45">
        <w:tab/>
      </w:r>
      <w:r w:rsidR="009305BF">
        <w:t>Consistent with subsection 3</w:t>
      </w:r>
      <w:r>
        <w:t xml:space="preserve">.41(2), </w:t>
      </w:r>
      <w:r w:rsidR="004F437B">
        <w:t xml:space="preserve">emissions associated with </w:t>
      </w:r>
      <w:r w:rsidR="004F437B" w:rsidRPr="004F437B">
        <w:t xml:space="preserve">any </w:t>
      </w:r>
      <w:r w:rsidR="004F437B">
        <w:t>components included in this definition</w:t>
      </w:r>
      <w:r w:rsidR="004F437B" w:rsidRPr="004F437B">
        <w:t xml:space="preserve"> should not be counted under this section if those emissions are also counted</w:t>
      </w:r>
      <w:r w:rsidR="004F437B">
        <w:t xml:space="preserve"> as component emissions</w:t>
      </w:r>
      <w:r w:rsidR="004F437B" w:rsidRPr="004F437B">
        <w:t xml:space="preserve"> under another section within this Part</w:t>
      </w:r>
      <w:r w:rsidR="004F437B">
        <w:t>.</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0.788 and for carbon dioxide SD is 0.02.</w:t>
      </w:r>
    </w:p>
    <w:p w:rsidR="00C17B3A" w:rsidRPr="00B32A45" w:rsidRDefault="00C17B3A" w:rsidP="00C17B3A">
      <w:pPr>
        <w:pStyle w:val="tMain"/>
      </w:pPr>
      <w:r w:rsidRPr="00B32A45">
        <w:tab/>
        <w:t>(3)</w:t>
      </w:r>
      <w:r w:rsidRPr="00B32A45">
        <w:tab/>
        <w:t xml:space="preserve">Unless subsection (4) is elected and used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0A4DBC">
      <w:pPr>
        <w:pStyle w:val="tPara"/>
      </w:pPr>
      <w:r w:rsidRPr="00B32A45">
        <w:tab/>
        <w:t>(a)</w:t>
      </w:r>
      <w:r w:rsidRPr="00B32A45">
        <w:tab/>
        <w:t>column 3 of an item in the following table specifies the emission factor for methane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w:t>
      </w:r>
      <w:r w:rsidR="000A4DB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1"/>
        <w:gridCol w:w="2897"/>
        <w:gridCol w:w="1358"/>
        <w:gridCol w:w="2031"/>
        <w:gridCol w:w="2069"/>
      </w:tblGrid>
      <w:tr w:rsidR="00C17B3A" w:rsidRPr="00B32A45" w:rsidTr="00DB6238">
        <w:tc>
          <w:tcPr>
            <w:tcW w:w="372"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2"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752"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25"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7.36 × 10</w:t>
            </w:r>
            <w:r w:rsidRPr="00B32A45">
              <w:rPr>
                <w:vertAlign w:val="superscript"/>
              </w:rPr>
              <w:t>-5</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1.83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Connectors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8.99 × 10</w:t>
            </w:r>
            <w:r w:rsidRPr="00B32A45">
              <w:rPr>
                <w:vertAlign w:val="superscript"/>
              </w:rPr>
              <w:t>-6</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2.23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3.30 × 10</w:t>
            </w:r>
            <w:r w:rsidRPr="00B32A45">
              <w:rPr>
                <w:vertAlign w:val="superscript"/>
              </w:rPr>
              <w:t>-6</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8.22 × 10</w:t>
            </w:r>
            <w:r w:rsidRPr="00B32A45">
              <w:rPr>
                <w:vertAlign w:val="superscript"/>
              </w:rPr>
              <w:t>-9</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Open-ended lines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1.92 × 10</w:t>
            </w:r>
            <w:r w:rsidRPr="00B32A45">
              <w:rPr>
                <w:vertAlign w:val="superscript"/>
              </w:rPr>
              <w:t>-5</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4.78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 Seals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5.46 × 10</w:t>
            </w:r>
            <w:r w:rsidRPr="00B32A45">
              <w:rPr>
                <w:vertAlign w:val="superscript"/>
              </w:rPr>
              <w:t>-6</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1.36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2"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Others – gas production</w:t>
            </w:r>
          </w:p>
        </w:tc>
        <w:tc>
          <w:tcPr>
            <w:tcW w:w="752"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2.57 × 10</w:t>
            </w:r>
            <w:r w:rsidRPr="00B32A45">
              <w:rPr>
                <w:vertAlign w:val="superscript"/>
              </w:rPr>
              <w:t>-4</w:t>
            </w:r>
          </w:p>
        </w:tc>
        <w:tc>
          <w:tcPr>
            <w:tcW w:w="112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6.40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047DB3" w:rsidRDefault="00C17B3A" w:rsidP="00047DB3">
      <w:pPr>
        <w:pStyle w:val="tPara"/>
        <w:rPr>
          <w:sz w:val="16"/>
        </w:rPr>
      </w:pPr>
      <w:r w:rsidRPr="00B32A45">
        <w:rPr>
          <w:sz w:val="16"/>
        </w:rPr>
        <w:tab/>
        <w:t xml:space="preserve">Note: </w:t>
      </w:r>
      <w:r w:rsidRPr="00B32A45">
        <w:rPr>
          <w:sz w:val="16"/>
        </w:rPr>
        <w:tab/>
      </w:r>
      <w:r w:rsidRPr="00B32A45">
        <w:rPr>
          <w:sz w:val="16"/>
        </w:rPr>
        <w:tab/>
        <w:t>These component types are listed in secti</w:t>
      </w:r>
      <w:r w:rsidR="00047DB3">
        <w:rPr>
          <w:sz w:val="16"/>
        </w:rPr>
        <w:t>on 6.1.3 of the API Compendium.</w:t>
      </w:r>
    </w:p>
    <w:p w:rsidR="00C17B3A" w:rsidRPr="00B32A45" w:rsidRDefault="00C17B3A" w:rsidP="00C17B3A">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tab/>
      </w:r>
      <w:r w:rsidRPr="00B32A45">
        <w:rPr>
          <w:szCs w:val="22"/>
        </w:rPr>
        <w:t>       </w:t>
      </w:r>
    </w:p>
    <w:p w:rsidR="00C17B3A" w:rsidRPr="00B32A45" w:rsidRDefault="00C17B3A" w:rsidP="00C17B3A">
      <w:pPr>
        <w:pStyle w:val="tMain"/>
      </w:pPr>
      <w:r w:rsidRPr="00B32A45">
        <w:tab/>
        <w:t>(4)</w:t>
      </w:r>
      <w:r w:rsidRPr="00B32A45">
        <w:tab/>
        <w:t xml:space="preserve">If an LDAR program has been carried out at the facility in relation to natural gas gathering and boosting components in accordance with subsection (5) and this subsection elected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specifies the emission factor for methane (</w:t>
      </w:r>
      <w:r w:rsidRPr="00B32A45">
        <w:rPr>
          <w:b/>
          <w:i/>
        </w:rPr>
        <w:t>j</w:t>
      </w:r>
      <w:r w:rsidRPr="00B32A45">
        <w:t>) for a component and leaker/non-leaker type (</w:t>
      </w:r>
      <w:r w:rsidRPr="00B32A45">
        <w:rPr>
          <w:b/>
          <w:i/>
        </w:rPr>
        <w:t>k</w:t>
      </w:r>
      <w:r w:rsidRPr="00B32A45">
        <w:t xml:space="preserve">) specified in column 2 of that item; and </w:t>
      </w:r>
    </w:p>
    <w:p w:rsidR="00C17B3A" w:rsidRPr="00B32A45" w:rsidRDefault="00C17B3A" w:rsidP="00C17B3A">
      <w:pPr>
        <w:pStyle w:val="tPara"/>
      </w:pPr>
      <w:r w:rsidRPr="00B32A45">
        <w:tab/>
        <w:t>(b)</w:t>
      </w:r>
      <w:r w:rsidRPr="00B32A45">
        <w:tab/>
        <w:t>column 4 of an item in the following table specifies the emission factor for carbon dioxide (</w:t>
      </w:r>
      <w:r w:rsidRPr="00B32A45">
        <w:rPr>
          <w:b/>
          <w:i/>
        </w:rPr>
        <w:t>j</w:t>
      </w:r>
      <w:r w:rsidRPr="00B32A45">
        <w:t>) for a component and leaker/non-leaker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lastRenderedPageBreak/>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7.56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1.88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Values—leaker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1.39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724E53" w:rsidRPr="00B32A45" w:rsidTr="00DB6238">
        <w:tc>
          <w:tcPr>
            <w:tcW w:w="371" w:type="pct"/>
            <w:tcBorders>
              <w:top w:val="single" w:sz="4" w:space="0" w:color="auto"/>
              <w:bottom w:val="single" w:sz="4" w:space="0" w:color="auto"/>
            </w:tcBorders>
            <w:shd w:val="clear" w:color="auto" w:fill="auto"/>
            <w:vAlign w:val="center"/>
          </w:tcPr>
          <w:p w:rsidR="00724E53" w:rsidRPr="00B32A45" w:rsidRDefault="00724E53" w:rsidP="00724E53">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724E53" w:rsidRPr="00B32A45" w:rsidRDefault="00724E53" w:rsidP="00724E53">
            <w:pPr>
              <w:pStyle w:val="Tabletext"/>
              <w:jc w:val="center"/>
            </w:pPr>
            <w:r w:rsidRPr="00B32A45">
              <w:t>Pumps—non leaker</w:t>
            </w:r>
          </w:p>
        </w:tc>
        <w:tc>
          <w:tcPr>
            <w:tcW w:w="683" w:type="pct"/>
            <w:tcBorders>
              <w:top w:val="single" w:sz="4" w:space="0" w:color="auto"/>
              <w:bottom w:val="single" w:sz="4" w:space="0" w:color="auto"/>
            </w:tcBorders>
            <w:vAlign w:val="center"/>
          </w:tcPr>
          <w:p w:rsidR="00724E53" w:rsidRPr="00CB6014" w:rsidRDefault="00724E53" w:rsidP="00724E53">
            <w:pPr>
              <w:pStyle w:val="Tabletext"/>
              <w:jc w:val="center"/>
            </w:pPr>
            <w:r w:rsidRPr="00CB6014">
              <w:t>4.20 × 10</w:t>
            </w:r>
            <w:r w:rsidRPr="00CB6014">
              <w:rPr>
                <w:vertAlign w:val="superscript"/>
              </w:rPr>
              <w:t>-6</w:t>
            </w:r>
          </w:p>
        </w:tc>
        <w:tc>
          <w:tcPr>
            <w:tcW w:w="1194" w:type="pct"/>
            <w:tcBorders>
              <w:top w:val="single" w:sz="4" w:space="0" w:color="auto"/>
              <w:bottom w:val="single" w:sz="4" w:space="0" w:color="auto"/>
            </w:tcBorders>
            <w:vAlign w:val="center"/>
          </w:tcPr>
          <w:p w:rsidR="00724E53" w:rsidRPr="00CB6014" w:rsidRDefault="00724E53" w:rsidP="00724E53">
            <w:pPr>
              <w:pStyle w:val="Tabletext"/>
              <w:jc w:val="center"/>
            </w:pPr>
            <w:r w:rsidRPr="00CB6014">
              <w:t>1.04 × 10</w:t>
            </w:r>
            <w:r w:rsidRPr="00CB6014">
              <w:rPr>
                <w:vertAlign w:val="superscript"/>
              </w:rPr>
              <w:t>-8</w:t>
            </w:r>
          </w:p>
        </w:tc>
        <w:tc>
          <w:tcPr>
            <w:tcW w:w="1147" w:type="pct"/>
            <w:tcBorders>
              <w:top w:val="single" w:sz="4" w:space="0" w:color="auto"/>
              <w:bottom w:val="single" w:sz="4" w:space="0" w:color="auto"/>
            </w:tcBorders>
            <w:shd w:val="clear" w:color="auto" w:fill="auto"/>
            <w:vAlign w:val="center"/>
          </w:tcPr>
          <w:p w:rsidR="00724E53" w:rsidRPr="00B32A45" w:rsidRDefault="00724E53" w:rsidP="00724E53">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2.44 × 10</w:t>
            </w:r>
            <w:r w:rsidRPr="00B32A45">
              <w:rPr>
                <w:vertAlign w:val="superscript"/>
              </w:rPr>
              <w:t>-5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3.92 × 10</w:t>
            </w:r>
            <w:r w:rsidRPr="00B32A45">
              <w:rPr>
                <w:vertAlign w:val="superscript"/>
              </w:rPr>
              <w:t>-7</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9.75 × 10</w:t>
            </w:r>
            <w:r w:rsidRPr="00B32A45">
              <w:rPr>
                <w:vertAlign w:val="superscript"/>
              </w:rPr>
              <w:t>-10</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3.36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8.36 × 10</w:t>
            </w:r>
            <w:r w:rsidRPr="00B32A45">
              <w:rPr>
                <w:vertAlign w:val="superscript"/>
              </w:rPr>
              <w:t>-6</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5.64 × 10</w:t>
            </w:r>
            <w:r w:rsidRPr="00B32A45">
              <w:rPr>
                <w:vertAlign w:val="superscript"/>
              </w:rPr>
              <w:t>-9</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5.88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1.46 × 10</w:t>
            </w:r>
            <w:r w:rsidRPr="00B32A45">
              <w:rPr>
                <w:vertAlign w:val="superscript"/>
              </w:rPr>
              <w:t>-5</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(5)  For </w:t>
      </w:r>
      <w:r w:rsidRPr="00B32A45">
        <w:rPr>
          <w:bCs/>
          <w:iCs/>
          <w:szCs w:val="22"/>
        </w:rPr>
        <w:t>subsection</w:t>
      </w:r>
      <w:r w:rsidRPr="00B32A45">
        <w:rPr>
          <w:szCs w:val="22"/>
        </w:rPr>
        <w:t xml:space="preserve"> (4) the LDAR program must survey each component used in natural gas gathering and boosting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733F2" w:rsidRDefault="00C17B3A" w:rsidP="00C733F2">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w:t>
      </w:r>
      <w:r w:rsidR="00C733F2">
        <w:rPr>
          <w:szCs w:val="22"/>
        </w:rPr>
        <w:t>red consistent with that method; or</w:t>
      </w:r>
    </w:p>
    <w:p w:rsidR="00C17B3A" w:rsidRPr="00B32A45" w:rsidRDefault="00C733F2" w:rsidP="00C733F2">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(6)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tMain"/>
        <w:rPr>
          <w:szCs w:val="22"/>
        </w:rPr>
      </w:pPr>
    </w:p>
    <w:p w:rsidR="00C17B3A" w:rsidRPr="00B32A45" w:rsidRDefault="00C17B3A" w:rsidP="00C17B3A">
      <w:pPr>
        <w:pStyle w:val="tMain"/>
        <w:ind w:left="142" w:firstLine="425"/>
      </w:pPr>
    </w:p>
    <w:p w:rsidR="00C17B3A" w:rsidRPr="00B32A45" w:rsidRDefault="00C17B3A" w:rsidP="00C17B3A">
      <w:pPr>
        <w:pStyle w:val="h3Div"/>
        <w:pageBreakBefore/>
        <w:rPr>
          <w:rStyle w:val="CharDivNo"/>
        </w:rPr>
      </w:pPr>
      <w:bookmarkStart w:id="77" w:name="_Toc69480124"/>
      <w:bookmarkEnd w:id="76"/>
      <w:r w:rsidRPr="00B32A45">
        <w:rPr>
          <w:rStyle w:val="CharDivNo"/>
        </w:rPr>
        <w:lastRenderedPageBreak/>
        <w:t xml:space="preserve">Division 3.3.6D—Produced water </w:t>
      </w:r>
      <w:r w:rsidRPr="00B32A45">
        <w:rPr>
          <w:bCs/>
        </w:rPr>
        <w:t xml:space="preserve">from oil and gas exploration and development, crude oil production, natural gas production or natural gas gathering and boosting </w:t>
      </w:r>
      <w:r w:rsidRPr="00B32A45">
        <w:rPr>
          <w:rStyle w:val="CharDivNo"/>
        </w:rPr>
        <w:t>(other than emissions that are vented or flared)</w:t>
      </w:r>
      <w:bookmarkEnd w:id="77"/>
    </w:p>
    <w:p w:rsidR="00C17B3A" w:rsidRPr="00B32A45" w:rsidRDefault="00C17B3A" w:rsidP="00C17B3A">
      <w:pPr>
        <w:pStyle w:val="h5Section"/>
      </w:pPr>
      <w:r w:rsidRPr="00B32A45">
        <w:rPr>
          <w:rStyle w:val="CharSectno"/>
        </w:rPr>
        <w:t>3.73N</w:t>
      </w:r>
      <w:r w:rsidRPr="00B32A45">
        <w:t xml:space="preserve">  Available methods</w:t>
      </w:r>
    </w:p>
    <w:p w:rsidR="00C17B3A" w:rsidRPr="00B32A45" w:rsidRDefault="00C17B3A" w:rsidP="00C17B3A">
      <w:pPr>
        <w:pStyle w:val="tMain"/>
      </w:pPr>
      <w:r w:rsidRPr="00B32A45">
        <w:tab/>
        <w:t>(1)</w:t>
      </w:r>
      <w:r w:rsidRPr="00B32A45">
        <w:tab/>
        <w:t>Subject to section 1.18, one of the following methods must</w:t>
      </w:r>
      <w:r w:rsidRPr="00B32A45">
        <w:rPr>
          <w:i/>
        </w:rPr>
        <w:t xml:space="preserve"> </w:t>
      </w:r>
      <w:r w:rsidRPr="00B32A45">
        <w:t>be used for estimating fugitive emissions of methane (other than emissions that are vented or flared) released during a year from produced water relating to the operation of a facility that is constituted by a relevant activity:</w:t>
      </w:r>
    </w:p>
    <w:p w:rsidR="00C17B3A" w:rsidRPr="00B32A45" w:rsidRDefault="00C17B3A" w:rsidP="00C17B3A">
      <w:pPr>
        <w:pStyle w:val="tPara"/>
      </w:pPr>
      <w:r w:rsidRPr="00B32A45">
        <w:tab/>
        <w:t>(a)</w:t>
      </w:r>
      <w:r w:rsidRPr="00B32A45">
        <w:tab/>
        <w:t>method 1 under section 3.73NA;</w:t>
      </w:r>
    </w:p>
    <w:p w:rsidR="00C17B3A" w:rsidRPr="00B32A45" w:rsidRDefault="00C17B3A" w:rsidP="00C17B3A">
      <w:pPr>
        <w:pStyle w:val="tPara"/>
      </w:pPr>
      <w:r w:rsidRPr="00B32A45">
        <w:tab/>
        <w:t>(b)</w:t>
      </w:r>
      <w:r w:rsidRPr="00B32A45">
        <w:tab/>
        <w:t>method 2 under section 3.73NB.</w:t>
      </w:r>
    </w:p>
    <w:p w:rsidR="00C17B3A" w:rsidRPr="00B32A45" w:rsidRDefault="00C17B3A" w:rsidP="00C17B3A">
      <w:pPr>
        <w:pStyle w:val="nMain"/>
        <w:tabs>
          <w:tab w:val="left" w:pos="720"/>
          <w:tab w:val="left" w:pos="1440"/>
          <w:tab w:val="left" w:pos="2160"/>
          <w:tab w:val="left" w:pos="2880"/>
          <w:tab w:val="left" w:pos="3600"/>
          <w:tab w:val="left" w:pos="4320"/>
          <w:tab w:val="left" w:pos="5040"/>
          <w:tab w:val="left" w:pos="7125"/>
        </w:tabs>
      </w:pPr>
      <w:r w:rsidRPr="00B32A45">
        <w:t>Note:</w:t>
      </w:r>
      <w:r w:rsidRPr="00B32A45">
        <w:tab/>
        <w:t>There is no method 3 or 4 for this Division.</w:t>
      </w:r>
      <w:r w:rsidRPr="00B32A45">
        <w:tab/>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rPr>
          <w:rStyle w:val="CharSectno"/>
        </w:rPr>
      </w:pPr>
      <w:r w:rsidRPr="00B32A45">
        <w:tab/>
        <w:t>(3)</w:t>
      </w:r>
      <w:r w:rsidRPr="00B32A45">
        <w:tab/>
        <w:t xml:space="preserve">In this Division, a </w:t>
      </w:r>
      <w:r w:rsidRPr="00B32A45">
        <w:rPr>
          <w:b/>
          <w:i/>
        </w:rPr>
        <w:t>relevant activity</w:t>
      </w:r>
      <w:r w:rsidRPr="00B32A45">
        <w:t xml:space="preserve"> is oil or gas exploration and development, crude oil production, natural gas gathering and boosting </w:t>
      </w:r>
      <w:r w:rsidR="000A4DBC">
        <w:t>and</w:t>
      </w:r>
      <w:r w:rsidRPr="00B32A45">
        <w:t xml:space="preserve"> onshore or offshore natural gas production.</w:t>
      </w:r>
    </w:p>
    <w:p w:rsidR="00C17B3A" w:rsidRPr="00B32A45" w:rsidRDefault="00C17B3A" w:rsidP="00C17B3A">
      <w:pPr>
        <w:pStyle w:val="h5Section"/>
      </w:pPr>
      <w:r w:rsidRPr="00B32A45">
        <w:rPr>
          <w:rStyle w:val="CharSectno"/>
        </w:rPr>
        <w:t>3.73NA</w:t>
      </w:r>
      <w:r w:rsidR="00693350">
        <w:t xml:space="preserve">  Method 1—p</w:t>
      </w:r>
      <w:r w:rsidRPr="00B32A45">
        <w:t>roduced water (other than emissions that are vented or flared)</w:t>
      </w:r>
    </w:p>
    <w:p w:rsidR="00C17B3A" w:rsidRPr="00B32A45" w:rsidRDefault="00C17B3A" w:rsidP="00C17B3A">
      <w:pPr>
        <w:pStyle w:val="tMain"/>
      </w:pPr>
      <w:r w:rsidRPr="00B32A45">
        <w:tab/>
      </w:r>
      <w:r w:rsidRPr="00B32A45">
        <w:tab/>
        <w:t>Method 1 is:</w:t>
      </w:r>
    </w:p>
    <w:p w:rsidR="00C17B3A" w:rsidRPr="009B5380" w:rsidRDefault="00C17B3A" w:rsidP="00C17B3A">
      <w:pPr>
        <w:pStyle w:val="tMain"/>
        <w:spacing w:before="120" w:after="120"/>
        <w:rPr>
          <w:sz w:val="28"/>
          <w:szCs w:val="28"/>
        </w:rPr>
      </w:pPr>
      <w:r w:rsidRPr="009B5380">
        <w:rPr>
          <w:sz w:val="28"/>
          <w:szCs w:val="28"/>
        </w:rPr>
        <w:tab/>
      </w:r>
      <w:r w:rsidRPr="009B5380">
        <w:rPr>
          <w:sz w:val="28"/>
          <w:szCs w:val="28"/>
        </w:rPr>
        <w:tab/>
        <w:t>E</w:t>
      </w:r>
      <w:r w:rsidRPr="009B5380">
        <w:rPr>
          <w:sz w:val="28"/>
          <w:szCs w:val="28"/>
          <w:vertAlign w:val="subscript"/>
        </w:rPr>
        <w:t xml:space="preserve">ij  </w:t>
      </w:r>
      <w:r w:rsidRPr="009B5380">
        <w:rPr>
          <w:sz w:val="28"/>
          <w:szCs w:val="28"/>
        </w:rPr>
        <w:t>= W</w:t>
      </w:r>
      <w:r w:rsidRPr="009B5380">
        <w:rPr>
          <w:rFonts w:ascii="Times New Roman Bold" w:hAnsi="Times New Roman Bold"/>
          <w:sz w:val="28"/>
          <w:szCs w:val="28"/>
          <w:vertAlign w:val="subscript"/>
        </w:rPr>
        <w:t>i</w:t>
      </w:r>
      <w:r w:rsidRPr="009B5380">
        <w:rPr>
          <w:sz w:val="28"/>
          <w:szCs w:val="28"/>
        </w:rPr>
        <w:t xml:space="preserve"> </w:t>
      </w:r>
      <w:r w:rsidRPr="009B5380">
        <w:rPr>
          <w:sz w:val="28"/>
          <w:szCs w:val="28"/>
          <w:vertAlign w:val="subscript"/>
        </w:rPr>
        <w:t xml:space="preserve">×  </w:t>
      </w:r>
      <w:r w:rsidRPr="009B5380">
        <w:rPr>
          <w:sz w:val="28"/>
          <w:szCs w:val="28"/>
        </w:rPr>
        <w:t>EF</w:t>
      </w:r>
      <w:r w:rsidRPr="009B5380">
        <w:rPr>
          <w:sz w:val="28"/>
          <w:szCs w:val="28"/>
          <w:vertAlign w:val="subscript"/>
        </w:rPr>
        <w:t>ijw</w:t>
      </w:r>
      <w:r w:rsidRPr="009B5380">
        <w:rPr>
          <w:b/>
          <w:sz w:val="28"/>
          <w:szCs w:val="28"/>
          <w:vertAlign w:val="subscript"/>
        </w:rPr>
        <w:t xml:space="preserve"> </w:t>
      </w:r>
      <w:r w:rsidRPr="009B5380">
        <w:rPr>
          <w:sz w:val="28"/>
          <w:szCs w:val="28"/>
        </w:rPr>
        <w:t>×</w:t>
      </w:r>
      <w:r w:rsidRPr="009B5380">
        <w:rPr>
          <w:sz w:val="28"/>
          <w:szCs w:val="28"/>
          <w:vertAlign w:val="subscript"/>
        </w:rPr>
        <w:t xml:space="preserve"> </w:t>
      </w:r>
      <w:r w:rsidRPr="009B5380">
        <w:rPr>
          <w:sz w:val="28"/>
          <w:szCs w:val="28"/>
        </w:rPr>
        <w:t>S</w:t>
      </w:r>
      <w:r w:rsidRPr="009B5380">
        <w:rPr>
          <w:sz w:val="28"/>
          <w:szCs w:val="28"/>
          <w:vertAlign w:val="subscript"/>
        </w:rPr>
        <w:t>ij /</w:t>
      </w:r>
      <w:r w:rsidRPr="009B5380">
        <w:rPr>
          <w:sz w:val="28"/>
          <w:szCs w:val="28"/>
        </w:rPr>
        <w:t>SD</w:t>
      </w:r>
      <w:r w:rsidRPr="009B5380">
        <w:rPr>
          <w:sz w:val="28"/>
          <w:szCs w:val="28"/>
          <w:vertAlign w:val="subscript"/>
        </w:rPr>
        <w:t>ij</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from the produced water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W</w:t>
      </w:r>
      <w:r w:rsidRPr="00B32A45">
        <w:rPr>
          <w:b/>
          <w:i/>
          <w:vertAlign w:val="subscript"/>
        </w:rPr>
        <w:t xml:space="preserve">i </w:t>
      </w:r>
      <w:r w:rsidRPr="00B32A45">
        <w:t>is the total quantity of produced water during the year associated with the relevant activity measured in megalitres of produced water.</w:t>
      </w:r>
    </w:p>
    <w:p w:rsidR="00C17B3A" w:rsidRPr="00B32A45" w:rsidRDefault="00C17B3A" w:rsidP="00C17B3A">
      <w:pPr>
        <w:pStyle w:val="tDefn"/>
      </w:pPr>
      <w:r w:rsidRPr="00B32A45">
        <w:rPr>
          <w:b/>
          <w:i/>
        </w:rPr>
        <w:t>EF</w:t>
      </w:r>
      <w:r w:rsidRPr="00B32A45">
        <w:rPr>
          <w:b/>
          <w:i/>
          <w:vertAlign w:val="subscript"/>
        </w:rPr>
        <w:t>ijw</w:t>
      </w:r>
      <w:r w:rsidRPr="00B32A45">
        <w:rPr>
          <w:b/>
          <w:i/>
        </w:rPr>
        <w:t xml:space="preserve"> </w:t>
      </w:r>
      <w:r w:rsidRPr="00B32A45">
        <w:t>is the emission factor for gas type (</w:t>
      </w:r>
      <w:r w:rsidRPr="00B32A45">
        <w:rPr>
          <w:b/>
          <w:i/>
        </w:rPr>
        <w:t>j</w:t>
      </w:r>
      <w:r w:rsidRPr="00B32A45">
        <w:t>), being methane, of 7.99 tonnes of CO</w:t>
      </w:r>
      <w:r w:rsidRPr="00B32A45">
        <w:rPr>
          <w:vertAlign w:val="subscript"/>
        </w:rPr>
        <w:t>2</w:t>
      </w:r>
      <w:r w:rsidRPr="00B32A45">
        <w:t>-e per megalitre of produced water associated with relevant activity during the year.</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0.832.</w:t>
      </w:r>
    </w:p>
    <w:p w:rsidR="00C17B3A" w:rsidRPr="00B32A45" w:rsidRDefault="00C17B3A" w:rsidP="00C17B3A">
      <w:pPr>
        <w:pStyle w:val="h5Section"/>
      </w:pPr>
      <w:r w:rsidRPr="00B32A45">
        <w:rPr>
          <w:rStyle w:val="CharSectno"/>
        </w:rPr>
        <w:t>3.73NB</w:t>
      </w:r>
      <w:r w:rsidR="00693350">
        <w:t xml:space="preserve">  Method 2—p</w:t>
      </w:r>
      <w:r w:rsidRPr="00B32A45">
        <w:t>roduced water (other than emissions that are vented or flared)</w:t>
      </w:r>
    </w:p>
    <w:p w:rsidR="00C17B3A" w:rsidRPr="00B32A45" w:rsidRDefault="00C17B3A" w:rsidP="00C17B3A">
      <w:pPr>
        <w:pStyle w:val="tMain"/>
      </w:pPr>
      <w:r w:rsidRPr="00B32A45">
        <w:tab/>
        <w:t>(1)</w:t>
      </w:r>
      <w:r w:rsidRPr="00B32A45">
        <w:tab/>
        <w:t>Method 2 is:</w:t>
      </w:r>
    </w:p>
    <w:p w:rsidR="00C17B3A" w:rsidRPr="009B5380" w:rsidRDefault="00C17B3A" w:rsidP="00C17B3A">
      <w:pPr>
        <w:pStyle w:val="tMain"/>
        <w:spacing w:before="120" w:after="120"/>
        <w:rPr>
          <w:sz w:val="28"/>
          <w:szCs w:val="28"/>
        </w:rPr>
      </w:pPr>
      <w:r w:rsidRPr="00B32A45">
        <w:tab/>
      </w:r>
      <w:r w:rsidRPr="009B5380">
        <w:rPr>
          <w:sz w:val="28"/>
          <w:szCs w:val="28"/>
        </w:rPr>
        <w:tab/>
        <w:t>E</w:t>
      </w:r>
      <w:r w:rsidRPr="009B5380">
        <w:rPr>
          <w:sz w:val="28"/>
          <w:szCs w:val="28"/>
          <w:vertAlign w:val="subscript"/>
        </w:rPr>
        <w:t xml:space="preserve">ij  </w:t>
      </w:r>
      <w:r w:rsidRPr="009B5380">
        <w:rPr>
          <w:sz w:val="28"/>
          <w:szCs w:val="28"/>
        </w:rPr>
        <w:t>= W</w:t>
      </w:r>
      <w:r w:rsidRPr="009B5380">
        <w:rPr>
          <w:rFonts w:ascii="Times New Roman Bold" w:hAnsi="Times New Roman Bold"/>
          <w:b/>
          <w:sz w:val="28"/>
          <w:szCs w:val="28"/>
          <w:vertAlign w:val="subscript"/>
        </w:rPr>
        <w:t>i</w:t>
      </w:r>
      <w:r w:rsidRPr="009B5380">
        <w:rPr>
          <w:sz w:val="28"/>
          <w:szCs w:val="28"/>
        </w:rPr>
        <w:t xml:space="preserve"> ×</w:t>
      </w:r>
      <w:r w:rsidRPr="009B5380">
        <w:rPr>
          <w:sz w:val="28"/>
          <w:szCs w:val="28"/>
          <w:vertAlign w:val="subscript"/>
        </w:rPr>
        <w:t xml:space="preserve"> </w:t>
      </w:r>
      <w:r w:rsidRPr="009B5380">
        <w:rPr>
          <w:sz w:val="28"/>
          <w:szCs w:val="28"/>
        </w:rPr>
        <w:t>EF</w:t>
      </w:r>
      <w:r w:rsidRPr="009B5380">
        <w:rPr>
          <w:sz w:val="28"/>
          <w:szCs w:val="28"/>
          <w:vertAlign w:val="subscript"/>
        </w:rPr>
        <w:t>ijw</w:t>
      </w:r>
      <w:r w:rsidRPr="009B5380">
        <w:rPr>
          <w:b/>
          <w:sz w:val="28"/>
          <w:szCs w:val="28"/>
          <w:vertAlign w:val="subscript"/>
        </w:rPr>
        <w:t xml:space="preserve"> </w:t>
      </w:r>
      <w:r w:rsidRPr="009B5380">
        <w:rPr>
          <w:sz w:val="28"/>
          <w:szCs w:val="28"/>
        </w:rPr>
        <w:t>×</w:t>
      </w:r>
      <w:r w:rsidRPr="009B5380">
        <w:rPr>
          <w:sz w:val="28"/>
          <w:szCs w:val="28"/>
          <w:vertAlign w:val="subscript"/>
        </w:rPr>
        <w:t xml:space="preserve"> </w:t>
      </w:r>
      <w:r w:rsidRPr="009B5380">
        <w:rPr>
          <w:sz w:val="28"/>
          <w:szCs w:val="28"/>
        </w:rPr>
        <w:t>S</w:t>
      </w:r>
      <w:r w:rsidRPr="009B5380">
        <w:rPr>
          <w:sz w:val="28"/>
          <w:szCs w:val="28"/>
          <w:vertAlign w:val="subscript"/>
        </w:rPr>
        <w:t>ij /</w:t>
      </w:r>
      <w:r w:rsidRPr="009B5380">
        <w:rPr>
          <w:sz w:val="28"/>
          <w:szCs w:val="28"/>
        </w:rPr>
        <w:t>SD</w:t>
      </w:r>
      <w:r w:rsidRPr="009B5380">
        <w:rPr>
          <w:sz w:val="28"/>
          <w:szCs w:val="28"/>
          <w:vertAlign w:val="subscript"/>
        </w:rPr>
        <w:t>ij</w:t>
      </w:r>
      <w:r w:rsidRPr="009B5380">
        <w:rPr>
          <w:b/>
          <w:sz w:val="28"/>
          <w:szCs w:val="28"/>
          <w:vertAlign w:val="subscript"/>
        </w:rPr>
        <w:t xml:space="preserve">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from the produced water from the relevant activity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lastRenderedPageBreak/>
        <w:t>W</w:t>
      </w:r>
      <w:r w:rsidRPr="00B32A45">
        <w:rPr>
          <w:b/>
          <w:i/>
          <w:vertAlign w:val="subscript"/>
        </w:rPr>
        <w:t xml:space="preserve">i </w:t>
      </w:r>
      <w:r w:rsidRPr="00B32A45">
        <w:t>is the total quantity of produced water during the year associated with the relevant activity measured in megalitres of produced water.</w:t>
      </w:r>
    </w:p>
    <w:p w:rsidR="00C17B3A" w:rsidRPr="00B32A45" w:rsidRDefault="00C17B3A" w:rsidP="00C17B3A">
      <w:pPr>
        <w:pStyle w:val="tDefn"/>
      </w:pPr>
      <w:r w:rsidRPr="00B32A45">
        <w:rPr>
          <w:b/>
          <w:i/>
        </w:rPr>
        <w:t>EF</w:t>
      </w:r>
      <w:r w:rsidRPr="00B32A45">
        <w:rPr>
          <w:b/>
          <w:i/>
          <w:vertAlign w:val="subscript"/>
        </w:rPr>
        <w:t>ijw</w:t>
      </w:r>
      <w:r w:rsidRPr="00B32A45">
        <w:rPr>
          <w:b/>
          <w:i/>
        </w:rPr>
        <w:t xml:space="preserve"> </w:t>
      </w:r>
      <w:r w:rsidRPr="00B32A45">
        <w:t>is the emission factor for gas type (</w:t>
      </w:r>
      <w:r w:rsidRPr="00B32A45">
        <w:rPr>
          <w:b/>
          <w:i/>
        </w:rPr>
        <w:t>j</w:t>
      </w:r>
      <w:r w:rsidRPr="00B32A45">
        <w:t>), being methane, measured in CO</w:t>
      </w:r>
      <w:r w:rsidRPr="00B32A45">
        <w:rPr>
          <w:rStyle w:val="charSubscript"/>
          <w:iCs/>
        </w:rPr>
        <w:t>2</w:t>
      </w:r>
      <w:r w:rsidRPr="00B32A45">
        <w:noBreakHyphen/>
        <w:t>e tonnes per megalitre of produced water associated with the relevant activity during the year as determined under subsection (2).</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0.832.</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 xml:space="preserve">ijw, </w:t>
      </w:r>
      <w:r w:rsidRPr="00B32A45">
        <w:t xml:space="preserve">in subsection (1): </w:t>
      </w:r>
    </w:p>
    <w:p w:rsidR="00C17B3A" w:rsidRPr="00B32A45" w:rsidRDefault="00C17B3A" w:rsidP="00C17B3A">
      <w:pPr>
        <w:pStyle w:val="tPara"/>
      </w:pPr>
      <w:r w:rsidRPr="00B32A45">
        <w:tab/>
        <w:t>(a)</w:t>
      </w:r>
      <w:r w:rsidRPr="00B32A45">
        <w:tab/>
        <w:t>if the average pressure for a water stream entering the separator during the year (</w:t>
      </w:r>
      <w:r w:rsidRPr="00B32A45">
        <w:rPr>
          <w:b/>
          <w:i/>
        </w:rPr>
        <w:t>WP</w:t>
      </w:r>
      <w:r w:rsidRPr="00B32A45">
        <w:t>) is less than 345 kilopascals and:</w:t>
      </w:r>
    </w:p>
    <w:p w:rsidR="00C17B3A" w:rsidRPr="00B32A45" w:rsidRDefault="00C17B3A" w:rsidP="00C17B3A">
      <w:pPr>
        <w:pStyle w:val="tSubpara"/>
      </w:pPr>
      <w:r w:rsidRPr="00B32A45">
        <w:tab/>
        <w:t>(i)</w:t>
      </w:r>
      <w:r w:rsidRPr="00B32A45">
        <w:tab/>
        <w:t>the average salinity content of the wa</w:t>
      </w:r>
      <w:r w:rsidR="00CD79CE">
        <w:t>ter is less than or equal to 20,</w:t>
      </w:r>
      <w:r w:rsidRPr="00B32A45">
        <w:t>000 milligrams per litre during the year—0.8707 tonnes of CO</w:t>
      </w:r>
      <w:r w:rsidRPr="00B32A45">
        <w:rPr>
          <w:rStyle w:val="charSubscript"/>
          <w:iCs/>
        </w:rPr>
        <w:t>2</w:t>
      </w:r>
      <w:r w:rsidRPr="00B32A45">
        <w:noBreakHyphen/>
        <w:t>e tonnes per megalitre of produced water associated with the relevant activity; or</w:t>
      </w:r>
    </w:p>
    <w:p w:rsidR="00C17B3A" w:rsidRPr="00B32A45" w:rsidRDefault="00C17B3A" w:rsidP="00C17B3A">
      <w:pPr>
        <w:pStyle w:val="tSubpara"/>
      </w:pPr>
      <w:r w:rsidRPr="00B32A45">
        <w:tab/>
        <w:t>(ii)</w:t>
      </w:r>
      <w:r w:rsidRPr="00B32A45">
        <w:tab/>
        <w:t>the average salinity content of the wat</w:t>
      </w:r>
      <w:r w:rsidR="00CD79CE">
        <w:t>er is less than or equal to 100,</w:t>
      </w:r>
      <w:r w:rsidRPr="00B32A45">
        <w:t>000 milligrams per litre and greater than or equal to 2</w:t>
      </w:r>
      <w:r w:rsidR="00CD79CE">
        <w:t>0,</w:t>
      </w:r>
      <w:r w:rsidRPr="00B32A45">
        <w:t>000 milligrams per litre during the year—0.7439 tonnes of CO</w:t>
      </w:r>
      <w:r w:rsidRPr="00B32A45">
        <w:rPr>
          <w:rStyle w:val="charSubscript"/>
          <w:iCs/>
        </w:rPr>
        <w:t>2</w:t>
      </w:r>
      <w:r w:rsidRPr="00B32A45">
        <w:noBreakHyphen/>
        <w:t>e tonnes per megalitre of produced water associated with the relevant activity; or</w:t>
      </w:r>
    </w:p>
    <w:p w:rsidR="00C17B3A" w:rsidRPr="00B32A45" w:rsidRDefault="00C17B3A" w:rsidP="00C17B3A">
      <w:pPr>
        <w:pStyle w:val="tSubpara"/>
      </w:pPr>
      <w:r w:rsidRPr="00B32A45">
        <w:tab/>
        <w:t>(iii)</w:t>
      </w:r>
      <w:r w:rsidRPr="00B32A45">
        <w:tab/>
        <w:t>the average salinity content o</w:t>
      </w:r>
      <w:r w:rsidR="00CD79CE">
        <w:t>f the water is greater than 100,</w:t>
      </w:r>
      <w:r w:rsidRPr="00B32A45">
        <w:t>000 milligrams per litre during the year—0.3212 tonnes of CO</w:t>
      </w:r>
      <w:r w:rsidRPr="00B32A45">
        <w:rPr>
          <w:rStyle w:val="charSubscript"/>
          <w:iCs/>
        </w:rPr>
        <w:t>2</w:t>
      </w:r>
      <w:r w:rsidRPr="00B32A45">
        <w:noBreakHyphen/>
        <w:t>e tonnes per megalitre of produced water associated with the relevant activity; or</w:t>
      </w:r>
    </w:p>
    <w:p w:rsidR="00C17B3A" w:rsidRPr="00B32A45" w:rsidRDefault="00C17B3A" w:rsidP="00C17B3A">
      <w:pPr>
        <w:pStyle w:val="tPara"/>
      </w:pPr>
      <w:r w:rsidRPr="00B32A45">
        <w:tab/>
        <w:t>(b)</w:t>
      </w:r>
      <w:r w:rsidRPr="00B32A45">
        <w:tab/>
        <w:t>if the average pressure for a water stream entering the separator during the year (</w:t>
      </w:r>
      <w:r w:rsidRPr="00B32A45">
        <w:rPr>
          <w:b/>
          <w:i/>
        </w:rPr>
        <w:t>WP</w:t>
      </w:r>
      <w:r w:rsidRPr="00B32A45">
        <w:t>) is equal to or greater than 345 kilopascals—is calculated under subsection (3); and</w:t>
      </w:r>
    </w:p>
    <w:p w:rsidR="00C17B3A" w:rsidRPr="00B32A45" w:rsidRDefault="00C17B3A" w:rsidP="00C17B3A">
      <w:pPr>
        <w:pStyle w:val="tMain"/>
      </w:pPr>
      <w:r w:rsidRPr="00B32A45">
        <w:tab/>
        <w:t>(3)</w:t>
      </w:r>
      <w:r w:rsidRPr="00B32A45">
        <w:tab/>
        <w:t>For paragraph (2)(b):</w:t>
      </w:r>
    </w:p>
    <w:p w:rsidR="00C17B3A" w:rsidRPr="00B32A45" w:rsidRDefault="00C17B3A" w:rsidP="00C17B3A">
      <w:pPr>
        <w:pStyle w:val="tPara"/>
      </w:pPr>
      <w:r w:rsidRPr="00B32A45">
        <w:tab/>
        <w:t>(a)</w:t>
      </w:r>
      <w:r w:rsidRPr="00B32A45">
        <w:tab/>
        <w:t>if the average salinity content of the wa</w:t>
      </w:r>
      <w:r w:rsidR="00CD79CE">
        <w:t>ter is less than or equal to 20,</w:t>
      </w:r>
      <w:r w:rsidRPr="00B32A45">
        <w:t>000 milligrams per litre during the year—</w:t>
      </w:r>
      <w:r w:rsidRPr="00B32A45">
        <w:rPr>
          <w:b/>
          <w:i/>
        </w:rPr>
        <w:t>EF</w:t>
      </w:r>
      <w:r w:rsidRPr="00B32A45">
        <w:rPr>
          <w:b/>
          <w:i/>
          <w:vertAlign w:val="subscript"/>
        </w:rPr>
        <w:t xml:space="preserve">ijw, </w:t>
      </w:r>
      <w:r w:rsidRPr="00B32A45">
        <w:t>is given by the following formula:</w:t>
      </w:r>
    </w:p>
    <w:p w:rsidR="00C17B3A" w:rsidRPr="005138FE" w:rsidRDefault="00C17B3A" w:rsidP="00C17B3A">
      <w:pPr>
        <w:pStyle w:val="tMain"/>
        <w:tabs>
          <w:tab w:val="clear" w:pos="1021"/>
        </w:tabs>
        <w:spacing w:before="120" w:after="120"/>
        <w:ind w:left="1276" w:hanging="1276"/>
        <w:rPr>
          <w:sz w:val="28"/>
          <w:szCs w:val="28"/>
        </w:rPr>
      </w:pPr>
      <w:r w:rsidRPr="005138FE">
        <w:rPr>
          <w:sz w:val="28"/>
          <w:szCs w:val="28"/>
        </w:rPr>
        <w:tab/>
      </w:r>
      <w:r w:rsidRPr="005138FE">
        <w:rPr>
          <w:sz w:val="28"/>
          <w:szCs w:val="28"/>
        </w:rPr>
        <w:tab/>
        <w:t>E</w:t>
      </w:r>
      <w:r w:rsidRPr="005138FE">
        <w:rPr>
          <w:sz w:val="28"/>
          <w:szCs w:val="28"/>
          <w:vertAlign w:val="subscript"/>
        </w:rPr>
        <w:t xml:space="preserve">ijw  </w:t>
      </w:r>
      <w:r w:rsidRPr="005138FE">
        <w:rPr>
          <w:sz w:val="28"/>
          <w:szCs w:val="28"/>
        </w:rPr>
        <w:t>= WP ×</w:t>
      </w:r>
      <w:r w:rsidRPr="005138FE">
        <w:rPr>
          <w:sz w:val="28"/>
          <w:szCs w:val="28"/>
          <w:vertAlign w:val="subscript"/>
        </w:rPr>
        <w:t xml:space="preserve"> </w:t>
      </w:r>
      <w:r w:rsidRPr="005138FE">
        <w:rPr>
          <w:sz w:val="28"/>
          <w:szCs w:val="28"/>
        </w:rPr>
        <w:t>0.0016</w:t>
      </w:r>
      <w:r w:rsidRPr="005138FE">
        <w:rPr>
          <w:b/>
          <w:sz w:val="28"/>
          <w:szCs w:val="28"/>
          <w:vertAlign w:val="subscript"/>
        </w:rPr>
        <w:t xml:space="preserve"> </w:t>
      </w:r>
      <w:r w:rsidRPr="005138FE">
        <w:rPr>
          <w:sz w:val="28"/>
          <w:szCs w:val="28"/>
        </w:rPr>
        <w:t>+ 0.4342</w:t>
      </w:r>
    </w:p>
    <w:p w:rsidR="00C17B3A" w:rsidRPr="00B32A45" w:rsidRDefault="00C17B3A" w:rsidP="00C17B3A">
      <w:pPr>
        <w:pStyle w:val="tPara"/>
      </w:pPr>
      <w:r w:rsidRPr="00B32A45">
        <w:tab/>
        <w:t>(b)</w:t>
      </w:r>
      <w:r w:rsidRPr="00B32A45">
        <w:tab/>
        <w:t xml:space="preserve">if the average salinity content of the water is less than or equal to 100 000 milligrams per litre </w:t>
      </w:r>
      <w:r w:rsidR="00CD79CE">
        <w:t>and greater than or equal to 20,</w:t>
      </w:r>
      <w:r w:rsidRPr="00B32A45">
        <w:t>000 milligrams per litre during the year—</w:t>
      </w:r>
      <w:r w:rsidRPr="00B32A45">
        <w:rPr>
          <w:b/>
          <w:i/>
        </w:rPr>
        <w:t>EF</w:t>
      </w:r>
      <w:r w:rsidRPr="00B32A45">
        <w:rPr>
          <w:b/>
          <w:i/>
          <w:vertAlign w:val="subscript"/>
        </w:rPr>
        <w:t xml:space="preserve">ijw, </w:t>
      </w:r>
      <w:r w:rsidRPr="00B32A45">
        <w:t>is given by the following formula:</w:t>
      </w:r>
    </w:p>
    <w:p w:rsidR="00C17B3A" w:rsidRPr="005138FE" w:rsidRDefault="00C17B3A" w:rsidP="00C17B3A">
      <w:pPr>
        <w:pStyle w:val="tMain"/>
        <w:tabs>
          <w:tab w:val="clear" w:pos="1021"/>
        </w:tabs>
        <w:spacing w:before="120" w:after="120"/>
        <w:ind w:left="1276" w:hanging="1276"/>
        <w:rPr>
          <w:b/>
          <w:sz w:val="28"/>
          <w:szCs w:val="28"/>
          <w:vertAlign w:val="subscript"/>
        </w:rPr>
      </w:pPr>
      <w:r w:rsidRPr="005138FE">
        <w:rPr>
          <w:sz w:val="28"/>
          <w:szCs w:val="28"/>
        </w:rPr>
        <w:tab/>
      </w:r>
      <w:r w:rsidRPr="005138FE">
        <w:rPr>
          <w:sz w:val="28"/>
          <w:szCs w:val="28"/>
        </w:rPr>
        <w:tab/>
        <w:t>E</w:t>
      </w:r>
      <w:r w:rsidRPr="005138FE">
        <w:rPr>
          <w:sz w:val="28"/>
          <w:szCs w:val="28"/>
          <w:vertAlign w:val="subscript"/>
        </w:rPr>
        <w:t xml:space="preserve">ijw  </w:t>
      </w:r>
      <w:r w:rsidRPr="005138FE">
        <w:rPr>
          <w:sz w:val="28"/>
          <w:szCs w:val="28"/>
        </w:rPr>
        <w:t>= WP ×</w:t>
      </w:r>
      <w:r w:rsidRPr="005138FE">
        <w:rPr>
          <w:sz w:val="28"/>
          <w:szCs w:val="28"/>
          <w:vertAlign w:val="subscript"/>
        </w:rPr>
        <w:t xml:space="preserve"> </w:t>
      </w:r>
      <w:r w:rsidRPr="005138FE">
        <w:rPr>
          <w:sz w:val="28"/>
          <w:szCs w:val="28"/>
        </w:rPr>
        <w:t>0.0013</w:t>
      </w:r>
      <w:r w:rsidRPr="005138FE">
        <w:rPr>
          <w:b/>
          <w:sz w:val="28"/>
          <w:szCs w:val="28"/>
          <w:vertAlign w:val="subscript"/>
        </w:rPr>
        <w:t xml:space="preserve"> </w:t>
      </w:r>
      <w:r w:rsidRPr="005138FE">
        <w:rPr>
          <w:sz w:val="28"/>
          <w:szCs w:val="28"/>
        </w:rPr>
        <w:t>+</w:t>
      </w:r>
      <w:r w:rsidRPr="005138FE">
        <w:rPr>
          <w:sz w:val="28"/>
          <w:szCs w:val="28"/>
          <w:vertAlign w:val="subscript"/>
        </w:rPr>
        <w:t xml:space="preserve"> </w:t>
      </w:r>
      <w:r w:rsidRPr="005138FE">
        <w:rPr>
          <w:sz w:val="28"/>
          <w:szCs w:val="28"/>
        </w:rPr>
        <w:t>0.3695</w:t>
      </w:r>
    </w:p>
    <w:p w:rsidR="00C17B3A" w:rsidRPr="00B32A45" w:rsidRDefault="00C17B3A" w:rsidP="00C17B3A">
      <w:pPr>
        <w:pStyle w:val="tPara"/>
      </w:pPr>
      <w:r w:rsidRPr="00B32A45">
        <w:tab/>
        <w:t>(c)</w:t>
      </w:r>
      <w:r w:rsidRPr="00B32A45">
        <w:tab/>
        <w:t>if the average salinity content o</w:t>
      </w:r>
      <w:r w:rsidR="00CD79CE">
        <w:t>f the water is greater than 100,</w:t>
      </w:r>
      <w:r w:rsidRPr="00B32A45">
        <w:t>000 milligrams per litre during the year—</w:t>
      </w:r>
      <w:r w:rsidRPr="00B32A45">
        <w:rPr>
          <w:b/>
          <w:i/>
        </w:rPr>
        <w:t>EF</w:t>
      </w:r>
      <w:r w:rsidRPr="00B32A45">
        <w:rPr>
          <w:b/>
          <w:i/>
          <w:vertAlign w:val="subscript"/>
        </w:rPr>
        <w:t xml:space="preserve">ijw, </w:t>
      </w:r>
      <w:r w:rsidRPr="00B32A45">
        <w:t>is given by the following formula:</w:t>
      </w:r>
    </w:p>
    <w:p w:rsidR="00C17B3A" w:rsidRPr="005138FE" w:rsidRDefault="00C17B3A" w:rsidP="00C17B3A">
      <w:pPr>
        <w:pStyle w:val="tMain"/>
        <w:tabs>
          <w:tab w:val="clear" w:pos="1021"/>
        </w:tabs>
        <w:spacing w:before="120" w:after="120"/>
        <w:ind w:left="1276" w:hanging="1276"/>
        <w:rPr>
          <w:b/>
          <w:sz w:val="28"/>
          <w:szCs w:val="28"/>
          <w:vertAlign w:val="subscript"/>
        </w:rPr>
      </w:pPr>
      <w:r w:rsidRPr="005138FE">
        <w:rPr>
          <w:sz w:val="28"/>
          <w:szCs w:val="28"/>
        </w:rPr>
        <w:tab/>
      </w:r>
      <w:r w:rsidRPr="005138FE">
        <w:rPr>
          <w:sz w:val="28"/>
          <w:szCs w:val="28"/>
        </w:rPr>
        <w:tab/>
        <w:t>E</w:t>
      </w:r>
      <w:r w:rsidRPr="005138FE">
        <w:rPr>
          <w:sz w:val="28"/>
          <w:szCs w:val="28"/>
          <w:vertAlign w:val="subscript"/>
        </w:rPr>
        <w:t xml:space="preserve">ijw  </w:t>
      </w:r>
      <w:r w:rsidRPr="005138FE">
        <w:rPr>
          <w:sz w:val="28"/>
          <w:szCs w:val="28"/>
        </w:rPr>
        <w:t>= WP ×</w:t>
      </w:r>
      <w:r w:rsidRPr="005138FE">
        <w:rPr>
          <w:sz w:val="28"/>
          <w:szCs w:val="28"/>
          <w:vertAlign w:val="subscript"/>
        </w:rPr>
        <w:t xml:space="preserve"> </w:t>
      </w:r>
      <w:r w:rsidRPr="005138FE">
        <w:rPr>
          <w:sz w:val="28"/>
          <w:szCs w:val="28"/>
        </w:rPr>
        <w:t>0.0009</w:t>
      </w:r>
      <w:r w:rsidRPr="005138FE">
        <w:rPr>
          <w:b/>
          <w:sz w:val="28"/>
          <w:szCs w:val="28"/>
          <w:vertAlign w:val="subscript"/>
        </w:rPr>
        <w:t xml:space="preserve"> </w:t>
      </w:r>
      <w:r w:rsidRPr="005138FE">
        <w:rPr>
          <w:sz w:val="28"/>
          <w:szCs w:val="28"/>
        </w:rPr>
        <w:t>+</w:t>
      </w:r>
      <w:r w:rsidRPr="005138FE">
        <w:rPr>
          <w:sz w:val="28"/>
          <w:szCs w:val="28"/>
          <w:vertAlign w:val="subscript"/>
        </w:rPr>
        <w:t xml:space="preserve"> </w:t>
      </w:r>
      <w:r w:rsidRPr="005138FE">
        <w:rPr>
          <w:sz w:val="28"/>
          <w:szCs w:val="28"/>
        </w:rPr>
        <w:t>0.0507</w:t>
      </w:r>
    </w:p>
    <w:p w:rsidR="00C17B3A" w:rsidRPr="00B32A45" w:rsidRDefault="00C17B3A" w:rsidP="00C17B3A">
      <w:pPr>
        <w:pStyle w:val="tMain"/>
        <w:tabs>
          <w:tab w:val="clear" w:pos="1021"/>
        </w:tabs>
        <w:spacing w:before="120" w:after="120"/>
        <w:ind w:left="1276" w:firstLine="0"/>
      </w:pPr>
      <w:r w:rsidRPr="00B32A45">
        <w:t xml:space="preserve">where: </w:t>
      </w:r>
    </w:p>
    <w:p w:rsidR="00C17B3A" w:rsidRPr="00B32A45" w:rsidRDefault="00C17B3A" w:rsidP="00C17B3A">
      <w:pPr>
        <w:pStyle w:val="tMain"/>
        <w:tabs>
          <w:tab w:val="clear" w:pos="1021"/>
        </w:tabs>
        <w:spacing w:before="120" w:after="120"/>
        <w:ind w:left="1276" w:firstLine="0"/>
      </w:pPr>
      <w:r w:rsidRPr="00B32A45">
        <w:rPr>
          <w:b/>
          <w:i/>
        </w:rPr>
        <w:t>EF</w:t>
      </w:r>
      <w:r w:rsidRPr="00B32A45">
        <w:rPr>
          <w:b/>
          <w:i/>
          <w:vertAlign w:val="subscript"/>
        </w:rPr>
        <w:t>ijw</w:t>
      </w:r>
      <w:r w:rsidRPr="00B32A45">
        <w:rPr>
          <w:b/>
          <w:i/>
        </w:rPr>
        <w:t xml:space="preserve"> </w:t>
      </w:r>
      <w:r w:rsidRPr="00B32A45">
        <w:t>is the emission factor for gas type (</w:t>
      </w:r>
      <w:r w:rsidRPr="00B32A45">
        <w:rPr>
          <w:b/>
          <w:i/>
        </w:rPr>
        <w:t>j</w:t>
      </w:r>
      <w:r w:rsidRPr="00B32A45">
        <w:t>), being methane, measured in CO</w:t>
      </w:r>
      <w:r w:rsidRPr="00B32A45">
        <w:rPr>
          <w:rStyle w:val="charSubscript"/>
          <w:iCs/>
        </w:rPr>
        <w:t>2</w:t>
      </w:r>
      <w:r w:rsidRPr="00B32A45">
        <w:noBreakHyphen/>
        <w:t>e tonnes per megalitre of produced water associated with the relevant activity during the year.</w:t>
      </w:r>
    </w:p>
    <w:p w:rsidR="00C17B3A" w:rsidRDefault="00C17B3A" w:rsidP="00C17B3A">
      <w:pPr>
        <w:pStyle w:val="tMain"/>
        <w:tabs>
          <w:tab w:val="clear" w:pos="1021"/>
        </w:tabs>
        <w:spacing w:before="120" w:after="120"/>
        <w:ind w:left="1276" w:firstLine="0"/>
      </w:pPr>
      <w:r w:rsidRPr="00B32A45">
        <w:rPr>
          <w:b/>
          <w:i/>
        </w:rPr>
        <w:t>WP</w:t>
      </w:r>
      <w:r w:rsidRPr="00B32A45">
        <w:t xml:space="preserve"> is the average pressure for a water stream entering the separator during the year measured in kilopascals.</w:t>
      </w:r>
    </w:p>
    <w:p w:rsidR="00DD2C8C" w:rsidRPr="00DD2C8C" w:rsidRDefault="00DD2C8C" w:rsidP="00DD2C8C">
      <w:pPr>
        <w:pStyle w:val="tMain"/>
      </w:pPr>
      <w:r w:rsidRPr="00DD2C8C">
        <w:tab/>
      </w:r>
      <w:r w:rsidRPr="008270B0">
        <w:t>(4)</w:t>
      </w:r>
      <w:r w:rsidRPr="008270B0">
        <w:tab/>
        <w:t>For subsection (2) and (3), if there is no separator the water pressure must be measured at an equivalent point in the process.</w:t>
      </w:r>
      <w:r w:rsidRPr="00DD2C8C">
        <w:t xml:space="preserve"> </w:t>
      </w:r>
    </w:p>
    <w:p w:rsidR="00C17B3A" w:rsidRPr="00B32A45" w:rsidRDefault="00C17B3A" w:rsidP="00C17B3A">
      <w:pPr>
        <w:pStyle w:val="tPara"/>
        <w:rPr>
          <w:szCs w:val="22"/>
        </w:rPr>
      </w:pPr>
    </w:p>
    <w:p w:rsidR="00C17B3A" w:rsidRPr="00B32A45" w:rsidRDefault="00C17B3A" w:rsidP="00C17B3A">
      <w:pPr>
        <w:pStyle w:val="h3Div"/>
        <w:pageBreakBefore/>
      </w:pPr>
      <w:bookmarkStart w:id="78" w:name="_Toc69480125"/>
      <w:r w:rsidRPr="00B32A45">
        <w:rPr>
          <w:rStyle w:val="CharDivNo"/>
        </w:rPr>
        <w:lastRenderedPageBreak/>
        <w:t>Division 3.3.6E</w:t>
      </w:r>
      <w:r w:rsidRPr="00B32A45">
        <w:t>—</w:t>
      </w:r>
      <w:r w:rsidRPr="00B32A45">
        <w:rPr>
          <w:rStyle w:val="CharDivText"/>
        </w:rPr>
        <w:t>Natural gas processing (other than emissions that are vented or flared)</w:t>
      </w:r>
      <w:bookmarkEnd w:id="78"/>
    </w:p>
    <w:p w:rsidR="00C17B3A" w:rsidRPr="00B32A45" w:rsidRDefault="00C17B3A" w:rsidP="00C17B3A">
      <w:pPr>
        <w:pStyle w:val="h5Section"/>
      </w:pPr>
      <w:r w:rsidRPr="00B32A45">
        <w:rPr>
          <w:rStyle w:val="CharSectno"/>
        </w:rPr>
        <w:t>3.73O</w:t>
      </w:r>
      <w:r w:rsidRPr="00B32A45">
        <w:t xml:space="preserve">  Application</w:t>
      </w:r>
    </w:p>
    <w:p w:rsidR="00C17B3A" w:rsidRPr="00B32A45" w:rsidRDefault="00C17B3A" w:rsidP="00C17B3A">
      <w:pPr>
        <w:pStyle w:val="tMain"/>
      </w:pPr>
      <w:r w:rsidRPr="00B32A45">
        <w:tab/>
      </w:r>
      <w:r w:rsidRPr="00B32A45">
        <w:tab/>
        <w:t xml:space="preserve">This Division applies to fugitive emissions from natural gas processing activities, other than emissions that are vented or flared, including emissions from gas processing. </w:t>
      </w:r>
    </w:p>
    <w:p w:rsidR="00C17B3A" w:rsidRPr="00B32A45" w:rsidRDefault="00C17B3A" w:rsidP="00C17B3A">
      <w:pPr>
        <w:pStyle w:val="h5Section"/>
      </w:pPr>
      <w:r w:rsidRPr="00B32A45">
        <w:rPr>
          <w:rStyle w:val="CharSectno"/>
        </w:rPr>
        <w:t>3.73P</w:t>
      </w:r>
      <w:r w:rsidRPr="00B32A45">
        <w:t xml:space="preserve">  Available methods</w:t>
      </w:r>
    </w:p>
    <w:p w:rsidR="00C17B3A" w:rsidRPr="00B32A45" w:rsidRDefault="00C17B3A" w:rsidP="00C17B3A">
      <w:pPr>
        <w:pStyle w:val="tMain"/>
      </w:pPr>
      <w:r w:rsidRPr="00B32A45">
        <w:tab/>
        <w:t>(1)</w:t>
      </w:r>
      <w:r w:rsidRPr="00B32A45">
        <w:tab/>
        <w:t>Subject to section 1.18 and subsections (3) and (4), one of the following methods must</w:t>
      </w:r>
      <w:r w:rsidRPr="00B32A45">
        <w:rPr>
          <w:i/>
        </w:rPr>
        <w:t xml:space="preserve"> </w:t>
      </w:r>
      <w:r w:rsidRPr="00B32A45">
        <w:t>be used for estimating fugitive emissions of methane and carbon dioxide (other than emissions that are vented or flared) released during a year from the operation of a facility that is constituted by natural gas processing:</w:t>
      </w:r>
    </w:p>
    <w:p w:rsidR="00C17B3A" w:rsidRPr="00B32A45" w:rsidRDefault="00C17B3A" w:rsidP="00C17B3A">
      <w:pPr>
        <w:pStyle w:val="tPara"/>
      </w:pPr>
      <w:r w:rsidRPr="00B32A45">
        <w:tab/>
        <w:t>(a)</w:t>
      </w:r>
      <w:r w:rsidRPr="00B32A45">
        <w:tab/>
        <w:t>method 1 under section 3.73Q;</w:t>
      </w:r>
    </w:p>
    <w:p w:rsidR="00C17B3A" w:rsidRPr="00B32A45" w:rsidRDefault="00C17B3A" w:rsidP="00C17B3A">
      <w:pPr>
        <w:pStyle w:val="tPara"/>
      </w:pPr>
      <w:r w:rsidRPr="00B32A45">
        <w:tab/>
        <w:t>(b)</w:t>
      </w:r>
      <w:r w:rsidRPr="00B32A45">
        <w:tab/>
        <w:t>method 2 under section 3.73R;</w:t>
      </w:r>
    </w:p>
    <w:p w:rsidR="00C17B3A" w:rsidRPr="00B32A45" w:rsidRDefault="00C17B3A" w:rsidP="00C17B3A">
      <w:pPr>
        <w:pStyle w:val="tPara"/>
      </w:pPr>
      <w:r w:rsidRPr="00B32A45">
        <w:t xml:space="preserve">                       (c)  </w:t>
      </w:r>
      <w:r w:rsidRPr="00B32A45">
        <w:tab/>
        <w:t>method 3 under section 3.73S.</w:t>
      </w:r>
    </w:p>
    <w:p w:rsidR="00C17B3A" w:rsidRPr="00B32A45" w:rsidRDefault="00C17B3A" w:rsidP="00C17B3A">
      <w:pPr>
        <w:pStyle w:val="nMain"/>
      </w:pPr>
      <w:r w:rsidRPr="00B32A45">
        <w:tab/>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3.3.6A, 3.3.6B, 3.3.6C, 3.3.7A and 3.3.7B if those Divisions are applicable to the facility.</w:t>
      </w:r>
    </w:p>
    <w:p w:rsidR="00C17B3A" w:rsidRPr="00B32A45" w:rsidRDefault="00C17B3A" w:rsidP="00C733F2">
      <w:pPr>
        <w:pStyle w:val="tMain"/>
      </w:pPr>
      <w:r w:rsidRPr="00B32A45">
        <w:tab/>
        <w:t>(4)</w:t>
      </w:r>
      <w:r w:rsidRPr="00B32A45">
        <w:tab/>
        <w:t>If method 3 is used for a fac</w:t>
      </w:r>
      <w:r w:rsidR="00C733F2">
        <w:t xml:space="preserve">ility, </w:t>
      </w:r>
      <w:r w:rsidRPr="00B32A45">
        <w:t>all other available methods 3 must be used in Divisions 3.3.6A, 3.3.6B, 3.3.6C, 3.3.7A and 3.3.7B if those Divisions are</w:t>
      </w:r>
      <w:r w:rsidR="00C733F2">
        <w:t xml:space="preserve"> applicable to the facility.</w:t>
      </w:r>
    </w:p>
    <w:p w:rsidR="00C17B3A" w:rsidRPr="00B32A45" w:rsidRDefault="00C17B3A" w:rsidP="00C17B3A">
      <w:pPr>
        <w:pStyle w:val="h5Section"/>
      </w:pPr>
      <w:r w:rsidRPr="00B32A45">
        <w:rPr>
          <w:rStyle w:val="CharSectno"/>
        </w:rPr>
        <w:t>3.73Q</w:t>
      </w:r>
      <w:r w:rsidRPr="00B32A45">
        <w:t xml:space="preserve">  Method 1—natural gas processing (other than emissions that are vented or flared)</w:t>
      </w:r>
    </w:p>
    <w:p w:rsidR="00C17B3A" w:rsidRPr="00B32A45" w:rsidRDefault="00C17B3A" w:rsidP="00C17B3A">
      <w:pPr>
        <w:pStyle w:val="tMain"/>
      </w:pPr>
      <w:r w:rsidRPr="00B32A45">
        <w:tab/>
        <w:t>(1)</w:t>
      </w:r>
      <w:r w:rsidRPr="00B32A45">
        <w:tab/>
        <w:t>Method 1 is:</w:t>
      </w:r>
    </w:p>
    <w:p w:rsidR="00C17B3A" w:rsidRPr="00B32A45" w:rsidRDefault="00C17B3A" w:rsidP="00C17B3A">
      <w:pPr>
        <w:pStyle w:val="subsection2"/>
      </w:pPr>
    </w:p>
    <w:p w:rsidR="00C17B3A" w:rsidRPr="005138FE" w:rsidRDefault="00C17B3A" w:rsidP="00C17B3A">
      <w:pPr>
        <w:pStyle w:val="subsection2"/>
        <w:spacing w:before="0"/>
        <w:rPr>
          <w:sz w:val="28"/>
          <w:szCs w:val="28"/>
        </w:rPr>
      </w:pPr>
      <w:r w:rsidRPr="005138FE">
        <w:rPr>
          <w:sz w:val="28"/>
          <w:szCs w:val="28"/>
        </w:rPr>
        <w:t>E</w:t>
      </w:r>
      <w:r w:rsidRPr="005138FE">
        <w:rPr>
          <w:sz w:val="28"/>
          <w:szCs w:val="28"/>
          <w:vertAlign w:val="subscript"/>
        </w:rPr>
        <w:t xml:space="preserve">ij  </w:t>
      </w:r>
      <w:r w:rsidRPr="005138FE">
        <w:rPr>
          <w:sz w:val="28"/>
          <w:szCs w:val="28"/>
        </w:rPr>
        <w:t>= Σ</w:t>
      </w:r>
      <w:r w:rsidRPr="005138FE">
        <w:rPr>
          <w:sz w:val="28"/>
          <w:szCs w:val="28"/>
          <w:vertAlign w:val="subscript"/>
        </w:rPr>
        <w:t>js</w:t>
      </w:r>
      <w:r w:rsidRPr="005138FE">
        <w:rPr>
          <w:sz w:val="28"/>
          <w:szCs w:val="28"/>
        </w:rPr>
        <w:t>(Q</w:t>
      </w:r>
      <w:r w:rsidRPr="005138FE">
        <w:rPr>
          <w:sz w:val="28"/>
          <w:szCs w:val="28"/>
          <w:vertAlign w:val="subscript"/>
        </w:rPr>
        <w:t xml:space="preserve">is </w:t>
      </w:r>
      <w:r w:rsidRPr="005138FE">
        <w:rPr>
          <w:rFonts w:ascii="Times New Roman Bold" w:hAnsi="Times New Roman Bold"/>
          <w:sz w:val="28"/>
          <w:szCs w:val="28"/>
        </w:rPr>
        <w:t>×</w:t>
      </w:r>
      <w:r w:rsidRPr="005138FE">
        <w:rPr>
          <w:sz w:val="28"/>
          <w:szCs w:val="28"/>
          <w:vertAlign w:val="subscript"/>
        </w:rPr>
        <w:t xml:space="preserve"> </w:t>
      </w:r>
      <w:r w:rsidRPr="005138FE">
        <w:rPr>
          <w:sz w:val="28"/>
          <w:szCs w:val="28"/>
        </w:rPr>
        <w:t>EF</w:t>
      </w:r>
      <w:r w:rsidRPr="005138FE">
        <w:rPr>
          <w:sz w:val="28"/>
          <w:szCs w:val="28"/>
          <w:vertAlign w:val="subscript"/>
        </w:rPr>
        <w:t>ijs</w:t>
      </w:r>
      <w:r w:rsidRPr="005138FE">
        <w:rPr>
          <w:sz w:val="28"/>
          <w:szCs w:val="28"/>
        </w:rPr>
        <w:t>)</w:t>
      </w:r>
      <w:r w:rsidRPr="005138FE">
        <w:rPr>
          <w:sz w:val="28"/>
          <w:szCs w:val="28"/>
          <w:vertAlign w:val="subscript"/>
        </w:rPr>
        <w:t xml:space="preserve"> </w:t>
      </w:r>
      <w:r w:rsidRPr="005138FE">
        <w:rPr>
          <w:rFonts w:ascii="Times New Roman Bold" w:hAnsi="Times New Roman Bold"/>
          <w:sz w:val="28"/>
          <w:szCs w:val="28"/>
        </w:rPr>
        <w:t>×</w:t>
      </w:r>
      <w:r w:rsidRPr="005138FE">
        <w:rPr>
          <w:sz w:val="28"/>
          <w:szCs w:val="28"/>
          <w:vertAlign w:val="subscript"/>
        </w:rPr>
        <w:t xml:space="preserve"> </w:t>
      </w:r>
      <w:r w:rsidRPr="005138FE">
        <w:rPr>
          <w:sz w:val="28"/>
          <w:szCs w:val="28"/>
        </w:rPr>
        <w:t>S</w:t>
      </w:r>
      <w:r w:rsidRPr="005138FE">
        <w:rPr>
          <w:sz w:val="28"/>
          <w:szCs w:val="28"/>
          <w:vertAlign w:val="subscript"/>
        </w:rPr>
        <w:t>ij/</w:t>
      </w:r>
      <w:r w:rsidRPr="005138FE">
        <w:rPr>
          <w:sz w:val="28"/>
          <w:szCs w:val="28"/>
        </w:rPr>
        <w:t>SD</w:t>
      </w:r>
      <w:r w:rsidRPr="005138FE">
        <w:rPr>
          <w:sz w:val="28"/>
          <w:szCs w:val="28"/>
          <w:vertAlign w:val="subscript"/>
        </w:rPr>
        <w:t xml:space="preserve">ij </w:t>
      </w:r>
    </w:p>
    <w:p w:rsidR="00C17B3A" w:rsidRPr="00B32A45" w:rsidRDefault="00C17B3A" w:rsidP="00C17B3A">
      <w:pPr>
        <w:pStyle w:val="subsection2"/>
      </w:pP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processing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js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natural gas processing station (</w:t>
      </w:r>
      <w:r w:rsidRPr="00B32A45">
        <w:rPr>
          <w:b/>
          <w:i/>
        </w:rPr>
        <w:t>s</w:t>
      </w:r>
      <w:r w:rsidRPr="00B32A45">
        <w:t>).</w:t>
      </w:r>
    </w:p>
    <w:p w:rsidR="00C17B3A" w:rsidRPr="00B32A45" w:rsidRDefault="00C17B3A" w:rsidP="00C17B3A">
      <w:pPr>
        <w:pStyle w:val="tDefn"/>
      </w:pPr>
      <w:r w:rsidRPr="00B32A45">
        <w:rPr>
          <w:b/>
          <w:i/>
        </w:rPr>
        <w:t>Q</w:t>
      </w:r>
      <w:r w:rsidRPr="00B32A45">
        <w:rPr>
          <w:b/>
          <w:i/>
          <w:vertAlign w:val="subscript"/>
        </w:rPr>
        <w:t xml:space="preserve">is </w:t>
      </w:r>
      <w:r w:rsidRPr="00B32A45">
        <w:t>is the quantity of unprocessed natural gas (</w:t>
      </w:r>
      <w:r w:rsidRPr="00B32A45">
        <w:rPr>
          <w:b/>
          <w:i/>
        </w:rPr>
        <w:t>i</w:t>
      </w:r>
      <w:r w:rsidRPr="00B32A45">
        <w:t>) that passes through the natural gas processing station (</w:t>
      </w:r>
      <w:r w:rsidRPr="00B32A45">
        <w:rPr>
          <w:b/>
          <w:i/>
        </w:rPr>
        <w:t>s</w:t>
      </w:r>
      <w:r w:rsidRPr="00B32A45">
        <w:t>) during the year, measured in tonnes, in accordance with Division 2.3.6.</w:t>
      </w:r>
    </w:p>
    <w:p w:rsidR="00C17B3A" w:rsidRPr="00B32A45" w:rsidRDefault="00C17B3A" w:rsidP="00C17B3A">
      <w:pPr>
        <w:pStyle w:val="tDefn"/>
      </w:pPr>
      <w:r w:rsidRPr="00B32A45">
        <w:rPr>
          <w:b/>
          <w:i/>
        </w:rPr>
        <w:t>EF</w:t>
      </w:r>
      <w:r w:rsidRPr="00B32A45">
        <w:rPr>
          <w:b/>
          <w:i/>
          <w:vertAlign w:val="subscript"/>
        </w:rPr>
        <w:t>ijs</w:t>
      </w:r>
      <w:r w:rsidRPr="00B32A45">
        <w:rPr>
          <w:b/>
          <w:i/>
        </w:rPr>
        <w:t xml:space="preserve"> </w:t>
      </w:r>
      <w:r w:rsidRPr="00B32A45">
        <w:t>is the emission factor for gas type (</w:t>
      </w:r>
      <w:r w:rsidRPr="00B32A45">
        <w:rPr>
          <w:b/>
          <w:i/>
        </w:rPr>
        <w:t>j</w:t>
      </w:r>
      <w:r w:rsidRPr="00B32A45">
        <w:t>), being methane or carbon dioxide, for the unprocessed natural gas (</w:t>
      </w:r>
      <w:r w:rsidRPr="00B32A45">
        <w:rPr>
          <w:b/>
          <w:i/>
        </w:rPr>
        <w:t>i</w:t>
      </w:r>
      <w:r w:rsidRPr="00B32A45">
        <w:t>) that passes through the natural gas processing station (</w:t>
      </w:r>
      <w:r w:rsidRPr="00B32A45">
        <w:rPr>
          <w:b/>
          <w:i/>
        </w:rPr>
        <w:t>s</w:t>
      </w:r>
      <w:r w:rsidRPr="00B32A45">
        <w:t>) during the year as determined under subsection (2) or (3), measured in tonnes of gas (leakage) per tonne of gas throughput.</w:t>
      </w:r>
    </w:p>
    <w:p w:rsidR="00C17B3A" w:rsidRPr="00B32A45" w:rsidRDefault="00C17B3A" w:rsidP="00C17B3A">
      <w:pPr>
        <w:pStyle w:val="tDefn"/>
      </w:pPr>
      <w:r w:rsidRPr="00B32A45">
        <w:rPr>
          <w:b/>
          <w:i/>
        </w:rPr>
        <w:lastRenderedPageBreak/>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0.832 and for carbon dioxide SD is 0.0345.</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w:t>
      </w:r>
      <w:r w:rsidR="00CD79CE">
        <w:rPr>
          <w:b/>
          <w:i/>
          <w:vertAlign w:val="subscript"/>
        </w:rPr>
        <w:t>s</w:t>
      </w:r>
      <w:r w:rsidRPr="00B32A45">
        <w:rPr>
          <w:i/>
        </w:rPr>
        <w:t xml:space="preserve"> </w:t>
      </w:r>
      <w:r w:rsidRPr="00B32A45">
        <w:t xml:space="preserve">in subsection (1), </w:t>
      </w:r>
      <w:r w:rsidRPr="00B32A45">
        <w:rPr>
          <w:b/>
          <w:i/>
        </w:rPr>
        <w:t>EF</w:t>
      </w:r>
      <w:r w:rsidRPr="00B32A45">
        <w:rPr>
          <w:b/>
          <w:i/>
          <w:vertAlign w:val="subscript"/>
        </w:rPr>
        <w:t>ij</w:t>
      </w:r>
      <w:r w:rsidR="00CD79CE">
        <w:rPr>
          <w:b/>
          <w:i/>
          <w:vertAlign w:val="subscript"/>
        </w:rPr>
        <w:t>s</w:t>
      </w:r>
      <w:r w:rsidRPr="00B32A45">
        <w:t xml:space="preserve"> for methane is given by the following formula:</w:t>
      </w:r>
    </w:p>
    <w:p w:rsidR="00C17B3A" w:rsidRPr="005138FE" w:rsidRDefault="00C17B3A" w:rsidP="00C17B3A">
      <w:pPr>
        <w:pStyle w:val="tDefn"/>
        <w:rPr>
          <w:sz w:val="28"/>
          <w:szCs w:val="28"/>
        </w:rPr>
      </w:pPr>
      <w:r w:rsidRPr="005138FE">
        <w:rPr>
          <w:sz w:val="28"/>
          <w:szCs w:val="28"/>
        </w:rPr>
        <w:t>EF</w:t>
      </w:r>
      <w:r w:rsidRPr="005138FE">
        <w:rPr>
          <w:sz w:val="28"/>
          <w:szCs w:val="28"/>
          <w:vertAlign w:val="subscript"/>
        </w:rPr>
        <w:t>ij</w:t>
      </w:r>
      <w:r w:rsidR="00CD79CE">
        <w:rPr>
          <w:sz w:val="28"/>
          <w:szCs w:val="28"/>
          <w:vertAlign w:val="subscript"/>
        </w:rPr>
        <w:t>s</w:t>
      </w:r>
      <w:r w:rsidRPr="005138FE">
        <w:rPr>
          <w:sz w:val="28"/>
          <w:szCs w:val="28"/>
        </w:rPr>
        <w:t xml:space="preserve"> = GWP</w:t>
      </w:r>
      <w:r w:rsidRPr="005138FE">
        <w:rPr>
          <w:sz w:val="28"/>
          <w:szCs w:val="28"/>
          <w:vertAlign w:val="subscript"/>
        </w:rPr>
        <w:t>methane</w:t>
      </w:r>
      <w:r w:rsidRPr="005138FE">
        <w:rPr>
          <w:sz w:val="28"/>
          <w:szCs w:val="28"/>
        </w:rPr>
        <w:t xml:space="preserve"> × 0.6369 × Q</w:t>
      </w:r>
      <w:r w:rsidRPr="005138FE">
        <w:rPr>
          <w:sz w:val="28"/>
          <w:szCs w:val="28"/>
          <w:vertAlign w:val="subscript"/>
        </w:rPr>
        <w:t>i</w:t>
      </w:r>
      <w:r w:rsidRPr="005138FE">
        <w:rPr>
          <w:sz w:val="28"/>
          <w:szCs w:val="28"/>
          <w:vertAlign w:val="superscript"/>
        </w:rPr>
        <w:t>-0.4801</w:t>
      </w:r>
    </w:p>
    <w:p w:rsidR="00C17B3A" w:rsidRPr="00B32A45" w:rsidRDefault="00C17B3A" w:rsidP="00C17B3A">
      <w:pPr>
        <w:pStyle w:val="tDefn"/>
      </w:pPr>
      <w:r w:rsidRPr="00B32A45">
        <w:t>where:</w:t>
      </w:r>
    </w:p>
    <w:p w:rsidR="00C17B3A" w:rsidRPr="00B32A45" w:rsidRDefault="00C17B3A" w:rsidP="00C17B3A">
      <w:pPr>
        <w:pStyle w:val="tDefn"/>
      </w:pPr>
      <w:r w:rsidRPr="00B32A45">
        <w:rPr>
          <w:b/>
          <w:i/>
        </w:rPr>
        <w:t>EF</w:t>
      </w:r>
      <w:r w:rsidRPr="00B32A45">
        <w:rPr>
          <w:b/>
          <w:i/>
          <w:vertAlign w:val="subscript"/>
        </w:rPr>
        <w:t>ij</w:t>
      </w:r>
      <w:r w:rsidR="00CD79CE">
        <w:rPr>
          <w:b/>
          <w:i/>
          <w:vertAlign w:val="subscript"/>
        </w:rPr>
        <w:t>s</w:t>
      </w:r>
      <w:r w:rsidRPr="00B32A45">
        <w:t xml:space="preserve"> is the emission factor for methane (</w:t>
      </w:r>
      <w:r w:rsidRPr="00B32A45">
        <w:rPr>
          <w:b/>
          <w:i/>
        </w:rPr>
        <w:t>j</w:t>
      </w:r>
      <w:r w:rsidRPr="00B32A45">
        <w:t>) measured in CO</w:t>
      </w:r>
      <w:r w:rsidRPr="00B32A45">
        <w:rPr>
          <w:vertAlign w:val="subscript"/>
        </w:rPr>
        <w:t>2</w:t>
      </w:r>
      <w:r w:rsidRPr="00B32A45">
        <w:noBreakHyphen/>
        <w:t xml:space="preserve">e tonnes per tonne of natural gas that passes through the natural gas processing station </w:t>
      </w:r>
      <w:r w:rsidR="00CD79CE">
        <w:t>(</w:t>
      </w:r>
      <w:r w:rsidR="00CD79CE" w:rsidRPr="00CD79CE">
        <w:rPr>
          <w:b/>
          <w:i/>
        </w:rPr>
        <w:t>s</w:t>
      </w:r>
      <w:r w:rsidR="00CD79CE">
        <w:t xml:space="preserve">) </w:t>
      </w:r>
      <w:r w:rsidRPr="00B32A45">
        <w:t>during the year.</w:t>
      </w:r>
    </w:p>
    <w:p w:rsidR="00C17B3A" w:rsidRPr="00B32A45" w:rsidRDefault="00C17B3A" w:rsidP="00C17B3A">
      <w:pPr>
        <w:pStyle w:val="tDefn"/>
      </w:pPr>
      <w:r w:rsidRPr="00B32A45">
        <w:rPr>
          <w:b/>
          <w:i/>
        </w:rPr>
        <w:t>Q</w:t>
      </w:r>
      <w:r w:rsidRPr="00B32A45">
        <w:rPr>
          <w:b/>
          <w:i/>
          <w:vertAlign w:val="subscript"/>
        </w:rPr>
        <w:t>i</w:t>
      </w:r>
      <w:r w:rsidRPr="00B32A45">
        <w:t xml:space="preserve"> is the quantity of unprocessed natural gas that passes through the natural gas processing station during the year, measured in tonnes in accordance with Division 2.3.6.</w:t>
      </w:r>
    </w:p>
    <w:p w:rsidR="00C17B3A" w:rsidRPr="00B32A45" w:rsidRDefault="00C17B3A" w:rsidP="00C17B3A">
      <w:pPr>
        <w:pStyle w:val="tMain"/>
      </w:pPr>
      <w:r w:rsidRPr="00B32A45">
        <w:tab/>
        <w:t>(3)</w:t>
      </w:r>
      <w:r w:rsidRPr="00B32A45">
        <w:tab/>
        <w:t xml:space="preserve">For </w:t>
      </w:r>
      <w:r w:rsidRPr="00B32A45">
        <w:rPr>
          <w:b/>
          <w:i/>
        </w:rPr>
        <w:t>EF</w:t>
      </w:r>
      <w:r w:rsidRPr="00B32A45">
        <w:rPr>
          <w:b/>
          <w:i/>
          <w:vertAlign w:val="subscript"/>
        </w:rPr>
        <w:t>ij</w:t>
      </w:r>
      <w:r w:rsidR="00CD79CE">
        <w:rPr>
          <w:b/>
          <w:i/>
          <w:vertAlign w:val="subscript"/>
        </w:rPr>
        <w:t>s</w:t>
      </w:r>
      <w:r w:rsidRPr="00B32A45">
        <w:rPr>
          <w:i/>
        </w:rPr>
        <w:t xml:space="preserve"> </w:t>
      </w:r>
      <w:r w:rsidRPr="00B32A45">
        <w:t xml:space="preserve">in subsection (1), </w:t>
      </w:r>
      <w:r w:rsidRPr="00B32A45">
        <w:rPr>
          <w:b/>
          <w:i/>
        </w:rPr>
        <w:t>EF</w:t>
      </w:r>
      <w:r w:rsidRPr="00B32A45">
        <w:rPr>
          <w:b/>
          <w:i/>
          <w:vertAlign w:val="subscript"/>
        </w:rPr>
        <w:t>ij</w:t>
      </w:r>
      <w:r w:rsidR="00CD79CE">
        <w:rPr>
          <w:b/>
          <w:i/>
          <w:vertAlign w:val="subscript"/>
        </w:rPr>
        <w:t>s</w:t>
      </w:r>
      <w:r w:rsidRPr="00B32A45">
        <w:t xml:space="preserve"> for carbon dioxide is given by the following formula:</w:t>
      </w:r>
    </w:p>
    <w:p w:rsidR="00C17B3A" w:rsidRPr="005138FE" w:rsidRDefault="00C17B3A" w:rsidP="00C17B3A">
      <w:pPr>
        <w:pStyle w:val="tDefn"/>
        <w:rPr>
          <w:sz w:val="28"/>
          <w:szCs w:val="28"/>
        </w:rPr>
      </w:pPr>
      <w:r w:rsidRPr="005138FE">
        <w:rPr>
          <w:sz w:val="28"/>
          <w:szCs w:val="28"/>
        </w:rPr>
        <w:t>EF</w:t>
      </w:r>
      <w:r w:rsidRPr="005138FE">
        <w:rPr>
          <w:sz w:val="28"/>
          <w:szCs w:val="28"/>
          <w:vertAlign w:val="subscript"/>
        </w:rPr>
        <w:t>ij</w:t>
      </w:r>
      <w:r w:rsidR="00CD79CE">
        <w:rPr>
          <w:sz w:val="28"/>
          <w:szCs w:val="28"/>
          <w:vertAlign w:val="subscript"/>
        </w:rPr>
        <w:t>s</w:t>
      </w:r>
      <w:r w:rsidRPr="005138FE">
        <w:rPr>
          <w:sz w:val="28"/>
          <w:szCs w:val="28"/>
        </w:rPr>
        <w:t xml:space="preserve">  = 0.6369 ×  Q</w:t>
      </w:r>
      <w:r w:rsidRPr="005138FE">
        <w:rPr>
          <w:sz w:val="28"/>
          <w:szCs w:val="28"/>
          <w:vertAlign w:val="subscript"/>
        </w:rPr>
        <w:t>i</w:t>
      </w:r>
      <w:r w:rsidRPr="005138FE">
        <w:rPr>
          <w:sz w:val="28"/>
          <w:szCs w:val="28"/>
          <w:vertAlign w:val="superscript"/>
        </w:rPr>
        <w:t>-0.4801</w:t>
      </w:r>
      <w:r w:rsidRPr="005138FE">
        <w:rPr>
          <w:sz w:val="28"/>
          <w:szCs w:val="28"/>
        </w:rPr>
        <w:t xml:space="preserve"> × SD</w:t>
      </w:r>
      <w:r w:rsidRPr="005138FE">
        <w:rPr>
          <w:sz w:val="28"/>
          <w:szCs w:val="28"/>
          <w:vertAlign w:val="subscript"/>
        </w:rPr>
        <w:t xml:space="preserve">ij=carbon dioxide </w:t>
      </w:r>
      <w:r w:rsidRPr="005138FE">
        <w:rPr>
          <w:sz w:val="28"/>
          <w:szCs w:val="28"/>
        </w:rPr>
        <w:t>/ SD</w:t>
      </w:r>
      <w:r w:rsidRPr="005138FE">
        <w:rPr>
          <w:sz w:val="28"/>
          <w:szCs w:val="28"/>
          <w:vertAlign w:val="subscript"/>
        </w:rPr>
        <w:t>ij=methane</w:t>
      </w:r>
    </w:p>
    <w:p w:rsidR="00C17B3A" w:rsidRPr="00B32A45" w:rsidRDefault="00C17B3A" w:rsidP="00C17B3A">
      <w:pPr>
        <w:pStyle w:val="tDefn"/>
      </w:pPr>
      <w:r w:rsidRPr="00B32A45">
        <w:t>where:</w:t>
      </w:r>
    </w:p>
    <w:p w:rsidR="00C17B3A" w:rsidRPr="00B32A45" w:rsidRDefault="00C17B3A" w:rsidP="00C17B3A">
      <w:pPr>
        <w:pStyle w:val="tDefn"/>
      </w:pPr>
      <w:r w:rsidRPr="00B32A45">
        <w:rPr>
          <w:b/>
          <w:i/>
        </w:rPr>
        <w:t>EF</w:t>
      </w:r>
      <w:r w:rsidRPr="00B32A45">
        <w:rPr>
          <w:b/>
          <w:i/>
          <w:vertAlign w:val="subscript"/>
        </w:rPr>
        <w:t>ij</w:t>
      </w:r>
      <w:r w:rsidR="00CD79CE">
        <w:rPr>
          <w:b/>
          <w:i/>
          <w:vertAlign w:val="subscript"/>
        </w:rPr>
        <w:t>s</w:t>
      </w:r>
      <w:r w:rsidRPr="00B32A45">
        <w:t xml:space="preserve"> is the emission factor for carbon dioxide (</w:t>
      </w:r>
      <w:r w:rsidRPr="00CD79CE">
        <w:rPr>
          <w:b/>
          <w:i/>
        </w:rPr>
        <w:t>j</w:t>
      </w:r>
      <w:r w:rsidRPr="00B32A45">
        <w:t>) measured in CO</w:t>
      </w:r>
      <w:r w:rsidRPr="00B32A45">
        <w:rPr>
          <w:vertAlign w:val="subscript"/>
        </w:rPr>
        <w:t>2</w:t>
      </w:r>
      <w:r w:rsidRPr="00B32A45">
        <w:noBreakHyphen/>
        <w:t xml:space="preserve">e tonnes per tonne of natural gas that passes through the natural gas gathering and boosting station </w:t>
      </w:r>
      <w:r w:rsidR="00CD79CE">
        <w:t>(</w:t>
      </w:r>
      <w:r w:rsidR="00CD79CE" w:rsidRPr="00CD79CE">
        <w:rPr>
          <w:b/>
          <w:i/>
        </w:rPr>
        <w:t>s</w:t>
      </w:r>
      <w:r w:rsidR="00CD79CE">
        <w:t xml:space="preserve">) </w:t>
      </w:r>
      <w:r w:rsidRPr="00B32A45">
        <w:t>during the year.</w:t>
      </w:r>
    </w:p>
    <w:p w:rsidR="00C17B3A" w:rsidRPr="00B32A45" w:rsidRDefault="00C17B3A" w:rsidP="00C17B3A">
      <w:pPr>
        <w:pStyle w:val="tDefn"/>
      </w:pPr>
      <w:r w:rsidRPr="00B32A45">
        <w:rPr>
          <w:b/>
          <w:i/>
        </w:rPr>
        <w:t>Q</w:t>
      </w:r>
      <w:r w:rsidRPr="00B32A45">
        <w:rPr>
          <w:b/>
          <w:i/>
          <w:vertAlign w:val="subscript"/>
        </w:rPr>
        <w:t>i</w:t>
      </w:r>
      <w:r w:rsidRPr="00B32A45">
        <w:t xml:space="preserve"> is the quantity of unprocessed natural gas that passes through the natural gas gathering and boosting station during the year, measured in tonnes in accordance with Division 2.3.6.</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ij=carbon dioxide</w:t>
      </w:r>
      <w:r w:rsidRPr="00B32A45">
        <w:rPr>
          <w:b/>
          <w:i/>
        </w:rPr>
        <w:t xml:space="preserve"> </w:t>
      </w:r>
      <w:r w:rsidRPr="00B32A45">
        <w:t>is the default share of carbon dioxide (</w:t>
      </w:r>
      <w:r w:rsidRPr="00B32A45">
        <w:rPr>
          <w:b/>
          <w:i/>
        </w:rPr>
        <w:t>j</w:t>
      </w:r>
      <w:r w:rsidRPr="00B32A45">
        <w:t>) in the unprocessed gas (</w:t>
      </w:r>
      <w:r w:rsidRPr="00B32A45">
        <w:rPr>
          <w:b/>
          <w:i/>
        </w:rPr>
        <w:t>i</w:t>
      </w:r>
      <w:r w:rsidRPr="00B32A45">
        <w:t>), which is 0.0345.</w:t>
      </w:r>
    </w:p>
    <w:p w:rsidR="00C17B3A" w:rsidRPr="00B32A45" w:rsidRDefault="00C17B3A" w:rsidP="000A4DBC">
      <w:pPr>
        <w:pStyle w:val="tDefn"/>
      </w:pPr>
      <w:r w:rsidRPr="00B32A45">
        <w:rPr>
          <w:b/>
          <w:i/>
        </w:rPr>
        <w:t>SD</w:t>
      </w:r>
      <w:r w:rsidRPr="00B32A45">
        <w:rPr>
          <w:rFonts w:ascii="Times New Roman Bold Italic" w:hAnsi="Times New Roman Bold Italic"/>
          <w:b/>
          <w:i/>
          <w:vertAlign w:val="subscript"/>
        </w:rPr>
        <w:t>ij=methane</w:t>
      </w:r>
      <w:r w:rsidRPr="00B32A45">
        <w:rPr>
          <w:b/>
          <w:i/>
        </w:rPr>
        <w:t xml:space="preserve"> </w:t>
      </w:r>
      <w:r w:rsidRPr="00B32A45">
        <w:t>is the default share of methane (</w:t>
      </w:r>
      <w:r w:rsidRPr="00B32A45">
        <w:rPr>
          <w:b/>
          <w:i/>
        </w:rPr>
        <w:t>j</w:t>
      </w:r>
      <w:r w:rsidRPr="00B32A45">
        <w:t>) in the unprocessed gas (</w:t>
      </w:r>
      <w:r w:rsidRPr="00B32A45">
        <w:rPr>
          <w:b/>
          <w:i/>
        </w:rPr>
        <w:t>i</w:t>
      </w:r>
      <w:r w:rsidR="000A4DBC">
        <w:t>), which is 0.832.</w:t>
      </w:r>
    </w:p>
    <w:p w:rsidR="00C17B3A" w:rsidRPr="00B32A45" w:rsidRDefault="00C17B3A" w:rsidP="00C17B3A">
      <w:pPr>
        <w:pStyle w:val="h5Section"/>
      </w:pPr>
      <w:r w:rsidRPr="00B32A45">
        <w:rPr>
          <w:rStyle w:val="CharSectno"/>
        </w:rPr>
        <w:t>3.73R</w:t>
      </w:r>
      <w:r w:rsidRPr="00B32A45">
        <w:t xml:space="preserve">  Method 2—natural gas processing (other than venting and flaring)</w:t>
      </w:r>
    </w:p>
    <w:p w:rsidR="00C17B3A" w:rsidRPr="00B32A45" w:rsidRDefault="00C17B3A" w:rsidP="00C17B3A">
      <w:pPr>
        <w:pStyle w:val="tMain"/>
      </w:pPr>
      <w:r w:rsidRPr="00B32A45">
        <w:tab/>
        <w:t>(1)</w:t>
      </w:r>
      <w:r w:rsidRPr="00B32A45">
        <w:tab/>
        <w:t>Method 2 is:</w:t>
      </w:r>
    </w:p>
    <w:p w:rsidR="00C17B3A" w:rsidRPr="005138FE" w:rsidRDefault="00C17B3A" w:rsidP="00C17B3A">
      <w:pPr>
        <w:pStyle w:val="tMain"/>
        <w:spacing w:before="120" w:after="120"/>
        <w:rPr>
          <w:sz w:val="28"/>
          <w:szCs w:val="28"/>
        </w:rPr>
      </w:pPr>
      <w:r w:rsidRPr="005138FE">
        <w:rPr>
          <w:sz w:val="28"/>
          <w:szCs w:val="28"/>
        </w:rPr>
        <w:tab/>
      </w:r>
      <w:r w:rsidRPr="005138FE">
        <w:rPr>
          <w:sz w:val="28"/>
          <w:szCs w:val="28"/>
        </w:rPr>
        <w:tab/>
        <w:t>E</w:t>
      </w:r>
      <w:r w:rsidRPr="005138FE">
        <w:rPr>
          <w:sz w:val="28"/>
          <w:szCs w:val="28"/>
          <w:vertAlign w:val="subscript"/>
        </w:rPr>
        <w:t xml:space="preserve">ij </w:t>
      </w:r>
      <w:r w:rsidRPr="005138FE">
        <w:rPr>
          <w:sz w:val="28"/>
          <w:szCs w:val="28"/>
        </w:rPr>
        <w:t>= [∑</w:t>
      </w:r>
      <w:r w:rsidRPr="005138FE">
        <w:rPr>
          <w:sz w:val="28"/>
          <w:szCs w:val="28"/>
          <w:vertAlign w:val="subscript"/>
        </w:rPr>
        <w:t xml:space="preserve">k </w:t>
      </w:r>
      <w:r w:rsidRPr="005138FE">
        <w:rPr>
          <w:sz w:val="28"/>
          <w:szCs w:val="28"/>
        </w:rPr>
        <w:t>(T</w:t>
      </w:r>
      <w:r w:rsidRPr="005138FE">
        <w:rPr>
          <w:sz w:val="28"/>
          <w:szCs w:val="28"/>
          <w:vertAlign w:val="subscript"/>
        </w:rPr>
        <w:t>ik</w:t>
      </w:r>
      <w:r w:rsidRPr="005138FE">
        <w:rPr>
          <w:sz w:val="28"/>
          <w:szCs w:val="28"/>
        </w:rPr>
        <w:t xml:space="preserve"> × N</w:t>
      </w:r>
      <w:r w:rsidRPr="005138FE">
        <w:rPr>
          <w:sz w:val="28"/>
          <w:szCs w:val="28"/>
          <w:vertAlign w:val="subscript"/>
        </w:rPr>
        <w:t>ik</w:t>
      </w:r>
      <w:r w:rsidRPr="005138FE">
        <w:rPr>
          <w:sz w:val="28"/>
          <w:szCs w:val="28"/>
        </w:rPr>
        <w:t xml:space="preserve"> ×EF</w:t>
      </w:r>
      <w:r w:rsidRPr="005138FE">
        <w:rPr>
          <w:sz w:val="28"/>
          <w:szCs w:val="28"/>
          <w:vertAlign w:val="subscript"/>
        </w:rPr>
        <w:t>ijk</w:t>
      </w:r>
      <w:r w:rsidRPr="005138FE">
        <w:rPr>
          <w:sz w:val="28"/>
          <w:szCs w:val="28"/>
        </w:rPr>
        <w:t>)</w:t>
      </w:r>
      <w:r w:rsidRPr="005138FE">
        <w:rPr>
          <w:rFonts w:ascii="Times New Roman Bold" w:hAnsi="Times New Roman Bold"/>
          <w:b/>
          <w:sz w:val="28"/>
          <w:szCs w:val="28"/>
        </w:rPr>
        <w:t xml:space="preserve"> ×</w:t>
      </w:r>
      <w:r w:rsidRPr="005138FE">
        <w:rPr>
          <w:b/>
          <w:sz w:val="28"/>
          <w:szCs w:val="28"/>
          <w:vertAlign w:val="subscript"/>
        </w:rPr>
        <w:t xml:space="preserve"> </w:t>
      </w:r>
      <w:r w:rsidRPr="005138FE">
        <w:rPr>
          <w:sz w:val="28"/>
          <w:szCs w:val="28"/>
        </w:rPr>
        <w:t>S</w:t>
      </w:r>
      <w:r w:rsidRPr="005138FE">
        <w:rPr>
          <w:sz w:val="28"/>
          <w:szCs w:val="28"/>
          <w:vertAlign w:val="subscript"/>
        </w:rPr>
        <w:t>ij/</w:t>
      </w:r>
      <w:r w:rsidRPr="005138FE">
        <w:rPr>
          <w:sz w:val="28"/>
          <w:szCs w:val="28"/>
        </w:rPr>
        <w:t>SD</w:t>
      </w:r>
      <w:r w:rsidRPr="005138FE">
        <w:rPr>
          <w:sz w:val="28"/>
          <w:szCs w:val="28"/>
          <w:vertAlign w:val="subscript"/>
        </w:rPr>
        <w:t>ij</w:t>
      </w:r>
      <w:r w:rsidRPr="005138FE">
        <w:rPr>
          <w:sz w:val="28"/>
          <w:szCs w:val="28"/>
        </w:rPr>
        <w:t>]</w:t>
      </w:r>
      <w:r w:rsidRPr="005138FE">
        <w:rPr>
          <w:b/>
          <w:sz w:val="28"/>
          <w:szCs w:val="28"/>
          <w:vertAlign w:val="subscript"/>
        </w:rPr>
        <w:t xml:space="preserve"> </w:t>
      </w:r>
    </w:p>
    <w:p w:rsidR="00C17B3A" w:rsidRPr="00B32A45" w:rsidRDefault="00C17B3A" w:rsidP="00C17B3A">
      <w:pPr>
        <w:pStyle w:val="subsection2"/>
        <w:tabs>
          <w:tab w:val="left" w:pos="2790"/>
        </w:tabs>
      </w:pPr>
      <w:r w:rsidRPr="00B32A45">
        <w:t>where:</w:t>
      </w:r>
      <w:r w:rsidRPr="00B32A45">
        <w:tab/>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processing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if the equipment is used in the natural gas processing.</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the equipment of each equipment type (</w:t>
      </w:r>
      <w:r w:rsidRPr="00B32A45">
        <w:rPr>
          <w:b/>
          <w:i/>
        </w:rPr>
        <w:t>k</w:t>
      </w:r>
      <w:r w:rsidRPr="00B32A45">
        <w:t>), if the equipment is used in the natural gas processing during the year.</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equipment units of each equipment type (</w:t>
      </w:r>
      <w:r w:rsidRPr="00B32A45">
        <w:rPr>
          <w:b/>
          <w:i/>
        </w:rPr>
        <w:t>k</w:t>
      </w:r>
      <w:r w:rsidRPr="00B32A45">
        <w:t>)</w:t>
      </w:r>
      <w:r w:rsidR="009B2547">
        <w:t>,</w:t>
      </w:r>
      <w:r w:rsidRPr="00B32A45">
        <w:t xml:space="preserve"> if the equipment type is used in the natural gas processing during the year.</w:t>
      </w:r>
    </w:p>
    <w:p w:rsidR="00C17B3A" w:rsidRPr="00B32A45" w:rsidRDefault="00C17B3A" w:rsidP="00C17B3A">
      <w:pPr>
        <w:pStyle w:val="tDefn"/>
      </w:pPr>
      <w:r w:rsidRPr="00B32A45">
        <w:rPr>
          <w:b/>
          <w:i/>
        </w:rPr>
        <w:lastRenderedPageBreak/>
        <w:t>EF</w:t>
      </w:r>
      <w:r w:rsidRPr="00B32A45">
        <w:rPr>
          <w:b/>
          <w:i/>
          <w:vertAlign w:val="subscript"/>
        </w:rPr>
        <w:t>ijk</w:t>
      </w:r>
      <w:r w:rsidRPr="00B32A45">
        <w:rPr>
          <w:b/>
          <w:i/>
        </w:rPr>
        <w:t xml:space="preserve"> </w:t>
      </w:r>
      <w:r w:rsidRPr="00B32A45">
        <w:t>is the emission factor (</w:t>
      </w:r>
      <w:r w:rsidRPr="00B32A45">
        <w:rPr>
          <w:b/>
          <w:i/>
        </w:rPr>
        <w:t>A</w:t>
      </w:r>
      <w:r w:rsidRPr="00B32A45">
        <w:t>) of gas type (</w:t>
      </w:r>
      <w:r w:rsidRPr="00B32A45">
        <w:rPr>
          <w:b/>
          <w:i/>
        </w:rPr>
        <w:t>j</w:t>
      </w:r>
      <w:r w:rsidRPr="00B32A45">
        <w:t>), being methane or carbon dioxide, measured in tonnes of CO</w:t>
      </w:r>
      <w:r w:rsidRPr="00B32A45">
        <w:rPr>
          <w:rStyle w:val="charSubscript"/>
          <w:iCs/>
        </w:rPr>
        <w:t>2</w:t>
      </w:r>
      <w:r w:rsidRPr="00B32A45">
        <w:noBreakHyphen/>
        <w:t>e per equipment type (</w:t>
      </w:r>
      <w:r w:rsidRPr="00B32A45">
        <w:rPr>
          <w:b/>
          <w:i/>
        </w:rPr>
        <w:t>k</w:t>
      </w:r>
      <w:r w:rsidRPr="00B32A45">
        <w:t>) – hour as determined under subsection (2), if the equipment is used in the natural gas processing.</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0.868 and for carbon dioxide SD is 0.0345.</w:t>
      </w:r>
    </w:p>
    <w:p w:rsidR="00C17B3A" w:rsidRPr="00B32A45" w:rsidRDefault="00C17B3A" w:rsidP="000A4DB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w:t>
      </w:r>
      <w:r w:rsidR="000A4DB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090"/>
        <w:gridCol w:w="6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1877" w:type="pct"/>
            <w:gridSpan w:val="3"/>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pPr>
            <w:r w:rsidRPr="00B32A45">
              <w:t>CH</w:t>
            </w:r>
            <w:r w:rsidRPr="00B32A45">
              <w:rPr>
                <w:vertAlign w:val="subscript"/>
              </w:rPr>
              <w:t>4</w:t>
            </w:r>
          </w:p>
        </w:tc>
        <w:tc>
          <w:tcPr>
            <w:tcW w:w="1194" w:type="pct"/>
            <w:gridSpan w:val="2"/>
          </w:tcPr>
          <w:p w:rsidR="00C17B3A" w:rsidRPr="00B32A45" w:rsidRDefault="00C17B3A" w:rsidP="00DB6238">
            <w:pPr>
              <w:pStyle w:val="Tabletext"/>
              <w:jc w:val="center"/>
            </w:pPr>
            <w:r w:rsidRPr="00B32A45">
              <w:t>CO</w:t>
            </w:r>
            <w:r w:rsidRPr="00B32A45">
              <w:rPr>
                <w:vertAlign w:val="subscript"/>
              </w:rPr>
              <w:t>2</w:t>
            </w:r>
          </w:p>
        </w:tc>
        <w:tc>
          <w:tcPr>
            <w:tcW w:w="1147" w:type="pct"/>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Reciprocating compressors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7.66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1.91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Centrifugal compressors (wet seals)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 xml:space="preserve">1.54  </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5.99 × 10</w:t>
            </w:r>
            <w:r w:rsidRPr="00B32A45">
              <w:rPr>
                <w:vertAlign w:val="superscript"/>
              </w:rPr>
              <w:t>-3</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Centrifugal compressors (dry seals)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 xml:space="preserve">0.194 </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rPr>
                <w:vertAlign w:val="superscript"/>
              </w:rPr>
            </w:pPr>
            <w:r w:rsidRPr="00B32A45">
              <w:t>7.54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Screw compressors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2.97 × 10</w:t>
            </w:r>
            <w:r w:rsidRPr="00B32A45">
              <w:rPr>
                <w:vertAlign w:val="superscript"/>
              </w:rPr>
              <w:t>-2</w:t>
            </w:r>
          </w:p>
        </w:tc>
        <w:tc>
          <w:tcPr>
            <w:tcW w:w="1158"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1.16 × 10</w:t>
            </w:r>
            <w:r w:rsidRPr="00B32A45">
              <w:rPr>
                <w:vertAlign w:val="superscript"/>
              </w:rPr>
              <w:t>-4</w:t>
            </w:r>
          </w:p>
        </w:tc>
        <w:tc>
          <w:tcPr>
            <w:tcW w:w="1183" w:type="pct"/>
            <w:gridSpan w:val="2"/>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/equipment - hour</w:t>
            </w:r>
          </w:p>
        </w:tc>
      </w:tr>
    </w:tbl>
    <w:p w:rsidR="00C17B3A" w:rsidRPr="00B32A45" w:rsidRDefault="00C17B3A" w:rsidP="00C17B3A">
      <w:pPr>
        <w:pStyle w:val="h5Section"/>
        <w:rPr>
          <w:rStyle w:val="CharSectno"/>
        </w:rPr>
      </w:pPr>
      <w:r w:rsidRPr="00B32A45">
        <w:rPr>
          <w:rStyle w:val="CharSectno"/>
        </w:rPr>
        <w:t>3.73S  Method 3—natural gas processing (other than venting and flaring)</w:t>
      </w:r>
    </w:p>
    <w:p w:rsidR="00C17B3A" w:rsidRPr="00B32A45" w:rsidRDefault="005138FE" w:rsidP="00C17B3A">
      <w:pPr>
        <w:pStyle w:val="tMain"/>
        <w:shd w:val="clear" w:color="auto" w:fill="FFFFFF"/>
        <w:tabs>
          <w:tab w:val="left" w:pos="5100"/>
        </w:tabs>
        <w:rPr>
          <w:szCs w:val="22"/>
        </w:rPr>
      </w:pPr>
      <w:r>
        <w:rPr>
          <w:szCs w:val="22"/>
        </w:rPr>
        <w:tab/>
        <w:t>(1)</w:t>
      </w:r>
      <w:r>
        <w:rPr>
          <w:szCs w:val="22"/>
        </w:rPr>
        <w:tab/>
      </w:r>
      <w:r w:rsidR="00C17B3A" w:rsidRPr="00B32A45">
        <w:rPr>
          <w:szCs w:val="22"/>
        </w:rPr>
        <w:t>Method 3 is:</w:t>
      </w:r>
      <w:r w:rsidR="00C17B3A" w:rsidRPr="00B32A45">
        <w:rPr>
          <w:szCs w:val="22"/>
        </w:rPr>
        <w:tab/>
      </w:r>
    </w:p>
    <w:p w:rsidR="00C17B3A" w:rsidRPr="005138FE" w:rsidRDefault="00360904" w:rsidP="00C17B3A">
      <w:pPr>
        <w:pStyle w:val="tMain"/>
        <w:shd w:val="clear" w:color="auto" w:fill="FFFFFF"/>
        <w:spacing w:before="120" w:after="120"/>
        <w:rPr>
          <w:sz w:val="28"/>
          <w:szCs w:val="28"/>
        </w:rPr>
      </w:pPr>
      <w:r w:rsidRPr="005138FE">
        <w:rPr>
          <w:sz w:val="28"/>
          <w:szCs w:val="28"/>
        </w:rPr>
        <w:tab/>
      </w:r>
      <w:r w:rsidRPr="005138FE">
        <w:rPr>
          <w:sz w:val="28"/>
          <w:szCs w:val="28"/>
        </w:rPr>
        <w:tab/>
      </w:r>
      <w:r w:rsidR="00C17B3A" w:rsidRPr="005138FE">
        <w:rPr>
          <w:sz w:val="28"/>
          <w:szCs w:val="28"/>
        </w:rPr>
        <w:t>E</w:t>
      </w:r>
      <w:r w:rsidR="00C17B3A" w:rsidRPr="005138FE">
        <w:rPr>
          <w:sz w:val="28"/>
          <w:szCs w:val="28"/>
          <w:vertAlign w:val="subscript"/>
        </w:rPr>
        <w:t xml:space="preserve">ij </w:t>
      </w:r>
      <w:r w:rsidR="00C17B3A" w:rsidRPr="005138FE">
        <w:rPr>
          <w:sz w:val="28"/>
          <w:szCs w:val="28"/>
        </w:rPr>
        <w:t>= ∑</w:t>
      </w:r>
      <w:r w:rsidR="00C17B3A" w:rsidRPr="005138FE">
        <w:rPr>
          <w:sz w:val="28"/>
          <w:szCs w:val="28"/>
          <w:vertAlign w:val="subscript"/>
        </w:rPr>
        <w:t xml:space="preserve">k </w:t>
      </w:r>
      <w:r w:rsidR="00C17B3A" w:rsidRPr="005138FE">
        <w:rPr>
          <w:sz w:val="28"/>
          <w:szCs w:val="28"/>
        </w:rPr>
        <w:t>(T</w:t>
      </w:r>
      <w:r w:rsidR="00C17B3A" w:rsidRPr="005138FE">
        <w:rPr>
          <w:sz w:val="28"/>
          <w:szCs w:val="28"/>
          <w:vertAlign w:val="subscript"/>
        </w:rPr>
        <w:t>ik</w:t>
      </w:r>
      <w:r w:rsidR="00C17B3A" w:rsidRPr="005138FE">
        <w:rPr>
          <w:sz w:val="28"/>
          <w:szCs w:val="28"/>
        </w:rPr>
        <w:t xml:space="preserve"> × N</w:t>
      </w:r>
      <w:r w:rsidR="00C17B3A" w:rsidRPr="005138FE">
        <w:rPr>
          <w:sz w:val="28"/>
          <w:szCs w:val="28"/>
          <w:vertAlign w:val="subscript"/>
        </w:rPr>
        <w:t>ik</w:t>
      </w:r>
      <w:r w:rsidR="00C17B3A" w:rsidRPr="005138FE">
        <w:rPr>
          <w:sz w:val="28"/>
          <w:szCs w:val="28"/>
        </w:rPr>
        <w:t xml:space="preserve"> ×EF</w:t>
      </w:r>
      <w:r w:rsidR="00C17B3A" w:rsidRPr="005138FE">
        <w:rPr>
          <w:sz w:val="28"/>
          <w:szCs w:val="28"/>
          <w:vertAlign w:val="subscript"/>
        </w:rPr>
        <w:t>ijk</w:t>
      </w:r>
      <w:r w:rsidR="00C17B3A" w:rsidRPr="005138FE">
        <w:rPr>
          <w:sz w:val="28"/>
          <w:szCs w:val="28"/>
        </w:rPr>
        <w:t>) ×</w:t>
      </w:r>
      <w:r w:rsidR="00C17B3A" w:rsidRPr="005138FE">
        <w:rPr>
          <w:sz w:val="28"/>
          <w:szCs w:val="28"/>
          <w:vertAlign w:val="subscript"/>
        </w:rPr>
        <w:t xml:space="preserve"> </w:t>
      </w:r>
      <w:r w:rsidR="00C17B3A" w:rsidRPr="005138FE">
        <w:rPr>
          <w:sz w:val="28"/>
          <w:szCs w:val="28"/>
        </w:rPr>
        <w:t>S</w:t>
      </w:r>
      <w:r w:rsidR="00C17B3A" w:rsidRPr="005138FE">
        <w:rPr>
          <w:sz w:val="28"/>
          <w:szCs w:val="28"/>
          <w:vertAlign w:val="subscript"/>
        </w:rPr>
        <w:t>ij /</w:t>
      </w:r>
      <w:r w:rsidR="00C17B3A" w:rsidRPr="005138FE">
        <w:rPr>
          <w:sz w:val="28"/>
          <w:szCs w:val="28"/>
        </w:rPr>
        <w:t>SD</w:t>
      </w:r>
      <w:r w:rsidR="00C17B3A" w:rsidRPr="005138FE">
        <w:rPr>
          <w:sz w:val="28"/>
          <w:szCs w:val="28"/>
          <w:vertAlign w:val="subscript"/>
        </w:rPr>
        <w:t>ij</w:t>
      </w:r>
      <w:r w:rsidR="00C17B3A" w:rsidRPr="005138FE">
        <w:rPr>
          <w:sz w:val="28"/>
          <w:szCs w:val="28"/>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w:t>
      </w:r>
      <w:r w:rsidRPr="00B32A45">
        <w:rPr>
          <w:rStyle w:val="CharSectno"/>
        </w:rPr>
        <w:t>other than venting and flaring)</w:t>
      </w:r>
      <w:r w:rsidRPr="00B32A45">
        <w:t xml:space="preserve"> of gas type (</w:t>
      </w:r>
      <w:r w:rsidRPr="00B32A45">
        <w:rPr>
          <w:b/>
          <w:i/>
        </w:rPr>
        <w:t>j</w:t>
      </w:r>
      <w:r w:rsidRPr="00B32A45">
        <w:t>), being methane or carbon dioxide, from the natural gas processing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w:t>
      </w:r>
      <w:r w:rsidRPr="00B32A45" w:rsidDel="00C92DEE">
        <w:t xml:space="preserve"> </w:t>
      </w:r>
      <w:r w:rsidRPr="00B32A45">
        <w:t>(</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if the component type is used in the natural gas processing.</w:t>
      </w:r>
    </w:p>
    <w:p w:rsidR="00C17B3A" w:rsidRPr="00B32A45" w:rsidRDefault="00C17B3A" w:rsidP="00C17B3A">
      <w:pPr>
        <w:pStyle w:val="tDefn"/>
      </w:pPr>
      <w:r w:rsidRPr="00B32A45">
        <w:rPr>
          <w:b/>
          <w:i/>
        </w:rPr>
        <w:t>T</w:t>
      </w:r>
      <w:r w:rsidRPr="00B32A45">
        <w:rPr>
          <w:b/>
          <w:i/>
          <w:vertAlign w:val="subscript"/>
        </w:rPr>
        <w:t xml:space="preserve">ik </w:t>
      </w:r>
      <w:r w:rsidRPr="00B32A45">
        <w:t>is:</w:t>
      </w:r>
    </w:p>
    <w:p w:rsidR="00C17B3A" w:rsidRPr="00B32A45" w:rsidRDefault="00C17B3A" w:rsidP="00C17B3A">
      <w:pPr>
        <w:pStyle w:val="tPara"/>
      </w:pPr>
      <w:r w:rsidRPr="00B32A45">
        <w:tab/>
        <w:t>(a)</w:t>
      </w:r>
      <w:r w:rsidRPr="00B32A45">
        <w:tab/>
        <w:t>if subsection (2) applies—the average hours of operation during the year of the component of each component type (</w:t>
      </w:r>
      <w:r w:rsidRPr="00B32A45">
        <w:rPr>
          <w:b/>
          <w:i/>
        </w:rPr>
        <w:t>k</w:t>
      </w:r>
      <w:r w:rsidRPr="00B32A45">
        <w:t>), if the component is used in natural gas processing; or</w:t>
      </w:r>
    </w:p>
    <w:p w:rsidR="00C17B3A" w:rsidRPr="00B32A45" w:rsidRDefault="00C17B3A" w:rsidP="00C17B3A">
      <w:pPr>
        <w:pStyle w:val="tPara"/>
      </w:pPr>
      <w:r w:rsidRPr="00B32A45">
        <w:tab/>
        <w:t>(b)</w:t>
      </w:r>
      <w:r w:rsidRPr="00B32A45">
        <w:tab/>
        <w:t>if subsection (3)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components of each component type (</w:t>
      </w:r>
      <w:r w:rsidRPr="00B32A45">
        <w:rPr>
          <w:b/>
          <w:i/>
        </w:rPr>
        <w:t>k</w:t>
      </w:r>
      <w:r w:rsidRPr="00B32A45">
        <w:t>) if the component type is used in the natural gas processing during the year.</w:t>
      </w:r>
    </w:p>
    <w:p w:rsidR="00C17B3A" w:rsidRPr="00B32A45" w:rsidRDefault="00C17B3A" w:rsidP="00C17B3A">
      <w:pPr>
        <w:pStyle w:val="tDefn"/>
      </w:pPr>
      <w:r w:rsidRPr="00B32A45">
        <w:rPr>
          <w:b/>
          <w:i/>
        </w:rPr>
        <w:lastRenderedPageBreak/>
        <w:t>EF</w:t>
      </w:r>
      <w:r w:rsidRPr="00B32A45">
        <w:rPr>
          <w:b/>
          <w:i/>
          <w:vertAlign w:val="subscript"/>
        </w:rPr>
        <w:t>ijk</w:t>
      </w:r>
      <w:r w:rsidRPr="00B32A45">
        <w:rPr>
          <w:b/>
          <w:i/>
        </w:rPr>
        <w:t xml:space="preserve"> </w:t>
      </w:r>
      <w:r w:rsidRPr="00B32A45">
        <w:t>is the emission factor of gas type (</w:t>
      </w:r>
      <w:r w:rsidRPr="00B32A45">
        <w:rPr>
          <w:b/>
          <w:i/>
        </w:rPr>
        <w:t>j</w:t>
      </w:r>
      <w:r w:rsidRPr="00B32A45">
        <w:t>), being methane or carbon dioxide, measured in tonnes of CO</w:t>
      </w:r>
      <w:r w:rsidRPr="00B32A45">
        <w:rPr>
          <w:rStyle w:val="charSubscript"/>
          <w:iCs/>
        </w:rPr>
        <w:t>2</w:t>
      </w:r>
      <w:r w:rsidRPr="00B32A45">
        <w:noBreakHyphen/>
        <w:t>e per component-hour for each component type (</w:t>
      </w:r>
      <w:r w:rsidRPr="00B32A45">
        <w:rPr>
          <w:b/>
          <w:i/>
        </w:rPr>
        <w:t>k</w:t>
      </w:r>
      <w:r w:rsidRPr="00B32A45">
        <w:t>) as determined under subsection (2) or (3), if the component is used in the natural gas processing.</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rPr>
          <w:b/>
          <w:i/>
        </w:rPr>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0.868 and for carbon dioxide SD is 0.0345.</w:t>
      </w:r>
    </w:p>
    <w:p w:rsidR="00C17B3A" w:rsidRPr="00B32A45" w:rsidRDefault="00C17B3A" w:rsidP="00C17B3A">
      <w:pPr>
        <w:pStyle w:val="tMain"/>
      </w:pPr>
      <w:r w:rsidRPr="00B32A45">
        <w:tab/>
        <w:t>(2)</w:t>
      </w:r>
      <w:r w:rsidRPr="00B32A45">
        <w:tab/>
        <w:t xml:space="preserve">Unless subsection (3) is elected and used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0A4DBC">
      <w:pPr>
        <w:pStyle w:val="tPara"/>
      </w:pPr>
      <w:r w:rsidRPr="00B32A45">
        <w:tab/>
        <w:t>(a)</w:t>
      </w:r>
      <w:r w:rsidRPr="00B32A45">
        <w:tab/>
        <w:t>column 3 of an item in the following table specifies the emission factor for methane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xml:space="preserve">) for a </w:t>
      </w:r>
      <w:r w:rsidRPr="00B32A45">
        <w:rPr>
          <w:szCs w:val="22"/>
        </w:rPr>
        <w:t xml:space="preserve">component </w:t>
      </w:r>
      <w:r w:rsidRPr="00B32A45">
        <w:t>type (</w:t>
      </w:r>
      <w:r w:rsidRPr="00B32A45">
        <w:rPr>
          <w:b/>
          <w:i/>
        </w:rPr>
        <w:t>k</w:t>
      </w:r>
      <w:r w:rsidRPr="00B32A45">
        <w:t>) specifi</w:t>
      </w:r>
      <w:r w:rsidR="000A4DBC">
        <w:t>ed in column 2 of that item: or</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1.08 × 10</w:t>
            </w:r>
            <w:r w:rsidRPr="00B32A45">
              <w:rPr>
                <w:vertAlign w:val="superscript"/>
              </w:rPr>
              <w:t>-4</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4.21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 Seals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3.22 × 10</w:t>
            </w:r>
            <w:r w:rsidRPr="00B32A45">
              <w:rPr>
                <w:vertAlign w:val="superscript"/>
              </w:rPr>
              <w:t>-4</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1.25 × 10</w:t>
            </w:r>
            <w:r w:rsidRPr="00B32A45">
              <w:rPr>
                <w:vertAlign w:val="superscript"/>
              </w:rPr>
              <w:t>-6</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1.36 × 10</w:t>
            </w:r>
            <w:r w:rsidRPr="00B32A45">
              <w:rPr>
                <w:vertAlign w:val="superscript"/>
              </w:rPr>
              <w:t>-4</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5.30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Connectors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7.67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2.99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1.23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4.78 × 10</w:t>
            </w:r>
            <w:r w:rsidRPr="00B32A45">
              <w:rPr>
                <w:vertAlign w:val="superscript"/>
              </w:rPr>
              <w:t>-8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Open-ended lines</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2.88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1.12 × 10</w:t>
            </w:r>
            <w:r w:rsidRPr="00B32A45">
              <w:rPr>
                <w:vertAlign w:val="superscript"/>
              </w:rPr>
              <w:t>-7</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B32A45" w:rsidRDefault="00C17B3A" w:rsidP="00C17B3A">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rPr>
          <w:szCs w:val="22"/>
        </w:rPr>
        <w:t>           </w:t>
      </w:r>
    </w:p>
    <w:p w:rsidR="00C17B3A" w:rsidRPr="00B32A45" w:rsidRDefault="00C17B3A" w:rsidP="00C17B3A">
      <w:pPr>
        <w:pStyle w:val="tMain"/>
      </w:pPr>
      <w:bookmarkStart w:id="79" w:name="_Toc486862086"/>
      <w:r w:rsidRPr="00B32A45">
        <w:tab/>
        <w:t>(3)</w:t>
      </w:r>
      <w:r w:rsidRPr="00B32A45">
        <w:tab/>
        <w:t xml:space="preserve">If an LDAR program has been carried out at the facility in relation to natural gas processing components in accordance with subsection (4) and this subsection elected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specifies the emission factor for methane (</w:t>
      </w:r>
      <w:r w:rsidRPr="00B32A45">
        <w:rPr>
          <w:b/>
          <w:i/>
        </w:rPr>
        <w:t>j</w:t>
      </w:r>
      <w:r w:rsidRPr="00B32A45">
        <w:t>) for a component and leaker/non-leaker type (</w:t>
      </w:r>
      <w:r w:rsidRPr="00B32A45">
        <w:rPr>
          <w:b/>
          <w:i/>
        </w:rPr>
        <w:t>k</w:t>
      </w:r>
      <w:r w:rsidRPr="00B32A45">
        <w:t xml:space="preserve">) specified in column 2 of that item; and </w:t>
      </w:r>
    </w:p>
    <w:p w:rsidR="00C17B3A" w:rsidRPr="00B32A45" w:rsidRDefault="00C17B3A" w:rsidP="00C17B3A">
      <w:pPr>
        <w:pStyle w:val="tPara"/>
      </w:pPr>
      <w:r w:rsidRPr="00B32A45">
        <w:tab/>
        <w:t>(b)</w:t>
      </w:r>
      <w:r w:rsidRPr="00B32A45">
        <w:tab/>
        <w:t>column 4 of an item in the following table specifies the emission factor for carbon dioxide (</w:t>
      </w:r>
      <w:r w:rsidRPr="00B32A45">
        <w:rPr>
          <w:b/>
          <w:i/>
        </w:rPr>
        <w:t>j</w:t>
      </w:r>
      <w:r w:rsidRPr="00B32A45">
        <w:t>) for a component and leaker/non-leaker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DB6238">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605" w:type="pct"/>
            <w:shd w:val="clear" w:color="auto" w:fill="auto"/>
          </w:tcPr>
          <w:p w:rsidR="00C17B3A" w:rsidRPr="00B32A45" w:rsidDel="0000371C" w:rsidRDefault="00C17B3A" w:rsidP="00DB6238">
            <w:pPr>
              <w:pStyle w:val="Tabletext"/>
            </w:pPr>
          </w:p>
        </w:tc>
        <w:tc>
          <w:tcPr>
            <w:tcW w:w="683" w:type="pct"/>
          </w:tcPr>
          <w:p w:rsidR="00C17B3A" w:rsidRPr="00B32A45" w:rsidRDefault="00C17B3A" w:rsidP="00DB6238">
            <w:pPr>
              <w:pStyle w:val="Tabletext"/>
              <w:jc w:val="center"/>
              <w:rPr>
                <w:b/>
              </w:rPr>
            </w:pPr>
            <w:r w:rsidRPr="00B32A45">
              <w:rPr>
                <w:b/>
              </w:rPr>
              <w:t>CH</w:t>
            </w:r>
            <w:r w:rsidRPr="00B32A45">
              <w:rPr>
                <w:b/>
                <w:vertAlign w:val="subscript"/>
              </w:rPr>
              <w:t>4</w:t>
            </w:r>
          </w:p>
        </w:tc>
        <w:tc>
          <w:tcPr>
            <w:tcW w:w="1194" w:type="pct"/>
          </w:tcPr>
          <w:p w:rsidR="00C17B3A" w:rsidRPr="00B32A45" w:rsidRDefault="00C17B3A" w:rsidP="00DB6238">
            <w:pPr>
              <w:pStyle w:val="Tablet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Valves—non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7.56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2.94 × 10</w:t>
            </w:r>
            <w:r w:rsidRPr="00B32A45">
              <w:rPr>
                <w:vertAlign w:val="superscript"/>
              </w:rPr>
              <w:t>-08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Values—leaker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5.60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2.18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lastRenderedPageBreak/>
              <w:t>3</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2.10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8.18 × 10</w:t>
            </w:r>
            <w:r w:rsidRPr="00B32A45">
              <w:rPr>
                <w:vertAlign w:val="superscript"/>
              </w:rPr>
              <w:t>-08</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Pumps—leaker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9.80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3.82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3.92 × 10</w:t>
            </w:r>
            <w:r w:rsidRPr="00B32A45">
              <w:rPr>
                <w:vertAlign w:val="superscript"/>
              </w:rPr>
              <w:t>-7</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1.53 × 10</w:t>
            </w:r>
            <w:r w:rsidRPr="00B32A45">
              <w:rPr>
                <w:vertAlign w:val="superscript"/>
              </w:rPr>
              <w:t>-09</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Flanges—leaker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3.36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1.31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Other—non 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8.83 × 10</w:t>
            </w:r>
            <w:r w:rsidRPr="00B32A45">
              <w:rPr>
                <w:vertAlign w:val="superscript"/>
              </w:rPr>
              <w:t>-09</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Other—leaker</w:t>
            </w:r>
          </w:p>
        </w:tc>
        <w:tc>
          <w:tcPr>
            <w:tcW w:w="683"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5.88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2.29 × 10</w:t>
            </w:r>
            <w:r w:rsidRPr="00B32A45">
              <w:rPr>
                <w:vertAlign w:val="superscript"/>
              </w:rPr>
              <w:t>-05</w:t>
            </w:r>
          </w:p>
        </w:tc>
        <w:tc>
          <w:tcPr>
            <w:tcW w:w="1147"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(4)  For </w:t>
      </w:r>
      <w:r w:rsidRPr="00B32A45">
        <w:rPr>
          <w:bCs/>
          <w:iCs/>
          <w:szCs w:val="22"/>
        </w:rPr>
        <w:t>subsection</w:t>
      </w:r>
      <w:r w:rsidRPr="00B32A45">
        <w:rPr>
          <w:szCs w:val="22"/>
        </w:rPr>
        <w:t xml:space="preserve"> (3)</w:t>
      </w:r>
      <w:r w:rsidR="00F44AA9">
        <w:rPr>
          <w:szCs w:val="22"/>
        </w:rPr>
        <w:t>,</w:t>
      </w:r>
      <w:r w:rsidRPr="00B32A45">
        <w:rPr>
          <w:szCs w:val="22"/>
        </w:rPr>
        <w:t xml:space="preserve"> the LDAR program must survey each component used in natural gas processing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733F2" w:rsidRDefault="00C17B3A" w:rsidP="00C733F2">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w:t>
      </w:r>
      <w:r w:rsidR="00C733F2">
        <w:rPr>
          <w:szCs w:val="22"/>
        </w:rPr>
        <w:t>red consistent with that method; or</w:t>
      </w:r>
    </w:p>
    <w:p w:rsidR="00C17B3A" w:rsidRPr="00B32A45" w:rsidRDefault="00C733F2" w:rsidP="00C733F2">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(5)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h3Div"/>
        <w:pageBreakBefore/>
      </w:pPr>
      <w:bookmarkStart w:id="80" w:name="_Toc69480126"/>
      <w:r w:rsidRPr="00B32A45">
        <w:rPr>
          <w:rStyle w:val="CharDivNo"/>
        </w:rPr>
        <w:lastRenderedPageBreak/>
        <w:t>Division 3.3.7</w:t>
      </w:r>
      <w:r w:rsidRPr="00B32A45">
        <w:t>—</w:t>
      </w:r>
      <w:r w:rsidRPr="00B32A45">
        <w:rPr>
          <w:rStyle w:val="CharDivText"/>
        </w:rPr>
        <w:t>Natural gas transmission</w:t>
      </w:r>
      <w:bookmarkEnd w:id="79"/>
      <w:r w:rsidRPr="00B32A45">
        <w:rPr>
          <w:rStyle w:val="CharDivText"/>
        </w:rPr>
        <w:t xml:space="preserve"> (other than emissions that are flared)</w:t>
      </w:r>
      <w:bookmarkEnd w:id="80"/>
    </w:p>
    <w:p w:rsidR="00C17B3A" w:rsidRPr="00B32A45" w:rsidRDefault="00C17B3A" w:rsidP="00C17B3A">
      <w:pPr>
        <w:pStyle w:val="h5Section"/>
      </w:pPr>
      <w:bookmarkStart w:id="81" w:name="_Toc486862087"/>
      <w:r w:rsidRPr="00B32A45">
        <w:rPr>
          <w:rStyle w:val="CharSectno"/>
        </w:rPr>
        <w:t>3.74</w:t>
      </w:r>
      <w:r w:rsidRPr="00B32A45">
        <w:t xml:space="preserve">  Application</w:t>
      </w:r>
      <w:bookmarkEnd w:id="81"/>
    </w:p>
    <w:p w:rsidR="00C17B3A" w:rsidRPr="00B32A45" w:rsidRDefault="00C17B3A" w:rsidP="00C17B3A">
      <w:pPr>
        <w:pStyle w:val="tMain"/>
      </w:pPr>
      <w:r w:rsidRPr="00B32A45">
        <w:tab/>
      </w:r>
      <w:r w:rsidRPr="00B32A45">
        <w:tab/>
        <w:t>This Division applies to fugitive emissions from natural gas transmission activities.</w:t>
      </w:r>
    </w:p>
    <w:p w:rsidR="00C17B3A" w:rsidRPr="00B32A45" w:rsidRDefault="00C17B3A" w:rsidP="00C17B3A">
      <w:pPr>
        <w:pStyle w:val="h5Section"/>
      </w:pPr>
      <w:bookmarkStart w:id="82" w:name="_Toc486862088"/>
      <w:r w:rsidRPr="00B32A45">
        <w:rPr>
          <w:rStyle w:val="CharSectno"/>
        </w:rPr>
        <w:t>3.75</w:t>
      </w:r>
      <w:r w:rsidRPr="00B32A45">
        <w:t xml:space="preserve">  Available methods</w:t>
      </w:r>
      <w:bookmarkEnd w:id="82"/>
    </w:p>
    <w:p w:rsidR="00C17B3A" w:rsidRPr="00B32A45" w:rsidRDefault="00C17B3A" w:rsidP="00C17B3A">
      <w:pPr>
        <w:pStyle w:val="tMain"/>
      </w:pPr>
      <w:r w:rsidRPr="00B32A45">
        <w:tab/>
        <w:t>(1)</w:t>
      </w:r>
      <w:r w:rsidRPr="00B32A45">
        <w:tab/>
        <w:t>Subject to section 1.18 and subsection (2), one of the following methods must</w:t>
      </w:r>
      <w:r w:rsidRPr="00B32A45">
        <w:rPr>
          <w:i/>
        </w:rPr>
        <w:t xml:space="preserve"> </w:t>
      </w:r>
      <w:r w:rsidRPr="00B32A45">
        <w:t>be used for estimating fugitive emissions (other than flaring) of each gas type, being carbon dioxide and methane, released from the operation of a facility that is constituted by natural gas transmission through a system of pipelines during a year:</w:t>
      </w:r>
    </w:p>
    <w:p w:rsidR="00C17B3A" w:rsidRPr="00B32A45" w:rsidRDefault="00C17B3A" w:rsidP="00C17B3A">
      <w:pPr>
        <w:pStyle w:val="tPara"/>
      </w:pPr>
      <w:r w:rsidRPr="00B32A45">
        <w:tab/>
        <w:t>(a)</w:t>
      </w:r>
      <w:r w:rsidRPr="00B32A45">
        <w:tab/>
        <w:t>method 1 under section 3.76;</w:t>
      </w:r>
    </w:p>
    <w:p w:rsidR="00C17B3A" w:rsidRPr="00B32A45" w:rsidRDefault="00C17B3A" w:rsidP="00C17B3A">
      <w:pPr>
        <w:pStyle w:val="tPara"/>
      </w:pPr>
      <w:r w:rsidRPr="00B32A45">
        <w:tab/>
        <w:t>(b)</w:t>
      </w:r>
      <w:r w:rsidRPr="00B32A45">
        <w:tab/>
        <w:t>method 2 under section 3.77;</w:t>
      </w:r>
    </w:p>
    <w:p w:rsidR="00C17B3A" w:rsidRPr="00B32A45" w:rsidRDefault="00C17B3A" w:rsidP="00C17B3A">
      <w:pPr>
        <w:pStyle w:val="tPara"/>
      </w:pPr>
      <w:r w:rsidRPr="00B32A45">
        <w:tab/>
        <w:t>(c)</w:t>
      </w:r>
      <w:r w:rsidRPr="00B32A45">
        <w:tab/>
        <w:t>method 3 under section 3.78.</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tabs>
          <w:tab w:val="right" w:pos="8313"/>
        </w:tabs>
      </w:pPr>
      <w:bookmarkStart w:id="83" w:name="_Toc486862089"/>
      <w:r w:rsidRPr="00B32A45">
        <w:rPr>
          <w:rStyle w:val="CharSectno"/>
        </w:rPr>
        <w:t>3.76</w:t>
      </w:r>
      <w:r w:rsidRPr="00B32A45">
        <w:t xml:space="preserve">  Method 1—natural gas transmission</w:t>
      </w:r>
      <w:bookmarkEnd w:id="83"/>
      <w:r w:rsidRPr="00B32A45">
        <w:t xml:space="preserve"> (other than flaring)</w:t>
      </w:r>
      <w:r w:rsidRPr="00B32A45">
        <w:tab/>
      </w:r>
    </w:p>
    <w:p w:rsidR="00C17B3A" w:rsidRPr="00B32A45" w:rsidRDefault="00C17B3A" w:rsidP="00C17B3A">
      <w:pPr>
        <w:pStyle w:val="tMain"/>
      </w:pPr>
      <w:r w:rsidRPr="00B32A45">
        <w:tab/>
      </w:r>
      <w:r w:rsidRPr="00B32A45">
        <w:tab/>
        <w:t>Method 1 is:</w:t>
      </w:r>
    </w:p>
    <w:p w:rsidR="00C17B3A" w:rsidRPr="005138FE" w:rsidRDefault="00C17B3A" w:rsidP="00C17B3A">
      <w:pPr>
        <w:pStyle w:val="tMain"/>
        <w:spacing w:before="120" w:after="120"/>
        <w:rPr>
          <w:sz w:val="28"/>
          <w:szCs w:val="28"/>
        </w:rPr>
      </w:pPr>
      <w:r w:rsidRPr="005138FE">
        <w:rPr>
          <w:sz w:val="28"/>
          <w:szCs w:val="28"/>
        </w:rPr>
        <w:tab/>
      </w:r>
      <w:r w:rsidRPr="005138FE">
        <w:rPr>
          <w:sz w:val="28"/>
          <w:szCs w:val="28"/>
        </w:rPr>
        <w:tab/>
        <w:t>E</w:t>
      </w:r>
      <w:r w:rsidRPr="005138FE">
        <w:rPr>
          <w:sz w:val="28"/>
          <w:szCs w:val="28"/>
          <w:vertAlign w:val="subscript"/>
        </w:rPr>
        <w:t xml:space="preserve">ij </w:t>
      </w:r>
      <w:r w:rsidRPr="005138FE">
        <w:rPr>
          <w:sz w:val="28"/>
          <w:szCs w:val="28"/>
        </w:rPr>
        <w:t>= (L</w:t>
      </w:r>
      <w:r w:rsidRPr="005138FE">
        <w:rPr>
          <w:sz w:val="28"/>
          <w:szCs w:val="28"/>
          <w:vertAlign w:val="subscript"/>
        </w:rPr>
        <w:t>i</w:t>
      </w:r>
      <w:r w:rsidRPr="005138FE">
        <w:rPr>
          <w:sz w:val="28"/>
          <w:szCs w:val="28"/>
        </w:rPr>
        <w:t xml:space="preserve"> × EF</w:t>
      </w:r>
      <w:r w:rsidRPr="005138FE">
        <w:rPr>
          <w:sz w:val="28"/>
          <w:szCs w:val="28"/>
          <w:vertAlign w:val="subscript"/>
        </w:rPr>
        <w:t>ij</w:t>
      </w:r>
      <w:r w:rsidRPr="005138FE">
        <w:rPr>
          <w:sz w:val="28"/>
          <w:szCs w:val="28"/>
        </w:rPr>
        <w:t>)</w:t>
      </w:r>
      <w:r w:rsidRPr="005138FE">
        <w:rPr>
          <w:sz w:val="28"/>
          <w:szCs w:val="28"/>
        </w:rPr>
        <w:tab/>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 xml:space="preserve">ij </w:t>
      </w:r>
      <w:r w:rsidRPr="00B32A45">
        <w:t>is the fugitive emissions (other than flaring) of gas type (</w:t>
      </w:r>
      <w:r w:rsidRPr="00B32A45">
        <w:rPr>
          <w:b/>
          <w:i/>
        </w:rPr>
        <w:t>j</w:t>
      </w:r>
      <w:r w:rsidRPr="00B32A45">
        <w:t>) from natural gas transmission through a system of pipelines of length (</w:t>
      </w:r>
      <w:r w:rsidRPr="00B32A45">
        <w:rPr>
          <w:rFonts w:ascii="Times" w:hAnsi="Times"/>
          <w:b/>
          <w:i/>
        </w:rPr>
        <w:t>i</w:t>
      </w:r>
      <w:r w:rsidRPr="00B32A45">
        <w:rPr>
          <w:rFonts w:ascii="Times" w:hAnsi="Times"/>
          <w:i/>
        </w:rPr>
        <w:t xml:space="preserve">) </w:t>
      </w:r>
      <w:r w:rsidRPr="00B32A45">
        <w:t>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L</w:t>
      </w:r>
      <w:r w:rsidRPr="00B32A45">
        <w:rPr>
          <w:b/>
          <w:i/>
          <w:vertAlign w:val="subscript"/>
        </w:rPr>
        <w:t xml:space="preserve">i </w:t>
      </w:r>
      <w:r w:rsidRPr="00B32A45">
        <w:t>is the length of the system of pipelines (</w:t>
      </w:r>
      <w:r w:rsidRPr="00B32A45">
        <w:rPr>
          <w:rFonts w:ascii="Times" w:hAnsi="Times"/>
          <w:b/>
          <w:i/>
        </w:rPr>
        <w:t>i</w:t>
      </w:r>
      <w:r w:rsidRPr="00B32A45">
        <w:rPr>
          <w:rFonts w:ascii="Times" w:hAnsi="Times"/>
          <w:i/>
        </w:rPr>
        <w:t>)</w:t>
      </w:r>
      <w:r w:rsidRPr="00B32A45">
        <w:rPr>
          <w:i/>
        </w:rPr>
        <w:t xml:space="preserve"> </w:t>
      </w:r>
      <w:r w:rsidRPr="00B32A45">
        <w:t>measured in kilometres.</w:t>
      </w:r>
    </w:p>
    <w:p w:rsidR="00C17B3A" w:rsidRPr="00B32A45" w:rsidRDefault="00C17B3A" w:rsidP="00C17B3A">
      <w:pPr>
        <w:pStyle w:val="tDefn"/>
      </w:pPr>
      <w:r w:rsidRPr="00B32A45">
        <w:rPr>
          <w:b/>
          <w:i/>
        </w:rPr>
        <w:t>EF</w:t>
      </w:r>
      <w:r w:rsidRPr="00B32A45">
        <w:rPr>
          <w:b/>
          <w:i/>
          <w:vertAlign w:val="subscript"/>
        </w:rPr>
        <w:t>ij</w:t>
      </w:r>
      <w:r w:rsidRPr="00B32A45">
        <w:rPr>
          <w:b/>
          <w:i/>
        </w:rPr>
        <w:t xml:space="preserve"> </w:t>
      </w:r>
      <w:r w:rsidRPr="00B32A45">
        <w:t>is the emission factor for gas type (</w:t>
      </w:r>
      <w:r w:rsidRPr="00B32A45">
        <w:rPr>
          <w:b/>
          <w:i/>
        </w:rPr>
        <w:t>j</w:t>
      </w:r>
      <w:r w:rsidRPr="00B32A45">
        <w:t xml:space="preserve">), which is 0.02 for </w:t>
      </w:r>
      <w:r w:rsidRPr="00B32A45">
        <w:rPr>
          <w:bCs/>
        </w:rPr>
        <w:t xml:space="preserve">carbon dioxide </w:t>
      </w:r>
      <w:r w:rsidRPr="00B32A45">
        <w:t>and 11.6 for methane, measured in tonnes of CO</w:t>
      </w:r>
      <w:r w:rsidRPr="00B32A45">
        <w:rPr>
          <w:rStyle w:val="charSubscript"/>
          <w:iCs/>
        </w:rPr>
        <w:t>2</w:t>
      </w:r>
      <w:r w:rsidRPr="00B32A45">
        <w:noBreakHyphen/>
        <w:t>e emissions per kilometre of pipeline (</w:t>
      </w:r>
      <w:r w:rsidRPr="00B32A45">
        <w:rPr>
          <w:rFonts w:ascii="Times" w:hAnsi="Times"/>
          <w:b/>
          <w:i/>
        </w:rPr>
        <w:t>i</w:t>
      </w:r>
      <w:r w:rsidRPr="00B32A45">
        <w:rPr>
          <w:rFonts w:ascii="Times" w:hAnsi="Times"/>
          <w:i/>
        </w:rPr>
        <w:t>)</w:t>
      </w:r>
      <w:r w:rsidRPr="00B32A45">
        <w:t>.</w:t>
      </w:r>
    </w:p>
    <w:p w:rsidR="00C17B3A" w:rsidRPr="00B32A45" w:rsidRDefault="00C17B3A" w:rsidP="00C17B3A">
      <w:pPr>
        <w:pStyle w:val="h5Section"/>
      </w:pPr>
      <w:bookmarkStart w:id="84" w:name="_Toc486862090"/>
      <w:r w:rsidRPr="00B32A45">
        <w:rPr>
          <w:rStyle w:val="CharSectno"/>
        </w:rPr>
        <w:t>3.77</w:t>
      </w:r>
      <w:r w:rsidRPr="00B32A45">
        <w:t xml:space="preserve">  Method 2—natural gas transmission (other than flaring)</w:t>
      </w:r>
      <w:bookmarkEnd w:id="84"/>
    </w:p>
    <w:p w:rsidR="00C17B3A" w:rsidRPr="00B32A45" w:rsidRDefault="00C17B3A" w:rsidP="00C17B3A">
      <w:pPr>
        <w:pStyle w:val="tMain"/>
      </w:pPr>
      <w:r w:rsidRPr="00B32A45">
        <w:tab/>
        <w:t>(1)</w:t>
      </w:r>
      <w:r w:rsidRPr="00B32A45">
        <w:tab/>
        <w:t>Method 2 is:</w:t>
      </w:r>
    </w:p>
    <w:p w:rsidR="00C17B3A" w:rsidRPr="005138FE" w:rsidRDefault="00C17B3A" w:rsidP="00C17B3A">
      <w:pPr>
        <w:pStyle w:val="tMain"/>
        <w:spacing w:before="120" w:after="120"/>
        <w:rPr>
          <w:sz w:val="28"/>
          <w:szCs w:val="28"/>
        </w:rPr>
      </w:pPr>
      <w:r w:rsidRPr="00B32A45">
        <w:tab/>
      </w:r>
      <w:r w:rsidRPr="005138FE">
        <w:rPr>
          <w:sz w:val="28"/>
          <w:szCs w:val="28"/>
        </w:rPr>
        <w:tab/>
        <w:t xml:space="preserve"> E</w:t>
      </w:r>
      <w:r w:rsidRPr="005138FE">
        <w:rPr>
          <w:sz w:val="28"/>
          <w:szCs w:val="28"/>
          <w:vertAlign w:val="subscript"/>
        </w:rPr>
        <w:t xml:space="preserve">j </w:t>
      </w:r>
      <w:r w:rsidRPr="005138FE">
        <w:rPr>
          <w:sz w:val="28"/>
          <w:szCs w:val="28"/>
        </w:rPr>
        <w:t>= ∑</w:t>
      </w:r>
      <w:r w:rsidRPr="005138FE">
        <w:rPr>
          <w:sz w:val="28"/>
          <w:szCs w:val="28"/>
          <w:vertAlign w:val="subscript"/>
        </w:rPr>
        <w:t xml:space="preserve">k </w:t>
      </w:r>
      <w:r w:rsidRPr="005138FE">
        <w:rPr>
          <w:sz w:val="28"/>
          <w:szCs w:val="28"/>
        </w:rPr>
        <w:t>(Q</w:t>
      </w:r>
      <w:r w:rsidRPr="005138FE">
        <w:rPr>
          <w:sz w:val="28"/>
          <w:szCs w:val="28"/>
          <w:vertAlign w:val="subscript"/>
        </w:rPr>
        <w:t>k</w:t>
      </w:r>
      <w:r w:rsidRPr="005138FE">
        <w:rPr>
          <w:sz w:val="28"/>
          <w:szCs w:val="28"/>
        </w:rPr>
        <w:t xml:space="preserve"> × N</w:t>
      </w:r>
      <w:r w:rsidRPr="005138FE">
        <w:rPr>
          <w:sz w:val="28"/>
          <w:szCs w:val="28"/>
          <w:vertAlign w:val="subscript"/>
        </w:rPr>
        <w:t>k</w:t>
      </w:r>
      <w:r w:rsidRPr="005138FE">
        <w:rPr>
          <w:sz w:val="28"/>
          <w:szCs w:val="28"/>
        </w:rPr>
        <w:t xml:space="preserve"> ×EF</w:t>
      </w:r>
      <w:r w:rsidRPr="005138FE">
        <w:rPr>
          <w:sz w:val="28"/>
          <w:szCs w:val="28"/>
          <w:vertAlign w:val="subscript"/>
        </w:rPr>
        <w:t>jk</w:t>
      </w:r>
      <w:r w:rsidRPr="005138FE">
        <w:rPr>
          <w:sz w:val="28"/>
          <w:szCs w:val="28"/>
        </w:rPr>
        <w:t>)</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j</w:t>
      </w:r>
      <w:r w:rsidRPr="00B32A45">
        <w:rPr>
          <w:b/>
          <w:i/>
        </w:rPr>
        <w:t xml:space="preserve"> </w:t>
      </w:r>
      <w:r w:rsidRPr="00B32A45">
        <w:t>is the fugitive emissions (other than flaring) of gas type (</w:t>
      </w:r>
      <w:r w:rsidRPr="00B32A45">
        <w:rPr>
          <w:b/>
          <w:i/>
        </w:rPr>
        <w:t>j</w:t>
      </w:r>
      <w:r w:rsidRPr="00B32A45">
        <w:t>) measured in CO</w:t>
      </w:r>
      <w:r w:rsidRPr="00B32A45">
        <w:rPr>
          <w:rStyle w:val="charSubscript"/>
          <w:iCs/>
        </w:rPr>
        <w:t>2</w:t>
      </w:r>
      <w:r w:rsidRPr="00B32A45">
        <w:noBreakHyphen/>
        <w:t>e tonnes from the natural gas transmission through the system of pipelines during the year.</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listed in sections 5 and 6.1.2 of the API Compendium, if the equipment is used in the natural gas transmission.</w:t>
      </w:r>
    </w:p>
    <w:p w:rsidR="00C17B3A" w:rsidRPr="00B32A45" w:rsidRDefault="00C17B3A" w:rsidP="00C17B3A">
      <w:pPr>
        <w:pStyle w:val="tDefn"/>
      </w:pPr>
      <w:r w:rsidRPr="00B32A45">
        <w:rPr>
          <w:b/>
          <w:i/>
        </w:rPr>
        <w:t>Q</w:t>
      </w:r>
      <w:r w:rsidRPr="00B32A45">
        <w:rPr>
          <w:vertAlign w:val="subscript"/>
        </w:rPr>
        <w:t xml:space="preserve">k </w:t>
      </w:r>
      <w:r w:rsidRPr="00B32A45">
        <w:t>is the total of the quantities of natural gas or plant condensate measured in tonnes that pass through each equipment type (</w:t>
      </w:r>
      <w:r w:rsidRPr="00B32A45">
        <w:rPr>
          <w:b/>
          <w:i/>
        </w:rPr>
        <w:t>k</w:t>
      </w:r>
      <w:r w:rsidRPr="00B32A45">
        <w:t>) or the number of equipment units of type (</w:t>
      </w:r>
      <w:r w:rsidRPr="00B32A45">
        <w:rPr>
          <w:b/>
          <w:i/>
        </w:rPr>
        <w:t>k</w:t>
      </w:r>
      <w:r w:rsidRPr="00B32A45">
        <w:t>) listed in sections 5 and 6.1.2 of the API Compendium, if the equipment is used in the natural gas transmission during the year.</w:t>
      </w:r>
    </w:p>
    <w:p w:rsidR="00C17B3A" w:rsidRPr="00B32A45" w:rsidRDefault="00C17B3A" w:rsidP="00C17B3A">
      <w:pPr>
        <w:pStyle w:val="tDefn"/>
      </w:pPr>
      <w:r w:rsidRPr="00B32A45">
        <w:rPr>
          <w:b/>
          <w:i/>
        </w:rPr>
        <w:lastRenderedPageBreak/>
        <w:t>N</w:t>
      </w:r>
      <w:r w:rsidRPr="00B32A45">
        <w:rPr>
          <w:b/>
          <w:i/>
          <w:vertAlign w:val="subscript"/>
        </w:rPr>
        <w:t>k</w:t>
      </w:r>
      <w:r w:rsidRPr="00B32A45">
        <w:rPr>
          <w:b/>
          <w:i/>
        </w:rPr>
        <w:t xml:space="preserve"> </w:t>
      </w:r>
      <w:r w:rsidRPr="00B32A45">
        <w:t>is the total number of equipment units of each equipment type (</w:t>
      </w:r>
      <w:r w:rsidRPr="00B32A45">
        <w:rPr>
          <w:b/>
          <w:i/>
        </w:rPr>
        <w:t>k</w:t>
      </w:r>
      <w:r w:rsidRPr="00B32A45">
        <w:t>) listed in section 6.1.2 of the API Compendium if the equipment type is used in the natural gas transmission during the year.</w:t>
      </w:r>
    </w:p>
    <w:p w:rsidR="00C17B3A" w:rsidRPr="00B32A45" w:rsidRDefault="00C17B3A" w:rsidP="00C17B3A">
      <w:pPr>
        <w:pStyle w:val="tDefn"/>
      </w:pPr>
      <w:r w:rsidRPr="00B32A45">
        <w:rPr>
          <w:b/>
          <w:i/>
        </w:rPr>
        <w:t>EF</w:t>
      </w:r>
      <w:r w:rsidRPr="00B32A45">
        <w:rPr>
          <w:b/>
          <w:i/>
          <w:vertAlign w:val="subscript"/>
        </w:rPr>
        <w:t>jk</w:t>
      </w:r>
      <w:r w:rsidRPr="00B32A45">
        <w:rPr>
          <w:b/>
          <w:i/>
        </w:rPr>
        <w:t xml:space="preserve"> </w:t>
      </w:r>
      <w:r w:rsidRPr="00B32A45">
        <w:t>is the emission factor of gas type (</w:t>
      </w:r>
      <w:r w:rsidRPr="00B32A45">
        <w:rPr>
          <w:b/>
          <w:i/>
        </w:rPr>
        <w:t>j</w:t>
      </w:r>
      <w:r w:rsidRPr="00B32A45">
        <w:t>) measured in CO</w:t>
      </w:r>
      <w:r w:rsidRPr="00B32A45">
        <w:rPr>
          <w:rStyle w:val="charSubscript"/>
          <w:iCs/>
        </w:rPr>
        <w:t>2</w:t>
      </w:r>
      <w:r w:rsidRPr="00B32A45">
        <w:noBreakHyphen/>
        <w:t>e tonnes for each equipment type (</w:t>
      </w:r>
      <w:r w:rsidRPr="00B32A45">
        <w:rPr>
          <w:b/>
          <w:i/>
        </w:rPr>
        <w:t>k</w:t>
      </w:r>
      <w:r w:rsidRPr="00B32A45">
        <w:t>) listed in sections 5 and 6.1.2 of the API Compendium as determined under subsection (2), where the equipment is used in the natural gas transmission.</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jk</w:t>
      </w:r>
      <w:r w:rsidRPr="00B32A45">
        <w:t>, the emission factors for a gas type (</w:t>
      </w:r>
      <w:r w:rsidRPr="00B32A45">
        <w:rPr>
          <w:b/>
          <w:i/>
        </w:rPr>
        <w:t>j</w:t>
      </w:r>
      <w:r w:rsidRPr="00B32A45">
        <w:t>) as the natural gas or plant condensate passes through the equipment type (</w:t>
      </w:r>
      <w:r w:rsidRPr="00B32A45">
        <w:rPr>
          <w:b/>
          <w:i/>
        </w:rPr>
        <w:t>k</w:t>
      </w:r>
      <w:r w:rsidRPr="00B32A45">
        <w:t>) are:</w:t>
      </w:r>
    </w:p>
    <w:p w:rsidR="00C17B3A" w:rsidRPr="00B32A45" w:rsidRDefault="00C17B3A" w:rsidP="00C17B3A">
      <w:pPr>
        <w:pStyle w:val="tPara"/>
      </w:pPr>
      <w:r w:rsidRPr="00B32A45">
        <w:tab/>
        <w:t>(a)</w:t>
      </w:r>
      <w:r w:rsidRPr="00B32A45">
        <w:tab/>
        <w:t>as listed in sections 5 and 6.1.2 of the API Compendium, for the equipment type; or</w:t>
      </w:r>
    </w:p>
    <w:p w:rsidR="00C17B3A" w:rsidRPr="00B32A45" w:rsidRDefault="00C17B3A" w:rsidP="00C17B3A">
      <w:pPr>
        <w:pStyle w:val="tPara"/>
      </w:pPr>
      <w:r w:rsidRPr="00B32A45">
        <w:tab/>
        <w:t>(b)</w:t>
      </w:r>
      <w:r w:rsidRPr="00B32A45">
        <w:tab/>
        <w:t>as listed in that Compendium for the equipment type with emission factors adjusted for variations in estimated gas composition, in accordance with that Compendium’s sections 5 and 6.1.2, and the requirements of Division 2.3.3; or</w:t>
      </w:r>
    </w:p>
    <w:p w:rsidR="00C17B3A" w:rsidRPr="00B32A45" w:rsidRDefault="00C17B3A" w:rsidP="00C17B3A">
      <w:pPr>
        <w:pStyle w:val="tPara"/>
      </w:pPr>
      <w:r w:rsidRPr="00B32A45">
        <w:tab/>
        <w:t>(c)</w:t>
      </w:r>
      <w:r w:rsidRPr="00B32A45">
        <w:tab/>
        <w:t>as listed in that Compendium for the equipment type with emission factors adjusted for variations in the type of equipment material estimated in accordance with the results of published research for the crude oil industry and the principles of section 1.13; or</w:t>
      </w:r>
    </w:p>
    <w:p w:rsidR="00C17B3A" w:rsidRPr="00B32A45" w:rsidRDefault="00C17B3A" w:rsidP="00C17B3A">
      <w:pPr>
        <w:pStyle w:val="tPara"/>
      </w:pPr>
      <w:r w:rsidRPr="00B32A45">
        <w:tab/>
        <w:t>(d)</w:t>
      </w:r>
      <w:r w:rsidRPr="00B32A45">
        <w:tab/>
        <w:t>if the manufacturer of the equipment supplies equipment</w:t>
      </w:r>
      <w:r w:rsidRPr="00B32A45">
        <w:noBreakHyphen/>
        <w:t>specific emission factors for the equipment type—those factors; or</w:t>
      </w:r>
    </w:p>
    <w:p w:rsidR="00C17B3A" w:rsidRPr="00B32A45" w:rsidRDefault="00C17B3A" w:rsidP="003C22D9">
      <w:pPr>
        <w:pStyle w:val="tPara"/>
      </w:pPr>
      <w:r w:rsidRPr="00B32A45">
        <w:tab/>
        <w:t>(e)</w:t>
      </w:r>
      <w:r w:rsidRPr="00B32A45">
        <w:tab/>
        <w:t>estimated using the engineering calculation approach in accordance with sections 5 and 6.1.2 of the API Compendium.</w:t>
      </w:r>
    </w:p>
    <w:p w:rsidR="00C17B3A" w:rsidRPr="00B32A45" w:rsidRDefault="00C17B3A" w:rsidP="00C17B3A">
      <w:pPr>
        <w:pStyle w:val="acthead5"/>
        <w:shd w:val="clear" w:color="auto" w:fill="FFFFFF"/>
        <w:spacing w:before="280" w:beforeAutospacing="0" w:after="0" w:afterAutospacing="0"/>
        <w:ind w:left="1134" w:hanging="1134"/>
        <w:rPr>
          <w:b/>
          <w:bCs/>
        </w:rPr>
      </w:pPr>
      <w:r w:rsidRPr="00B32A45">
        <w:rPr>
          <w:rStyle w:val="charsectno0"/>
          <w:b/>
          <w:bCs/>
        </w:rPr>
        <w:t>3.78</w:t>
      </w:r>
      <w:r w:rsidRPr="00B32A45">
        <w:rPr>
          <w:b/>
          <w:bCs/>
        </w:rPr>
        <w:t>  Method 3—natural gas transmission (other than flaring)</w:t>
      </w:r>
    </w:p>
    <w:p w:rsidR="00C17B3A" w:rsidRPr="00B32A45" w:rsidRDefault="005138FE" w:rsidP="005138FE">
      <w:pPr>
        <w:pStyle w:val="tMain"/>
        <w:shd w:val="clear" w:color="auto" w:fill="FFFFFF"/>
        <w:tabs>
          <w:tab w:val="left" w:pos="5100"/>
        </w:tabs>
        <w:ind w:hanging="709"/>
        <w:rPr>
          <w:szCs w:val="22"/>
        </w:rPr>
      </w:pPr>
      <w:r>
        <w:rPr>
          <w:szCs w:val="22"/>
        </w:rPr>
        <w:tab/>
        <w:t>(1)</w:t>
      </w:r>
      <w:r>
        <w:rPr>
          <w:szCs w:val="22"/>
        </w:rPr>
        <w:tab/>
        <w:t>Method 3 is:</w:t>
      </w:r>
    </w:p>
    <w:p w:rsidR="00C17B3A" w:rsidRPr="005138FE" w:rsidRDefault="00C17B3A" w:rsidP="005138FE">
      <w:pPr>
        <w:pStyle w:val="subsection2"/>
        <w:shd w:val="clear" w:color="auto" w:fill="FFFFFF"/>
        <w:rPr>
          <w:sz w:val="28"/>
          <w:szCs w:val="28"/>
        </w:rPr>
      </w:pPr>
      <w:r w:rsidRPr="005138FE">
        <w:rPr>
          <w:sz w:val="28"/>
          <w:szCs w:val="28"/>
        </w:rPr>
        <w:t>E</w:t>
      </w:r>
      <w:r w:rsidRPr="005138FE">
        <w:rPr>
          <w:sz w:val="28"/>
          <w:szCs w:val="28"/>
          <w:vertAlign w:val="subscript"/>
        </w:rPr>
        <w:t xml:space="preserve">j </w:t>
      </w:r>
      <w:r w:rsidRPr="005138FE">
        <w:rPr>
          <w:sz w:val="28"/>
          <w:szCs w:val="28"/>
        </w:rPr>
        <w:t>= ∑</w:t>
      </w:r>
      <w:r w:rsidRPr="005138FE">
        <w:rPr>
          <w:sz w:val="28"/>
          <w:szCs w:val="28"/>
          <w:vertAlign w:val="subscript"/>
        </w:rPr>
        <w:t xml:space="preserve">k </w:t>
      </w:r>
      <w:r w:rsidRPr="005138FE">
        <w:rPr>
          <w:sz w:val="28"/>
          <w:szCs w:val="28"/>
        </w:rPr>
        <w:t>(T</w:t>
      </w:r>
      <w:r w:rsidRPr="005138FE">
        <w:rPr>
          <w:sz w:val="28"/>
          <w:szCs w:val="28"/>
          <w:vertAlign w:val="subscript"/>
        </w:rPr>
        <w:t>k</w:t>
      </w:r>
      <w:r w:rsidRPr="005138FE">
        <w:rPr>
          <w:sz w:val="28"/>
          <w:szCs w:val="28"/>
        </w:rPr>
        <w:t xml:space="preserve"> × N</w:t>
      </w:r>
      <w:r w:rsidRPr="005138FE">
        <w:rPr>
          <w:sz w:val="28"/>
          <w:szCs w:val="28"/>
          <w:vertAlign w:val="subscript"/>
        </w:rPr>
        <w:t>k</w:t>
      </w:r>
      <w:r w:rsidRPr="005138FE">
        <w:rPr>
          <w:sz w:val="28"/>
          <w:szCs w:val="28"/>
        </w:rPr>
        <w:t xml:space="preserve"> ×EF</w:t>
      </w:r>
      <w:r w:rsidRPr="005138FE">
        <w:rPr>
          <w:sz w:val="28"/>
          <w:szCs w:val="28"/>
          <w:vertAlign w:val="subscript"/>
        </w:rPr>
        <w:t>jk</w:t>
      </w:r>
      <w:r w:rsidRPr="005138FE">
        <w:rPr>
          <w:sz w:val="28"/>
          <w:szCs w:val="28"/>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flaring) of gas type (</w:t>
      </w:r>
      <w:r w:rsidRPr="00B32A45">
        <w:rPr>
          <w:b/>
          <w:i/>
        </w:rPr>
        <w:t>j</w:t>
      </w:r>
      <w:r w:rsidRPr="00B32A45">
        <w:t>) measured in CO</w:t>
      </w:r>
      <w:r w:rsidRPr="00B32A45">
        <w:rPr>
          <w:rStyle w:val="charSubscript"/>
          <w:iCs/>
        </w:rPr>
        <w:t>2</w:t>
      </w:r>
      <w:r w:rsidRPr="00B32A45">
        <w:noBreakHyphen/>
        <w:t>e tonnes from the natural gas transmission through the system of pipelines during the year.</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measured in CO</w:t>
      </w:r>
      <w:r w:rsidRPr="00B32A45">
        <w:rPr>
          <w:rStyle w:val="charSubscript"/>
          <w:iCs/>
        </w:rPr>
        <w:t>2</w:t>
      </w:r>
      <w:r w:rsidRPr="00B32A45">
        <w:noBreakHyphen/>
        <w:t>e tonnes and estimated by summing up the emissions released from each component type (</w:t>
      </w:r>
      <w:r w:rsidRPr="00B32A45">
        <w:rPr>
          <w:b/>
          <w:i/>
        </w:rPr>
        <w:t>k</w:t>
      </w:r>
      <w:r w:rsidRPr="00B32A45">
        <w:t>) listed in section 6.1.3 of the API Compendium, if the component is used in the natural gas transmission.</w:t>
      </w:r>
    </w:p>
    <w:p w:rsidR="00C17B3A" w:rsidRPr="00B32A45" w:rsidRDefault="00C17B3A" w:rsidP="00C17B3A">
      <w:pPr>
        <w:pStyle w:val="tDefn"/>
      </w:pPr>
      <w:r w:rsidRPr="00B32A45">
        <w:rPr>
          <w:b/>
          <w:i/>
        </w:rPr>
        <w:t>T</w:t>
      </w:r>
      <w:r w:rsidRPr="00B32A45">
        <w:rPr>
          <w:b/>
          <w:i/>
          <w:vertAlign w:val="subscript"/>
        </w:rPr>
        <w:t xml:space="preserve">k </w:t>
      </w:r>
      <w:r w:rsidRPr="00B32A45">
        <w:t>is the average hours of operation during the year of the components of each component type (</w:t>
      </w:r>
      <w:r w:rsidRPr="00B32A45">
        <w:rPr>
          <w:b/>
          <w:i/>
        </w:rPr>
        <w:t>k</w:t>
      </w:r>
      <w:r w:rsidRPr="00B32A45">
        <w:t>) listed in section 6.1.3 of the API Compendium, if the component is used in the natural gas transmission during the year.</w:t>
      </w:r>
    </w:p>
    <w:p w:rsidR="00C17B3A" w:rsidRPr="00B32A45" w:rsidRDefault="00C17B3A" w:rsidP="00C17B3A">
      <w:pPr>
        <w:pStyle w:val="tDefn"/>
        <w:rPr>
          <w:b/>
          <w:i/>
        </w:rPr>
      </w:pPr>
      <w:r w:rsidRPr="00B32A45">
        <w:rPr>
          <w:b/>
          <w:i/>
        </w:rPr>
        <w:t>N</w:t>
      </w:r>
      <w:r w:rsidRPr="00B32A45">
        <w:rPr>
          <w:b/>
          <w:i/>
          <w:vertAlign w:val="subscript"/>
        </w:rPr>
        <w:t>k</w:t>
      </w:r>
      <w:r w:rsidRPr="00B32A45">
        <w:rPr>
          <w:b/>
          <w:i/>
        </w:rPr>
        <w:t xml:space="preserve"> </w:t>
      </w:r>
      <w:r w:rsidRPr="00B32A45">
        <w:t>is the total number of components of each component type (</w:t>
      </w:r>
      <w:r w:rsidRPr="00B32A45">
        <w:rPr>
          <w:b/>
          <w:i/>
        </w:rPr>
        <w:t>k</w:t>
      </w:r>
      <w:r w:rsidRPr="00B32A45">
        <w:t>) listed in section 6.1.3 of the API Compendium if the component type is used in the natural gas transmission during the year.</w:t>
      </w:r>
      <w:r w:rsidRPr="00B32A45">
        <w:rPr>
          <w:b/>
          <w:i/>
        </w:rPr>
        <w:t xml:space="preserve"> </w:t>
      </w:r>
    </w:p>
    <w:p w:rsidR="00C17B3A" w:rsidRPr="00B32A45" w:rsidRDefault="00C17B3A" w:rsidP="00C17B3A">
      <w:pPr>
        <w:pStyle w:val="tDefn"/>
      </w:pPr>
      <w:r w:rsidRPr="00B32A45">
        <w:rPr>
          <w:b/>
          <w:i/>
        </w:rPr>
        <w:t>EF</w:t>
      </w:r>
      <w:r w:rsidRPr="00B32A45">
        <w:rPr>
          <w:b/>
          <w:i/>
          <w:vertAlign w:val="subscript"/>
        </w:rPr>
        <w:t>jk</w:t>
      </w:r>
      <w:r w:rsidRPr="00B32A45">
        <w:rPr>
          <w:b/>
          <w:i/>
        </w:rPr>
        <w:t xml:space="preserve"> </w:t>
      </w:r>
      <w:r w:rsidRPr="00B32A45">
        <w:t>is the emission factor of gas type (</w:t>
      </w:r>
      <w:r w:rsidRPr="00B32A45">
        <w:rPr>
          <w:b/>
          <w:i/>
        </w:rPr>
        <w:t>j</w:t>
      </w:r>
      <w:r w:rsidRPr="00B32A45">
        <w:t>) measured in CO</w:t>
      </w:r>
      <w:r w:rsidRPr="00B32A45">
        <w:rPr>
          <w:rStyle w:val="charSubscript"/>
          <w:iCs/>
        </w:rPr>
        <w:t>2</w:t>
      </w:r>
      <w:r w:rsidRPr="00B32A45">
        <w:noBreakHyphen/>
        <w:t>e tonnes for each component type (</w:t>
      </w:r>
      <w:r w:rsidRPr="00B32A45">
        <w:rPr>
          <w:b/>
          <w:i/>
        </w:rPr>
        <w:t>k</w:t>
      </w:r>
      <w:r w:rsidRPr="00B32A45">
        <w:t>) listed in 6.1.3 of the API Compendium as determined under subsection (2), where the component is used in the natural gas transmission.</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jk</w:t>
      </w:r>
      <w:r w:rsidRPr="00B32A45">
        <w:t>, the emission factors for gas type (</w:t>
      </w:r>
      <w:r w:rsidRPr="00B32A45">
        <w:rPr>
          <w:b/>
          <w:i/>
        </w:rPr>
        <w:t>j</w:t>
      </w:r>
      <w:r w:rsidRPr="00B32A45">
        <w:t xml:space="preserve">), as natural gas or plant condensate passes through a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as listed in Table 6-18 in section 6.1.3 of the API Compendium, for the component type; or</w:t>
      </w:r>
    </w:p>
    <w:p w:rsidR="00C17B3A" w:rsidRPr="00B32A45" w:rsidRDefault="00C17B3A" w:rsidP="00C17B3A">
      <w:pPr>
        <w:pStyle w:val="tPara"/>
      </w:pPr>
      <w:r w:rsidRPr="00B32A45">
        <w:tab/>
        <w:t>(b)</w:t>
      </w:r>
      <w:r w:rsidRPr="00B32A45">
        <w:tab/>
        <w:t xml:space="preserve">as listed in that Compendium for the component type with emission factors adjusted for variations in estimated gas composition, in accordance with that </w:t>
      </w:r>
      <w:r w:rsidRPr="00B32A45">
        <w:lastRenderedPageBreak/>
        <w:t>Compendium’s Table 6-18 in section 6.1.3, and the requirements of Division 2.3.3; or</w:t>
      </w:r>
    </w:p>
    <w:p w:rsidR="00C17B3A" w:rsidRPr="00B32A45" w:rsidRDefault="00C17B3A" w:rsidP="00C17B3A">
      <w:pPr>
        <w:pStyle w:val="tPara"/>
      </w:pPr>
      <w:r w:rsidRPr="00B32A45">
        <w:tab/>
        <w:t>(c)</w:t>
      </w:r>
      <w:r w:rsidRPr="00B32A45">
        <w:tab/>
        <w:t>as listed in that Compendium for the component type with emission factors adjusted for variations in the type of component material estimated in accordance with the results of published research for the crude oil industry and the principles of section 1.13; or</w:t>
      </w:r>
    </w:p>
    <w:p w:rsidR="00C17B3A" w:rsidRPr="00B32A45" w:rsidRDefault="00C17B3A" w:rsidP="00C17B3A">
      <w:pPr>
        <w:pStyle w:val="tPara"/>
      </w:pPr>
      <w:r w:rsidRPr="00B32A45">
        <w:tab/>
        <w:t>(d)</w:t>
      </w:r>
      <w:r w:rsidRPr="00B32A45">
        <w:tab/>
        <w:t>if the manufacturer of the component supplies component</w:t>
      </w:r>
      <w:r w:rsidRPr="00B32A45">
        <w:noBreakHyphen/>
        <w:t>specific emission factors for the component type—those factors; or</w:t>
      </w:r>
    </w:p>
    <w:p w:rsidR="00C17B3A" w:rsidRPr="00B32A45" w:rsidRDefault="00C17B3A" w:rsidP="00C17B3A">
      <w:pPr>
        <w:pStyle w:val="tPara"/>
      </w:pPr>
      <w:r w:rsidRPr="00B32A45">
        <w:tab/>
        <w:t>(e)</w:t>
      </w:r>
      <w:r w:rsidRPr="00B32A45">
        <w:tab/>
        <w:t>estimated using the engineering calculation approach in accordance with section 6.1.3 of the API Compendium.</w:t>
      </w:r>
    </w:p>
    <w:p w:rsidR="00C17B3A" w:rsidRPr="00B32A45" w:rsidRDefault="00C17B3A" w:rsidP="00C17B3A">
      <w:pPr>
        <w:pStyle w:val="h3Div"/>
        <w:pageBreakBefore/>
      </w:pPr>
      <w:bookmarkStart w:id="85" w:name="_Toc69480127"/>
      <w:bookmarkStart w:id="86" w:name="_Toc486862091"/>
      <w:r w:rsidRPr="00B32A45">
        <w:rPr>
          <w:rStyle w:val="CharDivNo"/>
        </w:rPr>
        <w:lastRenderedPageBreak/>
        <w:t>Division 3.3.7A</w:t>
      </w:r>
      <w:r w:rsidRPr="00B32A45">
        <w:t>—</w:t>
      </w:r>
      <w:r w:rsidRPr="00B32A45">
        <w:rPr>
          <w:rStyle w:val="CharDivText"/>
        </w:rPr>
        <w:t>Natural gas storage (other than emissions that are vented or flared)</w:t>
      </w:r>
      <w:bookmarkEnd w:id="85"/>
    </w:p>
    <w:p w:rsidR="00C17B3A" w:rsidRPr="00B32A45" w:rsidRDefault="00C17B3A" w:rsidP="00C17B3A">
      <w:pPr>
        <w:pStyle w:val="h5Section"/>
      </w:pPr>
      <w:r w:rsidRPr="00B32A45">
        <w:rPr>
          <w:rStyle w:val="CharSectno"/>
        </w:rPr>
        <w:t>3.78A</w:t>
      </w:r>
      <w:r w:rsidRPr="00B32A45">
        <w:t xml:space="preserve">  Application</w:t>
      </w:r>
    </w:p>
    <w:p w:rsidR="00C17B3A" w:rsidRPr="00B32A45" w:rsidRDefault="00C17B3A" w:rsidP="00C17B3A">
      <w:pPr>
        <w:pStyle w:val="tMain"/>
      </w:pPr>
      <w:r w:rsidRPr="00B32A45">
        <w:tab/>
      </w:r>
      <w:r w:rsidRPr="00B32A45">
        <w:tab/>
        <w:t>This Division applies to fugitive emissions (other than emissions that are vented or flared) from natural gas storage.</w:t>
      </w:r>
    </w:p>
    <w:p w:rsidR="00C17B3A" w:rsidRPr="00B32A45" w:rsidRDefault="00C17B3A" w:rsidP="00C17B3A">
      <w:pPr>
        <w:pStyle w:val="h5Section"/>
      </w:pPr>
      <w:r w:rsidRPr="00B32A45">
        <w:rPr>
          <w:rStyle w:val="CharSectno"/>
        </w:rPr>
        <w:t>3.78B</w:t>
      </w:r>
      <w:r w:rsidRPr="00B32A45">
        <w:t xml:space="preserve">  Available methods</w:t>
      </w:r>
    </w:p>
    <w:p w:rsidR="00C17B3A" w:rsidRPr="00B32A45" w:rsidRDefault="00C17B3A" w:rsidP="00C17B3A">
      <w:pPr>
        <w:pStyle w:val="tMain"/>
      </w:pPr>
      <w:r w:rsidRPr="00B32A45">
        <w:tab/>
        <w:t>(1)</w:t>
      </w:r>
      <w:r w:rsidRPr="00B32A45">
        <w:tab/>
        <w:t>Subject to section 1.18 and subsection (3) and (4), one of the following methods must</w:t>
      </w:r>
      <w:r w:rsidRPr="00B32A45">
        <w:rPr>
          <w:i/>
        </w:rPr>
        <w:t xml:space="preserve"> </w:t>
      </w:r>
      <w:r w:rsidRPr="00B32A45">
        <w:t>be used for estimating fugitive emissions (</w:t>
      </w:r>
      <w:r w:rsidRPr="00B32A45">
        <w:rPr>
          <w:rStyle w:val="CharDivText"/>
        </w:rPr>
        <w:t>other than emissions that are vented or flared</w:t>
      </w:r>
      <w:r w:rsidRPr="00B32A45">
        <w:t>) of each gas type, being carbon dioxide and methane, released from the operation of a facility that is constituted by natural gas storage during a year:</w:t>
      </w:r>
    </w:p>
    <w:p w:rsidR="00C17B3A" w:rsidRPr="00B32A45" w:rsidRDefault="00C17B3A" w:rsidP="00C17B3A">
      <w:pPr>
        <w:pStyle w:val="tPara"/>
      </w:pPr>
      <w:r w:rsidRPr="00B32A45">
        <w:tab/>
        <w:t>(a)</w:t>
      </w:r>
      <w:r w:rsidRPr="00B32A45">
        <w:tab/>
        <w:t>method 1 under section 3.78C;</w:t>
      </w:r>
    </w:p>
    <w:p w:rsidR="00C17B3A" w:rsidRPr="00B32A45" w:rsidRDefault="00C17B3A" w:rsidP="00C17B3A">
      <w:pPr>
        <w:pStyle w:val="tPara"/>
      </w:pPr>
      <w:r w:rsidRPr="00B32A45">
        <w:tab/>
        <w:t>(b)</w:t>
      </w:r>
      <w:r w:rsidRPr="00B32A45">
        <w:tab/>
        <w:t>method 2 under section 3.78D;</w:t>
      </w:r>
    </w:p>
    <w:p w:rsidR="00C17B3A" w:rsidRPr="00B32A45" w:rsidRDefault="00C17B3A" w:rsidP="00C17B3A">
      <w:pPr>
        <w:pStyle w:val="tPara"/>
      </w:pPr>
      <w:r w:rsidRPr="00B32A45">
        <w:tab/>
        <w:t>(c)</w:t>
      </w:r>
      <w:r w:rsidRPr="00B32A45">
        <w:tab/>
        <w:t>method 3 under section 3.78E.</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3.3.6A, 3.3.6B, 3.3.6C, 3.3.6E and 3.3.7B if those Divisions are applicable to the facility.</w:t>
      </w:r>
    </w:p>
    <w:p w:rsidR="00C17B3A" w:rsidRPr="00B32A45" w:rsidRDefault="00C17B3A" w:rsidP="00C733F2">
      <w:pPr>
        <w:pStyle w:val="tMain"/>
      </w:pPr>
      <w:r w:rsidRPr="00B32A45">
        <w:tab/>
        <w:t>(4)</w:t>
      </w:r>
      <w:r w:rsidRPr="00B32A45">
        <w:tab/>
        <w:t>If me</w:t>
      </w:r>
      <w:r w:rsidR="00C733F2">
        <w:t xml:space="preserve">thod 3 is used for a facility, </w:t>
      </w:r>
      <w:r w:rsidRPr="00B32A45">
        <w:t xml:space="preserve">all other available methods 3 must be used in Divisions 3.3.6A, 3.3.6B, 3.3.6C, 3.3.6E and 3.3.7B if those Divisions </w:t>
      </w:r>
      <w:r w:rsidR="00C733F2">
        <w:t>are applicable to the facility.</w:t>
      </w:r>
    </w:p>
    <w:p w:rsidR="00C17B3A" w:rsidRPr="00B32A45" w:rsidRDefault="00C17B3A" w:rsidP="00C17B3A">
      <w:pPr>
        <w:pStyle w:val="h5Section"/>
      </w:pPr>
      <w:r w:rsidRPr="00B32A45">
        <w:rPr>
          <w:rStyle w:val="CharSectno"/>
        </w:rPr>
        <w:t xml:space="preserve"> 3.78C</w:t>
      </w:r>
      <w:r w:rsidRPr="00B32A45">
        <w:t xml:space="preserve">  Method 1—natural gas storage (</w:t>
      </w:r>
      <w:r w:rsidRPr="00B32A45">
        <w:rPr>
          <w:rStyle w:val="CharDivText"/>
        </w:rPr>
        <w:t>other than emissions that are vented or flared</w:t>
      </w:r>
      <w:r w:rsidRPr="00B32A45">
        <w:t>)</w:t>
      </w:r>
    </w:p>
    <w:p w:rsidR="00C17B3A" w:rsidRPr="00B32A45" w:rsidRDefault="00C17B3A" w:rsidP="00C17B3A">
      <w:pPr>
        <w:pStyle w:val="tMain"/>
      </w:pPr>
      <w:r w:rsidRPr="00B32A45">
        <w:tab/>
        <w:t>(1)</w:t>
      </w:r>
      <w:r w:rsidRPr="00B32A45">
        <w:tab/>
        <w:t>Method 1 is:</w:t>
      </w:r>
    </w:p>
    <w:p w:rsidR="00C17B3A" w:rsidRPr="005138FE" w:rsidRDefault="00C17B3A" w:rsidP="00C17B3A">
      <w:pPr>
        <w:pStyle w:val="tMain"/>
        <w:spacing w:before="120" w:after="120"/>
        <w:rPr>
          <w:sz w:val="28"/>
          <w:szCs w:val="28"/>
        </w:rPr>
      </w:pPr>
      <w:r w:rsidRPr="005138FE">
        <w:rPr>
          <w:sz w:val="28"/>
          <w:szCs w:val="28"/>
        </w:rPr>
        <w:tab/>
      </w:r>
      <w:r w:rsidRPr="005138FE">
        <w:rPr>
          <w:sz w:val="28"/>
          <w:szCs w:val="28"/>
        </w:rPr>
        <w:tab/>
        <w:t>E</w:t>
      </w:r>
      <w:r w:rsidRPr="005138FE">
        <w:rPr>
          <w:sz w:val="28"/>
          <w:szCs w:val="28"/>
          <w:vertAlign w:val="subscript"/>
        </w:rPr>
        <w:t xml:space="preserve">ij </w:t>
      </w:r>
      <w:r w:rsidRPr="005138FE">
        <w:rPr>
          <w:sz w:val="28"/>
          <w:szCs w:val="28"/>
        </w:rPr>
        <w:t>= ∑</w:t>
      </w:r>
      <w:r w:rsidRPr="005138FE">
        <w:rPr>
          <w:sz w:val="28"/>
          <w:szCs w:val="28"/>
          <w:vertAlign w:val="subscript"/>
        </w:rPr>
        <w:t xml:space="preserve">k </w:t>
      </w:r>
      <w:r w:rsidRPr="005138FE">
        <w:rPr>
          <w:sz w:val="28"/>
          <w:szCs w:val="28"/>
        </w:rPr>
        <w:t>(Q</w:t>
      </w:r>
      <w:r w:rsidRPr="005138FE">
        <w:rPr>
          <w:sz w:val="28"/>
          <w:szCs w:val="28"/>
          <w:vertAlign w:val="subscript"/>
        </w:rPr>
        <w:t>ik</w:t>
      </w:r>
      <w:r w:rsidRPr="005138FE">
        <w:rPr>
          <w:sz w:val="28"/>
          <w:szCs w:val="28"/>
        </w:rPr>
        <w:t xml:space="preserve"> × EF</w:t>
      </w:r>
      <w:r w:rsidRPr="005138FE">
        <w:rPr>
          <w:sz w:val="28"/>
          <w:szCs w:val="28"/>
          <w:vertAlign w:val="subscript"/>
        </w:rPr>
        <w:t>ijk</w:t>
      </w:r>
      <w:r w:rsidRPr="005138FE">
        <w:rPr>
          <w:sz w:val="28"/>
          <w:szCs w:val="28"/>
        </w:rPr>
        <w:t>)</w:t>
      </w:r>
      <w:r w:rsidRPr="005138FE">
        <w:rPr>
          <w:b/>
          <w:sz w:val="28"/>
          <w:szCs w:val="28"/>
          <w:vertAlign w:val="subscript"/>
        </w:rPr>
        <w:t xml:space="preserve">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or carbon dioxide, from the natural gas storage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the natural gas storage.</w:t>
      </w:r>
    </w:p>
    <w:p w:rsidR="00C17B3A" w:rsidRPr="00B32A45" w:rsidRDefault="00C17B3A" w:rsidP="00C17B3A">
      <w:pPr>
        <w:pStyle w:val="tDefn"/>
      </w:pPr>
      <w:r w:rsidRPr="00B32A45">
        <w:rPr>
          <w:b/>
          <w:i/>
        </w:rPr>
        <w:t>Q</w:t>
      </w:r>
      <w:r w:rsidRPr="00B32A45">
        <w:rPr>
          <w:b/>
          <w:i/>
          <w:vertAlign w:val="subscript"/>
        </w:rPr>
        <w:t xml:space="preserve">ik </w:t>
      </w:r>
      <w:r w:rsidRPr="00B32A45">
        <w:t>is the total number of each equipment type (</w:t>
      </w:r>
      <w:r w:rsidRPr="00B32A45">
        <w:rPr>
          <w:b/>
          <w:i/>
        </w:rPr>
        <w:t>k</w:t>
      </w:r>
      <w:r w:rsidRPr="00B32A45">
        <w:t>) specified in column 2 of the table in subsection (2).</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or carbon dioxide, measured in tonnes of gas type (</w:t>
      </w:r>
      <w:r w:rsidRPr="00B32A45">
        <w:rPr>
          <w:b/>
          <w:i/>
        </w:rPr>
        <w:t>j</w:t>
      </w:r>
      <w:r w:rsidRPr="00B32A45">
        <w:t>) per equipment type (</w:t>
      </w:r>
      <w:r w:rsidRPr="00B32A45">
        <w:rPr>
          <w:b/>
          <w:i/>
        </w:rPr>
        <w:t>k</w:t>
      </w:r>
      <w:r w:rsidRPr="00B32A45">
        <w:t>) during the year, as determined under subsection (2), if the equipment is used in the natural gas storage.</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w:t>
      </w:r>
      <w:r w:rsidR="00524E7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1"/>
        <w:gridCol w:w="1395"/>
        <w:gridCol w:w="2320"/>
        <w:gridCol w:w="2320"/>
        <w:gridCol w:w="2320"/>
      </w:tblGrid>
      <w:tr w:rsidR="00C17B3A" w:rsidRPr="00B32A45" w:rsidTr="00DB6238">
        <w:tc>
          <w:tcPr>
            <w:tcW w:w="372"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lastRenderedPageBreak/>
              <w:t>Item</w:t>
            </w:r>
          </w:p>
        </w:tc>
        <w:tc>
          <w:tcPr>
            <w:tcW w:w="773"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3854" w:type="pct"/>
            <w:gridSpan w:val="3"/>
            <w:tcBorders>
              <w:top w:val="single" w:sz="12" w:space="0" w:color="auto"/>
              <w:bottom w:val="single" w:sz="12" w:space="0" w:color="auto"/>
            </w:tcBorders>
          </w:tcPr>
          <w:p w:rsidR="00C17B3A" w:rsidRPr="00B32A45" w:rsidRDefault="00C17B3A" w:rsidP="00DB6238">
            <w:pPr>
              <w:pStyle w:val="TableHeading"/>
              <w:jc w:val="center"/>
            </w:pPr>
            <w:r w:rsidRPr="00B32A45">
              <w:t xml:space="preserve">Emission factor for gas type  (j) </w:t>
            </w:r>
            <w:r w:rsidRPr="00B32A45">
              <w:br/>
            </w:r>
          </w:p>
        </w:tc>
      </w:tr>
      <w:tr w:rsidR="00C17B3A" w:rsidRPr="00B32A45" w:rsidTr="00DB6238">
        <w:trPr>
          <w:trHeight w:val="315"/>
        </w:trPr>
        <w:tc>
          <w:tcPr>
            <w:tcW w:w="372" w:type="pct"/>
            <w:tcBorders>
              <w:bottom w:val="single" w:sz="4" w:space="0" w:color="auto"/>
            </w:tcBorders>
            <w:shd w:val="clear" w:color="auto" w:fill="auto"/>
          </w:tcPr>
          <w:p w:rsidR="00C17B3A" w:rsidRPr="00B32A45" w:rsidRDefault="00C17B3A" w:rsidP="00DB6238">
            <w:pPr>
              <w:pStyle w:val="Tabletext"/>
            </w:pPr>
          </w:p>
        </w:tc>
        <w:tc>
          <w:tcPr>
            <w:tcW w:w="773" w:type="pct"/>
            <w:tcBorders>
              <w:bottom w:val="single" w:sz="4" w:space="0" w:color="auto"/>
            </w:tcBorders>
            <w:shd w:val="clear" w:color="auto" w:fill="auto"/>
          </w:tcPr>
          <w:p w:rsidR="00C17B3A" w:rsidRPr="00B32A45" w:rsidDel="0000371C" w:rsidRDefault="00C17B3A" w:rsidP="00DB6238">
            <w:pPr>
              <w:pStyle w:val="Tabletext"/>
            </w:pPr>
          </w:p>
        </w:tc>
        <w:tc>
          <w:tcPr>
            <w:tcW w:w="1285" w:type="pct"/>
            <w:tcBorders>
              <w:bottom w:val="single" w:sz="4" w:space="0" w:color="auto"/>
            </w:tcBorders>
          </w:tcPr>
          <w:p w:rsidR="00C17B3A" w:rsidRPr="00B32A45" w:rsidRDefault="00C17B3A" w:rsidP="00DB6238">
            <w:pPr>
              <w:pStyle w:val="Tabletext"/>
              <w:jc w:val="center"/>
            </w:pPr>
            <w:r w:rsidRPr="00B32A45">
              <w:t>CH</w:t>
            </w:r>
            <w:r w:rsidRPr="00B32A45">
              <w:rPr>
                <w:vertAlign w:val="subscript"/>
              </w:rPr>
              <w:t>4</w:t>
            </w:r>
          </w:p>
        </w:tc>
        <w:tc>
          <w:tcPr>
            <w:tcW w:w="1285" w:type="pct"/>
            <w:tcBorders>
              <w:bottom w:val="single" w:sz="4" w:space="0" w:color="auto"/>
            </w:tcBorders>
          </w:tcPr>
          <w:p w:rsidR="00C17B3A" w:rsidRPr="00B32A45" w:rsidRDefault="00C17B3A" w:rsidP="00DB6238">
            <w:pPr>
              <w:pStyle w:val="Tabletext"/>
              <w:jc w:val="center"/>
            </w:pPr>
            <w:r w:rsidRPr="00B32A45">
              <w:t>CO</w:t>
            </w:r>
            <w:r w:rsidRPr="00B32A45">
              <w:rPr>
                <w:vertAlign w:val="subscript"/>
              </w:rPr>
              <w:t>2</w:t>
            </w:r>
          </w:p>
        </w:tc>
        <w:tc>
          <w:tcPr>
            <w:tcW w:w="1285" w:type="pct"/>
            <w:tcBorders>
              <w:bottom w:val="single" w:sz="4" w:space="0" w:color="auto"/>
            </w:tcBorders>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2"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1</w:t>
            </w:r>
          </w:p>
        </w:tc>
        <w:tc>
          <w:tcPr>
            <w:tcW w:w="773"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Natural gas storage station</w:t>
            </w:r>
          </w:p>
        </w:tc>
        <w:tc>
          <w:tcPr>
            <w:tcW w:w="1285" w:type="pct"/>
            <w:tcBorders>
              <w:top w:val="single" w:sz="4" w:space="0" w:color="auto"/>
              <w:bottom w:val="single" w:sz="4" w:space="0" w:color="auto"/>
            </w:tcBorders>
            <w:vAlign w:val="center"/>
          </w:tcPr>
          <w:p w:rsidR="00C17B3A" w:rsidRPr="00B32A45" w:rsidDel="0000371C" w:rsidRDefault="00C17B3A" w:rsidP="00DB6238">
            <w:pPr>
              <w:pStyle w:val="Tabletext"/>
              <w:jc w:val="center"/>
            </w:pPr>
            <w:r w:rsidRPr="00B32A45">
              <w:t>10,336</w:t>
            </w:r>
          </w:p>
        </w:tc>
        <w:tc>
          <w:tcPr>
            <w:tcW w:w="1285"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20.7</w:t>
            </w:r>
          </w:p>
        </w:tc>
        <w:tc>
          <w:tcPr>
            <w:tcW w:w="1285" w:type="pct"/>
            <w:tcBorders>
              <w:top w:val="single" w:sz="4" w:space="0" w:color="auto"/>
              <w:bottom w:val="single" w:sz="4" w:space="0" w:color="auto"/>
            </w:tcBorders>
            <w:shd w:val="clear" w:color="auto" w:fill="auto"/>
            <w:vAlign w:val="center"/>
          </w:tcPr>
          <w:p w:rsidR="00C17B3A" w:rsidRPr="00B32A45" w:rsidDel="0000371C" w:rsidRDefault="00C17B3A" w:rsidP="00DB6238">
            <w:pPr>
              <w:pStyle w:val="Tabletext"/>
              <w:jc w:val="center"/>
            </w:pPr>
            <w:r w:rsidRPr="00B32A45">
              <w:t>tonnes CO</w:t>
            </w:r>
            <w:r w:rsidRPr="00B32A45">
              <w:rPr>
                <w:vertAlign w:val="subscript"/>
              </w:rPr>
              <w:t>2</w:t>
            </w:r>
            <w:r w:rsidRPr="00B32A45">
              <w:t>-e per station</w:t>
            </w:r>
          </w:p>
        </w:tc>
      </w:tr>
    </w:tbl>
    <w:p w:rsidR="00C17B3A" w:rsidRPr="00B32A45" w:rsidRDefault="00C17B3A" w:rsidP="00C17B3A">
      <w:pPr>
        <w:pStyle w:val="h5Section"/>
        <w:tabs>
          <w:tab w:val="right" w:pos="8313"/>
        </w:tabs>
      </w:pPr>
      <w:r w:rsidRPr="00B32A45">
        <w:rPr>
          <w:rStyle w:val="CharSectno"/>
        </w:rPr>
        <w:t>3.78D</w:t>
      </w:r>
      <w:r w:rsidRPr="00B32A45">
        <w:t xml:space="preserve">  Method 2—natural gas storage (</w:t>
      </w:r>
      <w:r w:rsidRPr="00B32A45">
        <w:rPr>
          <w:rStyle w:val="CharDivText"/>
        </w:rPr>
        <w:t>other than emissions that are vented or flared</w:t>
      </w:r>
      <w:r w:rsidRPr="00B32A45">
        <w:t>)</w:t>
      </w:r>
      <w:r w:rsidRPr="00B32A45">
        <w:tab/>
      </w:r>
    </w:p>
    <w:p w:rsidR="00C17B3A" w:rsidRPr="00B32A45" w:rsidRDefault="00C17B3A" w:rsidP="00C17B3A">
      <w:pPr>
        <w:pStyle w:val="tMain"/>
      </w:pPr>
      <w:r w:rsidRPr="00B32A45">
        <w:tab/>
        <w:t>(1)</w:t>
      </w:r>
      <w:r w:rsidRPr="00B32A45">
        <w:tab/>
        <w:t>Method 2 is:</w:t>
      </w:r>
    </w:p>
    <w:p w:rsidR="00C17B3A" w:rsidRPr="005138FE" w:rsidRDefault="00C17B3A" w:rsidP="00C17B3A">
      <w:pPr>
        <w:pStyle w:val="tMain"/>
        <w:spacing w:before="120" w:after="120"/>
        <w:rPr>
          <w:sz w:val="28"/>
          <w:szCs w:val="28"/>
        </w:rPr>
      </w:pPr>
      <w:r w:rsidRPr="005138FE">
        <w:rPr>
          <w:sz w:val="28"/>
          <w:szCs w:val="28"/>
        </w:rPr>
        <w:tab/>
      </w:r>
      <w:r w:rsidRPr="005138FE">
        <w:rPr>
          <w:sz w:val="28"/>
          <w:szCs w:val="28"/>
        </w:rPr>
        <w:tab/>
        <w:t xml:space="preserve"> E</w:t>
      </w:r>
      <w:r w:rsidRPr="005138FE">
        <w:rPr>
          <w:sz w:val="28"/>
          <w:szCs w:val="28"/>
          <w:vertAlign w:val="subscript"/>
        </w:rPr>
        <w:t xml:space="preserve">ij </w:t>
      </w:r>
      <w:r w:rsidRPr="005138FE">
        <w:rPr>
          <w:sz w:val="28"/>
          <w:szCs w:val="28"/>
        </w:rPr>
        <w:t>= ∑</w:t>
      </w:r>
      <w:r w:rsidRPr="005138FE">
        <w:rPr>
          <w:sz w:val="28"/>
          <w:szCs w:val="28"/>
          <w:vertAlign w:val="subscript"/>
        </w:rPr>
        <w:t xml:space="preserve">k </w:t>
      </w:r>
      <w:r w:rsidRPr="005138FE">
        <w:rPr>
          <w:sz w:val="28"/>
          <w:szCs w:val="28"/>
        </w:rPr>
        <w:t>(T</w:t>
      </w:r>
      <w:r w:rsidRPr="005138FE">
        <w:rPr>
          <w:sz w:val="28"/>
          <w:szCs w:val="28"/>
          <w:vertAlign w:val="subscript"/>
        </w:rPr>
        <w:t>ik</w:t>
      </w:r>
      <w:r w:rsidRPr="005138FE">
        <w:rPr>
          <w:sz w:val="28"/>
          <w:szCs w:val="28"/>
        </w:rPr>
        <w:t xml:space="preserve"> × N</w:t>
      </w:r>
      <w:r w:rsidRPr="005138FE">
        <w:rPr>
          <w:sz w:val="28"/>
          <w:szCs w:val="28"/>
          <w:vertAlign w:val="subscript"/>
        </w:rPr>
        <w:t>ik</w:t>
      </w:r>
      <w:r w:rsidRPr="005138FE">
        <w:rPr>
          <w:sz w:val="28"/>
          <w:szCs w:val="28"/>
        </w:rPr>
        <w:t xml:space="preserve"> ×EF</w:t>
      </w:r>
      <w:r w:rsidRPr="005138FE">
        <w:rPr>
          <w:sz w:val="28"/>
          <w:szCs w:val="28"/>
          <w:vertAlign w:val="subscript"/>
        </w:rPr>
        <w:t>ijk</w:t>
      </w:r>
      <w:r w:rsidRPr="005138FE">
        <w:rPr>
          <w:sz w:val="28"/>
          <w:szCs w:val="28"/>
        </w:rPr>
        <w:t xml:space="preserve">)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methane or carbon dioxide (</w:t>
      </w:r>
      <w:r w:rsidRPr="00B32A45">
        <w:rPr>
          <w:b/>
          <w:i/>
        </w:rPr>
        <w:t>j</w:t>
      </w:r>
      <w:r w:rsidRPr="00B32A45">
        <w:t>) from the natural gas storage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or carbon dioxide (</w:t>
      </w:r>
      <w:r w:rsidRPr="00B32A45">
        <w:rPr>
          <w:b/>
          <w:i/>
        </w:rPr>
        <w:t>j</w:t>
      </w:r>
      <w:r w:rsidRPr="00B32A45">
        <w:t>) measured in CO</w:t>
      </w:r>
      <w:r w:rsidRPr="00B32A45">
        <w:rPr>
          <w:rStyle w:val="charSubscript"/>
          <w:iCs/>
        </w:rPr>
        <w:t>2</w:t>
      </w:r>
      <w:r w:rsidRPr="00B32A45">
        <w:noBreakHyphen/>
        <w:t>e tonnes and estimated by summing up the emissions released from each equipment type (</w:t>
      </w:r>
      <w:r w:rsidRPr="00B32A45">
        <w:rPr>
          <w:b/>
          <w:i/>
        </w:rPr>
        <w:t>k</w:t>
      </w:r>
      <w:r w:rsidR="009B2547">
        <w:t>)</w:t>
      </w:r>
      <w:r w:rsidRPr="00B32A45">
        <w:t>, if the equipment is used in the natural gas storage.</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each equipment type (</w:t>
      </w:r>
      <w:r w:rsidRPr="00B32A45">
        <w:rPr>
          <w:b/>
          <w:i/>
        </w:rPr>
        <w:t>k</w:t>
      </w:r>
      <w:r w:rsidRPr="00B32A45">
        <w:t>), if the equipment is used in the natural gas storage during the year.</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each equipment type (</w:t>
      </w:r>
      <w:r w:rsidRPr="00B32A45">
        <w:rPr>
          <w:b/>
          <w:i/>
        </w:rPr>
        <w:t>k</w:t>
      </w:r>
      <w:r w:rsidRPr="00B32A45">
        <w:t>)</w:t>
      </w:r>
      <w:r w:rsidR="009B2547">
        <w:t>,</w:t>
      </w:r>
      <w:r w:rsidRPr="00B32A45">
        <w:t xml:space="preserve"> if the equipment type is used in the natural gas storage during the year.</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methane or carbon dioxide (</w:t>
      </w:r>
      <w:r w:rsidRPr="00B32A45">
        <w:rPr>
          <w:b/>
          <w:i/>
        </w:rPr>
        <w:t>j</w:t>
      </w:r>
      <w:r w:rsidRPr="00B32A45">
        <w:t>) measured in tonnes of CO</w:t>
      </w:r>
      <w:r w:rsidRPr="00B32A45">
        <w:rPr>
          <w:rStyle w:val="charSubscript"/>
          <w:iCs/>
        </w:rPr>
        <w:t>2</w:t>
      </w:r>
      <w:r w:rsidRPr="00B32A45">
        <w:noBreakHyphen/>
        <w:t>e per equipment type (</w:t>
      </w:r>
      <w:r w:rsidRPr="00B32A45">
        <w:rPr>
          <w:b/>
          <w:i/>
        </w:rPr>
        <w:t>k</w:t>
      </w:r>
      <w:r w:rsidRPr="00B32A45">
        <w:t>) – hour as determined under subsection (2), if the equipment is used in the natural gas storage.</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or carbon dioxide (</w:t>
      </w:r>
      <w:r w:rsidRPr="00B32A45">
        <w:rPr>
          <w:b/>
          <w:i/>
        </w:rPr>
        <w:t>j</w:t>
      </w:r>
      <w:r w:rsidRPr="00B32A45">
        <w:t>) for an equipment type (</w:t>
      </w:r>
      <w:r w:rsidRPr="00B32A45">
        <w:rPr>
          <w:b/>
          <w:i/>
        </w:rPr>
        <w:t>k</w:t>
      </w:r>
      <w:r w:rsidRPr="00B32A45">
        <w:t>) specified in column 2 of that item and column 4 of an item in the following table specifies the emission factor for carbon dioxide (</w:t>
      </w:r>
      <w:r w:rsidRPr="00B32A45">
        <w:rPr>
          <w:b/>
          <w:i/>
        </w:rPr>
        <w:t>j</w:t>
      </w:r>
      <w:r w:rsidRPr="00B32A45">
        <w:t>) for an equipment type (</w:t>
      </w:r>
      <w:r w:rsidRPr="00B32A45">
        <w:rPr>
          <w:b/>
          <w:i/>
        </w:rPr>
        <w:t>k</w:t>
      </w:r>
      <w:r w:rsidRPr="00B32A45">
        <w:t>) spec</w:t>
      </w:r>
      <w:r w:rsidR="00524E7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1453"/>
        <w:gridCol w:w="2293"/>
        <w:gridCol w:w="2305"/>
        <w:gridCol w:w="2305"/>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80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Equipment type (k)</w:t>
            </w:r>
          </w:p>
        </w:tc>
        <w:tc>
          <w:tcPr>
            <w:tcW w:w="3824" w:type="pct"/>
            <w:gridSpan w:val="3"/>
            <w:tcBorders>
              <w:top w:val="single" w:sz="12" w:space="0" w:color="auto"/>
              <w:bottom w:val="single" w:sz="12" w:space="0" w:color="auto"/>
            </w:tcBorders>
          </w:tcPr>
          <w:p w:rsidR="00C17B3A" w:rsidRPr="00B32A45" w:rsidRDefault="00C17B3A" w:rsidP="00DB6238">
            <w:pPr>
              <w:pStyle w:val="TableHeading"/>
              <w:jc w:val="center"/>
            </w:pPr>
            <w:r w:rsidRPr="00B32A45">
              <w:t xml:space="preserve">Emission factor for gas type  (j) </w:t>
            </w:r>
            <w:r w:rsidRPr="00B32A45">
              <w:br/>
            </w:r>
          </w:p>
        </w:tc>
      </w:tr>
      <w:tr w:rsidR="00C17B3A" w:rsidRPr="00B32A45" w:rsidTr="00DB6238">
        <w:trPr>
          <w:trHeight w:val="315"/>
        </w:trPr>
        <w:tc>
          <w:tcPr>
            <w:tcW w:w="371" w:type="pct"/>
            <w:tcBorders>
              <w:bottom w:val="single" w:sz="4" w:space="0" w:color="auto"/>
            </w:tcBorders>
            <w:shd w:val="clear" w:color="auto" w:fill="auto"/>
          </w:tcPr>
          <w:p w:rsidR="00C17B3A" w:rsidRPr="00B32A45" w:rsidRDefault="00C17B3A" w:rsidP="00DB6238">
            <w:pPr>
              <w:pStyle w:val="Tabletext"/>
            </w:pPr>
          </w:p>
        </w:tc>
        <w:tc>
          <w:tcPr>
            <w:tcW w:w="805" w:type="pct"/>
            <w:tcBorders>
              <w:bottom w:val="single" w:sz="4" w:space="0" w:color="auto"/>
            </w:tcBorders>
            <w:shd w:val="clear" w:color="auto" w:fill="auto"/>
          </w:tcPr>
          <w:p w:rsidR="00C17B3A" w:rsidRPr="00B32A45" w:rsidDel="0000371C" w:rsidRDefault="00C17B3A" w:rsidP="00DB6238">
            <w:pPr>
              <w:pStyle w:val="Tabletext"/>
            </w:pPr>
          </w:p>
        </w:tc>
        <w:tc>
          <w:tcPr>
            <w:tcW w:w="1270" w:type="pct"/>
            <w:tcBorders>
              <w:bottom w:val="single" w:sz="4" w:space="0" w:color="auto"/>
            </w:tcBorders>
          </w:tcPr>
          <w:p w:rsidR="00C17B3A" w:rsidRPr="00B32A45" w:rsidRDefault="00C17B3A" w:rsidP="00DB6238">
            <w:pPr>
              <w:pStyle w:val="Tabletext"/>
              <w:jc w:val="center"/>
            </w:pPr>
            <w:r w:rsidRPr="00B32A45">
              <w:t>CH</w:t>
            </w:r>
            <w:r w:rsidRPr="00B32A45">
              <w:rPr>
                <w:vertAlign w:val="subscript"/>
              </w:rPr>
              <w:t>4</w:t>
            </w:r>
          </w:p>
        </w:tc>
        <w:tc>
          <w:tcPr>
            <w:tcW w:w="1277" w:type="pct"/>
            <w:tcBorders>
              <w:bottom w:val="single" w:sz="4" w:space="0" w:color="auto"/>
            </w:tcBorders>
          </w:tcPr>
          <w:p w:rsidR="00C17B3A" w:rsidRPr="00B32A45" w:rsidRDefault="00C17B3A" w:rsidP="00DB6238">
            <w:pPr>
              <w:pStyle w:val="Tabletext"/>
              <w:jc w:val="center"/>
            </w:pPr>
            <w:r w:rsidRPr="00B32A45">
              <w:t>CO</w:t>
            </w:r>
            <w:r w:rsidRPr="00B32A45">
              <w:rPr>
                <w:vertAlign w:val="subscript"/>
              </w:rPr>
              <w:t>2</w:t>
            </w:r>
          </w:p>
        </w:tc>
        <w:tc>
          <w:tcPr>
            <w:tcW w:w="1277" w:type="pct"/>
            <w:tcBorders>
              <w:bottom w:val="single" w:sz="4" w:space="0" w:color="auto"/>
            </w:tcBorders>
            <w:shd w:val="clear" w:color="auto" w:fill="auto"/>
          </w:tcPr>
          <w:p w:rsidR="00C17B3A" w:rsidRPr="00B32A45" w:rsidDel="0000371C" w:rsidRDefault="00C17B3A" w:rsidP="00DB6238">
            <w:pPr>
              <w:pStyle w:val="Tabletext"/>
              <w:jc w:val="center"/>
            </w:pPr>
            <w:r w:rsidRPr="00B32A45">
              <w:t>Units</w:t>
            </w:r>
          </w:p>
        </w:tc>
      </w:tr>
      <w:tr w:rsidR="00C17B3A" w:rsidRPr="00B32A45" w:rsidTr="00DB6238">
        <w:tc>
          <w:tcPr>
            <w:tcW w:w="371"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1</w:t>
            </w:r>
          </w:p>
        </w:tc>
        <w:tc>
          <w:tcPr>
            <w:tcW w:w="805"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Natural gas storage station</w:t>
            </w:r>
          </w:p>
        </w:tc>
        <w:tc>
          <w:tcPr>
            <w:tcW w:w="1270" w:type="pct"/>
            <w:tcBorders>
              <w:top w:val="single" w:sz="4" w:space="0" w:color="auto"/>
              <w:bottom w:val="single" w:sz="4" w:space="0" w:color="auto"/>
            </w:tcBorders>
          </w:tcPr>
          <w:p w:rsidR="00C17B3A" w:rsidRPr="00B32A45" w:rsidDel="0000371C" w:rsidRDefault="00C17B3A" w:rsidP="00DB6238">
            <w:pPr>
              <w:pStyle w:val="Tabletext"/>
              <w:jc w:val="center"/>
              <w:rPr>
                <w:vertAlign w:val="superscript"/>
              </w:rPr>
            </w:pPr>
            <w:r w:rsidRPr="00B32A45">
              <w:t xml:space="preserve">0.482 </w:t>
            </w:r>
          </w:p>
        </w:tc>
        <w:tc>
          <w:tcPr>
            <w:tcW w:w="1277" w:type="pct"/>
            <w:tcBorders>
              <w:top w:val="single" w:sz="4" w:space="0" w:color="auto"/>
              <w:bottom w:val="single" w:sz="4" w:space="0" w:color="auto"/>
            </w:tcBorders>
          </w:tcPr>
          <w:p w:rsidR="00C17B3A" w:rsidRPr="00B32A45" w:rsidRDefault="00C17B3A" w:rsidP="00DB6238">
            <w:pPr>
              <w:pStyle w:val="Tabletext"/>
              <w:jc w:val="center"/>
            </w:pPr>
            <w:r w:rsidRPr="00B32A45">
              <w:t>1.01 × 10</w:t>
            </w:r>
            <w:r w:rsidRPr="00B32A45">
              <w:rPr>
                <w:vertAlign w:val="superscript"/>
              </w:rPr>
              <w:t>-3</w:t>
            </w:r>
          </w:p>
        </w:tc>
        <w:tc>
          <w:tcPr>
            <w:tcW w:w="1277" w:type="pct"/>
            <w:tcBorders>
              <w:top w:val="single" w:sz="4" w:space="0" w:color="auto"/>
              <w:bottom w:val="single" w:sz="4" w:space="0" w:color="auto"/>
            </w:tcBorders>
            <w:shd w:val="clear" w:color="auto" w:fill="auto"/>
            <w:vAlign w:val="center"/>
          </w:tcPr>
          <w:p w:rsidR="00C17B3A" w:rsidRPr="00B32A45" w:rsidDel="0000371C" w:rsidRDefault="00C17B3A" w:rsidP="00DB6238">
            <w:pPr>
              <w:pStyle w:val="Tabletext"/>
              <w:jc w:val="center"/>
            </w:pPr>
            <w:r w:rsidRPr="00B32A45">
              <w:t>tonnes CO</w:t>
            </w:r>
            <w:r w:rsidRPr="00B32A45">
              <w:rPr>
                <w:vertAlign w:val="subscript"/>
              </w:rPr>
              <w:t>2</w:t>
            </w:r>
            <w:r w:rsidRPr="00B32A45">
              <w:t>-e per equipment – hour</w:t>
            </w:r>
          </w:p>
        </w:tc>
      </w:tr>
      <w:tr w:rsidR="00C17B3A" w:rsidRPr="00B32A45" w:rsidTr="00DB6238">
        <w:tc>
          <w:tcPr>
            <w:tcW w:w="371"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2</w:t>
            </w:r>
          </w:p>
        </w:tc>
        <w:tc>
          <w:tcPr>
            <w:tcW w:w="805"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Reciprocating compressor</w:t>
            </w:r>
          </w:p>
        </w:tc>
        <w:tc>
          <w:tcPr>
            <w:tcW w:w="1270" w:type="pct"/>
            <w:tcBorders>
              <w:top w:val="single" w:sz="4" w:space="0" w:color="auto"/>
              <w:bottom w:val="single" w:sz="4" w:space="0" w:color="auto"/>
            </w:tcBorders>
          </w:tcPr>
          <w:p w:rsidR="00C17B3A" w:rsidRPr="00B32A45" w:rsidRDefault="00C17B3A" w:rsidP="00DB6238">
            <w:pPr>
              <w:pStyle w:val="Tabletext"/>
              <w:jc w:val="center"/>
              <w:rPr>
                <w:vertAlign w:val="superscript"/>
              </w:rPr>
            </w:pPr>
            <w:r w:rsidRPr="00B32A45">
              <w:t xml:space="preserve">0.473 </w:t>
            </w:r>
          </w:p>
        </w:tc>
        <w:tc>
          <w:tcPr>
            <w:tcW w:w="1277" w:type="pct"/>
            <w:tcBorders>
              <w:top w:val="single" w:sz="4" w:space="0" w:color="auto"/>
              <w:bottom w:val="single" w:sz="4" w:space="0" w:color="auto"/>
            </w:tcBorders>
          </w:tcPr>
          <w:p w:rsidR="00C17B3A" w:rsidRPr="00B32A45" w:rsidRDefault="00C17B3A" w:rsidP="00DB6238">
            <w:pPr>
              <w:pStyle w:val="Tabletext"/>
              <w:jc w:val="center"/>
            </w:pPr>
            <w:r w:rsidRPr="00B32A45">
              <w:t>9.93 × 10</w:t>
            </w:r>
            <w:r w:rsidRPr="00B32A45">
              <w:rPr>
                <w:vertAlign w:val="superscript"/>
              </w:rPr>
              <w:t>-4</w:t>
            </w:r>
          </w:p>
        </w:tc>
        <w:tc>
          <w:tcPr>
            <w:tcW w:w="127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per equipment – hour</w:t>
            </w:r>
          </w:p>
        </w:tc>
      </w:tr>
      <w:tr w:rsidR="00C17B3A" w:rsidRPr="00B32A45" w:rsidTr="00DB6238">
        <w:tc>
          <w:tcPr>
            <w:tcW w:w="371"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3</w:t>
            </w:r>
          </w:p>
        </w:tc>
        <w:tc>
          <w:tcPr>
            <w:tcW w:w="805"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Centrifugal compressor</w:t>
            </w:r>
          </w:p>
        </w:tc>
        <w:tc>
          <w:tcPr>
            <w:tcW w:w="1270" w:type="pct"/>
            <w:tcBorders>
              <w:top w:val="single" w:sz="4" w:space="0" w:color="auto"/>
              <w:bottom w:val="single" w:sz="4" w:space="0" w:color="auto"/>
            </w:tcBorders>
          </w:tcPr>
          <w:p w:rsidR="00C17B3A" w:rsidRPr="00B32A45" w:rsidRDefault="00C17B3A" w:rsidP="00DB6238">
            <w:pPr>
              <w:pStyle w:val="Tabletext"/>
              <w:jc w:val="center"/>
            </w:pPr>
            <w:r w:rsidRPr="00B32A45">
              <w:t>0.683</w:t>
            </w:r>
          </w:p>
        </w:tc>
        <w:tc>
          <w:tcPr>
            <w:tcW w:w="1277" w:type="pct"/>
            <w:tcBorders>
              <w:top w:val="single" w:sz="4" w:space="0" w:color="auto"/>
              <w:bottom w:val="single" w:sz="4" w:space="0" w:color="auto"/>
            </w:tcBorders>
          </w:tcPr>
          <w:p w:rsidR="00C17B3A" w:rsidRPr="00B32A45" w:rsidRDefault="00C17B3A" w:rsidP="00DB6238">
            <w:pPr>
              <w:pStyle w:val="Tabletext"/>
              <w:jc w:val="center"/>
            </w:pPr>
            <w:r w:rsidRPr="00B32A45">
              <w:t>1.43 × 10</w:t>
            </w:r>
            <w:r w:rsidRPr="00B32A45">
              <w:rPr>
                <w:vertAlign w:val="superscript"/>
              </w:rPr>
              <w:t>-3</w:t>
            </w:r>
          </w:p>
        </w:tc>
        <w:tc>
          <w:tcPr>
            <w:tcW w:w="127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per equipment – hour</w:t>
            </w:r>
          </w:p>
        </w:tc>
      </w:tr>
      <w:tr w:rsidR="00C17B3A" w:rsidRPr="00B32A45" w:rsidTr="00524E7C">
        <w:trPr>
          <w:trHeight w:val="647"/>
        </w:trPr>
        <w:tc>
          <w:tcPr>
            <w:tcW w:w="371"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4</w:t>
            </w:r>
          </w:p>
        </w:tc>
        <w:tc>
          <w:tcPr>
            <w:tcW w:w="805" w:type="pct"/>
            <w:tcBorders>
              <w:top w:val="single" w:sz="4" w:space="0" w:color="auto"/>
              <w:bottom w:val="single" w:sz="4" w:space="0" w:color="auto"/>
            </w:tcBorders>
            <w:shd w:val="clear" w:color="auto" w:fill="auto"/>
          </w:tcPr>
          <w:p w:rsidR="00C17B3A" w:rsidRPr="00B32A45" w:rsidRDefault="00C17B3A" w:rsidP="00DB6238">
            <w:pPr>
              <w:pStyle w:val="Tabletext"/>
            </w:pPr>
            <w:r w:rsidRPr="00B32A45">
              <w:t>Screw compressor</w:t>
            </w:r>
          </w:p>
        </w:tc>
        <w:tc>
          <w:tcPr>
            <w:tcW w:w="1270"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2.88 × 10</w:t>
            </w:r>
            <w:r w:rsidRPr="00B32A45">
              <w:rPr>
                <w:vertAlign w:val="superscript"/>
              </w:rPr>
              <w:t>-2</w:t>
            </w:r>
          </w:p>
        </w:tc>
        <w:tc>
          <w:tcPr>
            <w:tcW w:w="1277" w:type="pct"/>
            <w:tcBorders>
              <w:top w:val="single" w:sz="4" w:space="0" w:color="auto"/>
              <w:bottom w:val="single" w:sz="4" w:space="0" w:color="auto"/>
            </w:tcBorders>
            <w:vAlign w:val="center"/>
          </w:tcPr>
          <w:p w:rsidR="00C17B3A" w:rsidRPr="00B32A45" w:rsidRDefault="00C17B3A" w:rsidP="00DB6238">
            <w:pPr>
              <w:pStyle w:val="Tabletext"/>
              <w:jc w:val="center"/>
            </w:pPr>
            <w:r w:rsidRPr="00B32A45">
              <w:t>6.03 × 10</w:t>
            </w:r>
            <w:r w:rsidRPr="00B32A45">
              <w:rPr>
                <w:vertAlign w:val="superscript"/>
              </w:rPr>
              <w:t>-5</w:t>
            </w:r>
          </w:p>
        </w:tc>
        <w:tc>
          <w:tcPr>
            <w:tcW w:w="1277"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per equipment – hour</w:t>
            </w:r>
          </w:p>
        </w:tc>
      </w:tr>
    </w:tbl>
    <w:p w:rsidR="00C17B3A" w:rsidRPr="00B32A45" w:rsidRDefault="00C17B3A" w:rsidP="00C17B3A">
      <w:pPr>
        <w:pStyle w:val="h5Section"/>
        <w:tabs>
          <w:tab w:val="right" w:pos="8313"/>
        </w:tabs>
        <w:rPr>
          <w:rStyle w:val="CharDivText"/>
        </w:rPr>
      </w:pPr>
      <w:r w:rsidRPr="00B32A45">
        <w:rPr>
          <w:rStyle w:val="CharDivText"/>
        </w:rPr>
        <w:t>3.78E  Method 3—natural gas storage (other than emissions that are vented or flared)</w:t>
      </w:r>
    </w:p>
    <w:p w:rsidR="00C17B3A" w:rsidRPr="00B32A45" w:rsidRDefault="005138FE" w:rsidP="00C17B3A">
      <w:pPr>
        <w:pStyle w:val="tMain"/>
        <w:shd w:val="clear" w:color="auto" w:fill="FFFFFF"/>
        <w:tabs>
          <w:tab w:val="left" w:pos="5100"/>
        </w:tabs>
        <w:rPr>
          <w:szCs w:val="22"/>
        </w:rPr>
      </w:pPr>
      <w:r>
        <w:rPr>
          <w:szCs w:val="22"/>
        </w:rPr>
        <w:tab/>
        <w:t>(1)</w:t>
      </w:r>
      <w:r>
        <w:rPr>
          <w:szCs w:val="22"/>
        </w:rPr>
        <w:tab/>
        <w:t>Method 3 is:</w:t>
      </w:r>
    </w:p>
    <w:p w:rsidR="00C17B3A" w:rsidRPr="005138FE" w:rsidRDefault="005138FE" w:rsidP="005138FE">
      <w:pPr>
        <w:pStyle w:val="subsection2"/>
        <w:shd w:val="clear" w:color="auto" w:fill="FFFFFF"/>
        <w:rPr>
          <w:sz w:val="28"/>
          <w:szCs w:val="28"/>
        </w:rPr>
      </w:pPr>
      <w:r w:rsidRPr="005138FE">
        <w:rPr>
          <w:sz w:val="28"/>
          <w:szCs w:val="28"/>
        </w:rPr>
        <w:tab/>
      </w:r>
      <w:r w:rsidR="00C17B3A" w:rsidRPr="005138FE">
        <w:rPr>
          <w:sz w:val="28"/>
          <w:szCs w:val="28"/>
        </w:rPr>
        <w:t>E</w:t>
      </w:r>
      <w:r w:rsidR="00C17B3A" w:rsidRPr="005138FE">
        <w:rPr>
          <w:sz w:val="28"/>
          <w:szCs w:val="28"/>
          <w:vertAlign w:val="subscript"/>
        </w:rPr>
        <w:t xml:space="preserve">j </w:t>
      </w:r>
      <w:r w:rsidR="00C17B3A" w:rsidRPr="005138FE">
        <w:rPr>
          <w:sz w:val="28"/>
          <w:szCs w:val="28"/>
        </w:rPr>
        <w:t>= ∑</w:t>
      </w:r>
      <w:r w:rsidR="00C17B3A" w:rsidRPr="005138FE">
        <w:rPr>
          <w:sz w:val="28"/>
          <w:szCs w:val="28"/>
          <w:vertAlign w:val="subscript"/>
        </w:rPr>
        <w:t xml:space="preserve">k </w:t>
      </w:r>
      <w:r w:rsidR="00C17B3A" w:rsidRPr="005138FE">
        <w:rPr>
          <w:sz w:val="28"/>
          <w:szCs w:val="28"/>
        </w:rPr>
        <w:t>(T</w:t>
      </w:r>
      <w:r w:rsidR="00C17B3A" w:rsidRPr="005138FE">
        <w:rPr>
          <w:sz w:val="28"/>
          <w:szCs w:val="28"/>
          <w:vertAlign w:val="subscript"/>
        </w:rPr>
        <w:t>k</w:t>
      </w:r>
      <w:r w:rsidR="00C17B3A" w:rsidRPr="005138FE">
        <w:rPr>
          <w:sz w:val="28"/>
          <w:szCs w:val="28"/>
        </w:rPr>
        <w:t xml:space="preserve"> × EF</w:t>
      </w:r>
      <w:r w:rsidR="00C17B3A" w:rsidRPr="005138FE">
        <w:rPr>
          <w:sz w:val="28"/>
          <w:szCs w:val="28"/>
          <w:vertAlign w:val="subscript"/>
        </w:rPr>
        <w:t>jk</w:t>
      </w:r>
      <w:r w:rsidR="00C17B3A" w:rsidRPr="005138FE">
        <w:rPr>
          <w:sz w:val="28"/>
          <w:szCs w:val="28"/>
        </w:rPr>
        <w:t xml:space="preserve"> × N</w:t>
      </w:r>
      <w:r w:rsidR="00C17B3A" w:rsidRPr="005138FE">
        <w:rPr>
          <w:sz w:val="28"/>
          <w:szCs w:val="28"/>
          <w:vertAlign w:val="subscript"/>
        </w:rPr>
        <w:t>k</w:t>
      </w:r>
      <w:r w:rsidR="00C17B3A" w:rsidRPr="005138FE">
        <w:rPr>
          <w:sz w:val="28"/>
          <w:szCs w:val="28"/>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lastRenderedPageBreak/>
        <w:t>E</w:t>
      </w:r>
      <w:r w:rsidRPr="00B32A45">
        <w:rPr>
          <w:b/>
          <w:i/>
          <w:vertAlign w:val="subscript"/>
        </w:rPr>
        <w:t>j</w:t>
      </w:r>
      <w:r w:rsidRPr="00B32A45">
        <w:rPr>
          <w:b/>
          <w:i/>
        </w:rPr>
        <w:t xml:space="preserve"> </w:t>
      </w:r>
      <w:r w:rsidRPr="00B32A45">
        <w:t>is the fugitive emissions (other than emissions that are vented or flared) of gas type (</w:t>
      </w:r>
      <w:r w:rsidRPr="00B32A45">
        <w:rPr>
          <w:b/>
          <w:i/>
        </w:rPr>
        <w:t>j</w:t>
      </w:r>
      <w:r w:rsidRPr="00B32A45">
        <w:t>) measured in CO</w:t>
      </w:r>
      <w:r w:rsidRPr="00B32A45">
        <w:rPr>
          <w:rStyle w:val="charSubscript"/>
          <w:iCs/>
        </w:rPr>
        <w:t>2</w:t>
      </w:r>
      <w:r w:rsidRPr="00B32A45">
        <w:noBreakHyphen/>
        <w:t>e tonnes from the natural gas storage during the year.</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measured in CO</w:t>
      </w:r>
      <w:r w:rsidRPr="00B32A45">
        <w:rPr>
          <w:rStyle w:val="charSubscript"/>
          <w:iCs/>
        </w:rPr>
        <w:t>2</w:t>
      </w:r>
      <w:r w:rsidRPr="00B32A45">
        <w:noBreakHyphen/>
        <w:t>e tonnes and estimated by summing up the emissions released from each component type (</w:t>
      </w:r>
      <w:r w:rsidRPr="00B32A45">
        <w:rPr>
          <w:b/>
          <w:i/>
        </w:rPr>
        <w:t>k</w:t>
      </w:r>
      <w:r w:rsidRPr="00B32A45">
        <w:t>), if the component is used in the natural gas storage.</w:t>
      </w:r>
    </w:p>
    <w:p w:rsidR="00C17B3A" w:rsidRPr="00B32A45" w:rsidRDefault="00C17B3A" w:rsidP="00C17B3A">
      <w:pPr>
        <w:pStyle w:val="tDefn"/>
      </w:pPr>
      <w:r w:rsidRPr="00B32A45">
        <w:rPr>
          <w:b/>
          <w:i/>
        </w:rPr>
        <w:t>EF</w:t>
      </w:r>
      <w:r w:rsidRPr="00B32A45">
        <w:rPr>
          <w:b/>
          <w:i/>
          <w:vertAlign w:val="subscript"/>
        </w:rPr>
        <w:t>jk</w:t>
      </w:r>
      <w:r w:rsidRPr="00B32A45">
        <w:rPr>
          <w:b/>
          <w:i/>
        </w:rPr>
        <w:t xml:space="preserve"> </w:t>
      </w:r>
      <w:r w:rsidRPr="00B32A45">
        <w:t>is the emission factor of gas type (</w:t>
      </w:r>
      <w:r w:rsidRPr="00B32A45">
        <w:rPr>
          <w:b/>
          <w:i/>
        </w:rPr>
        <w:t>j</w:t>
      </w:r>
      <w:r w:rsidRPr="00B32A45">
        <w:t>) measured in tonnes of CO</w:t>
      </w:r>
      <w:r w:rsidRPr="00B32A45">
        <w:rPr>
          <w:rStyle w:val="charSubscript"/>
          <w:iCs/>
        </w:rPr>
        <w:t>2</w:t>
      </w:r>
      <w:r w:rsidRPr="00B32A45">
        <w:noBreakHyphen/>
        <w:t>e per component-hour that passes through each component type (</w:t>
      </w:r>
      <w:r w:rsidRPr="00B32A45">
        <w:rPr>
          <w:b/>
          <w:i/>
        </w:rPr>
        <w:t>k</w:t>
      </w:r>
      <w:r w:rsidRPr="00B32A45">
        <w:t>) as determined under subsection (2) or (3), if the component is used in the natural gas storage.</w:t>
      </w:r>
    </w:p>
    <w:p w:rsidR="00C17B3A" w:rsidRPr="00B32A45" w:rsidRDefault="00C17B3A" w:rsidP="00C17B3A">
      <w:pPr>
        <w:pStyle w:val="tDefn"/>
      </w:pPr>
      <w:r w:rsidRPr="00B32A45">
        <w:rPr>
          <w:b/>
          <w:i/>
        </w:rPr>
        <w:t>T</w:t>
      </w:r>
      <w:r w:rsidRPr="00B32A45">
        <w:rPr>
          <w:b/>
          <w:i/>
          <w:vertAlign w:val="subscript"/>
        </w:rPr>
        <w:t xml:space="preserve">k </w:t>
      </w:r>
      <w:r w:rsidRPr="00B32A45">
        <w:t>is:</w:t>
      </w:r>
    </w:p>
    <w:p w:rsidR="00C17B3A" w:rsidRPr="00B32A45" w:rsidRDefault="00C17B3A" w:rsidP="00C17B3A">
      <w:pPr>
        <w:pStyle w:val="tPara"/>
      </w:pPr>
      <w:r w:rsidRPr="00B32A45">
        <w:tab/>
        <w:t>(a)</w:t>
      </w:r>
      <w:r w:rsidRPr="00B32A45">
        <w:tab/>
        <w:t>if subsection (2) applies—the average hours of operation during the year of the component of each component type (</w:t>
      </w:r>
      <w:r w:rsidRPr="00B32A45">
        <w:rPr>
          <w:b/>
          <w:i/>
        </w:rPr>
        <w:t>k</w:t>
      </w:r>
      <w:r w:rsidRPr="00B32A45">
        <w:t>), if the component is used in the onshore natural gas storage; or</w:t>
      </w:r>
    </w:p>
    <w:p w:rsidR="00C17B3A" w:rsidRPr="00B32A45" w:rsidRDefault="00C17B3A" w:rsidP="00C17B3A">
      <w:pPr>
        <w:pStyle w:val="tPara"/>
      </w:pPr>
      <w:r w:rsidRPr="00B32A45">
        <w:tab/>
        <w:t>(b)</w:t>
      </w:r>
      <w:r w:rsidRPr="00B32A45">
        <w:tab/>
        <w:t>if subsection (3)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each component type (</w:t>
      </w:r>
      <w:r w:rsidRPr="00B32A45">
        <w:rPr>
          <w:b/>
          <w:i/>
        </w:rPr>
        <w:t>k</w:t>
      </w:r>
      <w:r w:rsidRPr="00B32A45">
        <w:t>) listed in section 6.1.3 of the API Compendium if the component type is used in the natural gas storage during the year.</w:t>
      </w:r>
    </w:p>
    <w:p w:rsidR="00C17B3A" w:rsidRPr="00B32A45" w:rsidRDefault="00C17B3A" w:rsidP="00C17B3A">
      <w:pPr>
        <w:pStyle w:val="tMain"/>
      </w:pPr>
      <w:r w:rsidRPr="00B32A45">
        <w:tab/>
        <w:t>(2)</w:t>
      </w:r>
      <w:r w:rsidRPr="00B32A45">
        <w:tab/>
        <w:t xml:space="preserve">Unless subsection (3) is elected and used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as listed in Table 6-18 in section 6.1.3 of the API Compendium, for the component type; or</w:t>
      </w:r>
    </w:p>
    <w:p w:rsidR="00C17B3A" w:rsidRPr="00B32A45" w:rsidRDefault="00C17B3A" w:rsidP="00C17B3A">
      <w:pPr>
        <w:pStyle w:val="tPara"/>
      </w:pPr>
      <w:r w:rsidRPr="00B32A45">
        <w:tab/>
        <w:t>(b)</w:t>
      </w:r>
      <w:r w:rsidRPr="00B32A45">
        <w:tab/>
        <w:t>as listed in that Compendium for the component type with emission factors adjusted for variations in estimated gas composition, in accordance with that Compendium’s Table 6-18 in section 6.1.3, and the requirements of Division 2.3.3; or</w:t>
      </w:r>
    </w:p>
    <w:p w:rsidR="00C17B3A" w:rsidRPr="00B32A45" w:rsidRDefault="00C17B3A" w:rsidP="00C17B3A">
      <w:pPr>
        <w:pStyle w:val="tPara"/>
      </w:pPr>
      <w:r w:rsidRPr="00B32A45">
        <w:tab/>
        <w:t>(c)</w:t>
      </w:r>
      <w:r w:rsidRPr="00B32A45">
        <w:tab/>
        <w:t>if the manufacturer of the component supplies component</w:t>
      </w:r>
      <w:r w:rsidRPr="00B32A45">
        <w:noBreakHyphen/>
        <w:t>specific emission factors for the component type—those factors.</w:t>
      </w:r>
      <w:r w:rsidRPr="00B32A45">
        <w:tab/>
      </w:r>
    </w:p>
    <w:p w:rsidR="00C17B3A" w:rsidRPr="00B32A45" w:rsidRDefault="00C17B3A" w:rsidP="00C17B3A">
      <w:pPr>
        <w:pStyle w:val="tMain"/>
      </w:pPr>
      <w:r w:rsidRPr="00B32A45">
        <w:tab/>
        <w:t>(3)</w:t>
      </w:r>
      <w:r w:rsidRPr="00B32A45">
        <w:tab/>
        <w:t xml:space="preserve">If an LDAR program has been carried out at the facility in relation to natural gas storage components in accordance with subsection (4) and this subsection elected for all components under this method, </w:t>
      </w:r>
      <w:r w:rsidRPr="00B32A45">
        <w:rPr>
          <w:b/>
          <w:i/>
        </w:rPr>
        <w:t>EF</w:t>
      </w:r>
      <w:r w:rsidRPr="00B32A45">
        <w:rPr>
          <w:b/>
          <w:i/>
          <w:vertAlign w:val="subscript"/>
        </w:rPr>
        <w:t>ijk</w:t>
      </w:r>
      <w:r w:rsidRPr="00B32A45">
        <w:t>, the emission factors for methane or carbon dioxide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C17B3A">
      <w:pPr>
        <w:pStyle w:val="tPara"/>
      </w:pPr>
      <w:r w:rsidRPr="00B32A45">
        <w:tab/>
        <w:t>(a)</w:t>
      </w:r>
      <w:r w:rsidRPr="00B32A45">
        <w:tab/>
        <w:t>column 3 of an item in the following table specifies the emission factor for methane (</w:t>
      </w:r>
      <w:r w:rsidRPr="00B32A45">
        <w:rPr>
          <w:b/>
          <w:i/>
        </w:rPr>
        <w:t>j</w:t>
      </w:r>
      <w:r w:rsidRPr="00B32A45">
        <w:t>) for a component and leaker/non-leaker type (</w:t>
      </w:r>
      <w:r w:rsidRPr="00B32A45">
        <w:rPr>
          <w:b/>
          <w:i/>
        </w:rPr>
        <w:t>k</w:t>
      </w:r>
      <w:r w:rsidRPr="00B32A45">
        <w:t xml:space="preserve">) specified in column 2 of that item; and </w:t>
      </w:r>
    </w:p>
    <w:p w:rsidR="00C17B3A" w:rsidRPr="00B32A45" w:rsidRDefault="00C17B3A" w:rsidP="00C17B3A">
      <w:pPr>
        <w:pStyle w:val="tPara"/>
      </w:pPr>
      <w:r w:rsidRPr="00B32A45">
        <w:tab/>
        <w:t>(b)</w:t>
      </w:r>
      <w:r w:rsidRPr="00B32A45">
        <w:tab/>
        <w:t>column 4 of an item in the following table specifies the emission factor for carbon dioxide (</w:t>
      </w:r>
      <w:r w:rsidRPr="00B32A45">
        <w:rPr>
          <w:b/>
          <w:i/>
        </w:rPr>
        <w:t>j</w:t>
      </w:r>
      <w:r w:rsidRPr="00B32A45">
        <w:t>) for a component and leaker/non-leaker type (</w:t>
      </w:r>
      <w:r w:rsidRPr="00B32A45">
        <w:rPr>
          <w:b/>
          <w:i/>
        </w:rPr>
        <w:t>k</w:t>
      </w:r>
      <w:r w:rsidRPr="00B32A45">
        <w:t>) specified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1233"/>
        <w:gridCol w:w="2155"/>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524E7C">
            <w:pPr>
              <w:pStyle w:val="TableHeading"/>
            </w:pPr>
            <w:r w:rsidRPr="00B32A45">
              <w:lastRenderedPageBreak/>
              <w:t>Item</w:t>
            </w:r>
          </w:p>
        </w:tc>
        <w:tc>
          <w:tcPr>
            <w:tcW w:w="1605" w:type="pct"/>
            <w:tcBorders>
              <w:top w:val="single" w:sz="12" w:space="0" w:color="auto"/>
              <w:bottom w:val="single" w:sz="12" w:space="0" w:color="auto"/>
            </w:tcBorders>
            <w:shd w:val="clear" w:color="auto" w:fill="auto"/>
          </w:tcPr>
          <w:p w:rsidR="00C17B3A" w:rsidRPr="00B32A45" w:rsidRDefault="00C17B3A" w:rsidP="00524E7C">
            <w:pPr>
              <w:pStyle w:val="TableHeading"/>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524E7C">
            <w:pPr>
              <w:pStyle w:val="TableHeading"/>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524E7C">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524E7C">
            <w:pPr>
              <w:pStyle w:val="Tabletext"/>
              <w:keepNext/>
            </w:pPr>
          </w:p>
        </w:tc>
        <w:tc>
          <w:tcPr>
            <w:tcW w:w="1605" w:type="pct"/>
            <w:shd w:val="clear" w:color="auto" w:fill="auto"/>
          </w:tcPr>
          <w:p w:rsidR="00C17B3A" w:rsidRPr="00B32A45" w:rsidDel="0000371C" w:rsidRDefault="00C17B3A" w:rsidP="00524E7C">
            <w:pPr>
              <w:pStyle w:val="Tabletext"/>
              <w:keepNext/>
            </w:pPr>
          </w:p>
        </w:tc>
        <w:tc>
          <w:tcPr>
            <w:tcW w:w="683" w:type="pct"/>
          </w:tcPr>
          <w:p w:rsidR="00C17B3A" w:rsidRPr="00B32A45" w:rsidRDefault="00C17B3A" w:rsidP="00524E7C">
            <w:pPr>
              <w:pStyle w:val="Tabletext"/>
              <w:keepNext/>
              <w:jc w:val="center"/>
              <w:rPr>
                <w:b/>
              </w:rPr>
            </w:pPr>
            <w:r w:rsidRPr="00B32A45">
              <w:rPr>
                <w:b/>
              </w:rPr>
              <w:t>CH</w:t>
            </w:r>
            <w:r w:rsidRPr="00B32A45">
              <w:rPr>
                <w:b/>
                <w:vertAlign w:val="subscript"/>
              </w:rPr>
              <w:t>4</w:t>
            </w:r>
          </w:p>
        </w:tc>
        <w:tc>
          <w:tcPr>
            <w:tcW w:w="1194" w:type="pct"/>
          </w:tcPr>
          <w:p w:rsidR="00C17B3A" w:rsidRPr="00B32A45" w:rsidRDefault="00C17B3A" w:rsidP="00524E7C">
            <w:pPr>
              <w:pStyle w:val="Tabletext"/>
              <w:keepNext/>
              <w:jc w:val="center"/>
              <w:rPr>
                <w:b/>
              </w:rPr>
            </w:pPr>
            <w:r w:rsidRPr="00B32A45">
              <w:rPr>
                <w:b/>
              </w:rPr>
              <w:t>CO</w:t>
            </w:r>
            <w:r w:rsidRPr="00B32A45">
              <w:rPr>
                <w:b/>
                <w:vertAlign w:val="subscript"/>
              </w:rPr>
              <w:t>2</w:t>
            </w:r>
          </w:p>
        </w:tc>
        <w:tc>
          <w:tcPr>
            <w:tcW w:w="1147" w:type="pct"/>
            <w:shd w:val="clear" w:color="auto" w:fill="auto"/>
          </w:tcPr>
          <w:p w:rsidR="00C17B3A" w:rsidRPr="00B32A45" w:rsidDel="0000371C" w:rsidRDefault="00C17B3A" w:rsidP="00524E7C">
            <w:pPr>
              <w:pStyle w:val="Tabletext"/>
              <w:keepN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Valves—non 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7.56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2.94 × 10</w:t>
            </w:r>
            <w:r w:rsidRPr="00B32A45">
              <w:rPr>
                <w:vertAlign w:val="superscript"/>
              </w:rPr>
              <w:t>-08</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Values—leaker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5.60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2.18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Pumps—non 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2.10 × 10</w:t>
            </w:r>
            <w:r w:rsidRPr="00B32A45">
              <w:rPr>
                <w:vertAlign w:val="superscript"/>
              </w:rPr>
              <w:t>-5</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8.18 × 10</w:t>
            </w:r>
            <w:r w:rsidRPr="00B32A45">
              <w:rPr>
                <w:vertAlign w:val="superscript"/>
              </w:rPr>
              <w:t>-08</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Pumps—leaker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9.80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3.82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Flanges—non 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3.92 × 10</w:t>
            </w:r>
            <w:r w:rsidRPr="00B32A45">
              <w:rPr>
                <w:vertAlign w:val="superscript"/>
              </w:rPr>
              <w:t>-7</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1.53 × 10</w:t>
            </w:r>
            <w:r w:rsidRPr="00B32A45">
              <w:rPr>
                <w:vertAlign w:val="superscript"/>
              </w:rPr>
              <w:t>-09</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Flanges—leaker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3.36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1.31 × 10</w:t>
            </w:r>
            <w:r w:rsidRPr="00B32A45">
              <w:rPr>
                <w:vertAlign w:val="superscript"/>
              </w:rPr>
              <w:t>-05</w:t>
            </w:r>
          </w:p>
        </w:tc>
        <w:tc>
          <w:tcPr>
            <w:tcW w:w="1147"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Other—non 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2.27 × 10</w:t>
            </w:r>
            <w:r w:rsidRPr="00B32A45">
              <w:rPr>
                <w:vertAlign w:val="superscript"/>
              </w:rPr>
              <w:t>-6</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8.83 × 10</w:t>
            </w:r>
            <w:r w:rsidRPr="00B32A45">
              <w:rPr>
                <w:vertAlign w:val="superscript"/>
              </w:rPr>
              <w:t>-09</w:t>
            </w:r>
          </w:p>
        </w:tc>
        <w:tc>
          <w:tcPr>
            <w:tcW w:w="1147" w:type="pct"/>
            <w:tcBorders>
              <w:top w:val="single" w:sz="4" w:space="0" w:color="auto"/>
              <w:bottom w:val="single" w:sz="4" w:space="0" w:color="auto"/>
            </w:tcBorders>
            <w:shd w:val="clear" w:color="auto" w:fill="auto"/>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524E7C">
            <w:pPr>
              <w:pStyle w:val="Tabletext"/>
              <w:keepNext/>
              <w:jc w:val="center"/>
            </w:pPr>
            <w:r w:rsidRPr="00B32A45">
              <w:t>Other—leaker</w:t>
            </w:r>
          </w:p>
        </w:tc>
        <w:tc>
          <w:tcPr>
            <w:tcW w:w="683"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5.88 × 10</w:t>
            </w:r>
            <w:r w:rsidRPr="00B32A45">
              <w:rPr>
                <w:vertAlign w:val="superscript"/>
              </w:rPr>
              <w:t>-3</w:t>
            </w:r>
          </w:p>
        </w:tc>
        <w:tc>
          <w:tcPr>
            <w:tcW w:w="1194" w:type="pct"/>
            <w:tcBorders>
              <w:top w:val="single" w:sz="4" w:space="0" w:color="auto"/>
              <w:bottom w:val="single" w:sz="4" w:space="0" w:color="auto"/>
            </w:tcBorders>
            <w:vAlign w:val="center"/>
          </w:tcPr>
          <w:p w:rsidR="00C17B3A" w:rsidRPr="00B32A45" w:rsidRDefault="00C17B3A" w:rsidP="00524E7C">
            <w:pPr>
              <w:pStyle w:val="Tabletext"/>
              <w:keepNext/>
              <w:jc w:val="center"/>
            </w:pPr>
            <w:r w:rsidRPr="00B32A45">
              <w:t>2.29 × 10</w:t>
            </w:r>
            <w:r w:rsidRPr="00B32A45">
              <w:rPr>
                <w:vertAlign w:val="superscript"/>
              </w:rPr>
              <w:t>-05</w:t>
            </w:r>
          </w:p>
        </w:tc>
        <w:tc>
          <w:tcPr>
            <w:tcW w:w="1147" w:type="pct"/>
            <w:tcBorders>
              <w:top w:val="single" w:sz="4" w:space="0" w:color="auto"/>
              <w:bottom w:val="single" w:sz="4" w:space="0" w:color="auto"/>
            </w:tcBorders>
            <w:shd w:val="clear" w:color="auto" w:fill="auto"/>
          </w:tcPr>
          <w:p w:rsidR="00C17B3A" w:rsidRPr="00B32A45" w:rsidRDefault="00C17B3A" w:rsidP="00524E7C">
            <w:pPr>
              <w:pStyle w:val="Tabletext"/>
              <w:keepNext/>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(4)  For </w:t>
      </w:r>
      <w:r w:rsidRPr="00B32A45">
        <w:rPr>
          <w:bCs/>
          <w:iCs/>
          <w:szCs w:val="22"/>
        </w:rPr>
        <w:t>subsection</w:t>
      </w:r>
      <w:r w:rsidRPr="00B32A45">
        <w:rPr>
          <w:szCs w:val="22"/>
        </w:rPr>
        <w:t xml:space="preserve"> (3)</w:t>
      </w:r>
      <w:r w:rsidR="00F44AA9">
        <w:rPr>
          <w:szCs w:val="22"/>
        </w:rPr>
        <w:t>,</w:t>
      </w:r>
      <w:r w:rsidRPr="00B32A45">
        <w:rPr>
          <w:szCs w:val="22"/>
        </w:rPr>
        <w:t xml:space="preserve"> the LDAR program must survey each component used in natural gas storage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733F2" w:rsidRDefault="00C17B3A" w:rsidP="00C733F2">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w:t>
      </w:r>
      <w:r w:rsidR="00C733F2">
        <w:rPr>
          <w:szCs w:val="22"/>
        </w:rPr>
        <w:t>red consistent with that method; or</w:t>
      </w:r>
    </w:p>
    <w:p w:rsidR="00C17B3A" w:rsidRPr="00B32A45" w:rsidRDefault="00C733F2" w:rsidP="00C733F2">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(5)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tMain"/>
        <w:rPr>
          <w:szCs w:val="22"/>
        </w:rPr>
      </w:pPr>
    </w:p>
    <w:p w:rsidR="00C17B3A" w:rsidRPr="00B32A45" w:rsidRDefault="00C17B3A" w:rsidP="00C17B3A">
      <w:pPr>
        <w:pStyle w:val="nMain"/>
      </w:pPr>
    </w:p>
    <w:p w:rsidR="00C17B3A" w:rsidRPr="00B32A45" w:rsidRDefault="00C17B3A" w:rsidP="00C17B3A">
      <w:pPr>
        <w:pStyle w:val="h3Div"/>
        <w:pageBreakBefore/>
        <w:ind w:left="0" w:firstLine="0"/>
      </w:pPr>
      <w:bookmarkStart w:id="87" w:name="_Toc69480128"/>
      <w:r w:rsidRPr="00B32A45">
        <w:rPr>
          <w:rStyle w:val="CharDivNo"/>
        </w:rPr>
        <w:lastRenderedPageBreak/>
        <w:t>Division 3.3.7B</w:t>
      </w:r>
      <w:r w:rsidRPr="00B32A45">
        <w:t>—Natural gas liquefaction, storage and transfer (other than emissions that are vented or flared)</w:t>
      </w:r>
      <w:bookmarkEnd w:id="87"/>
    </w:p>
    <w:p w:rsidR="00C17B3A" w:rsidRPr="00B32A45" w:rsidRDefault="00C17B3A" w:rsidP="00C17B3A">
      <w:pPr>
        <w:pStyle w:val="h5Section"/>
      </w:pPr>
      <w:r w:rsidRPr="00B32A45">
        <w:rPr>
          <w:rStyle w:val="CharSectno"/>
        </w:rPr>
        <w:t>3.78F</w:t>
      </w:r>
      <w:r w:rsidRPr="00B32A45">
        <w:t xml:space="preserve">  Application</w:t>
      </w:r>
    </w:p>
    <w:p w:rsidR="00C17B3A" w:rsidRPr="00B32A45" w:rsidRDefault="00C17B3A" w:rsidP="00C17B3A">
      <w:pPr>
        <w:pStyle w:val="tMain"/>
      </w:pPr>
      <w:r w:rsidRPr="00B32A45">
        <w:tab/>
      </w:r>
      <w:r w:rsidRPr="00B32A45">
        <w:tab/>
        <w:t>This Division applies to fugitive emissions from natural gas liquefaction, storage and transfer (other than emissions that are vented or flared).</w:t>
      </w:r>
    </w:p>
    <w:p w:rsidR="00C17B3A" w:rsidRPr="00B32A45" w:rsidRDefault="00C17B3A" w:rsidP="00C17B3A">
      <w:pPr>
        <w:pStyle w:val="h5Section"/>
      </w:pPr>
      <w:r w:rsidRPr="00B32A45">
        <w:rPr>
          <w:rStyle w:val="CharSectno"/>
        </w:rPr>
        <w:t>3.78G</w:t>
      </w:r>
      <w:r w:rsidRPr="00B32A45">
        <w:t xml:space="preserve">  Available methods</w:t>
      </w:r>
    </w:p>
    <w:p w:rsidR="00C17B3A" w:rsidRPr="00B32A45" w:rsidRDefault="00C17B3A" w:rsidP="00C17B3A">
      <w:pPr>
        <w:pStyle w:val="tMain"/>
      </w:pPr>
      <w:r w:rsidRPr="00B32A45">
        <w:tab/>
        <w:t>(1)</w:t>
      </w:r>
      <w:r w:rsidRPr="00B32A45">
        <w:tab/>
        <w:t>Subject to section 1.18 and subsection (3) and (4), one of the following methods must</w:t>
      </w:r>
      <w:r w:rsidRPr="00B32A45">
        <w:rPr>
          <w:i/>
        </w:rPr>
        <w:t xml:space="preserve"> </w:t>
      </w:r>
      <w:r w:rsidRPr="00B32A45">
        <w:t>be used for estimating fugitive emissions (other than emissions that are vented or flared), being methane, released from the operation of a facility that is constituted by natural gas liquefaction, storage and transfer during the year:</w:t>
      </w:r>
    </w:p>
    <w:p w:rsidR="00C17B3A" w:rsidRPr="00B32A45" w:rsidRDefault="00C17B3A" w:rsidP="00C17B3A">
      <w:pPr>
        <w:pStyle w:val="tPara"/>
      </w:pPr>
      <w:r w:rsidRPr="00B32A45">
        <w:tab/>
        <w:t>(a)</w:t>
      </w:r>
      <w:r w:rsidRPr="00B32A45">
        <w:tab/>
        <w:t>method 1 under section 3.78H;</w:t>
      </w:r>
    </w:p>
    <w:p w:rsidR="00C17B3A" w:rsidRPr="00B32A45" w:rsidRDefault="00C17B3A" w:rsidP="00C17B3A">
      <w:pPr>
        <w:pStyle w:val="tPara"/>
      </w:pPr>
      <w:r w:rsidRPr="00B32A45">
        <w:tab/>
        <w:t>(</w:t>
      </w:r>
      <w:r w:rsidR="00524E7C">
        <w:t>b)</w:t>
      </w:r>
      <w:r w:rsidR="00524E7C">
        <w:tab/>
        <w:t>method 2 under section 3.78I;</w:t>
      </w:r>
    </w:p>
    <w:p w:rsidR="00C17B3A" w:rsidRPr="00B32A45" w:rsidRDefault="00C17B3A" w:rsidP="00C17B3A">
      <w:pPr>
        <w:pStyle w:val="tPara"/>
      </w:pPr>
      <w:r w:rsidRPr="00B32A45">
        <w:tab/>
        <w:t>(b)</w:t>
      </w:r>
      <w:r w:rsidRPr="00B32A45">
        <w:tab/>
        <w:t>method 3 under section 3.78J.</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If method 2 is used for a facility, all other available methods 2 must be used in Divisions 3.3.6A, 3.3.6B, 3.3.6C, 3.3.6E and 3.3.7A if those Divisions are applicable to the facility.</w:t>
      </w:r>
    </w:p>
    <w:p w:rsidR="00C17B3A" w:rsidRPr="00B32A45" w:rsidRDefault="00C17B3A" w:rsidP="00C733F2">
      <w:pPr>
        <w:pStyle w:val="tMain"/>
      </w:pPr>
      <w:r w:rsidRPr="00B32A45">
        <w:tab/>
        <w:t>(4)</w:t>
      </w:r>
      <w:r w:rsidRPr="00B32A45">
        <w:tab/>
        <w:t>If me</w:t>
      </w:r>
      <w:r w:rsidR="00C733F2">
        <w:t xml:space="preserve">thod 3 is used for a facility, </w:t>
      </w:r>
      <w:r w:rsidRPr="00B32A45">
        <w:t xml:space="preserve">all other available methods 3 must be used in Divisions 3.3.6A, 3.3.6B, 3.3.6C, 3.3.6E and 3.3.7A if those Divisions </w:t>
      </w:r>
      <w:r w:rsidR="00C733F2">
        <w:t>are applicable to the facility.</w:t>
      </w:r>
    </w:p>
    <w:p w:rsidR="00C17B3A" w:rsidRPr="00B32A45" w:rsidRDefault="00C17B3A" w:rsidP="00C17B3A">
      <w:pPr>
        <w:pStyle w:val="h5Section"/>
      </w:pPr>
      <w:r w:rsidRPr="00B32A45">
        <w:rPr>
          <w:rStyle w:val="CharSectno"/>
        </w:rPr>
        <w:t>3.78H</w:t>
      </w:r>
      <w:r w:rsidR="00693350">
        <w:t xml:space="preserve">  Method 1—n</w:t>
      </w:r>
      <w:r w:rsidRPr="00B32A45">
        <w:t>atural gas liquefaction, storage and transfer (other than emissions that are vented or flared)</w:t>
      </w:r>
      <w:r w:rsidRPr="00B32A45" w:rsidDel="00AE6274">
        <w:t xml:space="preserve"> </w:t>
      </w:r>
    </w:p>
    <w:p w:rsidR="00C17B3A" w:rsidRPr="00B32A45" w:rsidRDefault="00C17B3A" w:rsidP="00C17B3A">
      <w:pPr>
        <w:pStyle w:val="tMain"/>
        <w:tabs>
          <w:tab w:val="left" w:pos="1440"/>
          <w:tab w:val="left" w:pos="2160"/>
          <w:tab w:val="left" w:pos="5355"/>
        </w:tabs>
      </w:pPr>
      <w:r w:rsidRPr="00B32A45">
        <w:tab/>
        <w:t>(1)</w:t>
      </w:r>
      <w:r w:rsidRPr="00B32A45">
        <w:tab/>
        <w:t>Method 1 is:</w:t>
      </w:r>
      <w:r w:rsidRPr="00B32A45">
        <w:tab/>
      </w:r>
    </w:p>
    <w:p w:rsidR="00C17B3A" w:rsidRPr="00B32A45" w:rsidRDefault="0030319A" w:rsidP="00C17B3A">
      <w:pPr>
        <w:pStyle w:val="tMain"/>
        <w:spacing w:before="120" w:after="120"/>
      </w:pPr>
      <w:r>
        <w:tab/>
      </w:r>
      <w:r>
        <w:tab/>
      </w:r>
      <w:r w:rsidR="00C17B3A" w:rsidRPr="00B32A45">
        <w:rPr>
          <w:noProof/>
        </w:rPr>
        <w:drawing>
          <wp:inline distT="0" distB="0" distL="0" distR="0" wp14:anchorId="4B2FAF8C" wp14:editId="7F6E7E2C">
            <wp:extent cx="1628775" cy="25717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00C17B3A" w:rsidRPr="00B32A45">
        <w:rPr>
          <w:b/>
          <w:sz w:val="32"/>
          <w:szCs w:val="32"/>
          <w:vertAlign w:val="subscript"/>
        </w:rPr>
        <w:t xml:space="preserve">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emissions that are vented or flared) of gas type (</w:t>
      </w:r>
      <w:r w:rsidRPr="00B32A45">
        <w:rPr>
          <w:b/>
          <w:i/>
        </w:rPr>
        <w:t>j</w:t>
      </w:r>
      <w:r w:rsidRPr="00B32A45">
        <w:t>) being methane (other than emissions that are vented or flared) from the natural gas liquefaction, storage and transfer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specified in column 2 of an item in the table in subsection (2), if the equipment is used in the natural gas liquefaction, storage and transfer.</w:t>
      </w:r>
    </w:p>
    <w:p w:rsidR="00C17B3A" w:rsidRPr="00B32A45" w:rsidRDefault="00C17B3A" w:rsidP="00C17B3A">
      <w:pPr>
        <w:pStyle w:val="tDefn"/>
      </w:pPr>
      <w:r w:rsidRPr="00B32A45">
        <w:rPr>
          <w:b/>
          <w:i/>
        </w:rPr>
        <w:t>Q</w:t>
      </w:r>
      <w:r w:rsidRPr="00B32A45">
        <w:rPr>
          <w:b/>
          <w:i/>
          <w:vertAlign w:val="subscript"/>
        </w:rPr>
        <w:t xml:space="preserve">ik </w:t>
      </w:r>
      <w:r w:rsidRPr="00B32A45">
        <w:t>is the total of each equipment type (</w:t>
      </w:r>
      <w:r w:rsidRPr="00B32A45">
        <w:rPr>
          <w:b/>
          <w:i/>
        </w:rPr>
        <w:t>k</w:t>
      </w:r>
      <w:r w:rsidRPr="00B32A45">
        <w:t>) specified in column 2 of the table in subsection (2).</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measured in CO</w:t>
      </w:r>
      <w:r w:rsidRPr="00B32A45">
        <w:rPr>
          <w:rStyle w:val="charSubscript"/>
          <w:iCs/>
        </w:rPr>
        <w:t>2</w:t>
      </w:r>
      <w:r w:rsidRPr="00B32A45">
        <w:noBreakHyphen/>
        <w:t>e tonnes per equipment type (</w:t>
      </w:r>
      <w:r w:rsidRPr="00B32A45">
        <w:rPr>
          <w:b/>
          <w:i/>
        </w:rPr>
        <w:t>k</w:t>
      </w:r>
      <w:r w:rsidRPr="00B32A45">
        <w:t>) during the year if the equipment is used in the natural gas liquefaction, storage and transfer.</w:t>
      </w:r>
    </w:p>
    <w:p w:rsidR="00C17B3A" w:rsidRPr="00B32A45" w:rsidRDefault="00C17B3A" w:rsidP="00524E7C">
      <w:pPr>
        <w:pStyle w:val="tMain"/>
        <w:keepNext/>
        <w:keepLines/>
      </w:pPr>
      <w:r w:rsidRPr="00B32A45">
        <w:lastRenderedPageBreak/>
        <w:tab/>
        <w:t>(2)</w:t>
      </w:r>
      <w:r w:rsidRPr="00B32A45">
        <w:tab/>
        <w:t xml:space="preserve">For </w:t>
      </w:r>
      <w:r w:rsidRPr="00B32A45">
        <w:rPr>
          <w:b/>
          <w:i/>
        </w:rPr>
        <w:t>EF</w:t>
      </w:r>
      <w:r w:rsidRPr="00B32A45">
        <w:rPr>
          <w:b/>
          <w:i/>
          <w:vertAlign w:val="subscript"/>
        </w:rPr>
        <w:t>ijk</w:t>
      </w:r>
      <w:r w:rsidRPr="00B32A45">
        <w:rPr>
          <w:i/>
        </w:rPr>
        <w:t xml:space="preserve"> </w:t>
      </w:r>
      <w:r w:rsidRPr="00B32A45">
        <w:t>in subsection (1), column 3 of an item in the following table specifies the emission factor for methane (</w:t>
      </w:r>
      <w:r w:rsidRPr="00B32A45">
        <w:rPr>
          <w:b/>
          <w:i/>
        </w:rPr>
        <w:t>j</w:t>
      </w:r>
      <w:r w:rsidRPr="00B32A45">
        <w:t>) for an equipment type (</w:t>
      </w:r>
      <w:r w:rsidRPr="00B32A45">
        <w:rPr>
          <w:b/>
          <w:i/>
        </w:rPr>
        <w:t>k</w:t>
      </w:r>
      <w:r w:rsidRPr="00B32A45">
        <w:t>) spec</w:t>
      </w:r>
      <w:r w:rsidR="00524E7C">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2"/>
        <w:gridCol w:w="1395"/>
        <w:gridCol w:w="2320"/>
        <w:gridCol w:w="4639"/>
      </w:tblGrid>
      <w:tr w:rsidR="00C17B3A" w:rsidRPr="00B32A45" w:rsidTr="00DB6238">
        <w:tc>
          <w:tcPr>
            <w:tcW w:w="372" w:type="pct"/>
            <w:tcBorders>
              <w:top w:val="single" w:sz="12" w:space="0" w:color="auto"/>
              <w:bottom w:val="single" w:sz="12" w:space="0" w:color="auto"/>
            </w:tcBorders>
            <w:shd w:val="clear" w:color="auto" w:fill="auto"/>
          </w:tcPr>
          <w:p w:rsidR="00C17B3A" w:rsidRPr="00B32A45" w:rsidRDefault="00C17B3A" w:rsidP="00DB6238">
            <w:pPr>
              <w:pStyle w:val="TableHeading"/>
              <w:keepLines/>
            </w:pPr>
            <w:r w:rsidRPr="00B32A45">
              <w:t>Item</w:t>
            </w:r>
          </w:p>
        </w:tc>
        <w:tc>
          <w:tcPr>
            <w:tcW w:w="773" w:type="pct"/>
            <w:tcBorders>
              <w:top w:val="single" w:sz="12" w:space="0" w:color="auto"/>
              <w:bottom w:val="single" w:sz="12" w:space="0" w:color="auto"/>
            </w:tcBorders>
            <w:shd w:val="clear" w:color="auto" w:fill="auto"/>
          </w:tcPr>
          <w:p w:rsidR="00C17B3A" w:rsidRPr="00B32A45" w:rsidRDefault="00C17B3A" w:rsidP="00DB6238">
            <w:pPr>
              <w:pStyle w:val="TableHeading"/>
              <w:keepLines/>
            </w:pPr>
            <w:r w:rsidRPr="00B32A45">
              <w:t>Equipment type (k)</w:t>
            </w:r>
          </w:p>
        </w:tc>
        <w:tc>
          <w:tcPr>
            <w:tcW w:w="3854" w:type="pct"/>
            <w:gridSpan w:val="2"/>
            <w:tcBorders>
              <w:top w:val="single" w:sz="12" w:space="0" w:color="auto"/>
              <w:bottom w:val="single" w:sz="12" w:space="0" w:color="auto"/>
            </w:tcBorders>
          </w:tcPr>
          <w:p w:rsidR="00C17B3A" w:rsidRPr="00B32A45" w:rsidRDefault="00C17B3A" w:rsidP="00DB6238">
            <w:pPr>
              <w:pStyle w:val="TableHeading"/>
              <w:keepLines/>
              <w:jc w:val="center"/>
            </w:pPr>
            <w:r w:rsidRPr="00B32A45">
              <w:t xml:space="preserve">Emission factor for gas type  (j) </w:t>
            </w:r>
            <w:r w:rsidRPr="00B32A45">
              <w:br/>
            </w:r>
          </w:p>
        </w:tc>
      </w:tr>
      <w:tr w:rsidR="00C17B3A" w:rsidRPr="00B32A45" w:rsidTr="00DB6238">
        <w:trPr>
          <w:trHeight w:val="315"/>
        </w:trPr>
        <w:tc>
          <w:tcPr>
            <w:tcW w:w="372" w:type="pct"/>
            <w:shd w:val="clear" w:color="auto" w:fill="auto"/>
          </w:tcPr>
          <w:p w:rsidR="00C17B3A" w:rsidRPr="00B32A45" w:rsidRDefault="00C17B3A" w:rsidP="00DB6238">
            <w:pPr>
              <w:pStyle w:val="Tabletext"/>
              <w:keepNext/>
              <w:keepLines/>
            </w:pPr>
          </w:p>
        </w:tc>
        <w:tc>
          <w:tcPr>
            <w:tcW w:w="773" w:type="pct"/>
            <w:shd w:val="clear" w:color="auto" w:fill="auto"/>
          </w:tcPr>
          <w:p w:rsidR="00C17B3A" w:rsidRPr="00B32A45" w:rsidDel="0000371C" w:rsidRDefault="00C17B3A" w:rsidP="00DB6238">
            <w:pPr>
              <w:pStyle w:val="Tabletext"/>
              <w:keepNext/>
              <w:keepLines/>
            </w:pPr>
          </w:p>
        </w:tc>
        <w:tc>
          <w:tcPr>
            <w:tcW w:w="1285" w:type="pct"/>
          </w:tcPr>
          <w:p w:rsidR="00C17B3A" w:rsidRPr="00B32A45" w:rsidRDefault="00C17B3A" w:rsidP="00DB6238">
            <w:pPr>
              <w:pStyle w:val="Tabletext"/>
              <w:keepNext/>
              <w:keepLines/>
              <w:jc w:val="center"/>
            </w:pPr>
            <w:r w:rsidRPr="00B32A45">
              <w:t>CH</w:t>
            </w:r>
            <w:r w:rsidRPr="00B32A45">
              <w:rPr>
                <w:vertAlign w:val="subscript"/>
              </w:rPr>
              <w:t>4</w:t>
            </w:r>
          </w:p>
        </w:tc>
        <w:tc>
          <w:tcPr>
            <w:tcW w:w="2569" w:type="pct"/>
          </w:tcPr>
          <w:p w:rsidR="00C17B3A" w:rsidRPr="00B32A45" w:rsidDel="0000371C" w:rsidRDefault="00C17B3A" w:rsidP="00DB6238">
            <w:pPr>
              <w:pStyle w:val="Tabletext"/>
              <w:keepNext/>
              <w:keepLines/>
              <w:jc w:val="center"/>
            </w:pPr>
            <w:r w:rsidRPr="00B32A45">
              <w:t>Units</w:t>
            </w:r>
          </w:p>
        </w:tc>
      </w:tr>
      <w:tr w:rsidR="00C17B3A" w:rsidRPr="00B32A45" w:rsidTr="00DB6238">
        <w:tc>
          <w:tcPr>
            <w:tcW w:w="372" w:type="pct"/>
            <w:tcBorders>
              <w:top w:val="nil"/>
              <w:bottom w:val="single" w:sz="12" w:space="0" w:color="auto"/>
            </w:tcBorders>
            <w:shd w:val="clear" w:color="auto" w:fill="auto"/>
          </w:tcPr>
          <w:p w:rsidR="00C17B3A" w:rsidRPr="00B32A45" w:rsidRDefault="00C17B3A" w:rsidP="00DB6238">
            <w:pPr>
              <w:pStyle w:val="Tabletext"/>
              <w:keepNext/>
              <w:keepLines/>
            </w:pPr>
            <w:r w:rsidRPr="00B32A45">
              <w:t>1</w:t>
            </w:r>
          </w:p>
        </w:tc>
        <w:tc>
          <w:tcPr>
            <w:tcW w:w="773" w:type="pct"/>
            <w:tcBorders>
              <w:top w:val="nil"/>
              <w:bottom w:val="single" w:sz="12" w:space="0" w:color="auto"/>
            </w:tcBorders>
            <w:shd w:val="clear" w:color="auto" w:fill="auto"/>
          </w:tcPr>
          <w:p w:rsidR="00C17B3A" w:rsidRPr="00B32A45" w:rsidRDefault="00C17B3A" w:rsidP="00DB6238">
            <w:pPr>
              <w:pStyle w:val="Tabletext"/>
              <w:keepNext/>
              <w:keepLines/>
            </w:pPr>
            <w:r w:rsidRPr="00B32A45">
              <w:t>Liquefied natural gas station</w:t>
            </w:r>
          </w:p>
        </w:tc>
        <w:tc>
          <w:tcPr>
            <w:tcW w:w="1285" w:type="pct"/>
            <w:tcBorders>
              <w:top w:val="nil"/>
              <w:bottom w:val="single" w:sz="12" w:space="0" w:color="auto"/>
            </w:tcBorders>
            <w:vAlign w:val="center"/>
          </w:tcPr>
          <w:p w:rsidR="00C17B3A" w:rsidRPr="00B32A45" w:rsidDel="0000371C" w:rsidRDefault="00C17B3A" w:rsidP="00DB6238">
            <w:pPr>
              <w:pStyle w:val="Tabletext"/>
              <w:keepNext/>
              <w:keepLines/>
              <w:jc w:val="center"/>
            </w:pPr>
            <w:r w:rsidRPr="00B32A45">
              <w:t>25,700</w:t>
            </w:r>
          </w:p>
        </w:tc>
        <w:tc>
          <w:tcPr>
            <w:tcW w:w="2569" w:type="pct"/>
            <w:tcBorders>
              <w:top w:val="nil"/>
              <w:bottom w:val="single" w:sz="12" w:space="0" w:color="auto"/>
            </w:tcBorders>
            <w:vAlign w:val="center"/>
          </w:tcPr>
          <w:p w:rsidR="00C17B3A" w:rsidRPr="00B32A45" w:rsidRDefault="00C17B3A" w:rsidP="00DB6238">
            <w:pPr>
              <w:pStyle w:val="Tabletext"/>
              <w:keepNext/>
              <w:keepLines/>
              <w:jc w:val="center"/>
            </w:pPr>
            <w:r w:rsidRPr="00B32A45">
              <w:t>tonnes CO</w:t>
            </w:r>
            <w:r w:rsidRPr="00B32A45">
              <w:rPr>
                <w:vertAlign w:val="subscript"/>
              </w:rPr>
              <w:t>2</w:t>
            </w:r>
            <w:r w:rsidRPr="00B32A45">
              <w:t>-e per station</w:t>
            </w:r>
          </w:p>
        </w:tc>
      </w:tr>
    </w:tbl>
    <w:p w:rsidR="00C17B3A" w:rsidRPr="00B32A45" w:rsidRDefault="00C17B3A" w:rsidP="00C17B3A">
      <w:pPr>
        <w:pStyle w:val="h5Section"/>
      </w:pPr>
      <w:r w:rsidRPr="00B32A45">
        <w:rPr>
          <w:rStyle w:val="CharSectno"/>
        </w:rPr>
        <w:t>3.78I</w:t>
      </w:r>
      <w:r w:rsidR="00693350">
        <w:t xml:space="preserve">  Method 2—n</w:t>
      </w:r>
      <w:r w:rsidRPr="00B32A45">
        <w:t>atural gas liquefaction, storage and transfer (other than emissions that are vented or flared)</w:t>
      </w:r>
    </w:p>
    <w:p w:rsidR="00C17B3A" w:rsidRPr="00B32A45" w:rsidRDefault="00C17B3A" w:rsidP="00C17B3A">
      <w:pPr>
        <w:pStyle w:val="tMain"/>
      </w:pPr>
      <w:r w:rsidRPr="00B32A45">
        <w:tab/>
        <w:t>(1)</w:t>
      </w:r>
      <w:r w:rsidRPr="00B32A45">
        <w:tab/>
        <w:t>Method 2 is:</w:t>
      </w:r>
    </w:p>
    <w:p w:rsidR="00C17B3A" w:rsidRPr="00B32A45" w:rsidRDefault="00C17B3A" w:rsidP="00C17B3A">
      <w:pPr>
        <w:pStyle w:val="tMain"/>
        <w:spacing w:before="120" w:after="120"/>
      </w:pPr>
      <w:r w:rsidRPr="00B32A45">
        <w:tab/>
      </w:r>
      <w:r w:rsidRPr="00B32A45">
        <w:tab/>
      </w:r>
      <w:r w:rsidRPr="00B32A45">
        <w:rPr>
          <w:sz w:val="32"/>
          <w:szCs w:val="32"/>
        </w:rPr>
        <w:t>E</w:t>
      </w:r>
      <w:r w:rsidRPr="00B32A45">
        <w:rPr>
          <w:sz w:val="32"/>
          <w:szCs w:val="32"/>
          <w:vertAlign w:val="subscript"/>
        </w:rPr>
        <w:t xml:space="preserve">ij </w:t>
      </w:r>
      <w:r w:rsidRPr="00B32A45">
        <w:rPr>
          <w:sz w:val="32"/>
          <w:szCs w:val="32"/>
        </w:rPr>
        <w:t>= ∑</w:t>
      </w:r>
      <w:r w:rsidRPr="00B32A45">
        <w:rPr>
          <w:sz w:val="32"/>
          <w:szCs w:val="32"/>
          <w:vertAlign w:val="subscript"/>
        </w:rPr>
        <w:t xml:space="preserve">k </w:t>
      </w:r>
      <w:r w:rsidRPr="00B32A45">
        <w:rPr>
          <w:sz w:val="32"/>
          <w:szCs w:val="32"/>
        </w:rPr>
        <w:t>(T</w:t>
      </w:r>
      <w:r w:rsidRPr="00B32A45">
        <w:rPr>
          <w:sz w:val="32"/>
          <w:szCs w:val="32"/>
          <w:vertAlign w:val="subscript"/>
        </w:rPr>
        <w:t>ik</w:t>
      </w:r>
      <w:r w:rsidRPr="00B32A45">
        <w:rPr>
          <w:sz w:val="32"/>
          <w:szCs w:val="32"/>
        </w:rPr>
        <w:t xml:space="preserve"> × N</w:t>
      </w:r>
      <w:r w:rsidRPr="00B32A45">
        <w:rPr>
          <w:sz w:val="32"/>
          <w:szCs w:val="32"/>
          <w:vertAlign w:val="subscript"/>
        </w:rPr>
        <w:t>ik</w:t>
      </w:r>
      <w:r w:rsidRPr="00B32A45">
        <w:rPr>
          <w:sz w:val="32"/>
          <w:szCs w:val="32"/>
        </w:rPr>
        <w:t xml:space="preserve"> ×EF</w:t>
      </w:r>
      <w:r w:rsidRPr="00B32A45">
        <w:rPr>
          <w:sz w:val="32"/>
          <w:szCs w:val="32"/>
          <w:vertAlign w:val="subscript"/>
        </w:rPr>
        <w:t>ijk</w:t>
      </w:r>
      <w:r w:rsidRPr="00B32A45">
        <w:rPr>
          <w:sz w:val="32"/>
          <w:szCs w:val="32"/>
        </w:rPr>
        <w:t xml:space="preserve">) </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emissions (other than venting and flaring) of methane (</w:t>
      </w:r>
      <w:r w:rsidRPr="00B32A45">
        <w:rPr>
          <w:b/>
          <w:i/>
        </w:rPr>
        <w:t>j</w:t>
      </w:r>
      <w:r w:rsidRPr="00B32A45">
        <w:t>) from the natural gas liquefaction, storage and transfer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w:t>
      </w:r>
      <w:r w:rsidRPr="00B32A45">
        <w:rPr>
          <w:b/>
          <w:i/>
        </w:rPr>
        <w:t>j</w:t>
      </w:r>
      <w:r w:rsidRPr="00B32A45">
        <w:t>) measured in CO</w:t>
      </w:r>
      <w:r w:rsidRPr="00B32A45">
        <w:rPr>
          <w:rStyle w:val="charSubscript"/>
          <w:iCs/>
        </w:rPr>
        <w:t>2</w:t>
      </w:r>
      <w:r w:rsidRPr="00B32A45">
        <w:noBreakHyphen/>
        <w:t>e tonnes and estimated by summing up the emissions released from each equipment type (</w:t>
      </w:r>
      <w:r w:rsidRPr="00B32A45">
        <w:rPr>
          <w:b/>
          <w:i/>
        </w:rPr>
        <w:t>k</w:t>
      </w:r>
      <w:r w:rsidRPr="00B32A45">
        <w:t>) listed in section 6.1.2 of the API Compendium, if the equipment is used in the natural gas liquefaction, storage and transfer.</w:t>
      </w:r>
    </w:p>
    <w:p w:rsidR="00C17B3A" w:rsidRPr="00B32A45" w:rsidRDefault="00C17B3A" w:rsidP="00C17B3A">
      <w:pPr>
        <w:pStyle w:val="tDefn"/>
      </w:pPr>
      <w:r w:rsidRPr="00B32A45">
        <w:rPr>
          <w:b/>
          <w:i/>
        </w:rPr>
        <w:t>T</w:t>
      </w:r>
      <w:r w:rsidRPr="00B32A45">
        <w:rPr>
          <w:b/>
          <w:i/>
          <w:vertAlign w:val="subscript"/>
        </w:rPr>
        <w:t xml:space="preserve">ik </w:t>
      </w:r>
      <w:r w:rsidRPr="00B32A45">
        <w:t>is the average hours of operation during the year of each equipment type (</w:t>
      </w:r>
      <w:r w:rsidRPr="00B32A45">
        <w:rPr>
          <w:b/>
          <w:i/>
        </w:rPr>
        <w:t>k</w:t>
      </w:r>
      <w:r w:rsidRPr="00B32A45">
        <w:t>) listed in section 6.1.2 of the API Compendium, if the equipment is used in the natural gas liquefaction, storage and transfer.</w:t>
      </w:r>
    </w:p>
    <w:p w:rsidR="00C17B3A" w:rsidRPr="00B32A45" w:rsidRDefault="00C17B3A" w:rsidP="00C17B3A">
      <w:pPr>
        <w:pStyle w:val="tDefn"/>
      </w:pPr>
      <w:r w:rsidRPr="00B32A45">
        <w:rPr>
          <w:b/>
          <w:i/>
        </w:rPr>
        <w:t>N</w:t>
      </w:r>
      <w:r w:rsidRPr="00B32A45">
        <w:rPr>
          <w:b/>
          <w:i/>
          <w:vertAlign w:val="subscript"/>
        </w:rPr>
        <w:t>ik</w:t>
      </w:r>
      <w:r w:rsidRPr="00B32A45">
        <w:rPr>
          <w:b/>
          <w:i/>
        </w:rPr>
        <w:t xml:space="preserve"> </w:t>
      </w:r>
      <w:r w:rsidRPr="00B32A45">
        <w:t>is the total number of equipment units of each equipment type (</w:t>
      </w:r>
      <w:r w:rsidRPr="00B32A45">
        <w:rPr>
          <w:b/>
          <w:i/>
        </w:rPr>
        <w:t>k</w:t>
      </w:r>
      <w:r w:rsidRPr="00B32A45">
        <w:t>) listed in section 6.1.2 of the API Compendium if the equipment type is used in the natural gas liquefaction, storage and transfer during the year.</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methane (</w:t>
      </w:r>
      <w:r w:rsidRPr="00B32A45">
        <w:rPr>
          <w:b/>
          <w:i/>
        </w:rPr>
        <w:t>j</w:t>
      </w:r>
      <w:r w:rsidRPr="00B32A45">
        <w:t>) measured in tonnes of CO</w:t>
      </w:r>
      <w:r w:rsidRPr="00B32A45">
        <w:rPr>
          <w:rStyle w:val="charSubscript"/>
          <w:iCs/>
        </w:rPr>
        <w:t>2</w:t>
      </w:r>
      <w:r w:rsidRPr="00B32A45">
        <w:noBreakHyphen/>
        <w:t>e per equipment type (</w:t>
      </w:r>
      <w:r w:rsidRPr="00B32A45">
        <w:rPr>
          <w:b/>
          <w:i/>
        </w:rPr>
        <w:t>k</w:t>
      </w:r>
      <w:r w:rsidRPr="00B32A45">
        <w:t>) – hour listed in section 6.1.2 of the API Compendium as determined under subsection (2), if the equipment is used in the natural gas liquefaction, storage and transfer.</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ijk</w:t>
      </w:r>
      <w:r w:rsidRPr="00B32A45">
        <w:t>, the emission factors for methane (</w:t>
      </w:r>
      <w:r w:rsidRPr="00B32A45">
        <w:rPr>
          <w:b/>
          <w:i/>
        </w:rPr>
        <w:t>j</w:t>
      </w:r>
      <w:r w:rsidRPr="00B32A45">
        <w:t>) as the natural gas passes through the equipment types (</w:t>
      </w:r>
      <w:r w:rsidRPr="00B32A45">
        <w:rPr>
          <w:b/>
          <w:i/>
        </w:rPr>
        <w:t>k</w:t>
      </w:r>
      <w:r w:rsidRPr="00B32A45">
        <w:t>) are:</w:t>
      </w:r>
    </w:p>
    <w:p w:rsidR="00C17B3A" w:rsidRPr="00B32A45" w:rsidRDefault="00C17B3A" w:rsidP="00C17B3A">
      <w:pPr>
        <w:pStyle w:val="tPara"/>
      </w:pPr>
      <w:r w:rsidRPr="00B32A45">
        <w:tab/>
        <w:t>(a)</w:t>
      </w:r>
      <w:r w:rsidRPr="00B32A45">
        <w:tab/>
        <w:t>as listed in Table 6-6 of section 6.1.2 of the API Compendium, for the equipment type; or</w:t>
      </w:r>
    </w:p>
    <w:p w:rsidR="00C17B3A" w:rsidRPr="00B32A45" w:rsidRDefault="00C17B3A" w:rsidP="00C17B3A">
      <w:pPr>
        <w:pStyle w:val="tPara"/>
      </w:pPr>
      <w:r w:rsidRPr="00B32A45">
        <w:tab/>
        <w:t>(b)</w:t>
      </w:r>
      <w:r w:rsidRPr="00B32A45">
        <w:tab/>
        <w:t>if the manufacturer of the equipment supplies equipment</w:t>
      </w:r>
      <w:r w:rsidRPr="00B32A45">
        <w:noBreakHyphen/>
        <w:t>specific emission factors for the equipment type—those factors.</w:t>
      </w:r>
    </w:p>
    <w:p w:rsidR="00C17B3A" w:rsidRPr="00B32A45" w:rsidRDefault="00C17B3A" w:rsidP="00C17B3A">
      <w:pPr>
        <w:pStyle w:val="h5Section"/>
      </w:pPr>
      <w:r w:rsidRPr="00B32A45">
        <w:rPr>
          <w:rStyle w:val="CharSectno"/>
        </w:rPr>
        <w:t>3.78J</w:t>
      </w:r>
      <w:r w:rsidR="00693350">
        <w:t xml:space="preserve">  Method 3—n</w:t>
      </w:r>
      <w:r w:rsidRPr="00B32A45">
        <w:t>atural gas liquefaction, storage and transfer (other than venting and flaring)</w:t>
      </w:r>
    </w:p>
    <w:p w:rsidR="00C17B3A" w:rsidRPr="00B32A45" w:rsidRDefault="00C17B3A" w:rsidP="00C17B3A">
      <w:pPr>
        <w:pStyle w:val="tMain"/>
        <w:shd w:val="clear" w:color="auto" w:fill="FFFFFF"/>
        <w:tabs>
          <w:tab w:val="left" w:pos="5100"/>
        </w:tabs>
        <w:rPr>
          <w:szCs w:val="22"/>
        </w:rPr>
      </w:pPr>
      <w:r w:rsidRPr="00B32A45">
        <w:rPr>
          <w:szCs w:val="22"/>
        </w:rPr>
        <w:tab/>
        <w:t>(1)</w:t>
      </w:r>
      <w:r w:rsidRPr="00B32A45">
        <w:rPr>
          <w:szCs w:val="22"/>
        </w:rPr>
        <w:tab/>
        <w:t>Method 3 is:</w:t>
      </w:r>
      <w:r w:rsidRPr="00B32A45">
        <w:rPr>
          <w:szCs w:val="22"/>
        </w:rPr>
        <w:tab/>
      </w:r>
    </w:p>
    <w:p w:rsidR="00C17B3A" w:rsidRPr="00B32A45" w:rsidRDefault="00C17B3A" w:rsidP="00C17B3A">
      <w:pPr>
        <w:pStyle w:val="tMain"/>
        <w:shd w:val="clear" w:color="auto" w:fill="FFFFFF"/>
        <w:spacing w:before="120" w:after="120"/>
        <w:rPr>
          <w:sz w:val="32"/>
          <w:szCs w:val="32"/>
        </w:rPr>
      </w:pPr>
      <w:r w:rsidRPr="00B32A45">
        <w:rPr>
          <w:sz w:val="32"/>
          <w:szCs w:val="32"/>
        </w:rPr>
        <w:tab/>
      </w:r>
      <w:r w:rsidRPr="00B32A45">
        <w:rPr>
          <w:sz w:val="32"/>
          <w:szCs w:val="32"/>
        </w:rPr>
        <w:tab/>
        <w:t>E</w:t>
      </w:r>
      <w:r w:rsidRPr="00B32A45">
        <w:rPr>
          <w:sz w:val="32"/>
          <w:szCs w:val="32"/>
          <w:vertAlign w:val="subscript"/>
        </w:rPr>
        <w:t xml:space="preserve">ij </w:t>
      </w:r>
      <w:r w:rsidRPr="00B32A45">
        <w:rPr>
          <w:sz w:val="32"/>
          <w:szCs w:val="32"/>
        </w:rPr>
        <w:t>= ∑</w:t>
      </w:r>
      <w:r w:rsidRPr="00B32A45">
        <w:rPr>
          <w:sz w:val="32"/>
          <w:szCs w:val="32"/>
          <w:vertAlign w:val="subscript"/>
        </w:rPr>
        <w:t xml:space="preserve">k </w:t>
      </w:r>
      <w:r w:rsidRPr="00B32A45">
        <w:rPr>
          <w:sz w:val="32"/>
          <w:szCs w:val="32"/>
        </w:rPr>
        <w:t>(T</w:t>
      </w:r>
      <w:r w:rsidRPr="00B32A45">
        <w:rPr>
          <w:sz w:val="32"/>
          <w:szCs w:val="32"/>
          <w:vertAlign w:val="subscript"/>
        </w:rPr>
        <w:t>ik</w:t>
      </w:r>
      <w:r w:rsidRPr="00B32A45">
        <w:rPr>
          <w:sz w:val="32"/>
          <w:szCs w:val="32"/>
        </w:rPr>
        <w:t xml:space="preserve"> × N</w:t>
      </w:r>
      <w:r w:rsidRPr="00B32A45">
        <w:rPr>
          <w:sz w:val="32"/>
          <w:szCs w:val="32"/>
          <w:vertAlign w:val="subscript"/>
        </w:rPr>
        <w:t>ik</w:t>
      </w:r>
      <w:r w:rsidRPr="00B32A45">
        <w:rPr>
          <w:sz w:val="32"/>
          <w:szCs w:val="32"/>
        </w:rPr>
        <w:t xml:space="preserve"> ×EF</w:t>
      </w:r>
      <w:r w:rsidRPr="00B32A45">
        <w:rPr>
          <w:sz w:val="32"/>
          <w:szCs w:val="32"/>
          <w:vertAlign w:val="subscript"/>
        </w:rPr>
        <w:t>ijk</w:t>
      </w:r>
      <w:r w:rsidRPr="00B32A45">
        <w:rPr>
          <w:sz w:val="32"/>
          <w:szCs w:val="32"/>
        </w:rPr>
        <w:t xml:space="preserve">) </w:t>
      </w:r>
    </w:p>
    <w:p w:rsidR="00C17B3A" w:rsidRPr="00B32A45" w:rsidRDefault="00C17B3A" w:rsidP="00C17B3A">
      <w:pPr>
        <w:pStyle w:val="subsection2"/>
        <w:shd w:val="clear" w:color="auto" w:fill="FFFFFF"/>
        <w:rPr>
          <w:szCs w:val="22"/>
        </w:rPr>
      </w:pPr>
      <w:r w:rsidRPr="00B32A45">
        <w:rPr>
          <w:szCs w:val="22"/>
        </w:rPr>
        <w:t>where:</w:t>
      </w:r>
    </w:p>
    <w:p w:rsidR="00C17B3A" w:rsidRPr="00B32A45" w:rsidRDefault="00C17B3A" w:rsidP="00C17B3A">
      <w:pPr>
        <w:pStyle w:val="tDefn"/>
      </w:pPr>
      <w:r w:rsidRPr="00B32A45">
        <w:rPr>
          <w:b/>
          <w:i/>
        </w:rPr>
        <w:lastRenderedPageBreak/>
        <w:t>E</w:t>
      </w:r>
      <w:r w:rsidRPr="00B32A45">
        <w:rPr>
          <w:b/>
          <w:i/>
          <w:vertAlign w:val="subscript"/>
        </w:rPr>
        <w:t>ij</w:t>
      </w:r>
      <w:r w:rsidRPr="00B32A45">
        <w:rPr>
          <w:b/>
          <w:i/>
        </w:rPr>
        <w:t xml:space="preserve"> </w:t>
      </w:r>
      <w:r w:rsidRPr="00B32A45">
        <w:t>is the fugitive emissions (other than venting and flaring) of methane (</w:t>
      </w:r>
      <w:r w:rsidRPr="00B32A45">
        <w:rPr>
          <w:b/>
          <w:i/>
        </w:rPr>
        <w:t>j</w:t>
      </w:r>
      <w:r w:rsidRPr="00B32A45">
        <w:t>) from the natural gas liquefaction, storage and transfer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methane (</w:t>
      </w:r>
      <w:r w:rsidRPr="00B32A45">
        <w:rPr>
          <w:b/>
          <w:i/>
        </w:rPr>
        <w:t>j</w:t>
      </w:r>
      <w:r w:rsidRPr="00B32A45">
        <w:t>) measured in tonnes of CO</w:t>
      </w:r>
      <w:r w:rsidRPr="00B32A45">
        <w:rPr>
          <w:rStyle w:val="charSubscript"/>
          <w:iCs/>
        </w:rPr>
        <w:t>2</w:t>
      </w:r>
      <w:r w:rsidRPr="00B32A45">
        <w:noBreakHyphen/>
        <w:t>e and estimated by summing up the emissions released from each component type (</w:t>
      </w:r>
      <w:r w:rsidRPr="00B32A45">
        <w:rPr>
          <w:b/>
          <w:i/>
        </w:rPr>
        <w:t>k</w:t>
      </w:r>
      <w:r w:rsidRPr="00B32A45">
        <w:t>), if the component type is used in the natural gas liquefaction, storage and transfer.</w:t>
      </w:r>
    </w:p>
    <w:p w:rsidR="00C17B3A" w:rsidRPr="00B32A45" w:rsidRDefault="00C17B3A" w:rsidP="00C17B3A">
      <w:pPr>
        <w:pStyle w:val="tDefn"/>
      </w:pPr>
      <w:r w:rsidRPr="00B32A45">
        <w:rPr>
          <w:b/>
          <w:i/>
        </w:rPr>
        <w:t>T</w:t>
      </w:r>
      <w:r w:rsidRPr="00B32A45">
        <w:rPr>
          <w:b/>
          <w:i/>
          <w:vertAlign w:val="subscript"/>
        </w:rPr>
        <w:t xml:space="preserve">ik </w:t>
      </w:r>
      <w:r w:rsidRPr="00B32A45">
        <w:t>is:</w:t>
      </w:r>
    </w:p>
    <w:p w:rsidR="00C17B3A" w:rsidRPr="00B32A45" w:rsidRDefault="00C17B3A" w:rsidP="00C17B3A">
      <w:pPr>
        <w:pStyle w:val="tPara"/>
      </w:pPr>
      <w:r w:rsidRPr="00B32A45">
        <w:tab/>
        <w:t>(a)</w:t>
      </w:r>
      <w:r w:rsidRPr="00B32A45">
        <w:tab/>
        <w:t>if subsection (2) applies—the average hours of operation during the year of the components of each component type (</w:t>
      </w:r>
      <w:r w:rsidRPr="00B32A45">
        <w:rPr>
          <w:b/>
          <w:i/>
        </w:rPr>
        <w:t>k</w:t>
      </w:r>
      <w:r w:rsidRPr="00B32A45">
        <w:t xml:space="preserve">) listed in table 13 in section 4.3.1 of the </w:t>
      </w:r>
      <w:r w:rsidRPr="00B32A45">
        <w:rPr>
          <w:i/>
          <w:szCs w:val="22"/>
        </w:rPr>
        <w:t>API LNG Operations Consistent Methodology for Estimating Greenhouse Gas Emissions</w:t>
      </w:r>
      <w:r w:rsidRPr="00B32A45">
        <w:rPr>
          <w:szCs w:val="22"/>
        </w:rPr>
        <w:t xml:space="preserve"> published by the American Petroleum Institute</w:t>
      </w:r>
      <w:r w:rsidRPr="00B32A45">
        <w:t>, if the component is used in the natural gas liquefaction, storage and transfer during the year; or</w:t>
      </w:r>
    </w:p>
    <w:p w:rsidR="00C17B3A" w:rsidRPr="00B32A45" w:rsidRDefault="00C17B3A" w:rsidP="00C17B3A">
      <w:pPr>
        <w:pStyle w:val="tPara"/>
      </w:pPr>
      <w:r w:rsidRPr="00B32A45">
        <w:tab/>
        <w:t>(b)</w:t>
      </w:r>
      <w:r w:rsidRPr="00B32A45">
        <w:tab/>
        <w:t>if subsection (3) applies—an engineering estimate of the number of hours in the year the component type (</w:t>
      </w:r>
      <w:r w:rsidRPr="00B32A45">
        <w:rPr>
          <w:b/>
          <w:i/>
        </w:rPr>
        <w:t>k</w:t>
      </w:r>
      <w:r w:rsidRPr="00B32A45">
        <w:t xml:space="preserve">) was operational as a leaker or non leaker based on the best available data and subsection (4). </w:t>
      </w:r>
    </w:p>
    <w:p w:rsidR="00C17B3A" w:rsidRPr="00B32A45" w:rsidRDefault="00C17B3A" w:rsidP="003C22D9">
      <w:pPr>
        <w:pStyle w:val="tDefn"/>
      </w:pPr>
      <w:r w:rsidRPr="00B32A45">
        <w:rPr>
          <w:b/>
          <w:i/>
        </w:rPr>
        <w:t>N</w:t>
      </w:r>
      <w:r w:rsidRPr="00B32A45">
        <w:rPr>
          <w:b/>
          <w:i/>
          <w:vertAlign w:val="subscript"/>
        </w:rPr>
        <w:t>ik</w:t>
      </w:r>
      <w:r w:rsidRPr="00B32A45">
        <w:rPr>
          <w:b/>
          <w:i/>
        </w:rPr>
        <w:t xml:space="preserve"> </w:t>
      </w:r>
      <w:r w:rsidRPr="00B32A45">
        <w:t>is the total number of components of each component type (</w:t>
      </w:r>
      <w:r w:rsidRPr="00B32A45">
        <w:rPr>
          <w:b/>
          <w:i/>
        </w:rPr>
        <w:t>k</w:t>
      </w:r>
      <w:r w:rsidRPr="00B32A45">
        <w:t>)</w:t>
      </w:r>
      <w:r w:rsidRPr="00B32A45">
        <w:rPr>
          <w:szCs w:val="22"/>
        </w:rPr>
        <w:t>,</w:t>
      </w:r>
      <w:r w:rsidRPr="00B32A45">
        <w:t xml:space="preserve"> if the component type is used in the natural gas liquefaction, storage and transfer during the year.</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of methane (</w:t>
      </w:r>
      <w:r w:rsidRPr="00B32A45">
        <w:rPr>
          <w:b/>
          <w:i/>
        </w:rPr>
        <w:t>j</w:t>
      </w:r>
      <w:r w:rsidRPr="00B32A45">
        <w:t>) measured in tonnes of CO</w:t>
      </w:r>
      <w:r w:rsidRPr="00B32A45">
        <w:rPr>
          <w:rStyle w:val="charSubscript"/>
          <w:iCs/>
        </w:rPr>
        <w:t>2</w:t>
      </w:r>
      <w:r w:rsidRPr="00B32A45">
        <w:noBreakHyphen/>
        <w:t>e per component type (</w:t>
      </w:r>
      <w:r w:rsidRPr="00B32A45">
        <w:rPr>
          <w:b/>
          <w:i/>
        </w:rPr>
        <w:t>k</w:t>
      </w:r>
      <w:r w:rsidRPr="00B32A45">
        <w:t>) – hour, if the component is used in the natural gas liquefaction, storage and transfer.</w:t>
      </w:r>
    </w:p>
    <w:p w:rsidR="00C17B3A" w:rsidRPr="00B32A45" w:rsidRDefault="00C17B3A" w:rsidP="00C17B3A">
      <w:pPr>
        <w:pStyle w:val="tMain"/>
      </w:pPr>
      <w:r w:rsidRPr="00B32A45">
        <w:tab/>
        <w:t>(2)</w:t>
      </w:r>
      <w:r w:rsidRPr="00B32A45">
        <w:tab/>
        <w:t xml:space="preserve">Unless subsection (3) is elected and used for all components under this method, </w:t>
      </w:r>
      <w:r w:rsidRPr="00B32A45">
        <w:rPr>
          <w:b/>
          <w:i/>
        </w:rPr>
        <w:t>EF</w:t>
      </w:r>
      <w:r w:rsidRPr="00B32A45">
        <w:rPr>
          <w:b/>
          <w:i/>
          <w:vertAlign w:val="subscript"/>
        </w:rPr>
        <w:t>ijk</w:t>
      </w:r>
      <w:r w:rsidRPr="00B32A45">
        <w:t>, the emission factors for methane (</w:t>
      </w:r>
      <w:r w:rsidRPr="00B32A45">
        <w:rPr>
          <w:b/>
          <w:i/>
        </w:rPr>
        <w:t>j</w:t>
      </w:r>
      <w:r w:rsidRPr="00B32A45">
        <w:t xml:space="preserve">), for </w:t>
      </w:r>
      <w:r w:rsidRPr="00B32A45">
        <w:rPr>
          <w:szCs w:val="22"/>
        </w:rPr>
        <w:t xml:space="preserve">component </w:t>
      </w:r>
      <w:r w:rsidRPr="00B32A45">
        <w:t>type (</w:t>
      </w:r>
      <w:r w:rsidRPr="00B32A45">
        <w:rPr>
          <w:b/>
          <w:i/>
        </w:rPr>
        <w:t>k</w:t>
      </w:r>
      <w:r w:rsidRPr="00B32A45">
        <w:t>), are:</w:t>
      </w:r>
    </w:p>
    <w:p w:rsidR="00C17B3A" w:rsidRPr="00B32A45" w:rsidRDefault="00C17B3A" w:rsidP="00524E7C">
      <w:pPr>
        <w:pStyle w:val="tPara"/>
      </w:pPr>
      <w:r w:rsidRPr="00B32A45">
        <w:tab/>
        <w:t>(a)</w:t>
      </w:r>
      <w:r w:rsidRPr="00B32A45">
        <w:tab/>
        <w:t>column 3 of an item in the following table, which specifies the emission factor for a component of type (</w:t>
      </w:r>
      <w:r w:rsidRPr="00B32A45">
        <w:rPr>
          <w:b/>
          <w:i/>
        </w:rPr>
        <w:t>k</w:t>
      </w:r>
      <w:r w:rsidRPr="00B32A45">
        <w:t>) specifi</w:t>
      </w:r>
      <w:r w:rsidR="00524E7C">
        <w:t>ed in column 2 of that item: or</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789"/>
        <w:gridCol w:w="2852"/>
        <w:gridCol w:w="430"/>
        <w:gridCol w:w="2285"/>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Item</w:t>
            </w:r>
          </w:p>
        </w:tc>
        <w:tc>
          <w:tcPr>
            <w:tcW w:w="1545"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t>Component type (k)</w:t>
            </w:r>
          </w:p>
        </w:tc>
        <w:tc>
          <w:tcPr>
            <w:tcW w:w="1818" w:type="pct"/>
            <w:gridSpan w:val="2"/>
            <w:tcBorders>
              <w:top w:val="single" w:sz="12" w:space="0" w:color="auto"/>
              <w:bottom w:val="single" w:sz="12" w:space="0" w:color="auto"/>
            </w:tcBorders>
            <w:shd w:val="clear" w:color="auto" w:fill="auto"/>
          </w:tcPr>
          <w:p w:rsidR="00C17B3A" w:rsidRPr="00B32A45" w:rsidRDefault="00C17B3A" w:rsidP="00DB6238">
            <w:pPr>
              <w:pStyle w:val="TableHeading"/>
            </w:pPr>
            <w:r w:rsidRPr="00B32A45">
              <w:t xml:space="preserve">Emission factor for gas type  (j) </w:t>
            </w:r>
            <w:r w:rsidRPr="00B32A45">
              <w:br/>
            </w:r>
          </w:p>
        </w:tc>
        <w:tc>
          <w:tcPr>
            <w:tcW w:w="1266" w:type="pct"/>
            <w:tcBorders>
              <w:top w:val="single" w:sz="12" w:space="0" w:color="auto"/>
              <w:bottom w:val="single" w:sz="12" w:space="0" w:color="auto"/>
            </w:tcBorders>
            <w:shd w:val="clear" w:color="auto" w:fill="auto"/>
          </w:tcPr>
          <w:p w:rsidR="00C17B3A" w:rsidRPr="00B32A45" w:rsidRDefault="00C17B3A" w:rsidP="00DB6238">
            <w:pPr>
              <w:pStyle w:val="TableHeading"/>
            </w:pPr>
            <w:r w:rsidRPr="00B32A45">
              <w:br/>
            </w:r>
          </w:p>
        </w:tc>
      </w:tr>
      <w:tr w:rsidR="00C17B3A" w:rsidRPr="00B32A45" w:rsidDel="0000371C" w:rsidTr="00DB6238">
        <w:trPr>
          <w:trHeight w:val="315"/>
        </w:trPr>
        <w:tc>
          <w:tcPr>
            <w:tcW w:w="371" w:type="pct"/>
            <w:shd w:val="clear" w:color="auto" w:fill="auto"/>
          </w:tcPr>
          <w:p w:rsidR="00C17B3A" w:rsidRPr="00B32A45" w:rsidRDefault="00C17B3A" w:rsidP="00DB6238">
            <w:pPr>
              <w:pStyle w:val="Tabletext"/>
            </w:pPr>
          </w:p>
        </w:tc>
        <w:tc>
          <w:tcPr>
            <w:tcW w:w="1545" w:type="pct"/>
            <w:shd w:val="clear" w:color="auto" w:fill="auto"/>
          </w:tcPr>
          <w:p w:rsidR="00C17B3A" w:rsidRPr="00B32A45" w:rsidDel="0000371C" w:rsidRDefault="00C17B3A" w:rsidP="00DB6238">
            <w:pPr>
              <w:pStyle w:val="Tabletext"/>
            </w:pPr>
          </w:p>
        </w:tc>
        <w:tc>
          <w:tcPr>
            <w:tcW w:w="1580" w:type="pct"/>
            <w:shd w:val="clear" w:color="auto" w:fill="auto"/>
          </w:tcPr>
          <w:p w:rsidR="00C17B3A" w:rsidRPr="00B32A45" w:rsidRDefault="00C17B3A" w:rsidP="00DB6238">
            <w:pPr>
              <w:pStyle w:val="Tabletext"/>
              <w:jc w:val="center"/>
              <w:rPr>
                <w:b/>
              </w:rPr>
            </w:pPr>
            <w:r w:rsidRPr="00B32A45">
              <w:rPr>
                <w:b/>
              </w:rPr>
              <w:t>CH</w:t>
            </w:r>
            <w:r w:rsidRPr="00B32A45">
              <w:rPr>
                <w:b/>
                <w:vertAlign w:val="subscript"/>
              </w:rPr>
              <w:t>4</w:t>
            </w:r>
          </w:p>
        </w:tc>
        <w:tc>
          <w:tcPr>
            <w:tcW w:w="238" w:type="pct"/>
            <w:shd w:val="clear" w:color="auto" w:fill="auto"/>
          </w:tcPr>
          <w:p w:rsidR="00C17B3A" w:rsidRPr="00B32A45" w:rsidRDefault="00C17B3A" w:rsidP="00DB6238">
            <w:pPr>
              <w:pStyle w:val="Tabletext"/>
              <w:jc w:val="center"/>
              <w:rPr>
                <w:b/>
                <w:vertAlign w:val="subscript"/>
              </w:rPr>
            </w:pPr>
          </w:p>
        </w:tc>
        <w:tc>
          <w:tcPr>
            <w:tcW w:w="1266" w:type="pct"/>
            <w:shd w:val="clear" w:color="auto" w:fill="auto"/>
          </w:tcPr>
          <w:p w:rsidR="00C17B3A" w:rsidRPr="00B32A45" w:rsidDel="0000371C" w:rsidRDefault="00C17B3A" w:rsidP="00DB6238">
            <w:pPr>
              <w:pStyle w:val="Tabletext"/>
              <w:jc w:val="center"/>
              <w:rPr>
                <w:b/>
              </w:rPr>
            </w:pPr>
            <w:r w:rsidRPr="00B32A45">
              <w:rPr>
                <w:b/>
              </w:rPr>
              <w:t>Units</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1</w:t>
            </w:r>
          </w:p>
        </w:tc>
        <w:tc>
          <w:tcPr>
            <w:tcW w:w="1545"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Valve</w:t>
            </w:r>
          </w:p>
        </w:tc>
        <w:tc>
          <w:tcPr>
            <w:tcW w:w="1580"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6.40 × 10</w:t>
            </w:r>
            <w:r w:rsidRPr="00B32A45">
              <w:rPr>
                <w:vertAlign w:val="superscript"/>
              </w:rPr>
              <w:t>-4</w:t>
            </w:r>
          </w:p>
        </w:tc>
        <w:tc>
          <w:tcPr>
            <w:tcW w:w="238" w:type="pct"/>
            <w:tcBorders>
              <w:top w:val="single" w:sz="4" w:space="0" w:color="auto"/>
              <w:bottom w:val="single" w:sz="4" w:space="0" w:color="auto"/>
            </w:tcBorders>
            <w:shd w:val="clear" w:color="auto" w:fill="auto"/>
          </w:tcPr>
          <w:p w:rsidR="00C17B3A" w:rsidRPr="00B32A45" w:rsidRDefault="00C17B3A" w:rsidP="00DB6238">
            <w:pPr>
              <w:pStyle w:val="Tabletext"/>
              <w:jc w:val="center"/>
            </w:pPr>
          </w:p>
        </w:tc>
        <w:tc>
          <w:tcPr>
            <w:tcW w:w="1266"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tonnes CO</w:t>
            </w:r>
            <w:r w:rsidRPr="00B32A45">
              <w:rPr>
                <w:vertAlign w:val="subscript"/>
              </w:rPr>
              <w:t>2</w:t>
            </w:r>
            <w:r w:rsidRPr="00B32A45">
              <w:t>-e /hour/component</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2</w:t>
            </w:r>
          </w:p>
        </w:tc>
        <w:tc>
          <w:tcPr>
            <w:tcW w:w="1545"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Pump Seal</w:t>
            </w:r>
          </w:p>
        </w:tc>
        <w:tc>
          <w:tcPr>
            <w:tcW w:w="1580"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2.15 × 10</w:t>
            </w:r>
            <w:r w:rsidRPr="00B32A45">
              <w:rPr>
                <w:vertAlign w:val="superscript"/>
              </w:rPr>
              <w:t>-3</w:t>
            </w:r>
          </w:p>
        </w:tc>
        <w:tc>
          <w:tcPr>
            <w:tcW w:w="238" w:type="pct"/>
            <w:tcBorders>
              <w:top w:val="single" w:sz="4" w:space="0" w:color="auto"/>
              <w:bottom w:val="single" w:sz="4" w:space="0" w:color="auto"/>
            </w:tcBorders>
            <w:shd w:val="clear" w:color="auto" w:fill="auto"/>
          </w:tcPr>
          <w:p w:rsidR="00C17B3A" w:rsidRPr="00B32A45" w:rsidRDefault="00C17B3A" w:rsidP="00DB6238">
            <w:pPr>
              <w:pStyle w:val="Tabletext"/>
              <w:jc w:val="center"/>
            </w:pPr>
          </w:p>
        </w:tc>
        <w:tc>
          <w:tcPr>
            <w:tcW w:w="1266"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/hour/component</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3</w:t>
            </w:r>
          </w:p>
        </w:tc>
        <w:tc>
          <w:tcPr>
            <w:tcW w:w="1545"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Connectors (flanges and threaded fittings)</w:t>
            </w:r>
          </w:p>
        </w:tc>
        <w:tc>
          <w:tcPr>
            <w:tcW w:w="1580"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1.83 × 10</w:t>
            </w:r>
            <w:r w:rsidRPr="00B32A45">
              <w:rPr>
                <w:vertAlign w:val="superscript"/>
              </w:rPr>
              <w:t>-4</w:t>
            </w:r>
          </w:p>
        </w:tc>
        <w:tc>
          <w:tcPr>
            <w:tcW w:w="238" w:type="pct"/>
            <w:tcBorders>
              <w:top w:val="single" w:sz="4" w:space="0" w:color="auto"/>
              <w:bottom w:val="single" w:sz="4" w:space="0" w:color="auto"/>
            </w:tcBorders>
            <w:shd w:val="clear" w:color="auto" w:fill="auto"/>
          </w:tcPr>
          <w:p w:rsidR="00C17B3A" w:rsidRPr="00B32A45" w:rsidRDefault="00C17B3A" w:rsidP="00DB6238">
            <w:pPr>
              <w:pStyle w:val="Tabletext"/>
              <w:jc w:val="center"/>
            </w:pPr>
          </w:p>
        </w:tc>
        <w:tc>
          <w:tcPr>
            <w:tcW w:w="1266"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/hour/component</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4</w:t>
            </w:r>
          </w:p>
        </w:tc>
        <w:tc>
          <w:tcPr>
            <w:tcW w:w="1545"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Other</w:t>
            </w:r>
          </w:p>
        </w:tc>
        <w:tc>
          <w:tcPr>
            <w:tcW w:w="1580"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9.52 × 10</w:t>
            </w:r>
            <w:r w:rsidRPr="00B32A45">
              <w:rPr>
                <w:vertAlign w:val="superscript"/>
              </w:rPr>
              <w:t>-4</w:t>
            </w:r>
          </w:p>
        </w:tc>
        <w:tc>
          <w:tcPr>
            <w:tcW w:w="238" w:type="pct"/>
            <w:tcBorders>
              <w:top w:val="single" w:sz="4" w:space="0" w:color="auto"/>
              <w:bottom w:val="single" w:sz="4" w:space="0" w:color="auto"/>
            </w:tcBorders>
            <w:shd w:val="clear" w:color="auto" w:fill="auto"/>
          </w:tcPr>
          <w:p w:rsidR="00C17B3A" w:rsidRPr="00B32A45" w:rsidRDefault="00C17B3A" w:rsidP="00DB6238">
            <w:pPr>
              <w:pStyle w:val="Tabletext"/>
              <w:jc w:val="center"/>
            </w:pPr>
          </w:p>
        </w:tc>
        <w:tc>
          <w:tcPr>
            <w:tcW w:w="1266"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/hour/compressor</w:t>
            </w:r>
          </w:p>
        </w:tc>
      </w:tr>
      <w:tr w:rsidR="00C17B3A" w:rsidRPr="00B32A45" w:rsidTr="00DB6238">
        <w:tc>
          <w:tcPr>
            <w:tcW w:w="371" w:type="pct"/>
            <w:tcBorders>
              <w:top w:val="single" w:sz="4" w:space="0" w:color="auto"/>
              <w:bottom w:val="single" w:sz="4" w:space="0" w:color="auto"/>
            </w:tcBorders>
            <w:shd w:val="clear" w:color="auto" w:fill="auto"/>
            <w:vAlign w:val="center"/>
          </w:tcPr>
          <w:p w:rsidR="00C17B3A" w:rsidRPr="00B32A45" w:rsidRDefault="00C17B3A" w:rsidP="00DB6238">
            <w:pPr>
              <w:pStyle w:val="Tabletext"/>
              <w:jc w:val="center"/>
            </w:pPr>
            <w:r w:rsidRPr="00B32A45">
              <w:t>5</w:t>
            </w:r>
          </w:p>
        </w:tc>
        <w:tc>
          <w:tcPr>
            <w:tcW w:w="1545"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Vapour Recovery Compressors</w:t>
            </w:r>
          </w:p>
        </w:tc>
        <w:tc>
          <w:tcPr>
            <w:tcW w:w="1580"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2.24 × 10</w:t>
            </w:r>
            <w:r w:rsidRPr="00B32A45">
              <w:rPr>
                <w:vertAlign w:val="superscript"/>
              </w:rPr>
              <w:t>-3</w:t>
            </w:r>
          </w:p>
        </w:tc>
        <w:tc>
          <w:tcPr>
            <w:tcW w:w="238" w:type="pct"/>
            <w:tcBorders>
              <w:top w:val="single" w:sz="4" w:space="0" w:color="auto"/>
              <w:bottom w:val="single" w:sz="4" w:space="0" w:color="auto"/>
            </w:tcBorders>
            <w:shd w:val="clear" w:color="auto" w:fill="auto"/>
          </w:tcPr>
          <w:p w:rsidR="00C17B3A" w:rsidRPr="00B32A45" w:rsidRDefault="00C17B3A" w:rsidP="00DB6238">
            <w:pPr>
              <w:pStyle w:val="Tabletext"/>
              <w:jc w:val="center"/>
            </w:pPr>
          </w:p>
        </w:tc>
        <w:tc>
          <w:tcPr>
            <w:tcW w:w="1266" w:type="pct"/>
            <w:tcBorders>
              <w:top w:val="single" w:sz="4" w:space="0" w:color="auto"/>
              <w:bottom w:val="single" w:sz="4" w:space="0" w:color="auto"/>
            </w:tcBorders>
            <w:shd w:val="clear" w:color="auto" w:fill="auto"/>
          </w:tcPr>
          <w:p w:rsidR="00C17B3A" w:rsidRPr="00B32A45" w:rsidRDefault="00C17B3A" w:rsidP="00DB6238">
            <w:pPr>
              <w:pStyle w:val="Tabletext"/>
              <w:jc w:val="center"/>
            </w:pPr>
            <w:r w:rsidRPr="00B32A45">
              <w:t>tonnes CO</w:t>
            </w:r>
            <w:r w:rsidRPr="00B32A45">
              <w:rPr>
                <w:vertAlign w:val="subscript"/>
              </w:rPr>
              <w:t>2</w:t>
            </w:r>
            <w:r w:rsidRPr="00B32A45">
              <w:t>-e /hour/compressor</w:t>
            </w:r>
          </w:p>
        </w:tc>
      </w:tr>
    </w:tbl>
    <w:p w:rsidR="00C17B3A" w:rsidRPr="00B32A45" w:rsidRDefault="00C17B3A" w:rsidP="00C17B3A">
      <w:pPr>
        <w:pStyle w:val="tPara"/>
        <w:rPr>
          <w:szCs w:val="22"/>
        </w:rPr>
      </w:pPr>
      <w:r w:rsidRPr="00B32A45">
        <w:tab/>
        <w:t>(b)</w:t>
      </w:r>
      <w:r w:rsidRPr="00B32A45">
        <w:tab/>
        <w:t xml:space="preserve">if the manufacturer of the </w:t>
      </w:r>
      <w:r w:rsidRPr="00B32A45">
        <w:rPr>
          <w:szCs w:val="22"/>
        </w:rPr>
        <w:t xml:space="preserve">component </w:t>
      </w:r>
      <w:r w:rsidRPr="00B32A45">
        <w:t xml:space="preserve">supplies </w:t>
      </w:r>
      <w:r w:rsidRPr="00B32A45">
        <w:rPr>
          <w:szCs w:val="22"/>
        </w:rPr>
        <w:t>component</w:t>
      </w:r>
      <w:r w:rsidRPr="00B32A45">
        <w:noBreakHyphen/>
        <w:t xml:space="preserve">specific emission factors for the </w:t>
      </w:r>
      <w:r w:rsidRPr="00B32A45">
        <w:rPr>
          <w:szCs w:val="22"/>
        </w:rPr>
        <w:t xml:space="preserve">component </w:t>
      </w:r>
      <w:r w:rsidRPr="00B32A45">
        <w:t>type—those factors.</w:t>
      </w:r>
      <w:r w:rsidRPr="00B32A45">
        <w:rPr>
          <w:szCs w:val="22"/>
        </w:rPr>
        <w:t>        </w:t>
      </w:r>
    </w:p>
    <w:p w:rsidR="00C17B3A" w:rsidRPr="00B32A45" w:rsidRDefault="00C17B3A" w:rsidP="00FB7529">
      <w:pPr>
        <w:pStyle w:val="tMain"/>
        <w:keepNext/>
        <w:keepLines/>
      </w:pPr>
      <w:r w:rsidRPr="00B32A45">
        <w:lastRenderedPageBreak/>
        <w:tab/>
        <w:t>(3)</w:t>
      </w:r>
      <w:r w:rsidRPr="00B32A45">
        <w:tab/>
        <w:t xml:space="preserve">If an LDAR program has been carried out at the facility in relation to natural gas liquefaction, storage and transfer components in accordance with subsection (4) and this subsection elected for all components under this method, </w:t>
      </w:r>
      <w:r w:rsidRPr="00B32A45">
        <w:rPr>
          <w:b/>
          <w:i/>
        </w:rPr>
        <w:t>EF</w:t>
      </w:r>
      <w:r w:rsidRPr="00B32A45">
        <w:rPr>
          <w:b/>
          <w:i/>
          <w:vertAlign w:val="subscript"/>
        </w:rPr>
        <w:t>ijk</w:t>
      </w:r>
      <w:r w:rsidRPr="00B32A45">
        <w:t>, the emission factors for methane (</w:t>
      </w:r>
      <w:r w:rsidRPr="00B32A45">
        <w:rPr>
          <w:b/>
          <w:i/>
        </w:rPr>
        <w:t>j</w:t>
      </w:r>
      <w:r w:rsidRPr="00B32A45">
        <w:t xml:space="preserve">), for </w:t>
      </w:r>
      <w:r w:rsidRPr="00B32A45">
        <w:rPr>
          <w:szCs w:val="22"/>
        </w:rPr>
        <w:t xml:space="preserve">component </w:t>
      </w:r>
      <w:r w:rsidRPr="00B32A45">
        <w:t>type (</w:t>
      </w:r>
      <w:r w:rsidRPr="00B32A45">
        <w:rPr>
          <w:b/>
          <w:i/>
        </w:rPr>
        <w:t>k</w:t>
      </w:r>
      <w:r w:rsidR="00FB7529">
        <w:t xml:space="preserve">), are set out in </w:t>
      </w:r>
      <w:r w:rsidRPr="00B32A45">
        <w:t>column 3 of an item in the following table for a component and leaker/non-leaker type (</w:t>
      </w:r>
      <w:r w:rsidRPr="00B32A45">
        <w:rPr>
          <w:b/>
          <w:i/>
        </w:rPr>
        <w:t>k</w:t>
      </w:r>
      <w:r w:rsidRPr="00B32A45">
        <w:t>) spec</w:t>
      </w:r>
      <w:r w:rsidR="00FB7529">
        <w:t>ified in column 2 of that item:</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0"/>
        <w:gridCol w:w="2897"/>
        <w:gridCol w:w="3096"/>
        <w:gridCol w:w="292"/>
        <w:gridCol w:w="2071"/>
      </w:tblGrid>
      <w:tr w:rsidR="00C17B3A" w:rsidRPr="00B32A45" w:rsidTr="00DB6238">
        <w:tc>
          <w:tcPr>
            <w:tcW w:w="371" w:type="pct"/>
            <w:tcBorders>
              <w:top w:val="single" w:sz="12" w:space="0" w:color="auto"/>
              <w:bottom w:val="single" w:sz="12" w:space="0" w:color="auto"/>
            </w:tcBorders>
            <w:shd w:val="clear" w:color="auto" w:fill="auto"/>
          </w:tcPr>
          <w:p w:rsidR="00C17B3A" w:rsidRPr="00B32A45" w:rsidRDefault="00C17B3A" w:rsidP="00FB7529">
            <w:pPr>
              <w:pStyle w:val="TableHeading"/>
              <w:keepLines/>
            </w:pPr>
            <w:r w:rsidRPr="00B32A45">
              <w:t>Item</w:t>
            </w:r>
          </w:p>
        </w:tc>
        <w:tc>
          <w:tcPr>
            <w:tcW w:w="1605" w:type="pct"/>
            <w:tcBorders>
              <w:top w:val="single" w:sz="12" w:space="0" w:color="auto"/>
              <w:bottom w:val="single" w:sz="12" w:space="0" w:color="auto"/>
            </w:tcBorders>
            <w:shd w:val="clear" w:color="auto" w:fill="auto"/>
          </w:tcPr>
          <w:p w:rsidR="00C17B3A" w:rsidRPr="00B32A45" w:rsidRDefault="00C17B3A" w:rsidP="00FB7529">
            <w:pPr>
              <w:pStyle w:val="TableHeading"/>
              <w:keepLines/>
            </w:pPr>
            <w:r w:rsidRPr="00B32A45">
              <w:t>Component and leaker/non leaker type (k)</w:t>
            </w:r>
          </w:p>
        </w:tc>
        <w:tc>
          <w:tcPr>
            <w:tcW w:w="1877" w:type="pct"/>
            <w:gridSpan w:val="2"/>
            <w:tcBorders>
              <w:top w:val="single" w:sz="12" w:space="0" w:color="auto"/>
              <w:bottom w:val="single" w:sz="12" w:space="0" w:color="auto"/>
            </w:tcBorders>
          </w:tcPr>
          <w:p w:rsidR="00C17B3A" w:rsidRPr="00B32A45" w:rsidRDefault="00C17B3A" w:rsidP="00FB7529">
            <w:pPr>
              <w:pStyle w:val="TableHeading"/>
              <w:keepLines/>
            </w:pPr>
            <w:r w:rsidRPr="00B32A45">
              <w:t xml:space="preserve">Emission factor for gas type  (j) </w:t>
            </w:r>
            <w:r w:rsidRPr="00B32A45">
              <w:br/>
            </w:r>
          </w:p>
        </w:tc>
        <w:tc>
          <w:tcPr>
            <w:tcW w:w="1147" w:type="pct"/>
            <w:tcBorders>
              <w:top w:val="single" w:sz="12" w:space="0" w:color="auto"/>
              <w:bottom w:val="single" w:sz="12" w:space="0" w:color="auto"/>
            </w:tcBorders>
          </w:tcPr>
          <w:p w:rsidR="00C17B3A" w:rsidRPr="00B32A45" w:rsidRDefault="00C17B3A" w:rsidP="00FB7529">
            <w:pPr>
              <w:pStyle w:val="TableHeading"/>
              <w:keepLines/>
            </w:pPr>
            <w:r w:rsidRPr="00B32A45">
              <w:br/>
            </w:r>
          </w:p>
        </w:tc>
      </w:tr>
      <w:tr w:rsidR="00C17B3A" w:rsidRPr="00B32A45" w:rsidDel="0000371C" w:rsidTr="006539CC">
        <w:trPr>
          <w:trHeight w:val="315"/>
        </w:trPr>
        <w:tc>
          <w:tcPr>
            <w:tcW w:w="371" w:type="pct"/>
            <w:shd w:val="clear" w:color="auto" w:fill="auto"/>
          </w:tcPr>
          <w:p w:rsidR="00C17B3A" w:rsidRPr="00B32A45" w:rsidRDefault="00C17B3A" w:rsidP="00FB7529">
            <w:pPr>
              <w:pStyle w:val="Tabletext"/>
              <w:keepNext/>
              <w:keepLines/>
            </w:pPr>
          </w:p>
        </w:tc>
        <w:tc>
          <w:tcPr>
            <w:tcW w:w="1605" w:type="pct"/>
            <w:shd w:val="clear" w:color="auto" w:fill="auto"/>
          </w:tcPr>
          <w:p w:rsidR="00C17B3A" w:rsidRPr="00B32A45" w:rsidDel="0000371C" w:rsidRDefault="00C17B3A" w:rsidP="00FB7529">
            <w:pPr>
              <w:pStyle w:val="Tabletext"/>
              <w:keepNext/>
              <w:keepLines/>
            </w:pPr>
          </w:p>
        </w:tc>
        <w:tc>
          <w:tcPr>
            <w:tcW w:w="1715" w:type="pct"/>
          </w:tcPr>
          <w:p w:rsidR="00C17B3A" w:rsidRPr="00B32A45" w:rsidRDefault="00C17B3A" w:rsidP="00FB7529">
            <w:pPr>
              <w:pStyle w:val="Tabletext"/>
              <w:keepNext/>
              <w:keepLines/>
              <w:jc w:val="center"/>
              <w:rPr>
                <w:b/>
              </w:rPr>
            </w:pPr>
            <w:r w:rsidRPr="00B32A45">
              <w:rPr>
                <w:b/>
              </w:rPr>
              <w:t>CH</w:t>
            </w:r>
            <w:r w:rsidRPr="00B32A45">
              <w:rPr>
                <w:b/>
                <w:vertAlign w:val="subscript"/>
              </w:rPr>
              <w:t>4</w:t>
            </w:r>
          </w:p>
        </w:tc>
        <w:tc>
          <w:tcPr>
            <w:tcW w:w="162" w:type="pct"/>
          </w:tcPr>
          <w:p w:rsidR="00C17B3A" w:rsidRPr="00B32A45" w:rsidRDefault="00C17B3A" w:rsidP="00FB7529">
            <w:pPr>
              <w:pStyle w:val="Tabletext"/>
              <w:keepNext/>
              <w:keepLines/>
              <w:jc w:val="center"/>
              <w:rPr>
                <w:b/>
              </w:rPr>
            </w:pPr>
          </w:p>
        </w:tc>
        <w:tc>
          <w:tcPr>
            <w:tcW w:w="1147" w:type="pct"/>
            <w:shd w:val="clear" w:color="auto" w:fill="auto"/>
          </w:tcPr>
          <w:p w:rsidR="00C17B3A" w:rsidRPr="00B32A45" w:rsidDel="0000371C" w:rsidRDefault="00C17B3A" w:rsidP="00FB7529">
            <w:pPr>
              <w:pStyle w:val="Tabletext"/>
              <w:keepNext/>
              <w:keepLines/>
              <w:jc w:val="center"/>
              <w:rPr>
                <w:b/>
              </w:rPr>
            </w:pPr>
            <w:r w:rsidRPr="00B32A45">
              <w:rPr>
                <w:b/>
              </w:rPr>
              <w:t>Units</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1</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Valves—non 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7.56 × 10</w:t>
            </w:r>
            <w:r w:rsidRPr="00B32A45">
              <w:rPr>
                <w:vertAlign w:val="superscript"/>
              </w:rPr>
              <w:t>-6</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2</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Values—leaker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5.60 × 10</w:t>
            </w:r>
            <w:r w:rsidRPr="00B32A45">
              <w:rPr>
                <w:vertAlign w:val="superscript"/>
              </w:rPr>
              <w:t>-3</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3</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Pumps—non 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2.10 × 10</w:t>
            </w:r>
            <w:r w:rsidRPr="00B32A45">
              <w:rPr>
                <w:vertAlign w:val="superscript"/>
              </w:rPr>
              <w:t>-5</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4</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Pumps—leaker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9.80 × 10</w:t>
            </w:r>
            <w:r w:rsidRPr="00B32A45">
              <w:rPr>
                <w:vertAlign w:val="superscript"/>
              </w:rPr>
              <w:t>-3</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5</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Flanges—non 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3.92 × 10</w:t>
            </w:r>
            <w:r w:rsidRPr="00B32A45">
              <w:rPr>
                <w:vertAlign w:val="superscript"/>
              </w:rPr>
              <w:t>-7</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6</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Flanges—leaker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3.36 × 10</w:t>
            </w:r>
            <w:r w:rsidRPr="00B32A45">
              <w:rPr>
                <w:vertAlign w:val="superscript"/>
              </w:rPr>
              <w:t>-3</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7</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Other—non 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2.27 × 10</w:t>
            </w:r>
            <w:r w:rsidRPr="00B32A45">
              <w:rPr>
                <w:vertAlign w:val="superscript"/>
              </w:rPr>
              <w:t>-6</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r w:rsidR="00C17B3A" w:rsidRPr="00B32A45" w:rsidTr="006539CC">
        <w:tc>
          <w:tcPr>
            <w:tcW w:w="371"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8</w:t>
            </w:r>
          </w:p>
        </w:tc>
        <w:tc>
          <w:tcPr>
            <w:tcW w:w="1605" w:type="pct"/>
            <w:tcBorders>
              <w:top w:val="single" w:sz="4" w:space="0" w:color="auto"/>
              <w:bottom w:val="single" w:sz="4" w:space="0" w:color="auto"/>
            </w:tcBorders>
            <w:shd w:val="clear" w:color="auto" w:fill="auto"/>
            <w:vAlign w:val="center"/>
          </w:tcPr>
          <w:p w:rsidR="00C17B3A" w:rsidRPr="00B32A45" w:rsidRDefault="00C17B3A" w:rsidP="00FB7529">
            <w:pPr>
              <w:pStyle w:val="Tabletext"/>
              <w:keepNext/>
              <w:keepLines/>
              <w:jc w:val="center"/>
            </w:pPr>
            <w:r w:rsidRPr="00B32A45">
              <w:t>Other—leaker</w:t>
            </w:r>
          </w:p>
        </w:tc>
        <w:tc>
          <w:tcPr>
            <w:tcW w:w="1715"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r w:rsidRPr="00B32A45">
              <w:t>5.88 × 10</w:t>
            </w:r>
            <w:r w:rsidRPr="00B32A45">
              <w:rPr>
                <w:vertAlign w:val="superscript"/>
              </w:rPr>
              <w:t>-3</w:t>
            </w:r>
          </w:p>
        </w:tc>
        <w:tc>
          <w:tcPr>
            <w:tcW w:w="162" w:type="pct"/>
            <w:tcBorders>
              <w:top w:val="single" w:sz="4" w:space="0" w:color="auto"/>
              <w:bottom w:val="single" w:sz="4" w:space="0" w:color="auto"/>
            </w:tcBorders>
            <w:vAlign w:val="center"/>
          </w:tcPr>
          <w:p w:rsidR="00C17B3A" w:rsidRPr="00B32A45" w:rsidRDefault="00C17B3A" w:rsidP="00FB7529">
            <w:pPr>
              <w:pStyle w:val="Tabletext"/>
              <w:keepNext/>
              <w:keepLines/>
              <w:jc w:val="center"/>
            </w:pPr>
          </w:p>
        </w:tc>
        <w:tc>
          <w:tcPr>
            <w:tcW w:w="1147" w:type="pct"/>
            <w:tcBorders>
              <w:top w:val="single" w:sz="4" w:space="0" w:color="auto"/>
              <w:bottom w:val="single" w:sz="4" w:space="0" w:color="auto"/>
            </w:tcBorders>
            <w:shd w:val="clear" w:color="auto" w:fill="auto"/>
          </w:tcPr>
          <w:p w:rsidR="00C17B3A" w:rsidRPr="00B32A45" w:rsidRDefault="00C17B3A" w:rsidP="00FB7529">
            <w:pPr>
              <w:pStyle w:val="Tabletext"/>
              <w:keepNext/>
              <w:keepLines/>
              <w:jc w:val="center"/>
            </w:pPr>
            <w:r w:rsidRPr="00B32A45">
              <w:t>tonnes CO</w:t>
            </w:r>
            <w:r w:rsidRPr="00B32A45">
              <w:rPr>
                <w:vertAlign w:val="subscript"/>
              </w:rPr>
              <w:t>2</w:t>
            </w:r>
            <w:r w:rsidRPr="00B32A45">
              <w:t>-e / component - hour</w:t>
            </w:r>
          </w:p>
        </w:tc>
      </w:tr>
    </w:tbl>
    <w:p w:rsidR="00C17B3A" w:rsidRPr="00B32A45" w:rsidRDefault="00C17B3A" w:rsidP="00C17B3A">
      <w:pPr>
        <w:pStyle w:val="tMain"/>
        <w:rPr>
          <w:szCs w:val="22"/>
        </w:rPr>
      </w:pPr>
      <w:r w:rsidRPr="00B32A45">
        <w:rPr>
          <w:szCs w:val="22"/>
        </w:rPr>
        <w:t xml:space="preserve">             (4)  For </w:t>
      </w:r>
      <w:r w:rsidRPr="00B32A45">
        <w:rPr>
          <w:bCs/>
          <w:iCs/>
          <w:szCs w:val="22"/>
        </w:rPr>
        <w:t>subsection</w:t>
      </w:r>
      <w:r w:rsidRPr="00B32A45">
        <w:rPr>
          <w:szCs w:val="22"/>
        </w:rPr>
        <w:t xml:space="preserve"> (3)</w:t>
      </w:r>
      <w:r w:rsidR="00F44AA9">
        <w:rPr>
          <w:szCs w:val="22"/>
        </w:rPr>
        <w:t>,</w:t>
      </w:r>
      <w:r w:rsidRPr="00B32A45">
        <w:rPr>
          <w:szCs w:val="22"/>
        </w:rPr>
        <w:t xml:space="preserve"> the LDAR program must survey each component used in </w:t>
      </w:r>
      <w:r w:rsidRPr="00B32A45">
        <w:t>natural gas liquefaction, storage and transfer</w:t>
      </w:r>
      <w:r w:rsidRPr="00B32A45">
        <w:rPr>
          <w:szCs w:val="22"/>
        </w:rPr>
        <w:t xml:space="preserve"> at the facility at least once in a reporting year in accordance with:</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paragraph 98.234(a)(1) of Title 40, Part 98 of the Code of Federal Regulations, United States of America using optical gas imaging with a sensitivity of 60 grams per hour; or</w:t>
      </w:r>
    </w:p>
    <w:p w:rsidR="00C733F2" w:rsidRDefault="00C17B3A" w:rsidP="00C733F2">
      <w:pPr>
        <w:pStyle w:val="tPara"/>
        <w:shd w:val="clear" w:color="auto" w:fill="FFFFFF"/>
        <w:ind w:left="1515" w:hanging="381"/>
        <w:rPr>
          <w:szCs w:val="22"/>
        </w:rPr>
      </w:pPr>
      <w:r w:rsidRPr="00B32A45">
        <w:rPr>
          <w:szCs w:val="22"/>
        </w:rPr>
        <w:t>(b)</w:t>
      </w:r>
      <w:r w:rsidRPr="00B32A45">
        <w:rPr>
          <w:szCs w:val="22"/>
        </w:rPr>
        <w:tab/>
        <w:t>the method outlined in USEPA Method 21—</w:t>
      </w:r>
      <w:r w:rsidRPr="00B32A45">
        <w:rPr>
          <w:i/>
          <w:szCs w:val="22"/>
        </w:rPr>
        <w:t>Determination of organic volatile compound leaks</w:t>
      </w:r>
      <w:r w:rsidRPr="00B32A45">
        <w:rPr>
          <w:szCs w:val="22"/>
        </w:rPr>
        <w:t>, as set out in Appendix A</w:t>
      </w:r>
      <w:r w:rsidRPr="00B32A45">
        <w:rPr>
          <w:szCs w:val="22"/>
        </w:rPr>
        <w:noBreakHyphen/>
        <w:t>7 of Title 40, Part 60 of the Code of Federal Regulations, United States of America where a leaker is detected if 10,000 parts per million or greater is measu</w:t>
      </w:r>
      <w:r w:rsidR="00C733F2">
        <w:rPr>
          <w:szCs w:val="22"/>
        </w:rPr>
        <w:t>red consistent with that method; or</w:t>
      </w:r>
    </w:p>
    <w:p w:rsidR="00C17B3A" w:rsidRPr="00B32A45" w:rsidRDefault="00C733F2" w:rsidP="00C733F2">
      <w:pPr>
        <w:pStyle w:val="tPara"/>
        <w:shd w:val="clear" w:color="auto" w:fill="FFFFFF"/>
        <w:ind w:left="1515" w:hanging="381"/>
        <w:rPr>
          <w:szCs w:val="22"/>
        </w:rPr>
      </w:pPr>
      <w:r>
        <w:rPr>
          <w:szCs w:val="22"/>
        </w:rPr>
        <w:t>(c)</w:t>
      </w:r>
      <w:r>
        <w:rPr>
          <w:szCs w:val="22"/>
        </w:rPr>
        <w:tab/>
        <w:t>an equivalent leak detection standard.</w:t>
      </w:r>
    </w:p>
    <w:p w:rsidR="00C17B3A" w:rsidRPr="00B32A45" w:rsidRDefault="00C17B3A" w:rsidP="00C17B3A">
      <w:pPr>
        <w:pStyle w:val="tMain"/>
        <w:rPr>
          <w:szCs w:val="22"/>
        </w:rPr>
      </w:pPr>
      <w:r w:rsidRPr="00B32A45">
        <w:rPr>
          <w:szCs w:val="22"/>
        </w:rPr>
        <w:t xml:space="preserve">             (5)  </w:t>
      </w:r>
      <w:r w:rsidRPr="00B32A45">
        <w:rPr>
          <w:szCs w:val="22"/>
        </w:rPr>
        <w:tab/>
        <w:t xml:space="preserve">To determine whether a component is a leaker or non leaker at a period of time: </w:t>
      </w:r>
    </w:p>
    <w:p w:rsidR="00C17B3A" w:rsidRPr="00B32A45" w:rsidRDefault="00C17B3A" w:rsidP="00C17B3A">
      <w:pPr>
        <w:pStyle w:val="tPara"/>
        <w:shd w:val="clear" w:color="auto" w:fill="FFFFFF"/>
        <w:ind w:left="1515" w:hanging="381"/>
        <w:rPr>
          <w:szCs w:val="22"/>
        </w:rPr>
      </w:pPr>
      <w:r w:rsidRPr="00B32A45">
        <w:rPr>
          <w:szCs w:val="22"/>
        </w:rPr>
        <w:t xml:space="preserve">(a) </w:t>
      </w:r>
      <w:r w:rsidRPr="00B32A45">
        <w:rPr>
          <w:szCs w:val="22"/>
        </w:rPr>
        <w:tab/>
        <w:t>if a leak is detected in a survey the component is assumed to leak from the later of the beginning of the reporting year or last survey where it was a non leaker; and</w:t>
      </w:r>
    </w:p>
    <w:p w:rsidR="00C17B3A" w:rsidRPr="00B32A45" w:rsidRDefault="00C17B3A" w:rsidP="00C17B3A">
      <w:pPr>
        <w:pStyle w:val="tPara"/>
        <w:shd w:val="clear" w:color="auto" w:fill="FFFFFF"/>
        <w:ind w:left="1515" w:hanging="381"/>
        <w:rPr>
          <w:szCs w:val="22"/>
        </w:rPr>
      </w:pPr>
      <w:r w:rsidRPr="00B32A45">
        <w:rPr>
          <w:szCs w:val="22"/>
        </w:rPr>
        <w:t xml:space="preserve">(b) </w:t>
      </w:r>
      <w:r w:rsidRPr="00B32A45">
        <w:rPr>
          <w:szCs w:val="22"/>
        </w:rPr>
        <w:tab/>
        <w:t>after a leak is detected in a survey the component is assumed to leak until the earlier of the end of the reporting year or the next survey where it is a non leaker.</w:t>
      </w:r>
    </w:p>
    <w:p w:rsidR="00C17B3A" w:rsidRPr="00B32A45" w:rsidRDefault="00C17B3A" w:rsidP="00C17B3A">
      <w:pPr>
        <w:pStyle w:val="tMain"/>
        <w:rPr>
          <w:szCs w:val="22"/>
        </w:rPr>
      </w:pPr>
    </w:p>
    <w:p w:rsidR="00C17B3A" w:rsidRPr="00B32A45" w:rsidRDefault="00C17B3A" w:rsidP="00C17B3A">
      <w:pPr>
        <w:pStyle w:val="tPara"/>
        <w:rPr>
          <w:szCs w:val="22"/>
        </w:rPr>
      </w:pPr>
      <w:r w:rsidRPr="00B32A45">
        <w:rPr>
          <w:szCs w:val="22"/>
        </w:rPr>
        <w:t>   </w:t>
      </w:r>
    </w:p>
    <w:p w:rsidR="00C17B3A" w:rsidRPr="00B32A45" w:rsidRDefault="00C17B3A" w:rsidP="00C17B3A">
      <w:pPr>
        <w:pStyle w:val="h3Div"/>
        <w:pageBreakBefore/>
      </w:pPr>
      <w:bookmarkStart w:id="88" w:name="_Toc69480129"/>
      <w:r w:rsidRPr="00B32A45">
        <w:rPr>
          <w:rStyle w:val="CharDivNo"/>
        </w:rPr>
        <w:lastRenderedPageBreak/>
        <w:t>Division 3.3.8</w:t>
      </w:r>
      <w:r w:rsidRPr="00B32A45">
        <w:t>—</w:t>
      </w:r>
      <w:r w:rsidRPr="00B32A45">
        <w:rPr>
          <w:rStyle w:val="CharDivText"/>
        </w:rPr>
        <w:t>Natural gas distribution</w:t>
      </w:r>
      <w:bookmarkEnd w:id="86"/>
      <w:r w:rsidRPr="00B32A45">
        <w:rPr>
          <w:rStyle w:val="CharDivText"/>
        </w:rPr>
        <w:t xml:space="preserve"> (other than emissions that are flared)</w:t>
      </w:r>
      <w:bookmarkEnd w:id="88"/>
    </w:p>
    <w:p w:rsidR="00C17B3A" w:rsidRPr="00B32A45" w:rsidRDefault="00C17B3A" w:rsidP="00C17B3A">
      <w:pPr>
        <w:pStyle w:val="h5Section"/>
      </w:pPr>
      <w:bookmarkStart w:id="89" w:name="_Toc13233770"/>
      <w:r w:rsidRPr="00B32A45">
        <w:rPr>
          <w:rStyle w:val="CharSectno"/>
        </w:rPr>
        <w:t>3.79</w:t>
      </w:r>
      <w:r w:rsidRPr="00B32A45">
        <w:t xml:space="preserve">  Application</w:t>
      </w:r>
      <w:bookmarkEnd w:id="89"/>
    </w:p>
    <w:p w:rsidR="00C17B3A" w:rsidRPr="00B32A45" w:rsidRDefault="00C17B3A" w:rsidP="00C17B3A">
      <w:pPr>
        <w:pStyle w:val="tMain"/>
      </w:pPr>
      <w:r w:rsidRPr="00B32A45">
        <w:tab/>
      </w:r>
      <w:r w:rsidRPr="00B32A45">
        <w:tab/>
        <w:t xml:space="preserve">This Division applies to </w:t>
      </w:r>
      <w:r w:rsidRPr="00B32A45">
        <w:rPr>
          <w:bCs/>
        </w:rPr>
        <w:t>fugitive emissions from natural gas distribution activities</w:t>
      </w:r>
      <w:r w:rsidRPr="00B32A45">
        <w:t>.</w:t>
      </w:r>
    </w:p>
    <w:p w:rsidR="00C17B3A" w:rsidRPr="00B32A45" w:rsidRDefault="00C17B3A" w:rsidP="00C17B3A">
      <w:pPr>
        <w:pStyle w:val="h5Section"/>
      </w:pPr>
      <w:bookmarkStart w:id="90" w:name="_Toc13233771"/>
      <w:r w:rsidRPr="00B32A45">
        <w:rPr>
          <w:rStyle w:val="CharSectno"/>
        </w:rPr>
        <w:t>3.80</w:t>
      </w:r>
      <w:r w:rsidRPr="00B32A45">
        <w:t xml:space="preserve">  Available methods</w:t>
      </w:r>
      <w:bookmarkEnd w:id="90"/>
    </w:p>
    <w:p w:rsidR="00C17B3A" w:rsidRPr="00B32A45" w:rsidRDefault="00C17B3A" w:rsidP="00C17B3A">
      <w:pPr>
        <w:pStyle w:val="tMain"/>
      </w:pPr>
      <w:r w:rsidRPr="00B32A45">
        <w:tab/>
        <w:t>(1)</w:t>
      </w:r>
      <w:r w:rsidRPr="00B32A45">
        <w:tab/>
        <w:t>Subject to section 1.18 and subsections (2) and (3), one of the following methods must</w:t>
      </w:r>
      <w:r w:rsidRPr="00B32A45">
        <w:rPr>
          <w:i/>
        </w:rPr>
        <w:t xml:space="preserve"> </w:t>
      </w:r>
      <w:r w:rsidRPr="00B32A45">
        <w:t>be used for estimating fugitive emissions (other than emissions that are flared) of each gas type, being carbon dioxide and methane, released during a year from the operation of a facility that is constituted by natural gas distribution through a system of pipelines:</w:t>
      </w:r>
    </w:p>
    <w:p w:rsidR="00C17B3A" w:rsidRPr="00B32A45" w:rsidRDefault="00C17B3A" w:rsidP="00C17B3A">
      <w:pPr>
        <w:pStyle w:val="tPara"/>
      </w:pPr>
      <w:r w:rsidRPr="00B32A45">
        <w:tab/>
        <w:t>(a)</w:t>
      </w:r>
      <w:r w:rsidRPr="00B32A45">
        <w:tab/>
        <w:t>method 1 under section 3.81;</w:t>
      </w:r>
    </w:p>
    <w:p w:rsidR="00C17B3A" w:rsidRPr="00B32A45" w:rsidRDefault="00C17B3A" w:rsidP="00C17B3A">
      <w:pPr>
        <w:pStyle w:val="tPara"/>
      </w:pPr>
      <w:r w:rsidRPr="00B32A45">
        <w:tab/>
        <w:t>(b)</w:t>
      </w:r>
      <w:r w:rsidRPr="00B32A45">
        <w:tab/>
        <w:t>method 2 under section 3.82;</w:t>
      </w:r>
    </w:p>
    <w:p w:rsidR="00C17B3A" w:rsidRPr="00B32A45" w:rsidRDefault="00C17B3A" w:rsidP="00C17B3A">
      <w:pPr>
        <w:pStyle w:val="tPara"/>
      </w:pPr>
      <w:r w:rsidRPr="00B32A45">
        <w:tab/>
        <w:t>(c)</w:t>
      </w:r>
      <w:r w:rsidRPr="00B32A45">
        <w:tab/>
        <w:t>method 3 under section 3.82A.</w:t>
      </w:r>
    </w:p>
    <w:p w:rsidR="00C17B3A" w:rsidRPr="00B32A45" w:rsidRDefault="00C17B3A" w:rsidP="00C17B3A">
      <w:pPr>
        <w:pStyle w:val="nMain"/>
      </w:pPr>
      <w:r w:rsidRPr="00B32A45">
        <w:t>Note:</w:t>
      </w:r>
      <w:r w:rsidRPr="00B32A45">
        <w:tab/>
        <w:t>There is no method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r w:rsidRPr="00B32A45">
        <w:tab/>
        <w:t>(3)</w:t>
      </w:r>
      <w:r w:rsidRPr="00B32A45">
        <w:tab/>
        <w:t>Method 3 may only be used if the percentage of unaccounted for gas for a facility is calculated or determined during a reporting year in accordance with gas market rules or procedures applicable to the facility.</w:t>
      </w:r>
    </w:p>
    <w:p w:rsidR="00C17B3A" w:rsidRPr="00B32A45" w:rsidRDefault="00C17B3A" w:rsidP="00C17B3A">
      <w:pPr>
        <w:pStyle w:val="nMain"/>
      </w:pPr>
      <w:r w:rsidRPr="00B32A45">
        <w:t>Note:</w:t>
      </w:r>
      <w:r w:rsidRPr="00B32A45">
        <w:tab/>
        <w:t>A percentage of unaccounted for gas is generally worked out under procedures made by the Australian Energy Market Operator and available on their website: www.aemo.com.au</w:t>
      </w:r>
    </w:p>
    <w:p w:rsidR="00C17B3A" w:rsidRPr="00B32A45" w:rsidRDefault="00C17B3A" w:rsidP="00C17B3A">
      <w:pPr>
        <w:pStyle w:val="h5Section"/>
      </w:pPr>
      <w:bookmarkStart w:id="91" w:name="_Toc13233772"/>
      <w:r w:rsidRPr="00B32A45">
        <w:rPr>
          <w:rStyle w:val="CharSectno"/>
        </w:rPr>
        <w:t>3.81</w:t>
      </w:r>
      <w:r w:rsidRPr="00B32A45">
        <w:t xml:space="preserve">  Method 1—natural gas distribution</w:t>
      </w:r>
      <w:bookmarkEnd w:id="91"/>
    </w:p>
    <w:p w:rsidR="00C17B3A" w:rsidRPr="00B32A45" w:rsidRDefault="00C17B3A" w:rsidP="00C17B3A">
      <w:pPr>
        <w:pStyle w:val="tMain"/>
      </w:pPr>
      <w:r w:rsidRPr="00B32A45">
        <w:tab/>
        <w:t>(1)</w:t>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4CEB68E7" wp14:editId="7E2436C3">
            <wp:extent cx="22764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6475" cy="23812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Style w:val="charSubscript"/>
          <w:b/>
          <w:i/>
        </w:rPr>
        <w:t>jp</w:t>
      </w:r>
      <w:r w:rsidRPr="00B32A45">
        <w:t xml:space="preserve"> is the fugitive emissions of gas type (</w:t>
      </w:r>
      <w:r w:rsidRPr="00B32A45">
        <w:rPr>
          <w:b/>
          <w:i/>
        </w:rPr>
        <w:t>j</w:t>
      </w:r>
      <w:r w:rsidRPr="00B32A45">
        <w:t>) that result from natural gas distribution through a system of pipelines with sales of gas in a State or Territory (</w:t>
      </w:r>
      <w:r w:rsidRPr="00B32A45">
        <w:rPr>
          <w:b/>
          <w:i/>
        </w:rPr>
        <w:t>p</w:t>
      </w:r>
      <w:r w:rsidRPr="00B32A45">
        <w:t>)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S</w:t>
      </w:r>
      <w:r w:rsidRPr="00B32A45">
        <w:rPr>
          <w:rStyle w:val="charSubscript"/>
          <w:b/>
          <w:i/>
        </w:rPr>
        <w:t>p</w:t>
      </w:r>
      <w:r w:rsidRPr="00B32A45">
        <w:rPr>
          <w:b/>
          <w:i/>
        </w:rPr>
        <w:t xml:space="preserve"> </w:t>
      </w:r>
      <w:r w:rsidRPr="00B32A45">
        <w:t>is the total sales during the year from the pipeline system in a State or Territory (</w:t>
      </w:r>
      <w:r w:rsidRPr="00B32A45">
        <w:rPr>
          <w:b/>
          <w:i/>
        </w:rPr>
        <w:t>p</w:t>
      </w:r>
      <w:r w:rsidRPr="00B32A45">
        <w:t>), measured in terajoules.</w:t>
      </w:r>
    </w:p>
    <w:p w:rsidR="00C17B3A" w:rsidRPr="00B32A45" w:rsidRDefault="00C17B3A" w:rsidP="00C17B3A">
      <w:pPr>
        <w:pStyle w:val="tDefn"/>
      </w:pPr>
      <w:r w:rsidRPr="00B32A45">
        <w:rPr>
          <w:b/>
          <w:i/>
        </w:rPr>
        <w:t>%UAG</w:t>
      </w:r>
      <w:r w:rsidRPr="00B32A45">
        <w:rPr>
          <w:rStyle w:val="charSubscript"/>
          <w:i/>
        </w:rPr>
        <w:t>p</w:t>
      </w:r>
      <w:r w:rsidRPr="00B32A45">
        <w:rPr>
          <w:i/>
        </w:rPr>
        <w:t xml:space="preserve"> </w:t>
      </w:r>
      <w:r w:rsidRPr="00B32A45">
        <w:t>is the percentage of unaccounted for gas in the pipeline system in a State or Territory, relative to the amount of gas issued annually by gas utilities in that State or Territory.</w:t>
      </w:r>
    </w:p>
    <w:p w:rsidR="00C17B3A" w:rsidRPr="00B32A45" w:rsidRDefault="00C17B3A" w:rsidP="00C17B3A">
      <w:pPr>
        <w:pStyle w:val="nMain"/>
      </w:pPr>
      <w:r w:rsidRPr="00B32A45">
        <w:t>Note:</w:t>
      </w:r>
      <w:r w:rsidRPr="00B32A45">
        <w:tab/>
        <w:t>The value 0.55 following the variable %UAGp in method 1 represents the proportion of gas that is unaccounted for and released as emissions.</w:t>
      </w:r>
    </w:p>
    <w:p w:rsidR="00C17B3A" w:rsidRPr="00B32A45" w:rsidRDefault="00C17B3A" w:rsidP="00C17B3A">
      <w:pPr>
        <w:pStyle w:val="tDefn"/>
      </w:pPr>
      <w:r w:rsidRPr="00B32A45">
        <w:rPr>
          <w:b/>
          <w:i/>
        </w:rPr>
        <w:t>C</w:t>
      </w:r>
      <w:r w:rsidRPr="00B32A45">
        <w:rPr>
          <w:rStyle w:val="charSubscript"/>
          <w:b/>
          <w:i/>
        </w:rPr>
        <w:t>jp</w:t>
      </w:r>
      <w:r w:rsidRPr="00B32A45">
        <w:t xml:space="preserve"> is the natural gas composition factor for gas type (</w:t>
      </w:r>
      <w:r w:rsidRPr="00B32A45">
        <w:rPr>
          <w:b/>
          <w:i/>
        </w:rPr>
        <w:t>j)</w:t>
      </w:r>
      <w:r w:rsidRPr="00B32A45">
        <w:t xml:space="preserve"> for the natural gas supplied from the pipeline system in a State or Territory (</w:t>
      </w:r>
      <w:r w:rsidRPr="00B32A45">
        <w:rPr>
          <w:b/>
          <w:i/>
        </w:rPr>
        <w:t>p</w:t>
      </w:r>
      <w:r w:rsidRPr="00B32A45">
        <w:t>), measured in CO</w:t>
      </w:r>
      <w:r w:rsidRPr="00B32A45">
        <w:rPr>
          <w:vertAlign w:val="subscript"/>
        </w:rPr>
        <w:t>2</w:t>
      </w:r>
      <w:r w:rsidRPr="00B32A45">
        <w:noBreakHyphen/>
        <w:t>e tonnes per terajoule.</w:t>
      </w:r>
    </w:p>
    <w:p w:rsidR="00C17B3A" w:rsidRPr="00B32A45" w:rsidRDefault="00C17B3A" w:rsidP="00C17B3A">
      <w:pPr>
        <w:pStyle w:val="tMain"/>
      </w:pPr>
      <w:r w:rsidRPr="00B32A45">
        <w:tab/>
        <w:t>(2)</w:t>
      </w:r>
      <w:r w:rsidRPr="00B32A45">
        <w:tab/>
        <w:t>For %UAGp in subsection (1), column 3 of an item in the following table specifies the percentage of unaccounted for gas in the pipeline system in a State or Territory specified in column 2 of that item.</w:t>
      </w:r>
    </w:p>
    <w:p w:rsidR="00C17B3A" w:rsidRPr="00B32A45" w:rsidRDefault="00C17B3A" w:rsidP="00C17B3A">
      <w:pPr>
        <w:pStyle w:val="tMain"/>
      </w:pPr>
      <w:r w:rsidRPr="00B32A45">
        <w:lastRenderedPageBreak/>
        <w:tab/>
        <w:t>(3)</w:t>
      </w:r>
      <w:r w:rsidRPr="00B32A45">
        <w:tab/>
        <w:t xml:space="preserve">For </w:t>
      </w:r>
      <w:r w:rsidRPr="00B32A45">
        <w:rPr>
          <w:b/>
          <w:i/>
        </w:rPr>
        <w:t>C</w:t>
      </w:r>
      <w:r w:rsidRPr="00B32A45">
        <w:rPr>
          <w:rStyle w:val="charSubscript"/>
          <w:b/>
          <w:i/>
        </w:rPr>
        <w:t>jp</w:t>
      </w:r>
      <w:r w:rsidRPr="00B32A45">
        <w:t xml:space="preserve"> in subsection (1), columns 4 and 5 of an item in the following table specify the natural gas composition factor for carbon dioxide and methane for a pipeline system in a State or Territory specified in column 2.</w:t>
      </w:r>
    </w:p>
    <w:p w:rsidR="00C17B3A" w:rsidRPr="00B32A45" w:rsidRDefault="00C17B3A" w:rsidP="00C17B3A">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2177"/>
        <w:gridCol w:w="2177"/>
        <w:gridCol w:w="2033"/>
        <w:gridCol w:w="1623"/>
      </w:tblGrid>
      <w:tr w:rsidR="00C17B3A" w:rsidRPr="00B32A45" w:rsidTr="00DB6238">
        <w:trPr>
          <w:cantSplit/>
          <w:tblHeader/>
        </w:trPr>
        <w:tc>
          <w:tcPr>
            <w:tcW w:w="563" w:type="pc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Item</w:t>
            </w:r>
          </w:p>
        </w:tc>
        <w:tc>
          <w:tcPr>
            <w:tcW w:w="1206" w:type="pct"/>
            <w:vMerge w:val="restar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State</w:t>
            </w:r>
          </w:p>
        </w:tc>
        <w:tc>
          <w:tcPr>
            <w:tcW w:w="1206" w:type="pct"/>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Unaccounted for gas (a)%</w:t>
            </w:r>
          </w:p>
        </w:tc>
        <w:tc>
          <w:tcPr>
            <w:tcW w:w="2025" w:type="pct"/>
            <w:gridSpan w:val="2"/>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Natural gas composition factor (a)(tonnes CO</w:t>
            </w:r>
            <w:r w:rsidRPr="00B32A45">
              <w:rPr>
                <w:rStyle w:val="charSubscript"/>
                <w:iCs/>
              </w:rPr>
              <w:t>2</w:t>
            </w:r>
            <w:r w:rsidRPr="00B32A45">
              <w:rPr>
                <w:rStyle w:val="charSubscript"/>
                <w:iCs/>
              </w:rPr>
              <w:noBreakHyphen/>
              <w:t>e</w:t>
            </w:r>
            <w:r w:rsidRPr="00B32A45">
              <w:t>/TJ)</w:t>
            </w:r>
          </w:p>
        </w:tc>
      </w:tr>
      <w:tr w:rsidR="00C17B3A" w:rsidRPr="00B32A45" w:rsidTr="00DB6238">
        <w:trPr>
          <w:cantSplit/>
          <w:tblHeader/>
        </w:trPr>
        <w:tc>
          <w:tcPr>
            <w:tcW w:w="563" w:type="pct"/>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206" w:type="pct"/>
            <w:vMerge/>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206"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UAGp</w:t>
            </w:r>
          </w:p>
        </w:tc>
        <w:tc>
          <w:tcPr>
            <w:tcW w:w="1126"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CO</w:t>
            </w:r>
            <w:r w:rsidRPr="00B32A45">
              <w:rPr>
                <w:vertAlign w:val="subscript"/>
              </w:rPr>
              <w:t>2</w:t>
            </w:r>
          </w:p>
        </w:tc>
        <w:tc>
          <w:tcPr>
            <w:tcW w:w="899"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CH</w:t>
            </w:r>
            <w:r w:rsidRPr="00B32A45">
              <w:rPr>
                <w:vertAlign w:val="subscript"/>
              </w:rPr>
              <w:t>4</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1</w:t>
            </w:r>
          </w:p>
        </w:tc>
        <w:tc>
          <w:tcPr>
            <w:tcW w:w="1206" w:type="pct"/>
            <w:tcBorders>
              <w:top w:val="nil"/>
              <w:left w:val="nil"/>
              <w:bottom w:val="nil"/>
              <w:right w:val="nil"/>
            </w:tcBorders>
          </w:tcPr>
          <w:p w:rsidR="00C17B3A" w:rsidRPr="00B32A45" w:rsidRDefault="00C17B3A" w:rsidP="00DB6238">
            <w:pPr>
              <w:pStyle w:val="Tabletext"/>
            </w:pPr>
            <w:r w:rsidRPr="00B32A45">
              <w:t>NSW and ACT</w:t>
            </w:r>
          </w:p>
        </w:tc>
        <w:tc>
          <w:tcPr>
            <w:tcW w:w="1206" w:type="pct"/>
            <w:tcBorders>
              <w:top w:val="nil"/>
              <w:left w:val="nil"/>
              <w:bottom w:val="nil"/>
              <w:right w:val="nil"/>
            </w:tcBorders>
          </w:tcPr>
          <w:p w:rsidR="00C17B3A" w:rsidRPr="00B32A45" w:rsidRDefault="00C17B3A" w:rsidP="00DB6238">
            <w:pPr>
              <w:pStyle w:val="Tabletext"/>
            </w:pPr>
            <w:r w:rsidRPr="00B32A45">
              <w:t>2.2</w:t>
            </w:r>
          </w:p>
        </w:tc>
        <w:tc>
          <w:tcPr>
            <w:tcW w:w="1126" w:type="pct"/>
            <w:tcBorders>
              <w:top w:val="nil"/>
              <w:left w:val="nil"/>
              <w:bottom w:val="nil"/>
              <w:right w:val="nil"/>
            </w:tcBorders>
          </w:tcPr>
          <w:p w:rsidR="00C17B3A" w:rsidRPr="00B32A45" w:rsidRDefault="00C17B3A" w:rsidP="00DB6238">
            <w:pPr>
              <w:pStyle w:val="Tabletext"/>
            </w:pPr>
            <w:r w:rsidRPr="00B32A45">
              <w:t>0.8</w:t>
            </w:r>
          </w:p>
        </w:tc>
        <w:tc>
          <w:tcPr>
            <w:tcW w:w="899" w:type="pct"/>
            <w:tcBorders>
              <w:top w:val="nil"/>
              <w:left w:val="nil"/>
              <w:bottom w:val="nil"/>
              <w:right w:val="nil"/>
            </w:tcBorders>
          </w:tcPr>
          <w:p w:rsidR="00C17B3A" w:rsidRPr="00B32A45" w:rsidRDefault="00C17B3A" w:rsidP="00DB6238">
            <w:pPr>
              <w:pStyle w:val="Tabletext"/>
            </w:pPr>
            <w:r w:rsidRPr="00B32A45">
              <w:t xml:space="preserve">437 </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2</w:t>
            </w:r>
          </w:p>
        </w:tc>
        <w:tc>
          <w:tcPr>
            <w:tcW w:w="1206" w:type="pct"/>
            <w:tcBorders>
              <w:top w:val="nil"/>
              <w:left w:val="nil"/>
              <w:bottom w:val="nil"/>
              <w:right w:val="nil"/>
            </w:tcBorders>
          </w:tcPr>
          <w:p w:rsidR="00C17B3A" w:rsidRPr="00B32A45" w:rsidRDefault="00C17B3A" w:rsidP="00DB6238">
            <w:pPr>
              <w:pStyle w:val="Tabletext"/>
            </w:pPr>
            <w:r w:rsidRPr="00B32A45">
              <w:t>VIC</w:t>
            </w:r>
          </w:p>
        </w:tc>
        <w:tc>
          <w:tcPr>
            <w:tcW w:w="1206" w:type="pct"/>
            <w:tcBorders>
              <w:top w:val="nil"/>
              <w:left w:val="nil"/>
              <w:bottom w:val="nil"/>
              <w:right w:val="nil"/>
            </w:tcBorders>
          </w:tcPr>
          <w:p w:rsidR="00C17B3A" w:rsidRPr="00B32A45" w:rsidRDefault="00C17B3A" w:rsidP="00DB6238">
            <w:pPr>
              <w:pStyle w:val="Tabletext"/>
            </w:pPr>
            <w:r w:rsidRPr="00B32A45">
              <w:t>3.0</w:t>
            </w:r>
          </w:p>
        </w:tc>
        <w:tc>
          <w:tcPr>
            <w:tcW w:w="1126" w:type="pct"/>
            <w:tcBorders>
              <w:top w:val="nil"/>
              <w:left w:val="nil"/>
              <w:bottom w:val="nil"/>
              <w:right w:val="nil"/>
            </w:tcBorders>
          </w:tcPr>
          <w:p w:rsidR="00C17B3A" w:rsidRPr="00B32A45" w:rsidRDefault="00C17B3A" w:rsidP="00DB6238">
            <w:pPr>
              <w:pStyle w:val="Tabletext"/>
            </w:pPr>
            <w:r w:rsidRPr="00B32A45">
              <w:t>0.9</w:t>
            </w:r>
          </w:p>
        </w:tc>
        <w:tc>
          <w:tcPr>
            <w:tcW w:w="899" w:type="pct"/>
            <w:tcBorders>
              <w:top w:val="nil"/>
              <w:left w:val="nil"/>
              <w:bottom w:val="nil"/>
              <w:right w:val="nil"/>
            </w:tcBorders>
          </w:tcPr>
          <w:p w:rsidR="00C17B3A" w:rsidRPr="00B32A45" w:rsidRDefault="00C17B3A" w:rsidP="00DB6238">
            <w:pPr>
              <w:pStyle w:val="Tabletext"/>
            </w:pPr>
            <w:r w:rsidRPr="00B32A45">
              <w:t xml:space="preserve">435 </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3</w:t>
            </w:r>
          </w:p>
        </w:tc>
        <w:tc>
          <w:tcPr>
            <w:tcW w:w="1206" w:type="pct"/>
            <w:tcBorders>
              <w:top w:val="nil"/>
              <w:left w:val="nil"/>
              <w:bottom w:val="nil"/>
              <w:right w:val="nil"/>
            </w:tcBorders>
          </w:tcPr>
          <w:p w:rsidR="00C17B3A" w:rsidRPr="00B32A45" w:rsidRDefault="00C17B3A" w:rsidP="00DB6238">
            <w:pPr>
              <w:pStyle w:val="Tabletext"/>
            </w:pPr>
            <w:r w:rsidRPr="00B32A45">
              <w:t>QLD</w:t>
            </w:r>
          </w:p>
        </w:tc>
        <w:tc>
          <w:tcPr>
            <w:tcW w:w="1206" w:type="pct"/>
            <w:tcBorders>
              <w:top w:val="nil"/>
              <w:left w:val="nil"/>
              <w:bottom w:val="nil"/>
              <w:right w:val="nil"/>
            </w:tcBorders>
          </w:tcPr>
          <w:p w:rsidR="00C17B3A" w:rsidRPr="00B32A45" w:rsidRDefault="00C17B3A" w:rsidP="00DB6238">
            <w:pPr>
              <w:pStyle w:val="Tabletext"/>
            </w:pPr>
            <w:r w:rsidRPr="00B32A45">
              <w:t>1.7</w:t>
            </w:r>
          </w:p>
        </w:tc>
        <w:tc>
          <w:tcPr>
            <w:tcW w:w="1126" w:type="pct"/>
            <w:tcBorders>
              <w:top w:val="nil"/>
              <w:left w:val="nil"/>
              <w:bottom w:val="nil"/>
              <w:right w:val="nil"/>
            </w:tcBorders>
          </w:tcPr>
          <w:p w:rsidR="00C17B3A" w:rsidRPr="00B32A45" w:rsidRDefault="00C17B3A" w:rsidP="00DB6238">
            <w:pPr>
              <w:pStyle w:val="Tabletext"/>
            </w:pPr>
            <w:r w:rsidRPr="00B32A45">
              <w:t>0.8</w:t>
            </w:r>
          </w:p>
        </w:tc>
        <w:tc>
          <w:tcPr>
            <w:tcW w:w="899" w:type="pct"/>
            <w:tcBorders>
              <w:top w:val="nil"/>
              <w:left w:val="nil"/>
              <w:bottom w:val="nil"/>
              <w:right w:val="nil"/>
            </w:tcBorders>
          </w:tcPr>
          <w:p w:rsidR="00C17B3A" w:rsidRPr="00B32A45" w:rsidRDefault="00C17B3A" w:rsidP="00DB6238">
            <w:pPr>
              <w:pStyle w:val="Tabletext"/>
            </w:pPr>
            <w:r w:rsidRPr="00B32A45">
              <w:t xml:space="preserve">423 </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4</w:t>
            </w:r>
          </w:p>
        </w:tc>
        <w:tc>
          <w:tcPr>
            <w:tcW w:w="1206" w:type="pct"/>
            <w:tcBorders>
              <w:top w:val="nil"/>
              <w:left w:val="nil"/>
              <w:bottom w:val="nil"/>
              <w:right w:val="nil"/>
            </w:tcBorders>
          </w:tcPr>
          <w:p w:rsidR="00C17B3A" w:rsidRPr="00B32A45" w:rsidRDefault="00C17B3A" w:rsidP="00DB6238">
            <w:pPr>
              <w:pStyle w:val="Tabletext"/>
            </w:pPr>
            <w:r w:rsidRPr="00B32A45">
              <w:t>WA</w:t>
            </w:r>
          </w:p>
        </w:tc>
        <w:tc>
          <w:tcPr>
            <w:tcW w:w="1206" w:type="pct"/>
            <w:tcBorders>
              <w:top w:val="nil"/>
              <w:left w:val="nil"/>
              <w:bottom w:val="nil"/>
              <w:right w:val="nil"/>
            </w:tcBorders>
          </w:tcPr>
          <w:p w:rsidR="00C17B3A" w:rsidRPr="00B32A45" w:rsidRDefault="00C17B3A" w:rsidP="00DB6238">
            <w:pPr>
              <w:pStyle w:val="Tabletext"/>
            </w:pPr>
            <w:r w:rsidRPr="00B32A45">
              <w:t>2.9</w:t>
            </w:r>
          </w:p>
        </w:tc>
        <w:tc>
          <w:tcPr>
            <w:tcW w:w="1126" w:type="pct"/>
            <w:tcBorders>
              <w:top w:val="nil"/>
              <w:left w:val="nil"/>
              <w:bottom w:val="nil"/>
              <w:right w:val="nil"/>
            </w:tcBorders>
          </w:tcPr>
          <w:p w:rsidR="00C17B3A" w:rsidRPr="00B32A45" w:rsidRDefault="00C17B3A" w:rsidP="00DB6238">
            <w:pPr>
              <w:pStyle w:val="Tabletext"/>
            </w:pPr>
            <w:r w:rsidRPr="00B32A45">
              <w:t>1.1</w:t>
            </w:r>
          </w:p>
        </w:tc>
        <w:tc>
          <w:tcPr>
            <w:tcW w:w="899" w:type="pct"/>
            <w:tcBorders>
              <w:top w:val="nil"/>
              <w:left w:val="nil"/>
              <w:bottom w:val="nil"/>
              <w:right w:val="nil"/>
            </w:tcBorders>
          </w:tcPr>
          <w:p w:rsidR="00C17B3A" w:rsidRPr="00B32A45" w:rsidRDefault="00C17B3A" w:rsidP="00DB6238">
            <w:pPr>
              <w:pStyle w:val="Tabletext"/>
            </w:pPr>
            <w:r w:rsidRPr="00B32A45">
              <w:t xml:space="preserve">408 </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5</w:t>
            </w:r>
          </w:p>
        </w:tc>
        <w:tc>
          <w:tcPr>
            <w:tcW w:w="1206" w:type="pct"/>
            <w:tcBorders>
              <w:top w:val="nil"/>
              <w:left w:val="nil"/>
              <w:bottom w:val="nil"/>
              <w:right w:val="nil"/>
            </w:tcBorders>
          </w:tcPr>
          <w:p w:rsidR="00C17B3A" w:rsidRPr="00B32A45" w:rsidRDefault="00C17B3A" w:rsidP="00DB6238">
            <w:pPr>
              <w:pStyle w:val="Tabletext"/>
            </w:pPr>
            <w:r w:rsidRPr="00B32A45">
              <w:t>SA</w:t>
            </w:r>
          </w:p>
        </w:tc>
        <w:tc>
          <w:tcPr>
            <w:tcW w:w="1206" w:type="pct"/>
            <w:tcBorders>
              <w:top w:val="nil"/>
              <w:left w:val="nil"/>
              <w:bottom w:val="nil"/>
              <w:right w:val="nil"/>
            </w:tcBorders>
          </w:tcPr>
          <w:p w:rsidR="00C17B3A" w:rsidRPr="00B32A45" w:rsidRDefault="00C17B3A" w:rsidP="00DB6238">
            <w:pPr>
              <w:pStyle w:val="Tabletext"/>
            </w:pPr>
            <w:r w:rsidRPr="00B32A45">
              <w:t>4.9</w:t>
            </w:r>
          </w:p>
        </w:tc>
        <w:tc>
          <w:tcPr>
            <w:tcW w:w="1126" w:type="pct"/>
            <w:tcBorders>
              <w:top w:val="nil"/>
              <w:left w:val="nil"/>
              <w:bottom w:val="nil"/>
              <w:right w:val="nil"/>
            </w:tcBorders>
          </w:tcPr>
          <w:p w:rsidR="00C17B3A" w:rsidRPr="00B32A45" w:rsidRDefault="00C17B3A" w:rsidP="00DB6238">
            <w:pPr>
              <w:pStyle w:val="Tabletext"/>
            </w:pPr>
            <w:r w:rsidRPr="00B32A45">
              <w:t>0.8</w:t>
            </w:r>
          </w:p>
        </w:tc>
        <w:tc>
          <w:tcPr>
            <w:tcW w:w="899" w:type="pct"/>
            <w:tcBorders>
              <w:top w:val="nil"/>
              <w:left w:val="nil"/>
              <w:bottom w:val="nil"/>
              <w:right w:val="nil"/>
            </w:tcBorders>
          </w:tcPr>
          <w:p w:rsidR="00C17B3A" w:rsidRPr="00B32A45" w:rsidRDefault="00C17B3A" w:rsidP="00DB6238">
            <w:pPr>
              <w:pStyle w:val="Tabletext"/>
            </w:pPr>
            <w:r w:rsidRPr="00B32A45">
              <w:t xml:space="preserve">437 </w:t>
            </w:r>
          </w:p>
        </w:tc>
      </w:tr>
      <w:tr w:rsidR="00C17B3A" w:rsidRPr="00B32A45" w:rsidTr="00DB6238">
        <w:tc>
          <w:tcPr>
            <w:tcW w:w="563" w:type="pct"/>
            <w:tcBorders>
              <w:top w:val="nil"/>
              <w:left w:val="nil"/>
              <w:bottom w:val="nil"/>
              <w:right w:val="nil"/>
            </w:tcBorders>
          </w:tcPr>
          <w:p w:rsidR="00C17B3A" w:rsidRPr="00B32A45" w:rsidRDefault="00C17B3A" w:rsidP="00DB6238">
            <w:pPr>
              <w:pStyle w:val="Tabletext"/>
            </w:pPr>
            <w:r w:rsidRPr="00B32A45">
              <w:t>6</w:t>
            </w:r>
          </w:p>
        </w:tc>
        <w:tc>
          <w:tcPr>
            <w:tcW w:w="1206" w:type="pct"/>
            <w:tcBorders>
              <w:top w:val="nil"/>
              <w:left w:val="nil"/>
              <w:bottom w:val="nil"/>
              <w:right w:val="nil"/>
            </w:tcBorders>
          </w:tcPr>
          <w:p w:rsidR="00C17B3A" w:rsidRPr="00B32A45" w:rsidRDefault="00C17B3A" w:rsidP="00DB6238">
            <w:pPr>
              <w:pStyle w:val="Tabletext"/>
            </w:pPr>
            <w:r w:rsidRPr="00B32A45">
              <w:t>TAS</w:t>
            </w:r>
          </w:p>
        </w:tc>
        <w:tc>
          <w:tcPr>
            <w:tcW w:w="1206" w:type="pct"/>
            <w:tcBorders>
              <w:top w:val="nil"/>
              <w:left w:val="nil"/>
              <w:bottom w:val="nil"/>
              <w:right w:val="nil"/>
            </w:tcBorders>
          </w:tcPr>
          <w:p w:rsidR="00C17B3A" w:rsidRPr="00B32A45" w:rsidRDefault="00C17B3A" w:rsidP="00DB6238">
            <w:pPr>
              <w:pStyle w:val="Tabletext"/>
            </w:pPr>
            <w:r w:rsidRPr="00B32A45">
              <w:t>0.2</w:t>
            </w:r>
          </w:p>
        </w:tc>
        <w:tc>
          <w:tcPr>
            <w:tcW w:w="1126" w:type="pct"/>
            <w:tcBorders>
              <w:top w:val="nil"/>
              <w:left w:val="nil"/>
              <w:bottom w:val="nil"/>
              <w:right w:val="nil"/>
            </w:tcBorders>
          </w:tcPr>
          <w:p w:rsidR="00C17B3A" w:rsidRPr="00B32A45" w:rsidRDefault="00C17B3A" w:rsidP="00DB6238">
            <w:pPr>
              <w:pStyle w:val="Tabletext"/>
            </w:pPr>
            <w:r w:rsidRPr="00B32A45">
              <w:t>0.9</w:t>
            </w:r>
          </w:p>
        </w:tc>
        <w:tc>
          <w:tcPr>
            <w:tcW w:w="899" w:type="pct"/>
            <w:tcBorders>
              <w:top w:val="nil"/>
              <w:left w:val="nil"/>
              <w:bottom w:val="nil"/>
              <w:right w:val="nil"/>
            </w:tcBorders>
          </w:tcPr>
          <w:p w:rsidR="00C17B3A" w:rsidRPr="00B32A45" w:rsidRDefault="00C17B3A" w:rsidP="00DB6238">
            <w:pPr>
              <w:pStyle w:val="Tabletext"/>
            </w:pPr>
            <w:r w:rsidRPr="00B32A45">
              <w:t>435</w:t>
            </w:r>
          </w:p>
        </w:tc>
      </w:tr>
      <w:tr w:rsidR="00C17B3A" w:rsidRPr="00B32A45" w:rsidTr="00DB6238">
        <w:tc>
          <w:tcPr>
            <w:tcW w:w="563" w:type="pct"/>
            <w:tcBorders>
              <w:top w:val="nil"/>
              <w:left w:val="nil"/>
              <w:bottom w:val="single" w:sz="12" w:space="0" w:color="auto"/>
              <w:right w:val="nil"/>
            </w:tcBorders>
          </w:tcPr>
          <w:p w:rsidR="00C17B3A" w:rsidRPr="00B32A45" w:rsidRDefault="00C17B3A" w:rsidP="00DB6238">
            <w:pPr>
              <w:pStyle w:val="Tabletext"/>
            </w:pPr>
            <w:r w:rsidRPr="00B32A45">
              <w:t>7</w:t>
            </w:r>
          </w:p>
        </w:tc>
        <w:tc>
          <w:tcPr>
            <w:tcW w:w="1206" w:type="pct"/>
            <w:tcBorders>
              <w:top w:val="nil"/>
              <w:left w:val="nil"/>
              <w:bottom w:val="single" w:sz="12" w:space="0" w:color="auto"/>
              <w:right w:val="nil"/>
            </w:tcBorders>
          </w:tcPr>
          <w:p w:rsidR="00C17B3A" w:rsidRPr="00B32A45" w:rsidRDefault="00C17B3A" w:rsidP="00DB6238">
            <w:pPr>
              <w:pStyle w:val="Tabletext"/>
            </w:pPr>
            <w:r w:rsidRPr="00B32A45">
              <w:t>NT</w:t>
            </w:r>
          </w:p>
        </w:tc>
        <w:tc>
          <w:tcPr>
            <w:tcW w:w="1206" w:type="pct"/>
            <w:tcBorders>
              <w:top w:val="nil"/>
              <w:left w:val="nil"/>
              <w:bottom w:val="single" w:sz="12" w:space="0" w:color="auto"/>
              <w:right w:val="nil"/>
            </w:tcBorders>
          </w:tcPr>
          <w:p w:rsidR="00C17B3A" w:rsidRPr="00B32A45" w:rsidRDefault="00C17B3A" w:rsidP="00DB6238">
            <w:pPr>
              <w:pStyle w:val="Tabletext"/>
            </w:pPr>
            <w:r w:rsidRPr="00B32A45">
              <w:t>2.2</w:t>
            </w:r>
          </w:p>
        </w:tc>
        <w:tc>
          <w:tcPr>
            <w:tcW w:w="1126" w:type="pct"/>
            <w:tcBorders>
              <w:top w:val="nil"/>
              <w:left w:val="nil"/>
              <w:bottom w:val="single" w:sz="12" w:space="0" w:color="auto"/>
              <w:right w:val="nil"/>
            </w:tcBorders>
          </w:tcPr>
          <w:p w:rsidR="00C17B3A" w:rsidRPr="00B32A45" w:rsidRDefault="00C17B3A" w:rsidP="00DB6238">
            <w:pPr>
              <w:pStyle w:val="Tabletext"/>
            </w:pPr>
            <w:r w:rsidRPr="00B32A45">
              <w:t>0.0</w:t>
            </w:r>
          </w:p>
        </w:tc>
        <w:tc>
          <w:tcPr>
            <w:tcW w:w="899" w:type="pct"/>
            <w:tcBorders>
              <w:top w:val="nil"/>
              <w:left w:val="nil"/>
              <w:bottom w:val="single" w:sz="12" w:space="0" w:color="auto"/>
              <w:right w:val="nil"/>
            </w:tcBorders>
          </w:tcPr>
          <w:p w:rsidR="00C17B3A" w:rsidRPr="00B32A45" w:rsidRDefault="00C17B3A" w:rsidP="00DB6238">
            <w:pPr>
              <w:pStyle w:val="Tabletext"/>
            </w:pPr>
            <w:r w:rsidRPr="00B32A45">
              <w:t>352</w:t>
            </w:r>
          </w:p>
        </w:tc>
      </w:tr>
    </w:tbl>
    <w:p w:rsidR="00C17B3A" w:rsidRPr="00B32A45" w:rsidRDefault="00C17B3A" w:rsidP="00C17B3A">
      <w:pPr>
        <w:pStyle w:val="h5Section"/>
      </w:pPr>
      <w:bookmarkStart w:id="92" w:name="_Toc13233773"/>
      <w:r w:rsidRPr="00B32A45">
        <w:rPr>
          <w:rStyle w:val="CharSectno"/>
        </w:rPr>
        <w:t>3.82</w:t>
      </w:r>
      <w:r w:rsidRPr="00B32A45">
        <w:t xml:space="preserve">  Method 2—natural gas distribution</w:t>
      </w:r>
      <w:bookmarkEnd w:id="92"/>
    </w:p>
    <w:p w:rsidR="00C17B3A" w:rsidRPr="00B32A45" w:rsidRDefault="00C17B3A" w:rsidP="00C17B3A">
      <w:pPr>
        <w:pStyle w:val="tMain"/>
      </w:pPr>
      <w:r w:rsidRPr="00B32A45">
        <w:tab/>
        <w:t>(1)</w:t>
      </w:r>
      <w:r w:rsidRPr="00B32A45">
        <w:tab/>
        <w:t>Method 2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4E55D6AB" wp14:editId="4E193377">
            <wp:extent cx="1476375"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j</w:t>
      </w:r>
      <w:r w:rsidRPr="00B32A45">
        <w:rPr>
          <w:b/>
          <w:i/>
        </w:rPr>
        <w:t xml:space="preserve"> </w:t>
      </w:r>
      <w:r w:rsidRPr="00B32A45">
        <w:t>is the fugitive emissions of gas type (</w:t>
      </w:r>
      <w:r w:rsidRPr="00B32A45">
        <w:rPr>
          <w:b/>
          <w:i/>
        </w:rPr>
        <w:t>j</w:t>
      </w:r>
      <w:r w:rsidRPr="00B32A45">
        <w:t>) that result from the natural gas distribution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of emissions of gas type (</w:t>
      </w:r>
      <w:r w:rsidRPr="00B32A45">
        <w:rPr>
          <w:b/>
          <w:i/>
        </w:rPr>
        <w:t>j</w:t>
      </w:r>
      <w:r w:rsidRPr="00B32A45">
        <w:t>) measured in CO</w:t>
      </w:r>
      <w:r w:rsidRPr="00B32A45">
        <w:rPr>
          <w:rStyle w:val="charSubscript"/>
          <w:iCs/>
        </w:rPr>
        <w:t>2</w:t>
      </w:r>
      <w:r w:rsidRPr="00B32A45">
        <w:noBreakHyphen/>
        <w:t>e tonnes and estimated by summing up the emissions from each equipment type (</w:t>
      </w:r>
      <w:r w:rsidRPr="00B32A45">
        <w:rPr>
          <w:b/>
          <w:i/>
        </w:rPr>
        <w:t>k</w:t>
      </w:r>
      <w:r w:rsidRPr="00B32A45">
        <w:t>) listed in sections 5 and 6.1.2 of the API Compendium, if the equipment is used in the natural gas distribution.</w:t>
      </w:r>
    </w:p>
    <w:p w:rsidR="00C17B3A" w:rsidRPr="00B32A45" w:rsidRDefault="00C17B3A" w:rsidP="00C17B3A">
      <w:pPr>
        <w:pStyle w:val="tDefn"/>
      </w:pPr>
      <w:r w:rsidRPr="00B32A45">
        <w:rPr>
          <w:b/>
          <w:i/>
        </w:rPr>
        <w:t>Q</w:t>
      </w:r>
      <w:r w:rsidRPr="00B32A45">
        <w:rPr>
          <w:b/>
          <w:i/>
          <w:vertAlign w:val="subscript"/>
        </w:rPr>
        <w:t xml:space="preserve">k </w:t>
      </w:r>
      <w:r w:rsidRPr="00B32A45">
        <w:t>is the total of the quantities of natural gas measured in tonnes that pass through each equipment type (</w:t>
      </w:r>
      <w:r w:rsidRPr="00B32A45">
        <w:rPr>
          <w:b/>
          <w:i/>
        </w:rPr>
        <w:t>k</w:t>
      </w:r>
      <w:r w:rsidRPr="00B32A45">
        <w:t>) or the number of equipment units of type (</w:t>
      </w:r>
      <w:r w:rsidRPr="00B32A45">
        <w:rPr>
          <w:b/>
          <w:i/>
        </w:rPr>
        <w:t>k</w:t>
      </w:r>
      <w:r w:rsidRPr="00B32A45">
        <w:t>) listed in sections 5 and 6.1.2 of the API Compendium, if the equipment is used in the natural gas distribution.</w:t>
      </w:r>
    </w:p>
    <w:p w:rsidR="00C17B3A" w:rsidRPr="00B32A45" w:rsidRDefault="00C17B3A" w:rsidP="00C17B3A">
      <w:pPr>
        <w:pStyle w:val="tDefn"/>
      </w:pPr>
      <w:r w:rsidRPr="00B32A45">
        <w:rPr>
          <w:b/>
          <w:i/>
        </w:rPr>
        <w:t>EF</w:t>
      </w:r>
      <w:r w:rsidRPr="00B32A45">
        <w:rPr>
          <w:b/>
          <w:i/>
          <w:vertAlign w:val="subscript"/>
        </w:rPr>
        <w:t>jk</w:t>
      </w:r>
      <w:r w:rsidRPr="00B32A45">
        <w:rPr>
          <w:b/>
          <w:i/>
        </w:rPr>
        <w:t xml:space="preserve"> </w:t>
      </w:r>
      <w:r w:rsidRPr="00B32A45">
        <w:t>is the emission factor for gas type (</w:t>
      </w:r>
      <w:r w:rsidRPr="00B32A45">
        <w:rPr>
          <w:b/>
          <w:i/>
        </w:rPr>
        <w:t>j</w:t>
      </w:r>
      <w:r w:rsidRPr="00B32A45">
        <w:t>) measured in CO</w:t>
      </w:r>
      <w:r w:rsidRPr="00B32A45">
        <w:rPr>
          <w:rStyle w:val="charSubscript"/>
          <w:iCs/>
        </w:rPr>
        <w:t>2</w:t>
      </w:r>
      <w:r w:rsidRPr="00B32A45">
        <w:noBreakHyphen/>
        <w:t>e tonnes for each equipment type (</w:t>
      </w:r>
      <w:r w:rsidRPr="00B32A45">
        <w:rPr>
          <w:b/>
          <w:i/>
        </w:rPr>
        <w:t>k</w:t>
      </w:r>
      <w:r w:rsidRPr="00B32A45">
        <w:t>) listed in sections 5 and 6.1.2 of the API Compendium as determined under subsection (2), if the equipment is used in the natural gas distribution.</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jk</w:t>
      </w:r>
      <w:r w:rsidRPr="00B32A45">
        <w:t>, the emission factors for gas type (</w:t>
      </w:r>
      <w:r w:rsidRPr="00B32A45">
        <w:rPr>
          <w:b/>
          <w:i/>
        </w:rPr>
        <w:t>j</w:t>
      </w:r>
      <w:r w:rsidRPr="00B32A45">
        <w:t>) as the natural gas passes through the equipment type (</w:t>
      </w:r>
      <w:r w:rsidRPr="00B32A45">
        <w:rPr>
          <w:b/>
          <w:i/>
        </w:rPr>
        <w:t>k</w:t>
      </w:r>
      <w:r w:rsidRPr="00B32A45">
        <w:t>) are:</w:t>
      </w:r>
    </w:p>
    <w:p w:rsidR="00C17B3A" w:rsidRPr="00B32A45" w:rsidRDefault="00C17B3A" w:rsidP="00C17B3A">
      <w:pPr>
        <w:pStyle w:val="tPara"/>
      </w:pPr>
      <w:r w:rsidRPr="00B32A45">
        <w:tab/>
        <w:t>(a)</w:t>
      </w:r>
      <w:r w:rsidRPr="00B32A45">
        <w:tab/>
        <w:t>as listed in sections 5 and 6.1.2 of the API Compendium; or</w:t>
      </w:r>
    </w:p>
    <w:p w:rsidR="00C17B3A" w:rsidRPr="00B32A45" w:rsidRDefault="00C17B3A" w:rsidP="00C17B3A">
      <w:pPr>
        <w:pStyle w:val="tPara"/>
      </w:pPr>
      <w:r w:rsidRPr="00B32A45">
        <w:tab/>
        <w:t>(b)</w:t>
      </w:r>
      <w:r w:rsidRPr="00B32A45">
        <w:tab/>
        <w:t>as listed in that Compendium for the equipment type with emission factors adjusted for variations in estimated gas composition, in accordance with that Compendium’s Sections 5 and 6.1.2, and the requirements of Division 2.3.3; or</w:t>
      </w:r>
    </w:p>
    <w:p w:rsidR="00C17B3A" w:rsidRPr="00B32A45" w:rsidRDefault="00C17B3A" w:rsidP="00C17B3A">
      <w:pPr>
        <w:pStyle w:val="tPara"/>
      </w:pPr>
      <w:r w:rsidRPr="00B32A45">
        <w:tab/>
        <w:t>(c)</w:t>
      </w:r>
      <w:r w:rsidRPr="00B32A45">
        <w:tab/>
        <w:t>as listed in that Compendium for the equipment type with emission factors adjusted for variations in the type of equipment material using adjusted factors; or</w:t>
      </w:r>
    </w:p>
    <w:p w:rsidR="00C17B3A" w:rsidRPr="00B32A45" w:rsidRDefault="00C17B3A" w:rsidP="00C17B3A">
      <w:pPr>
        <w:pStyle w:val="tPara"/>
      </w:pPr>
      <w:r w:rsidRPr="00B32A45">
        <w:tab/>
        <w:t>(d)</w:t>
      </w:r>
      <w:r w:rsidRPr="00B32A45">
        <w:tab/>
        <w:t>if the manufacturer of the equipment supplies equipment</w:t>
      </w:r>
      <w:r w:rsidRPr="00B32A45">
        <w:noBreakHyphen/>
        <w:t>specific emission factors for the equipment type—those factors.</w:t>
      </w:r>
    </w:p>
    <w:p w:rsidR="00C17B3A" w:rsidRPr="00B32A45" w:rsidRDefault="00C17B3A" w:rsidP="00C17B3A">
      <w:pPr>
        <w:pStyle w:val="tMain"/>
      </w:pPr>
      <w:r w:rsidRPr="00B32A45">
        <w:tab/>
        <w:t>(3)</w:t>
      </w:r>
      <w:r w:rsidRPr="00B32A45">
        <w:tab/>
        <w:t xml:space="preserve">In paragraph 3.82(2)(c), a reference to </w:t>
      </w:r>
      <w:r w:rsidRPr="00B32A45">
        <w:rPr>
          <w:b/>
          <w:i/>
        </w:rPr>
        <w:t>factors adjusted</w:t>
      </w:r>
      <w:r w:rsidRPr="00B32A45">
        <w:t xml:space="preserve"> is a reference to the factors in Table 5</w:t>
      </w:r>
      <w:r w:rsidRPr="00B32A45">
        <w:noBreakHyphen/>
        <w:t xml:space="preserve">3 of the publication entitled </w:t>
      </w:r>
      <w:r w:rsidRPr="00B32A45">
        <w:rPr>
          <w:i/>
        </w:rPr>
        <w:t>Greenhouse Gas Emission Estimation Methodologies, Procedures and Guidelines for the Natural Gas Distribution Sector</w:t>
      </w:r>
      <w:r w:rsidRPr="00B32A45">
        <w:t>, American Gas Association, April 2008, that are adjusted for variations in estimated gas composition in accordance with:</w:t>
      </w:r>
    </w:p>
    <w:p w:rsidR="00C17B3A" w:rsidRPr="00B32A45" w:rsidRDefault="00C17B3A" w:rsidP="00C17B3A">
      <w:pPr>
        <w:pStyle w:val="tPara"/>
      </w:pPr>
      <w:r w:rsidRPr="00B32A45">
        <w:lastRenderedPageBreak/>
        <w:tab/>
        <w:t>(a)</w:t>
      </w:r>
      <w:r w:rsidRPr="00B32A45">
        <w:tab/>
        <w:t>section 5.2.1 of that publication; and</w:t>
      </w:r>
    </w:p>
    <w:p w:rsidR="00C17B3A" w:rsidRPr="00B32A45" w:rsidRDefault="00C17B3A" w:rsidP="00C17B3A">
      <w:pPr>
        <w:pStyle w:val="tPara"/>
      </w:pPr>
      <w:r w:rsidRPr="00B32A45">
        <w:tab/>
        <w:t>(b)</w:t>
      </w:r>
      <w:r w:rsidRPr="00B32A45">
        <w:tab/>
        <w:t>Division 2.3.3.</w:t>
      </w:r>
    </w:p>
    <w:p w:rsidR="00C17B3A" w:rsidRPr="00B32A45" w:rsidRDefault="00C17B3A" w:rsidP="00C17B3A">
      <w:pPr>
        <w:pStyle w:val="h5Section"/>
      </w:pPr>
      <w:bookmarkStart w:id="93" w:name="_Toc13233774"/>
      <w:r w:rsidRPr="00B32A45">
        <w:rPr>
          <w:rStyle w:val="CharSectno"/>
        </w:rPr>
        <w:t>3.82A</w:t>
      </w:r>
      <w:r w:rsidRPr="00B32A45">
        <w:t xml:space="preserve">  Method 3—natural gas distribution</w:t>
      </w:r>
      <w:bookmarkEnd w:id="93"/>
    </w:p>
    <w:p w:rsidR="00C17B3A" w:rsidRPr="00B32A45" w:rsidRDefault="00C17B3A" w:rsidP="00C17B3A">
      <w:pPr>
        <w:pStyle w:val="tMain"/>
      </w:pPr>
      <w:r w:rsidRPr="00B32A45">
        <w:tab/>
        <w:t>(1)</w:t>
      </w:r>
      <w:r w:rsidRPr="00B32A45">
        <w:tab/>
        <w:t>Method 3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37D831CD" wp14:editId="7BFB4994">
            <wp:extent cx="2276475" cy="241300"/>
            <wp:effectExtent l="0" t="0" r="9525" b="6350"/>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6475" cy="241300"/>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Style w:val="charSubscript"/>
          <w:b/>
          <w:i/>
        </w:rPr>
        <w:t>jp</w:t>
      </w:r>
      <w:r w:rsidRPr="00B32A45">
        <w:t xml:space="preserve"> is the fugitive emissions (other than emissions that are flared) of gas type (</w:t>
      </w:r>
      <w:r w:rsidRPr="00B32A45">
        <w:rPr>
          <w:b/>
          <w:i/>
        </w:rPr>
        <w:t>j</w:t>
      </w:r>
      <w:r w:rsidRPr="00B32A45">
        <w:t>) that result from natural gas distribution through a system of pipelines with sales of gas in a State or Territory (</w:t>
      </w:r>
      <w:r w:rsidRPr="00B32A45">
        <w:rPr>
          <w:b/>
          <w:i/>
        </w:rPr>
        <w:t>p</w:t>
      </w:r>
      <w:r w:rsidRPr="00B32A45">
        <w:t>)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S</w:t>
      </w:r>
      <w:r w:rsidRPr="00B32A45">
        <w:rPr>
          <w:rStyle w:val="charSubscript"/>
          <w:b/>
          <w:i/>
        </w:rPr>
        <w:t>p</w:t>
      </w:r>
      <w:r w:rsidRPr="00B32A45">
        <w:rPr>
          <w:b/>
          <w:i/>
        </w:rPr>
        <w:t xml:space="preserve"> </w:t>
      </w:r>
      <w:r w:rsidRPr="00B32A45">
        <w:t>is the total sales during the year from the pipeline system in a State or Territory (</w:t>
      </w:r>
      <w:r w:rsidRPr="00B32A45">
        <w:rPr>
          <w:b/>
          <w:i/>
        </w:rPr>
        <w:t>p</w:t>
      </w:r>
      <w:r w:rsidRPr="00B32A45">
        <w:t>), measured in terajoules.</w:t>
      </w:r>
    </w:p>
    <w:p w:rsidR="00C17B3A" w:rsidRPr="00B32A45" w:rsidRDefault="00C17B3A" w:rsidP="00C17B3A">
      <w:pPr>
        <w:pStyle w:val="tDefn"/>
      </w:pPr>
      <w:r w:rsidRPr="00B32A45">
        <w:rPr>
          <w:b/>
          <w:i/>
        </w:rPr>
        <w:t>%UAG</w:t>
      </w:r>
      <w:r w:rsidRPr="00B32A45">
        <w:rPr>
          <w:rStyle w:val="charSubscript"/>
          <w:i/>
        </w:rPr>
        <w:t>p</w:t>
      </w:r>
      <w:r w:rsidRPr="00B32A45">
        <w:rPr>
          <w:i/>
        </w:rPr>
        <w:t xml:space="preserve"> </w:t>
      </w:r>
      <w:r w:rsidRPr="00B32A45">
        <w:t>is the percentage of unaccounted for gas in the pipeline system in a State or Territory (</w:t>
      </w:r>
      <w:r w:rsidRPr="00B32A45">
        <w:rPr>
          <w:b/>
          <w:i/>
        </w:rPr>
        <w:t>p</w:t>
      </w:r>
      <w:r w:rsidRPr="00B32A45">
        <w:t>), relative to the amount of gas issued annually by gas utilities to that system.</w:t>
      </w:r>
    </w:p>
    <w:p w:rsidR="00C17B3A" w:rsidRPr="00B32A45" w:rsidRDefault="00C17B3A" w:rsidP="00C17B3A">
      <w:pPr>
        <w:pStyle w:val="tDefn"/>
      </w:pPr>
      <w:r w:rsidRPr="00B32A45">
        <w:rPr>
          <w:b/>
          <w:i/>
        </w:rPr>
        <w:t>C</w:t>
      </w:r>
      <w:r w:rsidRPr="00B32A45">
        <w:rPr>
          <w:rStyle w:val="charSubscript"/>
          <w:b/>
          <w:i/>
        </w:rPr>
        <w:t>jp</w:t>
      </w:r>
      <w:r w:rsidRPr="00B32A45">
        <w:t xml:space="preserve"> is the natural gas composition factor for gas type (</w:t>
      </w:r>
      <w:r w:rsidRPr="00B32A45">
        <w:rPr>
          <w:b/>
          <w:i/>
        </w:rPr>
        <w:t>j)</w:t>
      </w:r>
      <w:r w:rsidRPr="00B32A45">
        <w:t xml:space="preserve"> for the natural gas supplied from the pipeline system in a State or Territory (</w:t>
      </w:r>
      <w:r w:rsidRPr="00B32A45">
        <w:rPr>
          <w:b/>
          <w:i/>
        </w:rPr>
        <w:t>p</w:t>
      </w:r>
      <w:r w:rsidRPr="00B32A45">
        <w:t>), measured in CO</w:t>
      </w:r>
      <w:r w:rsidRPr="00B32A45">
        <w:rPr>
          <w:vertAlign w:val="subscript"/>
        </w:rPr>
        <w:t>2</w:t>
      </w:r>
      <w:r w:rsidRPr="00B32A45">
        <w:noBreakHyphen/>
        <w:t>e tonnes per terajoule.</w:t>
      </w:r>
    </w:p>
    <w:p w:rsidR="00C17B3A" w:rsidRPr="00B32A45" w:rsidRDefault="00C17B3A" w:rsidP="00C17B3A">
      <w:pPr>
        <w:pStyle w:val="tMain"/>
      </w:pPr>
      <w:r w:rsidRPr="00B32A45">
        <w:tab/>
        <w:t>(2)</w:t>
      </w:r>
      <w:r w:rsidRPr="00B32A45">
        <w:tab/>
        <w:t xml:space="preserve">For </w:t>
      </w:r>
      <w:r w:rsidRPr="00B32A45">
        <w:rPr>
          <w:b/>
          <w:i/>
        </w:rPr>
        <w:t>%UAG</w:t>
      </w:r>
      <w:r w:rsidRPr="00B32A45">
        <w:rPr>
          <w:b/>
          <w:i/>
          <w:vertAlign w:val="subscript"/>
        </w:rPr>
        <w:t>p</w:t>
      </w:r>
      <w:r w:rsidRPr="00B32A45">
        <w:t xml:space="preserve"> in subsection (1):</w:t>
      </w:r>
    </w:p>
    <w:p w:rsidR="00C17B3A" w:rsidRPr="00B32A45" w:rsidRDefault="00C17B3A" w:rsidP="00C17B3A">
      <w:pPr>
        <w:pStyle w:val="tPara"/>
      </w:pPr>
      <w:r w:rsidRPr="00B32A45">
        <w:tab/>
        <w:t>(a)</w:t>
      </w:r>
      <w:r w:rsidRPr="00B32A45">
        <w:tab/>
        <w:t>if at the time of reporting the percentage of unaccounted for gas for the reporting year has been calculated or determined in accordance with gas market rules or procedures applicable to the facility—the percentage calculated or determined in accordance with those rules or procedures; or</w:t>
      </w:r>
    </w:p>
    <w:p w:rsidR="00C17B3A" w:rsidRPr="00B32A45" w:rsidRDefault="00C17B3A" w:rsidP="00C17B3A">
      <w:pPr>
        <w:pStyle w:val="tPara"/>
      </w:pPr>
      <w:r w:rsidRPr="00B32A45">
        <w:tab/>
        <w:t>(b)</w:t>
      </w:r>
      <w:r w:rsidRPr="00B32A45">
        <w:tab/>
        <w:t>if at the time of reporting the percentage of unaccounted for gas for the reporting year has not been calculated or determined in accordance with gas market rules or procedures applicable to the facility—the percentage applicable to the most recent 12 month period for which the percentage of unaccounted for gas has been calculated or determined.</w:t>
      </w:r>
    </w:p>
    <w:p w:rsidR="00C17B3A" w:rsidRPr="00B32A45" w:rsidRDefault="00C17B3A" w:rsidP="00C17B3A">
      <w:pPr>
        <w:pStyle w:val="tMain"/>
      </w:pPr>
      <w:r w:rsidRPr="00B32A45">
        <w:tab/>
        <w:t>(3)</w:t>
      </w:r>
      <w:r w:rsidRPr="00B32A45">
        <w:tab/>
        <w:t xml:space="preserve">For </w:t>
      </w:r>
      <w:r w:rsidRPr="00B32A45">
        <w:rPr>
          <w:b/>
          <w:i/>
        </w:rPr>
        <w:t>C</w:t>
      </w:r>
      <w:r w:rsidRPr="00B32A45">
        <w:rPr>
          <w:rStyle w:val="charSubscript"/>
          <w:b/>
          <w:i/>
        </w:rPr>
        <w:t>jp</w:t>
      </w:r>
      <w:r w:rsidRPr="00B32A45">
        <w:t xml:space="preserve"> in subsection (1), columns 3 and 4 of an item in the following table specify the natural gas composition factor for carbon dioxide and methane for a pipeline system in a State or Territory specified in column 2.</w:t>
      </w:r>
    </w:p>
    <w:tbl>
      <w:tblPr>
        <w:tblW w:w="4225" w:type="pct"/>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2718"/>
        <w:gridCol w:w="2024"/>
        <w:gridCol w:w="1866"/>
      </w:tblGrid>
      <w:tr w:rsidR="00C17B3A" w:rsidRPr="00B32A45" w:rsidTr="00DB6238">
        <w:trPr>
          <w:cantSplit/>
          <w:tblHeader/>
        </w:trPr>
        <w:tc>
          <w:tcPr>
            <w:tcW w:w="668" w:type="pc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Item</w:t>
            </w:r>
          </w:p>
        </w:tc>
        <w:tc>
          <w:tcPr>
            <w:tcW w:w="1782" w:type="pct"/>
            <w:vMerge w:val="restart"/>
            <w:tcBorders>
              <w:top w:val="single" w:sz="12" w:space="0" w:color="auto"/>
              <w:left w:val="nil"/>
              <w:bottom w:val="nil"/>
              <w:right w:val="nil"/>
            </w:tcBorders>
            <w:shd w:val="clear" w:color="auto" w:fill="auto"/>
          </w:tcPr>
          <w:p w:rsidR="00C17B3A" w:rsidRPr="00B32A45" w:rsidRDefault="00C17B3A" w:rsidP="00DB6238">
            <w:pPr>
              <w:pStyle w:val="TableHeading"/>
            </w:pPr>
            <w:r w:rsidRPr="00B32A45">
              <w:t>State</w:t>
            </w:r>
          </w:p>
        </w:tc>
        <w:tc>
          <w:tcPr>
            <w:tcW w:w="2550" w:type="pct"/>
            <w:gridSpan w:val="2"/>
            <w:tcBorders>
              <w:top w:val="single" w:sz="12" w:space="0" w:color="auto"/>
              <w:left w:val="nil"/>
              <w:bottom w:val="single" w:sz="4" w:space="0" w:color="auto"/>
              <w:right w:val="nil"/>
            </w:tcBorders>
            <w:shd w:val="clear" w:color="auto" w:fill="auto"/>
          </w:tcPr>
          <w:p w:rsidR="00C17B3A" w:rsidRPr="00B32A45" w:rsidRDefault="00C17B3A" w:rsidP="00DB6238">
            <w:pPr>
              <w:pStyle w:val="TableHeading"/>
            </w:pPr>
            <w:r w:rsidRPr="00B32A45">
              <w:t>Natural gas composition factor (a)(tonnes CO</w:t>
            </w:r>
            <w:r w:rsidRPr="00B32A45">
              <w:rPr>
                <w:rStyle w:val="charSubscript"/>
                <w:iCs/>
              </w:rPr>
              <w:t>2</w:t>
            </w:r>
            <w:r w:rsidRPr="00B32A45">
              <w:rPr>
                <w:rStyle w:val="charSubscript"/>
                <w:iCs/>
              </w:rPr>
              <w:noBreakHyphen/>
              <w:t>e</w:t>
            </w:r>
            <w:r w:rsidRPr="00B32A45">
              <w:t>/TJ)</w:t>
            </w:r>
          </w:p>
        </w:tc>
      </w:tr>
      <w:tr w:rsidR="00C17B3A" w:rsidRPr="00B32A45" w:rsidTr="00DB6238">
        <w:trPr>
          <w:cantSplit/>
          <w:tblHeader/>
        </w:trPr>
        <w:tc>
          <w:tcPr>
            <w:tcW w:w="668" w:type="pct"/>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782" w:type="pct"/>
            <w:vMerge/>
            <w:tcBorders>
              <w:top w:val="nil"/>
              <w:left w:val="nil"/>
              <w:bottom w:val="single" w:sz="12" w:space="0" w:color="auto"/>
              <w:right w:val="nil"/>
            </w:tcBorders>
            <w:shd w:val="clear" w:color="auto" w:fill="auto"/>
          </w:tcPr>
          <w:p w:rsidR="00C17B3A" w:rsidRPr="00B32A45" w:rsidRDefault="00C17B3A" w:rsidP="00DB6238">
            <w:pPr>
              <w:pStyle w:val="TableHeading"/>
            </w:pPr>
          </w:p>
        </w:tc>
        <w:tc>
          <w:tcPr>
            <w:tcW w:w="1327"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CO</w:t>
            </w:r>
            <w:r w:rsidRPr="00B32A45">
              <w:rPr>
                <w:vertAlign w:val="subscript"/>
              </w:rPr>
              <w:t>2</w:t>
            </w:r>
          </w:p>
        </w:tc>
        <w:tc>
          <w:tcPr>
            <w:tcW w:w="1223" w:type="pct"/>
            <w:tcBorders>
              <w:top w:val="single" w:sz="4" w:space="0" w:color="auto"/>
              <w:left w:val="nil"/>
              <w:bottom w:val="single" w:sz="12" w:space="0" w:color="auto"/>
              <w:right w:val="nil"/>
            </w:tcBorders>
            <w:shd w:val="clear" w:color="auto" w:fill="auto"/>
          </w:tcPr>
          <w:p w:rsidR="00C17B3A" w:rsidRPr="00B32A45" w:rsidRDefault="00C17B3A" w:rsidP="00DB6238">
            <w:pPr>
              <w:pStyle w:val="TableHeading"/>
            </w:pPr>
            <w:r w:rsidRPr="00B32A45">
              <w:t>CH</w:t>
            </w:r>
            <w:r w:rsidRPr="00B32A45">
              <w:rPr>
                <w:vertAlign w:val="subscript"/>
              </w:rPr>
              <w:t>4</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1</w:t>
            </w:r>
          </w:p>
        </w:tc>
        <w:tc>
          <w:tcPr>
            <w:tcW w:w="1782" w:type="pct"/>
            <w:tcBorders>
              <w:top w:val="nil"/>
              <w:left w:val="nil"/>
              <w:bottom w:val="nil"/>
              <w:right w:val="nil"/>
            </w:tcBorders>
          </w:tcPr>
          <w:p w:rsidR="00C17B3A" w:rsidRPr="00B32A45" w:rsidRDefault="00C17B3A" w:rsidP="00DB6238">
            <w:pPr>
              <w:pStyle w:val="Tabletext"/>
            </w:pPr>
            <w:r w:rsidRPr="00B32A45">
              <w:t>NSW and ACT</w:t>
            </w:r>
          </w:p>
        </w:tc>
        <w:tc>
          <w:tcPr>
            <w:tcW w:w="1327" w:type="pct"/>
            <w:tcBorders>
              <w:top w:val="nil"/>
              <w:left w:val="nil"/>
              <w:bottom w:val="nil"/>
              <w:right w:val="nil"/>
            </w:tcBorders>
          </w:tcPr>
          <w:p w:rsidR="00C17B3A" w:rsidRPr="00B32A45" w:rsidRDefault="00C17B3A" w:rsidP="00DB6238">
            <w:pPr>
              <w:pStyle w:val="Tabletext"/>
            </w:pPr>
            <w:r w:rsidRPr="00B32A45">
              <w:t>0.8</w:t>
            </w:r>
          </w:p>
        </w:tc>
        <w:tc>
          <w:tcPr>
            <w:tcW w:w="1223" w:type="pct"/>
            <w:tcBorders>
              <w:top w:val="nil"/>
              <w:left w:val="nil"/>
              <w:bottom w:val="nil"/>
              <w:right w:val="nil"/>
            </w:tcBorders>
          </w:tcPr>
          <w:p w:rsidR="00C17B3A" w:rsidRPr="00B32A45" w:rsidRDefault="00C17B3A" w:rsidP="00DB6238">
            <w:pPr>
              <w:pStyle w:val="Tabletext"/>
            </w:pPr>
            <w:r w:rsidRPr="00B32A45">
              <w:t xml:space="preserve">437 </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2</w:t>
            </w:r>
          </w:p>
        </w:tc>
        <w:tc>
          <w:tcPr>
            <w:tcW w:w="1782" w:type="pct"/>
            <w:tcBorders>
              <w:top w:val="nil"/>
              <w:left w:val="nil"/>
              <w:bottom w:val="nil"/>
              <w:right w:val="nil"/>
            </w:tcBorders>
          </w:tcPr>
          <w:p w:rsidR="00C17B3A" w:rsidRPr="00B32A45" w:rsidRDefault="00C17B3A" w:rsidP="00DB6238">
            <w:pPr>
              <w:pStyle w:val="Tabletext"/>
            </w:pPr>
            <w:r w:rsidRPr="00B32A45">
              <w:t>VIC</w:t>
            </w:r>
          </w:p>
        </w:tc>
        <w:tc>
          <w:tcPr>
            <w:tcW w:w="1327" w:type="pct"/>
            <w:tcBorders>
              <w:top w:val="nil"/>
              <w:left w:val="nil"/>
              <w:bottom w:val="nil"/>
              <w:right w:val="nil"/>
            </w:tcBorders>
          </w:tcPr>
          <w:p w:rsidR="00C17B3A" w:rsidRPr="00B32A45" w:rsidRDefault="00C17B3A" w:rsidP="00DB6238">
            <w:pPr>
              <w:pStyle w:val="Tabletext"/>
            </w:pPr>
            <w:r w:rsidRPr="00B32A45">
              <w:t>0.9</w:t>
            </w:r>
          </w:p>
        </w:tc>
        <w:tc>
          <w:tcPr>
            <w:tcW w:w="1223" w:type="pct"/>
            <w:tcBorders>
              <w:top w:val="nil"/>
              <w:left w:val="nil"/>
              <w:bottom w:val="nil"/>
              <w:right w:val="nil"/>
            </w:tcBorders>
          </w:tcPr>
          <w:p w:rsidR="00C17B3A" w:rsidRPr="00B32A45" w:rsidRDefault="00C17B3A" w:rsidP="00DB6238">
            <w:pPr>
              <w:pStyle w:val="Tabletext"/>
            </w:pPr>
            <w:r w:rsidRPr="00B32A45">
              <w:t xml:space="preserve">435 </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3</w:t>
            </w:r>
          </w:p>
        </w:tc>
        <w:tc>
          <w:tcPr>
            <w:tcW w:w="1782" w:type="pct"/>
            <w:tcBorders>
              <w:top w:val="nil"/>
              <w:left w:val="nil"/>
              <w:bottom w:val="nil"/>
              <w:right w:val="nil"/>
            </w:tcBorders>
          </w:tcPr>
          <w:p w:rsidR="00C17B3A" w:rsidRPr="00B32A45" w:rsidRDefault="00C17B3A" w:rsidP="00DB6238">
            <w:pPr>
              <w:pStyle w:val="Tabletext"/>
            </w:pPr>
            <w:r w:rsidRPr="00B32A45">
              <w:t>QLD</w:t>
            </w:r>
          </w:p>
        </w:tc>
        <w:tc>
          <w:tcPr>
            <w:tcW w:w="1327" w:type="pct"/>
            <w:tcBorders>
              <w:top w:val="nil"/>
              <w:left w:val="nil"/>
              <w:bottom w:val="nil"/>
              <w:right w:val="nil"/>
            </w:tcBorders>
          </w:tcPr>
          <w:p w:rsidR="00C17B3A" w:rsidRPr="00B32A45" w:rsidRDefault="00C17B3A" w:rsidP="00DB6238">
            <w:pPr>
              <w:pStyle w:val="Tabletext"/>
            </w:pPr>
            <w:r w:rsidRPr="00B32A45">
              <w:t>0.8</w:t>
            </w:r>
          </w:p>
        </w:tc>
        <w:tc>
          <w:tcPr>
            <w:tcW w:w="1223" w:type="pct"/>
            <w:tcBorders>
              <w:top w:val="nil"/>
              <w:left w:val="nil"/>
              <w:bottom w:val="nil"/>
              <w:right w:val="nil"/>
            </w:tcBorders>
          </w:tcPr>
          <w:p w:rsidR="00C17B3A" w:rsidRPr="00B32A45" w:rsidRDefault="00C17B3A" w:rsidP="00DB6238">
            <w:pPr>
              <w:pStyle w:val="Tabletext"/>
            </w:pPr>
            <w:r w:rsidRPr="00B32A45">
              <w:t xml:space="preserve">423 </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4</w:t>
            </w:r>
          </w:p>
        </w:tc>
        <w:tc>
          <w:tcPr>
            <w:tcW w:w="1782" w:type="pct"/>
            <w:tcBorders>
              <w:top w:val="nil"/>
              <w:left w:val="nil"/>
              <w:bottom w:val="nil"/>
              <w:right w:val="nil"/>
            </w:tcBorders>
          </w:tcPr>
          <w:p w:rsidR="00C17B3A" w:rsidRPr="00B32A45" w:rsidRDefault="00C17B3A" w:rsidP="00DB6238">
            <w:pPr>
              <w:pStyle w:val="Tabletext"/>
            </w:pPr>
            <w:r w:rsidRPr="00B32A45">
              <w:t>WA</w:t>
            </w:r>
          </w:p>
        </w:tc>
        <w:tc>
          <w:tcPr>
            <w:tcW w:w="1327" w:type="pct"/>
            <w:tcBorders>
              <w:top w:val="nil"/>
              <w:left w:val="nil"/>
              <w:bottom w:val="nil"/>
              <w:right w:val="nil"/>
            </w:tcBorders>
          </w:tcPr>
          <w:p w:rsidR="00C17B3A" w:rsidRPr="00B32A45" w:rsidRDefault="00C17B3A" w:rsidP="00DB6238">
            <w:pPr>
              <w:pStyle w:val="Tabletext"/>
            </w:pPr>
            <w:r w:rsidRPr="00B32A45">
              <w:t>1.1</w:t>
            </w:r>
          </w:p>
        </w:tc>
        <w:tc>
          <w:tcPr>
            <w:tcW w:w="1223" w:type="pct"/>
            <w:tcBorders>
              <w:top w:val="nil"/>
              <w:left w:val="nil"/>
              <w:bottom w:val="nil"/>
              <w:right w:val="nil"/>
            </w:tcBorders>
          </w:tcPr>
          <w:p w:rsidR="00C17B3A" w:rsidRPr="00B32A45" w:rsidRDefault="00C17B3A" w:rsidP="00DB6238">
            <w:pPr>
              <w:pStyle w:val="Tabletext"/>
            </w:pPr>
            <w:r w:rsidRPr="00B32A45">
              <w:t xml:space="preserve">408 </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5</w:t>
            </w:r>
          </w:p>
        </w:tc>
        <w:tc>
          <w:tcPr>
            <w:tcW w:w="1782" w:type="pct"/>
            <w:tcBorders>
              <w:top w:val="nil"/>
              <w:left w:val="nil"/>
              <w:bottom w:val="nil"/>
              <w:right w:val="nil"/>
            </w:tcBorders>
          </w:tcPr>
          <w:p w:rsidR="00C17B3A" w:rsidRPr="00B32A45" w:rsidRDefault="00C17B3A" w:rsidP="00DB6238">
            <w:pPr>
              <w:pStyle w:val="Tabletext"/>
            </w:pPr>
            <w:r w:rsidRPr="00B32A45">
              <w:t>SA</w:t>
            </w:r>
          </w:p>
        </w:tc>
        <w:tc>
          <w:tcPr>
            <w:tcW w:w="1327" w:type="pct"/>
            <w:tcBorders>
              <w:top w:val="nil"/>
              <w:left w:val="nil"/>
              <w:bottom w:val="nil"/>
              <w:right w:val="nil"/>
            </w:tcBorders>
          </w:tcPr>
          <w:p w:rsidR="00C17B3A" w:rsidRPr="00B32A45" w:rsidRDefault="00C17B3A" w:rsidP="00DB6238">
            <w:pPr>
              <w:pStyle w:val="Tabletext"/>
            </w:pPr>
            <w:r w:rsidRPr="00B32A45">
              <w:t>0.8</w:t>
            </w:r>
          </w:p>
        </w:tc>
        <w:tc>
          <w:tcPr>
            <w:tcW w:w="1223" w:type="pct"/>
            <w:tcBorders>
              <w:top w:val="nil"/>
              <w:left w:val="nil"/>
              <w:bottom w:val="nil"/>
              <w:right w:val="nil"/>
            </w:tcBorders>
          </w:tcPr>
          <w:p w:rsidR="00C17B3A" w:rsidRPr="00B32A45" w:rsidRDefault="00C17B3A" w:rsidP="00DB6238">
            <w:pPr>
              <w:pStyle w:val="Tabletext"/>
            </w:pPr>
            <w:r w:rsidRPr="00B32A45">
              <w:t xml:space="preserve">437 </w:t>
            </w:r>
          </w:p>
        </w:tc>
      </w:tr>
      <w:tr w:rsidR="00C17B3A" w:rsidRPr="00B32A45" w:rsidTr="00DB6238">
        <w:tc>
          <w:tcPr>
            <w:tcW w:w="668" w:type="pct"/>
            <w:tcBorders>
              <w:top w:val="nil"/>
              <w:left w:val="nil"/>
              <w:bottom w:val="nil"/>
              <w:right w:val="nil"/>
            </w:tcBorders>
          </w:tcPr>
          <w:p w:rsidR="00C17B3A" w:rsidRPr="00B32A45" w:rsidRDefault="00C17B3A" w:rsidP="00DB6238">
            <w:pPr>
              <w:pStyle w:val="Tabletext"/>
            </w:pPr>
            <w:r w:rsidRPr="00B32A45">
              <w:t>6</w:t>
            </w:r>
          </w:p>
        </w:tc>
        <w:tc>
          <w:tcPr>
            <w:tcW w:w="1782" w:type="pct"/>
            <w:tcBorders>
              <w:top w:val="nil"/>
              <w:left w:val="nil"/>
              <w:bottom w:val="nil"/>
              <w:right w:val="nil"/>
            </w:tcBorders>
          </w:tcPr>
          <w:p w:rsidR="00C17B3A" w:rsidRPr="00B32A45" w:rsidRDefault="00C17B3A" w:rsidP="00DB6238">
            <w:pPr>
              <w:pStyle w:val="Tabletext"/>
            </w:pPr>
            <w:r w:rsidRPr="00B32A45">
              <w:t>TAS</w:t>
            </w:r>
          </w:p>
        </w:tc>
        <w:tc>
          <w:tcPr>
            <w:tcW w:w="1327" w:type="pct"/>
            <w:tcBorders>
              <w:top w:val="nil"/>
              <w:left w:val="nil"/>
              <w:bottom w:val="nil"/>
              <w:right w:val="nil"/>
            </w:tcBorders>
          </w:tcPr>
          <w:p w:rsidR="00C17B3A" w:rsidRPr="00B32A45" w:rsidRDefault="00C17B3A" w:rsidP="00DB6238">
            <w:pPr>
              <w:pStyle w:val="Tabletext"/>
            </w:pPr>
            <w:r w:rsidRPr="00B32A45">
              <w:t>0.9</w:t>
            </w:r>
          </w:p>
        </w:tc>
        <w:tc>
          <w:tcPr>
            <w:tcW w:w="1223" w:type="pct"/>
            <w:tcBorders>
              <w:top w:val="nil"/>
              <w:left w:val="nil"/>
              <w:bottom w:val="nil"/>
              <w:right w:val="nil"/>
            </w:tcBorders>
          </w:tcPr>
          <w:p w:rsidR="00C17B3A" w:rsidRPr="00B32A45" w:rsidRDefault="00C17B3A" w:rsidP="00DB6238">
            <w:pPr>
              <w:pStyle w:val="Tabletext"/>
            </w:pPr>
            <w:r w:rsidRPr="00B32A45">
              <w:t>435</w:t>
            </w:r>
          </w:p>
        </w:tc>
      </w:tr>
      <w:tr w:rsidR="00C17B3A" w:rsidRPr="00B32A45" w:rsidTr="00DB6238">
        <w:tc>
          <w:tcPr>
            <w:tcW w:w="668" w:type="pct"/>
            <w:tcBorders>
              <w:top w:val="nil"/>
              <w:left w:val="nil"/>
              <w:bottom w:val="single" w:sz="12" w:space="0" w:color="auto"/>
              <w:right w:val="nil"/>
            </w:tcBorders>
          </w:tcPr>
          <w:p w:rsidR="00C17B3A" w:rsidRPr="00B32A45" w:rsidRDefault="00C17B3A" w:rsidP="00DB6238">
            <w:pPr>
              <w:pStyle w:val="Tabletext"/>
            </w:pPr>
            <w:r w:rsidRPr="00B32A45">
              <w:t>7</w:t>
            </w:r>
          </w:p>
        </w:tc>
        <w:tc>
          <w:tcPr>
            <w:tcW w:w="1782" w:type="pct"/>
            <w:tcBorders>
              <w:top w:val="nil"/>
              <w:left w:val="nil"/>
              <w:bottom w:val="single" w:sz="12" w:space="0" w:color="auto"/>
              <w:right w:val="nil"/>
            </w:tcBorders>
          </w:tcPr>
          <w:p w:rsidR="00C17B3A" w:rsidRPr="00B32A45" w:rsidRDefault="00C17B3A" w:rsidP="00DB6238">
            <w:pPr>
              <w:pStyle w:val="Tabletext"/>
            </w:pPr>
            <w:r w:rsidRPr="00B32A45">
              <w:t>NT</w:t>
            </w:r>
          </w:p>
        </w:tc>
        <w:tc>
          <w:tcPr>
            <w:tcW w:w="1327" w:type="pct"/>
            <w:tcBorders>
              <w:top w:val="nil"/>
              <w:left w:val="nil"/>
              <w:bottom w:val="single" w:sz="12" w:space="0" w:color="auto"/>
              <w:right w:val="nil"/>
            </w:tcBorders>
          </w:tcPr>
          <w:p w:rsidR="00C17B3A" w:rsidRPr="00B32A45" w:rsidRDefault="00C17B3A" w:rsidP="00DB6238">
            <w:pPr>
              <w:pStyle w:val="Tabletext"/>
            </w:pPr>
            <w:r w:rsidRPr="00B32A45">
              <w:t>0.0</w:t>
            </w:r>
          </w:p>
        </w:tc>
        <w:tc>
          <w:tcPr>
            <w:tcW w:w="1223" w:type="pct"/>
            <w:tcBorders>
              <w:top w:val="nil"/>
              <w:left w:val="nil"/>
              <w:bottom w:val="single" w:sz="12" w:space="0" w:color="auto"/>
              <w:right w:val="nil"/>
            </w:tcBorders>
          </w:tcPr>
          <w:p w:rsidR="00C17B3A" w:rsidRPr="00B32A45" w:rsidRDefault="00C17B3A" w:rsidP="00DB6238">
            <w:pPr>
              <w:pStyle w:val="Tabletext"/>
            </w:pPr>
            <w:r w:rsidRPr="00B32A45">
              <w:t>352</w:t>
            </w:r>
          </w:p>
        </w:tc>
      </w:tr>
    </w:tbl>
    <w:p w:rsidR="00C17B3A" w:rsidRPr="00B32A45" w:rsidRDefault="00C17B3A" w:rsidP="00C17B3A">
      <w:pPr>
        <w:pStyle w:val="tPara"/>
      </w:pPr>
    </w:p>
    <w:p w:rsidR="00C17B3A" w:rsidRPr="00B32A45" w:rsidRDefault="00C17B3A" w:rsidP="00C17B3A">
      <w:pPr>
        <w:pStyle w:val="h3Div"/>
        <w:pageBreakBefore/>
      </w:pPr>
      <w:bookmarkStart w:id="94" w:name="_Toc486862096"/>
      <w:bookmarkStart w:id="95" w:name="_Toc69480130"/>
      <w:r w:rsidRPr="00B32A45">
        <w:rPr>
          <w:rStyle w:val="CharDivNo"/>
        </w:rPr>
        <w:lastRenderedPageBreak/>
        <w:t>Division 3.3.9A</w:t>
      </w:r>
      <w:r w:rsidRPr="00B32A45">
        <w:t>—</w:t>
      </w:r>
      <w:r w:rsidRPr="00B32A45">
        <w:rPr>
          <w:rStyle w:val="CharDivText"/>
        </w:rPr>
        <w:t>Natural gas production (emissions that are vented or flared)</w:t>
      </w:r>
      <w:bookmarkEnd w:id="94"/>
      <w:bookmarkEnd w:id="95"/>
    </w:p>
    <w:p w:rsidR="00C17B3A" w:rsidRPr="00B32A45" w:rsidRDefault="00C17B3A" w:rsidP="00C17B3A">
      <w:pPr>
        <w:pStyle w:val="h5Section"/>
      </w:pPr>
      <w:bookmarkStart w:id="96" w:name="_Toc486862097"/>
      <w:r w:rsidRPr="00B32A45">
        <w:rPr>
          <w:rStyle w:val="CharSectno"/>
        </w:rPr>
        <w:t>3.83</w:t>
      </w:r>
      <w:r w:rsidRPr="00B32A45">
        <w:t xml:space="preserve">  Application</w:t>
      </w:r>
      <w:bookmarkEnd w:id="96"/>
    </w:p>
    <w:p w:rsidR="00C17B3A" w:rsidRPr="00B32A45" w:rsidRDefault="00C17B3A" w:rsidP="00C17B3A">
      <w:pPr>
        <w:pStyle w:val="tMain"/>
      </w:pPr>
      <w:r w:rsidRPr="00B32A45">
        <w:tab/>
      </w:r>
      <w:r w:rsidRPr="00B32A45">
        <w:tab/>
        <w:t>This Division applies to fugitive emissions from venting or flaring from natural gas production activities, including emissions from:</w:t>
      </w:r>
    </w:p>
    <w:p w:rsidR="00C17B3A" w:rsidRPr="00B32A45" w:rsidRDefault="00C17B3A" w:rsidP="00C17B3A">
      <w:pPr>
        <w:pStyle w:val="tPara"/>
      </w:pPr>
      <w:r w:rsidRPr="00B32A45">
        <w:tab/>
        <w:t xml:space="preserve">(a) </w:t>
      </w:r>
      <w:r w:rsidRPr="00B32A45">
        <w:tab/>
        <w:t>the venting of natural gas; and</w:t>
      </w:r>
    </w:p>
    <w:p w:rsidR="00C17B3A" w:rsidRPr="00B32A45" w:rsidRDefault="00C17B3A" w:rsidP="00C17B3A">
      <w:pPr>
        <w:pStyle w:val="tPara"/>
      </w:pPr>
      <w:r w:rsidRPr="00B32A45">
        <w:tab/>
        <w:t>(b)</w:t>
      </w:r>
      <w:r w:rsidRPr="00B32A45">
        <w:tab/>
        <w:t>the venting of waste gas and vapour streams at facilities that are constituted by natural gas production; and</w:t>
      </w:r>
    </w:p>
    <w:p w:rsidR="001201AD" w:rsidRPr="00B32A45" w:rsidRDefault="00C17B3A" w:rsidP="001201AD">
      <w:pPr>
        <w:pStyle w:val="tPara"/>
      </w:pPr>
      <w:r w:rsidRPr="00B32A45">
        <w:tab/>
        <w:t>(c)</w:t>
      </w:r>
      <w:r w:rsidRPr="00B32A45">
        <w:tab/>
        <w:t>the flaring of natural gas, waste gas and waste vapour streams at those facilities.</w:t>
      </w:r>
    </w:p>
    <w:p w:rsidR="001201AD" w:rsidRPr="00B32A45" w:rsidRDefault="001201AD" w:rsidP="001201AD">
      <w:pPr>
        <w:pStyle w:val="nMain"/>
      </w:pPr>
      <w:r w:rsidRPr="00B32A45">
        <w:t>Note:</w:t>
      </w:r>
      <w:r w:rsidRPr="00B32A45">
        <w:tab/>
      </w:r>
      <w:r>
        <w:t>This Division covers the four sources of offshore natural gas production—venting, onshore natural gas production—venting, offshore natural gas production—flaring and onshore natural gas production—flaring.</w:t>
      </w:r>
    </w:p>
    <w:p w:rsidR="00C17B3A" w:rsidRPr="00B32A45" w:rsidRDefault="00C17B3A" w:rsidP="00C17B3A">
      <w:pPr>
        <w:pStyle w:val="h4Subdiv"/>
      </w:pPr>
      <w:bookmarkStart w:id="97" w:name="_Toc486862099"/>
      <w:r w:rsidRPr="00B32A45">
        <w:rPr>
          <w:rStyle w:val="CharSubdNo"/>
        </w:rPr>
        <w:t>Subdivision 3.3.9A.1</w:t>
      </w:r>
      <w:r w:rsidRPr="00B32A45">
        <w:t xml:space="preserve">—Natural gas production—emissions that are vented—gas treatment processes </w:t>
      </w:r>
    </w:p>
    <w:p w:rsidR="00C17B3A" w:rsidRPr="00B32A45" w:rsidRDefault="00C17B3A" w:rsidP="00C17B3A">
      <w:pPr>
        <w:pStyle w:val="h5Section"/>
      </w:pPr>
      <w:r w:rsidRPr="00B32A45">
        <w:rPr>
          <w:rStyle w:val="CharSectno"/>
        </w:rPr>
        <w:t>3.84</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gas treatment processes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w:t>
      </w:r>
      <w:r w:rsidRPr="00B32A45">
        <w:t xml:space="preserve">  Method 1—emissions from system upsets, accidents and deliberate releases from process vents—gas treatment processes</w:t>
      </w:r>
    </w:p>
    <w:p w:rsidR="00524E7C"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bl>
    <w:p w:rsidR="00C17B3A" w:rsidRPr="00B32A45" w:rsidRDefault="00C17B3A" w:rsidP="00C17B3A">
      <w:pPr>
        <w:pStyle w:val="h4Subdiv"/>
        <w:rPr>
          <w:rStyle w:val="CharSubdNo"/>
        </w:rPr>
      </w:pPr>
      <w:r w:rsidRPr="00B32A45">
        <w:rPr>
          <w:rStyle w:val="CharSubdNo"/>
        </w:rPr>
        <w:t>Subdivision 3.3.9A.2</w:t>
      </w:r>
      <w:r w:rsidRPr="00B32A45">
        <w:t xml:space="preserve">—Natural gas production—emissions that are vented—cold process vents </w:t>
      </w:r>
    </w:p>
    <w:p w:rsidR="00C17B3A" w:rsidRPr="00B32A45" w:rsidRDefault="00C17B3A" w:rsidP="00C17B3A">
      <w:pPr>
        <w:pStyle w:val="h5Section"/>
      </w:pPr>
      <w:r w:rsidRPr="00B32A45">
        <w:rPr>
          <w:rStyle w:val="CharSectno"/>
        </w:rPr>
        <w:t>3.85A</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cold process vents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lastRenderedPageBreak/>
        <w:tab/>
        <w:t>(a</w:t>
      </w:r>
      <w:r w:rsidR="00C17B3A" w:rsidRPr="00B32A45">
        <w:t>)</w:t>
      </w:r>
      <w:r w:rsidR="00C17B3A" w:rsidRPr="00B32A45">
        <w:tab/>
        <w:t xml:space="preserve">method 1 under section 3.85B;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3.85B</w:t>
      </w:r>
      <w:r w:rsidRPr="00B32A45">
        <w:t xml:space="preserve">  Method 1—emissions from system upsets, accidents and deliberate releases from process vents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shd w:val="clear" w:color="auto" w:fill="auto"/>
          </w:tcPr>
          <w:p w:rsidR="00C17B3A" w:rsidRPr="00B32A45" w:rsidRDefault="00C17B3A" w:rsidP="00DB6238">
            <w:pPr>
              <w:pStyle w:val="Tabletext"/>
            </w:pPr>
            <w:r w:rsidRPr="00B32A45">
              <w:t>1</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bl>
    <w:p w:rsidR="00C17B3A" w:rsidRPr="00B32A45" w:rsidRDefault="00C17B3A" w:rsidP="00C17B3A">
      <w:pPr>
        <w:pStyle w:val="h4Subdiv"/>
        <w:rPr>
          <w:rStyle w:val="CharSubdNo"/>
        </w:rPr>
      </w:pPr>
      <w:r w:rsidRPr="00B32A45">
        <w:rPr>
          <w:rStyle w:val="CharSubdNo"/>
        </w:rPr>
        <w:t>Subdivision 3.3.9A.3</w:t>
      </w:r>
      <w:r w:rsidRPr="00B32A45">
        <w:t>—Natural gas production—emissions that are vented—natural gas blanketed tanks and condensate storage tanks</w:t>
      </w:r>
    </w:p>
    <w:p w:rsidR="00C17B3A" w:rsidRPr="00B32A45" w:rsidRDefault="00C17B3A" w:rsidP="00C17B3A">
      <w:pPr>
        <w:pStyle w:val="h5Section"/>
      </w:pPr>
      <w:r w:rsidRPr="00B32A45">
        <w:rPr>
          <w:rStyle w:val="CharSectno"/>
        </w:rPr>
        <w:t>3.85C</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natural gas blanketed tanks and condensate storage tanks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3.85D;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3.85D</w:t>
      </w:r>
      <w:r w:rsidRPr="00B32A45">
        <w:t xml:space="preserve">  Method 1—emissions from system upsets, accidents and deliberate releases from process vents—natural gas blanketed tanks and condensate storage tanks </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w:t>
      </w:r>
      <w:r w:rsidR="00524E7C">
        <w:t>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1</w:t>
            </w:r>
          </w:p>
        </w:tc>
        <w:tc>
          <w:tcPr>
            <w:tcW w:w="3574" w:type="pct"/>
            <w:shd w:val="clear" w:color="auto" w:fill="auto"/>
          </w:tcPr>
          <w:p w:rsidR="00C17B3A" w:rsidRPr="00B32A45" w:rsidDel="00BE02E0" w:rsidRDefault="00C17B3A" w:rsidP="00DB6238">
            <w:pPr>
              <w:pStyle w:val="Tabletext"/>
            </w:pPr>
            <w:r w:rsidRPr="00B32A45">
              <w:t xml:space="preserve">Natural gas blanketed tanks </w:t>
            </w:r>
          </w:p>
        </w:tc>
        <w:tc>
          <w:tcPr>
            <w:tcW w:w="1025" w:type="pct"/>
            <w:shd w:val="clear" w:color="auto" w:fill="auto"/>
          </w:tcPr>
          <w:p w:rsidR="00C17B3A" w:rsidRPr="00B32A45" w:rsidDel="00BE02E0" w:rsidRDefault="00C17B3A" w:rsidP="00DB6238">
            <w:pPr>
              <w:pStyle w:val="Tabletext"/>
            </w:pPr>
            <w:r w:rsidRPr="00B32A45">
              <w:t>Section 5.4.4</w:t>
            </w:r>
          </w:p>
        </w:tc>
      </w:tr>
      <w:tr w:rsidR="00C17B3A" w:rsidRPr="00B32A45" w:rsidDel="00BE02E0"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Condensate storage tanks</w:t>
            </w:r>
          </w:p>
        </w:tc>
        <w:tc>
          <w:tcPr>
            <w:tcW w:w="1025" w:type="pct"/>
            <w:shd w:val="clear" w:color="auto" w:fill="auto"/>
          </w:tcPr>
          <w:p w:rsidR="00C17B3A" w:rsidRPr="00B32A45" w:rsidRDefault="00C17B3A" w:rsidP="00DB6238">
            <w:pPr>
              <w:pStyle w:val="Tabletext"/>
            </w:pPr>
            <w:r w:rsidRPr="00B32A45">
              <w:t>Section 5.4.1</w:t>
            </w:r>
          </w:p>
        </w:tc>
      </w:tr>
    </w:tbl>
    <w:p w:rsidR="00C17B3A" w:rsidRPr="00B32A45" w:rsidRDefault="00C17B3A" w:rsidP="00C17B3A">
      <w:pPr>
        <w:pStyle w:val="h4Subdiv"/>
        <w:rPr>
          <w:rStyle w:val="CharSubdNo"/>
        </w:rPr>
      </w:pPr>
      <w:r w:rsidRPr="00B32A45">
        <w:rPr>
          <w:rStyle w:val="CharSubdNo"/>
        </w:rPr>
        <w:t>Subdivision 3.3.9A.4</w:t>
      </w:r>
      <w:r w:rsidRPr="00B32A45">
        <w:t>—Natural gas production—emissions that are vented—gas driven pneumatic devices</w:t>
      </w:r>
    </w:p>
    <w:p w:rsidR="00C17B3A" w:rsidRPr="00B32A45" w:rsidRDefault="00C17B3A" w:rsidP="00C17B3A">
      <w:pPr>
        <w:pStyle w:val="h5Section"/>
      </w:pPr>
      <w:bookmarkStart w:id="98" w:name="_Toc486862100"/>
      <w:bookmarkEnd w:id="97"/>
      <w:r w:rsidRPr="00B32A45">
        <w:rPr>
          <w:rStyle w:val="CharSectno"/>
        </w:rPr>
        <w:t>3.85E</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gas driven pneumatic devices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lastRenderedPageBreak/>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3.85F;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3.85F</w:t>
      </w:r>
      <w:r w:rsidRPr="00B32A45">
        <w:t xml:space="preserve">  Method 1—emissions from system upsets, accidents and deliberate releases from process vents</w:t>
      </w:r>
      <w:bookmarkEnd w:id="98"/>
      <w:r w:rsidRPr="00B32A45">
        <w:t>—gas driven pneumatic devices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mentione</w:t>
      </w:r>
      <w:r w:rsidR="00524E7C">
        <w:t>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shd w:val="clear" w:color="auto" w:fill="auto"/>
          </w:tcPr>
          <w:p w:rsidR="00C17B3A" w:rsidRPr="00B32A45" w:rsidRDefault="00C17B3A" w:rsidP="00DB6238">
            <w:pPr>
              <w:pStyle w:val="Tabletext"/>
            </w:pPr>
            <w:r w:rsidRPr="00B32A45">
              <w:t>1</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bl>
    <w:p w:rsidR="00C17B3A" w:rsidRPr="00B32A45" w:rsidRDefault="00C17B3A" w:rsidP="00C17B3A">
      <w:pPr>
        <w:pStyle w:val="h4Subdiv"/>
      </w:pPr>
      <w:bookmarkStart w:id="99" w:name="_Toc486862101"/>
      <w:r w:rsidRPr="00B32A45">
        <w:rPr>
          <w:rStyle w:val="CharSubdNo"/>
        </w:rPr>
        <w:t>Subdivision 3.3.9A.5</w:t>
      </w:r>
      <w:r w:rsidRPr="00B32A45">
        <w:t>—Natural gas production—emissions that are vented—gas driven chemical injection pumps</w:t>
      </w:r>
    </w:p>
    <w:p w:rsidR="00C17B3A" w:rsidRPr="00B32A45" w:rsidRDefault="00C17B3A" w:rsidP="00C17B3A">
      <w:pPr>
        <w:pStyle w:val="h5Section"/>
      </w:pPr>
      <w:r w:rsidRPr="00B32A45">
        <w:rPr>
          <w:rStyle w:val="CharSectno"/>
        </w:rPr>
        <w:t>3.85G</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gas driven chemical injection pumps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3.85H;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3.85H</w:t>
      </w:r>
      <w:r w:rsidRPr="00B32A45">
        <w:t xml:space="preserve">  Method 1—emissions from system upsets, accidents and deliberate releases from process vents—gas driven chemical injection pumps</w:t>
      </w:r>
    </w:p>
    <w:p w:rsidR="00C17B3A" w:rsidRPr="00B32A45" w:rsidRDefault="00C17B3A" w:rsidP="00C17B3A">
      <w:pPr>
        <w:pStyle w:val="tMain"/>
      </w:pPr>
      <w:r w:rsidRPr="00B32A45">
        <w:tab/>
      </w:r>
      <w:r w:rsidRPr="00B32A45">
        <w:tab/>
        <w:t>Method 1 is, for a process mentioned in column 2 of an item in the following table, as described in the section of the API Compendium mentioned in column 3 for the item.</w:t>
      </w:r>
    </w:p>
    <w:p w:rsidR="00C17B3A" w:rsidRPr="00B32A45" w:rsidRDefault="00C17B3A" w:rsidP="00C17B3A">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1</w:t>
            </w:r>
          </w:p>
        </w:tc>
        <w:tc>
          <w:tcPr>
            <w:tcW w:w="3574" w:type="pct"/>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shd w:val="clear" w:color="auto" w:fill="auto"/>
          </w:tcPr>
          <w:p w:rsidR="00C17B3A" w:rsidRPr="00B32A45" w:rsidDel="00BE02E0" w:rsidRDefault="00C17B3A" w:rsidP="00DB6238">
            <w:pPr>
              <w:pStyle w:val="Tabletext"/>
            </w:pPr>
            <w:r w:rsidRPr="00B32A45">
              <w:t>Section 5.6.2</w:t>
            </w:r>
          </w:p>
        </w:tc>
      </w:tr>
    </w:tbl>
    <w:p w:rsidR="00C17B3A" w:rsidRPr="00B32A45" w:rsidRDefault="00C17B3A" w:rsidP="00C17B3A">
      <w:pPr>
        <w:pStyle w:val="h4Subdiv"/>
        <w:rPr>
          <w:rStyle w:val="CharSubdNo"/>
        </w:rPr>
      </w:pPr>
      <w:r w:rsidRPr="00B32A45">
        <w:rPr>
          <w:rStyle w:val="CharSubdNo"/>
        </w:rPr>
        <w:lastRenderedPageBreak/>
        <w:t>Subdivision 3.3.9A.6</w:t>
      </w:r>
      <w:r w:rsidRPr="00B32A45">
        <w:t>—Natural gas production—emissions that are vented—well blowouts</w:t>
      </w:r>
    </w:p>
    <w:p w:rsidR="00C17B3A" w:rsidRPr="00B32A45" w:rsidRDefault="00C17B3A" w:rsidP="00C17B3A">
      <w:pPr>
        <w:pStyle w:val="h5Section"/>
      </w:pPr>
      <w:r w:rsidRPr="00B32A45">
        <w:rPr>
          <w:rStyle w:val="CharSectno"/>
        </w:rPr>
        <w:t>3.85K</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well blowouts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3.85L;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3.85L</w:t>
      </w:r>
      <w:r w:rsidRPr="00B32A45">
        <w:t xml:space="preserve">  Method 1—emissions from system upsets, accidents and deliberate releases from process vents—production related non-routine emissions—well blowouts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bottom w:val="single" w:sz="4" w:space="0" w:color="auto"/>
            </w:tcBorders>
            <w:shd w:val="clear" w:color="auto" w:fill="auto"/>
          </w:tcPr>
          <w:p w:rsidR="00C17B3A" w:rsidRPr="00B32A45" w:rsidRDefault="00C17B3A" w:rsidP="00DB6238">
            <w:pPr>
              <w:pStyle w:val="Tabletext"/>
            </w:pPr>
            <w:r w:rsidRPr="00B32A45">
              <w:t>1</w:t>
            </w:r>
          </w:p>
        </w:tc>
        <w:tc>
          <w:tcPr>
            <w:tcW w:w="3574" w:type="pct"/>
            <w:tcBorders>
              <w:bottom w:val="single" w:sz="4" w:space="0" w:color="auto"/>
            </w:tcBorders>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w:t>
            </w:r>
          </w:p>
        </w:tc>
        <w:tc>
          <w:tcPr>
            <w:tcW w:w="1025" w:type="pct"/>
            <w:tcBorders>
              <w:bottom w:val="single" w:sz="4" w:space="0" w:color="auto"/>
            </w:tcBorders>
            <w:shd w:val="clear" w:color="auto" w:fill="auto"/>
          </w:tcPr>
          <w:p w:rsidR="00C17B3A" w:rsidRPr="00B32A45" w:rsidRDefault="00C17B3A" w:rsidP="00DB6238">
            <w:pPr>
              <w:pStyle w:val="Tabletext"/>
            </w:pPr>
            <w:r w:rsidRPr="00B32A45">
              <w:t xml:space="preserve">Section 5.7.1 </w:t>
            </w:r>
          </w:p>
        </w:tc>
      </w:tr>
    </w:tbl>
    <w:p w:rsidR="00C17B3A" w:rsidRPr="00B32A45" w:rsidRDefault="00C17B3A" w:rsidP="00C17B3A">
      <w:pPr>
        <w:pStyle w:val="h4Subdiv"/>
        <w:rPr>
          <w:rStyle w:val="CharSubdNo"/>
        </w:rPr>
      </w:pPr>
      <w:r w:rsidRPr="00B32A45">
        <w:rPr>
          <w:rStyle w:val="CharSubdNo"/>
        </w:rPr>
        <w:t>Subdivision 3.3.9A.7</w:t>
      </w:r>
      <w:r w:rsidRPr="00B32A45">
        <w:t>—Natural gas production—emissions that are vented—CO</w:t>
      </w:r>
      <w:r w:rsidRPr="00B32A45">
        <w:rPr>
          <w:vertAlign w:val="subscript"/>
        </w:rPr>
        <w:t xml:space="preserve">2 </w:t>
      </w:r>
      <w:r w:rsidRPr="00B32A45">
        <w:t>stimulation</w:t>
      </w:r>
    </w:p>
    <w:p w:rsidR="00C17B3A" w:rsidRPr="00B32A45" w:rsidRDefault="00C17B3A" w:rsidP="00C17B3A">
      <w:pPr>
        <w:pStyle w:val="h5Section"/>
      </w:pPr>
      <w:r w:rsidRPr="00B32A45">
        <w:rPr>
          <w:rStyle w:val="CharSectno"/>
        </w:rPr>
        <w:t>3.85M</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CO</w:t>
      </w:r>
      <w:r w:rsidRPr="00B32A45">
        <w:rPr>
          <w:vertAlign w:val="subscript"/>
        </w:rPr>
        <w:t>2</w:t>
      </w:r>
      <w:r w:rsidRPr="00B32A45">
        <w:t xml:space="preserve"> stimulation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method 1 under section 3.85N;</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3.85N</w:t>
      </w:r>
      <w:r w:rsidRPr="00B32A45">
        <w:t xml:space="preserve">  Method 1—emissions from system upsets, accidents and deliberate releases from process vents—production related non-routine emissions—CO</w:t>
      </w:r>
      <w:r w:rsidRPr="00B32A45">
        <w:rPr>
          <w:rFonts w:ascii="Times New Roman Bold" w:hAnsi="Times New Roman Bold"/>
          <w:vertAlign w:val="subscript"/>
        </w:rPr>
        <w:t>2</w:t>
      </w:r>
      <w:r w:rsidRPr="00B32A45">
        <w:t xml:space="preserve"> stimulation</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bottom w:val="single" w:sz="4" w:space="0" w:color="auto"/>
            </w:tcBorders>
            <w:shd w:val="clear" w:color="auto" w:fill="auto"/>
          </w:tcPr>
          <w:p w:rsidR="00C17B3A" w:rsidRPr="00B32A45" w:rsidRDefault="00C17B3A" w:rsidP="00DB6238">
            <w:pPr>
              <w:pStyle w:val="Tabletext"/>
            </w:pPr>
            <w:r w:rsidRPr="00B32A45">
              <w:t>1</w:t>
            </w:r>
          </w:p>
        </w:tc>
        <w:tc>
          <w:tcPr>
            <w:tcW w:w="3574" w:type="pct"/>
            <w:tcBorders>
              <w:bottom w:val="single" w:sz="4" w:space="0" w:color="auto"/>
            </w:tcBorders>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w:t>
            </w:r>
          </w:p>
        </w:tc>
        <w:tc>
          <w:tcPr>
            <w:tcW w:w="1025" w:type="pct"/>
            <w:tcBorders>
              <w:bottom w:val="single" w:sz="4" w:space="0" w:color="auto"/>
            </w:tcBorders>
            <w:shd w:val="clear" w:color="auto" w:fill="auto"/>
          </w:tcPr>
          <w:p w:rsidR="00C17B3A" w:rsidRPr="00B32A45" w:rsidRDefault="00C17B3A" w:rsidP="00DB6238">
            <w:pPr>
              <w:pStyle w:val="Tabletext"/>
            </w:pPr>
            <w:r w:rsidRPr="00B32A45">
              <w:t xml:space="preserve">Section 5.7.1 </w:t>
            </w:r>
          </w:p>
        </w:tc>
      </w:tr>
    </w:tbl>
    <w:p w:rsidR="00C17B3A" w:rsidRPr="00B32A45" w:rsidRDefault="00C17B3A" w:rsidP="00C17B3A">
      <w:pPr>
        <w:pStyle w:val="h4Subdiv"/>
      </w:pPr>
      <w:r w:rsidRPr="00B32A45">
        <w:rPr>
          <w:rStyle w:val="CharSubdNo"/>
        </w:rPr>
        <w:lastRenderedPageBreak/>
        <w:t>Subdivision 3.3.9A.8</w:t>
      </w:r>
      <w:r w:rsidRPr="00B32A45">
        <w:t>—Natural gas production—emissions that are vented—well workovers</w:t>
      </w:r>
    </w:p>
    <w:p w:rsidR="00C17B3A" w:rsidRPr="00B32A45" w:rsidRDefault="00C17B3A" w:rsidP="00C17B3A">
      <w:pPr>
        <w:pStyle w:val="h5Section"/>
      </w:pPr>
      <w:r w:rsidRPr="00B32A45">
        <w:rPr>
          <w:rStyle w:val="CharSectno"/>
        </w:rPr>
        <w:t>3.85O</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well workovers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3.85P; </w:t>
      </w:r>
    </w:p>
    <w:p w:rsidR="00C17B3A" w:rsidRPr="00B32A45" w:rsidRDefault="00CD79CE" w:rsidP="00CD79CE">
      <w:pPr>
        <w:pStyle w:val="tPara"/>
      </w:pPr>
      <w:r>
        <w:tab/>
        <w:t>(b</w:t>
      </w:r>
      <w:r w:rsidR="00C17B3A" w:rsidRPr="00B32A45">
        <w:t>)</w:t>
      </w:r>
      <w:r w:rsidR="00C17B3A" w:rsidRPr="00B32A45">
        <w:tab/>
        <w:t>method 4 under Section 3.85Q.</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3.85P</w:t>
      </w:r>
      <w:r w:rsidRPr="00B32A45">
        <w:t xml:space="preserve">  Method 1—vented emissions from well workovers</w:t>
      </w:r>
      <w:r w:rsidRPr="00B32A45" w:rsidDel="00C00A7F">
        <w:t xml:space="preserve"> </w:t>
      </w:r>
    </w:p>
    <w:p w:rsidR="00C17B3A" w:rsidRPr="00B32A45" w:rsidRDefault="00C17B3A" w:rsidP="00C17B3A">
      <w:pPr>
        <w:pStyle w:val="tMain"/>
      </w:pPr>
      <w:r w:rsidRPr="00B32A45">
        <w:tab/>
        <w:t xml:space="preserve">(1) </w:t>
      </w:r>
      <w:r w:rsidRPr="00B32A45">
        <w:tab/>
        <w:t>Subject to subsection (3), Method 1 is:</w:t>
      </w:r>
    </w:p>
    <w:p w:rsidR="00C17B3A" w:rsidRPr="005138FE" w:rsidRDefault="00C17B3A" w:rsidP="00C17B3A">
      <w:pPr>
        <w:pStyle w:val="tMain"/>
        <w:spacing w:before="120" w:after="120"/>
        <w:rPr>
          <w:sz w:val="28"/>
          <w:szCs w:val="28"/>
        </w:rPr>
      </w:pPr>
      <w:r w:rsidRPr="005138FE">
        <w:rPr>
          <w:sz w:val="28"/>
          <w:szCs w:val="28"/>
        </w:rPr>
        <w:tab/>
      </w:r>
      <w:r w:rsidRPr="005138FE">
        <w:rPr>
          <w:sz w:val="28"/>
          <w:szCs w:val="28"/>
        </w:rPr>
        <w:tab/>
        <w:t>E</w:t>
      </w:r>
      <w:r w:rsidRPr="005138FE">
        <w:rPr>
          <w:sz w:val="28"/>
          <w:szCs w:val="28"/>
          <w:vertAlign w:val="subscript"/>
        </w:rPr>
        <w:t xml:space="preserve">ij  </w:t>
      </w:r>
      <w:r w:rsidRPr="005138FE">
        <w:rPr>
          <w:sz w:val="28"/>
          <w:szCs w:val="28"/>
        </w:rPr>
        <w:t xml:space="preserve">= </w:t>
      </w:r>
      <w:r w:rsidRPr="005138FE">
        <w:rPr>
          <w:i/>
          <w:sz w:val="28"/>
          <w:szCs w:val="28"/>
        </w:rPr>
        <w:t>Σ</w:t>
      </w:r>
      <w:r w:rsidRPr="005138FE">
        <w:rPr>
          <w:i/>
          <w:sz w:val="28"/>
          <w:szCs w:val="28"/>
          <w:vertAlign w:val="subscript"/>
        </w:rPr>
        <w:t>k</w:t>
      </w:r>
      <w:r w:rsidRPr="005138FE">
        <w:rPr>
          <w:i/>
          <w:sz w:val="28"/>
          <w:szCs w:val="28"/>
        </w:rPr>
        <w:t xml:space="preserve"> </w:t>
      </w:r>
      <w:r w:rsidRPr="005138FE">
        <w:rPr>
          <w:i/>
          <w:sz w:val="28"/>
          <w:szCs w:val="28"/>
          <w:vertAlign w:val="subscript"/>
        </w:rPr>
        <w:t xml:space="preserve">  </w:t>
      </w:r>
      <w:r w:rsidRPr="005138FE">
        <w:rPr>
          <w:sz w:val="28"/>
          <w:szCs w:val="28"/>
        </w:rPr>
        <w:t>(Q</w:t>
      </w:r>
      <w:r w:rsidRPr="005138FE">
        <w:rPr>
          <w:sz w:val="28"/>
          <w:szCs w:val="28"/>
          <w:vertAlign w:val="subscript"/>
        </w:rPr>
        <w:t xml:space="preserve">ik   </w:t>
      </w:r>
      <w:r w:rsidRPr="005138FE">
        <w:rPr>
          <w:sz w:val="28"/>
          <w:szCs w:val="28"/>
        </w:rPr>
        <w:t>×</w:t>
      </w:r>
      <w:r w:rsidRPr="005138FE">
        <w:rPr>
          <w:sz w:val="28"/>
          <w:szCs w:val="28"/>
          <w:vertAlign w:val="subscript"/>
        </w:rPr>
        <w:t xml:space="preserve">  </w:t>
      </w:r>
      <w:r w:rsidRPr="005138FE">
        <w:rPr>
          <w:sz w:val="28"/>
          <w:szCs w:val="28"/>
        </w:rPr>
        <w:t>EF</w:t>
      </w:r>
      <w:r w:rsidRPr="005138FE">
        <w:rPr>
          <w:sz w:val="28"/>
          <w:szCs w:val="28"/>
          <w:vertAlign w:val="subscript"/>
        </w:rPr>
        <w:t>ijk</w:t>
      </w:r>
      <w:r w:rsidRPr="005138FE">
        <w:rPr>
          <w:b/>
          <w:sz w:val="28"/>
          <w:szCs w:val="28"/>
          <w:vertAlign w:val="subscript"/>
        </w:rPr>
        <w:t xml:space="preserve"> </w:t>
      </w:r>
      <w:r w:rsidRPr="005138FE">
        <w:rPr>
          <w:sz w:val="28"/>
          <w:szCs w:val="28"/>
        </w:rPr>
        <w:t xml:space="preserve"> × S</w:t>
      </w:r>
      <w:r w:rsidRPr="005138FE">
        <w:rPr>
          <w:sz w:val="28"/>
          <w:szCs w:val="28"/>
          <w:vertAlign w:val="subscript"/>
        </w:rPr>
        <w:t>ij</w:t>
      </w:r>
      <w:r w:rsidRPr="005138FE">
        <w:rPr>
          <w:sz w:val="28"/>
          <w:szCs w:val="28"/>
        </w:rPr>
        <w:t xml:space="preserve"> / SD</w:t>
      </w:r>
      <w:r w:rsidRPr="005138FE">
        <w:rPr>
          <w:sz w:val="28"/>
          <w:szCs w:val="28"/>
          <w:vertAlign w:val="subscript"/>
        </w:rPr>
        <w:t>ij</w:t>
      </w:r>
      <w:r w:rsidRPr="005138FE">
        <w:rPr>
          <w:sz w:val="28"/>
          <w:szCs w:val="28"/>
        </w:rPr>
        <w:t>)</w: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b/>
          <w:i/>
          <w:vertAlign w:val="subscript"/>
        </w:rPr>
        <w:t>ij</w:t>
      </w:r>
      <w:r w:rsidRPr="00B32A45">
        <w:rPr>
          <w:b/>
          <w:i/>
        </w:rPr>
        <w:t xml:space="preserve"> </w:t>
      </w:r>
      <w:r w:rsidRPr="00B32A45">
        <w:t>is the fugitive (vented) emissions of gas type (</w:t>
      </w:r>
      <w:r w:rsidRPr="00B32A45">
        <w:rPr>
          <w:b/>
          <w:i/>
        </w:rPr>
        <w:t>j</w:t>
      </w:r>
      <w:r w:rsidRPr="00B32A45">
        <w:t>), being methane or carbon dioxide, from the natural gas production during the year measured in CO</w:t>
      </w:r>
      <w:r w:rsidRPr="00B32A45">
        <w:rPr>
          <w:rStyle w:val="charSubscript"/>
          <w:iCs/>
        </w:rPr>
        <w:t>2</w:t>
      </w:r>
      <w:r w:rsidRPr="00B32A45">
        <w:noBreakHyphen/>
        <w:t>e tonnes.</w:t>
      </w:r>
    </w:p>
    <w:p w:rsidR="00C17B3A" w:rsidRPr="00B32A45" w:rsidRDefault="00C17B3A" w:rsidP="00C17B3A">
      <w:pPr>
        <w:pStyle w:val="tDefn"/>
      </w:pPr>
      <w:r w:rsidRPr="00B32A45">
        <w:rPr>
          <w:b/>
          <w:i/>
        </w:rPr>
        <w:t>Σ</w:t>
      </w:r>
      <w:r w:rsidRPr="00B32A45">
        <w:rPr>
          <w:b/>
          <w:i/>
          <w:vertAlign w:val="subscript"/>
        </w:rPr>
        <w:t xml:space="preserve">k </w:t>
      </w:r>
      <w:r w:rsidRPr="00B32A45">
        <w:t>is the total emissions of gas type (</w:t>
      </w:r>
      <w:r w:rsidRPr="00B32A45">
        <w:rPr>
          <w:b/>
          <w:i/>
        </w:rPr>
        <w:t>j</w:t>
      </w:r>
      <w:r w:rsidRPr="00B32A45">
        <w:t>), being methane or carbon dioxide, measured in tonnes of CO</w:t>
      </w:r>
      <w:r w:rsidRPr="00B32A45">
        <w:rPr>
          <w:rStyle w:val="charSubscript"/>
          <w:iCs/>
        </w:rPr>
        <w:t>2</w:t>
      </w:r>
      <w:r w:rsidRPr="00B32A45">
        <w:noBreakHyphen/>
        <w:t>e and estimated by summing up the emissions released from all of the equipment of type (</w:t>
      </w:r>
      <w:r w:rsidRPr="00B32A45">
        <w:rPr>
          <w:b/>
          <w:i/>
        </w:rPr>
        <w:t>k</w:t>
      </w:r>
      <w:r w:rsidRPr="00B32A45">
        <w:t>) specified in column 2 of the table in subsection (2), if the equipment is used in the natural gas production.</w:t>
      </w:r>
    </w:p>
    <w:p w:rsidR="00183C90" w:rsidRPr="008270B0" w:rsidRDefault="00C17B3A" w:rsidP="00183C90">
      <w:pPr>
        <w:pStyle w:val="tDefn"/>
      </w:pPr>
      <w:r w:rsidRPr="00B32A45">
        <w:rPr>
          <w:b/>
          <w:i/>
        </w:rPr>
        <w:t>Q</w:t>
      </w:r>
      <w:r w:rsidRPr="00B32A45">
        <w:rPr>
          <w:b/>
          <w:i/>
          <w:vertAlign w:val="subscript"/>
        </w:rPr>
        <w:t xml:space="preserve">ik </w:t>
      </w:r>
      <w:r w:rsidRPr="00B32A45">
        <w:t>is the total of the number of well workover events for equipment of type (</w:t>
      </w:r>
      <w:r w:rsidRPr="00B32A45">
        <w:rPr>
          <w:b/>
          <w:i/>
        </w:rPr>
        <w:t>k</w:t>
      </w:r>
      <w:r w:rsidRPr="00B32A45">
        <w:t>) specified in column 2 of the table in subsection (</w:t>
      </w:r>
      <w:r w:rsidRPr="008270B0">
        <w:t>2) during the year, if the equipment is used in the natural gas production.</w:t>
      </w:r>
    </w:p>
    <w:p w:rsidR="00183C90" w:rsidRPr="00B32A45" w:rsidRDefault="00183C90" w:rsidP="00183C90">
      <w:pPr>
        <w:pStyle w:val="nMain"/>
      </w:pPr>
      <w:r w:rsidRPr="008270B0">
        <w:t>Note:</w:t>
      </w:r>
      <w:r w:rsidRPr="008270B0">
        <w:tab/>
        <w:t>Consistent with subsection 3.41(2), a well workover event should be reported for a single reporting year and not separately in two consecutive years.</w:t>
      </w:r>
    </w:p>
    <w:p w:rsidR="00C17B3A" w:rsidRPr="00B32A45" w:rsidRDefault="00C17B3A" w:rsidP="00C17B3A">
      <w:pPr>
        <w:pStyle w:val="tDefn"/>
      </w:pPr>
      <w:r w:rsidRPr="00B32A45">
        <w:rPr>
          <w:b/>
          <w:i/>
        </w:rPr>
        <w:t>EF</w:t>
      </w:r>
      <w:r w:rsidRPr="00B32A45">
        <w:rPr>
          <w:b/>
          <w:i/>
          <w:vertAlign w:val="subscript"/>
        </w:rPr>
        <w:t>ijk</w:t>
      </w:r>
      <w:r w:rsidRPr="00B32A45">
        <w:rPr>
          <w:b/>
          <w:i/>
        </w:rPr>
        <w:t xml:space="preserve"> </w:t>
      </w:r>
      <w:r w:rsidRPr="00B32A45">
        <w:t>is the emission factor for gas type (</w:t>
      </w:r>
      <w:r w:rsidRPr="00B32A45">
        <w:rPr>
          <w:b/>
          <w:i/>
        </w:rPr>
        <w:t>j</w:t>
      </w:r>
      <w:r w:rsidRPr="00B32A45">
        <w:t>), being methane or carbon dioxide, measured in tonnes of CO</w:t>
      </w:r>
      <w:r w:rsidRPr="00B32A45">
        <w:rPr>
          <w:rStyle w:val="charSubscript"/>
          <w:iCs/>
        </w:rPr>
        <w:t>2</w:t>
      </w:r>
      <w:r w:rsidRPr="00B32A45">
        <w:noBreakHyphen/>
        <w:t>e per well workover event using equipment type (</w:t>
      </w:r>
      <w:r w:rsidRPr="00B32A45">
        <w:rPr>
          <w:b/>
          <w:i/>
        </w:rPr>
        <w:t>k</w:t>
      </w:r>
      <w:r w:rsidRPr="00B32A45">
        <w:t>) specified in column 2 of the table in subsection (2) during the year, if the equipment is used in the natural gas production.</w:t>
      </w:r>
    </w:p>
    <w:p w:rsidR="00C17B3A" w:rsidRPr="00B32A45" w:rsidRDefault="00C17B3A" w:rsidP="00C17B3A">
      <w:pPr>
        <w:pStyle w:val="tDefn"/>
      </w:pPr>
      <w:r w:rsidRPr="00B32A45">
        <w:rPr>
          <w:b/>
          <w:i/>
        </w:rPr>
        <w:t>S</w:t>
      </w:r>
      <w:r w:rsidRPr="00B32A45">
        <w:rPr>
          <w:rFonts w:ascii="Times New Roman Bold Italic" w:hAnsi="Times New Roman Bold Italic"/>
          <w:b/>
          <w:i/>
          <w:vertAlign w:val="subscript"/>
        </w:rPr>
        <w:t xml:space="preserve">ij  </w:t>
      </w:r>
      <w:r w:rsidRPr="00B32A45">
        <w:t>is the measured share of gas type (</w:t>
      </w:r>
      <w:r w:rsidRPr="00B32A45">
        <w:rPr>
          <w:b/>
          <w:i/>
        </w:rPr>
        <w:t>j</w:t>
      </w:r>
      <w:r w:rsidRPr="00B32A45">
        <w:t>), being methane or carbon dioxide, in the unprocessed gas (</w:t>
      </w:r>
      <w:r w:rsidRPr="00B32A45">
        <w:rPr>
          <w:b/>
          <w:i/>
        </w:rPr>
        <w:t>i</w:t>
      </w:r>
      <w:r w:rsidRPr="00B32A45">
        <w:t xml:space="preserve">), by volume, measured in accordance with Division 2.3.3 and the principles in section 1.13. </w:t>
      </w:r>
    </w:p>
    <w:p w:rsidR="00C17B3A" w:rsidRPr="00B32A45" w:rsidRDefault="00C17B3A" w:rsidP="00C17B3A">
      <w:pPr>
        <w:pStyle w:val="tDefn"/>
      </w:pPr>
      <w:r w:rsidRPr="00B32A45">
        <w:rPr>
          <w:b/>
          <w:i/>
        </w:rPr>
        <w:t>SD</w:t>
      </w:r>
      <w:r w:rsidRPr="00B32A45">
        <w:rPr>
          <w:rFonts w:ascii="Times New Roman Bold Italic" w:hAnsi="Times New Roman Bold Italic"/>
          <w:b/>
          <w:i/>
          <w:vertAlign w:val="subscript"/>
        </w:rPr>
        <w:t>ij</w:t>
      </w:r>
      <w:r w:rsidRPr="00B32A45">
        <w:rPr>
          <w:b/>
          <w:i/>
        </w:rPr>
        <w:t xml:space="preserve"> </w:t>
      </w:r>
      <w:r w:rsidRPr="00B32A45">
        <w:t>is the default share of gas type (</w:t>
      </w:r>
      <w:r w:rsidRPr="00B32A45">
        <w:rPr>
          <w:b/>
          <w:i/>
        </w:rPr>
        <w:t>j</w:t>
      </w:r>
      <w:r w:rsidRPr="00B32A45">
        <w:t>) in the unprocessed gas (</w:t>
      </w:r>
      <w:r w:rsidRPr="00B32A45">
        <w:rPr>
          <w:b/>
          <w:i/>
        </w:rPr>
        <w:t>i</w:t>
      </w:r>
      <w:r w:rsidRPr="00B32A45">
        <w:t>), for methane SD is 0.825 and for carbon dioxide SD is 0.0345.</w:t>
      </w:r>
    </w:p>
    <w:p w:rsidR="00C17B3A" w:rsidRPr="00B32A45" w:rsidRDefault="00C17B3A" w:rsidP="00524E7C">
      <w:pPr>
        <w:pStyle w:val="tMain"/>
      </w:pPr>
      <w:r w:rsidRPr="00B32A45">
        <w:tab/>
        <w:t>(2)</w:t>
      </w:r>
      <w:r w:rsidRPr="00B32A45">
        <w:tab/>
        <w:t xml:space="preserve">For </w:t>
      </w:r>
      <w:r w:rsidRPr="00B32A45">
        <w:rPr>
          <w:b/>
          <w:i/>
        </w:rPr>
        <w:t>EF</w:t>
      </w:r>
      <w:r w:rsidRPr="00B32A45">
        <w:rPr>
          <w:b/>
          <w:i/>
          <w:vertAlign w:val="subscript"/>
        </w:rPr>
        <w:t>ijk</w:t>
      </w:r>
      <w:r w:rsidRPr="00B32A45">
        <w:rPr>
          <w:i/>
          <w:vertAlign w:val="subscript"/>
        </w:rPr>
        <w:t xml:space="preserve"> </w:t>
      </w:r>
      <w:r w:rsidRPr="00B32A45">
        <w:t>mentioned in subsection (1), column 3 of an item in the following table specifies the emission factor for methane for an equipment of type (</w:t>
      </w:r>
      <w:r w:rsidRPr="00B32A45">
        <w:rPr>
          <w:b/>
          <w:i/>
        </w:rPr>
        <w:t>k</w:t>
      </w:r>
      <w:r w:rsidRPr="00B32A45">
        <w:t>) specified in column 2 of that item and column 4 of an item in the following table specifies the emission factor for carbon dioxide for an equipment of type (</w:t>
      </w:r>
      <w:r w:rsidRPr="00B32A45">
        <w:rPr>
          <w:b/>
          <w:i/>
        </w:rPr>
        <w:t>k</w:t>
      </w:r>
      <w:r w:rsidRPr="00B32A45">
        <w:t>) spec</w:t>
      </w:r>
      <w:r w:rsidR="00524E7C">
        <w:t>ified in column 2 of that item:</w:t>
      </w:r>
    </w:p>
    <w:tbl>
      <w:tblPr>
        <w:tblW w:w="5000" w:type="pct"/>
        <w:tblLook w:val="0000" w:firstRow="0" w:lastRow="0" w:firstColumn="0" w:lastColumn="0" w:noHBand="0" w:noVBand="0"/>
      </w:tblPr>
      <w:tblGrid>
        <w:gridCol w:w="802"/>
        <w:gridCol w:w="3228"/>
        <w:gridCol w:w="1713"/>
        <w:gridCol w:w="1368"/>
        <w:gridCol w:w="1915"/>
      </w:tblGrid>
      <w:tr w:rsidR="00C17B3A" w:rsidRPr="00B32A45" w:rsidTr="00DB6238">
        <w:trPr>
          <w:cantSplit/>
          <w:tblHeader/>
        </w:trPr>
        <w:tc>
          <w:tcPr>
            <w:tcW w:w="444" w:type="pct"/>
            <w:tcBorders>
              <w:top w:val="single" w:sz="12" w:space="0" w:color="auto"/>
            </w:tcBorders>
            <w:shd w:val="clear" w:color="auto" w:fill="auto"/>
          </w:tcPr>
          <w:p w:rsidR="00C17B3A" w:rsidRPr="00B32A45" w:rsidRDefault="00C17B3A" w:rsidP="00DB6238">
            <w:pPr>
              <w:pStyle w:val="TableHeading"/>
            </w:pPr>
            <w:r w:rsidRPr="00B32A45">
              <w:lastRenderedPageBreak/>
              <w:t>Item</w:t>
            </w:r>
          </w:p>
        </w:tc>
        <w:tc>
          <w:tcPr>
            <w:tcW w:w="1788" w:type="pct"/>
            <w:vMerge w:val="restart"/>
            <w:tcBorders>
              <w:top w:val="single" w:sz="12" w:space="0" w:color="auto"/>
            </w:tcBorders>
            <w:shd w:val="clear" w:color="auto" w:fill="auto"/>
          </w:tcPr>
          <w:p w:rsidR="00C17B3A" w:rsidRPr="00B32A45" w:rsidRDefault="00C17B3A" w:rsidP="00DB6238">
            <w:pPr>
              <w:pStyle w:val="TableHeading"/>
            </w:pPr>
            <w:r w:rsidRPr="00B32A45">
              <w:t>Equipment type (k)</w:t>
            </w:r>
          </w:p>
        </w:tc>
        <w:tc>
          <w:tcPr>
            <w:tcW w:w="2768" w:type="pct"/>
            <w:gridSpan w:val="3"/>
            <w:tcBorders>
              <w:top w:val="single" w:sz="12" w:space="0" w:color="auto"/>
            </w:tcBorders>
          </w:tcPr>
          <w:p w:rsidR="00C17B3A" w:rsidRPr="00B32A45" w:rsidRDefault="00C17B3A" w:rsidP="00DB6238">
            <w:pPr>
              <w:pStyle w:val="TableHeading"/>
              <w:jc w:val="center"/>
            </w:pPr>
            <w:r w:rsidRPr="00B32A45">
              <w:t xml:space="preserve">Emission factor for gas type (j) </w:t>
            </w:r>
          </w:p>
        </w:tc>
      </w:tr>
      <w:tr w:rsidR="00C17B3A" w:rsidRPr="00B32A45" w:rsidTr="00DB6238">
        <w:trPr>
          <w:cantSplit/>
          <w:tblHeader/>
        </w:trPr>
        <w:tc>
          <w:tcPr>
            <w:tcW w:w="444" w:type="pct"/>
            <w:tcBorders>
              <w:bottom w:val="single" w:sz="12" w:space="0" w:color="auto"/>
            </w:tcBorders>
            <w:shd w:val="clear" w:color="auto" w:fill="auto"/>
          </w:tcPr>
          <w:p w:rsidR="00C17B3A" w:rsidRPr="00B32A45" w:rsidRDefault="00C17B3A" w:rsidP="00DB6238">
            <w:pPr>
              <w:pStyle w:val="TableHeading"/>
            </w:pPr>
          </w:p>
        </w:tc>
        <w:tc>
          <w:tcPr>
            <w:tcW w:w="1788" w:type="pct"/>
            <w:vMerge/>
            <w:tcBorders>
              <w:bottom w:val="single" w:sz="12" w:space="0" w:color="auto"/>
            </w:tcBorders>
            <w:shd w:val="clear" w:color="auto" w:fill="auto"/>
          </w:tcPr>
          <w:p w:rsidR="00C17B3A" w:rsidRPr="00B32A45" w:rsidRDefault="00C17B3A" w:rsidP="00DB6238">
            <w:pPr>
              <w:pStyle w:val="TableHeading"/>
            </w:pPr>
          </w:p>
        </w:tc>
        <w:tc>
          <w:tcPr>
            <w:tcW w:w="949" w:type="pct"/>
            <w:tcBorders>
              <w:bottom w:val="single" w:sz="12" w:space="0" w:color="auto"/>
            </w:tcBorders>
          </w:tcPr>
          <w:p w:rsidR="00C17B3A" w:rsidRPr="00B32A45" w:rsidRDefault="00C17B3A" w:rsidP="00DB6238">
            <w:pPr>
              <w:pStyle w:val="TableHeading"/>
              <w:jc w:val="center"/>
            </w:pPr>
            <w:r w:rsidRPr="00B32A45">
              <w:t>CH</w:t>
            </w:r>
            <w:r w:rsidRPr="00B32A45">
              <w:rPr>
                <w:vertAlign w:val="subscript"/>
              </w:rPr>
              <w:t>4</w:t>
            </w:r>
          </w:p>
        </w:tc>
        <w:tc>
          <w:tcPr>
            <w:tcW w:w="758" w:type="pct"/>
            <w:tcBorders>
              <w:bottom w:val="single" w:sz="12" w:space="0" w:color="auto"/>
            </w:tcBorders>
          </w:tcPr>
          <w:p w:rsidR="00C17B3A" w:rsidRPr="00B32A45" w:rsidRDefault="00C17B3A" w:rsidP="00DB6238">
            <w:pPr>
              <w:pStyle w:val="TableHeading"/>
              <w:jc w:val="center"/>
            </w:pPr>
            <w:r w:rsidRPr="00B32A45">
              <w:t>CO</w:t>
            </w:r>
            <w:r w:rsidRPr="00B32A45">
              <w:rPr>
                <w:rFonts w:ascii="Times New Roman Bold" w:hAnsi="Times New Roman Bold"/>
                <w:vertAlign w:val="subscript"/>
              </w:rPr>
              <w:t>2</w:t>
            </w:r>
          </w:p>
        </w:tc>
        <w:tc>
          <w:tcPr>
            <w:tcW w:w="1061" w:type="pct"/>
            <w:tcBorders>
              <w:top w:val="single" w:sz="4" w:space="0" w:color="auto"/>
              <w:bottom w:val="single" w:sz="12" w:space="0" w:color="auto"/>
            </w:tcBorders>
            <w:shd w:val="clear" w:color="auto" w:fill="auto"/>
          </w:tcPr>
          <w:p w:rsidR="00C17B3A" w:rsidRPr="00B32A45" w:rsidRDefault="00C17B3A" w:rsidP="00DB6238">
            <w:pPr>
              <w:pStyle w:val="TableHeading"/>
              <w:jc w:val="center"/>
            </w:pP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1</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 xml:space="preserve">Well workover without hydraulic fracturing </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5.5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1.1 × 10</w:t>
            </w:r>
            <w:r w:rsidRPr="00B32A45">
              <w:rPr>
                <w:vertAlign w:val="superscript"/>
              </w:rPr>
              <w:t>-2</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workover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2</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Well workover with hydraulic fracturing and venting (no flaring)</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1</w:t>
            </w:r>
            <w:r w:rsidR="0030319A">
              <w:t>,</w:t>
            </w:r>
            <w:r w:rsidRPr="00B32A45">
              <w:t xml:space="preserve">031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4.2</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workover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3</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Well workover with hydraulic fracturing with capture (no flaring)</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90.8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0.37</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workover event</w:t>
            </w:r>
          </w:p>
        </w:tc>
      </w:tr>
      <w:tr w:rsidR="00C17B3A" w:rsidRPr="00B32A45" w:rsidTr="00DB6238">
        <w:trPr>
          <w:cantSplit/>
        </w:trPr>
        <w:tc>
          <w:tcPr>
            <w:tcW w:w="444" w:type="pct"/>
            <w:tcBorders>
              <w:top w:val="single" w:sz="6" w:space="0" w:color="auto"/>
              <w:bottom w:val="single" w:sz="6" w:space="0" w:color="auto"/>
            </w:tcBorders>
          </w:tcPr>
          <w:p w:rsidR="00C17B3A" w:rsidRPr="00B32A45" w:rsidRDefault="00C17B3A" w:rsidP="00DB6238">
            <w:pPr>
              <w:pStyle w:val="Tabletext"/>
            </w:pPr>
            <w:r w:rsidRPr="00B32A45">
              <w:t>4</w:t>
            </w:r>
          </w:p>
        </w:tc>
        <w:tc>
          <w:tcPr>
            <w:tcW w:w="1788" w:type="pct"/>
            <w:tcBorders>
              <w:top w:val="single" w:sz="6" w:space="0" w:color="auto"/>
              <w:bottom w:val="single" w:sz="6" w:space="0" w:color="auto"/>
            </w:tcBorders>
          </w:tcPr>
          <w:p w:rsidR="00C17B3A" w:rsidRPr="00B32A45" w:rsidRDefault="00C17B3A" w:rsidP="00DB6238">
            <w:pPr>
              <w:pStyle w:val="Tabletext"/>
            </w:pPr>
            <w:r w:rsidRPr="00B32A45">
              <w:t>Well workover with hydraulic fracturing with flaring</w:t>
            </w:r>
          </w:p>
        </w:tc>
        <w:tc>
          <w:tcPr>
            <w:tcW w:w="949" w:type="pct"/>
            <w:tcBorders>
              <w:top w:val="single" w:sz="6" w:space="0" w:color="auto"/>
              <w:bottom w:val="single" w:sz="6" w:space="0" w:color="auto"/>
            </w:tcBorders>
          </w:tcPr>
          <w:p w:rsidR="00C17B3A" w:rsidRPr="00B32A45" w:rsidRDefault="00C17B3A" w:rsidP="00DB6238">
            <w:pPr>
              <w:pStyle w:val="Tabletext"/>
              <w:jc w:val="center"/>
            </w:pPr>
            <w:r w:rsidRPr="00B32A45">
              <w:t xml:space="preserve">136.6 </w:t>
            </w:r>
          </w:p>
        </w:tc>
        <w:tc>
          <w:tcPr>
            <w:tcW w:w="758" w:type="pct"/>
            <w:tcBorders>
              <w:top w:val="single" w:sz="6" w:space="0" w:color="auto"/>
              <w:bottom w:val="single" w:sz="6" w:space="0" w:color="auto"/>
            </w:tcBorders>
          </w:tcPr>
          <w:p w:rsidR="00C17B3A" w:rsidRPr="00B32A45" w:rsidRDefault="00C17B3A" w:rsidP="00DB6238">
            <w:pPr>
              <w:pStyle w:val="Tabletext"/>
              <w:jc w:val="center"/>
            </w:pPr>
            <w:r w:rsidRPr="00B32A45">
              <w:t>0.56</w:t>
            </w:r>
          </w:p>
        </w:tc>
        <w:tc>
          <w:tcPr>
            <w:tcW w:w="1061" w:type="pct"/>
            <w:tcBorders>
              <w:top w:val="single" w:sz="6" w:space="0" w:color="auto"/>
              <w:bottom w:val="single" w:sz="6" w:space="0" w:color="auto"/>
            </w:tcBorders>
          </w:tcPr>
          <w:p w:rsidR="00C17B3A" w:rsidRPr="00B32A45" w:rsidRDefault="00C17B3A" w:rsidP="00DB6238">
            <w:pPr>
              <w:pStyle w:val="Tabletext"/>
              <w:jc w:val="center"/>
            </w:pPr>
            <w:r w:rsidRPr="00B32A45">
              <w:t>tonnes CO</w:t>
            </w:r>
            <w:r w:rsidRPr="00B32A45">
              <w:rPr>
                <w:vertAlign w:val="subscript"/>
              </w:rPr>
              <w:t>2</w:t>
            </w:r>
            <w:r w:rsidRPr="00B32A45">
              <w:noBreakHyphen/>
              <w:t>e per well workover event</w:t>
            </w:r>
          </w:p>
        </w:tc>
      </w:tr>
    </w:tbl>
    <w:p w:rsidR="00C17B3A" w:rsidRPr="00B32A45" w:rsidRDefault="00C17B3A" w:rsidP="00C17B3A">
      <w:pPr>
        <w:pStyle w:val="tMain"/>
        <w:rPr>
          <w:rStyle w:val="CharSectno"/>
        </w:rPr>
      </w:pPr>
      <w:r w:rsidRPr="00B32A45">
        <w:tab/>
        <w:t>(3)</w:t>
      </w:r>
      <w:r w:rsidRPr="00B32A45">
        <w:tab/>
        <w:t>If the well workover includes a well unloading, the fugitive (vented) emissions of gas type (</w:t>
      </w:r>
      <w:r w:rsidRPr="00B32A45">
        <w:rPr>
          <w:b/>
          <w:i/>
        </w:rPr>
        <w:t>j</w:t>
      </w:r>
      <w:r w:rsidRPr="00B32A45">
        <w:t xml:space="preserve">), being methane or carbon dioxide, for the well unloading must be calculated by applying section 5.7.1 of the API Compendium. </w:t>
      </w:r>
    </w:p>
    <w:p w:rsidR="00C17B3A" w:rsidRPr="00B32A45" w:rsidRDefault="00C17B3A" w:rsidP="00C17B3A">
      <w:pPr>
        <w:pStyle w:val="h5Section"/>
      </w:pPr>
      <w:r w:rsidRPr="00B32A45">
        <w:rPr>
          <w:rStyle w:val="CharSectno"/>
        </w:rPr>
        <w:t>3.85Q</w:t>
      </w:r>
      <w:r w:rsidRPr="00B32A45">
        <w:t xml:space="preserve">  Method 4—vented emissions from gas well workovers</w:t>
      </w:r>
    </w:p>
    <w:p w:rsidR="00C17B3A" w:rsidRPr="00B32A45" w:rsidRDefault="00C17B3A" w:rsidP="00524E7C">
      <w:pPr>
        <w:pStyle w:val="tMain"/>
      </w:pPr>
      <w:r w:rsidRPr="00B32A45">
        <w:tab/>
      </w:r>
      <w:r w:rsidRPr="00B32A45">
        <w:tab/>
        <w:t>Method 4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shd w:val="clear" w:color="auto" w:fill="auto"/>
          </w:tcPr>
          <w:p w:rsidR="00C17B3A" w:rsidRPr="00B32A45" w:rsidRDefault="00C17B3A" w:rsidP="00DB6238">
            <w:pPr>
              <w:pStyle w:val="Tabletext"/>
            </w:pPr>
            <w:r w:rsidRPr="00B32A45">
              <w:t>1</w:t>
            </w:r>
          </w:p>
        </w:tc>
        <w:tc>
          <w:tcPr>
            <w:tcW w:w="3574" w:type="pct"/>
            <w:shd w:val="clear" w:color="auto" w:fill="auto"/>
          </w:tcPr>
          <w:p w:rsidR="00C17B3A" w:rsidRPr="00B32A45" w:rsidRDefault="00283594" w:rsidP="00DB6238">
            <w:pPr>
              <w:pStyle w:val="Tabletext"/>
            </w:pPr>
            <w:r>
              <w:t>Engineering calculation approach</w:t>
            </w:r>
          </w:p>
        </w:tc>
        <w:tc>
          <w:tcPr>
            <w:tcW w:w="1025" w:type="pct"/>
            <w:shd w:val="clear" w:color="auto" w:fill="auto"/>
          </w:tcPr>
          <w:p w:rsidR="00C17B3A" w:rsidRPr="00B32A45" w:rsidRDefault="00C17B3A" w:rsidP="00DB6238">
            <w:pPr>
              <w:pStyle w:val="Tabletext"/>
            </w:pPr>
            <w:r w:rsidRPr="00B32A45">
              <w:t xml:space="preserve">Section  5.7.1 </w:t>
            </w:r>
          </w:p>
        </w:tc>
      </w:tr>
    </w:tbl>
    <w:p w:rsidR="00C17B3A" w:rsidRPr="00B32A45" w:rsidRDefault="00C17B3A" w:rsidP="00C17B3A">
      <w:pPr>
        <w:pStyle w:val="h4Subdiv"/>
        <w:rPr>
          <w:rStyle w:val="CharSubdNo"/>
        </w:rPr>
      </w:pPr>
      <w:r w:rsidRPr="00B32A45">
        <w:rPr>
          <w:rStyle w:val="CharSubdNo"/>
        </w:rPr>
        <w:t>Subdivision 3.3.9A.9</w:t>
      </w:r>
      <w:r w:rsidRPr="00B32A45">
        <w:t>—Natural gas production—emissions that are vented—vessel blowdowns, compressor starts and compressor blowdowns</w:t>
      </w:r>
    </w:p>
    <w:p w:rsidR="00C17B3A" w:rsidRPr="00B32A45" w:rsidRDefault="00C17B3A" w:rsidP="00C17B3A">
      <w:pPr>
        <w:pStyle w:val="h5Section"/>
      </w:pPr>
      <w:r w:rsidRPr="00B32A45">
        <w:rPr>
          <w:rStyle w:val="CharSectno"/>
        </w:rPr>
        <w:t>3.85R</w:t>
      </w:r>
      <w:r w:rsidRPr="00B32A45">
        <w:t xml:space="preserve">  Available methods</w:t>
      </w:r>
    </w:p>
    <w:p w:rsidR="00C17B3A" w:rsidRPr="00B32A45" w:rsidRDefault="00C17B3A" w:rsidP="00C17B3A">
      <w:pPr>
        <w:pStyle w:val="tMain"/>
      </w:pPr>
      <w:r w:rsidRPr="00B32A45">
        <w:tab/>
        <w:t>(1)</w:t>
      </w:r>
      <w:r w:rsidRPr="00B32A45">
        <w:tab/>
        <w:t>Subject to section 1.18, for estimating emissions relating to vessel blowdowns, compressor starts and compressor blowdowns (emissions that are vented) released during a year from the operation of a facility that is constituted by natural gas production the methods as set out in this section must be used.</w:t>
      </w:r>
    </w:p>
    <w:p w:rsidR="00C17B3A" w:rsidRPr="00B32A45" w:rsidRDefault="00C17B3A" w:rsidP="00C17B3A">
      <w:pPr>
        <w:pStyle w:val="tMain"/>
      </w:pPr>
      <w:r w:rsidRPr="00B32A45">
        <w:tab/>
        <w:t>(2)</w:t>
      </w:r>
      <w:r w:rsidRPr="00B32A45">
        <w:tab/>
        <w:t>One of the following methods must be used for estimating fugitive emissions that result from deliberate releases from process vents, system upsets and accidents:</w:t>
      </w:r>
    </w:p>
    <w:p w:rsidR="00C17B3A" w:rsidRPr="00B32A45" w:rsidRDefault="00CD79CE" w:rsidP="00CD79CE">
      <w:pPr>
        <w:pStyle w:val="tPara"/>
      </w:pPr>
      <w:r>
        <w:tab/>
        <w:t>(a</w:t>
      </w:r>
      <w:r w:rsidR="00C17B3A" w:rsidRPr="00B32A45">
        <w:t>)</w:t>
      </w:r>
      <w:r w:rsidR="00C17B3A" w:rsidRPr="00B32A45">
        <w:tab/>
        <w:t xml:space="preserve">method 1 under section 3.85S; </w:t>
      </w:r>
    </w:p>
    <w:p w:rsidR="00C17B3A" w:rsidRPr="00B32A45" w:rsidRDefault="00CD79CE" w:rsidP="00CD79CE">
      <w:pPr>
        <w:pStyle w:val="tPara"/>
      </w:pPr>
      <w:r>
        <w:tab/>
        <w:t>(b</w:t>
      </w:r>
      <w:r w:rsidR="00C17B3A" w:rsidRPr="00B32A45">
        <w:t>)</w:t>
      </w:r>
      <w:r w:rsidR="00C17B3A" w:rsidRPr="00B32A45">
        <w:tab/>
        <w:t>method 4 under Part 1.3.</w:t>
      </w:r>
    </w:p>
    <w:p w:rsidR="00C17B3A" w:rsidRPr="00B32A45" w:rsidRDefault="00C17B3A" w:rsidP="00C17B3A">
      <w:pPr>
        <w:pStyle w:val="nMain"/>
      </w:pPr>
      <w:r w:rsidRPr="00B32A45">
        <w:t>Note:</w:t>
      </w:r>
      <w:r w:rsidRPr="00B32A45">
        <w:tab/>
        <w:t>There is no method 2 or 3 for subsection (2).</w:t>
      </w:r>
    </w:p>
    <w:p w:rsidR="00C17B3A" w:rsidRPr="00B32A45" w:rsidRDefault="00C17B3A" w:rsidP="00C17B3A">
      <w:pPr>
        <w:pStyle w:val="tMain"/>
      </w:pPr>
      <w:r w:rsidRPr="00B32A45">
        <w:tab/>
        <w:t>(3)</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3.85S</w:t>
      </w:r>
      <w:r w:rsidRPr="00B32A45">
        <w:t xml:space="preserve">  Method 1—emissions from system upsets, accidents and deliberate releases from process vents—production related non-routine emissions—vessel blowdowns, compressor starts and compressor blowdowns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shd w:val="clear" w:color="auto" w:fill="auto"/>
          </w:tcPr>
          <w:p w:rsidR="00C17B3A" w:rsidRPr="00B32A45" w:rsidRDefault="00C17B3A" w:rsidP="00DB6238">
            <w:pPr>
              <w:pStyle w:val="Tabletext"/>
            </w:pPr>
            <w:r w:rsidRPr="00B32A45">
              <w:t>1</w:t>
            </w:r>
          </w:p>
        </w:tc>
        <w:tc>
          <w:tcPr>
            <w:tcW w:w="3574" w:type="pct"/>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emissions—vessel blowdowns</w:t>
            </w:r>
          </w:p>
        </w:tc>
        <w:tc>
          <w:tcPr>
            <w:tcW w:w="1025" w:type="pct"/>
            <w:shd w:val="clear" w:color="auto" w:fill="auto"/>
          </w:tcPr>
          <w:p w:rsidR="00C17B3A" w:rsidRPr="00B32A45" w:rsidRDefault="00C17B3A" w:rsidP="00DB6238">
            <w:pPr>
              <w:pStyle w:val="Tabletext"/>
            </w:pPr>
            <w:r w:rsidRPr="00B32A45">
              <w:t>Section 5.7.1 and 5.7.2</w:t>
            </w:r>
          </w:p>
        </w:tc>
      </w:tr>
      <w:tr w:rsidR="00C17B3A" w:rsidRPr="00B32A45" w:rsidTr="00DB6238">
        <w:tc>
          <w:tcPr>
            <w:tcW w:w="401" w:type="pct"/>
            <w:shd w:val="clear" w:color="auto" w:fill="auto"/>
          </w:tcPr>
          <w:p w:rsidR="00C17B3A" w:rsidRPr="00B32A45" w:rsidRDefault="00C17B3A" w:rsidP="00DB6238">
            <w:pPr>
              <w:pStyle w:val="Tabletext"/>
            </w:pPr>
            <w:r w:rsidRPr="00B32A45">
              <w:lastRenderedPageBreak/>
              <w:t>2</w:t>
            </w:r>
          </w:p>
        </w:tc>
        <w:tc>
          <w:tcPr>
            <w:tcW w:w="3574" w:type="pct"/>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emissions—compressor starts</w:t>
            </w:r>
          </w:p>
        </w:tc>
        <w:tc>
          <w:tcPr>
            <w:tcW w:w="1025" w:type="pct"/>
            <w:shd w:val="clear" w:color="auto" w:fill="auto"/>
          </w:tcPr>
          <w:p w:rsidR="00C17B3A" w:rsidRPr="00B32A45" w:rsidRDefault="00C17B3A" w:rsidP="00DB6238">
            <w:pPr>
              <w:pStyle w:val="Tabletext"/>
            </w:pPr>
            <w:r w:rsidRPr="00B32A45">
              <w:t>Section 5.7.1 and 5.7.2</w:t>
            </w:r>
          </w:p>
        </w:tc>
      </w:tr>
      <w:tr w:rsidR="00C17B3A" w:rsidRPr="00B32A45" w:rsidTr="00DB6238">
        <w:tc>
          <w:tcPr>
            <w:tcW w:w="401" w:type="pct"/>
            <w:tcBorders>
              <w:bottom w:val="single" w:sz="4" w:space="0" w:color="auto"/>
            </w:tcBorders>
            <w:shd w:val="clear" w:color="auto" w:fill="auto"/>
          </w:tcPr>
          <w:p w:rsidR="00C17B3A" w:rsidRPr="00B32A45" w:rsidRDefault="00C17B3A" w:rsidP="00DB6238">
            <w:pPr>
              <w:pStyle w:val="Tabletext"/>
            </w:pPr>
            <w:r w:rsidRPr="00B32A45">
              <w:t>3</w:t>
            </w:r>
          </w:p>
        </w:tc>
        <w:tc>
          <w:tcPr>
            <w:tcW w:w="3574" w:type="pct"/>
            <w:tcBorders>
              <w:bottom w:val="single" w:sz="4" w:space="0" w:color="auto"/>
            </w:tcBorders>
            <w:shd w:val="clear" w:color="auto" w:fill="auto"/>
          </w:tcPr>
          <w:p w:rsidR="00C17B3A" w:rsidRPr="00B32A45" w:rsidRDefault="00C17B3A" w:rsidP="00DB6238">
            <w:pPr>
              <w:pStyle w:val="Tabletext"/>
            </w:pPr>
            <w:r w:rsidRPr="00B32A45">
              <w:t>Non</w:t>
            </w:r>
            <w:r w:rsidRPr="00B32A45">
              <w:noBreakHyphen/>
              <w:t>routine activities—production related non</w:t>
            </w:r>
            <w:r w:rsidRPr="00B32A45">
              <w:noBreakHyphen/>
              <w:t>routine emissions—compressor blowdowns</w:t>
            </w:r>
          </w:p>
        </w:tc>
        <w:tc>
          <w:tcPr>
            <w:tcW w:w="1025" w:type="pct"/>
            <w:tcBorders>
              <w:bottom w:val="single" w:sz="4" w:space="0" w:color="auto"/>
            </w:tcBorders>
            <w:shd w:val="clear" w:color="auto" w:fill="auto"/>
          </w:tcPr>
          <w:p w:rsidR="00C17B3A" w:rsidRPr="00B32A45" w:rsidRDefault="00C17B3A" w:rsidP="00DB6238">
            <w:pPr>
              <w:pStyle w:val="Tabletext"/>
            </w:pPr>
            <w:r w:rsidRPr="00B32A45">
              <w:t>Section 5.7.1 and 5.7.2</w:t>
            </w:r>
          </w:p>
        </w:tc>
      </w:tr>
    </w:tbl>
    <w:p w:rsidR="00C17B3A" w:rsidRPr="00B32A45" w:rsidRDefault="00C17B3A" w:rsidP="00C17B3A">
      <w:pPr>
        <w:pStyle w:val="h4Subdiv"/>
      </w:pPr>
      <w:r w:rsidRPr="00B32A45">
        <w:rPr>
          <w:rStyle w:val="CharSubdNo"/>
        </w:rPr>
        <w:t>Subdivision 3.3.9A.10</w:t>
      </w:r>
      <w:r w:rsidRPr="00B32A45">
        <w:t>—</w:t>
      </w:r>
      <w:r w:rsidRPr="00B32A45">
        <w:rPr>
          <w:rStyle w:val="CharSubdText"/>
        </w:rPr>
        <w:t>Natural gas production</w:t>
      </w:r>
      <w:bookmarkEnd w:id="99"/>
      <w:r w:rsidRPr="00B32A45">
        <w:rPr>
          <w:rStyle w:val="CharSubdText"/>
        </w:rPr>
        <w:t xml:space="preserve"> (emissions that are flared)</w:t>
      </w:r>
    </w:p>
    <w:p w:rsidR="00C17B3A" w:rsidRPr="00B32A45" w:rsidRDefault="00C17B3A" w:rsidP="00C17B3A">
      <w:pPr>
        <w:pStyle w:val="tMain"/>
        <w:rPr>
          <w:b/>
        </w:rPr>
      </w:pPr>
      <w:bookmarkStart w:id="100" w:name="_Toc486862102"/>
      <w:r w:rsidRPr="00B32A45">
        <w:rPr>
          <w:b/>
        </w:rPr>
        <w:t>3.85T  Available methods</w:t>
      </w:r>
    </w:p>
    <w:p w:rsidR="00C17B3A" w:rsidRPr="00B32A45" w:rsidRDefault="00C17B3A" w:rsidP="00C17B3A">
      <w:pPr>
        <w:pStyle w:val="tMain"/>
      </w:pPr>
      <w:r w:rsidRPr="00B32A45">
        <w:tab/>
        <w:t>(1)</w:t>
      </w:r>
      <w:r w:rsidRPr="00B32A45">
        <w:tab/>
        <w:t>For estimating emissions released from gas flared from natural gas production:</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from natural gas production and processing releases emissions of carbon dioxide, methane and nitrous oxide. The reference to gas type (</w:t>
      </w:r>
      <w:r w:rsidRPr="00B32A45">
        <w:rPr>
          <w:b/>
          <w:i/>
        </w:rPr>
        <w:t>j</w:t>
      </w:r>
      <w:r w:rsidRPr="00B32A45">
        <w:t>) in method 1 in section 3.85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3.86</w:t>
      </w:r>
      <w:r w:rsidRPr="00B32A45">
        <w:t xml:space="preserve">  Method 1—gas flared from natural gas production </w:t>
      </w:r>
      <w:bookmarkEnd w:id="100"/>
    </w:p>
    <w:p w:rsidR="00C17B3A" w:rsidRPr="00B32A45" w:rsidRDefault="00C17B3A" w:rsidP="00C17B3A">
      <w:pPr>
        <w:pStyle w:val="tMain"/>
      </w:pPr>
      <w:r w:rsidRPr="00B32A45">
        <w:tab/>
        <w:t>(1)</w:t>
      </w:r>
      <w:r w:rsidRPr="00B32A45">
        <w:tab/>
        <w:t>Method 1 is:</w:t>
      </w:r>
    </w:p>
    <w:p w:rsidR="00C17B3A" w:rsidRPr="00B32A45" w:rsidRDefault="00C17B3A" w:rsidP="00C17B3A">
      <w:pPr>
        <w:pStyle w:val="tMain"/>
        <w:spacing w:before="120" w:after="120"/>
      </w:pPr>
      <w:r w:rsidRPr="00B32A45">
        <w:tab/>
      </w:r>
      <w:r w:rsidRPr="00B32A45">
        <w:tab/>
      </w:r>
      <w:r w:rsidRPr="00B32A45">
        <w:rPr>
          <w:noProof/>
        </w:rPr>
        <w:drawing>
          <wp:inline distT="0" distB="0" distL="0" distR="0" wp14:anchorId="7242B73C" wp14:editId="047C7E66">
            <wp:extent cx="1009650" cy="2571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Fonts w:ascii="Times New Roman Bold" w:hAnsi="Times New Roman Bold"/>
          <w:b/>
          <w:i/>
          <w:vertAlign w:val="subscript"/>
        </w:rPr>
        <w:t>i</w:t>
      </w:r>
      <w:r w:rsidRPr="00B32A45">
        <w:rPr>
          <w:b/>
          <w:i/>
          <w:vertAlign w:val="subscript"/>
        </w:rPr>
        <w:t>j</w:t>
      </w:r>
      <w:r w:rsidRPr="00B32A45">
        <w:rPr>
          <w:b/>
          <w:i/>
        </w:rPr>
        <w:t xml:space="preserve"> </w:t>
      </w:r>
      <w:r w:rsidRPr="00B32A45">
        <w:t>is the emissions of gas type (</w:t>
      </w:r>
      <w:r w:rsidRPr="00B32A45">
        <w:rPr>
          <w:b/>
          <w:i/>
        </w:rPr>
        <w:t>j</w:t>
      </w:r>
      <w:r w:rsidRPr="00B32A45">
        <w:t>) measured in CO</w:t>
      </w:r>
      <w:r w:rsidRPr="00B32A45">
        <w:rPr>
          <w:rStyle w:val="charSubscript"/>
          <w:iCs/>
        </w:rPr>
        <w:t>2</w:t>
      </w:r>
      <w:r w:rsidRPr="00B32A45">
        <w:noBreakHyphen/>
        <w:t>e tonnes that result from a fuel type (</w:t>
      </w:r>
      <w:r w:rsidRPr="00B32A45">
        <w:rPr>
          <w:b/>
          <w:i/>
        </w:rPr>
        <w:t>i</w:t>
      </w:r>
      <w:r w:rsidRPr="00B32A45">
        <w:t>) flared in the natural gas production during the year.</w:t>
      </w:r>
    </w:p>
    <w:p w:rsidR="00C17B3A" w:rsidRPr="00B32A45" w:rsidRDefault="00C17B3A" w:rsidP="00C17B3A">
      <w:pPr>
        <w:pStyle w:val="tDefn"/>
      </w:pPr>
      <w:r w:rsidRPr="00B32A45">
        <w:rPr>
          <w:b/>
          <w:i/>
        </w:rPr>
        <w:t>Q</w:t>
      </w:r>
      <w:r w:rsidRPr="00B32A45">
        <w:rPr>
          <w:b/>
          <w:i/>
          <w:vertAlign w:val="subscript"/>
        </w:rPr>
        <w:t>i</w:t>
      </w:r>
      <w:r w:rsidRPr="00B32A45">
        <w:rPr>
          <w:b/>
          <w:i/>
        </w:rPr>
        <w:t xml:space="preserve"> </w:t>
      </w:r>
      <w:r w:rsidRPr="00B32A45">
        <w:t>is the quantity of fuel type (</w:t>
      </w:r>
      <w:r w:rsidRPr="00B32A45">
        <w:rPr>
          <w:b/>
          <w:i/>
        </w:rPr>
        <w:t>i</w:t>
      </w:r>
      <w:r w:rsidRPr="00B32A45">
        <w:t>) measured in tonnes of gas flared during the year.</w:t>
      </w:r>
    </w:p>
    <w:p w:rsidR="00C17B3A" w:rsidRPr="00B32A45" w:rsidRDefault="00C17B3A" w:rsidP="00C17B3A">
      <w:pPr>
        <w:pStyle w:val="nMain"/>
      </w:pPr>
      <w:r w:rsidRPr="00B32A45">
        <w:t>Note:</w:t>
      </w:r>
      <w:r w:rsidRPr="00B32A45">
        <w:tab/>
        <w:t>This quantity includes all of the fuel type, not just hydrocarbons within the fuel type.</w:t>
      </w:r>
    </w:p>
    <w:p w:rsidR="00C17B3A" w:rsidRPr="00B32A45" w:rsidRDefault="00C17B3A" w:rsidP="00C17B3A">
      <w:pPr>
        <w:pStyle w:val="tDefn"/>
        <w:rPr>
          <w:i/>
        </w:rPr>
      </w:pPr>
      <w:r w:rsidRPr="00B32A45">
        <w:rPr>
          <w:b/>
          <w:i/>
        </w:rPr>
        <w:t>EF</w:t>
      </w:r>
      <w:r w:rsidRPr="00B32A45">
        <w:rPr>
          <w:b/>
          <w:i/>
          <w:vertAlign w:val="subscript"/>
        </w:rPr>
        <w:t>ij</w:t>
      </w:r>
      <w:r w:rsidRPr="00B32A45">
        <w:rPr>
          <w:b/>
          <w:i/>
        </w:rPr>
        <w:t xml:space="preserve"> </w:t>
      </w:r>
      <w:r w:rsidRPr="00B32A45">
        <w:t>is the emission factor for gas type (</w:t>
      </w:r>
      <w:r w:rsidRPr="00B32A45">
        <w:rPr>
          <w:b/>
          <w:i/>
        </w:rPr>
        <w:t>j</w:t>
      </w:r>
      <w:r w:rsidRPr="00B32A45">
        <w:t>) measured in CO</w:t>
      </w:r>
      <w:r w:rsidRPr="00B32A45">
        <w:rPr>
          <w:rStyle w:val="charSubscript"/>
          <w:iCs/>
        </w:rPr>
        <w:t>2</w:t>
      </w:r>
      <w:r w:rsidRPr="00B32A45">
        <w:noBreakHyphen/>
        <w:t>e tonnes of emissions per tonne of gas flared in the natural gas production during the year as determined under subsection (2)</w:t>
      </w:r>
      <w:r w:rsidRPr="00B32A45">
        <w:rPr>
          <w:i/>
        </w:rPr>
        <w:t>.</w:t>
      </w:r>
    </w:p>
    <w:p w:rsidR="00C17B3A" w:rsidRPr="00B32A45" w:rsidRDefault="00C17B3A" w:rsidP="00C17B3A">
      <w:pPr>
        <w:pStyle w:val="tMain"/>
      </w:pPr>
      <w:r w:rsidRPr="00B32A45">
        <w:tab/>
        <w:t>(2)</w:t>
      </w:r>
      <w:r w:rsidRPr="00B32A45">
        <w:tab/>
        <w:t xml:space="preserve">For </w:t>
      </w:r>
      <w:r w:rsidRPr="00B32A45">
        <w:rPr>
          <w:b/>
          <w:i/>
        </w:rPr>
        <w:t>EF</w:t>
      </w:r>
      <w:r w:rsidRPr="00B32A45">
        <w:rPr>
          <w:b/>
          <w:i/>
          <w:vertAlign w:val="subscript"/>
        </w:rPr>
        <w:t>ij</w:t>
      </w:r>
      <w:r w:rsidRPr="00B32A45">
        <w:rPr>
          <w:i/>
          <w:vertAlign w:val="subscript"/>
        </w:rPr>
        <w:t xml:space="preserve"> </w:t>
      </w:r>
      <w:r w:rsidRPr="00B32A45">
        <w:t>mentioned in subsection (1), columns 3, 4 and 5 of an item in the following table specify the emission factor for fuel type (</w:t>
      </w:r>
      <w:r w:rsidRPr="00B32A45">
        <w:rPr>
          <w:b/>
          <w:i/>
        </w:rPr>
        <w:t>i</w:t>
      </w:r>
      <w:r w:rsidRPr="00B32A45">
        <w:t>) specified in column 2 of that item.</w:t>
      </w:r>
    </w:p>
    <w:p w:rsidR="00C17B3A" w:rsidRPr="00B32A45" w:rsidRDefault="00C17B3A" w:rsidP="00C17B3A">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017"/>
        <w:gridCol w:w="1742"/>
        <w:gridCol w:w="2033"/>
        <w:gridCol w:w="2033"/>
        <w:gridCol w:w="2201"/>
      </w:tblGrid>
      <w:tr w:rsidR="00C17B3A" w:rsidRPr="00B32A45" w:rsidTr="00DB6238">
        <w:trPr>
          <w:cantSplit/>
        </w:trPr>
        <w:tc>
          <w:tcPr>
            <w:tcW w:w="564" w:type="pct"/>
            <w:shd w:val="clear" w:color="auto" w:fill="auto"/>
          </w:tcPr>
          <w:p w:rsidR="00C17B3A" w:rsidRPr="00B32A45" w:rsidRDefault="00C17B3A" w:rsidP="00DB6238">
            <w:pPr>
              <w:pStyle w:val="TableHeading"/>
            </w:pPr>
            <w:r w:rsidRPr="00B32A45">
              <w:lastRenderedPageBreak/>
              <w:t>Item</w:t>
            </w:r>
          </w:p>
        </w:tc>
        <w:tc>
          <w:tcPr>
            <w:tcW w:w="965" w:type="pct"/>
            <w:vMerge w:val="restart"/>
            <w:shd w:val="clear" w:color="auto" w:fill="auto"/>
          </w:tcPr>
          <w:p w:rsidR="00C17B3A" w:rsidRPr="00B32A45" w:rsidRDefault="00C17B3A" w:rsidP="00DB6238">
            <w:pPr>
              <w:pStyle w:val="TableHeading"/>
            </w:pPr>
            <w:r w:rsidRPr="00B32A45">
              <w:t>fuel type (i)</w:t>
            </w:r>
          </w:p>
        </w:tc>
        <w:tc>
          <w:tcPr>
            <w:tcW w:w="3472" w:type="pct"/>
            <w:gridSpan w:val="3"/>
            <w:shd w:val="clear" w:color="auto" w:fill="auto"/>
          </w:tcPr>
          <w:p w:rsidR="00C17B3A" w:rsidRPr="00B32A45" w:rsidRDefault="00C17B3A" w:rsidP="00DB6238">
            <w:pPr>
              <w:pStyle w:val="TableHeading"/>
            </w:pPr>
            <w:r w:rsidRPr="00B32A45">
              <w:t>Emission factor of gas type (j) (tonnes CO</w:t>
            </w:r>
            <w:r w:rsidRPr="00B32A45">
              <w:rPr>
                <w:vertAlign w:val="subscript"/>
              </w:rPr>
              <w:t>2</w:t>
            </w:r>
            <w:r w:rsidRPr="00B32A45">
              <w:noBreakHyphen/>
              <w:t>e/tonnes fuel flared)</w:t>
            </w:r>
          </w:p>
        </w:tc>
      </w:tr>
      <w:tr w:rsidR="00C17B3A" w:rsidRPr="00B32A45" w:rsidTr="00DB6238">
        <w:trPr>
          <w:cantSplit/>
        </w:trPr>
        <w:tc>
          <w:tcPr>
            <w:tcW w:w="564" w:type="pct"/>
            <w:tcBorders>
              <w:bottom w:val="single" w:sz="12" w:space="0" w:color="auto"/>
            </w:tcBorders>
            <w:shd w:val="clear" w:color="auto" w:fill="auto"/>
          </w:tcPr>
          <w:p w:rsidR="00C17B3A" w:rsidRPr="00B32A45" w:rsidRDefault="00C17B3A" w:rsidP="00DB6238">
            <w:pPr>
              <w:pStyle w:val="TableHeading"/>
            </w:pPr>
          </w:p>
        </w:tc>
        <w:tc>
          <w:tcPr>
            <w:tcW w:w="965" w:type="pct"/>
            <w:vMerge/>
            <w:tcBorders>
              <w:bottom w:val="single" w:sz="12" w:space="0" w:color="auto"/>
            </w:tcBorders>
            <w:shd w:val="clear" w:color="auto" w:fill="auto"/>
          </w:tcPr>
          <w:p w:rsidR="00C17B3A" w:rsidRPr="00B32A45" w:rsidRDefault="00C17B3A" w:rsidP="00DB6238">
            <w:pPr>
              <w:pStyle w:val="TableHeading"/>
            </w:pPr>
          </w:p>
        </w:tc>
        <w:tc>
          <w:tcPr>
            <w:tcW w:w="1126" w:type="pct"/>
            <w:tcBorders>
              <w:bottom w:val="single" w:sz="12" w:space="0" w:color="auto"/>
            </w:tcBorders>
            <w:shd w:val="clear" w:color="auto" w:fill="auto"/>
          </w:tcPr>
          <w:p w:rsidR="00C17B3A" w:rsidRPr="00B32A45" w:rsidRDefault="00C17B3A" w:rsidP="00DB6238">
            <w:pPr>
              <w:pStyle w:val="TableHeading"/>
            </w:pPr>
            <w:r w:rsidRPr="00B32A45">
              <w:t>CO</w:t>
            </w:r>
            <w:r w:rsidRPr="00B32A45">
              <w:rPr>
                <w:vertAlign w:val="subscript"/>
              </w:rPr>
              <w:t>2</w:t>
            </w:r>
          </w:p>
        </w:tc>
        <w:tc>
          <w:tcPr>
            <w:tcW w:w="1126" w:type="pct"/>
            <w:tcBorders>
              <w:bottom w:val="single" w:sz="12" w:space="0" w:color="auto"/>
            </w:tcBorders>
            <w:shd w:val="clear" w:color="auto" w:fill="auto"/>
          </w:tcPr>
          <w:p w:rsidR="00C17B3A" w:rsidRPr="00B32A45" w:rsidRDefault="00C17B3A" w:rsidP="00DB6238">
            <w:pPr>
              <w:pStyle w:val="TableHeading"/>
            </w:pPr>
            <w:r w:rsidRPr="00B32A45">
              <w:t>CH</w:t>
            </w:r>
            <w:r w:rsidRPr="00B32A45">
              <w:rPr>
                <w:vertAlign w:val="subscript"/>
              </w:rPr>
              <w:t>4</w:t>
            </w:r>
          </w:p>
        </w:tc>
        <w:tc>
          <w:tcPr>
            <w:tcW w:w="1220" w:type="pct"/>
            <w:tcBorders>
              <w:bottom w:val="single" w:sz="12" w:space="0" w:color="auto"/>
            </w:tcBorders>
            <w:shd w:val="clear" w:color="auto" w:fill="auto"/>
          </w:tcPr>
          <w:p w:rsidR="00C17B3A" w:rsidRPr="00B32A45" w:rsidRDefault="00C17B3A" w:rsidP="00DB6238">
            <w:pPr>
              <w:pStyle w:val="TableHeading"/>
            </w:pPr>
            <w:r w:rsidRPr="00B32A45">
              <w:t>N</w:t>
            </w:r>
            <w:r w:rsidRPr="00B32A45">
              <w:rPr>
                <w:vertAlign w:val="subscript"/>
              </w:rPr>
              <w:t>2</w:t>
            </w:r>
            <w:r w:rsidRPr="00B32A45">
              <w:t>O</w:t>
            </w:r>
          </w:p>
        </w:tc>
      </w:tr>
      <w:tr w:rsidR="00C17B3A" w:rsidRPr="00B32A45" w:rsidTr="00DB6238">
        <w:tc>
          <w:tcPr>
            <w:tcW w:w="564" w:type="pct"/>
            <w:tcBorders>
              <w:top w:val="single" w:sz="12" w:space="0" w:color="auto"/>
              <w:bottom w:val="single" w:sz="12" w:space="0" w:color="auto"/>
            </w:tcBorders>
          </w:tcPr>
          <w:p w:rsidR="00C17B3A" w:rsidRPr="00B32A45" w:rsidRDefault="00C17B3A" w:rsidP="00DB6238">
            <w:pPr>
              <w:pStyle w:val="Tabletext"/>
            </w:pPr>
            <w:r w:rsidRPr="00B32A45">
              <w:t>1</w:t>
            </w:r>
          </w:p>
        </w:tc>
        <w:tc>
          <w:tcPr>
            <w:tcW w:w="965" w:type="pct"/>
            <w:tcBorders>
              <w:top w:val="single" w:sz="12" w:space="0" w:color="auto"/>
              <w:bottom w:val="single" w:sz="12" w:space="0" w:color="auto"/>
            </w:tcBorders>
          </w:tcPr>
          <w:p w:rsidR="00C17B3A" w:rsidRPr="00B32A45" w:rsidRDefault="00C17B3A" w:rsidP="00DB6238">
            <w:pPr>
              <w:pStyle w:val="Tabletext"/>
            </w:pPr>
            <w:r w:rsidRPr="00B32A45">
              <w:t>Gas</w:t>
            </w:r>
          </w:p>
        </w:tc>
        <w:tc>
          <w:tcPr>
            <w:tcW w:w="1126" w:type="pct"/>
            <w:tcBorders>
              <w:top w:val="single" w:sz="12" w:space="0" w:color="auto"/>
              <w:bottom w:val="single" w:sz="12" w:space="0" w:color="auto"/>
            </w:tcBorders>
          </w:tcPr>
          <w:p w:rsidR="00C17B3A" w:rsidRPr="00B32A45" w:rsidRDefault="00C17B3A" w:rsidP="00DB6238">
            <w:pPr>
              <w:pStyle w:val="Tabletext"/>
            </w:pPr>
            <w:r w:rsidRPr="00B32A45">
              <w:t>2.7</w:t>
            </w:r>
          </w:p>
        </w:tc>
        <w:tc>
          <w:tcPr>
            <w:tcW w:w="1126" w:type="pct"/>
            <w:tcBorders>
              <w:top w:val="single" w:sz="12" w:space="0" w:color="auto"/>
              <w:bottom w:val="single" w:sz="12" w:space="0" w:color="auto"/>
            </w:tcBorders>
          </w:tcPr>
          <w:p w:rsidR="00C17B3A" w:rsidRPr="00B32A45" w:rsidRDefault="00C17B3A" w:rsidP="00DB6238">
            <w:pPr>
              <w:pStyle w:val="Tabletext"/>
            </w:pPr>
            <w:r w:rsidRPr="00B32A45">
              <w:t>0.133</w:t>
            </w:r>
          </w:p>
        </w:tc>
        <w:tc>
          <w:tcPr>
            <w:tcW w:w="1220" w:type="pct"/>
            <w:tcBorders>
              <w:top w:val="single" w:sz="12" w:space="0" w:color="auto"/>
              <w:bottom w:val="single" w:sz="12" w:space="0" w:color="auto"/>
            </w:tcBorders>
          </w:tcPr>
          <w:p w:rsidR="00C17B3A" w:rsidRPr="00B32A45" w:rsidRDefault="00C17B3A" w:rsidP="00DB6238">
            <w:pPr>
              <w:pStyle w:val="Tabletext"/>
            </w:pPr>
            <w:r w:rsidRPr="00B32A45">
              <w:t>0.026</w:t>
            </w:r>
          </w:p>
        </w:tc>
      </w:tr>
      <w:tr w:rsidR="00C17B3A" w:rsidRPr="00B32A45" w:rsidTr="00DB6238">
        <w:tc>
          <w:tcPr>
            <w:tcW w:w="564" w:type="pct"/>
            <w:tcBorders>
              <w:top w:val="single" w:sz="12" w:space="0" w:color="auto"/>
              <w:bottom w:val="single" w:sz="12" w:space="0" w:color="auto"/>
            </w:tcBorders>
          </w:tcPr>
          <w:p w:rsidR="00C17B3A" w:rsidRPr="00B32A45" w:rsidRDefault="00C17B3A" w:rsidP="00DB6238">
            <w:pPr>
              <w:pStyle w:val="Tabletext"/>
            </w:pPr>
            <w:r w:rsidRPr="00B32A45">
              <w:t>2</w:t>
            </w:r>
          </w:p>
        </w:tc>
        <w:tc>
          <w:tcPr>
            <w:tcW w:w="965" w:type="pct"/>
            <w:tcBorders>
              <w:top w:val="single" w:sz="12" w:space="0" w:color="auto"/>
              <w:bottom w:val="single" w:sz="12" w:space="0" w:color="auto"/>
            </w:tcBorders>
          </w:tcPr>
          <w:p w:rsidR="00C17B3A" w:rsidRPr="00B32A45" w:rsidRDefault="00C17B3A" w:rsidP="00DB6238">
            <w:pPr>
              <w:pStyle w:val="Tabletext"/>
            </w:pPr>
            <w:r w:rsidRPr="00B32A45">
              <w:t>Crude oil and liquids</w:t>
            </w:r>
          </w:p>
        </w:tc>
        <w:tc>
          <w:tcPr>
            <w:tcW w:w="1126" w:type="pct"/>
            <w:tcBorders>
              <w:top w:val="single" w:sz="12" w:space="0" w:color="auto"/>
              <w:bottom w:val="single" w:sz="12" w:space="0" w:color="auto"/>
            </w:tcBorders>
          </w:tcPr>
          <w:p w:rsidR="00C17B3A" w:rsidRPr="00B32A45" w:rsidRDefault="00C17B3A" w:rsidP="00DB6238">
            <w:pPr>
              <w:pStyle w:val="Tabletext"/>
            </w:pPr>
            <w:r w:rsidRPr="00B32A45">
              <w:t>3.20</w:t>
            </w:r>
          </w:p>
        </w:tc>
        <w:tc>
          <w:tcPr>
            <w:tcW w:w="1126" w:type="pct"/>
            <w:tcBorders>
              <w:top w:val="single" w:sz="12" w:space="0" w:color="auto"/>
              <w:bottom w:val="single" w:sz="12" w:space="0" w:color="auto"/>
            </w:tcBorders>
          </w:tcPr>
          <w:p w:rsidR="00C17B3A" w:rsidRPr="00B32A45" w:rsidRDefault="00C17B3A" w:rsidP="00DB6238">
            <w:pPr>
              <w:pStyle w:val="Tabletext"/>
            </w:pPr>
            <w:r w:rsidRPr="00B32A45">
              <w:t>0.009</w:t>
            </w:r>
          </w:p>
        </w:tc>
        <w:tc>
          <w:tcPr>
            <w:tcW w:w="1220" w:type="pct"/>
            <w:tcBorders>
              <w:top w:val="single" w:sz="12" w:space="0" w:color="auto"/>
              <w:bottom w:val="single" w:sz="12" w:space="0" w:color="auto"/>
            </w:tcBorders>
          </w:tcPr>
          <w:p w:rsidR="00C17B3A" w:rsidRPr="00B32A45" w:rsidRDefault="00C17B3A" w:rsidP="00DB6238">
            <w:pPr>
              <w:pStyle w:val="Tabletext"/>
            </w:pPr>
            <w:r w:rsidRPr="00B32A45">
              <w:t>0.06</w:t>
            </w:r>
          </w:p>
        </w:tc>
      </w:tr>
    </w:tbl>
    <w:p w:rsidR="00C17B3A" w:rsidRPr="00B32A45" w:rsidRDefault="00C17B3A" w:rsidP="00C17B3A">
      <w:pPr>
        <w:pStyle w:val="h5Section"/>
      </w:pPr>
      <w:bookmarkStart w:id="101" w:name="_Toc486862103"/>
      <w:r w:rsidRPr="00B32A45">
        <w:rPr>
          <w:rStyle w:val="CharSectno"/>
        </w:rPr>
        <w:t>3.87</w:t>
      </w:r>
      <w:r w:rsidRPr="00B32A45">
        <w:t xml:space="preserve">  Method 2—gas flared from natural gas production </w:t>
      </w:r>
      <w:bookmarkEnd w:id="101"/>
    </w:p>
    <w:p w:rsidR="00C17B3A" w:rsidRPr="00B32A45" w:rsidRDefault="00C17B3A" w:rsidP="00C17B3A">
      <w:pPr>
        <w:pStyle w:val="tMain"/>
      </w:pPr>
      <w:r w:rsidRPr="00B32A45">
        <w:tab/>
      </w:r>
      <w:r w:rsidRPr="00B32A45">
        <w:tab/>
      </w:r>
      <w:r w:rsidR="0030319A">
        <w:t>M</w:t>
      </w:r>
      <w:r w:rsidRPr="00B32A45">
        <w:t>ethod 2 is:</w:t>
      </w:r>
    </w:p>
    <w:p w:rsidR="00C17B3A" w:rsidRPr="00B32A45" w:rsidRDefault="00FB502A" w:rsidP="00C17B3A">
      <w:pPr>
        <w:pStyle w:val="subsection2"/>
      </w:pPr>
      <w:r>
        <w:pict>
          <v:shape id="_x0000_i1026" type="#_x0000_t75" style="width:151.8pt;height:22.2pt">
            <v:imagedata r:id="rId27" o:title=""/>
          </v:shape>
        </w:pic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w:t>
      </w:r>
      <w:r w:rsidRPr="00B32A45">
        <w:rPr>
          <w:rStyle w:val="charSubscript"/>
          <w:b/>
          <w:i/>
        </w:rPr>
        <w:t>i</w:t>
      </w:r>
      <w:r w:rsidRPr="00B32A45">
        <w:rPr>
          <w:b/>
          <w:i/>
          <w:vertAlign w:val="subscript"/>
        </w:rPr>
        <w:t>CO</w:t>
      </w:r>
      <w:r w:rsidRPr="00B32A45">
        <w:rPr>
          <w:b/>
          <w:i/>
          <w:position w:val="-4"/>
          <w:vertAlign w:val="subscript"/>
        </w:rPr>
        <w:t>2</w:t>
      </w:r>
      <w:r w:rsidRPr="00B32A45">
        <w:t xml:space="preserve"> is the fugitive emissions of CO</w:t>
      </w:r>
      <w:r w:rsidRPr="00B32A45">
        <w:rPr>
          <w:vertAlign w:val="subscript"/>
        </w:rPr>
        <w:t>2</w:t>
      </w:r>
      <w:r w:rsidRPr="00B32A45">
        <w:t xml:space="preserve"> from fuel type (</w:t>
      </w:r>
      <w:r w:rsidRPr="00B32A45">
        <w:rPr>
          <w:b/>
          <w:i/>
        </w:rPr>
        <w:t>i</w:t>
      </w:r>
      <w:r w:rsidRPr="00B32A45">
        <w:t>) flared in the natural gas production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Q</w:t>
      </w:r>
      <w:r w:rsidRPr="00B32A45">
        <w:rPr>
          <w:b/>
          <w:i/>
          <w:vertAlign w:val="subscript"/>
        </w:rPr>
        <w:t>h</w:t>
      </w:r>
      <w:r w:rsidRPr="00B32A45">
        <w:rPr>
          <w:i/>
        </w:rPr>
        <w:t xml:space="preserve"> </w:t>
      </w:r>
      <w:r w:rsidRPr="00B32A45">
        <w:t>is the total quantity of hydrocarbons (</w:t>
      </w:r>
      <w:r w:rsidRPr="00B32A45">
        <w:rPr>
          <w:b/>
          <w:i/>
        </w:rPr>
        <w:t>h</w:t>
      </w:r>
      <w:r w:rsidRPr="00B32A45">
        <w:t>) within the fuel type (</w:t>
      </w:r>
      <w:r w:rsidRPr="00B32A45">
        <w:rPr>
          <w:b/>
          <w:i/>
        </w:rPr>
        <w:t>i</w:t>
      </w:r>
      <w:r w:rsidRPr="00B32A45">
        <w:t>) in the natural gas production during the year, measured in tonnes in accordance with Division 2.3.3.</w:t>
      </w:r>
    </w:p>
    <w:p w:rsidR="00C17B3A" w:rsidRPr="00B32A45" w:rsidRDefault="00C17B3A" w:rsidP="00C17B3A">
      <w:pPr>
        <w:pStyle w:val="tDefn"/>
      </w:pPr>
      <w:r w:rsidRPr="00B32A45">
        <w:rPr>
          <w:b/>
          <w:i/>
        </w:rPr>
        <w:t>EF</w:t>
      </w:r>
      <w:r w:rsidRPr="00B32A45">
        <w:rPr>
          <w:b/>
          <w:i/>
          <w:vertAlign w:val="subscript"/>
        </w:rPr>
        <w:t>hi</w:t>
      </w:r>
      <w:r w:rsidRPr="00B32A45">
        <w:t xml:space="preserve"> is the carbon dioxide emission factor for the total hydrocarbons (</w:t>
      </w:r>
      <w:r w:rsidRPr="00B32A45">
        <w:rPr>
          <w:b/>
          <w:i/>
        </w:rPr>
        <w:t>h</w:t>
      </w:r>
      <w:r w:rsidRPr="00B32A45">
        <w:t>) within the fuel type (</w:t>
      </w:r>
      <w:r w:rsidRPr="00B32A45">
        <w:rPr>
          <w:b/>
          <w:i/>
        </w:rPr>
        <w:t>i</w:t>
      </w:r>
      <w:r w:rsidRPr="00B32A45">
        <w:t>) in the natural gas production during the year, measured in CO</w:t>
      </w:r>
      <w:r w:rsidRPr="00B32A45">
        <w:rPr>
          <w:vertAlign w:val="subscript"/>
        </w:rPr>
        <w:t>2</w:t>
      </w:r>
      <w:r w:rsidRPr="00B32A45">
        <w:noBreakHyphen/>
        <w:t>e tonnes per tonne of fuel type (</w:t>
      </w:r>
      <w:r w:rsidRPr="00B32A45">
        <w:rPr>
          <w:b/>
          <w:i/>
        </w:rPr>
        <w:t>i</w:t>
      </w:r>
      <w:r w:rsidRPr="00B32A45">
        <w:t>) flared,</w:t>
      </w:r>
      <w:r w:rsidRPr="00B32A45">
        <w:rPr>
          <w:i/>
        </w:rPr>
        <w:t xml:space="preserve"> </w:t>
      </w:r>
      <w:r w:rsidRPr="00B32A45">
        <w:t>estimated in accordance with Division 2.3.3.</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QCO</w:t>
      </w:r>
      <w:r w:rsidRPr="00B32A45">
        <w:rPr>
          <w:b/>
          <w:i/>
          <w:vertAlign w:val="subscript"/>
        </w:rPr>
        <w:t>2</w:t>
      </w:r>
      <w:r w:rsidRPr="00B32A45">
        <w:t xml:space="preserve"> is the quantity of CO</w:t>
      </w:r>
      <w:r w:rsidRPr="00B32A45">
        <w:rPr>
          <w:vertAlign w:val="subscript"/>
        </w:rPr>
        <w:t>2</w:t>
      </w:r>
      <w:r w:rsidRPr="00B32A45">
        <w:t xml:space="preserve"> within the fuel type (</w:t>
      </w:r>
      <w:r w:rsidRPr="00B32A45">
        <w:rPr>
          <w:b/>
          <w:i/>
        </w:rPr>
        <w:t>i</w:t>
      </w:r>
      <w:r w:rsidRPr="00B32A45">
        <w:t>) in the natural gas production and processing during the year, measured in CO</w:t>
      </w:r>
      <w:r w:rsidRPr="00B32A45">
        <w:rPr>
          <w:vertAlign w:val="subscript"/>
        </w:rPr>
        <w:t>2</w:t>
      </w:r>
      <w:r w:rsidRPr="00B32A45">
        <w:noBreakHyphen/>
        <w:t>e tonnes in accordance with Division 2.3.3.</w:t>
      </w:r>
    </w:p>
    <w:p w:rsidR="00C17B3A" w:rsidRPr="00B32A45" w:rsidRDefault="00C17B3A" w:rsidP="00C17B3A">
      <w:pPr>
        <w:pStyle w:val="h5Section"/>
      </w:pPr>
      <w:bookmarkStart w:id="102" w:name="_Toc486862104"/>
      <w:r w:rsidRPr="00B32A45">
        <w:rPr>
          <w:rStyle w:val="CharSectno"/>
        </w:rPr>
        <w:t>3.87A</w:t>
      </w:r>
      <w:r w:rsidRPr="00B32A45">
        <w:t xml:space="preserve">  Method 2A—natural gas production (flared methane or nitrous oxide emissions)</w:t>
      </w:r>
      <w:bookmarkEnd w:id="102"/>
    </w:p>
    <w:p w:rsidR="00C17B3A" w:rsidRPr="00B32A45" w:rsidRDefault="00C17B3A" w:rsidP="00C17B3A">
      <w:pPr>
        <w:pStyle w:val="tMain"/>
        <w:keepNext/>
        <w:keepLines/>
      </w:pPr>
      <w:r w:rsidRPr="00B32A45">
        <w:tab/>
      </w:r>
      <w:r w:rsidRPr="00B32A45">
        <w:tab/>
      </w:r>
      <w:r w:rsidR="0030319A">
        <w:t>M</w:t>
      </w:r>
      <w:r w:rsidRPr="00B32A45">
        <w:t>ethod 2A is:</w:t>
      </w:r>
    </w:p>
    <w:p w:rsidR="00C17B3A" w:rsidRPr="00B32A45" w:rsidRDefault="00FB502A" w:rsidP="00C17B3A">
      <w:pPr>
        <w:pStyle w:val="subsection2"/>
      </w:pPr>
      <w:r>
        <w:pict>
          <v:shape id="_x0000_i1027" type="#_x0000_t75" style="width:109.2pt;height:22.2pt">
            <v:imagedata r:id="rId22" o:title=""/>
          </v:shape>
        </w:pict>
      </w:r>
    </w:p>
    <w:p w:rsidR="00C17B3A" w:rsidRPr="00B32A45" w:rsidRDefault="00C17B3A" w:rsidP="00C17B3A">
      <w:pPr>
        <w:pStyle w:val="subsection2"/>
      </w:pPr>
      <w:r w:rsidRPr="00B32A45">
        <w:t>where:</w:t>
      </w:r>
    </w:p>
    <w:p w:rsidR="00C17B3A" w:rsidRPr="00B32A45" w:rsidRDefault="00C17B3A" w:rsidP="00C17B3A">
      <w:pPr>
        <w:pStyle w:val="tDefn"/>
      </w:pPr>
      <w:r w:rsidRPr="00B32A45">
        <w:rPr>
          <w:b/>
          <w:i/>
        </w:rPr>
        <w:t>EF</w:t>
      </w:r>
      <w:r w:rsidRPr="00B32A45">
        <w:rPr>
          <w:b/>
          <w:i/>
          <w:vertAlign w:val="subscript"/>
        </w:rPr>
        <w:t>hij</w:t>
      </w:r>
      <w:r w:rsidRPr="00B32A45">
        <w:t xml:space="preserve"> is the emission factor of gas type (</w:t>
      </w:r>
      <w:r w:rsidRPr="00B32A45">
        <w:rPr>
          <w:b/>
          <w:i/>
        </w:rPr>
        <w:t>j</w:t>
      </w:r>
      <w:r w:rsidRPr="00B32A45">
        <w:t>), being methane or nitrous oxide, for the total hydrocarbons (</w:t>
      </w:r>
      <w:r w:rsidRPr="00B32A45">
        <w:rPr>
          <w:b/>
          <w:i/>
        </w:rPr>
        <w:t>h</w:t>
      </w:r>
      <w:r w:rsidRPr="00B32A45">
        <w:t>) within the fuel type (</w:t>
      </w:r>
      <w:r w:rsidRPr="00B32A45">
        <w:rPr>
          <w:b/>
          <w:i/>
        </w:rPr>
        <w:t>i</w:t>
      </w:r>
      <w:r w:rsidRPr="00B32A45">
        <w:t>) in natural gas production during the year, mentioned for the fuel type in the table in subsection 3.85(2) and measured in CO</w:t>
      </w:r>
      <w:r w:rsidRPr="00B32A45">
        <w:rPr>
          <w:vertAlign w:val="subscript"/>
        </w:rPr>
        <w:t>2</w:t>
      </w:r>
      <w:r w:rsidRPr="00B32A45">
        <w:noBreakHyphen/>
        <w:t>e tonnes per tonne of the fuel type (</w:t>
      </w:r>
      <w:r w:rsidRPr="00B32A45">
        <w:rPr>
          <w:b/>
          <w:i/>
        </w:rPr>
        <w:t>i</w:t>
      </w:r>
      <w:r w:rsidRPr="00B32A45">
        <w:t>) flared.</w:t>
      </w:r>
    </w:p>
    <w:p w:rsidR="00C17B3A" w:rsidRPr="00B32A45" w:rsidRDefault="00C17B3A" w:rsidP="00C17B3A">
      <w:pPr>
        <w:pStyle w:val="tDefn"/>
      </w:pPr>
      <w:r w:rsidRPr="00B32A45">
        <w:rPr>
          <w:b/>
          <w:i/>
        </w:rPr>
        <w:t>E</w:t>
      </w:r>
      <w:r w:rsidRPr="00B32A45">
        <w:rPr>
          <w:b/>
          <w:i/>
          <w:vertAlign w:val="subscript"/>
        </w:rPr>
        <w:t>ij</w:t>
      </w:r>
      <w:r w:rsidRPr="00B32A45">
        <w:t xml:space="preserve"> is the fugitive emissions of gas type (</w:t>
      </w:r>
      <w:r w:rsidRPr="00B32A45">
        <w:rPr>
          <w:b/>
          <w:i/>
        </w:rPr>
        <w:t>j</w:t>
      </w:r>
      <w:r w:rsidRPr="00B32A45">
        <w:t>), being methane or nitrous oxide, from fuel type (</w:t>
      </w:r>
      <w:r w:rsidRPr="00B32A45">
        <w:rPr>
          <w:b/>
          <w:i/>
        </w:rPr>
        <w:t>i</w:t>
      </w:r>
      <w:r w:rsidRPr="00B32A45">
        <w:t>) flared</w:t>
      </w:r>
      <w:r w:rsidRPr="00B32A45">
        <w:rPr>
          <w:i/>
        </w:rPr>
        <w:t xml:space="preserve"> </w:t>
      </w:r>
      <w:r w:rsidRPr="00B32A45">
        <w:t>from natural gas production during the year, measured in CO</w:t>
      </w:r>
      <w:r w:rsidRPr="00B32A45">
        <w:rPr>
          <w:vertAlign w:val="subscript"/>
        </w:rPr>
        <w:t>2</w:t>
      </w:r>
      <w:r w:rsidRPr="00B32A45">
        <w:noBreakHyphen/>
        <w:t>e tonnes.</w:t>
      </w:r>
    </w:p>
    <w:p w:rsidR="00C17B3A" w:rsidRPr="00B32A45" w:rsidRDefault="00C17B3A" w:rsidP="00C17B3A">
      <w:pPr>
        <w:pStyle w:val="tDefn"/>
      </w:pPr>
      <w:r w:rsidRPr="00B32A45">
        <w:rPr>
          <w:b/>
          <w:i/>
        </w:rPr>
        <w:t>OF</w:t>
      </w:r>
      <w:r w:rsidRPr="00B32A45">
        <w:rPr>
          <w:b/>
          <w:i/>
          <w:vertAlign w:val="subscript"/>
        </w:rPr>
        <w:t>i</w:t>
      </w:r>
      <w:r w:rsidRPr="00B32A45">
        <w:t xml:space="preserve"> is 0.98, which is the destruction efficiency of fuel type (</w:t>
      </w:r>
      <w:r w:rsidRPr="00B32A45">
        <w:rPr>
          <w:b/>
          <w:i/>
        </w:rPr>
        <w:t>i</w:t>
      </w:r>
      <w:r w:rsidRPr="00B32A45">
        <w:t>) flared.</w:t>
      </w:r>
    </w:p>
    <w:p w:rsidR="00C17B3A" w:rsidRPr="00B32A45" w:rsidRDefault="00C17B3A" w:rsidP="00C17B3A">
      <w:pPr>
        <w:pStyle w:val="tDefn"/>
      </w:pPr>
      <w:r w:rsidRPr="00B32A45">
        <w:rPr>
          <w:b/>
          <w:i/>
        </w:rPr>
        <w:t>Q</w:t>
      </w:r>
      <w:r w:rsidRPr="00B32A45">
        <w:rPr>
          <w:b/>
          <w:i/>
          <w:vertAlign w:val="subscript"/>
        </w:rPr>
        <w:t>h</w:t>
      </w:r>
      <w:r w:rsidRPr="00B32A45">
        <w:t xml:space="preserve"> is the total quantity of hydrocarbons (</w:t>
      </w:r>
      <w:r w:rsidRPr="00B32A45">
        <w:rPr>
          <w:b/>
          <w:i/>
        </w:rPr>
        <w:t>h</w:t>
      </w:r>
      <w:r w:rsidRPr="00B32A45">
        <w:t>) within the fuel type (</w:t>
      </w:r>
      <w:r w:rsidRPr="00B32A45">
        <w:rPr>
          <w:b/>
          <w:i/>
        </w:rPr>
        <w:t>i</w:t>
      </w:r>
      <w:r w:rsidRPr="00B32A45">
        <w:t>) in natural gas production during the year, measured in tonnes in accordance with Division 2.3.3.</w:t>
      </w:r>
    </w:p>
    <w:p w:rsidR="00C17B3A" w:rsidRPr="00B32A45" w:rsidRDefault="00C17B3A" w:rsidP="00C17B3A">
      <w:pPr>
        <w:pStyle w:val="h5Section"/>
      </w:pPr>
      <w:bookmarkStart w:id="103" w:name="_Toc486862105"/>
      <w:r w:rsidRPr="00B32A45">
        <w:rPr>
          <w:rStyle w:val="CharSectno"/>
        </w:rPr>
        <w:t>3.88</w:t>
      </w:r>
      <w:r w:rsidRPr="00B32A45">
        <w:t xml:space="preserve">  Method 3—gas flared from natural gas production </w:t>
      </w:r>
      <w:bookmarkEnd w:id="103"/>
    </w:p>
    <w:p w:rsidR="00C17B3A" w:rsidRPr="00B32A45" w:rsidRDefault="00C17B3A" w:rsidP="00C17B3A">
      <w:pPr>
        <w:pStyle w:val="tMain"/>
      </w:pPr>
      <w:r w:rsidRPr="00B32A45">
        <w:tab/>
      </w:r>
      <w:r w:rsidRPr="00B32A45">
        <w:tab/>
      </w:r>
      <w:r w:rsidR="0030319A">
        <w:t>M</w:t>
      </w:r>
      <w:r w:rsidRPr="00B32A45">
        <w:t>ethod 3 is the same as method 2 under section 3.86, but the emission factor (</w:t>
      </w:r>
      <w:r w:rsidRPr="00B32A45">
        <w:rPr>
          <w:b/>
          <w:i/>
        </w:rPr>
        <w:t>EF</w:t>
      </w:r>
      <w:r w:rsidRPr="00B32A45">
        <w:rPr>
          <w:b/>
          <w:i/>
          <w:vertAlign w:val="subscript"/>
        </w:rPr>
        <w:t>ij</w:t>
      </w:r>
      <w:r w:rsidRPr="00B32A45">
        <w:t>) must be determined in accordance with method 3 for the consumption of gaseous fuels as specified in Division 2.3.4.</w:t>
      </w:r>
    </w:p>
    <w:p w:rsidR="00C17B3A" w:rsidRPr="00B32A45" w:rsidRDefault="00C17B3A" w:rsidP="00C17B3A">
      <w:pPr>
        <w:pStyle w:val="h3Div"/>
        <w:pageBreakBefore/>
      </w:pPr>
      <w:bookmarkStart w:id="104" w:name="_Toc69480131"/>
      <w:r w:rsidRPr="00B32A45">
        <w:rPr>
          <w:rStyle w:val="CharDivNo"/>
        </w:rPr>
        <w:lastRenderedPageBreak/>
        <w:t>Division 3.3.9B</w:t>
      </w:r>
      <w:r w:rsidRPr="00B32A45">
        <w:t>—</w:t>
      </w:r>
      <w:r w:rsidRPr="00B32A45">
        <w:rPr>
          <w:rStyle w:val="CharDivText"/>
        </w:rPr>
        <w:t>Natural gas gathering and boosting (emissions that are vented or flared)</w:t>
      </w:r>
      <w:bookmarkEnd w:id="104"/>
    </w:p>
    <w:p w:rsidR="00C17B3A" w:rsidRPr="00B32A45" w:rsidRDefault="00C17B3A" w:rsidP="00C17B3A">
      <w:pPr>
        <w:pStyle w:val="h5Section"/>
      </w:pPr>
      <w:r w:rsidRPr="00B32A45">
        <w:rPr>
          <w:rStyle w:val="CharSectno"/>
        </w:rPr>
        <w:t>3.88A</w:t>
      </w:r>
      <w:r w:rsidRPr="00B32A45">
        <w:t xml:space="preserve">  Application</w:t>
      </w:r>
    </w:p>
    <w:p w:rsidR="00C17B3A" w:rsidRPr="00B32A45" w:rsidRDefault="00C17B3A" w:rsidP="00C17B3A">
      <w:pPr>
        <w:pStyle w:val="tMain"/>
      </w:pPr>
      <w:r w:rsidRPr="00B32A45">
        <w:tab/>
      </w:r>
      <w:r w:rsidRPr="00B32A45">
        <w:tab/>
        <w:t>This Division applies to fugitive emissions from venting or flaring from natural gas gathering and boosting, including emissions from:</w:t>
      </w:r>
    </w:p>
    <w:p w:rsidR="00C17B3A" w:rsidRPr="00B32A45" w:rsidRDefault="00C17B3A" w:rsidP="00C17B3A">
      <w:pPr>
        <w:pStyle w:val="tPara"/>
      </w:pPr>
      <w:r w:rsidRPr="00B32A45">
        <w:tab/>
        <w:t xml:space="preserve">(a) </w:t>
      </w:r>
      <w:r w:rsidRPr="00B32A45">
        <w:tab/>
        <w:t>the venting of natural gas; and</w:t>
      </w:r>
    </w:p>
    <w:p w:rsidR="00C17B3A" w:rsidRPr="00B32A45" w:rsidRDefault="00C17B3A" w:rsidP="00C17B3A">
      <w:pPr>
        <w:pStyle w:val="tPara"/>
      </w:pPr>
      <w:r w:rsidRPr="00B32A45">
        <w:tab/>
        <w:t>(b)</w:t>
      </w:r>
      <w:r w:rsidRPr="00B32A45">
        <w:tab/>
        <w:t>the venting of waste gas and vapour streams at facilities that are constituted by natural gas gathering and boosting; and</w:t>
      </w:r>
    </w:p>
    <w:p w:rsidR="00C17B3A" w:rsidRPr="00B32A45" w:rsidRDefault="00C17B3A" w:rsidP="00C17B3A">
      <w:pPr>
        <w:pStyle w:val="tPara"/>
      </w:pPr>
      <w:r w:rsidRPr="00B32A45">
        <w:tab/>
        <w:t>(c)</w:t>
      </w:r>
      <w:r w:rsidRPr="00B32A45">
        <w:tab/>
        <w:t>the flaring of natural gas, waste gas and waste vapour streams at those facilities.</w:t>
      </w:r>
    </w:p>
    <w:p w:rsidR="00C17B3A" w:rsidRPr="00B32A45" w:rsidRDefault="00C17B3A" w:rsidP="00C17B3A">
      <w:pPr>
        <w:pStyle w:val="h4Subdiv"/>
      </w:pPr>
      <w:r w:rsidRPr="00B32A45">
        <w:rPr>
          <w:rStyle w:val="CharSubdNo"/>
        </w:rPr>
        <w:t>Subdivision 3.3.9B.1</w:t>
      </w:r>
      <w:r w:rsidRPr="00B32A45">
        <w:t xml:space="preserve">—Natural gas gathering and boosting (emissions that are vented) </w:t>
      </w:r>
    </w:p>
    <w:p w:rsidR="00C17B3A" w:rsidRPr="00B32A45" w:rsidRDefault="00C17B3A" w:rsidP="00C17B3A">
      <w:pPr>
        <w:pStyle w:val="h5Section"/>
      </w:pPr>
      <w:r w:rsidRPr="00B32A45">
        <w:rPr>
          <w:rStyle w:val="CharSectno"/>
        </w:rPr>
        <w:t>3.88B</w:t>
      </w:r>
      <w:r w:rsidRPr="00B32A45">
        <w:t xml:space="preserve">  Available methods</w:t>
      </w:r>
    </w:p>
    <w:p w:rsidR="00C17B3A" w:rsidRPr="00B32A45" w:rsidRDefault="00C17B3A" w:rsidP="00C17B3A">
      <w:pPr>
        <w:pStyle w:val="tMain"/>
      </w:pPr>
      <w:r w:rsidRPr="00B32A45">
        <w:tab/>
        <w:t>(1)</w:t>
      </w:r>
      <w:r w:rsidRPr="00B32A45">
        <w:tab/>
        <w:t>Subject to section 1.</w:t>
      </w:r>
      <w:r w:rsidR="0030319A">
        <w:t>18, method 1 under section 3.88C</w:t>
      </w:r>
      <w:r w:rsidRPr="00B32A45">
        <w:t xml:space="preserve"> must</w:t>
      </w:r>
      <w:r w:rsidRPr="00B32A45">
        <w:rPr>
          <w:i/>
        </w:rPr>
        <w:t xml:space="preserve"> </w:t>
      </w:r>
      <w:r w:rsidRPr="00B32A45">
        <w:t>be used for estimating fugitive emissions from gas vented during natural gas gathering and boosting.</w:t>
      </w:r>
    </w:p>
    <w:p w:rsidR="00C17B3A" w:rsidRPr="00B32A45" w:rsidRDefault="00C17B3A" w:rsidP="00C17B3A">
      <w:pPr>
        <w:pStyle w:val="nMain"/>
      </w:pPr>
      <w:r w:rsidRPr="00B32A45">
        <w:t>Note:</w:t>
      </w:r>
      <w:r w:rsidRPr="00B32A45">
        <w:tab/>
        <w:t>There is no method 2, 3 or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3.88C</w:t>
      </w:r>
      <w:r w:rsidRPr="00B32A45">
        <w:t xml:space="preserve">  Method 1—emissions from system upsets, accidents and deliberate releases from process vents—gas gathering and boosting emissions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r w:rsidR="00C17B3A" w:rsidRPr="00B32A45"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3</w:t>
            </w:r>
          </w:p>
        </w:tc>
        <w:tc>
          <w:tcPr>
            <w:tcW w:w="3574" w:type="pct"/>
            <w:shd w:val="clear" w:color="auto" w:fill="auto"/>
          </w:tcPr>
          <w:p w:rsidR="00C17B3A" w:rsidRPr="00B32A45" w:rsidDel="00BE02E0" w:rsidRDefault="00C17B3A" w:rsidP="00DB6238">
            <w:pPr>
              <w:pStyle w:val="Tabletext"/>
            </w:pPr>
            <w:r w:rsidRPr="00B32A45">
              <w:t xml:space="preserve">Natural gas blanketed tanks </w:t>
            </w:r>
          </w:p>
        </w:tc>
        <w:tc>
          <w:tcPr>
            <w:tcW w:w="1025" w:type="pct"/>
            <w:shd w:val="clear" w:color="auto" w:fill="auto"/>
          </w:tcPr>
          <w:p w:rsidR="00C17B3A" w:rsidRPr="00B32A45" w:rsidDel="00BE02E0" w:rsidRDefault="00C17B3A" w:rsidP="00DB6238">
            <w:pPr>
              <w:pStyle w:val="Tabletext"/>
            </w:pPr>
            <w:r w:rsidRPr="00B32A45">
              <w:t>Section 5.4.4</w:t>
            </w:r>
          </w:p>
        </w:tc>
      </w:tr>
      <w:tr w:rsidR="00C17B3A" w:rsidRPr="00B32A45" w:rsidTr="00DB6238">
        <w:tc>
          <w:tcPr>
            <w:tcW w:w="401" w:type="pct"/>
            <w:shd w:val="clear" w:color="auto" w:fill="auto"/>
          </w:tcPr>
          <w:p w:rsidR="00C17B3A" w:rsidRPr="00B32A45" w:rsidRDefault="00C17B3A" w:rsidP="00DB6238">
            <w:pPr>
              <w:pStyle w:val="Tabletext"/>
            </w:pPr>
            <w:r w:rsidRPr="00B32A45">
              <w:t>4</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5</w:t>
            </w:r>
          </w:p>
        </w:tc>
        <w:tc>
          <w:tcPr>
            <w:tcW w:w="3574" w:type="pct"/>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shd w:val="clear" w:color="auto" w:fill="auto"/>
          </w:tcPr>
          <w:p w:rsidR="00C17B3A" w:rsidRPr="00B32A45" w:rsidDel="00BE02E0" w:rsidRDefault="00C17B3A" w:rsidP="00DB6238">
            <w:pPr>
              <w:pStyle w:val="Tabletext"/>
            </w:pPr>
            <w:r w:rsidRPr="00B32A45">
              <w:t>Section 5.6.2</w:t>
            </w:r>
          </w:p>
        </w:tc>
      </w:tr>
      <w:tr w:rsidR="00C17B3A" w:rsidRPr="00B32A45" w:rsidTr="00DB6238">
        <w:tc>
          <w:tcPr>
            <w:tcW w:w="401" w:type="pct"/>
            <w:shd w:val="clear" w:color="auto" w:fill="auto"/>
          </w:tcPr>
          <w:p w:rsidR="00C17B3A" w:rsidRPr="00B32A45" w:rsidRDefault="00C17B3A" w:rsidP="00DB6238">
            <w:pPr>
              <w:pStyle w:val="Tabletext"/>
            </w:pPr>
            <w:r w:rsidRPr="00B32A45">
              <w:t>6</w:t>
            </w:r>
          </w:p>
        </w:tc>
        <w:tc>
          <w:tcPr>
            <w:tcW w:w="3574" w:type="pct"/>
            <w:shd w:val="clear" w:color="auto" w:fill="auto"/>
          </w:tcPr>
          <w:p w:rsidR="00C17B3A" w:rsidRPr="00B32A45" w:rsidRDefault="00C17B3A" w:rsidP="00DB6238">
            <w:pPr>
              <w:pStyle w:val="Tabletext"/>
            </w:pPr>
            <w:r w:rsidRPr="00B32A45">
              <w:t>Non</w:t>
            </w:r>
            <w:r w:rsidRPr="00B32A45">
              <w:noBreakHyphen/>
              <w:t>routine activities—gas production related non</w:t>
            </w:r>
            <w:r w:rsidRPr="00B32A45">
              <w:noBreakHyphen/>
              <w:t>routine emissions – gas gathering pipeline blowdowns</w:t>
            </w:r>
          </w:p>
        </w:tc>
        <w:tc>
          <w:tcPr>
            <w:tcW w:w="1025" w:type="pct"/>
            <w:shd w:val="clear" w:color="auto" w:fill="auto"/>
          </w:tcPr>
          <w:p w:rsidR="00C17B3A" w:rsidRPr="00B32A45" w:rsidRDefault="00C17B3A" w:rsidP="00DB6238">
            <w:pPr>
              <w:pStyle w:val="Tabletext"/>
            </w:pPr>
            <w:r w:rsidRPr="00B32A45">
              <w:t xml:space="preserve">Section 5.7.1 and 5.7.2 </w:t>
            </w:r>
          </w:p>
        </w:tc>
      </w:tr>
      <w:tr w:rsidR="00C17B3A" w:rsidRPr="00B32A45" w:rsidTr="00DB6238">
        <w:tc>
          <w:tcPr>
            <w:tcW w:w="401" w:type="pct"/>
            <w:shd w:val="clear" w:color="auto" w:fill="auto"/>
          </w:tcPr>
          <w:p w:rsidR="00C17B3A" w:rsidRPr="00B32A45" w:rsidRDefault="00C17B3A" w:rsidP="00DB6238">
            <w:pPr>
              <w:pStyle w:val="Tabletext"/>
            </w:pPr>
            <w:r w:rsidRPr="00B32A45">
              <w:t>7</w:t>
            </w:r>
          </w:p>
        </w:tc>
        <w:tc>
          <w:tcPr>
            <w:tcW w:w="3574" w:type="pct"/>
            <w:shd w:val="clear" w:color="auto" w:fill="auto"/>
          </w:tcPr>
          <w:p w:rsidR="00C17B3A" w:rsidRPr="00B32A45" w:rsidRDefault="00C17B3A" w:rsidP="00DB6238">
            <w:pPr>
              <w:pStyle w:val="Tabletext"/>
            </w:pPr>
            <w:r w:rsidRPr="00B32A45">
              <w:t>Condensate storage tanks</w:t>
            </w:r>
          </w:p>
        </w:tc>
        <w:tc>
          <w:tcPr>
            <w:tcW w:w="1025" w:type="pct"/>
            <w:shd w:val="clear" w:color="auto" w:fill="auto"/>
          </w:tcPr>
          <w:p w:rsidR="00C17B3A" w:rsidRPr="00B32A45" w:rsidRDefault="00C17B3A" w:rsidP="00DB6238">
            <w:pPr>
              <w:pStyle w:val="Tabletext"/>
            </w:pPr>
            <w:r w:rsidRPr="00B32A45">
              <w:t>Section 5.4.1</w:t>
            </w:r>
          </w:p>
        </w:tc>
      </w:tr>
    </w:tbl>
    <w:p w:rsidR="00C17B3A" w:rsidRPr="00B32A45" w:rsidRDefault="00C17B3A" w:rsidP="00C17B3A">
      <w:pPr>
        <w:pStyle w:val="h4Subdiv"/>
      </w:pPr>
      <w:r w:rsidRPr="00B32A45">
        <w:rPr>
          <w:rStyle w:val="CharSubdNo"/>
        </w:rPr>
        <w:t>Subdivision 3.3.9B.2</w:t>
      </w:r>
      <w:r w:rsidRPr="00B32A45">
        <w:t>—</w:t>
      </w:r>
      <w:r w:rsidRPr="00B32A45">
        <w:rPr>
          <w:rStyle w:val="CharSubdText"/>
        </w:rPr>
        <w:t>Natural gas gathering and boosting (emissions that are flared)</w:t>
      </w:r>
    </w:p>
    <w:p w:rsidR="00C17B3A" w:rsidRPr="00B32A45" w:rsidRDefault="00C17B3A" w:rsidP="00C17B3A">
      <w:pPr>
        <w:pStyle w:val="tMain"/>
        <w:rPr>
          <w:b/>
        </w:rPr>
      </w:pPr>
      <w:r w:rsidRPr="00B32A45">
        <w:rPr>
          <w:b/>
        </w:rPr>
        <w:t>3.88D  Available methods</w:t>
      </w:r>
    </w:p>
    <w:p w:rsidR="00C17B3A" w:rsidRPr="00B32A45" w:rsidRDefault="00C17B3A" w:rsidP="00C17B3A">
      <w:pPr>
        <w:pStyle w:val="tMain"/>
      </w:pPr>
      <w:r w:rsidRPr="00B32A45">
        <w:tab/>
        <w:t>(1)</w:t>
      </w:r>
      <w:r w:rsidRPr="00B32A45">
        <w:tab/>
        <w:t>For estimating emissions released from gas flared from natural gas gathering and boosting:</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lastRenderedPageBreak/>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from natural gas production and processing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p>
    <w:p w:rsidR="00C17B3A" w:rsidRPr="00B32A45" w:rsidRDefault="00C17B3A" w:rsidP="00C17B3A">
      <w:pPr>
        <w:pStyle w:val="h3Div"/>
        <w:pageBreakBefore/>
      </w:pPr>
      <w:bookmarkStart w:id="105" w:name="_Toc69480132"/>
      <w:r w:rsidRPr="00B32A45">
        <w:rPr>
          <w:rStyle w:val="CharDivNo"/>
        </w:rPr>
        <w:lastRenderedPageBreak/>
        <w:t>Division 3.3.9C</w:t>
      </w:r>
      <w:r w:rsidRPr="00B32A45">
        <w:t>—</w:t>
      </w:r>
      <w:r w:rsidRPr="00B32A45">
        <w:rPr>
          <w:rStyle w:val="CharDivText"/>
        </w:rPr>
        <w:t>Natural gas processing (emissions that are vented or flared)</w:t>
      </w:r>
      <w:bookmarkEnd w:id="105"/>
    </w:p>
    <w:p w:rsidR="00C17B3A" w:rsidRPr="00B32A45" w:rsidRDefault="00C17B3A" w:rsidP="00C17B3A">
      <w:pPr>
        <w:pStyle w:val="h5Section"/>
      </w:pPr>
      <w:r w:rsidRPr="00B32A45">
        <w:rPr>
          <w:rStyle w:val="CharSectno"/>
        </w:rPr>
        <w:t>3.88E</w:t>
      </w:r>
      <w:r w:rsidRPr="00B32A45">
        <w:t xml:space="preserve">  Application</w:t>
      </w:r>
    </w:p>
    <w:p w:rsidR="00C17B3A" w:rsidRPr="00B32A45" w:rsidRDefault="00C17B3A" w:rsidP="00C17B3A">
      <w:pPr>
        <w:pStyle w:val="tMain"/>
      </w:pPr>
      <w:r w:rsidRPr="00B32A45">
        <w:tab/>
      </w:r>
      <w:r w:rsidRPr="00B32A45">
        <w:tab/>
        <w:t>This Division applies to fugitive emissions from venting or flaring from natural gas processing activities, including emissions from:</w:t>
      </w:r>
    </w:p>
    <w:p w:rsidR="00C17B3A" w:rsidRPr="00B32A45" w:rsidRDefault="00C17B3A" w:rsidP="00C17B3A">
      <w:pPr>
        <w:pStyle w:val="tPara"/>
      </w:pPr>
      <w:r w:rsidRPr="00B32A45">
        <w:tab/>
        <w:t xml:space="preserve">(a) </w:t>
      </w:r>
      <w:r w:rsidRPr="00B32A45">
        <w:tab/>
        <w:t>the venting of natural gas; and</w:t>
      </w:r>
    </w:p>
    <w:p w:rsidR="00C17B3A" w:rsidRPr="00B32A45" w:rsidRDefault="00C17B3A" w:rsidP="00C17B3A">
      <w:pPr>
        <w:pStyle w:val="tPara"/>
      </w:pPr>
      <w:r w:rsidRPr="00B32A45">
        <w:tab/>
        <w:t>(b)</w:t>
      </w:r>
      <w:r w:rsidRPr="00B32A45">
        <w:tab/>
        <w:t>the venting of waste gas and vapour streams at facilities that are constituted by natural gas processing; and</w:t>
      </w:r>
    </w:p>
    <w:p w:rsidR="00C17B3A" w:rsidRPr="00B32A45" w:rsidRDefault="00C17B3A" w:rsidP="00C17B3A">
      <w:pPr>
        <w:pStyle w:val="tPara"/>
        <w:rPr>
          <w:rStyle w:val="CharSubdNo"/>
          <w:szCs w:val="22"/>
        </w:rPr>
      </w:pPr>
      <w:r w:rsidRPr="00B32A45">
        <w:rPr>
          <w:b/>
        </w:rPr>
        <w:tab/>
      </w:r>
      <w:r w:rsidRPr="00B32A45">
        <w:t>(c)</w:t>
      </w:r>
      <w:r w:rsidRPr="00B32A45">
        <w:tab/>
        <w:t>the flaring of natural gas, waste gas and waste vapour streams at those facilities.</w:t>
      </w:r>
    </w:p>
    <w:p w:rsidR="00C17B3A" w:rsidRPr="00B32A45" w:rsidRDefault="00C17B3A" w:rsidP="00C17B3A">
      <w:pPr>
        <w:pStyle w:val="h4Subdiv"/>
      </w:pPr>
      <w:r w:rsidRPr="00B32A45">
        <w:rPr>
          <w:rStyle w:val="CharSubdNo"/>
        </w:rPr>
        <w:t>Subdivision 3.3.9C.1</w:t>
      </w:r>
      <w:r w:rsidRPr="00B32A45">
        <w:t xml:space="preserve">—Natural gas processing (emissions that are vented) </w:t>
      </w:r>
    </w:p>
    <w:p w:rsidR="00C17B3A" w:rsidRPr="00B32A45" w:rsidRDefault="00C17B3A" w:rsidP="00C17B3A">
      <w:pPr>
        <w:pStyle w:val="h5Section"/>
      </w:pPr>
      <w:r w:rsidRPr="00B32A45">
        <w:rPr>
          <w:rStyle w:val="CharSectno"/>
        </w:rPr>
        <w:t>3.88F</w:t>
      </w:r>
      <w:r w:rsidRPr="00B32A45">
        <w:t xml:space="preserve">  Available methods</w:t>
      </w:r>
    </w:p>
    <w:p w:rsidR="00C17B3A" w:rsidRPr="00B32A45" w:rsidRDefault="00C17B3A" w:rsidP="00C17B3A">
      <w:pPr>
        <w:pStyle w:val="tMain"/>
      </w:pPr>
      <w:r w:rsidRPr="00B32A45">
        <w:tab/>
        <w:t>(1)</w:t>
      </w:r>
      <w:r w:rsidRPr="00B32A45">
        <w:tab/>
        <w:t>Subject to section 1.18, method 1 under section 3.88G must</w:t>
      </w:r>
      <w:r w:rsidRPr="00B32A45">
        <w:rPr>
          <w:i/>
        </w:rPr>
        <w:t xml:space="preserve"> </w:t>
      </w:r>
      <w:r w:rsidRPr="00B32A45">
        <w:t>be used for estimating fugitive emissions from gas vented during natural gas processing.</w:t>
      </w:r>
    </w:p>
    <w:p w:rsidR="00C17B3A" w:rsidRPr="00B32A45" w:rsidRDefault="00C17B3A" w:rsidP="00C17B3A">
      <w:pPr>
        <w:pStyle w:val="nMain"/>
      </w:pPr>
      <w:r w:rsidRPr="00B32A45">
        <w:t>Note:</w:t>
      </w:r>
      <w:r w:rsidRPr="00B32A45">
        <w:tab/>
        <w:t>There is no method 2, 3 or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3.88G</w:t>
      </w:r>
      <w:r w:rsidRPr="00B32A45">
        <w:t xml:space="preserve">  Method 1—emissions from system upsets, accidents and deliberate releases from process vents—gas processing </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r w:rsidR="00C17B3A" w:rsidRPr="00B32A45"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3</w:t>
            </w:r>
          </w:p>
        </w:tc>
        <w:tc>
          <w:tcPr>
            <w:tcW w:w="3574" w:type="pct"/>
            <w:shd w:val="clear" w:color="auto" w:fill="auto"/>
          </w:tcPr>
          <w:p w:rsidR="00C17B3A" w:rsidRPr="00B32A45" w:rsidDel="00BE02E0" w:rsidRDefault="00C17B3A" w:rsidP="00DB6238">
            <w:pPr>
              <w:pStyle w:val="Tabletext"/>
            </w:pPr>
            <w:r w:rsidRPr="00B32A45">
              <w:t xml:space="preserve">Natural gas blanketed tanks </w:t>
            </w:r>
          </w:p>
        </w:tc>
        <w:tc>
          <w:tcPr>
            <w:tcW w:w="1025" w:type="pct"/>
            <w:shd w:val="clear" w:color="auto" w:fill="auto"/>
          </w:tcPr>
          <w:p w:rsidR="00C17B3A" w:rsidRPr="00B32A45" w:rsidDel="00BE02E0" w:rsidRDefault="00C17B3A" w:rsidP="00DB6238">
            <w:pPr>
              <w:pStyle w:val="Tabletext"/>
            </w:pPr>
            <w:r w:rsidRPr="00B32A45">
              <w:t>Section 5.4.4</w:t>
            </w:r>
          </w:p>
        </w:tc>
      </w:tr>
      <w:tr w:rsidR="00C17B3A" w:rsidRPr="00B32A45" w:rsidTr="00DB6238">
        <w:tc>
          <w:tcPr>
            <w:tcW w:w="401" w:type="pct"/>
            <w:shd w:val="clear" w:color="auto" w:fill="auto"/>
          </w:tcPr>
          <w:p w:rsidR="00C17B3A" w:rsidRPr="00B32A45" w:rsidRDefault="00C17B3A" w:rsidP="00DB6238">
            <w:pPr>
              <w:pStyle w:val="Tabletext"/>
            </w:pPr>
            <w:r w:rsidRPr="00B32A45">
              <w:t>4</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5</w:t>
            </w:r>
          </w:p>
        </w:tc>
        <w:tc>
          <w:tcPr>
            <w:tcW w:w="3574" w:type="pct"/>
            <w:tcBorders>
              <w:bottom w:val="single" w:sz="4" w:space="0" w:color="auto"/>
            </w:tcBorders>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tcBorders>
              <w:bottom w:val="single" w:sz="4" w:space="0" w:color="auto"/>
            </w:tcBorders>
            <w:shd w:val="clear" w:color="auto" w:fill="auto"/>
          </w:tcPr>
          <w:p w:rsidR="00C17B3A" w:rsidRPr="00B32A45" w:rsidDel="00BE02E0" w:rsidRDefault="00C17B3A" w:rsidP="00DB6238">
            <w:pPr>
              <w:pStyle w:val="Tabletext"/>
            </w:pPr>
            <w:r w:rsidRPr="00B32A45">
              <w:t>Section 5.6.2</w:t>
            </w:r>
          </w:p>
        </w:tc>
      </w:tr>
      <w:tr w:rsidR="00C17B3A" w:rsidRPr="00B32A45" w:rsidTr="00DB6238">
        <w:tc>
          <w:tcPr>
            <w:tcW w:w="401" w:type="pct"/>
            <w:shd w:val="clear" w:color="auto" w:fill="auto"/>
          </w:tcPr>
          <w:p w:rsidR="00C17B3A" w:rsidRPr="00B32A45" w:rsidRDefault="00C17B3A" w:rsidP="00DB6238">
            <w:pPr>
              <w:pStyle w:val="Tabletext"/>
            </w:pPr>
            <w:r w:rsidRPr="00B32A45">
              <w:t>6</w:t>
            </w:r>
          </w:p>
        </w:tc>
        <w:tc>
          <w:tcPr>
            <w:tcW w:w="3574" w:type="pct"/>
            <w:shd w:val="clear" w:color="auto" w:fill="auto"/>
          </w:tcPr>
          <w:p w:rsidR="00C17B3A" w:rsidRPr="00B32A45" w:rsidRDefault="00C17B3A" w:rsidP="00DB6238">
            <w:pPr>
              <w:pStyle w:val="Tabletext"/>
            </w:pPr>
            <w:r w:rsidRPr="00B32A45">
              <w:t>Non</w:t>
            </w:r>
            <w:r w:rsidRPr="00B32A45">
              <w:noBreakHyphen/>
              <w:t>routine activities—gas processing related non</w:t>
            </w:r>
            <w:r w:rsidRPr="00B32A45">
              <w:noBreakHyphen/>
              <w:t>routine emissions</w:t>
            </w:r>
          </w:p>
        </w:tc>
        <w:tc>
          <w:tcPr>
            <w:tcW w:w="1025" w:type="pct"/>
            <w:shd w:val="clear" w:color="auto" w:fill="auto"/>
          </w:tcPr>
          <w:p w:rsidR="00C17B3A" w:rsidRPr="00B32A45" w:rsidRDefault="00C17B3A" w:rsidP="00DB6238">
            <w:pPr>
              <w:pStyle w:val="Tabletext"/>
            </w:pPr>
            <w:r w:rsidRPr="00B32A45">
              <w:t xml:space="preserve">Section 5.7.1 and 5.7.3 </w:t>
            </w:r>
          </w:p>
        </w:tc>
      </w:tr>
      <w:tr w:rsidR="00C17B3A" w:rsidRPr="00B32A45" w:rsidTr="00DB6238">
        <w:tc>
          <w:tcPr>
            <w:tcW w:w="401" w:type="pct"/>
            <w:shd w:val="clear" w:color="auto" w:fill="auto"/>
          </w:tcPr>
          <w:p w:rsidR="00C17B3A" w:rsidRPr="00B32A45" w:rsidRDefault="00C17B3A" w:rsidP="00DB6238">
            <w:pPr>
              <w:pStyle w:val="Tabletext"/>
            </w:pPr>
            <w:r w:rsidRPr="00B32A45">
              <w:t>7</w:t>
            </w:r>
          </w:p>
        </w:tc>
        <w:tc>
          <w:tcPr>
            <w:tcW w:w="3574" w:type="pct"/>
            <w:tcBorders>
              <w:bottom w:val="single" w:sz="4" w:space="0" w:color="auto"/>
            </w:tcBorders>
            <w:shd w:val="clear" w:color="auto" w:fill="auto"/>
          </w:tcPr>
          <w:p w:rsidR="00C17B3A" w:rsidRPr="00B32A45" w:rsidRDefault="00C17B3A" w:rsidP="00DB6238">
            <w:pPr>
              <w:pStyle w:val="Tabletext"/>
            </w:pPr>
            <w:r w:rsidRPr="00B32A45">
              <w:t>Condensate storage tanks</w:t>
            </w:r>
          </w:p>
        </w:tc>
        <w:tc>
          <w:tcPr>
            <w:tcW w:w="1025" w:type="pct"/>
            <w:tcBorders>
              <w:bottom w:val="single" w:sz="4" w:space="0" w:color="auto"/>
            </w:tcBorders>
            <w:shd w:val="clear" w:color="auto" w:fill="auto"/>
          </w:tcPr>
          <w:p w:rsidR="00C17B3A" w:rsidRPr="00B32A45" w:rsidRDefault="00C17B3A" w:rsidP="00DB6238">
            <w:pPr>
              <w:pStyle w:val="Tabletext"/>
            </w:pPr>
            <w:r w:rsidRPr="00B32A45">
              <w:t>Section 5.4.1</w:t>
            </w:r>
          </w:p>
        </w:tc>
      </w:tr>
    </w:tbl>
    <w:p w:rsidR="00C17B3A" w:rsidRPr="00B32A45" w:rsidRDefault="00C17B3A" w:rsidP="00C17B3A">
      <w:pPr>
        <w:pStyle w:val="h4Subdiv"/>
      </w:pPr>
      <w:r w:rsidRPr="00B32A45">
        <w:rPr>
          <w:rStyle w:val="CharSubdNo"/>
        </w:rPr>
        <w:t>Subdivision 3.3.9C.2</w:t>
      </w:r>
      <w:r w:rsidRPr="00B32A45">
        <w:t>—</w:t>
      </w:r>
      <w:r w:rsidRPr="00B32A45">
        <w:rPr>
          <w:rStyle w:val="CharSubdText"/>
        </w:rPr>
        <w:t>Natural gas processing (emissions that are flared)</w:t>
      </w:r>
    </w:p>
    <w:p w:rsidR="00C17B3A" w:rsidRPr="00B32A45" w:rsidRDefault="00C17B3A" w:rsidP="00C17B3A">
      <w:pPr>
        <w:pStyle w:val="tMain"/>
        <w:rPr>
          <w:b/>
        </w:rPr>
      </w:pPr>
      <w:r w:rsidRPr="00B32A45">
        <w:rPr>
          <w:b/>
        </w:rPr>
        <w:t>3.88H Available methods</w:t>
      </w:r>
    </w:p>
    <w:p w:rsidR="00C17B3A" w:rsidRPr="00B32A45" w:rsidRDefault="00C17B3A" w:rsidP="00C17B3A">
      <w:pPr>
        <w:pStyle w:val="tMain"/>
      </w:pPr>
      <w:r w:rsidRPr="00B32A45">
        <w:tab/>
        <w:t>(1)</w:t>
      </w:r>
      <w:r w:rsidRPr="00B32A45">
        <w:tab/>
        <w:t>For estimating emissions released from gas flared from natural gas processing:</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lastRenderedPageBreak/>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from natural gas production and processing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p>
    <w:p w:rsidR="00C17B3A" w:rsidRPr="00B32A45" w:rsidRDefault="00C17B3A" w:rsidP="00C17B3A">
      <w:pPr>
        <w:pStyle w:val="h3Div"/>
        <w:pageBreakBefore/>
      </w:pPr>
      <w:bookmarkStart w:id="106" w:name="_Toc69480133"/>
      <w:r w:rsidRPr="00B32A45">
        <w:rPr>
          <w:rStyle w:val="CharDivNo"/>
        </w:rPr>
        <w:lastRenderedPageBreak/>
        <w:t>Division 3.3.9D</w:t>
      </w:r>
      <w:r w:rsidRPr="00B32A45">
        <w:t>—</w:t>
      </w:r>
      <w:r w:rsidRPr="00B32A45">
        <w:rPr>
          <w:rStyle w:val="CharDivText"/>
        </w:rPr>
        <w:t>Natural gas transmission (emissions that are flared)</w:t>
      </w:r>
      <w:bookmarkEnd w:id="106"/>
    </w:p>
    <w:p w:rsidR="00C17B3A" w:rsidRPr="00B32A45" w:rsidRDefault="00C17B3A" w:rsidP="00C17B3A">
      <w:pPr>
        <w:pStyle w:val="h5Section"/>
      </w:pPr>
      <w:r w:rsidRPr="00B32A45">
        <w:rPr>
          <w:rStyle w:val="CharSectno"/>
        </w:rPr>
        <w:t>3.88I</w:t>
      </w:r>
      <w:r w:rsidRPr="00B32A45">
        <w:t xml:space="preserve">  Application</w:t>
      </w:r>
    </w:p>
    <w:p w:rsidR="00C17B3A" w:rsidRPr="00B32A45" w:rsidRDefault="00C17B3A" w:rsidP="00C17B3A">
      <w:pPr>
        <w:pStyle w:val="tMain"/>
      </w:pPr>
      <w:r w:rsidRPr="00B32A45">
        <w:tab/>
      </w:r>
      <w:r w:rsidRPr="00B32A45">
        <w:tab/>
        <w:t>This Division applies to fugitive emissions from venting or flaring from natural gas transmission activities, including emissions from the flaring of natural gas, waste gas and waste vapour streams at those facilities.</w:t>
      </w:r>
    </w:p>
    <w:p w:rsidR="00C17B3A" w:rsidRPr="00B32A45" w:rsidRDefault="00C17B3A" w:rsidP="00C17B3A">
      <w:pPr>
        <w:pStyle w:val="h4Subdiv"/>
        <w:ind w:firstLine="0"/>
        <w:rPr>
          <w:rStyle w:val="CharSubdNo"/>
          <w:b w:val="0"/>
          <w:sz w:val="16"/>
          <w:szCs w:val="16"/>
        </w:rPr>
      </w:pPr>
      <w:r w:rsidRPr="00B32A45">
        <w:rPr>
          <w:rStyle w:val="CharSubdNo"/>
          <w:b w:val="0"/>
          <w:sz w:val="16"/>
          <w:szCs w:val="16"/>
        </w:rPr>
        <w:t>Note: Vented emissions from Natural gas transmission are estimated under Division 3.3.7.</w:t>
      </w:r>
    </w:p>
    <w:p w:rsidR="00C17B3A" w:rsidRPr="00B32A45" w:rsidRDefault="00C17B3A" w:rsidP="00C17B3A">
      <w:pPr>
        <w:pStyle w:val="tMain"/>
        <w:rPr>
          <w:b/>
        </w:rPr>
      </w:pPr>
      <w:r w:rsidRPr="00B32A45">
        <w:rPr>
          <w:b/>
        </w:rPr>
        <w:t>3.88J Available methods</w:t>
      </w:r>
    </w:p>
    <w:p w:rsidR="00C17B3A" w:rsidRPr="00B32A45" w:rsidRDefault="00C17B3A" w:rsidP="00C17B3A">
      <w:pPr>
        <w:pStyle w:val="tMain"/>
      </w:pPr>
      <w:r w:rsidRPr="00B32A45">
        <w:tab/>
        <w:t>(1)</w:t>
      </w:r>
      <w:r w:rsidRPr="00B32A45">
        <w:tab/>
        <w:t>For estimating emissions released from gas flare</w:t>
      </w:r>
      <w:r w:rsidR="00DD1C8C">
        <w:t>d from natural gas transmission</w:t>
      </w:r>
      <w:r w:rsidRPr="00B32A45">
        <w:t>:</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p>
    <w:p w:rsidR="00C17B3A" w:rsidRPr="00B32A45" w:rsidRDefault="00C17B3A" w:rsidP="00C17B3A">
      <w:pPr>
        <w:pStyle w:val="tMain"/>
      </w:pPr>
    </w:p>
    <w:p w:rsidR="00C17B3A" w:rsidRPr="00B32A45" w:rsidRDefault="00C17B3A" w:rsidP="00C17B3A">
      <w:pPr>
        <w:pStyle w:val="h3Div"/>
        <w:pageBreakBefore/>
      </w:pPr>
      <w:bookmarkStart w:id="107" w:name="_Toc69480134"/>
      <w:r w:rsidRPr="00B32A45">
        <w:rPr>
          <w:rStyle w:val="CharDivNo"/>
        </w:rPr>
        <w:lastRenderedPageBreak/>
        <w:t>Division 3.3.9E</w:t>
      </w:r>
      <w:r w:rsidRPr="00B32A45">
        <w:t>—</w:t>
      </w:r>
      <w:r w:rsidRPr="00B32A45">
        <w:rPr>
          <w:rStyle w:val="CharDivText"/>
        </w:rPr>
        <w:t>Natural gas storage (emissions that are vented or flared)</w:t>
      </w:r>
      <w:bookmarkEnd w:id="107"/>
    </w:p>
    <w:p w:rsidR="00C17B3A" w:rsidRPr="00B32A45" w:rsidRDefault="00C17B3A" w:rsidP="00C17B3A">
      <w:pPr>
        <w:pStyle w:val="h5Section"/>
      </w:pPr>
      <w:r w:rsidRPr="00B32A45">
        <w:rPr>
          <w:rStyle w:val="CharSectno"/>
        </w:rPr>
        <w:t>3.88</w:t>
      </w:r>
      <w:r w:rsidRPr="00B32A45">
        <w:t>K Application</w:t>
      </w:r>
    </w:p>
    <w:p w:rsidR="00C17B3A" w:rsidRPr="00B32A45" w:rsidRDefault="00C17B3A" w:rsidP="00C17B3A">
      <w:pPr>
        <w:pStyle w:val="tMain"/>
      </w:pPr>
      <w:r w:rsidRPr="00B32A45">
        <w:tab/>
      </w:r>
      <w:r w:rsidRPr="00B32A45">
        <w:tab/>
        <w:t>This Division applies to fugitive emissions from venting or flaring from natural gas storage, including emissions from:</w:t>
      </w:r>
    </w:p>
    <w:p w:rsidR="00C17B3A" w:rsidRPr="00B32A45" w:rsidRDefault="00C17B3A" w:rsidP="00C17B3A">
      <w:pPr>
        <w:pStyle w:val="tPara"/>
      </w:pPr>
      <w:r w:rsidRPr="00B32A45">
        <w:tab/>
        <w:t xml:space="preserve">(a) </w:t>
      </w:r>
      <w:r w:rsidRPr="00B32A45">
        <w:tab/>
        <w:t>the venting of natural gas; and</w:t>
      </w:r>
    </w:p>
    <w:p w:rsidR="00C17B3A" w:rsidRPr="00B32A45" w:rsidRDefault="00C17B3A" w:rsidP="00C17B3A">
      <w:pPr>
        <w:pStyle w:val="tPara"/>
      </w:pPr>
      <w:r w:rsidRPr="00B32A45">
        <w:tab/>
        <w:t>(b)</w:t>
      </w:r>
      <w:r w:rsidRPr="00B32A45">
        <w:tab/>
        <w:t>the venting of waste gas and vapour streams at facilities that are constituted by natural gas production or processing; and</w:t>
      </w:r>
    </w:p>
    <w:p w:rsidR="00C17B3A" w:rsidRPr="00B32A45" w:rsidRDefault="00C17B3A" w:rsidP="00C17B3A">
      <w:pPr>
        <w:pStyle w:val="tPara"/>
        <w:rPr>
          <w:rStyle w:val="CharSubdNo"/>
          <w:szCs w:val="22"/>
        </w:rPr>
      </w:pPr>
      <w:r w:rsidRPr="00B32A45">
        <w:rPr>
          <w:b/>
        </w:rPr>
        <w:tab/>
      </w:r>
      <w:r w:rsidRPr="00B32A45">
        <w:t>(c)</w:t>
      </w:r>
      <w:r w:rsidRPr="00B32A45">
        <w:tab/>
        <w:t>the flaring of natural gas, waste gas and waste vapour streams at those facilities.</w:t>
      </w:r>
    </w:p>
    <w:p w:rsidR="00C17B3A" w:rsidRPr="00B32A45" w:rsidRDefault="00C17B3A" w:rsidP="00C17B3A">
      <w:pPr>
        <w:pStyle w:val="h4Subdiv"/>
      </w:pPr>
      <w:r w:rsidRPr="00B32A45">
        <w:rPr>
          <w:rStyle w:val="CharSubdNo"/>
        </w:rPr>
        <w:t>Subdivision 3.3.9E.1</w:t>
      </w:r>
      <w:r w:rsidRPr="00B32A45">
        <w:t xml:space="preserve">——Natural gas storage (emissions that are vented) </w:t>
      </w:r>
    </w:p>
    <w:p w:rsidR="00C17B3A" w:rsidRPr="00B32A45" w:rsidRDefault="00C17B3A" w:rsidP="00C17B3A">
      <w:pPr>
        <w:pStyle w:val="h5Section"/>
      </w:pPr>
      <w:r w:rsidRPr="00B32A45">
        <w:rPr>
          <w:rStyle w:val="CharSectno"/>
        </w:rPr>
        <w:t>3.88L</w:t>
      </w:r>
      <w:r w:rsidRPr="00B32A45">
        <w:t xml:space="preserve">  Available methods</w:t>
      </w:r>
    </w:p>
    <w:p w:rsidR="00C17B3A" w:rsidRPr="00B32A45" w:rsidRDefault="00C17B3A" w:rsidP="00C17B3A">
      <w:pPr>
        <w:pStyle w:val="tMain"/>
      </w:pPr>
      <w:r w:rsidRPr="00B32A45">
        <w:tab/>
        <w:t>(1)</w:t>
      </w:r>
      <w:r w:rsidRPr="00B32A45">
        <w:tab/>
        <w:t>Subject to section 1.18, method 1 under section 3.88M must</w:t>
      </w:r>
      <w:r w:rsidRPr="00B32A45">
        <w:rPr>
          <w:i/>
        </w:rPr>
        <w:t xml:space="preserve"> </w:t>
      </w:r>
      <w:r w:rsidRPr="00B32A45">
        <w:t>be used for estimating fugitive emissions from gas vented during natural gas storage.</w:t>
      </w:r>
    </w:p>
    <w:p w:rsidR="00C17B3A" w:rsidRPr="00B32A45" w:rsidRDefault="00C17B3A" w:rsidP="00C17B3A">
      <w:pPr>
        <w:pStyle w:val="nMain"/>
      </w:pPr>
      <w:r w:rsidRPr="00B32A45">
        <w:t>Note:</w:t>
      </w:r>
      <w:r w:rsidRPr="00B32A45">
        <w:tab/>
        <w:t>There is no method 2, 3 or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3.88M</w:t>
      </w:r>
      <w:r w:rsidRPr="00B32A45">
        <w:t xml:space="preserve">  Method 1—emissions from system upsets, accidents and deliberate releases from process vents—gas storage related non</w:t>
      </w:r>
      <w:r w:rsidRPr="00B32A45">
        <w:noBreakHyphen/>
        <w:t>routine emissions</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r w:rsidR="00C17B3A" w:rsidRPr="00B32A45"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3</w:t>
            </w:r>
          </w:p>
        </w:tc>
        <w:tc>
          <w:tcPr>
            <w:tcW w:w="3574" w:type="pct"/>
            <w:shd w:val="clear" w:color="auto" w:fill="auto"/>
          </w:tcPr>
          <w:p w:rsidR="00C17B3A" w:rsidRPr="00B32A45" w:rsidDel="00BE02E0" w:rsidRDefault="00C17B3A" w:rsidP="00DB6238">
            <w:pPr>
              <w:pStyle w:val="Tabletext"/>
            </w:pPr>
            <w:r w:rsidRPr="00B32A45">
              <w:t>Natural gas blanketed tanks</w:t>
            </w:r>
          </w:p>
        </w:tc>
        <w:tc>
          <w:tcPr>
            <w:tcW w:w="1025" w:type="pct"/>
            <w:shd w:val="clear" w:color="auto" w:fill="auto"/>
          </w:tcPr>
          <w:p w:rsidR="00C17B3A" w:rsidRPr="00B32A45" w:rsidDel="00BE02E0" w:rsidRDefault="00C17B3A" w:rsidP="00DB6238">
            <w:pPr>
              <w:pStyle w:val="Tabletext"/>
            </w:pPr>
            <w:r w:rsidRPr="00B32A45">
              <w:t>Section 5.4.4</w:t>
            </w:r>
          </w:p>
        </w:tc>
      </w:tr>
      <w:tr w:rsidR="00C17B3A" w:rsidRPr="00B32A45" w:rsidTr="00DB6238">
        <w:tc>
          <w:tcPr>
            <w:tcW w:w="401" w:type="pct"/>
            <w:shd w:val="clear" w:color="auto" w:fill="auto"/>
          </w:tcPr>
          <w:p w:rsidR="00C17B3A" w:rsidRPr="00B32A45" w:rsidRDefault="00C17B3A" w:rsidP="00DB6238">
            <w:pPr>
              <w:pStyle w:val="Tabletext"/>
            </w:pPr>
            <w:r w:rsidRPr="00B32A45">
              <w:t>4</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5</w:t>
            </w:r>
          </w:p>
        </w:tc>
        <w:tc>
          <w:tcPr>
            <w:tcW w:w="3574" w:type="pct"/>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shd w:val="clear" w:color="auto" w:fill="auto"/>
          </w:tcPr>
          <w:p w:rsidR="00C17B3A" w:rsidRPr="00B32A45" w:rsidDel="00BE02E0" w:rsidRDefault="00C17B3A" w:rsidP="00DB6238">
            <w:pPr>
              <w:pStyle w:val="Tabletext"/>
            </w:pPr>
            <w:r w:rsidRPr="00B32A45">
              <w:t>Section 5.6.2</w:t>
            </w:r>
          </w:p>
        </w:tc>
      </w:tr>
      <w:tr w:rsidR="00C17B3A" w:rsidRPr="00B32A45" w:rsidTr="00DB6238">
        <w:tc>
          <w:tcPr>
            <w:tcW w:w="401" w:type="pct"/>
            <w:shd w:val="clear" w:color="auto" w:fill="auto"/>
          </w:tcPr>
          <w:p w:rsidR="00C17B3A" w:rsidRPr="00B32A45" w:rsidRDefault="00C17B3A" w:rsidP="00DB6238">
            <w:pPr>
              <w:pStyle w:val="Tabletext"/>
            </w:pPr>
            <w:r w:rsidRPr="00B32A45">
              <w:t>6</w:t>
            </w:r>
          </w:p>
        </w:tc>
        <w:tc>
          <w:tcPr>
            <w:tcW w:w="3574" w:type="pct"/>
            <w:shd w:val="clear" w:color="auto" w:fill="auto"/>
          </w:tcPr>
          <w:p w:rsidR="00C17B3A" w:rsidRPr="00B32A45" w:rsidRDefault="00C17B3A" w:rsidP="00DB6238">
            <w:pPr>
              <w:pStyle w:val="Tabletext"/>
            </w:pPr>
            <w:r w:rsidRPr="00B32A45">
              <w:t>Non</w:t>
            </w:r>
            <w:r w:rsidRPr="00B32A45">
              <w:noBreakHyphen/>
              <w:t>routine activities—gas storage related non</w:t>
            </w:r>
            <w:r w:rsidRPr="00B32A45">
              <w:noBreakHyphen/>
              <w:t>routine emissions</w:t>
            </w:r>
          </w:p>
        </w:tc>
        <w:tc>
          <w:tcPr>
            <w:tcW w:w="1025" w:type="pct"/>
            <w:shd w:val="clear" w:color="auto" w:fill="auto"/>
          </w:tcPr>
          <w:p w:rsidR="00C17B3A" w:rsidRPr="00B32A45" w:rsidRDefault="00C17B3A" w:rsidP="00DB6238">
            <w:pPr>
              <w:pStyle w:val="Tabletext"/>
            </w:pPr>
            <w:r w:rsidRPr="00B32A45">
              <w:t>Section 5.7.1 and 5.7.4 a</w:t>
            </w:r>
          </w:p>
        </w:tc>
      </w:tr>
      <w:tr w:rsidR="00C17B3A" w:rsidRPr="00B32A45" w:rsidTr="00DB6238">
        <w:tc>
          <w:tcPr>
            <w:tcW w:w="401" w:type="pct"/>
            <w:shd w:val="clear" w:color="auto" w:fill="auto"/>
          </w:tcPr>
          <w:p w:rsidR="00C17B3A" w:rsidRPr="00B32A45" w:rsidRDefault="00C17B3A" w:rsidP="00DB6238">
            <w:pPr>
              <w:pStyle w:val="Tabletext"/>
            </w:pPr>
            <w:r w:rsidRPr="00B32A45">
              <w:t xml:space="preserve">7 </w:t>
            </w:r>
          </w:p>
        </w:tc>
        <w:tc>
          <w:tcPr>
            <w:tcW w:w="3574" w:type="pct"/>
            <w:shd w:val="clear" w:color="auto" w:fill="auto"/>
          </w:tcPr>
          <w:p w:rsidR="00C17B3A" w:rsidRPr="00B32A45" w:rsidRDefault="00C17B3A" w:rsidP="00DB6238">
            <w:pPr>
              <w:pStyle w:val="Tabletext"/>
            </w:pPr>
            <w:r w:rsidRPr="00B32A45">
              <w:t>Condensate storage tanks</w:t>
            </w:r>
          </w:p>
        </w:tc>
        <w:tc>
          <w:tcPr>
            <w:tcW w:w="1025" w:type="pct"/>
            <w:shd w:val="clear" w:color="auto" w:fill="auto"/>
          </w:tcPr>
          <w:p w:rsidR="00C17B3A" w:rsidRPr="00B32A45" w:rsidRDefault="00C17B3A" w:rsidP="00DB6238">
            <w:pPr>
              <w:pStyle w:val="Tabletext"/>
            </w:pPr>
            <w:r w:rsidRPr="00B32A45">
              <w:t>Section 5.4.1</w:t>
            </w:r>
          </w:p>
        </w:tc>
      </w:tr>
    </w:tbl>
    <w:p w:rsidR="00C17B3A" w:rsidRPr="00693350" w:rsidRDefault="00C17B3A" w:rsidP="00693350">
      <w:pPr>
        <w:pStyle w:val="h4Subdiv"/>
        <w:ind w:left="0" w:firstLine="0"/>
        <w:rPr>
          <w:b w:val="0"/>
          <w:sz w:val="16"/>
          <w:szCs w:val="16"/>
        </w:rPr>
      </w:pPr>
      <w:r w:rsidRPr="00B32A45">
        <w:rPr>
          <w:rStyle w:val="CharSubdNo"/>
          <w:b w:val="0"/>
          <w:sz w:val="16"/>
          <w:szCs w:val="16"/>
        </w:rPr>
        <w:t xml:space="preserve">a  The emission factor at Table 5-26 ‘Gas storage station venting’ must be used for each instance of a natural gas storage station if emissions are estimated according to section 5.7.4. </w:t>
      </w:r>
    </w:p>
    <w:p w:rsidR="00C17B3A" w:rsidRPr="00B32A45" w:rsidRDefault="00C17B3A" w:rsidP="00C17B3A">
      <w:pPr>
        <w:pStyle w:val="h4Subdiv"/>
      </w:pPr>
      <w:r w:rsidRPr="00B32A45">
        <w:rPr>
          <w:rStyle w:val="CharSubdNo"/>
        </w:rPr>
        <w:t>Subdivision 3.3.9E.2</w:t>
      </w:r>
      <w:r w:rsidRPr="00B32A45">
        <w:t xml:space="preserve">—Natural gas storage (emissions that are flared) </w:t>
      </w:r>
    </w:p>
    <w:p w:rsidR="00C17B3A" w:rsidRPr="00B32A45" w:rsidRDefault="00C17B3A" w:rsidP="00C17B3A">
      <w:pPr>
        <w:pStyle w:val="tMain"/>
        <w:rPr>
          <w:b/>
        </w:rPr>
      </w:pPr>
      <w:r w:rsidRPr="00B32A45">
        <w:rPr>
          <w:b/>
        </w:rPr>
        <w:t>3.88N Available methods</w:t>
      </w:r>
    </w:p>
    <w:p w:rsidR="00C17B3A" w:rsidRPr="00B32A45" w:rsidRDefault="00C17B3A" w:rsidP="00C17B3A">
      <w:pPr>
        <w:pStyle w:val="tMain"/>
      </w:pPr>
      <w:r w:rsidRPr="00B32A45">
        <w:tab/>
        <w:t>(1)</w:t>
      </w:r>
      <w:r w:rsidRPr="00B32A45">
        <w:tab/>
        <w:t>For estimating emissions released from gas flared from natural gas storage:</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lastRenderedPageBreak/>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3.86A.</w:t>
      </w:r>
    </w:p>
    <w:p w:rsidR="00C17B3A" w:rsidRPr="00B32A45" w:rsidRDefault="00C17B3A" w:rsidP="00C17B3A">
      <w:pPr>
        <w:pStyle w:val="nMain"/>
      </w:pPr>
      <w:r w:rsidRPr="00B32A45">
        <w:t>Note:</w:t>
      </w:r>
      <w:r w:rsidRPr="00B32A45">
        <w:tab/>
        <w:t xml:space="preserve">The flaring </w:t>
      </w:r>
      <w:r w:rsidR="00DD1C8C">
        <w:t>of gas from natural gas storage</w:t>
      </w:r>
      <w:r w:rsidRPr="00B32A45">
        <w:t xml:space="preserve">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p>
    <w:p w:rsidR="00C17B3A" w:rsidRPr="00B32A45" w:rsidRDefault="00C17B3A" w:rsidP="00C17B3A">
      <w:pPr>
        <w:pStyle w:val="h3Div"/>
        <w:pageBreakBefore/>
      </w:pPr>
      <w:bookmarkStart w:id="108" w:name="_Toc69480135"/>
      <w:r w:rsidRPr="00B32A45">
        <w:rPr>
          <w:rStyle w:val="CharDivNo"/>
        </w:rPr>
        <w:lastRenderedPageBreak/>
        <w:t>Division 3.3.9F</w:t>
      </w:r>
      <w:r w:rsidRPr="00B32A45">
        <w:t>— N</w:t>
      </w:r>
      <w:r w:rsidRPr="00B32A45">
        <w:rPr>
          <w:rStyle w:val="CharDivText"/>
        </w:rPr>
        <w:t>atural gas liquefaction, storage and transfer (emissions that are vented or flared)</w:t>
      </w:r>
      <w:bookmarkEnd w:id="108"/>
    </w:p>
    <w:p w:rsidR="00C17B3A" w:rsidRPr="00B32A45" w:rsidRDefault="00C17B3A" w:rsidP="00C17B3A">
      <w:pPr>
        <w:pStyle w:val="h5Section"/>
      </w:pPr>
      <w:r w:rsidRPr="00B32A45">
        <w:rPr>
          <w:rStyle w:val="CharSectno"/>
        </w:rPr>
        <w:t>3.88O</w:t>
      </w:r>
      <w:r w:rsidRPr="00B32A45">
        <w:t xml:space="preserve">  Application</w:t>
      </w:r>
    </w:p>
    <w:p w:rsidR="00C17B3A" w:rsidRPr="00B32A45" w:rsidRDefault="00C17B3A" w:rsidP="00C17B3A">
      <w:pPr>
        <w:pStyle w:val="tMain"/>
      </w:pPr>
      <w:r w:rsidRPr="00B32A45">
        <w:tab/>
      </w:r>
      <w:r w:rsidRPr="00B32A45">
        <w:tab/>
        <w:t>This Division applies to fugitive emissions from venting or flaring from natural gas liquefaction, storage and transfer activities, including emissions from:</w:t>
      </w:r>
    </w:p>
    <w:p w:rsidR="00C17B3A" w:rsidRPr="00B32A45" w:rsidRDefault="00C17B3A" w:rsidP="00C17B3A">
      <w:pPr>
        <w:pStyle w:val="tPara"/>
      </w:pPr>
      <w:r w:rsidRPr="00B32A45">
        <w:tab/>
        <w:t xml:space="preserve">(a) </w:t>
      </w:r>
      <w:r w:rsidRPr="00B32A45">
        <w:tab/>
        <w:t>the venting of natural gas; and</w:t>
      </w:r>
    </w:p>
    <w:p w:rsidR="00C17B3A" w:rsidRPr="00B32A45" w:rsidRDefault="00C17B3A" w:rsidP="00C17B3A">
      <w:pPr>
        <w:pStyle w:val="tPara"/>
      </w:pPr>
      <w:r w:rsidRPr="00B32A45">
        <w:tab/>
        <w:t>(b)</w:t>
      </w:r>
      <w:r w:rsidRPr="00B32A45">
        <w:tab/>
        <w:t>the venting of waste gas and vapour streams at facilities that are constituted by natural gas liquefaction, storage and transfer activities; and</w:t>
      </w:r>
    </w:p>
    <w:p w:rsidR="00C17B3A" w:rsidRPr="00B32A45" w:rsidRDefault="00C17B3A" w:rsidP="00C17B3A">
      <w:pPr>
        <w:pStyle w:val="tPara"/>
        <w:rPr>
          <w:rStyle w:val="CharSubdNo"/>
          <w:szCs w:val="22"/>
        </w:rPr>
      </w:pPr>
      <w:r w:rsidRPr="00B32A45">
        <w:rPr>
          <w:b/>
        </w:rPr>
        <w:tab/>
      </w:r>
      <w:r w:rsidRPr="00B32A45">
        <w:t>(c)</w:t>
      </w:r>
      <w:r w:rsidRPr="00B32A45">
        <w:tab/>
        <w:t>the flaring of natural gas, waste gas and waste vapour streams at those facilities.</w:t>
      </w:r>
    </w:p>
    <w:p w:rsidR="00C17B3A" w:rsidRPr="00B32A45" w:rsidRDefault="00C17B3A" w:rsidP="00C17B3A">
      <w:pPr>
        <w:pStyle w:val="h4Subdiv"/>
      </w:pPr>
      <w:r w:rsidRPr="00B32A45">
        <w:rPr>
          <w:rStyle w:val="CharSubdNo"/>
        </w:rPr>
        <w:t>Subdivision 3.3.9F.1</w:t>
      </w:r>
      <w:r w:rsidRPr="00B32A45">
        <w:t xml:space="preserve">—Natural gas liquefaction, storage and transfer (emissions that are vented) </w:t>
      </w:r>
    </w:p>
    <w:p w:rsidR="00C17B3A" w:rsidRPr="00B32A45" w:rsidRDefault="00C17B3A" w:rsidP="00C17B3A">
      <w:pPr>
        <w:pStyle w:val="h5Section"/>
      </w:pPr>
      <w:r w:rsidRPr="00B32A45">
        <w:rPr>
          <w:rStyle w:val="CharSectno"/>
        </w:rPr>
        <w:t>3.88P</w:t>
      </w:r>
      <w:r w:rsidRPr="00B32A45">
        <w:t xml:space="preserve">  Available methods</w:t>
      </w:r>
    </w:p>
    <w:p w:rsidR="00C17B3A" w:rsidRPr="00B32A45" w:rsidRDefault="00C17B3A" w:rsidP="00C17B3A">
      <w:pPr>
        <w:pStyle w:val="tMain"/>
      </w:pPr>
      <w:r w:rsidRPr="00B32A45">
        <w:tab/>
        <w:t>(1)</w:t>
      </w:r>
      <w:r w:rsidRPr="00B32A45">
        <w:tab/>
        <w:t>Subject to section 1.18, method 1 under section 3.88Q must</w:t>
      </w:r>
      <w:r w:rsidRPr="00B32A45">
        <w:rPr>
          <w:i/>
        </w:rPr>
        <w:t xml:space="preserve"> </w:t>
      </w:r>
      <w:r w:rsidRPr="00B32A45">
        <w:t>be used for estimating fugitive emissions from gas vented from natural gas liquefaction, storage and transfer (emissions that are vented) activities.</w:t>
      </w:r>
    </w:p>
    <w:p w:rsidR="00C17B3A" w:rsidRPr="00B32A45" w:rsidRDefault="00C17B3A" w:rsidP="00C17B3A">
      <w:pPr>
        <w:pStyle w:val="nMain"/>
      </w:pPr>
      <w:r w:rsidRPr="00B32A45">
        <w:t>Note:</w:t>
      </w:r>
      <w:r w:rsidRPr="00B32A45">
        <w:tab/>
        <w:t>There is no method 2, 3 or 4 for this Division.</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h5Section"/>
      </w:pPr>
      <w:r w:rsidRPr="00B32A45">
        <w:rPr>
          <w:rStyle w:val="CharSectno"/>
        </w:rPr>
        <w:t>3.88Q</w:t>
      </w:r>
      <w:r w:rsidRPr="00B32A45">
        <w:t xml:space="preserve">  Method 1—emissions from system upsets, accidents and deliberate releases from process vents— natural gas liquefaction, storage and transfer</w:t>
      </w:r>
    </w:p>
    <w:p w:rsidR="00C17B3A" w:rsidRPr="00B32A45" w:rsidRDefault="00C17B3A" w:rsidP="00524E7C">
      <w:pPr>
        <w:pStyle w:val="tMain"/>
      </w:pPr>
      <w:r w:rsidRPr="00B32A45">
        <w:tab/>
      </w:r>
      <w:r w:rsidRPr="00B32A45">
        <w:tab/>
        <w:t>Method 1 is, for a process mentioned in column 2 of an item in the following table, as described in the section of the API Compendium ment</w:t>
      </w:r>
      <w:r w:rsidR="00524E7C">
        <w:t>ioned in column 3 for the item.</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4"/>
        <w:gridCol w:w="6452"/>
        <w:gridCol w:w="1850"/>
      </w:tblGrid>
      <w:tr w:rsidR="00C17B3A" w:rsidRPr="00B32A45" w:rsidTr="00DB6238">
        <w:trPr>
          <w:tblHeader/>
        </w:trPr>
        <w:tc>
          <w:tcPr>
            <w:tcW w:w="401"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Item</w:t>
            </w:r>
          </w:p>
        </w:tc>
        <w:tc>
          <w:tcPr>
            <w:tcW w:w="3574"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Emission process</w:t>
            </w:r>
          </w:p>
        </w:tc>
        <w:tc>
          <w:tcPr>
            <w:tcW w:w="1025" w:type="pct"/>
            <w:tcBorders>
              <w:top w:val="single" w:sz="12" w:space="0" w:color="auto"/>
              <w:bottom w:val="single" w:sz="12" w:space="0" w:color="auto"/>
            </w:tcBorders>
            <w:shd w:val="clear" w:color="auto" w:fill="auto"/>
          </w:tcPr>
          <w:p w:rsidR="00C17B3A" w:rsidRPr="00B32A45" w:rsidRDefault="00C17B3A" w:rsidP="00DB6238">
            <w:pPr>
              <w:pStyle w:val="TableHeading"/>
              <w:rPr>
                <w:szCs w:val="18"/>
              </w:rPr>
            </w:pPr>
            <w:r w:rsidRPr="00B32A45">
              <w:rPr>
                <w:szCs w:val="18"/>
              </w:rPr>
              <w:t>API Compendium section</w:t>
            </w:r>
          </w:p>
        </w:tc>
      </w:tr>
      <w:tr w:rsidR="00C17B3A" w:rsidRPr="00B32A45" w:rsidTr="00DB6238">
        <w:tc>
          <w:tcPr>
            <w:tcW w:w="401" w:type="pct"/>
            <w:tcBorders>
              <w:top w:val="single" w:sz="12" w:space="0" w:color="auto"/>
            </w:tcBorders>
            <w:shd w:val="clear" w:color="auto" w:fill="auto"/>
          </w:tcPr>
          <w:p w:rsidR="00C17B3A" w:rsidRPr="00B32A45" w:rsidRDefault="00C17B3A" w:rsidP="00DB6238">
            <w:pPr>
              <w:pStyle w:val="Tabletext"/>
            </w:pPr>
            <w:r w:rsidRPr="00B32A45">
              <w:t>1</w:t>
            </w:r>
          </w:p>
        </w:tc>
        <w:tc>
          <w:tcPr>
            <w:tcW w:w="3574" w:type="pct"/>
            <w:tcBorders>
              <w:top w:val="single" w:sz="12" w:space="0" w:color="auto"/>
            </w:tcBorders>
            <w:shd w:val="clear" w:color="auto" w:fill="auto"/>
          </w:tcPr>
          <w:p w:rsidR="00C17B3A" w:rsidRPr="00B32A45" w:rsidRDefault="00C17B3A" w:rsidP="00DB6238">
            <w:pPr>
              <w:pStyle w:val="Tabletext"/>
            </w:pPr>
            <w:r w:rsidRPr="00B32A45">
              <w:t>Gas treatment processes</w:t>
            </w:r>
          </w:p>
        </w:tc>
        <w:tc>
          <w:tcPr>
            <w:tcW w:w="1025" w:type="pct"/>
            <w:tcBorders>
              <w:top w:val="single" w:sz="12" w:space="0" w:color="auto"/>
            </w:tcBorders>
            <w:shd w:val="clear" w:color="auto" w:fill="auto"/>
          </w:tcPr>
          <w:p w:rsidR="00C17B3A" w:rsidRPr="00B32A45" w:rsidRDefault="00C17B3A" w:rsidP="00DB6238">
            <w:pPr>
              <w:pStyle w:val="Tabletext"/>
            </w:pPr>
            <w:r w:rsidRPr="00B32A45">
              <w:t>Section 5.1</w:t>
            </w:r>
          </w:p>
        </w:tc>
      </w:tr>
      <w:tr w:rsidR="00C17B3A" w:rsidRPr="00B32A45" w:rsidTr="00DB6238">
        <w:tc>
          <w:tcPr>
            <w:tcW w:w="401" w:type="pct"/>
            <w:shd w:val="clear" w:color="auto" w:fill="auto"/>
          </w:tcPr>
          <w:p w:rsidR="00C17B3A" w:rsidRPr="00B32A45" w:rsidRDefault="00C17B3A" w:rsidP="00DB6238">
            <w:pPr>
              <w:pStyle w:val="Tabletext"/>
            </w:pPr>
            <w:r w:rsidRPr="00B32A45">
              <w:t>2</w:t>
            </w:r>
          </w:p>
        </w:tc>
        <w:tc>
          <w:tcPr>
            <w:tcW w:w="3574" w:type="pct"/>
            <w:shd w:val="clear" w:color="auto" w:fill="auto"/>
          </w:tcPr>
          <w:p w:rsidR="00C17B3A" w:rsidRPr="00B32A45" w:rsidRDefault="00C17B3A" w:rsidP="00DB6238">
            <w:pPr>
              <w:pStyle w:val="Tabletext"/>
            </w:pPr>
            <w:r w:rsidRPr="00B32A45">
              <w:t>Cold process vents</w:t>
            </w:r>
          </w:p>
        </w:tc>
        <w:tc>
          <w:tcPr>
            <w:tcW w:w="1025" w:type="pct"/>
            <w:shd w:val="clear" w:color="auto" w:fill="auto"/>
          </w:tcPr>
          <w:p w:rsidR="00C17B3A" w:rsidRPr="00B32A45" w:rsidRDefault="00C17B3A" w:rsidP="00DB6238">
            <w:pPr>
              <w:pStyle w:val="Tabletext"/>
            </w:pPr>
            <w:r w:rsidRPr="00B32A45">
              <w:t>Section 5.3</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3</w:t>
            </w:r>
          </w:p>
        </w:tc>
        <w:tc>
          <w:tcPr>
            <w:tcW w:w="3574" w:type="pct"/>
            <w:shd w:val="clear" w:color="auto" w:fill="auto"/>
          </w:tcPr>
          <w:p w:rsidR="00C17B3A" w:rsidRPr="00B32A45" w:rsidDel="00BE02E0" w:rsidRDefault="00C17B3A" w:rsidP="00DB6238">
            <w:pPr>
              <w:pStyle w:val="Tabletext"/>
            </w:pPr>
            <w:r w:rsidRPr="00B32A45">
              <w:t>Natural gas blanketed tanks</w:t>
            </w:r>
          </w:p>
        </w:tc>
        <w:tc>
          <w:tcPr>
            <w:tcW w:w="1025" w:type="pct"/>
            <w:shd w:val="clear" w:color="auto" w:fill="auto"/>
          </w:tcPr>
          <w:p w:rsidR="00C17B3A" w:rsidRPr="00B32A45" w:rsidDel="00BE02E0" w:rsidRDefault="00C17B3A" w:rsidP="00DB6238">
            <w:pPr>
              <w:pStyle w:val="Tabletext"/>
            </w:pPr>
            <w:r w:rsidRPr="00B32A45">
              <w:t>Section 5.4.4</w:t>
            </w:r>
          </w:p>
        </w:tc>
      </w:tr>
      <w:tr w:rsidR="00C17B3A" w:rsidRPr="00B32A45" w:rsidTr="00DB6238">
        <w:tc>
          <w:tcPr>
            <w:tcW w:w="401" w:type="pct"/>
            <w:shd w:val="clear" w:color="auto" w:fill="auto"/>
          </w:tcPr>
          <w:p w:rsidR="00C17B3A" w:rsidRPr="00B32A45" w:rsidRDefault="00C17B3A" w:rsidP="00DB6238">
            <w:pPr>
              <w:pStyle w:val="Tabletext"/>
            </w:pPr>
            <w:r w:rsidRPr="00B32A45">
              <w:t>4</w:t>
            </w:r>
          </w:p>
        </w:tc>
        <w:tc>
          <w:tcPr>
            <w:tcW w:w="3574" w:type="pct"/>
            <w:shd w:val="clear" w:color="auto" w:fill="auto"/>
          </w:tcPr>
          <w:p w:rsidR="00C17B3A" w:rsidRPr="00B32A45" w:rsidRDefault="00C17B3A" w:rsidP="00DB6238">
            <w:pPr>
              <w:pStyle w:val="Tabletext"/>
            </w:pPr>
            <w:r w:rsidRPr="00B32A45">
              <w:t>Other venting sources—gas driven pneumatic devices</w:t>
            </w:r>
          </w:p>
        </w:tc>
        <w:tc>
          <w:tcPr>
            <w:tcW w:w="1025" w:type="pct"/>
            <w:shd w:val="clear" w:color="auto" w:fill="auto"/>
          </w:tcPr>
          <w:p w:rsidR="00C17B3A" w:rsidRPr="00B32A45" w:rsidRDefault="00C17B3A" w:rsidP="00DB6238">
            <w:pPr>
              <w:pStyle w:val="Tabletext"/>
            </w:pPr>
            <w:r w:rsidRPr="00B32A45">
              <w:t>Section 5.6.1</w:t>
            </w:r>
          </w:p>
        </w:tc>
      </w:tr>
      <w:tr w:rsidR="00C17B3A" w:rsidRPr="00B32A45" w:rsidDel="00BE02E0" w:rsidTr="00DB6238">
        <w:tc>
          <w:tcPr>
            <w:tcW w:w="401" w:type="pct"/>
            <w:shd w:val="clear" w:color="auto" w:fill="auto"/>
          </w:tcPr>
          <w:p w:rsidR="00C17B3A" w:rsidRPr="00B32A45" w:rsidDel="00BE02E0" w:rsidRDefault="00C17B3A" w:rsidP="00DB6238">
            <w:pPr>
              <w:pStyle w:val="Tabletext"/>
            </w:pPr>
            <w:r w:rsidRPr="00B32A45">
              <w:t>5</w:t>
            </w:r>
          </w:p>
        </w:tc>
        <w:tc>
          <w:tcPr>
            <w:tcW w:w="3574" w:type="pct"/>
            <w:shd w:val="clear" w:color="auto" w:fill="auto"/>
          </w:tcPr>
          <w:p w:rsidR="00C17B3A" w:rsidRPr="00B32A45" w:rsidDel="00BE02E0" w:rsidRDefault="00C17B3A" w:rsidP="00DB6238">
            <w:pPr>
              <w:pStyle w:val="Tabletext"/>
            </w:pPr>
            <w:r w:rsidRPr="00B32A45">
              <w:t>Other venting sources—gas driven chemical injection pumps</w:t>
            </w:r>
          </w:p>
        </w:tc>
        <w:tc>
          <w:tcPr>
            <w:tcW w:w="1025" w:type="pct"/>
            <w:shd w:val="clear" w:color="auto" w:fill="auto"/>
          </w:tcPr>
          <w:p w:rsidR="00C17B3A" w:rsidRPr="00B32A45" w:rsidDel="00BE02E0" w:rsidRDefault="00C17B3A" w:rsidP="00DB6238">
            <w:pPr>
              <w:pStyle w:val="Tabletext"/>
            </w:pPr>
            <w:r w:rsidRPr="00B32A45">
              <w:t>Section 5.6.2</w:t>
            </w:r>
          </w:p>
        </w:tc>
      </w:tr>
      <w:tr w:rsidR="00C17B3A" w:rsidRPr="00B32A45" w:rsidTr="00DB6238">
        <w:tc>
          <w:tcPr>
            <w:tcW w:w="401" w:type="pct"/>
            <w:shd w:val="clear" w:color="auto" w:fill="auto"/>
          </w:tcPr>
          <w:p w:rsidR="00C17B3A" w:rsidRPr="00B32A45" w:rsidRDefault="00C17B3A" w:rsidP="00DB6238">
            <w:pPr>
              <w:pStyle w:val="Tabletext"/>
            </w:pPr>
            <w:r w:rsidRPr="00B32A45">
              <w:t>6</w:t>
            </w:r>
          </w:p>
        </w:tc>
        <w:tc>
          <w:tcPr>
            <w:tcW w:w="3574" w:type="pct"/>
            <w:shd w:val="clear" w:color="auto" w:fill="auto"/>
          </w:tcPr>
          <w:p w:rsidR="00C17B3A" w:rsidRPr="00B32A45" w:rsidRDefault="00C17B3A" w:rsidP="00DB6238">
            <w:pPr>
              <w:pStyle w:val="Tabletext"/>
            </w:pPr>
            <w:r w:rsidRPr="00B32A45">
              <w:t>Non</w:t>
            </w:r>
            <w:r w:rsidRPr="00B32A45">
              <w:noBreakHyphen/>
              <w:t>routine activities— natural gas liquefaction, storage and transfer related non</w:t>
            </w:r>
            <w:r w:rsidRPr="00B32A45">
              <w:noBreakHyphen/>
              <w:t>routine emissions</w:t>
            </w:r>
          </w:p>
        </w:tc>
        <w:tc>
          <w:tcPr>
            <w:tcW w:w="1025" w:type="pct"/>
            <w:shd w:val="clear" w:color="auto" w:fill="auto"/>
          </w:tcPr>
          <w:p w:rsidR="00C17B3A" w:rsidRPr="00B32A45" w:rsidRDefault="00C17B3A" w:rsidP="00DB6238">
            <w:pPr>
              <w:pStyle w:val="Tabletext"/>
            </w:pPr>
            <w:r w:rsidRPr="00B32A45">
              <w:t>Section 5.7.1 and 5.7.4 a</w:t>
            </w:r>
          </w:p>
        </w:tc>
      </w:tr>
      <w:tr w:rsidR="00C17B3A" w:rsidRPr="00B32A45" w:rsidTr="00DB6238">
        <w:tc>
          <w:tcPr>
            <w:tcW w:w="401" w:type="pct"/>
            <w:shd w:val="clear" w:color="auto" w:fill="auto"/>
          </w:tcPr>
          <w:p w:rsidR="00C17B3A" w:rsidRPr="00B32A45" w:rsidRDefault="00C17B3A" w:rsidP="00DB6238">
            <w:pPr>
              <w:pStyle w:val="Tabletext"/>
            </w:pPr>
            <w:r w:rsidRPr="00B32A45">
              <w:t xml:space="preserve">7 </w:t>
            </w:r>
          </w:p>
        </w:tc>
        <w:tc>
          <w:tcPr>
            <w:tcW w:w="3574" w:type="pct"/>
            <w:shd w:val="clear" w:color="auto" w:fill="auto"/>
          </w:tcPr>
          <w:p w:rsidR="00C17B3A" w:rsidRPr="00B32A45" w:rsidRDefault="00C17B3A" w:rsidP="00DB6238">
            <w:pPr>
              <w:pStyle w:val="Tabletext"/>
            </w:pPr>
            <w:r w:rsidRPr="00B32A45">
              <w:t>Condensate storage tanks</w:t>
            </w:r>
          </w:p>
        </w:tc>
        <w:tc>
          <w:tcPr>
            <w:tcW w:w="1025" w:type="pct"/>
            <w:shd w:val="clear" w:color="auto" w:fill="auto"/>
          </w:tcPr>
          <w:p w:rsidR="00C17B3A" w:rsidRPr="00B32A45" w:rsidRDefault="00C17B3A" w:rsidP="00DB6238">
            <w:pPr>
              <w:pStyle w:val="Tabletext"/>
            </w:pPr>
            <w:r w:rsidRPr="00B32A45">
              <w:t>Section 5.4.1</w:t>
            </w:r>
          </w:p>
        </w:tc>
      </w:tr>
    </w:tbl>
    <w:p w:rsidR="00C17B3A" w:rsidRPr="00B32A45" w:rsidRDefault="00C17B3A" w:rsidP="00C17B3A">
      <w:pPr>
        <w:pStyle w:val="h4Subdiv"/>
        <w:ind w:left="720" w:firstLine="0"/>
        <w:rPr>
          <w:rStyle w:val="CharSubdNo"/>
          <w:b w:val="0"/>
          <w:sz w:val="16"/>
          <w:szCs w:val="16"/>
        </w:rPr>
      </w:pPr>
      <w:r w:rsidRPr="00B32A45">
        <w:rPr>
          <w:rStyle w:val="CharSubdNo"/>
          <w:b w:val="0"/>
          <w:sz w:val="16"/>
          <w:szCs w:val="16"/>
        </w:rPr>
        <w:t xml:space="preserve">a The emission factor at Table 5-26 ‘Gas storage station venting’ must be used for each instance of an LNG station if emissions are estimated according to section 5.7.4.  </w:t>
      </w:r>
    </w:p>
    <w:p w:rsidR="00C17B3A" w:rsidRPr="00B32A45" w:rsidRDefault="00C17B3A" w:rsidP="00C17B3A">
      <w:pPr>
        <w:pStyle w:val="h4Subdiv"/>
      </w:pPr>
      <w:r w:rsidRPr="00B32A45">
        <w:rPr>
          <w:rStyle w:val="CharSubdNo"/>
        </w:rPr>
        <w:t>Subdivision 3.3.9F.2</w:t>
      </w:r>
      <w:r w:rsidRPr="00B32A45">
        <w:t>—Natural gas liquefaction, storage and transfer (emissions that are flared)</w:t>
      </w:r>
    </w:p>
    <w:p w:rsidR="00C17B3A" w:rsidRPr="00B32A45" w:rsidRDefault="00C17B3A" w:rsidP="00C17B3A">
      <w:pPr>
        <w:pStyle w:val="tMain"/>
        <w:rPr>
          <w:b/>
        </w:rPr>
      </w:pPr>
      <w:r w:rsidRPr="00B32A45">
        <w:rPr>
          <w:b/>
        </w:rPr>
        <w:t>3.88R Available methods</w:t>
      </w:r>
    </w:p>
    <w:p w:rsidR="00C17B3A" w:rsidRPr="00B32A45" w:rsidRDefault="00C17B3A" w:rsidP="00C17B3A">
      <w:pPr>
        <w:pStyle w:val="tMain"/>
      </w:pPr>
      <w:r w:rsidRPr="00B32A45">
        <w:tab/>
        <w:t>(1)</w:t>
      </w:r>
      <w:r w:rsidRPr="00B32A45">
        <w:tab/>
        <w:t>For estimating emissions released from gas flared from natural gas liquefaction, storage and transfer:</w:t>
      </w:r>
    </w:p>
    <w:p w:rsidR="00C17B3A" w:rsidRPr="00B32A45" w:rsidRDefault="00C17B3A" w:rsidP="00C17B3A">
      <w:pPr>
        <w:pStyle w:val="tPara"/>
      </w:pPr>
      <w:r w:rsidRPr="00B32A45">
        <w:lastRenderedPageBreak/>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C17B3A" w:rsidRPr="00B32A45" w:rsidRDefault="00C17B3A" w:rsidP="00C17B3A">
      <w:pPr>
        <w:pStyle w:val="tMain"/>
      </w:pPr>
    </w:p>
    <w:p w:rsidR="00C17B3A" w:rsidRPr="00B32A45" w:rsidRDefault="00C17B3A" w:rsidP="00C17B3A">
      <w:pPr>
        <w:pStyle w:val="h3Div"/>
        <w:pageBreakBefore/>
      </w:pPr>
      <w:bookmarkStart w:id="109" w:name="_Toc69480136"/>
      <w:r w:rsidRPr="00B32A45">
        <w:rPr>
          <w:rStyle w:val="CharDivNo"/>
        </w:rPr>
        <w:lastRenderedPageBreak/>
        <w:t>Division 3.3.9G</w:t>
      </w:r>
      <w:r w:rsidRPr="00B32A45">
        <w:t>—Nat</w:t>
      </w:r>
      <w:r w:rsidRPr="00B32A45">
        <w:rPr>
          <w:rStyle w:val="CharDivText"/>
        </w:rPr>
        <w:t>ural gas distribution (emissions that are flared)</w:t>
      </w:r>
      <w:bookmarkEnd w:id="109"/>
    </w:p>
    <w:p w:rsidR="00C17B3A" w:rsidRPr="00B32A45" w:rsidRDefault="00C17B3A" w:rsidP="00C17B3A">
      <w:pPr>
        <w:pStyle w:val="h5Section"/>
      </w:pPr>
      <w:r w:rsidRPr="00B32A45">
        <w:rPr>
          <w:rStyle w:val="CharSectno"/>
        </w:rPr>
        <w:t>3.88S</w:t>
      </w:r>
      <w:r w:rsidRPr="00B32A45">
        <w:t xml:space="preserve">  Application</w:t>
      </w:r>
    </w:p>
    <w:p w:rsidR="00C17B3A" w:rsidRPr="00B32A45" w:rsidRDefault="00C17B3A" w:rsidP="00C17B3A">
      <w:pPr>
        <w:pStyle w:val="tMain"/>
        <w:rPr>
          <w:rStyle w:val="CharSubdNo"/>
        </w:rPr>
      </w:pPr>
      <w:r w:rsidRPr="00B32A45">
        <w:tab/>
      </w:r>
      <w:r w:rsidRPr="00B32A45">
        <w:tab/>
        <w:t>This Division applies to fugitive emissions from flaring from natural gas distribution activities, including emissions from the flaring of natural gas, waste gas and waste vapour streams at those facilities.</w:t>
      </w:r>
    </w:p>
    <w:p w:rsidR="00C17B3A" w:rsidRPr="00B32A45" w:rsidRDefault="00C17B3A" w:rsidP="00C17B3A">
      <w:pPr>
        <w:pStyle w:val="tMain"/>
        <w:rPr>
          <w:b/>
        </w:rPr>
      </w:pPr>
      <w:r w:rsidRPr="00B32A45">
        <w:rPr>
          <w:b/>
        </w:rPr>
        <w:t>3.88T  Available methods</w:t>
      </w:r>
    </w:p>
    <w:p w:rsidR="00C17B3A" w:rsidRPr="00B32A45" w:rsidRDefault="00C17B3A" w:rsidP="00C17B3A">
      <w:pPr>
        <w:pStyle w:val="tMain"/>
      </w:pPr>
      <w:r w:rsidRPr="00B32A45">
        <w:tab/>
        <w:t>(1)</w:t>
      </w:r>
      <w:r w:rsidRPr="00B32A45">
        <w:tab/>
        <w:t>For estimating emissions released from gas flared from natural gas distribution:</w:t>
      </w:r>
    </w:p>
    <w:p w:rsidR="00C17B3A" w:rsidRPr="00B32A45" w:rsidRDefault="00C17B3A" w:rsidP="00C17B3A">
      <w:pPr>
        <w:pStyle w:val="tPara"/>
      </w:pPr>
      <w:r w:rsidRPr="00B32A45">
        <w:tab/>
        <w:t>(a)</w:t>
      </w:r>
      <w:r w:rsidRPr="00B32A45">
        <w:tab/>
        <w:t>one of the following methods must be used for estimating emissions of carbon dioxide released: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 under section 3.87;</w:t>
      </w:r>
    </w:p>
    <w:p w:rsidR="00C17B3A" w:rsidRPr="00B32A45" w:rsidRDefault="00C17B3A" w:rsidP="00C17B3A">
      <w:pPr>
        <w:pStyle w:val="tSubpara"/>
      </w:pPr>
      <w:r w:rsidRPr="00B32A45">
        <w:tab/>
        <w:t>(iii)</w:t>
      </w:r>
      <w:r w:rsidRPr="00B32A45">
        <w:tab/>
        <w:t>method 3 under section 3.88; and</w:t>
      </w:r>
    </w:p>
    <w:p w:rsidR="00C17B3A" w:rsidRPr="00B32A45" w:rsidRDefault="00C17B3A" w:rsidP="00C17B3A">
      <w:pPr>
        <w:pStyle w:val="tPara"/>
      </w:pPr>
      <w:r w:rsidRPr="00B32A45">
        <w:tab/>
        <w:t>(b)</w:t>
      </w:r>
      <w:r w:rsidRPr="00B32A45">
        <w:tab/>
        <w:t>if estimating emissions of methane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 and</w:t>
      </w:r>
    </w:p>
    <w:p w:rsidR="00C17B3A" w:rsidRPr="00B32A45" w:rsidRDefault="00C17B3A" w:rsidP="00C17B3A">
      <w:pPr>
        <w:pStyle w:val="tPara"/>
      </w:pPr>
      <w:r w:rsidRPr="00B32A45">
        <w:tab/>
        <w:t>(c)</w:t>
      </w:r>
      <w:r w:rsidRPr="00B32A45">
        <w:tab/>
        <w:t>if estimating emissions of nitrous oxide released—one of the following methods must be used:</w:t>
      </w:r>
    </w:p>
    <w:p w:rsidR="00C17B3A" w:rsidRPr="00B32A45" w:rsidRDefault="00C17B3A" w:rsidP="00C17B3A">
      <w:pPr>
        <w:pStyle w:val="tSubpara"/>
      </w:pPr>
      <w:r w:rsidRPr="00B32A45">
        <w:tab/>
        <w:t>(i)</w:t>
      </w:r>
      <w:r w:rsidRPr="00B32A45">
        <w:tab/>
        <w:t>method 1 under section 3.86;</w:t>
      </w:r>
    </w:p>
    <w:p w:rsidR="00C17B3A" w:rsidRPr="00B32A45" w:rsidRDefault="00C17B3A" w:rsidP="00C17B3A">
      <w:pPr>
        <w:pStyle w:val="tSubpara"/>
      </w:pPr>
      <w:r w:rsidRPr="00B32A45">
        <w:tab/>
        <w:t>(ii)</w:t>
      </w:r>
      <w:r w:rsidRPr="00B32A45">
        <w:tab/>
        <w:t>method 2A under section 3.87A.</w:t>
      </w:r>
    </w:p>
    <w:p w:rsidR="00C17B3A" w:rsidRPr="00B32A45" w:rsidRDefault="00C17B3A" w:rsidP="00C17B3A">
      <w:pPr>
        <w:pStyle w:val="nMain"/>
      </w:pPr>
      <w:r w:rsidRPr="00B32A45">
        <w:t>Note:</w:t>
      </w:r>
      <w:r w:rsidRPr="00B32A45">
        <w:tab/>
        <w:t>The flaring of gas releases emissions of carbon dioxide, methane and nitrous oxide. The reference to gas type (</w:t>
      </w:r>
      <w:r w:rsidRPr="00B32A45">
        <w:rPr>
          <w:b/>
          <w:i/>
        </w:rPr>
        <w:t>j</w:t>
      </w:r>
      <w:r w:rsidRPr="00B32A45">
        <w:t>) in method 1 in section 3.86 is a reference to these gases. The same formula is used to estimate emissions of each of these gases. There is no method 4 for emissions of carbon dioxide and no method 2, 3 or 4 for emissions of nitrous oxide or methane.</w:t>
      </w:r>
    </w:p>
    <w:p w:rsidR="00C17B3A" w:rsidRPr="00B32A45" w:rsidRDefault="00C17B3A" w:rsidP="00C17B3A">
      <w:pPr>
        <w:pStyle w:val="tMain"/>
      </w:pPr>
      <w:r w:rsidRPr="00B32A45">
        <w:tab/>
        <w:t>(2)</w:t>
      </w:r>
      <w:r w:rsidRPr="00B32A45">
        <w:tab/>
        <w:t>However, for incidental emissions another method may be used that is consistent with the principles in section 1.13.</w:t>
      </w:r>
    </w:p>
    <w:p w:rsidR="00DB6238" w:rsidRDefault="00C17B3A" w:rsidP="00DB6238">
      <w:pPr>
        <w:pStyle w:val="h5SchItem"/>
      </w:pPr>
      <w:r w:rsidRPr="00B32A45">
        <w:br w:type="page"/>
      </w:r>
    </w:p>
    <w:p w:rsidR="00DB6238" w:rsidRDefault="00DB6238" w:rsidP="00DB6238">
      <w:pPr>
        <w:rPr>
          <w:lang w:eastAsia="en-AU"/>
        </w:rPr>
      </w:pPr>
    </w:p>
    <w:p w:rsidR="00DB6238" w:rsidRPr="004E5BEF" w:rsidRDefault="00CE207D" w:rsidP="00DB6238">
      <w:pPr>
        <w:pStyle w:val="h5SchItem"/>
      </w:pPr>
      <w:r>
        <w:t>[16]</w:t>
      </w:r>
      <w:r w:rsidR="00DB6238" w:rsidRPr="00826C3E">
        <w:t xml:space="preserve"> </w:t>
      </w:r>
      <w:r w:rsidR="00DB6238" w:rsidRPr="00826C3E">
        <w:tab/>
      </w:r>
      <w:r w:rsidR="00DB6238">
        <w:t>Heading to Part 3.4</w:t>
      </w:r>
    </w:p>
    <w:p w:rsidR="00DB6238" w:rsidRDefault="00DB6238" w:rsidP="00DB6238">
      <w:pPr>
        <w:ind w:left="425" w:firstLine="425"/>
        <w:rPr>
          <w:lang w:eastAsia="en-AU"/>
        </w:rPr>
      </w:pPr>
      <w:r>
        <w:rPr>
          <w:lang w:eastAsia="en-AU"/>
        </w:rPr>
        <w:t>After “capture and storage”, insert “and enhanced oil recovery”.</w:t>
      </w:r>
    </w:p>
    <w:p w:rsidR="00DB6238" w:rsidRPr="004E5BEF" w:rsidRDefault="00CE207D" w:rsidP="00DB6238">
      <w:pPr>
        <w:pStyle w:val="h5SchItem"/>
      </w:pPr>
      <w:r>
        <w:t>[17]</w:t>
      </w:r>
      <w:r w:rsidR="00DB6238" w:rsidRPr="00826C3E">
        <w:t xml:space="preserve"> </w:t>
      </w:r>
      <w:r w:rsidR="00DB6238" w:rsidRPr="00826C3E">
        <w:tab/>
      </w:r>
      <w:r w:rsidR="00DB6238">
        <w:t>Section 3.88</w:t>
      </w:r>
    </w:p>
    <w:p w:rsidR="00DB6238" w:rsidRPr="00DB6238" w:rsidRDefault="00DB6238" w:rsidP="00DB6238">
      <w:pPr>
        <w:ind w:left="425" w:firstLine="425"/>
        <w:rPr>
          <w:color w:val="000000" w:themeColor="text1"/>
        </w:rPr>
      </w:pPr>
      <w:r>
        <w:rPr>
          <w:lang w:eastAsia="en-AU"/>
        </w:rPr>
        <w:t>After “capture and storage”, insert “and enhanced oil recovery”.</w:t>
      </w:r>
    </w:p>
    <w:p w:rsidR="00DB6238" w:rsidRPr="004E5BEF" w:rsidRDefault="00CE207D" w:rsidP="00DB6238">
      <w:pPr>
        <w:pStyle w:val="h5SchItem"/>
      </w:pPr>
      <w:r>
        <w:t>[18]</w:t>
      </w:r>
      <w:r w:rsidR="00DB6238" w:rsidRPr="00826C3E">
        <w:t xml:space="preserve"> </w:t>
      </w:r>
      <w:r w:rsidR="00DB6238" w:rsidRPr="00826C3E">
        <w:tab/>
      </w:r>
      <w:r w:rsidR="00DB6238">
        <w:t>Divisions 3.4.2 and 3.4.3</w:t>
      </w:r>
    </w:p>
    <w:p w:rsidR="00DB6238" w:rsidRDefault="00DB6238" w:rsidP="00DB6238">
      <w:pPr>
        <w:ind w:left="425" w:firstLine="425"/>
        <w:rPr>
          <w:color w:val="000000" w:themeColor="text1"/>
        </w:rPr>
      </w:pPr>
      <w:r w:rsidRPr="003041A6">
        <w:rPr>
          <w:lang w:eastAsia="en-AU"/>
        </w:rPr>
        <w:t>Repeal</w:t>
      </w:r>
      <w:r>
        <w:rPr>
          <w:color w:val="000000" w:themeColor="text1"/>
        </w:rPr>
        <w:t xml:space="preserve"> the Divisions</w:t>
      </w:r>
      <w:r w:rsidRPr="006D571F">
        <w:rPr>
          <w:color w:val="000000" w:themeColor="text1"/>
        </w:rPr>
        <w:t>, substitute:</w:t>
      </w:r>
    </w:p>
    <w:p w:rsidR="00DB6238" w:rsidRPr="00B32A45" w:rsidRDefault="00DB6238" w:rsidP="00DB6238">
      <w:pPr>
        <w:pStyle w:val="h3Div"/>
        <w:pageBreakBefore/>
      </w:pPr>
      <w:bookmarkStart w:id="110" w:name="_Toc69480137"/>
      <w:r w:rsidRPr="00B32A45">
        <w:rPr>
          <w:rStyle w:val="CharDivNo"/>
        </w:rPr>
        <w:lastRenderedPageBreak/>
        <w:t>Division 3.4.2</w:t>
      </w:r>
      <w:r w:rsidRPr="00B32A45">
        <w:t>—</w:t>
      </w:r>
      <w:r w:rsidRPr="00B32A45">
        <w:rPr>
          <w:rStyle w:val="CharDivText"/>
        </w:rPr>
        <w:t>Transport of greenhouse gases</w:t>
      </w:r>
      <w:bookmarkEnd w:id="110"/>
    </w:p>
    <w:p w:rsidR="00DB6238" w:rsidRPr="00B32A45" w:rsidRDefault="00DB6238" w:rsidP="00DB6238">
      <w:pPr>
        <w:pStyle w:val="h4Subdiv"/>
      </w:pPr>
      <w:bookmarkStart w:id="111" w:name="_Toc44579371"/>
      <w:r w:rsidRPr="00B32A45">
        <w:rPr>
          <w:rStyle w:val="CharSubdNo"/>
        </w:rPr>
        <w:t>Subdivision 3.4.2.1</w:t>
      </w:r>
      <w:r w:rsidRPr="00B32A45">
        <w:t>—</w:t>
      </w:r>
      <w:r w:rsidRPr="00B32A45">
        <w:rPr>
          <w:rStyle w:val="CharSubdText"/>
        </w:rPr>
        <w:t>Preliminary</w:t>
      </w:r>
      <w:bookmarkEnd w:id="111"/>
    </w:p>
    <w:p w:rsidR="00DB6238" w:rsidRPr="00B32A45" w:rsidRDefault="00DB6238" w:rsidP="00DB6238">
      <w:pPr>
        <w:pStyle w:val="h5Section"/>
      </w:pPr>
      <w:bookmarkStart w:id="112" w:name="_Toc44579372"/>
      <w:r w:rsidRPr="00B32A45">
        <w:rPr>
          <w:rStyle w:val="CharSectno"/>
        </w:rPr>
        <w:t>3.89</w:t>
      </w:r>
      <w:r w:rsidRPr="00B32A45">
        <w:t xml:space="preserve">  Application</w:t>
      </w:r>
      <w:bookmarkEnd w:id="112"/>
    </w:p>
    <w:p w:rsidR="00DB6238" w:rsidRPr="00B32A45" w:rsidRDefault="00DB6238" w:rsidP="00DB6238">
      <w:pPr>
        <w:pStyle w:val="tMain"/>
      </w:pPr>
      <w:r w:rsidRPr="00B32A45">
        <w:tab/>
      </w:r>
      <w:r w:rsidRPr="00B32A45">
        <w:tab/>
        <w:t>This Division applies to fugitive emissions from the transport of a greenhouse gas captured for permanent storage or captured for enhanced oil recovery.</w:t>
      </w:r>
    </w:p>
    <w:p w:rsidR="00DB6238" w:rsidRPr="00B32A45" w:rsidRDefault="00DB6238" w:rsidP="00DB6238">
      <w:pPr>
        <w:pStyle w:val="nMain"/>
      </w:pPr>
      <w:r w:rsidRPr="00B32A45">
        <w:t>Note:</w:t>
      </w:r>
      <w:r w:rsidRPr="00B32A45">
        <w:tab/>
        <w:t>Section 1.19A defines when a greenhouse gas is captured for permanent storage.</w:t>
      </w:r>
    </w:p>
    <w:p w:rsidR="00DB6238" w:rsidRPr="00B32A45" w:rsidRDefault="00DB6238" w:rsidP="00DB6238">
      <w:pPr>
        <w:pStyle w:val="nMain"/>
      </w:pPr>
      <w:r w:rsidRPr="00B32A45">
        <w:t>Note:</w:t>
      </w:r>
      <w:r w:rsidRPr="00B32A45">
        <w:tab/>
        <w:t xml:space="preserve">Section 1.8 defines enhanced oil recovery. </w:t>
      </w:r>
    </w:p>
    <w:p w:rsidR="00DB6238" w:rsidRPr="00B32A45" w:rsidRDefault="00DB6238" w:rsidP="00DB6238">
      <w:pPr>
        <w:pStyle w:val="h5Section"/>
      </w:pPr>
      <w:bookmarkStart w:id="113" w:name="_Toc44579373"/>
      <w:r w:rsidRPr="00B32A45">
        <w:rPr>
          <w:rStyle w:val="CharSectno"/>
        </w:rPr>
        <w:t>3.90</w:t>
      </w:r>
      <w:r w:rsidRPr="00B32A45">
        <w:t xml:space="preserve">  Available methods</w:t>
      </w:r>
      <w:bookmarkEnd w:id="113"/>
    </w:p>
    <w:p w:rsidR="00DB6238" w:rsidRPr="00B32A45" w:rsidRDefault="00DB6238" w:rsidP="00DB6238">
      <w:pPr>
        <w:pStyle w:val="tMain"/>
      </w:pPr>
      <w:r w:rsidRPr="00B32A45">
        <w:tab/>
        <w:t>(1)</w:t>
      </w:r>
      <w:r w:rsidRPr="00B32A45">
        <w:tab/>
        <w:t>Subject to section 1.18, for estimating emissions released during a year from the operation of a facility that is constituted by the transport of a greenhouse gas captured for permanent storage or for injection as part of enhanced oil recovery, the methods as set out in this section must be used.</w:t>
      </w:r>
    </w:p>
    <w:p w:rsidR="00DB6238" w:rsidRPr="00B32A45" w:rsidRDefault="00DB6238" w:rsidP="00DB6238">
      <w:pPr>
        <w:pStyle w:val="h6Subsec"/>
      </w:pPr>
      <w:r w:rsidRPr="00B32A45">
        <w:t>Emissions from transport of a greenhouse gas involving transfer</w:t>
      </w:r>
    </w:p>
    <w:p w:rsidR="00DB6238" w:rsidRPr="00B32A45" w:rsidRDefault="00DB6238" w:rsidP="00DB6238">
      <w:pPr>
        <w:pStyle w:val="tMain"/>
      </w:pPr>
      <w:r w:rsidRPr="00B32A45">
        <w:tab/>
        <w:t>(2)</w:t>
      </w:r>
      <w:r w:rsidRPr="00B32A45">
        <w:tab/>
        <w:t>If the greenhouse gas is transferred to a relevant person for injection by the person in accordance with a licence, lease or approval mentioned in section 1.19A or an enhanced oil recovery authority, one of the following methods must be used for estimating fugitive emissions of the greenhouse gas that result from the transport of the greenhouse gas stream for that injection:</w:t>
      </w:r>
    </w:p>
    <w:p w:rsidR="00DB6238" w:rsidRPr="00B32A45" w:rsidRDefault="00DB6238" w:rsidP="00DB6238">
      <w:pPr>
        <w:pStyle w:val="tPara"/>
      </w:pPr>
      <w:r w:rsidRPr="00B32A45">
        <w:tab/>
        <w:t>(a)</w:t>
      </w:r>
      <w:r w:rsidRPr="00B32A45">
        <w:tab/>
        <w:t>method 1 under section 3.91 (which deals with injection);</w:t>
      </w:r>
    </w:p>
    <w:p w:rsidR="00DB6238" w:rsidRPr="00B32A45" w:rsidRDefault="00DB6238" w:rsidP="00DB6238">
      <w:pPr>
        <w:pStyle w:val="tPara"/>
      </w:pPr>
      <w:r w:rsidRPr="00B32A45">
        <w:tab/>
        <w:t>(b)</w:t>
      </w:r>
      <w:r w:rsidRPr="00B32A45">
        <w:tab/>
        <w:t>method 2 under section 3.77 (which deals with transport), applied in relation to the greenhouse gas as if it were a type of natural gas.</w:t>
      </w:r>
    </w:p>
    <w:p w:rsidR="00DB6238" w:rsidRPr="00B32A45" w:rsidRDefault="00DB6238" w:rsidP="00DB6238">
      <w:pPr>
        <w:pStyle w:val="nMain"/>
      </w:pPr>
      <w:r w:rsidRPr="00B32A45">
        <w:t>Note 1:</w:t>
      </w:r>
      <w:r w:rsidRPr="00B32A45">
        <w:tab/>
        <w:t>There is no method 3 or 4 for subsection (2).</w:t>
      </w:r>
    </w:p>
    <w:p w:rsidR="00DB6238" w:rsidRPr="00B32A45" w:rsidRDefault="00DB6238" w:rsidP="00DB6238">
      <w:pPr>
        <w:pStyle w:val="nMain"/>
        <w:rPr>
          <w:i/>
        </w:rPr>
      </w:pPr>
      <w:r w:rsidRPr="00B32A45">
        <w:t>Note 2:</w:t>
      </w:r>
      <w:r w:rsidRPr="00B32A45">
        <w:tab/>
        <w:t>The same emissions cannot be counted under both the method mentioned in paragraph (2)(a) (injection) and the method mentioned in paragraph (2)(b) (transport).</w:t>
      </w:r>
    </w:p>
    <w:p w:rsidR="00DB6238" w:rsidRPr="00B32A45" w:rsidRDefault="00DB6238" w:rsidP="00DB6238">
      <w:pPr>
        <w:pStyle w:val="h6Subsec"/>
      </w:pPr>
      <w:r w:rsidRPr="00B32A45">
        <w:t>Emissions from transport of a greenhouse gas not involving transfer</w:t>
      </w:r>
    </w:p>
    <w:p w:rsidR="00DB6238" w:rsidRPr="00B32A45" w:rsidRDefault="00DB6238" w:rsidP="00DB6238">
      <w:pPr>
        <w:pStyle w:val="tMain"/>
      </w:pPr>
      <w:r w:rsidRPr="00B32A45">
        <w:tab/>
        <w:t>(2A)</w:t>
      </w:r>
      <w:r w:rsidRPr="00B32A45">
        <w:tab/>
        <w:t>Subsection (3) applies if:</w:t>
      </w:r>
    </w:p>
    <w:p w:rsidR="00DB6238" w:rsidRPr="00B32A45" w:rsidRDefault="00DB6238" w:rsidP="00DB6238">
      <w:pPr>
        <w:pStyle w:val="tPara"/>
      </w:pPr>
      <w:r w:rsidRPr="00B32A45">
        <w:tab/>
        <w:t>(a)</w:t>
      </w:r>
      <w:r w:rsidRPr="00B32A45">
        <w:tab/>
        <w:t>the greenhouse gas is captured by a relevant person for injection in accordance with a licence, lease or approval mentioned in section 1.19A or an enhanced oil recovery authority; and</w:t>
      </w:r>
    </w:p>
    <w:p w:rsidR="00DB6238" w:rsidRPr="00B32A45" w:rsidRDefault="00DB6238" w:rsidP="00DB6238">
      <w:pPr>
        <w:pStyle w:val="tPara"/>
      </w:pPr>
      <w:r w:rsidRPr="00B32A45">
        <w:tab/>
        <w:t>(b)</w:t>
      </w:r>
      <w:r w:rsidRPr="00B32A45">
        <w:tab/>
        <w:t>the greenhouse gas is not transferred to another person for the purpose of injection.</w:t>
      </w:r>
    </w:p>
    <w:p w:rsidR="00DB6238" w:rsidRPr="00B32A45" w:rsidRDefault="00DB6238" w:rsidP="00DB6238">
      <w:pPr>
        <w:pStyle w:val="tMain"/>
      </w:pPr>
      <w:r w:rsidRPr="00B32A45">
        <w:tab/>
        <w:t>(3)</w:t>
      </w:r>
      <w:r w:rsidRPr="00B32A45">
        <w:tab/>
        <w:t>One of the following methods must be used for estimating fugitive emissions of the greenhouse gases that result from the transport of the greenhouse gas stream for that injection:</w:t>
      </w:r>
    </w:p>
    <w:p w:rsidR="00DB6238" w:rsidRPr="00B32A45" w:rsidRDefault="00DB6238" w:rsidP="00DB6238">
      <w:pPr>
        <w:pStyle w:val="tPara"/>
      </w:pPr>
      <w:r w:rsidRPr="00B32A45">
        <w:tab/>
        <w:t>(a)</w:t>
      </w:r>
      <w:r w:rsidRPr="00B32A45">
        <w:tab/>
        <w:t>method 1 under section 3.92 (which deals with injection);</w:t>
      </w:r>
    </w:p>
    <w:p w:rsidR="00DB6238" w:rsidRPr="00B32A45" w:rsidRDefault="00DB6238" w:rsidP="00DB6238">
      <w:pPr>
        <w:pStyle w:val="tPara"/>
      </w:pPr>
      <w:r w:rsidRPr="00B32A45">
        <w:tab/>
        <w:t>(b)</w:t>
      </w:r>
      <w:r w:rsidRPr="00B32A45">
        <w:tab/>
        <w:t>method 2 under section 3.77 (which deals with transport), applied in relation to the greenhouse gas as if it were a type of natural gas.</w:t>
      </w:r>
    </w:p>
    <w:p w:rsidR="00DB6238" w:rsidRPr="00B32A45" w:rsidRDefault="00DB6238" w:rsidP="00DB6238">
      <w:pPr>
        <w:pStyle w:val="nMain"/>
      </w:pPr>
      <w:r w:rsidRPr="00B32A45">
        <w:t>Note 1:</w:t>
      </w:r>
      <w:r w:rsidRPr="00B32A45">
        <w:tab/>
        <w:t>There is no method 3 or 4 for subsection (3).</w:t>
      </w:r>
    </w:p>
    <w:p w:rsidR="00DB6238" w:rsidRPr="00B32A45" w:rsidRDefault="00DB6238" w:rsidP="00DB6238">
      <w:pPr>
        <w:pStyle w:val="nMain"/>
      </w:pPr>
      <w:r w:rsidRPr="00B32A45">
        <w:t>Note 2:</w:t>
      </w:r>
      <w:r w:rsidRPr="00B32A45">
        <w:tab/>
        <w:t>The same emissions cannot be counted under both the method mentioned in paragraph (3)(a) (injection) and the method mentioned in paragraph (3)(b) (transport).</w:t>
      </w:r>
    </w:p>
    <w:p w:rsidR="00DB6238" w:rsidRPr="00B32A45" w:rsidRDefault="00DB6238" w:rsidP="00DB6238">
      <w:pPr>
        <w:pStyle w:val="tMain"/>
      </w:pPr>
      <w:r w:rsidRPr="00B32A45">
        <w:tab/>
        <w:t>(4)</w:t>
      </w:r>
      <w:r w:rsidRPr="00B32A45">
        <w:tab/>
        <w:t>However, for incidental emissions another method may be used that is consistent with the principles in section 1.13.</w:t>
      </w:r>
    </w:p>
    <w:p w:rsidR="00DB6238" w:rsidRPr="00B32A45" w:rsidRDefault="00DB6238" w:rsidP="00DB6238">
      <w:pPr>
        <w:pStyle w:val="h4Subdiv"/>
      </w:pPr>
      <w:bookmarkStart w:id="114" w:name="_Toc44579374"/>
      <w:r w:rsidRPr="00B32A45">
        <w:rPr>
          <w:rStyle w:val="CharSubdNo"/>
        </w:rPr>
        <w:lastRenderedPageBreak/>
        <w:t>Subdivision 3.4.2.2</w:t>
      </w:r>
      <w:r w:rsidRPr="00B32A45">
        <w:t>—</w:t>
      </w:r>
      <w:r w:rsidRPr="00B32A45">
        <w:rPr>
          <w:rStyle w:val="CharSubdText"/>
        </w:rPr>
        <w:t>Emissions from transport of greenhouse gases involving transfer</w:t>
      </w:r>
      <w:bookmarkEnd w:id="114"/>
    </w:p>
    <w:p w:rsidR="00DB6238" w:rsidRPr="00B32A45" w:rsidRDefault="00DB6238" w:rsidP="00DB6238">
      <w:pPr>
        <w:pStyle w:val="h5Section"/>
      </w:pPr>
      <w:bookmarkStart w:id="115" w:name="_Toc44579375"/>
      <w:r w:rsidRPr="00B32A45">
        <w:rPr>
          <w:rStyle w:val="CharSectno"/>
        </w:rPr>
        <w:t>3.91</w:t>
      </w:r>
      <w:r w:rsidRPr="00B32A45">
        <w:t xml:space="preserve">  Method 1—emissions from transport of greenhouse gases involving transfer</w:t>
      </w:r>
      <w:bookmarkEnd w:id="115"/>
    </w:p>
    <w:p w:rsidR="00DB6238" w:rsidRPr="00B32A45" w:rsidRDefault="00DB6238" w:rsidP="00DB6238">
      <w:pPr>
        <w:pStyle w:val="tMain"/>
      </w:pPr>
      <w:r w:rsidRPr="00B32A45">
        <w:tab/>
      </w:r>
      <w:r w:rsidRPr="00B32A45">
        <w:tab/>
        <w:t>For subsection 3.90(2), method 1 is:</w:t>
      </w:r>
    </w:p>
    <w:p w:rsidR="00DB6238" w:rsidRPr="00B32A45" w:rsidRDefault="00FB502A" w:rsidP="00DB6238">
      <w:pPr>
        <w:pStyle w:val="subsection2"/>
      </w:pPr>
      <w:r>
        <w:rPr>
          <w:position w:val="-24"/>
        </w:rPr>
        <w:pict>
          <v:shape id="_x0000_i1028" type="#_x0000_t75" style="width:129pt;height:28.8pt">
            <v:imagedata r:id="rId28" o:title=""/>
          </v:shape>
        </w:pict>
      </w:r>
    </w:p>
    <w:p w:rsidR="00DB6238" w:rsidRPr="00B32A45" w:rsidRDefault="00DB6238" w:rsidP="00DB6238">
      <w:pPr>
        <w:pStyle w:val="subsection2"/>
      </w:pPr>
      <w:r w:rsidRPr="00B32A45">
        <w:t>where:</w:t>
      </w:r>
    </w:p>
    <w:p w:rsidR="00DB6238" w:rsidRPr="00B32A45" w:rsidRDefault="00DB6238" w:rsidP="00DB6238">
      <w:pPr>
        <w:pStyle w:val="tDefn"/>
      </w:pPr>
      <w:r w:rsidRPr="00B32A45">
        <w:rPr>
          <w:b/>
          <w:i/>
        </w:rPr>
        <w:t>E</w:t>
      </w:r>
      <w:r w:rsidRPr="00B32A45">
        <w:rPr>
          <w:b/>
          <w:i/>
          <w:vertAlign w:val="subscript"/>
        </w:rPr>
        <w:t>j</w:t>
      </w:r>
      <w:r w:rsidRPr="00B32A45">
        <w:rPr>
          <w:b/>
          <w:i/>
        </w:rPr>
        <w:t xml:space="preserve"> </w:t>
      </w:r>
      <w:r w:rsidRPr="00B32A45">
        <w:t>is the emissions of gas type (</w:t>
      </w:r>
      <w:r w:rsidRPr="00B32A45">
        <w:rPr>
          <w:b/>
          <w:i/>
        </w:rPr>
        <w:t>j</w:t>
      </w:r>
      <w:r w:rsidRPr="00B32A45">
        <w:t>), during the year from transportation of greenhouse gas captured for permanent storage, or captured for enhanced oil recovery, to the storage or injection site, measured in CO</w:t>
      </w:r>
      <w:r w:rsidRPr="00B32A45">
        <w:rPr>
          <w:vertAlign w:val="subscript"/>
        </w:rPr>
        <w:t>2</w:t>
      </w:r>
      <w:r w:rsidRPr="00B32A45">
        <w:noBreakHyphen/>
        <w:t>e</w:t>
      </w:r>
      <w:r w:rsidRPr="00B32A45">
        <w:rPr>
          <w:rFonts w:ascii="TimesNewRoman" w:hAnsi="TimesNewRoman" w:cs="TimesNewRoman"/>
        </w:rPr>
        <w:t xml:space="preserve"> </w:t>
      </w:r>
      <w:r w:rsidRPr="00B32A45">
        <w:t>tonnes</w:t>
      </w:r>
      <w:r w:rsidRPr="00B32A45">
        <w:rPr>
          <w:rFonts w:ascii="TimesNewRoman" w:hAnsi="TimesNewRoman" w:cs="TimesNewRoman"/>
        </w:rPr>
        <w:t>.</w:t>
      </w:r>
    </w:p>
    <w:p w:rsidR="00DB6238" w:rsidRPr="00B32A45" w:rsidRDefault="00DB6238" w:rsidP="00DB6238">
      <w:pPr>
        <w:pStyle w:val="tDefn"/>
      </w:pPr>
      <w:r w:rsidRPr="00B32A45">
        <w:rPr>
          <w:b/>
          <w:i/>
        </w:rPr>
        <w:t>γ</w:t>
      </w:r>
      <w:r w:rsidRPr="00B32A45">
        <w:rPr>
          <w:rFonts w:ascii="Times New Roman Bold Italic" w:hAnsi="Times New Roman Bold Italic"/>
          <w:b/>
          <w:i/>
          <w:vertAlign w:val="subscript"/>
        </w:rPr>
        <w:t>j</w:t>
      </w:r>
      <w:r w:rsidRPr="00B32A45">
        <w:rPr>
          <w:b/>
          <w:i/>
        </w:rPr>
        <w:t xml:space="preserve"> </w:t>
      </w:r>
      <w:r w:rsidRPr="00B32A45">
        <w:t>is the factor for converting a quantity of gas type (</w:t>
      </w:r>
      <w:r w:rsidRPr="00B32A45">
        <w:rPr>
          <w:b/>
          <w:i/>
        </w:rPr>
        <w:t>j</w:t>
      </w:r>
      <w:r w:rsidRPr="00B32A45">
        <w:t>) from cubic metres at standard conditions of pressure and temperature to CO</w:t>
      </w:r>
      <w:r w:rsidRPr="00B32A45">
        <w:rPr>
          <w:vertAlign w:val="subscript"/>
        </w:rPr>
        <w:t>2</w:t>
      </w:r>
      <w:r w:rsidRPr="00B32A45">
        <w:noBreakHyphen/>
        <w:t>e tonnes, being:</w:t>
      </w:r>
    </w:p>
    <w:p w:rsidR="00DB6238" w:rsidRPr="00B32A45" w:rsidRDefault="00DB6238" w:rsidP="00DB6238">
      <w:pPr>
        <w:pStyle w:val="tPara"/>
      </w:pPr>
      <w:r w:rsidRPr="00B32A45">
        <w:tab/>
        <w:t>(a)</w:t>
      </w:r>
      <w:r w:rsidRPr="00B32A45">
        <w:tab/>
        <w:t>for methane—6.784 × 10</w:t>
      </w:r>
      <w:r w:rsidRPr="00B32A45">
        <w:rPr>
          <w:vertAlign w:val="superscript"/>
        </w:rPr>
        <w:noBreakHyphen/>
        <w:t xml:space="preserve">4 </w:t>
      </w:r>
      <w:r w:rsidRPr="00B32A45">
        <w:t>× GWP</w:t>
      </w:r>
      <w:r w:rsidRPr="00B32A45">
        <w:rPr>
          <w:vertAlign w:val="subscript"/>
        </w:rPr>
        <w:t>methane</w:t>
      </w:r>
      <w:r w:rsidRPr="00B32A45">
        <w:t>; and</w:t>
      </w:r>
    </w:p>
    <w:p w:rsidR="00DB6238" w:rsidRPr="00B32A45" w:rsidRDefault="00DB6238" w:rsidP="00DB6238">
      <w:pPr>
        <w:pStyle w:val="tPara"/>
      </w:pPr>
      <w:r w:rsidRPr="00B32A45">
        <w:tab/>
        <w:t>(b)</w:t>
      </w:r>
      <w:r w:rsidRPr="00B32A45">
        <w:tab/>
        <w:t>for carbon dioxide—1.861 × 10</w:t>
      </w:r>
      <w:r w:rsidRPr="00B32A45">
        <w:rPr>
          <w:vertAlign w:val="superscript"/>
        </w:rPr>
        <w:noBreakHyphen/>
        <w:t>3</w:t>
      </w:r>
      <w:r w:rsidRPr="00B32A45">
        <w:t>; and</w:t>
      </w:r>
    </w:p>
    <w:p w:rsidR="00DB6238" w:rsidRPr="00B32A45" w:rsidRDefault="00DB6238" w:rsidP="00DB6238">
      <w:pPr>
        <w:pStyle w:val="tPara"/>
      </w:pPr>
      <w:r w:rsidRPr="00B32A45">
        <w:tab/>
        <w:t>(c)</w:t>
      </w:r>
      <w:r w:rsidRPr="00B32A45">
        <w:tab/>
        <w:t>for any other gas type—the appropriate conversion factor for the gas type.</w:t>
      </w:r>
    </w:p>
    <w:p w:rsidR="00DB6238" w:rsidRPr="00B32A45" w:rsidRDefault="00DB6238" w:rsidP="00DB6238">
      <w:pPr>
        <w:pStyle w:val="tDefn"/>
        <w:rPr>
          <w:rFonts w:eastAsiaTheme="minorHAnsi"/>
        </w:rPr>
      </w:pPr>
      <w:r w:rsidRPr="00B32A45">
        <w:rPr>
          <w:rFonts w:eastAsiaTheme="minorHAnsi"/>
          <w:b/>
          <w:i/>
        </w:rPr>
        <w:t>Q</w:t>
      </w:r>
      <w:r w:rsidRPr="00B32A45">
        <w:rPr>
          <w:rFonts w:eastAsiaTheme="minorHAnsi"/>
          <w:b/>
          <w:i/>
          <w:vertAlign w:val="subscript"/>
        </w:rPr>
        <w:t>inj</w:t>
      </w:r>
      <w:r w:rsidRPr="00B32A45">
        <w:rPr>
          <w:rFonts w:eastAsiaTheme="minorHAnsi"/>
          <w:b/>
          <w:i/>
        </w:rPr>
        <w:t xml:space="preserve"> </w:t>
      </w:r>
      <w:r w:rsidRPr="00B32A45">
        <w:rPr>
          <w:rFonts w:eastAsiaTheme="minorHAnsi"/>
        </w:rPr>
        <w:t xml:space="preserve">is the quantity of greenhouse gas injected into the storage </w:t>
      </w:r>
      <w:r w:rsidRPr="00B32A45">
        <w:t>or injection</w:t>
      </w:r>
      <w:r w:rsidRPr="00B32A45">
        <w:rPr>
          <w:rFonts w:eastAsiaTheme="minorHAnsi"/>
        </w:rPr>
        <w:t xml:space="preserve"> site during the year and measured in cubic metres at standard conditions of pressure and temperature.</w:t>
      </w:r>
    </w:p>
    <w:p w:rsidR="00DB6238" w:rsidRPr="00B32A45" w:rsidRDefault="00DB6238" w:rsidP="00DB6238">
      <w:pPr>
        <w:pStyle w:val="tDefn"/>
      </w:pPr>
      <w:r w:rsidRPr="00B32A45">
        <w:rPr>
          <w:b/>
          <w:i/>
        </w:rPr>
        <w:t>RCCS</w:t>
      </w:r>
      <w:r w:rsidRPr="00B32A45">
        <w:rPr>
          <w:b/>
          <w:i/>
          <w:vertAlign w:val="subscript"/>
        </w:rPr>
        <w:t>j</w:t>
      </w:r>
      <w:r w:rsidRPr="00B32A45">
        <w:rPr>
          <w:b/>
          <w:i/>
        </w:rPr>
        <w:t xml:space="preserve"> </w:t>
      </w:r>
      <w:r w:rsidRPr="00B32A45">
        <w:t>is the quantity of gas type (</w:t>
      </w:r>
      <w:r w:rsidRPr="00B32A45">
        <w:rPr>
          <w:b/>
          <w:i/>
        </w:rPr>
        <w:t>j</w:t>
      </w:r>
      <w:r w:rsidRPr="00B32A45">
        <w:t xml:space="preserve">) captured during the year worked out under Division 1.2.3 and measured in cubic metres at standard conditions of pressure and temperature. If the injection is part of enhanced oil recovery, Division 1.2.3 must be applied to enhanced oil recovery as if it was capture for permanent storage. </w:t>
      </w:r>
    </w:p>
    <w:p w:rsidR="00DB6238" w:rsidRPr="00B32A45" w:rsidRDefault="00DB6238" w:rsidP="00DB6238">
      <w:pPr>
        <w:pStyle w:val="tDefn"/>
      </w:pPr>
      <w:r w:rsidRPr="00B32A45">
        <w:rPr>
          <w:b/>
          <w:i/>
        </w:rPr>
        <w:t>E</w:t>
      </w:r>
      <w:r w:rsidRPr="00B32A45">
        <w:rPr>
          <w:b/>
          <w:i/>
          <w:vertAlign w:val="subscript"/>
        </w:rPr>
        <w:t>ij</w:t>
      </w:r>
      <w:r w:rsidRPr="00B32A45">
        <w:rPr>
          <w:vertAlign w:val="subscript"/>
        </w:rPr>
        <w:t xml:space="preserve"> </w:t>
      </w:r>
      <w:r w:rsidRPr="00B32A45">
        <w:t>is the fugitive emissions (</w:t>
      </w:r>
      <w:r w:rsidRPr="00B32A45">
        <w:rPr>
          <w:b/>
          <w:i/>
        </w:rPr>
        <w:t>j</w:t>
      </w:r>
      <w:r w:rsidRPr="00B32A45">
        <w:t>) from the injection of a greenhouse gas into a geological formation during the reporting year, measured in CO</w:t>
      </w:r>
      <w:r w:rsidRPr="00B32A45">
        <w:rPr>
          <w:vertAlign w:val="subscript"/>
        </w:rPr>
        <w:t>2</w:t>
      </w:r>
      <w:r w:rsidRPr="00B32A45">
        <w:noBreakHyphen/>
        <w:t>e tonnes and calculated in accordance with Subdivision 3.4.3.2.</w:t>
      </w:r>
    </w:p>
    <w:p w:rsidR="00DB6238" w:rsidRPr="00B32A45" w:rsidRDefault="00DB6238" w:rsidP="00DB6238">
      <w:pPr>
        <w:pStyle w:val="h4Subdiv"/>
      </w:pPr>
      <w:bookmarkStart w:id="116" w:name="_Toc44579376"/>
      <w:r w:rsidRPr="00B32A45">
        <w:rPr>
          <w:rStyle w:val="CharSubdNo"/>
        </w:rPr>
        <w:t>Subdivision 3.4.2.3</w:t>
      </w:r>
      <w:r w:rsidRPr="00B32A45">
        <w:t>—</w:t>
      </w:r>
      <w:r w:rsidRPr="00B32A45">
        <w:rPr>
          <w:rStyle w:val="CharSubdText"/>
        </w:rPr>
        <w:t>Emissions from transport of greenhouse gases not involving transfer</w:t>
      </w:r>
      <w:bookmarkEnd w:id="116"/>
    </w:p>
    <w:p w:rsidR="00DB6238" w:rsidRPr="00B32A45" w:rsidRDefault="00DB6238" w:rsidP="00DB6238">
      <w:pPr>
        <w:pStyle w:val="h5Section"/>
      </w:pPr>
      <w:bookmarkStart w:id="117" w:name="_Toc44579377"/>
      <w:r w:rsidRPr="00B32A45">
        <w:rPr>
          <w:rStyle w:val="CharSectno"/>
        </w:rPr>
        <w:t>3.92</w:t>
      </w:r>
      <w:r w:rsidRPr="00B32A45">
        <w:t xml:space="preserve">  Method 1—emissions from transport of greenhouse gases not involving transfer</w:t>
      </w:r>
      <w:bookmarkEnd w:id="117"/>
    </w:p>
    <w:p w:rsidR="00DB6238" w:rsidRPr="00B32A45" w:rsidRDefault="00DB6238" w:rsidP="00DB6238">
      <w:pPr>
        <w:pStyle w:val="tMain"/>
      </w:pPr>
      <w:r w:rsidRPr="00B32A45">
        <w:tab/>
      </w:r>
      <w:r w:rsidRPr="00B32A45">
        <w:tab/>
        <w:t>For subsection 3.90(3), method 1 is:</w:t>
      </w:r>
    </w:p>
    <w:p w:rsidR="00DB6238" w:rsidRPr="00B32A45" w:rsidRDefault="00FB502A" w:rsidP="00DB6238">
      <w:pPr>
        <w:pStyle w:val="subsection2"/>
      </w:pPr>
      <w:r>
        <w:rPr>
          <w:position w:val="-24"/>
        </w:rPr>
        <w:pict>
          <v:shape id="_x0000_i1029" type="#_x0000_t75" style="width:115.8pt;height:28.8pt">
            <v:imagedata r:id="rId29" o:title=""/>
          </v:shape>
        </w:pict>
      </w:r>
    </w:p>
    <w:p w:rsidR="00DB6238" w:rsidRPr="00B32A45" w:rsidRDefault="00DB6238" w:rsidP="00DB6238">
      <w:pPr>
        <w:pStyle w:val="subsection2"/>
      </w:pPr>
      <w:r w:rsidRPr="00B32A45">
        <w:t>where:</w:t>
      </w:r>
    </w:p>
    <w:p w:rsidR="00DB6238" w:rsidRPr="00B32A45" w:rsidRDefault="00DB6238" w:rsidP="00DB6238">
      <w:pPr>
        <w:pStyle w:val="tDefn"/>
      </w:pPr>
      <w:r w:rsidRPr="00B32A45">
        <w:rPr>
          <w:b/>
          <w:i/>
        </w:rPr>
        <w:t>E</w:t>
      </w:r>
      <w:r w:rsidRPr="00B32A45">
        <w:rPr>
          <w:b/>
          <w:i/>
          <w:vertAlign w:val="subscript"/>
        </w:rPr>
        <w:t>j</w:t>
      </w:r>
      <w:r w:rsidRPr="00B32A45">
        <w:rPr>
          <w:b/>
          <w:i/>
        </w:rPr>
        <w:t xml:space="preserve"> </w:t>
      </w:r>
      <w:r w:rsidRPr="00B32A45">
        <w:t>is the emissions of gas type (</w:t>
      </w:r>
      <w:r w:rsidRPr="00B32A45">
        <w:rPr>
          <w:b/>
          <w:i/>
        </w:rPr>
        <w:t>j</w:t>
      </w:r>
      <w:r w:rsidRPr="00B32A45">
        <w:t>), during the year from transportation of greenhouse gas captured for permanent storage, or captured for enhanced oil recovery, to the storage or injection site, measured in CO</w:t>
      </w:r>
      <w:r w:rsidRPr="00B32A45">
        <w:rPr>
          <w:vertAlign w:val="subscript"/>
        </w:rPr>
        <w:t>2</w:t>
      </w:r>
      <w:r w:rsidRPr="00B32A45">
        <w:noBreakHyphen/>
        <w:t>e</w:t>
      </w:r>
      <w:r w:rsidRPr="00B32A45">
        <w:rPr>
          <w:rFonts w:ascii="TimesNewRoman" w:hAnsi="TimesNewRoman" w:cs="TimesNewRoman"/>
        </w:rPr>
        <w:t xml:space="preserve"> </w:t>
      </w:r>
      <w:r w:rsidRPr="00B32A45">
        <w:t>tonnes</w:t>
      </w:r>
      <w:r w:rsidRPr="00B32A45">
        <w:rPr>
          <w:rFonts w:ascii="TimesNewRoman" w:hAnsi="TimesNewRoman" w:cs="TimesNewRoman"/>
        </w:rPr>
        <w:t>.</w:t>
      </w:r>
    </w:p>
    <w:p w:rsidR="00DB6238" w:rsidRPr="00B32A45" w:rsidRDefault="00DB6238" w:rsidP="00DB6238">
      <w:pPr>
        <w:pStyle w:val="tDefn"/>
      </w:pPr>
      <w:r w:rsidRPr="00B32A45">
        <w:rPr>
          <w:b/>
          <w:i/>
        </w:rPr>
        <w:t>γ</w:t>
      </w:r>
      <w:r w:rsidRPr="00B32A45">
        <w:rPr>
          <w:rFonts w:ascii="Times New Roman Bold Italic" w:hAnsi="Times New Roman Bold Italic"/>
          <w:b/>
          <w:i/>
          <w:vertAlign w:val="subscript"/>
        </w:rPr>
        <w:t>j</w:t>
      </w:r>
      <w:r w:rsidRPr="00B32A45">
        <w:rPr>
          <w:b/>
          <w:i/>
        </w:rPr>
        <w:t xml:space="preserve"> </w:t>
      </w:r>
      <w:r w:rsidRPr="00B32A45">
        <w:t>is the factor for converting a quantity of gas type (</w:t>
      </w:r>
      <w:r w:rsidRPr="00B32A45">
        <w:rPr>
          <w:b/>
          <w:i/>
        </w:rPr>
        <w:t>j</w:t>
      </w:r>
      <w:r w:rsidRPr="00B32A45">
        <w:t>) from cubic metres at standard conditions of pressure and temperature to CO</w:t>
      </w:r>
      <w:r w:rsidRPr="00B32A45">
        <w:rPr>
          <w:vertAlign w:val="subscript"/>
        </w:rPr>
        <w:t>2</w:t>
      </w:r>
      <w:r w:rsidRPr="00B32A45">
        <w:noBreakHyphen/>
        <w:t>e tonnes, being:</w:t>
      </w:r>
    </w:p>
    <w:p w:rsidR="00DB6238" w:rsidRPr="00B32A45" w:rsidRDefault="00DB6238" w:rsidP="00DB6238">
      <w:pPr>
        <w:pStyle w:val="tPara"/>
      </w:pPr>
      <w:r w:rsidRPr="00B32A45">
        <w:tab/>
        <w:t>(a)</w:t>
      </w:r>
      <w:r w:rsidRPr="00B32A45">
        <w:tab/>
        <w:t>for methane—6.784 × 10</w:t>
      </w:r>
      <w:r w:rsidRPr="00B32A45">
        <w:rPr>
          <w:vertAlign w:val="superscript"/>
        </w:rPr>
        <w:noBreakHyphen/>
        <w:t xml:space="preserve">4 </w:t>
      </w:r>
      <w:r w:rsidRPr="00B32A45">
        <w:t>× GWP</w:t>
      </w:r>
      <w:r w:rsidRPr="00B32A45">
        <w:rPr>
          <w:vertAlign w:val="subscript"/>
        </w:rPr>
        <w:t>methane</w:t>
      </w:r>
      <w:r w:rsidRPr="00B32A45">
        <w:t>; and</w:t>
      </w:r>
    </w:p>
    <w:p w:rsidR="00DB6238" w:rsidRPr="00B32A45" w:rsidRDefault="00DB6238" w:rsidP="00DB6238">
      <w:pPr>
        <w:pStyle w:val="tPara"/>
      </w:pPr>
      <w:r w:rsidRPr="00B32A45">
        <w:tab/>
        <w:t>(b)</w:t>
      </w:r>
      <w:r w:rsidRPr="00B32A45">
        <w:tab/>
        <w:t>for carbon dioxide—1.861 × 10</w:t>
      </w:r>
      <w:r w:rsidRPr="00B32A45">
        <w:rPr>
          <w:vertAlign w:val="superscript"/>
        </w:rPr>
        <w:noBreakHyphen/>
        <w:t>3</w:t>
      </w:r>
      <w:r w:rsidRPr="00B32A45">
        <w:t>; and</w:t>
      </w:r>
    </w:p>
    <w:p w:rsidR="00DB6238" w:rsidRPr="00B32A45" w:rsidRDefault="00DB6238" w:rsidP="00DB6238">
      <w:pPr>
        <w:pStyle w:val="tPara"/>
      </w:pPr>
      <w:r w:rsidRPr="00B32A45">
        <w:tab/>
        <w:t>(c)</w:t>
      </w:r>
      <w:r w:rsidRPr="00B32A45">
        <w:tab/>
        <w:t>for any other gas type—the appropriate conversion factor for the gas type.</w:t>
      </w:r>
    </w:p>
    <w:p w:rsidR="00DB6238" w:rsidRPr="00B32A45" w:rsidRDefault="00DB6238" w:rsidP="00DB6238">
      <w:pPr>
        <w:pStyle w:val="tDefn"/>
        <w:rPr>
          <w:rFonts w:eastAsiaTheme="minorHAnsi"/>
        </w:rPr>
      </w:pPr>
      <w:r w:rsidRPr="00B32A45">
        <w:rPr>
          <w:rFonts w:eastAsiaTheme="minorHAnsi"/>
          <w:b/>
          <w:i/>
        </w:rPr>
        <w:t>Q</w:t>
      </w:r>
      <w:r w:rsidRPr="00B32A45">
        <w:rPr>
          <w:rFonts w:eastAsiaTheme="minorHAnsi"/>
          <w:b/>
          <w:i/>
          <w:vertAlign w:val="subscript"/>
        </w:rPr>
        <w:t>inj</w:t>
      </w:r>
      <w:r w:rsidRPr="00B32A45">
        <w:rPr>
          <w:rFonts w:eastAsiaTheme="minorHAnsi"/>
          <w:b/>
          <w:i/>
        </w:rPr>
        <w:t xml:space="preserve"> </w:t>
      </w:r>
      <w:r w:rsidRPr="00B32A45">
        <w:rPr>
          <w:rFonts w:eastAsiaTheme="minorHAnsi"/>
        </w:rPr>
        <w:t xml:space="preserve">is the quantity of greenhouse gas injected into the storage </w:t>
      </w:r>
      <w:r w:rsidRPr="00B32A45">
        <w:t>or injection</w:t>
      </w:r>
      <w:r w:rsidRPr="00B32A45">
        <w:rPr>
          <w:rFonts w:eastAsiaTheme="minorHAnsi"/>
        </w:rPr>
        <w:t xml:space="preserve"> site during the year and measured in cubic metres at standard conditions of pressure and temperature.</w:t>
      </w:r>
    </w:p>
    <w:p w:rsidR="00DB6238" w:rsidRPr="00B32A45" w:rsidRDefault="00DB6238" w:rsidP="00DB6238">
      <w:pPr>
        <w:pStyle w:val="tDefn"/>
      </w:pPr>
      <w:r w:rsidRPr="00B32A45">
        <w:rPr>
          <w:b/>
          <w:i/>
        </w:rPr>
        <w:lastRenderedPageBreak/>
        <w:t>RCCS</w:t>
      </w:r>
      <w:r w:rsidRPr="00B32A45">
        <w:rPr>
          <w:b/>
          <w:i/>
          <w:vertAlign w:val="subscript"/>
        </w:rPr>
        <w:t>j</w:t>
      </w:r>
      <w:r w:rsidRPr="00B32A45">
        <w:rPr>
          <w:b/>
          <w:i/>
        </w:rPr>
        <w:t xml:space="preserve"> </w:t>
      </w:r>
      <w:r w:rsidRPr="00B32A45">
        <w:t>is the quantity of gas type (</w:t>
      </w:r>
      <w:r w:rsidRPr="00B32A45">
        <w:rPr>
          <w:b/>
          <w:i/>
        </w:rPr>
        <w:t>j</w:t>
      </w:r>
      <w:r w:rsidRPr="00B32A45">
        <w:t>) captured during the year worked out under Division 1.2.3 and measured in cubic metres at standard conditions of pressure and temperature. If the injection is part of enhanced oil recovery, Division 1.2.3 must be applied to enhanced oil recovery as if it was capture for permanent storage.</w:t>
      </w:r>
    </w:p>
    <w:p w:rsidR="00DB6238" w:rsidRPr="00B32A45" w:rsidRDefault="00DB6238" w:rsidP="00DB6238">
      <w:pPr>
        <w:pStyle w:val="h3Div"/>
        <w:pageBreakBefore/>
      </w:pPr>
      <w:bookmarkStart w:id="118" w:name="_Toc44579378"/>
      <w:bookmarkStart w:id="119" w:name="_Toc69480138"/>
      <w:r w:rsidRPr="00B32A45">
        <w:rPr>
          <w:rStyle w:val="CharDivNo"/>
        </w:rPr>
        <w:lastRenderedPageBreak/>
        <w:t>Division 3.4.3</w:t>
      </w:r>
      <w:r w:rsidRPr="00B32A45">
        <w:t>—</w:t>
      </w:r>
      <w:r w:rsidRPr="00B32A45">
        <w:rPr>
          <w:rStyle w:val="CharDivText"/>
        </w:rPr>
        <w:t>Injection of greenhouse gases</w:t>
      </w:r>
      <w:bookmarkEnd w:id="118"/>
      <w:bookmarkEnd w:id="119"/>
    </w:p>
    <w:p w:rsidR="00DB6238" w:rsidRPr="00B32A45" w:rsidRDefault="00DB6238" w:rsidP="00DB6238">
      <w:pPr>
        <w:pStyle w:val="h4Subdiv"/>
      </w:pPr>
      <w:bookmarkStart w:id="120" w:name="_Toc44579379"/>
      <w:r w:rsidRPr="00B32A45">
        <w:rPr>
          <w:rStyle w:val="CharSubdNo"/>
        </w:rPr>
        <w:t>Subdivision 3.4.3.1</w:t>
      </w:r>
      <w:r w:rsidRPr="00B32A45">
        <w:t>—</w:t>
      </w:r>
      <w:r w:rsidRPr="00B32A45">
        <w:rPr>
          <w:rStyle w:val="CharSubdText"/>
        </w:rPr>
        <w:t>Preliminary</w:t>
      </w:r>
      <w:bookmarkEnd w:id="120"/>
    </w:p>
    <w:p w:rsidR="00DB6238" w:rsidRPr="00B32A45" w:rsidRDefault="00DB6238" w:rsidP="00DB6238">
      <w:pPr>
        <w:pStyle w:val="h5Section"/>
      </w:pPr>
      <w:bookmarkStart w:id="121" w:name="_Toc44579380"/>
      <w:r w:rsidRPr="00B32A45">
        <w:rPr>
          <w:rStyle w:val="CharSectno"/>
        </w:rPr>
        <w:t>3.93</w:t>
      </w:r>
      <w:r w:rsidRPr="00B32A45">
        <w:t xml:space="preserve">  Application</w:t>
      </w:r>
      <w:bookmarkEnd w:id="121"/>
    </w:p>
    <w:p w:rsidR="00DB6238" w:rsidRPr="00B32A45" w:rsidRDefault="00DB6238" w:rsidP="00DB6238">
      <w:pPr>
        <w:pStyle w:val="tMain"/>
      </w:pPr>
      <w:r w:rsidRPr="00B32A45">
        <w:tab/>
      </w:r>
      <w:r w:rsidRPr="00B32A45">
        <w:tab/>
        <w:t>This Division applies to fugitive emissions of greenhouse gases from the injection of a greenhouse gas captured for permanent storage, or captured for enhanced oil recovery, into a geological formation.</w:t>
      </w:r>
    </w:p>
    <w:p w:rsidR="00DB6238" w:rsidRPr="00B32A45" w:rsidRDefault="00DB6238" w:rsidP="00DB6238">
      <w:pPr>
        <w:pStyle w:val="nMain"/>
      </w:pPr>
      <w:r w:rsidRPr="00B32A45">
        <w:t>Note:</w:t>
      </w:r>
      <w:r w:rsidRPr="00B32A45">
        <w:tab/>
        <w:t xml:space="preserve">A greenhouse gas is </w:t>
      </w:r>
      <w:r w:rsidRPr="00B32A45">
        <w:rPr>
          <w:b/>
          <w:i/>
        </w:rPr>
        <w:t>captured for permanent storage</w:t>
      </w:r>
      <w:r w:rsidRPr="00B32A45">
        <w:t xml:space="preserve"> in a geological formation if the gas is captured by, or transferred to, the holder of a licence, lease or approval mentioned in section 1.19A, under a law mentioned in that section, for the purpose of being injected into a geological formation (however described) under the licence, lease or approval.</w:t>
      </w:r>
    </w:p>
    <w:p w:rsidR="00DB6238" w:rsidRPr="00B32A45" w:rsidRDefault="00DB6238" w:rsidP="00DB6238">
      <w:pPr>
        <w:pStyle w:val="nMain"/>
      </w:pPr>
      <w:r w:rsidRPr="00B32A45">
        <w:t>Note:</w:t>
      </w:r>
      <w:r w:rsidRPr="00B32A45">
        <w:tab/>
        <w:t>Section 1.8 defines enhanced oil recovery.</w:t>
      </w:r>
    </w:p>
    <w:p w:rsidR="00DB6238" w:rsidRPr="00B32A45" w:rsidRDefault="00DB6238" w:rsidP="00DB6238">
      <w:pPr>
        <w:pStyle w:val="h5Section"/>
      </w:pPr>
      <w:bookmarkStart w:id="122" w:name="_Toc44579381"/>
      <w:r w:rsidRPr="00B32A45">
        <w:rPr>
          <w:rStyle w:val="CharSectno"/>
        </w:rPr>
        <w:t>3.94</w:t>
      </w:r>
      <w:r w:rsidRPr="00B32A45">
        <w:t xml:space="preserve">  Available methods</w:t>
      </w:r>
      <w:bookmarkEnd w:id="122"/>
    </w:p>
    <w:p w:rsidR="00DB6238" w:rsidRPr="00B32A45" w:rsidRDefault="00DB6238" w:rsidP="00DB6238">
      <w:pPr>
        <w:pStyle w:val="tMain"/>
      </w:pPr>
      <w:r w:rsidRPr="00B32A45">
        <w:tab/>
        <w:t>(1)</w:t>
      </w:r>
      <w:r w:rsidRPr="00B32A45">
        <w:tab/>
        <w:t>For estimating fugitive emissions of greenhouse gases released during a year from the injection of a greenhouse gas captured for permanent storage, or captured for enhanced oil recovery, into a geological formation, the methods set out in this section must be used.</w:t>
      </w:r>
    </w:p>
    <w:p w:rsidR="00DB6238" w:rsidRPr="00B32A45" w:rsidRDefault="00DB6238" w:rsidP="00DB6238">
      <w:pPr>
        <w:pStyle w:val="h6Subsec"/>
      </w:pPr>
      <w:r w:rsidRPr="00B32A45">
        <w:t>Process vents, system upsets and accidents</w:t>
      </w:r>
    </w:p>
    <w:p w:rsidR="00DB6238" w:rsidRPr="00B32A45" w:rsidRDefault="00DB6238" w:rsidP="00DB6238">
      <w:pPr>
        <w:pStyle w:val="tMain"/>
      </w:pPr>
      <w:r w:rsidRPr="00B32A45">
        <w:tab/>
        <w:t>(2)</w:t>
      </w:r>
      <w:r w:rsidRPr="00B32A45">
        <w:tab/>
        <w:t>Method 2 under section 3.95 must be used for estimating fugitive emissions of greenhouse gases that result from deliberate releases from process vents, system upsets and accidents.</w:t>
      </w:r>
    </w:p>
    <w:p w:rsidR="00DB6238" w:rsidRPr="00B32A45" w:rsidRDefault="00DB6238" w:rsidP="00DB6238">
      <w:pPr>
        <w:pStyle w:val="h6Subsec"/>
      </w:pPr>
      <w:r w:rsidRPr="00B32A45">
        <w:t>Fugitive emissions of greenhouse gases other than from process vents, system upsets and accidents</w:t>
      </w:r>
    </w:p>
    <w:p w:rsidR="00DB6238" w:rsidRPr="00B32A45" w:rsidRDefault="00DB6238" w:rsidP="00DB6238">
      <w:pPr>
        <w:pStyle w:val="tMain"/>
      </w:pPr>
      <w:r w:rsidRPr="00B32A45">
        <w:tab/>
        <w:t>(3)</w:t>
      </w:r>
      <w:r w:rsidRPr="00B32A45">
        <w:tab/>
        <w:t>One of the following methods must be used for estimating fugitive emissions of greenhouse gases from the injection of a greenhouse gas captured for permanent storage,  or captured for enhanced oil recovery, into a geological formation that are not the result of deliberate releases from process vents, system upsets and accidents:</w:t>
      </w:r>
    </w:p>
    <w:p w:rsidR="00DB6238" w:rsidRPr="00B32A45" w:rsidRDefault="00DB6238" w:rsidP="00DB6238">
      <w:pPr>
        <w:pStyle w:val="tPara"/>
      </w:pPr>
      <w:r w:rsidRPr="00B32A45">
        <w:tab/>
        <w:t>(a)</w:t>
      </w:r>
      <w:r w:rsidRPr="00B32A45">
        <w:tab/>
        <w:t>method 2 under section 3.96;</w:t>
      </w:r>
    </w:p>
    <w:p w:rsidR="00DB6238" w:rsidRPr="00B32A45" w:rsidRDefault="00DB6238" w:rsidP="00DB6238">
      <w:pPr>
        <w:pStyle w:val="tPara"/>
      </w:pPr>
      <w:r w:rsidRPr="00B32A45">
        <w:tab/>
        <w:t>(b)</w:t>
      </w:r>
      <w:r w:rsidRPr="00B32A45">
        <w:tab/>
        <w:t>method 3 under section 3.97.</w:t>
      </w:r>
    </w:p>
    <w:p w:rsidR="00DB6238" w:rsidRPr="00B32A45" w:rsidRDefault="00DB6238" w:rsidP="00DB6238">
      <w:pPr>
        <w:pStyle w:val="nMain"/>
      </w:pPr>
      <w:r w:rsidRPr="00B32A45">
        <w:t>Note:</w:t>
      </w:r>
      <w:r w:rsidRPr="00B32A45">
        <w:tab/>
        <w:t>There is no method 1, 3 or 4 for subsection (2) and no method 1 or 4 for subsection (3).</w:t>
      </w:r>
    </w:p>
    <w:p w:rsidR="00DB6238" w:rsidRPr="00B32A45" w:rsidRDefault="00DB6238" w:rsidP="00DB6238">
      <w:pPr>
        <w:pStyle w:val="h4Subdiv"/>
      </w:pPr>
      <w:bookmarkStart w:id="123" w:name="_Toc44579382"/>
      <w:r w:rsidRPr="00B32A45">
        <w:rPr>
          <w:rStyle w:val="CharSubdNo"/>
        </w:rPr>
        <w:t>Subdivision 3.4.3.2</w:t>
      </w:r>
      <w:r w:rsidRPr="00B32A45">
        <w:t>—</w:t>
      </w:r>
      <w:r w:rsidRPr="00B32A45">
        <w:rPr>
          <w:rStyle w:val="CharSubdText"/>
        </w:rPr>
        <w:t>Fugitive emissions from deliberate releases from process vents, system upsets and accidents</w:t>
      </w:r>
      <w:bookmarkEnd w:id="123"/>
    </w:p>
    <w:p w:rsidR="00DB6238" w:rsidRPr="00B32A45" w:rsidRDefault="00DB6238" w:rsidP="00DB6238">
      <w:pPr>
        <w:pStyle w:val="h5Section"/>
      </w:pPr>
      <w:bookmarkStart w:id="124" w:name="_Toc44579383"/>
      <w:r w:rsidRPr="00B32A45">
        <w:rPr>
          <w:rStyle w:val="CharSectno"/>
        </w:rPr>
        <w:t>3.95</w:t>
      </w:r>
      <w:r w:rsidRPr="00B32A45">
        <w:t xml:space="preserve">  Method 2—fugitive emissions from deliberate releases from process vents, system upsets and accidents</w:t>
      </w:r>
      <w:bookmarkEnd w:id="124"/>
    </w:p>
    <w:p w:rsidR="00DB6238" w:rsidRPr="00B32A45" w:rsidRDefault="00DB6238" w:rsidP="00DB6238">
      <w:pPr>
        <w:pStyle w:val="tMain"/>
      </w:pPr>
      <w:r w:rsidRPr="00B32A45">
        <w:tab/>
      </w:r>
      <w:r w:rsidRPr="00B32A45">
        <w:tab/>
        <w:t>Method 2 is the same as the approach mentioned in section 5.3 or 5.7.1 of the API Compendium.</w:t>
      </w:r>
    </w:p>
    <w:p w:rsidR="00DB6238" w:rsidRPr="00B32A45" w:rsidRDefault="00DB6238" w:rsidP="00DB6238">
      <w:pPr>
        <w:pStyle w:val="h4Subdiv"/>
      </w:pPr>
      <w:bookmarkStart w:id="125" w:name="_Toc44579384"/>
      <w:r w:rsidRPr="00B32A45">
        <w:rPr>
          <w:rStyle w:val="CharSubdNo"/>
        </w:rPr>
        <w:lastRenderedPageBreak/>
        <w:t>Subdivision 3.4.3.3</w:t>
      </w:r>
      <w:r w:rsidRPr="00B32A45">
        <w:t>—</w:t>
      </w:r>
      <w:r w:rsidRPr="00B32A45">
        <w:rPr>
          <w:rStyle w:val="CharSubdText"/>
        </w:rPr>
        <w:t>Fugitive emissions from injection of greenhouse gases (other than emissions from deliberate releases from process vents, system upsets and accidents)</w:t>
      </w:r>
      <w:bookmarkEnd w:id="125"/>
    </w:p>
    <w:p w:rsidR="00DB6238" w:rsidRPr="00B32A45" w:rsidRDefault="00DB6238" w:rsidP="00DB6238">
      <w:pPr>
        <w:pStyle w:val="h5Section"/>
      </w:pPr>
      <w:bookmarkStart w:id="126" w:name="_Toc44579385"/>
      <w:r w:rsidRPr="00B32A45">
        <w:rPr>
          <w:rStyle w:val="CharSectno"/>
        </w:rPr>
        <w:t>3.96</w:t>
      </w:r>
      <w:r w:rsidRPr="00B32A45">
        <w:t xml:space="preserve">  Method 2—fugitive emissions from injection of a greenhouse gas into a geological formation (other than deliberate releases from process vents, system upsets and accidents)</w:t>
      </w:r>
      <w:bookmarkEnd w:id="126"/>
    </w:p>
    <w:p w:rsidR="00DB6238" w:rsidRPr="00B32A45" w:rsidRDefault="00DB6238" w:rsidP="00DB6238">
      <w:pPr>
        <w:pStyle w:val="tMain"/>
      </w:pPr>
      <w:r w:rsidRPr="00B32A45">
        <w:tab/>
        <w:t>(1)</w:t>
      </w:r>
      <w:r w:rsidRPr="00B32A45">
        <w:tab/>
        <w:t>Method 2 is:</w:t>
      </w:r>
    </w:p>
    <w:p w:rsidR="00DB6238" w:rsidRPr="00B32A45" w:rsidRDefault="00FB502A" w:rsidP="00DB6238">
      <w:pPr>
        <w:pStyle w:val="subsection2"/>
      </w:pPr>
      <w:r>
        <w:rPr>
          <w:position w:val="-24"/>
        </w:rPr>
        <w:pict>
          <v:shape id="_x0000_i1030" type="#_x0000_t75" style="width:109.2pt;height:28.8pt">
            <v:imagedata r:id="rId30" o:title=""/>
          </v:shape>
        </w:pict>
      </w:r>
    </w:p>
    <w:p w:rsidR="00DB6238" w:rsidRPr="00B32A45" w:rsidRDefault="00DB6238" w:rsidP="00DB6238">
      <w:pPr>
        <w:pStyle w:val="subsection2"/>
      </w:pPr>
      <w:r w:rsidRPr="00B32A45">
        <w:t>where:</w:t>
      </w:r>
    </w:p>
    <w:p w:rsidR="00DB6238" w:rsidRPr="00B32A45" w:rsidRDefault="00DB6238" w:rsidP="00DB6238">
      <w:pPr>
        <w:pStyle w:val="tDefn"/>
      </w:pPr>
      <w:r w:rsidRPr="00B32A45">
        <w:rPr>
          <w:b/>
          <w:i/>
        </w:rPr>
        <w:t>EF</w:t>
      </w:r>
      <w:r w:rsidRPr="00B32A45">
        <w:rPr>
          <w:b/>
          <w:i/>
          <w:vertAlign w:val="subscript"/>
        </w:rPr>
        <w:t>ijk</w:t>
      </w:r>
      <w:r w:rsidRPr="00B32A45">
        <w:rPr>
          <w:b/>
          <w:i/>
        </w:rPr>
        <w:t xml:space="preserve"> </w:t>
      </w:r>
      <w:r w:rsidRPr="00B32A45">
        <w:t>is the emission factor (</w:t>
      </w:r>
      <w:r w:rsidRPr="00B32A45">
        <w:rPr>
          <w:b/>
          <w:i/>
        </w:rPr>
        <w:t>j</w:t>
      </w:r>
      <w:r w:rsidRPr="00B32A45">
        <w:t>) measured in CO</w:t>
      </w:r>
      <w:r w:rsidRPr="00B32A45">
        <w:rPr>
          <w:vertAlign w:val="subscript"/>
        </w:rPr>
        <w:t>2</w:t>
      </w:r>
      <w:r w:rsidRPr="00B32A45">
        <w:noBreakHyphen/>
        <w:t>e tonnes that passes through each equipment type (</w:t>
      </w:r>
      <w:r w:rsidRPr="00B32A45">
        <w:rPr>
          <w:b/>
          <w:i/>
        </w:rPr>
        <w:t>k</w:t>
      </w:r>
      <w:r w:rsidRPr="00B32A45">
        <w:t>) mentioned in section 6.1 of the API Compendium, if the equipment type was used in the injection of a greenhouse gas into the geological formation.</w:t>
      </w:r>
    </w:p>
    <w:p w:rsidR="00DB6238" w:rsidRPr="00B32A45" w:rsidRDefault="00DB6238" w:rsidP="00DB6238">
      <w:pPr>
        <w:pStyle w:val="tDefn"/>
      </w:pPr>
      <w:r w:rsidRPr="00B32A45">
        <w:rPr>
          <w:b/>
          <w:i/>
        </w:rPr>
        <w:t>E</w:t>
      </w:r>
      <w:r w:rsidRPr="00B32A45">
        <w:rPr>
          <w:b/>
          <w:i/>
          <w:vertAlign w:val="subscript"/>
        </w:rPr>
        <w:t>ij</w:t>
      </w:r>
      <w:r w:rsidRPr="00B32A45">
        <w:rPr>
          <w:b/>
          <w:i/>
        </w:rPr>
        <w:t xml:space="preserve"> </w:t>
      </w:r>
      <w:r w:rsidRPr="00B32A45">
        <w:t>is the fugitive emissions (</w:t>
      </w:r>
      <w:r w:rsidRPr="00B32A45">
        <w:rPr>
          <w:b/>
          <w:i/>
        </w:rPr>
        <w:t>j</w:t>
      </w:r>
      <w:r w:rsidRPr="00B32A45">
        <w:t>) from the injection of a greenhouse gas into a geological formation during the reporting year, measured in CO</w:t>
      </w:r>
      <w:r w:rsidRPr="00B32A45">
        <w:rPr>
          <w:vertAlign w:val="subscript"/>
        </w:rPr>
        <w:t>2</w:t>
      </w:r>
      <w:r w:rsidRPr="00B32A45">
        <w:noBreakHyphen/>
        <w:t>e tonnes.</w:t>
      </w:r>
    </w:p>
    <w:p w:rsidR="00DB6238" w:rsidRPr="00B32A45" w:rsidRDefault="00DB6238" w:rsidP="00DB6238">
      <w:pPr>
        <w:pStyle w:val="tDefn"/>
      </w:pPr>
      <w:r w:rsidRPr="00B32A45">
        <w:rPr>
          <w:b/>
          <w:i/>
        </w:rPr>
        <w:t>Σ</w:t>
      </w:r>
      <w:r w:rsidRPr="00B32A45">
        <w:rPr>
          <w:b/>
          <w:i/>
          <w:vertAlign w:val="subscript"/>
        </w:rPr>
        <w:t xml:space="preserve">k </w:t>
      </w:r>
      <w:r w:rsidRPr="00B32A45">
        <w:t>is the emissions (</w:t>
      </w:r>
      <w:r w:rsidRPr="00B32A45">
        <w:rPr>
          <w:b/>
          <w:i/>
        </w:rPr>
        <w:t>j</w:t>
      </w:r>
      <w:r w:rsidRPr="00B32A45">
        <w:t>) measured in CO</w:t>
      </w:r>
      <w:r w:rsidRPr="00B32A45">
        <w:rPr>
          <w:vertAlign w:val="subscript"/>
        </w:rPr>
        <w:t>2</w:t>
      </w:r>
      <w:r w:rsidRPr="00B32A45">
        <w:noBreakHyphen/>
        <w:t>e tonnes and estimated by summing up the emissions released from each equipment type (</w:t>
      </w:r>
      <w:r w:rsidRPr="00B32A45">
        <w:rPr>
          <w:b/>
          <w:i/>
        </w:rPr>
        <w:t>k</w:t>
      </w:r>
      <w:r w:rsidRPr="00B32A45">
        <w:t>) mentioned in section 6.1 of the API Compendium, if the equipment type was used in the injection of a greenhouse gas into the geological formation.</w:t>
      </w:r>
    </w:p>
    <w:p w:rsidR="00DB6238" w:rsidRPr="00B32A45" w:rsidRDefault="00DB6238" w:rsidP="00DB6238">
      <w:pPr>
        <w:pStyle w:val="tDefn"/>
      </w:pPr>
      <w:r w:rsidRPr="00B32A45">
        <w:rPr>
          <w:b/>
          <w:i/>
        </w:rPr>
        <w:t>Q</w:t>
      </w:r>
      <w:r w:rsidRPr="00B32A45">
        <w:rPr>
          <w:b/>
          <w:i/>
          <w:vertAlign w:val="subscript"/>
        </w:rPr>
        <w:t>ik</w:t>
      </w:r>
      <w:r w:rsidRPr="00B32A45">
        <w:rPr>
          <w:vertAlign w:val="subscript"/>
        </w:rPr>
        <w:t xml:space="preserve"> </w:t>
      </w:r>
      <w:r w:rsidRPr="00B32A45">
        <w:t>is the total of the quantities of greenhouse gas measured in tonnes that pass through each equipment type (</w:t>
      </w:r>
      <w:r w:rsidRPr="00B32A45">
        <w:rPr>
          <w:b/>
          <w:i/>
        </w:rPr>
        <w:t>k</w:t>
      </w:r>
      <w:r w:rsidRPr="00B32A45">
        <w:t>) mentioned in section 6.1 of the API Compendium, if the equipment type was used in the injection of a greenhouse gas into the geological formation.</w:t>
      </w:r>
    </w:p>
    <w:p w:rsidR="00DB6238" w:rsidRPr="00B32A45" w:rsidRDefault="00DB6238" w:rsidP="00DB6238">
      <w:pPr>
        <w:pStyle w:val="tMain"/>
      </w:pPr>
      <w:r w:rsidRPr="00B32A45">
        <w:tab/>
        <w:t>(2)</w:t>
      </w:r>
      <w:r w:rsidRPr="00B32A45">
        <w:tab/>
        <w:t xml:space="preserve">For </w:t>
      </w:r>
      <w:r w:rsidRPr="00B32A45">
        <w:rPr>
          <w:b/>
          <w:i/>
        </w:rPr>
        <w:t>EF</w:t>
      </w:r>
      <w:r w:rsidRPr="00B32A45">
        <w:rPr>
          <w:b/>
          <w:i/>
          <w:vertAlign w:val="subscript"/>
        </w:rPr>
        <w:t>ijk</w:t>
      </w:r>
      <w:r w:rsidRPr="00B32A45">
        <w:rPr>
          <w:b/>
          <w:vertAlign w:val="subscript"/>
        </w:rPr>
        <w:t xml:space="preserve"> </w:t>
      </w:r>
      <w:r w:rsidRPr="00B32A45">
        <w:t>in subsection (1), the emission factors are:</w:t>
      </w:r>
    </w:p>
    <w:p w:rsidR="00DB6238" w:rsidRPr="00B32A45" w:rsidRDefault="00DB6238" w:rsidP="00DB6238">
      <w:pPr>
        <w:pStyle w:val="tPara"/>
      </w:pPr>
      <w:r w:rsidRPr="00B32A45">
        <w:tab/>
        <w:t>(a)</w:t>
      </w:r>
      <w:r w:rsidRPr="00B32A45">
        <w:tab/>
        <w:t>the emission factors listed for the equipment type in section 6.1 of the API Compendium; or</w:t>
      </w:r>
    </w:p>
    <w:p w:rsidR="00DB6238" w:rsidRPr="00B32A45" w:rsidRDefault="00DB6238" w:rsidP="00DB6238">
      <w:pPr>
        <w:pStyle w:val="tPara"/>
      </w:pPr>
      <w:r w:rsidRPr="00B32A45">
        <w:tab/>
        <w:t>(b)</w:t>
      </w:r>
      <w:r w:rsidRPr="00B32A45">
        <w:tab/>
        <w:t>if the manufacturer of the equipment supplies equipment specific emissions factors for the equipment type—those factors.</w:t>
      </w:r>
    </w:p>
    <w:p w:rsidR="00DB6238" w:rsidRPr="00B32A45" w:rsidRDefault="00DB6238" w:rsidP="00DB6238">
      <w:pPr>
        <w:pStyle w:val="h5Section"/>
      </w:pPr>
      <w:bookmarkStart w:id="127" w:name="_Toc44579386"/>
      <w:r w:rsidRPr="00B32A45">
        <w:rPr>
          <w:rStyle w:val="CharSectno"/>
        </w:rPr>
        <w:t>3.97</w:t>
      </w:r>
      <w:r w:rsidRPr="00B32A45">
        <w:t xml:space="preserve">  Method 3—fugitive emissions from injection of greenhouse gases (other than deliberate releases from process vents, system upsets and accidents)</w:t>
      </w:r>
      <w:bookmarkEnd w:id="127"/>
    </w:p>
    <w:p w:rsidR="00DB6238" w:rsidRPr="00B32A45" w:rsidRDefault="00DB6238" w:rsidP="00DB6238">
      <w:pPr>
        <w:pStyle w:val="tMain"/>
      </w:pPr>
      <w:r w:rsidRPr="00B32A45">
        <w:tab/>
      </w:r>
      <w:r w:rsidRPr="00B32A45">
        <w:tab/>
        <w:t>Method 3 is the same as an approach mentioned in Appendix C to the API Compendium.</w:t>
      </w:r>
    </w:p>
    <w:p w:rsidR="00DB6238" w:rsidRPr="00B32A45" w:rsidRDefault="00DB6238" w:rsidP="00DB6238">
      <w:pPr>
        <w:pStyle w:val="nMain"/>
      </w:pPr>
      <w:r w:rsidRPr="00B32A45">
        <w:t>Note:</w:t>
      </w:r>
      <w:r w:rsidRPr="00B32A45">
        <w:tab/>
        <w:t>For this method, any approach mentioned in Appendix C to the API Compendium may be used.</w:t>
      </w:r>
    </w:p>
    <w:p w:rsidR="00DB6238" w:rsidRPr="004E5BEF" w:rsidRDefault="00CE207D" w:rsidP="00DB6238">
      <w:pPr>
        <w:pStyle w:val="h5SchItem"/>
      </w:pPr>
      <w:r>
        <w:t>[19]</w:t>
      </w:r>
      <w:r w:rsidR="00DB6238" w:rsidRPr="00826C3E">
        <w:t xml:space="preserve"> </w:t>
      </w:r>
      <w:r w:rsidR="00DB6238" w:rsidRPr="00826C3E">
        <w:tab/>
      </w:r>
      <w:r w:rsidR="00DB6238">
        <w:t>At the end of paragraph 4.1(2)(b)</w:t>
      </w:r>
    </w:p>
    <w:p w:rsidR="00DB6238" w:rsidRPr="00B32A45" w:rsidRDefault="00DB6238" w:rsidP="00DB6238">
      <w:pPr>
        <w:ind w:left="425" w:firstLine="425"/>
        <w:rPr>
          <w:lang w:eastAsia="en-AU"/>
        </w:rPr>
      </w:pPr>
      <w:r>
        <w:rPr>
          <w:lang w:eastAsia="en-AU"/>
        </w:rPr>
        <w:t>Add:</w:t>
      </w:r>
    </w:p>
    <w:p w:rsidR="00DB6238" w:rsidRDefault="00DB6238" w:rsidP="00DB6238">
      <w:pPr>
        <w:pStyle w:val="tSubpara"/>
      </w:pPr>
      <w:r w:rsidRPr="00B32A45">
        <w:tab/>
        <w:t>(vii)</w:t>
      </w:r>
      <w:r w:rsidRPr="00B32A45">
        <w:tab/>
        <w:t>hydrogen production (see Division 4.3.7);</w:t>
      </w:r>
    </w:p>
    <w:p w:rsidR="00DB6238" w:rsidRPr="004E5BEF" w:rsidRDefault="00CE207D" w:rsidP="00DB6238">
      <w:pPr>
        <w:pStyle w:val="h5SchItem"/>
      </w:pPr>
      <w:r>
        <w:t>[20]</w:t>
      </w:r>
      <w:r w:rsidR="00DB6238" w:rsidRPr="00826C3E">
        <w:t xml:space="preserve"> </w:t>
      </w:r>
      <w:r w:rsidR="00DB6238" w:rsidRPr="00826C3E">
        <w:tab/>
      </w:r>
      <w:r w:rsidR="00DB6238">
        <w:t>At the end of Part 4.3</w:t>
      </w:r>
    </w:p>
    <w:p w:rsidR="00DB6238" w:rsidRPr="00B32A45" w:rsidRDefault="00DB6238" w:rsidP="00DB6238">
      <w:pPr>
        <w:ind w:left="425" w:firstLine="425"/>
        <w:rPr>
          <w:lang w:eastAsia="en-AU"/>
        </w:rPr>
      </w:pPr>
      <w:r>
        <w:rPr>
          <w:lang w:eastAsia="en-AU"/>
        </w:rPr>
        <w:t>Add:</w:t>
      </w:r>
    </w:p>
    <w:p w:rsidR="00DB6238" w:rsidRDefault="00DB6238" w:rsidP="00DB6238">
      <w:pPr>
        <w:pStyle w:val="tSubpara"/>
      </w:pPr>
    </w:p>
    <w:p w:rsidR="00DB6238" w:rsidRPr="00B32A45" w:rsidRDefault="00DB6238" w:rsidP="00DB6238">
      <w:pPr>
        <w:pStyle w:val="h3Div"/>
      </w:pPr>
      <w:bookmarkStart w:id="128" w:name="_Toc69480141"/>
      <w:r w:rsidRPr="00B32A45">
        <w:rPr>
          <w:rStyle w:val="CharDivNo"/>
        </w:rPr>
        <w:lastRenderedPageBreak/>
        <w:t>Division 4.3.7</w:t>
      </w:r>
      <w:r w:rsidRPr="00B32A45">
        <w:t>—</w:t>
      </w:r>
      <w:r w:rsidRPr="00B32A45">
        <w:rPr>
          <w:rStyle w:val="CharDivText"/>
        </w:rPr>
        <w:t>Hydrogen production</w:t>
      </w:r>
      <w:bookmarkEnd w:id="128"/>
    </w:p>
    <w:p w:rsidR="00DB6238" w:rsidRPr="00B32A45" w:rsidRDefault="00DB6238" w:rsidP="00DB6238">
      <w:pPr>
        <w:pStyle w:val="h5Section"/>
      </w:pPr>
      <w:bookmarkStart w:id="129" w:name="_Toc44579448"/>
      <w:r w:rsidRPr="00B32A45">
        <w:rPr>
          <w:rStyle w:val="CharSectno"/>
        </w:rPr>
        <w:t>4.60</w:t>
      </w:r>
      <w:r w:rsidRPr="00B32A45">
        <w:t xml:space="preserve">  Application</w:t>
      </w:r>
      <w:bookmarkEnd w:id="129"/>
    </w:p>
    <w:p w:rsidR="00DB6238" w:rsidRPr="00B32A45" w:rsidRDefault="00DB6238" w:rsidP="00DB6238">
      <w:pPr>
        <w:pStyle w:val="tMain"/>
      </w:pPr>
      <w:r w:rsidRPr="00B32A45">
        <w:tab/>
      </w:r>
      <w:r w:rsidRPr="00B32A45">
        <w:tab/>
        <w:t>This Division applies to chemical industry hydrogen production if:</w:t>
      </w:r>
    </w:p>
    <w:p w:rsidR="00DB6238" w:rsidRPr="00B32A45" w:rsidRDefault="00DB6238" w:rsidP="00DB6238">
      <w:pPr>
        <w:pStyle w:val="tPara"/>
      </w:pPr>
      <w:r w:rsidRPr="00B32A45">
        <w:tab/>
        <w:t>(a)</w:t>
      </w:r>
      <w:r w:rsidRPr="00B32A45">
        <w:tab/>
        <w:t>hydrogen is the main product at the facility; and</w:t>
      </w:r>
    </w:p>
    <w:p w:rsidR="00DB6238" w:rsidRPr="00B32A45" w:rsidRDefault="00DB6238" w:rsidP="00DB6238">
      <w:pPr>
        <w:pStyle w:val="tPara"/>
      </w:pPr>
      <w:r w:rsidRPr="00B32A45">
        <w:tab/>
        <w:t>(b)</w:t>
      </w:r>
      <w:r w:rsidRPr="00B32A45">
        <w:tab/>
        <w:t>the hydrogen is for use outside the facility; and</w:t>
      </w:r>
    </w:p>
    <w:p w:rsidR="00DB6238" w:rsidRPr="00B32A45" w:rsidRDefault="00DB6238" w:rsidP="00DB6238">
      <w:pPr>
        <w:pStyle w:val="tPara"/>
      </w:pPr>
      <w:r w:rsidRPr="00B32A45">
        <w:tab/>
        <w:t>(c)</w:t>
      </w:r>
      <w:r w:rsidRPr="00B32A45">
        <w:tab/>
        <w:t>the facility does not involve the production of ammonia with emissions reported under Division 4.3.1; and</w:t>
      </w:r>
    </w:p>
    <w:p w:rsidR="00DB6238" w:rsidRPr="00B32A45" w:rsidRDefault="00DB6238" w:rsidP="00DB6238">
      <w:pPr>
        <w:pStyle w:val="tPara"/>
      </w:pPr>
      <w:r w:rsidRPr="00B32A45">
        <w:tab/>
        <w:t>(d)</w:t>
      </w:r>
      <w:r w:rsidRPr="00B32A45">
        <w:tab/>
        <w:t>the emissions from hydrogen production are not included under another method in this Determination applicable to one or more primary products from the facility.</w:t>
      </w:r>
    </w:p>
    <w:p w:rsidR="00DB6238" w:rsidRPr="00B32A45" w:rsidRDefault="00DB6238" w:rsidP="00DB6238">
      <w:pPr>
        <w:pStyle w:val="h5Section"/>
      </w:pPr>
      <w:bookmarkStart w:id="130" w:name="_Toc44579449"/>
      <w:r w:rsidRPr="00B32A45">
        <w:rPr>
          <w:rStyle w:val="CharSectno"/>
        </w:rPr>
        <w:t>4.61</w:t>
      </w:r>
      <w:r w:rsidRPr="00B32A45">
        <w:t xml:space="preserve">  Available methods</w:t>
      </w:r>
      <w:bookmarkEnd w:id="130"/>
    </w:p>
    <w:p w:rsidR="00DB6238" w:rsidRPr="00B32A45" w:rsidRDefault="00DB6238" w:rsidP="00DB6238">
      <w:pPr>
        <w:pStyle w:val="tMain"/>
      </w:pPr>
      <w:r w:rsidRPr="00B32A45">
        <w:tab/>
      </w:r>
      <w:bookmarkStart w:id="131" w:name="_Toc44579450"/>
      <w:r w:rsidRPr="00B32A45">
        <w:t>(1)</w:t>
      </w:r>
      <w:r w:rsidRPr="00B32A45">
        <w:tab/>
        <w:t>Subject to section 1.18, one of the following methods must be used for estimating emissions released during a year from the operation of a facility that is constituted by the production of hydrogen:</w:t>
      </w:r>
    </w:p>
    <w:p w:rsidR="00DB6238" w:rsidRPr="00B32A45" w:rsidRDefault="00DB6238" w:rsidP="00DB6238">
      <w:pPr>
        <w:pStyle w:val="tPara"/>
      </w:pPr>
      <w:r w:rsidRPr="00B32A45">
        <w:tab/>
        <w:t>(a)</w:t>
      </w:r>
      <w:r w:rsidRPr="00B32A45">
        <w:tab/>
        <w:t>method 1 under section 4.62;</w:t>
      </w:r>
    </w:p>
    <w:p w:rsidR="00DB6238" w:rsidRPr="00B32A45" w:rsidRDefault="0056088F" w:rsidP="00DB6238">
      <w:pPr>
        <w:pStyle w:val="tPara"/>
      </w:pPr>
      <w:r>
        <w:tab/>
        <w:t>(b)</w:t>
      </w:r>
      <w:r>
        <w:tab/>
        <w:t>method 2 under section 4.62A</w:t>
      </w:r>
      <w:r w:rsidR="00DB6238" w:rsidRPr="00B32A45">
        <w:t>;</w:t>
      </w:r>
    </w:p>
    <w:p w:rsidR="00DB6238" w:rsidRPr="00B32A45" w:rsidRDefault="0056088F" w:rsidP="00DB6238">
      <w:pPr>
        <w:pStyle w:val="tPara"/>
      </w:pPr>
      <w:r>
        <w:tab/>
        <w:t>(c)</w:t>
      </w:r>
      <w:r>
        <w:tab/>
        <w:t>method 3 under section 4.62B</w:t>
      </w:r>
      <w:r w:rsidR="00DB6238" w:rsidRPr="00B32A45">
        <w:t>;</w:t>
      </w:r>
    </w:p>
    <w:p w:rsidR="00DB6238" w:rsidRPr="00B32A45" w:rsidRDefault="00DB6238" w:rsidP="00DB6238">
      <w:pPr>
        <w:pStyle w:val="tPara"/>
      </w:pPr>
      <w:r w:rsidRPr="00B32A45">
        <w:tab/>
        <w:t>(d)</w:t>
      </w:r>
      <w:r w:rsidRPr="00B32A45">
        <w:tab/>
        <w:t>method 4 under Part 1.3.</w:t>
      </w:r>
    </w:p>
    <w:p w:rsidR="00DB6238" w:rsidRPr="00B32A45" w:rsidRDefault="00DB6238" w:rsidP="00DB6238">
      <w:pPr>
        <w:pStyle w:val="tMain"/>
      </w:pPr>
      <w:r w:rsidRPr="00B32A45">
        <w:tab/>
        <w:t>(2)</w:t>
      </w:r>
      <w:r w:rsidRPr="00B32A45">
        <w:tab/>
        <w:t>However, for incidental emissions another method may be used that is consistent with the principles in section 1.13.</w:t>
      </w:r>
    </w:p>
    <w:p w:rsidR="00DB6238" w:rsidRPr="00B32A45" w:rsidRDefault="00DB6238" w:rsidP="00DB6238">
      <w:pPr>
        <w:pStyle w:val="tMain"/>
        <w:rPr>
          <w:rStyle w:val="CharSectno"/>
          <w:b/>
          <w:kern w:val="28"/>
          <w:sz w:val="24"/>
        </w:rPr>
      </w:pPr>
      <w:r w:rsidRPr="00B32A45">
        <w:rPr>
          <w:rStyle w:val="CharSectno"/>
          <w:b/>
          <w:kern w:val="28"/>
          <w:sz w:val="24"/>
        </w:rPr>
        <w:t>4.62  Method 1—hydrogen production</w:t>
      </w:r>
      <w:bookmarkEnd w:id="131"/>
    </w:p>
    <w:p w:rsidR="00DB6238" w:rsidRPr="00B32A45" w:rsidRDefault="00DB6238" w:rsidP="00DB6238">
      <w:pPr>
        <w:pStyle w:val="tMain"/>
      </w:pPr>
      <w:r w:rsidRPr="00B32A45">
        <w:tab/>
        <w:t>(1)</w:t>
      </w:r>
      <w:r w:rsidRPr="00B32A45">
        <w:tab/>
        <w:t>Method 1 is:</w:t>
      </w:r>
    </w:p>
    <w:p w:rsidR="00DB6238" w:rsidRPr="00B32A45" w:rsidRDefault="00DB6238" w:rsidP="00DB6238">
      <w:pPr>
        <w:pStyle w:val="tMain"/>
        <w:spacing w:before="120" w:after="120"/>
      </w:pPr>
      <w:r w:rsidRPr="00B32A45">
        <w:tab/>
      </w:r>
      <w:r w:rsidRPr="00B32A45">
        <w:tab/>
      </w:r>
      <w:r w:rsidRPr="00B32A45">
        <w:rPr>
          <w:noProof/>
        </w:rPr>
        <w:drawing>
          <wp:inline distT="0" distB="0" distL="0" distR="0" wp14:anchorId="2F77EBE6" wp14:editId="26A191FA">
            <wp:extent cx="1971675" cy="4095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409575"/>
                    </a:xfrm>
                    <a:prstGeom prst="rect">
                      <a:avLst/>
                    </a:prstGeom>
                    <a:noFill/>
                    <a:ln>
                      <a:noFill/>
                    </a:ln>
                  </pic:spPr>
                </pic:pic>
              </a:graphicData>
            </a:graphic>
          </wp:inline>
        </w:drawing>
      </w:r>
    </w:p>
    <w:p w:rsidR="00DB6238" w:rsidRPr="00B32A45" w:rsidRDefault="00DB6238" w:rsidP="00DB6238">
      <w:pPr>
        <w:pStyle w:val="subsection2"/>
      </w:pPr>
      <w:r w:rsidRPr="00B32A45">
        <w:t>where:</w:t>
      </w:r>
    </w:p>
    <w:p w:rsidR="00DB6238" w:rsidRPr="00B32A45" w:rsidRDefault="00DB6238" w:rsidP="00DB6238">
      <w:pPr>
        <w:pStyle w:val="tDefn"/>
      </w:pPr>
      <w:r w:rsidRPr="00B32A45">
        <w:rPr>
          <w:b/>
          <w:i/>
        </w:rPr>
        <w:t>E</w:t>
      </w:r>
      <w:r w:rsidRPr="00B32A45">
        <w:rPr>
          <w:rStyle w:val="charSubscript"/>
          <w:b/>
          <w:i/>
        </w:rPr>
        <w:t>ij</w:t>
      </w:r>
      <w:r w:rsidRPr="00B32A45">
        <w:rPr>
          <w:b/>
          <w:i/>
        </w:rPr>
        <w:t xml:space="preserve"> </w:t>
      </w:r>
      <w:r w:rsidRPr="00B32A45">
        <w:t>is the emissions of carbon dioxide</w:t>
      </w:r>
      <w:r w:rsidRPr="00B32A45">
        <w:rPr>
          <w:rStyle w:val="charSubscript"/>
        </w:rPr>
        <w:t xml:space="preserve"> </w:t>
      </w:r>
      <w:r w:rsidRPr="00B32A45">
        <w:t>released from the production of hydrogen during the year measured in CO</w:t>
      </w:r>
      <w:r w:rsidRPr="00B32A45">
        <w:rPr>
          <w:vertAlign w:val="subscript"/>
        </w:rPr>
        <w:t>2</w:t>
      </w:r>
      <w:r w:rsidRPr="00B32A45">
        <w:rPr>
          <w:vertAlign w:val="subscript"/>
        </w:rPr>
        <w:noBreakHyphen/>
      </w:r>
      <w:r w:rsidRPr="00B32A45">
        <w:t>e tonnes.</w:t>
      </w:r>
    </w:p>
    <w:p w:rsidR="00DB6238" w:rsidRPr="00B32A45" w:rsidRDefault="00DB6238" w:rsidP="00DB6238">
      <w:pPr>
        <w:pStyle w:val="tDefn"/>
      </w:pPr>
      <w:r w:rsidRPr="00B32A45">
        <w:rPr>
          <w:b/>
          <w:i/>
        </w:rPr>
        <w:t>Q</w:t>
      </w:r>
      <w:r w:rsidRPr="00B32A45">
        <w:rPr>
          <w:b/>
          <w:i/>
          <w:vertAlign w:val="subscript"/>
        </w:rPr>
        <w:t>i</w:t>
      </w:r>
      <w:r w:rsidRPr="00B32A45">
        <w:rPr>
          <w:b/>
          <w:i/>
        </w:rPr>
        <w:t xml:space="preserve"> </w:t>
      </w:r>
      <w:r w:rsidRPr="00B32A45">
        <w:t>is the quantity of each type of feedstock or type of fuel (</w:t>
      </w:r>
      <w:r w:rsidRPr="00B32A45">
        <w:rPr>
          <w:b/>
          <w:i/>
        </w:rPr>
        <w:t>i</w:t>
      </w:r>
      <w:r w:rsidRPr="00B32A45">
        <w:t>) consumed from the production of hydrogen during the year, measured in the appropriate unit and estimated using a criterion in Division 2.3.6 for gaseous fuels or Division 2.2.5 for solid fuels.</w:t>
      </w:r>
    </w:p>
    <w:p w:rsidR="00DB6238" w:rsidRPr="00B32A45" w:rsidRDefault="00DB6238" w:rsidP="00DB6238">
      <w:pPr>
        <w:pStyle w:val="nMain"/>
      </w:pPr>
      <w:r w:rsidRPr="00B32A45">
        <w:t>Note:</w:t>
      </w:r>
      <w:r w:rsidRPr="00B32A45">
        <w:tab/>
        <w:t>If more than one feedstock or type of fuel is used, the emissions of each feedstock or type of fuel are calculated and summed to determine the overall emissions.</w:t>
      </w:r>
      <w:r w:rsidRPr="00B32A45">
        <w:rPr>
          <w:b/>
          <w:i/>
        </w:rPr>
        <w:t xml:space="preserve"> </w:t>
      </w:r>
    </w:p>
    <w:p w:rsidR="00DB6238" w:rsidRPr="00B32A45" w:rsidRDefault="00DB6238" w:rsidP="00DB6238">
      <w:pPr>
        <w:pStyle w:val="tDefn"/>
      </w:pPr>
      <w:r w:rsidRPr="00B32A45">
        <w:rPr>
          <w:b/>
          <w:bCs/>
          <w:i/>
          <w:iCs/>
        </w:rPr>
        <w:t>EC</w:t>
      </w:r>
      <w:r w:rsidRPr="00B32A45">
        <w:rPr>
          <w:rStyle w:val="charsubscript0"/>
          <w:b/>
          <w:bCs/>
          <w:i/>
          <w:iCs/>
          <w:sz w:val="20"/>
        </w:rPr>
        <w:t xml:space="preserve">i </w:t>
      </w:r>
      <w:r w:rsidRPr="00B32A45">
        <w:t xml:space="preserve">is the energy content factor for fuel type </w:t>
      </w:r>
      <w:r w:rsidRPr="00B32A45">
        <w:rPr>
          <w:b/>
          <w:i/>
        </w:rPr>
        <w:t xml:space="preserve">(i) </w:t>
      </w:r>
      <w:r w:rsidRPr="00B32A45">
        <w:t xml:space="preserve">used as a feedstock in the production of hydrogen during the year, estimated under section 6.5. </w:t>
      </w:r>
    </w:p>
    <w:p w:rsidR="00DB6238" w:rsidRPr="00B32A45" w:rsidRDefault="00DB6238" w:rsidP="00DB6238">
      <w:pPr>
        <w:pStyle w:val="tDefn"/>
      </w:pPr>
      <w:r w:rsidRPr="00B32A45">
        <w:rPr>
          <w:b/>
          <w:i/>
        </w:rPr>
        <w:t>EF</w:t>
      </w:r>
      <w:r w:rsidRPr="00B32A45">
        <w:rPr>
          <w:b/>
          <w:i/>
          <w:vertAlign w:val="subscript"/>
        </w:rPr>
        <w:t>ij</w:t>
      </w:r>
      <w:r w:rsidRPr="00B32A45">
        <w:rPr>
          <w:b/>
          <w:i/>
        </w:rPr>
        <w:t xml:space="preserve"> </w:t>
      </w:r>
      <w:r w:rsidRPr="00B32A45">
        <w:t>is the carbon dioxide emission factor for each type of feedstock or type of fuel (</w:t>
      </w:r>
      <w:r w:rsidRPr="00B32A45">
        <w:rPr>
          <w:b/>
          <w:i/>
        </w:rPr>
        <w:t>i</w:t>
      </w:r>
      <w:r w:rsidRPr="00B32A45">
        <w:t>) used in the production of hydrogen during the year, including the effects of oxidation, measured in kilograms for each gigajoule according to source as mentioned in Part 1 or 2 of Schedule 1.</w:t>
      </w:r>
    </w:p>
    <w:p w:rsidR="00DB6238" w:rsidRPr="00B32A45" w:rsidRDefault="00DB6238" w:rsidP="00DB6238">
      <w:pPr>
        <w:pStyle w:val="tDefn"/>
      </w:pPr>
      <w:r w:rsidRPr="00B32A45">
        <w:rPr>
          <w:b/>
          <w:i/>
        </w:rPr>
        <w:t xml:space="preserve">R </w:t>
      </w:r>
      <w:r w:rsidRPr="00B32A45">
        <w:t>is the quantity of carbon dioxide measured in tonnes derived from the production of hydrogen during the year, captured and transferred for use in the operation of another facility, estimated using an applicable criterion in Division 2.3.6 for gaseous fuels or Division 2.2.5 for solid fuels and in accordance with any other requirements of those Divisions.</w:t>
      </w:r>
    </w:p>
    <w:p w:rsidR="00DB6238" w:rsidRPr="00B32A45" w:rsidRDefault="00DB6238" w:rsidP="00DB6238">
      <w:pPr>
        <w:pStyle w:val="tMain"/>
      </w:pPr>
      <w:r w:rsidRPr="00B32A45">
        <w:lastRenderedPageBreak/>
        <w:tab/>
        <w:t>(2)</w:t>
      </w:r>
      <w:r w:rsidRPr="00B32A45">
        <w:tab/>
        <w:t xml:space="preserve">For the purposes of calculating </w:t>
      </w:r>
      <w:r w:rsidRPr="00B32A45">
        <w:rPr>
          <w:b/>
          <w:i/>
        </w:rPr>
        <w:t xml:space="preserve">R </w:t>
      </w:r>
      <w:r w:rsidRPr="00B32A45">
        <w:t>in subsection (1), if:</w:t>
      </w:r>
    </w:p>
    <w:p w:rsidR="00DB6238" w:rsidRPr="00B32A45" w:rsidRDefault="00DB6238" w:rsidP="00DB6238">
      <w:pPr>
        <w:pStyle w:val="tPara"/>
      </w:pPr>
      <w:r w:rsidRPr="00B32A45">
        <w:tab/>
        <w:t>(a)</w:t>
      </w:r>
      <w:r w:rsidRPr="00B32A45">
        <w:tab/>
        <w:t>more than one fuel is consumed in the production of hydrogen; and</w:t>
      </w:r>
    </w:p>
    <w:p w:rsidR="00DB6238" w:rsidRPr="00B32A45" w:rsidRDefault="00DB6238" w:rsidP="00DB6238">
      <w:pPr>
        <w:pStyle w:val="tPara"/>
      </w:pPr>
      <w:r w:rsidRPr="00B32A45">
        <w:tab/>
        <w:t>(b)</w:t>
      </w:r>
      <w:r w:rsidRPr="00B32A45">
        <w:tab/>
        <w:t>the carbon dioxide generated from the production of hydrogen is captured and transferred for use in the operation of another facility or captured for permanent storage;</w:t>
      </w:r>
    </w:p>
    <w:p w:rsidR="00DB6238" w:rsidRPr="00B32A45" w:rsidRDefault="00DB6238" w:rsidP="00DB6238">
      <w:pPr>
        <w:pStyle w:val="subsection2"/>
      </w:pPr>
      <w:r w:rsidRPr="00B32A45">
        <w:t>the total amount of carbon dioxide that may be deducted in relation to the production of hydrogen is to be attributed to each fuel consumed in proportion to the carbon content of the fuel relative to the total carbon content of all fuel consumed in the production of hydrogen.</w:t>
      </w:r>
    </w:p>
    <w:p w:rsidR="00DB6238" w:rsidRPr="00B32A45" w:rsidRDefault="00DB6238" w:rsidP="00DB6238">
      <w:pPr>
        <w:pStyle w:val="tMain"/>
      </w:pPr>
      <w:r w:rsidRPr="00B32A45">
        <w:tab/>
        <w:t>(3)</w:t>
      </w:r>
      <w:r w:rsidRPr="00B32A45">
        <w:tab/>
        <w:t>However, if no fuel is used as a feedstock in the production of hydrogen the emissions of carbon dioxide</w:t>
      </w:r>
      <w:r w:rsidRPr="00B32A45">
        <w:rPr>
          <w:rStyle w:val="charSubscript"/>
        </w:rPr>
        <w:t xml:space="preserve"> </w:t>
      </w:r>
      <w:r w:rsidRPr="00B32A45">
        <w:t>released from the production of hydrogen during the year under this Division is taken to be zero.</w:t>
      </w:r>
    </w:p>
    <w:p w:rsidR="00DB6238" w:rsidRPr="00B32A45" w:rsidRDefault="00DB6238" w:rsidP="00DB6238">
      <w:pPr>
        <w:pStyle w:val="nMain"/>
      </w:pPr>
      <w:r w:rsidRPr="00B32A45">
        <w:t>Note:</w:t>
      </w:r>
      <w:r w:rsidRPr="00B32A45">
        <w:tab/>
        <w:t>Hydrogen can be produced by electrolysis without using fossil fuels as a feedstock. Other emissions from the combustion of fuels at the facility may need to be reported elsewhere under this Determination.</w:t>
      </w:r>
      <w:r w:rsidRPr="00B32A45">
        <w:rPr>
          <w:b/>
          <w:i/>
        </w:rPr>
        <w:t xml:space="preserve"> </w:t>
      </w:r>
    </w:p>
    <w:p w:rsidR="00DB6238" w:rsidRPr="00B32A45" w:rsidRDefault="00DB6238" w:rsidP="00DB6238">
      <w:pPr>
        <w:pStyle w:val="h5Section"/>
      </w:pPr>
      <w:r w:rsidRPr="00B32A45">
        <w:rPr>
          <w:rStyle w:val="CharSectno"/>
        </w:rPr>
        <w:t>4.62A</w:t>
      </w:r>
      <w:r w:rsidRPr="00B32A45">
        <w:t xml:space="preserve">  Method 2</w:t>
      </w:r>
      <w:r w:rsidRPr="00B32A45">
        <w:rPr>
          <w:rStyle w:val="CharSectno"/>
        </w:rPr>
        <w:t>—</w:t>
      </w:r>
      <w:r w:rsidRPr="00B32A45">
        <w:t xml:space="preserve">hydrogen production </w:t>
      </w:r>
    </w:p>
    <w:p w:rsidR="00DB6238" w:rsidRPr="00B32A45" w:rsidRDefault="00DB6238" w:rsidP="00DB6238">
      <w:pPr>
        <w:pStyle w:val="tMain"/>
      </w:pPr>
      <w:r w:rsidRPr="00B32A45">
        <w:tab/>
        <w:t>(1)</w:t>
      </w:r>
      <w:r w:rsidRPr="00B32A45">
        <w:tab/>
        <w:t>Method 2 is:</w:t>
      </w:r>
    </w:p>
    <w:p w:rsidR="00DB6238" w:rsidRPr="00B32A45" w:rsidRDefault="00DB6238" w:rsidP="00DB6238">
      <w:pPr>
        <w:pStyle w:val="tMain"/>
        <w:spacing w:before="120" w:after="120"/>
      </w:pPr>
      <w:r w:rsidRPr="00B32A45">
        <w:tab/>
      </w:r>
      <w:r w:rsidRPr="00B32A45">
        <w:tab/>
      </w:r>
      <w:r w:rsidRPr="00B32A45">
        <w:rPr>
          <w:noProof/>
        </w:rPr>
        <w:drawing>
          <wp:inline distT="0" distB="0" distL="0" distR="0" wp14:anchorId="1F69D8DF" wp14:editId="3AB1AD91">
            <wp:extent cx="2419350" cy="412750"/>
            <wp:effectExtent l="0" t="0" r="0" b="6350"/>
            <wp:docPr id="14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9350" cy="412750"/>
                    </a:xfrm>
                    <a:prstGeom prst="rect">
                      <a:avLst/>
                    </a:prstGeom>
                    <a:noFill/>
                    <a:ln>
                      <a:noFill/>
                    </a:ln>
                  </pic:spPr>
                </pic:pic>
              </a:graphicData>
            </a:graphic>
          </wp:inline>
        </w:drawing>
      </w:r>
    </w:p>
    <w:p w:rsidR="00DB6238" w:rsidRPr="00B32A45" w:rsidRDefault="00DB6238" w:rsidP="00DB6238">
      <w:pPr>
        <w:pStyle w:val="subsection2"/>
      </w:pPr>
      <w:r w:rsidRPr="00B32A45">
        <w:t>where:</w:t>
      </w:r>
    </w:p>
    <w:p w:rsidR="00DB6238" w:rsidRPr="00B32A45" w:rsidRDefault="00DB6238" w:rsidP="00DB6238">
      <w:pPr>
        <w:pStyle w:val="tDefn"/>
      </w:pPr>
      <w:r w:rsidRPr="00B32A45">
        <w:rPr>
          <w:b/>
          <w:i/>
        </w:rPr>
        <w:t>E</w:t>
      </w:r>
      <w:r w:rsidRPr="00B32A45">
        <w:rPr>
          <w:rStyle w:val="charSubscript"/>
          <w:b/>
          <w:i/>
        </w:rPr>
        <w:t>ij</w:t>
      </w:r>
      <w:r w:rsidRPr="00B32A45">
        <w:rPr>
          <w:b/>
          <w:i/>
        </w:rPr>
        <w:t xml:space="preserve"> </w:t>
      </w:r>
      <w:r w:rsidRPr="00B32A45">
        <w:t>is the emissions of carbon dioxide</w:t>
      </w:r>
      <w:r w:rsidRPr="00B32A45">
        <w:rPr>
          <w:rStyle w:val="charSubscript"/>
        </w:rPr>
        <w:t xml:space="preserve"> </w:t>
      </w:r>
      <w:r w:rsidRPr="00B32A45">
        <w:t>released from the production of hydrogen during the year measured in CO</w:t>
      </w:r>
      <w:r w:rsidRPr="00B32A45">
        <w:rPr>
          <w:vertAlign w:val="subscript"/>
        </w:rPr>
        <w:t>2</w:t>
      </w:r>
      <w:r w:rsidRPr="00B32A45">
        <w:rPr>
          <w:vertAlign w:val="subscript"/>
        </w:rPr>
        <w:noBreakHyphen/>
      </w:r>
      <w:r w:rsidRPr="00B32A45">
        <w:t>e tonnes.</w:t>
      </w:r>
    </w:p>
    <w:p w:rsidR="00DB6238" w:rsidRPr="00B32A45" w:rsidRDefault="00DB6238" w:rsidP="00DB6238">
      <w:pPr>
        <w:pStyle w:val="tDefn"/>
      </w:pPr>
      <w:r w:rsidRPr="00B32A45">
        <w:rPr>
          <w:b/>
          <w:i/>
        </w:rPr>
        <w:t>Q</w:t>
      </w:r>
      <w:r w:rsidRPr="00B32A45">
        <w:rPr>
          <w:b/>
          <w:i/>
          <w:vertAlign w:val="subscript"/>
        </w:rPr>
        <w:t>i</w:t>
      </w:r>
      <w:r w:rsidRPr="00B32A45">
        <w:rPr>
          <w:b/>
          <w:i/>
        </w:rPr>
        <w:t xml:space="preserve"> </w:t>
      </w:r>
      <w:r w:rsidRPr="00B32A45">
        <w:t>is the quantity of each type of feedstock or type of fuel (</w:t>
      </w:r>
      <w:r w:rsidRPr="00B32A45">
        <w:rPr>
          <w:b/>
          <w:i/>
        </w:rPr>
        <w:t>i</w:t>
      </w:r>
      <w:r w:rsidRPr="00B32A45">
        <w:t>) consumed from the production of hydrogen during the year, measured in the appropriate unit and estimated using an applicable criterion in Division 2.3.6 for gaseous fuels or Division 2.2.5 for solid fuels.</w:t>
      </w:r>
    </w:p>
    <w:p w:rsidR="00DB6238" w:rsidRPr="00B32A45" w:rsidRDefault="00DB6238" w:rsidP="00DB6238">
      <w:pPr>
        <w:pStyle w:val="nMain"/>
      </w:pPr>
      <w:r w:rsidRPr="00B32A45">
        <w:t>Note:</w:t>
      </w:r>
      <w:r w:rsidRPr="00B32A45">
        <w:tab/>
        <w:t>If more than one feedstock or type of fuel is used, the emissions of each feedstock or type of fuel are calculated and summed to determine the overall emissions.</w:t>
      </w:r>
      <w:r w:rsidRPr="00B32A45">
        <w:rPr>
          <w:b/>
          <w:i/>
        </w:rPr>
        <w:t xml:space="preserve"> </w:t>
      </w:r>
    </w:p>
    <w:p w:rsidR="00DB6238" w:rsidRPr="00B32A45" w:rsidRDefault="00DB6238" w:rsidP="00DB6238">
      <w:pPr>
        <w:pStyle w:val="tDefn"/>
      </w:pPr>
      <w:r w:rsidRPr="00B32A45">
        <w:rPr>
          <w:b/>
          <w:bCs/>
          <w:i/>
          <w:iCs/>
        </w:rPr>
        <w:t>EC</w:t>
      </w:r>
      <w:r w:rsidRPr="00B32A45">
        <w:rPr>
          <w:rStyle w:val="charsubscript0"/>
          <w:b/>
          <w:bCs/>
          <w:i/>
          <w:iCs/>
          <w:sz w:val="20"/>
        </w:rPr>
        <w:t xml:space="preserve">i </w:t>
      </w:r>
      <w:r w:rsidRPr="00B32A45">
        <w:t xml:space="preserve">is the energy content factor for fuel type </w:t>
      </w:r>
      <w:r w:rsidRPr="00B32A45">
        <w:rPr>
          <w:b/>
          <w:i/>
        </w:rPr>
        <w:t xml:space="preserve">(i) </w:t>
      </w:r>
      <w:r w:rsidRPr="00B32A45">
        <w:t>used as a feedstock in the production of hydrogen during the year, estimated under section 6.5.</w:t>
      </w:r>
    </w:p>
    <w:p w:rsidR="00DB6238" w:rsidRPr="00B32A45" w:rsidRDefault="00DB6238" w:rsidP="00DB6238">
      <w:pPr>
        <w:pStyle w:val="tDefn"/>
      </w:pPr>
      <w:r w:rsidRPr="00B32A45">
        <w:rPr>
          <w:b/>
          <w:i/>
        </w:rPr>
        <w:t>EF</w:t>
      </w:r>
      <w:r w:rsidRPr="00B32A45">
        <w:rPr>
          <w:b/>
          <w:i/>
          <w:vertAlign w:val="subscript"/>
        </w:rPr>
        <w:t>ij</w:t>
      </w:r>
      <w:r w:rsidRPr="00B32A45">
        <w:rPr>
          <w:b/>
          <w:i/>
        </w:rPr>
        <w:t xml:space="preserve"> </w:t>
      </w:r>
      <w:r w:rsidRPr="00B32A45">
        <w:t>is the carbon dioxide emission factor for each type of feedstock or type of fuel (</w:t>
      </w:r>
      <w:r w:rsidRPr="00B32A45">
        <w:rPr>
          <w:b/>
          <w:i/>
        </w:rPr>
        <w:t>i</w:t>
      </w:r>
      <w:r w:rsidRPr="00B32A45">
        <w:t>) used in the production of hydrogen during the year, including the effects of oxidation, measured in kilograms for each gigajoule according to source in accordance with subsection (2).</w:t>
      </w:r>
    </w:p>
    <w:p w:rsidR="00DB6238" w:rsidRPr="00B32A45" w:rsidRDefault="00DB6238" w:rsidP="00DB6238">
      <w:pPr>
        <w:pStyle w:val="tDefn"/>
      </w:pPr>
      <w:r w:rsidRPr="00B32A45">
        <w:rPr>
          <w:b/>
          <w:i/>
        </w:rPr>
        <w:t xml:space="preserve">R </w:t>
      </w:r>
      <w:r w:rsidRPr="00B32A45">
        <w:t>is the quantity of carbon dioxide measured in tonnes derived from the production of hydrogen during the year, captured and transferred for use in the operation of another facility, estimated using an applicable criterion in Division 2.3.6 for gaseous fuels or Division 2.2.5 for solid fuels and in accordance with any other requirements of those Divisions.</w:t>
      </w:r>
    </w:p>
    <w:p w:rsidR="00DB6238" w:rsidRPr="00B32A45" w:rsidRDefault="00DB6238" w:rsidP="00DB6238">
      <w:pPr>
        <w:pStyle w:val="tDefn"/>
      </w:pPr>
      <w:r w:rsidRPr="00B32A45">
        <w:rPr>
          <w:b/>
          <w:i/>
        </w:rPr>
        <w:t xml:space="preserve">γ </w:t>
      </w:r>
      <w:r w:rsidRPr="00B32A45">
        <w:t>is the factor 1.861 × 10</w:t>
      </w:r>
      <w:r w:rsidRPr="00B32A45">
        <w:rPr>
          <w:vertAlign w:val="superscript"/>
        </w:rPr>
        <w:noBreakHyphen/>
        <w:t xml:space="preserve">3 </w:t>
      </w:r>
      <w:r w:rsidRPr="00B32A45">
        <w:t>for converting a quantity of carbon dioxide from cubic metres at standard conditions of pressure and temperature to CO</w:t>
      </w:r>
      <w:r w:rsidRPr="00B32A45">
        <w:rPr>
          <w:vertAlign w:val="subscript"/>
        </w:rPr>
        <w:t>2</w:t>
      </w:r>
      <w:r w:rsidRPr="00B32A45">
        <w:noBreakHyphen/>
        <w:t>e tonnes.</w:t>
      </w:r>
    </w:p>
    <w:p w:rsidR="00DB6238" w:rsidRPr="00B32A45" w:rsidRDefault="00DB6238" w:rsidP="00DB6238">
      <w:pPr>
        <w:pStyle w:val="tDefn"/>
      </w:pPr>
      <w:r w:rsidRPr="00B32A45">
        <w:rPr>
          <w:b/>
          <w:i/>
        </w:rPr>
        <w:t>RCCS</w:t>
      </w:r>
      <w:r w:rsidRPr="00B32A45">
        <w:rPr>
          <w:b/>
          <w:i/>
          <w:vertAlign w:val="subscript"/>
        </w:rPr>
        <w:t>CO</w:t>
      </w:r>
      <w:r w:rsidRPr="00B32A45">
        <w:rPr>
          <w:b/>
          <w:i/>
          <w:position w:val="-4"/>
          <w:vertAlign w:val="subscript"/>
        </w:rPr>
        <w:t>2</w:t>
      </w:r>
      <w:r w:rsidRPr="00B32A45">
        <w:rPr>
          <w:b/>
          <w:i/>
          <w:vertAlign w:val="subscript"/>
        </w:rPr>
        <w:t xml:space="preserve"> </w:t>
      </w:r>
      <w:r w:rsidRPr="00B32A45">
        <w:t>is carbon dioxide captured for permanent storage measured in cubic metres in accordance with Division 1.2.3.</w:t>
      </w:r>
    </w:p>
    <w:p w:rsidR="00DB6238" w:rsidRPr="00B32A45" w:rsidRDefault="00DB6238" w:rsidP="00DB6238">
      <w:pPr>
        <w:pStyle w:val="tMain"/>
      </w:pPr>
      <w:r w:rsidRPr="00B32A45">
        <w:lastRenderedPageBreak/>
        <w:tab/>
        <w:t>(2)</w:t>
      </w:r>
      <w:r w:rsidRPr="00B32A45">
        <w:tab/>
        <w:t xml:space="preserve">The method for estimating emission factors for gaseous fuels in Division 2.3.3, or for solid fuels in Division 2.2.3, apply for working out the factor </w:t>
      </w:r>
      <w:r w:rsidRPr="00B32A45">
        <w:rPr>
          <w:b/>
          <w:i/>
        </w:rPr>
        <w:t>EF</w:t>
      </w:r>
      <w:r w:rsidRPr="00B32A45">
        <w:rPr>
          <w:rStyle w:val="charSubscript"/>
          <w:b/>
          <w:i/>
        </w:rPr>
        <w:t>ij</w:t>
      </w:r>
      <w:r w:rsidRPr="00B32A45">
        <w:t>.</w:t>
      </w:r>
    </w:p>
    <w:p w:rsidR="00DB6238" w:rsidRPr="00B32A45" w:rsidRDefault="00DB6238" w:rsidP="00DB6238">
      <w:pPr>
        <w:pStyle w:val="tMain"/>
      </w:pPr>
      <w:r w:rsidRPr="00B32A45">
        <w:tab/>
        <w:t>(3)</w:t>
      </w:r>
      <w:r w:rsidRPr="00B32A45">
        <w:tab/>
        <w:t xml:space="preserve">For the purposes of calculating </w:t>
      </w:r>
      <w:r w:rsidRPr="00B32A45">
        <w:rPr>
          <w:b/>
          <w:i/>
        </w:rPr>
        <w:t xml:space="preserve">R </w:t>
      </w:r>
      <w:r w:rsidRPr="00B32A45">
        <w:t>in subsection (1), if:</w:t>
      </w:r>
    </w:p>
    <w:p w:rsidR="00DB6238" w:rsidRPr="00B32A45" w:rsidRDefault="00DB6238" w:rsidP="00DB6238">
      <w:pPr>
        <w:pStyle w:val="tPara"/>
      </w:pPr>
      <w:r w:rsidRPr="00B32A45">
        <w:tab/>
        <w:t>(a)</w:t>
      </w:r>
      <w:r w:rsidRPr="00B32A45">
        <w:tab/>
        <w:t>more than one fuel is consumed in the production of hydrogen; and</w:t>
      </w:r>
    </w:p>
    <w:p w:rsidR="00DB6238" w:rsidRPr="00B32A45" w:rsidRDefault="00DB6238" w:rsidP="00DB6238">
      <w:pPr>
        <w:pStyle w:val="tPara"/>
      </w:pPr>
      <w:r w:rsidRPr="00B32A45">
        <w:tab/>
        <w:t>(b)</w:t>
      </w:r>
      <w:r w:rsidRPr="00B32A45">
        <w:tab/>
        <w:t>the carbon dioxide generated from the production of hydrogen is captured and transferred for use in the operation of another facility or captured for permanent storage;</w:t>
      </w:r>
    </w:p>
    <w:p w:rsidR="00DB6238" w:rsidRPr="00B32A45" w:rsidRDefault="00DB6238" w:rsidP="00DB6238">
      <w:pPr>
        <w:pStyle w:val="subsection2"/>
      </w:pPr>
      <w:r w:rsidRPr="00B32A45">
        <w:t>the total amount of carbon dioxide that may be deducted in relation to the production of hydrogen is to be attributed to each fuel consumed in proportion to the carbon content of the fuel relative to the total carbon content of all fuel consumed in the production of hydrogen.</w:t>
      </w:r>
    </w:p>
    <w:p w:rsidR="00DB6238" w:rsidRPr="00B32A45" w:rsidRDefault="00DB6238" w:rsidP="00DB6238">
      <w:pPr>
        <w:pStyle w:val="h5Section"/>
      </w:pPr>
      <w:bookmarkStart w:id="132" w:name="_Toc44579452"/>
      <w:r w:rsidRPr="00B32A45">
        <w:rPr>
          <w:rStyle w:val="CharSectno"/>
        </w:rPr>
        <w:t>4.62B</w:t>
      </w:r>
      <w:r w:rsidRPr="00B32A45">
        <w:t xml:space="preserve">  Method 3—hydrogen production</w:t>
      </w:r>
      <w:bookmarkEnd w:id="132"/>
    </w:p>
    <w:p w:rsidR="00DB6238" w:rsidRPr="00B32A45" w:rsidRDefault="00DB6238" w:rsidP="00DB6238">
      <w:pPr>
        <w:pStyle w:val="tMain"/>
      </w:pPr>
      <w:r w:rsidRPr="00B32A45">
        <w:tab/>
        <w:t>(1)</w:t>
      </w:r>
      <w:r w:rsidRPr="00B32A45">
        <w:tab/>
        <w:t>Method 3 is the same as method 2 under section 4.62.</w:t>
      </w:r>
    </w:p>
    <w:p w:rsidR="00DB6238" w:rsidRDefault="00DB6238" w:rsidP="00CA5526">
      <w:pPr>
        <w:pStyle w:val="tMain"/>
      </w:pPr>
      <w:r w:rsidRPr="00B32A45">
        <w:tab/>
        <w:t>(2)</w:t>
      </w:r>
      <w:r w:rsidRPr="00B32A45">
        <w:tab/>
        <w:t xml:space="preserve">In applying method 2 as method 3, the method for estimating emission factors for gaseous fuels in Division 2.3.4, or for solid fuels in Division 2.2.4, apply for working out the factor </w:t>
      </w:r>
      <w:r w:rsidRPr="00B32A45">
        <w:rPr>
          <w:b/>
          <w:i/>
        </w:rPr>
        <w:t>EF</w:t>
      </w:r>
      <w:r w:rsidRPr="00B32A45">
        <w:rPr>
          <w:rStyle w:val="charSubscript"/>
          <w:b/>
          <w:i/>
        </w:rPr>
        <w:t>ij</w:t>
      </w:r>
      <w:r w:rsidR="00CA5526">
        <w:t>.</w:t>
      </w:r>
    </w:p>
    <w:p w:rsidR="005138FE" w:rsidRPr="004E5BEF" w:rsidRDefault="00CE207D" w:rsidP="005138FE">
      <w:pPr>
        <w:pStyle w:val="h5SchItem"/>
      </w:pPr>
      <w:r>
        <w:t>[21]</w:t>
      </w:r>
      <w:r w:rsidR="005138FE" w:rsidRPr="00826C3E">
        <w:t xml:space="preserve"> </w:t>
      </w:r>
      <w:r w:rsidR="005138FE" w:rsidRPr="00826C3E">
        <w:tab/>
      </w:r>
      <w:r w:rsidR="005138FE">
        <w:t>Subsection 5.17(2)</w:t>
      </w:r>
    </w:p>
    <w:p w:rsidR="005138FE" w:rsidRPr="005138FE" w:rsidRDefault="005138FE" w:rsidP="005138FE">
      <w:pPr>
        <w:ind w:left="425" w:firstLine="425"/>
        <w:rPr>
          <w:color w:val="000000" w:themeColor="text1"/>
        </w:rPr>
      </w:pPr>
      <w:r>
        <w:rPr>
          <w:lang w:eastAsia="en-AU"/>
        </w:rPr>
        <w:t>Repeal the subsection, substitute</w:t>
      </w:r>
      <w:r>
        <w:rPr>
          <w:color w:val="000000" w:themeColor="text1"/>
        </w:rPr>
        <w:t>:</w:t>
      </w:r>
    </w:p>
    <w:p w:rsidR="005138FE" w:rsidRDefault="005138FE" w:rsidP="005138FE">
      <w:pPr>
        <w:pStyle w:val="tMain"/>
        <w:rPr>
          <w:rFonts w:eastAsiaTheme="minorHAnsi"/>
          <w:szCs w:val="22"/>
        </w:rPr>
      </w:pPr>
      <w:r>
        <w:rPr>
          <w:rFonts w:eastAsiaTheme="minorHAnsi"/>
          <w:szCs w:val="22"/>
        </w:rPr>
        <w:tab/>
        <w:t>(2)</w:t>
      </w:r>
      <w:r>
        <w:rPr>
          <w:rFonts w:eastAsiaTheme="minorHAnsi"/>
          <w:szCs w:val="22"/>
        </w:rPr>
        <w:tab/>
        <w:t>The site plan must:</w:t>
      </w:r>
    </w:p>
    <w:p w:rsidR="005138FE" w:rsidRDefault="005138FE" w:rsidP="005138FE">
      <w:pPr>
        <w:pStyle w:val="tPara"/>
      </w:pPr>
      <w:r>
        <w:tab/>
        <w:t>(a)</w:t>
      </w:r>
      <w:r>
        <w:tab/>
      </w:r>
      <w:r w:rsidRPr="005138FE">
        <w:t xml:space="preserve">be consistent with the provisions relating to landfill site plans included in the document entitled </w:t>
      </w:r>
      <w:r w:rsidRPr="005138FE">
        <w:rPr>
          <w:i/>
        </w:rPr>
        <w:t>Landfill site plan and verification requirements (methods 2 and 3)</w:t>
      </w:r>
      <w:r w:rsidRPr="005138FE">
        <w:t>, published by the Clean Energy Regulator</w:t>
      </w:r>
      <w:r>
        <w:t xml:space="preserve"> in June 2021</w:t>
      </w:r>
      <w:r w:rsidRPr="005138FE">
        <w:t>; and</w:t>
      </w:r>
    </w:p>
    <w:p w:rsidR="005138FE" w:rsidRPr="005138FE" w:rsidRDefault="005138FE" w:rsidP="005138FE">
      <w:pPr>
        <w:pStyle w:val="tPara"/>
      </w:pPr>
      <w:r>
        <w:tab/>
        <w:t>(b)</w:t>
      </w:r>
      <w:r>
        <w:tab/>
      </w:r>
      <w:r w:rsidRPr="005138FE">
        <w:t>if the landfill has more than one sub</w:t>
      </w:r>
      <w:r w:rsidRPr="005138FE">
        <w:noBreakHyphen/>
        <w:t>facility zone—show the boundaries of each sub</w:t>
      </w:r>
      <w:r w:rsidRPr="005138FE">
        <w:noBreakHyphen/>
        <w:t>facility zone.</w:t>
      </w:r>
    </w:p>
    <w:p w:rsidR="005138FE" w:rsidRDefault="005138FE" w:rsidP="005138FE">
      <w:pPr>
        <w:pStyle w:val="nMain"/>
        <w:rPr>
          <w:rFonts w:eastAsiaTheme="minorHAnsi"/>
        </w:rPr>
      </w:pPr>
      <w:r>
        <w:rPr>
          <w:rFonts w:eastAsiaTheme="minorHAnsi"/>
        </w:rPr>
        <w:t xml:space="preserve">Note:         In 2021, the </w:t>
      </w:r>
      <w:r>
        <w:rPr>
          <w:rFonts w:eastAsiaTheme="minorHAnsi"/>
          <w:i/>
          <w:iCs/>
        </w:rPr>
        <w:t>Landfill site plan and verification requirements (methods 2 and 3)</w:t>
      </w:r>
      <w:r>
        <w:rPr>
          <w:rFonts w:eastAsiaTheme="minorHAnsi"/>
        </w:rPr>
        <w:t xml:space="preserve"> were available at </w:t>
      </w:r>
      <w:r w:rsidRPr="00CE207D">
        <w:rPr>
          <w:rStyle w:val="Hyperlink"/>
          <w:rFonts w:eastAsiaTheme="minorHAnsi"/>
          <w:color w:val="auto"/>
          <w:u w:val="none"/>
        </w:rPr>
        <w:t>www.cleanenergy</w:t>
      </w:r>
      <w:r w:rsidRPr="005138FE">
        <w:rPr>
          <w:rFonts w:eastAsiaTheme="minorHAnsi"/>
        </w:rPr>
        <w:t>regulator.gov.au.</w:t>
      </w:r>
    </w:p>
    <w:p w:rsidR="005138FE" w:rsidRPr="004E5BEF" w:rsidRDefault="00CE207D" w:rsidP="005138FE">
      <w:pPr>
        <w:pStyle w:val="h5SchItem"/>
      </w:pPr>
      <w:r>
        <w:t>[22]</w:t>
      </w:r>
      <w:r w:rsidR="005138FE" w:rsidRPr="00826C3E">
        <w:t xml:space="preserve"> </w:t>
      </w:r>
      <w:r w:rsidR="005138FE" w:rsidRPr="00826C3E">
        <w:tab/>
      </w:r>
      <w:r w:rsidR="005138FE">
        <w:t>Subsection 5.17B(3)</w:t>
      </w:r>
    </w:p>
    <w:p w:rsidR="005138FE" w:rsidRPr="005138FE" w:rsidRDefault="005138FE" w:rsidP="005138FE">
      <w:pPr>
        <w:ind w:left="425" w:firstLine="425"/>
        <w:rPr>
          <w:color w:val="000000" w:themeColor="text1"/>
        </w:rPr>
      </w:pPr>
      <w:r>
        <w:rPr>
          <w:lang w:eastAsia="en-AU"/>
        </w:rPr>
        <w:t>Repeal the subsection, substitute</w:t>
      </w:r>
      <w:r>
        <w:rPr>
          <w:color w:val="000000" w:themeColor="text1"/>
        </w:rPr>
        <w:t>:</w:t>
      </w:r>
    </w:p>
    <w:p w:rsidR="005138FE" w:rsidRDefault="005138FE" w:rsidP="005138FE">
      <w:pPr>
        <w:pStyle w:val="tMain"/>
        <w:rPr>
          <w:rFonts w:eastAsiaTheme="minorHAnsi"/>
          <w:szCs w:val="22"/>
        </w:rPr>
      </w:pPr>
      <w:r>
        <w:rPr>
          <w:rFonts w:eastAsiaTheme="minorHAnsi"/>
          <w:szCs w:val="22"/>
        </w:rPr>
        <w:tab/>
        <w:t>(3)</w:t>
      </w:r>
      <w:r>
        <w:rPr>
          <w:rFonts w:eastAsiaTheme="minorHAnsi"/>
          <w:szCs w:val="22"/>
        </w:rPr>
        <w:tab/>
        <w:t xml:space="preserve">The report must include the details specified in the </w:t>
      </w:r>
      <w:r>
        <w:rPr>
          <w:rFonts w:eastAsiaTheme="minorHAnsi"/>
          <w:i/>
          <w:iCs/>
          <w:szCs w:val="22"/>
        </w:rPr>
        <w:t>Landfill site plan and verification requirements (methods 2 and 3)</w:t>
      </w:r>
      <w:r>
        <w:rPr>
          <w:rFonts w:eastAsiaTheme="minorHAnsi"/>
          <w:szCs w:val="22"/>
        </w:rPr>
        <w:t>, published by the Clean Energy Regulator in June 2021</w:t>
      </w:r>
      <w:r w:rsidR="001F4DE7">
        <w:rPr>
          <w:rFonts w:eastAsiaTheme="minorHAnsi"/>
          <w:szCs w:val="22"/>
        </w:rPr>
        <w:t>,</w:t>
      </w:r>
      <w:r>
        <w:rPr>
          <w:rFonts w:eastAsiaTheme="minorHAnsi"/>
          <w:szCs w:val="22"/>
        </w:rPr>
        <w:t xml:space="preserve"> in relation to expert reports.</w:t>
      </w:r>
    </w:p>
    <w:p w:rsidR="00407135" w:rsidRPr="005138FE" w:rsidRDefault="005138FE" w:rsidP="00407135">
      <w:pPr>
        <w:pStyle w:val="nMain"/>
        <w:rPr>
          <w:rFonts w:eastAsiaTheme="minorHAnsi"/>
          <w:szCs w:val="18"/>
        </w:rPr>
      </w:pPr>
      <w:r>
        <w:rPr>
          <w:rFonts w:eastAsiaTheme="minorHAnsi"/>
        </w:rPr>
        <w:t xml:space="preserve">Note:         In 2021, the </w:t>
      </w:r>
      <w:r>
        <w:rPr>
          <w:rFonts w:eastAsiaTheme="minorHAnsi"/>
          <w:i/>
          <w:iCs/>
        </w:rPr>
        <w:t>Landfill site plan and verification requirements (methods 2 and 3)</w:t>
      </w:r>
      <w:r>
        <w:rPr>
          <w:rFonts w:eastAsiaTheme="minorHAnsi"/>
        </w:rPr>
        <w:t xml:space="preserve"> were available at </w:t>
      </w:r>
      <w:r w:rsidRPr="00CE207D">
        <w:rPr>
          <w:rStyle w:val="Hyperlink"/>
          <w:rFonts w:eastAsiaTheme="minorHAnsi"/>
          <w:color w:val="auto"/>
          <w:u w:val="none"/>
        </w:rPr>
        <w:t>www.cleanenergy</w:t>
      </w:r>
      <w:r w:rsidRPr="005138FE">
        <w:rPr>
          <w:rFonts w:eastAsiaTheme="minorHAnsi"/>
        </w:rPr>
        <w:t>regulator.gov.au.</w:t>
      </w:r>
    </w:p>
    <w:p w:rsidR="00CA5526" w:rsidRPr="004E5BEF" w:rsidRDefault="00CE207D" w:rsidP="00CA5526">
      <w:pPr>
        <w:pStyle w:val="h5SchItem"/>
      </w:pPr>
      <w:r>
        <w:t>[23]</w:t>
      </w:r>
      <w:r w:rsidR="00CA5526" w:rsidRPr="00826C3E">
        <w:t xml:space="preserve"> </w:t>
      </w:r>
      <w:r w:rsidR="00CA5526" w:rsidRPr="00826C3E">
        <w:tab/>
      </w:r>
      <w:r w:rsidR="00CA5526">
        <w:t>Subsection 8.6(1) (table items 33 and 34)</w:t>
      </w:r>
    </w:p>
    <w:p w:rsidR="00CA5526" w:rsidRPr="006D571F" w:rsidRDefault="00CA5526" w:rsidP="00CA5526">
      <w:pPr>
        <w:ind w:left="425" w:firstLine="425"/>
        <w:rPr>
          <w:color w:val="000000" w:themeColor="text1"/>
        </w:rPr>
      </w:pPr>
      <w:r>
        <w:rPr>
          <w:lang w:eastAsia="en-AU"/>
        </w:rPr>
        <w:t>Repeal the items, substitute</w:t>
      </w:r>
      <w:r w:rsidRPr="006D571F">
        <w:rPr>
          <w:color w:val="000000" w:themeColor="text1"/>
        </w:rPr>
        <w:t>:</w:t>
      </w:r>
    </w:p>
    <w:p w:rsidR="00DB6238" w:rsidRPr="006D571F" w:rsidRDefault="00DB6238" w:rsidP="00DB6238">
      <w:pPr>
        <w:ind w:left="425" w:firstLine="425"/>
        <w:rPr>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886"/>
        <w:gridCol w:w="5508"/>
        <w:gridCol w:w="1321"/>
        <w:gridCol w:w="1311"/>
      </w:tblGrid>
      <w:tr w:rsidR="00CA5526" w:rsidRPr="00B32A45" w:rsidTr="000913EA">
        <w:tc>
          <w:tcPr>
            <w:tcW w:w="491"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33</w:t>
            </w:r>
          </w:p>
        </w:tc>
        <w:tc>
          <w:tcPr>
            <w:tcW w:w="3051"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Crude oil</w:t>
            </w:r>
          </w:p>
        </w:tc>
        <w:tc>
          <w:tcPr>
            <w:tcW w:w="732"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6</w:t>
            </w:r>
          </w:p>
        </w:tc>
        <w:tc>
          <w:tcPr>
            <w:tcW w:w="726"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3</w:t>
            </w:r>
          </w:p>
        </w:tc>
      </w:tr>
      <w:tr w:rsidR="00CA5526" w:rsidRPr="00B32A45" w:rsidTr="000913EA">
        <w:tc>
          <w:tcPr>
            <w:tcW w:w="491"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34</w:t>
            </w:r>
          </w:p>
        </w:tc>
        <w:tc>
          <w:tcPr>
            <w:tcW w:w="3051"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Plant condensate and other natural gas liquids not covered by another item in this table</w:t>
            </w:r>
          </w:p>
        </w:tc>
        <w:tc>
          <w:tcPr>
            <w:tcW w:w="732"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7</w:t>
            </w:r>
          </w:p>
        </w:tc>
        <w:tc>
          <w:tcPr>
            <w:tcW w:w="726"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9</w:t>
            </w:r>
          </w:p>
        </w:tc>
      </w:tr>
    </w:tbl>
    <w:p w:rsidR="00950D9E" w:rsidRDefault="00950D9E" w:rsidP="00950D9E">
      <w:pPr>
        <w:rPr>
          <w:lang w:eastAsia="en-AU"/>
        </w:rPr>
      </w:pPr>
    </w:p>
    <w:p w:rsidR="00252853" w:rsidRPr="004E5BEF" w:rsidRDefault="00CE207D" w:rsidP="00252853">
      <w:pPr>
        <w:pStyle w:val="h5SchItem"/>
      </w:pPr>
      <w:r>
        <w:lastRenderedPageBreak/>
        <w:t>[24]</w:t>
      </w:r>
      <w:r w:rsidR="00252853" w:rsidRPr="00826C3E">
        <w:t xml:space="preserve"> </w:t>
      </w:r>
      <w:r w:rsidR="00252853" w:rsidRPr="00826C3E">
        <w:tab/>
      </w:r>
      <w:r w:rsidR="00283594">
        <w:t>Subsection 8.8</w:t>
      </w:r>
      <w:r w:rsidR="00252853">
        <w:t>(1) (table items 4 to 11)</w:t>
      </w:r>
    </w:p>
    <w:p w:rsidR="00252853" w:rsidRPr="006D571F" w:rsidRDefault="00252853" w:rsidP="00252853">
      <w:pPr>
        <w:ind w:left="425" w:firstLine="425"/>
        <w:rPr>
          <w:color w:val="000000" w:themeColor="text1"/>
        </w:rPr>
      </w:pPr>
      <w:r>
        <w:rPr>
          <w:lang w:eastAsia="en-AU"/>
        </w:rPr>
        <w:t>Repeal the items, substitute</w:t>
      </w:r>
      <w:r w:rsidRPr="006D571F">
        <w:rPr>
          <w:color w:val="000000" w:themeColor="text1"/>
        </w:rPr>
        <w:t>:</w:t>
      </w:r>
    </w:p>
    <w:p w:rsidR="00252853" w:rsidRDefault="00252853" w:rsidP="00950D9E">
      <w:pPr>
        <w:rPr>
          <w:lang w:eastAsia="en-AU"/>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9"/>
        <w:gridCol w:w="6894"/>
        <w:gridCol w:w="1363"/>
      </w:tblGrid>
      <w:tr w:rsidR="00252853" w:rsidRPr="0005417A" w:rsidTr="001201AD">
        <w:tc>
          <w:tcPr>
            <w:tcW w:w="426" w:type="pct"/>
            <w:shd w:val="clear" w:color="auto" w:fill="auto"/>
          </w:tcPr>
          <w:p w:rsidR="00252853" w:rsidRPr="0005417A" w:rsidRDefault="00252853" w:rsidP="00252853">
            <w:pPr>
              <w:pStyle w:val="Tabletext"/>
            </w:pPr>
            <w:r w:rsidRPr="0005417A">
              <w:t>4</w:t>
            </w:r>
          </w:p>
        </w:tc>
        <w:tc>
          <w:tcPr>
            <w:tcW w:w="3819" w:type="pct"/>
            <w:shd w:val="clear" w:color="auto" w:fill="auto"/>
          </w:tcPr>
          <w:p w:rsidR="00252853" w:rsidRPr="00B32A45" w:rsidRDefault="00252853" w:rsidP="00252853">
            <w:pPr>
              <w:pStyle w:val="Tabletext"/>
            </w:pPr>
            <w:r w:rsidRPr="00B32A45">
              <w:t>Oil or gas exploration and development—flaring</w:t>
            </w:r>
          </w:p>
        </w:tc>
        <w:tc>
          <w:tcPr>
            <w:tcW w:w="755" w:type="pct"/>
            <w:shd w:val="clear" w:color="auto" w:fill="auto"/>
          </w:tcPr>
          <w:p w:rsidR="00252853" w:rsidRPr="0005417A" w:rsidRDefault="00252853" w:rsidP="00252853">
            <w:pPr>
              <w:pStyle w:val="Tabletext"/>
            </w:pPr>
            <w:r>
              <w:t>25</w:t>
            </w:r>
          </w:p>
        </w:tc>
      </w:tr>
      <w:tr w:rsidR="00252853" w:rsidRPr="0005417A" w:rsidTr="001201AD">
        <w:tc>
          <w:tcPr>
            <w:tcW w:w="426" w:type="pct"/>
            <w:shd w:val="clear" w:color="auto" w:fill="auto"/>
          </w:tcPr>
          <w:p w:rsidR="00252853" w:rsidRPr="0005417A" w:rsidRDefault="00252853" w:rsidP="00252853">
            <w:pPr>
              <w:pStyle w:val="Tabletext"/>
            </w:pPr>
            <w:r w:rsidRPr="0005417A">
              <w:t>5</w:t>
            </w:r>
          </w:p>
        </w:tc>
        <w:tc>
          <w:tcPr>
            <w:tcW w:w="3819" w:type="pct"/>
            <w:shd w:val="clear" w:color="auto" w:fill="auto"/>
          </w:tcPr>
          <w:p w:rsidR="00252853" w:rsidRPr="00B32A45" w:rsidRDefault="00252853" w:rsidP="00252853">
            <w:pPr>
              <w:pStyle w:val="Tabletext"/>
            </w:pPr>
            <w:r w:rsidRPr="00B32A45">
              <w:t>Oil or gas exploration and development (other than flaring)</w:t>
            </w:r>
          </w:p>
        </w:tc>
        <w:tc>
          <w:tcPr>
            <w:tcW w:w="755" w:type="pct"/>
            <w:shd w:val="clear" w:color="auto" w:fill="auto"/>
          </w:tcPr>
          <w:p w:rsidR="00252853" w:rsidRPr="0005417A" w:rsidRDefault="00252853" w:rsidP="00252853">
            <w:pPr>
              <w:pStyle w:val="Tabletext"/>
            </w:pPr>
            <w:r w:rsidRPr="0005417A">
              <w:t>50</w:t>
            </w:r>
          </w:p>
        </w:tc>
      </w:tr>
      <w:tr w:rsidR="00252853" w:rsidRPr="0005417A" w:rsidTr="001201AD">
        <w:tc>
          <w:tcPr>
            <w:tcW w:w="426" w:type="pct"/>
            <w:shd w:val="clear" w:color="auto" w:fill="auto"/>
          </w:tcPr>
          <w:p w:rsidR="00252853" w:rsidRPr="0005417A" w:rsidRDefault="00252853" w:rsidP="00252853">
            <w:pPr>
              <w:pStyle w:val="Tabletext"/>
            </w:pPr>
            <w:r w:rsidRPr="0005417A">
              <w:t>6</w:t>
            </w:r>
          </w:p>
        </w:tc>
        <w:tc>
          <w:tcPr>
            <w:tcW w:w="3819" w:type="pct"/>
            <w:shd w:val="clear" w:color="auto" w:fill="auto"/>
          </w:tcPr>
          <w:p w:rsidR="00252853" w:rsidRPr="00B32A45" w:rsidRDefault="00252853" w:rsidP="00252853">
            <w:pPr>
              <w:pStyle w:val="Tabletext"/>
            </w:pPr>
            <w:r w:rsidRPr="00B32A45">
              <w:t>Crude oil production</w:t>
            </w:r>
          </w:p>
        </w:tc>
        <w:tc>
          <w:tcPr>
            <w:tcW w:w="755" w:type="pct"/>
            <w:shd w:val="clear" w:color="auto" w:fill="auto"/>
          </w:tcPr>
          <w:p w:rsidR="00252853" w:rsidRPr="0005417A" w:rsidRDefault="00252853" w:rsidP="00252853">
            <w:pPr>
              <w:pStyle w:val="Tabletext"/>
            </w:pPr>
            <w:r w:rsidRPr="0005417A">
              <w:t>50</w:t>
            </w:r>
          </w:p>
        </w:tc>
      </w:tr>
      <w:tr w:rsidR="00252853" w:rsidRPr="0005417A" w:rsidTr="001201AD">
        <w:tc>
          <w:tcPr>
            <w:tcW w:w="426" w:type="pct"/>
            <w:shd w:val="clear" w:color="auto" w:fill="auto"/>
          </w:tcPr>
          <w:p w:rsidR="00252853" w:rsidRPr="0005417A" w:rsidRDefault="00252853" w:rsidP="00252853">
            <w:pPr>
              <w:pStyle w:val="Tabletext"/>
            </w:pPr>
            <w:r w:rsidRPr="0005417A">
              <w:t>7</w:t>
            </w:r>
          </w:p>
        </w:tc>
        <w:tc>
          <w:tcPr>
            <w:tcW w:w="3819" w:type="pct"/>
            <w:shd w:val="clear" w:color="auto" w:fill="auto"/>
          </w:tcPr>
          <w:p w:rsidR="00252853" w:rsidRPr="00B32A45" w:rsidRDefault="00252853" w:rsidP="00252853">
            <w:pPr>
              <w:pStyle w:val="Tabletext"/>
            </w:pPr>
            <w:r w:rsidRPr="00B32A45">
              <w:t>Crude oil transport</w:t>
            </w:r>
          </w:p>
        </w:tc>
        <w:tc>
          <w:tcPr>
            <w:tcW w:w="755" w:type="pct"/>
            <w:shd w:val="clear" w:color="auto" w:fill="auto"/>
          </w:tcPr>
          <w:p w:rsidR="00252853" w:rsidRPr="0005417A" w:rsidRDefault="00252853" w:rsidP="00252853">
            <w:pPr>
              <w:pStyle w:val="Tabletext"/>
            </w:pPr>
            <w:r w:rsidRPr="0005417A">
              <w:t>50</w:t>
            </w:r>
          </w:p>
        </w:tc>
      </w:tr>
      <w:tr w:rsidR="00252853" w:rsidRPr="0005417A" w:rsidTr="001201AD">
        <w:tc>
          <w:tcPr>
            <w:tcW w:w="426" w:type="pct"/>
            <w:shd w:val="clear" w:color="auto" w:fill="auto"/>
          </w:tcPr>
          <w:p w:rsidR="00252853" w:rsidRPr="0005417A" w:rsidRDefault="00252853" w:rsidP="00252853">
            <w:pPr>
              <w:pStyle w:val="Tabletext"/>
            </w:pPr>
            <w:r w:rsidRPr="0005417A">
              <w:t>8</w:t>
            </w:r>
          </w:p>
        </w:tc>
        <w:tc>
          <w:tcPr>
            <w:tcW w:w="3819" w:type="pct"/>
            <w:shd w:val="clear" w:color="auto" w:fill="auto"/>
          </w:tcPr>
          <w:p w:rsidR="00252853" w:rsidRPr="00B32A45" w:rsidRDefault="00252853" w:rsidP="00252853">
            <w:pPr>
              <w:pStyle w:val="Tabletext"/>
            </w:pPr>
            <w:r w:rsidRPr="00B32A45">
              <w:t>Crude oil refining</w:t>
            </w:r>
          </w:p>
        </w:tc>
        <w:tc>
          <w:tcPr>
            <w:tcW w:w="755" w:type="pct"/>
            <w:shd w:val="clear" w:color="auto" w:fill="auto"/>
          </w:tcPr>
          <w:p w:rsidR="00252853" w:rsidRPr="0005417A" w:rsidRDefault="00252853" w:rsidP="00252853">
            <w:pPr>
              <w:pStyle w:val="Tabletext"/>
            </w:pPr>
            <w:r w:rsidRPr="0005417A">
              <w:t>50</w:t>
            </w:r>
          </w:p>
        </w:tc>
      </w:tr>
      <w:tr w:rsidR="00252853" w:rsidRPr="0005417A" w:rsidTr="001201AD">
        <w:tc>
          <w:tcPr>
            <w:tcW w:w="426" w:type="pct"/>
            <w:shd w:val="clear" w:color="auto" w:fill="auto"/>
          </w:tcPr>
          <w:p w:rsidR="00252853" w:rsidRPr="0005417A" w:rsidRDefault="00252853" w:rsidP="00252853">
            <w:pPr>
              <w:pStyle w:val="Tabletext"/>
            </w:pPr>
            <w:r w:rsidRPr="0005417A">
              <w:t>9</w:t>
            </w:r>
          </w:p>
        </w:tc>
        <w:tc>
          <w:tcPr>
            <w:tcW w:w="3819" w:type="pct"/>
            <w:shd w:val="clear" w:color="auto" w:fill="auto"/>
          </w:tcPr>
          <w:p w:rsidR="00252853" w:rsidRPr="00B32A45" w:rsidRDefault="00252853" w:rsidP="00252853">
            <w:pPr>
              <w:pStyle w:val="Tabletext"/>
            </w:pPr>
            <w:r w:rsidRPr="00B32A45">
              <w:t>Onshore natural gas production (other than emissions that are vented or flared)</w:t>
            </w:r>
          </w:p>
        </w:tc>
        <w:tc>
          <w:tcPr>
            <w:tcW w:w="755" w:type="pct"/>
            <w:shd w:val="clear" w:color="auto" w:fill="auto"/>
          </w:tcPr>
          <w:p w:rsidR="00252853" w:rsidRPr="0005417A" w:rsidRDefault="00252853" w:rsidP="00252853">
            <w:pPr>
              <w:pStyle w:val="Tabletext"/>
            </w:pPr>
            <w:r w:rsidRPr="0005417A">
              <w:t>50</w:t>
            </w:r>
          </w:p>
        </w:tc>
      </w:tr>
      <w:tr w:rsidR="00252853" w:rsidRPr="0005417A" w:rsidTr="001201AD">
        <w:tc>
          <w:tcPr>
            <w:tcW w:w="426" w:type="pct"/>
            <w:tcBorders>
              <w:bottom w:val="single" w:sz="4" w:space="0" w:color="auto"/>
            </w:tcBorders>
            <w:shd w:val="clear" w:color="auto" w:fill="auto"/>
          </w:tcPr>
          <w:p w:rsidR="00252853" w:rsidRPr="0005417A" w:rsidRDefault="00252853" w:rsidP="00252853">
            <w:pPr>
              <w:pStyle w:val="Tabletext"/>
            </w:pPr>
            <w:r w:rsidRPr="0005417A">
              <w:t>10</w:t>
            </w:r>
          </w:p>
        </w:tc>
        <w:tc>
          <w:tcPr>
            <w:tcW w:w="3819" w:type="pct"/>
            <w:tcBorders>
              <w:bottom w:val="single" w:sz="4" w:space="0" w:color="auto"/>
            </w:tcBorders>
            <w:shd w:val="clear" w:color="auto" w:fill="auto"/>
          </w:tcPr>
          <w:p w:rsidR="00252853" w:rsidRPr="00B32A45" w:rsidRDefault="00252853" w:rsidP="00252853">
            <w:pPr>
              <w:pStyle w:val="Tabletext"/>
            </w:pPr>
            <w:r w:rsidRPr="00B32A45">
              <w:t>Offshore natural gas production (other than emissions that are vented or flared)</w:t>
            </w:r>
            <w:r w:rsidRPr="00B32A45" w:rsidDel="00AB0FA3">
              <w:t xml:space="preserve"> </w:t>
            </w:r>
          </w:p>
        </w:tc>
        <w:tc>
          <w:tcPr>
            <w:tcW w:w="755" w:type="pct"/>
            <w:tcBorders>
              <w:bottom w:val="single" w:sz="4" w:space="0" w:color="auto"/>
            </w:tcBorders>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rsidRPr="0005417A">
              <w:t>11</w:t>
            </w:r>
          </w:p>
        </w:tc>
        <w:tc>
          <w:tcPr>
            <w:tcW w:w="3819" w:type="pct"/>
            <w:shd w:val="clear" w:color="auto" w:fill="auto"/>
          </w:tcPr>
          <w:p w:rsidR="00252853" w:rsidRPr="00B32A45" w:rsidRDefault="00252853" w:rsidP="00252853">
            <w:pPr>
              <w:pStyle w:val="Tabletext"/>
            </w:pPr>
            <w:r w:rsidRPr="00B32A45">
              <w:t>Natural gas gathering and boosting (other than emissions that are vented or flared)</w:t>
            </w:r>
          </w:p>
        </w:tc>
        <w:tc>
          <w:tcPr>
            <w:tcW w:w="755" w:type="pct"/>
            <w:shd w:val="clear" w:color="auto" w:fill="auto"/>
          </w:tcPr>
          <w:p w:rsidR="00252853" w:rsidRPr="0005417A" w:rsidRDefault="00252853" w:rsidP="00252853">
            <w:pPr>
              <w:pStyle w:val="Tabletext"/>
            </w:pPr>
            <w:r>
              <w:t>50</w:t>
            </w:r>
          </w:p>
        </w:tc>
      </w:tr>
      <w:tr w:rsidR="00252853" w:rsidRPr="0005417A" w:rsidTr="00252853">
        <w:tc>
          <w:tcPr>
            <w:tcW w:w="426" w:type="pct"/>
            <w:shd w:val="clear" w:color="auto" w:fill="auto"/>
          </w:tcPr>
          <w:p w:rsidR="00252853" w:rsidRPr="0005417A" w:rsidRDefault="00252853" w:rsidP="00252853">
            <w:pPr>
              <w:pStyle w:val="Tabletext"/>
            </w:pPr>
            <w:r>
              <w:t>12</w:t>
            </w:r>
          </w:p>
        </w:tc>
        <w:tc>
          <w:tcPr>
            <w:tcW w:w="3819" w:type="pct"/>
            <w:shd w:val="clear" w:color="auto" w:fill="auto"/>
          </w:tcPr>
          <w:p w:rsidR="00252853" w:rsidRPr="00B32A45" w:rsidRDefault="00252853" w:rsidP="00252853">
            <w:pPr>
              <w:pStyle w:val="Tabletext"/>
            </w:pPr>
            <w:r w:rsidRPr="00B32A45">
              <w:t xml:space="preserve">Produced water </w:t>
            </w:r>
            <w:r w:rsidRPr="00B32A45">
              <w:rPr>
                <w:bCs/>
              </w:rPr>
              <w:t xml:space="preserve">from </w:t>
            </w:r>
            <w:r w:rsidR="0011138C">
              <w:rPr>
                <w:bCs/>
              </w:rPr>
              <w:t>oil and</w:t>
            </w:r>
            <w:r w:rsidRPr="00B32A45">
              <w:rPr>
                <w:bCs/>
              </w:rPr>
              <w:t xml:space="preserve"> gas exploration and development, crude oil production, natural gas production or natural gas gathering and boosting </w:t>
            </w:r>
            <w:r w:rsidRPr="00B32A45">
              <w:t>(other than emissions that are vented or flared)</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13</w:t>
            </w:r>
          </w:p>
        </w:tc>
        <w:tc>
          <w:tcPr>
            <w:tcW w:w="3819" w:type="pct"/>
            <w:shd w:val="clear" w:color="auto" w:fill="auto"/>
          </w:tcPr>
          <w:p w:rsidR="00252853" w:rsidRPr="00B32A45" w:rsidRDefault="00252853" w:rsidP="00252853">
            <w:pPr>
              <w:pStyle w:val="Tabletext"/>
            </w:pPr>
            <w:r w:rsidRPr="00B32A45">
              <w:t>Natural gas processing (other than emissions that are vented or flared)</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14</w:t>
            </w:r>
          </w:p>
        </w:tc>
        <w:tc>
          <w:tcPr>
            <w:tcW w:w="3819" w:type="pct"/>
            <w:shd w:val="clear" w:color="auto" w:fill="auto"/>
          </w:tcPr>
          <w:p w:rsidR="00252853" w:rsidRPr="00B32A45" w:rsidRDefault="00252853" w:rsidP="00252853">
            <w:pPr>
              <w:pStyle w:val="Tabletext"/>
            </w:pPr>
            <w:r w:rsidRPr="00B32A45">
              <w:t>Natural gas transmission (other than flaring)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15</w:t>
            </w:r>
          </w:p>
        </w:tc>
        <w:tc>
          <w:tcPr>
            <w:tcW w:w="3819" w:type="pct"/>
            <w:shd w:val="clear" w:color="auto" w:fill="auto"/>
          </w:tcPr>
          <w:p w:rsidR="00252853" w:rsidRPr="00B32A45" w:rsidRDefault="00252853" w:rsidP="00252853">
            <w:pPr>
              <w:pStyle w:val="Tabletext"/>
            </w:pPr>
            <w:r w:rsidRPr="00B32A45">
              <w:t>Natural gas storage (other than emissions that are vented or flared)</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16</w:t>
            </w:r>
          </w:p>
        </w:tc>
        <w:tc>
          <w:tcPr>
            <w:tcW w:w="3819" w:type="pct"/>
            <w:shd w:val="clear" w:color="auto" w:fill="auto"/>
          </w:tcPr>
          <w:p w:rsidR="00252853" w:rsidRPr="00B32A45" w:rsidRDefault="00252853" w:rsidP="00252853">
            <w:pPr>
              <w:pStyle w:val="Tabletext"/>
            </w:pPr>
            <w:r w:rsidRPr="00B32A45">
              <w:t>Natural gas liquefaction, storage and transfer (other than emissions that are vented or flared)</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17</w:t>
            </w:r>
          </w:p>
        </w:tc>
        <w:tc>
          <w:tcPr>
            <w:tcW w:w="3819" w:type="pct"/>
            <w:shd w:val="clear" w:color="auto" w:fill="auto"/>
          </w:tcPr>
          <w:p w:rsidR="00252853" w:rsidRPr="00B32A45" w:rsidRDefault="00252853" w:rsidP="00252853">
            <w:pPr>
              <w:pStyle w:val="Tabletext"/>
            </w:pPr>
            <w:r w:rsidRPr="00B32A45">
              <w:t>Natural gas distribution (other than flaring)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18</w:t>
            </w:r>
          </w:p>
        </w:tc>
        <w:tc>
          <w:tcPr>
            <w:tcW w:w="3819" w:type="pct"/>
            <w:shd w:val="clear" w:color="auto" w:fill="auto"/>
          </w:tcPr>
          <w:p w:rsidR="00252853" w:rsidRPr="00B32A45" w:rsidRDefault="00252853" w:rsidP="00252853">
            <w:pPr>
              <w:pStyle w:val="Tabletext"/>
            </w:pPr>
            <w:r>
              <w:t>Onshore n</w:t>
            </w:r>
            <w:r w:rsidRPr="00B32A45">
              <w:t>atural gas production—venting</w:t>
            </w:r>
          </w:p>
        </w:tc>
        <w:tc>
          <w:tcPr>
            <w:tcW w:w="755" w:type="pct"/>
            <w:shd w:val="clear" w:color="auto" w:fill="auto"/>
          </w:tcPr>
          <w:p w:rsidR="00252853" w:rsidRPr="0005417A" w:rsidRDefault="00252853" w:rsidP="00252853">
            <w:pPr>
              <w:pStyle w:val="Tabletext"/>
            </w:pPr>
            <w:r>
              <w:t>50</w:t>
            </w:r>
          </w:p>
        </w:tc>
      </w:tr>
      <w:tr w:rsidR="00252853" w:rsidRPr="0005417A" w:rsidTr="00252853">
        <w:tc>
          <w:tcPr>
            <w:tcW w:w="426" w:type="pct"/>
            <w:shd w:val="clear" w:color="auto" w:fill="auto"/>
          </w:tcPr>
          <w:p w:rsidR="00252853" w:rsidRPr="0005417A" w:rsidRDefault="00252853" w:rsidP="00252853">
            <w:pPr>
              <w:pStyle w:val="Tabletext"/>
            </w:pPr>
            <w:r>
              <w:t>19</w:t>
            </w:r>
          </w:p>
        </w:tc>
        <w:tc>
          <w:tcPr>
            <w:tcW w:w="3819" w:type="pct"/>
            <w:shd w:val="clear" w:color="auto" w:fill="auto"/>
          </w:tcPr>
          <w:p w:rsidR="00252853" w:rsidRDefault="00252853" w:rsidP="00252853">
            <w:pPr>
              <w:pStyle w:val="Tabletext"/>
            </w:pPr>
            <w:r>
              <w:t>Offshore natural gas production—venting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20</w:t>
            </w:r>
          </w:p>
        </w:tc>
        <w:tc>
          <w:tcPr>
            <w:tcW w:w="3819" w:type="pct"/>
            <w:shd w:val="clear" w:color="auto" w:fill="auto"/>
          </w:tcPr>
          <w:p w:rsidR="00252853" w:rsidRPr="00B32A45" w:rsidRDefault="00252853" w:rsidP="00252853">
            <w:pPr>
              <w:pStyle w:val="Tabletext"/>
            </w:pPr>
            <w:r w:rsidRPr="00B32A45">
              <w:t>Onshore natural gas production—flaring</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21</w:t>
            </w:r>
          </w:p>
        </w:tc>
        <w:tc>
          <w:tcPr>
            <w:tcW w:w="3819" w:type="pct"/>
            <w:shd w:val="clear" w:color="auto" w:fill="auto"/>
          </w:tcPr>
          <w:p w:rsidR="00252853" w:rsidRPr="00B32A45" w:rsidRDefault="00252853" w:rsidP="00252853">
            <w:pPr>
              <w:pStyle w:val="Tabletext"/>
            </w:pPr>
            <w:r w:rsidRPr="00B32A45">
              <w:t xml:space="preserve">Offshore natural gas production—flaring </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22</w:t>
            </w:r>
          </w:p>
        </w:tc>
        <w:tc>
          <w:tcPr>
            <w:tcW w:w="3819" w:type="pct"/>
            <w:shd w:val="clear" w:color="auto" w:fill="auto"/>
          </w:tcPr>
          <w:p w:rsidR="00252853" w:rsidRPr="00B32A45" w:rsidRDefault="00252853" w:rsidP="00252853">
            <w:pPr>
              <w:pStyle w:val="Tabletext"/>
            </w:pPr>
            <w:r w:rsidRPr="00B32A45">
              <w:t>Natural gas gathering and boosting—venting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23</w:t>
            </w:r>
          </w:p>
        </w:tc>
        <w:tc>
          <w:tcPr>
            <w:tcW w:w="3819" w:type="pct"/>
            <w:shd w:val="clear" w:color="auto" w:fill="auto"/>
          </w:tcPr>
          <w:p w:rsidR="00252853" w:rsidRPr="00B32A45" w:rsidRDefault="00252853" w:rsidP="00252853">
            <w:pPr>
              <w:pStyle w:val="Tabletext"/>
            </w:pPr>
            <w:r w:rsidRPr="00B32A45">
              <w:t>Natural gas gathering and boosting—flaring</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24</w:t>
            </w:r>
          </w:p>
        </w:tc>
        <w:tc>
          <w:tcPr>
            <w:tcW w:w="3819" w:type="pct"/>
            <w:shd w:val="clear" w:color="auto" w:fill="auto"/>
          </w:tcPr>
          <w:p w:rsidR="00252853" w:rsidRPr="00B32A45" w:rsidRDefault="00252853" w:rsidP="00252853">
            <w:pPr>
              <w:pStyle w:val="Tabletext"/>
            </w:pPr>
            <w:r w:rsidRPr="00B32A45">
              <w:t>Natural gas processing—venting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25</w:t>
            </w:r>
          </w:p>
        </w:tc>
        <w:tc>
          <w:tcPr>
            <w:tcW w:w="3819" w:type="pct"/>
            <w:shd w:val="clear" w:color="auto" w:fill="auto"/>
          </w:tcPr>
          <w:p w:rsidR="00252853" w:rsidRPr="00B32A45" w:rsidRDefault="00252853" w:rsidP="00252853">
            <w:pPr>
              <w:pStyle w:val="Tabletext"/>
            </w:pPr>
            <w:r w:rsidRPr="00B32A45">
              <w:t>Natural gas processing—flaring</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26</w:t>
            </w:r>
          </w:p>
        </w:tc>
        <w:tc>
          <w:tcPr>
            <w:tcW w:w="3819" w:type="pct"/>
            <w:shd w:val="clear" w:color="auto" w:fill="auto"/>
          </w:tcPr>
          <w:p w:rsidR="00252853" w:rsidRPr="00B32A45" w:rsidRDefault="00252853" w:rsidP="00252853">
            <w:pPr>
              <w:pStyle w:val="Tabletext"/>
            </w:pPr>
            <w:r w:rsidRPr="00B32A45">
              <w:t>Natural gas transmission—flaring</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27</w:t>
            </w:r>
          </w:p>
        </w:tc>
        <w:tc>
          <w:tcPr>
            <w:tcW w:w="3819" w:type="pct"/>
            <w:shd w:val="clear" w:color="auto" w:fill="auto"/>
          </w:tcPr>
          <w:p w:rsidR="00252853" w:rsidRPr="00B32A45" w:rsidRDefault="00252853" w:rsidP="00252853">
            <w:pPr>
              <w:pStyle w:val="Tabletext"/>
            </w:pPr>
            <w:r w:rsidRPr="00B32A45">
              <w:t>Natural gas storage—venting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28</w:t>
            </w:r>
          </w:p>
        </w:tc>
        <w:tc>
          <w:tcPr>
            <w:tcW w:w="3819" w:type="pct"/>
            <w:shd w:val="clear" w:color="auto" w:fill="auto"/>
          </w:tcPr>
          <w:p w:rsidR="00252853" w:rsidRPr="00B32A45" w:rsidRDefault="00252853" w:rsidP="00252853">
            <w:pPr>
              <w:pStyle w:val="Tabletext"/>
            </w:pPr>
            <w:r w:rsidRPr="00B32A45">
              <w:t>Natural gas storage—flaring</w:t>
            </w:r>
          </w:p>
        </w:tc>
        <w:tc>
          <w:tcPr>
            <w:tcW w:w="755" w:type="pct"/>
            <w:shd w:val="clear" w:color="auto" w:fill="auto"/>
          </w:tcPr>
          <w:p w:rsidR="00252853" w:rsidRPr="0005417A" w:rsidRDefault="00252853" w:rsidP="00252853">
            <w:pPr>
              <w:pStyle w:val="Tabletext"/>
            </w:pPr>
            <w:r>
              <w:t>25</w:t>
            </w:r>
          </w:p>
        </w:tc>
      </w:tr>
      <w:tr w:rsidR="00252853" w:rsidRPr="0005417A" w:rsidTr="00252853">
        <w:tc>
          <w:tcPr>
            <w:tcW w:w="426" w:type="pct"/>
            <w:shd w:val="clear" w:color="auto" w:fill="auto"/>
          </w:tcPr>
          <w:p w:rsidR="00252853" w:rsidRPr="0005417A" w:rsidRDefault="00252853" w:rsidP="00252853">
            <w:pPr>
              <w:pStyle w:val="Tabletext"/>
            </w:pPr>
            <w:r>
              <w:t>29</w:t>
            </w:r>
          </w:p>
        </w:tc>
        <w:tc>
          <w:tcPr>
            <w:tcW w:w="3819" w:type="pct"/>
            <w:shd w:val="clear" w:color="auto" w:fill="auto"/>
          </w:tcPr>
          <w:p w:rsidR="00252853" w:rsidRPr="00B32A45" w:rsidRDefault="00252853" w:rsidP="00252853">
            <w:pPr>
              <w:pStyle w:val="Tabletext"/>
            </w:pPr>
            <w:r w:rsidRPr="00B32A45">
              <w:t>Natural gas liquefaction, storage and transfer—venting</w:t>
            </w:r>
          </w:p>
        </w:tc>
        <w:tc>
          <w:tcPr>
            <w:tcW w:w="755" w:type="pct"/>
            <w:shd w:val="clear" w:color="auto" w:fill="auto"/>
          </w:tcPr>
          <w:p w:rsidR="00252853" w:rsidRPr="0005417A" w:rsidRDefault="00252853" w:rsidP="00252853">
            <w:pPr>
              <w:pStyle w:val="Tabletext"/>
            </w:pPr>
            <w:r w:rsidRPr="0005417A">
              <w:t>50</w:t>
            </w:r>
          </w:p>
        </w:tc>
      </w:tr>
      <w:tr w:rsidR="00252853" w:rsidRPr="0005417A" w:rsidTr="00252853">
        <w:tc>
          <w:tcPr>
            <w:tcW w:w="426" w:type="pct"/>
            <w:shd w:val="clear" w:color="auto" w:fill="auto"/>
          </w:tcPr>
          <w:p w:rsidR="00252853" w:rsidRPr="0005417A" w:rsidRDefault="00252853" w:rsidP="00252853">
            <w:pPr>
              <w:pStyle w:val="Tabletext"/>
            </w:pPr>
            <w:r>
              <w:t>30</w:t>
            </w:r>
          </w:p>
        </w:tc>
        <w:tc>
          <w:tcPr>
            <w:tcW w:w="3819" w:type="pct"/>
            <w:shd w:val="clear" w:color="auto" w:fill="auto"/>
          </w:tcPr>
          <w:p w:rsidR="00252853" w:rsidRPr="00B32A45" w:rsidRDefault="00252853" w:rsidP="00252853">
            <w:pPr>
              <w:pStyle w:val="Tabletext"/>
            </w:pPr>
            <w:r w:rsidRPr="00B32A45">
              <w:t>Natural gas liquefaction, storage and transfer—flaring</w:t>
            </w:r>
          </w:p>
        </w:tc>
        <w:tc>
          <w:tcPr>
            <w:tcW w:w="755" w:type="pct"/>
            <w:shd w:val="clear" w:color="auto" w:fill="auto"/>
          </w:tcPr>
          <w:p w:rsidR="00252853" w:rsidRPr="0005417A" w:rsidRDefault="00252853" w:rsidP="00252853">
            <w:pPr>
              <w:pStyle w:val="Tabletext"/>
            </w:pPr>
            <w:r>
              <w:t>25</w:t>
            </w:r>
          </w:p>
        </w:tc>
      </w:tr>
      <w:tr w:rsidR="00252853" w:rsidRPr="0005417A" w:rsidTr="001201AD">
        <w:tc>
          <w:tcPr>
            <w:tcW w:w="426" w:type="pct"/>
            <w:tcBorders>
              <w:bottom w:val="single" w:sz="12" w:space="0" w:color="auto"/>
            </w:tcBorders>
            <w:shd w:val="clear" w:color="auto" w:fill="auto"/>
          </w:tcPr>
          <w:p w:rsidR="00252853" w:rsidRPr="0005417A" w:rsidRDefault="00252853" w:rsidP="00252853">
            <w:pPr>
              <w:pStyle w:val="Tabletext"/>
            </w:pPr>
            <w:r>
              <w:t>31</w:t>
            </w:r>
          </w:p>
        </w:tc>
        <w:tc>
          <w:tcPr>
            <w:tcW w:w="3819" w:type="pct"/>
            <w:tcBorders>
              <w:bottom w:val="single" w:sz="12" w:space="0" w:color="auto"/>
            </w:tcBorders>
            <w:shd w:val="clear" w:color="auto" w:fill="auto"/>
          </w:tcPr>
          <w:p w:rsidR="00252853" w:rsidRPr="0005417A" w:rsidRDefault="00252853" w:rsidP="00252853">
            <w:pPr>
              <w:pStyle w:val="Tabletext"/>
            </w:pPr>
            <w:r w:rsidRPr="00B32A45">
              <w:t>Natural gas distribution—flaring</w:t>
            </w:r>
          </w:p>
        </w:tc>
        <w:tc>
          <w:tcPr>
            <w:tcW w:w="755" w:type="pct"/>
            <w:tcBorders>
              <w:bottom w:val="single" w:sz="12" w:space="0" w:color="auto"/>
            </w:tcBorders>
            <w:shd w:val="clear" w:color="auto" w:fill="auto"/>
          </w:tcPr>
          <w:p w:rsidR="00252853" w:rsidRPr="0005417A" w:rsidRDefault="00252853" w:rsidP="00252853">
            <w:pPr>
              <w:pStyle w:val="Tabletext"/>
            </w:pPr>
            <w:r>
              <w:t>25</w:t>
            </w:r>
          </w:p>
        </w:tc>
      </w:tr>
    </w:tbl>
    <w:p w:rsidR="00950D9E" w:rsidRPr="004E5BEF" w:rsidRDefault="00CE207D" w:rsidP="00950D9E">
      <w:pPr>
        <w:pStyle w:val="h5SchItem"/>
      </w:pPr>
      <w:r>
        <w:t>[25]</w:t>
      </w:r>
      <w:r w:rsidR="00950D9E" w:rsidRPr="00826C3E">
        <w:t xml:space="preserve"> </w:t>
      </w:r>
      <w:r w:rsidR="00950D9E" w:rsidRPr="00826C3E">
        <w:tab/>
      </w:r>
      <w:r w:rsidR="00950D9E">
        <w:t>After section 9.13</w:t>
      </w:r>
    </w:p>
    <w:p w:rsidR="00950D9E" w:rsidRPr="006D571F" w:rsidRDefault="00950D9E" w:rsidP="00950D9E">
      <w:pPr>
        <w:pStyle w:val="tMain"/>
        <w:rPr>
          <w:color w:val="000000" w:themeColor="text1"/>
        </w:rPr>
      </w:pPr>
      <w:r>
        <w:rPr>
          <w:color w:val="000000" w:themeColor="text1"/>
        </w:rPr>
        <w:tab/>
      </w:r>
      <w:r>
        <w:rPr>
          <w:color w:val="000000" w:themeColor="text1"/>
        </w:rPr>
        <w:tab/>
      </w:r>
      <w:r w:rsidRPr="006D571F">
        <w:rPr>
          <w:color w:val="000000" w:themeColor="text1"/>
        </w:rPr>
        <w:t>Insert:</w:t>
      </w:r>
    </w:p>
    <w:p w:rsidR="00950D9E" w:rsidRPr="00C021B3" w:rsidRDefault="00950D9E" w:rsidP="00950D9E">
      <w:pPr>
        <w:pStyle w:val="h5Section"/>
      </w:pPr>
      <w:bookmarkStart w:id="133" w:name="_Toc486000020"/>
      <w:bookmarkStart w:id="134" w:name="_Toc42090455"/>
      <w:r>
        <w:rPr>
          <w:rStyle w:val="CharSectno"/>
        </w:rPr>
        <w:t>9.14</w:t>
      </w:r>
      <w:r w:rsidRPr="00C021B3">
        <w:t xml:space="preserve">  Amendments made by the </w:t>
      </w:r>
      <w:r w:rsidRPr="00C021B3">
        <w:rPr>
          <w:i/>
        </w:rPr>
        <w:t>National Greenhouse and Energy Reporting (Measurement) Amendment (</w:t>
      </w:r>
      <w:r>
        <w:rPr>
          <w:i/>
        </w:rPr>
        <w:t>2021 Update</w:t>
      </w:r>
      <w:r w:rsidRPr="00C021B3">
        <w:rPr>
          <w:i/>
        </w:rPr>
        <w:t>) Determination 20</w:t>
      </w:r>
      <w:bookmarkEnd w:id="133"/>
      <w:r>
        <w:rPr>
          <w:i/>
        </w:rPr>
        <w:t>21</w:t>
      </w:r>
      <w:bookmarkEnd w:id="134"/>
    </w:p>
    <w:p w:rsidR="00950D9E" w:rsidRPr="00C021B3" w:rsidRDefault="00950D9E" w:rsidP="00950D9E">
      <w:pPr>
        <w:pStyle w:val="tMain"/>
      </w:pPr>
      <w:r w:rsidRPr="00C021B3">
        <w:tab/>
      </w:r>
      <w:r w:rsidRPr="00C021B3">
        <w:tab/>
      </w:r>
      <w:r>
        <w:t>T</w:t>
      </w:r>
      <w:r w:rsidRPr="00C021B3">
        <w:t xml:space="preserve">he amendments made by the </w:t>
      </w:r>
      <w:r w:rsidRPr="00C021B3">
        <w:rPr>
          <w:i/>
        </w:rPr>
        <w:t>National Greenhouse and Energy Reporting (Measurement) Amendment (</w:t>
      </w:r>
      <w:r>
        <w:rPr>
          <w:i/>
        </w:rPr>
        <w:t>2021 Update) Determination 2021</w:t>
      </w:r>
      <w:r w:rsidRPr="00C021B3">
        <w:t xml:space="preserve"> apply in relation to:</w:t>
      </w:r>
    </w:p>
    <w:p w:rsidR="00950D9E" w:rsidRPr="00C021B3" w:rsidRDefault="00950D9E" w:rsidP="00950D9E">
      <w:pPr>
        <w:pStyle w:val="tPara"/>
      </w:pPr>
      <w:r w:rsidRPr="00C021B3">
        <w:tab/>
        <w:t>(a)</w:t>
      </w:r>
      <w:r w:rsidRPr="00C021B3">
        <w:tab/>
        <w:t>the financial year starting on 1 </w:t>
      </w:r>
      <w:r>
        <w:t>July 2021</w:t>
      </w:r>
      <w:r w:rsidRPr="00C021B3">
        <w:t>; and</w:t>
      </w:r>
    </w:p>
    <w:p w:rsidR="00950D9E" w:rsidRPr="002307F7" w:rsidRDefault="00950D9E" w:rsidP="00950D9E">
      <w:pPr>
        <w:pStyle w:val="tPara"/>
      </w:pPr>
      <w:r w:rsidRPr="00C021B3">
        <w:tab/>
        <w:t>(b)</w:t>
      </w:r>
      <w:r w:rsidRPr="00C021B3">
        <w:tab/>
        <w:t>later financial years.</w:t>
      </w:r>
    </w:p>
    <w:p w:rsidR="00CA5526" w:rsidRPr="004E5BEF" w:rsidRDefault="00CE207D" w:rsidP="00CA5526">
      <w:pPr>
        <w:pStyle w:val="h5SchItem"/>
      </w:pPr>
      <w:r>
        <w:lastRenderedPageBreak/>
        <w:t>[26]</w:t>
      </w:r>
      <w:r w:rsidR="00CA5526" w:rsidRPr="00826C3E">
        <w:t xml:space="preserve"> </w:t>
      </w:r>
      <w:r w:rsidR="00CA5526" w:rsidRPr="00826C3E">
        <w:tab/>
      </w:r>
      <w:r w:rsidR="00CA5526">
        <w:t>Part 3 of Schedule 1 (table items 33 and 34)</w:t>
      </w:r>
    </w:p>
    <w:p w:rsidR="00CA5526" w:rsidRPr="006D571F" w:rsidRDefault="00CA5526" w:rsidP="00CA5526">
      <w:pPr>
        <w:ind w:left="425" w:firstLine="425"/>
        <w:rPr>
          <w:color w:val="000000" w:themeColor="text1"/>
        </w:rPr>
      </w:pPr>
      <w:r>
        <w:rPr>
          <w:lang w:eastAsia="en-AU"/>
        </w:rPr>
        <w:t>Repeal the items, substitute</w:t>
      </w:r>
      <w:r w:rsidRPr="006D571F">
        <w:rPr>
          <w:color w:val="000000" w:themeColor="text1"/>
        </w:rPr>
        <w:t>:</w:t>
      </w:r>
    </w:p>
    <w:tbl>
      <w:tblPr>
        <w:tblW w:w="5000" w:type="pct"/>
        <w:shd w:val="clear" w:color="auto" w:fill="FFFFFF"/>
        <w:tblCellMar>
          <w:left w:w="0" w:type="dxa"/>
          <w:right w:w="0" w:type="dxa"/>
        </w:tblCellMar>
        <w:tblLook w:val="04A0" w:firstRow="1" w:lastRow="0" w:firstColumn="1" w:lastColumn="0" w:noHBand="0" w:noVBand="1"/>
      </w:tblPr>
      <w:tblGrid>
        <w:gridCol w:w="670"/>
        <w:gridCol w:w="3577"/>
        <w:gridCol w:w="1648"/>
        <w:gridCol w:w="1007"/>
        <w:gridCol w:w="1007"/>
        <w:gridCol w:w="1097"/>
      </w:tblGrid>
      <w:tr w:rsidR="00CA5526" w:rsidRPr="00B32A45" w:rsidTr="000913EA">
        <w:tc>
          <w:tcPr>
            <w:tcW w:w="3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33</w:t>
            </w:r>
          </w:p>
        </w:tc>
        <w:tc>
          <w:tcPr>
            <w:tcW w:w="19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Crude oil</w:t>
            </w:r>
          </w:p>
        </w:tc>
        <w:tc>
          <w:tcPr>
            <w:tcW w:w="9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45.3 GJ/t</w:t>
            </w:r>
          </w:p>
        </w:tc>
        <w:tc>
          <w:tcPr>
            <w:tcW w:w="5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69.6</w:t>
            </w:r>
          </w:p>
        </w:tc>
        <w:tc>
          <w:tcPr>
            <w:tcW w:w="5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6444C9" w:rsidP="000913EA">
            <w:pPr>
              <w:pStyle w:val="tabletext1"/>
              <w:spacing w:before="60" w:beforeAutospacing="0" w:after="0" w:afterAutospacing="0" w:line="240" w:lineRule="atLeast"/>
              <w:rPr>
                <w:sz w:val="20"/>
                <w:szCs w:val="20"/>
              </w:rPr>
            </w:pPr>
            <w:r>
              <w:rPr>
                <w:sz w:val="20"/>
                <w:szCs w:val="20"/>
              </w:rPr>
              <w:t>0.08</w:t>
            </w:r>
          </w:p>
        </w:tc>
        <w:tc>
          <w:tcPr>
            <w:tcW w:w="6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0.2</w:t>
            </w:r>
          </w:p>
        </w:tc>
      </w:tr>
      <w:tr w:rsidR="00CA5526" w:rsidRPr="00B32A45" w:rsidTr="000913EA">
        <w:tc>
          <w:tcPr>
            <w:tcW w:w="3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34</w:t>
            </w:r>
          </w:p>
        </w:tc>
        <w:tc>
          <w:tcPr>
            <w:tcW w:w="198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Plant condensate and other natural gas liquids not covered by another item in this table</w:t>
            </w:r>
          </w:p>
        </w:tc>
        <w:tc>
          <w:tcPr>
            <w:tcW w:w="9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46.5 GJ/t</w:t>
            </w:r>
          </w:p>
        </w:tc>
        <w:tc>
          <w:tcPr>
            <w:tcW w:w="5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61.0</w:t>
            </w:r>
          </w:p>
        </w:tc>
        <w:tc>
          <w:tcPr>
            <w:tcW w:w="5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6444C9" w:rsidP="000913EA">
            <w:pPr>
              <w:pStyle w:val="tabletext1"/>
              <w:spacing w:before="60" w:beforeAutospacing="0" w:after="0" w:afterAutospacing="0" w:line="240" w:lineRule="atLeast"/>
              <w:rPr>
                <w:sz w:val="20"/>
                <w:szCs w:val="20"/>
              </w:rPr>
            </w:pPr>
            <w:r>
              <w:rPr>
                <w:sz w:val="20"/>
                <w:szCs w:val="20"/>
              </w:rPr>
              <w:t>0.08</w:t>
            </w:r>
          </w:p>
        </w:tc>
        <w:tc>
          <w:tcPr>
            <w:tcW w:w="6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526" w:rsidRPr="00B32A45" w:rsidRDefault="00CA5526" w:rsidP="000913EA">
            <w:pPr>
              <w:pStyle w:val="tabletext1"/>
              <w:spacing w:before="60" w:beforeAutospacing="0" w:after="0" w:afterAutospacing="0" w:line="240" w:lineRule="atLeast"/>
              <w:rPr>
                <w:sz w:val="20"/>
                <w:szCs w:val="20"/>
              </w:rPr>
            </w:pPr>
            <w:r w:rsidRPr="00B32A45">
              <w:rPr>
                <w:sz w:val="20"/>
                <w:szCs w:val="20"/>
              </w:rPr>
              <w:t>0.2</w:t>
            </w:r>
          </w:p>
        </w:tc>
      </w:tr>
    </w:tbl>
    <w:p w:rsidR="00202D52" w:rsidRPr="004E5BEF" w:rsidRDefault="00CE207D" w:rsidP="00202D52">
      <w:pPr>
        <w:pStyle w:val="h5SchItem"/>
      </w:pPr>
      <w:bookmarkStart w:id="135" w:name="_Toc486000021"/>
      <w:bookmarkStart w:id="136" w:name="_Toc42090463"/>
      <w:r>
        <w:t>[27]</w:t>
      </w:r>
      <w:r w:rsidR="00202D52" w:rsidRPr="00826C3E">
        <w:t xml:space="preserve"> </w:t>
      </w:r>
      <w:r w:rsidR="00202D52" w:rsidRPr="00826C3E">
        <w:tab/>
      </w:r>
      <w:r w:rsidR="00202D52" w:rsidRPr="00C021B3">
        <w:t>Part 6 of Schedule 1</w:t>
      </w:r>
    </w:p>
    <w:p w:rsidR="00202D52" w:rsidRPr="00202D52" w:rsidRDefault="00202D52" w:rsidP="00202D52">
      <w:pPr>
        <w:ind w:left="425" w:firstLine="425"/>
        <w:rPr>
          <w:rStyle w:val="CharPartNo"/>
          <w:color w:val="000000" w:themeColor="text1"/>
        </w:rPr>
      </w:pPr>
      <w:r w:rsidRPr="003041A6">
        <w:rPr>
          <w:lang w:eastAsia="en-AU"/>
        </w:rPr>
        <w:t>Repeal</w:t>
      </w:r>
      <w:r>
        <w:rPr>
          <w:color w:val="000000" w:themeColor="text1"/>
        </w:rPr>
        <w:t xml:space="preserve"> </w:t>
      </w:r>
      <w:r w:rsidRPr="006D571F">
        <w:rPr>
          <w:color w:val="000000" w:themeColor="text1"/>
        </w:rPr>
        <w:t>the Part, substitute:</w:t>
      </w:r>
    </w:p>
    <w:p w:rsidR="00202D52" w:rsidRPr="00C021B3" w:rsidRDefault="00202D52" w:rsidP="00202D52">
      <w:pPr>
        <w:pStyle w:val="h2Part"/>
      </w:pPr>
      <w:r w:rsidRPr="00C021B3">
        <w:rPr>
          <w:rStyle w:val="CharPartNo"/>
        </w:rPr>
        <w:t>Part 6</w:t>
      </w:r>
      <w:r w:rsidRPr="00C021B3">
        <w:t>—</w:t>
      </w:r>
      <w:r w:rsidRPr="00C021B3">
        <w:rPr>
          <w:rStyle w:val="CharPartText"/>
        </w:rPr>
        <w:t>Indirect (scope 2) emission factors from consumption of electricity purchased or lost from grid</w:t>
      </w:r>
      <w:bookmarkEnd w:id="135"/>
      <w:bookmarkEnd w:id="136"/>
    </w:p>
    <w:p w:rsidR="00202D52" w:rsidRPr="00C021B3" w:rsidRDefault="00202D52" w:rsidP="00842BBD">
      <w:pPr>
        <w:pStyle w:val="Header"/>
      </w:pPr>
      <w:r w:rsidRPr="00C021B3">
        <w:rPr>
          <w:rStyle w:val="CharDivNo"/>
        </w:rPr>
        <w:t xml:space="preserve"> </w:t>
      </w:r>
      <w:r w:rsidRPr="00C021B3">
        <w:rPr>
          <w:rStyle w:val="CharDivText"/>
        </w:rPr>
        <w:t xml:space="preserve"> </w:t>
      </w:r>
    </w:p>
    <w:tbl>
      <w:tblPr>
        <w:tblW w:w="8415"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3"/>
        <w:gridCol w:w="5874"/>
        <w:gridCol w:w="1818"/>
      </w:tblGrid>
      <w:tr w:rsidR="00202D52" w:rsidRPr="00C021B3" w:rsidTr="000913EA">
        <w:trPr>
          <w:tblHeader/>
        </w:trPr>
        <w:tc>
          <w:tcPr>
            <w:tcW w:w="8415" w:type="dxa"/>
            <w:gridSpan w:val="3"/>
            <w:tcBorders>
              <w:top w:val="single" w:sz="12" w:space="0" w:color="auto"/>
              <w:bottom w:val="single" w:sz="6" w:space="0" w:color="auto"/>
            </w:tcBorders>
            <w:shd w:val="clear" w:color="auto" w:fill="auto"/>
          </w:tcPr>
          <w:p w:rsidR="00202D52" w:rsidRPr="00C021B3" w:rsidRDefault="00202D52" w:rsidP="000913EA">
            <w:pPr>
              <w:pStyle w:val="TableHeading"/>
            </w:pPr>
            <w:r w:rsidRPr="00C021B3">
              <w:t>Indirect (scope 2) emissions factors from consumption of electricity purchased or lost from grid</w:t>
            </w:r>
          </w:p>
        </w:tc>
      </w:tr>
      <w:tr w:rsidR="00202D52" w:rsidRPr="00C021B3" w:rsidTr="000913EA">
        <w:trPr>
          <w:tblHeader/>
        </w:trPr>
        <w:tc>
          <w:tcPr>
            <w:tcW w:w="723" w:type="dxa"/>
            <w:tcBorders>
              <w:top w:val="single" w:sz="6" w:space="0" w:color="auto"/>
              <w:bottom w:val="single" w:sz="12" w:space="0" w:color="auto"/>
            </w:tcBorders>
            <w:shd w:val="clear" w:color="auto" w:fill="auto"/>
          </w:tcPr>
          <w:p w:rsidR="00202D52" w:rsidRPr="00C021B3" w:rsidRDefault="00202D52" w:rsidP="000913EA">
            <w:pPr>
              <w:pStyle w:val="TableHeading"/>
            </w:pPr>
            <w:r w:rsidRPr="00C021B3">
              <w:t>Item</w:t>
            </w:r>
          </w:p>
        </w:tc>
        <w:tc>
          <w:tcPr>
            <w:tcW w:w="5874" w:type="dxa"/>
            <w:tcBorders>
              <w:top w:val="single" w:sz="6" w:space="0" w:color="auto"/>
              <w:bottom w:val="single" w:sz="12" w:space="0" w:color="auto"/>
            </w:tcBorders>
            <w:shd w:val="clear" w:color="auto" w:fill="auto"/>
          </w:tcPr>
          <w:p w:rsidR="00202D52" w:rsidRPr="00C021B3" w:rsidRDefault="00202D52" w:rsidP="000913EA">
            <w:pPr>
              <w:pStyle w:val="TableHeading"/>
            </w:pPr>
            <w:r w:rsidRPr="00C021B3">
              <w:t>Column 1</w:t>
            </w:r>
          </w:p>
          <w:p w:rsidR="00202D52" w:rsidRPr="00C021B3" w:rsidRDefault="00202D52" w:rsidP="000913EA">
            <w:pPr>
              <w:pStyle w:val="TableHeading"/>
            </w:pPr>
            <w:r w:rsidRPr="00C021B3">
              <w:t>State, Territory or grid description</w:t>
            </w:r>
          </w:p>
        </w:tc>
        <w:tc>
          <w:tcPr>
            <w:tcW w:w="1818" w:type="dxa"/>
            <w:tcBorders>
              <w:top w:val="single" w:sz="6" w:space="0" w:color="auto"/>
              <w:bottom w:val="single" w:sz="12" w:space="0" w:color="auto"/>
            </w:tcBorders>
            <w:shd w:val="clear" w:color="auto" w:fill="auto"/>
          </w:tcPr>
          <w:p w:rsidR="00202D52" w:rsidRPr="00C021B3" w:rsidRDefault="00202D52" w:rsidP="000913EA">
            <w:pPr>
              <w:pStyle w:val="TableHeading"/>
              <w:jc w:val="right"/>
            </w:pPr>
            <w:r w:rsidRPr="00C021B3">
              <w:t>Column 2</w:t>
            </w:r>
          </w:p>
          <w:p w:rsidR="00202D52" w:rsidRPr="00C021B3" w:rsidRDefault="00202D52" w:rsidP="000913EA">
            <w:pPr>
              <w:pStyle w:val="TableHeading"/>
              <w:jc w:val="right"/>
            </w:pPr>
            <w:r w:rsidRPr="00C021B3">
              <w:t>Emission factor</w:t>
            </w:r>
            <w:r w:rsidRPr="00C021B3">
              <w:br/>
              <w:t>kg CO</w:t>
            </w:r>
            <w:r w:rsidRPr="00C021B3">
              <w:rPr>
                <w:vertAlign w:val="subscript"/>
              </w:rPr>
              <w:t>2</w:t>
            </w:r>
            <w:r>
              <w:noBreakHyphen/>
            </w:r>
            <w:r w:rsidRPr="00C021B3">
              <w:t>e/kWh</w:t>
            </w:r>
          </w:p>
        </w:tc>
      </w:tr>
      <w:tr w:rsidR="00202D52" w:rsidRPr="004C54CC" w:rsidTr="000913EA">
        <w:tc>
          <w:tcPr>
            <w:tcW w:w="723" w:type="dxa"/>
            <w:tcBorders>
              <w:top w:val="single" w:sz="12" w:space="0" w:color="auto"/>
            </w:tcBorders>
            <w:shd w:val="clear" w:color="auto" w:fill="auto"/>
          </w:tcPr>
          <w:p w:rsidR="00202D52" w:rsidRPr="00C021B3" w:rsidRDefault="00202D52" w:rsidP="000913EA">
            <w:pPr>
              <w:pStyle w:val="Tabletext"/>
            </w:pPr>
            <w:r w:rsidRPr="00C021B3">
              <w:t>77</w:t>
            </w:r>
          </w:p>
        </w:tc>
        <w:tc>
          <w:tcPr>
            <w:tcW w:w="5874" w:type="dxa"/>
            <w:tcBorders>
              <w:top w:val="single" w:sz="12" w:space="0" w:color="auto"/>
            </w:tcBorders>
            <w:shd w:val="clear" w:color="auto" w:fill="auto"/>
          </w:tcPr>
          <w:p w:rsidR="00202D52" w:rsidRPr="00C021B3" w:rsidRDefault="00202D52" w:rsidP="000913EA">
            <w:pPr>
              <w:pStyle w:val="Tabletext"/>
            </w:pPr>
            <w:r w:rsidRPr="00C021B3">
              <w:t>New South Wales and Australian Capital Territory</w:t>
            </w:r>
          </w:p>
        </w:tc>
        <w:tc>
          <w:tcPr>
            <w:tcW w:w="1818" w:type="dxa"/>
            <w:tcBorders>
              <w:top w:val="single" w:sz="12" w:space="0" w:color="auto"/>
            </w:tcBorders>
            <w:shd w:val="clear" w:color="auto" w:fill="auto"/>
          </w:tcPr>
          <w:p w:rsidR="00202D52" w:rsidRPr="004C54CC" w:rsidRDefault="004C54CC" w:rsidP="000913EA">
            <w:pPr>
              <w:pStyle w:val="Tabletext"/>
              <w:jc w:val="right"/>
            </w:pPr>
            <w:r w:rsidRPr="004C54CC">
              <w:t>0.79</w:t>
            </w:r>
          </w:p>
        </w:tc>
      </w:tr>
      <w:tr w:rsidR="00202D52" w:rsidRPr="004C54CC" w:rsidTr="000913EA">
        <w:tc>
          <w:tcPr>
            <w:tcW w:w="723" w:type="dxa"/>
            <w:shd w:val="clear" w:color="auto" w:fill="auto"/>
          </w:tcPr>
          <w:p w:rsidR="00202D52" w:rsidRPr="00C021B3" w:rsidRDefault="00202D52" w:rsidP="000913EA">
            <w:pPr>
              <w:pStyle w:val="Tabletext"/>
            </w:pPr>
            <w:r w:rsidRPr="00C021B3">
              <w:t>78</w:t>
            </w:r>
          </w:p>
        </w:tc>
        <w:tc>
          <w:tcPr>
            <w:tcW w:w="5874" w:type="dxa"/>
            <w:shd w:val="clear" w:color="auto" w:fill="auto"/>
          </w:tcPr>
          <w:p w:rsidR="00202D52" w:rsidRPr="00C021B3" w:rsidRDefault="00202D52" w:rsidP="000913EA">
            <w:pPr>
              <w:pStyle w:val="Tabletext"/>
            </w:pPr>
            <w:r w:rsidRPr="00C021B3">
              <w:t>Victoria</w:t>
            </w:r>
          </w:p>
        </w:tc>
        <w:tc>
          <w:tcPr>
            <w:tcW w:w="1818" w:type="dxa"/>
            <w:shd w:val="clear" w:color="auto" w:fill="auto"/>
          </w:tcPr>
          <w:p w:rsidR="00202D52" w:rsidRPr="004C54CC" w:rsidRDefault="004C54CC" w:rsidP="000913EA">
            <w:pPr>
              <w:pStyle w:val="Tabletext"/>
              <w:jc w:val="right"/>
            </w:pPr>
            <w:r w:rsidRPr="004C54CC">
              <w:t>0.96</w:t>
            </w:r>
          </w:p>
        </w:tc>
      </w:tr>
      <w:tr w:rsidR="00202D52" w:rsidRPr="004C54CC" w:rsidTr="000913EA">
        <w:tc>
          <w:tcPr>
            <w:tcW w:w="723" w:type="dxa"/>
            <w:shd w:val="clear" w:color="auto" w:fill="auto"/>
          </w:tcPr>
          <w:p w:rsidR="00202D52" w:rsidRPr="00C021B3" w:rsidRDefault="00202D52" w:rsidP="000913EA">
            <w:pPr>
              <w:pStyle w:val="Tabletext"/>
            </w:pPr>
            <w:r w:rsidRPr="00C021B3">
              <w:t>79</w:t>
            </w:r>
          </w:p>
        </w:tc>
        <w:tc>
          <w:tcPr>
            <w:tcW w:w="5874" w:type="dxa"/>
            <w:shd w:val="clear" w:color="auto" w:fill="auto"/>
          </w:tcPr>
          <w:p w:rsidR="00202D52" w:rsidRPr="00C021B3" w:rsidRDefault="00202D52" w:rsidP="000913EA">
            <w:pPr>
              <w:pStyle w:val="Tabletext"/>
            </w:pPr>
            <w:r w:rsidRPr="00C021B3">
              <w:t>Queensland</w:t>
            </w:r>
          </w:p>
        </w:tc>
        <w:tc>
          <w:tcPr>
            <w:tcW w:w="1818" w:type="dxa"/>
            <w:shd w:val="clear" w:color="auto" w:fill="auto"/>
          </w:tcPr>
          <w:p w:rsidR="00202D52" w:rsidRPr="004C54CC" w:rsidRDefault="004C54CC" w:rsidP="000913EA">
            <w:pPr>
              <w:pStyle w:val="Tabletext"/>
              <w:jc w:val="right"/>
            </w:pPr>
            <w:r w:rsidRPr="004C54CC">
              <w:t>0.80</w:t>
            </w:r>
          </w:p>
        </w:tc>
      </w:tr>
      <w:tr w:rsidR="00202D52" w:rsidRPr="004C54CC" w:rsidTr="000913EA">
        <w:tc>
          <w:tcPr>
            <w:tcW w:w="723" w:type="dxa"/>
            <w:shd w:val="clear" w:color="auto" w:fill="auto"/>
          </w:tcPr>
          <w:p w:rsidR="00202D52" w:rsidRPr="00C021B3" w:rsidRDefault="00202D52" w:rsidP="000913EA">
            <w:pPr>
              <w:pStyle w:val="Tabletext"/>
            </w:pPr>
            <w:r w:rsidRPr="00C021B3">
              <w:t>80</w:t>
            </w:r>
          </w:p>
        </w:tc>
        <w:tc>
          <w:tcPr>
            <w:tcW w:w="5874" w:type="dxa"/>
            <w:shd w:val="clear" w:color="auto" w:fill="auto"/>
          </w:tcPr>
          <w:p w:rsidR="00202D52" w:rsidRPr="00C021B3" w:rsidRDefault="00202D52" w:rsidP="000913EA">
            <w:pPr>
              <w:pStyle w:val="Tabletext"/>
            </w:pPr>
            <w:r w:rsidRPr="00C021B3">
              <w:t>South Australia</w:t>
            </w:r>
          </w:p>
        </w:tc>
        <w:tc>
          <w:tcPr>
            <w:tcW w:w="1818" w:type="dxa"/>
            <w:shd w:val="clear" w:color="auto" w:fill="auto"/>
          </w:tcPr>
          <w:p w:rsidR="00202D52" w:rsidRPr="004C54CC" w:rsidRDefault="004C54CC" w:rsidP="000913EA">
            <w:pPr>
              <w:pStyle w:val="Tabletext"/>
              <w:jc w:val="right"/>
            </w:pPr>
            <w:r w:rsidRPr="004C54CC">
              <w:t>0.35</w:t>
            </w:r>
          </w:p>
        </w:tc>
      </w:tr>
      <w:tr w:rsidR="00202D52" w:rsidRPr="004C54CC" w:rsidTr="000913EA">
        <w:tc>
          <w:tcPr>
            <w:tcW w:w="723" w:type="dxa"/>
            <w:shd w:val="clear" w:color="auto" w:fill="auto"/>
          </w:tcPr>
          <w:p w:rsidR="00202D52" w:rsidRPr="00C021B3" w:rsidRDefault="00202D52" w:rsidP="000913EA">
            <w:pPr>
              <w:pStyle w:val="Tabletext"/>
            </w:pPr>
            <w:r w:rsidRPr="00C021B3">
              <w:t>81</w:t>
            </w:r>
          </w:p>
        </w:tc>
        <w:tc>
          <w:tcPr>
            <w:tcW w:w="5874" w:type="dxa"/>
            <w:shd w:val="clear" w:color="auto" w:fill="auto"/>
          </w:tcPr>
          <w:p w:rsidR="00202D52" w:rsidRPr="00C021B3" w:rsidRDefault="00202D52" w:rsidP="000913EA">
            <w:pPr>
              <w:pStyle w:val="Tabletext"/>
            </w:pPr>
            <w:r w:rsidRPr="00C021B3">
              <w:t>South West Interconnected System in Western Australia</w:t>
            </w:r>
          </w:p>
        </w:tc>
        <w:tc>
          <w:tcPr>
            <w:tcW w:w="1818" w:type="dxa"/>
            <w:shd w:val="clear" w:color="auto" w:fill="auto"/>
          </w:tcPr>
          <w:p w:rsidR="00202D52" w:rsidRPr="004C54CC" w:rsidRDefault="00202D52" w:rsidP="000913EA">
            <w:pPr>
              <w:pStyle w:val="Tabletext"/>
              <w:jc w:val="right"/>
            </w:pPr>
            <w:r w:rsidRPr="004C54CC">
              <w:t>0.68</w:t>
            </w:r>
          </w:p>
        </w:tc>
      </w:tr>
      <w:tr w:rsidR="00202D52" w:rsidRPr="004C54CC" w:rsidTr="000913EA">
        <w:tc>
          <w:tcPr>
            <w:tcW w:w="723" w:type="dxa"/>
            <w:tcBorders>
              <w:bottom w:val="single" w:sz="4" w:space="0" w:color="auto"/>
            </w:tcBorders>
            <w:shd w:val="clear" w:color="auto" w:fill="auto"/>
          </w:tcPr>
          <w:p w:rsidR="00202D52" w:rsidRPr="00C021B3" w:rsidRDefault="00202D52" w:rsidP="000913EA">
            <w:pPr>
              <w:pStyle w:val="Tabletext"/>
            </w:pPr>
            <w:r w:rsidRPr="00C021B3">
              <w:t>82</w:t>
            </w:r>
          </w:p>
        </w:tc>
        <w:tc>
          <w:tcPr>
            <w:tcW w:w="5874" w:type="dxa"/>
            <w:tcBorders>
              <w:bottom w:val="single" w:sz="4" w:space="0" w:color="auto"/>
            </w:tcBorders>
            <w:shd w:val="clear" w:color="auto" w:fill="auto"/>
          </w:tcPr>
          <w:p w:rsidR="00202D52" w:rsidRPr="00C021B3" w:rsidRDefault="00202D52" w:rsidP="000913EA">
            <w:pPr>
              <w:pStyle w:val="Tabletext"/>
            </w:pPr>
            <w:r w:rsidRPr="00C021B3">
              <w:t>Tasmania</w:t>
            </w:r>
          </w:p>
        </w:tc>
        <w:tc>
          <w:tcPr>
            <w:tcW w:w="1818" w:type="dxa"/>
            <w:tcBorders>
              <w:bottom w:val="single" w:sz="4" w:space="0" w:color="auto"/>
            </w:tcBorders>
            <w:shd w:val="clear" w:color="auto" w:fill="auto"/>
          </w:tcPr>
          <w:p w:rsidR="00202D52" w:rsidRPr="004C54CC" w:rsidRDefault="004C54CC" w:rsidP="000913EA">
            <w:pPr>
              <w:pStyle w:val="Tabletext"/>
              <w:jc w:val="right"/>
            </w:pPr>
            <w:r w:rsidRPr="004C54CC">
              <w:t>0.16</w:t>
            </w:r>
          </w:p>
        </w:tc>
      </w:tr>
      <w:tr w:rsidR="00202D52" w:rsidRPr="004C54CC" w:rsidTr="000913EA">
        <w:tc>
          <w:tcPr>
            <w:tcW w:w="723" w:type="dxa"/>
            <w:tcBorders>
              <w:bottom w:val="single" w:sz="12" w:space="0" w:color="auto"/>
            </w:tcBorders>
            <w:shd w:val="clear" w:color="auto" w:fill="auto"/>
          </w:tcPr>
          <w:p w:rsidR="00202D52" w:rsidRPr="00C021B3" w:rsidRDefault="00202D52" w:rsidP="000913EA">
            <w:pPr>
              <w:pStyle w:val="Tabletext"/>
            </w:pPr>
            <w:r w:rsidRPr="00C021B3">
              <w:t>83</w:t>
            </w:r>
          </w:p>
        </w:tc>
        <w:tc>
          <w:tcPr>
            <w:tcW w:w="5874" w:type="dxa"/>
            <w:tcBorders>
              <w:bottom w:val="single" w:sz="12" w:space="0" w:color="auto"/>
            </w:tcBorders>
            <w:shd w:val="clear" w:color="auto" w:fill="auto"/>
          </w:tcPr>
          <w:p w:rsidR="00202D52" w:rsidRPr="00C021B3" w:rsidRDefault="00202D52" w:rsidP="000913EA">
            <w:pPr>
              <w:pStyle w:val="Tabletext"/>
            </w:pPr>
            <w:r w:rsidRPr="00C021B3">
              <w:t>Northern Territory</w:t>
            </w:r>
          </w:p>
        </w:tc>
        <w:tc>
          <w:tcPr>
            <w:tcW w:w="1818" w:type="dxa"/>
            <w:tcBorders>
              <w:bottom w:val="single" w:sz="12" w:space="0" w:color="auto"/>
            </w:tcBorders>
            <w:shd w:val="clear" w:color="auto" w:fill="auto"/>
          </w:tcPr>
          <w:p w:rsidR="00202D52" w:rsidRPr="004C54CC" w:rsidRDefault="004C54CC" w:rsidP="000913EA">
            <w:pPr>
              <w:pStyle w:val="Tabletext"/>
              <w:jc w:val="right"/>
            </w:pPr>
            <w:r w:rsidRPr="004C54CC">
              <w:t>0.57</w:t>
            </w:r>
          </w:p>
        </w:tc>
      </w:tr>
    </w:tbl>
    <w:p w:rsidR="00193D3A" w:rsidRDefault="00193D3A" w:rsidP="00193D3A">
      <w:pPr>
        <w:rPr>
          <w:lang w:eastAsia="en-AU"/>
        </w:rPr>
      </w:pPr>
    </w:p>
    <w:p w:rsidR="002147E6" w:rsidRPr="004E5BEF" w:rsidRDefault="00CE207D" w:rsidP="002147E6">
      <w:pPr>
        <w:pStyle w:val="h5SchItem"/>
      </w:pPr>
      <w:r>
        <w:t>[28]</w:t>
      </w:r>
      <w:r w:rsidR="002147E6" w:rsidRPr="00826C3E">
        <w:t xml:space="preserve"> </w:t>
      </w:r>
      <w:r w:rsidR="002147E6" w:rsidRPr="00826C3E">
        <w:tab/>
      </w:r>
      <w:r w:rsidR="002147E6" w:rsidRPr="00C021B3">
        <w:t>Part</w:t>
      </w:r>
      <w:r w:rsidR="00CA5526">
        <w:t> 3 of Schedule 3</w:t>
      </w:r>
    </w:p>
    <w:p w:rsidR="002147E6" w:rsidRDefault="002147E6" w:rsidP="003041A6">
      <w:pPr>
        <w:ind w:left="425" w:firstLine="425"/>
        <w:rPr>
          <w:color w:val="000000" w:themeColor="text1"/>
        </w:rPr>
      </w:pPr>
      <w:r w:rsidRPr="003041A6">
        <w:rPr>
          <w:lang w:eastAsia="en-AU"/>
        </w:rPr>
        <w:t>Repeal</w:t>
      </w:r>
      <w:r>
        <w:rPr>
          <w:color w:val="000000" w:themeColor="text1"/>
        </w:rPr>
        <w:t xml:space="preserve"> </w:t>
      </w:r>
      <w:r w:rsidR="00CA5526">
        <w:rPr>
          <w:color w:val="000000" w:themeColor="text1"/>
        </w:rPr>
        <w:t>the items</w:t>
      </w:r>
      <w:r w:rsidRPr="006D571F">
        <w:rPr>
          <w:color w:val="000000" w:themeColor="text1"/>
        </w:rPr>
        <w:t>, substitute:</w:t>
      </w:r>
    </w:p>
    <w:tbl>
      <w:tblPr>
        <w:tblW w:w="5000" w:type="pct"/>
        <w:shd w:val="clear" w:color="auto" w:fill="FFFFFF"/>
        <w:tblCellMar>
          <w:left w:w="0" w:type="dxa"/>
          <w:right w:w="0" w:type="dxa"/>
        </w:tblCellMar>
        <w:tblLook w:val="04A0" w:firstRow="1" w:lastRow="0" w:firstColumn="1" w:lastColumn="0" w:noHBand="0" w:noVBand="1"/>
      </w:tblPr>
      <w:tblGrid>
        <w:gridCol w:w="722"/>
        <w:gridCol w:w="6138"/>
        <w:gridCol w:w="2166"/>
      </w:tblGrid>
      <w:tr w:rsidR="00CA5526" w:rsidRPr="00B32A45" w:rsidTr="000913EA">
        <w:trPr>
          <w:trHeight w:val="20"/>
        </w:trPr>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33</w:t>
            </w:r>
          </w:p>
        </w:tc>
        <w:tc>
          <w:tcPr>
            <w:tcW w:w="34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Crude oil</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0.861 tC/t fuel</w:t>
            </w:r>
          </w:p>
        </w:tc>
      </w:tr>
      <w:tr w:rsidR="00CA5526" w:rsidRPr="00B32A45" w:rsidTr="000913EA">
        <w:trPr>
          <w:trHeight w:val="20"/>
        </w:trPr>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34</w:t>
            </w:r>
          </w:p>
        </w:tc>
        <w:tc>
          <w:tcPr>
            <w:tcW w:w="34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Plant condensate and other natural gas liquids not covered by another item in this table</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rsidR="00CA5526" w:rsidRPr="00B32A45" w:rsidRDefault="00CA5526" w:rsidP="000913EA">
            <w:pPr>
              <w:spacing w:before="60" w:line="240" w:lineRule="atLeast"/>
              <w:rPr>
                <w:rFonts w:eastAsia="Times New Roman"/>
                <w:sz w:val="20"/>
                <w:lang w:eastAsia="en-AU"/>
              </w:rPr>
            </w:pPr>
            <w:r w:rsidRPr="00B32A45">
              <w:rPr>
                <w:rFonts w:eastAsia="Times New Roman"/>
                <w:sz w:val="20"/>
                <w:lang w:eastAsia="en-AU"/>
              </w:rPr>
              <w:t>0.774 tC/t fuel</w:t>
            </w:r>
          </w:p>
        </w:tc>
      </w:tr>
    </w:tbl>
    <w:p w:rsidR="00CA5526" w:rsidRPr="006D571F" w:rsidRDefault="00CA5526" w:rsidP="003041A6">
      <w:pPr>
        <w:ind w:left="425" w:firstLine="425"/>
        <w:rPr>
          <w:color w:val="000000" w:themeColor="text1"/>
        </w:rPr>
      </w:pPr>
    </w:p>
    <w:p w:rsidR="00326C9B" w:rsidRPr="004E5BEF" w:rsidRDefault="00CE207D" w:rsidP="00326C9B">
      <w:pPr>
        <w:pStyle w:val="h5SchItem"/>
      </w:pPr>
      <w:r>
        <w:t>[29]</w:t>
      </w:r>
      <w:r w:rsidR="00326C9B" w:rsidRPr="00826C3E">
        <w:t xml:space="preserve"> </w:t>
      </w:r>
      <w:r w:rsidR="00326C9B" w:rsidRPr="00826C3E">
        <w:tab/>
      </w:r>
      <w:r w:rsidR="00842BBD">
        <w:t>After Schedule 3</w:t>
      </w:r>
    </w:p>
    <w:p w:rsidR="00326C9B" w:rsidRDefault="00842BBD" w:rsidP="00326C9B">
      <w:pPr>
        <w:ind w:left="425" w:firstLine="425"/>
        <w:rPr>
          <w:lang w:eastAsia="en-AU"/>
        </w:rPr>
      </w:pPr>
      <w:r>
        <w:rPr>
          <w:lang w:eastAsia="en-AU"/>
        </w:rPr>
        <w:t>Add:</w:t>
      </w:r>
    </w:p>
    <w:p w:rsidR="00842BBD" w:rsidRPr="00202D52" w:rsidRDefault="00842BBD" w:rsidP="00326C9B">
      <w:pPr>
        <w:ind w:left="425" w:firstLine="425"/>
        <w:rPr>
          <w:rStyle w:val="CharPartNo"/>
          <w:color w:val="000000" w:themeColor="text1"/>
        </w:rPr>
      </w:pPr>
    </w:p>
    <w:p w:rsidR="000913EA" w:rsidRPr="006F7767" w:rsidRDefault="000913EA" w:rsidP="000913EA">
      <w:pPr>
        <w:pStyle w:val="h1Chap"/>
        <w:pageBreakBefore/>
        <w:spacing w:before="240"/>
      </w:pPr>
      <w:r w:rsidRPr="006F7767">
        <w:rPr>
          <w:rStyle w:val="CharChapNo"/>
        </w:rPr>
        <w:lastRenderedPageBreak/>
        <w:t>Schedule 4</w:t>
      </w:r>
      <w:r w:rsidRPr="006F7767">
        <w:t>—</w:t>
      </w:r>
      <w:r w:rsidRPr="006F7767">
        <w:rPr>
          <w:rStyle w:val="CharChapText"/>
        </w:rPr>
        <w:t>Matters to be identified for sources</w:t>
      </w:r>
    </w:p>
    <w:p w:rsidR="000913EA" w:rsidRPr="006F7767" w:rsidRDefault="000913EA" w:rsidP="000913EA">
      <w:pPr>
        <w:pStyle w:val="ntoHeading"/>
      </w:pPr>
      <w:bookmarkStart w:id="137" w:name="BK_S4P122L3C1"/>
      <w:bookmarkEnd w:id="137"/>
      <w:r w:rsidRPr="006F7767">
        <w:t xml:space="preserve">(See </w:t>
      </w:r>
      <w:r w:rsidR="004D2353">
        <w:t xml:space="preserve">subsection 1.4(3) and </w:t>
      </w:r>
      <w:r w:rsidRPr="006F7767">
        <w:t>regulations 4.10, 4.11, 4.13, 4.14, 4.15 and 4.17 of the Regulations)</w:t>
      </w:r>
    </w:p>
    <w:p w:rsidR="000913EA" w:rsidRPr="006F7767" w:rsidRDefault="000913EA" w:rsidP="000913EA">
      <w:pPr>
        <w:pStyle w:val="h2Part"/>
      </w:pPr>
      <w:bookmarkStart w:id="138" w:name="BK_S4P122L4C1"/>
      <w:bookmarkStart w:id="139" w:name="_Toc46932450"/>
      <w:bookmarkEnd w:id="138"/>
      <w:r w:rsidRPr="006F7767">
        <w:rPr>
          <w:rStyle w:val="CharPartNo"/>
        </w:rPr>
        <w:t>Part 1</w:t>
      </w:r>
      <w:r w:rsidRPr="006F7767">
        <w:t>—</w:t>
      </w:r>
      <w:r w:rsidRPr="006F7767">
        <w:rPr>
          <w:rStyle w:val="CharPartText"/>
        </w:rPr>
        <w:t>Coal mining</w:t>
      </w:r>
      <w:bookmarkEnd w:id="139"/>
    </w:p>
    <w:p w:rsidR="000913EA" w:rsidRPr="006F7767" w:rsidRDefault="000913EA" w:rsidP="000913EA">
      <w:pPr>
        <w:pStyle w:val="TableHeading"/>
      </w:pPr>
      <w:r w:rsidRPr="006F7767">
        <w:t>Source 2A—Underground mine</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Method 1 for the source, as set out in section</w:t>
            </w:r>
            <w:r w:rsidR="003C22D9">
              <w:t>s</w:t>
            </w:r>
            <w:r w:rsidRPr="006F7767">
              <w:t xml:space="preserve"> 3.5</w:t>
            </w:r>
            <w:r w:rsidR="003C22D9">
              <w:t xml:space="preserve"> and 3.17</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whether the mine is a gassy mine or a non</w:t>
            </w:r>
            <w:r w:rsidRPr="006F7767">
              <w:noBreakHyphen/>
              <w:t>gassy mine</w:t>
            </w:r>
          </w:p>
          <w:p w:rsidR="000913EA" w:rsidRPr="006F7767" w:rsidRDefault="000913EA" w:rsidP="000913EA">
            <w:pPr>
              <w:pStyle w:val="Tablea"/>
            </w:pPr>
            <w:r w:rsidRPr="006F7767">
              <w:t>(c) the tonnes of raw coal produced</w:t>
            </w:r>
          </w:p>
          <w:p w:rsidR="000913EA" w:rsidRPr="006F7767" w:rsidRDefault="000913EA" w:rsidP="000913EA">
            <w:pPr>
              <w:pStyle w:val="Tablea"/>
            </w:pPr>
            <w:r w:rsidRPr="006F7767">
              <w:rPr>
                <w:szCs w:val="22"/>
              </w:rPr>
              <w:t>(d) the tonnes of coal mine waste gas (CO</w:t>
            </w:r>
            <w:r w:rsidRPr="006F7767">
              <w:rPr>
                <w:szCs w:val="22"/>
                <w:vertAlign w:val="subscript"/>
              </w:rPr>
              <w:t>2</w:t>
            </w:r>
            <w:r w:rsidRPr="006F7767">
              <w:rPr>
                <w:szCs w:val="22"/>
              </w:rPr>
              <w:noBreakHyphen/>
              <w:t>e) flared</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t>2</w:t>
            </w:r>
          </w:p>
        </w:tc>
        <w:tc>
          <w:tcPr>
            <w:tcW w:w="1387" w:type="pct"/>
            <w:tcBorders>
              <w:bottom w:val="nil"/>
            </w:tcBorders>
            <w:shd w:val="clear" w:color="auto" w:fill="auto"/>
          </w:tcPr>
          <w:p w:rsidR="000913EA" w:rsidRPr="006F7767" w:rsidRDefault="000913EA" w:rsidP="000913EA">
            <w:pPr>
              <w:pStyle w:val="Tabletext"/>
            </w:pPr>
            <w:r w:rsidRPr="006F7767">
              <w:t>Method 4 for the source, as set out in section 3.6</w:t>
            </w:r>
          </w:p>
        </w:tc>
        <w:tc>
          <w:tcPr>
            <w:tcW w:w="3193" w:type="pct"/>
            <w:tcBorders>
              <w:bottom w:val="nil"/>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the tonnes of raw coal produced</w:t>
            </w:r>
          </w:p>
          <w:p w:rsidR="000913EA" w:rsidRPr="006F7767" w:rsidRDefault="000913EA" w:rsidP="000913EA">
            <w:pPr>
              <w:pStyle w:val="Tablea"/>
            </w:pPr>
            <w:r w:rsidRPr="006F7767">
              <w:t>(c)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for energy production on site</w:t>
            </w:r>
          </w:p>
        </w:tc>
      </w:tr>
      <w:tr w:rsidR="000913EA" w:rsidRPr="006F7767" w:rsidTr="000913EA">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(d)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and transferred off site</w:t>
            </w:r>
          </w:p>
          <w:p w:rsidR="000913EA" w:rsidRPr="006F7767" w:rsidRDefault="000913EA" w:rsidP="000913EA">
            <w:pPr>
              <w:pStyle w:val="Tablea"/>
            </w:pPr>
            <w:r w:rsidRPr="006F7767">
              <w:t>(e)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flared</w:t>
            </w:r>
          </w:p>
        </w:tc>
      </w:tr>
    </w:tbl>
    <w:p w:rsidR="000913EA" w:rsidRPr="006F7767" w:rsidRDefault="000913EA" w:rsidP="000913EA">
      <w:pPr>
        <w:pStyle w:val="TableHeading"/>
      </w:pPr>
    </w:p>
    <w:p w:rsidR="000913EA" w:rsidRPr="006F7767" w:rsidRDefault="000913EA" w:rsidP="000913EA">
      <w:pPr>
        <w:pStyle w:val="TableHeading"/>
      </w:pPr>
      <w:r w:rsidRPr="006F7767">
        <w:t>Source 2B—Open cut mine</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rPr>
          <w:trHeight w:val="70"/>
        </w:trPr>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Method 1 for the source, as set out in section 3.20</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the tonnes of raw coal produced</w:t>
            </w:r>
          </w:p>
          <w:p w:rsidR="000913EA" w:rsidRPr="006F7767" w:rsidRDefault="000913EA" w:rsidP="000913EA">
            <w:pPr>
              <w:pStyle w:val="Tablea"/>
            </w:pPr>
            <w:r w:rsidRPr="006F7767">
              <w:t>(c) the tonnes of coal mine waste gas flared</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t>2</w:t>
            </w:r>
          </w:p>
        </w:tc>
        <w:tc>
          <w:tcPr>
            <w:tcW w:w="1387" w:type="pct"/>
            <w:tcBorders>
              <w:bottom w:val="nil"/>
            </w:tcBorders>
            <w:shd w:val="clear" w:color="auto" w:fill="auto"/>
          </w:tcPr>
          <w:p w:rsidR="000913EA" w:rsidRPr="006F7767" w:rsidRDefault="000913EA" w:rsidP="000913EA">
            <w:pPr>
              <w:pStyle w:val="Tabletext"/>
            </w:pPr>
            <w:r w:rsidRPr="006F7767">
              <w:t>Methods 2 and 3 for the source, as set out in sections 3.21 and 3.26</w:t>
            </w:r>
          </w:p>
        </w:tc>
        <w:tc>
          <w:tcPr>
            <w:tcW w:w="3193" w:type="pct"/>
            <w:tcBorders>
              <w:bottom w:val="nil"/>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the tonnes of raw coal produced</w:t>
            </w:r>
          </w:p>
          <w:p w:rsidR="000913EA" w:rsidRPr="006F7767" w:rsidRDefault="000913EA" w:rsidP="000913EA">
            <w:pPr>
              <w:pStyle w:val="Tablea"/>
            </w:pPr>
            <w:r w:rsidRPr="006F7767">
              <w:t>(c)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for energy production on site</w:t>
            </w:r>
          </w:p>
        </w:tc>
      </w:tr>
      <w:tr w:rsidR="000913EA" w:rsidRPr="006F7767" w:rsidTr="000913EA">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(d)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and transferred off site</w:t>
            </w:r>
          </w:p>
          <w:p w:rsidR="000913EA" w:rsidRPr="006F7767" w:rsidRDefault="000913EA" w:rsidP="000913EA">
            <w:pPr>
              <w:pStyle w:val="Tablea"/>
            </w:pPr>
            <w:r w:rsidRPr="006F7767">
              <w:t>(e)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flared</w:t>
            </w:r>
          </w:p>
          <w:p w:rsidR="000913EA" w:rsidRPr="006F7767" w:rsidRDefault="000913EA" w:rsidP="000913EA">
            <w:pPr>
              <w:pStyle w:val="Tablea"/>
            </w:pPr>
            <w:r w:rsidRPr="006F7767">
              <w:t>(f) the tonnes of methane (CO</w:t>
            </w:r>
            <w:r w:rsidRPr="006F7767">
              <w:rPr>
                <w:rStyle w:val="charSubscript"/>
              </w:rPr>
              <w:t>2</w:t>
            </w:r>
            <w:r w:rsidRPr="006F7767">
              <w:noBreakHyphen/>
              <w:t>e) and the tonnes of carbon dioxide vented</w:t>
            </w:r>
          </w:p>
        </w:tc>
      </w:tr>
    </w:tbl>
    <w:p w:rsidR="000913EA" w:rsidRPr="006F7767" w:rsidRDefault="000913EA" w:rsidP="000913EA">
      <w:pPr>
        <w:pStyle w:val="TableHeading"/>
      </w:pPr>
      <w:r w:rsidRPr="006F7767">
        <w:t>Source 2C—Decommissioned underground mine</w:t>
      </w:r>
    </w:p>
    <w:p w:rsidR="000913EA" w:rsidRPr="006F7767" w:rsidRDefault="000913EA" w:rsidP="000913EA">
      <w:pPr>
        <w:pStyle w:val="Tabletext"/>
        <w:keepN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rHeight w:val="431"/>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rPr>
          <w:trHeight w:val="1304"/>
        </w:trPr>
        <w:tc>
          <w:tcPr>
            <w:tcW w:w="420" w:type="pct"/>
            <w:tcBorders>
              <w:top w:val="single" w:sz="12" w:space="0" w:color="auto"/>
              <w:bottom w:val="nil"/>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nil"/>
            </w:tcBorders>
            <w:shd w:val="clear" w:color="auto" w:fill="auto"/>
          </w:tcPr>
          <w:p w:rsidR="000913EA" w:rsidRPr="006F7767" w:rsidRDefault="000913EA" w:rsidP="000913EA">
            <w:pPr>
              <w:pStyle w:val="Tabletext"/>
            </w:pPr>
            <w:r w:rsidRPr="006F7767">
              <w:t>Method 1 for the source, as set out in section 3.32</w:t>
            </w:r>
          </w:p>
        </w:tc>
        <w:tc>
          <w:tcPr>
            <w:tcW w:w="3193" w:type="pct"/>
            <w:tcBorders>
              <w:top w:val="single" w:sz="12" w:space="0" w:color="auto"/>
              <w:bottom w:val="nil"/>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whether the mine is a gassy mine or a non</w:t>
            </w:r>
            <w:r w:rsidRPr="006F7767">
              <w:noBreakHyphen/>
              <w:t>gassy mine</w:t>
            </w:r>
          </w:p>
          <w:p w:rsidR="000913EA" w:rsidRPr="006F7767" w:rsidRDefault="000913EA" w:rsidP="000913EA">
            <w:pPr>
              <w:pStyle w:val="Tablea"/>
            </w:pPr>
            <w:r w:rsidRPr="006F7767">
              <w:t>(c) the tonnes of methane emissions (CO</w:t>
            </w:r>
            <w:r w:rsidRPr="006F7767">
              <w:rPr>
                <w:vertAlign w:val="subscript"/>
              </w:rPr>
              <w:t>2</w:t>
            </w:r>
            <w:r w:rsidRPr="006F7767">
              <w:noBreakHyphen/>
              <w:t>e) from the mine in the last 12 month period before the mine became a decommissioned underground coal mine</w:t>
            </w:r>
          </w:p>
        </w:tc>
      </w:tr>
      <w:tr w:rsidR="000913EA" w:rsidRPr="006F7767" w:rsidTr="000913EA">
        <w:trPr>
          <w:trHeight w:val="80"/>
        </w:trPr>
        <w:tc>
          <w:tcPr>
            <w:tcW w:w="420" w:type="pct"/>
            <w:tcBorders>
              <w:top w:val="nil"/>
              <w:bottom w:val="single" w:sz="4" w:space="0" w:color="auto"/>
            </w:tcBorders>
            <w:shd w:val="clear" w:color="auto" w:fill="auto"/>
          </w:tcPr>
          <w:p w:rsidR="000913EA" w:rsidRPr="006F7767" w:rsidRDefault="000913EA" w:rsidP="000913EA">
            <w:pPr>
              <w:pStyle w:val="Tabletext"/>
            </w:pPr>
          </w:p>
        </w:tc>
        <w:tc>
          <w:tcPr>
            <w:tcW w:w="1387" w:type="pct"/>
            <w:tcBorders>
              <w:top w:val="nil"/>
              <w:bottom w:val="single" w:sz="4" w:space="0" w:color="auto"/>
            </w:tcBorders>
            <w:shd w:val="clear" w:color="auto" w:fill="auto"/>
          </w:tcPr>
          <w:p w:rsidR="000913EA" w:rsidRPr="006F7767" w:rsidRDefault="000913EA" w:rsidP="000913EA">
            <w:pPr>
              <w:pStyle w:val="Tabletext"/>
            </w:pPr>
          </w:p>
        </w:tc>
        <w:tc>
          <w:tcPr>
            <w:tcW w:w="3193" w:type="pct"/>
            <w:tcBorders>
              <w:top w:val="nil"/>
              <w:bottom w:val="single" w:sz="4" w:space="0" w:color="auto"/>
            </w:tcBorders>
            <w:shd w:val="clear" w:color="auto" w:fill="auto"/>
          </w:tcPr>
          <w:p w:rsidR="000913EA" w:rsidRPr="006F7767" w:rsidRDefault="000913EA" w:rsidP="000913EA">
            <w:pPr>
              <w:pStyle w:val="Tablea"/>
            </w:pPr>
            <w:r w:rsidRPr="006F7767">
              <w:t>(d) the date that the mine was decommissioned</w:t>
            </w:r>
          </w:p>
          <w:p w:rsidR="000913EA" w:rsidRPr="006F7767" w:rsidRDefault="000913EA" w:rsidP="000913EA">
            <w:pPr>
              <w:pStyle w:val="Tablea"/>
            </w:pPr>
            <w:r w:rsidRPr="006F7767">
              <w:t>(e) the percentage of the mine void volume flooded</w:t>
            </w:r>
          </w:p>
          <w:p w:rsidR="000913EA" w:rsidRPr="006F7767" w:rsidRDefault="000913EA" w:rsidP="000913EA">
            <w:pPr>
              <w:pStyle w:val="Tablea"/>
            </w:pPr>
            <w:r w:rsidRPr="006F7767">
              <w:rPr>
                <w:szCs w:val="22"/>
              </w:rPr>
              <w:t>(f) the tonnes of coal mine waste gas (CO</w:t>
            </w:r>
            <w:r w:rsidRPr="006F7767">
              <w:rPr>
                <w:szCs w:val="22"/>
                <w:vertAlign w:val="subscript"/>
              </w:rPr>
              <w:t>2</w:t>
            </w:r>
            <w:r w:rsidRPr="006F7767">
              <w:rPr>
                <w:szCs w:val="22"/>
              </w:rPr>
              <w:noBreakHyphen/>
              <w:t>e) flared</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lastRenderedPageBreak/>
              <w:t>2</w:t>
            </w:r>
          </w:p>
        </w:tc>
        <w:tc>
          <w:tcPr>
            <w:tcW w:w="1387" w:type="pct"/>
            <w:tcBorders>
              <w:bottom w:val="nil"/>
            </w:tcBorders>
            <w:shd w:val="clear" w:color="auto" w:fill="auto"/>
          </w:tcPr>
          <w:p w:rsidR="000913EA" w:rsidRPr="006F7767" w:rsidRDefault="000913EA" w:rsidP="000913EA">
            <w:pPr>
              <w:pStyle w:val="Tabletext"/>
            </w:pPr>
            <w:r w:rsidRPr="006F7767">
              <w:t>Method 4 for the source, as set out in section 3.37</w:t>
            </w:r>
          </w:p>
        </w:tc>
        <w:tc>
          <w:tcPr>
            <w:tcW w:w="3193" w:type="pct"/>
            <w:tcBorders>
              <w:bottom w:val="nil"/>
            </w:tcBorders>
            <w:shd w:val="clear" w:color="auto" w:fill="auto"/>
          </w:tcPr>
          <w:p w:rsidR="000913EA" w:rsidRPr="006F7767" w:rsidRDefault="000913EA" w:rsidP="000913EA">
            <w:pPr>
              <w:pStyle w:val="Tablea"/>
            </w:pPr>
            <w:r w:rsidRPr="006F7767">
              <w:t>(a) the location of the mine by State or Territory</w:t>
            </w:r>
          </w:p>
          <w:p w:rsidR="000913EA" w:rsidRPr="006F7767" w:rsidRDefault="000913EA" w:rsidP="000913EA">
            <w:pPr>
              <w:pStyle w:val="Tablea"/>
            </w:pPr>
            <w:r w:rsidRPr="006F7767">
              <w:t>(b)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for energy production on site</w:t>
            </w:r>
          </w:p>
        </w:tc>
      </w:tr>
      <w:tr w:rsidR="000913EA" w:rsidRPr="006F7767" w:rsidTr="000913EA">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(c)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captured and transferred off site</w:t>
            </w:r>
          </w:p>
          <w:p w:rsidR="000913EA" w:rsidRPr="006F7767" w:rsidRDefault="000913EA" w:rsidP="000913EA">
            <w:pPr>
              <w:pStyle w:val="Tablea"/>
            </w:pPr>
            <w:r w:rsidRPr="006F7767">
              <w:t>(d) the tonnes of methane (CO</w:t>
            </w:r>
            <w:r w:rsidRPr="006F7767">
              <w:rPr>
                <w:vertAlign w:val="subscript"/>
              </w:rPr>
              <w:t>2</w:t>
            </w:r>
            <w:r w:rsidRPr="006F7767">
              <w:noBreakHyphen/>
              <w:t xml:space="preserve">e) </w:t>
            </w:r>
            <w:r w:rsidRPr="006F7767">
              <w:rPr>
                <w:szCs w:val="22"/>
              </w:rPr>
              <w:t>and the tonnes of carbon dioxide</w:t>
            </w:r>
            <w:r w:rsidRPr="006F7767">
              <w:t xml:space="preserve"> flared</w:t>
            </w:r>
          </w:p>
        </w:tc>
      </w:tr>
    </w:tbl>
    <w:p w:rsidR="000913EA" w:rsidRPr="006F7767" w:rsidRDefault="000913EA" w:rsidP="000913EA">
      <w:pPr>
        <w:pStyle w:val="h2Part"/>
        <w:pageBreakBefore/>
      </w:pPr>
      <w:bookmarkStart w:id="140" w:name="BK_S4P124L1C1"/>
      <w:bookmarkStart w:id="141" w:name="_Toc46932451"/>
      <w:bookmarkEnd w:id="140"/>
      <w:r w:rsidRPr="006F7767">
        <w:rPr>
          <w:rStyle w:val="CharPartNo"/>
        </w:rPr>
        <w:lastRenderedPageBreak/>
        <w:t>Part 2</w:t>
      </w:r>
      <w:r w:rsidRPr="006F7767">
        <w:t>—</w:t>
      </w:r>
      <w:r w:rsidRPr="006F7767">
        <w:rPr>
          <w:rStyle w:val="CharPartText"/>
        </w:rPr>
        <w:t>Oil or gas</w:t>
      </w:r>
      <w:bookmarkEnd w:id="141"/>
    </w:p>
    <w:p w:rsidR="00DF00DA" w:rsidRPr="006F7767" w:rsidRDefault="00DF00DA" w:rsidP="00DF00DA">
      <w:pPr>
        <w:pStyle w:val="Tabletext"/>
      </w:pPr>
    </w:p>
    <w:p w:rsidR="00DF00DA" w:rsidRPr="006F7767" w:rsidRDefault="00DF00DA" w:rsidP="00DF00DA">
      <w:pPr>
        <w:pStyle w:val="TableHeading"/>
      </w:pPr>
      <w:r w:rsidRPr="006F7767">
        <w:t>Source 2D—Oil or gas exploration and development—flaring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DF00DA"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DF00DA" w:rsidRPr="006F7767" w:rsidTr="0063686C">
        <w:tc>
          <w:tcPr>
            <w:tcW w:w="420" w:type="pct"/>
            <w:tcBorders>
              <w:top w:val="single" w:sz="12" w:space="0" w:color="auto"/>
              <w:bottom w:val="single" w:sz="2" w:space="0" w:color="auto"/>
            </w:tcBorders>
            <w:shd w:val="clear" w:color="auto" w:fill="auto"/>
          </w:tcPr>
          <w:p w:rsidR="00DF00DA" w:rsidRPr="006F7767" w:rsidRDefault="00DF00DA" w:rsidP="0063686C">
            <w:pPr>
              <w:pStyle w:val="Tabletext"/>
            </w:pPr>
            <w:r w:rsidRPr="006F7767">
              <w:t>1</w:t>
            </w:r>
          </w:p>
        </w:tc>
        <w:tc>
          <w:tcPr>
            <w:tcW w:w="1387" w:type="pct"/>
            <w:tcBorders>
              <w:top w:val="single" w:sz="12" w:space="0" w:color="auto"/>
              <w:bottom w:val="single" w:sz="2" w:space="0" w:color="auto"/>
            </w:tcBorders>
            <w:shd w:val="clear" w:color="auto" w:fill="auto"/>
          </w:tcPr>
          <w:p w:rsidR="00DF00DA" w:rsidRPr="006F7767" w:rsidRDefault="00DF00DA" w:rsidP="00076EE6">
            <w:pPr>
              <w:pStyle w:val="Tabletext"/>
            </w:pPr>
            <w:r w:rsidRPr="006F7767">
              <w:t xml:space="preserve">Method 1 for the source, as set out in </w:t>
            </w:r>
            <w:r w:rsidR="00076EE6" w:rsidRPr="006F7767">
              <w:t>section 3.44</w:t>
            </w:r>
          </w:p>
        </w:tc>
        <w:tc>
          <w:tcPr>
            <w:tcW w:w="3193" w:type="pct"/>
            <w:tcBorders>
              <w:top w:val="single" w:sz="12" w:space="0" w:color="auto"/>
              <w:bottom w:val="single" w:sz="2" w:space="0" w:color="auto"/>
            </w:tcBorders>
            <w:shd w:val="clear" w:color="auto" w:fill="auto"/>
          </w:tcPr>
          <w:p w:rsidR="00DF00DA" w:rsidRPr="006F7767" w:rsidRDefault="00DF00DA" w:rsidP="0063686C">
            <w:pPr>
              <w:pStyle w:val="Tablea"/>
            </w:pPr>
            <w:r w:rsidRPr="006F7767">
              <w:t>(a) the tonnes of flared gas</w:t>
            </w:r>
          </w:p>
          <w:p w:rsidR="00DF00DA" w:rsidRPr="006F7767" w:rsidRDefault="00DF00DA" w:rsidP="0063686C">
            <w:pPr>
              <w:pStyle w:val="Tablea"/>
            </w:pPr>
            <w:r w:rsidRPr="006F7767">
              <w:t>(b) the tonnes of flared crude oil and liquids</w:t>
            </w:r>
          </w:p>
        </w:tc>
      </w:tr>
      <w:tr w:rsidR="00DF00DA" w:rsidRPr="006F7767" w:rsidTr="0063686C">
        <w:tc>
          <w:tcPr>
            <w:tcW w:w="420" w:type="pct"/>
            <w:tcBorders>
              <w:top w:val="single" w:sz="2" w:space="0" w:color="auto"/>
              <w:bottom w:val="single" w:sz="12" w:space="0" w:color="auto"/>
            </w:tcBorders>
            <w:shd w:val="clear" w:color="auto" w:fill="auto"/>
          </w:tcPr>
          <w:p w:rsidR="00DF00DA" w:rsidRPr="006F7767" w:rsidRDefault="00DF00DA" w:rsidP="0063686C">
            <w:pPr>
              <w:pStyle w:val="Tabletext"/>
            </w:pPr>
            <w:r w:rsidRPr="006F7767">
              <w:t>2</w:t>
            </w:r>
          </w:p>
        </w:tc>
        <w:tc>
          <w:tcPr>
            <w:tcW w:w="1387" w:type="pct"/>
            <w:tcBorders>
              <w:top w:val="single" w:sz="2" w:space="0" w:color="auto"/>
              <w:bottom w:val="single" w:sz="12" w:space="0" w:color="auto"/>
            </w:tcBorders>
            <w:shd w:val="clear" w:color="auto" w:fill="auto"/>
          </w:tcPr>
          <w:p w:rsidR="00DF00DA" w:rsidRPr="006F7767" w:rsidRDefault="00DF00DA" w:rsidP="00076EE6">
            <w:pPr>
              <w:pStyle w:val="Tabletext"/>
            </w:pPr>
            <w:r w:rsidRPr="006F7767">
              <w:t xml:space="preserve">Methods 2, 2A and 3 for the source, as set out in </w:t>
            </w:r>
            <w:r w:rsidR="00712C4C">
              <w:t>sections 3.45, 3.45A and 3.46</w:t>
            </w:r>
          </w:p>
        </w:tc>
        <w:tc>
          <w:tcPr>
            <w:tcW w:w="3193" w:type="pct"/>
            <w:tcBorders>
              <w:top w:val="single" w:sz="2" w:space="0" w:color="auto"/>
              <w:bottom w:val="single" w:sz="12" w:space="0" w:color="auto"/>
            </w:tcBorders>
            <w:shd w:val="clear" w:color="auto" w:fill="auto"/>
          </w:tcPr>
          <w:p w:rsidR="00DF00DA" w:rsidRPr="006F7767" w:rsidRDefault="00DF00DA" w:rsidP="0063686C">
            <w:pPr>
              <w:pStyle w:val="Tablea"/>
            </w:pPr>
            <w:r w:rsidRPr="006F7767">
              <w:t>(a) the tonnes and megajoules of flared gas (hydrocarbon component)</w:t>
            </w:r>
          </w:p>
          <w:p w:rsidR="00DF00DA" w:rsidRPr="006F7767" w:rsidRDefault="00DF00DA" w:rsidP="0063686C">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Source 2E—Oil or gas exploration and development (other than flaring)</w:t>
      </w:r>
    </w:p>
    <w:p w:rsidR="00DF00DA" w:rsidRPr="006F7767"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DF00DA"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DF00DA" w:rsidRPr="006F7767" w:rsidTr="0063686C">
        <w:trPr>
          <w:trHeight w:val="80"/>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text"/>
            </w:pPr>
            <w:r w:rsidRPr="006F7767">
              <w:t>1</w:t>
            </w:r>
          </w:p>
        </w:tc>
        <w:tc>
          <w:tcPr>
            <w:tcW w:w="1387" w:type="pct"/>
            <w:tcBorders>
              <w:top w:val="single" w:sz="12" w:space="0" w:color="auto"/>
              <w:bottom w:val="single" w:sz="12" w:space="0" w:color="auto"/>
            </w:tcBorders>
            <w:shd w:val="clear" w:color="auto" w:fill="auto"/>
          </w:tcPr>
          <w:p w:rsidR="00DF00DA" w:rsidRPr="006F7767" w:rsidRDefault="00DF00DA" w:rsidP="00076EE6">
            <w:pPr>
              <w:pStyle w:val="Tabletext"/>
            </w:pPr>
            <w:r w:rsidRPr="006F7767">
              <w:t xml:space="preserve">Method 1 for the source, </w:t>
            </w:r>
            <w:r w:rsidR="00076EE6" w:rsidRPr="006F7767">
              <w:t>as set out in section</w:t>
            </w:r>
            <w:r w:rsidR="003C22D9">
              <w:t>s</w:t>
            </w:r>
            <w:r w:rsidR="00076EE6" w:rsidRPr="006F7767">
              <w:t xml:space="preserve"> 3.46AB</w:t>
            </w:r>
            <w:r w:rsidR="003C22D9">
              <w:t>, 3.56B,</w:t>
            </w:r>
            <w:r w:rsidR="003E4E88">
              <w:t xml:space="preserve"> 3.85B and 3.85P</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a"/>
            </w:pPr>
            <w:r w:rsidRPr="006F7767">
              <w:t>(a) the tonnes and megajoules of vented gas for each gas type</w:t>
            </w:r>
          </w:p>
          <w:p w:rsidR="00DF00DA" w:rsidRPr="006F7767" w:rsidRDefault="00DF00DA" w:rsidP="0063686C">
            <w:pPr>
              <w:pStyle w:val="Tablea"/>
            </w:pPr>
            <w:r w:rsidRPr="006F7767">
              <w:t>(b) number of well completions of each type</w:t>
            </w:r>
          </w:p>
          <w:p w:rsidR="00DF00DA" w:rsidRPr="006F7767" w:rsidRDefault="00DF00DA" w:rsidP="0063686C">
            <w:pPr>
              <w:pStyle w:val="Tablea"/>
              <w:ind w:left="0" w:firstLine="0"/>
            </w:pPr>
          </w:p>
        </w:tc>
      </w:tr>
      <w:tr w:rsidR="00DF00DA" w:rsidRPr="006F7767" w:rsidTr="0063686C">
        <w:trPr>
          <w:trHeight w:val="80"/>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text"/>
            </w:pP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text"/>
            </w:pPr>
            <w:r w:rsidRPr="006F7767">
              <w:t>Method 4</w:t>
            </w:r>
            <w:r w:rsidR="00076EE6" w:rsidRPr="006F7767">
              <w:t xml:space="preserve"> for the source, as set out in section 3.46B</w:t>
            </w:r>
            <w:r w:rsidR="00712C4C">
              <w:t xml:space="preserve"> and Part 1.3</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a"/>
            </w:pPr>
            <w:r w:rsidRPr="006F7767">
              <w:t>(a) the tonnes and megajoules of vented gas for each gas type</w:t>
            </w:r>
          </w:p>
        </w:tc>
      </w:tr>
    </w:tbl>
    <w:p w:rsidR="00DF00DA" w:rsidRPr="006F7767" w:rsidRDefault="00DF00DA" w:rsidP="00DF00DA">
      <w:pPr>
        <w:pStyle w:val="Tabletext"/>
      </w:pPr>
    </w:p>
    <w:p w:rsidR="00DF00DA" w:rsidRDefault="00DF00DA" w:rsidP="00DF00DA">
      <w:pPr>
        <w:pStyle w:val="TableHeading"/>
      </w:pPr>
      <w:r w:rsidRPr="006F7767">
        <w:t>Source 2F—Crude oil production</w:t>
      </w:r>
    </w:p>
    <w:p w:rsidR="008E67DD" w:rsidRDefault="008E67DD" w:rsidP="008E67D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8E67DD" w:rsidRPr="006F7767" w:rsidTr="001201AD">
        <w:trPr>
          <w:tblHeader/>
        </w:trPr>
        <w:tc>
          <w:tcPr>
            <w:tcW w:w="420" w:type="pct"/>
            <w:tcBorders>
              <w:top w:val="single" w:sz="12" w:space="0" w:color="auto"/>
              <w:bottom w:val="single" w:sz="12" w:space="0" w:color="auto"/>
            </w:tcBorders>
            <w:shd w:val="clear" w:color="auto" w:fill="auto"/>
          </w:tcPr>
          <w:p w:rsidR="008E67DD" w:rsidRPr="006F7767" w:rsidRDefault="008E67DD" w:rsidP="001201AD">
            <w:pPr>
              <w:pStyle w:val="TableHeading"/>
            </w:pPr>
            <w:r w:rsidRPr="006F7767">
              <w:t>Item</w:t>
            </w:r>
          </w:p>
        </w:tc>
        <w:tc>
          <w:tcPr>
            <w:tcW w:w="1387" w:type="pct"/>
            <w:tcBorders>
              <w:top w:val="single" w:sz="12" w:space="0" w:color="auto"/>
              <w:bottom w:val="single" w:sz="12" w:space="0" w:color="auto"/>
            </w:tcBorders>
            <w:shd w:val="clear" w:color="auto" w:fill="auto"/>
          </w:tcPr>
          <w:p w:rsidR="008E67DD" w:rsidRPr="006F7767" w:rsidRDefault="008E67DD" w:rsidP="001201AD">
            <w:pPr>
              <w:pStyle w:val="TableHeading"/>
            </w:pPr>
            <w:r w:rsidRPr="006F7767">
              <w:t>Method</w:t>
            </w:r>
          </w:p>
        </w:tc>
        <w:tc>
          <w:tcPr>
            <w:tcW w:w="3193" w:type="pct"/>
            <w:tcBorders>
              <w:top w:val="single" w:sz="12" w:space="0" w:color="auto"/>
              <w:bottom w:val="single" w:sz="12" w:space="0" w:color="auto"/>
            </w:tcBorders>
            <w:shd w:val="clear" w:color="auto" w:fill="auto"/>
          </w:tcPr>
          <w:p w:rsidR="008E67DD" w:rsidRPr="006F7767" w:rsidRDefault="008E67DD" w:rsidP="001201AD">
            <w:pPr>
              <w:pStyle w:val="TableHeading"/>
            </w:pPr>
            <w:r w:rsidRPr="006F7767">
              <w:t>Matters to be identified</w:t>
            </w:r>
          </w:p>
        </w:tc>
      </w:tr>
      <w:tr w:rsidR="008E67DD" w:rsidRPr="006F7767" w:rsidTr="003E4E88">
        <w:tc>
          <w:tcPr>
            <w:tcW w:w="420" w:type="pct"/>
            <w:tcBorders>
              <w:top w:val="single" w:sz="12" w:space="0" w:color="auto"/>
              <w:bottom w:val="single" w:sz="2" w:space="0" w:color="auto"/>
            </w:tcBorders>
            <w:shd w:val="clear" w:color="auto" w:fill="auto"/>
          </w:tcPr>
          <w:p w:rsidR="008E67DD" w:rsidRPr="006F7767" w:rsidRDefault="008E67DD" w:rsidP="008E67DD">
            <w:pPr>
              <w:pStyle w:val="Tabletext"/>
            </w:pPr>
            <w:r w:rsidRPr="006F7767">
              <w:t>1</w:t>
            </w:r>
          </w:p>
        </w:tc>
        <w:tc>
          <w:tcPr>
            <w:tcW w:w="1387" w:type="pct"/>
            <w:tcBorders>
              <w:top w:val="single" w:sz="12" w:space="0" w:color="auto"/>
              <w:bottom w:val="single" w:sz="2" w:space="0" w:color="auto"/>
            </w:tcBorders>
            <w:shd w:val="clear" w:color="auto" w:fill="auto"/>
          </w:tcPr>
          <w:p w:rsidR="008E67DD" w:rsidRPr="006F7767" w:rsidRDefault="008E67DD" w:rsidP="008E67DD">
            <w:pPr>
              <w:pStyle w:val="Tabletext"/>
            </w:pPr>
            <w:r w:rsidRPr="006F7767">
              <w:t>Methods 1 and 2 for the source (leak emissions), as set out in sections 3.49 and 3.50</w:t>
            </w:r>
          </w:p>
        </w:tc>
        <w:tc>
          <w:tcPr>
            <w:tcW w:w="3193" w:type="pct"/>
            <w:tcBorders>
              <w:top w:val="single" w:sz="12" w:space="0" w:color="auto"/>
              <w:bottom w:val="single" w:sz="2" w:space="0" w:color="auto"/>
            </w:tcBorders>
            <w:shd w:val="clear" w:color="auto" w:fill="auto"/>
          </w:tcPr>
          <w:p w:rsidR="008E67DD" w:rsidRPr="006F7767" w:rsidRDefault="008E67DD" w:rsidP="008E67DD">
            <w:pPr>
              <w:pStyle w:val="Tablea"/>
            </w:pPr>
            <w:r w:rsidRPr="006F7767">
              <w:t>(a) the tonnes of crude oil throughput</w:t>
            </w:r>
          </w:p>
          <w:p w:rsidR="008E67DD" w:rsidRPr="006F7767" w:rsidRDefault="008E67DD" w:rsidP="008E67DD">
            <w:pPr>
              <w:pStyle w:val="Tablea"/>
              <w:ind w:left="0" w:firstLine="0"/>
            </w:pPr>
          </w:p>
        </w:tc>
      </w:tr>
      <w:tr w:rsidR="008E67DD" w:rsidRPr="006F7767" w:rsidTr="003E4E88">
        <w:tc>
          <w:tcPr>
            <w:tcW w:w="420" w:type="pct"/>
            <w:tcBorders>
              <w:top w:val="single" w:sz="2" w:space="0" w:color="auto"/>
              <w:bottom w:val="single" w:sz="2" w:space="0" w:color="auto"/>
            </w:tcBorders>
            <w:shd w:val="clear" w:color="auto" w:fill="auto"/>
          </w:tcPr>
          <w:p w:rsidR="008E67DD" w:rsidRPr="006F7767" w:rsidRDefault="008E67DD" w:rsidP="008E67DD">
            <w:pPr>
              <w:pStyle w:val="Tabletext"/>
            </w:pPr>
            <w:r>
              <w:t>2</w:t>
            </w:r>
          </w:p>
        </w:tc>
        <w:tc>
          <w:tcPr>
            <w:tcW w:w="1387" w:type="pct"/>
            <w:tcBorders>
              <w:top w:val="single" w:sz="2" w:space="0" w:color="auto"/>
              <w:bottom w:val="single" w:sz="2" w:space="0" w:color="auto"/>
            </w:tcBorders>
            <w:shd w:val="clear" w:color="auto" w:fill="auto"/>
          </w:tcPr>
          <w:p w:rsidR="008E67DD" w:rsidRPr="006F7767" w:rsidRDefault="008E67DD" w:rsidP="008E67DD">
            <w:pPr>
              <w:pStyle w:val="Tabletext"/>
            </w:pPr>
            <w:r w:rsidRPr="006F7767">
              <w:t>Method 3 for the source (leak emissions), as set out in section 3.51</w:t>
            </w:r>
          </w:p>
        </w:tc>
        <w:tc>
          <w:tcPr>
            <w:tcW w:w="3193" w:type="pct"/>
            <w:tcBorders>
              <w:top w:val="single" w:sz="2" w:space="0" w:color="auto"/>
              <w:bottom w:val="single" w:sz="2" w:space="0" w:color="auto"/>
            </w:tcBorders>
            <w:shd w:val="clear" w:color="auto" w:fill="auto"/>
          </w:tcPr>
          <w:p w:rsidR="008E67DD" w:rsidRPr="006F7767" w:rsidRDefault="008E67DD" w:rsidP="008E67DD">
            <w:pPr>
              <w:pStyle w:val="Tablea"/>
            </w:pPr>
            <w:r w:rsidRPr="006F7767">
              <w:t>(a) the tonnes of crude oil throughput</w:t>
            </w:r>
          </w:p>
          <w:p w:rsidR="008E67DD" w:rsidRPr="006F7767" w:rsidRDefault="008E67DD" w:rsidP="008E67DD">
            <w:pPr>
              <w:pStyle w:val="Tablea"/>
            </w:pPr>
            <w:r w:rsidRPr="006F7767">
              <w:t>(b) number of components of each component type</w:t>
            </w:r>
          </w:p>
          <w:p w:rsidR="008E67DD" w:rsidRPr="006F7767" w:rsidRDefault="008E67DD" w:rsidP="008E67DD">
            <w:pPr>
              <w:pStyle w:val="Tablea"/>
            </w:pPr>
            <w:r w:rsidRPr="006F7767">
              <w:t>(c) average hours of operation of each component type</w:t>
            </w:r>
          </w:p>
          <w:p w:rsidR="008E67DD" w:rsidRPr="006F7767" w:rsidRDefault="008E67DD" w:rsidP="008E67DD">
            <w:pPr>
              <w:pStyle w:val="Tablea"/>
            </w:pPr>
            <w:r w:rsidRPr="006F7767">
              <w:t>(d) total emissions of each gas type from each component type</w:t>
            </w:r>
          </w:p>
        </w:tc>
      </w:tr>
      <w:tr w:rsidR="008E67DD" w:rsidRPr="006F7767" w:rsidTr="003E4E88">
        <w:tc>
          <w:tcPr>
            <w:tcW w:w="420" w:type="pct"/>
            <w:tcBorders>
              <w:bottom w:val="single" w:sz="2" w:space="0" w:color="auto"/>
            </w:tcBorders>
            <w:shd w:val="clear" w:color="auto" w:fill="auto"/>
          </w:tcPr>
          <w:p w:rsidR="008E67DD" w:rsidRPr="006F7767" w:rsidRDefault="008E67DD" w:rsidP="008E67DD">
            <w:pPr>
              <w:pStyle w:val="Tabletext"/>
            </w:pPr>
            <w:r>
              <w:t>3</w:t>
            </w:r>
          </w:p>
        </w:tc>
        <w:tc>
          <w:tcPr>
            <w:tcW w:w="1387" w:type="pct"/>
            <w:tcBorders>
              <w:bottom w:val="single" w:sz="2" w:space="0" w:color="auto"/>
            </w:tcBorders>
            <w:shd w:val="clear" w:color="auto" w:fill="auto"/>
          </w:tcPr>
          <w:p w:rsidR="008E67DD" w:rsidRPr="006F7767" w:rsidRDefault="008E67DD" w:rsidP="008E67DD">
            <w:pPr>
              <w:pStyle w:val="Tabletext"/>
            </w:pPr>
            <w:r w:rsidRPr="006F7767">
              <w:t>Method 1 for the source (flaring), as set out in section 3.53</w:t>
            </w:r>
          </w:p>
        </w:tc>
        <w:tc>
          <w:tcPr>
            <w:tcW w:w="3193" w:type="pct"/>
            <w:tcBorders>
              <w:bottom w:val="single" w:sz="2" w:space="0" w:color="auto"/>
            </w:tcBorders>
            <w:shd w:val="clear" w:color="auto" w:fill="auto"/>
          </w:tcPr>
          <w:p w:rsidR="008E67DD" w:rsidRPr="006F7767" w:rsidRDefault="008E67DD" w:rsidP="008E67DD">
            <w:pPr>
              <w:pStyle w:val="Tablea"/>
            </w:pPr>
            <w:r w:rsidRPr="006F7767">
              <w:t>(a) the tonnes of flared gas</w:t>
            </w:r>
          </w:p>
          <w:p w:rsidR="008E67DD" w:rsidRPr="006F7767" w:rsidRDefault="008E67DD" w:rsidP="008E67DD">
            <w:pPr>
              <w:pStyle w:val="Tablea"/>
            </w:pPr>
            <w:r w:rsidRPr="006F7767">
              <w:t>(b) the tonnes of flared crude oil and liquids</w:t>
            </w:r>
          </w:p>
        </w:tc>
      </w:tr>
      <w:tr w:rsidR="008E67DD" w:rsidRPr="006F7767" w:rsidTr="003E4E88">
        <w:tc>
          <w:tcPr>
            <w:tcW w:w="420" w:type="pct"/>
            <w:tcBorders>
              <w:top w:val="single" w:sz="2" w:space="0" w:color="auto"/>
              <w:bottom w:val="single" w:sz="2" w:space="0" w:color="auto"/>
            </w:tcBorders>
            <w:shd w:val="clear" w:color="auto" w:fill="auto"/>
          </w:tcPr>
          <w:p w:rsidR="008E67DD" w:rsidRPr="006F7767" w:rsidRDefault="008E67DD" w:rsidP="008E67DD">
            <w:pPr>
              <w:pStyle w:val="Tabletext"/>
            </w:pPr>
            <w:r>
              <w:t>4</w:t>
            </w:r>
          </w:p>
        </w:tc>
        <w:tc>
          <w:tcPr>
            <w:tcW w:w="1387" w:type="pct"/>
            <w:tcBorders>
              <w:top w:val="single" w:sz="2" w:space="0" w:color="auto"/>
              <w:bottom w:val="single" w:sz="2" w:space="0" w:color="auto"/>
            </w:tcBorders>
            <w:shd w:val="clear" w:color="auto" w:fill="auto"/>
          </w:tcPr>
          <w:p w:rsidR="008E67DD" w:rsidRPr="006F7767" w:rsidRDefault="008E67DD" w:rsidP="008E67DD">
            <w:pPr>
              <w:pStyle w:val="Tabletext"/>
            </w:pPr>
            <w:r w:rsidRPr="006F7767">
              <w:t>Methods 2, 2A and 3 for the source (flaring), as set out sections 3.54, 3.54A and 3.55</w:t>
            </w:r>
          </w:p>
        </w:tc>
        <w:tc>
          <w:tcPr>
            <w:tcW w:w="3193" w:type="pct"/>
            <w:tcBorders>
              <w:top w:val="single" w:sz="2" w:space="0" w:color="auto"/>
              <w:bottom w:val="single" w:sz="2" w:space="0" w:color="auto"/>
            </w:tcBorders>
            <w:shd w:val="clear" w:color="auto" w:fill="auto"/>
          </w:tcPr>
          <w:p w:rsidR="008E67DD" w:rsidRPr="006F7767" w:rsidRDefault="008E67DD" w:rsidP="008E67DD">
            <w:pPr>
              <w:pStyle w:val="Tablea"/>
            </w:pPr>
            <w:r w:rsidRPr="006F7767">
              <w:t>(a) the tonnes and megajoules of flared gas (hydrocarbon component)</w:t>
            </w:r>
          </w:p>
          <w:p w:rsidR="008E67DD" w:rsidRPr="006F7767" w:rsidRDefault="008E67DD" w:rsidP="008E67DD">
            <w:pPr>
              <w:pStyle w:val="Tablea"/>
            </w:pPr>
            <w:r w:rsidRPr="006F7767">
              <w:t>(b) the tonnes and megajoules of flared crude oil and liquids (hydrocarbon component)</w:t>
            </w:r>
          </w:p>
        </w:tc>
      </w:tr>
      <w:tr w:rsidR="008E67DD" w:rsidRPr="006F7767" w:rsidTr="003E4E88">
        <w:tc>
          <w:tcPr>
            <w:tcW w:w="420" w:type="pct"/>
            <w:tcBorders>
              <w:top w:val="single" w:sz="2" w:space="0" w:color="auto"/>
              <w:bottom w:val="single" w:sz="2" w:space="0" w:color="auto"/>
            </w:tcBorders>
            <w:shd w:val="clear" w:color="auto" w:fill="auto"/>
          </w:tcPr>
          <w:p w:rsidR="008E67DD" w:rsidRPr="006F7767" w:rsidRDefault="008E67DD" w:rsidP="008E67DD">
            <w:pPr>
              <w:pStyle w:val="Tabletext"/>
            </w:pPr>
            <w:r>
              <w:t>5</w:t>
            </w:r>
          </w:p>
        </w:tc>
        <w:tc>
          <w:tcPr>
            <w:tcW w:w="1387" w:type="pct"/>
            <w:tcBorders>
              <w:top w:val="single" w:sz="2" w:space="0" w:color="auto"/>
              <w:bottom w:val="single" w:sz="2" w:space="0" w:color="auto"/>
            </w:tcBorders>
            <w:shd w:val="clear" w:color="auto" w:fill="auto"/>
          </w:tcPr>
          <w:p w:rsidR="008E67DD" w:rsidRPr="006F7767" w:rsidRDefault="008E67DD" w:rsidP="008E67DD">
            <w:pPr>
              <w:pStyle w:val="Tabletext"/>
            </w:pPr>
            <w:r w:rsidRPr="006F7767">
              <w:t>Method 1 for the source (venting), as set out in section 3.56B</w:t>
            </w:r>
          </w:p>
        </w:tc>
        <w:tc>
          <w:tcPr>
            <w:tcW w:w="3193" w:type="pct"/>
            <w:tcBorders>
              <w:top w:val="single" w:sz="2" w:space="0" w:color="auto"/>
              <w:bottom w:val="single" w:sz="2" w:space="0" w:color="auto"/>
            </w:tcBorders>
            <w:shd w:val="clear" w:color="auto" w:fill="auto"/>
          </w:tcPr>
          <w:p w:rsidR="008E67DD" w:rsidRPr="006F7767" w:rsidRDefault="008E67DD" w:rsidP="008E67DD">
            <w:pPr>
              <w:pStyle w:val="Tablea"/>
            </w:pPr>
            <w:r w:rsidRPr="006F7767">
              <w:t xml:space="preserve">(a) the tonnes and megajoules of vented gas for each gas type </w:t>
            </w:r>
          </w:p>
          <w:p w:rsidR="008E67DD" w:rsidRPr="006F7767" w:rsidRDefault="008E67DD" w:rsidP="008E67DD">
            <w:pPr>
              <w:pStyle w:val="Tabletext"/>
            </w:pPr>
            <w:r w:rsidRPr="006F7767">
              <w:t>(b) number workovers of each event type</w:t>
            </w:r>
          </w:p>
        </w:tc>
      </w:tr>
      <w:tr w:rsidR="008E67DD" w:rsidRPr="006F7767" w:rsidTr="001201AD">
        <w:tc>
          <w:tcPr>
            <w:tcW w:w="420" w:type="pct"/>
            <w:tcBorders>
              <w:top w:val="single" w:sz="2" w:space="0" w:color="auto"/>
              <w:bottom w:val="single" w:sz="12" w:space="0" w:color="auto"/>
            </w:tcBorders>
            <w:shd w:val="clear" w:color="auto" w:fill="auto"/>
          </w:tcPr>
          <w:p w:rsidR="008E67DD" w:rsidRPr="006F7767" w:rsidRDefault="008E67DD" w:rsidP="008E67DD">
            <w:pPr>
              <w:pStyle w:val="Tabletext"/>
            </w:pPr>
            <w:r>
              <w:t>6</w:t>
            </w:r>
          </w:p>
        </w:tc>
        <w:tc>
          <w:tcPr>
            <w:tcW w:w="1387" w:type="pct"/>
            <w:tcBorders>
              <w:top w:val="single" w:sz="2" w:space="0" w:color="auto"/>
              <w:bottom w:val="single" w:sz="12" w:space="0" w:color="auto"/>
            </w:tcBorders>
            <w:shd w:val="clear" w:color="auto" w:fill="auto"/>
          </w:tcPr>
          <w:p w:rsidR="008E67DD" w:rsidRPr="006F7767" w:rsidRDefault="008E67DD" w:rsidP="008E67DD">
            <w:pPr>
              <w:pStyle w:val="Tabletext"/>
            </w:pPr>
            <w:r w:rsidRPr="006F7767">
              <w:t>Method 4 for the source (venting), as set out in Part 1.3</w:t>
            </w:r>
          </w:p>
        </w:tc>
        <w:tc>
          <w:tcPr>
            <w:tcW w:w="3193" w:type="pct"/>
            <w:tcBorders>
              <w:top w:val="single" w:sz="2" w:space="0" w:color="auto"/>
              <w:bottom w:val="single" w:sz="12" w:space="0" w:color="auto"/>
            </w:tcBorders>
            <w:shd w:val="clear" w:color="auto" w:fill="auto"/>
          </w:tcPr>
          <w:p w:rsidR="008E67DD" w:rsidRPr="006F7767" w:rsidRDefault="008E67DD" w:rsidP="008E67DD">
            <w:pPr>
              <w:pStyle w:val="Tablea"/>
            </w:pPr>
            <w:r w:rsidRPr="006F7767">
              <w:t>(a) the tonnes and megajoules of vented gas for each gas type</w:t>
            </w:r>
          </w:p>
        </w:tc>
      </w:tr>
    </w:tbl>
    <w:p w:rsidR="008E67DD" w:rsidRPr="008E67DD" w:rsidRDefault="008E67DD" w:rsidP="008E67DD">
      <w:pPr>
        <w:pStyle w:val="Tabletext"/>
      </w:pPr>
    </w:p>
    <w:p w:rsidR="002418AF" w:rsidRPr="006F7767" w:rsidRDefault="002418AF" w:rsidP="002418AF">
      <w:pPr>
        <w:pStyle w:val="Tabletext"/>
      </w:pPr>
    </w:p>
    <w:p w:rsidR="00DF00DA" w:rsidRPr="006F7767" w:rsidRDefault="00DF00DA" w:rsidP="00DF00DA">
      <w:pPr>
        <w:pStyle w:val="TableHeading"/>
      </w:pPr>
      <w:r w:rsidRPr="006F7767">
        <w:lastRenderedPageBreak/>
        <w:t>Source 2G—Crude oil transport</w:t>
      </w:r>
    </w:p>
    <w:p w:rsidR="00A60C9C" w:rsidRPr="006F7767" w:rsidRDefault="00A60C9C" w:rsidP="00A60C9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A60C9C" w:rsidRPr="006F7767" w:rsidTr="0063686C">
        <w:trPr>
          <w:tblHeader/>
        </w:trPr>
        <w:tc>
          <w:tcPr>
            <w:tcW w:w="420"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Matters to be identified</w:t>
            </w:r>
          </w:p>
        </w:tc>
      </w:tr>
      <w:tr w:rsidR="00A60C9C" w:rsidRPr="006F7767" w:rsidTr="0063686C">
        <w:tc>
          <w:tcPr>
            <w:tcW w:w="420" w:type="pct"/>
            <w:tcBorders>
              <w:top w:val="single" w:sz="12" w:space="0" w:color="auto"/>
              <w:bottom w:val="single" w:sz="2" w:space="0" w:color="auto"/>
            </w:tcBorders>
            <w:shd w:val="clear" w:color="auto" w:fill="auto"/>
          </w:tcPr>
          <w:p w:rsidR="00A60C9C" w:rsidRPr="006F7767" w:rsidRDefault="00A60C9C" w:rsidP="0063686C">
            <w:pPr>
              <w:pStyle w:val="Tabletext"/>
            </w:pPr>
            <w:r w:rsidRPr="006F7767">
              <w:t>1</w:t>
            </w:r>
          </w:p>
        </w:tc>
        <w:tc>
          <w:tcPr>
            <w:tcW w:w="1387" w:type="pct"/>
            <w:tcBorders>
              <w:top w:val="single" w:sz="12" w:space="0" w:color="auto"/>
              <w:bottom w:val="single" w:sz="2" w:space="0" w:color="auto"/>
            </w:tcBorders>
            <w:shd w:val="clear" w:color="auto" w:fill="auto"/>
          </w:tcPr>
          <w:p w:rsidR="00A60C9C" w:rsidRPr="006F7767" w:rsidRDefault="00A60C9C" w:rsidP="00CB5B13">
            <w:pPr>
              <w:pStyle w:val="Tabletext"/>
            </w:pPr>
            <w:r w:rsidRPr="006F7767">
              <w:t xml:space="preserve">Methods 1 and 2 for the source, as set out in </w:t>
            </w:r>
            <w:r w:rsidR="00CB5B13" w:rsidRPr="006F7767">
              <w:t>section 3.59 and 3.60</w:t>
            </w:r>
          </w:p>
        </w:tc>
        <w:tc>
          <w:tcPr>
            <w:tcW w:w="3193" w:type="pct"/>
            <w:tcBorders>
              <w:top w:val="single" w:sz="12" w:space="0" w:color="auto"/>
              <w:bottom w:val="single" w:sz="2" w:space="0" w:color="auto"/>
            </w:tcBorders>
            <w:shd w:val="clear" w:color="auto" w:fill="auto"/>
          </w:tcPr>
          <w:p w:rsidR="00A60C9C" w:rsidRPr="006F7767" w:rsidRDefault="00A60C9C" w:rsidP="0063686C">
            <w:pPr>
              <w:pStyle w:val="Tabletext"/>
            </w:pPr>
            <w:r w:rsidRPr="006F7767">
              <w:t>the tonnes of indigenous</w:t>
            </w:r>
            <w:bookmarkStart w:id="142" w:name="BK_S3P7L40C25"/>
            <w:bookmarkEnd w:id="142"/>
            <w:r w:rsidRPr="006F7767">
              <w:t xml:space="preserve"> crude oil transported to Australian refineries</w:t>
            </w:r>
          </w:p>
        </w:tc>
      </w:tr>
    </w:tbl>
    <w:p w:rsidR="00DF00DA" w:rsidRPr="006F7767" w:rsidRDefault="00DF00DA" w:rsidP="00DF00DA">
      <w:pPr>
        <w:pStyle w:val="Tabletext"/>
      </w:pPr>
    </w:p>
    <w:p w:rsidR="00DF00DA" w:rsidRPr="006F7767" w:rsidRDefault="00DF00DA" w:rsidP="00DF00DA">
      <w:pPr>
        <w:pStyle w:val="TableHeading"/>
      </w:pPr>
      <w:r w:rsidRPr="006F7767">
        <w:t>Source 2H—Crude oil refining</w:t>
      </w:r>
    </w:p>
    <w:p w:rsidR="00DF00DA"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7D0FCB" w:rsidRPr="006F7767" w:rsidTr="001201AD">
        <w:trPr>
          <w:tblHeader/>
        </w:trPr>
        <w:tc>
          <w:tcPr>
            <w:tcW w:w="420" w:type="pct"/>
            <w:tcBorders>
              <w:top w:val="single" w:sz="12" w:space="0" w:color="auto"/>
              <w:bottom w:val="single" w:sz="12" w:space="0" w:color="auto"/>
            </w:tcBorders>
            <w:shd w:val="clear" w:color="auto" w:fill="auto"/>
          </w:tcPr>
          <w:p w:rsidR="007D0FCB" w:rsidRPr="006F7767" w:rsidRDefault="007D0FCB" w:rsidP="001201AD">
            <w:pPr>
              <w:pStyle w:val="TableHeading"/>
            </w:pPr>
            <w:r w:rsidRPr="006F7767">
              <w:t>Item</w:t>
            </w:r>
          </w:p>
        </w:tc>
        <w:tc>
          <w:tcPr>
            <w:tcW w:w="1387" w:type="pct"/>
            <w:tcBorders>
              <w:top w:val="single" w:sz="12" w:space="0" w:color="auto"/>
              <w:bottom w:val="single" w:sz="12" w:space="0" w:color="auto"/>
            </w:tcBorders>
            <w:shd w:val="clear" w:color="auto" w:fill="auto"/>
          </w:tcPr>
          <w:p w:rsidR="007D0FCB" w:rsidRPr="006F7767" w:rsidRDefault="007D0FCB" w:rsidP="001201AD">
            <w:pPr>
              <w:pStyle w:val="TableHeading"/>
            </w:pPr>
            <w:r w:rsidRPr="006F7767">
              <w:t>Method</w:t>
            </w:r>
          </w:p>
        </w:tc>
        <w:tc>
          <w:tcPr>
            <w:tcW w:w="3193" w:type="pct"/>
            <w:tcBorders>
              <w:top w:val="single" w:sz="12" w:space="0" w:color="auto"/>
              <w:bottom w:val="single" w:sz="12" w:space="0" w:color="auto"/>
            </w:tcBorders>
            <w:shd w:val="clear" w:color="auto" w:fill="auto"/>
          </w:tcPr>
          <w:p w:rsidR="007D0FCB" w:rsidRPr="006F7767" w:rsidRDefault="007D0FCB" w:rsidP="001201AD">
            <w:pPr>
              <w:pStyle w:val="TableHeading"/>
            </w:pPr>
            <w:r w:rsidRPr="006F7767">
              <w:t>Matters to be identified</w:t>
            </w:r>
          </w:p>
        </w:tc>
      </w:tr>
      <w:tr w:rsidR="007D0FCB" w:rsidRPr="006F7767" w:rsidTr="003E4E88">
        <w:tc>
          <w:tcPr>
            <w:tcW w:w="420" w:type="pct"/>
            <w:tcBorders>
              <w:top w:val="single" w:sz="12" w:space="0" w:color="auto"/>
              <w:bottom w:val="single" w:sz="2" w:space="0" w:color="auto"/>
            </w:tcBorders>
            <w:shd w:val="clear" w:color="auto" w:fill="auto"/>
          </w:tcPr>
          <w:p w:rsidR="007D0FCB" w:rsidRPr="006F7767" w:rsidRDefault="007D0FCB" w:rsidP="007D0FCB">
            <w:pPr>
              <w:pStyle w:val="Tabletext"/>
            </w:pPr>
            <w:r w:rsidRPr="006F7767">
              <w:t>1</w:t>
            </w:r>
          </w:p>
        </w:tc>
        <w:tc>
          <w:tcPr>
            <w:tcW w:w="1387" w:type="pct"/>
            <w:tcBorders>
              <w:top w:val="single" w:sz="12" w:space="0" w:color="auto"/>
              <w:bottom w:val="single" w:sz="2" w:space="0" w:color="auto"/>
            </w:tcBorders>
            <w:shd w:val="clear" w:color="auto" w:fill="auto"/>
          </w:tcPr>
          <w:p w:rsidR="007D0FCB" w:rsidRPr="006F7767" w:rsidRDefault="007D0FCB" w:rsidP="007D0FCB">
            <w:pPr>
              <w:pStyle w:val="Tabletext"/>
            </w:pPr>
            <w:r w:rsidRPr="006F7767">
              <w:t>Methods 1, 2, and 3 for the source (refining and storage tanks), as set out in sections 3.64, 3.65 and 3.66</w:t>
            </w:r>
          </w:p>
        </w:tc>
        <w:tc>
          <w:tcPr>
            <w:tcW w:w="3193" w:type="pct"/>
            <w:tcBorders>
              <w:top w:val="single" w:sz="12" w:space="0" w:color="auto"/>
              <w:bottom w:val="single" w:sz="2" w:space="0" w:color="auto"/>
            </w:tcBorders>
            <w:shd w:val="clear" w:color="auto" w:fill="auto"/>
          </w:tcPr>
          <w:p w:rsidR="007D0FCB" w:rsidRPr="006F7767" w:rsidRDefault="007D0FCB" w:rsidP="007D0FCB">
            <w:pPr>
              <w:pStyle w:val="Tablea"/>
            </w:pPr>
            <w:r w:rsidRPr="006F7767">
              <w:t>(a) the tonnes of crude oil refined</w:t>
            </w:r>
          </w:p>
          <w:p w:rsidR="007D0FCB" w:rsidRPr="006F7767" w:rsidRDefault="007D0FCB" w:rsidP="007D0FCB">
            <w:pPr>
              <w:pStyle w:val="Tablea"/>
            </w:pPr>
            <w:r w:rsidRPr="006F7767">
              <w:t>(b) the tonnes of crude oil stored</w:t>
            </w:r>
          </w:p>
          <w:p w:rsidR="007D0FCB" w:rsidRPr="006F7767" w:rsidRDefault="007D0FCB" w:rsidP="007D0FCB">
            <w:pPr>
              <w:pStyle w:val="Tablea"/>
            </w:pPr>
          </w:p>
        </w:tc>
      </w:tr>
      <w:tr w:rsidR="007D0FCB" w:rsidRPr="006F7767" w:rsidTr="003E4E88">
        <w:tc>
          <w:tcPr>
            <w:tcW w:w="420" w:type="pct"/>
            <w:tcBorders>
              <w:top w:val="single" w:sz="2" w:space="0" w:color="auto"/>
              <w:bottom w:val="single" w:sz="2" w:space="0" w:color="auto"/>
            </w:tcBorders>
            <w:shd w:val="clear" w:color="auto" w:fill="auto"/>
          </w:tcPr>
          <w:p w:rsidR="007D0FCB" w:rsidRPr="006F7767" w:rsidRDefault="008E67DD" w:rsidP="007D0FCB">
            <w:pPr>
              <w:pStyle w:val="Tabletext"/>
            </w:pPr>
            <w:r>
              <w:t>2</w:t>
            </w:r>
          </w:p>
        </w:tc>
        <w:tc>
          <w:tcPr>
            <w:tcW w:w="1387" w:type="pct"/>
            <w:tcBorders>
              <w:top w:val="single" w:sz="2" w:space="0" w:color="auto"/>
              <w:bottom w:val="single" w:sz="2" w:space="0" w:color="auto"/>
            </w:tcBorders>
            <w:shd w:val="clear" w:color="auto" w:fill="auto"/>
          </w:tcPr>
          <w:p w:rsidR="007D0FCB" w:rsidRPr="006F7767" w:rsidRDefault="007D0FCB" w:rsidP="007D0FCB">
            <w:pPr>
              <w:pStyle w:val="Tabletext"/>
            </w:pPr>
            <w:r w:rsidRPr="006F7767">
              <w:t>Method 4 for the source (vents, system upsets and accidents), as set out in section 3.68</w:t>
            </w:r>
          </w:p>
        </w:tc>
        <w:tc>
          <w:tcPr>
            <w:tcW w:w="3193" w:type="pct"/>
            <w:tcBorders>
              <w:top w:val="single" w:sz="2" w:space="0" w:color="auto"/>
              <w:bottom w:val="single" w:sz="2" w:space="0" w:color="auto"/>
            </w:tcBorders>
            <w:shd w:val="clear" w:color="auto" w:fill="auto"/>
          </w:tcPr>
          <w:p w:rsidR="007D0FCB" w:rsidRPr="006F7767" w:rsidRDefault="007D0FCB" w:rsidP="007D0FCB">
            <w:pPr>
              <w:pStyle w:val="Tablea"/>
            </w:pPr>
            <w:r w:rsidRPr="006F7767">
              <w:t>(a) the quantity of refinery coke burnt</w:t>
            </w:r>
          </w:p>
          <w:p w:rsidR="007D0FCB" w:rsidRPr="006F7767" w:rsidRDefault="007D0FCB" w:rsidP="007D0FCB">
            <w:pPr>
              <w:pStyle w:val="Tablea"/>
            </w:pPr>
          </w:p>
        </w:tc>
      </w:tr>
      <w:tr w:rsidR="007D0FCB" w:rsidRPr="006F7767" w:rsidTr="003E4E88">
        <w:tc>
          <w:tcPr>
            <w:tcW w:w="420" w:type="pct"/>
            <w:tcBorders>
              <w:top w:val="single" w:sz="2" w:space="0" w:color="auto"/>
              <w:bottom w:val="single" w:sz="2" w:space="0" w:color="auto"/>
            </w:tcBorders>
            <w:shd w:val="clear" w:color="auto" w:fill="auto"/>
          </w:tcPr>
          <w:p w:rsidR="007D0FCB" w:rsidRPr="006F7767" w:rsidRDefault="008E67DD" w:rsidP="007D0FCB">
            <w:pPr>
              <w:pStyle w:val="Tabletext"/>
            </w:pPr>
            <w:r>
              <w:t>3</w:t>
            </w:r>
          </w:p>
        </w:tc>
        <w:tc>
          <w:tcPr>
            <w:tcW w:w="1387" w:type="pct"/>
            <w:tcBorders>
              <w:top w:val="single" w:sz="2" w:space="0" w:color="auto"/>
              <w:bottom w:val="single" w:sz="2" w:space="0" w:color="auto"/>
            </w:tcBorders>
            <w:shd w:val="clear" w:color="auto" w:fill="auto"/>
          </w:tcPr>
          <w:p w:rsidR="007D0FCB" w:rsidRPr="006F7767" w:rsidRDefault="007D0FCB" w:rsidP="007D0FCB">
            <w:pPr>
              <w:pStyle w:val="Tabletext"/>
            </w:pPr>
            <w:r w:rsidRPr="006F7767">
              <w:t>Method 1 for the source (flaring), as set out in section 3.69</w:t>
            </w:r>
          </w:p>
        </w:tc>
        <w:tc>
          <w:tcPr>
            <w:tcW w:w="3193" w:type="pct"/>
            <w:tcBorders>
              <w:top w:val="single" w:sz="2" w:space="0" w:color="auto"/>
              <w:bottom w:val="single" w:sz="2" w:space="0" w:color="auto"/>
            </w:tcBorders>
            <w:shd w:val="clear" w:color="auto" w:fill="auto"/>
          </w:tcPr>
          <w:p w:rsidR="007D0FCB" w:rsidRPr="006F7767" w:rsidRDefault="007D0FCB" w:rsidP="007D0FCB">
            <w:pPr>
              <w:pStyle w:val="Tablea"/>
            </w:pPr>
            <w:r w:rsidRPr="006F7767">
              <w:t>(a) the tonnes of flared gas</w:t>
            </w:r>
          </w:p>
          <w:p w:rsidR="007D0FCB" w:rsidRPr="006F7767" w:rsidRDefault="007D0FCB" w:rsidP="007D0FCB">
            <w:pPr>
              <w:pStyle w:val="Tablea"/>
            </w:pPr>
            <w:r w:rsidRPr="006F7767">
              <w:t>(b) the tonnes of flared crude oil and liquids</w:t>
            </w:r>
          </w:p>
        </w:tc>
      </w:tr>
      <w:tr w:rsidR="007D0FCB" w:rsidRPr="006F7767" w:rsidTr="001201AD">
        <w:tc>
          <w:tcPr>
            <w:tcW w:w="420" w:type="pct"/>
            <w:tcBorders>
              <w:top w:val="single" w:sz="2" w:space="0" w:color="auto"/>
              <w:bottom w:val="single" w:sz="12" w:space="0" w:color="auto"/>
            </w:tcBorders>
            <w:shd w:val="clear" w:color="auto" w:fill="auto"/>
          </w:tcPr>
          <w:p w:rsidR="007D0FCB" w:rsidRPr="006F7767" w:rsidRDefault="008E67DD" w:rsidP="007D0FCB">
            <w:pPr>
              <w:pStyle w:val="Tabletext"/>
            </w:pPr>
            <w:r>
              <w:t>4</w:t>
            </w:r>
          </w:p>
        </w:tc>
        <w:tc>
          <w:tcPr>
            <w:tcW w:w="1387" w:type="pct"/>
            <w:tcBorders>
              <w:top w:val="single" w:sz="2" w:space="0" w:color="auto"/>
              <w:bottom w:val="single" w:sz="12" w:space="0" w:color="auto"/>
            </w:tcBorders>
            <w:shd w:val="clear" w:color="auto" w:fill="auto"/>
          </w:tcPr>
          <w:p w:rsidR="007D0FCB" w:rsidRPr="006F7767" w:rsidRDefault="007D0FCB" w:rsidP="007D0FCB">
            <w:pPr>
              <w:pStyle w:val="Tabletext"/>
            </w:pPr>
            <w:r w:rsidRPr="006F7767">
              <w:t>Methods 2, 2A and 3 for the source (flaring), as set out in sections 3.70, 3.70A and 3.71.</w:t>
            </w:r>
          </w:p>
        </w:tc>
        <w:tc>
          <w:tcPr>
            <w:tcW w:w="3193" w:type="pct"/>
            <w:tcBorders>
              <w:top w:val="single" w:sz="2" w:space="0" w:color="auto"/>
              <w:bottom w:val="single" w:sz="12" w:space="0" w:color="auto"/>
            </w:tcBorders>
            <w:shd w:val="clear" w:color="auto" w:fill="auto"/>
          </w:tcPr>
          <w:p w:rsidR="007D0FCB" w:rsidRPr="006F7767" w:rsidRDefault="007D0FCB" w:rsidP="007D0FCB">
            <w:pPr>
              <w:pStyle w:val="Tablea"/>
            </w:pPr>
            <w:r w:rsidRPr="006F7767">
              <w:t>(a) the tonnes and megajoules of flared gas (hydrocarbon component)</w:t>
            </w:r>
          </w:p>
          <w:p w:rsidR="007D0FCB" w:rsidRPr="006F7767" w:rsidRDefault="007D0FCB" w:rsidP="007D0FCB">
            <w:pPr>
              <w:pStyle w:val="Tablea"/>
            </w:pPr>
            <w:r w:rsidRPr="006F7767">
              <w:t>(b) the tonnes and megajoules of flared crude oil and liquids (hydrocarbon component)</w:t>
            </w:r>
          </w:p>
        </w:tc>
      </w:tr>
    </w:tbl>
    <w:p w:rsidR="007D0FCB" w:rsidRPr="006F7767" w:rsidRDefault="007D0FCB" w:rsidP="00DF00DA">
      <w:pPr>
        <w:pStyle w:val="Tabletext"/>
      </w:pPr>
    </w:p>
    <w:p w:rsidR="00DF00DA" w:rsidRPr="006F7767" w:rsidRDefault="00DF00DA" w:rsidP="00DF00DA">
      <w:pPr>
        <w:pStyle w:val="TableHeading"/>
      </w:pPr>
      <w:r w:rsidRPr="006F7767">
        <w:t>Source 2I—Onshore natural gas production (other than emissions that are vented or flared)</w:t>
      </w:r>
    </w:p>
    <w:p w:rsidR="00A60C9C" w:rsidRPr="006F7767" w:rsidRDefault="00A60C9C" w:rsidP="00A60C9C"/>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A60C9C" w:rsidRPr="006F7767" w:rsidTr="0063686C">
        <w:trPr>
          <w:tblHeader/>
        </w:trPr>
        <w:tc>
          <w:tcPr>
            <w:tcW w:w="420"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A60C9C" w:rsidRPr="006F7767" w:rsidRDefault="00A60C9C" w:rsidP="0063686C">
            <w:pPr>
              <w:pStyle w:val="TableHeading"/>
            </w:pPr>
            <w:r w:rsidRPr="006F7767">
              <w:t>Matters to be identified</w:t>
            </w:r>
          </w:p>
        </w:tc>
      </w:tr>
      <w:tr w:rsidR="00A60C9C" w:rsidRPr="006F7767" w:rsidTr="0063686C">
        <w:tc>
          <w:tcPr>
            <w:tcW w:w="420" w:type="pct"/>
            <w:tcBorders>
              <w:top w:val="single" w:sz="12" w:space="0" w:color="auto"/>
            </w:tcBorders>
            <w:shd w:val="clear" w:color="auto" w:fill="auto"/>
          </w:tcPr>
          <w:p w:rsidR="00A60C9C" w:rsidRPr="006F7767" w:rsidRDefault="00A60C9C" w:rsidP="0063686C">
            <w:pPr>
              <w:pStyle w:val="Tabletext"/>
            </w:pPr>
            <w:r w:rsidRPr="006F7767">
              <w:t>1</w:t>
            </w:r>
          </w:p>
        </w:tc>
        <w:tc>
          <w:tcPr>
            <w:tcW w:w="1387" w:type="pct"/>
            <w:tcBorders>
              <w:top w:val="single" w:sz="12" w:space="0" w:color="auto"/>
            </w:tcBorders>
            <w:shd w:val="clear" w:color="auto" w:fill="auto"/>
          </w:tcPr>
          <w:p w:rsidR="00A60C9C" w:rsidRPr="006F7767" w:rsidRDefault="00A60C9C" w:rsidP="00CB5B13">
            <w:pPr>
              <w:pStyle w:val="Tabletext"/>
            </w:pPr>
            <w:r w:rsidRPr="006F7767">
              <w:t xml:space="preserve">Method 1 for the source, as set out in the </w:t>
            </w:r>
            <w:r w:rsidR="00CB5B13" w:rsidRPr="006F7767">
              <w:t>section 3.73A</w:t>
            </w:r>
          </w:p>
        </w:tc>
        <w:tc>
          <w:tcPr>
            <w:tcW w:w="3193" w:type="pct"/>
            <w:tcBorders>
              <w:top w:val="single" w:sz="12" w:space="0" w:color="auto"/>
            </w:tcBorders>
            <w:shd w:val="clear" w:color="auto" w:fill="auto"/>
          </w:tcPr>
          <w:p w:rsidR="00A60C9C" w:rsidRPr="006F7767" w:rsidRDefault="00A60C9C" w:rsidP="0063686C">
            <w:pPr>
              <w:pStyle w:val="Tablea"/>
            </w:pPr>
            <w:r w:rsidRPr="006F7767">
              <w:t>(a) the tonnes of onshore natural gas production throughput</w:t>
            </w:r>
          </w:p>
          <w:p w:rsidR="00A60C9C" w:rsidRPr="006F7767" w:rsidRDefault="00A60C9C" w:rsidP="004D2353">
            <w:pPr>
              <w:pStyle w:val="Tablea"/>
            </w:pPr>
            <w:r w:rsidRPr="006F7767">
              <w:t>(b) the total number of wells (including producing wells and suspended wells</w:t>
            </w:r>
            <w:r w:rsidR="004D2353">
              <w:t xml:space="preserve"> but not decommissioned wells) </w:t>
            </w:r>
          </w:p>
        </w:tc>
      </w:tr>
      <w:tr w:rsidR="00A60C9C" w:rsidRPr="006F7767" w:rsidTr="0063686C">
        <w:tc>
          <w:tcPr>
            <w:tcW w:w="420" w:type="pct"/>
            <w:tcBorders>
              <w:bottom w:val="single" w:sz="2" w:space="0" w:color="auto"/>
            </w:tcBorders>
            <w:shd w:val="clear" w:color="auto" w:fill="auto"/>
          </w:tcPr>
          <w:p w:rsidR="00A60C9C" w:rsidRPr="006F7767" w:rsidRDefault="00A60C9C" w:rsidP="0063686C">
            <w:pPr>
              <w:pStyle w:val="Tabletext"/>
            </w:pPr>
            <w:r w:rsidRPr="006F7767">
              <w:t>2</w:t>
            </w:r>
          </w:p>
        </w:tc>
        <w:tc>
          <w:tcPr>
            <w:tcW w:w="1387" w:type="pct"/>
            <w:tcBorders>
              <w:bottom w:val="single" w:sz="2" w:space="0" w:color="auto"/>
            </w:tcBorders>
            <w:shd w:val="clear" w:color="auto" w:fill="auto"/>
          </w:tcPr>
          <w:p w:rsidR="00A60C9C" w:rsidRPr="006F7767" w:rsidRDefault="00A60C9C" w:rsidP="00CB5B13">
            <w:pPr>
              <w:pStyle w:val="Tabletext"/>
            </w:pPr>
            <w:r w:rsidRPr="006F7767">
              <w:t xml:space="preserve">Method 2 for the source, as set out in the </w:t>
            </w:r>
            <w:r w:rsidR="00CB5B13" w:rsidRPr="006F7767">
              <w:t>section 3.73B</w:t>
            </w:r>
          </w:p>
        </w:tc>
        <w:tc>
          <w:tcPr>
            <w:tcW w:w="3193" w:type="pct"/>
            <w:tcBorders>
              <w:bottom w:val="single" w:sz="2" w:space="0" w:color="auto"/>
            </w:tcBorders>
            <w:shd w:val="clear" w:color="auto" w:fill="auto"/>
          </w:tcPr>
          <w:p w:rsidR="00A60C9C" w:rsidRPr="006F7767" w:rsidRDefault="00A60C9C" w:rsidP="0063686C">
            <w:pPr>
              <w:pStyle w:val="Tablea"/>
            </w:pPr>
            <w:r w:rsidRPr="006F7767">
              <w:t>(a) the tonnes of onshore natural gas production throughput</w:t>
            </w:r>
          </w:p>
          <w:p w:rsidR="00A60C9C" w:rsidRPr="006F7767" w:rsidRDefault="00A60C9C" w:rsidP="0063686C">
            <w:pPr>
              <w:pStyle w:val="Tablea"/>
            </w:pPr>
            <w:r w:rsidRPr="006F7767">
              <w:t>(b) number of equipment units of each equipment type</w:t>
            </w:r>
          </w:p>
          <w:p w:rsidR="00A60C9C" w:rsidRPr="006F7767" w:rsidRDefault="00A60C9C" w:rsidP="0063686C">
            <w:pPr>
              <w:pStyle w:val="Tablea"/>
            </w:pPr>
            <w:r w:rsidRPr="006F7767">
              <w:t>(c) average hours of operation of each equipment type</w:t>
            </w:r>
          </w:p>
          <w:p w:rsidR="00A60C9C" w:rsidRPr="006F7767" w:rsidRDefault="00A60C9C" w:rsidP="00D61578">
            <w:pPr>
              <w:pStyle w:val="Tablea"/>
            </w:pPr>
            <w:r w:rsidRPr="006F7767">
              <w:t>(d) total emissions for each gas type (CO</w:t>
            </w:r>
            <w:r w:rsidRPr="006F7767">
              <w:rPr>
                <w:vertAlign w:val="subscript"/>
              </w:rPr>
              <w:t>2</w:t>
            </w:r>
            <w:r w:rsidR="00D61578" w:rsidRPr="006F7767">
              <w:t>-e) for each equipment type</w:t>
            </w:r>
          </w:p>
        </w:tc>
      </w:tr>
      <w:tr w:rsidR="006F7767" w:rsidRPr="006F7767" w:rsidTr="0063686C">
        <w:tc>
          <w:tcPr>
            <w:tcW w:w="420" w:type="pct"/>
            <w:tcBorders>
              <w:top w:val="single" w:sz="2" w:space="0" w:color="auto"/>
              <w:bottom w:val="single" w:sz="12" w:space="0" w:color="auto"/>
            </w:tcBorders>
            <w:shd w:val="clear" w:color="auto" w:fill="auto"/>
          </w:tcPr>
          <w:p w:rsidR="00A60C9C" w:rsidRPr="006F7767" w:rsidRDefault="00A60C9C" w:rsidP="0063686C">
            <w:pPr>
              <w:pStyle w:val="Tabletext"/>
            </w:pPr>
            <w:r w:rsidRPr="006F7767">
              <w:t>3</w:t>
            </w:r>
          </w:p>
        </w:tc>
        <w:tc>
          <w:tcPr>
            <w:tcW w:w="1387" w:type="pct"/>
            <w:tcBorders>
              <w:top w:val="single" w:sz="2" w:space="0" w:color="auto"/>
              <w:bottom w:val="single" w:sz="12" w:space="0" w:color="auto"/>
            </w:tcBorders>
            <w:shd w:val="clear" w:color="auto" w:fill="auto"/>
          </w:tcPr>
          <w:p w:rsidR="00A60C9C" w:rsidRPr="006F7767" w:rsidRDefault="00A60C9C" w:rsidP="00CB5B13">
            <w:pPr>
              <w:pStyle w:val="Tabletext"/>
            </w:pPr>
            <w:r w:rsidRPr="006F7767">
              <w:t xml:space="preserve">Method 3 for the source, as set out in the </w:t>
            </w:r>
            <w:r w:rsidR="00CB5B13" w:rsidRPr="006F7767">
              <w:t>section 3.73C</w:t>
            </w:r>
          </w:p>
        </w:tc>
        <w:tc>
          <w:tcPr>
            <w:tcW w:w="3193" w:type="pct"/>
            <w:tcBorders>
              <w:top w:val="single" w:sz="2" w:space="0" w:color="auto"/>
              <w:bottom w:val="single" w:sz="12" w:space="0" w:color="auto"/>
            </w:tcBorders>
            <w:shd w:val="clear" w:color="auto" w:fill="auto"/>
          </w:tcPr>
          <w:p w:rsidR="00A60C9C" w:rsidRPr="006F7767" w:rsidRDefault="00A60C9C" w:rsidP="0063686C">
            <w:pPr>
              <w:pStyle w:val="Tablea"/>
            </w:pPr>
            <w:r w:rsidRPr="006F7767">
              <w:t>(a) the tonnes of onshore natural gas production throughput</w:t>
            </w:r>
          </w:p>
          <w:p w:rsidR="00A60C9C" w:rsidRPr="006F7767" w:rsidRDefault="00A60C9C" w:rsidP="0063686C">
            <w:pPr>
              <w:pStyle w:val="Tablea"/>
            </w:pPr>
            <w:r w:rsidRPr="006F7767">
              <w:t>(b) the total number of wells (including producing wells and suspended wells but not decommissioned wells)</w:t>
            </w:r>
          </w:p>
          <w:p w:rsidR="00A60C9C" w:rsidRPr="006F7767" w:rsidRDefault="00A60C9C" w:rsidP="0063686C">
            <w:pPr>
              <w:pStyle w:val="Tablea"/>
            </w:pPr>
            <w:r w:rsidRPr="006F7767">
              <w:t>(c) number of components of each component type (by leaker or non-leaker if LDAR factors are elected)</w:t>
            </w:r>
          </w:p>
          <w:p w:rsidR="00A60C9C" w:rsidRPr="006F7767" w:rsidRDefault="00A60C9C" w:rsidP="0063686C">
            <w:pPr>
              <w:pStyle w:val="Tablea"/>
            </w:pPr>
            <w:r w:rsidRPr="006F7767">
              <w:t>(d) average hours of operation of each component type (by leaker or non-leaker if LDAR factors are elected)</w:t>
            </w:r>
          </w:p>
          <w:p w:rsidR="00A60C9C" w:rsidRDefault="00A60C9C" w:rsidP="00CB5B13">
            <w:pPr>
              <w:pStyle w:val="Tablea"/>
            </w:pPr>
            <w:r w:rsidRPr="006F7767">
              <w:t>(e) total emissions for each gas type (CO</w:t>
            </w:r>
            <w:r w:rsidRPr="006F7767">
              <w:rPr>
                <w:vertAlign w:val="subscript"/>
              </w:rPr>
              <w:t>2</w:t>
            </w:r>
            <w:r w:rsidRPr="006F7767">
              <w:t>-e) for each component type (by leaker or non-leak</w:t>
            </w:r>
            <w:r w:rsidR="00CB5B13" w:rsidRPr="006F7767">
              <w:t>er if LDAR factors are elected)</w:t>
            </w:r>
          </w:p>
          <w:p w:rsidR="002B6071" w:rsidRPr="006F7767" w:rsidRDefault="002B6071" w:rsidP="00CB5B13">
            <w:pPr>
              <w:pStyle w:val="Tablea"/>
            </w:pPr>
            <w:r>
              <w:t>(f) if LDAR factors are elected—the standard used to detect leakers</w:t>
            </w:r>
          </w:p>
        </w:tc>
      </w:tr>
    </w:tbl>
    <w:p w:rsidR="00A60C9C" w:rsidRPr="006F7767" w:rsidRDefault="00A60C9C" w:rsidP="00DF00DA">
      <w:pPr>
        <w:pStyle w:val="Tabletext"/>
      </w:pPr>
    </w:p>
    <w:p w:rsidR="00DF00DA" w:rsidRPr="006F7767" w:rsidRDefault="00DF00DA" w:rsidP="00DF00DA">
      <w:pPr>
        <w:pStyle w:val="TableHeading"/>
      </w:pPr>
      <w:r w:rsidRPr="006F7767">
        <w:t xml:space="preserve">Source 2J—Offshore natural gas production (other than emissions that are vented or flared) </w:t>
      </w:r>
    </w:p>
    <w:p w:rsidR="00CB5B13" w:rsidRPr="006F7767" w:rsidRDefault="00CB5B13" w:rsidP="00CB5B1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CB5B13" w:rsidRPr="006F7767" w:rsidTr="001201AD">
        <w:trPr>
          <w:tblHeader/>
        </w:trPr>
        <w:tc>
          <w:tcPr>
            <w:tcW w:w="420" w:type="pct"/>
            <w:tcBorders>
              <w:top w:val="single" w:sz="12" w:space="0" w:color="auto"/>
              <w:bottom w:val="single" w:sz="12" w:space="0" w:color="auto"/>
            </w:tcBorders>
            <w:shd w:val="clear" w:color="auto" w:fill="auto"/>
          </w:tcPr>
          <w:p w:rsidR="00CB5B13" w:rsidRPr="006F7767" w:rsidRDefault="00CB5B13" w:rsidP="001201AD">
            <w:pPr>
              <w:pStyle w:val="TableHeading"/>
            </w:pPr>
            <w:r w:rsidRPr="006F7767">
              <w:lastRenderedPageBreak/>
              <w:t>Item</w:t>
            </w:r>
          </w:p>
        </w:tc>
        <w:tc>
          <w:tcPr>
            <w:tcW w:w="1387" w:type="pct"/>
            <w:tcBorders>
              <w:top w:val="single" w:sz="12" w:space="0" w:color="auto"/>
              <w:bottom w:val="single" w:sz="12" w:space="0" w:color="auto"/>
            </w:tcBorders>
            <w:shd w:val="clear" w:color="auto" w:fill="auto"/>
          </w:tcPr>
          <w:p w:rsidR="00CB5B13" w:rsidRPr="006F7767" w:rsidRDefault="00CB5B13" w:rsidP="001201AD">
            <w:pPr>
              <w:pStyle w:val="TableHeading"/>
            </w:pPr>
            <w:r w:rsidRPr="006F7767">
              <w:t>Method</w:t>
            </w:r>
          </w:p>
        </w:tc>
        <w:tc>
          <w:tcPr>
            <w:tcW w:w="3193" w:type="pct"/>
            <w:tcBorders>
              <w:top w:val="single" w:sz="12" w:space="0" w:color="auto"/>
              <w:bottom w:val="single" w:sz="12" w:space="0" w:color="auto"/>
            </w:tcBorders>
            <w:shd w:val="clear" w:color="auto" w:fill="auto"/>
          </w:tcPr>
          <w:p w:rsidR="00CB5B13" w:rsidRPr="006F7767" w:rsidRDefault="00CB5B13" w:rsidP="001201AD">
            <w:pPr>
              <w:pStyle w:val="TableHeading"/>
            </w:pPr>
            <w:r w:rsidRPr="006F7767">
              <w:t>Matters to be identified</w:t>
            </w:r>
          </w:p>
        </w:tc>
      </w:tr>
      <w:tr w:rsidR="00CB5B13" w:rsidRPr="006F7767" w:rsidTr="001201AD">
        <w:tc>
          <w:tcPr>
            <w:tcW w:w="420" w:type="pct"/>
            <w:tcBorders>
              <w:top w:val="single" w:sz="12" w:space="0" w:color="auto"/>
            </w:tcBorders>
            <w:shd w:val="clear" w:color="auto" w:fill="auto"/>
          </w:tcPr>
          <w:p w:rsidR="00CB5B13" w:rsidRPr="006F7767" w:rsidRDefault="00CB5B13" w:rsidP="001201AD">
            <w:pPr>
              <w:pStyle w:val="Tabletext"/>
            </w:pPr>
            <w:r w:rsidRPr="006F7767">
              <w:t>1</w:t>
            </w:r>
          </w:p>
        </w:tc>
        <w:tc>
          <w:tcPr>
            <w:tcW w:w="1387" w:type="pct"/>
            <w:tcBorders>
              <w:top w:val="single" w:sz="12" w:space="0" w:color="auto"/>
            </w:tcBorders>
            <w:shd w:val="clear" w:color="auto" w:fill="auto"/>
          </w:tcPr>
          <w:p w:rsidR="00CB5B13" w:rsidRPr="006F7767" w:rsidRDefault="00CB5B13" w:rsidP="00D61578">
            <w:pPr>
              <w:pStyle w:val="Tabletext"/>
            </w:pPr>
            <w:r w:rsidRPr="006F7767">
              <w:t xml:space="preserve">Method 1 for the source, as set out in the </w:t>
            </w:r>
            <w:r w:rsidR="00D61578" w:rsidRPr="006F7767">
              <w:t>section 3.73F</w:t>
            </w:r>
          </w:p>
        </w:tc>
        <w:tc>
          <w:tcPr>
            <w:tcW w:w="3193" w:type="pct"/>
            <w:tcBorders>
              <w:top w:val="single" w:sz="12" w:space="0" w:color="auto"/>
            </w:tcBorders>
            <w:shd w:val="clear" w:color="auto" w:fill="auto"/>
          </w:tcPr>
          <w:p w:rsidR="00CB5B13" w:rsidRPr="006F7767" w:rsidRDefault="00CB5B13" w:rsidP="001201AD">
            <w:pPr>
              <w:pStyle w:val="Tablea"/>
            </w:pPr>
            <w:r w:rsidRPr="006F7767">
              <w:t>(a) the tonnes of offshore natural gas production throughput</w:t>
            </w:r>
          </w:p>
          <w:p w:rsidR="00CB5B13" w:rsidRPr="006F7767" w:rsidRDefault="00CB5B13" w:rsidP="001201AD">
            <w:pPr>
              <w:pStyle w:val="Tablea"/>
            </w:pPr>
            <w:r w:rsidRPr="006F7767">
              <w:t>(b) the total number of offshore platforms (shallow water)</w:t>
            </w:r>
          </w:p>
          <w:p w:rsidR="00CB5B13" w:rsidRPr="006F7767" w:rsidRDefault="00CB5B13" w:rsidP="001201AD">
            <w:pPr>
              <w:pStyle w:val="Tablea"/>
            </w:pPr>
            <w:r w:rsidRPr="006F7767">
              <w:t>(c) the total number of offshore platforms (deep water)</w:t>
            </w:r>
          </w:p>
        </w:tc>
      </w:tr>
      <w:tr w:rsidR="00CB5B13" w:rsidRPr="006F7767" w:rsidTr="001201AD">
        <w:tc>
          <w:tcPr>
            <w:tcW w:w="420" w:type="pct"/>
            <w:tcBorders>
              <w:bottom w:val="single" w:sz="2" w:space="0" w:color="auto"/>
            </w:tcBorders>
            <w:shd w:val="clear" w:color="auto" w:fill="auto"/>
          </w:tcPr>
          <w:p w:rsidR="00CB5B13" w:rsidRPr="006F7767" w:rsidRDefault="00CB5B13" w:rsidP="001201AD">
            <w:pPr>
              <w:pStyle w:val="Tabletext"/>
            </w:pPr>
            <w:r w:rsidRPr="006F7767">
              <w:t>2</w:t>
            </w:r>
          </w:p>
        </w:tc>
        <w:tc>
          <w:tcPr>
            <w:tcW w:w="1387" w:type="pct"/>
            <w:tcBorders>
              <w:bottom w:val="single" w:sz="2" w:space="0" w:color="auto"/>
            </w:tcBorders>
            <w:shd w:val="clear" w:color="auto" w:fill="auto"/>
          </w:tcPr>
          <w:p w:rsidR="00CB5B13" w:rsidRPr="006F7767" w:rsidRDefault="00CB5B13" w:rsidP="00D61578">
            <w:pPr>
              <w:pStyle w:val="Tabletext"/>
            </w:pPr>
            <w:r w:rsidRPr="006F7767">
              <w:t>Method 2</w:t>
            </w:r>
            <w:r w:rsidR="00D61578" w:rsidRPr="006F7767">
              <w:t xml:space="preserve"> for the source, as set out in section 3.73G</w:t>
            </w:r>
          </w:p>
        </w:tc>
        <w:tc>
          <w:tcPr>
            <w:tcW w:w="3193" w:type="pct"/>
            <w:tcBorders>
              <w:bottom w:val="single" w:sz="2" w:space="0" w:color="auto"/>
            </w:tcBorders>
            <w:shd w:val="clear" w:color="auto" w:fill="auto"/>
          </w:tcPr>
          <w:p w:rsidR="00CB5B13" w:rsidRPr="006F7767" w:rsidRDefault="00CB5B13" w:rsidP="001201AD">
            <w:pPr>
              <w:pStyle w:val="Tablea"/>
            </w:pPr>
            <w:r w:rsidRPr="006F7767">
              <w:t>(a) the tonnes of offshore natural gas production throughput</w:t>
            </w:r>
          </w:p>
          <w:p w:rsidR="00CB5B13" w:rsidRPr="006F7767" w:rsidRDefault="00CB5B13" w:rsidP="001201AD">
            <w:pPr>
              <w:pStyle w:val="Tablea"/>
            </w:pPr>
            <w:r w:rsidRPr="006F7767">
              <w:t>(b) the total number of offshore platforms (shallow water)</w:t>
            </w:r>
          </w:p>
          <w:p w:rsidR="00CB5B13" w:rsidRPr="006F7767" w:rsidRDefault="00CB5B13" w:rsidP="001201AD">
            <w:pPr>
              <w:pStyle w:val="Tablea"/>
            </w:pPr>
            <w:r w:rsidRPr="006F7767">
              <w:t xml:space="preserve">(c) the total number of offshore platforms (deep water) </w:t>
            </w:r>
          </w:p>
          <w:p w:rsidR="00CB5B13" w:rsidRPr="006F7767" w:rsidRDefault="00CB5B13" w:rsidP="001201AD">
            <w:pPr>
              <w:pStyle w:val="Tablea"/>
            </w:pPr>
            <w:r w:rsidRPr="006F7767">
              <w:t>(d) number of equipment units of each equipment type</w:t>
            </w:r>
          </w:p>
          <w:p w:rsidR="00CB5B13" w:rsidRPr="006F7767" w:rsidRDefault="00CB5B13" w:rsidP="001201AD">
            <w:pPr>
              <w:pStyle w:val="Tablea"/>
            </w:pPr>
            <w:r w:rsidRPr="006F7767">
              <w:t>(e) average hours of operation of each equipment type</w:t>
            </w:r>
          </w:p>
          <w:p w:rsidR="00CB5B13" w:rsidRPr="006F7767" w:rsidRDefault="00CB5B13" w:rsidP="001201AD">
            <w:pPr>
              <w:pStyle w:val="Tablea"/>
            </w:pPr>
            <w:r w:rsidRPr="006F7767">
              <w:t>(f) total emissions for each gas type (CO2-e) for each equipment type</w:t>
            </w:r>
          </w:p>
        </w:tc>
      </w:tr>
      <w:tr w:rsidR="006F7767" w:rsidRPr="006F7767" w:rsidTr="001201AD">
        <w:tc>
          <w:tcPr>
            <w:tcW w:w="420" w:type="pct"/>
            <w:tcBorders>
              <w:top w:val="single" w:sz="2" w:space="0" w:color="auto"/>
              <w:bottom w:val="single" w:sz="12" w:space="0" w:color="auto"/>
            </w:tcBorders>
            <w:shd w:val="clear" w:color="auto" w:fill="auto"/>
          </w:tcPr>
          <w:p w:rsidR="00CB5B13" w:rsidRPr="006F7767" w:rsidRDefault="00CB5B13" w:rsidP="001201AD">
            <w:pPr>
              <w:pStyle w:val="Tabletext"/>
            </w:pPr>
            <w:r w:rsidRPr="006F7767">
              <w:t>3</w:t>
            </w:r>
          </w:p>
        </w:tc>
        <w:tc>
          <w:tcPr>
            <w:tcW w:w="1387" w:type="pct"/>
            <w:tcBorders>
              <w:top w:val="single" w:sz="2" w:space="0" w:color="auto"/>
              <w:bottom w:val="single" w:sz="12" w:space="0" w:color="auto"/>
            </w:tcBorders>
            <w:shd w:val="clear" w:color="auto" w:fill="auto"/>
          </w:tcPr>
          <w:p w:rsidR="00CB5B13" w:rsidRPr="006F7767" w:rsidRDefault="00CB5B13" w:rsidP="00D61578">
            <w:pPr>
              <w:pStyle w:val="Tabletext"/>
            </w:pPr>
            <w:r w:rsidRPr="006F7767">
              <w:t xml:space="preserve">Method 3 for the source, as set out in </w:t>
            </w:r>
            <w:r w:rsidR="00D61578" w:rsidRPr="006F7767">
              <w:t>section 3.73H</w:t>
            </w:r>
          </w:p>
        </w:tc>
        <w:tc>
          <w:tcPr>
            <w:tcW w:w="3193" w:type="pct"/>
            <w:tcBorders>
              <w:top w:val="single" w:sz="2" w:space="0" w:color="auto"/>
              <w:bottom w:val="single" w:sz="12" w:space="0" w:color="auto"/>
            </w:tcBorders>
            <w:shd w:val="clear" w:color="auto" w:fill="auto"/>
          </w:tcPr>
          <w:p w:rsidR="00CB5B13" w:rsidRPr="006F7767" w:rsidRDefault="00CB5B13" w:rsidP="001201AD">
            <w:pPr>
              <w:pStyle w:val="Tablea"/>
            </w:pPr>
            <w:r w:rsidRPr="006F7767">
              <w:t>(a) the tonnes of offshore natural gas production throughput</w:t>
            </w:r>
          </w:p>
          <w:p w:rsidR="00CB5B13" w:rsidRPr="006F7767" w:rsidRDefault="00CB5B13" w:rsidP="001201AD">
            <w:pPr>
              <w:pStyle w:val="Tablea"/>
            </w:pPr>
            <w:r w:rsidRPr="006F7767">
              <w:t>(b) the total number of offshore platforms (shallow water)</w:t>
            </w:r>
          </w:p>
          <w:p w:rsidR="00CB5B13" w:rsidRPr="006F7767" w:rsidRDefault="00CB5B13" w:rsidP="001201AD">
            <w:pPr>
              <w:pStyle w:val="Tablea"/>
            </w:pPr>
            <w:r w:rsidRPr="006F7767">
              <w:t>(c) the total number of offshore platforms (deep water)</w:t>
            </w:r>
          </w:p>
          <w:p w:rsidR="00CB5B13" w:rsidRPr="006F7767" w:rsidRDefault="00CB5B13" w:rsidP="001201AD">
            <w:pPr>
              <w:pStyle w:val="Tablea"/>
            </w:pPr>
            <w:r w:rsidRPr="006F7767">
              <w:t>(d) number of components of each component type (by leaker or non-leaker if LDAR factors are elected)</w:t>
            </w:r>
          </w:p>
          <w:p w:rsidR="00CB5B13" w:rsidRPr="006F7767" w:rsidRDefault="00CB5B13" w:rsidP="001201AD">
            <w:pPr>
              <w:pStyle w:val="Tablea"/>
            </w:pPr>
            <w:r w:rsidRPr="006F7767">
              <w:t>(e) average hours of operation of each component type (by leaker or non-leaker if LDAR factors are elected)</w:t>
            </w:r>
          </w:p>
          <w:p w:rsidR="00CB5B13" w:rsidRDefault="00CB5B13" w:rsidP="001B4754">
            <w:pPr>
              <w:pStyle w:val="Tablea"/>
            </w:pPr>
            <w:r w:rsidRPr="006F7767">
              <w:t>(f) total emissions for each gas type (CO</w:t>
            </w:r>
            <w:r w:rsidRPr="006F7767">
              <w:rPr>
                <w:vertAlign w:val="subscript"/>
              </w:rPr>
              <w:t>2</w:t>
            </w:r>
            <w:r w:rsidRPr="006F7767">
              <w:t>-e) for each component type (by leaker or non-leak</w:t>
            </w:r>
            <w:r w:rsidR="001B4754">
              <w:t>er if LDAR factors are elected)</w:t>
            </w:r>
          </w:p>
          <w:p w:rsidR="002B6071" w:rsidRPr="006F7767" w:rsidRDefault="002B6071" w:rsidP="001B4754">
            <w:pPr>
              <w:pStyle w:val="Tablea"/>
            </w:pPr>
            <w:r>
              <w:t>(g) if LDAR factors are elected—the standard used to detect leakers</w:t>
            </w:r>
          </w:p>
        </w:tc>
      </w:tr>
    </w:tbl>
    <w:p w:rsidR="00DF00DA" w:rsidRPr="006F7767" w:rsidRDefault="00DF00DA" w:rsidP="00DF00DA">
      <w:pPr>
        <w:pStyle w:val="Tabletext"/>
      </w:pPr>
    </w:p>
    <w:p w:rsidR="00DF00DA" w:rsidRPr="006F7767" w:rsidRDefault="00DF00DA" w:rsidP="00DF00DA">
      <w:pPr>
        <w:pStyle w:val="TableHeading"/>
      </w:pPr>
      <w:r w:rsidRPr="006F7767">
        <w:t>Source 2K—Natural gas gathering and boosting (other than emissions that are vented or flared)</w:t>
      </w:r>
    </w:p>
    <w:p w:rsidR="00DF00DA" w:rsidRPr="006F7767"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tcBorders>
            <w:shd w:val="clear" w:color="auto" w:fill="auto"/>
          </w:tcPr>
          <w:p w:rsidR="00B97F2B" w:rsidRPr="006F7767" w:rsidRDefault="00B97F2B" w:rsidP="00D61578">
            <w:pPr>
              <w:pStyle w:val="Tabletext"/>
            </w:pPr>
            <w:r w:rsidRPr="006F7767">
              <w:t xml:space="preserve">Method 1 for the source, as set out in </w:t>
            </w:r>
            <w:r w:rsidR="00D61578" w:rsidRPr="006F7767">
              <w:t>section 3.73K</w:t>
            </w:r>
          </w:p>
        </w:tc>
        <w:tc>
          <w:tcPr>
            <w:tcW w:w="3193" w:type="pct"/>
            <w:tcBorders>
              <w:top w:val="single" w:sz="12" w:space="0" w:color="auto"/>
            </w:tcBorders>
            <w:shd w:val="clear" w:color="auto" w:fill="auto"/>
          </w:tcPr>
          <w:p w:rsidR="00B97F2B" w:rsidRPr="006F7767" w:rsidRDefault="00B97F2B" w:rsidP="0063686C">
            <w:pPr>
              <w:pStyle w:val="Tablea"/>
            </w:pPr>
            <w:r w:rsidRPr="006F7767">
              <w:t xml:space="preserve">(a) number of natural gas gathering and boosting stations </w:t>
            </w:r>
          </w:p>
          <w:p w:rsidR="00B97F2B" w:rsidRPr="006F7767" w:rsidRDefault="00B97F2B" w:rsidP="0063686C">
            <w:pPr>
              <w:pStyle w:val="Tablea"/>
            </w:pPr>
            <w:r w:rsidRPr="006F7767">
              <w:t>(b) the tonnes of natural gas gathering and boosting throughput for each station</w:t>
            </w:r>
          </w:p>
          <w:p w:rsidR="00B97F2B" w:rsidRPr="006F7767" w:rsidRDefault="00B97F2B" w:rsidP="0063686C">
            <w:pPr>
              <w:pStyle w:val="Tablea"/>
            </w:pPr>
            <w:r w:rsidRPr="006F7767">
              <w:t xml:space="preserve"> (c) kilometres of pipeline length</w:t>
            </w:r>
          </w:p>
        </w:tc>
      </w:tr>
      <w:tr w:rsidR="00B97F2B" w:rsidRPr="006F7767" w:rsidTr="0063686C">
        <w:tc>
          <w:tcPr>
            <w:tcW w:w="420" w:type="pct"/>
            <w:tcBorders>
              <w:bottom w:val="single" w:sz="2" w:space="0" w:color="auto"/>
            </w:tcBorders>
            <w:shd w:val="clear" w:color="auto" w:fill="auto"/>
          </w:tcPr>
          <w:p w:rsidR="00B97F2B" w:rsidRPr="006F7767" w:rsidRDefault="00B97F2B" w:rsidP="0063686C">
            <w:pPr>
              <w:pStyle w:val="Tabletext"/>
            </w:pPr>
            <w:r w:rsidRPr="006F7767">
              <w:t>2</w:t>
            </w:r>
          </w:p>
        </w:tc>
        <w:tc>
          <w:tcPr>
            <w:tcW w:w="1387" w:type="pct"/>
            <w:tcBorders>
              <w:bottom w:val="single" w:sz="2" w:space="0" w:color="auto"/>
            </w:tcBorders>
            <w:shd w:val="clear" w:color="auto" w:fill="auto"/>
          </w:tcPr>
          <w:p w:rsidR="00B97F2B" w:rsidRPr="006F7767" w:rsidRDefault="00B97F2B" w:rsidP="00D61578">
            <w:pPr>
              <w:pStyle w:val="Tabletext"/>
            </w:pPr>
            <w:r w:rsidRPr="006F7767">
              <w:t xml:space="preserve">Method 2 for the source, as set out in </w:t>
            </w:r>
            <w:r w:rsidR="00D61578" w:rsidRPr="006F7767">
              <w:t>section 3.73L</w:t>
            </w:r>
          </w:p>
        </w:tc>
        <w:tc>
          <w:tcPr>
            <w:tcW w:w="3193" w:type="pct"/>
            <w:tcBorders>
              <w:bottom w:val="single" w:sz="2" w:space="0" w:color="auto"/>
            </w:tcBorders>
            <w:shd w:val="clear" w:color="auto" w:fill="auto"/>
          </w:tcPr>
          <w:p w:rsidR="00B97F2B" w:rsidRPr="006F7767" w:rsidRDefault="00B97F2B" w:rsidP="0063686C">
            <w:pPr>
              <w:pStyle w:val="Tablea"/>
              <w:rPr>
                <w:i/>
              </w:rPr>
            </w:pPr>
            <w:r w:rsidRPr="006F7767">
              <w:rPr>
                <w:i/>
              </w:rPr>
              <w:t>S</w:t>
            </w:r>
            <w:r w:rsidR="00D61578" w:rsidRPr="006F7767">
              <w:rPr>
                <w:i/>
              </w:rPr>
              <w:t>tations</w:t>
            </w:r>
          </w:p>
          <w:p w:rsidR="00B97F2B" w:rsidRPr="006F7767" w:rsidRDefault="00B97F2B" w:rsidP="0063686C">
            <w:pPr>
              <w:pStyle w:val="Tablea"/>
            </w:pPr>
            <w:r w:rsidRPr="006F7767">
              <w:t xml:space="preserve">(a) number of natural gas gathering and boosting stations </w:t>
            </w:r>
          </w:p>
          <w:p w:rsidR="00B97F2B" w:rsidRPr="006F7767" w:rsidRDefault="00B97F2B" w:rsidP="0063686C">
            <w:pPr>
              <w:pStyle w:val="Tablea"/>
            </w:pPr>
            <w:r w:rsidRPr="006F7767">
              <w:t>(b) the tonnes of natural gas gathering and boosting throughput for each station</w:t>
            </w:r>
          </w:p>
          <w:p w:rsidR="00B97F2B" w:rsidRPr="006F7767" w:rsidRDefault="00B97F2B" w:rsidP="0063686C">
            <w:pPr>
              <w:pStyle w:val="Tablea"/>
            </w:pPr>
            <w:r w:rsidRPr="006F7767">
              <w:t>(c) number of equipment units of each equipment type</w:t>
            </w:r>
          </w:p>
          <w:p w:rsidR="00B97F2B" w:rsidRPr="006F7767" w:rsidRDefault="00B97F2B" w:rsidP="0063686C">
            <w:pPr>
              <w:pStyle w:val="Tablea"/>
            </w:pPr>
            <w:r w:rsidRPr="006F7767">
              <w:t>(d) average hours of operation of each equipment type</w:t>
            </w:r>
          </w:p>
          <w:p w:rsidR="00B97F2B" w:rsidRPr="006F7767" w:rsidRDefault="00B97F2B" w:rsidP="0063686C">
            <w:pPr>
              <w:pStyle w:val="Tablea"/>
            </w:pPr>
            <w:r w:rsidRPr="006F7767">
              <w:t>(e) total emissions for each gas type (CO</w:t>
            </w:r>
            <w:r w:rsidRPr="006F7767">
              <w:rPr>
                <w:vertAlign w:val="subscript"/>
              </w:rPr>
              <w:t>2</w:t>
            </w:r>
            <w:r w:rsidRPr="006F7767">
              <w:t>-e) for each equipment type</w:t>
            </w:r>
          </w:p>
          <w:p w:rsidR="00B97F2B" w:rsidRPr="006F7767" w:rsidRDefault="00D61578" w:rsidP="0063686C">
            <w:pPr>
              <w:pStyle w:val="Tablea"/>
              <w:rPr>
                <w:i/>
              </w:rPr>
            </w:pPr>
            <w:r w:rsidRPr="006F7767">
              <w:rPr>
                <w:i/>
              </w:rPr>
              <w:t>Pipelines</w:t>
            </w:r>
          </w:p>
          <w:p w:rsidR="00B97F2B" w:rsidRPr="006F7767" w:rsidRDefault="00B97F2B" w:rsidP="0063686C">
            <w:pPr>
              <w:pStyle w:val="Tablea"/>
            </w:pPr>
            <w:r w:rsidRPr="006F7767">
              <w:t>(f) kilometres of pipeline length of each material</w:t>
            </w:r>
          </w:p>
          <w:p w:rsidR="00B97F2B" w:rsidRPr="006F7767" w:rsidRDefault="00B97F2B" w:rsidP="0063686C">
            <w:pPr>
              <w:pStyle w:val="Tablea"/>
            </w:pPr>
            <w:r w:rsidRPr="006F7767">
              <w:t>(g) total emissions for each gas type (CO</w:t>
            </w:r>
            <w:r w:rsidRPr="006F7767">
              <w:rPr>
                <w:vertAlign w:val="subscript"/>
              </w:rPr>
              <w:t>2</w:t>
            </w:r>
            <w:r w:rsidRPr="006F7767">
              <w:t>-e) for each material</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63686C">
            <w:pPr>
              <w:pStyle w:val="Tabletext"/>
            </w:pPr>
            <w:r w:rsidRPr="006F7767">
              <w:t>3</w:t>
            </w:r>
          </w:p>
        </w:tc>
        <w:tc>
          <w:tcPr>
            <w:tcW w:w="1387" w:type="pct"/>
            <w:tcBorders>
              <w:top w:val="single" w:sz="2" w:space="0" w:color="auto"/>
              <w:bottom w:val="single" w:sz="12" w:space="0" w:color="auto"/>
            </w:tcBorders>
            <w:shd w:val="clear" w:color="auto" w:fill="auto"/>
          </w:tcPr>
          <w:p w:rsidR="00B97F2B" w:rsidRPr="006F7767" w:rsidRDefault="00B97F2B" w:rsidP="00D61578">
            <w:pPr>
              <w:pStyle w:val="Tabletext"/>
            </w:pPr>
            <w:r w:rsidRPr="006F7767">
              <w:t xml:space="preserve">Method 3 for the source, as set out in </w:t>
            </w:r>
            <w:r w:rsidR="00D61578" w:rsidRPr="006F7767">
              <w:t>section 3.73M</w:t>
            </w:r>
          </w:p>
        </w:tc>
        <w:tc>
          <w:tcPr>
            <w:tcW w:w="3193" w:type="pct"/>
            <w:tcBorders>
              <w:top w:val="single" w:sz="2" w:space="0" w:color="auto"/>
              <w:bottom w:val="single" w:sz="12" w:space="0" w:color="auto"/>
            </w:tcBorders>
            <w:shd w:val="clear" w:color="auto" w:fill="auto"/>
          </w:tcPr>
          <w:p w:rsidR="00B97F2B" w:rsidRPr="006F7767" w:rsidRDefault="00B97F2B" w:rsidP="0063686C">
            <w:pPr>
              <w:pStyle w:val="Tablea"/>
              <w:rPr>
                <w:i/>
              </w:rPr>
            </w:pPr>
            <w:r w:rsidRPr="006F7767">
              <w:rPr>
                <w:i/>
              </w:rPr>
              <w:t>S</w:t>
            </w:r>
            <w:r w:rsidR="00D61578" w:rsidRPr="006F7767">
              <w:rPr>
                <w:i/>
              </w:rPr>
              <w:t>tations</w:t>
            </w:r>
          </w:p>
          <w:p w:rsidR="00B97F2B" w:rsidRPr="006F7767" w:rsidRDefault="00B97F2B" w:rsidP="0063686C">
            <w:pPr>
              <w:pStyle w:val="Tablea"/>
            </w:pPr>
            <w:r w:rsidRPr="006F7767">
              <w:t xml:space="preserve">(a) number of natural gas gathering and boosting stations </w:t>
            </w:r>
          </w:p>
          <w:p w:rsidR="00B97F2B" w:rsidRPr="006F7767" w:rsidRDefault="00B97F2B" w:rsidP="0063686C">
            <w:pPr>
              <w:pStyle w:val="Tablea"/>
            </w:pPr>
            <w:r w:rsidRPr="006F7767">
              <w:t>(b) the tonnes of natural gas gathering and boosting throughput for each station</w:t>
            </w:r>
          </w:p>
          <w:p w:rsidR="00B97F2B" w:rsidRPr="006F7767" w:rsidRDefault="00B97F2B" w:rsidP="0063686C">
            <w:pPr>
              <w:pStyle w:val="Tablea"/>
            </w:pPr>
            <w:r w:rsidRPr="006F7767">
              <w:t>(c) number of components of each type (by leaker or non-leaker if LDAR factors are elected)</w:t>
            </w:r>
          </w:p>
          <w:p w:rsidR="00B97F2B" w:rsidRPr="006F7767" w:rsidRDefault="00B97F2B" w:rsidP="0063686C">
            <w:pPr>
              <w:pStyle w:val="Tablea"/>
            </w:pPr>
            <w:r w:rsidRPr="006F7767">
              <w:t>(d) average hours of operation of each component type</w:t>
            </w:r>
            <w:r w:rsidR="00712C4C">
              <w:t xml:space="preserve"> </w:t>
            </w:r>
            <w:r w:rsidRPr="006F7767">
              <w:t>(by leaker or non-leaker if LDAR factors are elected)</w:t>
            </w:r>
          </w:p>
          <w:p w:rsidR="00B97F2B" w:rsidRDefault="00B97F2B" w:rsidP="0063686C">
            <w:pPr>
              <w:pStyle w:val="Tablea"/>
            </w:pPr>
            <w:r w:rsidRPr="006F7767">
              <w:t>(e) total emissions for each gas type (CO</w:t>
            </w:r>
            <w:r w:rsidRPr="006F7767">
              <w:rPr>
                <w:vertAlign w:val="subscript"/>
              </w:rPr>
              <w:t>2</w:t>
            </w:r>
            <w:r w:rsidRPr="006F7767">
              <w:t>-e) for each component type (by leaker or non-leaker if LDAR factors are elected)</w:t>
            </w:r>
          </w:p>
          <w:p w:rsidR="002B6071" w:rsidRPr="006F7767" w:rsidRDefault="002B6071" w:rsidP="0063686C">
            <w:pPr>
              <w:pStyle w:val="Tablea"/>
            </w:pPr>
            <w:r>
              <w:lastRenderedPageBreak/>
              <w:t>(f) if LDAR factors are elected—the standard used to detect leakers</w:t>
            </w:r>
          </w:p>
          <w:p w:rsidR="00B97F2B" w:rsidRPr="006F7767" w:rsidRDefault="00D61578" w:rsidP="0063686C">
            <w:pPr>
              <w:pStyle w:val="Tablea"/>
              <w:rPr>
                <w:i/>
              </w:rPr>
            </w:pPr>
            <w:r w:rsidRPr="006F7767">
              <w:rPr>
                <w:i/>
              </w:rPr>
              <w:t>Pipelines</w:t>
            </w:r>
          </w:p>
          <w:p w:rsidR="00B97F2B" w:rsidRPr="006F7767" w:rsidRDefault="002B6071" w:rsidP="0063686C">
            <w:pPr>
              <w:pStyle w:val="Tablea"/>
            </w:pPr>
            <w:r>
              <w:t>(g</w:t>
            </w:r>
            <w:r w:rsidR="00B97F2B" w:rsidRPr="006F7767">
              <w:t>) kilometres of pipeline length of each material</w:t>
            </w:r>
          </w:p>
          <w:p w:rsidR="00B97F2B" w:rsidRPr="006F7767" w:rsidRDefault="002B6071" w:rsidP="0063686C">
            <w:pPr>
              <w:pStyle w:val="Tablea"/>
            </w:pPr>
            <w:r>
              <w:t>(h</w:t>
            </w:r>
            <w:r w:rsidR="00B97F2B" w:rsidRPr="006F7767">
              <w:t>) total emissions for each gas type (CO</w:t>
            </w:r>
            <w:r w:rsidR="00B97F2B" w:rsidRPr="006F7767">
              <w:rPr>
                <w:vertAlign w:val="subscript"/>
              </w:rPr>
              <w:t>2</w:t>
            </w:r>
            <w:r w:rsidR="00B97F2B" w:rsidRPr="006F7767">
              <w:t>-e) for each material</w:t>
            </w:r>
          </w:p>
        </w:tc>
      </w:tr>
    </w:tbl>
    <w:p w:rsidR="00B97F2B" w:rsidRPr="006F7767" w:rsidRDefault="00B97F2B" w:rsidP="00DF00DA">
      <w:pPr>
        <w:pStyle w:val="Tabletext"/>
      </w:pPr>
    </w:p>
    <w:p w:rsidR="00DF00DA" w:rsidRPr="006F7767" w:rsidRDefault="00DF00DA" w:rsidP="00DF00DA">
      <w:pPr>
        <w:pStyle w:val="TableHeading"/>
      </w:pPr>
      <w:r w:rsidRPr="006F7767">
        <w:t>Source</w:t>
      </w:r>
      <w:r w:rsidR="00B107A5">
        <w:t xml:space="preserve"> 2L—Produced water from oil and </w:t>
      </w:r>
      <w:r w:rsidRPr="006F7767">
        <w:t>gas exploration and development, crude oil production, natural gas production or natural gas gathering and boosting (other than emissions that are vented or flared)</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bottom w:val="single" w:sz="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bottom w:val="single" w:sz="2" w:space="0" w:color="auto"/>
            </w:tcBorders>
            <w:shd w:val="clear" w:color="auto" w:fill="auto"/>
          </w:tcPr>
          <w:p w:rsidR="00B97F2B" w:rsidRPr="006F7767" w:rsidRDefault="00B97F2B" w:rsidP="00D61578">
            <w:pPr>
              <w:pStyle w:val="Tabletext"/>
            </w:pPr>
            <w:r w:rsidRPr="006F7767">
              <w:t xml:space="preserve">Method 1 for the source, as set out in </w:t>
            </w:r>
            <w:r w:rsidR="00D61578" w:rsidRPr="006F7767">
              <w:t>section 3.73NA</w:t>
            </w:r>
          </w:p>
        </w:tc>
        <w:tc>
          <w:tcPr>
            <w:tcW w:w="3193" w:type="pct"/>
            <w:tcBorders>
              <w:top w:val="single" w:sz="12" w:space="0" w:color="auto"/>
              <w:bottom w:val="single" w:sz="2" w:space="0" w:color="auto"/>
            </w:tcBorders>
            <w:shd w:val="clear" w:color="auto" w:fill="auto"/>
          </w:tcPr>
          <w:p w:rsidR="00B97F2B" w:rsidRPr="006F7767" w:rsidRDefault="00B97F2B" w:rsidP="0063686C">
            <w:pPr>
              <w:pStyle w:val="Tabletext"/>
            </w:pPr>
            <w:r w:rsidRPr="006F7767">
              <w:t>megalitres of produced water</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63686C">
            <w:pPr>
              <w:pStyle w:val="Tabletext"/>
            </w:pPr>
            <w:r w:rsidRPr="006F7767">
              <w:t>2</w:t>
            </w:r>
          </w:p>
        </w:tc>
        <w:tc>
          <w:tcPr>
            <w:tcW w:w="1387" w:type="pct"/>
            <w:tcBorders>
              <w:top w:val="single" w:sz="2" w:space="0" w:color="auto"/>
              <w:bottom w:val="single" w:sz="12" w:space="0" w:color="auto"/>
            </w:tcBorders>
            <w:shd w:val="clear" w:color="auto" w:fill="auto"/>
          </w:tcPr>
          <w:p w:rsidR="00B97F2B" w:rsidRPr="006F7767" w:rsidRDefault="00B97F2B" w:rsidP="00D61578">
            <w:pPr>
              <w:pStyle w:val="Tabletext"/>
            </w:pPr>
            <w:r w:rsidRPr="006F7767">
              <w:t xml:space="preserve">Method 2 for the source, as set out in </w:t>
            </w:r>
            <w:r w:rsidR="00D61578" w:rsidRPr="006F7767">
              <w:t>section 3.73NB</w:t>
            </w:r>
          </w:p>
        </w:tc>
        <w:tc>
          <w:tcPr>
            <w:tcW w:w="3193" w:type="pct"/>
            <w:tcBorders>
              <w:top w:val="single" w:sz="2" w:space="0" w:color="auto"/>
              <w:bottom w:val="single" w:sz="12" w:space="0" w:color="auto"/>
            </w:tcBorders>
            <w:shd w:val="clear" w:color="auto" w:fill="auto"/>
          </w:tcPr>
          <w:p w:rsidR="00B97F2B" w:rsidRPr="006F7767" w:rsidRDefault="00B97F2B" w:rsidP="0063686C">
            <w:pPr>
              <w:pStyle w:val="Tablea"/>
            </w:pPr>
            <w:r w:rsidRPr="006F7767">
              <w:t>(a) megalitres of produced water</w:t>
            </w:r>
          </w:p>
          <w:p w:rsidR="00B97F2B" w:rsidRPr="006F7767" w:rsidRDefault="00B97F2B" w:rsidP="0063686C">
            <w:pPr>
              <w:pStyle w:val="Tablea"/>
            </w:pPr>
            <w:r w:rsidRPr="006F7767">
              <w:t>(b) average pressure in kilopascals for a water stream entering the separator during the year</w:t>
            </w:r>
            <w:r w:rsidR="00712C4C">
              <w:t xml:space="preserve"> (or equivalent if no separator)</w:t>
            </w:r>
          </w:p>
          <w:p w:rsidR="00B97F2B" w:rsidRPr="006F7767" w:rsidRDefault="00B97F2B" w:rsidP="0063686C">
            <w:pPr>
              <w:pStyle w:val="Tablea"/>
            </w:pPr>
            <w:r w:rsidRPr="006F7767">
              <w:t>(c) average salinity content of the water</w:t>
            </w:r>
          </w:p>
        </w:tc>
      </w:tr>
    </w:tbl>
    <w:p w:rsidR="00DF00DA" w:rsidRPr="006F7767" w:rsidRDefault="00DF00DA" w:rsidP="00DF00DA">
      <w:pPr>
        <w:pStyle w:val="Tabletext"/>
      </w:pPr>
    </w:p>
    <w:p w:rsidR="00DF00DA" w:rsidRPr="006F7767" w:rsidRDefault="00DF00DA" w:rsidP="00DF00DA">
      <w:pPr>
        <w:pStyle w:val="TableHeading"/>
      </w:pPr>
      <w:r w:rsidRPr="006F7767">
        <w:t>Source 2M—Natural gas processing (other than emissions that are vented or flared)</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tcBorders>
            <w:shd w:val="clear" w:color="auto" w:fill="auto"/>
          </w:tcPr>
          <w:p w:rsidR="00B97F2B" w:rsidRPr="006F7767" w:rsidRDefault="00B97F2B" w:rsidP="00D61578">
            <w:pPr>
              <w:pStyle w:val="Tabletext"/>
            </w:pPr>
            <w:r w:rsidRPr="006F7767">
              <w:t xml:space="preserve">Method 1 for the source, as set out in </w:t>
            </w:r>
            <w:r w:rsidR="00D61578" w:rsidRPr="006F7767">
              <w:t>section 3.73Q</w:t>
            </w:r>
          </w:p>
        </w:tc>
        <w:tc>
          <w:tcPr>
            <w:tcW w:w="3193" w:type="pct"/>
            <w:tcBorders>
              <w:top w:val="single" w:sz="12" w:space="0" w:color="auto"/>
            </w:tcBorders>
            <w:shd w:val="clear" w:color="auto" w:fill="auto"/>
          </w:tcPr>
          <w:p w:rsidR="00B97F2B" w:rsidRPr="006F7767" w:rsidRDefault="00B97F2B" w:rsidP="0063686C">
            <w:pPr>
              <w:pStyle w:val="Tablea"/>
            </w:pPr>
            <w:r w:rsidRPr="006F7767">
              <w:t xml:space="preserve">(a) number of processing stations </w:t>
            </w:r>
          </w:p>
          <w:p w:rsidR="00B97F2B" w:rsidRPr="006F7767" w:rsidRDefault="00B97F2B" w:rsidP="004D2353">
            <w:pPr>
              <w:pStyle w:val="Tablea"/>
            </w:pPr>
            <w:r w:rsidRPr="006F7767">
              <w:t>(b) the tonnes</w:t>
            </w:r>
            <w:r w:rsidR="004D2353">
              <w:t xml:space="preserve"> of throughput for each station</w:t>
            </w:r>
          </w:p>
        </w:tc>
      </w:tr>
      <w:tr w:rsidR="00B97F2B" w:rsidRPr="006F7767" w:rsidTr="0063686C">
        <w:tc>
          <w:tcPr>
            <w:tcW w:w="420" w:type="pct"/>
            <w:tcBorders>
              <w:bottom w:val="single" w:sz="2" w:space="0" w:color="auto"/>
            </w:tcBorders>
            <w:shd w:val="clear" w:color="auto" w:fill="auto"/>
          </w:tcPr>
          <w:p w:rsidR="00B97F2B" w:rsidRPr="006F7767" w:rsidRDefault="00B97F2B" w:rsidP="0063686C">
            <w:pPr>
              <w:pStyle w:val="Tabletext"/>
            </w:pPr>
            <w:r w:rsidRPr="006F7767">
              <w:t>2</w:t>
            </w:r>
          </w:p>
        </w:tc>
        <w:tc>
          <w:tcPr>
            <w:tcW w:w="1387" w:type="pct"/>
            <w:tcBorders>
              <w:bottom w:val="single" w:sz="2" w:space="0" w:color="auto"/>
            </w:tcBorders>
            <w:shd w:val="clear" w:color="auto" w:fill="auto"/>
          </w:tcPr>
          <w:p w:rsidR="00B97F2B" w:rsidRPr="006F7767" w:rsidRDefault="00B97F2B" w:rsidP="00D61578">
            <w:pPr>
              <w:pStyle w:val="Tabletext"/>
            </w:pPr>
            <w:r w:rsidRPr="006F7767">
              <w:t xml:space="preserve">Method 2 for the source, as set out in </w:t>
            </w:r>
            <w:r w:rsidR="00D61578" w:rsidRPr="006F7767">
              <w:t>section 3.73R</w:t>
            </w:r>
          </w:p>
        </w:tc>
        <w:tc>
          <w:tcPr>
            <w:tcW w:w="3193" w:type="pct"/>
            <w:tcBorders>
              <w:bottom w:val="single" w:sz="2" w:space="0" w:color="auto"/>
            </w:tcBorders>
            <w:shd w:val="clear" w:color="auto" w:fill="auto"/>
          </w:tcPr>
          <w:p w:rsidR="00B97F2B" w:rsidRPr="006F7767" w:rsidRDefault="00B97F2B" w:rsidP="0063686C">
            <w:pPr>
              <w:pStyle w:val="Tablea"/>
            </w:pPr>
            <w:r w:rsidRPr="006F7767">
              <w:t xml:space="preserve">(a) number of processing stations </w:t>
            </w:r>
          </w:p>
          <w:p w:rsidR="00B97F2B" w:rsidRPr="006F7767" w:rsidRDefault="00B97F2B" w:rsidP="0063686C">
            <w:pPr>
              <w:pStyle w:val="Tablea"/>
            </w:pPr>
            <w:r w:rsidRPr="006F7767">
              <w:t>(b) the tonnes of throughput for each station</w:t>
            </w:r>
          </w:p>
          <w:p w:rsidR="00B97F2B" w:rsidRPr="006F7767" w:rsidRDefault="00B97F2B" w:rsidP="0063686C">
            <w:pPr>
              <w:pStyle w:val="Tablea"/>
            </w:pPr>
            <w:r w:rsidRPr="006F7767">
              <w:t>(c) number of equipment units of each equipment type</w:t>
            </w:r>
          </w:p>
          <w:p w:rsidR="00B97F2B" w:rsidRPr="006F7767" w:rsidRDefault="00B97F2B" w:rsidP="0063686C">
            <w:pPr>
              <w:pStyle w:val="Tablea"/>
            </w:pPr>
            <w:r w:rsidRPr="006F7767">
              <w:t>(d) average hours of operation of each equipment type</w:t>
            </w:r>
          </w:p>
          <w:p w:rsidR="00B97F2B" w:rsidRPr="006F7767" w:rsidRDefault="00B97F2B" w:rsidP="0063686C">
            <w:pPr>
              <w:pStyle w:val="Tablea"/>
            </w:pPr>
            <w:r w:rsidRPr="006F7767">
              <w:t>(e) total emissions for each gas type (CO</w:t>
            </w:r>
            <w:r w:rsidRPr="006F7767">
              <w:rPr>
                <w:vertAlign w:val="subscript"/>
              </w:rPr>
              <w:t>2</w:t>
            </w:r>
            <w:r w:rsidRPr="006F7767">
              <w:t>-e) for each equipment type</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63686C">
            <w:pPr>
              <w:pStyle w:val="Tabletext"/>
            </w:pPr>
            <w:r w:rsidRPr="006F7767">
              <w:t>3</w:t>
            </w:r>
          </w:p>
        </w:tc>
        <w:tc>
          <w:tcPr>
            <w:tcW w:w="1387" w:type="pct"/>
            <w:tcBorders>
              <w:top w:val="single" w:sz="2" w:space="0" w:color="auto"/>
              <w:bottom w:val="single" w:sz="12" w:space="0" w:color="auto"/>
            </w:tcBorders>
            <w:shd w:val="clear" w:color="auto" w:fill="auto"/>
          </w:tcPr>
          <w:p w:rsidR="00B97F2B" w:rsidRPr="006F7767" w:rsidRDefault="00B97F2B" w:rsidP="00D61578">
            <w:pPr>
              <w:pStyle w:val="Tabletext"/>
            </w:pPr>
            <w:r w:rsidRPr="006F7767">
              <w:t xml:space="preserve">Method 3 for the source, as set out in </w:t>
            </w:r>
            <w:r w:rsidR="00D61578" w:rsidRPr="006F7767">
              <w:t>section 3.73S</w:t>
            </w:r>
          </w:p>
        </w:tc>
        <w:tc>
          <w:tcPr>
            <w:tcW w:w="3193" w:type="pct"/>
            <w:tcBorders>
              <w:top w:val="single" w:sz="2" w:space="0" w:color="auto"/>
              <w:bottom w:val="single" w:sz="12" w:space="0" w:color="auto"/>
            </w:tcBorders>
            <w:shd w:val="clear" w:color="auto" w:fill="auto"/>
          </w:tcPr>
          <w:p w:rsidR="00B97F2B" w:rsidRPr="006F7767" w:rsidRDefault="00B97F2B" w:rsidP="0063686C">
            <w:pPr>
              <w:pStyle w:val="Tablea"/>
            </w:pPr>
            <w:r w:rsidRPr="006F7767">
              <w:t xml:space="preserve">(a) number of processing stations </w:t>
            </w:r>
          </w:p>
          <w:p w:rsidR="00B97F2B" w:rsidRPr="006F7767" w:rsidRDefault="00B97F2B" w:rsidP="0063686C">
            <w:pPr>
              <w:pStyle w:val="Tablea"/>
            </w:pPr>
            <w:r w:rsidRPr="006F7767">
              <w:t>(b) the tonnes of throughput for each station</w:t>
            </w:r>
          </w:p>
          <w:p w:rsidR="00B97F2B" w:rsidRPr="006F7767" w:rsidRDefault="00B97F2B" w:rsidP="0063686C">
            <w:pPr>
              <w:pStyle w:val="Tablea"/>
            </w:pPr>
            <w:r w:rsidRPr="006F7767">
              <w:t>(c) number of components of each type (by leaker or non-leaker if LDAR factors are elected)</w:t>
            </w:r>
          </w:p>
          <w:p w:rsidR="00B97F2B" w:rsidRPr="006F7767" w:rsidRDefault="00B97F2B" w:rsidP="0063686C">
            <w:pPr>
              <w:pStyle w:val="Tablea"/>
            </w:pPr>
            <w:r w:rsidRPr="006F7767">
              <w:t>(d) average hours of operation of each component type</w:t>
            </w:r>
            <w:r w:rsidR="00712C4C">
              <w:t xml:space="preserve"> </w:t>
            </w:r>
            <w:r w:rsidRPr="006F7767">
              <w:t>(by leaker or non-leaker if LDAR factors are elected)</w:t>
            </w:r>
          </w:p>
          <w:p w:rsidR="00B97F2B" w:rsidRDefault="00B97F2B" w:rsidP="0063686C">
            <w:pPr>
              <w:pStyle w:val="Tablea"/>
            </w:pPr>
            <w:r w:rsidRPr="006F7767">
              <w:t>(e) total emissions for each gas type (CO</w:t>
            </w:r>
            <w:r w:rsidRPr="006F7767">
              <w:rPr>
                <w:vertAlign w:val="subscript"/>
              </w:rPr>
              <w:t>2</w:t>
            </w:r>
            <w:r w:rsidRPr="006F7767">
              <w:t>-e) for each component type (by leaker or non-leaker if LDAR factors are elected)</w:t>
            </w:r>
          </w:p>
          <w:p w:rsidR="002B6071" w:rsidRPr="006F7767" w:rsidRDefault="002B6071" w:rsidP="0063686C">
            <w:pPr>
              <w:pStyle w:val="Tablea"/>
            </w:pPr>
            <w:r>
              <w:t>(f) if LDAR factors are elected—the standard used to detect leakers</w:t>
            </w:r>
          </w:p>
        </w:tc>
      </w:tr>
    </w:tbl>
    <w:p w:rsidR="00DF00DA" w:rsidRPr="006F7767" w:rsidRDefault="00DF00DA" w:rsidP="00DF00DA">
      <w:pPr>
        <w:pStyle w:val="Tabletext"/>
      </w:pPr>
    </w:p>
    <w:p w:rsidR="00DF00DA" w:rsidRPr="006F7767" w:rsidRDefault="00DF00DA" w:rsidP="00DF00DA">
      <w:pPr>
        <w:pStyle w:val="TableHeading"/>
      </w:pPr>
      <w:r w:rsidRPr="006F7767">
        <w:t>Source 2N—Natural gas transmission (other than flaring)</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tcBorders>
            <w:shd w:val="clear" w:color="auto" w:fill="auto"/>
          </w:tcPr>
          <w:p w:rsidR="00B97F2B" w:rsidRPr="006F7767" w:rsidRDefault="00B97F2B" w:rsidP="00D61578">
            <w:pPr>
              <w:pStyle w:val="Tabletext"/>
            </w:pPr>
            <w:r w:rsidRPr="006F7767">
              <w:t xml:space="preserve">Method 1, 2 and 3 for the source, as set out in </w:t>
            </w:r>
            <w:r w:rsidR="00D61578" w:rsidRPr="006F7767">
              <w:t>sections 3.76, 3.77 and 3.78</w:t>
            </w:r>
          </w:p>
        </w:tc>
        <w:tc>
          <w:tcPr>
            <w:tcW w:w="3193" w:type="pct"/>
            <w:tcBorders>
              <w:top w:val="single" w:sz="12" w:space="0" w:color="auto"/>
            </w:tcBorders>
            <w:shd w:val="clear" w:color="auto" w:fill="auto"/>
          </w:tcPr>
          <w:p w:rsidR="00B97F2B" w:rsidRPr="006F7767" w:rsidRDefault="00B97F2B" w:rsidP="0063686C">
            <w:pPr>
              <w:pStyle w:val="Tablea"/>
            </w:pPr>
            <w:r w:rsidRPr="006F7767">
              <w:t>(a) the terajoules of natural gas transmission throughput</w:t>
            </w:r>
          </w:p>
          <w:p w:rsidR="00B97F2B" w:rsidRPr="006F7767" w:rsidRDefault="00B97F2B" w:rsidP="0063686C">
            <w:pPr>
              <w:pStyle w:val="Tablea"/>
            </w:pPr>
            <w:r w:rsidRPr="006F7767">
              <w:t>(b) kilometres of pipeline length</w:t>
            </w:r>
          </w:p>
        </w:tc>
      </w:tr>
    </w:tbl>
    <w:p w:rsidR="00DF00DA" w:rsidRPr="006F7767" w:rsidRDefault="00DF00DA" w:rsidP="00DF00DA">
      <w:pPr>
        <w:pStyle w:val="Tabletext"/>
      </w:pPr>
    </w:p>
    <w:p w:rsidR="00DF00DA" w:rsidRPr="006F7767" w:rsidRDefault="00DF00DA" w:rsidP="00DF00DA">
      <w:pPr>
        <w:pStyle w:val="TableHeading"/>
      </w:pPr>
      <w:r w:rsidRPr="006F7767">
        <w:t>Source 2O—Natural gas storage (other than emissions that are vented or flared)</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lastRenderedPageBreak/>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tcBorders>
            <w:shd w:val="clear" w:color="auto" w:fill="auto"/>
          </w:tcPr>
          <w:p w:rsidR="00B97F2B" w:rsidRPr="006F7767" w:rsidRDefault="00B97F2B" w:rsidP="00D61578">
            <w:pPr>
              <w:pStyle w:val="Tabletext"/>
            </w:pPr>
            <w:r w:rsidRPr="006F7767">
              <w:t xml:space="preserve">Method 1 for the source, as set out in </w:t>
            </w:r>
            <w:r w:rsidR="00D61578" w:rsidRPr="006F7767">
              <w:t>section 3.78C</w:t>
            </w:r>
          </w:p>
        </w:tc>
        <w:tc>
          <w:tcPr>
            <w:tcW w:w="3193" w:type="pct"/>
            <w:tcBorders>
              <w:top w:val="single" w:sz="12" w:space="0" w:color="auto"/>
            </w:tcBorders>
            <w:shd w:val="clear" w:color="auto" w:fill="auto"/>
          </w:tcPr>
          <w:p w:rsidR="00B97F2B" w:rsidRPr="006F7767" w:rsidRDefault="00B97F2B" w:rsidP="0063686C">
            <w:pPr>
              <w:pStyle w:val="Tabletext"/>
            </w:pPr>
            <w:r w:rsidRPr="006F7767">
              <w:t>number of storage stations</w:t>
            </w:r>
          </w:p>
        </w:tc>
      </w:tr>
      <w:tr w:rsidR="00B97F2B" w:rsidRPr="006F7767" w:rsidTr="0063686C">
        <w:tc>
          <w:tcPr>
            <w:tcW w:w="420" w:type="pct"/>
            <w:tcBorders>
              <w:bottom w:val="single" w:sz="2" w:space="0" w:color="auto"/>
            </w:tcBorders>
            <w:shd w:val="clear" w:color="auto" w:fill="auto"/>
          </w:tcPr>
          <w:p w:rsidR="00B97F2B" w:rsidRPr="006F7767" w:rsidRDefault="00B97F2B" w:rsidP="0063686C">
            <w:pPr>
              <w:pStyle w:val="Tabletext"/>
            </w:pPr>
            <w:r w:rsidRPr="006F7767">
              <w:t>2</w:t>
            </w:r>
          </w:p>
        </w:tc>
        <w:tc>
          <w:tcPr>
            <w:tcW w:w="1387" w:type="pct"/>
            <w:tcBorders>
              <w:bottom w:val="single" w:sz="2" w:space="0" w:color="auto"/>
            </w:tcBorders>
            <w:shd w:val="clear" w:color="auto" w:fill="auto"/>
          </w:tcPr>
          <w:p w:rsidR="00B97F2B" w:rsidRPr="006F7767" w:rsidRDefault="00B97F2B" w:rsidP="00D61578">
            <w:pPr>
              <w:pStyle w:val="Tabletext"/>
            </w:pPr>
            <w:r w:rsidRPr="006F7767">
              <w:t xml:space="preserve">Method 2 for the source, as set out in </w:t>
            </w:r>
            <w:r w:rsidR="00D61578" w:rsidRPr="006F7767">
              <w:t>section 3.78D</w:t>
            </w:r>
          </w:p>
        </w:tc>
        <w:tc>
          <w:tcPr>
            <w:tcW w:w="3193" w:type="pct"/>
            <w:tcBorders>
              <w:bottom w:val="single" w:sz="2" w:space="0" w:color="auto"/>
            </w:tcBorders>
            <w:shd w:val="clear" w:color="auto" w:fill="auto"/>
          </w:tcPr>
          <w:p w:rsidR="00B97F2B" w:rsidRPr="006F7767" w:rsidRDefault="00B97F2B" w:rsidP="0063686C">
            <w:pPr>
              <w:pStyle w:val="Tablea"/>
            </w:pPr>
            <w:r w:rsidRPr="006F7767">
              <w:t>(a) number of storage stations</w:t>
            </w:r>
          </w:p>
          <w:p w:rsidR="00B97F2B" w:rsidRPr="006F7767" w:rsidRDefault="00B97F2B" w:rsidP="0063686C">
            <w:pPr>
              <w:pStyle w:val="Tablea"/>
            </w:pPr>
            <w:r w:rsidRPr="006F7767">
              <w:t>(b) number of equipment units of each equipment type</w:t>
            </w:r>
          </w:p>
          <w:p w:rsidR="00B97F2B" w:rsidRPr="006F7767" w:rsidRDefault="00B97F2B" w:rsidP="0063686C">
            <w:pPr>
              <w:pStyle w:val="Tablea"/>
            </w:pPr>
            <w:r w:rsidRPr="006F7767">
              <w:t>(c) average hours of operation of each equipment type</w:t>
            </w:r>
          </w:p>
          <w:p w:rsidR="00B97F2B" w:rsidRPr="006F7767" w:rsidRDefault="00B97F2B" w:rsidP="0063686C">
            <w:pPr>
              <w:pStyle w:val="Tablea"/>
            </w:pPr>
            <w:r w:rsidRPr="006F7767">
              <w:t>(d) total emissions for each gas type (CO</w:t>
            </w:r>
            <w:r w:rsidRPr="006F7767">
              <w:rPr>
                <w:vertAlign w:val="subscript"/>
              </w:rPr>
              <w:t>2</w:t>
            </w:r>
            <w:r w:rsidRPr="006F7767">
              <w:t>-e) for each equipment type</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63686C">
            <w:pPr>
              <w:pStyle w:val="Tabletext"/>
            </w:pPr>
            <w:r w:rsidRPr="006F7767">
              <w:t>3</w:t>
            </w:r>
          </w:p>
        </w:tc>
        <w:tc>
          <w:tcPr>
            <w:tcW w:w="1387" w:type="pct"/>
            <w:tcBorders>
              <w:top w:val="single" w:sz="2" w:space="0" w:color="auto"/>
              <w:bottom w:val="single" w:sz="12" w:space="0" w:color="auto"/>
            </w:tcBorders>
            <w:shd w:val="clear" w:color="auto" w:fill="auto"/>
          </w:tcPr>
          <w:p w:rsidR="00B97F2B" w:rsidRPr="006F7767" w:rsidRDefault="00B97F2B" w:rsidP="00D61578">
            <w:pPr>
              <w:pStyle w:val="Tabletext"/>
            </w:pPr>
            <w:r w:rsidRPr="006F7767">
              <w:t xml:space="preserve">Method 3 for the source, as set out in </w:t>
            </w:r>
            <w:r w:rsidR="00D61578" w:rsidRPr="006F7767">
              <w:t>section 3.78E</w:t>
            </w:r>
          </w:p>
        </w:tc>
        <w:tc>
          <w:tcPr>
            <w:tcW w:w="3193" w:type="pct"/>
            <w:tcBorders>
              <w:top w:val="single" w:sz="2" w:space="0" w:color="auto"/>
              <w:bottom w:val="single" w:sz="12" w:space="0" w:color="auto"/>
            </w:tcBorders>
            <w:shd w:val="clear" w:color="auto" w:fill="auto"/>
          </w:tcPr>
          <w:p w:rsidR="00B97F2B" w:rsidRPr="006F7767" w:rsidRDefault="00B97F2B" w:rsidP="0063686C">
            <w:pPr>
              <w:pStyle w:val="Tablea"/>
            </w:pPr>
            <w:r w:rsidRPr="006F7767">
              <w:t>(a) number of storage stations</w:t>
            </w:r>
          </w:p>
          <w:p w:rsidR="00B97F2B" w:rsidRPr="006F7767" w:rsidRDefault="00B97F2B" w:rsidP="0063686C">
            <w:pPr>
              <w:pStyle w:val="Tablea"/>
            </w:pPr>
            <w:r w:rsidRPr="006F7767">
              <w:t>(b) number of components of each type (by leaker or non-leaker if LDAR factors are elected)</w:t>
            </w:r>
          </w:p>
          <w:p w:rsidR="00B97F2B" w:rsidRPr="006F7767" w:rsidRDefault="00B97F2B" w:rsidP="0063686C">
            <w:pPr>
              <w:pStyle w:val="Tablea"/>
            </w:pPr>
            <w:r w:rsidRPr="006F7767">
              <w:t>(c) average hours of operation of each component type (by leaker or non-leaker if LDAR factors are elected)</w:t>
            </w:r>
          </w:p>
          <w:p w:rsidR="00B97F2B" w:rsidRDefault="00B97F2B" w:rsidP="0063686C">
            <w:pPr>
              <w:pStyle w:val="Tablea"/>
            </w:pPr>
            <w:r w:rsidRPr="006F7767">
              <w:t>(d) total emissions for each gas type (CO</w:t>
            </w:r>
            <w:r w:rsidRPr="006F7767">
              <w:rPr>
                <w:vertAlign w:val="subscript"/>
              </w:rPr>
              <w:t>2</w:t>
            </w:r>
            <w:r w:rsidRPr="006F7767">
              <w:t>-e) for each component type (by leaker or non-leaker if LDAR factors are elected)</w:t>
            </w:r>
          </w:p>
          <w:p w:rsidR="002B6071" w:rsidRPr="006F7767" w:rsidRDefault="002B6071" w:rsidP="002B6071">
            <w:pPr>
              <w:pStyle w:val="Tablea"/>
            </w:pPr>
            <w:r>
              <w:t>(e) if LDAR factors are elected—the standard used to detect leakers</w:t>
            </w:r>
          </w:p>
        </w:tc>
      </w:tr>
    </w:tbl>
    <w:p w:rsidR="00DF00DA" w:rsidRPr="006F7767" w:rsidRDefault="00DF00DA" w:rsidP="00DF00DA">
      <w:pPr>
        <w:pStyle w:val="Tabletext"/>
      </w:pPr>
    </w:p>
    <w:p w:rsidR="00DF00DA" w:rsidRPr="006F7767" w:rsidRDefault="00DF00DA" w:rsidP="00DF00DA">
      <w:pPr>
        <w:pStyle w:val="TableHeading"/>
      </w:pPr>
      <w:r w:rsidRPr="006F7767">
        <w:t>Source 2P—Natural gas liquefaction, storage and transfer (other than emissions that are vented or flared)</w:t>
      </w:r>
    </w:p>
    <w:p w:rsidR="00DF00DA" w:rsidRPr="006F7767"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tcBorders>
            <w:shd w:val="clear" w:color="auto" w:fill="auto"/>
          </w:tcPr>
          <w:p w:rsidR="00B97F2B" w:rsidRPr="006F7767" w:rsidRDefault="00B97F2B" w:rsidP="00D61578">
            <w:pPr>
              <w:pStyle w:val="Tabletext"/>
            </w:pPr>
            <w:r w:rsidRPr="006F7767">
              <w:t>Method 1, and</w:t>
            </w:r>
            <w:r w:rsidR="00D61578" w:rsidRPr="006F7767">
              <w:t xml:space="preserve"> </w:t>
            </w:r>
            <w:r w:rsidRPr="006F7767">
              <w:t xml:space="preserve">2 for the source, as set out in </w:t>
            </w:r>
            <w:r w:rsidR="00D61578" w:rsidRPr="006F7767">
              <w:t>sections 3.78H and 3.78I</w:t>
            </w:r>
          </w:p>
        </w:tc>
        <w:tc>
          <w:tcPr>
            <w:tcW w:w="3193" w:type="pct"/>
            <w:tcBorders>
              <w:top w:val="single" w:sz="12" w:space="0" w:color="auto"/>
            </w:tcBorders>
            <w:shd w:val="clear" w:color="auto" w:fill="auto"/>
          </w:tcPr>
          <w:p w:rsidR="00B97F2B" w:rsidRPr="006F7767" w:rsidRDefault="00B97F2B" w:rsidP="0063686C">
            <w:pPr>
              <w:pStyle w:val="Tablea"/>
            </w:pPr>
            <w:r w:rsidRPr="006F7767">
              <w:t>(a) the tonnes of natural gas liquefied</w:t>
            </w:r>
          </w:p>
          <w:p w:rsidR="00B97F2B" w:rsidRPr="006F7767" w:rsidRDefault="00B97F2B" w:rsidP="0063686C">
            <w:pPr>
              <w:pStyle w:val="Tablea"/>
            </w:pPr>
            <w:r w:rsidRPr="006F7767">
              <w:t>(b) number of liquefied natural gas stations</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63686C">
            <w:pPr>
              <w:pStyle w:val="Tabletext"/>
            </w:pPr>
            <w:r w:rsidRPr="006F7767">
              <w:t>3</w:t>
            </w:r>
          </w:p>
        </w:tc>
        <w:tc>
          <w:tcPr>
            <w:tcW w:w="1387" w:type="pct"/>
            <w:tcBorders>
              <w:top w:val="single" w:sz="2" w:space="0" w:color="auto"/>
              <w:bottom w:val="single" w:sz="12" w:space="0" w:color="auto"/>
            </w:tcBorders>
            <w:shd w:val="clear" w:color="auto" w:fill="auto"/>
          </w:tcPr>
          <w:p w:rsidR="00B97F2B" w:rsidRPr="006F7767" w:rsidRDefault="00B97F2B" w:rsidP="00D61578">
            <w:pPr>
              <w:pStyle w:val="Tabletext"/>
            </w:pPr>
            <w:r w:rsidRPr="006F7767">
              <w:t xml:space="preserve">Method 3 for the source, as set out in </w:t>
            </w:r>
            <w:r w:rsidR="00D61578" w:rsidRPr="006F7767">
              <w:t>section 3.78J</w:t>
            </w:r>
          </w:p>
        </w:tc>
        <w:tc>
          <w:tcPr>
            <w:tcW w:w="3193" w:type="pct"/>
            <w:tcBorders>
              <w:top w:val="single" w:sz="2" w:space="0" w:color="auto"/>
              <w:bottom w:val="single" w:sz="12" w:space="0" w:color="auto"/>
            </w:tcBorders>
            <w:shd w:val="clear" w:color="auto" w:fill="auto"/>
          </w:tcPr>
          <w:p w:rsidR="00B97F2B" w:rsidRPr="006F7767" w:rsidRDefault="00B97F2B" w:rsidP="0063686C">
            <w:pPr>
              <w:pStyle w:val="Tablea"/>
            </w:pPr>
            <w:r w:rsidRPr="006F7767">
              <w:t>(a) the tonnes of natural gas liquefied</w:t>
            </w:r>
          </w:p>
          <w:p w:rsidR="00B97F2B" w:rsidRPr="006F7767" w:rsidRDefault="00B97F2B" w:rsidP="0063686C">
            <w:pPr>
              <w:pStyle w:val="Tablea"/>
            </w:pPr>
            <w:r w:rsidRPr="006F7767">
              <w:t>(b) number of liquefied natural gas stations</w:t>
            </w:r>
          </w:p>
          <w:p w:rsidR="00B97F2B" w:rsidRPr="006F7767" w:rsidRDefault="00B97F2B" w:rsidP="0063686C">
            <w:pPr>
              <w:pStyle w:val="Tablea"/>
            </w:pPr>
            <w:r w:rsidRPr="006F7767">
              <w:t>(c) number of components of each type (by leaker or non-leaker if LDAR factors are elected)</w:t>
            </w:r>
          </w:p>
          <w:p w:rsidR="00B97F2B" w:rsidRPr="006F7767" w:rsidRDefault="00B97F2B" w:rsidP="0063686C">
            <w:pPr>
              <w:pStyle w:val="Tablea"/>
            </w:pPr>
            <w:r w:rsidRPr="006F7767">
              <w:t>(d) average hours of operation of each component type (by leaker or non-leaker if LDAR factors are elected)</w:t>
            </w:r>
          </w:p>
          <w:p w:rsidR="00B97F2B" w:rsidRDefault="00B97F2B" w:rsidP="0063686C">
            <w:pPr>
              <w:pStyle w:val="Tablea"/>
            </w:pPr>
            <w:r w:rsidRPr="006F7767">
              <w:t>(e) total emissions for each gas type (CO</w:t>
            </w:r>
            <w:r w:rsidRPr="006F7767">
              <w:rPr>
                <w:vertAlign w:val="subscript"/>
              </w:rPr>
              <w:t>2</w:t>
            </w:r>
            <w:r w:rsidRPr="006F7767">
              <w:t>-e) for each component type (by leaker or non-leaker if LDAR factors are elected)</w:t>
            </w:r>
          </w:p>
          <w:p w:rsidR="002B6071" w:rsidRPr="006F7767" w:rsidRDefault="002B6071" w:rsidP="0063686C">
            <w:pPr>
              <w:pStyle w:val="Tablea"/>
            </w:pPr>
            <w:r>
              <w:t>(f) if LDAR factors are elected—the standard used to detect leakers</w:t>
            </w:r>
          </w:p>
        </w:tc>
      </w:tr>
    </w:tbl>
    <w:p w:rsidR="00B97F2B" w:rsidRPr="006F7767" w:rsidRDefault="00B97F2B" w:rsidP="00DF00DA">
      <w:pPr>
        <w:pStyle w:val="Tabletext"/>
      </w:pPr>
    </w:p>
    <w:p w:rsidR="00DF00DA" w:rsidRPr="006F7767" w:rsidRDefault="00DF00DA" w:rsidP="00712C4C">
      <w:pPr>
        <w:pStyle w:val="TableHeading"/>
      </w:pPr>
      <w:r w:rsidRPr="006F7767">
        <w:t>Source 2Q—Natural gas distribution (other than flaring)</w:t>
      </w:r>
    </w:p>
    <w:p w:rsidR="00DF00DA" w:rsidRPr="006F7767" w:rsidRDefault="00DF00DA" w:rsidP="00712C4C">
      <w:pPr>
        <w:pStyle w:val="Tabletext"/>
        <w:keepN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Matters to be identified</w:t>
            </w:r>
          </w:p>
        </w:tc>
      </w:tr>
      <w:tr w:rsidR="00B97F2B" w:rsidRPr="006F7767" w:rsidTr="0063686C">
        <w:tc>
          <w:tcPr>
            <w:tcW w:w="420" w:type="pct"/>
            <w:tcBorders>
              <w:top w:val="single" w:sz="12" w:space="0" w:color="auto"/>
            </w:tcBorders>
            <w:shd w:val="clear" w:color="auto" w:fill="auto"/>
          </w:tcPr>
          <w:p w:rsidR="00B97F2B" w:rsidRPr="006F7767" w:rsidRDefault="00B97F2B" w:rsidP="00712C4C">
            <w:pPr>
              <w:pStyle w:val="Tabletext"/>
              <w:keepNext/>
            </w:pPr>
            <w:r w:rsidRPr="006F7767">
              <w:t>1</w:t>
            </w:r>
          </w:p>
        </w:tc>
        <w:tc>
          <w:tcPr>
            <w:tcW w:w="1387" w:type="pct"/>
            <w:tcBorders>
              <w:top w:val="single" w:sz="12" w:space="0" w:color="auto"/>
            </w:tcBorders>
            <w:shd w:val="clear" w:color="auto" w:fill="auto"/>
          </w:tcPr>
          <w:p w:rsidR="00B97F2B" w:rsidRPr="006F7767" w:rsidRDefault="00B97F2B" w:rsidP="00712C4C">
            <w:pPr>
              <w:pStyle w:val="Tabletext"/>
              <w:keepNext/>
            </w:pPr>
            <w:r w:rsidRPr="006F7767">
              <w:t xml:space="preserve">Methods 1 and 2 for the source, as set out in </w:t>
            </w:r>
            <w:r w:rsidR="00D61578" w:rsidRPr="006F7767">
              <w:t>sections 3.81 and 3.82</w:t>
            </w:r>
          </w:p>
        </w:tc>
        <w:tc>
          <w:tcPr>
            <w:tcW w:w="3193" w:type="pct"/>
            <w:tcBorders>
              <w:top w:val="single" w:sz="12" w:space="0" w:color="auto"/>
            </w:tcBorders>
            <w:shd w:val="clear" w:color="auto" w:fill="auto"/>
          </w:tcPr>
          <w:p w:rsidR="00B97F2B" w:rsidRPr="006F7767" w:rsidRDefault="00B97F2B" w:rsidP="00712C4C">
            <w:pPr>
              <w:pStyle w:val="Tablea"/>
              <w:keepNext/>
            </w:pPr>
            <w:r w:rsidRPr="006F7767">
              <w:t>(a) terajoules of utility sales</w:t>
            </w:r>
          </w:p>
          <w:p w:rsidR="00B97F2B" w:rsidRPr="006F7767" w:rsidRDefault="00B97F2B" w:rsidP="00712C4C">
            <w:pPr>
              <w:pStyle w:val="Tablea"/>
              <w:keepNext/>
            </w:pPr>
            <w:r w:rsidRPr="006F7767">
              <w:t>(b) location of the natural gas distribution</w:t>
            </w:r>
          </w:p>
        </w:tc>
      </w:tr>
      <w:tr w:rsidR="00B97F2B" w:rsidRPr="006F7767" w:rsidTr="0063686C">
        <w:tc>
          <w:tcPr>
            <w:tcW w:w="420" w:type="pct"/>
            <w:tcBorders>
              <w:top w:val="single" w:sz="2" w:space="0" w:color="auto"/>
              <w:bottom w:val="single" w:sz="12" w:space="0" w:color="auto"/>
            </w:tcBorders>
            <w:shd w:val="clear" w:color="auto" w:fill="auto"/>
          </w:tcPr>
          <w:p w:rsidR="00B97F2B" w:rsidRPr="006F7767" w:rsidRDefault="00B97F2B" w:rsidP="00712C4C">
            <w:pPr>
              <w:pStyle w:val="Tabletext"/>
              <w:keepNext/>
            </w:pPr>
            <w:r w:rsidRPr="006F7767">
              <w:t>3</w:t>
            </w:r>
          </w:p>
        </w:tc>
        <w:tc>
          <w:tcPr>
            <w:tcW w:w="1387" w:type="pct"/>
            <w:tcBorders>
              <w:top w:val="single" w:sz="2" w:space="0" w:color="auto"/>
              <w:bottom w:val="single" w:sz="12" w:space="0" w:color="auto"/>
            </w:tcBorders>
            <w:shd w:val="clear" w:color="auto" w:fill="auto"/>
          </w:tcPr>
          <w:p w:rsidR="00B97F2B" w:rsidRPr="006F7767" w:rsidRDefault="00B97F2B" w:rsidP="00712C4C">
            <w:pPr>
              <w:pStyle w:val="Tabletext"/>
              <w:keepNext/>
            </w:pPr>
            <w:r w:rsidRPr="006F7767">
              <w:t xml:space="preserve">Method 3 for the source, as set out in </w:t>
            </w:r>
            <w:r w:rsidR="00D61578" w:rsidRPr="006F7767">
              <w:t>section 3.82A</w:t>
            </w:r>
          </w:p>
        </w:tc>
        <w:tc>
          <w:tcPr>
            <w:tcW w:w="3193" w:type="pct"/>
            <w:tcBorders>
              <w:top w:val="single" w:sz="2" w:space="0" w:color="auto"/>
              <w:bottom w:val="single" w:sz="12" w:space="0" w:color="auto"/>
            </w:tcBorders>
            <w:shd w:val="clear" w:color="auto" w:fill="auto"/>
          </w:tcPr>
          <w:p w:rsidR="00B97F2B" w:rsidRPr="006F7767" w:rsidRDefault="00B97F2B" w:rsidP="00712C4C">
            <w:pPr>
              <w:pStyle w:val="Tablea"/>
              <w:keepNext/>
            </w:pPr>
            <w:r w:rsidRPr="006F7767">
              <w:t>(a) terajoules of utility sales</w:t>
            </w:r>
          </w:p>
          <w:p w:rsidR="00B97F2B" w:rsidRPr="006F7767" w:rsidRDefault="00B97F2B" w:rsidP="00712C4C">
            <w:pPr>
              <w:pStyle w:val="Tablea"/>
              <w:keepNext/>
            </w:pPr>
            <w:r w:rsidRPr="006F7767">
              <w:t>(b) location of the natural gas distribution</w:t>
            </w:r>
          </w:p>
          <w:p w:rsidR="00B97F2B" w:rsidRPr="006F7767" w:rsidRDefault="00B97F2B" w:rsidP="00712C4C">
            <w:pPr>
              <w:pStyle w:val="Tablea"/>
              <w:keepNext/>
            </w:pPr>
            <w:r w:rsidRPr="006F7767">
              <w:t>(c) the facility specific unaccounted for gas factor as a percentage</w:t>
            </w:r>
          </w:p>
          <w:p w:rsidR="00B97F2B" w:rsidRPr="006F7767" w:rsidRDefault="00B97F2B" w:rsidP="00712C4C">
            <w:pPr>
              <w:pStyle w:val="Tablea"/>
              <w:keepNext/>
            </w:pPr>
            <w:r w:rsidRPr="006F7767">
              <w:t>(d) whether the facility specific unaccounted for gas factor is the percentage calculated or determined for the reporting year or for a previous period</w:t>
            </w:r>
          </w:p>
        </w:tc>
      </w:tr>
    </w:tbl>
    <w:p w:rsidR="00B97F2B" w:rsidRPr="006F7767" w:rsidRDefault="00B97F2B" w:rsidP="00DF00DA">
      <w:pPr>
        <w:pStyle w:val="Tabletext"/>
      </w:pPr>
    </w:p>
    <w:p w:rsidR="00DF00DA" w:rsidRPr="006F7767" w:rsidRDefault="00DF00DA" w:rsidP="00DF00DA">
      <w:pPr>
        <w:pStyle w:val="TableHeading"/>
      </w:pPr>
      <w:r w:rsidRPr="006F7767">
        <w:t>Source 2R—Onshore natural gas production—venting</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lastRenderedPageBreak/>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bottom w:val="single" w:sz="12" w:space="0" w:color="auto"/>
            </w:tcBorders>
            <w:shd w:val="clear" w:color="auto" w:fill="auto"/>
          </w:tcPr>
          <w:p w:rsidR="00B97F2B" w:rsidRPr="006F7767" w:rsidRDefault="00B97F2B" w:rsidP="00D61578">
            <w:pPr>
              <w:pStyle w:val="Tabletext"/>
            </w:pPr>
            <w:r w:rsidRPr="006F7767">
              <w:t>Methods 1 and 4 for the source, as set out in</w:t>
            </w:r>
            <w:r w:rsidR="00D61578" w:rsidRPr="006F7767">
              <w:t xml:space="preserve"> section </w:t>
            </w:r>
            <w:r w:rsidR="00712C4C" w:rsidRPr="006F7767">
              <w:t>3.85, 3.85B, 3.85D, 3.85F, 3.85H, 3.85L, 3.85N, 3.85P, 3.85Q, 3.85S and Part 1.3</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a"/>
            </w:pPr>
            <w:r w:rsidRPr="006F7767">
              <w:t xml:space="preserve"> (a) the tonnes and megajoules of vented gas related to gas treatment processes</w:t>
            </w:r>
          </w:p>
          <w:p w:rsidR="00B97F2B" w:rsidRPr="006F7767" w:rsidRDefault="00B97F2B" w:rsidP="0063686C">
            <w:pPr>
              <w:pStyle w:val="Tablea"/>
            </w:pPr>
            <w:r w:rsidRPr="006F7767">
              <w:t>(b) the tonnes and megajoules of vented gas related to cold process vents</w:t>
            </w:r>
          </w:p>
          <w:p w:rsidR="00B97F2B" w:rsidRPr="006F7767" w:rsidRDefault="00B97F2B" w:rsidP="0063686C">
            <w:pPr>
              <w:pStyle w:val="Tablea"/>
            </w:pPr>
            <w:r w:rsidRPr="006F7767">
              <w:t>(c) the tonnes and megajoules of vented gas related to gas blanketed tanks</w:t>
            </w:r>
          </w:p>
          <w:p w:rsidR="00B97F2B" w:rsidRPr="006F7767" w:rsidRDefault="00B97F2B" w:rsidP="0063686C">
            <w:pPr>
              <w:pStyle w:val="Tablea"/>
            </w:pPr>
            <w:r w:rsidRPr="006F7767">
              <w:t>(d) the tonnes and megajoules of vented gas related to condensate storage tanks</w:t>
            </w:r>
          </w:p>
          <w:p w:rsidR="00B97F2B" w:rsidRPr="006F7767" w:rsidRDefault="00B97F2B" w:rsidP="0063686C">
            <w:pPr>
              <w:pStyle w:val="Tablea"/>
            </w:pPr>
            <w:r w:rsidRPr="006F7767">
              <w:t>(e) the tonnes and megajoules of vented gas related to gas driven pneumatic devices</w:t>
            </w:r>
          </w:p>
          <w:p w:rsidR="00B97F2B" w:rsidRPr="006F7767" w:rsidRDefault="00B97F2B" w:rsidP="0063686C">
            <w:pPr>
              <w:pStyle w:val="Tablea"/>
            </w:pPr>
            <w:r w:rsidRPr="006F7767">
              <w:t>(f) the tonnes and megajoules of vented gas related to gas driven chemical injection pumps</w:t>
            </w:r>
          </w:p>
          <w:p w:rsidR="00B97F2B" w:rsidRPr="006F7767" w:rsidRDefault="00B97F2B" w:rsidP="0063686C">
            <w:pPr>
              <w:pStyle w:val="Tablea"/>
            </w:pPr>
            <w:r w:rsidRPr="006F7767">
              <w:t>(g) the tonnes and megajoules of vented gas related to well blowouts</w:t>
            </w:r>
          </w:p>
          <w:p w:rsidR="00B97F2B" w:rsidRPr="006F7767" w:rsidRDefault="00B97F2B" w:rsidP="0063686C">
            <w:pPr>
              <w:pStyle w:val="Tablea"/>
            </w:pPr>
            <w:r w:rsidRPr="006F7767">
              <w:t>(h) the tonnes and megajoules of vented gas related to carbon dioxide stimulation</w:t>
            </w:r>
          </w:p>
          <w:p w:rsidR="00B97F2B" w:rsidRPr="006F7767" w:rsidRDefault="00B97F2B" w:rsidP="0063686C">
            <w:pPr>
              <w:pStyle w:val="Tablea"/>
            </w:pPr>
            <w:r w:rsidRPr="006F7767">
              <w:t>(i) the tonnes and megajoules of vented gas related to well workovers</w:t>
            </w:r>
          </w:p>
          <w:p w:rsidR="00B97F2B" w:rsidRPr="006F7767" w:rsidRDefault="00B97F2B" w:rsidP="0063686C">
            <w:pPr>
              <w:pStyle w:val="Tablea"/>
            </w:pPr>
            <w:r w:rsidRPr="006F7767">
              <w:t>(j) the tonnes and megajoules of vented gas related to vessel blowdowns, compressor starts and compressor blowdowns</w:t>
            </w:r>
          </w:p>
          <w:p w:rsidR="00B97F2B" w:rsidRPr="006F7767" w:rsidRDefault="00B97F2B" w:rsidP="0063686C">
            <w:pPr>
              <w:pStyle w:val="Tablea"/>
            </w:pPr>
            <w:r w:rsidRPr="006F7767">
              <w:t>(k) number of well workovers without hydraulic fracturing</w:t>
            </w:r>
          </w:p>
          <w:p w:rsidR="00B97F2B" w:rsidRPr="006F7767" w:rsidRDefault="00B97F2B" w:rsidP="0063686C">
            <w:pPr>
              <w:pStyle w:val="Tablea"/>
            </w:pPr>
            <w:r w:rsidRPr="006F7767">
              <w:t>(l) number of well workovers with hydraulic fracturing and venting (no flaring)</w:t>
            </w:r>
          </w:p>
          <w:p w:rsidR="00B97F2B" w:rsidRPr="006F7767" w:rsidRDefault="00B97F2B" w:rsidP="0063686C">
            <w:pPr>
              <w:pStyle w:val="Tablea"/>
            </w:pPr>
            <w:r w:rsidRPr="006F7767">
              <w:t>(m) number of well workovers with hydraulic fracturing with capture (no flaring)</w:t>
            </w:r>
          </w:p>
          <w:p w:rsidR="00B97F2B" w:rsidRPr="006F7767" w:rsidRDefault="00B97F2B" w:rsidP="0063686C">
            <w:pPr>
              <w:pStyle w:val="Tablea"/>
            </w:pPr>
            <w:r w:rsidRPr="006F7767">
              <w:t>(n) number of well workovers with hydraulic fracturing with flaring</w:t>
            </w:r>
          </w:p>
        </w:tc>
      </w:tr>
    </w:tbl>
    <w:p w:rsidR="00DF00DA" w:rsidRPr="006F7767" w:rsidRDefault="00DF00DA" w:rsidP="00DF00DA">
      <w:pPr>
        <w:pStyle w:val="Tabletext"/>
      </w:pPr>
    </w:p>
    <w:p w:rsidR="00DF00DA" w:rsidRPr="006F7767" w:rsidRDefault="00DF00DA" w:rsidP="00951945">
      <w:pPr>
        <w:pStyle w:val="TableHeading"/>
      </w:pPr>
      <w:r w:rsidRPr="006F7767">
        <w:lastRenderedPageBreak/>
        <w:t>Source 2S—Offshore natural gas production—venting</w:t>
      </w:r>
    </w:p>
    <w:p w:rsidR="00B97F2B" w:rsidRPr="006F7767" w:rsidRDefault="00B97F2B" w:rsidP="00951945">
      <w:pPr>
        <w:pStyle w:val="Tabletext"/>
        <w:keepN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951945">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951945">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951945">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951945">
            <w:pPr>
              <w:pStyle w:val="Tabletext"/>
              <w:keepNext/>
            </w:pPr>
            <w:r w:rsidRPr="006F7767">
              <w:t>1</w:t>
            </w:r>
          </w:p>
        </w:tc>
        <w:tc>
          <w:tcPr>
            <w:tcW w:w="1387" w:type="pct"/>
            <w:tcBorders>
              <w:top w:val="single" w:sz="12" w:space="0" w:color="auto"/>
              <w:bottom w:val="single" w:sz="12" w:space="0" w:color="auto"/>
            </w:tcBorders>
            <w:shd w:val="clear" w:color="auto" w:fill="auto"/>
          </w:tcPr>
          <w:p w:rsidR="00B97F2B" w:rsidRPr="006F7767" w:rsidRDefault="00B97F2B" w:rsidP="00951945">
            <w:pPr>
              <w:pStyle w:val="Tabletext"/>
              <w:keepNext/>
            </w:pPr>
            <w:r w:rsidRPr="006F7767">
              <w:t xml:space="preserve">Methods 1 and 4 for the source, as set out in </w:t>
            </w:r>
            <w:r w:rsidR="00D61578" w:rsidRPr="006F7767">
              <w:t>section</w:t>
            </w:r>
            <w:r w:rsidR="00CE5881" w:rsidRPr="006F7767">
              <w:t>s</w:t>
            </w:r>
            <w:r w:rsidR="00D61578" w:rsidRPr="006F7767">
              <w:t xml:space="preserve"> 3.85</w:t>
            </w:r>
            <w:r w:rsidR="00CE5881" w:rsidRPr="006F7767">
              <w:t>, 3.85B, 3.85D, 3.85F, 3.85H, 3.85L, 3.85N, 3.85P, 3.85Q, 3.85S</w:t>
            </w:r>
            <w:r w:rsidR="00D61578" w:rsidRPr="006F7767">
              <w:t xml:space="preserve"> and Part 1.3</w:t>
            </w:r>
          </w:p>
        </w:tc>
        <w:tc>
          <w:tcPr>
            <w:tcW w:w="3193" w:type="pct"/>
            <w:tcBorders>
              <w:top w:val="single" w:sz="12" w:space="0" w:color="auto"/>
              <w:bottom w:val="single" w:sz="12" w:space="0" w:color="auto"/>
            </w:tcBorders>
            <w:shd w:val="clear" w:color="auto" w:fill="auto"/>
          </w:tcPr>
          <w:p w:rsidR="00B97F2B" w:rsidRPr="006F7767" w:rsidRDefault="00B97F2B" w:rsidP="00951945">
            <w:pPr>
              <w:pStyle w:val="Tablea"/>
              <w:keepNext/>
            </w:pPr>
            <w:r w:rsidRPr="006F7767">
              <w:t xml:space="preserve"> (a) the tonnes and megajoules of vented gas related to gas treatment processes</w:t>
            </w:r>
          </w:p>
          <w:p w:rsidR="00B97F2B" w:rsidRPr="006F7767" w:rsidRDefault="00B97F2B" w:rsidP="00951945">
            <w:pPr>
              <w:pStyle w:val="Tablea"/>
              <w:keepNext/>
            </w:pPr>
            <w:r w:rsidRPr="006F7767">
              <w:t>(b) the tonnes and megajoules of vented gas related to cold process vents</w:t>
            </w:r>
          </w:p>
          <w:p w:rsidR="00B97F2B" w:rsidRPr="006F7767" w:rsidRDefault="00B97F2B" w:rsidP="00951945">
            <w:pPr>
              <w:pStyle w:val="Tablea"/>
              <w:keepNext/>
            </w:pPr>
            <w:r w:rsidRPr="006F7767">
              <w:t>(c) the tonnes and megajoules of vented gas related to gas blanketed tanks</w:t>
            </w:r>
          </w:p>
          <w:p w:rsidR="00B97F2B" w:rsidRPr="006F7767" w:rsidRDefault="00B97F2B" w:rsidP="00951945">
            <w:pPr>
              <w:pStyle w:val="Tablea"/>
              <w:keepNext/>
            </w:pPr>
            <w:r w:rsidRPr="006F7767">
              <w:t>(d) the tonnes and megajoules of vented gas related to condensate storage tanks</w:t>
            </w:r>
          </w:p>
          <w:p w:rsidR="00B97F2B" w:rsidRPr="006F7767" w:rsidRDefault="00B97F2B" w:rsidP="00951945">
            <w:pPr>
              <w:pStyle w:val="Tablea"/>
              <w:keepNext/>
            </w:pPr>
            <w:r w:rsidRPr="006F7767">
              <w:t>(e) the tonnes and megajoules of vented gas related to gas driven pneumatic devices</w:t>
            </w:r>
          </w:p>
          <w:p w:rsidR="00B97F2B" w:rsidRPr="006F7767" w:rsidRDefault="00B97F2B" w:rsidP="00951945">
            <w:pPr>
              <w:pStyle w:val="Tablea"/>
              <w:keepNext/>
            </w:pPr>
            <w:r w:rsidRPr="006F7767">
              <w:t>(f) the tonnes and megajoules of vented gas related to gas driven chemical injection pumps</w:t>
            </w:r>
          </w:p>
          <w:p w:rsidR="00B97F2B" w:rsidRPr="006F7767" w:rsidRDefault="00B97F2B" w:rsidP="00951945">
            <w:pPr>
              <w:pStyle w:val="Tablea"/>
              <w:keepNext/>
            </w:pPr>
            <w:r w:rsidRPr="006F7767">
              <w:t>(g) the tonnes and megajoules of vented gas related to well blowouts</w:t>
            </w:r>
          </w:p>
          <w:p w:rsidR="00B97F2B" w:rsidRPr="006F7767" w:rsidRDefault="00B97F2B" w:rsidP="00951945">
            <w:pPr>
              <w:pStyle w:val="Tablea"/>
              <w:keepNext/>
            </w:pPr>
            <w:r w:rsidRPr="006F7767">
              <w:t>(h) the tonnes and megajoules of vented gas related to carbon dioxide stimulation</w:t>
            </w:r>
          </w:p>
          <w:p w:rsidR="00B97F2B" w:rsidRPr="006F7767" w:rsidRDefault="00B97F2B" w:rsidP="00951945">
            <w:pPr>
              <w:pStyle w:val="Tablea"/>
              <w:keepNext/>
            </w:pPr>
            <w:r w:rsidRPr="006F7767">
              <w:t>(i) the tonnes and megajoules of vented gas related to well workovers</w:t>
            </w:r>
          </w:p>
          <w:p w:rsidR="00B97F2B" w:rsidRPr="006F7767" w:rsidRDefault="00B97F2B" w:rsidP="00951945">
            <w:pPr>
              <w:pStyle w:val="Tablea"/>
              <w:keepNext/>
            </w:pPr>
            <w:r w:rsidRPr="006F7767">
              <w:t>(j) the tonnes and megajoules of vented gas related to vessel blowdowns, compressor starts and compressor blowdowns</w:t>
            </w:r>
          </w:p>
          <w:p w:rsidR="00B97F2B" w:rsidRPr="006F7767" w:rsidRDefault="00B97F2B" w:rsidP="00951945">
            <w:pPr>
              <w:pStyle w:val="Tablea"/>
              <w:keepNext/>
            </w:pPr>
            <w:r w:rsidRPr="006F7767">
              <w:t>(k) number of well workovers without hydraulic fracturing</w:t>
            </w:r>
          </w:p>
          <w:p w:rsidR="00B97F2B" w:rsidRPr="006F7767" w:rsidRDefault="00B97F2B" w:rsidP="00951945">
            <w:pPr>
              <w:pStyle w:val="Tablea"/>
              <w:keepNext/>
            </w:pPr>
            <w:r w:rsidRPr="006F7767">
              <w:t>(l) number of well workovers with hydraulic fracturing and venting (no flaring)</w:t>
            </w:r>
          </w:p>
          <w:p w:rsidR="00B97F2B" w:rsidRPr="006F7767" w:rsidRDefault="00B97F2B" w:rsidP="00951945">
            <w:pPr>
              <w:pStyle w:val="Tablea"/>
              <w:keepNext/>
            </w:pPr>
            <w:r w:rsidRPr="006F7767">
              <w:t>(m) number of well workovers with hydraulic fracturing with capture (no flaring)</w:t>
            </w:r>
          </w:p>
          <w:p w:rsidR="00B97F2B" w:rsidRPr="006F7767" w:rsidRDefault="00B97F2B" w:rsidP="00951945">
            <w:pPr>
              <w:pStyle w:val="Tablea"/>
              <w:keepNext/>
            </w:pPr>
            <w:r w:rsidRPr="006F7767">
              <w:t>(n) number of well workovers with hydraulic fracturing with flaring</w:t>
            </w:r>
          </w:p>
        </w:tc>
      </w:tr>
    </w:tbl>
    <w:p w:rsidR="00DF00DA" w:rsidRPr="006F7767" w:rsidRDefault="00DF00DA" w:rsidP="00DF00DA">
      <w:pPr>
        <w:pStyle w:val="Tabletext"/>
      </w:pPr>
    </w:p>
    <w:p w:rsidR="00DF00DA" w:rsidRPr="006F7767" w:rsidRDefault="00DF00DA" w:rsidP="00DF00DA">
      <w:pPr>
        <w:pStyle w:val="TableHeading"/>
      </w:pPr>
      <w:r w:rsidRPr="006F7767">
        <w:t>Source 2T—Onshore natural gas production—flaring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DF00DA"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DF00DA" w:rsidRPr="006F7767" w:rsidTr="0063686C">
        <w:tc>
          <w:tcPr>
            <w:tcW w:w="420" w:type="pct"/>
            <w:tcBorders>
              <w:top w:val="single" w:sz="12" w:space="0" w:color="auto"/>
              <w:bottom w:val="single" w:sz="2" w:space="0" w:color="auto"/>
            </w:tcBorders>
            <w:shd w:val="clear" w:color="auto" w:fill="auto"/>
          </w:tcPr>
          <w:p w:rsidR="00DF00DA" w:rsidRPr="006F7767" w:rsidRDefault="00DF00DA" w:rsidP="0063686C">
            <w:pPr>
              <w:pStyle w:val="Tabletext"/>
            </w:pPr>
            <w:r w:rsidRPr="006F7767">
              <w:t>1</w:t>
            </w:r>
          </w:p>
        </w:tc>
        <w:tc>
          <w:tcPr>
            <w:tcW w:w="1387" w:type="pct"/>
            <w:tcBorders>
              <w:top w:val="single" w:sz="12" w:space="0" w:color="auto"/>
              <w:bottom w:val="single" w:sz="2" w:space="0" w:color="auto"/>
            </w:tcBorders>
            <w:shd w:val="clear" w:color="auto" w:fill="auto"/>
          </w:tcPr>
          <w:p w:rsidR="00DF00DA" w:rsidRPr="006F7767" w:rsidRDefault="00DF00DA" w:rsidP="00CE5881">
            <w:pPr>
              <w:pStyle w:val="Tabletext"/>
            </w:pPr>
            <w:r w:rsidRPr="006F7767">
              <w:t xml:space="preserve">Method 1 for the source, as set out in </w:t>
            </w:r>
            <w:r w:rsidR="00CE5881" w:rsidRPr="006F7767">
              <w:t>section 3.86</w:t>
            </w:r>
          </w:p>
        </w:tc>
        <w:tc>
          <w:tcPr>
            <w:tcW w:w="3193" w:type="pct"/>
            <w:tcBorders>
              <w:top w:val="single" w:sz="12" w:space="0" w:color="auto"/>
              <w:bottom w:val="single" w:sz="2" w:space="0" w:color="auto"/>
            </w:tcBorders>
            <w:shd w:val="clear" w:color="auto" w:fill="auto"/>
          </w:tcPr>
          <w:p w:rsidR="00DF00DA" w:rsidRPr="006F7767" w:rsidRDefault="00DF00DA" w:rsidP="0063686C">
            <w:pPr>
              <w:pStyle w:val="Tablea"/>
            </w:pPr>
            <w:r w:rsidRPr="006F7767">
              <w:t>(a) the tonnes of flared gas</w:t>
            </w:r>
          </w:p>
          <w:p w:rsidR="00DF00DA" w:rsidRPr="006F7767" w:rsidRDefault="00DF00DA" w:rsidP="0063686C">
            <w:pPr>
              <w:pStyle w:val="Tablea"/>
            </w:pPr>
            <w:r w:rsidRPr="006F7767">
              <w:t>(b) the tonnes of flared crude oil and liquids</w:t>
            </w:r>
          </w:p>
        </w:tc>
      </w:tr>
      <w:tr w:rsidR="00DF00DA" w:rsidRPr="006F7767" w:rsidTr="0063686C">
        <w:tc>
          <w:tcPr>
            <w:tcW w:w="420" w:type="pct"/>
            <w:tcBorders>
              <w:top w:val="single" w:sz="2" w:space="0" w:color="auto"/>
              <w:bottom w:val="single" w:sz="12" w:space="0" w:color="auto"/>
            </w:tcBorders>
            <w:shd w:val="clear" w:color="auto" w:fill="auto"/>
          </w:tcPr>
          <w:p w:rsidR="00DF00DA" w:rsidRPr="006F7767" w:rsidRDefault="00DF00DA" w:rsidP="0063686C">
            <w:pPr>
              <w:pStyle w:val="Tabletext"/>
            </w:pPr>
            <w:r w:rsidRPr="006F7767">
              <w:t>2</w:t>
            </w:r>
          </w:p>
        </w:tc>
        <w:tc>
          <w:tcPr>
            <w:tcW w:w="1387" w:type="pct"/>
            <w:tcBorders>
              <w:top w:val="single" w:sz="2" w:space="0" w:color="auto"/>
              <w:bottom w:val="single" w:sz="12" w:space="0" w:color="auto"/>
            </w:tcBorders>
            <w:shd w:val="clear" w:color="auto" w:fill="auto"/>
          </w:tcPr>
          <w:p w:rsidR="00DF00DA" w:rsidRPr="006F7767" w:rsidRDefault="00DF00DA" w:rsidP="00CE5881">
            <w:pPr>
              <w:pStyle w:val="Tabletext"/>
            </w:pPr>
            <w:r w:rsidRPr="006F7767">
              <w:t xml:space="preserve">Methods 2, 2A and 3 for the source, as set out in </w:t>
            </w:r>
            <w:r w:rsidR="00CE5881" w:rsidRPr="006F7767">
              <w:t>sections 3.87, 3.87A and 3.88</w:t>
            </w:r>
          </w:p>
        </w:tc>
        <w:tc>
          <w:tcPr>
            <w:tcW w:w="3193" w:type="pct"/>
            <w:tcBorders>
              <w:top w:val="single" w:sz="2" w:space="0" w:color="auto"/>
              <w:bottom w:val="single" w:sz="12" w:space="0" w:color="auto"/>
            </w:tcBorders>
            <w:shd w:val="clear" w:color="auto" w:fill="auto"/>
          </w:tcPr>
          <w:p w:rsidR="00DF00DA" w:rsidRPr="006F7767" w:rsidRDefault="00DF00DA" w:rsidP="0063686C">
            <w:pPr>
              <w:pStyle w:val="Tablea"/>
            </w:pPr>
            <w:r w:rsidRPr="006F7767">
              <w:t>(a) the tonnes and megajoules of flared gas (hydrocarbon component)</w:t>
            </w:r>
          </w:p>
          <w:p w:rsidR="00DF00DA" w:rsidRPr="006F7767" w:rsidRDefault="00DF00DA" w:rsidP="0063686C">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 xml:space="preserve">Source 2U—Offshore natural gas production—flaring </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6F7767"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6F7767" w:rsidRPr="006F7767" w:rsidTr="0063686C">
        <w:tc>
          <w:tcPr>
            <w:tcW w:w="420"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1</w:t>
            </w:r>
          </w:p>
        </w:tc>
        <w:tc>
          <w:tcPr>
            <w:tcW w:w="1387"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Method 1 for the source, as set out in section 3.86</w:t>
            </w:r>
          </w:p>
        </w:tc>
        <w:tc>
          <w:tcPr>
            <w:tcW w:w="3193" w:type="pct"/>
            <w:tcBorders>
              <w:top w:val="single" w:sz="12" w:space="0" w:color="auto"/>
              <w:bottom w:val="single" w:sz="2" w:space="0" w:color="auto"/>
            </w:tcBorders>
            <w:shd w:val="clear" w:color="auto" w:fill="auto"/>
          </w:tcPr>
          <w:p w:rsidR="00CE5881" w:rsidRPr="006F7767" w:rsidRDefault="00CE5881" w:rsidP="00CE5881">
            <w:pPr>
              <w:pStyle w:val="Tablea"/>
            </w:pPr>
            <w:r w:rsidRPr="006F7767">
              <w:t>(a) the tonnes of flared gas</w:t>
            </w:r>
          </w:p>
          <w:p w:rsidR="00CE5881" w:rsidRPr="006F7767" w:rsidRDefault="00CE5881" w:rsidP="00CE5881">
            <w:pPr>
              <w:pStyle w:val="Tablea"/>
            </w:pPr>
            <w:r w:rsidRPr="006F7767">
              <w:t>(b) the tonnes of flared crude oil and liquids</w:t>
            </w:r>
          </w:p>
        </w:tc>
      </w:tr>
      <w:tr w:rsidR="006F7767" w:rsidRPr="006F7767" w:rsidTr="0063686C">
        <w:tc>
          <w:tcPr>
            <w:tcW w:w="420"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2</w:t>
            </w:r>
          </w:p>
        </w:tc>
        <w:tc>
          <w:tcPr>
            <w:tcW w:w="1387"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Methods 2, 2A and 3 for the source, as set out in sections 3.87, 3.87A and 3.88</w:t>
            </w:r>
          </w:p>
        </w:tc>
        <w:tc>
          <w:tcPr>
            <w:tcW w:w="3193" w:type="pct"/>
            <w:tcBorders>
              <w:top w:val="single" w:sz="2" w:space="0" w:color="auto"/>
              <w:bottom w:val="single" w:sz="12" w:space="0" w:color="auto"/>
            </w:tcBorders>
            <w:shd w:val="clear" w:color="auto" w:fill="auto"/>
          </w:tcPr>
          <w:p w:rsidR="00CE5881" w:rsidRPr="006F7767" w:rsidRDefault="00CE5881" w:rsidP="00CE5881">
            <w:pPr>
              <w:pStyle w:val="Tablea"/>
            </w:pPr>
            <w:r w:rsidRPr="006F7767">
              <w:t>(a) the tonnes and megajoules of flared gas (hydrocarbon component)</w:t>
            </w:r>
          </w:p>
          <w:p w:rsidR="00CE5881" w:rsidRPr="006F7767" w:rsidRDefault="00CE5881" w:rsidP="00CE5881">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lastRenderedPageBreak/>
        <w:t>Source 2V—Natural gas gathering and boosting—venting</w:t>
      </w:r>
    </w:p>
    <w:p w:rsidR="00DF00DA" w:rsidRPr="006F7767"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bottom w:val="single" w:sz="12" w:space="0" w:color="auto"/>
            </w:tcBorders>
            <w:shd w:val="clear" w:color="auto" w:fill="auto"/>
          </w:tcPr>
          <w:p w:rsidR="00B97F2B" w:rsidRPr="006F7767" w:rsidRDefault="00CE5881" w:rsidP="00CE5881">
            <w:pPr>
              <w:pStyle w:val="Tabletext"/>
            </w:pPr>
            <w:r w:rsidRPr="006F7767">
              <w:t>Methods 1</w:t>
            </w:r>
            <w:r w:rsidR="00B97F2B" w:rsidRPr="006F7767">
              <w:t xml:space="preserve"> for the source, as set out in </w:t>
            </w:r>
            <w:r w:rsidRPr="006F7767">
              <w:t>section 3.88C</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a"/>
            </w:pPr>
            <w:r w:rsidRPr="006F7767">
              <w:t>(a) the tonnes and megajoules of vented gas for each gas type</w:t>
            </w:r>
          </w:p>
          <w:p w:rsidR="00B97F2B" w:rsidRPr="006F7767" w:rsidRDefault="00B97F2B" w:rsidP="0063686C">
            <w:pPr>
              <w:pStyle w:val="Tablea"/>
            </w:pPr>
          </w:p>
        </w:tc>
      </w:tr>
    </w:tbl>
    <w:p w:rsidR="00B97F2B" w:rsidRPr="006F7767" w:rsidRDefault="00B97F2B" w:rsidP="00DF00DA">
      <w:pPr>
        <w:pStyle w:val="Tabletext"/>
      </w:pPr>
    </w:p>
    <w:p w:rsidR="00DF00DA" w:rsidRPr="006F7767" w:rsidRDefault="00DF00DA" w:rsidP="00DF00DA">
      <w:pPr>
        <w:pStyle w:val="TableHeading"/>
      </w:pPr>
      <w:r w:rsidRPr="006F7767">
        <w:t>Source 2W—Natural gas gathering and boosting—flaring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DF00DA"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DF00DA" w:rsidRPr="006F7767" w:rsidTr="0063686C">
        <w:tc>
          <w:tcPr>
            <w:tcW w:w="420" w:type="pct"/>
            <w:tcBorders>
              <w:top w:val="single" w:sz="12" w:space="0" w:color="auto"/>
              <w:bottom w:val="single" w:sz="2" w:space="0" w:color="auto"/>
            </w:tcBorders>
            <w:shd w:val="clear" w:color="auto" w:fill="auto"/>
          </w:tcPr>
          <w:p w:rsidR="00DF00DA" w:rsidRPr="006F7767" w:rsidRDefault="00DF00DA" w:rsidP="0063686C">
            <w:pPr>
              <w:pStyle w:val="Tabletext"/>
            </w:pPr>
            <w:r w:rsidRPr="006F7767">
              <w:t>1</w:t>
            </w:r>
          </w:p>
        </w:tc>
        <w:tc>
          <w:tcPr>
            <w:tcW w:w="1387" w:type="pct"/>
            <w:tcBorders>
              <w:top w:val="single" w:sz="12" w:space="0" w:color="auto"/>
              <w:bottom w:val="single" w:sz="2" w:space="0" w:color="auto"/>
            </w:tcBorders>
            <w:shd w:val="clear" w:color="auto" w:fill="auto"/>
          </w:tcPr>
          <w:p w:rsidR="00DF00DA" w:rsidRPr="006F7767" w:rsidRDefault="00DF00DA" w:rsidP="00CE5881">
            <w:pPr>
              <w:pStyle w:val="Tabletext"/>
            </w:pPr>
            <w:r w:rsidRPr="006F7767">
              <w:t xml:space="preserve">Method 1 for the source, as set out in </w:t>
            </w:r>
            <w:r w:rsidR="00CE5881" w:rsidRPr="006F7767">
              <w:t>section 3.86</w:t>
            </w:r>
          </w:p>
        </w:tc>
        <w:tc>
          <w:tcPr>
            <w:tcW w:w="3193" w:type="pct"/>
            <w:tcBorders>
              <w:top w:val="single" w:sz="12" w:space="0" w:color="auto"/>
              <w:bottom w:val="single" w:sz="2" w:space="0" w:color="auto"/>
            </w:tcBorders>
            <w:shd w:val="clear" w:color="auto" w:fill="auto"/>
          </w:tcPr>
          <w:p w:rsidR="00DF00DA" w:rsidRPr="006F7767" w:rsidRDefault="00DF00DA" w:rsidP="0063686C">
            <w:pPr>
              <w:pStyle w:val="Tablea"/>
            </w:pPr>
            <w:r w:rsidRPr="006F7767">
              <w:t>(a) the tonnes of flared gas</w:t>
            </w:r>
          </w:p>
          <w:p w:rsidR="00DF00DA" w:rsidRPr="006F7767" w:rsidRDefault="00DF00DA" w:rsidP="0063686C">
            <w:pPr>
              <w:pStyle w:val="Tablea"/>
            </w:pPr>
            <w:r w:rsidRPr="006F7767">
              <w:t>(b) the tonnes of flared crude oil and liquids</w:t>
            </w:r>
          </w:p>
        </w:tc>
      </w:tr>
      <w:tr w:rsidR="00DF00DA" w:rsidRPr="006F7767" w:rsidTr="0063686C">
        <w:tc>
          <w:tcPr>
            <w:tcW w:w="420" w:type="pct"/>
            <w:tcBorders>
              <w:top w:val="single" w:sz="2" w:space="0" w:color="auto"/>
              <w:bottom w:val="single" w:sz="12" w:space="0" w:color="auto"/>
            </w:tcBorders>
            <w:shd w:val="clear" w:color="auto" w:fill="auto"/>
          </w:tcPr>
          <w:p w:rsidR="00DF00DA" w:rsidRPr="006F7767" w:rsidRDefault="00DF00DA" w:rsidP="0063686C">
            <w:pPr>
              <w:pStyle w:val="Tabletext"/>
            </w:pPr>
            <w:r w:rsidRPr="006F7767">
              <w:t>2</w:t>
            </w:r>
          </w:p>
        </w:tc>
        <w:tc>
          <w:tcPr>
            <w:tcW w:w="1387" w:type="pct"/>
            <w:tcBorders>
              <w:top w:val="single" w:sz="2" w:space="0" w:color="auto"/>
              <w:bottom w:val="single" w:sz="12" w:space="0" w:color="auto"/>
            </w:tcBorders>
            <w:shd w:val="clear" w:color="auto" w:fill="auto"/>
          </w:tcPr>
          <w:p w:rsidR="00DF00DA" w:rsidRPr="006F7767" w:rsidRDefault="00DF00DA" w:rsidP="00CE5881">
            <w:pPr>
              <w:pStyle w:val="Tabletext"/>
            </w:pPr>
            <w:r w:rsidRPr="006F7767">
              <w:t xml:space="preserve">Methods 2, 2A and 3 for the source, as set out in </w:t>
            </w:r>
            <w:r w:rsidR="00CE5881" w:rsidRPr="006F7767">
              <w:t>sections 3.87, 3.87A and 3.88</w:t>
            </w:r>
          </w:p>
        </w:tc>
        <w:tc>
          <w:tcPr>
            <w:tcW w:w="3193" w:type="pct"/>
            <w:tcBorders>
              <w:top w:val="single" w:sz="2" w:space="0" w:color="auto"/>
              <w:bottom w:val="single" w:sz="12" w:space="0" w:color="auto"/>
            </w:tcBorders>
            <w:shd w:val="clear" w:color="auto" w:fill="auto"/>
          </w:tcPr>
          <w:p w:rsidR="00DF00DA" w:rsidRPr="006F7767" w:rsidRDefault="00DF00DA" w:rsidP="0063686C">
            <w:pPr>
              <w:pStyle w:val="Tablea"/>
            </w:pPr>
            <w:r w:rsidRPr="006F7767">
              <w:t>(a) the tonnes and megajoules of flared gas (hydrocarbon component)</w:t>
            </w:r>
          </w:p>
          <w:p w:rsidR="00DF00DA" w:rsidRPr="006F7767" w:rsidRDefault="00DF00DA" w:rsidP="0063686C">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Source 2X—Natural gas processing—venting</w:t>
      </w:r>
    </w:p>
    <w:p w:rsidR="00B97F2B" w:rsidRPr="006F7767" w:rsidRDefault="00B97F2B" w:rsidP="00B97F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bottom w:val="single" w:sz="12" w:space="0" w:color="auto"/>
            </w:tcBorders>
            <w:shd w:val="clear" w:color="auto" w:fill="auto"/>
          </w:tcPr>
          <w:p w:rsidR="00B97F2B" w:rsidRPr="006F7767" w:rsidRDefault="00CE5881" w:rsidP="00CE5881">
            <w:pPr>
              <w:pStyle w:val="Tabletext"/>
            </w:pPr>
            <w:r w:rsidRPr="006F7767">
              <w:t>Method 1</w:t>
            </w:r>
            <w:r w:rsidR="00B97F2B" w:rsidRPr="006F7767">
              <w:t xml:space="preserve"> for the source, as set out in</w:t>
            </w:r>
            <w:r w:rsidRPr="006F7767">
              <w:t xml:space="preserve"> section 3.88G</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a"/>
            </w:pPr>
            <w:r w:rsidRPr="006F7767">
              <w:t>(a) the tonnes and megajoules of vented gas for each gas type</w:t>
            </w:r>
          </w:p>
          <w:p w:rsidR="00B97F2B" w:rsidRPr="006F7767" w:rsidRDefault="00B97F2B" w:rsidP="0063686C">
            <w:pPr>
              <w:pStyle w:val="Tablea"/>
            </w:pPr>
          </w:p>
        </w:tc>
      </w:tr>
    </w:tbl>
    <w:p w:rsidR="00B97F2B" w:rsidRPr="006F7767" w:rsidRDefault="00B97F2B" w:rsidP="00DF00DA">
      <w:pPr>
        <w:pStyle w:val="Tabletext"/>
      </w:pPr>
    </w:p>
    <w:p w:rsidR="00DF00DA" w:rsidRPr="006F7767" w:rsidRDefault="00DF00DA" w:rsidP="00DF00DA">
      <w:pPr>
        <w:pStyle w:val="TableHeading"/>
      </w:pPr>
      <w:r w:rsidRPr="006F7767">
        <w:t>Source 2Y—Natural gas processing—flaring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DF00DA"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DF00DA" w:rsidRPr="006F7767" w:rsidTr="0063686C">
        <w:tc>
          <w:tcPr>
            <w:tcW w:w="420" w:type="pct"/>
            <w:tcBorders>
              <w:top w:val="single" w:sz="12" w:space="0" w:color="auto"/>
              <w:bottom w:val="single" w:sz="2" w:space="0" w:color="auto"/>
            </w:tcBorders>
            <w:shd w:val="clear" w:color="auto" w:fill="auto"/>
          </w:tcPr>
          <w:p w:rsidR="00DF00DA" w:rsidRPr="006F7767" w:rsidRDefault="00DF00DA" w:rsidP="0063686C">
            <w:pPr>
              <w:pStyle w:val="Tabletext"/>
            </w:pPr>
            <w:r w:rsidRPr="006F7767">
              <w:t>1</w:t>
            </w:r>
          </w:p>
        </w:tc>
        <w:tc>
          <w:tcPr>
            <w:tcW w:w="1387" w:type="pct"/>
            <w:tcBorders>
              <w:top w:val="single" w:sz="12" w:space="0" w:color="auto"/>
              <w:bottom w:val="single" w:sz="2" w:space="0" w:color="auto"/>
            </w:tcBorders>
            <w:shd w:val="clear" w:color="auto" w:fill="auto"/>
          </w:tcPr>
          <w:p w:rsidR="00DF00DA" w:rsidRPr="006F7767" w:rsidRDefault="00DF00DA" w:rsidP="00CE5881">
            <w:pPr>
              <w:pStyle w:val="Tabletext"/>
            </w:pPr>
            <w:r w:rsidRPr="006F7767">
              <w:t xml:space="preserve">Method 1 for the source, as set out in </w:t>
            </w:r>
            <w:r w:rsidR="00CE5881" w:rsidRPr="006F7767">
              <w:t>section 3.86</w:t>
            </w:r>
          </w:p>
        </w:tc>
        <w:tc>
          <w:tcPr>
            <w:tcW w:w="3193" w:type="pct"/>
            <w:tcBorders>
              <w:top w:val="single" w:sz="12" w:space="0" w:color="auto"/>
              <w:bottom w:val="single" w:sz="2" w:space="0" w:color="auto"/>
            </w:tcBorders>
            <w:shd w:val="clear" w:color="auto" w:fill="auto"/>
          </w:tcPr>
          <w:p w:rsidR="00DF00DA" w:rsidRPr="006F7767" w:rsidRDefault="00DF00DA" w:rsidP="0063686C">
            <w:pPr>
              <w:pStyle w:val="Tablea"/>
            </w:pPr>
            <w:r w:rsidRPr="006F7767">
              <w:t>(a) the tonnes of flared gas</w:t>
            </w:r>
          </w:p>
          <w:p w:rsidR="00DF00DA" w:rsidRPr="006F7767" w:rsidRDefault="00DF00DA" w:rsidP="0063686C">
            <w:pPr>
              <w:pStyle w:val="Tablea"/>
            </w:pPr>
            <w:r w:rsidRPr="006F7767">
              <w:t>(b) the tonnes of flared crude oil and liquids</w:t>
            </w:r>
          </w:p>
        </w:tc>
      </w:tr>
      <w:tr w:rsidR="00DF00DA" w:rsidRPr="006F7767" w:rsidTr="0063686C">
        <w:tc>
          <w:tcPr>
            <w:tcW w:w="420" w:type="pct"/>
            <w:tcBorders>
              <w:top w:val="single" w:sz="2" w:space="0" w:color="auto"/>
              <w:bottom w:val="single" w:sz="12" w:space="0" w:color="auto"/>
            </w:tcBorders>
            <w:shd w:val="clear" w:color="auto" w:fill="auto"/>
          </w:tcPr>
          <w:p w:rsidR="00DF00DA" w:rsidRPr="006F7767" w:rsidRDefault="00DF00DA" w:rsidP="0063686C">
            <w:pPr>
              <w:pStyle w:val="Tabletext"/>
            </w:pPr>
            <w:r w:rsidRPr="006F7767">
              <w:t>2</w:t>
            </w:r>
          </w:p>
        </w:tc>
        <w:tc>
          <w:tcPr>
            <w:tcW w:w="1387" w:type="pct"/>
            <w:tcBorders>
              <w:top w:val="single" w:sz="2" w:space="0" w:color="auto"/>
              <w:bottom w:val="single" w:sz="12" w:space="0" w:color="auto"/>
            </w:tcBorders>
            <w:shd w:val="clear" w:color="auto" w:fill="auto"/>
          </w:tcPr>
          <w:p w:rsidR="00DF00DA" w:rsidRPr="006F7767" w:rsidRDefault="00DF00DA" w:rsidP="00CE5881">
            <w:pPr>
              <w:pStyle w:val="Tabletext"/>
            </w:pPr>
            <w:r w:rsidRPr="006F7767">
              <w:t xml:space="preserve">Methods 2, 2A and 3 for the source, as set out in </w:t>
            </w:r>
            <w:r w:rsidR="00CE5881" w:rsidRPr="006F7767">
              <w:t>sections 3.87, 3.87A and 3.88</w:t>
            </w:r>
          </w:p>
        </w:tc>
        <w:tc>
          <w:tcPr>
            <w:tcW w:w="3193" w:type="pct"/>
            <w:tcBorders>
              <w:top w:val="single" w:sz="2" w:space="0" w:color="auto"/>
              <w:bottom w:val="single" w:sz="12" w:space="0" w:color="auto"/>
            </w:tcBorders>
            <w:shd w:val="clear" w:color="auto" w:fill="auto"/>
          </w:tcPr>
          <w:p w:rsidR="00DF00DA" w:rsidRPr="006F7767" w:rsidRDefault="00DF00DA" w:rsidP="0063686C">
            <w:pPr>
              <w:pStyle w:val="Tablea"/>
            </w:pPr>
            <w:r w:rsidRPr="006F7767">
              <w:t>(a) the tonnes and megajoules of flared gas (hydrocarbon component)</w:t>
            </w:r>
          </w:p>
          <w:p w:rsidR="00DF00DA" w:rsidRPr="006F7767" w:rsidRDefault="00DF00DA" w:rsidP="0063686C">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Source 2Z—Natural gas transmission—flaring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6F7767"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6F7767" w:rsidRPr="006F7767" w:rsidTr="0063686C">
        <w:tc>
          <w:tcPr>
            <w:tcW w:w="420"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1</w:t>
            </w:r>
          </w:p>
        </w:tc>
        <w:tc>
          <w:tcPr>
            <w:tcW w:w="1387"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Method 1 for the source, as set out in section 3.86</w:t>
            </w:r>
          </w:p>
        </w:tc>
        <w:tc>
          <w:tcPr>
            <w:tcW w:w="3193" w:type="pct"/>
            <w:tcBorders>
              <w:top w:val="single" w:sz="12" w:space="0" w:color="auto"/>
              <w:bottom w:val="single" w:sz="2" w:space="0" w:color="auto"/>
            </w:tcBorders>
            <w:shd w:val="clear" w:color="auto" w:fill="auto"/>
          </w:tcPr>
          <w:p w:rsidR="00CE5881" w:rsidRPr="006F7767" w:rsidRDefault="00CE5881" w:rsidP="00CE5881">
            <w:pPr>
              <w:pStyle w:val="Tablea"/>
            </w:pPr>
            <w:r w:rsidRPr="006F7767">
              <w:t>(a) the tonnes of flared gas</w:t>
            </w:r>
          </w:p>
          <w:p w:rsidR="00CE5881" w:rsidRPr="006F7767" w:rsidRDefault="00CE5881" w:rsidP="00CE5881">
            <w:pPr>
              <w:pStyle w:val="Tablea"/>
            </w:pPr>
            <w:r w:rsidRPr="006F7767">
              <w:t>(b) the tonnes of flared crude oil and liquids</w:t>
            </w:r>
          </w:p>
        </w:tc>
      </w:tr>
      <w:tr w:rsidR="006F7767" w:rsidRPr="006F7767" w:rsidTr="0063686C">
        <w:tc>
          <w:tcPr>
            <w:tcW w:w="420"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2</w:t>
            </w:r>
          </w:p>
        </w:tc>
        <w:tc>
          <w:tcPr>
            <w:tcW w:w="1387"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Methods 2, 2A and 3 for the source, as set out in sections 3.87, 3.87A and 3.88</w:t>
            </w:r>
          </w:p>
        </w:tc>
        <w:tc>
          <w:tcPr>
            <w:tcW w:w="3193" w:type="pct"/>
            <w:tcBorders>
              <w:top w:val="single" w:sz="2" w:space="0" w:color="auto"/>
              <w:bottom w:val="single" w:sz="12" w:space="0" w:color="auto"/>
            </w:tcBorders>
            <w:shd w:val="clear" w:color="auto" w:fill="auto"/>
          </w:tcPr>
          <w:p w:rsidR="00CE5881" w:rsidRPr="006F7767" w:rsidRDefault="00CE5881" w:rsidP="00CE5881">
            <w:pPr>
              <w:pStyle w:val="Tablea"/>
            </w:pPr>
            <w:r w:rsidRPr="006F7767">
              <w:t>(a) the tonnes and megajoules of flared gas (hydrocarbon component)</w:t>
            </w:r>
          </w:p>
          <w:p w:rsidR="00CE5881" w:rsidRPr="006F7767" w:rsidRDefault="00CE5881" w:rsidP="00CE5881">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712C4C">
      <w:pPr>
        <w:pStyle w:val="TableHeading"/>
      </w:pPr>
      <w:r w:rsidRPr="006F7767">
        <w:lastRenderedPageBreak/>
        <w:t>Source 2ZA—Natural gas storage—venting</w:t>
      </w:r>
    </w:p>
    <w:p w:rsidR="00DF00DA" w:rsidRPr="006F7767" w:rsidRDefault="00DF00DA" w:rsidP="00712C4C">
      <w:pPr>
        <w:pStyle w:val="Tabletext"/>
        <w:keepN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712C4C">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712C4C">
            <w:pPr>
              <w:pStyle w:val="Tabletext"/>
              <w:keepNext/>
            </w:pPr>
            <w:r w:rsidRPr="006F7767">
              <w:t>1</w:t>
            </w:r>
          </w:p>
        </w:tc>
        <w:tc>
          <w:tcPr>
            <w:tcW w:w="1387" w:type="pct"/>
            <w:tcBorders>
              <w:top w:val="single" w:sz="12" w:space="0" w:color="auto"/>
              <w:bottom w:val="single" w:sz="12" w:space="0" w:color="auto"/>
            </w:tcBorders>
            <w:shd w:val="clear" w:color="auto" w:fill="auto"/>
          </w:tcPr>
          <w:p w:rsidR="00B97F2B" w:rsidRPr="006F7767" w:rsidRDefault="00CE5881" w:rsidP="00712C4C">
            <w:pPr>
              <w:pStyle w:val="Tabletext"/>
              <w:keepNext/>
            </w:pPr>
            <w:r w:rsidRPr="006F7767">
              <w:t>Method 1</w:t>
            </w:r>
            <w:r w:rsidR="00B97F2B" w:rsidRPr="006F7767">
              <w:t xml:space="preserve"> for the source, as set out in </w:t>
            </w:r>
            <w:r w:rsidRPr="006F7767">
              <w:t>section 3.88M</w:t>
            </w:r>
          </w:p>
        </w:tc>
        <w:tc>
          <w:tcPr>
            <w:tcW w:w="3193" w:type="pct"/>
            <w:tcBorders>
              <w:top w:val="single" w:sz="12" w:space="0" w:color="auto"/>
              <w:bottom w:val="single" w:sz="12" w:space="0" w:color="auto"/>
            </w:tcBorders>
            <w:shd w:val="clear" w:color="auto" w:fill="auto"/>
          </w:tcPr>
          <w:p w:rsidR="00B97F2B" w:rsidRPr="006F7767" w:rsidRDefault="00B97F2B" w:rsidP="00712C4C">
            <w:pPr>
              <w:pStyle w:val="Tablea"/>
              <w:keepNext/>
            </w:pPr>
            <w:r w:rsidRPr="006F7767">
              <w:t>(a) the tonnes and megajoules of vented gas for each gas type</w:t>
            </w:r>
          </w:p>
          <w:p w:rsidR="00B97F2B" w:rsidRPr="006F7767" w:rsidRDefault="00B97F2B" w:rsidP="00712C4C">
            <w:pPr>
              <w:pStyle w:val="Tablea"/>
              <w:keepNext/>
            </w:pPr>
          </w:p>
        </w:tc>
      </w:tr>
    </w:tbl>
    <w:p w:rsidR="00B97F2B" w:rsidRPr="006F7767" w:rsidRDefault="00B97F2B" w:rsidP="00DF00DA">
      <w:pPr>
        <w:pStyle w:val="Tabletext"/>
      </w:pPr>
    </w:p>
    <w:p w:rsidR="00DF00DA" w:rsidRPr="006F7767" w:rsidRDefault="00DF00DA" w:rsidP="00DF00DA">
      <w:pPr>
        <w:pStyle w:val="TableHeading"/>
      </w:pPr>
      <w:r w:rsidRPr="006F7767">
        <w:t>Source 2ZB—Natural gas storage—flaring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6F7767"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6F7767" w:rsidRPr="006F7767" w:rsidTr="0063686C">
        <w:tc>
          <w:tcPr>
            <w:tcW w:w="420"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1</w:t>
            </w:r>
          </w:p>
        </w:tc>
        <w:tc>
          <w:tcPr>
            <w:tcW w:w="1387"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Method 1 for the source, as set out in section 3.86</w:t>
            </w:r>
          </w:p>
        </w:tc>
        <w:tc>
          <w:tcPr>
            <w:tcW w:w="3193" w:type="pct"/>
            <w:tcBorders>
              <w:top w:val="single" w:sz="12" w:space="0" w:color="auto"/>
              <w:bottom w:val="single" w:sz="2" w:space="0" w:color="auto"/>
            </w:tcBorders>
            <w:shd w:val="clear" w:color="auto" w:fill="auto"/>
          </w:tcPr>
          <w:p w:rsidR="00CE5881" w:rsidRPr="006F7767" w:rsidRDefault="00CE5881" w:rsidP="00CE5881">
            <w:pPr>
              <w:pStyle w:val="Tablea"/>
            </w:pPr>
            <w:r w:rsidRPr="006F7767">
              <w:t>(a) the tonnes of flared gas</w:t>
            </w:r>
          </w:p>
          <w:p w:rsidR="00CE5881" w:rsidRPr="006F7767" w:rsidRDefault="00CE5881" w:rsidP="00CE5881">
            <w:pPr>
              <w:pStyle w:val="Tablea"/>
            </w:pPr>
            <w:r w:rsidRPr="006F7767">
              <w:t>(b) the tonnes of flared crude oil and liquids</w:t>
            </w:r>
          </w:p>
        </w:tc>
      </w:tr>
      <w:tr w:rsidR="006F7767" w:rsidRPr="006F7767" w:rsidTr="0063686C">
        <w:tc>
          <w:tcPr>
            <w:tcW w:w="420"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2</w:t>
            </w:r>
          </w:p>
        </w:tc>
        <w:tc>
          <w:tcPr>
            <w:tcW w:w="1387"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Methods 2, 2A and 3 for the source, as set out in sections 3.87, 3.87A and 3.88</w:t>
            </w:r>
          </w:p>
        </w:tc>
        <w:tc>
          <w:tcPr>
            <w:tcW w:w="3193" w:type="pct"/>
            <w:tcBorders>
              <w:top w:val="single" w:sz="2" w:space="0" w:color="auto"/>
              <w:bottom w:val="single" w:sz="12" w:space="0" w:color="auto"/>
            </w:tcBorders>
            <w:shd w:val="clear" w:color="auto" w:fill="auto"/>
          </w:tcPr>
          <w:p w:rsidR="00CE5881" w:rsidRPr="006F7767" w:rsidRDefault="00CE5881" w:rsidP="00CE5881">
            <w:pPr>
              <w:pStyle w:val="Tablea"/>
            </w:pPr>
            <w:r w:rsidRPr="006F7767">
              <w:t>(a) the tonnes and megajoules of flared gas (hydrocarbon component)</w:t>
            </w:r>
          </w:p>
          <w:p w:rsidR="00CE5881" w:rsidRPr="006F7767" w:rsidRDefault="00CE5881" w:rsidP="00CE5881">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Source 2ZC—Natural gas liquefaction, storage and transfer—venting</w:t>
      </w:r>
    </w:p>
    <w:p w:rsidR="00DF00DA" w:rsidRPr="006F7767" w:rsidRDefault="00DF00DA" w:rsidP="00DF00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B97F2B" w:rsidRPr="006F7767" w:rsidTr="0063686C">
        <w:trPr>
          <w:tblHeader/>
        </w:trPr>
        <w:tc>
          <w:tcPr>
            <w:tcW w:w="420"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Heading"/>
            </w:pPr>
            <w:r w:rsidRPr="006F7767">
              <w:t>Matters to be identified</w:t>
            </w:r>
          </w:p>
        </w:tc>
      </w:tr>
      <w:tr w:rsidR="00B97F2B" w:rsidRPr="006F7767" w:rsidTr="0063686C">
        <w:tc>
          <w:tcPr>
            <w:tcW w:w="420" w:type="pct"/>
            <w:tcBorders>
              <w:top w:val="single" w:sz="12" w:space="0" w:color="auto"/>
              <w:bottom w:val="single" w:sz="12" w:space="0" w:color="auto"/>
            </w:tcBorders>
            <w:shd w:val="clear" w:color="auto" w:fill="auto"/>
          </w:tcPr>
          <w:p w:rsidR="00B97F2B" w:rsidRPr="006F7767" w:rsidRDefault="00B97F2B" w:rsidP="0063686C">
            <w:pPr>
              <w:pStyle w:val="Tabletext"/>
            </w:pPr>
            <w:r w:rsidRPr="006F7767">
              <w:t>1</w:t>
            </w:r>
          </w:p>
        </w:tc>
        <w:tc>
          <w:tcPr>
            <w:tcW w:w="1387" w:type="pct"/>
            <w:tcBorders>
              <w:top w:val="single" w:sz="12" w:space="0" w:color="auto"/>
              <w:bottom w:val="single" w:sz="12" w:space="0" w:color="auto"/>
            </w:tcBorders>
            <w:shd w:val="clear" w:color="auto" w:fill="auto"/>
          </w:tcPr>
          <w:p w:rsidR="00B97F2B" w:rsidRPr="006F7767" w:rsidRDefault="00CE5881" w:rsidP="00CE5881">
            <w:pPr>
              <w:pStyle w:val="Tabletext"/>
            </w:pPr>
            <w:r w:rsidRPr="006F7767">
              <w:t>Method 1</w:t>
            </w:r>
            <w:r w:rsidR="00B97F2B" w:rsidRPr="006F7767">
              <w:t xml:space="preserve"> for the source, as set out in </w:t>
            </w:r>
            <w:r w:rsidRPr="006F7767">
              <w:t>section 3.88Q</w:t>
            </w:r>
          </w:p>
        </w:tc>
        <w:tc>
          <w:tcPr>
            <w:tcW w:w="3193" w:type="pct"/>
            <w:tcBorders>
              <w:top w:val="single" w:sz="12" w:space="0" w:color="auto"/>
              <w:bottom w:val="single" w:sz="12" w:space="0" w:color="auto"/>
            </w:tcBorders>
            <w:shd w:val="clear" w:color="auto" w:fill="auto"/>
          </w:tcPr>
          <w:p w:rsidR="00B97F2B" w:rsidRPr="006F7767" w:rsidRDefault="00B97F2B" w:rsidP="0063686C">
            <w:pPr>
              <w:pStyle w:val="Tablea"/>
            </w:pPr>
            <w:r w:rsidRPr="006F7767">
              <w:t>(a) the tonnes and megajoules of vented gas for each gas type</w:t>
            </w:r>
          </w:p>
          <w:p w:rsidR="00B97F2B" w:rsidRPr="006F7767" w:rsidRDefault="00B97F2B" w:rsidP="0063686C">
            <w:pPr>
              <w:pStyle w:val="Tablea"/>
            </w:pPr>
          </w:p>
        </w:tc>
      </w:tr>
    </w:tbl>
    <w:p w:rsidR="00B97F2B" w:rsidRPr="006F7767" w:rsidRDefault="00B97F2B" w:rsidP="00DF00DA">
      <w:pPr>
        <w:pStyle w:val="Tabletext"/>
      </w:pPr>
    </w:p>
    <w:p w:rsidR="00DF00DA" w:rsidRPr="006F7767" w:rsidRDefault="00DF00DA" w:rsidP="00DF00DA">
      <w:pPr>
        <w:pStyle w:val="TableHeading"/>
      </w:pPr>
      <w:r w:rsidRPr="006F7767">
        <w:t>Source 2ZE—Natural gas liquefaction, storage and transfer—flaring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6F7767"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6F7767" w:rsidRPr="006F7767" w:rsidTr="0063686C">
        <w:tc>
          <w:tcPr>
            <w:tcW w:w="420"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1</w:t>
            </w:r>
          </w:p>
        </w:tc>
        <w:tc>
          <w:tcPr>
            <w:tcW w:w="1387"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Method 1 for the source, as set out in section 3.86</w:t>
            </w:r>
          </w:p>
        </w:tc>
        <w:tc>
          <w:tcPr>
            <w:tcW w:w="3193" w:type="pct"/>
            <w:tcBorders>
              <w:top w:val="single" w:sz="12" w:space="0" w:color="auto"/>
              <w:bottom w:val="single" w:sz="2" w:space="0" w:color="auto"/>
            </w:tcBorders>
            <w:shd w:val="clear" w:color="auto" w:fill="auto"/>
          </w:tcPr>
          <w:p w:rsidR="00CE5881" w:rsidRPr="006F7767" w:rsidRDefault="00CE5881" w:rsidP="00CE5881">
            <w:pPr>
              <w:pStyle w:val="Tablea"/>
            </w:pPr>
            <w:r w:rsidRPr="006F7767">
              <w:t>(a) the tonnes of flared gas</w:t>
            </w:r>
          </w:p>
          <w:p w:rsidR="00CE5881" w:rsidRPr="006F7767" w:rsidRDefault="00CE5881" w:rsidP="00CE5881">
            <w:pPr>
              <w:pStyle w:val="Tablea"/>
            </w:pPr>
            <w:r w:rsidRPr="006F7767">
              <w:t>(b) the tonnes of flared crude oil and liquids</w:t>
            </w:r>
          </w:p>
        </w:tc>
      </w:tr>
      <w:tr w:rsidR="006F7767" w:rsidRPr="006F7767" w:rsidTr="0063686C">
        <w:tc>
          <w:tcPr>
            <w:tcW w:w="420"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2</w:t>
            </w:r>
          </w:p>
        </w:tc>
        <w:tc>
          <w:tcPr>
            <w:tcW w:w="1387"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Methods 2, 2A and 3 for the source, as set out in sections 3.87, 3.87A and 3.88</w:t>
            </w:r>
          </w:p>
        </w:tc>
        <w:tc>
          <w:tcPr>
            <w:tcW w:w="3193" w:type="pct"/>
            <w:tcBorders>
              <w:top w:val="single" w:sz="2" w:space="0" w:color="auto"/>
              <w:bottom w:val="single" w:sz="12" w:space="0" w:color="auto"/>
            </w:tcBorders>
            <w:shd w:val="clear" w:color="auto" w:fill="auto"/>
          </w:tcPr>
          <w:p w:rsidR="00CE5881" w:rsidRPr="006F7767" w:rsidRDefault="00CE5881" w:rsidP="00CE5881">
            <w:pPr>
              <w:pStyle w:val="Tablea"/>
            </w:pPr>
            <w:r w:rsidRPr="006F7767">
              <w:t>(a) the tonnes and megajoules of flared gas (hydrocarbon component)</w:t>
            </w:r>
          </w:p>
          <w:p w:rsidR="00CE5881" w:rsidRPr="006F7767" w:rsidRDefault="00CE5881" w:rsidP="00CE5881">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DF00DA">
      <w:pPr>
        <w:pStyle w:val="TableHeading"/>
      </w:pPr>
      <w:r w:rsidRPr="006F7767">
        <w:t>Source 2ZF—Natural gas distribution—flaring</w:t>
      </w:r>
    </w:p>
    <w:p w:rsidR="00DF00DA" w:rsidRPr="006F7767" w:rsidRDefault="00DF00DA" w:rsidP="00DF00DA"/>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8"/>
        <w:gridCol w:w="2504"/>
        <w:gridCol w:w="5764"/>
      </w:tblGrid>
      <w:tr w:rsidR="006F7767" w:rsidRPr="006F7767" w:rsidTr="0063686C">
        <w:trPr>
          <w:tblHeader/>
        </w:trPr>
        <w:tc>
          <w:tcPr>
            <w:tcW w:w="420"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Item</w:t>
            </w:r>
          </w:p>
        </w:tc>
        <w:tc>
          <w:tcPr>
            <w:tcW w:w="1387"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Method</w:t>
            </w:r>
          </w:p>
        </w:tc>
        <w:tc>
          <w:tcPr>
            <w:tcW w:w="3193" w:type="pct"/>
            <w:tcBorders>
              <w:top w:val="single" w:sz="12" w:space="0" w:color="auto"/>
              <w:bottom w:val="single" w:sz="12" w:space="0" w:color="auto"/>
            </w:tcBorders>
            <w:shd w:val="clear" w:color="auto" w:fill="auto"/>
          </w:tcPr>
          <w:p w:rsidR="00DF00DA" w:rsidRPr="006F7767" w:rsidRDefault="00DF00DA" w:rsidP="0063686C">
            <w:pPr>
              <w:pStyle w:val="TableHeading"/>
            </w:pPr>
            <w:r w:rsidRPr="006F7767">
              <w:t>Matters to be identified</w:t>
            </w:r>
          </w:p>
        </w:tc>
      </w:tr>
      <w:tr w:rsidR="006F7767" w:rsidRPr="006F7767" w:rsidTr="0063686C">
        <w:tc>
          <w:tcPr>
            <w:tcW w:w="420"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1</w:t>
            </w:r>
          </w:p>
        </w:tc>
        <w:tc>
          <w:tcPr>
            <w:tcW w:w="1387" w:type="pct"/>
            <w:tcBorders>
              <w:top w:val="single" w:sz="12" w:space="0" w:color="auto"/>
              <w:bottom w:val="single" w:sz="2" w:space="0" w:color="auto"/>
            </w:tcBorders>
            <w:shd w:val="clear" w:color="auto" w:fill="auto"/>
          </w:tcPr>
          <w:p w:rsidR="00CE5881" w:rsidRPr="006F7767" w:rsidRDefault="00CE5881" w:rsidP="00CE5881">
            <w:pPr>
              <w:pStyle w:val="Tabletext"/>
            </w:pPr>
            <w:r w:rsidRPr="006F7767">
              <w:t>Method 1 for the source, as set out in section 3.86</w:t>
            </w:r>
          </w:p>
        </w:tc>
        <w:tc>
          <w:tcPr>
            <w:tcW w:w="3193" w:type="pct"/>
            <w:tcBorders>
              <w:top w:val="single" w:sz="12" w:space="0" w:color="auto"/>
              <w:bottom w:val="single" w:sz="2" w:space="0" w:color="auto"/>
            </w:tcBorders>
            <w:shd w:val="clear" w:color="auto" w:fill="auto"/>
          </w:tcPr>
          <w:p w:rsidR="00CE5881" w:rsidRPr="006F7767" w:rsidRDefault="00CE5881" w:rsidP="00CE5881">
            <w:pPr>
              <w:pStyle w:val="Tablea"/>
            </w:pPr>
            <w:r w:rsidRPr="006F7767">
              <w:t>(a) the tonnes of flared gas</w:t>
            </w:r>
          </w:p>
          <w:p w:rsidR="00CE5881" w:rsidRPr="006F7767" w:rsidRDefault="00CE5881" w:rsidP="00CE5881">
            <w:pPr>
              <w:pStyle w:val="Tablea"/>
            </w:pPr>
            <w:r w:rsidRPr="006F7767">
              <w:t>(b) the tonnes of flared crude oil and liquids</w:t>
            </w:r>
          </w:p>
        </w:tc>
      </w:tr>
      <w:tr w:rsidR="006F7767" w:rsidRPr="006F7767" w:rsidTr="0063686C">
        <w:tc>
          <w:tcPr>
            <w:tcW w:w="420"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2</w:t>
            </w:r>
          </w:p>
        </w:tc>
        <w:tc>
          <w:tcPr>
            <w:tcW w:w="1387" w:type="pct"/>
            <w:tcBorders>
              <w:top w:val="single" w:sz="2" w:space="0" w:color="auto"/>
              <w:bottom w:val="single" w:sz="12" w:space="0" w:color="auto"/>
            </w:tcBorders>
            <w:shd w:val="clear" w:color="auto" w:fill="auto"/>
          </w:tcPr>
          <w:p w:rsidR="00CE5881" w:rsidRPr="006F7767" w:rsidRDefault="00CE5881" w:rsidP="00CE5881">
            <w:pPr>
              <w:pStyle w:val="Tabletext"/>
            </w:pPr>
            <w:r w:rsidRPr="006F7767">
              <w:t>Methods 2, 2A and 3 for the source, as set out in sections 3.87, 3.87A and 3.88</w:t>
            </w:r>
          </w:p>
        </w:tc>
        <w:tc>
          <w:tcPr>
            <w:tcW w:w="3193" w:type="pct"/>
            <w:tcBorders>
              <w:top w:val="single" w:sz="2" w:space="0" w:color="auto"/>
              <w:bottom w:val="single" w:sz="12" w:space="0" w:color="auto"/>
            </w:tcBorders>
            <w:shd w:val="clear" w:color="auto" w:fill="auto"/>
          </w:tcPr>
          <w:p w:rsidR="00CE5881" w:rsidRPr="006F7767" w:rsidRDefault="00CE5881" w:rsidP="00CE5881">
            <w:pPr>
              <w:pStyle w:val="Tablea"/>
            </w:pPr>
            <w:r w:rsidRPr="006F7767">
              <w:t>(a) the tonnes and megajoules of flared gas (hydrocarbon component)</w:t>
            </w:r>
          </w:p>
          <w:p w:rsidR="00CE5881" w:rsidRPr="006F7767" w:rsidRDefault="00CE5881" w:rsidP="00CE5881">
            <w:pPr>
              <w:pStyle w:val="Tablea"/>
            </w:pPr>
            <w:r w:rsidRPr="006F7767">
              <w:t>(b) the tonnes and megajoules of flared crude oil and liquids (hydrocarbon component)</w:t>
            </w:r>
          </w:p>
        </w:tc>
      </w:tr>
    </w:tbl>
    <w:p w:rsidR="00DF00DA" w:rsidRPr="006F7767" w:rsidRDefault="00DF00DA" w:rsidP="00DF00DA">
      <w:pPr>
        <w:pStyle w:val="Tabletext"/>
      </w:pPr>
    </w:p>
    <w:p w:rsidR="00DF00DA" w:rsidRPr="006F7767" w:rsidRDefault="00DF00DA" w:rsidP="00712C4C">
      <w:pPr>
        <w:pStyle w:val="TableHeading"/>
      </w:pPr>
      <w:r w:rsidRPr="006F7767">
        <w:lastRenderedPageBreak/>
        <w:t>Source 2ZH—Enhanced oil recovery</w:t>
      </w:r>
    </w:p>
    <w:p w:rsidR="006A5E3A" w:rsidRPr="006F7767" w:rsidRDefault="006A5E3A" w:rsidP="00712C4C">
      <w:pPr>
        <w:pStyle w:val="Tabletext"/>
        <w:keepN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Matters to be identified</w:t>
            </w:r>
          </w:p>
        </w:tc>
      </w:tr>
      <w:tr w:rsidR="000913EA" w:rsidRPr="006F7767" w:rsidTr="000913EA">
        <w:trPr>
          <w:trHeight w:val="3125"/>
        </w:trPr>
        <w:tc>
          <w:tcPr>
            <w:tcW w:w="420" w:type="pct"/>
            <w:tcBorders>
              <w:top w:val="single" w:sz="12" w:space="0" w:color="auto"/>
            </w:tcBorders>
            <w:shd w:val="clear" w:color="auto" w:fill="auto"/>
          </w:tcPr>
          <w:p w:rsidR="000913EA" w:rsidRPr="006F7767" w:rsidRDefault="000913EA" w:rsidP="00712C4C">
            <w:pPr>
              <w:pStyle w:val="Tabletext"/>
              <w:keepNext/>
            </w:pPr>
            <w:r w:rsidRPr="006F7767">
              <w:t>1</w:t>
            </w:r>
          </w:p>
        </w:tc>
        <w:tc>
          <w:tcPr>
            <w:tcW w:w="1387" w:type="pct"/>
            <w:tcBorders>
              <w:top w:val="single" w:sz="12" w:space="0" w:color="auto"/>
            </w:tcBorders>
            <w:shd w:val="clear" w:color="auto" w:fill="auto"/>
          </w:tcPr>
          <w:p w:rsidR="000913EA" w:rsidRPr="006F7767" w:rsidRDefault="000913EA" w:rsidP="00712C4C">
            <w:pPr>
              <w:pStyle w:val="Tabletext"/>
              <w:keepNext/>
            </w:pPr>
            <w:r w:rsidRPr="006F7767">
              <w:t xml:space="preserve">Method 1, 2 or 3 for the source, as set out </w:t>
            </w:r>
            <w:r w:rsidR="00CE5881" w:rsidRPr="006F7767">
              <w:t xml:space="preserve">sections </w:t>
            </w:r>
            <w:r w:rsidR="006F7767" w:rsidRPr="006F7767">
              <w:t xml:space="preserve">3.77, </w:t>
            </w:r>
            <w:r w:rsidR="00CE5881" w:rsidRPr="006F7767">
              <w:t xml:space="preserve">3.91, 3.92, </w:t>
            </w:r>
            <w:r w:rsidR="006F7767" w:rsidRPr="006F7767">
              <w:t>3.95, 3.96 and 3.97</w:t>
            </w:r>
          </w:p>
        </w:tc>
        <w:tc>
          <w:tcPr>
            <w:tcW w:w="3193" w:type="pct"/>
            <w:tcBorders>
              <w:top w:val="single" w:sz="12" w:space="0" w:color="auto"/>
            </w:tcBorders>
            <w:shd w:val="clear" w:color="auto" w:fill="auto"/>
          </w:tcPr>
          <w:p w:rsidR="000913EA" w:rsidRPr="006F7767" w:rsidRDefault="000913EA" w:rsidP="00712C4C">
            <w:pPr>
              <w:pStyle w:val="Tablea"/>
              <w:keepNext/>
            </w:pPr>
            <w:r w:rsidRPr="006F7767">
              <w:t>(a) the amount of greenhouse gases captured for enhanced oil recovery</w:t>
            </w:r>
          </w:p>
          <w:p w:rsidR="000913EA" w:rsidRPr="006F7767" w:rsidRDefault="000913EA" w:rsidP="00712C4C">
            <w:pPr>
              <w:pStyle w:val="Tablea"/>
              <w:keepNext/>
            </w:pPr>
            <w:r w:rsidRPr="006F7767">
              <w:t>(b) the amount of greenhouse gases imported for enhanced oil recovery</w:t>
            </w:r>
          </w:p>
          <w:p w:rsidR="000913EA" w:rsidRPr="006F7767" w:rsidRDefault="000913EA" w:rsidP="00712C4C">
            <w:pPr>
              <w:pStyle w:val="Tablea"/>
              <w:keepNext/>
            </w:pPr>
            <w:r w:rsidRPr="006F7767">
              <w:t>(c) the amount of greenhouse gases injected at enhanced oil recovery sites</w:t>
            </w:r>
          </w:p>
          <w:p w:rsidR="000913EA" w:rsidRPr="006F7767" w:rsidRDefault="000913EA" w:rsidP="00712C4C">
            <w:pPr>
              <w:pStyle w:val="Tablea"/>
              <w:keepNext/>
            </w:pPr>
            <w:r w:rsidRPr="006F7767">
              <w:t>(d) the amount of emissions that occurred during the transportation of greenhouse gases to the enhanced oil recovery site</w:t>
            </w:r>
          </w:p>
          <w:p w:rsidR="000913EA" w:rsidRPr="006F7767" w:rsidRDefault="000913EA" w:rsidP="00712C4C">
            <w:pPr>
              <w:pStyle w:val="Tablea"/>
              <w:keepNext/>
            </w:pPr>
            <w:r w:rsidRPr="006F7767">
              <w:t>(e) the amount of emissions that occurred when greenhouse gases were being injected into the enhanced oil recovery site</w:t>
            </w:r>
          </w:p>
          <w:p w:rsidR="000913EA" w:rsidRPr="006F7767" w:rsidRDefault="000913EA" w:rsidP="00712C4C">
            <w:pPr>
              <w:pStyle w:val="Tablea"/>
              <w:keepNext/>
            </w:pPr>
            <w:r w:rsidRPr="006F7767">
              <w:t>(f) the type of the source of the greenhouse gases captured for enhanced oil recovery</w:t>
            </w:r>
          </w:p>
        </w:tc>
      </w:tr>
    </w:tbl>
    <w:p w:rsidR="006A5E3A" w:rsidRPr="006F7767" w:rsidRDefault="006A5E3A" w:rsidP="006A5E3A">
      <w:pPr>
        <w:pStyle w:val="Tabletext"/>
      </w:pPr>
    </w:p>
    <w:p w:rsidR="000913EA" w:rsidRPr="006F7767" w:rsidRDefault="000913EA" w:rsidP="000913EA">
      <w:pPr>
        <w:pStyle w:val="h2Part"/>
        <w:pageBreakBefore/>
      </w:pPr>
      <w:bookmarkStart w:id="143" w:name="BK_S4P128L1C1"/>
      <w:bookmarkStart w:id="144" w:name="_Toc46932452"/>
      <w:bookmarkEnd w:id="143"/>
      <w:r w:rsidRPr="006F7767">
        <w:rPr>
          <w:rStyle w:val="CharPartNo"/>
        </w:rPr>
        <w:lastRenderedPageBreak/>
        <w:t>Part 3</w:t>
      </w:r>
      <w:r w:rsidRPr="006F7767">
        <w:t>—</w:t>
      </w:r>
      <w:r w:rsidRPr="006F7767">
        <w:rPr>
          <w:rStyle w:val="CharPartText"/>
        </w:rPr>
        <w:t>Mineral products</w:t>
      </w:r>
      <w:bookmarkEnd w:id="144"/>
    </w:p>
    <w:p w:rsidR="000913EA" w:rsidRPr="006F7767" w:rsidRDefault="000913EA" w:rsidP="000913EA">
      <w:pPr>
        <w:pStyle w:val="TableHeading"/>
      </w:pPr>
      <w:r w:rsidRPr="006F7767">
        <w:t>Source 3A—Cement clinker production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Method 1 for the source, as set out in section 4.4</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tonnes of clinker produced</w:t>
            </w:r>
          </w:p>
          <w:p w:rsidR="000913EA" w:rsidRPr="006F7767" w:rsidRDefault="000913EA" w:rsidP="000913EA">
            <w:pPr>
              <w:pStyle w:val="Tablea"/>
            </w:pPr>
            <w:r w:rsidRPr="006F7767">
              <w:t>(b) the tonnes of cement kiln dust produced</w:t>
            </w:r>
          </w:p>
          <w:p w:rsidR="000913EA" w:rsidRPr="006F7767" w:rsidRDefault="000913EA" w:rsidP="000913EA">
            <w:pPr>
              <w:pStyle w:val="Tablea"/>
            </w:pPr>
            <w:r w:rsidRPr="006F7767">
              <w:rPr>
                <w:szCs w:val="22"/>
              </w:rPr>
              <w:t>(c) the degree of calcination of cement kiln dust produced</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t>2</w:t>
            </w:r>
          </w:p>
        </w:tc>
        <w:tc>
          <w:tcPr>
            <w:tcW w:w="1387" w:type="pct"/>
            <w:tcBorders>
              <w:bottom w:val="nil"/>
            </w:tcBorders>
            <w:shd w:val="clear" w:color="auto" w:fill="auto"/>
          </w:tcPr>
          <w:p w:rsidR="000913EA" w:rsidRPr="006F7767" w:rsidRDefault="000913EA" w:rsidP="000913EA">
            <w:pPr>
              <w:pStyle w:val="Tabletext"/>
            </w:pPr>
            <w:r w:rsidRPr="006F7767">
              <w:t>Methods 2 and 4 for the source, as set out in sections 4.5 and Part 1.3</w:t>
            </w:r>
          </w:p>
        </w:tc>
        <w:tc>
          <w:tcPr>
            <w:tcW w:w="3193" w:type="pct"/>
            <w:tcBorders>
              <w:bottom w:val="nil"/>
            </w:tcBorders>
            <w:shd w:val="clear" w:color="auto" w:fill="auto"/>
          </w:tcPr>
          <w:p w:rsidR="000913EA" w:rsidRPr="006F7767" w:rsidRDefault="000913EA" w:rsidP="000913EA">
            <w:pPr>
              <w:pStyle w:val="Tablea"/>
            </w:pPr>
            <w:r w:rsidRPr="006F7767">
              <w:t>(a) the tonnes of clinker produced</w:t>
            </w:r>
          </w:p>
          <w:p w:rsidR="000913EA" w:rsidRPr="006F7767" w:rsidRDefault="000913EA" w:rsidP="000913EA">
            <w:pPr>
              <w:pStyle w:val="Tablea"/>
            </w:pPr>
            <w:r w:rsidRPr="006F7767">
              <w:t>(b) the tonnes of cement kiln dust produced</w:t>
            </w:r>
          </w:p>
          <w:p w:rsidR="000913EA" w:rsidRPr="006F7767" w:rsidRDefault="000913EA" w:rsidP="000913EA">
            <w:pPr>
              <w:pStyle w:val="Tablea"/>
            </w:pPr>
            <w:r w:rsidRPr="006F7767">
              <w:t>(c) the facility specific emission factor or factors for clinker production, in tonnes of greenhouse gas emissions of each gas (CO</w:t>
            </w:r>
            <w:r w:rsidRPr="006F7767">
              <w:rPr>
                <w:vertAlign w:val="subscript"/>
              </w:rPr>
              <w:t>2</w:t>
            </w:r>
            <w:r w:rsidRPr="006F7767">
              <w:noBreakHyphen/>
              <w:t>e) per tonne of clinker produced</w:t>
            </w:r>
          </w:p>
        </w:tc>
      </w:tr>
      <w:tr w:rsidR="000913EA" w:rsidRPr="006F7767" w:rsidTr="000913EA">
        <w:trPr>
          <w:trHeight w:val="80"/>
        </w:trPr>
        <w:tc>
          <w:tcPr>
            <w:tcW w:w="420" w:type="pct"/>
            <w:tcBorders>
              <w:top w:val="nil"/>
            </w:tcBorders>
            <w:shd w:val="clear" w:color="auto" w:fill="auto"/>
          </w:tcPr>
          <w:p w:rsidR="000913EA" w:rsidRPr="006F7767" w:rsidRDefault="000913EA" w:rsidP="000913EA">
            <w:pPr>
              <w:pStyle w:val="Tabletext"/>
            </w:pPr>
          </w:p>
        </w:tc>
        <w:tc>
          <w:tcPr>
            <w:tcW w:w="1387" w:type="pct"/>
            <w:tcBorders>
              <w:top w:val="nil"/>
            </w:tcBorders>
            <w:shd w:val="clear" w:color="auto" w:fill="auto"/>
          </w:tcPr>
          <w:p w:rsidR="000913EA" w:rsidRPr="006F7767" w:rsidRDefault="000913EA" w:rsidP="000913EA">
            <w:pPr>
              <w:pStyle w:val="Tabletext"/>
            </w:pPr>
          </w:p>
        </w:tc>
        <w:tc>
          <w:tcPr>
            <w:tcW w:w="3193" w:type="pct"/>
            <w:tcBorders>
              <w:top w:val="nil"/>
            </w:tcBorders>
            <w:shd w:val="clear" w:color="auto" w:fill="auto"/>
          </w:tcPr>
          <w:p w:rsidR="000913EA" w:rsidRPr="006F7767" w:rsidRDefault="000913EA" w:rsidP="000913EA">
            <w:pPr>
              <w:pStyle w:val="Tablea"/>
            </w:pPr>
            <w:r w:rsidRPr="006F7767">
              <w:rPr>
                <w:szCs w:val="22"/>
              </w:rPr>
              <w:t>(d) the degree of calcination of cement kiln dust produced</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t>3</w:t>
            </w:r>
          </w:p>
        </w:tc>
        <w:tc>
          <w:tcPr>
            <w:tcW w:w="1387" w:type="pct"/>
            <w:tcBorders>
              <w:bottom w:val="nil"/>
            </w:tcBorders>
            <w:shd w:val="clear" w:color="auto" w:fill="auto"/>
          </w:tcPr>
          <w:p w:rsidR="000913EA" w:rsidRPr="006F7767" w:rsidRDefault="000913EA" w:rsidP="000913EA">
            <w:pPr>
              <w:pStyle w:val="Tabletext"/>
            </w:pPr>
            <w:r w:rsidRPr="006F7767">
              <w:t>Method 3 for the source, as set out in section 4.8</w:t>
            </w:r>
          </w:p>
        </w:tc>
        <w:tc>
          <w:tcPr>
            <w:tcW w:w="3193" w:type="pct"/>
            <w:tcBorders>
              <w:bottom w:val="nil"/>
            </w:tcBorders>
            <w:shd w:val="clear" w:color="auto" w:fill="auto"/>
          </w:tcPr>
          <w:p w:rsidR="000913EA" w:rsidRPr="006F7767" w:rsidRDefault="000913EA" w:rsidP="000913EA">
            <w:pPr>
              <w:pStyle w:val="Tablea"/>
            </w:pPr>
            <w:r w:rsidRPr="006F7767">
              <w:t>(a) the tonnes of pure calcium carbonate calcined</w:t>
            </w:r>
          </w:p>
          <w:p w:rsidR="000913EA" w:rsidRPr="006F7767" w:rsidRDefault="000913EA" w:rsidP="000913EA">
            <w:pPr>
              <w:pStyle w:val="Tablea"/>
            </w:pPr>
            <w:r w:rsidRPr="006F7767">
              <w:t xml:space="preserve">(b) the tonnes of pure magnesium carbonate calcined </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(c) the tonnes of pure dolomite calcined</w:t>
            </w:r>
          </w:p>
          <w:p w:rsidR="000913EA" w:rsidRPr="006F7767" w:rsidRDefault="000913EA" w:rsidP="000913EA">
            <w:pPr>
              <w:pStyle w:val="Tablea"/>
            </w:pPr>
            <w:r w:rsidRPr="006F7767">
              <w:t xml:space="preserve">(d) the tonnes of cement kiln dust not recycled or lost </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(e) the tonnes of organic matter or other carbon in specific non</w:t>
            </w:r>
            <w:r w:rsidRPr="006F7767">
              <w:noBreakHyphen/>
              <w:t>fuel raw material</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(f) the emission factor for kerogen or other carbon</w:t>
            </w:r>
            <w:r w:rsidRPr="006F7767">
              <w:noBreakHyphen/>
              <w:t>bearing non</w:t>
            </w:r>
            <w:r w:rsidRPr="006F7767">
              <w:noBreakHyphen/>
              <w:t xml:space="preserve">fuel raw material, in </w:t>
            </w:r>
            <w:r w:rsidRPr="006F7767">
              <w:rPr>
                <w:szCs w:val="22"/>
              </w:rPr>
              <w:t>tonnes of emissions</w:t>
            </w:r>
            <w:r w:rsidRPr="006F7767">
              <w:t xml:space="preserve"> (CO</w:t>
            </w:r>
            <w:r w:rsidRPr="006F7767">
              <w:rPr>
                <w:rStyle w:val="charSubscript"/>
              </w:rPr>
              <w:t>2</w:t>
            </w:r>
            <w:r w:rsidRPr="006F7767">
              <w:noBreakHyphen/>
              <w:t>e) per tonne of clinker produced</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(g) the degree of calcination of the carbonate in the production of cement clinker during the year</w:t>
            </w:r>
          </w:p>
          <w:p w:rsidR="000913EA" w:rsidRPr="006F7767" w:rsidRDefault="000913EA" w:rsidP="000913EA">
            <w:pPr>
              <w:pStyle w:val="Tablea"/>
            </w:pPr>
            <w:r w:rsidRPr="006F7767">
              <w:t>(h) the tonnes of any other pure carbonate calcined</w:t>
            </w:r>
          </w:p>
        </w:tc>
      </w:tr>
      <w:tr w:rsidR="000913EA" w:rsidRPr="006F7767" w:rsidTr="000913EA">
        <w:trPr>
          <w:trHeight w:val="80"/>
        </w:trPr>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 xml:space="preserve">(i) </w:t>
            </w:r>
            <w:r w:rsidRPr="006F7767" w:rsidDel="00931230">
              <w:t>the degree of calcination of cement kiln dust produced</w:t>
            </w:r>
          </w:p>
        </w:tc>
      </w:tr>
    </w:tbl>
    <w:p w:rsidR="000913EA" w:rsidRPr="006F7767" w:rsidRDefault="000913EA" w:rsidP="000913EA">
      <w:pPr>
        <w:pStyle w:val="TableHeading"/>
        <w:keepLines/>
      </w:pPr>
      <w:r w:rsidRPr="006F7767">
        <w:t>Source 3B—Lime production</w:t>
      </w:r>
    </w:p>
    <w:p w:rsidR="000913EA" w:rsidRPr="006F7767" w:rsidRDefault="000913EA" w:rsidP="000913EA">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Del="00AA02F8" w:rsidTr="000913EA">
        <w:trPr>
          <w:trHeight w:val="494"/>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Matters to be identified</w:t>
            </w:r>
          </w:p>
        </w:tc>
      </w:tr>
      <w:tr w:rsidR="000913EA" w:rsidRPr="006F7767" w:rsidDel="00AA02F8" w:rsidTr="000913EA">
        <w:trPr>
          <w:trHeight w:val="70"/>
        </w:trPr>
        <w:tc>
          <w:tcPr>
            <w:tcW w:w="420" w:type="pct"/>
            <w:tcBorders>
              <w:top w:val="single" w:sz="12" w:space="0" w:color="auto"/>
              <w:bottom w:val="nil"/>
            </w:tcBorders>
            <w:shd w:val="clear" w:color="auto" w:fill="auto"/>
          </w:tcPr>
          <w:p w:rsidR="000913EA" w:rsidRPr="006F7767" w:rsidDel="00AA02F8" w:rsidRDefault="000913EA" w:rsidP="000913EA">
            <w:pPr>
              <w:pStyle w:val="Tabletext"/>
              <w:keepNext/>
              <w:keepLines/>
            </w:pPr>
            <w:r w:rsidRPr="006F7767">
              <w:t>1</w:t>
            </w:r>
          </w:p>
        </w:tc>
        <w:tc>
          <w:tcPr>
            <w:tcW w:w="1387" w:type="pct"/>
            <w:tcBorders>
              <w:top w:val="single" w:sz="12" w:space="0" w:color="auto"/>
              <w:bottom w:val="nil"/>
            </w:tcBorders>
            <w:shd w:val="clear" w:color="auto" w:fill="auto"/>
          </w:tcPr>
          <w:p w:rsidR="000913EA" w:rsidRPr="006F7767" w:rsidDel="00AA02F8" w:rsidRDefault="000913EA" w:rsidP="000913EA">
            <w:pPr>
              <w:pStyle w:val="Tabletext"/>
              <w:keepNext/>
              <w:keepLines/>
            </w:pPr>
            <w:r w:rsidRPr="006F7767">
              <w:t>Method 1 for the source, as set out in section 4.13</w:t>
            </w:r>
          </w:p>
        </w:tc>
        <w:tc>
          <w:tcPr>
            <w:tcW w:w="3193" w:type="pct"/>
            <w:tcBorders>
              <w:top w:val="single" w:sz="12" w:space="0" w:color="auto"/>
              <w:bottom w:val="nil"/>
            </w:tcBorders>
            <w:shd w:val="clear" w:color="auto" w:fill="auto"/>
          </w:tcPr>
          <w:p w:rsidR="000913EA" w:rsidRPr="006F7767" w:rsidRDefault="000913EA" w:rsidP="000913EA">
            <w:pPr>
              <w:pStyle w:val="Tablea"/>
              <w:keepNext/>
              <w:keepLines/>
            </w:pPr>
            <w:r w:rsidRPr="006F7767">
              <w:t>(a) the tonnes of commercial lime produced</w:t>
            </w:r>
          </w:p>
          <w:p w:rsidR="000913EA" w:rsidRPr="006F7767" w:rsidRDefault="000913EA" w:rsidP="000913EA">
            <w:pPr>
              <w:pStyle w:val="Tablea"/>
              <w:keepNext/>
              <w:keepLines/>
            </w:pPr>
            <w:r w:rsidRPr="006F7767">
              <w:t>(b) the tonnes of in</w:t>
            </w:r>
            <w:r w:rsidRPr="006F7767">
              <w:noBreakHyphen/>
              <w:t>house lime produced</w:t>
            </w:r>
          </w:p>
          <w:p w:rsidR="000913EA" w:rsidRPr="006F7767" w:rsidRDefault="000913EA" w:rsidP="000913EA">
            <w:pPr>
              <w:pStyle w:val="Tablea"/>
              <w:keepNext/>
              <w:keepLines/>
            </w:pPr>
            <w:r w:rsidRPr="006F7767">
              <w:t>(c) the tonnes of dolomitic lime produced</w:t>
            </w:r>
          </w:p>
          <w:p w:rsidR="000913EA" w:rsidRPr="006F7767" w:rsidDel="00AA02F8" w:rsidRDefault="000913EA" w:rsidP="000913EA">
            <w:pPr>
              <w:pStyle w:val="Tablea"/>
              <w:keepNext/>
              <w:keepLines/>
            </w:pPr>
            <w:r w:rsidRPr="006F7767">
              <w:t>(d) the tonnes of magnesian lime produced;</w:t>
            </w:r>
          </w:p>
        </w:tc>
      </w:tr>
      <w:tr w:rsidR="000913EA" w:rsidRPr="006F7767" w:rsidDel="00AA02F8" w:rsidTr="000913EA">
        <w:trPr>
          <w:trHeight w:val="80"/>
        </w:trPr>
        <w:tc>
          <w:tcPr>
            <w:tcW w:w="420" w:type="pct"/>
            <w:tcBorders>
              <w:top w:val="nil"/>
              <w:bottom w:val="single" w:sz="4" w:space="0" w:color="auto"/>
            </w:tcBorders>
            <w:shd w:val="clear" w:color="auto" w:fill="auto"/>
          </w:tcPr>
          <w:p w:rsidR="000913EA" w:rsidRPr="006F7767" w:rsidDel="00AA02F8" w:rsidRDefault="000913EA" w:rsidP="000913EA">
            <w:pPr>
              <w:pStyle w:val="Tabletext"/>
            </w:pPr>
          </w:p>
        </w:tc>
        <w:tc>
          <w:tcPr>
            <w:tcW w:w="1387" w:type="pct"/>
            <w:tcBorders>
              <w:top w:val="nil"/>
              <w:bottom w:val="single" w:sz="4" w:space="0" w:color="auto"/>
            </w:tcBorders>
            <w:shd w:val="clear" w:color="auto" w:fill="auto"/>
          </w:tcPr>
          <w:p w:rsidR="000913EA" w:rsidRPr="006F7767" w:rsidDel="00AA02F8" w:rsidRDefault="000913EA" w:rsidP="000913EA">
            <w:pPr>
              <w:pStyle w:val="Tabletext"/>
            </w:pPr>
          </w:p>
        </w:tc>
        <w:tc>
          <w:tcPr>
            <w:tcW w:w="3193" w:type="pct"/>
            <w:tcBorders>
              <w:top w:val="nil"/>
              <w:bottom w:val="single" w:sz="4" w:space="0" w:color="auto"/>
            </w:tcBorders>
            <w:shd w:val="clear" w:color="auto" w:fill="auto"/>
          </w:tcPr>
          <w:p w:rsidR="000913EA" w:rsidRPr="006F7767" w:rsidRDefault="000913EA" w:rsidP="000913EA">
            <w:pPr>
              <w:pStyle w:val="Tablea"/>
            </w:pPr>
            <w:r w:rsidRPr="006F7767">
              <w:t>(e) the tonnes of lime kiln dust produced</w:t>
            </w:r>
          </w:p>
          <w:p w:rsidR="000913EA" w:rsidRPr="006F7767" w:rsidDel="00AA02F8" w:rsidRDefault="000913EA" w:rsidP="000913EA">
            <w:pPr>
              <w:pStyle w:val="Tablea"/>
            </w:pPr>
            <w:r w:rsidRPr="006F7767">
              <w:t>(f) the degree of calcination of lime kiln dust produced</w:t>
            </w:r>
          </w:p>
        </w:tc>
      </w:tr>
      <w:tr w:rsidR="000913EA" w:rsidRPr="006F7767" w:rsidDel="00AA02F8" w:rsidTr="000913EA">
        <w:trPr>
          <w:trHeight w:val="974"/>
        </w:trPr>
        <w:tc>
          <w:tcPr>
            <w:tcW w:w="420" w:type="pct"/>
            <w:tcBorders>
              <w:bottom w:val="nil"/>
            </w:tcBorders>
            <w:shd w:val="clear" w:color="auto" w:fill="auto"/>
          </w:tcPr>
          <w:p w:rsidR="000913EA" w:rsidRPr="006F7767" w:rsidDel="00AA02F8" w:rsidRDefault="000913EA" w:rsidP="000913EA">
            <w:pPr>
              <w:pStyle w:val="Tabletext"/>
            </w:pPr>
            <w:r w:rsidRPr="006F7767">
              <w:t>2</w:t>
            </w:r>
          </w:p>
        </w:tc>
        <w:tc>
          <w:tcPr>
            <w:tcW w:w="1387" w:type="pct"/>
            <w:tcBorders>
              <w:bottom w:val="nil"/>
            </w:tcBorders>
            <w:shd w:val="clear" w:color="auto" w:fill="auto"/>
          </w:tcPr>
          <w:p w:rsidR="000913EA" w:rsidRPr="006F7767" w:rsidDel="00AA02F8" w:rsidRDefault="000913EA" w:rsidP="000913EA">
            <w:pPr>
              <w:pStyle w:val="Tabletext"/>
            </w:pPr>
            <w:r w:rsidRPr="006F7767">
              <w:t>Method 2, 3 and 4 for the source, as set out in sections 4.14, 4.17 and Part 1.3</w:t>
            </w:r>
          </w:p>
        </w:tc>
        <w:tc>
          <w:tcPr>
            <w:tcW w:w="3193" w:type="pct"/>
            <w:tcBorders>
              <w:bottom w:val="nil"/>
            </w:tcBorders>
            <w:shd w:val="clear" w:color="auto" w:fill="auto"/>
          </w:tcPr>
          <w:p w:rsidR="000913EA" w:rsidRPr="006F7767" w:rsidRDefault="000913EA" w:rsidP="000913EA">
            <w:pPr>
              <w:pStyle w:val="Tablea"/>
            </w:pPr>
            <w:r w:rsidRPr="006F7767">
              <w:t>(a) the tonnes of lime produced</w:t>
            </w:r>
          </w:p>
          <w:p w:rsidR="000913EA" w:rsidRPr="006F7767" w:rsidRDefault="000913EA" w:rsidP="000913EA">
            <w:pPr>
              <w:pStyle w:val="Tablea"/>
            </w:pPr>
            <w:r w:rsidRPr="006F7767">
              <w:t>(b) the tonnes of lime kiln dust produced</w:t>
            </w:r>
          </w:p>
          <w:p w:rsidR="000913EA" w:rsidRPr="006F7767" w:rsidDel="00AA02F8" w:rsidRDefault="000913EA" w:rsidP="000913EA">
            <w:pPr>
              <w:pStyle w:val="Tablea"/>
            </w:pPr>
            <w:r w:rsidRPr="006F7767">
              <w:t>(c) the degree of calcination of lime kiln dust produced</w:t>
            </w:r>
          </w:p>
        </w:tc>
      </w:tr>
      <w:tr w:rsidR="000913EA" w:rsidRPr="006F7767" w:rsidDel="00AA02F8" w:rsidTr="000913EA">
        <w:trPr>
          <w:trHeight w:val="672"/>
        </w:trPr>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(d) the emission factor for lime production at each facility, in tonnes of emissions (CO</w:t>
            </w:r>
            <w:r w:rsidRPr="006F7767">
              <w:rPr>
                <w:vertAlign w:val="subscript"/>
              </w:rPr>
              <w:t>2</w:t>
            </w:r>
            <w:r w:rsidRPr="006F7767">
              <w:noBreakHyphen/>
              <w:t>e) per tonne of lime</w:t>
            </w:r>
          </w:p>
        </w:tc>
      </w:tr>
    </w:tbl>
    <w:p w:rsidR="000913EA" w:rsidRPr="006F7767" w:rsidRDefault="000913EA" w:rsidP="00712C4C">
      <w:pPr>
        <w:pStyle w:val="TableHeading"/>
      </w:pPr>
      <w:r w:rsidRPr="006F7767">
        <w:lastRenderedPageBreak/>
        <w:t>Source 3C—Use of carbonate for production of mineral product (other than cement, clinker, lime or soda ash)</w:t>
      </w:r>
    </w:p>
    <w:p w:rsidR="000913EA" w:rsidRPr="006F7767" w:rsidRDefault="000913EA" w:rsidP="00712C4C">
      <w:pPr>
        <w:pStyle w:val="Tabletext"/>
        <w:keepN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712C4C">
            <w:pPr>
              <w:pStyle w:val="TableHeading"/>
            </w:pPr>
            <w:r w:rsidRPr="006F7767">
              <w:t>Matters to be identified</w:t>
            </w:r>
          </w:p>
        </w:tc>
      </w:tr>
      <w:tr w:rsidR="000913EA" w:rsidRPr="006F7767" w:rsidTr="000913EA">
        <w:trPr>
          <w:trHeight w:val="666"/>
        </w:trPr>
        <w:tc>
          <w:tcPr>
            <w:tcW w:w="420" w:type="pct"/>
            <w:tcBorders>
              <w:top w:val="single" w:sz="12" w:space="0" w:color="auto"/>
              <w:bottom w:val="nil"/>
            </w:tcBorders>
            <w:shd w:val="clear" w:color="auto" w:fill="auto"/>
          </w:tcPr>
          <w:p w:rsidR="000913EA" w:rsidRPr="006F7767" w:rsidRDefault="000913EA" w:rsidP="00712C4C">
            <w:pPr>
              <w:pStyle w:val="Tabletext"/>
              <w:keepNext/>
            </w:pPr>
            <w:r w:rsidRPr="006F7767">
              <w:t>1</w:t>
            </w:r>
          </w:p>
        </w:tc>
        <w:tc>
          <w:tcPr>
            <w:tcW w:w="1387" w:type="pct"/>
            <w:tcBorders>
              <w:top w:val="single" w:sz="12" w:space="0" w:color="auto"/>
              <w:bottom w:val="nil"/>
            </w:tcBorders>
            <w:shd w:val="clear" w:color="auto" w:fill="auto"/>
          </w:tcPr>
          <w:p w:rsidR="000913EA" w:rsidRPr="006F7767" w:rsidRDefault="000913EA" w:rsidP="00712C4C">
            <w:pPr>
              <w:pStyle w:val="Tabletext"/>
              <w:keepNext/>
            </w:pPr>
            <w:r w:rsidRPr="006F7767">
              <w:t>Method</w:t>
            </w:r>
            <w:r w:rsidR="00712C4C">
              <w:t>s</w:t>
            </w:r>
            <w:r w:rsidRPr="006F7767">
              <w:t xml:space="preserve"> 1</w:t>
            </w:r>
            <w:r w:rsidR="00712C4C">
              <w:t xml:space="preserve"> or 1A</w:t>
            </w:r>
            <w:r w:rsidRPr="006F7767">
              <w:t xml:space="preserve"> for the source, as set out in section 4.22 or 4.22A</w:t>
            </w:r>
          </w:p>
        </w:tc>
        <w:tc>
          <w:tcPr>
            <w:tcW w:w="3193" w:type="pct"/>
            <w:tcBorders>
              <w:top w:val="single" w:sz="12" w:space="0" w:color="auto"/>
              <w:bottom w:val="nil"/>
            </w:tcBorders>
            <w:shd w:val="clear" w:color="auto" w:fill="auto"/>
          </w:tcPr>
          <w:p w:rsidR="000913EA" w:rsidRPr="006F7767" w:rsidRDefault="000913EA" w:rsidP="00712C4C">
            <w:pPr>
              <w:pStyle w:val="Tablea"/>
              <w:keepNext/>
            </w:pPr>
            <w:r w:rsidRPr="006F7767">
              <w:t>(a) the tonnes of limestone calcined</w:t>
            </w:r>
          </w:p>
          <w:p w:rsidR="000913EA" w:rsidRPr="006F7767" w:rsidRDefault="000913EA" w:rsidP="00712C4C">
            <w:pPr>
              <w:pStyle w:val="Tablea"/>
              <w:keepNext/>
            </w:pPr>
            <w:r w:rsidRPr="006F7767">
              <w:t>(b) the tonnes of dolomite calcined</w:t>
            </w:r>
          </w:p>
          <w:p w:rsidR="000913EA" w:rsidRPr="006F7767" w:rsidRDefault="000913EA" w:rsidP="00712C4C">
            <w:pPr>
              <w:pStyle w:val="Tablea"/>
              <w:keepNext/>
            </w:pPr>
            <w:r w:rsidRPr="006F7767">
              <w:t>(c) the tonnes of magnesium carbonate calcined</w:t>
            </w:r>
          </w:p>
          <w:p w:rsidR="000913EA" w:rsidRPr="006F7767" w:rsidRDefault="000913EA" w:rsidP="00712C4C">
            <w:pPr>
              <w:pStyle w:val="Tablea"/>
              <w:keepNext/>
            </w:pPr>
            <w:r w:rsidRPr="006F7767">
              <w:t>(d) the degree of calcination of the carbonate during the year</w:t>
            </w:r>
          </w:p>
        </w:tc>
      </w:tr>
      <w:tr w:rsidR="000913EA" w:rsidRPr="006F7767" w:rsidTr="000913EA">
        <w:trPr>
          <w:trHeight w:val="80"/>
        </w:trPr>
        <w:tc>
          <w:tcPr>
            <w:tcW w:w="420" w:type="pct"/>
            <w:tcBorders>
              <w:top w:val="nil"/>
              <w:bottom w:val="single" w:sz="4" w:space="0" w:color="auto"/>
            </w:tcBorders>
            <w:shd w:val="clear" w:color="auto" w:fill="auto"/>
          </w:tcPr>
          <w:p w:rsidR="000913EA" w:rsidRPr="006F7767" w:rsidRDefault="000913EA" w:rsidP="00712C4C">
            <w:pPr>
              <w:pStyle w:val="Tabletext"/>
              <w:keepNext/>
            </w:pPr>
          </w:p>
        </w:tc>
        <w:tc>
          <w:tcPr>
            <w:tcW w:w="1387" w:type="pct"/>
            <w:tcBorders>
              <w:top w:val="nil"/>
              <w:bottom w:val="single" w:sz="4" w:space="0" w:color="auto"/>
            </w:tcBorders>
            <w:shd w:val="clear" w:color="auto" w:fill="auto"/>
          </w:tcPr>
          <w:p w:rsidR="000913EA" w:rsidRPr="006F7767" w:rsidRDefault="000913EA" w:rsidP="00712C4C">
            <w:pPr>
              <w:pStyle w:val="Tabletext"/>
              <w:keepNext/>
            </w:pPr>
          </w:p>
        </w:tc>
        <w:tc>
          <w:tcPr>
            <w:tcW w:w="3193" w:type="pct"/>
            <w:tcBorders>
              <w:top w:val="nil"/>
              <w:bottom w:val="single" w:sz="4" w:space="0" w:color="auto"/>
            </w:tcBorders>
            <w:shd w:val="clear" w:color="auto" w:fill="auto"/>
          </w:tcPr>
          <w:p w:rsidR="000913EA" w:rsidRPr="006F7767" w:rsidRDefault="000913EA" w:rsidP="00712C4C">
            <w:pPr>
              <w:pStyle w:val="Tablea"/>
              <w:keepNext/>
            </w:pPr>
            <w:r w:rsidRPr="006F7767">
              <w:t>(e) the tonnes of any other raw carbonate calcined</w:t>
            </w:r>
          </w:p>
        </w:tc>
      </w:tr>
      <w:tr w:rsidR="000913EA" w:rsidRPr="006F7767" w:rsidDel="0004469B" w:rsidTr="000913EA">
        <w:trPr>
          <w:trHeight w:val="1027"/>
        </w:trPr>
        <w:tc>
          <w:tcPr>
            <w:tcW w:w="420" w:type="pct"/>
            <w:tcBorders>
              <w:bottom w:val="nil"/>
            </w:tcBorders>
            <w:shd w:val="clear" w:color="auto" w:fill="auto"/>
          </w:tcPr>
          <w:p w:rsidR="000913EA" w:rsidRPr="006F7767" w:rsidDel="0004469B" w:rsidRDefault="000913EA" w:rsidP="00712C4C">
            <w:pPr>
              <w:pStyle w:val="Tabletext"/>
              <w:keepNext/>
            </w:pPr>
            <w:r w:rsidRPr="006F7767">
              <w:t>2</w:t>
            </w:r>
          </w:p>
        </w:tc>
        <w:tc>
          <w:tcPr>
            <w:tcW w:w="1387" w:type="pct"/>
            <w:tcBorders>
              <w:bottom w:val="nil"/>
            </w:tcBorders>
            <w:shd w:val="clear" w:color="auto" w:fill="auto"/>
          </w:tcPr>
          <w:p w:rsidR="000913EA" w:rsidRPr="006F7767" w:rsidDel="0004469B" w:rsidRDefault="000913EA" w:rsidP="00712C4C">
            <w:pPr>
              <w:pStyle w:val="Tabletext"/>
              <w:keepNext/>
            </w:pPr>
            <w:r w:rsidRPr="006F7767">
              <w:t>Method</w:t>
            </w:r>
            <w:r w:rsidR="00712C4C">
              <w:t>s</w:t>
            </w:r>
            <w:r w:rsidRPr="006F7767">
              <w:t xml:space="preserve"> 3</w:t>
            </w:r>
            <w:r w:rsidR="00712C4C">
              <w:t xml:space="preserve"> or 3A</w:t>
            </w:r>
            <w:r w:rsidRPr="006F7767">
              <w:t xml:space="preserve"> for the source, as set out in section 4.23 and 4.23A</w:t>
            </w:r>
          </w:p>
        </w:tc>
        <w:tc>
          <w:tcPr>
            <w:tcW w:w="3193" w:type="pct"/>
            <w:tcBorders>
              <w:bottom w:val="nil"/>
            </w:tcBorders>
            <w:shd w:val="clear" w:color="auto" w:fill="auto"/>
          </w:tcPr>
          <w:p w:rsidR="000913EA" w:rsidRPr="006F7767" w:rsidRDefault="000913EA" w:rsidP="00712C4C">
            <w:pPr>
              <w:pStyle w:val="Tablea"/>
              <w:keepNext/>
            </w:pPr>
            <w:r w:rsidRPr="006F7767">
              <w:t>(a) the tonnes of pure calcium carbonate calcined</w:t>
            </w:r>
          </w:p>
          <w:p w:rsidR="000913EA" w:rsidRPr="006F7767" w:rsidRDefault="000913EA" w:rsidP="00712C4C">
            <w:pPr>
              <w:pStyle w:val="Tablea"/>
              <w:keepNext/>
            </w:pPr>
            <w:r w:rsidRPr="006F7767">
              <w:t>(b) the tonnes of pure dolomite calcined</w:t>
            </w:r>
          </w:p>
          <w:p w:rsidR="000913EA" w:rsidRPr="006F7767" w:rsidDel="0004469B" w:rsidRDefault="000913EA" w:rsidP="00712C4C">
            <w:pPr>
              <w:pStyle w:val="Tablea"/>
              <w:keepNext/>
            </w:pPr>
            <w:r w:rsidRPr="006F7767">
              <w:t>(c) the tonnes of pure magnesium carbonate calcined</w:t>
            </w:r>
          </w:p>
        </w:tc>
      </w:tr>
      <w:tr w:rsidR="000913EA" w:rsidRPr="006F7767" w:rsidDel="0004469B" w:rsidTr="000913EA">
        <w:trPr>
          <w:trHeight w:val="80"/>
        </w:trPr>
        <w:tc>
          <w:tcPr>
            <w:tcW w:w="420" w:type="pct"/>
            <w:tcBorders>
              <w:top w:val="nil"/>
              <w:bottom w:val="single" w:sz="4" w:space="0" w:color="auto"/>
            </w:tcBorders>
            <w:shd w:val="clear" w:color="auto" w:fill="auto"/>
          </w:tcPr>
          <w:p w:rsidR="000913EA" w:rsidRPr="006F7767" w:rsidDel="0004469B" w:rsidRDefault="000913EA" w:rsidP="00712C4C">
            <w:pPr>
              <w:pStyle w:val="Tabletext"/>
              <w:keepNext/>
            </w:pPr>
          </w:p>
        </w:tc>
        <w:tc>
          <w:tcPr>
            <w:tcW w:w="1387" w:type="pct"/>
            <w:tcBorders>
              <w:top w:val="nil"/>
              <w:bottom w:val="single" w:sz="4" w:space="0" w:color="auto"/>
            </w:tcBorders>
            <w:shd w:val="clear" w:color="auto" w:fill="auto"/>
          </w:tcPr>
          <w:p w:rsidR="000913EA" w:rsidRPr="006F7767" w:rsidRDefault="000913EA" w:rsidP="00712C4C">
            <w:pPr>
              <w:pStyle w:val="Tabletext"/>
              <w:keepNext/>
            </w:pPr>
          </w:p>
        </w:tc>
        <w:tc>
          <w:tcPr>
            <w:tcW w:w="3193" w:type="pct"/>
            <w:tcBorders>
              <w:top w:val="nil"/>
              <w:bottom w:val="single" w:sz="4" w:space="0" w:color="auto"/>
            </w:tcBorders>
            <w:shd w:val="clear" w:color="auto" w:fill="auto"/>
          </w:tcPr>
          <w:p w:rsidR="000913EA" w:rsidRPr="006F7767" w:rsidRDefault="000913EA" w:rsidP="00712C4C">
            <w:pPr>
              <w:pStyle w:val="Tablea"/>
              <w:keepNext/>
            </w:pPr>
            <w:r w:rsidRPr="006F7767">
              <w:t>(d) the degree of calcination of the carbonate during the year</w:t>
            </w:r>
          </w:p>
          <w:p w:rsidR="000913EA" w:rsidRPr="006F7767" w:rsidRDefault="000913EA" w:rsidP="00712C4C">
            <w:pPr>
              <w:pStyle w:val="Tablea"/>
              <w:keepNext/>
            </w:pPr>
            <w:r w:rsidRPr="006F7767">
              <w:t>(e) the tonnes of any other pure carbonate calcined</w:t>
            </w:r>
          </w:p>
        </w:tc>
      </w:tr>
      <w:tr w:rsidR="000913EA" w:rsidRPr="006F7767" w:rsidDel="0004469B" w:rsidTr="000913EA">
        <w:trPr>
          <w:trHeight w:val="954"/>
        </w:trPr>
        <w:tc>
          <w:tcPr>
            <w:tcW w:w="420" w:type="pct"/>
            <w:tcBorders>
              <w:bottom w:val="single" w:sz="12" w:space="0" w:color="auto"/>
            </w:tcBorders>
            <w:shd w:val="clear" w:color="auto" w:fill="auto"/>
          </w:tcPr>
          <w:p w:rsidR="000913EA" w:rsidRPr="006F7767" w:rsidDel="0004469B" w:rsidRDefault="000913EA" w:rsidP="00712C4C">
            <w:pPr>
              <w:pStyle w:val="Tabletext"/>
              <w:keepNext/>
            </w:pPr>
            <w:r w:rsidRPr="006F7767">
              <w:t>3</w:t>
            </w:r>
          </w:p>
        </w:tc>
        <w:tc>
          <w:tcPr>
            <w:tcW w:w="1387" w:type="pct"/>
            <w:tcBorders>
              <w:bottom w:val="single" w:sz="12" w:space="0" w:color="auto"/>
            </w:tcBorders>
            <w:shd w:val="clear" w:color="auto" w:fill="auto"/>
          </w:tcPr>
          <w:p w:rsidR="000913EA" w:rsidRPr="006F7767" w:rsidDel="0004469B" w:rsidRDefault="000913EA" w:rsidP="00712C4C">
            <w:pPr>
              <w:pStyle w:val="Tabletext"/>
              <w:keepNext/>
            </w:pPr>
            <w:r w:rsidRPr="006F7767">
              <w:t>Method 4 for the source, as set out in Part 1.3</w:t>
            </w:r>
          </w:p>
        </w:tc>
        <w:tc>
          <w:tcPr>
            <w:tcW w:w="3193" w:type="pct"/>
            <w:tcBorders>
              <w:bottom w:val="single" w:sz="12" w:space="0" w:color="auto"/>
            </w:tcBorders>
            <w:shd w:val="clear" w:color="auto" w:fill="auto"/>
          </w:tcPr>
          <w:p w:rsidR="000913EA" w:rsidRPr="006F7767" w:rsidDel="0004469B" w:rsidRDefault="000913EA" w:rsidP="00712C4C">
            <w:pPr>
              <w:pStyle w:val="Tablea"/>
              <w:keepNext/>
            </w:pPr>
            <w:r w:rsidRPr="006F7767">
              <w:t>the tonnes of each pure carbonate calcined</w:t>
            </w:r>
          </w:p>
        </w:tc>
      </w:tr>
    </w:tbl>
    <w:p w:rsidR="000913EA" w:rsidRPr="006F7767" w:rsidRDefault="000913EA" w:rsidP="000913EA">
      <w:pPr>
        <w:pStyle w:val="TableHeading"/>
      </w:pPr>
      <w:r w:rsidRPr="006F7767">
        <w:t>Source 3D—Soda ash use</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20" w:type="pct"/>
            <w:tcBorders>
              <w:top w:val="single" w:sz="12" w:space="0" w:color="auto"/>
              <w:bottom w:val="single" w:sz="12"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text"/>
            </w:pPr>
            <w:r w:rsidRPr="006F7767">
              <w:t>Method 1 for the source, as set out in section 4.29</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text"/>
            </w:pPr>
            <w:r w:rsidRPr="006F7767">
              <w:t>the tonnes of soda ash consumed</w:t>
            </w:r>
          </w:p>
        </w:tc>
      </w:tr>
    </w:tbl>
    <w:p w:rsidR="000913EA" w:rsidRPr="006F7767" w:rsidRDefault="000913EA" w:rsidP="000913EA">
      <w:pPr>
        <w:pStyle w:val="TableHeading"/>
      </w:pPr>
      <w:r w:rsidRPr="006F7767">
        <w:t>Source 3E—Soda ash production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Del="0004469B"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Del="0004469B" w:rsidTr="000913EA">
        <w:trPr>
          <w:trHeight w:val="70"/>
        </w:trPr>
        <w:tc>
          <w:tcPr>
            <w:tcW w:w="420" w:type="pct"/>
            <w:tcBorders>
              <w:top w:val="single" w:sz="12" w:space="0" w:color="auto"/>
              <w:bottom w:val="nil"/>
            </w:tcBorders>
            <w:shd w:val="clear" w:color="auto" w:fill="auto"/>
          </w:tcPr>
          <w:p w:rsidR="000913EA" w:rsidRPr="006F7767" w:rsidDel="0004469B" w:rsidRDefault="000913EA" w:rsidP="000913EA">
            <w:pPr>
              <w:pStyle w:val="Tabletext"/>
            </w:pPr>
            <w:r w:rsidRPr="006F7767">
              <w:t>1</w:t>
            </w:r>
          </w:p>
        </w:tc>
        <w:tc>
          <w:tcPr>
            <w:tcW w:w="1387" w:type="pct"/>
            <w:tcBorders>
              <w:top w:val="single" w:sz="12" w:space="0" w:color="auto"/>
              <w:bottom w:val="nil"/>
            </w:tcBorders>
            <w:shd w:val="clear" w:color="auto" w:fill="auto"/>
          </w:tcPr>
          <w:p w:rsidR="000913EA" w:rsidRPr="006F7767" w:rsidDel="0004469B" w:rsidRDefault="000913EA" w:rsidP="000913EA">
            <w:pPr>
              <w:pStyle w:val="Tabletext"/>
            </w:pPr>
            <w:r w:rsidRPr="006F7767">
              <w:t>Method 1 for the source, as set out in section 4.31</w:t>
            </w:r>
          </w:p>
        </w:tc>
        <w:tc>
          <w:tcPr>
            <w:tcW w:w="3193" w:type="pct"/>
            <w:tcBorders>
              <w:top w:val="single" w:sz="12" w:space="0" w:color="auto"/>
              <w:bottom w:val="nil"/>
            </w:tcBorders>
            <w:shd w:val="clear" w:color="auto" w:fill="auto"/>
          </w:tcPr>
          <w:p w:rsidR="000913EA" w:rsidRPr="006F7767" w:rsidRDefault="000913EA" w:rsidP="000913EA">
            <w:pPr>
              <w:pStyle w:val="Tablea"/>
            </w:pPr>
            <w:r w:rsidRPr="006F7767">
              <w:t xml:space="preserve">(a) </w:t>
            </w:r>
            <w:r w:rsidRPr="006F7767">
              <w:rPr>
                <w:bCs/>
              </w:rPr>
              <w:t>the tonnes of limestone consumed</w:t>
            </w:r>
          </w:p>
          <w:p w:rsidR="000913EA" w:rsidRPr="006F7767" w:rsidDel="0004469B" w:rsidRDefault="000913EA" w:rsidP="000913EA">
            <w:pPr>
              <w:pStyle w:val="Tablea"/>
              <w:rPr>
                <w:bCs/>
              </w:rPr>
            </w:pPr>
            <w:r w:rsidRPr="006F7767">
              <w:t xml:space="preserve">(b) </w:t>
            </w:r>
            <w:r w:rsidRPr="006F7767">
              <w:rPr>
                <w:bCs/>
              </w:rPr>
              <w:t>the tonnes of dolomite consumed</w:t>
            </w:r>
          </w:p>
          <w:p w:rsidR="000913EA" w:rsidRPr="006F7767" w:rsidDel="0004469B" w:rsidRDefault="000913EA" w:rsidP="000913EA">
            <w:pPr>
              <w:pStyle w:val="Tablea"/>
              <w:rPr>
                <w:bCs/>
              </w:rPr>
            </w:pPr>
            <w:r w:rsidRPr="006F7767">
              <w:t>(c) the tonnes of magnesium carbonate consumed</w:t>
            </w:r>
          </w:p>
        </w:tc>
      </w:tr>
      <w:tr w:rsidR="000913EA" w:rsidRPr="006F7767" w:rsidDel="0004469B" w:rsidTr="000913EA">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 xml:space="preserve">(d) </w:t>
            </w:r>
            <w:r w:rsidRPr="006F7767">
              <w:rPr>
                <w:bCs/>
              </w:rPr>
              <w:t>the tonnes of soda ash produced</w:t>
            </w:r>
          </w:p>
          <w:p w:rsidR="000913EA" w:rsidRPr="006F7767" w:rsidRDefault="000913EA" w:rsidP="000913EA">
            <w:pPr>
              <w:pStyle w:val="Tablea"/>
              <w:rPr>
                <w:bCs/>
              </w:rPr>
            </w:pPr>
            <w:r w:rsidRPr="006F7767">
              <w:t xml:space="preserve">(e) </w:t>
            </w:r>
            <w:r w:rsidRPr="006F7767">
              <w:rPr>
                <w:bCs/>
              </w:rPr>
              <w:t>the tonnes of sodium bicarbonate produced</w:t>
            </w:r>
          </w:p>
          <w:p w:rsidR="000913EA" w:rsidRPr="006F7767" w:rsidRDefault="000913EA" w:rsidP="000913EA">
            <w:pPr>
              <w:pStyle w:val="Tablea"/>
            </w:pPr>
            <w:r w:rsidRPr="006F7767">
              <w:t>(f) the tonnes of soda ash used for brine purification</w:t>
            </w:r>
          </w:p>
        </w:tc>
      </w:tr>
      <w:tr w:rsidR="000913EA" w:rsidRPr="006F7767" w:rsidDel="0004469B" w:rsidTr="000913EA">
        <w:trPr>
          <w:trHeight w:val="602"/>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(g) the tonnes of solid waste by</w:t>
            </w:r>
            <w:r w:rsidRPr="006F7767">
              <w:noBreakHyphen/>
              <w:t>product containing carbon produced</w:t>
            </w:r>
          </w:p>
          <w:p w:rsidR="000913EA" w:rsidRPr="006F7767" w:rsidRDefault="000913EA" w:rsidP="000913EA">
            <w:pPr>
              <w:pStyle w:val="Tablea"/>
            </w:pPr>
            <w:r w:rsidRPr="006F7767">
              <w:t>(h) the average carbon content factor of solid waste by</w:t>
            </w:r>
            <w:r w:rsidRPr="006F7767">
              <w:noBreakHyphen/>
              <w:t>products, in tonnes of carbon per tonne of solid waste by</w:t>
            </w:r>
            <w:r w:rsidRPr="006F7767">
              <w:noBreakHyphen/>
              <w:t>product</w:t>
            </w:r>
          </w:p>
        </w:tc>
      </w:tr>
      <w:tr w:rsidR="000913EA" w:rsidRPr="006F7767" w:rsidDel="0004469B" w:rsidTr="000913EA">
        <w:tc>
          <w:tcPr>
            <w:tcW w:w="420" w:type="pct"/>
            <w:tcBorders>
              <w:top w:val="nil"/>
              <w:bottom w:val="single" w:sz="4" w:space="0" w:color="auto"/>
            </w:tcBorders>
            <w:shd w:val="clear" w:color="auto" w:fill="auto"/>
          </w:tcPr>
          <w:p w:rsidR="000913EA" w:rsidRPr="006F7767" w:rsidRDefault="000913EA" w:rsidP="000913EA">
            <w:pPr>
              <w:pStyle w:val="Tabletext"/>
            </w:pPr>
          </w:p>
        </w:tc>
        <w:tc>
          <w:tcPr>
            <w:tcW w:w="1387" w:type="pct"/>
            <w:tcBorders>
              <w:top w:val="nil"/>
              <w:bottom w:val="single" w:sz="4" w:space="0" w:color="auto"/>
            </w:tcBorders>
            <w:shd w:val="clear" w:color="auto" w:fill="auto"/>
          </w:tcPr>
          <w:p w:rsidR="000913EA" w:rsidRPr="006F7767" w:rsidRDefault="000913EA" w:rsidP="000913EA">
            <w:pPr>
              <w:pStyle w:val="Tabletext"/>
            </w:pPr>
          </w:p>
        </w:tc>
        <w:tc>
          <w:tcPr>
            <w:tcW w:w="3193" w:type="pct"/>
            <w:tcBorders>
              <w:top w:val="nil"/>
              <w:bottom w:val="single" w:sz="4" w:space="0" w:color="auto"/>
            </w:tcBorders>
            <w:shd w:val="clear" w:color="auto" w:fill="auto"/>
          </w:tcPr>
          <w:p w:rsidR="000913EA" w:rsidRPr="006F7767" w:rsidRDefault="000913EA" w:rsidP="000913EA">
            <w:pPr>
              <w:pStyle w:val="Tablea"/>
            </w:pPr>
            <w:r w:rsidRPr="006F7767">
              <w:t>(i) the change in stock containing carbon, in tonnes</w:t>
            </w:r>
          </w:p>
          <w:p w:rsidR="000913EA" w:rsidRPr="006F7767" w:rsidRDefault="000913EA" w:rsidP="000913EA">
            <w:pPr>
              <w:pStyle w:val="Tablea"/>
            </w:pPr>
            <w:r w:rsidRPr="006F7767">
              <w:t>(j) the carbon content factor of the change in stock, in tonnes of carbon per tonne of stock</w:t>
            </w:r>
          </w:p>
        </w:tc>
      </w:tr>
      <w:tr w:rsidR="000913EA" w:rsidRPr="006F7767" w:rsidDel="0004469B" w:rsidTr="004D2353">
        <w:trPr>
          <w:trHeight w:val="969"/>
        </w:trPr>
        <w:tc>
          <w:tcPr>
            <w:tcW w:w="420" w:type="pct"/>
            <w:tcBorders>
              <w:top w:val="single" w:sz="4" w:space="0" w:color="auto"/>
              <w:bottom w:val="nil"/>
            </w:tcBorders>
            <w:shd w:val="clear" w:color="auto" w:fill="auto"/>
          </w:tcPr>
          <w:p w:rsidR="000913EA" w:rsidRPr="006F7767" w:rsidRDefault="000913EA" w:rsidP="000913EA">
            <w:pPr>
              <w:pStyle w:val="Tabletext"/>
            </w:pPr>
            <w:r w:rsidRPr="006F7767">
              <w:t>2</w:t>
            </w:r>
          </w:p>
        </w:tc>
        <w:tc>
          <w:tcPr>
            <w:tcW w:w="1387" w:type="pct"/>
            <w:tcBorders>
              <w:top w:val="single" w:sz="4" w:space="0" w:color="auto"/>
              <w:bottom w:val="nil"/>
            </w:tcBorders>
            <w:shd w:val="clear" w:color="auto" w:fill="auto"/>
          </w:tcPr>
          <w:p w:rsidR="000913EA" w:rsidRPr="006F7767" w:rsidRDefault="000913EA" w:rsidP="000913EA">
            <w:pPr>
              <w:pStyle w:val="Tabletext"/>
            </w:pPr>
            <w:r w:rsidRPr="006F7767">
              <w:t>Methods 2, 3 and 4 for the source, as set out in sections 4.3</w:t>
            </w:r>
            <w:r w:rsidR="00712C4C">
              <w:t>2, 4.33</w:t>
            </w:r>
            <w:r w:rsidRPr="006F7767">
              <w:t xml:space="preserve"> and Part 1.3</w:t>
            </w:r>
          </w:p>
        </w:tc>
        <w:tc>
          <w:tcPr>
            <w:tcW w:w="3193" w:type="pct"/>
            <w:tcBorders>
              <w:top w:val="single" w:sz="4" w:space="0" w:color="auto"/>
              <w:bottom w:val="nil"/>
            </w:tcBorders>
            <w:shd w:val="clear" w:color="auto" w:fill="auto"/>
          </w:tcPr>
          <w:p w:rsidR="000913EA" w:rsidRPr="006F7767" w:rsidRDefault="000913EA" w:rsidP="000913EA">
            <w:pPr>
              <w:pStyle w:val="Tablea"/>
            </w:pPr>
            <w:r w:rsidRPr="006F7767">
              <w:t xml:space="preserve">(a) </w:t>
            </w:r>
            <w:r w:rsidRPr="006F7767">
              <w:rPr>
                <w:bCs/>
              </w:rPr>
              <w:t>the facility specific carbon content factor for soda ash production for each fuel type consumed, or each carbonaceous input material type consumed, in tonnes of carbon per:</w:t>
            </w:r>
          </w:p>
          <w:p w:rsidR="000913EA" w:rsidRPr="006F7767" w:rsidRDefault="000913EA" w:rsidP="000913EA">
            <w:pPr>
              <w:pStyle w:val="Tablei"/>
            </w:pPr>
            <w:r w:rsidRPr="006F7767">
              <w:t>(i) tonne of fuel or carbonaceous input material; or</w:t>
            </w:r>
          </w:p>
        </w:tc>
      </w:tr>
      <w:tr w:rsidR="000913EA" w:rsidRPr="006F7767" w:rsidDel="0004469B"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i"/>
            </w:pPr>
            <w:r w:rsidRPr="006F7767">
              <w:t>(ii) cubic metre of fuel or carbonaceous input material; or</w:t>
            </w:r>
          </w:p>
          <w:p w:rsidR="000913EA" w:rsidRPr="006F7767" w:rsidRDefault="000913EA" w:rsidP="000913EA">
            <w:pPr>
              <w:pStyle w:val="Tablei"/>
            </w:pPr>
            <w:r w:rsidRPr="006F7767">
              <w:t>(iii) kilolitre of fuel or carbonaceous input material</w:t>
            </w:r>
          </w:p>
        </w:tc>
      </w:tr>
      <w:tr w:rsidR="000913EA" w:rsidRPr="006F7767" w:rsidDel="0004469B" w:rsidTr="000913EA">
        <w:trPr>
          <w:trHeight w:val="780"/>
        </w:trPr>
        <w:tc>
          <w:tcPr>
            <w:tcW w:w="420" w:type="pct"/>
            <w:vMerge w:val="restart"/>
            <w:tcBorders>
              <w:top w:val="nil"/>
            </w:tcBorders>
            <w:shd w:val="clear" w:color="auto" w:fill="auto"/>
          </w:tcPr>
          <w:p w:rsidR="000913EA" w:rsidRPr="006F7767" w:rsidRDefault="000913EA" w:rsidP="000913EA">
            <w:pPr>
              <w:pStyle w:val="Tabletext"/>
            </w:pPr>
          </w:p>
        </w:tc>
        <w:tc>
          <w:tcPr>
            <w:tcW w:w="1387" w:type="pct"/>
            <w:vMerge w:val="restart"/>
            <w:tcBorders>
              <w:top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 xml:space="preserve">(b) </w:t>
            </w:r>
            <w:r w:rsidRPr="006F7767">
              <w:rPr>
                <w:bCs/>
              </w:rPr>
              <w:t>the tonnes of pure calcium carbonate consumed</w:t>
            </w:r>
          </w:p>
          <w:p w:rsidR="000913EA" w:rsidRPr="006F7767" w:rsidRDefault="000913EA" w:rsidP="000913EA">
            <w:pPr>
              <w:pStyle w:val="Tablea"/>
            </w:pPr>
            <w:r w:rsidRPr="006F7767">
              <w:t>(c) the tonnes of pure dolomite consumed</w:t>
            </w:r>
          </w:p>
          <w:p w:rsidR="000913EA" w:rsidRPr="006F7767" w:rsidRDefault="000913EA" w:rsidP="000913EA">
            <w:pPr>
              <w:pStyle w:val="Tablea"/>
            </w:pPr>
            <w:r w:rsidRPr="006F7767">
              <w:t>(d) the tonnes of pure magnesium carbonate consumed</w:t>
            </w:r>
          </w:p>
        </w:tc>
      </w:tr>
      <w:tr w:rsidR="000913EA" w:rsidRPr="006F7767" w:rsidDel="0004469B" w:rsidTr="000913EA">
        <w:trPr>
          <w:trHeight w:val="80"/>
        </w:trPr>
        <w:tc>
          <w:tcPr>
            <w:tcW w:w="420" w:type="pct"/>
            <w:vMerge/>
            <w:tcBorders>
              <w:bottom w:val="nil"/>
            </w:tcBorders>
            <w:shd w:val="clear" w:color="auto" w:fill="auto"/>
          </w:tcPr>
          <w:p w:rsidR="000913EA" w:rsidRPr="006F7767" w:rsidRDefault="000913EA" w:rsidP="000913EA">
            <w:pPr>
              <w:pStyle w:val="Tabletext"/>
            </w:pPr>
          </w:p>
        </w:tc>
        <w:tc>
          <w:tcPr>
            <w:tcW w:w="1387" w:type="pct"/>
            <w:vMerge/>
            <w:tcBorders>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 xml:space="preserve">(e) </w:t>
            </w:r>
            <w:r w:rsidRPr="006F7767">
              <w:rPr>
                <w:bCs/>
              </w:rPr>
              <w:t>the tonnes of soda ash produced</w:t>
            </w:r>
          </w:p>
          <w:p w:rsidR="000913EA" w:rsidRPr="006F7767" w:rsidRDefault="000913EA" w:rsidP="000913EA">
            <w:pPr>
              <w:pStyle w:val="Tablea"/>
            </w:pPr>
            <w:r w:rsidRPr="006F7767">
              <w:lastRenderedPageBreak/>
              <w:t>(f) the tonnes of sodium bicarbonate produced</w:t>
            </w:r>
          </w:p>
          <w:p w:rsidR="000913EA" w:rsidRPr="006F7767" w:rsidRDefault="000913EA" w:rsidP="000913EA">
            <w:pPr>
              <w:pStyle w:val="Tablea"/>
            </w:pPr>
            <w:r w:rsidRPr="006F7767">
              <w:t>(g) the tonnes of soda ash used for brine purification</w:t>
            </w:r>
          </w:p>
        </w:tc>
      </w:tr>
      <w:tr w:rsidR="000913EA" w:rsidRPr="006F7767" w:rsidDel="0004469B"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rPr>
                <w:bCs/>
              </w:rPr>
              <w:t xml:space="preserve">(h) </w:t>
            </w:r>
            <w:r w:rsidRPr="006F7767">
              <w:t>the tonnes of solid waste by</w:t>
            </w:r>
            <w:r w:rsidRPr="006F7767">
              <w:noBreakHyphen/>
              <w:t>product containing carbon produced</w:t>
            </w:r>
          </w:p>
          <w:p w:rsidR="000913EA" w:rsidRPr="006F7767" w:rsidRDefault="000913EA" w:rsidP="000913EA">
            <w:pPr>
              <w:pStyle w:val="Tablea"/>
            </w:pPr>
            <w:r w:rsidRPr="006F7767">
              <w:t>(i) the average carbon content factor of solid waste by</w:t>
            </w:r>
            <w:r w:rsidRPr="006F7767">
              <w:noBreakHyphen/>
              <w:t>products, in tonnes of carbon per tonne of solid waste by</w:t>
            </w:r>
            <w:r w:rsidRPr="006F7767">
              <w:noBreakHyphen/>
              <w:t>product</w:t>
            </w:r>
          </w:p>
        </w:tc>
      </w:tr>
      <w:tr w:rsidR="000913EA" w:rsidRPr="006F7767" w:rsidDel="0004469B" w:rsidTr="000913EA">
        <w:trPr>
          <w:trHeight w:val="80"/>
        </w:trPr>
        <w:tc>
          <w:tcPr>
            <w:tcW w:w="420" w:type="pct"/>
            <w:tcBorders>
              <w:top w:val="nil"/>
              <w:bottom w:val="single" w:sz="12" w:space="0" w:color="auto"/>
            </w:tcBorders>
            <w:shd w:val="clear" w:color="auto" w:fill="auto"/>
          </w:tcPr>
          <w:p w:rsidR="000913EA" w:rsidRPr="006F7767" w:rsidRDefault="000913EA" w:rsidP="000913EA">
            <w:pPr>
              <w:pStyle w:val="Tabletext"/>
            </w:pPr>
            <w:bookmarkStart w:id="145" w:name="CU_11255921"/>
            <w:bookmarkEnd w:id="145"/>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(j) the change in stock containing carbon, in tonnes</w:t>
            </w:r>
          </w:p>
          <w:p w:rsidR="000913EA" w:rsidRPr="006F7767" w:rsidRDefault="000913EA" w:rsidP="000913EA">
            <w:pPr>
              <w:pStyle w:val="Tablea"/>
              <w:rPr>
                <w:bCs/>
              </w:rPr>
            </w:pPr>
            <w:r w:rsidRPr="006F7767">
              <w:t>(k) the carbon content factor of the change in stock, in tonnes of carbon per tonne of stock</w:t>
            </w:r>
          </w:p>
        </w:tc>
      </w:tr>
    </w:tbl>
    <w:p w:rsidR="000913EA" w:rsidRPr="006F7767" w:rsidRDefault="000913EA" w:rsidP="000913EA">
      <w:pPr>
        <w:pStyle w:val="h2Part"/>
        <w:pageBreakBefore/>
      </w:pPr>
      <w:bookmarkStart w:id="146" w:name="BK_S4P131L1C1"/>
      <w:bookmarkStart w:id="147" w:name="_Toc46932453"/>
      <w:bookmarkEnd w:id="146"/>
      <w:r w:rsidRPr="006F7767">
        <w:rPr>
          <w:rStyle w:val="CharPartNo"/>
        </w:rPr>
        <w:lastRenderedPageBreak/>
        <w:t>Part 4</w:t>
      </w:r>
      <w:r w:rsidRPr="006F7767">
        <w:t>—</w:t>
      </w:r>
      <w:r w:rsidRPr="006F7767">
        <w:rPr>
          <w:rStyle w:val="CharPartText"/>
        </w:rPr>
        <w:t>Chemical products</w:t>
      </w:r>
      <w:bookmarkEnd w:id="147"/>
    </w:p>
    <w:p w:rsidR="000913EA" w:rsidRPr="006F7767" w:rsidRDefault="000913EA" w:rsidP="000913EA">
      <w:pPr>
        <w:pStyle w:val="TableHeading"/>
      </w:pPr>
      <w:r w:rsidRPr="006F7767">
        <w:t>Source 3F—Ammonia production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Method 1 for the source, as set out in section 4.42</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tonnes of ammonia produced</w:t>
            </w:r>
          </w:p>
          <w:p w:rsidR="000913EA" w:rsidRPr="006F7767" w:rsidRDefault="000913EA" w:rsidP="000913EA">
            <w:pPr>
              <w:pStyle w:val="Tablea"/>
            </w:pPr>
            <w:r w:rsidRPr="006F7767">
              <w:t>(b) the tonnes of carbon dioxide recovered and transferred from the facility</w:t>
            </w:r>
          </w:p>
          <w:p w:rsidR="000913EA" w:rsidRPr="006F7767" w:rsidRDefault="000913EA" w:rsidP="000913EA">
            <w:pPr>
              <w:pStyle w:val="Tablea"/>
            </w:pPr>
            <w:r w:rsidRPr="006F7767">
              <w:t>(c) the tonnes of carbon dioxide recovered and used for urea production</w:t>
            </w:r>
          </w:p>
        </w:tc>
      </w:tr>
      <w:tr w:rsidR="000913EA" w:rsidRPr="006F7767" w:rsidTr="000913EA">
        <w:tc>
          <w:tcPr>
            <w:tcW w:w="420" w:type="pct"/>
            <w:tcBorders>
              <w:bottom w:val="nil"/>
            </w:tcBorders>
            <w:shd w:val="clear" w:color="auto" w:fill="auto"/>
          </w:tcPr>
          <w:p w:rsidR="000913EA" w:rsidRPr="006F7767" w:rsidRDefault="000913EA" w:rsidP="000913EA">
            <w:pPr>
              <w:pStyle w:val="Tabletext"/>
            </w:pPr>
            <w:r w:rsidRPr="006F7767">
              <w:t>2</w:t>
            </w:r>
          </w:p>
        </w:tc>
        <w:tc>
          <w:tcPr>
            <w:tcW w:w="1387" w:type="pct"/>
            <w:tcBorders>
              <w:bottom w:val="nil"/>
            </w:tcBorders>
            <w:shd w:val="clear" w:color="auto" w:fill="auto"/>
          </w:tcPr>
          <w:p w:rsidR="000913EA" w:rsidRPr="006F7767" w:rsidRDefault="000913EA" w:rsidP="000913EA">
            <w:pPr>
              <w:pStyle w:val="Tabletext"/>
            </w:pPr>
            <w:r w:rsidRPr="006F7767">
              <w:t>Methods 2, 3 and 4 for the source, as set out in sections 4.43, 4.44 and Part 1.3</w:t>
            </w:r>
          </w:p>
        </w:tc>
        <w:tc>
          <w:tcPr>
            <w:tcW w:w="3193" w:type="pct"/>
            <w:tcBorders>
              <w:bottom w:val="nil"/>
            </w:tcBorders>
            <w:shd w:val="clear" w:color="auto" w:fill="auto"/>
          </w:tcPr>
          <w:p w:rsidR="000913EA" w:rsidRPr="006F7767" w:rsidRDefault="000913EA" w:rsidP="000913EA">
            <w:pPr>
              <w:pStyle w:val="Tablea"/>
            </w:pPr>
            <w:r w:rsidRPr="006F7767">
              <w:t>(a) the tonnes of ammonia produced</w:t>
            </w:r>
          </w:p>
          <w:p w:rsidR="000913EA" w:rsidRPr="006F7767" w:rsidRDefault="000913EA" w:rsidP="000913EA">
            <w:pPr>
              <w:pStyle w:val="Tablea"/>
            </w:pPr>
            <w:r w:rsidRPr="006F7767">
              <w:t>(b) the tonnes of carbon dioxide recovered and transferred from the facility</w:t>
            </w:r>
          </w:p>
          <w:p w:rsidR="000913EA" w:rsidRPr="006F7767" w:rsidRDefault="000913EA" w:rsidP="000913EA">
            <w:pPr>
              <w:pStyle w:val="Tablea"/>
            </w:pPr>
            <w:r w:rsidRPr="006F7767">
              <w:t>(c) the facility specific emission factor or factors for each fuel type consumed, in kilograms of CO</w:t>
            </w:r>
            <w:r w:rsidRPr="006F7767">
              <w:rPr>
                <w:vertAlign w:val="subscript"/>
              </w:rPr>
              <w:t>2</w:t>
            </w:r>
            <w:r w:rsidRPr="006F7767">
              <w:noBreakHyphen/>
              <w:t>e per gigajoule</w:t>
            </w:r>
          </w:p>
        </w:tc>
      </w:tr>
      <w:tr w:rsidR="000913EA" w:rsidRPr="006F7767" w:rsidTr="000913EA">
        <w:trPr>
          <w:trHeight w:val="80"/>
        </w:trPr>
        <w:tc>
          <w:tcPr>
            <w:tcW w:w="420" w:type="pct"/>
            <w:tcBorders>
              <w:top w:val="nil"/>
              <w:bottom w:val="single" w:sz="12" w:space="0" w:color="auto"/>
            </w:tcBorders>
            <w:shd w:val="clear" w:color="auto" w:fill="auto"/>
          </w:tcPr>
          <w:p w:rsidR="000913EA" w:rsidRPr="006F7767" w:rsidRDefault="000913EA" w:rsidP="000913EA">
            <w:pPr>
              <w:pStyle w:val="Tabletext"/>
            </w:pPr>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(d) the tonnes of carbon dioxide recovered and used for urea production</w:t>
            </w:r>
          </w:p>
        </w:tc>
      </w:tr>
    </w:tbl>
    <w:p w:rsidR="000913EA" w:rsidRPr="006F7767" w:rsidRDefault="000913EA" w:rsidP="000913EA">
      <w:pPr>
        <w:pStyle w:val="TableHeading"/>
      </w:pPr>
      <w:r w:rsidRPr="006F7767">
        <w:t>Source 3G—Nitric acid production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rHeight w:val="468"/>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rPr>
          <w:trHeight w:val="1068"/>
        </w:trPr>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Method 1 for the source, as set out in section 4.47</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tonnes of nitric acid production</w:t>
            </w:r>
          </w:p>
          <w:p w:rsidR="000913EA" w:rsidRPr="006F7767" w:rsidRDefault="000913EA" w:rsidP="000913EA">
            <w:pPr>
              <w:pStyle w:val="Tablea"/>
            </w:pPr>
            <w:r w:rsidRPr="006F7767">
              <w:t>(b) the emission factor of the plant type, in tonnes of emissions (CO2</w:t>
            </w:r>
            <w:r w:rsidRPr="006F7767">
              <w:noBreakHyphen/>
              <w:t xml:space="preserve">e) per tonne of nitric acid produced </w:t>
            </w:r>
          </w:p>
        </w:tc>
      </w:tr>
      <w:tr w:rsidR="000913EA" w:rsidRPr="006F7767" w:rsidTr="000913EA">
        <w:trPr>
          <w:trHeight w:val="1068"/>
        </w:trPr>
        <w:tc>
          <w:tcPr>
            <w:tcW w:w="420" w:type="pct"/>
            <w:tcBorders>
              <w:bottom w:val="single" w:sz="12" w:space="0" w:color="auto"/>
            </w:tcBorders>
            <w:shd w:val="clear" w:color="auto" w:fill="auto"/>
          </w:tcPr>
          <w:p w:rsidR="000913EA" w:rsidRPr="006F7767" w:rsidRDefault="000913EA" w:rsidP="000913EA">
            <w:pPr>
              <w:pStyle w:val="Tabletext"/>
            </w:pPr>
            <w:r w:rsidRPr="006F7767">
              <w:t>2</w:t>
            </w:r>
          </w:p>
        </w:tc>
        <w:tc>
          <w:tcPr>
            <w:tcW w:w="1387" w:type="pct"/>
            <w:tcBorders>
              <w:bottom w:val="single" w:sz="12" w:space="0" w:color="auto"/>
            </w:tcBorders>
            <w:shd w:val="clear" w:color="auto" w:fill="auto"/>
          </w:tcPr>
          <w:p w:rsidR="000913EA" w:rsidRPr="006F7767" w:rsidRDefault="000913EA" w:rsidP="000913EA">
            <w:pPr>
              <w:pStyle w:val="Tabletext"/>
            </w:pPr>
            <w:r w:rsidRPr="006F7767">
              <w:t xml:space="preserve">Methods 2 and 4 for the source, as set out </w:t>
            </w:r>
            <w:r w:rsidR="00712C4C">
              <w:t xml:space="preserve">in </w:t>
            </w:r>
            <w:r w:rsidRPr="006F7767">
              <w:t>section 4.48 and Part 1.3</w:t>
            </w:r>
          </w:p>
        </w:tc>
        <w:tc>
          <w:tcPr>
            <w:tcW w:w="3193" w:type="pct"/>
            <w:tcBorders>
              <w:bottom w:val="single" w:sz="12" w:space="0" w:color="auto"/>
            </w:tcBorders>
            <w:shd w:val="clear" w:color="auto" w:fill="auto"/>
          </w:tcPr>
          <w:p w:rsidR="000913EA" w:rsidRPr="006F7767" w:rsidRDefault="000913EA" w:rsidP="000913EA">
            <w:pPr>
              <w:pStyle w:val="Tablea"/>
            </w:pPr>
            <w:r w:rsidRPr="006F7767">
              <w:t>(a) the tonnes of nitric acid produced</w:t>
            </w:r>
          </w:p>
          <w:p w:rsidR="000913EA" w:rsidRPr="006F7767" w:rsidRDefault="000913EA" w:rsidP="000913EA">
            <w:pPr>
              <w:pStyle w:val="Tablea"/>
            </w:pPr>
            <w:r w:rsidRPr="006F7767">
              <w:t>(b) the facility specific emission factor or factors, in tonnes of emissions (CO</w:t>
            </w:r>
            <w:r w:rsidRPr="006F7767">
              <w:rPr>
                <w:vertAlign w:val="subscript"/>
              </w:rPr>
              <w:t>2</w:t>
            </w:r>
            <w:r w:rsidRPr="006F7767">
              <w:noBreakHyphen/>
              <w:t>e) per tonne of nitric acid produced</w:t>
            </w:r>
          </w:p>
        </w:tc>
      </w:tr>
    </w:tbl>
    <w:p w:rsidR="000913EA" w:rsidRPr="006F7767" w:rsidRDefault="000913EA" w:rsidP="000913EA">
      <w:pPr>
        <w:pStyle w:val="TableHeading"/>
        <w:keepLines/>
        <w:spacing w:line="240" w:lineRule="auto"/>
      </w:pPr>
      <w:r w:rsidRPr="006F7767">
        <w:t>Source 3H—Adipic acid production</w:t>
      </w:r>
    </w:p>
    <w:p w:rsidR="000913EA" w:rsidRPr="006F7767" w:rsidRDefault="000913EA" w:rsidP="000913EA">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Del="0004469B" w:rsidTr="000913EA">
        <w:trPr>
          <w:trHeight w:val="389"/>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keepLines/>
            </w:pPr>
            <w:r w:rsidRPr="006F7767">
              <w:t>Matters to be identified</w:t>
            </w:r>
          </w:p>
        </w:tc>
      </w:tr>
      <w:tr w:rsidR="000913EA" w:rsidRPr="006F7767" w:rsidDel="0004469B" w:rsidTr="000913EA">
        <w:trPr>
          <w:trHeight w:val="70"/>
        </w:trPr>
        <w:tc>
          <w:tcPr>
            <w:tcW w:w="420" w:type="pct"/>
            <w:tcBorders>
              <w:top w:val="single" w:sz="12" w:space="0" w:color="auto"/>
              <w:bottom w:val="single" w:sz="12" w:space="0" w:color="auto"/>
            </w:tcBorders>
            <w:shd w:val="clear" w:color="auto" w:fill="auto"/>
          </w:tcPr>
          <w:p w:rsidR="000913EA" w:rsidRPr="006F7767" w:rsidDel="0004469B" w:rsidRDefault="000913EA" w:rsidP="000913EA">
            <w:pPr>
              <w:pStyle w:val="Tabletext"/>
              <w:keepNext/>
              <w:keepLines/>
            </w:pPr>
            <w:r w:rsidRPr="006F7767">
              <w:t>1</w:t>
            </w:r>
          </w:p>
        </w:tc>
        <w:tc>
          <w:tcPr>
            <w:tcW w:w="1387" w:type="pct"/>
            <w:tcBorders>
              <w:top w:val="single" w:sz="12" w:space="0" w:color="auto"/>
              <w:bottom w:val="single" w:sz="12" w:space="0" w:color="auto"/>
            </w:tcBorders>
            <w:shd w:val="clear" w:color="auto" w:fill="auto"/>
          </w:tcPr>
          <w:p w:rsidR="000913EA" w:rsidRPr="006F7767" w:rsidDel="0004469B" w:rsidRDefault="000913EA" w:rsidP="000913EA">
            <w:pPr>
              <w:pStyle w:val="Tabletext"/>
              <w:keepNext/>
              <w:keepLines/>
            </w:pPr>
            <w:r w:rsidRPr="006F7767">
              <w:t>The method set out in section 4.50</w:t>
            </w:r>
          </w:p>
        </w:tc>
        <w:tc>
          <w:tcPr>
            <w:tcW w:w="3193" w:type="pct"/>
            <w:tcBorders>
              <w:top w:val="single" w:sz="12" w:space="0" w:color="auto"/>
              <w:bottom w:val="single" w:sz="12" w:space="0" w:color="auto"/>
            </w:tcBorders>
            <w:shd w:val="clear" w:color="auto" w:fill="auto"/>
          </w:tcPr>
          <w:p w:rsidR="000913EA" w:rsidRPr="006F7767" w:rsidDel="0004469B" w:rsidRDefault="000913EA" w:rsidP="000913EA">
            <w:pPr>
              <w:pStyle w:val="Tablea"/>
              <w:keepNext/>
              <w:keepLines/>
            </w:pPr>
            <w:r w:rsidRPr="006F7767">
              <w:t>the tonnes of adipic acid produced</w:t>
            </w:r>
          </w:p>
        </w:tc>
      </w:tr>
    </w:tbl>
    <w:p w:rsidR="000913EA" w:rsidRPr="006F7767" w:rsidRDefault="000913EA" w:rsidP="000913EA">
      <w:pPr>
        <w:pStyle w:val="TableHeading"/>
      </w:pPr>
      <w:r w:rsidRPr="006F7767">
        <w:t>Source 3I—Carbide production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Del="0004469B" w:rsidTr="000913EA">
        <w:trPr>
          <w:trHeight w:val="80"/>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Del="0004469B" w:rsidTr="000913EA">
        <w:trPr>
          <w:trHeight w:val="70"/>
        </w:trPr>
        <w:tc>
          <w:tcPr>
            <w:tcW w:w="420" w:type="pct"/>
            <w:tcBorders>
              <w:top w:val="single" w:sz="12" w:space="0" w:color="auto"/>
              <w:bottom w:val="single" w:sz="12" w:space="0" w:color="auto"/>
            </w:tcBorders>
            <w:shd w:val="clear" w:color="auto" w:fill="auto"/>
          </w:tcPr>
          <w:p w:rsidR="000913EA" w:rsidRPr="006F7767" w:rsidDel="0004469B" w:rsidRDefault="000913EA" w:rsidP="000913EA">
            <w:pPr>
              <w:pStyle w:val="Tabletext"/>
            </w:pPr>
            <w:r w:rsidRPr="006F7767">
              <w:t>1</w:t>
            </w:r>
          </w:p>
        </w:tc>
        <w:tc>
          <w:tcPr>
            <w:tcW w:w="1387" w:type="pct"/>
            <w:tcBorders>
              <w:top w:val="single" w:sz="12" w:space="0" w:color="auto"/>
              <w:bottom w:val="single" w:sz="12" w:space="0" w:color="auto"/>
            </w:tcBorders>
            <w:shd w:val="clear" w:color="auto" w:fill="auto"/>
          </w:tcPr>
          <w:p w:rsidR="000913EA" w:rsidRPr="006F7767" w:rsidDel="0004469B" w:rsidRDefault="000913EA" w:rsidP="000913EA">
            <w:pPr>
              <w:pStyle w:val="Tabletext"/>
            </w:pPr>
            <w:r w:rsidRPr="006F7767">
              <w:t>The method set out in section 4.52</w:t>
            </w:r>
          </w:p>
        </w:tc>
        <w:tc>
          <w:tcPr>
            <w:tcW w:w="3193" w:type="pct"/>
            <w:tcBorders>
              <w:top w:val="single" w:sz="12" w:space="0" w:color="auto"/>
              <w:bottom w:val="single" w:sz="12" w:space="0" w:color="auto"/>
            </w:tcBorders>
            <w:shd w:val="clear" w:color="auto" w:fill="auto"/>
          </w:tcPr>
          <w:p w:rsidR="000913EA" w:rsidRPr="006F7767" w:rsidDel="0004469B" w:rsidRDefault="000913EA" w:rsidP="000913EA">
            <w:pPr>
              <w:pStyle w:val="Tablea"/>
            </w:pPr>
            <w:r w:rsidRPr="006F7767">
              <w:t>the tonnes of carbide produced</w:t>
            </w:r>
          </w:p>
        </w:tc>
      </w:tr>
    </w:tbl>
    <w:p w:rsidR="000913EA" w:rsidRPr="006F7767" w:rsidRDefault="000913EA" w:rsidP="000913EA">
      <w:pPr>
        <w:pStyle w:val="TableHeading"/>
      </w:pPr>
      <w:r w:rsidRPr="006F7767">
        <w:t>Source 3J—Chemical or mineral production (other than carbide production) using carbon reductant or carbon anode</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rHeight w:val="80"/>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rPr>
          <w:trHeight w:val="1185"/>
        </w:trPr>
        <w:tc>
          <w:tcPr>
            <w:tcW w:w="420" w:type="pct"/>
            <w:tcBorders>
              <w:top w:val="single" w:sz="12" w:space="0" w:color="auto"/>
              <w:bottom w:val="nil"/>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nil"/>
            </w:tcBorders>
            <w:shd w:val="clear" w:color="auto" w:fill="auto"/>
          </w:tcPr>
          <w:p w:rsidR="000913EA" w:rsidRPr="006F7767" w:rsidRDefault="000913EA" w:rsidP="000913EA">
            <w:pPr>
              <w:pStyle w:val="Tabletext"/>
            </w:pPr>
            <w:r w:rsidRPr="006F7767">
              <w:t>Method 1 for the source, as set out in section 4.55</w:t>
            </w:r>
          </w:p>
        </w:tc>
        <w:tc>
          <w:tcPr>
            <w:tcW w:w="3193" w:type="pct"/>
            <w:tcBorders>
              <w:top w:val="single" w:sz="12" w:space="0" w:color="auto"/>
              <w:bottom w:val="nil"/>
            </w:tcBorders>
            <w:shd w:val="clear" w:color="auto" w:fill="auto"/>
          </w:tcPr>
          <w:p w:rsidR="000913EA" w:rsidRPr="006F7767" w:rsidRDefault="000913EA" w:rsidP="000913EA">
            <w:pPr>
              <w:pStyle w:val="Tablea"/>
            </w:pPr>
            <w:r w:rsidRPr="006F7767">
              <w:t>(a) the tonnes of chemical or mineral products containing carbon produced</w:t>
            </w:r>
          </w:p>
          <w:p w:rsidR="000913EA" w:rsidRPr="006F7767" w:rsidRDefault="000913EA" w:rsidP="000913EA">
            <w:pPr>
              <w:pStyle w:val="Tablea"/>
            </w:pPr>
            <w:r w:rsidRPr="006F7767">
              <w:t>(b) the carbon content of the chemical or mineral products containing carbon produced, in tonnes of carbon per tonne of output</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(c) the tonnes of solid waste by</w:t>
            </w:r>
            <w:r w:rsidRPr="006F7767">
              <w:noBreakHyphen/>
              <w:t>products containing carbon produced</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rPr>
          <w:trHeight w:val="74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0913EA" w:rsidRPr="006F7767" w:rsidTr="000913EA">
        <w:trPr>
          <w:trHeight w:val="812"/>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(g) the tonnes of pure calcium carbonate consumed</w:t>
            </w:r>
          </w:p>
          <w:p w:rsidR="000913EA" w:rsidRPr="006F7767" w:rsidRDefault="000913EA" w:rsidP="000913EA">
            <w:pPr>
              <w:pStyle w:val="Tablea"/>
            </w:pPr>
            <w:r w:rsidRPr="006F7767">
              <w:t>(h) the tonnes of pure dolomite consumed</w:t>
            </w:r>
          </w:p>
          <w:p w:rsidR="000913EA" w:rsidRPr="006F7767" w:rsidRDefault="000913EA" w:rsidP="000913EA">
            <w:pPr>
              <w:pStyle w:val="Tablea"/>
            </w:pPr>
            <w:r w:rsidRPr="006F7767">
              <w:t>(i) the tonnes of pure magnesium carbonate consumed</w:t>
            </w:r>
          </w:p>
        </w:tc>
      </w:tr>
      <w:tr w:rsidR="000913EA" w:rsidRPr="006F7767" w:rsidTr="000913EA">
        <w:trPr>
          <w:trHeight w:val="80"/>
        </w:trPr>
        <w:tc>
          <w:tcPr>
            <w:tcW w:w="420" w:type="pct"/>
            <w:tcBorders>
              <w:top w:val="nil"/>
              <w:bottom w:val="single" w:sz="4" w:space="0" w:color="auto"/>
            </w:tcBorders>
            <w:shd w:val="clear" w:color="auto" w:fill="auto"/>
          </w:tcPr>
          <w:p w:rsidR="000913EA" w:rsidRPr="006F7767" w:rsidRDefault="000913EA" w:rsidP="000913EA">
            <w:pPr>
              <w:pStyle w:val="Tabletext"/>
            </w:pPr>
          </w:p>
        </w:tc>
        <w:tc>
          <w:tcPr>
            <w:tcW w:w="1387" w:type="pct"/>
            <w:tcBorders>
              <w:top w:val="nil"/>
              <w:bottom w:val="single" w:sz="4" w:space="0" w:color="auto"/>
            </w:tcBorders>
            <w:shd w:val="clear" w:color="auto" w:fill="auto"/>
          </w:tcPr>
          <w:p w:rsidR="000913EA" w:rsidRPr="006F7767" w:rsidRDefault="000913EA" w:rsidP="000913EA">
            <w:pPr>
              <w:pStyle w:val="Tabletext"/>
            </w:pPr>
          </w:p>
        </w:tc>
        <w:tc>
          <w:tcPr>
            <w:tcW w:w="3193" w:type="pct"/>
            <w:tcBorders>
              <w:top w:val="nil"/>
              <w:bottom w:val="single" w:sz="4" w:space="0" w:color="auto"/>
            </w:tcBorders>
            <w:shd w:val="clear" w:color="auto" w:fill="auto"/>
          </w:tcPr>
          <w:p w:rsidR="000913EA" w:rsidRPr="006F7767" w:rsidRDefault="000913EA" w:rsidP="000913EA">
            <w:pPr>
              <w:pStyle w:val="Tablea"/>
            </w:pPr>
            <w:r w:rsidRPr="006F7767">
              <w:t>(j) the tonnes of any other pure carbonate consumed</w:t>
            </w:r>
          </w:p>
        </w:tc>
      </w:tr>
      <w:tr w:rsidR="000913EA" w:rsidRPr="006F7767" w:rsidTr="000913EA">
        <w:trPr>
          <w:trHeight w:val="1013"/>
        </w:trPr>
        <w:tc>
          <w:tcPr>
            <w:tcW w:w="420" w:type="pct"/>
            <w:tcBorders>
              <w:bottom w:val="nil"/>
            </w:tcBorders>
            <w:shd w:val="clear" w:color="auto" w:fill="auto"/>
          </w:tcPr>
          <w:p w:rsidR="000913EA" w:rsidRPr="006F7767" w:rsidRDefault="000913EA" w:rsidP="000913EA">
            <w:pPr>
              <w:pStyle w:val="Tabletext"/>
            </w:pPr>
            <w:r w:rsidRPr="006F7767">
              <w:t>2</w:t>
            </w:r>
          </w:p>
        </w:tc>
        <w:tc>
          <w:tcPr>
            <w:tcW w:w="1387" w:type="pct"/>
            <w:tcBorders>
              <w:bottom w:val="nil"/>
            </w:tcBorders>
            <w:shd w:val="clear" w:color="auto" w:fill="auto"/>
          </w:tcPr>
          <w:p w:rsidR="000913EA" w:rsidRPr="006F7767" w:rsidRDefault="000913EA" w:rsidP="000913EA">
            <w:pPr>
              <w:pStyle w:val="Tabletext"/>
            </w:pPr>
            <w:r w:rsidRPr="006F7767">
              <w:t>Methods 2, 3 and 4 for the source, as set out in sections 4.56, 4.57 and Part 1.3</w:t>
            </w:r>
          </w:p>
        </w:tc>
        <w:tc>
          <w:tcPr>
            <w:tcW w:w="3193" w:type="pct"/>
            <w:tcBorders>
              <w:bottom w:val="nil"/>
            </w:tcBorders>
            <w:shd w:val="clear" w:color="auto" w:fill="auto"/>
          </w:tcPr>
          <w:p w:rsidR="000913EA" w:rsidRPr="006F7767" w:rsidRDefault="000913EA" w:rsidP="000913EA">
            <w:pPr>
              <w:pStyle w:val="Tablea"/>
            </w:pPr>
            <w:r w:rsidRPr="006F7767">
              <w:t>(a) the tonnes of chemical or mineral products containing carbon produced</w:t>
            </w:r>
          </w:p>
          <w:p w:rsidR="000913EA" w:rsidRPr="006F7767" w:rsidRDefault="000913EA" w:rsidP="000913EA">
            <w:pPr>
              <w:pStyle w:val="Tablea"/>
            </w:pPr>
            <w:r w:rsidRPr="006F7767">
              <w:t>(b) the carbon content of the chemical or mineral products containing carbon produced, in tonnes of carbon per tonne of output</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(c) the tonnes of solid waste by</w:t>
            </w:r>
            <w:r w:rsidRPr="006F7767">
              <w:noBreakHyphen/>
              <w:t xml:space="preserve">products containing carbon produced </w:t>
            </w:r>
          </w:p>
        </w:tc>
      </w:tr>
      <w:tr w:rsidR="000913EA" w:rsidRPr="006F7767" w:rsidTr="000913EA">
        <w:trPr>
          <w:trHeight w:val="80"/>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rPr>
          <w:trHeight w:val="759"/>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0913EA" w:rsidRPr="006F7767" w:rsidTr="004D2353">
        <w:trPr>
          <w:trHeight w:val="1026"/>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(g) the facility specific carbon content factor for each fuel type consumed, or each carbonaceous input material consumed, in tonnes of carbon per:</w:t>
            </w:r>
          </w:p>
          <w:p w:rsidR="000913EA" w:rsidRPr="006F7767" w:rsidRDefault="000913EA" w:rsidP="000913EA">
            <w:pPr>
              <w:pStyle w:val="Tablei"/>
            </w:pPr>
            <w:r w:rsidRPr="006F7767">
              <w:t>(i) tonne of fuel or carbonaceous input material; or</w:t>
            </w:r>
          </w:p>
        </w:tc>
      </w:tr>
      <w:tr w:rsidR="000913EA" w:rsidRPr="006F7767" w:rsidTr="004D2353">
        <w:trPr>
          <w:trHeight w:val="289"/>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i"/>
            </w:pPr>
            <w:r w:rsidRPr="006F7767">
              <w:t>(ii) cubic metre of fuel or carbonaceous input material; or</w:t>
            </w:r>
          </w:p>
        </w:tc>
      </w:tr>
      <w:tr w:rsidR="000913EA" w:rsidRPr="006F7767" w:rsidTr="000913EA">
        <w:trPr>
          <w:trHeight w:val="318"/>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i"/>
            </w:pPr>
            <w:r w:rsidRPr="006F7767">
              <w:t>(iii) kilolitre of fuel or carbonaceous input material</w:t>
            </w:r>
          </w:p>
        </w:tc>
      </w:tr>
      <w:tr w:rsidR="000913EA" w:rsidRPr="006F7767" w:rsidTr="000913EA">
        <w:trPr>
          <w:trHeight w:val="547"/>
        </w:trPr>
        <w:tc>
          <w:tcPr>
            <w:tcW w:w="420" w:type="pct"/>
            <w:tcBorders>
              <w:top w:val="nil"/>
              <w:bottom w:val="nil"/>
            </w:tcBorders>
            <w:shd w:val="clear" w:color="auto" w:fill="auto"/>
          </w:tcPr>
          <w:p w:rsidR="000913EA" w:rsidRPr="006F7767" w:rsidRDefault="000913EA" w:rsidP="000913EA">
            <w:pPr>
              <w:pStyle w:val="Tabletext"/>
            </w:pPr>
          </w:p>
        </w:tc>
        <w:tc>
          <w:tcPr>
            <w:tcW w:w="1387" w:type="pct"/>
            <w:tcBorders>
              <w:top w:val="nil"/>
              <w:bottom w:val="nil"/>
            </w:tcBorders>
            <w:shd w:val="clear" w:color="auto" w:fill="auto"/>
          </w:tcPr>
          <w:p w:rsidR="000913EA" w:rsidRPr="006F7767" w:rsidRDefault="000913EA" w:rsidP="000913EA">
            <w:pPr>
              <w:pStyle w:val="Tabletext"/>
            </w:pPr>
          </w:p>
        </w:tc>
        <w:tc>
          <w:tcPr>
            <w:tcW w:w="3193" w:type="pct"/>
            <w:tcBorders>
              <w:top w:val="nil"/>
              <w:bottom w:val="nil"/>
            </w:tcBorders>
            <w:shd w:val="clear" w:color="auto" w:fill="auto"/>
          </w:tcPr>
          <w:p w:rsidR="000913EA" w:rsidRPr="006F7767" w:rsidRDefault="000913EA" w:rsidP="000913EA">
            <w:pPr>
              <w:pStyle w:val="Tablea"/>
            </w:pPr>
            <w:r w:rsidRPr="006F7767">
              <w:t>(h) the tonnes of pure calcium carbonate consumed</w:t>
            </w:r>
          </w:p>
          <w:p w:rsidR="000913EA" w:rsidRPr="006F7767" w:rsidRDefault="000913EA" w:rsidP="000913EA">
            <w:pPr>
              <w:pStyle w:val="Tablea"/>
            </w:pPr>
            <w:r w:rsidRPr="006F7767">
              <w:t>(i) the tonnes of pure dolomite consumed</w:t>
            </w:r>
          </w:p>
        </w:tc>
      </w:tr>
      <w:tr w:rsidR="000913EA" w:rsidRPr="006F7767" w:rsidTr="000913EA">
        <w:trPr>
          <w:trHeight w:val="669"/>
        </w:trPr>
        <w:tc>
          <w:tcPr>
            <w:tcW w:w="420" w:type="pct"/>
            <w:tcBorders>
              <w:top w:val="nil"/>
              <w:bottom w:val="single" w:sz="12" w:space="0" w:color="auto"/>
            </w:tcBorders>
            <w:shd w:val="clear" w:color="auto" w:fill="auto"/>
          </w:tcPr>
          <w:p w:rsidR="000913EA" w:rsidRPr="006F7767" w:rsidRDefault="000913EA" w:rsidP="000913EA">
            <w:pPr>
              <w:pStyle w:val="Tabletext"/>
            </w:pPr>
            <w:bookmarkStart w:id="148" w:name="CU_16259675"/>
            <w:bookmarkEnd w:id="148"/>
          </w:p>
        </w:tc>
        <w:tc>
          <w:tcPr>
            <w:tcW w:w="1387" w:type="pct"/>
            <w:tcBorders>
              <w:top w:val="nil"/>
              <w:bottom w:val="single" w:sz="12" w:space="0" w:color="auto"/>
            </w:tcBorders>
            <w:shd w:val="clear" w:color="auto" w:fill="auto"/>
          </w:tcPr>
          <w:p w:rsidR="000913EA" w:rsidRPr="006F7767" w:rsidRDefault="000913EA" w:rsidP="000913EA">
            <w:pPr>
              <w:pStyle w:val="Tabletext"/>
            </w:pPr>
          </w:p>
        </w:tc>
        <w:tc>
          <w:tcPr>
            <w:tcW w:w="3193" w:type="pct"/>
            <w:tcBorders>
              <w:top w:val="nil"/>
              <w:bottom w:val="single" w:sz="12" w:space="0" w:color="auto"/>
            </w:tcBorders>
            <w:shd w:val="clear" w:color="auto" w:fill="auto"/>
          </w:tcPr>
          <w:p w:rsidR="000913EA" w:rsidRPr="006F7767" w:rsidRDefault="000913EA" w:rsidP="000913EA">
            <w:pPr>
              <w:pStyle w:val="Tablea"/>
            </w:pPr>
            <w:r w:rsidRPr="006F7767">
              <w:t>(j) the tonnes of pure magnesium carbonate consumed</w:t>
            </w:r>
          </w:p>
          <w:p w:rsidR="000913EA" w:rsidRPr="006F7767" w:rsidRDefault="000913EA" w:rsidP="000913EA">
            <w:pPr>
              <w:pStyle w:val="Tablea"/>
            </w:pPr>
            <w:r w:rsidRPr="006F7767">
              <w:t>(k) the tonnes of any other pure carbonate consumed</w:t>
            </w:r>
          </w:p>
        </w:tc>
      </w:tr>
    </w:tbl>
    <w:p w:rsidR="000913EA" w:rsidRPr="006F7767" w:rsidRDefault="000913EA" w:rsidP="000913EA">
      <w:pPr>
        <w:pStyle w:val="TableHeading"/>
      </w:pPr>
    </w:p>
    <w:p w:rsidR="000913EA" w:rsidRPr="006F7767" w:rsidRDefault="000913EA" w:rsidP="000913EA">
      <w:pPr>
        <w:pStyle w:val="TableHeading"/>
      </w:pPr>
      <w:r w:rsidRPr="006F7767">
        <w:t xml:space="preserve">Source 6—Hydrogen production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504"/>
        <w:gridCol w:w="5764"/>
      </w:tblGrid>
      <w:tr w:rsidR="000913EA" w:rsidRPr="006F7767" w:rsidTr="000913EA">
        <w:trPr>
          <w:tblHeader/>
        </w:trPr>
        <w:tc>
          <w:tcPr>
            <w:tcW w:w="42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87"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93"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20"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1</w:t>
            </w:r>
          </w:p>
        </w:tc>
        <w:tc>
          <w:tcPr>
            <w:tcW w:w="1387" w:type="pct"/>
            <w:tcBorders>
              <w:top w:val="single" w:sz="12" w:space="0" w:color="auto"/>
              <w:bottom w:val="single" w:sz="4" w:space="0" w:color="auto"/>
            </w:tcBorders>
            <w:shd w:val="clear" w:color="auto" w:fill="auto"/>
          </w:tcPr>
          <w:p w:rsidR="000913EA" w:rsidRPr="006F7767" w:rsidRDefault="000913EA" w:rsidP="000913EA">
            <w:pPr>
              <w:pStyle w:val="Tabletext"/>
            </w:pPr>
            <w:r w:rsidRPr="006F7767">
              <w:t xml:space="preserve">Method 1 for the source, as set out </w:t>
            </w:r>
            <w:r w:rsidR="00712C4C">
              <w:t>in section 4.62</w:t>
            </w:r>
          </w:p>
        </w:tc>
        <w:tc>
          <w:tcPr>
            <w:tcW w:w="3193" w:type="pct"/>
            <w:tcBorders>
              <w:top w:val="single" w:sz="12" w:space="0" w:color="auto"/>
              <w:bottom w:val="single" w:sz="4" w:space="0" w:color="auto"/>
            </w:tcBorders>
            <w:shd w:val="clear" w:color="auto" w:fill="auto"/>
          </w:tcPr>
          <w:p w:rsidR="000913EA" w:rsidRPr="006F7767" w:rsidRDefault="000913EA" w:rsidP="000913EA">
            <w:pPr>
              <w:pStyle w:val="Tablea"/>
            </w:pPr>
            <w:r w:rsidRPr="006F7767">
              <w:t>(a) the tonnes of hydrogen produced from fossil fuel feedstocks</w:t>
            </w:r>
          </w:p>
          <w:p w:rsidR="000913EA" w:rsidRPr="006F7767" w:rsidRDefault="000913EA" w:rsidP="000913EA">
            <w:pPr>
              <w:pStyle w:val="Tablea"/>
            </w:pPr>
            <w:r w:rsidRPr="006F7767">
              <w:t>(b) the tonnes of hydrogen produced from electrolysers</w:t>
            </w:r>
          </w:p>
          <w:p w:rsidR="000913EA" w:rsidRPr="006F7767" w:rsidRDefault="000913EA" w:rsidP="000913EA">
            <w:pPr>
              <w:pStyle w:val="Tablea"/>
            </w:pPr>
            <w:r w:rsidRPr="006F7767">
              <w:t>(c) the amount of electricity consumed for hydrogen production from electrolysers</w:t>
            </w:r>
          </w:p>
          <w:p w:rsidR="000913EA" w:rsidRPr="006F7767" w:rsidRDefault="000913EA" w:rsidP="00712C4C">
            <w:pPr>
              <w:pStyle w:val="Tablea"/>
            </w:pPr>
            <w:r w:rsidRPr="006F7767">
              <w:t>(d) the tonnes of carbon dioxide recovered and transferred from the facility</w:t>
            </w:r>
          </w:p>
        </w:tc>
      </w:tr>
      <w:tr w:rsidR="004D2353" w:rsidRPr="006F7767" w:rsidTr="004D2353">
        <w:trPr>
          <w:trHeight w:val="1640"/>
        </w:trPr>
        <w:tc>
          <w:tcPr>
            <w:tcW w:w="420" w:type="pct"/>
            <w:shd w:val="clear" w:color="auto" w:fill="auto"/>
          </w:tcPr>
          <w:p w:rsidR="004D2353" w:rsidRPr="006F7767" w:rsidRDefault="004D2353" w:rsidP="000913EA">
            <w:pPr>
              <w:pStyle w:val="Tabletext"/>
            </w:pPr>
            <w:r w:rsidRPr="006F7767">
              <w:t>2</w:t>
            </w:r>
          </w:p>
        </w:tc>
        <w:tc>
          <w:tcPr>
            <w:tcW w:w="1387" w:type="pct"/>
            <w:shd w:val="clear" w:color="auto" w:fill="auto"/>
          </w:tcPr>
          <w:p w:rsidR="004D2353" w:rsidRPr="006F7767" w:rsidRDefault="004D2353" w:rsidP="000913EA">
            <w:pPr>
              <w:pStyle w:val="Tabletext"/>
            </w:pPr>
            <w:r w:rsidRPr="006F7767">
              <w:t>Methods 2, 3 and 4 for the sou</w:t>
            </w:r>
            <w:r>
              <w:t>rce, as set out in sections 4.62A, 4.62B</w:t>
            </w:r>
            <w:r w:rsidRPr="006F7767">
              <w:t xml:space="preserve"> and Part 1.3</w:t>
            </w:r>
          </w:p>
        </w:tc>
        <w:tc>
          <w:tcPr>
            <w:tcW w:w="3193" w:type="pct"/>
            <w:shd w:val="clear" w:color="auto" w:fill="auto"/>
          </w:tcPr>
          <w:p w:rsidR="004D2353" w:rsidRPr="006F7767" w:rsidRDefault="004D2353" w:rsidP="000913EA">
            <w:pPr>
              <w:pStyle w:val="Tablea"/>
            </w:pPr>
            <w:r w:rsidRPr="006F7767">
              <w:t>(a) the tonnes of hydrogen produced from fossil fuel feedstocks</w:t>
            </w:r>
          </w:p>
          <w:p w:rsidR="004D2353" w:rsidRPr="006F7767" w:rsidRDefault="004D2353" w:rsidP="000913EA">
            <w:pPr>
              <w:pStyle w:val="Tablea"/>
            </w:pPr>
            <w:r w:rsidRPr="006F7767">
              <w:t>(b) the tonnes of hydrogen produced from electrolysers</w:t>
            </w:r>
          </w:p>
          <w:p w:rsidR="004D2353" w:rsidRPr="006F7767" w:rsidRDefault="004D2353" w:rsidP="000913EA">
            <w:pPr>
              <w:pStyle w:val="Tablea"/>
            </w:pPr>
            <w:r w:rsidRPr="006F7767">
              <w:t>(c) the amount of electricity consumed for hydrogen production from electrolysers</w:t>
            </w:r>
          </w:p>
          <w:p w:rsidR="004D2353" w:rsidRPr="006F7767" w:rsidRDefault="004D2353" w:rsidP="000913EA">
            <w:pPr>
              <w:pStyle w:val="Tablea"/>
            </w:pPr>
            <w:r w:rsidRPr="006F7767">
              <w:t>(d) the tonnes of carbon dioxide recovered and transferred from the facility</w:t>
            </w:r>
          </w:p>
        </w:tc>
      </w:tr>
    </w:tbl>
    <w:p w:rsidR="000913EA" w:rsidRPr="006F7767" w:rsidRDefault="000913EA" w:rsidP="000913EA">
      <w:pPr>
        <w:pStyle w:val="TableHeading"/>
      </w:pPr>
    </w:p>
    <w:p w:rsidR="000913EA" w:rsidRPr="006F7767" w:rsidRDefault="000913EA" w:rsidP="000913EA">
      <w:pPr>
        <w:pStyle w:val="h2Part"/>
        <w:pageBreakBefore/>
      </w:pPr>
      <w:bookmarkStart w:id="149" w:name="BK_S4P133L1C1"/>
      <w:bookmarkStart w:id="150" w:name="_Toc46932454"/>
      <w:bookmarkEnd w:id="149"/>
      <w:r w:rsidRPr="006F7767">
        <w:rPr>
          <w:rStyle w:val="CharPartNo"/>
        </w:rPr>
        <w:lastRenderedPageBreak/>
        <w:t>Part 5</w:t>
      </w:r>
      <w:r w:rsidRPr="006F7767">
        <w:t>—</w:t>
      </w:r>
      <w:r w:rsidRPr="006F7767">
        <w:rPr>
          <w:rStyle w:val="CharPartText"/>
        </w:rPr>
        <w:t>Metal products</w:t>
      </w:r>
      <w:bookmarkEnd w:id="150"/>
    </w:p>
    <w:p w:rsidR="000913EA" w:rsidRPr="006F7767" w:rsidRDefault="000913EA" w:rsidP="000913EA">
      <w:pPr>
        <w:pStyle w:val="TableHeading"/>
      </w:pPr>
      <w:r w:rsidRPr="006F7767">
        <w:t>Source 3K—Iron, steel or other metal production using integrated metalworks</w:t>
      </w:r>
    </w:p>
    <w:p w:rsidR="000913EA" w:rsidRPr="006F7767" w:rsidRDefault="000913EA" w:rsidP="000913EA">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8"/>
        <w:gridCol w:w="2509"/>
        <w:gridCol w:w="5739"/>
      </w:tblGrid>
      <w:tr w:rsidR="000913EA" w:rsidRPr="006F7767" w:rsidTr="000913EA">
        <w:trPr>
          <w:tblHeader/>
        </w:trPr>
        <w:tc>
          <w:tcPr>
            <w:tcW w:w="431"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Item</w:t>
            </w:r>
          </w:p>
        </w:tc>
        <w:tc>
          <w:tcPr>
            <w:tcW w:w="1390"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Method</w:t>
            </w:r>
          </w:p>
        </w:tc>
        <w:tc>
          <w:tcPr>
            <w:tcW w:w="3179"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Matters to be identified</w:t>
            </w:r>
          </w:p>
        </w:tc>
      </w:tr>
      <w:tr w:rsidR="000913EA" w:rsidRPr="006F7767" w:rsidTr="000913EA">
        <w:tc>
          <w:tcPr>
            <w:tcW w:w="431" w:type="pct"/>
            <w:tcBorders>
              <w:top w:val="single" w:sz="12" w:space="0" w:color="auto"/>
              <w:bottom w:val="nil"/>
            </w:tcBorders>
            <w:shd w:val="clear" w:color="auto" w:fill="auto"/>
            <w:hideMark/>
          </w:tcPr>
          <w:p w:rsidR="000913EA" w:rsidRPr="006F7767" w:rsidRDefault="000913EA" w:rsidP="000913EA">
            <w:pPr>
              <w:pStyle w:val="Tabletext"/>
            </w:pPr>
            <w:r w:rsidRPr="006F7767">
              <w:t>1</w:t>
            </w:r>
          </w:p>
        </w:tc>
        <w:tc>
          <w:tcPr>
            <w:tcW w:w="1390" w:type="pct"/>
            <w:tcBorders>
              <w:top w:val="single" w:sz="12" w:space="0" w:color="auto"/>
              <w:bottom w:val="nil"/>
            </w:tcBorders>
            <w:shd w:val="clear" w:color="auto" w:fill="auto"/>
            <w:hideMark/>
          </w:tcPr>
          <w:p w:rsidR="000913EA" w:rsidRPr="006F7767" w:rsidRDefault="000913EA" w:rsidP="000913EA">
            <w:pPr>
              <w:pStyle w:val="Tabletext"/>
            </w:pPr>
            <w:r w:rsidRPr="006F7767">
              <w:t>Method 1 for the source, as set out in section 4.66</w:t>
            </w:r>
          </w:p>
        </w:tc>
        <w:tc>
          <w:tcPr>
            <w:tcW w:w="3179" w:type="pct"/>
            <w:tcBorders>
              <w:top w:val="single" w:sz="12" w:space="0" w:color="auto"/>
              <w:bottom w:val="nil"/>
            </w:tcBorders>
            <w:shd w:val="clear" w:color="auto" w:fill="auto"/>
            <w:hideMark/>
          </w:tcPr>
          <w:p w:rsidR="000913EA" w:rsidRPr="006F7767" w:rsidRDefault="000913EA" w:rsidP="000913EA">
            <w:pPr>
              <w:pStyle w:val="Tablea"/>
            </w:pPr>
            <w:r w:rsidRPr="006F7767">
              <w:t>(a) the tonnes of iron produced for sale</w:t>
            </w:r>
          </w:p>
          <w:p w:rsidR="000913EA" w:rsidRPr="006F7767" w:rsidRDefault="000913EA" w:rsidP="000913EA">
            <w:pPr>
              <w:pStyle w:val="Tablea"/>
            </w:pPr>
            <w:r w:rsidRPr="006F7767">
              <w:t>(b) the carbon content of the iron produced for sale, in tonnes of carbon per tonne of output</w:t>
            </w:r>
          </w:p>
          <w:p w:rsidR="000913EA" w:rsidRPr="006F7767" w:rsidRDefault="000913EA" w:rsidP="000913EA">
            <w:pPr>
              <w:pStyle w:val="Tablea"/>
            </w:pPr>
            <w:r w:rsidRPr="006F7767">
              <w:t>(c) the tonnes of crude steel produced</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(d) the carbon content factor of the crude steel, in tonnes of carbon per tonne of output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(e) the tonnes of solid waste by</w:t>
            </w:r>
            <w:r w:rsidRPr="006F7767">
              <w:noBreakHyphen/>
              <w:t xml:space="preserve">product containing carbon produced </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(f) the average carbon content factor of solid waste by</w:t>
            </w:r>
            <w:r w:rsidRPr="006F7767">
              <w:noBreakHyphen/>
              <w:t>products containing carbon, in tonnes of carbon per tonne of waste by</w:t>
            </w:r>
            <w:r w:rsidRPr="006F7767">
              <w:noBreakHyphen/>
              <w:t>product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(g) the change in stock containing carbon, in tonnes</w:t>
            </w:r>
          </w:p>
          <w:p w:rsidR="000913EA" w:rsidRPr="006F7767" w:rsidRDefault="000913EA" w:rsidP="000913EA">
            <w:pPr>
              <w:pStyle w:val="Tablea"/>
            </w:pPr>
            <w:r w:rsidRPr="006F7767">
              <w:t>(h) the carbon content factor of the change in stock, in tonnes of carbon per tonne of stock</w:t>
            </w:r>
          </w:p>
        </w:tc>
      </w:tr>
      <w:tr w:rsidR="000913EA" w:rsidRPr="006F7767" w:rsidTr="000913EA">
        <w:trPr>
          <w:trHeight w:val="450"/>
        </w:trPr>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(i) the tonnes of coke transferred beyond the boundary of the activity</w:t>
            </w:r>
          </w:p>
        </w:tc>
      </w:tr>
      <w:tr w:rsidR="000913EA" w:rsidRPr="006F7767" w:rsidTr="000913EA">
        <w:trPr>
          <w:trHeight w:val="460"/>
        </w:trPr>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 xml:space="preserve">(j) the tonnes of coal tar transferred beyond the boundary of the activity </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(k) the tonnes of pure calcium carbonate consumed</w:t>
            </w:r>
          </w:p>
          <w:p w:rsidR="000913EA" w:rsidRPr="006F7767" w:rsidRDefault="000913EA" w:rsidP="000913EA">
            <w:pPr>
              <w:pStyle w:val="Tablea"/>
            </w:pPr>
            <w:r w:rsidRPr="006F7767">
              <w:t>(l) the tonnes of pure dolomite consumed</w:t>
            </w:r>
          </w:p>
        </w:tc>
      </w:tr>
      <w:tr w:rsidR="000913EA" w:rsidRPr="006F7767" w:rsidTr="000913EA">
        <w:tc>
          <w:tcPr>
            <w:tcW w:w="431" w:type="pct"/>
            <w:tcBorders>
              <w:top w:val="nil"/>
              <w:bottom w:val="single" w:sz="4" w:space="0" w:color="auto"/>
            </w:tcBorders>
            <w:shd w:val="clear" w:color="auto" w:fill="auto"/>
            <w:hideMark/>
          </w:tcPr>
          <w:p w:rsidR="000913EA" w:rsidRPr="006F7767" w:rsidRDefault="000913EA" w:rsidP="000913EA">
            <w:pPr>
              <w:pStyle w:val="Tabletext"/>
            </w:pPr>
          </w:p>
        </w:tc>
        <w:tc>
          <w:tcPr>
            <w:tcW w:w="1390" w:type="pct"/>
            <w:tcBorders>
              <w:top w:val="nil"/>
              <w:bottom w:val="single" w:sz="4" w:space="0" w:color="auto"/>
            </w:tcBorders>
            <w:shd w:val="clear" w:color="auto" w:fill="auto"/>
            <w:hideMark/>
          </w:tcPr>
          <w:p w:rsidR="000913EA" w:rsidRPr="006F7767" w:rsidRDefault="000913EA" w:rsidP="000913EA">
            <w:pPr>
              <w:pStyle w:val="Tabletext"/>
            </w:pPr>
          </w:p>
        </w:tc>
        <w:tc>
          <w:tcPr>
            <w:tcW w:w="3179" w:type="pct"/>
            <w:tcBorders>
              <w:top w:val="nil"/>
              <w:bottom w:val="single" w:sz="4" w:space="0" w:color="auto"/>
            </w:tcBorders>
            <w:shd w:val="clear" w:color="auto" w:fill="auto"/>
            <w:hideMark/>
          </w:tcPr>
          <w:p w:rsidR="000913EA" w:rsidRPr="006F7767" w:rsidRDefault="000913EA" w:rsidP="000913EA">
            <w:pPr>
              <w:pStyle w:val="Tablea"/>
            </w:pPr>
            <w:r w:rsidRPr="006F7767">
              <w:t>(m) the tonnes of pure magnesium carbonate consumed</w:t>
            </w:r>
          </w:p>
          <w:p w:rsidR="000913EA" w:rsidRPr="006F7767" w:rsidRDefault="000913EA" w:rsidP="000913EA">
            <w:pPr>
              <w:pStyle w:val="Tablea"/>
            </w:pPr>
            <w:r w:rsidRPr="006F7767">
              <w:t>(n) the tonnes of any other pure carbonate consumed</w:t>
            </w:r>
          </w:p>
        </w:tc>
      </w:tr>
      <w:tr w:rsidR="000913EA" w:rsidRPr="006F7767" w:rsidTr="000913EA">
        <w:trPr>
          <w:trHeight w:val="1552"/>
        </w:trPr>
        <w:tc>
          <w:tcPr>
            <w:tcW w:w="431" w:type="pct"/>
            <w:tcBorders>
              <w:bottom w:val="nil"/>
            </w:tcBorders>
            <w:shd w:val="clear" w:color="auto" w:fill="auto"/>
          </w:tcPr>
          <w:p w:rsidR="000913EA" w:rsidRPr="006F7767" w:rsidRDefault="000913EA" w:rsidP="000913EA">
            <w:pPr>
              <w:pStyle w:val="Tabletext"/>
            </w:pPr>
            <w:r w:rsidRPr="006F7767">
              <w:t>2</w:t>
            </w:r>
          </w:p>
        </w:tc>
        <w:tc>
          <w:tcPr>
            <w:tcW w:w="1390" w:type="pct"/>
            <w:tcBorders>
              <w:bottom w:val="nil"/>
            </w:tcBorders>
            <w:shd w:val="clear" w:color="auto" w:fill="auto"/>
            <w:hideMark/>
          </w:tcPr>
          <w:p w:rsidR="000913EA" w:rsidRPr="006F7767" w:rsidRDefault="000913EA" w:rsidP="000913EA">
            <w:pPr>
              <w:pStyle w:val="Tabletext"/>
            </w:pPr>
            <w:r w:rsidRPr="006F7767">
              <w:t>Methods 2, 3 and 4 for the source, as set out in sections 4.67, 4.68 and Part 1.3</w:t>
            </w:r>
          </w:p>
        </w:tc>
        <w:tc>
          <w:tcPr>
            <w:tcW w:w="3179" w:type="pct"/>
            <w:tcBorders>
              <w:bottom w:val="nil"/>
            </w:tcBorders>
            <w:shd w:val="clear" w:color="auto" w:fill="auto"/>
            <w:hideMark/>
          </w:tcPr>
          <w:p w:rsidR="000913EA" w:rsidRPr="006F7767" w:rsidRDefault="000913EA" w:rsidP="000913EA">
            <w:pPr>
              <w:pStyle w:val="Tablea"/>
            </w:pPr>
            <w:r w:rsidRPr="006F7767">
              <w:t>(a) the tonnes of iron produced for sale</w:t>
            </w:r>
          </w:p>
          <w:p w:rsidR="000913EA" w:rsidRPr="006F7767" w:rsidRDefault="000913EA" w:rsidP="000913EA">
            <w:pPr>
              <w:pStyle w:val="Tablea"/>
            </w:pPr>
            <w:r w:rsidRPr="006F7767">
              <w:t>(b) the carbon content of the iron produced for sale, in tonnes of carbon per tonne of output</w:t>
            </w:r>
          </w:p>
          <w:p w:rsidR="000913EA" w:rsidRPr="006F7767" w:rsidRDefault="000913EA" w:rsidP="000913EA">
            <w:pPr>
              <w:pStyle w:val="Tablea"/>
            </w:pPr>
            <w:r w:rsidRPr="006F7767">
              <w:t>(c) the tonnes of crude steel produced</w:t>
            </w:r>
          </w:p>
          <w:p w:rsidR="000913EA" w:rsidRPr="006F7767" w:rsidRDefault="000913EA" w:rsidP="000913EA">
            <w:pPr>
              <w:pStyle w:val="Tablea"/>
            </w:pPr>
            <w:r w:rsidRPr="006F7767">
              <w:t>(d) the carbon content factor of the crude steel, in tonnes of carbon per tonne of output</w:t>
            </w:r>
          </w:p>
        </w:tc>
      </w:tr>
      <w:tr w:rsidR="000913EA" w:rsidRPr="006F7767" w:rsidTr="000913EA">
        <w:trPr>
          <w:trHeight w:val="1050"/>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(e) the facility specific carbon content factor for each fuel type consumed, or each carbonaceous input material consumed, in tonnes of carbon per:</w:t>
            </w:r>
          </w:p>
          <w:p w:rsidR="000913EA" w:rsidRPr="006F7767" w:rsidRDefault="000913EA" w:rsidP="000913EA">
            <w:pPr>
              <w:pStyle w:val="Tablei"/>
            </w:pPr>
            <w:r w:rsidRPr="006F7767">
              <w:t>(i) tonne of fuel or carbonaceous input material; or</w:t>
            </w:r>
          </w:p>
        </w:tc>
      </w:tr>
      <w:tr w:rsidR="000913EA" w:rsidRPr="006F7767" w:rsidTr="004D2353">
        <w:trPr>
          <w:trHeight w:val="505"/>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i"/>
            </w:pPr>
            <w:r w:rsidRPr="006F7767">
              <w:t>(ii) cubic metre of fuel or carbonaceous input material; or</w:t>
            </w:r>
          </w:p>
          <w:p w:rsidR="000913EA" w:rsidRPr="006F7767" w:rsidRDefault="000913EA" w:rsidP="000913EA">
            <w:pPr>
              <w:pStyle w:val="Tablei"/>
            </w:pPr>
            <w:r w:rsidRPr="006F7767">
              <w:t>(iii) kilolitre of fuel or carbonaceous input material</w:t>
            </w:r>
          </w:p>
        </w:tc>
      </w:tr>
      <w:tr w:rsidR="000913EA" w:rsidRPr="006F7767" w:rsidTr="000913EA">
        <w:trPr>
          <w:trHeight w:val="211"/>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(f) tonnes of solid waste by</w:t>
            </w:r>
            <w:r w:rsidRPr="006F7767">
              <w:noBreakHyphen/>
              <w:t>product containing carbon produced</w:t>
            </w:r>
          </w:p>
        </w:tc>
      </w:tr>
      <w:tr w:rsidR="000913EA" w:rsidRPr="006F7767" w:rsidTr="000913EA">
        <w:trPr>
          <w:trHeight w:val="80"/>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(g) the average carbon content factor of solid waste by</w:t>
            </w:r>
            <w:r w:rsidRPr="006F7767">
              <w:noBreakHyphen/>
              <w:t>products containing carbon, in tonnes of carbon per tonne of waste by</w:t>
            </w:r>
            <w:r w:rsidRPr="006F7767">
              <w:noBreakHyphen/>
              <w:t>product</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(h) the change in stock containing carbon, in tonnes</w:t>
            </w:r>
          </w:p>
        </w:tc>
      </w:tr>
      <w:tr w:rsidR="000913EA" w:rsidRPr="006F7767" w:rsidTr="000913EA">
        <w:trPr>
          <w:trHeight w:val="495"/>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(i) the carbon content factor of the change in stock, in tonnes of carbon per tonne of stock</w:t>
            </w:r>
          </w:p>
        </w:tc>
      </w:tr>
      <w:tr w:rsidR="000913EA" w:rsidRPr="006F7767" w:rsidTr="004D2353">
        <w:trPr>
          <w:trHeight w:val="397"/>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(j) the tonnes of coke transferred beyond the boundary of the activity</w:t>
            </w:r>
          </w:p>
        </w:tc>
      </w:tr>
      <w:tr w:rsidR="000913EA" w:rsidRPr="006F7767" w:rsidTr="000913EA">
        <w:trPr>
          <w:trHeight w:val="555"/>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(k) the tonnes of coal tar transferred beyond the boundary of the activity</w:t>
            </w:r>
          </w:p>
        </w:tc>
      </w:tr>
      <w:tr w:rsidR="000913EA" w:rsidRPr="006F7767" w:rsidTr="000913EA">
        <w:trPr>
          <w:trHeight w:val="339"/>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(l) the tonnes of pure calcium carbonate consumed</w:t>
            </w:r>
          </w:p>
        </w:tc>
      </w:tr>
      <w:tr w:rsidR="000913EA" w:rsidRPr="006F7767" w:rsidTr="000913EA">
        <w:trPr>
          <w:trHeight w:val="80"/>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(m) the tonnes of pure dolomite consumed</w:t>
            </w:r>
          </w:p>
          <w:p w:rsidR="000913EA" w:rsidRPr="006F7767" w:rsidRDefault="000913EA" w:rsidP="000913EA">
            <w:pPr>
              <w:pStyle w:val="Tablea"/>
            </w:pPr>
            <w:r w:rsidRPr="006F7767">
              <w:t>(n) the tonnes of pure magnesium carbonate consumed</w:t>
            </w:r>
          </w:p>
        </w:tc>
      </w:tr>
      <w:tr w:rsidR="000913EA" w:rsidRPr="006F7767" w:rsidTr="000913EA">
        <w:trPr>
          <w:trHeight w:val="80"/>
        </w:trPr>
        <w:tc>
          <w:tcPr>
            <w:tcW w:w="431" w:type="pct"/>
            <w:tcBorders>
              <w:top w:val="nil"/>
              <w:bottom w:val="single" w:sz="12" w:space="0" w:color="auto"/>
            </w:tcBorders>
            <w:shd w:val="clear" w:color="auto" w:fill="auto"/>
          </w:tcPr>
          <w:p w:rsidR="000913EA" w:rsidRPr="006F7767" w:rsidRDefault="000913EA" w:rsidP="000913EA">
            <w:pPr>
              <w:pStyle w:val="Tabletext"/>
            </w:pPr>
          </w:p>
        </w:tc>
        <w:tc>
          <w:tcPr>
            <w:tcW w:w="1390" w:type="pct"/>
            <w:tcBorders>
              <w:top w:val="nil"/>
              <w:bottom w:val="single" w:sz="12" w:space="0" w:color="auto"/>
            </w:tcBorders>
            <w:shd w:val="clear" w:color="auto" w:fill="auto"/>
            <w:hideMark/>
          </w:tcPr>
          <w:p w:rsidR="000913EA" w:rsidRPr="006F7767" w:rsidRDefault="000913EA" w:rsidP="000913EA">
            <w:pPr>
              <w:pStyle w:val="Tabletext"/>
            </w:pPr>
          </w:p>
        </w:tc>
        <w:tc>
          <w:tcPr>
            <w:tcW w:w="3179" w:type="pct"/>
            <w:tcBorders>
              <w:top w:val="nil"/>
              <w:bottom w:val="single" w:sz="12" w:space="0" w:color="auto"/>
            </w:tcBorders>
            <w:shd w:val="clear" w:color="auto" w:fill="auto"/>
            <w:hideMark/>
          </w:tcPr>
          <w:p w:rsidR="000913EA" w:rsidRPr="006F7767" w:rsidRDefault="000913EA" w:rsidP="000913EA">
            <w:pPr>
              <w:pStyle w:val="Tablea"/>
            </w:pPr>
            <w:r w:rsidRPr="006F7767">
              <w:t>(o) the tonnes of any other pure carbonate consumed</w:t>
            </w:r>
          </w:p>
        </w:tc>
      </w:tr>
    </w:tbl>
    <w:p w:rsidR="000913EA" w:rsidRPr="006F7767" w:rsidRDefault="000913EA" w:rsidP="000913EA">
      <w:pPr>
        <w:pStyle w:val="TableHeading"/>
      </w:pPr>
      <w:r w:rsidRPr="006F7767">
        <w:t>Source 3L—Ferroalloys production</w:t>
      </w:r>
    </w:p>
    <w:p w:rsidR="000913EA" w:rsidRPr="006F7767" w:rsidRDefault="000913EA" w:rsidP="000913EA">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8"/>
        <w:gridCol w:w="2509"/>
        <w:gridCol w:w="5739"/>
      </w:tblGrid>
      <w:tr w:rsidR="000913EA" w:rsidRPr="006F7767" w:rsidTr="000913EA">
        <w:trPr>
          <w:tblHeader/>
        </w:trPr>
        <w:tc>
          <w:tcPr>
            <w:tcW w:w="431"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Item</w:t>
            </w:r>
          </w:p>
        </w:tc>
        <w:tc>
          <w:tcPr>
            <w:tcW w:w="1390"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Method</w:t>
            </w:r>
          </w:p>
        </w:tc>
        <w:tc>
          <w:tcPr>
            <w:tcW w:w="3179"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Matters to be identified</w:t>
            </w:r>
          </w:p>
        </w:tc>
      </w:tr>
      <w:tr w:rsidR="000913EA" w:rsidRPr="006F7767" w:rsidTr="000913EA">
        <w:trPr>
          <w:trHeight w:val="767"/>
        </w:trPr>
        <w:tc>
          <w:tcPr>
            <w:tcW w:w="431" w:type="pct"/>
            <w:tcBorders>
              <w:top w:val="single" w:sz="12" w:space="0" w:color="auto"/>
              <w:bottom w:val="nil"/>
            </w:tcBorders>
            <w:shd w:val="clear" w:color="auto" w:fill="auto"/>
            <w:hideMark/>
          </w:tcPr>
          <w:p w:rsidR="000913EA" w:rsidRPr="006F7767" w:rsidRDefault="000913EA" w:rsidP="000913EA">
            <w:pPr>
              <w:pStyle w:val="Tabletext"/>
            </w:pPr>
            <w:r w:rsidRPr="006F7767">
              <w:t>1</w:t>
            </w:r>
          </w:p>
        </w:tc>
        <w:tc>
          <w:tcPr>
            <w:tcW w:w="1390" w:type="pct"/>
            <w:tcBorders>
              <w:top w:val="single" w:sz="12" w:space="0" w:color="auto"/>
              <w:bottom w:val="nil"/>
            </w:tcBorders>
            <w:shd w:val="clear" w:color="auto" w:fill="auto"/>
            <w:hideMark/>
          </w:tcPr>
          <w:p w:rsidR="000913EA" w:rsidRPr="006F7767" w:rsidRDefault="000913EA" w:rsidP="000913EA">
            <w:pPr>
              <w:pStyle w:val="Tabletext"/>
            </w:pPr>
            <w:r w:rsidRPr="006F7767">
              <w:t>Method 1 for the source, as set out in section 4.71</w:t>
            </w:r>
          </w:p>
        </w:tc>
        <w:tc>
          <w:tcPr>
            <w:tcW w:w="3179" w:type="pct"/>
            <w:tcBorders>
              <w:top w:val="single" w:sz="12" w:space="0" w:color="auto"/>
              <w:bottom w:val="nil"/>
            </w:tcBorders>
            <w:shd w:val="clear" w:color="auto" w:fill="auto"/>
            <w:hideMark/>
          </w:tcPr>
          <w:p w:rsidR="000913EA" w:rsidRPr="006F7767" w:rsidRDefault="000913EA" w:rsidP="000913EA">
            <w:pPr>
              <w:pStyle w:val="Tablea"/>
            </w:pPr>
            <w:r w:rsidRPr="006F7767">
              <w:t>(a) the tonnes of ferroalloys containing carbon produced</w:t>
            </w:r>
          </w:p>
          <w:p w:rsidR="000913EA" w:rsidRPr="006F7767" w:rsidRDefault="000913EA" w:rsidP="000913EA">
            <w:pPr>
              <w:pStyle w:val="Tablea"/>
            </w:pPr>
            <w:r w:rsidRPr="006F7767">
              <w:t>(b) the carbon content factor of the ferroalloy produced, in tonnes of carbon per tonne of output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(c) the tonnes of solid waste by</w:t>
            </w:r>
            <w:r w:rsidRPr="006F7767">
              <w:noBreakHyphen/>
              <w:t xml:space="preserve">products containing carbon produced </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(g) the tonnes of pure calcium carbonate consumed</w:t>
            </w:r>
          </w:p>
          <w:p w:rsidR="000913EA" w:rsidRPr="006F7767" w:rsidRDefault="000913EA" w:rsidP="000913EA">
            <w:pPr>
              <w:pStyle w:val="Tablea"/>
            </w:pPr>
            <w:r w:rsidRPr="006F7767">
              <w:t>(h) the tonnes of pure dolomite consumed</w:t>
            </w:r>
          </w:p>
        </w:tc>
      </w:tr>
      <w:tr w:rsidR="000913EA" w:rsidRPr="006F7767" w:rsidTr="000913EA">
        <w:trPr>
          <w:trHeight w:val="285"/>
        </w:trPr>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(i) the tonnes of pure magnesium carbonate consumed</w:t>
            </w:r>
          </w:p>
        </w:tc>
      </w:tr>
      <w:tr w:rsidR="000913EA" w:rsidRPr="006F7767" w:rsidTr="000913EA">
        <w:trPr>
          <w:trHeight w:val="285"/>
        </w:trPr>
        <w:tc>
          <w:tcPr>
            <w:tcW w:w="431" w:type="pct"/>
            <w:tcBorders>
              <w:top w:val="nil"/>
              <w:bottom w:val="single" w:sz="4" w:space="0" w:color="auto"/>
            </w:tcBorders>
            <w:shd w:val="clear" w:color="auto" w:fill="auto"/>
          </w:tcPr>
          <w:p w:rsidR="000913EA" w:rsidRPr="006F7767" w:rsidRDefault="000913EA" w:rsidP="000913EA">
            <w:pPr>
              <w:pStyle w:val="Tabletext"/>
            </w:pPr>
          </w:p>
        </w:tc>
        <w:tc>
          <w:tcPr>
            <w:tcW w:w="1390" w:type="pct"/>
            <w:tcBorders>
              <w:top w:val="nil"/>
              <w:bottom w:val="single" w:sz="4" w:space="0" w:color="auto"/>
            </w:tcBorders>
            <w:shd w:val="clear" w:color="auto" w:fill="auto"/>
          </w:tcPr>
          <w:p w:rsidR="000913EA" w:rsidRPr="006F7767" w:rsidRDefault="000913EA" w:rsidP="000913EA">
            <w:pPr>
              <w:pStyle w:val="Tabletext"/>
            </w:pPr>
          </w:p>
        </w:tc>
        <w:tc>
          <w:tcPr>
            <w:tcW w:w="3179" w:type="pct"/>
            <w:tcBorders>
              <w:top w:val="nil"/>
              <w:bottom w:val="single" w:sz="4" w:space="0" w:color="auto"/>
            </w:tcBorders>
            <w:shd w:val="clear" w:color="auto" w:fill="auto"/>
          </w:tcPr>
          <w:p w:rsidR="000913EA" w:rsidRPr="006F7767" w:rsidRDefault="000913EA" w:rsidP="000913EA">
            <w:pPr>
              <w:pStyle w:val="Tablea"/>
            </w:pPr>
            <w:r w:rsidRPr="006F7767">
              <w:t>(j) the tonnes of any other pure carbonate consumed</w:t>
            </w:r>
          </w:p>
        </w:tc>
      </w:tr>
      <w:tr w:rsidR="000913EA" w:rsidRPr="006F7767" w:rsidTr="000913EA">
        <w:trPr>
          <w:trHeight w:val="871"/>
        </w:trPr>
        <w:tc>
          <w:tcPr>
            <w:tcW w:w="431" w:type="pct"/>
            <w:tcBorders>
              <w:bottom w:val="nil"/>
            </w:tcBorders>
            <w:shd w:val="clear" w:color="auto" w:fill="auto"/>
            <w:hideMark/>
          </w:tcPr>
          <w:p w:rsidR="000913EA" w:rsidRPr="006F7767" w:rsidRDefault="000913EA" w:rsidP="000913EA">
            <w:pPr>
              <w:pStyle w:val="Tabletext"/>
            </w:pPr>
            <w:r w:rsidRPr="006F7767">
              <w:t>2</w:t>
            </w:r>
          </w:p>
        </w:tc>
        <w:tc>
          <w:tcPr>
            <w:tcW w:w="1390" w:type="pct"/>
            <w:tcBorders>
              <w:bottom w:val="nil"/>
            </w:tcBorders>
            <w:shd w:val="clear" w:color="auto" w:fill="auto"/>
            <w:hideMark/>
          </w:tcPr>
          <w:p w:rsidR="000913EA" w:rsidRPr="006F7767" w:rsidRDefault="000913EA" w:rsidP="000913EA">
            <w:pPr>
              <w:pStyle w:val="Tabletext"/>
            </w:pPr>
            <w:r w:rsidRPr="006F7767">
              <w:t>Methods 2, 3 and 4 for the source, as set out in sections 4.72, 4.73 and Part 1.3</w:t>
            </w:r>
          </w:p>
        </w:tc>
        <w:tc>
          <w:tcPr>
            <w:tcW w:w="3179" w:type="pct"/>
            <w:tcBorders>
              <w:bottom w:val="nil"/>
            </w:tcBorders>
            <w:shd w:val="clear" w:color="auto" w:fill="auto"/>
            <w:hideMark/>
          </w:tcPr>
          <w:p w:rsidR="000913EA" w:rsidRPr="006F7767" w:rsidRDefault="000913EA" w:rsidP="000913EA">
            <w:pPr>
              <w:pStyle w:val="Tablea"/>
            </w:pPr>
            <w:r w:rsidRPr="006F7767">
              <w:t>(a) the tonnes of ferroalloy containing carbon produced</w:t>
            </w:r>
          </w:p>
          <w:p w:rsidR="000913EA" w:rsidRPr="006F7767" w:rsidRDefault="000913EA" w:rsidP="000913EA">
            <w:pPr>
              <w:pStyle w:val="Tablea"/>
            </w:pPr>
            <w:r w:rsidRPr="006F7767">
              <w:t>(b) the carbon content factor of the ferroalloy produced, in tonnes of carbon per tonne of output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(c) the tonnes of solid waste by</w:t>
            </w:r>
            <w:r w:rsidRPr="006F7767">
              <w:noBreakHyphen/>
              <w:t>products containing carbon produced</w:t>
            </w:r>
          </w:p>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8E67DD" w:rsidRPr="006F7767" w:rsidTr="008E67DD">
        <w:trPr>
          <w:trHeight w:val="1455"/>
        </w:trPr>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(g) the facility specific carbon content factor for each fuel type consumed, or each carbonaceous input material consumed, in tonnes of carbon per:</w:t>
            </w:r>
          </w:p>
          <w:p w:rsidR="000913EA" w:rsidRPr="006F7767" w:rsidRDefault="000913EA" w:rsidP="000913EA">
            <w:pPr>
              <w:pStyle w:val="Tablei"/>
            </w:pPr>
            <w:r w:rsidRPr="006F7767">
              <w:t>(i) tonne of fuel or carbonaceous input material; or</w:t>
            </w:r>
          </w:p>
          <w:p w:rsidR="000913EA" w:rsidRPr="006F7767" w:rsidRDefault="000913EA" w:rsidP="000913EA">
            <w:pPr>
              <w:pStyle w:val="Tablei"/>
            </w:pPr>
            <w:r w:rsidRPr="006F7767">
              <w:t>(ii) cubic metre of fuel or carbonaceous input material; or</w:t>
            </w:r>
          </w:p>
          <w:p w:rsidR="000913EA" w:rsidRPr="006F7767" w:rsidRDefault="000913EA" w:rsidP="000913EA">
            <w:pPr>
              <w:pStyle w:val="Tablei"/>
            </w:pPr>
            <w:r w:rsidRPr="006F7767">
              <w:t>(iii) kilolitre of fuel or carbonaceous input material</w:t>
            </w:r>
          </w:p>
        </w:tc>
      </w:tr>
      <w:tr w:rsidR="000913EA" w:rsidRPr="006F7767" w:rsidTr="000913EA">
        <w:trPr>
          <w:trHeight w:val="341"/>
        </w:trPr>
        <w:tc>
          <w:tcPr>
            <w:tcW w:w="431" w:type="pct"/>
            <w:tcBorders>
              <w:top w:val="nil"/>
              <w:bottom w:val="nil"/>
            </w:tcBorders>
            <w:shd w:val="clear" w:color="auto" w:fill="auto"/>
            <w:hideMark/>
          </w:tcPr>
          <w:p w:rsidR="000913EA" w:rsidRPr="006F7767" w:rsidRDefault="000913EA" w:rsidP="000913EA">
            <w:pPr>
              <w:pStyle w:val="Tabletext"/>
            </w:pPr>
          </w:p>
        </w:tc>
        <w:tc>
          <w:tcPr>
            <w:tcW w:w="1390" w:type="pct"/>
            <w:tcBorders>
              <w:top w:val="nil"/>
              <w:bottom w:val="nil"/>
            </w:tcBorders>
            <w:shd w:val="clear" w:color="auto" w:fill="auto"/>
            <w:hideMark/>
          </w:tcPr>
          <w:p w:rsidR="000913EA" w:rsidRPr="006F7767" w:rsidRDefault="000913EA" w:rsidP="000913EA">
            <w:pPr>
              <w:pStyle w:val="Tabletext"/>
            </w:pPr>
          </w:p>
        </w:tc>
        <w:tc>
          <w:tcPr>
            <w:tcW w:w="3179" w:type="pct"/>
            <w:tcBorders>
              <w:top w:val="nil"/>
              <w:bottom w:val="nil"/>
            </w:tcBorders>
            <w:shd w:val="clear" w:color="auto" w:fill="auto"/>
            <w:hideMark/>
          </w:tcPr>
          <w:p w:rsidR="000913EA" w:rsidRPr="006F7767" w:rsidRDefault="000913EA" w:rsidP="000913EA">
            <w:pPr>
              <w:pStyle w:val="Tablea"/>
            </w:pPr>
            <w:r w:rsidRPr="006F7767">
              <w:t>(h) the tonnes of pure calcium carbonate consumed</w:t>
            </w:r>
          </w:p>
          <w:p w:rsidR="000913EA" w:rsidRPr="006F7767" w:rsidRDefault="000913EA" w:rsidP="000913EA">
            <w:pPr>
              <w:pStyle w:val="Tablea"/>
            </w:pPr>
            <w:r w:rsidRPr="006F7767">
              <w:t>(i) the tonnes of pure dolomite consumed</w:t>
            </w:r>
          </w:p>
        </w:tc>
      </w:tr>
      <w:tr w:rsidR="000913EA" w:rsidRPr="006F7767" w:rsidTr="000913EA">
        <w:tc>
          <w:tcPr>
            <w:tcW w:w="431" w:type="pct"/>
            <w:tcBorders>
              <w:top w:val="nil"/>
              <w:bottom w:val="single" w:sz="12" w:space="0" w:color="auto"/>
            </w:tcBorders>
            <w:shd w:val="clear" w:color="auto" w:fill="auto"/>
            <w:hideMark/>
          </w:tcPr>
          <w:p w:rsidR="000913EA" w:rsidRPr="006F7767" w:rsidRDefault="000913EA" w:rsidP="000913EA">
            <w:pPr>
              <w:pStyle w:val="Tabletext"/>
            </w:pPr>
          </w:p>
        </w:tc>
        <w:tc>
          <w:tcPr>
            <w:tcW w:w="1390" w:type="pct"/>
            <w:tcBorders>
              <w:top w:val="nil"/>
              <w:bottom w:val="single" w:sz="12" w:space="0" w:color="auto"/>
            </w:tcBorders>
            <w:shd w:val="clear" w:color="auto" w:fill="auto"/>
            <w:hideMark/>
          </w:tcPr>
          <w:p w:rsidR="000913EA" w:rsidRPr="006F7767" w:rsidRDefault="000913EA" w:rsidP="000913EA">
            <w:pPr>
              <w:pStyle w:val="Tabletext"/>
            </w:pPr>
          </w:p>
        </w:tc>
        <w:tc>
          <w:tcPr>
            <w:tcW w:w="3179" w:type="pct"/>
            <w:tcBorders>
              <w:top w:val="nil"/>
              <w:bottom w:val="single" w:sz="12" w:space="0" w:color="auto"/>
            </w:tcBorders>
            <w:shd w:val="clear" w:color="auto" w:fill="auto"/>
            <w:hideMark/>
          </w:tcPr>
          <w:p w:rsidR="000913EA" w:rsidRPr="006F7767" w:rsidRDefault="000913EA" w:rsidP="000913EA">
            <w:pPr>
              <w:pStyle w:val="Tablea"/>
            </w:pPr>
            <w:r w:rsidRPr="006F7767">
              <w:t>(j) the tonnes of pure magnesium carbonate consumed</w:t>
            </w:r>
          </w:p>
          <w:p w:rsidR="000913EA" w:rsidRPr="006F7767" w:rsidRDefault="000913EA" w:rsidP="000913EA">
            <w:pPr>
              <w:pStyle w:val="Tablea"/>
            </w:pPr>
            <w:r w:rsidRPr="006F7767">
              <w:t>(k) the tonnes of any other pure carbonate consumed</w:t>
            </w:r>
          </w:p>
        </w:tc>
      </w:tr>
    </w:tbl>
    <w:p w:rsidR="000913EA" w:rsidRPr="006F7767" w:rsidRDefault="000913EA" w:rsidP="000913EA">
      <w:pPr>
        <w:pStyle w:val="TableHeading"/>
      </w:pPr>
      <w:r w:rsidRPr="006F7767">
        <w:t>Source 3M—Aluminium production</w:t>
      </w:r>
    </w:p>
    <w:p w:rsidR="000913EA" w:rsidRPr="006F7767" w:rsidRDefault="000913EA" w:rsidP="000913EA">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8"/>
        <w:gridCol w:w="2509"/>
        <w:gridCol w:w="5739"/>
      </w:tblGrid>
      <w:tr w:rsidR="000913EA" w:rsidRPr="006F7767" w:rsidTr="000913EA">
        <w:trPr>
          <w:tblHeader/>
        </w:trPr>
        <w:tc>
          <w:tcPr>
            <w:tcW w:w="431"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Item</w:t>
            </w:r>
          </w:p>
        </w:tc>
        <w:tc>
          <w:tcPr>
            <w:tcW w:w="1390"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Method</w:t>
            </w:r>
          </w:p>
        </w:tc>
        <w:tc>
          <w:tcPr>
            <w:tcW w:w="3179" w:type="pct"/>
            <w:tcBorders>
              <w:top w:val="single" w:sz="12" w:space="0" w:color="auto"/>
              <w:bottom w:val="single" w:sz="12" w:space="0" w:color="auto"/>
            </w:tcBorders>
            <w:shd w:val="clear" w:color="auto" w:fill="auto"/>
            <w:hideMark/>
          </w:tcPr>
          <w:p w:rsidR="000913EA" w:rsidRPr="006F7767" w:rsidRDefault="000913EA" w:rsidP="000913EA">
            <w:pPr>
              <w:pStyle w:val="TableHeading"/>
            </w:pPr>
            <w:r w:rsidRPr="006F7767">
              <w:t>Matters to be identified</w:t>
            </w:r>
          </w:p>
        </w:tc>
      </w:tr>
      <w:tr w:rsidR="000913EA" w:rsidRPr="006F7767" w:rsidTr="000913EA">
        <w:tc>
          <w:tcPr>
            <w:tcW w:w="431" w:type="pct"/>
            <w:tcBorders>
              <w:top w:val="single" w:sz="12" w:space="0" w:color="auto"/>
            </w:tcBorders>
            <w:shd w:val="clear" w:color="auto" w:fill="auto"/>
            <w:hideMark/>
          </w:tcPr>
          <w:p w:rsidR="000913EA" w:rsidRPr="006F7767" w:rsidDel="00214008" w:rsidRDefault="000913EA" w:rsidP="000913EA">
            <w:pPr>
              <w:pStyle w:val="Tabletext"/>
            </w:pPr>
            <w:r w:rsidRPr="006F7767">
              <w:t>1</w:t>
            </w:r>
          </w:p>
        </w:tc>
        <w:tc>
          <w:tcPr>
            <w:tcW w:w="1390" w:type="pct"/>
            <w:tcBorders>
              <w:top w:val="single" w:sz="12" w:space="0" w:color="auto"/>
            </w:tcBorders>
            <w:shd w:val="clear" w:color="auto" w:fill="auto"/>
            <w:hideMark/>
          </w:tcPr>
          <w:p w:rsidR="000913EA" w:rsidRPr="006F7767" w:rsidDel="00214008" w:rsidRDefault="000913EA" w:rsidP="000913EA">
            <w:pPr>
              <w:pStyle w:val="Tabletext"/>
            </w:pPr>
            <w:r w:rsidRPr="006F7767">
              <w:t>Method 1 for the source, as set out in section 4.76</w:t>
            </w:r>
          </w:p>
        </w:tc>
        <w:tc>
          <w:tcPr>
            <w:tcW w:w="3179" w:type="pct"/>
            <w:tcBorders>
              <w:top w:val="single" w:sz="12" w:space="0" w:color="auto"/>
            </w:tcBorders>
            <w:shd w:val="clear" w:color="auto" w:fill="auto"/>
            <w:hideMark/>
          </w:tcPr>
          <w:p w:rsidR="000913EA" w:rsidRPr="006F7767" w:rsidDel="00214008" w:rsidRDefault="000913EA" w:rsidP="000913EA">
            <w:pPr>
              <w:pStyle w:val="Tablea"/>
            </w:pPr>
            <w:r w:rsidRPr="006F7767">
              <w:t xml:space="preserve">the amount of primary aluminium produced, in tonnes </w:t>
            </w:r>
          </w:p>
        </w:tc>
      </w:tr>
      <w:tr w:rsidR="000913EA" w:rsidRPr="006F7767" w:rsidTr="000913EA">
        <w:tc>
          <w:tcPr>
            <w:tcW w:w="431" w:type="pct"/>
            <w:tcBorders>
              <w:bottom w:val="single" w:sz="4" w:space="0" w:color="auto"/>
            </w:tcBorders>
            <w:shd w:val="clear" w:color="auto" w:fill="auto"/>
          </w:tcPr>
          <w:p w:rsidR="000913EA" w:rsidRPr="006F7767" w:rsidDel="00214008" w:rsidRDefault="000913EA" w:rsidP="000913EA">
            <w:pPr>
              <w:pStyle w:val="Tabletext"/>
            </w:pPr>
            <w:r w:rsidRPr="006F7767">
              <w:t>2</w:t>
            </w:r>
          </w:p>
        </w:tc>
        <w:tc>
          <w:tcPr>
            <w:tcW w:w="1390" w:type="pct"/>
            <w:tcBorders>
              <w:bottom w:val="single" w:sz="4" w:space="0" w:color="auto"/>
            </w:tcBorders>
            <w:shd w:val="clear" w:color="auto" w:fill="auto"/>
          </w:tcPr>
          <w:p w:rsidR="000913EA" w:rsidRPr="006F7767" w:rsidDel="00214008" w:rsidRDefault="000913EA" w:rsidP="000913EA">
            <w:pPr>
              <w:pStyle w:val="Tabletext"/>
            </w:pPr>
            <w:r w:rsidRPr="006F7767">
              <w:t>Methods 2, 3 and 4 for the source, as set out in sections 4.77, 4.78 and Part 1.3</w:t>
            </w:r>
          </w:p>
        </w:tc>
        <w:tc>
          <w:tcPr>
            <w:tcW w:w="3179" w:type="pct"/>
            <w:tcBorders>
              <w:bottom w:val="single" w:sz="4" w:space="0" w:color="auto"/>
            </w:tcBorders>
            <w:shd w:val="clear" w:color="auto" w:fill="auto"/>
          </w:tcPr>
          <w:p w:rsidR="000913EA" w:rsidRPr="006F7767" w:rsidRDefault="000913EA" w:rsidP="000913EA">
            <w:pPr>
              <w:pStyle w:val="Tablea"/>
              <w:rPr>
                <w:rFonts w:ascii="Courier New" w:eastAsiaTheme="minorHAnsi" w:hAnsi="Courier New" w:cs="Courier New"/>
                <w:lang w:eastAsia="en-US"/>
              </w:rPr>
            </w:pPr>
            <w:r w:rsidRPr="006F7767">
              <w:t>(a) the facility specific emission factor or factors for each fuel type consumed, in kilograms of CO</w:t>
            </w:r>
            <w:r w:rsidRPr="006F7767">
              <w:rPr>
                <w:vertAlign w:val="subscript"/>
              </w:rPr>
              <w:t>2</w:t>
            </w:r>
            <w:r w:rsidRPr="006F7767">
              <w:noBreakHyphen/>
              <w:t>e per gigajoule</w:t>
            </w:r>
          </w:p>
          <w:p w:rsidR="000913EA" w:rsidRPr="006F7767" w:rsidDel="00214008" w:rsidRDefault="000913EA" w:rsidP="000913EA">
            <w:pPr>
              <w:pStyle w:val="Tablea"/>
            </w:pPr>
            <w:r w:rsidRPr="006F7767">
              <w:t>(b) the facility specific carbon tetrafluoride emission factor or factors, in tonnes of CO</w:t>
            </w:r>
            <w:r w:rsidRPr="006F7767">
              <w:rPr>
                <w:vertAlign w:val="subscript"/>
              </w:rPr>
              <w:t>2</w:t>
            </w:r>
            <w:r w:rsidRPr="006F7767">
              <w:noBreakHyphen/>
              <w:t>e emitted per tonne of aluminium production</w:t>
            </w:r>
          </w:p>
        </w:tc>
      </w:tr>
      <w:tr w:rsidR="000913EA" w:rsidRPr="006F7767" w:rsidTr="000913EA">
        <w:tc>
          <w:tcPr>
            <w:tcW w:w="431" w:type="pct"/>
            <w:tcBorders>
              <w:bottom w:val="nil"/>
            </w:tcBorders>
            <w:shd w:val="clear" w:color="auto" w:fill="auto"/>
          </w:tcPr>
          <w:p w:rsidR="000913EA" w:rsidRPr="006F7767" w:rsidDel="00214008" w:rsidRDefault="000913EA" w:rsidP="000913EA">
            <w:pPr>
              <w:pStyle w:val="Tabletext"/>
            </w:pPr>
          </w:p>
        </w:tc>
        <w:tc>
          <w:tcPr>
            <w:tcW w:w="1390" w:type="pct"/>
            <w:tcBorders>
              <w:bottom w:val="nil"/>
            </w:tcBorders>
            <w:shd w:val="clear" w:color="auto" w:fill="auto"/>
          </w:tcPr>
          <w:p w:rsidR="000913EA" w:rsidRPr="006F7767" w:rsidDel="00214008" w:rsidRDefault="000913EA" w:rsidP="000913EA">
            <w:pPr>
              <w:pStyle w:val="Tabletext"/>
            </w:pPr>
          </w:p>
        </w:tc>
        <w:tc>
          <w:tcPr>
            <w:tcW w:w="3179" w:type="pct"/>
            <w:tcBorders>
              <w:bottom w:val="nil"/>
            </w:tcBorders>
            <w:shd w:val="clear" w:color="auto" w:fill="auto"/>
          </w:tcPr>
          <w:p w:rsidR="000913EA" w:rsidRPr="006F7767" w:rsidRDefault="000913EA" w:rsidP="000913EA">
            <w:pPr>
              <w:pStyle w:val="Tablea"/>
            </w:pPr>
            <w:r w:rsidRPr="006F7767">
              <w:t>(c) the facility specific hexafluoroethane emission factor or factors, in tonnes of CO</w:t>
            </w:r>
            <w:r w:rsidRPr="006F7767">
              <w:rPr>
                <w:vertAlign w:val="subscript"/>
              </w:rPr>
              <w:t>2</w:t>
            </w:r>
            <w:r w:rsidRPr="006F7767">
              <w:noBreakHyphen/>
              <w:t>e emitted per tonne of aluminium production</w:t>
            </w:r>
          </w:p>
        </w:tc>
      </w:tr>
      <w:tr w:rsidR="000913EA" w:rsidRPr="006F7767" w:rsidTr="000913EA">
        <w:tc>
          <w:tcPr>
            <w:tcW w:w="431" w:type="pct"/>
            <w:tcBorders>
              <w:top w:val="nil"/>
              <w:bottom w:val="single" w:sz="12" w:space="0" w:color="auto"/>
            </w:tcBorders>
            <w:shd w:val="clear" w:color="auto" w:fill="auto"/>
          </w:tcPr>
          <w:p w:rsidR="000913EA" w:rsidRPr="006F7767" w:rsidDel="00214008" w:rsidRDefault="000913EA" w:rsidP="000913EA">
            <w:pPr>
              <w:pStyle w:val="Tabletext"/>
            </w:pPr>
          </w:p>
        </w:tc>
        <w:tc>
          <w:tcPr>
            <w:tcW w:w="1390" w:type="pct"/>
            <w:tcBorders>
              <w:top w:val="nil"/>
              <w:bottom w:val="single" w:sz="12" w:space="0" w:color="auto"/>
            </w:tcBorders>
            <w:shd w:val="clear" w:color="auto" w:fill="auto"/>
          </w:tcPr>
          <w:p w:rsidR="000913EA" w:rsidRPr="006F7767" w:rsidDel="00214008" w:rsidRDefault="000913EA" w:rsidP="000913EA">
            <w:pPr>
              <w:pStyle w:val="Tabletext"/>
            </w:pPr>
          </w:p>
        </w:tc>
        <w:tc>
          <w:tcPr>
            <w:tcW w:w="3179" w:type="pct"/>
            <w:tcBorders>
              <w:top w:val="nil"/>
              <w:bottom w:val="single" w:sz="12" w:space="0" w:color="auto"/>
            </w:tcBorders>
            <w:shd w:val="clear" w:color="auto" w:fill="auto"/>
          </w:tcPr>
          <w:p w:rsidR="000913EA" w:rsidRPr="006F7767" w:rsidDel="00214008" w:rsidRDefault="000913EA" w:rsidP="000913EA">
            <w:pPr>
              <w:pStyle w:val="Tablea"/>
            </w:pPr>
            <w:r w:rsidRPr="006F7767">
              <w:t xml:space="preserve">(d) the amount of primary aluminium produced, in tonnes </w:t>
            </w:r>
          </w:p>
        </w:tc>
      </w:tr>
    </w:tbl>
    <w:p w:rsidR="000913EA" w:rsidRPr="006F7767" w:rsidRDefault="000913EA" w:rsidP="000913EA">
      <w:pPr>
        <w:pStyle w:val="TableHeading"/>
      </w:pPr>
      <w:r w:rsidRPr="006F7767">
        <w:t>Source 3N—Production of other metals</w:t>
      </w:r>
    </w:p>
    <w:p w:rsidR="000913EA" w:rsidRPr="006F7767" w:rsidRDefault="000913EA" w:rsidP="000913EA">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8"/>
        <w:gridCol w:w="2509"/>
        <w:gridCol w:w="5739"/>
      </w:tblGrid>
      <w:tr w:rsidR="000913EA" w:rsidRPr="006F7767" w:rsidTr="000913EA">
        <w:trPr>
          <w:tblHeader/>
        </w:trPr>
        <w:tc>
          <w:tcPr>
            <w:tcW w:w="431"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39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179"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31" w:type="pct"/>
            <w:tcBorders>
              <w:top w:val="single" w:sz="12" w:space="0" w:color="auto"/>
              <w:bottom w:val="nil"/>
            </w:tcBorders>
            <w:shd w:val="clear" w:color="auto" w:fill="auto"/>
          </w:tcPr>
          <w:p w:rsidR="000913EA" w:rsidRPr="006F7767" w:rsidRDefault="000913EA" w:rsidP="000913EA">
            <w:pPr>
              <w:pStyle w:val="Tabletext"/>
            </w:pPr>
            <w:r w:rsidRPr="006F7767">
              <w:t>1</w:t>
            </w:r>
          </w:p>
        </w:tc>
        <w:tc>
          <w:tcPr>
            <w:tcW w:w="1390" w:type="pct"/>
            <w:tcBorders>
              <w:top w:val="single" w:sz="12" w:space="0" w:color="auto"/>
              <w:bottom w:val="nil"/>
            </w:tcBorders>
            <w:shd w:val="clear" w:color="auto" w:fill="auto"/>
          </w:tcPr>
          <w:p w:rsidR="000913EA" w:rsidRPr="006F7767" w:rsidRDefault="000913EA" w:rsidP="000913EA">
            <w:pPr>
              <w:pStyle w:val="Tabletext"/>
            </w:pPr>
            <w:r w:rsidRPr="006F7767">
              <w:t>Method 1 for the source, as set out in section 4.94</w:t>
            </w:r>
          </w:p>
        </w:tc>
        <w:tc>
          <w:tcPr>
            <w:tcW w:w="3179" w:type="pct"/>
            <w:tcBorders>
              <w:top w:val="single" w:sz="12" w:space="0" w:color="auto"/>
              <w:bottom w:val="nil"/>
            </w:tcBorders>
            <w:shd w:val="clear" w:color="auto" w:fill="auto"/>
          </w:tcPr>
          <w:p w:rsidR="000913EA" w:rsidRPr="006F7767" w:rsidRDefault="000913EA" w:rsidP="000913EA">
            <w:pPr>
              <w:pStyle w:val="Tablea"/>
            </w:pPr>
            <w:r w:rsidRPr="006F7767">
              <w:t>(a) the tonnes of other metals produced</w:t>
            </w:r>
          </w:p>
          <w:p w:rsidR="000913EA" w:rsidRPr="006F7767" w:rsidRDefault="000913EA" w:rsidP="000913EA">
            <w:pPr>
              <w:pStyle w:val="Tablea"/>
            </w:pPr>
            <w:r w:rsidRPr="006F7767">
              <w:t>(b) the carbon content of the other metals produced, in tonnes of carbon per tonne of output</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(c) the tonnes of solid waste by</w:t>
            </w:r>
            <w:r w:rsidRPr="006F7767">
              <w:noBreakHyphen/>
              <w:t xml:space="preserve">products containing carbon produced </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(g) the tonnes of pure calcium carbonate limestone consumed</w:t>
            </w:r>
          </w:p>
          <w:p w:rsidR="000913EA" w:rsidRPr="006F7767" w:rsidRDefault="000913EA" w:rsidP="000913EA">
            <w:pPr>
              <w:pStyle w:val="Tablea"/>
            </w:pPr>
            <w:r w:rsidRPr="006F7767">
              <w:t>(h) the tonnes of pure dolomite consumed</w:t>
            </w:r>
          </w:p>
        </w:tc>
      </w:tr>
      <w:tr w:rsidR="000913EA" w:rsidRPr="006F7767" w:rsidTr="000913EA">
        <w:tc>
          <w:tcPr>
            <w:tcW w:w="431" w:type="pct"/>
            <w:tcBorders>
              <w:top w:val="nil"/>
              <w:bottom w:val="single" w:sz="4" w:space="0" w:color="auto"/>
            </w:tcBorders>
            <w:shd w:val="clear" w:color="auto" w:fill="auto"/>
          </w:tcPr>
          <w:p w:rsidR="000913EA" w:rsidRPr="006F7767" w:rsidRDefault="000913EA" w:rsidP="000913EA">
            <w:pPr>
              <w:pStyle w:val="Tabletext"/>
            </w:pPr>
          </w:p>
        </w:tc>
        <w:tc>
          <w:tcPr>
            <w:tcW w:w="1390" w:type="pct"/>
            <w:tcBorders>
              <w:top w:val="nil"/>
              <w:bottom w:val="single" w:sz="4" w:space="0" w:color="auto"/>
            </w:tcBorders>
            <w:shd w:val="clear" w:color="auto" w:fill="auto"/>
          </w:tcPr>
          <w:p w:rsidR="000913EA" w:rsidRPr="006F7767" w:rsidRDefault="000913EA" w:rsidP="000913EA">
            <w:pPr>
              <w:pStyle w:val="Tabletext"/>
            </w:pPr>
          </w:p>
        </w:tc>
        <w:tc>
          <w:tcPr>
            <w:tcW w:w="3179" w:type="pct"/>
            <w:tcBorders>
              <w:top w:val="nil"/>
              <w:bottom w:val="single" w:sz="4" w:space="0" w:color="auto"/>
            </w:tcBorders>
            <w:shd w:val="clear" w:color="auto" w:fill="auto"/>
          </w:tcPr>
          <w:p w:rsidR="000913EA" w:rsidRPr="006F7767" w:rsidRDefault="000913EA" w:rsidP="000913EA">
            <w:pPr>
              <w:pStyle w:val="Tablea"/>
            </w:pPr>
            <w:r w:rsidRPr="006F7767">
              <w:t>(i) the tonnes of pure magnesium carbonate consumed</w:t>
            </w:r>
          </w:p>
          <w:p w:rsidR="000913EA" w:rsidRPr="006F7767" w:rsidRDefault="000913EA" w:rsidP="000913EA">
            <w:pPr>
              <w:pStyle w:val="Tablea"/>
            </w:pPr>
            <w:r w:rsidRPr="006F7767">
              <w:t>(j) the tonnes of any other pure carbonate consumed</w:t>
            </w:r>
          </w:p>
        </w:tc>
      </w:tr>
      <w:tr w:rsidR="000913EA" w:rsidRPr="006F7767" w:rsidTr="000913EA">
        <w:tc>
          <w:tcPr>
            <w:tcW w:w="431" w:type="pct"/>
            <w:tcBorders>
              <w:top w:val="single" w:sz="4" w:space="0" w:color="auto"/>
              <w:bottom w:val="nil"/>
            </w:tcBorders>
            <w:shd w:val="clear" w:color="auto" w:fill="auto"/>
          </w:tcPr>
          <w:p w:rsidR="000913EA" w:rsidRPr="006F7767" w:rsidRDefault="000913EA" w:rsidP="000913EA">
            <w:pPr>
              <w:pStyle w:val="Tabletext"/>
            </w:pPr>
            <w:r w:rsidRPr="006F7767">
              <w:t>2</w:t>
            </w:r>
          </w:p>
        </w:tc>
        <w:tc>
          <w:tcPr>
            <w:tcW w:w="1390" w:type="pct"/>
            <w:tcBorders>
              <w:top w:val="single" w:sz="4" w:space="0" w:color="auto"/>
              <w:bottom w:val="nil"/>
            </w:tcBorders>
            <w:shd w:val="clear" w:color="auto" w:fill="auto"/>
          </w:tcPr>
          <w:p w:rsidR="000913EA" w:rsidRPr="006F7767" w:rsidRDefault="000913EA" w:rsidP="000913EA">
            <w:pPr>
              <w:pStyle w:val="Tabletext"/>
            </w:pPr>
            <w:r w:rsidRPr="006F7767">
              <w:t>Methods 2, 3 and 4 for the source, as set out in sections 4.95, 4.96 and Part 1.3</w:t>
            </w:r>
          </w:p>
        </w:tc>
        <w:tc>
          <w:tcPr>
            <w:tcW w:w="3179" w:type="pct"/>
            <w:tcBorders>
              <w:top w:val="single" w:sz="4" w:space="0" w:color="auto"/>
              <w:bottom w:val="nil"/>
            </w:tcBorders>
            <w:shd w:val="clear" w:color="auto" w:fill="auto"/>
          </w:tcPr>
          <w:p w:rsidR="000913EA" w:rsidRPr="006F7767" w:rsidRDefault="000913EA" w:rsidP="000913EA">
            <w:pPr>
              <w:pStyle w:val="Tablea"/>
            </w:pPr>
            <w:r w:rsidRPr="006F7767">
              <w:t>(a) the tonnes of other metal produced</w:t>
            </w:r>
          </w:p>
          <w:p w:rsidR="000913EA" w:rsidRPr="006F7767" w:rsidRDefault="000913EA" w:rsidP="000913EA">
            <w:pPr>
              <w:pStyle w:val="Tablea"/>
            </w:pPr>
            <w:r w:rsidRPr="006F7767">
              <w:t>(b) the carbon content factor of the other metal, in tonnes of carbon per tonne of output</w:t>
            </w:r>
          </w:p>
          <w:p w:rsidR="000913EA" w:rsidRPr="006F7767" w:rsidRDefault="000913EA" w:rsidP="000913EA">
            <w:pPr>
              <w:pStyle w:val="Tablea"/>
            </w:pPr>
            <w:r w:rsidRPr="006F7767">
              <w:t>(c) the tonnes of solid waste by</w:t>
            </w:r>
            <w:r w:rsidRPr="006F7767">
              <w:noBreakHyphen/>
              <w:t>products containing carbon produced</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(d) the average carbon content factor of solid waste by</w:t>
            </w:r>
            <w:r w:rsidRPr="006F7767">
              <w:noBreakHyphen/>
              <w:t>products, in tonnes of carbon per tonne of solid waste by</w:t>
            </w:r>
            <w:r w:rsidRPr="006F7767">
              <w:noBreakHyphen/>
              <w:t>product</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(e) the change in stock containing carbon, in tonnes</w:t>
            </w:r>
          </w:p>
          <w:p w:rsidR="000913EA" w:rsidRPr="006F7767" w:rsidRDefault="000913EA" w:rsidP="000913EA">
            <w:pPr>
              <w:pStyle w:val="Tablea"/>
            </w:pPr>
            <w:r w:rsidRPr="006F7767">
              <w:t>(f) the carbon content factor of the change in stock, in tonnes of carbon per tonne of stock</w:t>
            </w:r>
          </w:p>
        </w:tc>
      </w:tr>
      <w:tr w:rsidR="000913EA" w:rsidRPr="006F7767" w:rsidTr="000913EA">
        <w:trPr>
          <w:cantSplit/>
          <w:trHeight w:val="780"/>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(g) the facility specific carbon content factor for each fuel type consumed, or each carbonaceous input material consumed, in tonnes of carbon per:</w:t>
            </w:r>
          </w:p>
        </w:tc>
      </w:tr>
      <w:tr w:rsidR="008E67DD" w:rsidRPr="006F7767" w:rsidTr="008E67DD">
        <w:trPr>
          <w:cantSplit/>
          <w:trHeight w:val="698"/>
        </w:trPr>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i"/>
            </w:pPr>
            <w:r w:rsidRPr="006F7767">
              <w:t>(i) tonne of fuel or carbonaceous input material; or</w:t>
            </w:r>
          </w:p>
          <w:p w:rsidR="000913EA" w:rsidRPr="006F7767" w:rsidRDefault="000913EA" w:rsidP="000913EA">
            <w:pPr>
              <w:pStyle w:val="Tablei"/>
            </w:pPr>
            <w:r w:rsidRPr="006F7767">
              <w:t>(ii) cubic metre of fuel or carbonaceous input material; or</w:t>
            </w:r>
          </w:p>
          <w:p w:rsidR="000913EA" w:rsidRPr="006F7767" w:rsidRDefault="000913EA" w:rsidP="000913EA">
            <w:pPr>
              <w:pStyle w:val="Tablei"/>
            </w:pPr>
            <w:r w:rsidRPr="006F7767">
              <w:t>(iii) kilolitre of fuel or carbonaceous input material</w:t>
            </w:r>
          </w:p>
        </w:tc>
      </w:tr>
      <w:tr w:rsidR="000913EA" w:rsidRPr="006F7767" w:rsidTr="000913EA">
        <w:tc>
          <w:tcPr>
            <w:tcW w:w="431" w:type="pct"/>
            <w:tcBorders>
              <w:top w:val="nil"/>
              <w:bottom w:val="nil"/>
            </w:tcBorders>
            <w:shd w:val="clear" w:color="auto" w:fill="auto"/>
          </w:tcPr>
          <w:p w:rsidR="000913EA" w:rsidRPr="006F7767" w:rsidRDefault="000913EA" w:rsidP="000913EA">
            <w:pPr>
              <w:pStyle w:val="Tabletext"/>
            </w:pPr>
          </w:p>
        </w:tc>
        <w:tc>
          <w:tcPr>
            <w:tcW w:w="1390" w:type="pct"/>
            <w:tcBorders>
              <w:top w:val="nil"/>
              <w:bottom w:val="nil"/>
            </w:tcBorders>
            <w:shd w:val="clear" w:color="auto" w:fill="auto"/>
          </w:tcPr>
          <w:p w:rsidR="000913EA" w:rsidRPr="006F7767" w:rsidRDefault="000913EA" w:rsidP="000913EA">
            <w:pPr>
              <w:pStyle w:val="Tabletext"/>
            </w:pPr>
          </w:p>
        </w:tc>
        <w:tc>
          <w:tcPr>
            <w:tcW w:w="3179" w:type="pct"/>
            <w:tcBorders>
              <w:top w:val="nil"/>
              <w:bottom w:val="nil"/>
            </w:tcBorders>
            <w:shd w:val="clear" w:color="auto" w:fill="auto"/>
          </w:tcPr>
          <w:p w:rsidR="000913EA" w:rsidRPr="006F7767" w:rsidRDefault="000913EA" w:rsidP="000913EA">
            <w:pPr>
              <w:pStyle w:val="Tablea"/>
            </w:pPr>
            <w:r w:rsidRPr="006F7767">
              <w:t>(h) the tonnes of pure calcium carbonate consumed</w:t>
            </w:r>
          </w:p>
          <w:p w:rsidR="000913EA" w:rsidRPr="006F7767" w:rsidRDefault="000913EA" w:rsidP="000913EA">
            <w:pPr>
              <w:pStyle w:val="Tablea"/>
            </w:pPr>
            <w:r w:rsidRPr="006F7767">
              <w:t>(i) the tonnes of pure dolomite consumed</w:t>
            </w:r>
          </w:p>
        </w:tc>
      </w:tr>
      <w:tr w:rsidR="000913EA" w:rsidRPr="006F7767" w:rsidTr="000913EA">
        <w:tc>
          <w:tcPr>
            <w:tcW w:w="431" w:type="pct"/>
            <w:tcBorders>
              <w:top w:val="nil"/>
              <w:bottom w:val="single" w:sz="12" w:space="0" w:color="auto"/>
            </w:tcBorders>
            <w:shd w:val="clear" w:color="auto" w:fill="auto"/>
          </w:tcPr>
          <w:p w:rsidR="000913EA" w:rsidRPr="006F7767" w:rsidRDefault="000913EA" w:rsidP="000913EA">
            <w:pPr>
              <w:pStyle w:val="Tabletext"/>
            </w:pPr>
            <w:bookmarkStart w:id="151" w:name="CU_14266830"/>
            <w:bookmarkEnd w:id="151"/>
          </w:p>
        </w:tc>
        <w:tc>
          <w:tcPr>
            <w:tcW w:w="1390" w:type="pct"/>
            <w:tcBorders>
              <w:top w:val="nil"/>
              <w:bottom w:val="single" w:sz="12" w:space="0" w:color="auto"/>
            </w:tcBorders>
            <w:shd w:val="clear" w:color="auto" w:fill="auto"/>
          </w:tcPr>
          <w:p w:rsidR="000913EA" w:rsidRPr="006F7767" w:rsidRDefault="000913EA" w:rsidP="000913EA">
            <w:pPr>
              <w:pStyle w:val="Tabletext"/>
            </w:pPr>
          </w:p>
        </w:tc>
        <w:tc>
          <w:tcPr>
            <w:tcW w:w="3179" w:type="pct"/>
            <w:tcBorders>
              <w:top w:val="nil"/>
              <w:bottom w:val="single" w:sz="12" w:space="0" w:color="auto"/>
            </w:tcBorders>
            <w:shd w:val="clear" w:color="auto" w:fill="auto"/>
          </w:tcPr>
          <w:p w:rsidR="000913EA" w:rsidRPr="006F7767" w:rsidRDefault="000913EA" w:rsidP="000913EA">
            <w:pPr>
              <w:pStyle w:val="Tablea"/>
            </w:pPr>
            <w:r w:rsidRPr="006F7767">
              <w:t>(j) the tonnes of pure magnesium carbonate consumed</w:t>
            </w:r>
          </w:p>
          <w:p w:rsidR="000913EA" w:rsidRPr="006F7767" w:rsidRDefault="000913EA" w:rsidP="000913EA">
            <w:pPr>
              <w:pStyle w:val="Tablea"/>
            </w:pPr>
            <w:r w:rsidRPr="006F7767">
              <w:t>(k) the tonnes of any other pure carbonate consumed</w:t>
            </w:r>
          </w:p>
        </w:tc>
      </w:tr>
    </w:tbl>
    <w:p w:rsidR="000913EA" w:rsidRPr="006F7767" w:rsidRDefault="000913EA" w:rsidP="000913EA">
      <w:pPr>
        <w:pStyle w:val="h2Part"/>
        <w:pageBreakBefore/>
      </w:pPr>
      <w:bookmarkStart w:id="152" w:name="f_Check_Lines_above"/>
      <w:bookmarkStart w:id="153" w:name="BK_S4P137L1C1"/>
      <w:bookmarkStart w:id="154" w:name="_Toc46932455"/>
      <w:bookmarkEnd w:id="152"/>
      <w:bookmarkEnd w:id="153"/>
      <w:r w:rsidRPr="006F7767">
        <w:rPr>
          <w:rStyle w:val="CharPartNo"/>
        </w:rPr>
        <w:lastRenderedPageBreak/>
        <w:t>Part 6</w:t>
      </w:r>
      <w:r w:rsidRPr="006F7767">
        <w:t>—</w:t>
      </w:r>
      <w:r w:rsidRPr="006F7767">
        <w:rPr>
          <w:rStyle w:val="CharPartText"/>
        </w:rPr>
        <w:t>Waste</w:t>
      </w:r>
      <w:bookmarkEnd w:id="154"/>
    </w:p>
    <w:p w:rsidR="000913EA" w:rsidRPr="006F7767" w:rsidRDefault="000913EA" w:rsidP="000913EA">
      <w:pPr>
        <w:pStyle w:val="TableHeading"/>
      </w:pPr>
      <w:r w:rsidRPr="006F7767">
        <w:t>Source 4A—Solid waste disposal on land</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0"/>
        <w:gridCol w:w="2616"/>
        <w:gridCol w:w="5580"/>
      </w:tblGrid>
      <w:tr w:rsidR="000913EA" w:rsidRPr="006F7767" w:rsidTr="000913EA">
        <w:trPr>
          <w:tblHeader/>
        </w:trPr>
        <w:tc>
          <w:tcPr>
            <w:tcW w:w="46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449"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091"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Tr="000913EA">
        <w:tc>
          <w:tcPr>
            <w:tcW w:w="460" w:type="pct"/>
            <w:tcBorders>
              <w:top w:val="single" w:sz="12" w:space="0" w:color="auto"/>
              <w:bottom w:val="nil"/>
            </w:tcBorders>
            <w:shd w:val="clear" w:color="auto" w:fill="auto"/>
          </w:tcPr>
          <w:p w:rsidR="000913EA" w:rsidRPr="006F7767" w:rsidRDefault="000913EA" w:rsidP="000913EA">
            <w:pPr>
              <w:pStyle w:val="Tabletext"/>
            </w:pPr>
            <w:r w:rsidRPr="006F7767">
              <w:t>1</w:t>
            </w:r>
          </w:p>
        </w:tc>
        <w:tc>
          <w:tcPr>
            <w:tcW w:w="1449" w:type="pct"/>
            <w:tcBorders>
              <w:top w:val="single" w:sz="12" w:space="0" w:color="auto"/>
              <w:bottom w:val="nil"/>
            </w:tcBorders>
            <w:shd w:val="clear" w:color="auto" w:fill="auto"/>
          </w:tcPr>
          <w:p w:rsidR="000913EA" w:rsidRPr="006F7767" w:rsidRDefault="000913EA" w:rsidP="000913EA">
            <w:pPr>
              <w:pStyle w:val="Tabletext"/>
            </w:pPr>
            <w:r w:rsidRPr="006F7767">
              <w:t>Method 1 for the source, as set out in sections 5.4 and 5.22</w:t>
            </w:r>
          </w:p>
        </w:tc>
        <w:tc>
          <w:tcPr>
            <w:tcW w:w="3091" w:type="pct"/>
            <w:tcBorders>
              <w:top w:val="single" w:sz="12" w:space="0" w:color="auto"/>
              <w:bottom w:val="nil"/>
            </w:tcBorders>
            <w:shd w:val="clear" w:color="auto" w:fill="auto"/>
          </w:tcPr>
          <w:p w:rsidR="000913EA" w:rsidRPr="006F7767" w:rsidRDefault="000913EA" w:rsidP="000913EA">
            <w:pPr>
              <w:pStyle w:val="Tablea"/>
            </w:pPr>
            <w:r w:rsidRPr="006F7767">
              <w:t>(a) the location of the landfill facility by State or Territory or by landfill classification specified in the Determination</w:t>
            </w:r>
          </w:p>
          <w:p w:rsidR="000913EA" w:rsidRPr="006F7767" w:rsidRDefault="000913EA" w:rsidP="000913EA">
            <w:pPr>
              <w:pStyle w:val="Tablea"/>
            </w:pPr>
            <w:r w:rsidRPr="006F7767">
              <w:t>(b) the number of years in operation</w:t>
            </w:r>
          </w:p>
        </w:tc>
      </w:tr>
      <w:tr w:rsidR="000913EA" w:rsidRPr="006F7767" w:rsidTr="000913EA">
        <w:trPr>
          <w:trHeight w:val="425"/>
        </w:trPr>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(c) the average annual amount (in tonnes) of disposal of solid waste over the lifetime of the landfill facility prior to the first year of reporting</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(d) the total tonnes of waste entering the landfill</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(e) the tonnes of waste entering the landfill from each of the following:</w:t>
            </w:r>
          </w:p>
          <w:p w:rsidR="000913EA" w:rsidRPr="006F7767" w:rsidRDefault="000913EA" w:rsidP="000913EA">
            <w:pPr>
              <w:pStyle w:val="Tablei"/>
            </w:pPr>
            <w:r w:rsidRPr="006F7767">
              <w:t>(i) municipal sources;</w:t>
            </w:r>
          </w:p>
          <w:p w:rsidR="000913EA" w:rsidRPr="006F7767" w:rsidRDefault="000913EA" w:rsidP="000913EA">
            <w:pPr>
              <w:pStyle w:val="Tablei"/>
            </w:pPr>
            <w:r w:rsidRPr="006F7767">
              <w:t>(ii) commercial and industrial sources;</w:t>
            </w:r>
          </w:p>
          <w:p w:rsidR="000913EA" w:rsidRPr="006F7767" w:rsidRDefault="000913EA" w:rsidP="000913EA">
            <w:pPr>
              <w:pStyle w:val="Tablei"/>
            </w:pPr>
            <w:r w:rsidRPr="006F7767">
              <w:t xml:space="preserve">(iii) construction and demolition sources; </w:t>
            </w:r>
          </w:p>
        </w:tc>
      </w:tr>
      <w:tr w:rsidR="000913EA" w:rsidRPr="006F7767" w:rsidDel="0088556F" w:rsidTr="000913EA">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i"/>
              <w:rPr>
                <w:rFonts w:eastAsiaTheme="minorHAnsi"/>
                <w:lang w:eastAsia="en-US"/>
              </w:rPr>
            </w:pPr>
            <w:r w:rsidRPr="006F7767">
              <w:t xml:space="preserve">(iv) </w:t>
            </w:r>
            <w:r w:rsidRPr="006F7767">
              <w:tab/>
              <w:t>alternative waste treatment facilities;</w:t>
            </w:r>
          </w:p>
          <w:p w:rsidR="000913EA" w:rsidRPr="006F7767" w:rsidRDefault="000913EA" w:rsidP="000913EA">
            <w:pPr>
              <w:pStyle w:val="Tablei"/>
              <w:rPr>
                <w:rFonts w:eastAsiaTheme="minorHAnsi"/>
                <w:lang w:eastAsia="en-US"/>
              </w:rPr>
            </w:pPr>
            <w:r w:rsidRPr="006F7767">
              <w:t>(v) shredder flock;</w:t>
            </w:r>
          </w:p>
          <w:p w:rsidR="000913EA" w:rsidRPr="006F7767" w:rsidRDefault="000913EA" w:rsidP="000913EA">
            <w:pPr>
              <w:pStyle w:val="Tablei"/>
              <w:rPr>
                <w:rFonts w:eastAsiaTheme="minorHAnsi"/>
                <w:lang w:eastAsia="en-US"/>
              </w:rPr>
            </w:pPr>
            <w:r w:rsidRPr="006F7767">
              <w:t>(vi)</w:t>
            </w:r>
            <w:r w:rsidRPr="006F7767">
              <w:tab/>
              <w:t xml:space="preserve"> inert waste</w:t>
            </w:r>
          </w:p>
          <w:p w:rsidR="000913EA" w:rsidRPr="006F7767" w:rsidRDefault="000913EA" w:rsidP="000913EA">
            <w:pPr>
              <w:pStyle w:val="Tablea"/>
            </w:pPr>
            <w:r w:rsidRPr="006F7767">
              <w:t>(f) the tonnes of waste received at the landfill facility for each of the following:</w:t>
            </w:r>
          </w:p>
          <w:p w:rsidR="000913EA" w:rsidRPr="006F7767" w:rsidDel="0088556F" w:rsidRDefault="000913EA" w:rsidP="000913EA">
            <w:pPr>
              <w:pStyle w:val="Tablei"/>
            </w:pPr>
            <w:r w:rsidRPr="006F7767">
              <w:t>(i) transfer to an external recycling or biological treatment facility;</w:t>
            </w:r>
          </w:p>
        </w:tc>
      </w:tr>
      <w:tr w:rsidR="000913EA" w:rsidRPr="006F7767" w:rsidTr="000913EA">
        <w:trPr>
          <w:trHeight w:val="235"/>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i"/>
            </w:pPr>
            <w:r w:rsidRPr="006F7767">
              <w:t>(ii) recycling or biological treatment onsite;</w:t>
            </w:r>
          </w:p>
        </w:tc>
      </w:tr>
      <w:tr w:rsidR="000913EA" w:rsidRPr="006F7767" w:rsidTr="000913EA">
        <w:trPr>
          <w:trHeight w:val="205"/>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i"/>
            </w:pPr>
            <w:r w:rsidRPr="006F7767">
              <w:t>(iii) construction purposes, daily cover purposes, intermediate cover purposes or final capping and cover purposes (inert waste only)</w:t>
            </w:r>
          </w:p>
        </w:tc>
      </w:tr>
      <w:tr w:rsidR="000913EA" w:rsidRPr="006F7767" w:rsidTr="000913EA">
        <w:trPr>
          <w:trHeight w:val="461"/>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rPr>
                <w:rFonts w:eastAsiaTheme="minorHAnsi"/>
                <w:lang w:eastAsia="en-US"/>
              </w:rPr>
            </w:pPr>
            <w:r w:rsidRPr="006F7767">
              <w:t>(g) the percentages of each waste mix type entering the landfill in each of the following:</w:t>
            </w:r>
          </w:p>
          <w:p w:rsidR="000913EA" w:rsidRPr="006F7767" w:rsidRDefault="000913EA" w:rsidP="000913EA">
            <w:pPr>
              <w:pStyle w:val="Tablei"/>
              <w:rPr>
                <w:rFonts w:eastAsiaTheme="minorHAnsi"/>
                <w:lang w:eastAsia="en-US"/>
              </w:rPr>
            </w:pPr>
            <w:r w:rsidRPr="006F7767">
              <w:t>(i) municipal solid waste;</w:t>
            </w:r>
          </w:p>
          <w:p w:rsidR="000913EA" w:rsidRPr="006F7767" w:rsidRDefault="000913EA" w:rsidP="000913EA">
            <w:pPr>
              <w:pStyle w:val="Tablei"/>
              <w:rPr>
                <w:rFonts w:eastAsiaTheme="minorHAnsi"/>
                <w:lang w:eastAsia="en-US"/>
              </w:rPr>
            </w:pPr>
            <w:r w:rsidRPr="006F7767">
              <w:t>(ii) commercial and industrial waste;</w:t>
            </w:r>
          </w:p>
          <w:p w:rsidR="000913EA" w:rsidRPr="006F7767" w:rsidRDefault="000913EA" w:rsidP="000913EA">
            <w:pPr>
              <w:pStyle w:val="Tablei"/>
              <w:rPr>
                <w:rFonts w:eastAsiaTheme="minorHAnsi"/>
                <w:lang w:eastAsia="en-US"/>
              </w:rPr>
            </w:pPr>
            <w:r w:rsidRPr="006F7767">
              <w:t>(iii) construction and demolition waste;</w:t>
            </w:r>
          </w:p>
          <w:p w:rsidR="000913EA" w:rsidRPr="006F7767" w:rsidRDefault="000913EA" w:rsidP="000913EA">
            <w:pPr>
              <w:pStyle w:val="Tablei"/>
            </w:pPr>
            <w:r w:rsidRPr="006F7767">
              <w:t>(iv)</w:t>
            </w:r>
            <w:r w:rsidRPr="006F7767">
              <w:tab/>
              <w:t xml:space="preserve"> shredder flock</w:t>
            </w:r>
          </w:p>
        </w:tc>
      </w:tr>
      <w:tr w:rsidR="000913EA" w:rsidRPr="006F7767" w:rsidTr="000913EA">
        <w:trPr>
          <w:trHeight w:val="450"/>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(h) the opening stock of degradable organic carbon, in tonnes</w:t>
            </w:r>
          </w:p>
        </w:tc>
      </w:tr>
      <w:tr w:rsidR="000913EA" w:rsidRPr="006F7767" w:rsidTr="000913EA">
        <w:trPr>
          <w:trHeight w:val="318"/>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(i) if the total amount of scope 1 emissions from the operation of the facility during the year is more than 100 000 tonnes CO</w:t>
            </w:r>
            <w:r w:rsidRPr="006F7767">
              <w:rPr>
                <w:vertAlign w:val="subscript"/>
              </w:rPr>
              <w:t>2</w:t>
            </w:r>
            <w:r w:rsidRPr="006F7767">
              <w:noBreakHyphen/>
              <w:t>e—the following matters:</w:t>
            </w:r>
          </w:p>
          <w:p w:rsidR="000913EA" w:rsidRPr="006F7767" w:rsidRDefault="000913EA" w:rsidP="000913EA">
            <w:pPr>
              <w:pStyle w:val="Tablei"/>
            </w:pPr>
            <w:r w:rsidRPr="006F7767">
              <w:t>(i) the legacy emissions from decomposition of waste;</w:t>
            </w:r>
          </w:p>
          <w:p w:rsidR="000913EA" w:rsidRPr="006F7767" w:rsidRDefault="000913EA" w:rsidP="000913EA">
            <w:pPr>
              <w:pStyle w:val="Tablei"/>
            </w:pPr>
            <w:r w:rsidRPr="006F7767">
              <w:t>(ii) the emissions, other than legacy emissions, from decomposition of waste;</w:t>
            </w:r>
          </w:p>
          <w:p w:rsidR="000913EA" w:rsidRPr="006F7767" w:rsidRDefault="000913EA" w:rsidP="000913EA">
            <w:pPr>
              <w:pStyle w:val="Tablei"/>
            </w:pPr>
            <w:r w:rsidRPr="006F7767">
              <w:t>(iii) the tonnes of methane (CO</w:t>
            </w:r>
            <w:r w:rsidRPr="006F7767">
              <w:rPr>
                <w:vertAlign w:val="subscript"/>
              </w:rPr>
              <w:t>2</w:t>
            </w:r>
            <w:r w:rsidRPr="006F7767">
              <w:noBreakHyphen/>
              <w:t>e) captured for combustion that are legacy emissions;</w:t>
            </w:r>
          </w:p>
          <w:p w:rsidR="000913EA" w:rsidRPr="006F7767" w:rsidRDefault="000913EA" w:rsidP="000913EA">
            <w:pPr>
              <w:pStyle w:val="Tablei"/>
            </w:pPr>
            <w:r w:rsidRPr="006F7767">
              <w:t>(iv) the tonnes of methane (CO</w:t>
            </w:r>
            <w:r w:rsidRPr="006F7767">
              <w:rPr>
                <w:vertAlign w:val="subscript"/>
              </w:rPr>
              <w:t>2</w:t>
            </w:r>
            <w:r w:rsidRPr="006F7767">
              <w:noBreakHyphen/>
              <w:t>e) captured for combustion that are not legacy emissions;</w:t>
            </w:r>
          </w:p>
          <w:p w:rsidR="000913EA" w:rsidRPr="006F7767" w:rsidRDefault="000913EA" w:rsidP="000913EA">
            <w:pPr>
              <w:pStyle w:val="Tablei"/>
            </w:pPr>
            <w:r w:rsidRPr="006F7767">
              <w:t>(v) the tonnes of methane (CO</w:t>
            </w:r>
            <w:r w:rsidRPr="006F7767">
              <w:rPr>
                <w:vertAlign w:val="subscript"/>
              </w:rPr>
              <w:t>2</w:t>
            </w:r>
            <w:r w:rsidRPr="006F7767">
              <w:noBreakHyphen/>
              <w:t>e) captured and transferred offsite that are legacy emissions;</w:t>
            </w:r>
          </w:p>
          <w:p w:rsidR="000913EA" w:rsidRPr="006F7767" w:rsidRDefault="000913EA" w:rsidP="000913EA">
            <w:pPr>
              <w:pStyle w:val="Tablei"/>
            </w:pPr>
            <w:r w:rsidRPr="006F7767">
              <w:t>(vi) the tonnes of methane (CO</w:t>
            </w:r>
            <w:r w:rsidRPr="006F7767">
              <w:rPr>
                <w:vertAlign w:val="subscript"/>
              </w:rPr>
              <w:t>2</w:t>
            </w:r>
            <w:r w:rsidRPr="006F7767">
              <w:noBreakHyphen/>
              <w:t>e) captured and transferred offsite that are not legacy emissions;</w:t>
            </w:r>
          </w:p>
          <w:p w:rsidR="000913EA" w:rsidRPr="006F7767" w:rsidRDefault="000913EA" w:rsidP="000913EA">
            <w:pPr>
              <w:pStyle w:val="Tablei"/>
            </w:pPr>
            <w:r w:rsidRPr="006F7767">
              <w:t>(vii) the tonnes of methane (CO</w:t>
            </w:r>
            <w:r w:rsidRPr="006F7767">
              <w:rPr>
                <w:vertAlign w:val="subscript"/>
              </w:rPr>
              <w:t>2</w:t>
            </w:r>
            <w:r w:rsidRPr="006F7767">
              <w:noBreakHyphen/>
              <w:t>e) flared that are legacy emissions;</w:t>
            </w:r>
          </w:p>
          <w:p w:rsidR="000913EA" w:rsidRPr="006F7767" w:rsidRDefault="000913EA" w:rsidP="000913EA">
            <w:pPr>
              <w:pStyle w:val="Tablei"/>
            </w:pPr>
            <w:r w:rsidRPr="006F7767">
              <w:t>(viii) the tonnes of methane (CO</w:t>
            </w:r>
            <w:r w:rsidRPr="006F7767">
              <w:rPr>
                <w:vertAlign w:val="subscript"/>
              </w:rPr>
              <w:t>2</w:t>
            </w:r>
            <w:r w:rsidRPr="006F7767">
              <w:noBreakHyphen/>
              <w:t>e) flared that are not legacy emissions;</w:t>
            </w:r>
          </w:p>
        </w:tc>
      </w:tr>
      <w:tr w:rsidR="000913EA" w:rsidRPr="006F7767" w:rsidTr="000913EA">
        <w:trPr>
          <w:trHeight w:val="80"/>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(j) if the total amount of scope 1 emissions from the operation of the facility during the year is 100 000 tonnes CO</w:t>
            </w:r>
            <w:r w:rsidRPr="006F7767">
              <w:rPr>
                <w:vertAlign w:val="subscript"/>
              </w:rPr>
              <w:t>2</w:t>
            </w:r>
            <w:r w:rsidRPr="006F7767">
              <w:noBreakHyphen/>
              <w:t>e or less—the following matters:</w:t>
            </w:r>
          </w:p>
          <w:p w:rsidR="000913EA" w:rsidRPr="006F7767" w:rsidRDefault="000913EA" w:rsidP="000913EA">
            <w:pPr>
              <w:pStyle w:val="Tablei"/>
            </w:pPr>
            <w:r w:rsidRPr="006F7767">
              <w:t>(i) the emissions from decomposition of waste;</w:t>
            </w:r>
          </w:p>
          <w:p w:rsidR="000913EA" w:rsidRPr="006F7767" w:rsidRDefault="000913EA" w:rsidP="000913EA">
            <w:pPr>
              <w:pStyle w:val="Tablei"/>
            </w:pPr>
            <w:r w:rsidRPr="006F7767">
              <w:t>(ii) the tonnes of methane (CO</w:t>
            </w:r>
            <w:r w:rsidRPr="006F7767">
              <w:rPr>
                <w:vertAlign w:val="subscript"/>
              </w:rPr>
              <w:t>2</w:t>
            </w:r>
            <w:r w:rsidRPr="006F7767">
              <w:noBreakHyphen/>
              <w:t>e) captured for combustion;</w:t>
            </w:r>
          </w:p>
          <w:p w:rsidR="000913EA" w:rsidRPr="006F7767" w:rsidRDefault="000913EA" w:rsidP="000913EA">
            <w:pPr>
              <w:pStyle w:val="Tablei"/>
            </w:pPr>
            <w:r w:rsidRPr="006F7767">
              <w:t>(iii) the tonnes of methane (CO</w:t>
            </w:r>
            <w:r w:rsidRPr="006F7767">
              <w:rPr>
                <w:vertAlign w:val="subscript"/>
              </w:rPr>
              <w:t>2</w:t>
            </w:r>
            <w:r w:rsidRPr="006F7767">
              <w:noBreakHyphen/>
              <w:t>e) captured and transferred offsite;</w:t>
            </w:r>
          </w:p>
          <w:p w:rsidR="000913EA" w:rsidRPr="006F7767" w:rsidRDefault="000913EA" w:rsidP="000913EA">
            <w:pPr>
              <w:pStyle w:val="Tablei"/>
            </w:pPr>
            <w:r w:rsidRPr="006F7767">
              <w:t>(iv) the tonnes of methane (CO</w:t>
            </w:r>
            <w:r w:rsidRPr="006F7767">
              <w:rPr>
                <w:vertAlign w:val="subscript"/>
              </w:rPr>
              <w:t>2</w:t>
            </w:r>
            <w:r w:rsidRPr="006F7767">
              <w:noBreakHyphen/>
              <w:t>e) flared;</w:t>
            </w:r>
          </w:p>
        </w:tc>
      </w:tr>
      <w:tr w:rsidR="000913EA" w:rsidRPr="006F7767" w:rsidTr="000913EA">
        <w:trPr>
          <w:trHeight w:val="80"/>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(n) the tonnes of waste treated by each of the following methods:</w:t>
            </w:r>
          </w:p>
          <w:p w:rsidR="000913EA" w:rsidRPr="006F7767" w:rsidRDefault="000913EA" w:rsidP="000913EA">
            <w:pPr>
              <w:pStyle w:val="Tablei"/>
            </w:pPr>
            <w:r w:rsidRPr="006F7767">
              <w:t>(i) composting;</w:t>
            </w:r>
          </w:p>
          <w:p w:rsidR="000913EA" w:rsidRPr="006F7767" w:rsidRDefault="000913EA" w:rsidP="000913EA">
            <w:pPr>
              <w:pStyle w:val="Tablei"/>
            </w:pPr>
            <w:r w:rsidRPr="006F7767">
              <w:t>(ii) anaerobic digestion</w:t>
            </w:r>
          </w:p>
        </w:tc>
      </w:tr>
      <w:tr w:rsidR="000913EA" w:rsidRPr="006F7767" w:rsidTr="000913EA">
        <w:trPr>
          <w:trHeight w:val="80"/>
        </w:trPr>
        <w:tc>
          <w:tcPr>
            <w:tcW w:w="460" w:type="pct"/>
            <w:tcBorders>
              <w:top w:val="nil"/>
              <w:bottom w:val="single" w:sz="4" w:space="0" w:color="auto"/>
            </w:tcBorders>
            <w:shd w:val="clear" w:color="auto" w:fill="auto"/>
          </w:tcPr>
          <w:p w:rsidR="000913EA" w:rsidRPr="006F7767" w:rsidDel="0088556F" w:rsidRDefault="000913EA" w:rsidP="000913EA">
            <w:pPr>
              <w:pStyle w:val="Tabletext"/>
            </w:pPr>
          </w:p>
        </w:tc>
        <w:tc>
          <w:tcPr>
            <w:tcW w:w="1449" w:type="pct"/>
            <w:tcBorders>
              <w:top w:val="nil"/>
              <w:bottom w:val="single" w:sz="4" w:space="0" w:color="auto"/>
            </w:tcBorders>
            <w:shd w:val="clear" w:color="auto" w:fill="auto"/>
          </w:tcPr>
          <w:p w:rsidR="000913EA" w:rsidRPr="006F7767" w:rsidDel="0088556F" w:rsidRDefault="000913EA" w:rsidP="000913EA">
            <w:pPr>
              <w:pStyle w:val="Tabletext"/>
            </w:pPr>
          </w:p>
        </w:tc>
        <w:tc>
          <w:tcPr>
            <w:tcW w:w="3091" w:type="pct"/>
            <w:tcBorders>
              <w:top w:val="nil"/>
              <w:bottom w:val="single" w:sz="4" w:space="0" w:color="auto"/>
            </w:tcBorders>
            <w:shd w:val="clear" w:color="auto" w:fill="auto"/>
          </w:tcPr>
          <w:p w:rsidR="000913EA" w:rsidRPr="006F7767" w:rsidRDefault="000913EA" w:rsidP="000913EA">
            <w:pPr>
              <w:pStyle w:val="Tablea"/>
            </w:pPr>
            <w:r w:rsidRPr="006F7767">
              <w:t>(o) the tonnes of methane (CO</w:t>
            </w:r>
            <w:r w:rsidRPr="006F7767">
              <w:rPr>
                <w:rStyle w:val="charSubscript"/>
              </w:rPr>
              <w:t>2</w:t>
            </w:r>
            <w:r w:rsidRPr="006F7767">
              <w:noBreakHyphen/>
              <w:t>e) captured from each of</w:t>
            </w:r>
            <w:r w:rsidRPr="006F7767">
              <w:rPr>
                <w:i/>
              </w:rPr>
              <w:t xml:space="preserve"> </w:t>
            </w:r>
            <w:r w:rsidRPr="006F7767">
              <w:t>the following:</w:t>
            </w:r>
          </w:p>
          <w:p w:rsidR="000913EA" w:rsidRPr="006F7767" w:rsidRDefault="000913EA" w:rsidP="000913EA">
            <w:pPr>
              <w:pStyle w:val="Tablei"/>
            </w:pPr>
            <w:r w:rsidRPr="006F7767">
              <w:t>(i) composting;</w:t>
            </w:r>
          </w:p>
          <w:p w:rsidR="000913EA" w:rsidRPr="006F7767" w:rsidRDefault="000913EA" w:rsidP="000913EA">
            <w:pPr>
              <w:pStyle w:val="Tablei"/>
            </w:pPr>
            <w:r w:rsidRPr="006F7767">
              <w:t>(ii) anaerobic digestion</w:t>
            </w:r>
          </w:p>
        </w:tc>
      </w:tr>
      <w:tr w:rsidR="000913EA" w:rsidRPr="006F7767" w:rsidTr="000913EA">
        <w:trPr>
          <w:trHeight w:val="1132"/>
        </w:trPr>
        <w:tc>
          <w:tcPr>
            <w:tcW w:w="460" w:type="pct"/>
            <w:tcBorders>
              <w:top w:val="single" w:sz="4" w:space="0" w:color="auto"/>
              <w:bottom w:val="nil"/>
            </w:tcBorders>
            <w:shd w:val="clear" w:color="auto" w:fill="auto"/>
          </w:tcPr>
          <w:p w:rsidR="000913EA" w:rsidRPr="006F7767" w:rsidRDefault="000913EA" w:rsidP="000913EA">
            <w:pPr>
              <w:pStyle w:val="Tabletext"/>
            </w:pPr>
            <w:r w:rsidRPr="006F7767">
              <w:t>2</w:t>
            </w:r>
          </w:p>
        </w:tc>
        <w:tc>
          <w:tcPr>
            <w:tcW w:w="1449" w:type="pct"/>
            <w:tcBorders>
              <w:top w:val="single" w:sz="4" w:space="0" w:color="auto"/>
              <w:bottom w:val="nil"/>
            </w:tcBorders>
            <w:shd w:val="clear" w:color="auto" w:fill="auto"/>
          </w:tcPr>
          <w:p w:rsidR="000913EA" w:rsidRPr="006F7767" w:rsidRDefault="000913EA" w:rsidP="000913EA">
            <w:pPr>
              <w:pStyle w:val="Tabletext"/>
            </w:pPr>
            <w:r w:rsidRPr="006F7767">
              <w:t>Methods 2, 3 and 4 for the source, as set out in sections 5.15, 5.18 and 5.22AA</w:t>
            </w:r>
          </w:p>
        </w:tc>
        <w:tc>
          <w:tcPr>
            <w:tcW w:w="3091" w:type="pct"/>
            <w:tcBorders>
              <w:top w:val="single" w:sz="4" w:space="0" w:color="auto"/>
              <w:bottom w:val="nil"/>
            </w:tcBorders>
            <w:shd w:val="clear" w:color="auto" w:fill="auto"/>
          </w:tcPr>
          <w:p w:rsidR="000913EA" w:rsidRPr="006F7767" w:rsidRDefault="000913EA" w:rsidP="000913EA">
            <w:pPr>
              <w:pStyle w:val="Tablea"/>
            </w:pPr>
            <w:r w:rsidRPr="006F7767">
              <w:t>(a) the location of the landfill facility by State or Territory</w:t>
            </w:r>
          </w:p>
          <w:p w:rsidR="000913EA" w:rsidRPr="006F7767" w:rsidRDefault="000913EA" w:rsidP="000913EA">
            <w:pPr>
              <w:pStyle w:val="Tablea"/>
            </w:pPr>
            <w:r w:rsidRPr="006F7767">
              <w:t>(b) the number of years in operation</w:t>
            </w:r>
          </w:p>
          <w:p w:rsidR="000913EA" w:rsidRPr="006F7767" w:rsidRDefault="000913EA" w:rsidP="000913EA">
            <w:pPr>
              <w:pStyle w:val="Tablea"/>
            </w:pPr>
            <w:r w:rsidRPr="006F7767">
              <w:t>(c) the average annual amount (in tonnes) of disposal of solid waste over the lifetime of the landfill facility prior to the first year of reporting</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(d) the total tonnes of waste entering the landfill</w:t>
            </w:r>
          </w:p>
          <w:p w:rsidR="000913EA" w:rsidRPr="006F7767" w:rsidRDefault="000913EA" w:rsidP="000913EA">
            <w:pPr>
              <w:pStyle w:val="Tablea"/>
            </w:pPr>
            <w:r w:rsidRPr="006F7767">
              <w:t>(e) the opening stock of degradable organic carbon, in tonnes</w:t>
            </w:r>
          </w:p>
        </w:tc>
      </w:tr>
      <w:tr w:rsidR="000913EA" w:rsidRPr="006F7767" w:rsidDel="0088556F" w:rsidTr="000913EA">
        <w:trPr>
          <w:trHeight w:val="1452"/>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(f) the tonnes of waste entering the landfill from each of the following:</w:t>
            </w:r>
          </w:p>
          <w:p w:rsidR="000913EA" w:rsidRPr="006F7767" w:rsidRDefault="000913EA" w:rsidP="000913EA">
            <w:pPr>
              <w:pStyle w:val="Tablei"/>
            </w:pPr>
            <w:r w:rsidRPr="006F7767">
              <w:t>(i) municipal sources;</w:t>
            </w:r>
          </w:p>
          <w:p w:rsidR="000913EA" w:rsidRPr="006F7767" w:rsidRDefault="000913EA" w:rsidP="000913EA">
            <w:pPr>
              <w:pStyle w:val="Tablei"/>
            </w:pPr>
            <w:r w:rsidRPr="006F7767">
              <w:t>(ii) commercial and industrial sources;</w:t>
            </w:r>
          </w:p>
          <w:p w:rsidR="000913EA" w:rsidRPr="006F7767" w:rsidRDefault="000913EA" w:rsidP="000913EA">
            <w:pPr>
              <w:pStyle w:val="Tablei"/>
            </w:pPr>
            <w:r w:rsidRPr="006F7767">
              <w:t>(iii) construction and demolition sources;</w:t>
            </w:r>
          </w:p>
          <w:p w:rsidR="000913EA" w:rsidRPr="006F7767" w:rsidRDefault="000913EA" w:rsidP="000913EA">
            <w:pPr>
              <w:pStyle w:val="Tablei"/>
              <w:rPr>
                <w:rFonts w:eastAsiaTheme="minorHAnsi"/>
                <w:lang w:eastAsia="en-US"/>
              </w:rPr>
            </w:pPr>
            <w:r w:rsidRPr="006F7767">
              <w:t xml:space="preserve">(iv) </w:t>
            </w:r>
            <w:r w:rsidRPr="006F7767">
              <w:tab/>
              <w:t>alternative waste treatment facilities;</w:t>
            </w:r>
          </w:p>
          <w:p w:rsidR="000913EA" w:rsidRPr="006F7767" w:rsidRDefault="000913EA" w:rsidP="000913EA">
            <w:pPr>
              <w:pStyle w:val="Tablei"/>
              <w:rPr>
                <w:rFonts w:eastAsiaTheme="minorHAnsi"/>
                <w:lang w:eastAsia="en-US"/>
              </w:rPr>
            </w:pPr>
            <w:r w:rsidRPr="006F7767">
              <w:t>(v) shredder flock;</w:t>
            </w:r>
          </w:p>
          <w:p w:rsidR="000913EA" w:rsidRPr="006F7767" w:rsidDel="0088556F" w:rsidRDefault="000913EA" w:rsidP="000913EA">
            <w:pPr>
              <w:pStyle w:val="Tablei"/>
              <w:rPr>
                <w:rFonts w:ascii="Courier New" w:eastAsiaTheme="minorHAnsi" w:hAnsi="Courier New" w:cs="Courier New"/>
                <w:lang w:eastAsia="en-US"/>
              </w:rPr>
            </w:pPr>
            <w:r w:rsidRPr="006F7767">
              <w:t>(vi)</w:t>
            </w:r>
            <w:r w:rsidRPr="006F7767">
              <w:tab/>
              <w:t xml:space="preserve"> inert waste</w:t>
            </w:r>
          </w:p>
        </w:tc>
      </w:tr>
      <w:tr w:rsidR="000913EA" w:rsidRPr="006F7767" w:rsidTr="000913EA">
        <w:trPr>
          <w:trHeight w:val="1209"/>
        </w:trPr>
        <w:tc>
          <w:tcPr>
            <w:tcW w:w="460" w:type="pct"/>
            <w:tcBorders>
              <w:top w:val="nil"/>
              <w:bottom w:val="nil"/>
            </w:tcBorders>
            <w:shd w:val="clear" w:color="auto" w:fill="auto"/>
          </w:tcPr>
          <w:p w:rsidR="000913EA" w:rsidRPr="006F7767" w:rsidDel="0088556F" w:rsidRDefault="000913EA" w:rsidP="000913EA">
            <w:pPr>
              <w:pStyle w:val="Tabletext"/>
            </w:pPr>
          </w:p>
        </w:tc>
        <w:tc>
          <w:tcPr>
            <w:tcW w:w="1449" w:type="pct"/>
            <w:tcBorders>
              <w:top w:val="nil"/>
              <w:bottom w:val="nil"/>
            </w:tcBorders>
            <w:shd w:val="clear" w:color="auto" w:fill="auto"/>
          </w:tcPr>
          <w:p w:rsidR="000913EA" w:rsidRPr="006F7767" w:rsidDel="0088556F"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(g) the percentages of each waste mix type entering the landfill in each of the following:</w:t>
            </w:r>
          </w:p>
          <w:p w:rsidR="000913EA" w:rsidRPr="006F7767" w:rsidRDefault="000913EA" w:rsidP="000913EA">
            <w:pPr>
              <w:pStyle w:val="Tablei"/>
            </w:pPr>
            <w:r w:rsidRPr="006F7767">
              <w:t>(i) municipal solid waste;</w:t>
            </w:r>
          </w:p>
          <w:p w:rsidR="000913EA" w:rsidRPr="006F7767" w:rsidRDefault="000913EA" w:rsidP="000913EA">
            <w:pPr>
              <w:pStyle w:val="Tablei"/>
            </w:pPr>
            <w:r w:rsidRPr="006F7767">
              <w:t>(ii) commercial and industrial waste;</w:t>
            </w:r>
          </w:p>
          <w:p w:rsidR="000913EA" w:rsidRPr="006F7767" w:rsidRDefault="000913EA" w:rsidP="000913EA">
            <w:pPr>
              <w:pStyle w:val="Tablei"/>
            </w:pPr>
            <w:r w:rsidRPr="006F7767">
              <w:t>(iii) construction and demolition waste</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(h) the tonnes of waste received at the landfill facility for each of the following:</w:t>
            </w:r>
          </w:p>
          <w:p w:rsidR="000913EA" w:rsidRPr="006F7767" w:rsidRDefault="000913EA" w:rsidP="000913EA">
            <w:pPr>
              <w:pStyle w:val="Tablei"/>
            </w:pPr>
            <w:r w:rsidRPr="006F7767">
              <w:t>(i) transfer to an external recycling or biological treatment facility;</w:t>
            </w:r>
          </w:p>
          <w:p w:rsidR="000913EA" w:rsidRPr="006F7767" w:rsidRDefault="000913EA" w:rsidP="000913EA">
            <w:pPr>
              <w:pStyle w:val="Tablei"/>
            </w:pPr>
            <w:r w:rsidRPr="006F7767">
              <w:t>(ii) recycling or biological treatment onsite;</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i"/>
            </w:pPr>
            <w:r w:rsidRPr="006F7767">
              <w:t>(iii) construction purposes, daily cover purposes, intermediate cover purposes or final capping and cover purposes (inert waste only)</w:t>
            </w:r>
          </w:p>
        </w:tc>
      </w:tr>
      <w:tr w:rsidR="000913EA" w:rsidRPr="006F7767" w:rsidTr="000913EA">
        <w:tc>
          <w:tcPr>
            <w:tcW w:w="460" w:type="pct"/>
            <w:tcBorders>
              <w:top w:val="nil"/>
              <w:bottom w:val="nil"/>
            </w:tcBorders>
            <w:shd w:val="clear" w:color="auto" w:fill="auto"/>
          </w:tcPr>
          <w:p w:rsidR="000913EA" w:rsidRPr="006F7767" w:rsidRDefault="000913EA" w:rsidP="000913EA">
            <w:pPr>
              <w:pStyle w:val="Tabletext"/>
            </w:pPr>
          </w:p>
        </w:tc>
        <w:tc>
          <w:tcPr>
            <w:tcW w:w="1449" w:type="pct"/>
            <w:tcBorders>
              <w:top w:val="nil"/>
              <w:bottom w:val="nil"/>
            </w:tcBorders>
            <w:shd w:val="clear" w:color="auto" w:fill="auto"/>
          </w:tcPr>
          <w:p w:rsidR="000913EA" w:rsidRPr="006F7767" w:rsidRDefault="000913EA" w:rsidP="000913EA">
            <w:pPr>
              <w:pStyle w:val="Tabletext"/>
            </w:pPr>
          </w:p>
        </w:tc>
        <w:tc>
          <w:tcPr>
            <w:tcW w:w="3091" w:type="pct"/>
            <w:tcBorders>
              <w:top w:val="nil"/>
              <w:bottom w:val="nil"/>
            </w:tcBorders>
            <w:shd w:val="clear" w:color="auto" w:fill="auto"/>
          </w:tcPr>
          <w:p w:rsidR="000913EA" w:rsidRPr="006F7767" w:rsidRDefault="000913EA" w:rsidP="000913EA">
            <w:pPr>
              <w:pStyle w:val="Tablea"/>
            </w:pPr>
            <w:r w:rsidRPr="006F7767">
              <w:t>(i) the facility specific k value for each of the following waste mix types:</w:t>
            </w:r>
          </w:p>
          <w:p w:rsidR="000913EA" w:rsidRPr="006F7767" w:rsidRDefault="000913EA" w:rsidP="000913EA">
            <w:pPr>
              <w:pStyle w:val="Tablei"/>
            </w:pPr>
            <w:r w:rsidRPr="006F7767">
              <w:t>(i) food;</w:t>
            </w:r>
          </w:p>
          <w:p w:rsidR="000913EA" w:rsidRPr="006F7767" w:rsidRDefault="000913EA" w:rsidP="000913EA">
            <w:pPr>
              <w:pStyle w:val="Tablei"/>
            </w:pPr>
            <w:r w:rsidRPr="006F7767">
              <w:t>(ii) paper and cardboard;</w:t>
            </w:r>
          </w:p>
          <w:p w:rsidR="000913EA" w:rsidRPr="006F7767" w:rsidRDefault="000913EA" w:rsidP="000913EA">
            <w:pPr>
              <w:pStyle w:val="Tablei"/>
            </w:pPr>
            <w:r w:rsidRPr="006F7767">
              <w:t>(iii) garden and green;</w:t>
            </w:r>
          </w:p>
          <w:p w:rsidR="000913EA" w:rsidRPr="006F7767" w:rsidRDefault="000913EA" w:rsidP="000913EA">
            <w:pPr>
              <w:pStyle w:val="Tablei"/>
            </w:pPr>
            <w:r w:rsidRPr="006F7767">
              <w:t>(iv) wood;</w:t>
            </w:r>
          </w:p>
          <w:p w:rsidR="000913EA" w:rsidRPr="006F7767" w:rsidRDefault="000913EA" w:rsidP="000913EA">
            <w:pPr>
              <w:pStyle w:val="Tablei"/>
            </w:pPr>
            <w:r w:rsidRPr="006F7767">
              <w:t>(v) textiles;</w:t>
            </w:r>
          </w:p>
          <w:p w:rsidR="000913EA" w:rsidRPr="006F7767" w:rsidRDefault="000913EA" w:rsidP="000913EA">
            <w:pPr>
              <w:pStyle w:val="Tablei"/>
            </w:pPr>
            <w:r w:rsidRPr="006F7767">
              <w:t>(vi) sludge;</w:t>
            </w:r>
          </w:p>
          <w:p w:rsidR="000913EA" w:rsidRPr="006F7767" w:rsidRDefault="000913EA" w:rsidP="000913EA">
            <w:pPr>
              <w:pStyle w:val="Tablei"/>
            </w:pPr>
            <w:r w:rsidRPr="006F7767">
              <w:t>(vii) nappies;</w:t>
            </w:r>
          </w:p>
          <w:p w:rsidR="000913EA" w:rsidRPr="006F7767" w:rsidRDefault="000913EA" w:rsidP="000913EA">
            <w:pPr>
              <w:pStyle w:val="Tablei"/>
              <w:rPr>
                <w:rFonts w:ascii="Courier New" w:eastAsiaTheme="minorHAnsi" w:hAnsi="Courier New" w:cs="Courier New"/>
                <w:lang w:eastAsia="en-US"/>
              </w:rPr>
            </w:pPr>
            <w:r w:rsidRPr="006F7767">
              <w:t>(viii) rubber and leather;</w:t>
            </w:r>
          </w:p>
          <w:p w:rsidR="000913EA" w:rsidRPr="006F7767" w:rsidRDefault="000913EA" w:rsidP="000913EA">
            <w:pPr>
              <w:pStyle w:val="Tablei"/>
              <w:rPr>
                <w:rFonts w:ascii="Courier New" w:eastAsiaTheme="minorHAnsi" w:hAnsi="Courier New" w:cs="Courier New"/>
                <w:lang w:eastAsia="en-US"/>
              </w:rPr>
            </w:pPr>
            <w:r w:rsidRPr="006F7767">
              <w:t>(ix)</w:t>
            </w:r>
            <w:r w:rsidRPr="006F7767">
              <w:tab/>
              <w:t xml:space="preserve"> alternative waste treatment residues</w:t>
            </w:r>
          </w:p>
        </w:tc>
      </w:tr>
      <w:tr w:rsidR="000913EA" w:rsidRPr="006F7767" w:rsidTr="000913EA">
        <w:trPr>
          <w:trHeight w:val="598"/>
        </w:trPr>
        <w:tc>
          <w:tcPr>
            <w:tcW w:w="460" w:type="pct"/>
            <w:tcBorders>
              <w:top w:val="nil"/>
              <w:bottom w:val="nil"/>
            </w:tcBorders>
            <w:shd w:val="clear" w:color="auto" w:fill="auto"/>
          </w:tcPr>
          <w:p w:rsidR="000913EA" w:rsidRPr="006F7767" w:rsidRDefault="000913EA" w:rsidP="000913EA">
            <w:pPr>
              <w:pStyle w:val="Tablea"/>
            </w:pPr>
          </w:p>
        </w:tc>
        <w:tc>
          <w:tcPr>
            <w:tcW w:w="1449" w:type="pct"/>
            <w:tcBorders>
              <w:top w:val="nil"/>
              <w:bottom w:val="nil"/>
            </w:tcBorders>
            <w:shd w:val="clear" w:color="auto" w:fill="auto"/>
          </w:tcPr>
          <w:p w:rsidR="000913EA" w:rsidRPr="006F7767" w:rsidRDefault="000913EA" w:rsidP="000913EA">
            <w:pPr>
              <w:pStyle w:val="Tablea"/>
            </w:pPr>
          </w:p>
        </w:tc>
        <w:tc>
          <w:tcPr>
            <w:tcW w:w="3091" w:type="pct"/>
            <w:tcBorders>
              <w:top w:val="nil"/>
              <w:bottom w:val="nil"/>
            </w:tcBorders>
            <w:shd w:val="clear" w:color="auto" w:fill="auto"/>
          </w:tcPr>
          <w:p w:rsidR="000913EA" w:rsidRPr="006F7767" w:rsidRDefault="000913EA" w:rsidP="000913EA">
            <w:pPr>
              <w:pStyle w:val="Tablea"/>
            </w:pPr>
            <w:r w:rsidRPr="006F7767">
              <w:t>(j) if the total amount of scope 1 emissions from the operation of the facility during the year is more than 100 000 tonnes CO</w:t>
            </w:r>
            <w:r w:rsidRPr="006F7767">
              <w:rPr>
                <w:rStyle w:val="charSubscript"/>
              </w:rPr>
              <w:t>2</w:t>
            </w:r>
            <w:r w:rsidRPr="006F7767">
              <w:noBreakHyphen/>
              <w:t>e—the following matters:</w:t>
            </w:r>
          </w:p>
          <w:p w:rsidR="000913EA" w:rsidRPr="006F7767" w:rsidRDefault="000913EA" w:rsidP="000913EA">
            <w:pPr>
              <w:pStyle w:val="Tablei"/>
            </w:pPr>
            <w:r w:rsidRPr="006F7767">
              <w:t>(i) the legacy emissions from decomposition of waste;</w:t>
            </w:r>
          </w:p>
          <w:p w:rsidR="000913EA" w:rsidRPr="006F7767" w:rsidRDefault="000913EA" w:rsidP="000913EA">
            <w:pPr>
              <w:pStyle w:val="Tablei"/>
            </w:pPr>
            <w:r w:rsidRPr="006F7767">
              <w:t>(ii) the emissions, other than legacy emissions, from decomposition of waste;</w:t>
            </w:r>
          </w:p>
          <w:p w:rsidR="000913EA" w:rsidRPr="006F7767" w:rsidRDefault="000913EA" w:rsidP="000913EA">
            <w:pPr>
              <w:pStyle w:val="Tablei"/>
            </w:pPr>
            <w:r w:rsidRPr="006F7767">
              <w:t>(iii) the tonnes of methane (CO</w:t>
            </w:r>
            <w:r w:rsidRPr="006F7767">
              <w:rPr>
                <w:rStyle w:val="charSubscript"/>
              </w:rPr>
              <w:t>2</w:t>
            </w:r>
            <w:r w:rsidRPr="006F7767">
              <w:noBreakHyphen/>
              <w:t>e) captured for combustion that are legacy emissions;</w:t>
            </w:r>
          </w:p>
          <w:p w:rsidR="000913EA" w:rsidRPr="006F7767" w:rsidRDefault="000913EA" w:rsidP="000913EA">
            <w:pPr>
              <w:pStyle w:val="Tablei"/>
            </w:pPr>
            <w:r w:rsidRPr="006F7767">
              <w:t>(iv) the tonnes of methane (CO</w:t>
            </w:r>
            <w:r w:rsidRPr="006F7767">
              <w:rPr>
                <w:rStyle w:val="charSubscript"/>
              </w:rPr>
              <w:t>2</w:t>
            </w:r>
            <w:r w:rsidRPr="006F7767">
              <w:noBreakHyphen/>
              <w:t>e) captured for combustion that are not legacy emissions;</w:t>
            </w:r>
          </w:p>
          <w:p w:rsidR="000913EA" w:rsidRPr="006F7767" w:rsidRDefault="000913EA" w:rsidP="000913EA">
            <w:pPr>
              <w:pStyle w:val="Tablei"/>
            </w:pPr>
            <w:r w:rsidRPr="006F7767">
              <w:t>(v) the tonnes of methane (CO</w:t>
            </w:r>
            <w:r w:rsidRPr="006F7767">
              <w:rPr>
                <w:rStyle w:val="charSubscript"/>
              </w:rPr>
              <w:t>2</w:t>
            </w:r>
            <w:r w:rsidRPr="006F7767">
              <w:noBreakHyphen/>
              <w:t>e) captured and transferred offsite that are legacy emissions;</w:t>
            </w:r>
          </w:p>
          <w:p w:rsidR="000913EA" w:rsidRPr="006F7767" w:rsidRDefault="000913EA" w:rsidP="000913EA">
            <w:pPr>
              <w:pStyle w:val="Tablei"/>
            </w:pPr>
            <w:r w:rsidRPr="006F7767">
              <w:t>(vi) the tonnes of methane (CO</w:t>
            </w:r>
            <w:r w:rsidRPr="006F7767">
              <w:rPr>
                <w:rStyle w:val="charSubscript"/>
              </w:rPr>
              <w:t>2</w:t>
            </w:r>
            <w:r w:rsidRPr="006F7767">
              <w:noBreakHyphen/>
              <w:t>e) captured and transferred offsite that are not legacy emissions;</w:t>
            </w:r>
          </w:p>
          <w:p w:rsidR="000913EA" w:rsidRPr="006F7767" w:rsidRDefault="000913EA" w:rsidP="000913EA">
            <w:pPr>
              <w:pStyle w:val="Tablei"/>
            </w:pPr>
            <w:r w:rsidRPr="006F7767">
              <w:t>(vii) the tonnes of methane (CO</w:t>
            </w:r>
            <w:r w:rsidRPr="006F7767">
              <w:rPr>
                <w:rStyle w:val="charSubscript"/>
              </w:rPr>
              <w:t>2</w:t>
            </w:r>
            <w:r w:rsidRPr="006F7767">
              <w:noBreakHyphen/>
              <w:t>e) flared that are legacy emissions;</w:t>
            </w:r>
          </w:p>
          <w:p w:rsidR="000913EA" w:rsidRPr="006F7767" w:rsidRDefault="000913EA" w:rsidP="000913EA">
            <w:pPr>
              <w:pStyle w:val="Tablei"/>
            </w:pPr>
            <w:r w:rsidRPr="006F7767">
              <w:t>(viii) the tonnes of methane (CO</w:t>
            </w:r>
            <w:r w:rsidRPr="006F7767">
              <w:rPr>
                <w:rStyle w:val="charSubscript"/>
              </w:rPr>
              <w:t>2</w:t>
            </w:r>
            <w:r w:rsidRPr="006F7767">
              <w:noBreakHyphen/>
              <w:t>e) flared that are not legacy emissions;</w:t>
            </w:r>
          </w:p>
        </w:tc>
      </w:tr>
      <w:tr w:rsidR="000913EA" w:rsidRPr="006F7767" w:rsidTr="000913EA">
        <w:trPr>
          <w:trHeight w:val="658"/>
        </w:trPr>
        <w:tc>
          <w:tcPr>
            <w:tcW w:w="460" w:type="pct"/>
            <w:tcBorders>
              <w:top w:val="nil"/>
              <w:bottom w:val="nil"/>
            </w:tcBorders>
            <w:shd w:val="clear" w:color="auto" w:fill="auto"/>
          </w:tcPr>
          <w:p w:rsidR="000913EA" w:rsidRPr="006F7767" w:rsidRDefault="000913EA" w:rsidP="000913EA">
            <w:pPr>
              <w:pStyle w:val="Tablea"/>
            </w:pPr>
          </w:p>
        </w:tc>
        <w:tc>
          <w:tcPr>
            <w:tcW w:w="1449" w:type="pct"/>
            <w:tcBorders>
              <w:top w:val="nil"/>
              <w:bottom w:val="nil"/>
            </w:tcBorders>
            <w:shd w:val="clear" w:color="auto" w:fill="auto"/>
          </w:tcPr>
          <w:p w:rsidR="000913EA" w:rsidRPr="006F7767" w:rsidRDefault="000913EA" w:rsidP="000913EA">
            <w:pPr>
              <w:pStyle w:val="Tablea"/>
            </w:pPr>
          </w:p>
        </w:tc>
        <w:tc>
          <w:tcPr>
            <w:tcW w:w="3091" w:type="pct"/>
            <w:tcBorders>
              <w:top w:val="nil"/>
              <w:bottom w:val="nil"/>
            </w:tcBorders>
            <w:shd w:val="clear" w:color="auto" w:fill="auto"/>
          </w:tcPr>
          <w:p w:rsidR="000913EA" w:rsidRPr="006F7767" w:rsidRDefault="000913EA" w:rsidP="000913EA">
            <w:pPr>
              <w:pStyle w:val="Tablea"/>
            </w:pPr>
            <w:r w:rsidRPr="006F7767">
              <w:t>(k) if the total amount of scope 1 emissions from the operation of the facility during the year is 100 000 tonnes CO</w:t>
            </w:r>
            <w:r w:rsidRPr="006F7767">
              <w:rPr>
                <w:rStyle w:val="charSubscript"/>
              </w:rPr>
              <w:t>2</w:t>
            </w:r>
            <w:r w:rsidRPr="006F7767">
              <w:noBreakHyphen/>
              <w:t>e or less—the following matters:</w:t>
            </w:r>
          </w:p>
          <w:p w:rsidR="000913EA" w:rsidRPr="006F7767" w:rsidRDefault="000913EA" w:rsidP="000913EA">
            <w:pPr>
              <w:pStyle w:val="Tablei"/>
            </w:pPr>
            <w:r w:rsidRPr="006F7767">
              <w:t>(i) the emissions from decomposition of waste;</w:t>
            </w:r>
          </w:p>
          <w:p w:rsidR="000913EA" w:rsidRPr="006F7767" w:rsidRDefault="000913EA" w:rsidP="000913EA">
            <w:pPr>
              <w:pStyle w:val="Tablei"/>
            </w:pPr>
            <w:r w:rsidRPr="006F7767">
              <w:t>(ii) the tonnes of methane (CO</w:t>
            </w:r>
            <w:r w:rsidRPr="006F7767">
              <w:rPr>
                <w:rStyle w:val="charSubscript"/>
              </w:rPr>
              <w:t>2</w:t>
            </w:r>
            <w:r w:rsidRPr="006F7767">
              <w:noBreakHyphen/>
              <w:t>e) captured for combustion;</w:t>
            </w:r>
          </w:p>
          <w:p w:rsidR="000913EA" w:rsidRPr="006F7767" w:rsidRDefault="000913EA" w:rsidP="000913EA">
            <w:pPr>
              <w:pStyle w:val="Tablei"/>
            </w:pPr>
            <w:r w:rsidRPr="006F7767">
              <w:t>(iii) the tonnes of methane (CO</w:t>
            </w:r>
            <w:r w:rsidRPr="006F7767">
              <w:rPr>
                <w:rStyle w:val="charSubscript"/>
              </w:rPr>
              <w:t>2</w:t>
            </w:r>
            <w:r w:rsidRPr="006F7767">
              <w:noBreakHyphen/>
              <w:t>e) captured and transferred offsite;</w:t>
            </w:r>
          </w:p>
          <w:p w:rsidR="000913EA" w:rsidRPr="006F7767" w:rsidRDefault="000913EA" w:rsidP="000913EA">
            <w:pPr>
              <w:pStyle w:val="Tablei"/>
            </w:pPr>
            <w:r w:rsidRPr="006F7767">
              <w:t>(iv) the tonnes of methane (CO</w:t>
            </w:r>
            <w:r w:rsidRPr="006F7767">
              <w:rPr>
                <w:rStyle w:val="charSubscript"/>
              </w:rPr>
              <w:t>2</w:t>
            </w:r>
            <w:r w:rsidRPr="006F7767">
              <w:noBreakHyphen/>
              <w:t>e) flared;</w:t>
            </w:r>
          </w:p>
        </w:tc>
      </w:tr>
      <w:tr w:rsidR="000913EA" w:rsidRPr="006F7767" w:rsidTr="000913EA">
        <w:trPr>
          <w:cantSplit/>
        </w:trPr>
        <w:tc>
          <w:tcPr>
            <w:tcW w:w="460" w:type="pct"/>
            <w:tcBorders>
              <w:top w:val="nil"/>
              <w:bottom w:val="single" w:sz="12" w:space="0" w:color="auto"/>
            </w:tcBorders>
            <w:shd w:val="clear" w:color="auto" w:fill="auto"/>
          </w:tcPr>
          <w:p w:rsidR="000913EA" w:rsidRPr="006F7767" w:rsidRDefault="000913EA" w:rsidP="000913EA">
            <w:pPr>
              <w:pStyle w:val="Tabletext"/>
            </w:pPr>
          </w:p>
        </w:tc>
        <w:tc>
          <w:tcPr>
            <w:tcW w:w="1449" w:type="pct"/>
            <w:tcBorders>
              <w:top w:val="nil"/>
              <w:bottom w:val="single" w:sz="12" w:space="0" w:color="auto"/>
            </w:tcBorders>
            <w:shd w:val="clear" w:color="auto" w:fill="auto"/>
          </w:tcPr>
          <w:p w:rsidR="000913EA" w:rsidRPr="006F7767" w:rsidRDefault="000913EA" w:rsidP="000913EA">
            <w:pPr>
              <w:pStyle w:val="Tabletext"/>
            </w:pPr>
          </w:p>
        </w:tc>
        <w:tc>
          <w:tcPr>
            <w:tcW w:w="3091" w:type="pct"/>
            <w:tcBorders>
              <w:top w:val="nil"/>
              <w:bottom w:val="single" w:sz="12" w:space="0" w:color="auto"/>
            </w:tcBorders>
            <w:shd w:val="clear" w:color="auto" w:fill="auto"/>
          </w:tcPr>
          <w:p w:rsidR="000913EA" w:rsidRPr="006F7767" w:rsidRDefault="000913EA" w:rsidP="000913EA">
            <w:pPr>
              <w:pStyle w:val="Tablea"/>
            </w:pPr>
            <w:r w:rsidRPr="006F7767">
              <w:t>(o) the tonnes of waste treated by each of the following methods:</w:t>
            </w:r>
          </w:p>
          <w:p w:rsidR="000913EA" w:rsidRPr="006F7767" w:rsidRDefault="000913EA" w:rsidP="000913EA">
            <w:pPr>
              <w:pStyle w:val="Tablei"/>
            </w:pPr>
            <w:r w:rsidRPr="006F7767">
              <w:t>(i) composting;</w:t>
            </w:r>
          </w:p>
          <w:p w:rsidR="000913EA" w:rsidRPr="006F7767" w:rsidRDefault="000913EA" w:rsidP="000913EA">
            <w:pPr>
              <w:pStyle w:val="Tablei"/>
            </w:pPr>
            <w:r w:rsidRPr="006F7767">
              <w:t>(ii) anaerobic digestion</w:t>
            </w:r>
          </w:p>
          <w:p w:rsidR="000913EA" w:rsidRPr="006F7767" w:rsidRDefault="000913EA" w:rsidP="000913EA">
            <w:pPr>
              <w:pStyle w:val="Tablea"/>
            </w:pPr>
            <w:r w:rsidRPr="006F7767">
              <w:t>(p) the tonnes of methane (CO</w:t>
            </w:r>
            <w:r w:rsidRPr="006F7767">
              <w:rPr>
                <w:rStyle w:val="charSubscript"/>
              </w:rPr>
              <w:t>2</w:t>
            </w:r>
            <w:r w:rsidRPr="006F7767">
              <w:noBreakHyphen/>
              <w:t>e) captured from each of the following:</w:t>
            </w:r>
          </w:p>
          <w:p w:rsidR="000913EA" w:rsidRPr="006F7767" w:rsidRDefault="000913EA" w:rsidP="000913EA">
            <w:pPr>
              <w:pStyle w:val="Tablei"/>
            </w:pPr>
            <w:r w:rsidRPr="006F7767">
              <w:t>(i) composting;</w:t>
            </w:r>
          </w:p>
          <w:p w:rsidR="000913EA" w:rsidRPr="006F7767" w:rsidRDefault="000913EA" w:rsidP="000913EA">
            <w:pPr>
              <w:pStyle w:val="Tablei"/>
            </w:pPr>
            <w:r w:rsidRPr="006F7767">
              <w:t>(ii) anaerobic digestion</w:t>
            </w:r>
          </w:p>
        </w:tc>
      </w:tr>
    </w:tbl>
    <w:p w:rsidR="000913EA" w:rsidRPr="006F7767" w:rsidRDefault="000913EA" w:rsidP="000913EA">
      <w:pPr>
        <w:pStyle w:val="TableHeading"/>
      </w:pPr>
      <w:r w:rsidRPr="006F7767">
        <w:t>Source 4B—Wastewater handling—industrial</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0"/>
        <w:gridCol w:w="2755"/>
        <w:gridCol w:w="5441"/>
      </w:tblGrid>
      <w:tr w:rsidR="000913EA" w:rsidRPr="006F7767" w:rsidDel="00E578AE" w:rsidTr="000913EA">
        <w:trPr>
          <w:tblHeader/>
        </w:trPr>
        <w:tc>
          <w:tcPr>
            <w:tcW w:w="46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526"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014"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Del="00E578AE" w:rsidTr="000913EA">
        <w:trPr>
          <w:trHeight w:val="555"/>
        </w:trPr>
        <w:tc>
          <w:tcPr>
            <w:tcW w:w="460" w:type="pct"/>
            <w:tcBorders>
              <w:top w:val="single" w:sz="12" w:space="0" w:color="auto"/>
              <w:bottom w:val="nil"/>
            </w:tcBorders>
            <w:shd w:val="clear" w:color="auto" w:fill="auto"/>
          </w:tcPr>
          <w:p w:rsidR="000913EA" w:rsidRPr="006F7767" w:rsidDel="00E578AE" w:rsidRDefault="000913EA" w:rsidP="000913EA">
            <w:pPr>
              <w:pStyle w:val="Tabletext"/>
            </w:pPr>
            <w:r w:rsidRPr="006F7767">
              <w:t>1</w:t>
            </w:r>
          </w:p>
        </w:tc>
        <w:tc>
          <w:tcPr>
            <w:tcW w:w="1526" w:type="pct"/>
            <w:tcBorders>
              <w:top w:val="single" w:sz="12" w:space="0" w:color="auto"/>
              <w:bottom w:val="nil"/>
            </w:tcBorders>
            <w:shd w:val="clear" w:color="auto" w:fill="auto"/>
          </w:tcPr>
          <w:p w:rsidR="000913EA" w:rsidRPr="006F7767" w:rsidDel="00E578AE" w:rsidRDefault="000913EA" w:rsidP="000913EA">
            <w:pPr>
              <w:pStyle w:val="Tabletext"/>
            </w:pPr>
            <w:r w:rsidRPr="006F7767">
              <w:t>Method 1 for the source, as set out in sections 5.25 and 5.31</w:t>
            </w:r>
          </w:p>
        </w:tc>
        <w:tc>
          <w:tcPr>
            <w:tcW w:w="3014" w:type="pct"/>
            <w:tcBorders>
              <w:top w:val="single" w:sz="12" w:space="0" w:color="auto"/>
              <w:bottom w:val="nil"/>
            </w:tcBorders>
            <w:shd w:val="clear" w:color="auto" w:fill="auto"/>
          </w:tcPr>
          <w:p w:rsidR="000913EA" w:rsidRPr="006F7767" w:rsidRDefault="000913EA" w:rsidP="000913EA">
            <w:pPr>
              <w:pStyle w:val="Tablea"/>
            </w:pPr>
            <w:r w:rsidRPr="006F7767">
              <w:t>(a)</w:t>
            </w:r>
            <w:r w:rsidRPr="006F7767">
              <w:tab/>
              <w:t>the tonnes of commodity produced</w:t>
            </w:r>
          </w:p>
          <w:p w:rsidR="000913EA" w:rsidRPr="006F7767" w:rsidDel="00E578AE" w:rsidRDefault="000913EA" w:rsidP="000913EA">
            <w:pPr>
              <w:pStyle w:val="Tablea"/>
            </w:pPr>
            <w:r w:rsidRPr="006F7767">
              <w:t>(b) the fraction of wastewater anaerobically treated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(c) the fraction of COD removed as sludge</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(d) the fraction of COD in sludge anaerobically treated on site</w:t>
            </w:r>
          </w:p>
          <w:p w:rsidR="000913EA" w:rsidRPr="006F7767" w:rsidDel="00E578AE" w:rsidRDefault="000913EA" w:rsidP="000913EA">
            <w:pPr>
              <w:pStyle w:val="Tablea"/>
            </w:pPr>
            <w:r w:rsidRPr="006F7767">
              <w:t>(e) the tonnes of COD in sludge transferred off site and disposed of at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(f) the tonnes of COD in sludge transferred off site and disposed of at a site other than a landfill facility</w:t>
            </w:r>
          </w:p>
          <w:p w:rsidR="000913EA" w:rsidRPr="006F7767" w:rsidRDefault="000913EA" w:rsidP="000913EA">
            <w:pPr>
              <w:pStyle w:val="Tablea"/>
            </w:pPr>
            <w:r w:rsidRPr="006F7767">
              <w:t>(g) the tonnes of COD in effluent leaving the site</w:t>
            </w:r>
          </w:p>
          <w:p w:rsidR="000913EA" w:rsidRPr="006F7767" w:rsidDel="00E578AE" w:rsidRDefault="000913EA" w:rsidP="000913EA">
            <w:pPr>
              <w:pStyle w:val="Tablea"/>
            </w:pPr>
            <w:r w:rsidRPr="006F7767">
              <w:t>(h) the tonnes of methane (CO</w:t>
            </w:r>
            <w:r w:rsidRPr="006F7767">
              <w:rPr>
                <w:szCs w:val="22"/>
                <w:vertAlign w:val="subscript"/>
              </w:rPr>
              <w:t>2</w:t>
            </w:r>
            <w:r w:rsidRPr="006F7767">
              <w:rPr>
                <w:szCs w:val="22"/>
              </w:rPr>
              <w:noBreakHyphen/>
              <w:t>e</w:t>
            </w:r>
            <w:r w:rsidRPr="006F7767">
              <w:t>) captured for production of electricity on site</w:t>
            </w:r>
          </w:p>
        </w:tc>
      </w:tr>
      <w:tr w:rsidR="000913EA" w:rsidRPr="006F7767" w:rsidDel="00E578AE" w:rsidTr="000913EA">
        <w:tc>
          <w:tcPr>
            <w:tcW w:w="460" w:type="pct"/>
            <w:tcBorders>
              <w:top w:val="nil"/>
              <w:bottom w:val="single" w:sz="4" w:space="0" w:color="auto"/>
            </w:tcBorders>
            <w:shd w:val="clear" w:color="auto" w:fill="auto"/>
          </w:tcPr>
          <w:p w:rsidR="000913EA" w:rsidRPr="006F7767" w:rsidDel="00E578AE" w:rsidRDefault="000913EA" w:rsidP="000913EA">
            <w:pPr>
              <w:pStyle w:val="Tabletext"/>
            </w:pPr>
          </w:p>
        </w:tc>
        <w:tc>
          <w:tcPr>
            <w:tcW w:w="1526" w:type="pct"/>
            <w:tcBorders>
              <w:top w:val="nil"/>
              <w:bottom w:val="single" w:sz="4" w:space="0" w:color="auto"/>
            </w:tcBorders>
            <w:shd w:val="clear" w:color="auto" w:fill="auto"/>
          </w:tcPr>
          <w:p w:rsidR="000913EA" w:rsidRPr="006F7767" w:rsidDel="00E578AE" w:rsidRDefault="000913EA" w:rsidP="000913EA">
            <w:pPr>
              <w:pStyle w:val="Tabletext"/>
            </w:pPr>
          </w:p>
        </w:tc>
        <w:tc>
          <w:tcPr>
            <w:tcW w:w="3014" w:type="pct"/>
            <w:tcBorders>
              <w:top w:val="nil"/>
              <w:bottom w:val="single" w:sz="4" w:space="0" w:color="auto"/>
            </w:tcBorders>
            <w:shd w:val="clear" w:color="auto" w:fill="auto"/>
          </w:tcPr>
          <w:p w:rsidR="000913EA" w:rsidRPr="006F7767" w:rsidRDefault="000913EA" w:rsidP="000913EA">
            <w:pPr>
              <w:pStyle w:val="Tablea"/>
            </w:pPr>
            <w:r w:rsidRPr="006F7767">
              <w:t xml:space="preserve">(i) the tonnes of methane </w:t>
            </w:r>
            <w:r w:rsidRPr="006F7767">
              <w:rPr>
                <w:szCs w:val="22"/>
              </w:rPr>
              <w:t>(CO</w:t>
            </w:r>
            <w:r w:rsidRPr="006F7767">
              <w:rPr>
                <w:szCs w:val="22"/>
                <w:vertAlign w:val="subscript"/>
              </w:rPr>
              <w:t>2</w:t>
            </w:r>
            <w:r w:rsidRPr="006F7767">
              <w:rPr>
                <w:szCs w:val="22"/>
              </w:rPr>
              <w:noBreakHyphen/>
              <w:t xml:space="preserve">e) </w:t>
            </w:r>
            <w:r w:rsidRPr="006F7767">
              <w:t>captured and transferred off site</w:t>
            </w:r>
          </w:p>
          <w:p w:rsidR="000913EA" w:rsidRPr="006F7767" w:rsidDel="00E578AE" w:rsidRDefault="000913EA" w:rsidP="000913EA">
            <w:pPr>
              <w:pStyle w:val="Tablea"/>
            </w:pPr>
            <w:r w:rsidRPr="006F7767">
              <w:t>(j) the tonnes of methane (CO</w:t>
            </w:r>
            <w:r w:rsidRPr="006F7767">
              <w:rPr>
                <w:szCs w:val="22"/>
                <w:vertAlign w:val="subscript"/>
              </w:rPr>
              <w:t>2</w:t>
            </w:r>
            <w:r w:rsidRPr="006F7767">
              <w:rPr>
                <w:szCs w:val="22"/>
              </w:rPr>
              <w:noBreakHyphen/>
              <w:t>e</w:t>
            </w:r>
            <w:r w:rsidRPr="006F7767">
              <w:t>) flared</w:t>
            </w:r>
          </w:p>
        </w:tc>
      </w:tr>
      <w:tr w:rsidR="000913EA" w:rsidRPr="006F7767" w:rsidDel="00E578AE" w:rsidTr="000913EA">
        <w:tc>
          <w:tcPr>
            <w:tcW w:w="460" w:type="pct"/>
            <w:tcBorders>
              <w:bottom w:val="nil"/>
            </w:tcBorders>
            <w:shd w:val="clear" w:color="auto" w:fill="auto"/>
          </w:tcPr>
          <w:p w:rsidR="000913EA" w:rsidRPr="006F7767" w:rsidDel="00E578AE" w:rsidRDefault="000913EA" w:rsidP="000913EA">
            <w:pPr>
              <w:pStyle w:val="Tabletext"/>
            </w:pPr>
            <w:r w:rsidRPr="006F7767">
              <w:lastRenderedPageBreak/>
              <w:t>2</w:t>
            </w:r>
          </w:p>
        </w:tc>
        <w:tc>
          <w:tcPr>
            <w:tcW w:w="1526" w:type="pct"/>
            <w:tcBorders>
              <w:bottom w:val="nil"/>
            </w:tcBorders>
            <w:shd w:val="clear" w:color="auto" w:fill="auto"/>
          </w:tcPr>
          <w:p w:rsidR="000913EA" w:rsidRPr="006F7767" w:rsidDel="00E578AE" w:rsidRDefault="000913EA" w:rsidP="000913EA">
            <w:pPr>
              <w:pStyle w:val="Tabletext"/>
            </w:pPr>
            <w:r w:rsidRPr="006F7767">
              <w:t>Methods 2 and 3 for the source, as set out in sections 5.26, 5.30, 5.32 and 5.36</w:t>
            </w:r>
          </w:p>
        </w:tc>
        <w:tc>
          <w:tcPr>
            <w:tcW w:w="3014" w:type="pct"/>
            <w:tcBorders>
              <w:bottom w:val="nil"/>
            </w:tcBorders>
            <w:shd w:val="clear" w:color="auto" w:fill="auto"/>
          </w:tcPr>
          <w:p w:rsidR="000913EA" w:rsidRPr="006F7767" w:rsidRDefault="000913EA" w:rsidP="000913EA">
            <w:pPr>
              <w:pStyle w:val="Tablea"/>
            </w:pPr>
            <w:r w:rsidRPr="006F7767">
              <w:t>(a)</w:t>
            </w:r>
            <w:r w:rsidRPr="006F7767">
              <w:tab/>
              <w:t>the tonnes of commodity produced</w:t>
            </w:r>
          </w:p>
          <w:p w:rsidR="000913EA" w:rsidRPr="006F7767" w:rsidRDefault="000913EA" w:rsidP="000913EA">
            <w:pPr>
              <w:pStyle w:val="Tablea"/>
            </w:pPr>
            <w:r w:rsidRPr="006F7767">
              <w:t>(b) the tonnes of COD measured entering the treatment site</w:t>
            </w:r>
          </w:p>
          <w:p w:rsidR="000913EA" w:rsidRPr="006F7767" w:rsidDel="00E578AE" w:rsidRDefault="000913EA" w:rsidP="000913EA">
            <w:pPr>
              <w:pStyle w:val="Tablea"/>
            </w:pPr>
            <w:r w:rsidRPr="006F7767">
              <w:t>(c) the fraction of wastewater anaerobically treated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(d) the tonnes of COD removed as sludge</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(e) the fraction of COD in sludge anaerobically treated on site</w:t>
            </w:r>
          </w:p>
        </w:tc>
      </w:tr>
      <w:tr w:rsidR="000913EA" w:rsidRPr="006F7767" w:rsidDel="00E578AE" w:rsidTr="000913EA">
        <w:trPr>
          <w:cantSplit/>
        </w:trPr>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(f) the tonnes of COD in sludge transferred off site and disposed of at a landfill facility</w:t>
            </w:r>
          </w:p>
          <w:p w:rsidR="000913EA" w:rsidRPr="006F7767" w:rsidDel="00E578AE" w:rsidRDefault="000913EA" w:rsidP="000913EA">
            <w:pPr>
              <w:pStyle w:val="Tablea"/>
            </w:pPr>
            <w:r w:rsidRPr="006F7767">
              <w:t>(g) the tonnes of COD in sludge transferred off site and disposed of at a site other than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(h) the tonnes of COD in effluent leaving the site</w:t>
            </w:r>
          </w:p>
          <w:p w:rsidR="000913EA" w:rsidRPr="006F7767" w:rsidRDefault="000913EA" w:rsidP="000913EA">
            <w:pPr>
              <w:pStyle w:val="Tablea"/>
            </w:pPr>
            <w:r w:rsidRPr="006F7767">
              <w:t>(i) the tonnes of emissions (CO</w:t>
            </w:r>
            <w:r w:rsidRPr="006F7767">
              <w:rPr>
                <w:vertAlign w:val="subscript"/>
              </w:rPr>
              <w:t>2</w:t>
            </w:r>
            <w:r w:rsidRPr="006F7767">
              <w:noBreakHyphen/>
              <w:t>e) generated</w:t>
            </w:r>
          </w:p>
          <w:p w:rsidR="000913EA" w:rsidRPr="006F7767" w:rsidDel="00E578AE" w:rsidRDefault="000913EA" w:rsidP="000913EA">
            <w:pPr>
              <w:pStyle w:val="Tablea"/>
            </w:pPr>
            <w:r w:rsidRPr="006F7767">
              <w:t>(j) the tonnes of methane (CO</w:t>
            </w:r>
            <w:r w:rsidRPr="006F7767">
              <w:rPr>
                <w:szCs w:val="22"/>
                <w:vertAlign w:val="subscript"/>
              </w:rPr>
              <w:t>2</w:t>
            </w:r>
            <w:r w:rsidRPr="006F7767">
              <w:rPr>
                <w:szCs w:val="22"/>
              </w:rPr>
              <w:noBreakHyphen/>
              <w:t>e</w:t>
            </w:r>
            <w:r w:rsidRPr="006F7767">
              <w:t>) captured for production of electricity on site</w:t>
            </w:r>
          </w:p>
        </w:tc>
      </w:tr>
      <w:tr w:rsidR="000913EA" w:rsidRPr="006F7767" w:rsidDel="00E578AE" w:rsidTr="000913EA">
        <w:tc>
          <w:tcPr>
            <w:tcW w:w="460" w:type="pct"/>
            <w:tcBorders>
              <w:top w:val="nil"/>
              <w:bottom w:val="single" w:sz="12" w:space="0" w:color="auto"/>
            </w:tcBorders>
            <w:shd w:val="clear" w:color="auto" w:fill="auto"/>
          </w:tcPr>
          <w:p w:rsidR="000913EA" w:rsidRPr="006F7767" w:rsidDel="00E578AE" w:rsidRDefault="000913EA" w:rsidP="000913EA">
            <w:pPr>
              <w:pStyle w:val="Tabletext"/>
            </w:pPr>
          </w:p>
        </w:tc>
        <w:tc>
          <w:tcPr>
            <w:tcW w:w="1526" w:type="pct"/>
            <w:tcBorders>
              <w:top w:val="nil"/>
              <w:bottom w:val="single" w:sz="12" w:space="0" w:color="auto"/>
            </w:tcBorders>
            <w:shd w:val="clear" w:color="auto" w:fill="auto"/>
          </w:tcPr>
          <w:p w:rsidR="000913EA" w:rsidRPr="006F7767" w:rsidDel="00E578AE" w:rsidRDefault="000913EA" w:rsidP="000913EA">
            <w:pPr>
              <w:pStyle w:val="Tabletext"/>
            </w:pPr>
          </w:p>
        </w:tc>
        <w:tc>
          <w:tcPr>
            <w:tcW w:w="3014" w:type="pct"/>
            <w:tcBorders>
              <w:top w:val="nil"/>
              <w:bottom w:val="single" w:sz="12" w:space="0" w:color="auto"/>
            </w:tcBorders>
            <w:shd w:val="clear" w:color="auto" w:fill="auto"/>
          </w:tcPr>
          <w:p w:rsidR="000913EA" w:rsidRPr="006F7767" w:rsidRDefault="000913EA" w:rsidP="000913EA">
            <w:pPr>
              <w:pStyle w:val="Tablea"/>
            </w:pPr>
            <w:r w:rsidRPr="006F7767">
              <w:t xml:space="preserve">(k) the tonnes of methane </w:t>
            </w:r>
            <w:r w:rsidRPr="006F7767">
              <w:rPr>
                <w:szCs w:val="22"/>
              </w:rPr>
              <w:t>(CO</w:t>
            </w:r>
            <w:r w:rsidRPr="006F7767">
              <w:rPr>
                <w:szCs w:val="22"/>
                <w:vertAlign w:val="subscript"/>
              </w:rPr>
              <w:t>2</w:t>
            </w:r>
            <w:r w:rsidRPr="006F7767">
              <w:rPr>
                <w:szCs w:val="22"/>
              </w:rPr>
              <w:noBreakHyphen/>
              <w:t xml:space="preserve">e) </w:t>
            </w:r>
            <w:r w:rsidRPr="006F7767">
              <w:t>captured and transferred off site</w:t>
            </w:r>
          </w:p>
          <w:p w:rsidR="000913EA" w:rsidRPr="006F7767" w:rsidDel="00E578AE" w:rsidRDefault="000913EA" w:rsidP="000913EA">
            <w:pPr>
              <w:pStyle w:val="Tablea"/>
            </w:pPr>
            <w:r w:rsidRPr="006F7767">
              <w:t>(l) the tonnes of methane (CO</w:t>
            </w:r>
            <w:r w:rsidRPr="006F7767">
              <w:rPr>
                <w:szCs w:val="22"/>
                <w:vertAlign w:val="subscript"/>
              </w:rPr>
              <w:t>2</w:t>
            </w:r>
            <w:r w:rsidRPr="006F7767">
              <w:rPr>
                <w:szCs w:val="22"/>
              </w:rPr>
              <w:noBreakHyphen/>
              <w:t>e</w:t>
            </w:r>
            <w:r w:rsidRPr="006F7767">
              <w:t>) flared</w:t>
            </w:r>
          </w:p>
        </w:tc>
      </w:tr>
    </w:tbl>
    <w:p w:rsidR="000913EA" w:rsidRPr="006F7767" w:rsidRDefault="000913EA" w:rsidP="000913EA">
      <w:pPr>
        <w:pStyle w:val="TableHeading"/>
      </w:pPr>
      <w:r w:rsidRPr="006F7767">
        <w:t>Source 4C—Wastewater handling—domestic or commercial</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0"/>
        <w:gridCol w:w="2755"/>
        <w:gridCol w:w="5441"/>
      </w:tblGrid>
      <w:tr w:rsidR="000913EA" w:rsidRPr="006F7767" w:rsidDel="00E578AE" w:rsidTr="000913EA">
        <w:trPr>
          <w:tblHeader/>
        </w:trPr>
        <w:tc>
          <w:tcPr>
            <w:tcW w:w="46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526"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014"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Del="00E578AE" w:rsidTr="000913EA">
        <w:tc>
          <w:tcPr>
            <w:tcW w:w="460" w:type="pct"/>
            <w:tcBorders>
              <w:top w:val="single" w:sz="12" w:space="0" w:color="auto"/>
              <w:bottom w:val="nil"/>
            </w:tcBorders>
            <w:shd w:val="clear" w:color="auto" w:fill="auto"/>
          </w:tcPr>
          <w:p w:rsidR="000913EA" w:rsidRPr="006F7767" w:rsidDel="00E578AE" w:rsidRDefault="000913EA" w:rsidP="000913EA">
            <w:pPr>
              <w:pStyle w:val="Tabletext"/>
            </w:pPr>
            <w:r w:rsidRPr="006F7767">
              <w:t>1</w:t>
            </w:r>
          </w:p>
        </w:tc>
        <w:tc>
          <w:tcPr>
            <w:tcW w:w="1526" w:type="pct"/>
            <w:tcBorders>
              <w:top w:val="single" w:sz="12" w:space="0" w:color="auto"/>
              <w:bottom w:val="nil"/>
            </w:tcBorders>
            <w:shd w:val="clear" w:color="auto" w:fill="auto"/>
          </w:tcPr>
          <w:p w:rsidR="000913EA" w:rsidRPr="006F7767" w:rsidDel="00E578AE" w:rsidRDefault="000913EA" w:rsidP="000913EA">
            <w:pPr>
              <w:pStyle w:val="Tabletext"/>
            </w:pPr>
            <w:r w:rsidRPr="006F7767">
              <w:t xml:space="preserve">Method 1 for the source, as set out in section 5.42 </w:t>
            </w:r>
          </w:p>
        </w:tc>
        <w:tc>
          <w:tcPr>
            <w:tcW w:w="3014" w:type="pct"/>
            <w:tcBorders>
              <w:top w:val="single" w:sz="12" w:space="0" w:color="auto"/>
              <w:bottom w:val="nil"/>
            </w:tcBorders>
            <w:shd w:val="clear" w:color="auto" w:fill="auto"/>
          </w:tcPr>
          <w:p w:rsidR="000913EA" w:rsidRPr="006F7767" w:rsidRDefault="000913EA" w:rsidP="000913EA">
            <w:pPr>
              <w:pStyle w:val="Tablea"/>
            </w:pPr>
            <w:r w:rsidRPr="006F7767">
              <w:t>(a) the population served by the wastewater treatment plant</w:t>
            </w:r>
          </w:p>
          <w:p w:rsidR="000913EA" w:rsidRPr="006F7767" w:rsidDel="00E578AE" w:rsidRDefault="000913EA" w:rsidP="000913EA">
            <w:pPr>
              <w:pStyle w:val="Tablea"/>
            </w:pPr>
            <w:r w:rsidRPr="006F7767">
              <w:t>(b) the fraction of COD in wastewater anaerobically treated</w:t>
            </w:r>
          </w:p>
        </w:tc>
      </w:tr>
      <w:tr w:rsidR="000913EA" w:rsidRPr="006F7767" w:rsidDel="00E578AE" w:rsidTr="000913EA">
        <w:trPr>
          <w:trHeight w:val="80"/>
        </w:trPr>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(c) the tonnes of COD removed as sludge</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(d) the fraction of COD in sludge anaerobically treated on site</w:t>
            </w:r>
          </w:p>
          <w:p w:rsidR="000913EA" w:rsidRPr="006F7767" w:rsidDel="00E578AE" w:rsidRDefault="000913EA" w:rsidP="000913EA">
            <w:pPr>
              <w:pStyle w:val="Tablea"/>
            </w:pPr>
            <w:r w:rsidRPr="006F7767">
              <w:t>(e) the tonnes of COD in sludge transferred off site and disposed of at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(f) the tonnes of COD in sludge transferred off site and disposed of at a site other than a landfill facility</w:t>
            </w:r>
          </w:p>
        </w:tc>
      </w:tr>
      <w:tr w:rsidR="000913EA" w:rsidRPr="006F7767" w:rsidDel="00E578AE" w:rsidTr="000913EA">
        <w:trPr>
          <w:trHeight w:val="80"/>
        </w:trPr>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(g) the tonnes of methane (CO</w:t>
            </w:r>
            <w:r w:rsidRPr="006F7767">
              <w:rPr>
                <w:szCs w:val="22"/>
                <w:vertAlign w:val="subscript"/>
              </w:rPr>
              <w:t>2</w:t>
            </w:r>
            <w:r w:rsidRPr="006F7767">
              <w:rPr>
                <w:szCs w:val="22"/>
              </w:rPr>
              <w:noBreakHyphen/>
              <w:t>e</w:t>
            </w:r>
            <w:r w:rsidRPr="006F7767">
              <w:t>) captured for combustion on site</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 xml:space="preserve">(h) the tonnes of methane </w:t>
            </w:r>
            <w:r w:rsidRPr="006F7767">
              <w:rPr>
                <w:szCs w:val="22"/>
              </w:rPr>
              <w:t>(CO</w:t>
            </w:r>
            <w:r w:rsidRPr="006F7767">
              <w:rPr>
                <w:szCs w:val="22"/>
                <w:vertAlign w:val="subscript"/>
              </w:rPr>
              <w:t>2</w:t>
            </w:r>
            <w:r w:rsidRPr="006F7767">
              <w:rPr>
                <w:szCs w:val="22"/>
              </w:rPr>
              <w:noBreakHyphen/>
              <w:t xml:space="preserve">e) </w:t>
            </w:r>
            <w:r w:rsidRPr="006F7767">
              <w:t>captured and transferred off site</w:t>
            </w:r>
          </w:p>
          <w:p w:rsidR="000913EA" w:rsidRPr="006F7767" w:rsidDel="00E578AE" w:rsidRDefault="000913EA" w:rsidP="000913EA">
            <w:pPr>
              <w:pStyle w:val="Tablea"/>
            </w:pPr>
            <w:r w:rsidRPr="006F7767">
              <w:t>(i) the tonnes of methane (CO</w:t>
            </w:r>
            <w:r w:rsidRPr="006F7767">
              <w:rPr>
                <w:szCs w:val="22"/>
                <w:vertAlign w:val="subscript"/>
              </w:rPr>
              <w:t>2</w:t>
            </w:r>
            <w:r w:rsidRPr="006F7767">
              <w:rPr>
                <w:szCs w:val="22"/>
              </w:rPr>
              <w:noBreakHyphen/>
              <w:t>e</w:t>
            </w:r>
            <w:r w:rsidRPr="006F7767">
              <w:t>) flared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(j) the tonnes of COD in effluent leaving the site</w:t>
            </w:r>
          </w:p>
          <w:p w:rsidR="000913EA" w:rsidRPr="006F7767" w:rsidRDefault="000913EA" w:rsidP="000913EA">
            <w:pPr>
              <w:pStyle w:val="Tablea"/>
            </w:pPr>
            <w:r w:rsidRPr="006F7767">
              <w:t>(k) the tonnes of nitrogen in sludge transferred out of the plant and disposed of at a landfill facility</w:t>
            </w:r>
          </w:p>
          <w:p w:rsidR="000913EA" w:rsidRPr="006F7767" w:rsidDel="00E578AE" w:rsidRDefault="000913EA" w:rsidP="000913EA">
            <w:pPr>
              <w:pStyle w:val="Tablea"/>
            </w:pPr>
            <w:r w:rsidRPr="006F7767">
              <w:t>(l) the tonnes of nitrogen in sludge transferred out of the plant and disposed of at a site other than a landfill facility</w:t>
            </w:r>
          </w:p>
        </w:tc>
      </w:tr>
      <w:tr w:rsidR="000913EA" w:rsidRPr="006F7767" w:rsidDel="00E578AE" w:rsidTr="000913EA">
        <w:tc>
          <w:tcPr>
            <w:tcW w:w="460" w:type="pct"/>
            <w:tcBorders>
              <w:top w:val="nil"/>
              <w:bottom w:val="single" w:sz="4" w:space="0" w:color="auto"/>
            </w:tcBorders>
            <w:shd w:val="clear" w:color="auto" w:fill="auto"/>
          </w:tcPr>
          <w:p w:rsidR="000913EA" w:rsidRPr="006F7767" w:rsidDel="00E578AE" w:rsidRDefault="000913EA" w:rsidP="000913EA">
            <w:pPr>
              <w:pStyle w:val="Tabletext"/>
            </w:pPr>
          </w:p>
        </w:tc>
        <w:tc>
          <w:tcPr>
            <w:tcW w:w="1526" w:type="pct"/>
            <w:tcBorders>
              <w:top w:val="nil"/>
              <w:bottom w:val="single" w:sz="4" w:space="0" w:color="auto"/>
            </w:tcBorders>
            <w:shd w:val="clear" w:color="auto" w:fill="auto"/>
          </w:tcPr>
          <w:p w:rsidR="000913EA" w:rsidRPr="006F7767" w:rsidDel="00E578AE" w:rsidRDefault="000913EA" w:rsidP="000913EA">
            <w:pPr>
              <w:pStyle w:val="Tabletext"/>
            </w:pPr>
          </w:p>
        </w:tc>
        <w:tc>
          <w:tcPr>
            <w:tcW w:w="3014" w:type="pct"/>
            <w:tcBorders>
              <w:top w:val="nil"/>
              <w:bottom w:val="single" w:sz="4" w:space="0" w:color="auto"/>
            </w:tcBorders>
            <w:shd w:val="clear" w:color="auto" w:fill="auto"/>
          </w:tcPr>
          <w:p w:rsidR="000913EA" w:rsidRPr="006F7767" w:rsidRDefault="000913EA" w:rsidP="000913EA">
            <w:pPr>
              <w:pStyle w:val="Tablea"/>
            </w:pPr>
            <w:r w:rsidRPr="006F7767">
              <w:t>(m) the tonnes of nitrogen in effluent leaving the plant into enclosed waters</w:t>
            </w:r>
          </w:p>
          <w:p w:rsidR="000913EA" w:rsidRPr="006F7767" w:rsidRDefault="000913EA" w:rsidP="000913EA">
            <w:pPr>
              <w:pStyle w:val="Tablea"/>
            </w:pPr>
            <w:r w:rsidRPr="006F7767">
              <w:t>(n) the tonnes of nitrogen in effluent leaving the plant into estuarine waters</w:t>
            </w:r>
          </w:p>
          <w:p w:rsidR="000913EA" w:rsidRPr="006F7767" w:rsidDel="00E578AE" w:rsidRDefault="000913EA" w:rsidP="000913EA">
            <w:pPr>
              <w:pStyle w:val="Tablea"/>
            </w:pPr>
            <w:r w:rsidRPr="006F7767">
              <w:t>(o) the tonnes of nitrogen in effluent leaving the plant into open coastal waters</w:t>
            </w:r>
          </w:p>
        </w:tc>
      </w:tr>
      <w:tr w:rsidR="000913EA" w:rsidRPr="006F7767" w:rsidDel="00E578AE" w:rsidTr="000913EA">
        <w:tc>
          <w:tcPr>
            <w:tcW w:w="460" w:type="pct"/>
            <w:tcBorders>
              <w:top w:val="single" w:sz="4" w:space="0" w:color="auto"/>
              <w:bottom w:val="nil"/>
            </w:tcBorders>
            <w:shd w:val="clear" w:color="auto" w:fill="auto"/>
          </w:tcPr>
          <w:p w:rsidR="000913EA" w:rsidRPr="006F7767" w:rsidDel="00E578AE" w:rsidRDefault="000913EA" w:rsidP="000913EA">
            <w:pPr>
              <w:pStyle w:val="Tabletext"/>
            </w:pPr>
            <w:r w:rsidRPr="006F7767">
              <w:t>2</w:t>
            </w:r>
          </w:p>
        </w:tc>
        <w:tc>
          <w:tcPr>
            <w:tcW w:w="1526" w:type="pct"/>
            <w:tcBorders>
              <w:top w:val="single" w:sz="4" w:space="0" w:color="auto"/>
              <w:bottom w:val="nil"/>
            </w:tcBorders>
            <w:shd w:val="clear" w:color="auto" w:fill="auto"/>
          </w:tcPr>
          <w:p w:rsidR="000913EA" w:rsidRPr="006F7767" w:rsidDel="00E578AE" w:rsidRDefault="000913EA" w:rsidP="000913EA">
            <w:pPr>
              <w:pStyle w:val="Tabletext"/>
            </w:pPr>
            <w:r w:rsidRPr="006F7767">
              <w:t>Methods 2 and 3 for the source, as set out in sections 5.43 and 5.47</w:t>
            </w:r>
          </w:p>
        </w:tc>
        <w:tc>
          <w:tcPr>
            <w:tcW w:w="3014" w:type="pct"/>
            <w:tcBorders>
              <w:top w:val="single" w:sz="4" w:space="0" w:color="auto"/>
              <w:bottom w:val="nil"/>
            </w:tcBorders>
            <w:shd w:val="clear" w:color="auto" w:fill="auto"/>
          </w:tcPr>
          <w:p w:rsidR="000913EA" w:rsidRPr="006F7767" w:rsidRDefault="000913EA" w:rsidP="000913EA">
            <w:pPr>
              <w:pStyle w:val="Tablea"/>
            </w:pPr>
            <w:r w:rsidRPr="006F7767">
              <w:t>(a) the population served by the wastewater treatment plant</w:t>
            </w:r>
          </w:p>
          <w:p w:rsidR="000913EA" w:rsidRPr="006F7767" w:rsidRDefault="000913EA" w:rsidP="000913EA">
            <w:pPr>
              <w:pStyle w:val="Tablea"/>
            </w:pPr>
            <w:r w:rsidRPr="006F7767">
              <w:t>(b) the tonnes of COD measured entering treatment facility</w:t>
            </w:r>
          </w:p>
          <w:p w:rsidR="000913EA" w:rsidRPr="006F7767" w:rsidDel="00E578AE" w:rsidRDefault="000913EA" w:rsidP="000913EA">
            <w:pPr>
              <w:pStyle w:val="Tablea"/>
            </w:pPr>
            <w:r w:rsidRPr="006F7767">
              <w:t>(c) the fraction of COD in wastewater anaerobically treated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(d) the tonnes of COD removed as sludge</w:t>
            </w:r>
          </w:p>
          <w:p w:rsidR="000913EA" w:rsidRPr="006F7767" w:rsidDel="00E578AE" w:rsidRDefault="000913EA" w:rsidP="000913EA">
            <w:pPr>
              <w:pStyle w:val="Tablea"/>
            </w:pPr>
            <w:r w:rsidRPr="006F7767">
              <w:t>(e) the fraction of COD in sludge anaerobically treated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(f) the tonnes of methane (CO</w:t>
            </w:r>
            <w:r w:rsidRPr="006F7767">
              <w:rPr>
                <w:szCs w:val="22"/>
                <w:vertAlign w:val="subscript"/>
              </w:rPr>
              <w:t>2</w:t>
            </w:r>
            <w:r w:rsidRPr="006F7767">
              <w:rPr>
                <w:szCs w:val="22"/>
              </w:rPr>
              <w:noBreakHyphen/>
              <w:t>e</w:t>
            </w:r>
            <w:r w:rsidRPr="006F7767">
              <w:t>) generated from the decomposition of COD</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 xml:space="preserve">(g) the tonnes of methane </w:t>
            </w:r>
            <w:r w:rsidRPr="006F7767">
              <w:rPr>
                <w:szCs w:val="22"/>
              </w:rPr>
              <w:t>(CO</w:t>
            </w:r>
            <w:r w:rsidRPr="006F7767">
              <w:rPr>
                <w:szCs w:val="22"/>
                <w:vertAlign w:val="subscript"/>
              </w:rPr>
              <w:t>2</w:t>
            </w:r>
            <w:r w:rsidRPr="006F7767">
              <w:rPr>
                <w:szCs w:val="22"/>
              </w:rPr>
              <w:noBreakHyphen/>
              <w:t>e) c</w:t>
            </w:r>
            <w:r w:rsidRPr="006F7767">
              <w:t>aptured for combustion on site</w:t>
            </w:r>
          </w:p>
          <w:p w:rsidR="000913EA" w:rsidRPr="006F7767" w:rsidRDefault="000913EA" w:rsidP="000913EA">
            <w:pPr>
              <w:pStyle w:val="Tablea"/>
            </w:pPr>
            <w:r w:rsidRPr="006F7767">
              <w:t xml:space="preserve">(h) the tonnes of methane </w:t>
            </w:r>
            <w:r w:rsidRPr="006F7767">
              <w:rPr>
                <w:szCs w:val="22"/>
              </w:rPr>
              <w:t>(CO</w:t>
            </w:r>
            <w:r w:rsidRPr="006F7767">
              <w:rPr>
                <w:szCs w:val="22"/>
                <w:vertAlign w:val="subscript"/>
              </w:rPr>
              <w:t>2</w:t>
            </w:r>
            <w:r w:rsidRPr="006F7767">
              <w:rPr>
                <w:szCs w:val="22"/>
              </w:rPr>
              <w:noBreakHyphen/>
              <w:t>e) c</w:t>
            </w:r>
            <w:r w:rsidRPr="006F7767">
              <w:t>aptured and transferred off site</w:t>
            </w:r>
          </w:p>
          <w:p w:rsidR="000913EA" w:rsidRPr="006F7767" w:rsidDel="00E578AE" w:rsidRDefault="000913EA" w:rsidP="000913EA">
            <w:pPr>
              <w:pStyle w:val="Tablea"/>
            </w:pPr>
            <w:r w:rsidRPr="006F7767">
              <w:t>(i) the tonnes of methane (CO</w:t>
            </w:r>
            <w:r w:rsidRPr="006F7767">
              <w:rPr>
                <w:szCs w:val="22"/>
                <w:vertAlign w:val="subscript"/>
              </w:rPr>
              <w:t>2</w:t>
            </w:r>
            <w:r w:rsidRPr="006F7767">
              <w:rPr>
                <w:szCs w:val="22"/>
              </w:rPr>
              <w:noBreakHyphen/>
              <w:t>e</w:t>
            </w:r>
            <w:r w:rsidRPr="006F7767">
              <w:t>) flared</w:t>
            </w:r>
          </w:p>
        </w:tc>
      </w:tr>
      <w:tr w:rsidR="000913EA" w:rsidRPr="006F7767"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(j) the tonnes of COD in effluent leaving the site</w:t>
            </w:r>
          </w:p>
        </w:tc>
      </w:tr>
      <w:tr w:rsidR="000913EA" w:rsidRPr="006F7767"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(k) the tonnes of COD in sludge transferred offsite and disposed of at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(l) the tonnes of COD in sludge transferred offsite to a site other than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(m) the tonnes of nitrogen in influent entering the plant</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(n) the tonnes of nitrogen in sludge transferred out of the plant and disposed of at a landfill facility</w:t>
            </w:r>
          </w:p>
        </w:tc>
      </w:tr>
      <w:tr w:rsidR="000913EA" w:rsidRPr="006F7767" w:rsidDel="00E578AE"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Del="00E578AE" w:rsidRDefault="000913EA" w:rsidP="000913EA">
            <w:pPr>
              <w:pStyle w:val="Tablea"/>
            </w:pPr>
            <w:r w:rsidRPr="006F7767">
              <w:t>(o) the tonnes of nitrogen in sludge transferred out of the plant and disposed of at a site other than a landfill facility</w:t>
            </w:r>
          </w:p>
        </w:tc>
      </w:tr>
      <w:tr w:rsidR="000913EA" w:rsidRPr="006F7767"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(p) the tonnes of nitrogen in effluent leaving the plant into enclosed waters</w:t>
            </w:r>
          </w:p>
        </w:tc>
      </w:tr>
      <w:tr w:rsidR="000913EA" w:rsidRPr="006F7767" w:rsidTr="000913EA">
        <w:tc>
          <w:tcPr>
            <w:tcW w:w="460" w:type="pct"/>
            <w:tcBorders>
              <w:top w:val="nil"/>
              <w:bottom w:val="nil"/>
            </w:tcBorders>
            <w:shd w:val="clear" w:color="auto" w:fill="auto"/>
          </w:tcPr>
          <w:p w:rsidR="000913EA" w:rsidRPr="006F7767" w:rsidDel="00E578AE" w:rsidRDefault="000913EA" w:rsidP="000913EA">
            <w:pPr>
              <w:pStyle w:val="Tabletext"/>
            </w:pPr>
          </w:p>
        </w:tc>
        <w:tc>
          <w:tcPr>
            <w:tcW w:w="1526" w:type="pct"/>
            <w:tcBorders>
              <w:top w:val="nil"/>
              <w:bottom w:val="nil"/>
            </w:tcBorders>
            <w:shd w:val="clear" w:color="auto" w:fill="auto"/>
          </w:tcPr>
          <w:p w:rsidR="000913EA" w:rsidRPr="006F7767" w:rsidDel="00E578AE" w:rsidRDefault="000913EA" w:rsidP="000913EA">
            <w:pPr>
              <w:pStyle w:val="Tabletext"/>
            </w:pPr>
          </w:p>
        </w:tc>
        <w:tc>
          <w:tcPr>
            <w:tcW w:w="3014" w:type="pct"/>
            <w:tcBorders>
              <w:top w:val="nil"/>
              <w:bottom w:val="nil"/>
            </w:tcBorders>
            <w:shd w:val="clear" w:color="auto" w:fill="auto"/>
          </w:tcPr>
          <w:p w:rsidR="000913EA" w:rsidRPr="006F7767" w:rsidRDefault="000913EA" w:rsidP="000913EA">
            <w:pPr>
              <w:pStyle w:val="Tablea"/>
            </w:pPr>
            <w:r w:rsidRPr="006F7767">
              <w:t>(q) the tonnes of nitrogen in effluent leaving the plant into estuarine waters</w:t>
            </w:r>
          </w:p>
        </w:tc>
      </w:tr>
      <w:tr w:rsidR="000913EA" w:rsidRPr="006F7767" w:rsidDel="00E578AE" w:rsidTr="000913EA">
        <w:trPr>
          <w:cantSplit/>
        </w:trPr>
        <w:tc>
          <w:tcPr>
            <w:tcW w:w="460" w:type="pct"/>
            <w:tcBorders>
              <w:top w:val="nil"/>
              <w:bottom w:val="single" w:sz="12" w:space="0" w:color="auto"/>
            </w:tcBorders>
            <w:shd w:val="clear" w:color="auto" w:fill="auto"/>
          </w:tcPr>
          <w:p w:rsidR="000913EA" w:rsidRPr="006F7767" w:rsidDel="00E578AE" w:rsidRDefault="000913EA" w:rsidP="000913EA">
            <w:pPr>
              <w:pStyle w:val="Tabletext"/>
            </w:pPr>
          </w:p>
        </w:tc>
        <w:tc>
          <w:tcPr>
            <w:tcW w:w="1526" w:type="pct"/>
            <w:tcBorders>
              <w:top w:val="nil"/>
              <w:bottom w:val="single" w:sz="12" w:space="0" w:color="auto"/>
            </w:tcBorders>
            <w:shd w:val="clear" w:color="auto" w:fill="auto"/>
          </w:tcPr>
          <w:p w:rsidR="000913EA" w:rsidRPr="006F7767" w:rsidDel="00E578AE" w:rsidRDefault="000913EA" w:rsidP="000913EA">
            <w:pPr>
              <w:pStyle w:val="Tabletext"/>
            </w:pPr>
          </w:p>
        </w:tc>
        <w:tc>
          <w:tcPr>
            <w:tcW w:w="3014" w:type="pct"/>
            <w:tcBorders>
              <w:top w:val="nil"/>
              <w:bottom w:val="single" w:sz="12" w:space="0" w:color="auto"/>
            </w:tcBorders>
            <w:shd w:val="clear" w:color="auto" w:fill="auto"/>
          </w:tcPr>
          <w:p w:rsidR="000913EA" w:rsidRPr="006F7767" w:rsidDel="00E578AE" w:rsidRDefault="000913EA" w:rsidP="000913EA">
            <w:pPr>
              <w:pStyle w:val="Tablea"/>
            </w:pPr>
            <w:r w:rsidRPr="006F7767">
              <w:t>(r) the tonnes of nitrogen in effluent leaving the plant into open coastal waters</w:t>
            </w:r>
          </w:p>
        </w:tc>
      </w:tr>
    </w:tbl>
    <w:p w:rsidR="000913EA" w:rsidRPr="006F7767" w:rsidRDefault="000913EA" w:rsidP="000913EA">
      <w:pPr>
        <w:pStyle w:val="TableHeading"/>
      </w:pPr>
      <w:r w:rsidRPr="006F7767">
        <w:t>Source 4D—Waste incineration</w:t>
      </w:r>
    </w:p>
    <w:p w:rsidR="000913EA" w:rsidRPr="006F7767" w:rsidRDefault="000913EA" w:rsidP="000913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0"/>
        <w:gridCol w:w="2755"/>
        <w:gridCol w:w="5441"/>
      </w:tblGrid>
      <w:tr w:rsidR="000913EA" w:rsidRPr="006F7767" w:rsidDel="00E578AE" w:rsidTr="000913EA">
        <w:tc>
          <w:tcPr>
            <w:tcW w:w="460"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Item</w:t>
            </w:r>
          </w:p>
        </w:tc>
        <w:tc>
          <w:tcPr>
            <w:tcW w:w="1526"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Method</w:t>
            </w:r>
          </w:p>
        </w:tc>
        <w:tc>
          <w:tcPr>
            <w:tcW w:w="3014" w:type="pct"/>
            <w:tcBorders>
              <w:top w:val="single" w:sz="12" w:space="0" w:color="auto"/>
              <w:bottom w:val="single" w:sz="12" w:space="0" w:color="auto"/>
            </w:tcBorders>
            <w:shd w:val="clear" w:color="auto" w:fill="auto"/>
          </w:tcPr>
          <w:p w:rsidR="000913EA" w:rsidRPr="006F7767" w:rsidRDefault="000913EA" w:rsidP="000913EA">
            <w:pPr>
              <w:pStyle w:val="TableHeading"/>
            </w:pPr>
            <w:r w:rsidRPr="006F7767">
              <w:t>Matters to be identified</w:t>
            </w:r>
          </w:p>
        </w:tc>
      </w:tr>
      <w:tr w:rsidR="000913EA" w:rsidRPr="006F7767" w:rsidDel="00E578AE" w:rsidTr="000913EA">
        <w:tc>
          <w:tcPr>
            <w:tcW w:w="460" w:type="pct"/>
            <w:tcBorders>
              <w:top w:val="single" w:sz="12" w:space="0" w:color="auto"/>
              <w:bottom w:val="single" w:sz="12" w:space="0" w:color="auto"/>
            </w:tcBorders>
            <w:shd w:val="clear" w:color="auto" w:fill="auto"/>
          </w:tcPr>
          <w:p w:rsidR="000913EA" w:rsidRPr="006F7767" w:rsidDel="00E578AE" w:rsidRDefault="000913EA" w:rsidP="000913EA">
            <w:pPr>
              <w:pStyle w:val="Tabletext"/>
            </w:pPr>
            <w:r w:rsidRPr="006F7767">
              <w:t>1</w:t>
            </w:r>
          </w:p>
        </w:tc>
        <w:tc>
          <w:tcPr>
            <w:tcW w:w="1526" w:type="pct"/>
            <w:tcBorders>
              <w:top w:val="single" w:sz="12" w:space="0" w:color="auto"/>
              <w:bottom w:val="single" w:sz="12" w:space="0" w:color="auto"/>
            </w:tcBorders>
            <w:shd w:val="clear" w:color="auto" w:fill="auto"/>
          </w:tcPr>
          <w:p w:rsidR="000913EA" w:rsidRPr="006F7767" w:rsidDel="00E578AE" w:rsidRDefault="000913EA" w:rsidP="000913EA">
            <w:pPr>
              <w:pStyle w:val="Tabletext"/>
            </w:pPr>
            <w:r w:rsidRPr="006F7767">
              <w:t>Methods 1 and 4 for th</w:t>
            </w:r>
            <w:r w:rsidR="00712C4C">
              <w:t>e source, as set out in section</w:t>
            </w:r>
            <w:r w:rsidRPr="006F7767">
              <w:t xml:space="preserve"> 5.53 and Part 1.3</w:t>
            </w:r>
          </w:p>
        </w:tc>
        <w:tc>
          <w:tcPr>
            <w:tcW w:w="3014" w:type="pct"/>
            <w:tcBorders>
              <w:top w:val="single" w:sz="12" w:space="0" w:color="auto"/>
              <w:bottom w:val="single" w:sz="12" w:space="0" w:color="auto"/>
            </w:tcBorders>
            <w:shd w:val="clear" w:color="auto" w:fill="auto"/>
          </w:tcPr>
          <w:p w:rsidR="000913EA" w:rsidRPr="006F7767" w:rsidDel="00E578AE" w:rsidRDefault="000913EA" w:rsidP="000913EA">
            <w:pPr>
              <w:pStyle w:val="Tabletext"/>
            </w:pPr>
            <w:r w:rsidRPr="006F7767">
              <w:t>the tonnes of waste incinerated</w:t>
            </w:r>
          </w:p>
        </w:tc>
      </w:tr>
    </w:tbl>
    <w:p w:rsidR="002147E6" w:rsidRPr="00356952" w:rsidRDefault="002147E6" w:rsidP="002147E6">
      <w:pPr>
        <w:pStyle w:val="Tabletext"/>
      </w:pPr>
      <w:bookmarkStart w:id="155" w:name="_GoBack"/>
      <w:bookmarkEnd w:id="155"/>
    </w:p>
    <w:sectPr w:rsidR="002147E6" w:rsidRPr="00356952" w:rsidSect="00B13564">
      <w:footerReference w:type="default" r:id="rId3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0D" w:rsidRDefault="008B570D">
      <w:r>
        <w:separator/>
      </w:r>
    </w:p>
  </w:endnote>
  <w:endnote w:type="continuationSeparator" w:id="0">
    <w:p w:rsidR="008B570D" w:rsidRDefault="008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imes New Roman Bold Italic">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F67A99" w:rsidRDefault="00F67A99"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FB502A">
          <w:rPr>
            <w:noProof/>
          </w:rPr>
          <w:t>119</w:t>
        </w:r>
        <w:r>
          <w:rPr>
            <w:noProof/>
          </w:rPr>
          <w:fldChar w:fldCharType="end"/>
        </w:r>
      </w:p>
    </w:sdtContent>
  </w:sdt>
  <w:p w:rsidR="00F67A99" w:rsidRDefault="00F67A99" w:rsidP="00407135">
    <w:pPr>
      <w:pStyle w:val="Header"/>
    </w:pPr>
    <w:r>
      <w:rPr>
        <w:noProof/>
      </w:rPr>
      <w:fldChar w:fldCharType="begin"/>
    </w:r>
    <w:r>
      <w:rPr>
        <w:noProof/>
      </w:rPr>
      <w:instrText xml:space="preserve"> STYLEREF  ShortT  \* MERGEFORMAT </w:instrText>
    </w:r>
    <w:r>
      <w:rPr>
        <w:noProof/>
      </w:rPr>
      <w:fldChar w:fldCharType="separate"/>
    </w:r>
    <w:r w:rsidR="00FB502A">
      <w:rPr>
        <w:noProof/>
      </w:rPr>
      <w:t>National Greenhouse and Energy Reporting (Measurement) Amendment (2021 Update) Determination 2021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0D" w:rsidRDefault="008B570D">
      <w:r>
        <w:separator/>
      </w:r>
    </w:p>
  </w:footnote>
  <w:footnote w:type="continuationSeparator" w:id="0">
    <w:p w:rsidR="008B570D" w:rsidRDefault="008B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2"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0"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num w:numId="1">
    <w:abstractNumId w:val="1"/>
  </w:num>
  <w:num w:numId="2">
    <w:abstractNumId w:val="0"/>
  </w:num>
  <w:num w:numId="3">
    <w:abstractNumId w:val="3"/>
  </w:num>
  <w:num w:numId="4">
    <w:abstractNumId w:val="10"/>
  </w:num>
  <w:num w:numId="5">
    <w:abstractNumId w:val="20"/>
  </w:num>
  <w:num w:numId="6">
    <w:abstractNumId w:val="25"/>
  </w:num>
  <w:num w:numId="7">
    <w:abstractNumId w:val="4"/>
  </w:num>
  <w:num w:numId="8">
    <w:abstractNumId w:val="15"/>
  </w:num>
  <w:num w:numId="9">
    <w:abstractNumId w:val="6"/>
  </w:num>
  <w:num w:numId="10">
    <w:abstractNumId w:val="9"/>
  </w:num>
  <w:num w:numId="11">
    <w:abstractNumId w:val="5"/>
  </w:num>
  <w:num w:numId="12">
    <w:abstractNumId w:val="14"/>
  </w:num>
  <w:num w:numId="13">
    <w:abstractNumId w:val="11"/>
  </w:num>
  <w:num w:numId="14">
    <w:abstractNumId w:val="32"/>
  </w:num>
  <w:num w:numId="15">
    <w:abstractNumId w:val="7"/>
  </w:num>
  <w:num w:numId="16">
    <w:abstractNumId w:val="16"/>
  </w:num>
  <w:num w:numId="17">
    <w:abstractNumId w:val="2"/>
  </w:num>
  <w:num w:numId="18">
    <w:abstractNumId w:val="12"/>
  </w:num>
  <w:num w:numId="19">
    <w:abstractNumId w:val="1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2024"/>
    <w:rsid w:val="000039D7"/>
    <w:rsid w:val="000059FD"/>
    <w:rsid w:val="00012088"/>
    <w:rsid w:val="00012B72"/>
    <w:rsid w:val="00014257"/>
    <w:rsid w:val="000248C7"/>
    <w:rsid w:val="000258A0"/>
    <w:rsid w:val="00031189"/>
    <w:rsid w:val="000320F2"/>
    <w:rsid w:val="00032BFC"/>
    <w:rsid w:val="00036984"/>
    <w:rsid w:val="0003757F"/>
    <w:rsid w:val="0003764D"/>
    <w:rsid w:val="00040A7E"/>
    <w:rsid w:val="00041037"/>
    <w:rsid w:val="00041E62"/>
    <w:rsid w:val="0004373B"/>
    <w:rsid w:val="0004479F"/>
    <w:rsid w:val="00044D8C"/>
    <w:rsid w:val="000453D0"/>
    <w:rsid w:val="00046216"/>
    <w:rsid w:val="00047DB3"/>
    <w:rsid w:val="00050664"/>
    <w:rsid w:val="00051826"/>
    <w:rsid w:val="00051EA8"/>
    <w:rsid w:val="0005423E"/>
    <w:rsid w:val="00054911"/>
    <w:rsid w:val="00056020"/>
    <w:rsid w:val="00057DAD"/>
    <w:rsid w:val="00060287"/>
    <w:rsid w:val="00063C97"/>
    <w:rsid w:val="00064F51"/>
    <w:rsid w:val="00066A91"/>
    <w:rsid w:val="00067372"/>
    <w:rsid w:val="000719AE"/>
    <w:rsid w:val="000731B2"/>
    <w:rsid w:val="00074AB4"/>
    <w:rsid w:val="00075602"/>
    <w:rsid w:val="00076EE6"/>
    <w:rsid w:val="000813F8"/>
    <w:rsid w:val="00082BCD"/>
    <w:rsid w:val="00090D8B"/>
    <w:rsid w:val="000913EA"/>
    <w:rsid w:val="000967FA"/>
    <w:rsid w:val="00097203"/>
    <w:rsid w:val="000974E1"/>
    <w:rsid w:val="000978C5"/>
    <w:rsid w:val="000A02E0"/>
    <w:rsid w:val="000A1452"/>
    <w:rsid w:val="000A25C2"/>
    <w:rsid w:val="000A407B"/>
    <w:rsid w:val="000A4314"/>
    <w:rsid w:val="000A4DBC"/>
    <w:rsid w:val="000A5EC6"/>
    <w:rsid w:val="000A71D4"/>
    <w:rsid w:val="000A7903"/>
    <w:rsid w:val="000B042A"/>
    <w:rsid w:val="000B177D"/>
    <w:rsid w:val="000B25C5"/>
    <w:rsid w:val="000B2B15"/>
    <w:rsid w:val="000B4CF0"/>
    <w:rsid w:val="000B4DA5"/>
    <w:rsid w:val="000B5DCB"/>
    <w:rsid w:val="000C2287"/>
    <w:rsid w:val="000C2440"/>
    <w:rsid w:val="000C61CF"/>
    <w:rsid w:val="000D2D22"/>
    <w:rsid w:val="000D2FFA"/>
    <w:rsid w:val="000D40E2"/>
    <w:rsid w:val="000D450D"/>
    <w:rsid w:val="000D5F02"/>
    <w:rsid w:val="000D628D"/>
    <w:rsid w:val="000D7205"/>
    <w:rsid w:val="000E2406"/>
    <w:rsid w:val="000E2AF3"/>
    <w:rsid w:val="000E2E9E"/>
    <w:rsid w:val="000E4D39"/>
    <w:rsid w:val="000E750C"/>
    <w:rsid w:val="000E77B0"/>
    <w:rsid w:val="000F0319"/>
    <w:rsid w:val="000F081D"/>
    <w:rsid w:val="000F2EBE"/>
    <w:rsid w:val="000F31F8"/>
    <w:rsid w:val="000F39FE"/>
    <w:rsid w:val="000F3E90"/>
    <w:rsid w:val="0010169E"/>
    <w:rsid w:val="00102896"/>
    <w:rsid w:val="00104A9E"/>
    <w:rsid w:val="00107E81"/>
    <w:rsid w:val="001104D5"/>
    <w:rsid w:val="0011138C"/>
    <w:rsid w:val="0011343D"/>
    <w:rsid w:val="001201AD"/>
    <w:rsid w:val="00121A23"/>
    <w:rsid w:val="00123118"/>
    <w:rsid w:val="00123657"/>
    <w:rsid w:val="00124559"/>
    <w:rsid w:val="001245D0"/>
    <w:rsid w:val="001300B0"/>
    <w:rsid w:val="0013340A"/>
    <w:rsid w:val="00133B29"/>
    <w:rsid w:val="001369B9"/>
    <w:rsid w:val="00137A06"/>
    <w:rsid w:val="00140EBC"/>
    <w:rsid w:val="00142EC4"/>
    <w:rsid w:val="0014387D"/>
    <w:rsid w:val="001443B4"/>
    <w:rsid w:val="00144E82"/>
    <w:rsid w:val="001476F6"/>
    <w:rsid w:val="001532D6"/>
    <w:rsid w:val="00154AA1"/>
    <w:rsid w:val="00170675"/>
    <w:rsid w:val="00172839"/>
    <w:rsid w:val="00174847"/>
    <w:rsid w:val="0017505D"/>
    <w:rsid w:val="0017511C"/>
    <w:rsid w:val="001776B2"/>
    <w:rsid w:val="00182E3C"/>
    <w:rsid w:val="00182E6C"/>
    <w:rsid w:val="00183C90"/>
    <w:rsid w:val="00184268"/>
    <w:rsid w:val="00184B5E"/>
    <w:rsid w:val="00185AF9"/>
    <w:rsid w:val="00190AB5"/>
    <w:rsid w:val="00193D3A"/>
    <w:rsid w:val="00194039"/>
    <w:rsid w:val="00195069"/>
    <w:rsid w:val="00196DA5"/>
    <w:rsid w:val="001979DC"/>
    <w:rsid w:val="001A094B"/>
    <w:rsid w:val="001A15AC"/>
    <w:rsid w:val="001A562A"/>
    <w:rsid w:val="001A5CB2"/>
    <w:rsid w:val="001A7AA3"/>
    <w:rsid w:val="001B0571"/>
    <w:rsid w:val="001B0B41"/>
    <w:rsid w:val="001B2D72"/>
    <w:rsid w:val="001B4173"/>
    <w:rsid w:val="001B4754"/>
    <w:rsid w:val="001B644D"/>
    <w:rsid w:val="001B7250"/>
    <w:rsid w:val="001B7C15"/>
    <w:rsid w:val="001C0768"/>
    <w:rsid w:val="001C1A73"/>
    <w:rsid w:val="001C3392"/>
    <w:rsid w:val="001C3788"/>
    <w:rsid w:val="001C6AD2"/>
    <w:rsid w:val="001D07AE"/>
    <w:rsid w:val="001D3FED"/>
    <w:rsid w:val="001E0960"/>
    <w:rsid w:val="001E1B02"/>
    <w:rsid w:val="001E4824"/>
    <w:rsid w:val="001E647F"/>
    <w:rsid w:val="001F373E"/>
    <w:rsid w:val="001F43D4"/>
    <w:rsid w:val="001F4DE7"/>
    <w:rsid w:val="001F50EC"/>
    <w:rsid w:val="001F5AF2"/>
    <w:rsid w:val="00201A33"/>
    <w:rsid w:val="00202460"/>
    <w:rsid w:val="00202D52"/>
    <w:rsid w:val="00204F35"/>
    <w:rsid w:val="00210328"/>
    <w:rsid w:val="00210C28"/>
    <w:rsid w:val="0021145F"/>
    <w:rsid w:val="00212E5F"/>
    <w:rsid w:val="00213788"/>
    <w:rsid w:val="002146BA"/>
    <w:rsid w:val="002147E6"/>
    <w:rsid w:val="002172B6"/>
    <w:rsid w:val="0021764C"/>
    <w:rsid w:val="00217A90"/>
    <w:rsid w:val="00217B5D"/>
    <w:rsid w:val="00217C89"/>
    <w:rsid w:val="00220F1C"/>
    <w:rsid w:val="002221BC"/>
    <w:rsid w:val="00223A01"/>
    <w:rsid w:val="00225D68"/>
    <w:rsid w:val="0022621E"/>
    <w:rsid w:val="002274CF"/>
    <w:rsid w:val="00227AF6"/>
    <w:rsid w:val="002309B3"/>
    <w:rsid w:val="00232329"/>
    <w:rsid w:val="002328A5"/>
    <w:rsid w:val="00233BC0"/>
    <w:rsid w:val="00234173"/>
    <w:rsid w:val="00235E1E"/>
    <w:rsid w:val="00240E9E"/>
    <w:rsid w:val="0024155A"/>
    <w:rsid w:val="00241798"/>
    <w:rsid w:val="002418AF"/>
    <w:rsid w:val="002432A9"/>
    <w:rsid w:val="00243924"/>
    <w:rsid w:val="00246A83"/>
    <w:rsid w:val="00246C4C"/>
    <w:rsid w:val="002472BC"/>
    <w:rsid w:val="00252853"/>
    <w:rsid w:val="00254817"/>
    <w:rsid w:val="00254F10"/>
    <w:rsid w:val="00255070"/>
    <w:rsid w:val="00257896"/>
    <w:rsid w:val="002633A3"/>
    <w:rsid w:val="00264B05"/>
    <w:rsid w:val="00265192"/>
    <w:rsid w:val="0026600B"/>
    <w:rsid w:val="00266DC8"/>
    <w:rsid w:val="00271C3F"/>
    <w:rsid w:val="00274E2B"/>
    <w:rsid w:val="0027523B"/>
    <w:rsid w:val="00280B8E"/>
    <w:rsid w:val="002832F4"/>
    <w:rsid w:val="00283594"/>
    <w:rsid w:val="0028502C"/>
    <w:rsid w:val="00285895"/>
    <w:rsid w:val="00293143"/>
    <w:rsid w:val="00293320"/>
    <w:rsid w:val="00294058"/>
    <w:rsid w:val="00294245"/>
    <w:rsid w:val="00294DE8"/>
    <w:rsid w:val="002A0596"/>
    <w:rsid w:val="002A18C9"/>
    <w:rsid w:val="002A265C"/>
    <w:rsid w:val="002A3283"/>
    <w:rsid w:val="002A5322"/>
    <w:rsid w:val="002A6992"/>
    <w:rsid w:val="002A7E6F"/>
    <w:rsid w:val="002B0EAC"/>
    <w:rsid w:val="002B3521"/>
    <w:rsid w:val="002B6071"/>
    <w:rsid w:val="002B6A21"/>
    <w:rsid w:val="002B7374"/>
    <w:rsid w:val="002C3465"/>
    <w:rsid w:val="002D3972"/>
    <w:rsid w:val="002D7259"/>
    <w:rsid w:val="002E1F27"/>
    <w:rsid w:val="002E2E64"/>
    <w:rsid w:val="002E33DF"/>
    <w:rsid w:val="002E39E0"/>
    <w:rsid w:val="002E7EE0"/>
    <w:rsid w:val="002F0C47"/>
    <w:rsid w:val="002F1A46"/>
    <w:rsid w:val="002F242B"/>
    <w:rsid w:val="002F4A68"/>
    <w:rsid w:val="002F664A"/>
    <w:rsid w:val="002F7852"/>
    <w:rsid w:val="00301367"/>
    <w:rsid w:val="00301A93"/>
    <w:rsid w:val="00301C22"/>
    <w:rsid w:val="0030319A"/>
    <w:rsid w:val="003041A6"/>
    <w:rsid w:val="00306EFA"/>
    <w:rsid w:val="00307BC3"/>
    <w:rsid w:val="0031117B"/>
    <w:rsid w:val="003127F8"/>
    <w:rsid w:val="00321884"/>
    <w:rsid w:val="00322CCD"/>
    <w:rsid w:val="003257CA"/>
    <w:rsid w:val="0032598E"/>
    <w:rsid w:val="00326C9B"/>
    <w:rsid w:val="00327822"/>
    <w:rsid w:val="00331757"/>
    <w:rsid w:val="0033258A"/>
    <w:rsid w:val="00332C68"/>
    <w:rsid w:val="00333A4F"/>
    <w:rsid w:val="00335540"/>
    <w:rsid w:val="00340AA4"/>
    <w:rsid w:val="0034760F"/>
    <w:rsid w:val="00350078"/>
    <w:rsid w:val="0035186D"/>
    <w:rsid w:val="00352270"/>
    <w:rsid w:val="00352B83"/>
    <w:rsid w:val="00352C2C"/>
    <w:rsid w:val="00354E4F"/>
    <w:rsid w:val="00360904"/>
    <w:rsid w:val="00361ECE"/>
    <w:rsid w:val="00364922"/>
    <w:rsid w:val="00371E2D"/>
    <w:rsid w:val="00377DAC"/>
    <w:rsid w:val="003806B4"/>
    <w:rsid w:val="00380FB2"/>
    <w:rsid w:val="00382276"/>
    <w:rsid w:val="0039016F"/>
    <w:rsid w:val="00390A97"/>
    <w:rsid w:val="00390B03"/>
    <w:rsid w:val="003939A2"/>
    <w:rsid w:val="00396737"/>
    <w:rsid w:val="0039749E"/>
    <w:rsid w:val="00397EE5"/>
    <w:rsid w:val="003A080E"/>
    <w:rsid w:val="003A103A"/>
    <w:rsid w:val="003A34AE"/>
    <w:rsid w:val="003A45F9"/>
    <w:rsid w:val="003A4CFF"/>
    <w:rsid w:val="003A6158"/>
    <w:rsid w:val="003A644D"/>
    <w:rsid w:val="003A72A8"/>
    <w:rsid w:val="003B114C"/>
    <w:rsid w:val="003B3DB9"/>
    <w:rsid w:val="003B4E23"/>
    <w:rsid w:val="003B7386"/>
    <w:rsid w:val="003B777A"/>
    <w:rsid w:val="003C12BC"/>
    <w:rsid w:val="003C1E61"/>
    <w:rsid w:val="003C22D9"/>
    <w:rsid w:val="003C32EE"/>
    <w:rsid w:val="003C452F"/>
    <w:rsid w:val="003D1FE2"/>
    <w:rsid w:val="003D44A8"/>
    <w:rsid w:val="003D7C75"/>
    <w:rsid w:val="003E0AA7"/>
    <w:rsid w:val="003E0AF3"/>
    <w:rsid w:val="003E1765"/>
    <w:rsid w:val="003E2DCB"/>
    <w:rsid w:val="003E3108"/>
    <w:rsid w:val="003E352A"/>
    <w:rsid w:val="003E49CC"/>
    <w:rsid w:val="003E4E88"/>
    <w:rsid w:val="003E5F26"/>
    <w:rsid w:val="003E6641"/>
    <w:rsid w:val="003E7BF9"/>
    <w:rsid w:val="003F425D"/>
    <w:rsid w:val="003F58A1"/>
    <w:rsid w:val="003F61C0"/>
    <w:rsid w:val="003F7EF1"/>
    <w:rsid w:val="004003AB"/>
    <w:rsid w:val="0040186F"/>
    <w:rsid w:val="00402812"/>
    <w:rsid w:val="004040B2"/>
    <w:rsid w:val="00404E41"/>
    <w:rsid w:val="0040665C"/>
    <w:rsid w:val="00406C4A"/>
    <w:rsid w:val="00407135"/>
    <w:rsid w:val="004077A2"/>
    <w:rsid w:val="00407A73"/>
    <w:rsid w:val="00412EE5"/>
    <w:rsid w:val="00413300"/>
    <w:rsid w:val="00416635"/>
    <w:rsid w:val="004209C2"/>
    <w:rsid w:val="00423DA5"/>
    <w:rsid w:val="00430D5F"/>
    <w:rsid w:val="004327A6"/>
    <w:rsid w:val="00433AE2"/>
    <w:rsid w:val="00435726"/>
    <w:rsid w:val="00435DA0"/>
    <w:rsid w:val="00436098"/>
    <w:rsid w:val="00436219"/>
    <w:rsid w:val="00436C5C"/>
    <w:rsid w:val="00437485"/>
    <w:rsid w:val="00441379"/>
    <w:rsid w:val="00441C78"/>
    <w:rsid w:val="00442227"/>
    <w:rsid w:val="004428F7"/>
    <w:rsid w:val="00442D45"/>
    <w:rsid w:val="00444507"/>
    <w:rsid w:val="00444584"/>
    <w:rsid w:val="004465B8"/>
    <w:rsid w:val="004503EC"/>
    <w:rsid w:val="00452C13"/>
    <w:rsid w:val="00453E73"/>
    <w:rsid w:val="00463E97"/>
    <w:rsid w:val="00475CF2"/>
    <w:rsid w:val="00476141"/>
    <w:rsid w:val="00476C74"/>
    <w:rsid w:val="00477BAF"/>
    <w:rsid w:val="00477BB5"/>
    <w:rsid w:val="004803D4"/>
    <w:rsid w:val="004871B5"/>
    <w:rsid w:val="00487B34"/>
    <w:rsid w:val="00491433"/>
    <w:rsid w:val="004938A3"/>
    <w:rsid w:val="004971E4"/>
    <w:rsid w:val="004A37E5"/>
    <w:rsid w:val="004B4EA7"/>
    <w:rsid w:val="004B4F7C"/>
    <w:rsid w:val="004B5B4A"/>
    <w:rsid w:val="004B644E"/>
    <w:rsid w:val="004C0E8C"/>
    <w:rsid w:val="004C1309"/>
    <w:rsid w:val="004C144E"/>
    <w:rsid w:val="004C1A87"/>
    <w:rsid w:val="004C347A"/>
    <w:rsid w:val="004C5121"/>
    <w:rsid w:val="004C54CC"/>
    <w:rsid w:val="004C5AFE"/>
    <w:rsid w:val="004C6902"/>
    <w:rsid w:val="004C6E92"/>
    <w:rsid w:val="004D2353"/>
    <w:rsid w:val="004D256F"/>
    <w:rsid w:val="004E1067"/>
    <w:rsid w:val="004E5AB1"/>
    <w:rsid w:val="004E5BEF"/>
    <w:rsid w:val="004F0122"/>
    <w:rsid w:val="004F17AC"/>
    <w:rsid w:val="004F17F7"/>
    <w:rsid w:val="004F2FAE"/>
    <w:rsid w:val="004F30B1"/>
    <w:rsid w:val="004F437B"/>
    <w:rsid w:val="004F5362"/>
    <w:rsid w:val="004F5645"/>
    <w:rsid w:val="00500012"/>
    <w:rsid w:val="00502DD0"/>
    <w:rsid w:val="00505FCA"/>
    <w:rsid w:val="00507791"/>
    <w:rsid w:val="00511D12"/>
    <w:rsid w:val="00511EAF"/>
    <w:rsid w:val="005138FE"/>
    <w:rsid w:val="00516DE1"/>
    <w:rsid w:val="00517E97"/>
    <w:rsid w:val="0052035B"/>
    <w:rsid w:val="00521933"/>
    <w:rsid w:val="00524E7C"/>
    <w:rsid w:val="005276E4"/>
    <w:rsid w:val="00531C0C"/>
    <w:rsid w:val="00532D74"/>
    <w:rsid w:val="005352DD"/>
    <w:rsid w:val="0053566D"/>
    <w:rsid w:val="00536596"/>
    <w:rsid w:val="00536929"/>
    <w:rsid w:val="00537B4E"/>
    <w:rsid w:val="00540465"/>
    <w:rsid w:val="005411B1"/>
    <w:rsid w:val="00547E30"/>
    <w:rsid w:val="0055370A"/>
    <w:rsid w:val="00554B06"/>
    <w:rsid w:val="005556A2"/>
    <w:rsid w:val="00557E5A"/>
    <w:rsid w:val="0056088F"/>
    <w:rsid w:val="00562634"/>
    <w:rsid w:val="00571ACA"/>
    <w:rsid w:val="00572F37"/>
    <w:rsid w:val="00574D2B"/>
    <w:rsid w:val="00582C28"/>
    <w:rsid w:val="00583629"/>
    <w:rsid w:val="00584F3F"/>
    <w:rsid w:val="00585054"/>
    <w:rsid w:val="0058653A"/>
    <w:rsid w:val="00586C23"/>
    <w:rsid w:val="00592607"/>
    <w:rsid w:val="00594537"/>
    <w:rsid w:val="00595849"/>
    <w:rsid w:val="005A004D"/>
    <w:rsid w:val="005A0240"/>
    <w:rsid w:val="005A0814"/>
    <w:rsid w:val="005A6EA9"/>
    <w:rsid w:val="005A76B2"/>
    <w:rsid w:val="005B29AD"/>
    <w:rsid w:val="005B42FE"/>
    <w:rsid w:val="005B5048"/>
    <w:rsid w:val="005B52E3"/>
    <w:rsid w:val="005B5536"/>
    <w:rsid w:val="005B63B2"/>
    <w:rsid w:val="005B7033"/>
    <w:rsid w:val="005D0FAD"/>
    <w:rsid w:val="005D1FCA"/>
    <w:rsid w:val="005D4CA5"/>
    <w:rsid w:val="005D7C25"/>
    <w:rsid w:val="005E017E"/>
    <w:rsid w:val="005E0910"/>
    <w:rsid w:val="005E0A85"/>
    <w:rsid w:val="005E30C6"/>
    <w:rsid w:val="005E4601"/>
    <w:rsid w:val="005E67D0"/>
    <w:rsid w:val="005E736A"/>
    <w:rsid w:val="005F1DF4"/>
    <w:rsid w:val="005F253E"/>
    <w:rsid w:val="005F27EF"/>
    <w:rsid w:val="005F60DB"/>
    <w:rsid w:val="006006CF"/>
    <w:rsid w:val="00602E88"/>
    <w:rsid w:val="00604125"/>
    <w:rsid w:val="00605ADC"/>
    <w:rsid w:val="00606ADD"/>
    <w:rsid w:val="00610DA3"/>
    <w:rsid w:val="006122E1"/>
    <w:rsid w:val="006147BE"/>
    <w:rsid w:val="006161F8"/>
    <w:rsid w:val="00616491"/>
    <w:rsid w:val="00623FA5"/>
    <w:rsid w:val="0062440A"/>
    <w:rsid w:val="0062512C"/>
    <w:rsid w:val="0063445A"/>
    <w:rsid w:val="00634AF8"/>
    <w:rsid w:val="0063686C"/>
    <w:rsid w:val="006376CC"/>
    <w:rsid w:val="00640FB5"/>
    <w:rsid w:val="00641007"/>
    <w:rsid w:val="00642695"/>
    <w:rsid w:val="00642C1E"/>
    <w:rsid w:val="006444C9"/>
    <w:rsid w:val="006448E4"/>
    <w:rsid w:val="0064647A"/>
    <w:rsid w:val="0064667D"/>
    <w:rsid w:val="00646D73"/>
    <w:rsid w:val="0065130D"/>
    <w:rsid w:val="00652BBE"/>
    <w:rsid w:val="006539CC"/>
    <w:rsid w:val="0065413D"/>
    <w:rsid w:val="00656173"/>
    <w:rsid w:val="006574AB"/>
    <w:rsid w:val="00657809"/>
    <w:rsid w:val="00662B72"/>
    <w:rsid w:val="00663ADA"/>
    <w:rsid w:val="00665AEC"/>
    <w:rsid w:val="00666AB2"/>
    <w:rsid w:val="0066733F"/>
    <w:rsid w:val="006738A8"/>
    <w:rsid w:val="006775C7"/>
    <w:rsid w:val="0068239C"/>
    <w:rsid w:val="006829B7"/>
    <w:rsid w:val="0068442B"/>
    <w:rsid w:val="00685DC9"/>
    <w:rsid w:val="00692892"/>
    <w:rsid w:val="00693350"/>
    <w:rsid w:val="006948D4"/>
    <w:rsid w:val="006961BC"/>
    <w:rsid w:val="006A0E83"/>
    <w:rsid w:val="006A1924"/>
    <w:rsid w:val="006A37A5"/>
    <w:rsid w:val="006A44B5"/>
    <w:rsid w:val="006A45FF"/>
    <w:rsid w:val="006A5E3A"/>
    <w:rsid w:val="006A77BA"/>
    <w:rsid w:val="006B17DB"/>
    <w:rsid w:val="006B404D"/>
    <w:rsid w:val="006B5B56"/>
    <w:rsid w:val="006C030F"/>
    <w:rsid w:val="006C1637"/>
    <w:rsid w:val="006C1EA8"/>
    <w:rsid w:val="006C2838"/>
    <w:rsid w:val="006C4A30"/>
    <w:rsid w:val="006C7992"/>
    <w:rsid w:val="006C7EEA"/>
    <w:rsid w:val="006D0A68"/>
    <w:rsid w:val="006D315F"/>
    <w:rsid w:val="006D6000"/>
    <w:rsid w:val="006D7611"/>
    <w:rsid w:val="006D7E82"/>
    <w:rsid w:val="006E12A9"/>
    <w:rsid w:val="006E2406"/>
    <w:rsid w:val="006E44C2"/>
    <w:rsid w:val="006F05FC"/>
    <w:rsid w:val="006F166C"/>
    <w:rsid w:val="006F1BB4"/>
    <w:rsid w:val="006F335D"/>
    <w:rsid w:val="006F39FC"/>
    <w:rsid w:val="006F3F95"/>
    <w:rsid w:val="006F4BC9"/>
    <w:rsid w:val="006F59B9"/>
    <w:rsid w:val="006F5E74"/>
    <w:rsid w:val="006F6CBF"/>
    <w:rsid w:val="006F7767"/>
    <w:rsid w:val="006F7EF6"/>
    <w:rsid w:val="00700043"/>
    <w:rsid w:val="00701FD7"/>
    <w:rsid w:val="007042B4"/>
    <w:rsid w:val="00711DAC"/>
    <w:rsid w:val="00711FDE"/>
    <w:rsid w:val="00712096"/>
    <w:rsid w:val="007125FD"/>
    <w:rsid w:val="00712C4C"/>
    <w:rsid w:val="00713A3F"/>
    <w:rsid w:val="00714CC8"/>
    <w:rsid w:val="00720B8F"/>
    <w:rsid w:val="00722E06"/>
    <w:rsid w:val="0072459D"/>
    <w:rsid w:val="007249E6"/>
    <w:rsid w:val="00724E53"/>
    <w:rsid w:val="0072600A"/>
    <w:rsid w:val="00726456"/>
    <w:rsid w:val="0072656B"/>
    <w:rsid w:val="007275FE"/>
    <w:rsid w:val="0073065D"/>
    <w:rsid w:val="00730DC0"/>
    <w:rsid w:val="007330A3"/>
    <w:rsid w:val="007351F3"/>
    <w:rsid w:val="00736F58"/>
    <w:rsid w:val="00737BF5"/>
    <w:rsid w:val="00741738"/>
    <w:rsid w:val="00744EA8"/>
    <w:rsid w:val="00746DC8"/>
    <w:rsid w:val="00747AD3"/>
    <w:rsid w:val="00752FCF"/>
    <w:rsid w:val="00754E6A"/>
    <w:rsid w:val="007551B7"/>
    <w:rsid w:val="007557A9"/>
    <w:rsid w:val="00757BFF"/>
    <w:rsid w:val="007640C6"/>
    <w:rsid w:val="007661CD"/>
    <w:rsid w:val="00767F90"/>
    <w:rsid w:val="007701BF"/>
    <w:rsid w:val="0077116C"/>
    <w:rsid w:val="0077308C"/>
    <w:rsid w:val="00774156"/>
    <w:rsid w:val="00775C14"/>
    <w:rsid w:val="007760FD"/>
    <w:rsid w:val="00777BB6"/>
    <w:rsid w:val="00783E42"/>
    <w:rsid w:val="00784C71"/>
    <w:rsid w:val="00785341"/>
    <w:rsid w:val="007856B2"/>
    <w:rsid w:val="007934F1"/>
    <w:rsid w:val="007963EC"/>
    <w:rsid w:val="00797355"/>
    <w:rsid w:val="007A15D9"/>
    <w:rsid w:val="007A2B63"/>
    <w:rsid w:val="007A337B"/>
    <w:rsid w:val="007A4C5E"/>
    <w:rsid w:val="007A5A4C"/>
    <w:rsid w:val="007A6FD4"/>
    <w:rsid w:val="007B0407"/>
    <w:rsid w:val="007B1945"/>
    <w:rsid w:val="007B1C64"/>
    <w:rsid w:val="007B22C4"/>
    <w:rsid w:val="007B4CBC"/>
    <w:rsid w:val="007B5D87"/>
    <w:rsid w:val="007C1C1D"/>
    <w:rsid w:val="007C31EF"/>
    <w:rsid w:val="007C4625"/>
    <w:rsid w:val="007C5D94"/>
    <w:rsid w:val="007C6401"/>
    <w:rsid w:val="007C6E3D"/>
    <w:rsid w:val="007D0160"/>
    <w:rsid w:val="007D0FCB"/>
    <w:rsid w:val="007D1658"/>
    <w:rsid w:val="007D5397"/>
    <w:rsid w:val="007D63FD"/>
    <w:rsid w:val="007D6E07"/>
    <w:rsid w:val="007D7127"/>
    <w:rsid w:val="007D729A"/>
    <w:rsid w:val="007D798D"/>
    <w:rsid w:val="007E238A"/>
    <w:rsid w:val="007E686A"/>
    <w:rsid w:val="007E6966"/>
    <w:rsid w:val="007E753F"/>
    <w:rsid w:val="007F096A"/>
    <w:rsid w:val="007F11B3"/>
    <w:rsid w:val="007F434A"/>
    <w:rsid w:val="0080020C"/>
    <w:rsid w:val="008014D3"/>
    <w:rsid w:val="00805150"/>
    <w:rsid w:val="0080541C"/>
    <w:rsid w:val="00806905"/>
    <w:rsid w:val="008077BA"/>
    <w:rsid w:val="0081009E"/>
    <w:rsid w:val="00810255"/>
    <w:rsid w:val="00812F65"/>
    <w:rsid w:val="008145A8"/>
    <w:rsid w:val="0081483E"/>
    <w:rsid w:val="00814DB1"/>
    <w:rsid w:val="0081779B"/>
    <w:rsid w:val="008205BA"/>
    <w:rsid w:val="00821543"/>
    <w:rsid w:val="0082171E"/>
    <w:rsid w:val="00822056"/>
    <w:rsid w:val="00822F6B"/>
    <w:rsid w:val="00824B62"/>
    <w:rsid w:val="00826C3E"/>
    <w:rsid w:val="008270B0"/>
    <w:rsid w:val="00831BAE"/>
    <w:rsid w:val="0083235A"/>
    <w:rsid w:val="00832BF7"/>
    <w:rsid w:val="008371D1"/>
    <w:rsid w:val="00840A31"/>
    <w:rsid w:val="00842BBD"/>
    <w:rsid w:val="00851E2D"/>
    <w:rsid w:val="00852794"/>
    <w:rsid w:val="00854241"/>
    <w:rsid w:val="00855DE5"/>
    <w:rsid w:val="00856E2A"/>
    <w:rsid w:val="00857B4E"/>
    <w:rsid w:val="00862F94"/>
    <w:rsid w:val="00863979"/>
    <w:rsid w:val="00866271"/>
    <w:rsid w:val="008671B1"/>
    <w:rsid w:val="008678EB"/>
    <w:rsid w:val="00867EE4"/>
    <w:rsid w:val="00870824"/>
    <w:rsid w:val="00872A40"/>
    <w:rsid w:val="00873E84"/>
    <w:rsid w:val="00876AE2"/>
    <w:rsid w:val="00880AB9"/>
    <w:rsid w:val="008858BF"/>
    <w:rsid w:val="00886D9E"/>
    <w:rsid w:val="00895A75"/>
    <w:rsid w:val="008967C6"/>
    <w:rsid w:val="008A1585"/>
    <w:rsid w:val="008A17E3"/>
    <w:rsid w:val="008A28B4"/>
    <w:rsid w:val="008A4262"/>
    <w:rsid w:val="008B23EF"/>
    <w:rsid w:val="008B3176"/>
    <w:rsid w:val="008B3541"/>
    <w:rsid w:val="008B3830"/>
    <w:rsid w:val="008B3BA5"/>
    <w:rsid w:val="008B570D"/>
    <w:rsid w:val="008B5D95"/>
    <w:rsid w:val="008C6C78"/>
    <w:rsid w:val="008C6E06"/>
    <w:rsid w:val="008C7668"/>
    <w:rsid w:val="008D3B2B"/>
    <w:rsid w:val="008D6448"/>
    <w:rsid w:val="008D6654"/>
    <w:rsid w:val="008D6A9D"/>
    <w:rsid w:val="008E1C73"/>
    <w:rsid w:val="008E24DA"/>
    <w:rsid w:val="008E2FFE"/>
    <w:rsid w:val="008E38D7"/>
    <w:rsid w:val="008E67DD"/>
    <w:rsid w:val="008F3A94"/>
    <w:rsid w:val="008F58D2"/>
    <w:rsid w:val="00902A2B"/>
    <w:rsid w:val="00903370"/>
    <w:rsid w:val="00904115"/>
    <w:rsid w:val="0090466A"/>
    <w:rsid w:val="0090493F"/>
    <w:rsid w:val="00905441"/>
    <w:rsid w:val="00910CDE"/>
    <w:rsid w:val="009121A5"/>
    <w:rsid w:val="00912F84"/>
    <w:rsid w:val="00913D7D"/>
    <w:rsid w:val="00915D39"/>
    <w:rsid w:val="0091668E"/>
    <w:rsid w:val="0091674D"/>
    <w:rsid w:val="009170BF"/>
    <w:rsid w:val="0091731F"/>
    <w:rsid w:val="00917469"/>
    <w:rsid w:val="009218BA"/>
    <w:rsid w:val="009249F0"/>
    <w:rsid w:val="00925277"/>
    <w:rsid w:val="00926801"/>
    <w:rsid w:val="009305BF"/>
    <w:rsid w:val="00931772"/>
    <w:rsid w:val="009317A2"/>
    <w:rsid w:val="0093199E"/>
    <w:rsid w:val="009319D5"/>
    <w:rsid w:val="00933869"/>
    <w:rsid w:val="0093569B"/>
    <w:rsid w:val="009359F9"/>
    <w:rsid w:val="00945645"/>
    <w:rsid w:val="00947C4C"/>
    <w:rsid w:val="009506DA"/>
    <w:rsid w:val="00950D9E"/>
    <w:rsid w:val="00951945"/>
    <w:rsid w:val="00952109"/>
    <w:rsid w:val="0095384A"/>
    <w:rsid w:val="00953ABB"/>
    <w:rsid w:val="00956B3B"/>
    <w:rsid w:val="00962A76"/>
    <w:rsid w:val="00963159"/>
    <w:rsid w:val="009646BA"/>
    <w:rsid w:val="00964948"/>
    <w:rsid w:val="009676EF"/>
    <w:rsid w:val="009679CE"/>
    <w:rsid w:val="00972EDF"/>
    <w:rsid w:val="00974EE4"/>
    <w:rsid w:val="009768DD"/>
    <w:rsid w:val="0097758B"/>
    <w:rsid w:val="009778BB"/>
    <w:rsid w:val="00980A71"/>
    <w:rsid w:val="009817E2"/>
    <w:rsid w:val="009818F6"/>
    <w:rsid w:val="00981B44"/>
    <w:rsid w:val="00982D68"/>
    <w:rsid w:val="0098596B"/>
    <w:rsid w:val="009917F3"/>
    <w:rsid w:val="00993854"/>
    <w:rsid w:val="00996158"/>
    <w:rsid w:val="009A0F10"/>
    <w:rsid w:val="009A274B"/>
    <w:rsid w:val="009B0BA1"/>
    <w:rsid w:val="009B2547"/>
    <w:rsid w:val="009B332A"/>
    <w:rsid w:val="009B36F4"/>
    <w:rsid w:val="009B3D99"/>
    <w:rsid w:val="009B4188"/>
    <w:rsid w:val="009B5380"/>
    <w:rsid w:val="009B6E9C"/>
    <w:rsid w:val="009C2745"/>
    <w:rsid w:val="009C6F1A"/>
    <w:rsid w:val="009D0428"/>
    <w:rsid w:val="009D075C"/>
    <w:rsid w:val="009D7DF2"/>
    <w:rsid w:val="009E012E"/>
    <w:rsid w:val="009E04B1"/>
    <w:rsid w:val="009E1396"/>
    <w:rsid w:val="009E5AE6"/>
    <w:rsid w:val="009E5D08"/>
    <w:rsid w:val="009E5F58"/>
    <w:rsid w:val="009E7EF5"/>
    <w:rsid w:val="009F02DE"/>
    <w:rsid w:val="009F3A90"/>
    <w:rsid w:val="009F3A92"/>
    <w:rsid w:val="009F6BF2"/>
    <w:rsid w:val="009F75F7"/>
    <w:rsid w:val="00A0120A"/>
    <w:rsid w:val="00A03D2A"/>
    <w:rsid w:val="00A102B0"/>
    <w:rsid w:val="00A1077C"/>
    <w:rsid w:val="00A11EA3"/>
    <w:rsid w:val="00A14C78"/>
    <w:rsid w:val="00A170DC"/>
    <w:rsid w:val="00A175AD"/>
    <w:rsid w:val="00A20C49"/>
    <w:rsid w:val="00A22771"/>
    <w:rsid w:val="00A22C2F"/>
    <w:rsid w:val="00A2382C"/>
    <w:rsid w:val="00A23AA2"/>
    <w:rsid w:val="00A24756"/>
    <w:rsid w:val="00A252F3"/>
    <w:rsid w:val="00A265A4"/>
    <w:rsid w:val="00A362C4"/>
    <w:rsid w:val="00A3639A"/>
    <w:rsid w:val="00A37504"/>
    <w:rsid w:val="00A41D37"/>
    <w:rsid w:val="00A42666"/>
    <w:rsid w:val="00A42F93"/>
    <w:rsid w:val="00A44801"/>
    <w:rsid w:val="00A44F49"/>
    <w:rsid w:val="00A46D59"/>
    <w:rsid w:val="00A51871"/>
    <w:rsid w:val="00A5656D"/>
    <w:rsid w:val="00A56B83"/>
    <w:rsid w:val="00A607E1"/>
    <w:rsid w:val="00A60A98"/>
    <w:rsid w:val="00A60C9C"/>
    <w:rsid w:val="00A66511"/>
    <w:rsid w:val="00A67FE0"/>
    <w:rsid w:val="00A73601"/>
    <w:rsid w:val="00A7500D"/>
    <w:rsid w:val="00A7572D"/>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7E9"/>
    <w:rsid w:val="00AA795C"/>
    <w:rsid w:val="00AB20E2"/>
    <w:rsid w:val="00AB24D7"/>
    <w:rsid w:val="00AB3003"/>
    <w:rsid w:val="00AB3A76"/>
    <w:rsid w:val="00AB55B1"/>
    <w:rsid w:val="00AB6123"/>
    <w:rsid w:val="00AC386C"/>
    <w:rsid w:val="00AC4663"/>
    <w:rsid w:val="00AC53B7"/>
    <w:rsid w:val="00AC5CE2"/>
    <w:rsid w:val="00AC799D"/>
    <w:rsid w:val="00AC7BFF"/>
    <w:rsid w:val="00AD012D"/>
    <w:rsid w:val="00AD2D6F"/>
    <w:rsid w:val="00AD69C3"/>
    <w:rsid w:val="00AD6B86"/>
    <w:rsid w:val="00AD7BE4"/>
    <w:rsid w:val="00AD7C65"/>
    <w:rsid w:val="00AE0494"/>
    <w:rsid w:val="00AE0499"/>
    <w:rsid w:val="00AE0E5A"/>
    <w:rsid w:val="00AE2169"/>
    <w:rsid w:val="00AE5361"/>
    <w:rsid w:val="00AF0943"/>
    <w:rsid w:val="00AF1FE5"/>
    <w:rsid w:val="00AF2EE9"/>
    <w:rsid w:val="00AF61A3"/>
    <w:rsid w:val="00AF78BD"/>
    <w:rsid w:val="00B0289B"/>
    <w:rsid w:val="00B035A6"/>
    <w:rsid w:val="00B035DD"/>
    <w:rsid w:val="00B03609"/>
    <w:rsid w:val="00B041FA"/>
    <w:rsid w:val="00B0477A"/>
    <w:rsid w:val="00B07066"/>
    <w:rsid w:val="00B107A5"/>
    <w:rsid w:val="00B11161"/>
    <w:rsid w:val="00B11C65"/>
    <w:rsid w:val="00B11DFD"/>
    <w:rsid w:val="00B1217F"/>
    <w:rsid w:val="00B12B69"/>
    <w:rsid w:val="00B131A2"/>
    <w:rsid w:val="00B13564"/>
    <w:rsid w:val="00B14C0F"/>
    <w:rsid w:val="00B15FCE"/>
    <w:rsid w:val="00B213B0"/>
    <w:rsid w:val="00B242D8"/>
    <w:rsid w:val="00B26513"/>
    <w:rsid w:val="00B34972"/>
    <w:rsid w:val="00B34B31"/>
    <w:rsid w:val="00B3769C"/>
    <w:rsid w:val="00B416B4"/>
    <w:rsid w:val="00B427F4"/>
    <w:rsid w:val="00B429AE"/>
    <w:rsid w:val="00B435E8"/>
    <w:rsid w:val="00B4554B"/>
    <w:rsid w:val="00B50554"/>
    <w:rsid w:val="00B515EC"/>
    <w:rsid w:val="00B52136"/>
    <w:rsid w:val="00B57BDA"/>
    <w:rsid w:val="00B63CFC"/>
    <w:rsid w:val="00B65044"/>
    <w:rsid w:val="00B65F06"/>
    <w:rsid w:val="00B66073"/>
    <w:rsid w:val="00B67AB5"/>
    <w:rsid w:val="00B67F74"/>
    <w:rsid w:val="00B74C48"/>
    <w:rsid w:val="00B81F73"/>
    <w:rsid w:val="00B83263"/>
    <w:rsid w:val="00B83E51"/>
    <w:rsid w:val="00B85F75"/>
    <w:rsid w:val="00B9319C"/>
    <w:rsid w:val="00B9396B"/>
    <w:rsid w:val="00B949E1"/>
    <w:rsid w:val="00B95097"/>
    <w:rsid w:val="00B9645B"/>
    <w:rsid w:val="00B9648D"/>
    <w:rsid w:val="00B97EC5"/>
    <w:rsid w:val="00B97F2B"/>
    <w:rsid w:val="00BA538F"/>
    <w:rsid w:val="00BB0081"/>
    <w:rsid w:val="00BB66BB"/>
    <w:rsid w:val="00BB6C06"/>
    <w:rsid w:val="00BC08D8"/>
    <w:rsid w:val="00BC1CEF"/>
    <w:rsid w:val="00BC5541"/>
    <w:rsid w:val="00BC5BAD"/>
    <w:rsid w:val="00BC5FA6"/>
    <w:rsid w:val="00BD028E"/>
    <w:rsid w:val="00BD1DEF"/>
    <w:rsid w:val="00BD3EFC"/>
    <w:rsid w:val="00BD4771"/>
    <w:rsid w:val="00BE2F59"/>
    <w:rsid w:val="00BE3866"/>
    <w:rsid w:val="00BE3C91"/>
    <w:rsid w:val="00BE4B17"/>
    <w:rsid w:val="00BE4D1D"/>
    <w:rsid w:val="00BE5C95"/>
    <w:rsid w:val="00BE5ECB"/>
    <w:rsid w:val="00BF0B49"/>
    <w:rsid w:val="00BF267A"/>
    <w:rsid w:val="00BF3151"/>
    <w:rsid w:val="00BF5A69"/>
    <w:rsid w:val="00C015F9"/>
    <w:rsid w:val="00C0452A"/>
    <w:rsid w:val="00C105D7"/>
    <w:rsid w:val="00C10D9D"/>
    <w:rsid w:val="00C13BE8"/>
    <w:rsid w:val="00C15E51"/>
    <w:rsid w:val="00C17B3A"/>
    <w:rsid w:val="00C24192"/>
    <w:rsid w:val="00C24200"/>
    <w:rsid w:val="00C24437"/>
    <w:rsid w:val="00C25DDA"/>
    <w:rsid w:val="00C278A5"/>
    <w:rsid w:val="00C30B54"/>
    <w:rsid w:val="00C30B6A"/>
    <w:rsid w:val="00C32253"/>
    <w:rsid w:val="00C3317E"/>
    <w:rsid w:val="00C354F5"/>
    <w:rsid w:val="00C4311A"/>
    <w:rsid w:val="00C448DB"/>
    <w:rsid w:val="00C46149"/>
    <w:rsid w:val="00C4706E"/>
    <w:rsid w:val="00C4756B"/>
    <w:rsid w:val="00C51861"/>
    <w:rsid w:val="00C53AF7"/>
    <w:rsid w:val="00C557D7"/>
    <w:rsid w:val="00C55AEA"/>
    <w:rsid w:val="00C62EC3"/>
    <w:rsid w:val="00C65A78"/>
    <w:rsid w:val="00C70056"/>
    <w:rsid w:val="00C70F97"/>
    <w:rsid w:val="00C733F2"/>
    <w:rsid w:val="00C746A5"/>
    <w:rsid w:val="00C7531B"/>
    <w:rsid w:val="00C75BDA"/>
    <w:rsid w:val="00C81BB3"/>
    <w:rsid w:val="00C823F0"/>
    <w:rsid w:val="00C84119"/>
    <w:rsid w:val="00C857AB"/>
    <w:rsid w:val="00C9544E"/>
    <w:rsid w:val="00C958CD"/>
    <w:rsid w:val="00CA18FA"/>
    <w:rsid w:val="00CA38F1"/>
    <w:rsid w:val="00CA5526"/>
    <w:rsid w:val="00CA63C6"/>
    <w:rsid w:val="00CA6694"/>
    <w:rsid w:val="00CA7091"/>
    <w:rsid w:val="00CA72BF"/>
    <w:rsid w:val="00CB0DAA"/>
    <w:rsid w:val="00CB1905"/>
    <w:rsid w:val="00CB5128"/>
    <w:rsid w:val="00CB5B13"/>
    <w:rsid w:val="00CB6014"/>
    <w:rsid w:val="00CB6981"/>
    <w:rsid w:val="00CB6E93"/>
    <w:rsid w:val="00CC0A47"/>
    <w:rsid w:val="00CC1713"/>
    <w:rsid w:val="00CC1C01"/>
    <w:rsid w:val="00CC4FB2"/>
    <w:rsid w:val="00CC525F"/>
    <w:rsid w:val="00CC66AF"/>
    <w:rsid w:val="00CC7A76"/>
    <w:rsid w:val="00CC7D50"/>
    <w:rsid w:val="00CD41FC"/>
    <w:rsid w:val="00CD52AD"/>
    <w:rsid w:val="00CD5584"/>
    <w:rsid w:val="00CD718B"/>
    <w:rsid w:val="00CD7982"/>
    <w:rsid w:val="00CD79CE"/>
    <w:rsid w:val="00CE0452"/>
    <w:rsid w:val="00CE0E1B"/>
    <w:rsid w:val="00CE207D"/>
    <w:rsid w:val="00CE4770"/>
    <w:rsid w:val="00CE4BAB"/>
    <w:rsid w:val="00CE53C6"/>
    <w:rsid w:val="00CE5881"/>
    <w:rsid w:val="00CF0278"/>
    <w:rsid w:val="00CF0D0C"/>
    <w:rsid w:val="00CF1717"/>
    <w:rsid w:val="00D00475"/>
    <w:rsid w:val="00D02B12"/>
    <w:rsid w:val="00D037C8"/>
    <w:rsid w:val="00D07184"/>
    <w:rsid w:val="00D10A77"/>
    <w:rsid w:val="00D11105"/>
    <w:rsid w:val="00D11416"/>
    <w:rsid w:val="00D1186A"/>
    <w:rsid w:val="00D11A96"/>
    <w:rsid w:val="00D130AB"/>
    <w:rsid w:val="00D14D2D"/>
    <w:rsid w:val="00D15268"/>
    <w:rsid w:val="00D1660C"/>
    <w:rsid w:val="00D17A73"/>
    <w:rsid w:val="00D17C79"/>
    <w:rsid w:val="00D2027F"/>
    <w:rsid w:val="00D22A70"/>
    <w:rsid w:val="00D27AE6"/>
    <w:rsid w:val="00D31D58"/>
    <w:rsid w:val="00D34281"/>
    <w:rsid w:val="00D34349"/>
    <w:rsid w:val="00D36752"/>
    <w:rsid w:val="00D4378E"/>
    <w:rsid w:val="00D45207"/>
    <w:rsid w:val="00D45CD7"/>
    <w:rsid w:val="00D518B9"/>
    <w:rsid w:val="00D5358F"/>
    <w:rsid w:val="00D54557"/>
    <w:rsid w:val="00D613F8"/>
    <w:rsid w:val="00D61578"/>
    <w:rsid w:val="00D62499"/>
    <w:rsid w:val="00D62A08"/>
    <w:rsid w:val="00D65D78"/>
    <w:rsid w:val="00D67B29"/>
    <w:rsid w:val="00D71165"/>
    <w:rsid w:val="00D71798"/>
    <w:rsid w:val="00D7186D"/>
    <w:rsid w:val="00D74CD2"/>
    <w:rsid w:val="00D76B53"/>
    <w:rsid w:val="00D77B2A"/>
    <w:rsid w:val="00D80172"/>
    <w:rsid w:val="00D83F22"/>
    <w:rsid w:val="00D868F7"/>
    <w:rsid w:val="00D87FA9"/>
    <w:rsid w:val="00D91AFB"/>
    <w:rsid w:val="00D92F23"/>
    <w:rsid w:val="00D95B92"/>
    <w:rsid w:val="00DA741B"/>
    <w:rsid w:val="00DB1F3C"/>
    <w:rsid w:val="00DB33AC"/>
    <w:rsid w:val="00DB51E8"/>
    <w:rsid w:val="00DB6238"/>
    <w:rsid w:val="00DB6A32"/>
    <w:rsid w:val="00DC1DD3"/>
    <w:rsid w:val="00DC26AB"/>
    <w:rsid w:val="00DC518B"/>
    <w:rsid w:val="00DC51B8"/>
    <w:rsid w:val="00DC5391"/>
    <w:rsid w:val="00DC7F39"/>
    <w:rsid w:val="00DD179D"/>
    <w:rsid w:val="00DD1855"/>
    <w:rsid w:val="00DD19B7"/>
    <w:rsid w:val="00DD1C8C"/>
    <w:rsid w:val="00DD2247"/>
    <w:rsid w:val="00DD2C8C"/>
    <w:rsid w:val="00DD320E"/>
    <w:rsid w:val="00DD409F"/>
    <w:rsid w:val="00DD7FCE"/>
    <w:rsid w:val="00DE0439"/>
    <w:rsid w:val="00DE2A48"/>
    <w:rsid w:val="00DE398E"/>
    <w:rsid w:val="00DE4D9D"/>
    <w:rsid w:val="00DE54F4"/>
    <w:rsid w:val="00DE6D67"/>
    <w:rsid w:val="00DE781C"/>
    <w:rsid w:val="00DF00DA"/>
    <w:rsid w:val="00DF4B1F"/>
    <w:rsid w:val="00DF6B41"/>
    <w:rsid w:val="00DF6D02"/>
    <w:rsid w:val="00E00D2C"/>
    <w:rsid w:val="00E03555"/>
    <w:rsid w:val="00E05CDC"/>
    <w:rsid w:val="00E062EC"/>
    <w:rsid w:val="00E06906"/>
    <w:rsid w:val="00E071E3"/>
    <w:rsid w:val="00E1180C"/>
    <w:rsid w:val="00E126A8"/>
    <w:rsid w:val="00E1350C"/>
    <w:rsid w:val="00E1642F"/>
    <w:rsid w:val="00E21569"/>
    <w:rsid w:val="00E223E4"/>
    <w:rsid w:val="00E24EB7"/>
    <w:rsid w:val="00E2567C"/>
    <w:rsid w:val="00E2756B"/>
    <w:rsid w:val="00E3004D"/>
    <w:rsid w:val="00E3018C"/>
    <w:rsid w:val="00E31C3E"/>
    <w:rsid w:val="00E32D3A"/>
    <w:rsid w:val="00E456B7"/>
    <w:rsid w:val="00E4776F"/>
    <w:rsid w:val="00E500A9"/>
    <w:rsid w:val="00E61DB3"/>
    <w:rsid w:val="00E66C13"/>
    <w:rsid w:val="00E67D61"/>
    <w:rsid w:val="00E70D20"/>
    <w:rsid w:val="00E71606"/>
    <w:rsid w:val="00E7176D"/>
    <w:rsid w:val="00E721F7"/>
    <w:rsid w:val="00E72BAD"/>
    <w:rsid w:val="00E751CC"/>
    <w:rsid w:val="00E75C0C"/>
    <w:rsid w:val="00E76371"/>
    <w:rsid w:val="00E77A18"/>
    <w:rsid w:val="00E85790"/>
    <w:rsid w:val="00E86BC7"/>
    <w:rsid w:val="00E86D84"/>
    <w:rsid w:val="00E91055"/>
    <w:rsid w:val="00E91CA9"/>
    <w:rsid w:val="00E929A7"/>
    <w:rsid w:val="00E92BCA"/>
    <w:rsid w:val="00E92E34"/>
    <w:rsid w:val="00E95A42"/>
    <w:rsid w:val="00E95AD0"/>
    <w:rsid w:val="00EA033D"/>
    <w:rsid w:val="00EA1C89"/>
    <w:rsid w:val="00EA2681"/>
    <w:rsid w:val="00EB1943"/>
    <w:rsid w:val="00EB1AB2"/>
    <w:rsid w:val="00EB46A7"/>
    <w:rsid w:val="00EB4EEB"/>
    <w:rsid w:val="00EB580C"/>
    <w:rsid w:val="00EB6664"/>
    <w:rsid w:val="00EC1DDF"/>
    <w:rsid w:val="00EC3426"/>
    <w:rsid w:val="00EC4093"/>
    <w:rsid w:val="00EC4E1C"/>
    <w:rsid w:val="00EC69E0"/>
    <w:rsid w:val="00ED045B"/>
    <w:rsid w:val="00ED052A"/>
    <w:rsid w:val="00ED10A6"/>
    <w:rsid w:val="00ED248A"/>
    <w:rsid w:val="00ED3F58"/>
    <w:rsid w:val="00ED7A59"/>
    <w:rsid w:val="00EE0535"/>
    <w:rsid w:val="00EE21DA"/>
    <w:rsid w:val="00EE252D"/>
    <w:rsid w:val="00EE2A83"/>
    <w:rsid w:val="00EE680B"/>
    <w:rsid w:val="00EF06B4"/>
    <w:rsid w:val="00EF10CB"/>
    <w:rsid w:val="00EF11A4"/>
    <w:rsid w:val="00EF14F4"/>
    <w:rsid w:val="00EF158B"/>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23209"/>
    <w:rsid w:val="00F24565"/>
    <w:rsid w:val="00F258D4"/>
    <w:rsid w:val="00F27A4B"/>
    <w:rsid w:val="00F32661"/>
    <w:rsid w:val="00F363D1"/>
    <w:rsid w:val="00F36BF5"/>
    <w:rsid w:val="00F36BF7"/>
    <w:rsid w:val="00F4079D"/>
    <w:rsid w:val="00F44AA9"/>
    <w:rsid w:val="00F44F07"/>
    <w:rsid w:val="00F47AAB"/>
    <w:rsid w:val="00F53F72"/>
    <w:rsid w:val="00F54777"/>
    <w:rsid w:val="00F55476"/>
    <w:rsid w:val="00F56B03"/>
    <w:rsid w:val="00F64169"/>
    <w:rsid w:val="00F67704"/>
    <w:rsid w:val="00F67A99"/>
    <w:rsid w:val="00F70555"/>
    <w:rsid w:val="00F7166E"/>
    <w:rsid w:val="00F71C56"/>
    <w:rsid w:val="00F72871"/>
    <w:rsid w:val="00F72BBC"/>
    <w:rsid w:val="00F74A75"/>
    <w:rsid w:val="00F75E3A"/>
    <w:rsid w:val="00F76C83"/>
    <w:rsid w:val="00F81A21"/>
    <w:rsid w:val="00F822D2"/>
    <w:rsid w:val="00F8292D"/>
    <w:rsid w:val="00F82AEF"/>
    <w:rsid w:val="00F86E27"/>
    <w:rsid w:val="00F874F7"/>
    <w:rsid w:val="00F87CFE"/>
    <w:rsid w:val="00F87E5A"/>
    <w:rsid w:val="00F9005A"/>
    <w:rsid w:val="00F91213"/>
    <w:rsid w:val="00F91E13"/>
    <w:rsid w:val="00F938B4"/>
    <w:rsid w:val="00F9743A"/>
    <w:rsid w:val="00F97872"/>
    <w:rsid w:val="00FA07AA"/>
    <w:rsid w:val="00FA59B5"/>
    <w:rsid w:val="00FA5BB2"/>
    <w:rsid w:val="00FB0858"/>
    <w:rsid w:val="00FB2137"/>
    <w:rsid w:val="00FB45F5"/>
    <w:rsid w:val="00FB502A"/>
    <w:rsid w:val="00FB621D"/>
    <w:rsid w:val="00FB7444"/>
    <w:rsid w:val="00FB7529"/>
    <w:rsid w:val="00FC08C9"/>
    <w:rsid w:val="00FC10AD"/>
    <w:rsid w:val="00FC2581"/>
    <w:rsid w:val="00FC3534"/>
    <w:rsid w:val="00FC387A"/>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EB0"/>
    <w:rsid w:val="00FF7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8"/>
    <w:lsdException w:name="Subtle Reference" w:uiPriority="99"/>
    <w:lsdException w:name="Intense Reference" w:uiPriority="98"/>
    <w:lsdException w:name="Book Title" w:uiPriority="99"/>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9"/>
    <w:qFormat/>
    <w:rsid w:val="00F71C56"/>
    <w:pPr>
      <w:keepNext/>
      <w:keepLines/>
      <w:numPr>
        <w:numId w:val="5"/>
      </w:numPr>
      <w:spacing w:before="200" w:line="280" w:lineRule="atLeast"/>
      <w:outlineLvl w:val="0"/>
    </w:pPr>
    <w:rPr>
      <w:rFonts w:ascii="Arial" w:hAnsi="Arial" w:cs="Arial"/>
      <w:b/>
      <w:bCs/>
      <w:caps/>
      <w:kern w:val="32"/>
      <w:sz w:val="20"/>
      <w:szCs w:val="32"/>
    </w:rPr>
  </w:style>
  <w:style w:type="paragraph" w:styleId="Heading2">
    <w:name w:val="heading 2"/>
    <w:aliases w:val="H2"/>
    <w:basedOn w:val="Normal"/>
    <w:next w:val="Normal"/>
    <w:link w:val="Heading2Char"/>
    <w:uiPriority w:val="9"/>
    <w:qFormat/>
    <w:rsid w:val="00F71C56"/>
    <w:pPr>
      <w:keepNext/>
      <w:keepLines/>
      <w:numPr>
        <w:ilvl w:val="1"/>
        <w:numId w:val="5"/>
      </w:numPr>
      <w:spacing w:before="200" w:line="280" w:lineRule="atLeast"/>
      <w:outlineLvl w:val="1"/>
    </w:pPr>
    <w:rPr>
      <w:rFonts w:ascii="Arial" w:hAnsi="Arial" w:cs="Arial"/>
      <w:b/>
      <w:bCs/>
      <w:iCs/>
      <w:szCs w:val="28"/>
    </w:rPr>
  </w:style>
  <w:style w:type="paragraph" w:styleId="Heading3">
    <w:name w:val="heading 3"/>
    <w:aliases w:val="H3"/>
    <w:basedOn w:val="Normal"/>
    <w:next w:val="Normal"/>
    <w:link w:val="Heading3Char"/>
    <w:uiPriority w:val="9"/>
    <w:qFormat/>
    <w:rsid w:val="00F71C56"/>
    <w:pPr>
      <w:keepNext/>
      <w:keepLines/>
      <w:numPr>
        <w:ilvl w:val="2"/>
        <w:numId w:val="5"/>
      </w:numPr>
      <w:spacing w:before="200" w:line="280" w:lineRule="atLeast"/>
      <w:outlineLvl w:val="2"/>
    </w:pPr>
    <w:rPr>
      <w:rFonts w:ascii="Arial" w:hAnsi="Arial" w:cs="Arial"/>
      <w:b/>
      <w:bCs/>
      <w:i/>
      <w:sz w:val="20"/>
      <w:szCs w:val="26"/>
    </w:rPr>
  </w:style>
  <w:style w:type="paragraph" w:styleId="Heading4">
    <w:name w:val="heading 4"/>
    <w:aliases w:val="H4"/>
    <w:basedOn w:val="Normal"/>
    <w:next w:val="Normal"/>
    <w:link w:val="Heading4Char"/>
    <w:uiPriority w:val="9"/>
    <w:qFormat/>
    <w:rsid w:val="00F71C56"/>
    <w:pPr>
      <w:keepNext/>
      <w:keepLines/>
      <w:numPr>
        <w:ilvl w:val="3"/>
        <w:numId w:val="5"/>
      </w:numPr>
      <w:spacing w:before="200" w:line="280" w:lineRule="atLeast"/>
      <w:outlineLvl w:val="3"/>
    </w:pPr>
    <w:rPr>
      <w:rFonts w:ascii="Arial" w:hAnsi="Arial" w:cs="Arial"/>
      <w:bCs/>
      <w:i/>
      <w:sz w:val="20"/>
      <w:szCs w:val="28"/>
    </w:rPr>
  </w:style>
  <w:style w:type="paragraph" w:styleId="Heading5">
    <w:name w:val="heading 5"/>
    <w:aliases w:val="H5"/>
    <w:basedOn w:val="Normal"/>
    <w:next w:val="Normal"/>
    <w:link w:val="Heading5Char"/>
    <w:uiPriority w:val="9"/>
    <w:qFormat/>
    <w:rsid w:val="00F71C56"/>
    <w:pPr>
      <w:keepNext/>
      <w:keepLines/>
      <w:numPr>
        <w:ilvl w:val="4"/>
        <w:numId w:val="5"/>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
    <w:unhideWhenUsed/>
    <w:qFormat/>
    <w:rsid w:val="008F3A94"/>
    <w:pPr>
      <w:numPr>
        <w:ilvl w:val="5"/>
        <w:numId w:val="5"/>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qFormat/>
    <w:rsid w:val="008F3A94"/>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F3A94"/>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qFormat/>
    <w:rsid w:val="00F71C56"/>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C144E"/>
    <w:rPr>
      <w:rFonts w:ascii="Arial" w:eastAsia="Calibri" w:hAnsi="Arial" w:cs="Arial"/>
      <w:b/>
      <w:bCs/>
      <w:caps/>
      <w:kern w:val="32"/>
      <w:szCs w:val="32"/>
      <w:lang w:eastAsia="en-US"/>
    </w:rPr>
  </w:style>
  <w:style w:type="character" w:customStyle="1" w:styleId="Heading2Char">
    <w:name w:val="Heading 2 Char"/>
    <w:aliases w:val="H2 Char"/>
    <w:basedOn w:val="DefaultParagraphFont"/>
    <w:link w:val="Heading2"/>
    <w:uiPriority w:val="9"/>
    <w:rsid w:val="004C144E"/>
    <w:rPr>
      <w:rFonts w:ascii="Arial" w:eastAsia="Calibri" w:hAnsi="Arial" w:cs="Arial"/>
      <w:b/>
      <w:bCs/>
      <w:iCs/>
      <w:sz w:val="22"/>
      <w:szCs w:val="28"/>
      <w:lang w:eastAsia="en-US"/>
    </w:rPr>
  </w:style>
  <w:style w:type="character" w:customStyle="1" w:styleId="Heading3Char">
    <w:name w:val="Heading 3 Char"/>
    <w:aliases w:val="H3 Char"/>
    <w:basedOn w:val="DefaultParagraphFont"/>
    <w:link w:val="Heading3"/>
    <w:uiPriority w:val="9"/>
    <w:rsid w:val="004C144E"/>
    <w:rPr>
      <w:rFonts w:ascii="Arial" w:eastAsia="Calibri" w:hAnsi="Arial" w:cs="Arial"/>
      <w:b/>
      <w:bCs/>
      <w:i/>
      <w:szCs w:val="26"/>
      <w:lang w:eastAsia="en-US"/>
    </w:rPr>
  </w:style>
  <w:style w:type="character" w:customStyle="1" w:styleId="Heading4Char">
    <w:name w:val="Heading 4 Char"/>
    <w:aliases w:val="H4 Char"/>
    <w:basedOn w:val="DefaultParagraphFont"/>
    <w:link w:val="Heading4"/>
    <w:uiPriority w:val="9"/>
    <w:rsid w:val="004C144E"/>
    <w:rPr>
      <w:rFonts w:ascii="Arial" w:eastAsia="Calibri" w:hAnsi="Arial" w:cs="Arial"/>
      <w:bCs/>
      <w:i/>
      <w:szCs w:val="28"/>
      <w:lang w:eastAsia="en-US"/>
    </w:rPr>
  </w:style>
  <w:style w:type="character" w:customStyle="1" w:styleId="Heading5Char">
    <w:name w:val="Heading 5 Char"/>
    <w:aliases w:val="H5 Char"/>
    <w:basedOn w:val="DefaultParagraphFont"/>
    <w:link w:val="Heading5"/>
    <w:uiPriority w:val="9"/>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uiPriority w:val="9"/>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uiPriority w:val="37"/>
    <w:semiHidden/>
    <w:rsid w:val="00F71C56"/>
    <w:pPr>
      <w:spacing w:line="200" w:lineRule="atLeast"/>
    </w:pPr>
    <w:rPr>
      <w:rFonts w:ascii="Arial" w:hAnsi="Arial" w:cs="Arial"/>
      <w:sz w:val="16"/>
      <w:szCs w:val="22"/>
    </w:rPr>
  </w:style>
  <w:style w:type="paragraph" w:customStyle="1" w:styleId="FooterLandscape">
    <w:name w:val="Footer Landscape"/>
    <w:basedOn w:val="FooterBase"/>
    <w:uiPriority w:val="37"/>
    <w:semiHidden/>
    <w:rsid w:val="00F71C56"/>
    <w:pPr>
      <w:tabs>
        <w:tab w:val="right" w:pos="13175"/>
      </w:tabs>
    </w:pPr>
  </w:style>
  <w:style w:type="paragraph" w:customStyle="1" w:styleId="FooterSubject">
    <w:name w:val="Footer Subject"/>
    <w:basedOn w:val="FooterBase"/>
    <w:uiPriority w:val="37"/>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uiPriority w:val="37"/>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nhideWhenUsed/>
    <w:rsid w:val="00DC518B"/>
    <w:pPr>
      <w:spacing w:line="240" w:lineRule="auto"/>
    </w:pPr>
    <w:rPr>
      <w:sz w:val="20"/>
    </w:rPr>
  </w:style>
  <w:style w:type="character" w:customStyle="1" w:styleId="CommentTextChar">
    <w:name w:val="Comment Text Char"/>
    <w:basedOn w:val="DefaultParagraphFont"/>
    <w:link w:val="CommentText"/>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8"/>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5"/>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5A76B2"/>
    <w:rPr>
      <w:sz w:val="22"/>
    </w:rPr>
  </w:style>
  <w:style w:type="character" w:customStyle="1" w:styleId="notetextChar">
    <w:name w:val="note(text) Char"/>
    <w:aliases w:val="n Char"/>
    <w:link w:val="nMain"/>
    <w:rsid w:val="005A76B2"/>
    <w:rPr>
      <w:sz w:val="18"/>
    </w:rPr>
  </w:style>
  <w:style w:type="character" w:customStyle="1" w:styleId="ActHead5Char">
    <w:name w:val="ActHead 5 Char"/>
    <w:aliases w:val="s Char"/>
    <w:link w:val="h5Section"/>
    <w:rsid w:val="005A76B2"/>
    <w:rPr>
      <w:b/>
      <w:kern w:val="28"/>
      <w:sz w:val="24"/>
    </w:rPr>
  </w:style>
  <w:style w:type="character" w:customStyle="1" w:styleId="paragraphChar">
    <w:name w:val="paragraph Char"/>
    <w:aliases w:val="a Char"/>
    <w:link w:val="tPara"/>
    <w:rsid w:val="00EF11A4"/>
    <w:rPr>
      <w:sz w:val="22"/>
    </w:rPr>
  </w:style>
  <w:style w:type="character" w:customStyle="1" w:styleId="PlainParagraphChar">
    <w:name w:val="Plain Paragraph Char"/>
    <w:aliases w:val="PP Char"/>
    <w:basedOn w:val="DefaultParagraphFont"/>
    <w:link w:val="PlainParagraph"/>
    <w:rsid w:val="00EF11A4"/>
    <w:rPr>
      <w:rFonts w:ascii="Arial" w:hAnsi="Arial" w:cs="Arial"/>
      <w:sz w:val="22"/>
      <w:szCs w:val="22"/>
    </w:rPr>
  </w:style>
  <w:style w:type="character" w:customStyle="1" w:styleId="charSubscript">
    <w:name w:val="charSubscript"/>
    <w:rsid w:val="00A51871"/>
    <w:rPr>
      <w:color w:val="auto"/>
      <w:sz w:val="20"/>
      <w:vertAlign w:val="subscript"/>
    </w:rPr>
  </w:style>
  <w:style w:type="character" w:styleId="CommentReference">
    <w:name w:val="annotation reference"/>
    <w:basedOn w:val="DefaultParagraphFont"/>
    <w:unhideWhenUsed/>
    <w:rsid w:val="00656173"/>
    <w:rPr>
      <w:sz w:val="16"/>
      <w:szCs w:val="16"/>
    </w:rPr>
  </w:style>
  <w:style w:type="paragraph" w:customStyle="1" w:styleId="paragraphsub">
    <w:name w:val="paragraphsub"/>
    <w:basedOn w:val="Normal"/>
    <w:rsid w:val="00075602"/>
    <w:pPr>
      <w:spacing w:before="100" w:beforeAutospacing="1" w:after="100" w:afterAutospacing="1" w:line="240" w:lineRule="auto"/>
    </w:pPr>
    <w:rPr>
      <w:rFonts w:eastAsia="Times New Roman"/>
      <w:sz w:val="24"/>
      <w:szCs w:val="24"/>
      <w:lang w:eastAsia="en-AU"/>
    </w:rPr>
  </w:style>
  <w:style w:type="character" w:customStyle="1" w:styleId="apple-converted-space">
    <w:name w:val="apple-converted-space"/>
    <w:basedOn w:val="DefaultParagraphFont"/>
    <w:rsid w:val="00E92BCA"/>
  </w:style>
  <w:style w:type="paragraph" w:customStyle="1" w:styleId="HeaderBoldOdd">
    <w:name w:val="HeaderBoldOdd"/>
    <w:basedOn w:val="Normal"/>
    <w:rsid w:val="00C17B3A"/>
    <w:pPr>
      <w:spacing w:before="120" w:after="60"/>
      <w:jc w:val="right"/>
    </w:pPr>
    <w:rPr>
      <w:rFonts w:ascii="Arial" w:eastAsiaTheme="minorHAnsi" w:hAnsi="Arial" w:cstheme="minorBidi"/>
      <w:b/>
      <w:sz w:val="20"/>
    </w:rPr>
  </w:style>
  <w:style w:type="numbering" w:styleId="111111">
    <w:name w:val="Outline List 2"/>
    <w:basedOn w:val="NoList"/>
    <w:rsid w:val="00C17B3A"/>
    <w:pPr>
      <w:numPr>
        <w:numId w:val="3"/>
      </w:numPr>
    </w:pPr>
  </w:style>
  <w:style w:type="numbering" w:styleId="1ai">
    <w:name w:val="Outline List 1"/>
    <w:basedOn w:val="NoList"/>
    <w:rsid w:val="00C17B3A"/>
    <w:pPr>
      <w:numPr>
        <w:numId w:val="4"/>
      </w:numPr>
    </w:pPr>
  </w:style>
  <w:style w:type="numbering" w:styleId="ArticleSection">
    <w:name w:val="Outline List 3"/>
    <w:basedOn w:val="NoList"/>
    <w:rsid w:val="00C17B3A"/>
    <w:pPr>
      <w:numPr>
        <w:numId w:val="5"/>
      </w:numPr>
    </w:pPr>
  </w:style>
  <w:style w:type="character" w:styleId="Emphasis">
    <w:name w:val="Emphasis"/>
    <w:basedOn w:val="DefaultParagraphFont"/>
    <w:qFormat/>
    <w:rsid w:val="00C17B3A"/>
    <w:rPr>
      <w:i/>
      <w:iCs/>
    </w:rPr>
  </w:style>
  <w:style w:type="character" w:styleId="FollowedHyperlink">
    <w:name w:val="FollowedHyperlink"/>
    <w:basedOn w:val="DefaultParagraphFont"/>
    <w:rsid w:val="00C17B3A"/>
    <w:rPr>
      <w:color w:val="800080"/>
      <w:u w:val="single"/>
    </w:rPr>
  </w:style>
  <w:style w:type="character" w:styleId="HTMLAcronym">
    <w:name w:val="HTML Acronym"/>
    <w:basedOn w:val="DefaultParagraphFont"/>
    <w:rsid w:val="00C17B3A"/>
  </w:style>
  <w:style w:type="character" w:styleId="HTMLCite">
    <w:name w:val="HTML Cite"/>
    <w:basedOn w:val="DefaultParagraphFont"/>
    <w:rsid w:val="00C17B3A"/>
    <w:rPr>
      <w:i/>
      <w:iCs/>
    </w:rPr>
  </w:style>
  <w:style w:type="character" w:styleId="HTMLCode">
    <w:name w:val="HTML Code"/>
    <w:basedOn w:val="DefaultParagraphFont"/>
    <w:rsid w:val="00C17B3A"/>
    <w:rPr>
      <w:rFonts w:ascii="Courier New" w:hAnsi="Courier New" w:cs="Courier New"/>
      <w:sz w:val="20"/>
      <w:szCs w:val="20"/>
    </w:rPr>
  </w:style>
  <w:style w:type="character" w:styleId="HTMLDefinition">
    <w:name w:val="HTML Definition"/>
    <w:basedOn w:val="DefaultParagraphFont"/>
    <w:rsid w:val="00C17B3A"/>
    <w:rPr>
      <w:i/>
      <w:iCs/>
    </w:rPr>
  </w:style>
  <w:style w:type="character" w:styleId="HTMLKeyboard">
    <w:name w:val="HTML Keyboard"/>
    <w:basedOn w:val="DefaultParagraphFont"/>
    <w:rsid w:val="00C17B3A"/>
    <w:rPr>
      <w:rFonts w:ascii="Courier New" w:hAnsi="Courier New" w:cs="Courier New"/>
      <w:sz w:val="20"/>
      <w:szCs w:val="20"/>
    </w:rPr>
  </w:style>
  <w:style w:type="character" w:styleId="HTMLSample">
    <w:name w:val="HTML Sample"/>
    <w:basedOn w:val="DefaultParagraphFont"/>
    <w:rsid w:val="00C17B3A"/>
    <w:rPr>
      <w:rFonts w:ascii="Courier New" w:hAnsi="Courier New" w:cs="Courier New"/>
    </w:rPr>
  </w:style>
  <w:style w:type="character" w:styleId="HTMLTypewriter">
    <w:name w:val="HTML Typewriter"/>
    <w:basedOn w:val="DefaultParagraphFont"/>
    <w:rsid w:val="00C17B3A"/>
    <w:rPr>
      <w:rFonts w:ascii="Courier New" w:hAnsi="Courier New" w:cs="Courier New"/>
      <w:sz w:val="20"/>
      <w:szCs w:val="20"/>
    </w:rPr>
  </w:style>
  <w:style w:type="character" w:styleId="HTMLVariable">
    <w:name w:val="HTML Variable"/>
    <w:basedOn w:val="DefaultParagraphFont"/>
    <w:rsid w:val="00C17B3A"/>
    <w:rPr>
      <w:i/>
      <w:iCs/>
    </w:rPr>
  </w:style>
  <w:style w:type="character" w:styleId="Strong">
    <w:name w:val="Strong"/>
    <w:basedOn w:val="DefaultParagraphFont"/>
    <w:qFormat/>
    <w:rsid w:val="00C17B3A"/>
    <w:rPr>
      <w:b/>
      <w:bCs/>
    </w:rPr>
  </w:style>
  <w:style w:type="table" w:styleId="Table3Deffects1">
    <w:name w:val="Table 3D effects 1"/>
    <w:basedOn w:val="TableNormal"/>
    <w:rsid w:val="00C17B3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7B3A"/>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7B3A"/>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17B3A"/>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7B3A"/>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7B3A"/>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7B3A"/>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7B3A"/>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7B3A"/>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7B3A"/>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7B3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7B3A"/>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7B3A"/>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7B3A"/>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7B3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7B3A"/>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7B3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7B3A"/>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7B3A"/>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7B3A"/>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7B3A"/>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7B3A"/>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7B3A"/>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7B3A"/>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7B3A"/>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7B3A"/>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7B3A"/>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7B3A"/>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7B3A"/>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7B3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7B3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17B3A"/>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7B3A"/>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7B3A"/>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7B3A"/>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7B3A"/>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17B3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7B3A"/>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7B3A"/>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7B3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Superscript">
    <w:name w:val="charSuperscript"/>
    <w:basedOn w:val="DefaultParagraphFont"/>
    <w:rsid w:val="00C17B3A"/>
    <w:rPr>
      <w:vertAlign w:val="superscript"/>
    </w:rPr>
  </w:style>
  <w:style w:type="character" w:customStyle="1" w:styleId="charsubscript0">
    <w:name w:val="charsubscript"/>
    <w:basedOn w:val="DefaultParagraphFont"/>
    <w:rsid w:val="00C17B3A"/>
    <w:rPr>
      <w:color w:val="auto"/>
      <w:vertAlign w:val="subscript"/>
    </w:rPr>
  </w:style>
  <w:style w:type="paragraph" w:customStyle="1" w:styleId="ActHead10">
    <w:name w:val="ActHead 10"/>
    <w:aliases w:val="sp"/>
    <w:basedOn w:val="OPCParaBase"/>
    <w:next w:val="h3Div"/>
    <w:rsid w:val="00C17B3A"/>
    <w:pPr>
      <w:keepNext/>
      <w:spacing w:before="280" w:line="240" w:lineRule="auto"/>
      <w:outlineLvl w:val="1"/>
    </w:pPr>
    <w:rPr>
      <w:b/>
      <w:sz w:val="32"/>
      <w:szCs w:val="30"/>
    </w:rPr>
  </w:style>
  <w:style w:type="paragraph" w:customStyle="1" w:styleId="TableP1a">
    <w:name w:val="TableP1(a)"/>
    <w:basedOn w:val="Normal"/>
    <w:rsid w:val="00C17B3A"/>
    <w:pPr>
      <w:tabs>
        <w:tab w:val="right" w:pos="408"/>
      </w:tabs>
      <w:spacing w:after="60" w:line="240" w:lineRule="exact"/>
      <w:ind w:left="533" w:hanging="533"/>
    </w:pPr>
    <w:rPr>
      <w:rFonts w:eastAsia="Times New Roman"/>
      <w:szCs w:val="24"/>
    </w:rPr>
  </w:style>
  <w:style w:type="paragraph" w:customStyle="1" w:styleId="TableText0">
    <w:name w:val="TableText"/>
    <w:basedOn w:val="Normal"/>
    <w:rsid w:val="00C17B3A"/>
    <w:pPr>
      <w:spacing w:before="60" w:after="60" w:line="240" w:lineRule="exact"/>
    </w:pPr>
    <w:rPr>
      <w:rFonts w:eastAsia="Times New Roman"/>
      <w:szCs w:val="24"/>
    </w:rPr>
  </w:style>
  <w:style w:type="character" w:customStyle="1" w:styleId="Subscript">
    <w:name w:val="Subscript"/>
    <w:rsid w:val="00C17B3A"/>
    <w:rPr>
      <w:color w:val="auto"/>
      <w:sz w:val="20"/>
      <w:vertAlign w:val="subscript"/>
    </w:rPr>
  </w:style>
  <w:style w:type="paragraph" w:customStyle="1" w:styleId="definition">
    <w:name w:val="definition"/>
    <w:basedOn w:val="Normal"/>
    <w:rsid w:val="00C17B3A"/>
    <w:pPr>
      <w:spacing w:before="80" w:line="260" w:lineRule="exact"/>
      <w:ind w:left="964"/>
      <w:jc w:val="both"/>
    </w:pPr>
    <w:rPr>
      <w:rFonts w:eastAsia="Times New Roman"/>
      <w:sz w:val="24"/>
      <w:szCs w:val="24"/>
    </w:rPr>
  </w:style>
  <w:style w:type="paragraph" w:customStyle="1" w:styleId="ZRcN">
    <w:name w:val="ZRcN"/>
    <w:basedOn w:val="Normal"/>
    <w:rsid w:val="00C17B3A"/>
    <w:pPr>
      <w:keepNext/>
      <w:spacing w:before="60" w:line="260" w:lineRule="exact"/>
      <w:ind w:left="964"/>
      <w:jc w:val="both"/>
    </w:pPr>
    <w:rPr>
      <w:rFonts w:eastAsia="Times New Roman"/>
      <w:sz w:val="24"/>
      <w:szCs w:val="24"/>
    </w:rPr>
  </w:style>
  <w:style w:type="character" w:customStyle="1" w:styleId="SOTextChar">
    <w:name w:val="SO Text Char"/>
    <w:aliases w:val="sot Char"/>
    <w:basedOn w:val="DefaultParagraphFont"/>
    <w:link w:val="SOText"/>
    <w:rsid w:val="00C17B3A"/>
    <w:rPr>
      <w:rFonts w:eastAsia="Calibri"/>
      <w:sz w:val="22"/>
    </w:rPr>
  </w:style>
  <w:style w:type="character" w:customStyle="1" w:styleId="SOParaChar">
    <w:name w:val="SO Para Char"/>
    <w:aliases w:val="soa Char"/>
    <w:basedOn w:val="DefaultParagraphFont"/>
    <w:link w:val="SOPara"/>
    <w:rsid w:val="00C17B3A"/>
    <w:rPr>
      <w:rFonts w:eastAsia="Calibri"/>
      <w:sz w:val="22"/>
    </w:rPr>
  </w:style>
  <w:style w:type="character" w:customStyle="1" w:styleId="SOHeadBoldChar">
    <w:name w:val="SO HeadBold Char"/>
    <w:aliases w:val="sohb Char"/>
    <w:basedOn w:val="DefaultParagraphFont"/>
    <w:link w:val="SOHeadBold"/>
    <w:rsid w:val="00C17B3A"/>
    <w:rPr>
      <w:rFonts w:eastAsia="Calibri"/>
      <w:b/>
      <w:sz w:val="22"/>
    </w:rPr>
  </w:style>
  <w:style w:type="character" w:customStyle="1" w:styleId="SOHeadItalicChar">
    <w:name w:val="SO HeadItalic Char"/>
    <w:aliases w:val="sohi Char"/>
    <w:basedOn w:val="DefaultParagraphFont"/>
    <w:link w:val="SOHeadItalic"/>
    <w:rsid w:val="00C17B3A"/>
    <w:rPr>
      <w:rFonts w:eastAsia="Calibri"/>
      <w:i/>
      <w:sz w:val="22"/>
    </w:rPr>
  </w:style>
  <w:style w:type="character" w:customStyle="1" w:styleId="SOBulletChar">
    <w:name w:val="SO Bullet Char"/>
    <w:aliases w:val="sotb Char"/>
    <w:basedOn w:val="DefaultParagraphFont"/>
    <w:link w:val="SOBullet"/>
    <w:rsid w:val="00C17B3A"/>
    <w:rPr>
      <w:rFonts w:eastAsia="Calibri"/>
      <w:sz w:val="22"/>
    </w:rPr>
  </w:style>
  <w:style w:type="character" w:customStyle="1" w:styleId="SOBulletNoteChar">
    <w:name w:val="SO BulletNote Char"/>
    <w:aliases w:val="sonb Char"/>
    <w:basedOn w:val="DefaultParagraphFont"/>
    <w:link w:val="SOBulletNote"/>
    <w:rsid w:val="00C17B3A"/>
    <w:rPr>
      <w:rFonts w:eastAsia="Calibri"/>
      <w:sz w:val="18"/>
    </w:rPr>
  </w:style>
  <w:style w:type="paragraph" w:customStyle="1" w:styleId="EnStatement">
    <w:name w:val="EnStatement"/>
    <w:basedOn w:val="Normal"/>
    <w:rsid w:val="00C17B3A"/>
    <w:pPr>
      <w:numPr>
        <w:numId w:val="6"/>
      </w:numPr>
    </w:pPr>
    <w:rPr>
      <w:rFonts w:eastAsia="Times New Roman"/>
      <w:lang w:eastAsia="en-AU"/>
    </w:rPr>
  </w:style>
  <w:style w:type="paragraph" w:customStyle="1" w:styleId="EnStatementHeading">
    <w:name w:val="EnStatementHeading"/>
    <w:basedOn w:val="Normal"/>
    <w:rsid w:val="00C17B3A"/>
    <w:rPr>
      <w:rFonts w:eastAsia="Times New Roman"/>
      <w:b/>
      <w:lang w:eastAsia="en-AU"/>
    </w:rPr>
  </w:style>
  <w:style w:type="paragraph" w:styleId="Revision">
    <w:name w:val="Revision"/>
    <w:hidden/>
    <w:uiPriority w:val="99"/>
    <w:semiHidden/>
    <w:rsid w:val="00C17B3A"/>
    <w:rPr>
      <w:rFonts w:eastAsiaTheme="minorHAnsi" w:cstheme="minorBidi"/>
      <w:sz w:val="22"/>
      <w:lang w:eastAsia="en-US"/>
    </w:rPr>
  </w:style>
  <w:style w:type="paragraph" w:customStyle="1" w:styleId="acthead4">
    <w:name w:val="acthead4"/>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subdno0">
    <w:name w:val="charsubdno"/>
    <w:basedOn w:val="DefaultParagraphFont"/>
    <w:rsid w:val="00C17B3A"/>
  </w:style>
  <w:style w:type="character" w:customStyle="1" w:styleId="charsubdtext0">
    <w:name w:val="charsubdtext"/>
    <w:basedOn w:val="DefaultParagraphFont"/>
    <w:rsid w:val="00C17B3A"/>
  </w:style>
  <w:style w:type="character" w:customStyle="1" w:styleId="charsectno0">
    <w:name w:val="charsectno"/>
    <w:basedOn w:val="DefaultParagraphFont"/>
    <w:rsid w:val="00C17B3A"/>
  </w:style>
  <w:style w:type="paragraph" w:customStyle="1" w:styleId="tabletext1">
    <w:name w:val="tabletext"/>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tableheading0">
    <w:name w:val="tableheading"/>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tablea0">
    <w:name w:val="tablea"/>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3">
    <w:name w:val="acthead3"/>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divno0">
    <w:name w:val="chardivno"/>
    <w:basedOn w:val="DefaultParagraphFont"/>
    <w:rsid w:val="00C17B3A"/>
  </w:style>
  <w:style w:type="character" w:customStyle="1" w:styleId="chardivtext0">
    <w:name w:val="chardivtext"/>
    <w:basedOn w:val="DefaultParagraphFont"/>
    <w:rsid w:val="00C17B3A"/>
  </w:style>
  <w:style w:type="paragraph" w:customStyle="1" w:styleId="acthead5">
    <w:name w:val="acthead5"/>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2">
    <w:name w:val="acthead2"/>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partno0">
    <w:name w:val="charpartno"/>
    <w:basedOn w:val="DefaultParagraphFont"/>
    <w:rsid w:val="00C17B3A"/>
  </w:style>
  <w:style w:type="character" w:customStyle="1" w:styleId="charparttext0">
    <w:name w:val="charparttext"/>
    <w:basedOn w:val="DefaultParagraphFont"/>
    <w:rsid w:val="00C17B3A"/>
  </w:style>
  <w:style w:type="paragraph" w:customStyle="1" w:styleId="notetext">
    <w:name w:val="notetext"/>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1">
    <w:name w:val="acthead1"/>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chapno0">
    <w:name w:val="charchapno"/>
    <w:basedOn w:val="DefaultParagraphFont"/>
    <w:rsid w:val="00C17B3A"/>
  </w:style>
  <w:style w:type="character" w:customStyle="1" w:styleId="charchaptext0">
    <w:name w:val="charchaptext"/>
    <w:basedOn w:val="DefaultParagraphFont"/>
    <w:rsid w:val="00C17B3A"/>
  </w:style>
  <w:style w:type="paragraph" w:customStyle="1" w:styleId="HeadingBase">
    <w:name w:val="Heading Base"/>
    <w:uiPriority w:val="98"/>
    <w:semiHidden/>
    <w:rsid w:val="000913EA"/>
    <w:pPr>
      <w:spacing w:before="200" w:line="280" w:lineRule="atLeast"/>
    </w:pPr>
    <w:rPr>
      <w:rFonts w:ascii="Arial" w:hAnsi="Arial" w:cs="Arial"/>
      <w:szCs w:val="22"/>
    </w:rPr>
  </w:style>
  <w:style w:type="paragraph" w:customStyle="1" w:styleId="HeaderBase">
    <w:name w:val="Header Base"/>
    <w:next w:val="Header"/>
    <w:uiPriority w:val="37"/>
    <w:semiHidden/>
    <w:rsid w:val="000913EA"/>
    <w:pPr>
      <w:spacing w:line="200" w:lineRule="atLeast"/>
    </w:pPr>
    <w:rPr>
      <w:rFonts w:ascii="Arial" w:hAnsi="Arial" w:cs="Arial"/>
      <w:szCs w:val="22"/>
    </w:rPr>
  </w:style>
  <w:style w:type="paragraph" w:customStyle="1" w:styleId="1Reference">
    <w:name w:val="1. Reference"/>
    <w:basedOn w:val="PlainParagraph"/>
    <w:uiPriority w:val="19"/>
    <w:rsid w:val="000913EA"/>
    <w:pPr>
      <w:spacing w:before="0" w:after="0" w:line="200" w:lineRule="atLeast"/>
    </w:pPr>
    <w:rPr>
      <w:sz w:val="20"/>
    </w:rPr>
  </w:style>
  <w:style w:type="paragraph" w:customStyle="1" w:styleId="2Date">
    <w:name w:val="2. Date"/>
    <w:basedOn w:val="PlainParagraph"/>
    <w:next w:val="3Address"/>
    <w:uiPriority w:val="19"/>
    <w:rsid w:val="000913EA"/>
    <w:pPr>
      <w:spacing w:before="280" w:after="420"/>
    </w:pPr>
  </w:style>
  <w:style w:type="paragraph" w:customStyle="1" w:styleId="3Address">
    <w:name w:val="3. Address"/>
    <w:basedOn w:val="PlainParagraph"/>
    <w:uiPriority w:val="19"/>
    <w:rsid w:val="000913EA"/>
    <w:pPr>
      <w:keepLines/>
      <w:widowControl w:val="0"/>
      <w:spacing w:before="0" w:after="0"/>
    </w:pPr>
  </w:style>
  <w:style w:type="paragraph" w:customStyle="1" w:styleId="4Addressee">
    <w:name w:val="4. Addressee"/>
    <w:basedOn w:val="PlainParagraph"/>
    <w:next w:val="SubjectTitle"/>
    <w:uiPriority w:val="19"/>
    <w:rsid w:val="000913EA"/>
    <w:pPr>
      <w:keepLines/>
      <w:widowControl w:val="0"/>
      <w:spacing w:before="700" w:after="280"/>
    </w:pPr>
  </w:style>
  <w:style w:type="paragraph" w:customStyle="1" w:styleId="SubjectTitle">
    <w:name w:val="Subject/Title"/>
    <w:aliases w:val="S/T"/>
    <w:basedOn w:val="PlainParagraph"/>
    <w:next w:val="PlainParagraph"/>
    <w:uiPriority w:val="10"/>
    <w:qFormat/>
    <w:rsid w:val="000913EA"/>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0913EA"/>
    <w:pPr>
      <w:spacing w:before="420" w:after="0"/>
    </w:pPr>
    <w:rPr>
      <w:caps/>
      <w:sz w:val="20"/>
    </w:rPr>
  </w:style>
  <w:style w:type="paragraph" w:customStyle="1" w:styleId="Classificationlegalheader">
    <w:name w:val="Classification legal: header"/>
    <w:basedOn w:val="PlainParagraph"/>
    <w:uiPriority w:val="20"/>
    <w:semiHidden/>
    <w:rsid w:val="000913EA"/>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0913EA"/>
    <w:pPr>
      <w:spacing w:before="0" w:after="0"/>
    </w:pPr>
    <w:rPr>
      <w:b/>
      <w:caps/>
      <w:color w:val="FFFFFF"/>
      <w:shd w:val="clear" w:color="auto" w:fill="000000"/>
    </w:rPr>
  </w:style>
  <w:style w:type="paragraph" w:customStyle="1" w:styleId="Classificationsecurityfooter">
    <w:name w:val="Classification security: footer"/>
    <w:uiPriority w:val="20"/>
    <w:semiHidden/>
    <w:rsid w:val="000913EA"/>
    <w:pPr>
      <w:widowControl w:val="0"/>
      <w:spacing w:line="280" w:lineRule="atLeast"/>
    </w:pPr>
    <w:rPr>
      <w:rFonts w:ascii="Arial" w:hAnsi="Arial" w:cs="Arial"/>
      <w:b/>
      <w:caps/>
      <w:color w:val="FFFFFF"/>
      <w:sz w:val="22"/>
      <w:szCs w:val="22"/>
      <w:shd w:val="clear" w:color="auto" w:fill="000000"/>
    </w:rPr>
  </w:style>
  <w:style w:type="paragraph" w:customStyle="1" w:styleId="HeaderLandscape">
    <w:name w:val="Header Landscape"/>
    <w:basedOn w:val="HeaderBase"/>
    <w:uiPriority w:val="27"/>
    <w:semiHidden/>
    <w:rsid w:val="000913EA"/>
    <w:pPr>
      <w:tabs>
        <w:tab w:val="right" w:pos="13175"/>
      </w:tabs>
    </w:pPr>
  </w:style>
  <w:style w:type="paragraph" w:customStyle="1" w:styleId="DraftinHeader">
    <w:name w:val="Draft in Header"/>
    <w:basedOn w:val="HeaderBase"/>
    <w:uiPriority w:val="37"/>
    <w:semiHidden/>
    <w:rsid w:val="000913EA"/>
    <w:pPr>
      <w:tabs>
        <w:tab w:val="right" w:pos="8220"/>
      </w:tabs>
    </w:pPr>
  </w:style>
  <w:style w:type="paragraph" w:customStyle="1" w:styleId="Sig1Salutation">
    <w:name w:val="Sig. 1 Salutation"/>
    <w:basedOn w:val="PlainParagraph"/>
    <w:uiPriority w:val="19"/>
    <w:rsid w:val="000913EA"/>
    <w:pPr>
      <w:keepNext/>
      <w:widowControl w:val="0"/>
    </w:pPr>
  </w:style>
  <w:style w:type="paragraph" w:customStyle="1" w:styleId="Sig2Officer">
    <w:name w:val="Sig. 2 Officer"/>
    <w:basedOn w:val="PlainParagraph"/>
    <w:uiPriority w:val="19"/>
    <w:rsid w:val="000913EA"/>
    <w:pPr>
      <w:keepNext/>
      <w:widowControl w:val="0"/>
      <w:tabs>
        <w:tab w:val="left" w:pos="4535"/>
      </w:tabs>
      <w:spacing w:before="0" w:after="0"/>
    </w:pPr>
    <w:rPr>
      <w:b/>
    </w:rPr>
  </w:style>
  <w:style w:type="paragraph" w:customStyle="1" w:styleId="Sig3Title">
    <w:name w:val="Sig. 3 Title"/>
    <w:basedOn w:val="PlainParagraph"/>
    <w:uiPriority w:val="19"/>
    <w:rsid w:val="000913EA"/>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0913EA"/>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0913EA"/>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0913EA"/>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0913EA"/>
    <w:pPr>
      <w:keepNext/>
      <w:keepLines/>
      <w:spacing w:before="0" w:after="420"/>
    </w:pPr>
    <w:rPr>
      <w:caps/>
    </w:rPr>
  </w:style>
  <w:style w:type="paragraph" w:customStyle="1" w:styleId="ContentsHeading">
    <w:name w:val="Contents Heading"/>
    <w:basedOn w:val="HeadingBase"/>
    <w:next w:val="PlainParagraph"/>
    <w:uiPriority w:val="10"/>
    <w:rsid w:val="000913EA"/>
    <w:pPr>
      <w:keepNext/>
      <w:keepLines/>
      <w:spacing w:before="0" w:after="280"/>
    </w:pPr>
    <w:rPr>
      <w:b/>
      <w:caps/>
    </w:rPr>
  </w:style>
  <w:style w:type="paragraph" w:customStyle="1" w:styleId="Leg1SecHead1">
    <w:name w:val="Leg1 Sec Head: 1."/>
    <w:aliases w:val="L1"/>
    <w:basedOn w:val="PlainParagraph"/>
    <w:uiPriority w:val="5"/>
    <w:qFormat/>
    <w:rsid w:val="000913EA"/>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0913EA"/>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0913EA"/>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0913EA"/>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0913EA"/>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0913EA"/>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0913EA"/>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0913EA"/>
    <w:pPr>
      <w:tabs>
        <w:tab w:val="left" w:pos="425"/>
        <w:tab w:val="left" w:pos="850"/>
      </w:tabs>
      <w:spacing w:before="0"/>
      <w:ind w:left="850" w:hanging="850"/>
    </w:pPr>
  </w:style>
  <w:style w:type="paragraph" w:customStyle="1" w:styleId="QAText">
    <w:name w:val="Q&amp;A: Text"/>
    <w:basedOn w:val="PlainParagraph"/>
    <w:uiPriority w:val="7"/>
    <w:semiHidden/>
    <w:rsid w:val="000913EA"/>
    <w:pPr>
      <w:keepNext/>
      <w:widowControl w:val="0"/>
      <w:ind w:left="425"/>
    </w:pPr>
    <w:rPr>
      <w:i/>
    </w:rPr>
  </w:style>
  <w:style w:type="paragraph" w:customStyle="1" w:styleId="Quotation">
    <w:name w:val="Quotation"/>
    <w:basedOn w:val="PlainParagraph"/>
    <w:uiPriority w:val="9"/>
    <w:semiHidden/>
    <w:rsid w:val="000913EA"/>
    <w:pPr>
      <w:numPr>
        <w:numId w:val="19"/>
      </w:numPr>
      <w:spacing w:before="0" w:line="260" w:lineRule="atLeast"/>
    </w:pPr>
    <w:rPr>
      <w:sz w:val="20"/>
    </w:rPr>
  </w:style>
  <w:style w:type="paragraph" w:customStyle="1" w:styleId="Quotation1">
    <w:name w:val="Quotation 1"/>
    <w:aliases w:val="&quot;Q&quot;"/>
    <w:basedOn w:val="PlainParagraph"/>
    <w:uiPriority w:val="9"/>
    <w:qFormat/>
    <w:rsid w:val="000913EA"/>
    <w:pPr>
      <w:numPr>
        <w:ilvl w:val="1"/>
        <w:numId w:val="19"/>
      </w:numPr>
      <w:spacing w:before="0" w:line="260" w:lineRule="atLeast"/>
    </w:pPr>
    <w:rPr>
      <w:sz w:val="20"/>
    </w:rPr>
  </w:style>
  <w:style w:type="paragraph" w:customStyle="1" w:styleId="Quotation2">
    <w:name w:val="Quotation 2"/>
    <w:basedOn w:val="PlainParagraph"/>
    <w:uiPriority w:val="9"/>
    <w:semiHidden/>
    <w:rsid w:val="000913EA"/>
    <w:pPr>
      <w:numPr>
        <w:ilvl w:val="2"/>
        <w:numId w:val="19"/>
      </w:numPr>
      <w:spacing w:before="0" w:line="260" w:lineRule="atLeast"/>
    </w:pPr>
    <w:rPr>
      <w:sz w:val="20"/>
    </w:rPr>
  </w:style>
  <w:style w:type="paragraph" w:customStyle="1" w:styleId="Quotation3">
    <w:name w:val="Quotation 3"/>
    <w:basedOn w:val="PlainParagraph"/>
    <w:uiPriority w:val="9"/>
    <w:semiHidden/>
    <w:rsid w:val="000913EA"/>
    <w:pPr>
      <w:numPr>
        <w:ilvl w:val="3"/>
        <w:numId w:val="19"/>
      </w:numPr>
      <w:spacing w:before="0" w:line="260" w:lineRule="atLeast"/>
    </w:pPr>
    <w:rPr>
      <w:sz w:val="20"/>
    </w:rPr>
  </w:style>
  <w:style w:type="paragraph" w:customStyle="1" w:styleId="Quotation4">
    <w:name w:val="Quotation 4"/>
    <w:basedOn w:val="PlainParagraph"/>
    <w:uiPriority w:val="9"/>
    <w:semiHidden/>
    <w:rsid w:val="000913EA"/>
    <w:pPr>
      <w:numPr>
        <w:ilvl w:val="4"/>
        <w:numId w:val="19"/>
      </w:numPr>
      <w:spacing w:before="0" w:line="260" w:lineRule="atLeast"/>
    </w:pPr>
    <w:rPr>
      <w:sz w:val="20"/>
    </w:rPr>
  </w:style>
  <w:style w:type="paragraph" w:customStyle="1" w:styleId="Quotation5">
    <w:name w:val="Quotation 5"/>
    <w:basedOn w:val="PlainParagraph"/>
    <w:uiPriority w:val="9"/>
    <w:semiHidden/>
    <w:rsid w:val="000913EA"/>
    <w:pPr>
      <w:numPr>
        <w:ilvl w:val="5"/>
        <w:numId w:val="19"/>
      </w:numPr>
      <w:spacing w:before="0" w:line="260" w:lineRule="atLeast"/>
    </w:pPr>
    <w:rPr>
      <w:sz w:val="20"/>
    </w:rPr>
  </w:style>
  <w:style w:type="paragraph" w:customStyle="1" w:styleId="Quotation6">
    <w:name w:val="Quotation 6"/>
    <w:basedOn w:val="PlainParagraph"/>
    <w:uiPriority w:val="9"/>
    <w:semiHidden/>
    <w:rsid w:val="000913EA"/>
    <w:pPr>
      <w:numPr>
        <w:ilvl w:val="6"/>
        <w:numId w:val="19"/>
      </w:numPr>
      <w:spacing w:before="0" w:line="260" w:lineRule="atLeast"/>
    </w:pPr>
    <w:rPr>
      <w:sz w:val="20"/>
    </w:rPr>
  </w:style>
  <w:style w:type="paragraph" w:customStyle="1" w:styleId="Quotation7">
    <w:name w:val="Quotation 7"/>
    <w:basedOn w:val="PlainParagraph"/>
    <w:uiPriority w:val="9"/>
    <w:semiHidden/>
    <w:rsid w:val="000913EA"/>
    <w:pPr>
      <w:numPr>
        <w:ilvl w:val="7"/>
        <w:numId w:val="19"/>
      </w:numPr>
      <w:spacing w:before="0" w:line="260" w:lineRule="atLeast"/>
    </w:pPr>
    <w:rPr>
      <w:sz w:val="20"/>
    </w:rPr>
  </w:style>
  <w:style w:type="paragraph" w:customStyle="1" w:styleId="Quotation8">
    <w:name w:val="Quotation 8"/>
    <w:basedOn w:val="PlainParagraph"/>
    <w:uiPriority w:val="9"/>
    <w:semiHidden/>
    <w:rsid w:val="000913EA"/>
    <w:pPr>
      <w:numPr>
        <w:ilvl w:val="8"/>
        <w:numId w:val="19"/>
      </w:numPr>
      <w:spacing w:before="0" w:line="260" w:lineRule="atLeast"/>
    </w:pPr>
    <w:rPr>
      <w:sz w:val="20"/>
    </w:rPr>
  </w:style>
  <w:style w:type="paragraph" w:customStyle="1" w:styleId="NumberLevel1">
    <w:name w:val="Number Level 1"/>
    <w:aliases w:val="N1"/>
    <w:basedOn w:val="PlainParagraph"/>
    <w:uiPriority w:val="1"/>
    <w:qFormat/>
    <w:rsid w:val="000913EA"/>
    <w:pPr>
      <w:numPr>
        <w:numId w:val="20"/>
      </w:numPr>
    </w:pPr>
  </w:style>
  <w:style w:type="paragraph" w:customStyle="1" w:styleId="NumberLevel2">
    <w:name w:val="Number Level 2"/>
    <w:aliases w:val="N2"/>
    <w:basedOn w:val="PlainParagraph"/>
    <w:uiPriority w:val="1"/>
    <w:qFormat/>
    <w:rsid w:val="000913EA"/>
    <w:pPr>
      <w:numPr>
        <w:ilvl w:val="1"/>
        <w:numId w:val="20"/>
      </w:numPr>
    </w:pPr>
  </w:style>
  <w:style w:type="paragraph" w:customStyle="1" w:styleId="NumberLevel3">
    <w:name w:val="Number Level 3"/>
    <w:aliases w:val="N3"/>
    <w:basedOn w:val="PlainParagraph"/>
    <w:uiPriority w:val="1"/>
    <w:qFormat/>
    <w:rsid w:val="000913EA"/>
    <w:pPr>
      <w:numPr>
        <w:ilvl w:val="2"/>
        <w:numId w:val="20"/>
      </w:numPr>
    </w:pPr>
  </w:style>
  <w:style w:type="paragraph" w:customStyle="1" w:styleId="NumberLevel4">
    <w:name w:val="Number Level 4"/>
    <w:aliases w:val="N4"/>
    <w:basedOn w:val="PlainParagraph"/>
    <w:uiPriority w:val="1"/>
    <w:qFormat/>
    <w:rsid w:val="000913EA"/>
    <w:pPr>
      <w:numPr>
        <w:ilvl w:val="3"/>
        <w:numId w:val="20"/>
      </w:numPr>
      <w:spacing w:before="0"/>
    </w:pPr>
  </w:style>
  <w:style w:type="paragraph" w:customStyle="1" w:styleId="NumberLevel5">
    <w:name w:val="Number Level 5"/>
    <w:aliases w:val="N5"/>
    <w:basedOn w:val="PlainParagraph"/>
    <w:uiPriority w:val="1"/>
    <w:semiHidden/>
    <w:rsid w:val="000913EA"/>
    <w:pPr>
      <w:numPr>
        <w:ilvl w:val="4"/>
        <w:numId w:val="20"/>
      </w:numPr>
      <w:spacing w:before="0"/>
    </w:pPr>
  </w:style>
  <w:style w:type="paragraph" w:customStyle="1" w:styleId="NumberLevel6">
    <w:name w:val="Number Level 6"/>
    <w:basedOn w:val="NumberLevel5"/>
    <w:uiPriority w:val="1"/>
    <w:semiHidden/>
    <w:rsid w:val="000913EA"/>
    <w:pPr>
      <w:numPr>
        <w:ilvl w:val="5"/>
      </w:numPr>
    </w:pPr>
  </w:style>
  <w:style w:type="paragraph" w:customStyle="1" w:styleId="NumberLevel7">
    <w:name w:val="Number Level 7"/>
    <w:basedOn w:val="NumberLevel6"/>
    <w:uiPriority w:val="1"/>
    <w:semiHidden/>
    <w:rsid w:val="000913EA"/>
    <w:pPr>
      <w:numPr>
        <w:ilvl w:val="6"/>
      </w:numPr>
    </w:pPr>
  </w:style>
  <w:style w:type="paragraph" w:customStyle="1" w:styleId="NumberLevel8">
    <w:name w:val="Number Level 8"/>
    <w:basedOn w:val="NumberLevel7"/>
    <w:uiPriority w:val="1"/>
    <w:semiHidden/>
    <w:rsid w:val="000913EA"/>
    <w:pPr>
      <w:numPr>
        <w:ilvl w:val="7"/>
      </w:numPr>
    </w:pPr>
  </w:style>
  <w:style w:type="paragraph" w:customStyle="1" w:styleId="NumberLevel9">
    <w:name w:val="Number Level 9"/>
    <w:basedOn w:val="NumberLevel8"/>
    <w:uiPriority w:val="1"/>
    <w:semiHidden/>
    <w:rsid w:val="000913EA"/>
    <w:pPr>
      <w:numPr>
        <w:ilvl w:val="8"/>
      </w:numPr>
    </w:pPr>
  </w:style>
  <w:style w:type="paragraph" w:customStyle="1" w:styleId="DashEm">
    <w:name w:val="Dash: Em"/>
    <w:basedOn w:val="PlainParagraph"/>
    <w:uiPriority w:val="3"/>
    <w:semiHidden/>
    <w:rsid w:val="000913EA"/>
    <w:pPr>
      <w:numPr>
        <w:ilvl w:val="1"/>
        <w:numId w:val="14"/>
      </w:numPr>
      <w:spacing w:before="0"/>
    </w:pPr>
  </w:style>
  <w:style w:type="paragraph" w:customStyle="1" w:styleId="DashEm1">
    <w:name w:val="Dash: Em 1"/>
    <w:aliases w:val="-EM"/>
    <w:basedOn w:val="PlainParagraph"/>
    <w:link w:val="DashEm1Char"/>
    <w:uiPriority w:val="3"/>
    <w:semiHidden/>
    <w:rsid w:val="000913EA"/>
    <w:pPr>
      <w:numPr>
        <w:numId w:val="14"/>
      </w:numPr>
      <w:spacing w:before="0"/>
    </w:pPr>
  </w:style>
  <w:style w:type="paragraph" w:customStyle="1" w:styleId="DashEn1">
    <w:name w:val="Dash: En 1"/>
    <w:aliases w:val="-EN"/>
    <w:basedOn w:val="DashEm"/>
    <w:link w:val="DashEn1Char"/>
    <w:uiPriority w:val="3"/>
    <w:qFormat/>
    <w:rsid w:val="000913EA"/>
    <w:pPr>
      <w:numPr>
        <w:ilvl w:val="2"/>
      </w:numPr>
    </w:pPr>
  </w:style>
  <w:style w:type="paragraph" w:customStyle="1" w:styleId="DashEn2">
    <w:name w:val="Dash: En 2"/>
    <w:basedOn w:val="DashEn1"/>
    <w:uiPriority w:val="3"/>
    <w:semiHidden/>
    <w:rsid w:val="000913EA"/>
    <w:pPr>
      <w:numPr>
        <w:ilvl w:val="3"/>
      </w:numPr>
      <w:tabs>
        <w:tab w:val="clear" w:pos="1276"/>
        <w:tab w:val="num" w:pos="1440"/>
      </w:tabs>
      <w:ind w:left="1440" w:hanging="360"/>
    </w:pPr>
  </w:style>
  <w:style w:type="paragraph" w:customStyle="1" w:styleId="DashEn3">
    <w:name w:val="Dash: En 3"/>
    <w:basedOn w:val="DashEn2"/>
    <w:uiPriority w:val="3"/>
    <w:semiHidden/>
    <w:rsid w:val="000913EA"/>
    <w:pPr>
      <w:numPr>
        <w:ilvl w:val="4"/>
      </w:numPr>
      <w:tabs>
        <w:tab w:val="clear" w:pos="1701"/>
        <w:tab w:val="num" w:pos="1800"/>
      </w:tabs>
      <w:ind w:left="1800" w:hanging="360"/>
    </w:pPr>
  </w:style>
  <w:style w:type="paragraph" w:customStyle="1" w:styleId="DashEn4">
    <w:name w:val="Dash: En 4"/>
    <w:basedOn w:val="DashEn3"/>
    <w:uiPriority w:val="3"/>
    <w:semiHidden/>
    <w:rsid w:val="000913EA"/>
    <w:pPr>
      <w:numPr>
        <w:ilvl w:val="5"/>
      </w:numPr>
      <w:tabs>
        <w:tab w:val="clear" w:pos="2126"/>
        <w:tab w:val="num" w:pos="2160"/>
      </w:tabs>
      <w:ind w:left="2160" w:hanging="360"/>
    </w:pPr>
  </w:style>
  <w:style w:type="paragraph" w:customStyle="1" w:styleId="DashEn5">
    <w:name w:val="Dash: En 5"/>
    <w:basedOn w:val="DashEn4"/>
    <w:uiPriority w:val="3"/>
    <w:semiHidden/>
    <w:rsid w:val="000913EA"/>
    <w:pPr>
      <w:numPr>
        <w:ilvl w:val="6"/>
      </w:numPr>
      <w:tabs>
        <w:tab w:val="clear" w:pos="2551"/>
        <w:tab w:val="num" w:pos="2520"/>
      </w:tabs>
      <w:ind w:left="2520" w:hanging="360"/>
    </w:pPr>
  </w:style>
  <w:style w:type="paragraph" w:customStyle="1" w:styleId="DashEn6">
    <w:name w:val="Dash: En 6"/>
    <w:basedOn w:val="DashEn5"/>
    <w:uiPriority w:val="3"/>
    <w:semiHidden/>
    <w:rsid w:val="000913EA"/>
    <w:pPr>
      <w:numPr>
        <w:ilvl w:val="7"/>
      </w:numPr>
      <w:tabs>
        <w:tab w:val="clear" w:pos="2976"/>
        <w:tab w:val="num" w:pos="2880"/>
      </w:tabs>
      <w:ind w:left="2880" w:hanging="360"/>
    </w:pPr>
  </w:style>
  <w:style w:type="paragraph" w:customStyle="1" w:styleId="DashEn7">
    <w:name w:val="Dash: En 7"/>
    <w:basedOn w:val="DashEn6"/>
    <w:uiPriority w:val="3"/>
    <w:semiHidden/>
    <w:rsid w:val="000913EA"/>
    <w:pPr>
      <w:numPr>
        <w:ilvl w:val="8"/>
      </w:numPr>
      <w:tabs>
        <w:tab w:val="clear" w:pos="3402"/>
        <w:tab w:val="num" w:pos="3240"/>
      </w:tabs>
      <w:ind w:left="3240" w:hanging="360"/>
    </w:pPr>
  </w:style>
  <w:style w:type="paragraph" w:customStyle="1" w:styleId="IndentHanging">
    <w:name w:val="Indent: Hanging"/>
    <w:aliases w:val="--&gt;H"/>
    <w:basedOn w:val="PlainParagraph"/>
    <w:uiPriority w:val="9"/>
    <w:qFormat/>
    <w:rsid w:val="000913EA"/>
    <w:pPr>
      <w:numPr>
        <w:numId w:val="18"/>
      </w:numPr>
      <w:spacing w:before="0"/>
    </w:pPr>
  </w:style>
  <w:style w:type="paragraph" w:customStyle="1" w:styleId="IndentHanging1">
    <w:name w:val="Indent: Hanging 1"/>
    <w:basedOn w:val="IndentHanging"/>
    <w:uiPriority w:val="4"/>
    <w:semiHidden/>
    <w:rsid w:val="000913EA"/>
    <w:pPr>
      <w:numPr>
        <w:ilvl w:val="1"/>
      </w:numPr>
    </w:pPr>
  </w:style>
  <w:style w:type="paragraph" w:customStyle="1" w:styleId="IndentHanging2">
    <w:name w:val="Indent: Hanging 2"/>
    <w:basedOn w:val="IndentHanging1"/>
    <w:uiPriority w:val="4"/>
    <w:semiHidden/>
    <w:rsid w:val="000913EA"/>
    <w:pPr>
      <w:numPr>
        <w:ilvl w:val="2"/>
      </w:numPr>
    </w:pPr>
  </w:style>
  <w:style w:type="paragraph" w:customStyle="1" w:styleId="IndentHanging3">
    <w:name w:val="Indent: Hanging 3"/>
    <w:basedOn w:val="IndentHanging2"/>
    <w:uiPriority w:val="4"/>
    <w:semiHidden/>
    <w:rsid w:val="000913EA"/>
    <w:pPr>
      <w:numPr>
        <w:ilvl w:val="3"/>
      </w:numPr>
    </w:pPr>
  </w:style>
  <w:style w:type="paragraph" w:customStyle="1" w:styleId="IndentHanging4">
    <w:name w:val="Indent: Hanging 4"/>
    <w:basedOn w:val="IndentHanging3"/>
    <w:uiPriority w:val="4"/>
    <w:semiHidden/>
    <w:rsid w:val="000913EA"/>
    <w:pPr>
      <w:numPr>
        <w:ilvl w:val="4"/>
      </w:numPr>
    </w:pPr>
  </w:style>
  <w:style w:type="paragraph" w:customStyle="1" w:styleId="IndentHanging5">
    <w:name w:val="Indent: Hanging 5"/>
    <w:basedOn w:val="IndentHanging4"/>
    <w:uiPriority w:val="4"/>
    <w:semiHidden/>
    <w:rsid w:val="000913EA"/>
    <w:pPr>
      <w:numPr>
        <w:ilvl w:val="5"/>
      </w:numPr>
    </w:pPr>
  </w:style>
  <w:style w:type="paragraph" w:customStyle="1" w:styleId="IndentHanging6">
    <w:name w:val="Indent: Hanging 6"/>
    <w:basedOn w:val="IndentHanging5"/>
    <w:uiPriority w:val="4"/>
    <w:semiHidden/>
    <w:rsid w:val="000913EA"/>
    <w:pPr>
      <w:numPr>
        <w:ilvl w:val="6"/>
      </w:numPr>
    </w:pPr>
  </w:style>
  <w:style w:type="paragraph" w:customStyle="1" w:styleId="IndentHanging7">
    <w:name w:val="Indent: Hanging 7"/>
    <w:basedOn w:val="IndentHanging6"/>
    <w:uiPriority w:val="4"/>
    <w:semiHidden/>
    <w:rsid w:val="000913EA"/>
    <w:pPr>
      <w:numPr>
        <w:ilvl w:val="7"/>
      </w:numPr>
    </w:pPr>
  </w:style>
  <w:style w:type="paragraph" w:customStyle="1" w:styleId="IndentHanging8">
    <w:name w:val="Indent: Hanging 8"/>
    <w:basedOn w:val="IndentHanging7"/>
    <w:uiPriority w:val="4"/>
    <w:semiHidden/>
    <w:rsid w:val="000913EA"/>
    <w:pPr>
      <w:numPr>
        <w:ilvl w:val="8"/>
      </w:numPr>
    </w:pPr>
  </w:style>
  <w:style w:type="paragraph" w:customStyle="1" w:styleId="IndentFull">
    <w:name w:val="Indent: Full"/>
    <w:aliases w:val="--&gt;F"/>
    <w:basedOn w:val="PlainParagraph"/>
    <w:uiPriority w:val="9"/>
    <w:qFormat/>
    <w:rsid w:val="000913EA"/>
    <w:pPr>
      <w:numPr>
        <w:numId w:val="17"/>
      </w:numPr>
      <w:spacing w:before="0"/>
    </w:pPr>
  </w:style>
  <w:style w:type="paragraph" w:customStyle="1" w:styleId="IndentFull1">
    <w:name w:val="Indent: Full 1"/>
    <w:basedOn w:val="IndentFull"/>
    <w:uiPriority w:val="4"/>
    <w:semiHidden/>
    <w:rsid w:val="000913EA"/>
    <w:pPr>
      <w:numPr>
        <w:ilvl w:val="1"/>
      </w:numPr>
    </w:pPr>
  </w:style>
  <w:style w:type="paragraph" w:customStyle="1" w:styleId="IndentFull2">
    <w:name w:val="Indent: Full 2"/>
    <w:basedOn w:val="IndentFull1"/>
    <w:uiPriority w:val="4"/>
    <w:semiHidden/>
    <w:rsid w:val="000913EA"/>
    <w:pPr>
      <w:numPr>
        <w:ilvl w:val="2"/>
      </w:numPr>
    </w:pPr>
  </w:style>
  <w:style w:type="paragraph" w:customStyle="1" w:styleId="IndentFull3">
    <w:name w:val="Indent: Full 3"/>
    <w:basedOn w:val="IndentFull2"/>
    <w:uiPriority w:val="4"/>
    <w:semiHidden/>
    <w:rsid w:val="000913EA"/>
    <w:pPr>
      <w:numPr>
        <w:ilvl w:val="3"/>
      </w:numPr>
    </w:pPr>
  </w:style>
  <w:style w:type="paragraph" w:customStyle="1" w:styleId="IndentFull4">
    <w:name w:val="Indent: Full 4"/>
    <w:basedOn w:val="IndentFull3"/>
    <w:uiPriority w:val="4"/>
    <w:semiHidden/>
    <w:rsid w:val="000913EA"/>
    <w:pPr>
      <w:numPr>
        <w:ilvl w:val="4"/>
      </w:numPr>
    </w:pPr>
  </w:style>
  <w:style w:type="paragraph" w:customStyle="1" w:styleId="IndentFull5">
    <w:name w:val="Indent: Full 5"/>
    <w:basedOn w:val="IndentFull4"/>
    <w:uiPriority w:val="4"/>
    <w:semiHidden/>
    <w:rsid w:val="000913EA"/>
    <w:pPr>
      <w:numPr>
        <w:ilvl w:val="5"/>
      </w:numPr>
    </w:pPr>
  </w:style>
  <w:style w:type="paragraph" w:customStyle="1" w:styleId="IndentFull6">
    <w:name w:val="Indent: Full 6"/>
    <w:basedOn w:val="IndentFull5"/>
    <w:uiPriority w:val="4"/>
    <w:semiHidden/>
    <w:rsid w:val="000913EA"/>
    <w:pPr>
      <w:numPr>
        <w:ilvl w:val="6"/>
      </w:numPr>
    </w:pPr>
  </w:style>
  <w:style w:type="paragraph" w:customStyle="1" w:styleId="IndentFull7">
    <w:name w:val="Indent: Full 7"/>
    <w:basedOn w:val="IndentFull6"/>
    <w:uiPriority w:val="4"/>
    <w:semiHidden/>
    <w:rsid w:val="000913EA"/>
    <w:pPr>
      <w:numPr>
        <w:ilvl w:val="7"/>
      </w:numPr>
    </w:pPr>
  </w:style>
  <w:style w:type="paragraph" w:customStyle="1" w:styleId="IndentFull8">
    <w:name w:val="Indent: Full 8"/>
    <w:basedOn w:val="IndentFull7"/>
    <w:uiPriority w:val="4"/>
    <w:semiHidden/>
    <w:rsid w:val="000913EA"/>
    <w:pPr>
      <w:numPr>
        <w:ilvl w:val="8"/>
      </w:numPr>
    </w:pPr>
  </w:style>
  <w:style w:type="paragraph" w:customStyle="1" w:styleId="NumberedList1">
    <w:name w:val="Numbered List: 1)"/>
    <w:basedOn w:val="PlainParagraph"/>
    <w:uiPriority w:val="4"/>
    <w:semiHidden/>
    <w:rsid w:val="000913EA"/>
    <w:pPr>
      <w:numPr>
        <w:numId w:val="15"/>
      </w:numPr>
      <w:spacing w:before="0"/>
    </w:pPr>
  </w:style>
  <w:style w:type="paragraph" w:customStyle="1" w:styleId="NumberedList11">
    <w:name w:val="Numbered List: 1) 1"/>
    <w:aliases w:val="1)"/>
    <w:basedOn w:val="NumberedList1"/>
    <w:uiPriority w:val="8"/>
    <w:qFormat/>
    <w:rsid w:val="000913EA"/>
    <w:pPr>
      <w:numPr>
        <w:ilvl w:val="1"/>
      </w:numPr>
    </w:pPr>
  </w:style>
  <w:style w:type="paragraph" w:customStyle="1" w:styleId="NumberedList12">
    <w:name w:val="Numbered List: 1) 2"/>
    <w:basedOn w:val="NumberedList11"/>
    <w:uiPriority w:val="4"/>
    <w:semiHidden/>
    <w:rsid w:val="000913EA"/>
    <w:pPr>
      <w:numPr>
        <w:ilvl w:val="2"/>
      </w:numPr>
    </w:pPr>
  </w:style>
  <w:style w:type="paragraph" w:customStyle="1" w:styleId="NumberedList13">
    <w:name w:val="Numbered List: 1) 3"/>
    <w:basedOn w:val="NumberedList12"/>
    <w:uiPriority w:val="4"/>
    <w:semiHidden/>
    <w:rsid w:val="000913EA"/>
    <w:pPr>
      <w:numPr>
        <w:ilvl w:val="3"/>
      </w:numPr>
    </w:pPr>
  </w:style>
  <w:style w:type="paragraph" w:customStyle="1" w:styleId="NumberedList14">
    <w:name w:val="Numbered List: 1) 4"/>
    <w:basedOn w:val="NumberedList13"/>
    <w:uiPriority w:val="4"/>
    <w:semiHidden/>
    <w:rsid w:val="000913EA"/>
    <w:pPr>
      <w:numPr>
        <w:ilvl w:val="4"/>
      </w:numPr>
    </w:pPr>
  </w:style>
  <w:style w:type="paragraph" w:customStyle="1" w:styleId="NumberedList15">
    <w:name w:val="Numbered List: 1) 5"/>
    <w:basedOn w:val="NumberedList14"/>
    <w:uiPriority w:val="4"/>
    <w:semiHidden/>
    <w:rsid w:val="000913EA"/>
    <w:pPr>
      <w:numPr>
        <w:ilvl w:val="5"/>
      </w:numPr>
    </w:pPr>
  </w:style>
  <w:style w:type="paragraph" w:customStyle="1" w:styleId="NumberedList16">
    <w:name w:val="Numbered List: 1) 6"/>
    <w:basedOn w:val="NumberedList15"/>
    <w:uiPriority w:val="4"/>
    <w:semiHidden/>
    <w:rsid w:val="000913EA"/>
    <w:pPr>
      <w:numPr>
        <w:ilvl w:val="6"/>
      </w:numPr>
    </w:pPr>
  </w:style>
  <w:style w:type="paragraph" w:customStyle="1" w:styleId="NumberedList17">
    <w:name w:val="Numbered List: 1) 7"/>
    <w:basedOn w:val="NumberedList16"/>
    <w:uiPriority w:val="4"/>
    <w:semiHidden/>
    <w:rsid w:val="000913EA"/>
    <w:pPr>
      <w:numPr>
        <w:ilvl w:val="7"/>
      </w:numPr>
    </w:pPr>
  </w:style>
  <w:style w:type="paragraph" w:customStyle="1" w:styleId="NumberedList18">
    <w:name w:val="Numbered List: 1) 8"/>
    <w:basedOn w:val="NumberedList17"/>
    <w:uiPriority w:val="4"/>
    <w:semiHidden/>
    <w:rsid w:val="000913EA"/>
    <w:pPr>
      <w:numPr>
        <w:ilvl w:val="8"/>
      </w:numPr>
    </w:pPr>
  </w:style>
  <w:style w:type="paragraph" w:customStyle="1" w:styleId="NumberedLista">
    <w:name w:val="Numbered List: a)"/>
    <w:basedOn w:val="PlainParagraph"/>
    <w:uiPriority w:val="4"/>
    <w:semiHidden/>
    <w:rsid w:val="000913EA"/>
    <w:pPr>
      <w:numPr>
        <w:numId w:val="16"/>
      </w:numPr>
      <w:spacing w:before="0"/>
    </w:pPr>
  </w:style>
  <w:style w:type="paragraph" w:customStyle="1" w:styleId="NumberedLista1">
    <w:name w:val="Numbered List: a) 1"/>
    <w:aliases w:val="a)"/>
    <w:basedOn w:val="NumberedLista"/>
    <w:uiPriority w:val="8"/>
    <w:qFormat/>
    <w:rsid w:val="000913EA"/>
    <w:pPr>
      <w:numPr>
        <w:ilvl w:val="1"/>
      </w:numPr>
    </w:pPr>
  </w:style>
  <w:style w:type="paragraph" w:customStyle="1" w:styleId="NumberedLista2">
    <w:name w:val="Numbered List: a) 2"/>
    <w:basedOn w:val="NumberedLista1"/>
    <w:uiPriority w:val="4"/>
    <w:semiHidden/>
    <w:rsid w:val="000913EA"/>
    <w:pPr>
      <w:numPr>
        <w:ilvl w:val="2"/>
      </w:numPr>
    </w:pPr>
  </w:style>
  <w:style w:type="paragraph" w:customStyle="1" w:styleId="NumberedLista3">
    <w:name w:val="Numbered List: a) 3"/>
    <w:basedOn w:val="NumberedLista2"/>
    <w:uiPriority w:val="4"/>
    <w:semiHidden/>
    <w:rsid w:val="000913EA"/>
    <w:pPr>
      <w:numPr>
        <w:ilvl w:val="3"/>
      </w:numPr>
    </w:pPr>
  </w:style>
  <w:style w:type="paragraph" w:customStyle="1" w:styleId="NumberedLista4">
    <w:name w:val="Numbered List: a) 4"/>
    <w:basedOn w:val="NumberedLista3"/>
    <w:uiPriority w:val="4"/>
    <w:semiHidden/>
    <w:rsid w:val="000913EA"/>
    <w:pPr>
      <w:numPr>
        <w:ilvl w:val="4"/>
      </w:numPr>
    </w:pPr>
  </w:style>
  <w:style w:type="paragraph" w:customStyle="1" w:styleId="NumberedLista5">
    <w:name w:val="Numbered List: a) 5"/>
    <w:basedOn w:val="NumberedLista4"/>
    <w:uiPriority w:val="4"/>
    <w:semiHidden/>
    <w:rsid w:val="000913EA"/>
    <w:pPr>
      <w:numPr>
        <w:ilvl w:val="5"/>
      </w:numPr>
    </w:pPr>
  </w:style>
  <w:style w:type="paragraph" w:customStyle="1" w:styleId="NumberedLista6">
    <w:name w:val="Numbered List: a) 6"/>
    <w:basedOn w:val="NumberedLista5"/>
    <w:uiPriority w:val="4"/>
    <w:semiHidden/>
    <w:rsid w:val="000913EA"/>
    <w:pPr>
      <w:numPr>
        <w:ilvl w:val="6"/>
      </w:numPr>
    </w:pPr>
  </w:style>
  <w:style w:type="paragraph" w:customStyle="1" w:styleId="NumberedLista7">
    <w:name w:val="Numbered List: a) 7"/>
    <w:basedOn w:val="NumberedLista6"/>
    <w:uiPriority w:val="4"/>
    <w:semiHidden/>
    <w:rsid w:val="000913EA"/>
    <w:pPr>
      <w:numPr>
        <w:ilvl w:val="7"/>
      </w:numPr>
    </w:pPr>
  </w:style>
  <w:style w:type="paragraph" w:customStyle="1" w:styleId="NumberedLista8">
    <w:name w:val="Numbered List: a) 8"/>
    <w:basedOn w:val="NumberedLista7"/>
    <w:uiPriority w:val="4"/>
    <w:semiHidden/>
    <w:rsid w:val="000913EA"/>
    <w:pPr>
      <w:numPr>
        <w:ilvl w:val="8"/>
      </w:numPr>
    </w:pPr>
  </w:style>
  <w:style w:type="paragraph" w:customStyle="1" w:styleId="Notes-client">
    <w:name w:val="Notes - client"/>
    <w:aliases w:val="N Client"/>
    <w:basedOn w:val="PlainParagraph"/>
    <w:uiPriority w:val="6"/>
    <w:qFormat/>
    <w:rsid w:val="000913EA"/>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0913E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0913EA"/>
    <w:rPr>
      <w:vanish/>
      <w:color w:val="0000FF"/>
    </w:rPr>
  </w:style>
  <w:style w:type="paragraph" w:customStyle="1" w:styleId="TablePlainParagraph">
    <w:name w:val="Table: Plain Paragraph"/>
    <w:aliases w:val="Table PP"/>
    <w:basedOn w:val="PlainParagraph"/>
    <w:uiPriority w:val="11"/>
    <w:qFormat/>
    <w:rsid w:val="000913EA"/>
    <w:pPr>
      <w:spacing w:before="60" w:after="60" w:line="240" w:lineRule="atLeast"/>
    </w:pPr>
    <w:rPr>
      <w:sz w:val="20"/>
    </w:rPr>
  </w:style>
  <w:style w:type="paragraph" w:customStyle="1" w:styleId="TableHeading1">
    <w:name w:val="Table: Heading 1"/>
    <w:basedOn w:val="PlainParagraph"/>
    <w:uiPriority w:val="12"/>
    <w:rsid w:val="000913EA"/>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0913EA"/>
    <w:pPr>
      <w:keepNext/>
      <w:keepLines/>
      <w:spacing w:before="60" w:line="240" w:lineRule="atLeast"/>
    </w:pPr>
    <w:rPr>
      <w:b/>
    </w:rPr>
  </w:style>
  <w:style w:type="paragraph" w:customStyle="1" w:styleId="TableHeading3">
    <w:name w:val="Table: Heading 3"/>
    <w:basedOn w:val="HeadingBase"/>
    <w:next w:val="TablePlainParagraph"/>
    <w:uiPriority w:val="12"/>
    <w:rsid w:val="000913EA"/>
    <w:pPr>
      <w:keepNext/>
      <w:keepLines/>
      <w:spacing w:before="60" w:line="240" w:lineRule="atLeast"/>
    </w:pPr>
    <w:rPr>
      <w:b/>
      <w:i/>
    </w:rPr>
  </w:style>
  <w:style w:type="paragraph" w:customStyle="1" w:styleId="TableHeading4">
    <w:name w:val="Table: Heading 4"/>
    <w:basedOn w:val="HeadingBase"/>
    <w:next w:val="TablePlainParagraph"/>
    <w:uiPriority w:val="12"/>
    <w:rsid w:val="000913EA"/>
    <w:pPr>
      <w:keepNext/>
      <w:keepLines/>
      <w:spacing w:before="60" w:line="240" w:lineRule="atLeast"/>
    </w:pPr>
    <w:rPr>
      <w:i/>
    </w:rPr>
  </w:style>
  <w:style w:type="paragraph" w:customStyle="1" w:styleId="TableHeading5">
    <w:name w:val="Table: Heading 5"/>
    <w:basedOn w:val="HeadingBase"/>
    <w:next w:val="TablePlainParagraph"/>
    <w:uiPriority w:val="12"/>
    <w:rsid w:val="000913EA"/>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0913EA"/>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0913EA"/>
    <w:pPr>
      <w:tabs>
        <w:tab w:val="left" w:pos="283"/>
        <w:tab w:val="left" w:pos="567"/>
      </w:tabs>
      <w:spacing w:before="0"/>
      <w:ind w:left="283" w:hanging="283"/>
    </w:pPr>
  </w:style>
  <w:style w:type="paragraph" w:customStyle="1" w:styleId="TableQAText">
    <w:name w:val="Table: Q&amp;A: Text"/>
    <w:basedOn w:val="TablePlainParagraph"/>
    <w:uiPriority w:val="12"/>
    <w:rsid w:val="000913EA"/>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0913EA"/>
    <w:pPr>
      <w:numPr>
        <w:numId w:val="7"/>
      </w:numPr>
    </w:pPr>
  </w:style>
  <w:style w:type="paragraph" w:customStyle="1" w:styleId="TableNumberLevel2">
    <w:name w:val="Table: Number Level 2"/>
    <w:basedOn w:val="TablePlainParagraph"/>
    <w:uiPriority w:val="12"/>
    <w:rsid w:val="000913EA"/>
    <w:pPr>
      <w:numPr>
        <w:ilvl w:val="1"/>
        <w:numId w:val="7"/>
      </w:numPr>
    </w:pPr>
  </w:style>
  <w:style w:type="paragraph" w:customStyle="1" w:styleId="TableNumberLevel3">
    <w:name w:val="Table: Number Level 3"/>
    <w:basedOn w:val="TablePlainParagraph"/>
    <w:uiPriority w:val="12"/>
    <w:rsid w:val="000913EA"/>
    <w:pPr>
      <w:numPr>
        <w:ilvl w:val="2"/>
        <w:numId w:val="7"/>
      </w:numPr>
    </w:pPr>
  </w:style>
  <w:style w:type="paragraph" w:customStyle="1" w:styleId="TableNumberLevel4">
    <w:name w:val="Table: Number Level 4"/>
    <w:basedOn w:val="TablePlainParagraph"/>
    <w:uiPriority w:val="12"/>
    <w:rsid w:val="000913EA"/>
    <w:pPr>
      <w:numPr>
        <w:ilvl w:val="3"/>
        <w:numId w:val="7"/>
      </w:numPr>
      <w:spacing w:before="0"/>
    </w:pPr>
  </w:style>
  <w:style w:type="paragraph" w:customStyle="1" w:styleId="TableNumberLevel5">
    <w:name w:val="Table: Number Level 5"/>
    <w:basedOn w:val="TablePlainParagraph"/>
    <w:uiPriority w:val="12"/>
    <w:semiHidden/>
    <w:rsid w:val="000913EA"/>
    <w:pPr>
      <w:numPr>
        <w:ilvl w:val="4"/>
        <w:numId w:val="7"/>
      </w:numPr>
      <w:spacing w:before="0"/>
    </w:pPr>
  </w:style>
  <w:style w:type="paragraph" w:customStyle="1" w:styleId="TableNumberLevel6">
    <w:name w:val="Table: Number Level 6"/>
    <w:basedOn w:val="TablePlainParagraph"/>
    <w:uiPriority w:val="12"/>
    <w:semiHidden/>
    <w:rsid w:val="000913EA"/>
    <w:pPr>
      <w:numPr>
        <w:ilvl w:val="5"/>
        <w:numId w:val="7"/>
      </w:numPr>
      <w:spacing w:before="0"/>
    </w:pPr>
  </w:style>
  <w:style w:type="paragraph" w:customStyle="1" w:styleId="TableNumberLevel7">
    <w:name w:val="Table: Number Level 7"/>
    <w:basedOn w:val="TablePlainParagraph"/>
    <w:uiPriority w:val="12"/>
    <w:semiHidden/>
    <w:rsid w:val="000913EA"/>
    <w:pPr>
      <w:numPr>
        <w:ilvl w:val="6"/>
        <w:numId w:val="7"/>
      </w:numPr>
      <w:spacing w:before="0"/>
    </w:pPr>
  </w:style>
  <w:style w:type="paragraph" w:customStyle="1" w:styleId="TableNumberLevel8">
    <w:name w:val="Table: Number Level 8"/>
    <w:basedOn w:val="TablePlainParagraph"/>
    <w:uiPriority w:val="12"/>
    <w:semiHidden/>
    <w:rsid w:val="000913EA"/>
    <w:pPr>
      <w:numPr>
        <w:ilvl w:val="7"/>
        <w:numId w:val="7"/>
      </w:numPr>
      <w:spacing w:before="0"/>
    </w:pPr>
  </w:style>
  <w:style w:type="paragraph" w:customStyle="1" w:styleId="TableNumberLevel9">
    <w:name w:val="Table: Number Level 9"/>
    <w:basedOn w:val="TablePlainParagraph"/>
    <w:uiPriority w:val="12"/>
    <w:semiHidden/>
    <w:rsid w:val="000913EA"/>
    <w:pPr>
      <w:numPr>
        <w:ilvl w:val="8"/>
        <w:numId w:val="7"/>
      </w:numPr>
      <w:spacing w:before="0"/>
    </w:pPr>
  </w:style>
  <w:style w:type="paragraph" w:customStyle="1" w:styleId="TableDashEm">
    <w:name w:val="Table: Dash: Em"/>
    <w:basedOn w:val="TablePlainParagraph"/>
    <w:uiPriority w:val="12"/>
    <w:semiHidden/>
    <w:rsid w:val="000913EA"/>
    <w:pPr>
      <w:spacing w:before="0"/>
    </w:pPr>
  </w:style>
  <w:style w:type="paragraph" w:customStyle="1" w:styleId="TableDashEm1">
    <w:name w:val="Table: Dash: Em 1"/>
    <w:basedOn w:val="TablePlainParagraph"/>
    <w:uiPriority w:val="12"/>
    <w:semiHidden/>
    <w:rsid w:val="000913EA"/>
    <w:pPr>
      <w:spacing w:before="0"/>
    </w:pPr>
  </w:style>
  <w:style w:type="paragraph" w:customStyle="1" w:styleId="TableDashEn1">
    <w:name w:val="Table: Dash: En 1"/>
    <w:basedOn w:val="TablePlainParagraph"/>
    <w:uiPriority w:val="12"/>
    <w:rsid w:val="000913EA"/>
    <w:pPr>
      <w:numPr>
        <w:ilvl w:val="2"/>
        <w:numId w:val="13"/>
      </w:numPr>
      <w:spacing w:before="0"/>
    </w:pPr>
  </w:style>
  <w:style w:type="paragraph" w:customStyle="1" w:styleId="TableDashEn2">
    <w:name w:val="Table: Dash: En 2"/>
    <w:basedOn w:val="TablePlainParagraph"/>
    <w:uiPriority w:val="12"/>
    <w:semiHidden/>
    <w:rsid w:val="000913EA"/>
    <w:pPr>
      <w:numPr>
        <w:ilvl w:val="3"/>
        <w:numId w:val="13"/>
      </w:numPr>
      <w:spacing w:before="0"/>
    </w:pPr>
  </w:style>
  <w:style w:type="paragraph" w:customStyle="1" w:styleId="TableDashEn3">
    <w:name w:val="Table: Dash: En 3"/>
    <w:basedOn w:val="TablePlainParagraph"/>
    <w:uiPriority w:val="12"/>
    <w:semiHidden/>
    <w:rsid w:val="000913EA"/>
    <w:pPr>
      <w:numPr>
        <w:ilvl w:val="4"/>
        <w:numId w:val="13"/>
      </w:numPr>
      <w:spacing w:before="0"/>
    </w:pPr>
  </w:style>
  <w:style w:type="paragraph" w:customStyle="1" w:styleId="TableDashEn4">
    <w:name w:val="Table: Dash: En 4"/>
    <w:basedOn w:val="TablePlainParagraph"/>
    <w:uiPriority w:val="12"/>
    <w:semiHidden/>
    <w:rsid w:val="000913EA"/>
    <w:pPr>
      <w:numPr>
        <w:ilvl w:val="5"/>
        <w:numId w:val="13"/>
      </w:numPr>
      <w:spacing w:before="0"/>
    </w:pPr>
  </w:style>
  <w:style w:type="paragraph" w:customStyle="1" w:styleId="TableDashEn5">
    <w:name w:val="Table: Dash: En 5"/>
    <w:basedOn w:val="TablePlainParagraph"/>
    <w:uiPriority w:val="12"/>
    <w:semiHidden/>
    <w:rsid w:val="000913EA"/>
    <w:pPr>
      <w:numPr>
        <w:ilvl w:val="6"/>
        <w:numId w:val="13"/>
      </w:numPr>
      <w:spacing w:before="0"/>
    </w:pPr>
  </w:style>
  <w:style w:type="paragraph" w:customStyle="1" w:styleId="TableDashEn6">
    <w:name w:val="Table: Dash: En 6"/>
    <w:basedOn w:val="TablePlainParagraph"/>
    <w:uiPriority w:val="12"/>
    <w:semiHidden/>
    <w:rsid w:val="000913EA"/>
    <w:pPr>
      <w:numPr>
        <w:ilvl w:val="7"/>
        <w:numId w:val="13"/>
      </w:numPr>
      <w:spacing w:before="0"/>
    </w:pPr>
  </w:style>
  <w:style w:type="paragraph" w:customStyle="1" w:styleId="TableDashEn7">
    <w:name w:val="Table: Dash: En 7"/>
    <w:basedOn w:val="TablePlainParagraph"/>
    <w:uiPriority w:val="12"/>
    <w:semiHidden/>
    <w:rsid w:val="000913EA"/>
    <w:pPr>
      <w:numPr>
        <w:ilvl w:val="8"/>
        <w:numId w:val="13"/>
      </w:numPr>
      <w:spacing w:before="0"/>
    </w:pPr>
  </w:style>
  <w:style w:type="paragraph" w:customStyle="1" w:styleId="TableIndentHanging">
    <w:name w:val="Table: Indent: Hanging"/>
    <w:basedOn w:val="TablePlainParagraph"/>
    <w:uiPriority w:val="12"/>
    <w:semiHidden/>
    <w:rsid w:val="000913EA"/>
    <w:pPr>
      <w:numPr>
        <w:numId w:val="8"/>
      </w:numPr>
      <w:tabs>
        <w:tab w:val="left" w:pos="283"/>
      </w:tabs>
      <w:spacing w:before="0"/>
    </w:pPr>
  </w:style>
  <w:style w:type="paragraph" w:customStyle="1" w:styleId="TableIndentHanging1">
    <w:name w:val="Table: Indent: Hanging 1"/>
    <w:basedOn w:val="TablePlainParagraph"/>
    <w:uiPriority w:val="12"/>
    <w:rsid w:val="000913EA"/>
    <w:pPr>
      <w:numPr>
        <w:ilvl w:val="1"/>
        <w:numId w:val="8"/>
      </w:numPr>
      <w:tabs>
        <w:tab w:val="left" w:pos="283"/>
      </w:tabs>
      <w:spacing w:before="0"/>
    </w:pPr>
  </w:style>
  <w:style w:type="paragraph" w:customStyle="1" w:styleId="TableIndentHanging2">
    <w:name w:val="Table: Indent: Hanging 2"/>
    <w:basedOn w:val="TablePlainParagraph"/>
    <w:uiPriority w:val="12"/>
    <w:semiHidden/>
    <w:rsid w:val="000913EA"/>
    <w:pPr>
      <w:numPr>
        <w:ilvl w:val="2"/>
        <w:numId w:val="8"/>
      </w:numPr>
      <w:spacing w:before="0"/>
    </w:pPr>
  </w:style>
  <w:style w:type="paragraph" w:customStyle="1" w:styleId="TableIndentHanging3">
    <w:name w:val="Table: Indent: Hanging 3"/>
    <w:basedOn w:val="TablePlainParagraph"/>
    <w:uiPriority w:val="12"/>
    <w:semiHidden/>
    <w:rsid w:val="000913EA"/>
    <w:pPr>
      <w:numPr>
        <w:ilvl w:val="3"/>
        <w:numId w:val="8"/>
      </w:numPr>
      <w:spacing w:before="0"/>
    </w:pPr>
  </w:style>
  <w:style w:type="paragraph" w:customStyle="1" w:styleId="TableIndentHanging4">
    <w:name w:val="Table: Indent: Hanging 4"/>
    <w:basedOn w:val="TablePlainParagraph"/>
    <w:uiPriority w:val="12"/>
    <w:semiHidden/>
    <w:rsid w:val="000913EA"/>
    <w:pPr>
      <w:numPr>
        <w:ilvl w:val="4"/>
        <w:numId w:val="8"/>
      </w:numPr>
      <w:tabs>
        <w:tab w:val="left" w:pos="1134"/>
      </w:tabs>
      <w:spacing w:before="0"/>
    </w:pPr>
  </w:style>
  <w:style w:type="paragraph" w:customStyle="1" w:styleId="TableIndentHanging5">
    <w:name w:val="Table: Indent: Hanging 5"/>
    <w:basedOn w:val="TablePlainParagraph"/>
    <w:uiPriority w:val="12"/>
    <w:semiHidden/>
    <w:rsid w:val="000913EA"/>
    <w:pPr>
      <w:numPr>
        <w:ilvl w:val="5"/>
        <w:numId w:val="8"/>
      </w:numPr>
      <w:tabs>
        <w:tab w:val="left" w:pos="1417"/>
      </w:tabs>
      <w:spacing w:before="0"/>
    </w:pPr>
  </w:style>
  <w:style w:type="paragraph" w:customStyle="1" w:styleId="TableIndentHanging6">
    <w:name w:val="Table: Indent: Hanging 6"/>
    <w:basedOn w:val="TablePlainParagraph"/>
    <w:uiPriority w:val="12"/>
    <w:semiHidden/>
    <w:rsid w:val="000913EA"/>
    <w:pPr>
      <w:numPr>
        <w:ilvl w:val="6"/>
        <w:numId w:val="8"/>
      </w:numPr>
      <w:tabs>
        <w:tab w:val="left" w:pos="1701"/>
      </w:tabs>
      <w:spacing w:before="0"/>
    </w:pPr>
  </w:style>
  <w:style w:type="paragraph" w:customStyle="1" w:styleId="TableIndentHanging7">
    <w:name w:val="Table: Indent: Hanging 7"/>
    <w:basedOn w:val="TablePlainParagraph"/>
    <w:uiPriority w:val="12"/>
    <w:semiHidden/>
    <w:rsid w:val="000913EA"/>
    <w:pPr>
      <w:numPr>
        <w:ilvl w:val="7"/>
        <w:numId w:val="8"/>
      </w:numPr>
      <w:tabs>
        <w:tab w:val="left" w:pos="1984"/>
      </w:tabs>
      <w:spacing w:before="0"/>
    </w:pPr>
  </w:style>
  <w:style w:type="paragraph" w:customStyle="1" w:styleId="TableIndentHanging8">
    <w:name w:val="Table: Indent: Hanging 8"/>
    <w:basedOn w:val="TablePlainParagraph"/>
    <w:uiPriority w:val="12"/>
    <w:semiHidden/>
    <w:rsid w:val="000913EA"/>
    <w:pPr>
      <w:numPr>
        <w:ilvl w:val="8"/>
        <w:numId w:val="8"/>
      </w:numPr>
      <w:tabs>
        <w:tab w:val="left" w:pos="2268"/>
      </w:tabs>
      <w:spacing w:before="0"/>
    </w:pPr>
  </w:style>
  <w:style w:type="paragraph" w:customStyle="1" w:styleId="TableIndentFull">
    <w:name w:val="Table: Indent: Full"/>
    <w:basedOn w:val="TablePlainParagraph"/>
    <w:uiPriority w:val="12"/>
    <w:semiHidden/>
    <w:rsid w:val="000913EA"/>
    <w:pPr>
      <w:numPr>
        <w:numId w:val="9"/>
      </w:numPr>
      <w:spacing w:before="0"/>
    </w:pPr>
  </w:style>
  <w:style w:type="paragraph" w:customStyle="1" w:styleId="TableIndentFull1">
    <w:name w:val="Table: Indent: Full 1"/>
    <w:basedOn w:val="TablePlainParagraph"/>
    <w:uiPriority w:val="12"/>
    <w:rsid w:val="000913EA"/>
    <w:pPr>
      <w:numPr>
        <w:ilvl w:val="1"/>
        <w:numId w:val="9"/>
      </w:numPr>
      <w:spacing w:before="0"/>
    </w:pPr>
  </w:style>
  <w:style w:type="paragraph" w:customStyle="1" w:styleId="TableIndentFull2">
    <w:name w:val="Table: Indent: Full 2"/>
    <w:basedOn w:val="TablePlainParagraph"/>
    <w:uiPriority w:val="12"/>
    <w:semiHidden/>
    <w:rsid w:val="000913EA"/>
    <w:pPr>
      <w:numPr>
        <w:ilvl w:val="2"/>
        <w:numId w:val="9"/>
      </w:numPr>
      <w:spacing w:before="0"/>
    </w:pPr>
  </w:style>
  <w:style w:type="paragraph" w:customStyle="1" w:styleId="TableIndentFull3">
    <w:name w:val="Table: Indent: Full 3"/>
    <w:basedOn w:val="TablePlainParagraph"/>
    <w:uiPriority w:val="12"/>
    <w:semiHidden/>
    <w:rsid w:val="000913EA"/>
    <w:pPr>
      <w:numPr>
        <w:ilvl w:val="3"/>
        <w:numId w:val="9"/>
      </w:numPr>
      <w:spacing w:before="0"/>
    </w:pPr>
  </w:style>
  <w:style w:type="paragraph" w:customStyle="1" w:styleId="TableIndentFull4">
    <w:name w:val="Table: Indent: Full 4"/>
    <w:basedOn w:val="TablePlainParagraph"/>
    <w:uiPriority w:val="12"/>
    <w:semiHidden/>
    <w:rsid w:val="000913EA"/>
    <w:pPr>
      <w:numPr>
        <w:ilvl w:val="4"/>
        <w:numId w:val="9"/>
      </w:numPr>
      <w:spacing w:before="0"/>
    </w:pPr>
  </w:style>
  <w:style w:type="paragraph" w:customStyle="1" w:styleId="TableIndentFull5">
    <w:name w:val="Table: Indent: Full 5"/>
    <w:basedOn w:val="TablePlainParagraph"/>
    <w:uiPriority w:val="12"/>
    <w:semiHidden/>
    <w:rsid w:val="000913EA"/>
    <w:pPr>
      <w:numPr>
        <w:ilvl w:val="5"/>
        <w:numId w:val="9"/>
      </w:numPr>
      <w:spacing w:before="0"/>
    </w:pPr>
  </w:style>
  <w:style w:type="paragraph" w:customStyle="1" w:styleId="TableIndentFull6">
    <w:name w:val="Table: Indent: Full 6"/>
    <w:basedOn w:val="TablePlainParagraph"/>
    <w:uiPriority w:val="12"/>
    <w:semiHidden/>
    <w:rsid w:val="000913EA"/>
    <w:pPr>
      <w:numPr>
        <w:ilvl w:val="6"/>
        <w:numId w:val="9"/>
      </w:numPr>
      <w:spacing w:before="0"/>
    </w:pPr>
  </w:style>
  <w:style w:type="paragraph" w:customStyle="1" w:styleId="TableIndentFull7">
    <w:name w:val="Table: Indent: Full 7"/>
    <w:basedOn w:val="TablePlainParagraph"/>
    <w:uiPriority w:val="12"/>
    <w:semiHidden/>
    <w:rsid w:val="000913EA"/>
    <w:pPr>
      <w:numPr>
        <w:ilvl w:val="7"/>
        <w:numId w:val="9"/>
      </w:numPr>
      <w:spacing w:before="0"/>
    </w:pPr>
  </w:style>
  <w:style w:type="paragraph" w:customStyle="1" w:styleId="TableIndentFull8">
    <w:name w:val="Table: Indent: Full 8"/>
    <w:basedOn w:val="TablePlainParagraph"/>
    <w:uiPriority w:val="12"/>
    <w:semiHidden/>
    <w:rsid w:val="000913EA"/>
    <w:pPr>
      <w:numPr>
        <w:ilvl w:val="8"/>
        <w:numId w:val="9"/>
      </w:numPr>
      <w:spacing w:before="0"/>
    </w:pPr>
  </w:style>
  <w:style w:type="paragraph" w:customStyle="1" w:styleId="TableNumberedList1">
    <w:name w:val="Table: Numbered List: 1)"/>
    <w:basedOn w:val="TablePlainParagraph"/>
    <w:uiPriority w:val="12"/>
    <w:semiHidden/>
    <w:rsid w:val="000913EA"/>
    <w:pPr>
      <w:numPr>
        <w:numId w:val="10"/>
      </w:numPr>
      <w:spacing w:before="0"/>
    </w:pPr>
  </w:style>
  <w:style w:type="paragraph" w:customStyle="1" w:styleId="TableNumberedList11">
    <w:name w:val="Table: Numbered List: 1) 1"/>
    <w:basedOn w:val="TablePlainParagraph"/>
    <w:uiPriority w:val="12"/>
    <w:rsid w:val="000913EA"/>
    <w:pPr>
      <w:numPr>
        <w:ilvl w:val="1"/>
        <w:numId w:val="10"/>
      </w:numPr>
      <w:spacing w:before="0"/>
    </w:pPr>
  </w:style>
  <w:style w:type="paragraph" w:customStyle="1" w:styleId="TableNumberedList12">
    <w:name w:val="Table: Numbered List: 1) 2"/>
    <w:basedOn w:val="TablePlainParagraph"/>
    <w:uiPriority w:val="12"/>
    <w:semiHidden/>
    <w:rsid w:val="000913EA"/>
    <w:pPr>
      <w:numPr>
        <w:ilvl w:val="2"/>
        <w:numId w:val="10"/>
      </w:numPr>
      <w:spacing w:before="0"/>
    </w:pPr>
  </w:style>
  <w:style w:type="paragraph" w:customStyle="1" w:styleId="TableNumberedList13">
    <w:name w:val="Table: Numbered List: 1) 3"/>
    <w:basedOn w:val="TablePlainParagraph"/>
    <w:uiPriority w:val="12"/>
    <w:semiHidden/>
    <w:rsid w:val="000913EA"/>
    <w:pPr>
      <w:numPr>
        <w:ilvl w:val="3"/>
        <w:numId w:val="10"/>
      </w:numPr>
      <w:spacing w:before="0"/>
    </w:pPr>
  </w:style>
  <w:style w:type="paragraph" w:customStyle="1" w:styleId="TableNumberedList14">
    <w:name w:val="Table: Numbered List: 1) 4"/>
    <w:basedOn w:val="TablePlainParagraph"/>
    <w:uiPriority w:val="12"/>
    <w:semiHidden/>
    <w:rsid w:val="000913EA"/>
    <w:pPr>
      <w:numPr>
        <w:ilvl w:val="4"/>
        <w:numId w:val="10"/>
      </w:numPr>
      <w:spacing w:before="0"/>
    </w:pPr>
  </w:style>
  <w:style w:type="paragraph" w:customStyle="1" w:styleId="TableNumberedList15">
    <w:name w:val="Table: Numbered List: 1) 5"/>
    <w:basedOn w:val="TablePlainParagraph"/>
    <w:uiPriority w:val="12"/>
    <w:semiHidden/>
    <w:rsid w:val="000913EA"/>
    <w:pPr>
      <w:numPr>
        <w:ilvl w:val="5"/>
        <w:numId w:val="10"/>
      </w:numPr>
      <w:spacing w:before="0"/>
    </w:pPr>
  </w:style>
  <w:style w:type="paragraph" w:customStyle="1" w:styleId="TableNumberedList16">
    <w:name w:val="Table: Numbered List: 1) 6"/>
    <w:basedOn w:val="TablePlainParagraph"/>
    <w:uiPriority w:val="12"/>
    <w:semiHidden/>
    <w:rsid w:val="000913EA"/>
    <w:pPr>
      <w:numPr>
        <w:ilvl w:val="6"/>
        <w:numId w:val="10"/>
      </w:numPr>
      <w:spacing w:before="0"/>
    </w:pPr>
  </w:style>
  <w:style w:type="paragraph" w:customStyle="1" w:styleId="TableNumberedList17">
    <w:name w:val="Table: Numbered List: 1) 7"/>
    <w:basedOn w:val="TablePlainParagraph"/>
    <w:uiPriority w:val="12"/>
    <w:semiHidden/>
    <w:rsid w:val="000913EA"/>
    <w:pPr>
      <w:numPr>
        <w:ilvl w:val="7"/>
        <w:numId w:val="10"/>
      </w:numPr>
      <w:spacing w:before="0"/>
    </w:pPr>
  </w:style>
  <w:style w:type="paragraph" w:customStyle="1" w:styleId="TableNumberedList18">
    <w:name w:val="Table: Numbered List: 1) 8"/>
    <w:basedOn w:val="TablePlainParagraph"/>
    <w:uiPriority w:val="12"/>
    <w:semiHidden/>
    <w:rsid w:val="000913EA"/>
    <w:pPr>
      <w:numPr>
        <w:ilvl w:val="8"/>
        <w:numId w:val="10"/>
      </w:numPr>
      <w:spacing w:before="0"/>
    </w:pPr>
  </w:style>
  <w:style w:type="paragraph" w:customStyle="1" w:styleId="TableNumberedLista">
    <w:name w:val="Table: Numbered List: a)"/>
    <w:basedOn w:val="TablePlainParagraph"/>
    <w:uiPriority w:val="12"/>
    <w:semiHidden/>
    <w:rsid w:val="000913EA"/>
    <w:pPr>
      <w:numPr>
        <w:numId w:val="11"/>
      </w:numPr>
      <w:spacing w:before="0"/>
    </w:pPr>
  </w:style>
  <w:style w:type="paragraph" w:customStyle="1" w:styleId="TableNumberedLista1">
    <w:name w:val="Table: Numbered List: a) 1"/>
    <w:basedOn w:val="TablePlainParagraph"/>
    <w:uiPriority w:val="12"/>
    <w:rsid w:val="000913EA"/>
    <w:pPr>
      <w:numPr>
        <w:ilvl w:val="1"/>
        <w:numId w:val="11"/>
      </w:numPr>
      <w:spacing w:before="0"/>
    </w:pPr>
  </w:style>
  <w:style w:type="paragraph" w:customStyle="1" w:styleId="TableNumberedLista2">
    <w:name w:val="Table: Numbered List: a) 2"/>
    <w:basedOn w:val="TablePlainParagraph"/>
    <w:uiPriority w:val="12"/>
    <w:semiHidden/>
    <w:rsid w:val="000913EA"/>
    <w:pPr>
      <w:numPr>
        <w:ilvl w:val="2"/>
        <w:numId w:val="11"/>
      </w:numPr>
      <w:spacing w:before="0"/>
    </w:pPr>
  </w:style>
  <w:style w:type="paragraph" w:customStyle="1" w:styleId="TableNumberedLista3">
    <w:name w:val="Table: Numbered List: a) 3"/>
    <w:basedOn w:val="TablePlainParagraph"/>
    <w:uiPriority w:val="12"/>
    <w:semiHidden/>
    <w:rsid w:val="000913EA"/>
    <w:pPr>
      <w:numPr>
        <w:ilvl w:val="3"/>
        <w:numId w:val="11"/>
      </w:numPr>
      <w:spacing w:before="0"/>
    </w:pPr>
  </w:style>
  <w:style w:type="paragraph" w:customStyle="1" w:styleId="TableNumberedLista4">
    <w:name w:val="Table: Numbered List: a) 4"/>
    <w:basedOn w:val="TablePlainParagraph"/>
    <w:uiPriority w:val="12"/>
    <w:semiHidden/>
    <w:rsid w:val="000913EA"/>
    <w:pPr>
      <w:numPr>
        <w:ilvl w:val="4"/>
        <w:numId w:val="11"/>
      </w:numPr>
      <w:spacing w:before="0"/>
    </w:pPr>
  </w:style>
  <w:style w:type="paragraph" w:customStyle="1" w:styleId="TableNumberedLista5">
    <w:name w:val="Table: Numbered List: a) 5"/>
    <w:basedOn w:val="TablePlainParagraph"/>
    <w:uiPriority w:val="12"/>
    <w:semiHidden/>
    <w:rsid w:val="000913EA"/>
    <w:pPr>
      <w:numPr>
        <w:ilvl w:val="5"/>
        <w:numId w:val="11"/>
      </w:numPr>
      <w:spacing w:before="0"/>
    </w:pPr>
  </w:style>
  <w:style w:type="paragraph" w:customStyle="1" w:styleId="TableNumberedLista6">
    <w:name w:val="Table: Numbered List: a) 6"/>
    <w:basedOn w:val="TablePlainParagraph"/>
    <w:uiPriority w:val="12"/>
    <w:semiHidden/>
    <w:rsid w:val="000913EA"/>
    <w:pPr>
      <w:numPr>
        <w:ilvl w:val="6"/>
        <w:numId w:val="11"/>
      </w:numPr>
      <w:spacing w:before="0"/>
    </w:pPr>
  </w:style>
  <w:style w:type="paragraph" w:customStyle="1" w:styleId="TableNumberedLista7">
    <w:name w:val="Table: Numbered List: a) 7"/>
    <w:basedOn w:val="TablePlainParagraph"/>
    <w:uiPriority w:val="12"/>
    <w:semiHidden/>
    <w:rsid w:val="000913EA"/>
    <w:pPr>
      <w:numPr>
        <w:ilvl w:val="7"/>
        <w:numId w:val="11"/>
      </w:numPr>
      <w:spacing w:before="0"/>
    </w:pPr>
  </w:style>
  <w:style w:type="paragraph" w:customStyle="1" w:styleId="TableNumberedLista8">
    <w:name w:val="Table: Numbered List: a) 8"/>
    <w:basedOn w:val="TablePlainParagraph"/>
    <w:uiPriority w:val="12"/>
    <w:semiHidden/>
    <w:rsid w:val="000913EA"/>
    <w:pPr>
      <w:numPr>
        <w:ilvl w:val="8"/>
        <w:numId w:val="11"/>
      </w:numPr>
      <w:spacing w:before="0"/>
    </w:pPr>
  </w:style>
  <w:style w:type="paragraph" w:customStyle="1" w:styleId="Subrand">
    <w:name w:val="Subrand"/>
    <w:semiHidden/>
    <w:rsid w:val="000913EA"/>
    <w:pPr>
      <w:spacing w:line="200" w:lineRule="atLeast"/>
      <w:jc w:val="right"/>
    </w:pPr>
    <w:rPr>
      <w:rFonts w:ascii="Arial" w:hAnsi="Arial" w:cs="Arial"/>
      <w:b/>
      <w:i/>
      <w:szCs w:val="22"/>
    </w:rPr>
  </w:style>
  <w:style w:type="table" w:styleId="ColorfulGrid">
    <w:name w:val="Colorful Grid"/>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13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13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13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13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13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13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13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13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13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13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13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913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13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13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13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13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13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13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913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13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13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13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13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13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13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13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13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13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13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13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13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13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1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1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1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1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1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1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1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1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1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1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1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1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1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1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98"/>
    <w:rsid w:val="000913EA"/>
    <w:rPr>
      <w:b/>
      <w:bCs/>
      <w:i/>
      <w:iCs/>
      <w:color w:val="4F81BD" w:themeColor="accent1"/>
    </w:rPr>
  </w:style>
  <w:style w:type="character" w:styleId="IntenseReference">
    <w:name w:val="Intense Reference"/>
    <w:basedOn w:val="DefaultParagraphFont"/>
    <w:uiPriority w:val="98"/>
    <w:rsid w:val="000913EA"/>
    <w:rPr>
      <w:b/>
      <w:bCs/>
      <w:smallCaps/>
      <w:color w:val="C0504D" w:themeColor="accent2"/>
      <w:spacing w:val="5"/>
      <w:u w:val="single"/>
    </w:rPr>
  </w:style>
  <w:style w:type="table" w:styleId="LightGrid">
    <w:name w:val="Light Grid"/>
    <w:basedOn w:val="TableNormal"/>
    <w:uiPriority w:val="62"/>
    <w:rsid w:val="00091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1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1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1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1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1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1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1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1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1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1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1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1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1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13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13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13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13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13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13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13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0913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13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13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13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13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13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13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13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13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13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13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13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13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13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13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13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13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13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13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13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13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13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13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13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13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13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13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13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13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13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13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13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13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13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13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13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13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13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13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13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13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13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091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1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1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1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1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1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1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13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13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13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13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13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13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13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1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1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1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1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1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1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1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0913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13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13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13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13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91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 Title"/>
    <w:uiPriority w:val="98"/>
    <w:semiHidden/>
    <w:rsid w:val="000913EA"/>
    <w:pPr>
      <w:spacing w:before="60" w:line="240" w:lineRule="exact"/>
    </w:pPr>
    <w:rPr>
      <w:rFonts w:ascii="Arial" w:hAnsi="Arial" w:cs="Arial"/>
      <w:b/>
      <w:sz w:val="22"/>
      <w:szCs w:val="22"/>
    </w:rPr>
  </w:style>
  <w:style w:type="paragraph" w:customStyle="1" w:styleId="TableLabel">
    <w:name w:val="Table Label"/>
    <w:uiPriority w:val="98"/>
    <w:semiHidden/>
    <w:rsid w:val="000913EA"/>
    <w:pPr>
      <w:spacing w:before="60" w:line="240" w:lineRule="exact"/>
      <w:jc w:val="right"/>
    </w:pPr>
    <w:rPr>
      <w:rFonts w:ascii="Arial" w:hAnsi="Arial" w:cs="Arial"/>
      <w:b/>
    </w:rPr>
  </w:style>
  <w:style w:type="paragraph" w:customStyle="1" w:styleId="TableText2">
    <w:name w:val="Table Text"/>
    <w:uiPriority w:val="98"/>
    <w:semiHidden/>
    <w:rsid w:val="000913EA"/>
    <w:pPr>
      <w:spacing w:before="60" w:line="240" w:lineRule="exact"/>
    </w:pPr>
    <w:rPr>
      <w:rFonts w:ascii="Arial" w:hAnsi="Arial" w:cs="Arial"/>
      <w:sz w:val="22"/>
      <w:szCs w:val="22"/>
    </w:rPr>
  </w:style>
  <w:style w:type="paragraph" w:customStyle="1" w:styleId="TableSubject">
    <w:name w:val="Table Subject"/>
    <w:uiPriority w:val="98"/>
    <w:semiHidden/>
    <w:rsid w:val="000913EA"/>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0913EA"/>
    <w:rPr>
      <w:sz w:val="22"/>
    </w:rPr>
  </w:style>
  <w:style w:type="paragraph" w:customStyle="1" w:styleId="NumberLevel2-NoIndent">
    <w:name w:val="Number Level 2 - No Indent"/>
    <w:basedOn w:val="TableNumberLevel2"/>
    <w:uiPriority w:val="1"/>
    <w:semiHidden/>
    <w:rsid w:val="000913EA"/>
    <w:rPr>
      <w:sz w:val="22"/>
    </w:rPr>
  </w:style>
  <w:style w:type="character" w:customStyle="1" w:styleId="TableNumberLevel1Char">
    <w:name w:val="Table: Number Level 1 Char"/>
    <w:aliases w:val="Table N1 Char"/>
    <w:basedOn w:val="DefaultParagraphFont"/>
    <w:link w:val="TableNumberLevel1"/>
    <w:uiPriority w:val="12"/>
    <w:rsid w:val="000913EA"/>
    <w:rPr>
      <w:rFonts w:ascii="Arial" w:hAnsi="Arial" w:cs="Arial"/>
      <w:szCs w:val="22"/>
    </w:rPr>
  </w:style>
  <w:style w:type="paragraph" w:customStyle="1" w:styleId="NumberLevel3-NoIndent">
    <w:name w:val="Number Level 3 - No Indent"/>
    <w:basedOn w:val="TableNumberLevel3"/>
    <w:uiPriority w:val="1"/>
    <w:semiHidden/>
    <w:rsid w:val="000913EA"/>
    <w:rPr>
      <w:sz w:val="22"/>
    </w:rPr>
  </w:style>
  <w:style w:type="paragraph" w:customStyle="1" w:styleId="NumberLevel4-NoIndent">
    <w:name w:val="Number Level 4 - No Indent"/>
    <w:basedOn w:val="TableNumberLevel4"/>
    <w:uiPriority w:val="1"/>
    <w:semiHidden/>
    <w:rsid w:val="000913EA"/>
    <w:rPr>
      <w:sz w:val="22"/>
    </w:rPr>
  </w:style>
  <w:style w:type="paragraph" w:customStyle="1" w:styleId="NumberLevel5-NoIndent">
    <w:name w:val="Number Level 5 - No Indent"/>
    <w:basedOn w:val="TableNumberLevel5"/>
    <w:uiPriority w:val="1"/>
    <w:semiHidden/>
    <w:rsid w:val="000913EA"/>
    <w:rPr>
      <w:sz w:val="22"/>
    </w:rPr>
  </w:style>
  <w:style w:type="paragraph" w:customStyle="1" w:styleId="NumberLevel6-NoIndent">
    <w:name w:val="Number Level 6 - No Indent"/>
    <w:basedOn w:val="TableNumberLevel6"/>
    <w:uiPriority w:val="1"/>
    <w:semiHidden/>
    <w:rsid w:val="000913EA"/>
    <w:rPr>
      <w:sz w:val="22"/>
    </w:rPr>
  </w:style>
  <w:style w:type="paragraph" w:customStyle="1" w:styleId="NumberLevel7-NoIndent">
    <w:name w:val="Number Level 7 - No Indent"/>
    <w:basedOn w:val="TableNumberLevel7"/>
    <w:uiPriority w:val="1"/>
    <w:semiHidden/>
    <w:rsid w:val="000913EA"/>
    <w:rPr>
      <w:sz w:val="22"/>
    </w:rPr>
  </w:style>
  <w:style w:type="paragraph" w:customStyle="1" w:styleId="NumberLevel8-NoIndent">
    <w:name w:val="Number Level 8 - No Indent"/>
    <w:basedOn w:val="TableNumberLevel8"/>
    <w:uiPriority w:val="1"/>
    <w:semiHidden/>
    <w:rsid w:val="000913EA"/>
    <w:rPr>
      <w:sz w:val="22"/>
    </w:rPr>
  </w:style>
  <w:style w:type="paragraph" w:customStyle="1" w:styleId="NumberLevel9-NoIndent">
    <w:name w:val="Number Level 9 - No Indent"/>
    <w:basedOn w:val="TableNumberLevel9"/>
    <w:uiPriority w:val="1"/>
    <w:semiHidden/>
    <w:rsid w:val="000913EA"/>
    <w:rPr>
      <w:sz w:val="22"/>
    </w:rPr>
  </w:style>
  <w:style w:type="paragraph" w:customStyle="1" w:styleId="Answer">
    <w:name w:val="Answer"/>
    <w:aliases w:val="?A"/>
    <w:basedOn w:val="PlainParagraph"/>
    <w:next w:val="Question"/>
    <w:uiPriority w:val="7"/>
    <w:qFormat/>
    <w:rsid w:val="000913EA"/>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0913EA"/>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0913EA"/>
    <w:pPr>
      <w:keepNext/>
      <w:widowControl w:val="0"/>
      <w:ind w:left="425"/>
    </w:pPr>
    <w:rPr>
      <w:i/>
    </w:rPr>
  </w:style>
  <w:style w:type="paragraph" w:customStyle="1" w:styleId="Subbrand">
    <w:name w:val="Subbrand"/>
    <w:uiPriority w:val="98"/>
    <w:semiHidden/>
    <w:rsid w:val="000913EA"/>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0913EA"/>
    <w:pPr>
      <w:ind w:left="850"/>
    </w:pPr>
  </w:style>
  <w:style w:type="paragraph" w:customStyle="1" w:styleId="Dashen1outlook">
    <w:name w:val="Dash: en 1 outlook"/>
    <w:basedOn w:val="DashEn1"/>
    <w:uiPriority w:val="98"/>
    <w:semiHidden/>
    <w:rsid w:val="000913EA"/>
    <w:pPr>
      <w:ind w:left="1275"/>
    </w:pPr>
  </w:style>
  <w:style w:type="character" w:customStyle="1" w:styleId="DashEm1Char">
    <w:name w:val="Dash: Em 1 Char"/>
    <w:aliases w:val="-EM Char"/>
    <w:basedOn w:val="PlainParagraphChar"/>
    <w:link w:val="DashEm1"/>
    <w:uiPriority w:val="3"/>
    <w:semiHidden/>
    <w:rsid w:val="000913EA"/>
    <w:rPr>
      <w:rFonts w:ascii="Arial" w:hAnsi="Arial" w:cs="Arial"/>
      <w:sz w:val="22"/>
      <w:szCs w:val="22"/>
    </w:rPr>
  </w:style>
  <w:style w:type="character" w:customStyle="1" w:styleId="DashEn1Char">
    <w:name w:val="Dash: En 1 Char"/>
    <w:aliases w:val="-EN Char"/>
    <w:basedOn w:val="DefaultParagraphFont"/>
    <w:link w:val="DashEn1"/>
    <w:uiPriority w:val="3"/>
    <w:rsid w:val="000913EA"/>
    <w:rPr>
      <w:rFonts w:ascii="Arial" w:hAnsi="Arial" w:cs="Arial"/>
      <w:sz w:val="22"/>
      <w:szCs w:val="22"/>
    </w:rPr>
  </w:style>
  <w:style w:type="paragraph" w:customStyle="1" w:styleId="DashEM1forOutlook">
    <w:name w:val="Dash EM1 for Outlook"/>
    <w:basedOn w:val="DashEm1"/>
    <w:uiPriority w:val="98"/>
    <w:semiHidden/>
    <w:rsid w:val="000913EA"/>
    <w:pPr>
      <w:numPr>
        <w:numId w:val="0"/>
      </w:numPr>
      <w:ind w:left="1171" w:hanging="360"/>
    </w:pPr>
    <w:rPr>
      <w:lang w:val="en-US"/>
    </w:rPr>
  </w:style>
  <w:style w:type="paragraph" w:customStyle="1" w:styleId="DashEN1forOutlook">
    <w:name w:val="Dash EN1 for Outlook"/>
    <w:basedOn w:val="DashEn1"/>
    <w:uiPriority w:val="98"/>
    <w:semiHidden/>
    <w:rsid w:val="000913EA"/>
    <w:pPr>
      <w:numPr>
        <w:ilvl w:val="0"/>
        <w:numId w:val="0"/>
      </w:numPr>
      <w:ind w:left="2611" w:hanging="360"/>
    </w:pPr>
  </w:style>
  <w:style w:type="paragraph" w:customStyle="1" w:styleId="ClassificationDLMheader">
    <w:name w:val="Classification DLM: header"/>
    <w:basedOn w:val="ClassificationDLMfooter"/>
    <w:uiPriority w:val="20"/>
    <w:semiHidden/>
    <w:rsid w:val="000913EA"/>
  </w:style>
  <w:style w:type="paragraph" w:customStyle="1" w:styleId="ClassificationDLMfooter">
    <w:name w:val="Classification DLM: footer"/>
    <w:uiPriority w:val="20"/>
    <w:semiHidden/>
    <w:rsid w:val="000913EA"/>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0913EA"/>
    <w:pPr>
      <w:ind w:left="3060"/>
    </w:pPr>
    <w:rPr>
      <w:rFonts w:cs="Times New Roman"/>
      <w:szCs w:val="20"/>
    </w:rPr>
  </w:style>
  <w:style w:type="paragraph" w:customStyle="1" w:styleId="LegislativeNote">
    <w:name w:val="Legislative Note"/>
    <w:aliases w:val="LN"/>
    <w:basedOn w:val="Leg4Subsec1"/>
    <w:uiPriority w:val="5"/>
    <w:qFormat/>
    <w:rsid w:val="000913EA"/>
    <w:pPr>
      <w:ind w:left="2127" w:hanging="851"/>
    </w:pPr>
    <w:rPr>
      <w:rFonts w:cs="Times New Roman"/>
      <w:sz w:val="16"/>
      <w:szCs w:val="20"/>
    </w:rPr>
  </w:style>
  <w:style w:type="paragraph" w:customStyle="1" w:styleId="Dot1">
    <w:name w:val="Dot1"/>
    <w:aliases w:val="DOT"/>
    <w:basedOn w:val="DashEm1"/>
    <w:link w:val="Dot1Char"/>
    <w:uiPriority w:val="2"/>
    <w:qFormat/>
    <w:rsid w:val="000913EA"/>
    <w:pPr>
      <w:numPr>
        <w:ilvl w:val="1"/>
        <w:numId w:val="12"/>
      </w:numPr>
    </w:pPr>
  </w:style>
  <w:style w:type="character" w:customStyle="1" w:styleId="Dot1Char">
    <w:name w:val="Dot1 Char"/>
    <w:aliases w:val="DOT Char"/>
    <w:basedOn w:val="DashEm1Char"/>
    <w:link w:val="Dot1"/>
    <w:uiPriority w:val="2"/>
    <w:rsid w:val="000913EA"/>
    <w:rPr>
      <w:rFonts w:ascii="Arial" w:hAnsi="Arial" w:cs="Arial"/>
      <w:sz w:val="22"/>
      <w:szCs w:val="22"/>
    </w:rPr>
  </w:style>
  <w:style w:type="paragraph" w:customStyle="1" w:styleId="Dot">
    <w:name w:val="Dot"/>
    <w:basedOn w:val="Dot1"/>
    <w:uiPriority w:val="2"/>
    <w:semiHidden/>
    <w:rsid w:val="000913EA"/>
    <w:pPr>
      <w:numPr>
        <w:ilvl w:val="0"/>
        <w:numId w:val="0"/>
      </w:numPr>
      <w:tabs>
        <w:tab w:val="num" w:pos="425"/>
      </w:tabs>
      <w:ind w:left="425" w:hanging="425"/>
    </w:pPr>
  </w:style>
  <w:style w:type="paragraph" w:customStyle="1" w:styleId="Dot1forOutlook">
    <w:name w:val="Dot1 for Outlook"/>
    <w:basedOn w:val="DashEM1forOutlook"/>
    <w:uiPriority w:val="98"/>
    <w:semiHidden/>
    <w:rsid w:val="000913EA"/>
    <w:pPr>
      <w:ind w:left="2400"/>
    </w:pPr>
  </w:style>
  <w:style w:type="character" w:customStyle="1" w:styleId="OGCSubbrand">
    <w:name w:val="OGCSubbrand"/>
    <w:basedOn w:val="DefaultParagraphFont"/>
    <w:uiPriority w:val="9"/>
    <w:semiHidden/>
    <w:rsid w:val="000913EA"/>
    <w:rPr>
      <w:rFonts w:ascii="Arial" w:hAnsi="Arial" w:cs="Arial"/>
      <w:b/>
      <w:i/>
      <w:sz w:val="20"/>
      <w:szCs w:val="22"/>
    </w:rPr>
  </w:style>
  <w:style w:type="paragraph" w:customStyle="1" w:styleId="TableDot">
    <w:name w:val="Table: Dot"/>
    <w:basedOn w:val="TableDashEm1"/>
    <w:uiPriority w:val="12"/>
    <w:semiHidden/>
    <w:rsid w:val="000913EA"/>
    <w:pPr>
      <w:numPr>
        <w:numId w:val="13"/>
      </w:numPr>
    </w:pPr>
  </w:style>
  <w:style w:type="paragraph" w:customStyle="1" w:styleId="TableDot1">
    <w:name w:val="Table: Dot1"/>
    <w:basedOn w:val="TableDot"/>
    <w:uiPriority w:val="12"/>
    <w:rsid w:val="000913EA"/>
    <w:pPr>
      <w:numPr>
        <w:ilvl w:val="1"/>
      </w:numPr>
    </w:pPr>
  </w:style>
  <w:style w:type="paragraph" w:customStyle="1" w:styleId="AdvicePreparedFor">
    <w:name w:val="AdvicePreparedFor"/>
    <w:basedOn w:val="PlainParagraph"/>
    <w:link w:val="AdvicePreparedForChar"/>
    <w:rsid w:val="000913EA"/>
    <w:pPr>
      <w:spacing w:before="0" w:after="0"/>
    </w:pPr>
    <w:rPr>
      <w:b/>
    </w:rPr>
  </w:style>
  <w:style w:type="character" w:customStyle="1" w:styleId="AdvicePreparedForChar">
    <w:name w:val="AdvicePreparedFor Char"/>
    <w:basedOn w:val="PlainParagraphChar"/>
    <w:link w:val="AdvicePreparedFor"/>
    <w:rsid w:val="000913EA"/>
    <w:rPr>
      <w:rFonts w:ascii="Arial" w:hAnsi="Arial" w:cs="Arial"/>
      <w:b/>
      <w:sz w:val="22"/>
      <w:szCs w:val="22"/>
    </w:rPr>
  </w:style>
  <w:style w:type="paragraph" w:customStyle="1" w:styleId="AdviceHeading2">
    <w:name w:val="AdviceHeading2"/>
    <w:basedOn w:val="Heading1"/>
    <w:next w:val="AdviceNumLevel1"/>
    <w:link w:val="AdviceHeading2Char"/>
    <w:rsid w:val="000913EA"/>
    <w:pPr>
      <w:numPr>
        <w:numId w:val="0"/>
      </w:numPr>
    </w:pPr>
    <w:rPr>
      <w:rFonts w:eastAsia="Times New Roman"/>
      <w:caps w:val="0"/>
      <w:sz w:val="22"/>
      <w:szCs w:val="22"/>
      <w:lang w:eastAsia="en-AU"/>
    </w:rPr>
  </w:style>
  <w:style w:type="character" w:customStyle="1" w:styleId="AdviceHeading2Char">
    <w:name w:val="AdviceHeading2 Char"/>
    <w:basedOn w:val="Heading1Char"/>
    <w:link w:val="AdviceHeading2"/>
    <w:rsid w:val="000913EA"/>
    <w:rPr>
      <w:rFonts w:ascii="Arial" w:eastAsia="Calibri" w:hAnsi="Arial" w:cs="Arial"/>
      <w:b/>
      <w:bCs/>
      <w:caps w:val="0"/>
      <w:kern w:val="32"/>
      <w:sz w:val="22"/>
      <w:szCs w:val="22"/>
      <w:lang w:eastAsia="en-US"/>
    </w:rPr>
  </w:style>
  <w:style w:type="paragraph" w:customStyle="1" w:styleId="AdviceDate">
    <w:name w:val="AdviceDate"/>
    <w:basedOn w:val="PlainParagraph"/>
    <w:rsid w:val="000913EA"/>
    <w:pPr>
      <w:pBdr>
        <w:bottom w:val="single" w:sz="4" w:space="3" w:color="auto"/>
      </w:pBdr>
      <w:spacing w:before="0" w:after="240"/>
    </w:pPr>
    <w:rPr>
      <w:szCs w:val="20"/>
    </w:rPr>
  </w:style>
  <w:style w:type="paragraph" w:customStyle="1" w:styleId="AdviceHeading3">
    <w:name w:val="AdviceHeading3"/>
    <w:basedOn w:val="AdviceHeading2"/>
    <w:next w:val="AdviceNumLevel1"/>
    <w:link w:val="AdviceHeading3Char"/>
    <w:rsid w:val="000913EA"/>
    <w:rPr>
      <w:color w:val="204558"/>
    </w:rPr>
  </w:style>
  <w:style w:type="character" w:customStyle="1" w:styleId="AdviceHeading3Char">
    <w:name w:val="AdviceHeading3 Char"/>
    <w:basedOn w:val="AdviceHeading2Char"/>
    <w:link w:val="AdviceHeading3"/>
    <w:rsid w:val="000913EA"/>
    <w:rPr>
      <w:rFonts w:ascii="Arial" w:eastAsia="Calibri" w:hAnsi="Arial" w:cs="Arial"/>
      <w:b/>
      <w:bCs/>
      <w:caps w:val="0"/>
      <w:color w:val="204558"/>
      <w:kern w:val="32"/>
      <w:sz w:val="22"/>
      <w:szCs w:val="22"/>
      <w:lang w:eastAsia="en-US"/>
    </w:rPr>
  </w:style>
  <w:style w:type="paragraph" w:customStyle="1" w:styleId="AdviceNumLevel1">
    <w:name w:val="AdviceNumLevel1"/>
    <w:basedOn w:val="NumberLevel1"/>
    <w:rsid w:val="000913EA"/>
  </w:style>
  <w:style w:type="paragraph" w:customStyle="1" w:styleId="AdviceSummary">
    <w:name w:val="AdviceSummary"/>
    <w:basedOn w:val="HeadingBase"/>
    <w:next w:val="PartSubHeading"/>
    <w:link w:val="AdviceSummaryChar"/>
    <w:rsid w:val="000913EA"/>
    <w:pPr>
      <w:keepNext/>
      <w:keepLines/>
      <w:pBdr>
        <w:top w:val="single" w:sz="18" w:space="1" w:color="204558"/>
      </w:pBdr>
      <w:shd w:val="clear" w:color="365F91" w:themeColor="accent1" w:themeShade="BF" w:fill="auto"/>
      <w:spacing w:before="360" w:after="120" w:line="240" w:lineRule="atLeast"/>
      <w:ind w:left="-567"/>
    </w:pPr>
    <w:rPr>
      <w:b/>
      <w:color w:val="000000" w:themeColor="text1"/>
      <w:sz w:val="30"/>
      <w:szCs w:val="30"/>
    </w:rPr>
  </w:style>
  <w:style w:type="character" w:customStyle="1" w:styleId="AdviceSummaryChar">
    <w:name w:val="AdviceSummary Char"/>
    <w:basedOn w:val="DefaultParagraphFont"/>
    <w:link w:val="AdviceSummary"/>
    <w:rsid w:val="000913EA"/>
    <w:rPr>
      <w:rFonts w:ascii="Arial" w:hAnsi="Arial" w:cs="Arial"/>
      <w:b/>
      <w:color w:val="000000" w:themeColor="text1"/>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autoRedefine/>
    <w:rsid w:val="000913EA"/>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0913EA"/>
    <w:rPr>
      <w:rFonts w:ascii="Arial" w:hAnsi="Arial" w:cs="Arial"/>
      <w:b/>
      <w:color w:val="000000" w:themeColor="text1"/>
      <w:sz w:val="26"/>
      <w:szCs w:val="26"/>
      <w:shd w:val="clear" w:color="365F91" w:themeColor="accent1" w:themeShade="BF" w:fill="auto"/>
    </w:rPr>
  </w:style>
  <w:style w:type="paragraph" w:customStyle="1" w:styleId="AdviceQuestion">
    <w:name w:val="AdviceQuestion"/>
    <w:basedOn w:val="Heading2"/>
    <w:next w:val="NumberLevel1"/>
    <w:link w:val="AdviceQuestionChar"/>
    <w:rsid w:val="000913EA"/>
    <w:pPr>
      <w:numPr>
        <w:ilvl w:val="0"/>
        <w:numId w:val="0"/>
      </w:numPr>
      <w:shd w:val="clear" w:color="auto" w:fill="C4DDEA"/>
      <w:spacing w:before="0" w:after="120"/>
    </w:pPr>
    <w:rPr>
      <w:rFonts w:eastAsia="Times New Roman"/>
      <w:b w:val="0"/>
      <w:lang w:eastAsia="en-AU"/>
    </w:rPr>
  </w:style>
  <w:style w:type="character" w:customStyle="1" w:styleId="AdviceQuestionChar">
    <w:name w:val="AdviceQuestion Char"/>
    <w:basedOn w:val="Heading2Char"/>
    <w:link w:val="AdviceQuestion"/>
    <w:rsid w:val="000913EA"/>
    <w:rPr>
      <w:rFonts w:ascii="Arial" w:eastAsia="Calibri" w:hAnsi="Arial" w:cs="Arial"/>
      <w:b w:val="0"/>
      <w:bCs/>
      <w:iCs/>
      <w:sz w:val="22"/>
      <w:szCs w:val="28"/>
      <w:shd w:val="clear" w:color="auto" w:fill="C4DDEA"/>
      <w:lang w:eastAsia="en-US"/>
    </w:rPr>
  </w:style>
  <w:style w:type="paragraph" w:customStyle="1" w:styleId="AdviceTitlePara">
    <w:name w:val="AdviceTitlePara"/>
    <w:basedOn w:val="PlainParagraph"/>
    <w:next w:val="AdviceNumLevel1"/>
    <w:rsid w:val="000913EA"/>
    <w:rPr>
      <w:b/>
      <w:bCs/>
      <w:color w:val="204558"/>
      <w:kern w:val="32"/>
      <w:sz w:val="30"/>
      <w:szCs w:val="30"/>
    </w:rPr>
  </w:style>
  <w:style w:type="paragraph" w:customStyle="1" w:styleId="AdviceNumLevel2">
    <w:name w:val="AdviceNumLevel2"/>
    <w:basedOn w:val="NumberLevel2"/>
    <w:rsid w:val="000913EA"/>
    <w:pPr>
      <w:ind w:left="709"/>
    </w:pPr>
  </w:style>
  <w:style w:type="paragraph" w:customStyle="1" w:styleId="TerritoryT">
    <w:name w:val="TerritoryT"/>
    <w:basedOn w:val="OPCParaBase"/>
    <w:next w:val="Normal"/>
    <w:rsid w:val="000913EA"/>
    <w:rPr>
      <w:b/>
      <w:sz w:val="32"/>
    </w:rPr>
  </w:style>
  <w:style w:type="character" w:customStyle="1" w:styleId="CharENotesHeading">
    <w:name w:val="CharENotesHeading"/>
    <w:basedOn w:val="DefaultParagraphFont"/>
    <w:rsid w:val="000913EA"/>
  </w:style>
  <w:style w:type="paragraph" w:customStyle="1" w:styleId="Transitional">
    <w:name w:val="Transitional"/>
    <w:aliases w:val="tr"/>
    <w:basedOn w:val="Normal"/>
    <w:next w:val="Normal"/>
    <w:rsid w:val="000913EA"/>
    <w:pPr>
      <w:keepNext/>
      <w:keepLines/>
      <w:spacing w:before="220" w:line="240" w:lineRule="auto"/>
      <w:ind w:left="709" w:hanging="709"/>
    </w:pPr>
    <w:rPr>
      <w:rFonts w:ascii="Arial" w:eastAsia="Times New Roman"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5857">
      <w:bodyDiv w:val="1"/>
      <w:marLeft w:val="0"/>
      <w:marRight w:val="0"/>
      <w:marTop w:val="0"/>
      <w:marBottom w:val="0"/>
      <w:divBdr>
        <w:top w:val="none" w:sz="0" w:space="0" w:color="auto"/>
        <w:left w:val="none" w:sz="0" w:space="0" w:color="auto"/>
        <w:bottom w:val="none" w:sz="0" w:space="0" w:color="auto"/>
        <w:right w:val="none" w:sz="0" w:space="0" w:color="auto"/>
      </w:divBdr>
    </w:div>
    <w:div w:id="249388843">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11073368">
      <w:bodyDiv w:val="1"/>
      <w:marLeft w:val="0"/>
      <w:marRight w:val="0"/>
      <w:marTop w:val="0"/>
      <w:marBottom w:val="0"/>
      <w:divBdr>
        <w:top w:val="none" w:sz="0" w:space="0" w:color="auto"/>
        <w:left w:val="none" w:sz="0" w:space="0" w:color="auto"/>
        <w:bottom w:val="none" w:sz="0" w:space="0" w:color="auto"/>
        <w:right w:val="none" w:sz="0" w:space="0" w:color="auto"/>
      </w:divBdr>
    </w:div>
    <w:div w:id="534927214">
      <w:bodyDiv w:val="1"/>
      <w:marLeft w:val="0"/>
      <w:marRight w:val="0"/>
      <w:marTop w:val="0"/>
      <w:marBottom w:val="0"/>
      <w:divBdr>
        <w:top w:val="none" w:sz="0" w:space="0" w:color="auto"/>
        <w:left w:val="none" w:sz="0" w:space="0" w:color="auto"/>
        <w:bottom w:val="none" w:sz="0" w:space="0" w:color="auto"/>
        <w:right w:val="none" w:sz="0" w:space="0" w:color="auto"/>
      </w:divBdr>
    </w:div>
    <w:div w:id="1287539636">
      <w:bodyDiv w:val="1"/>
      <w:marLeft w:val="0"/>
      <w:marRight w:val="0"/>
      <w:marTop w:val="0"/>
      <w:marBottom w:val="0"/>
      <w:divBdr>
        <w:top w:val="none" w:sz="0" w:space="0" w:color="auto"/>
        <w:left w:val="none" w:sz="0" w:space="0" w:color="auto"/>
        <w:bottom w:val="none" w:sz="0" w:space="0" w:color="auto"/>
        <w:right w:val="none" w:sz="0" w:space="0" w:color="auto"/>
      </w:divBdr>
    </w:div>
    <w:div w:id="16182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C1FB-0077-435D-83C4-72CE57E9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42200</Words>
  <Characters>210422</Characters>
  <Application>Microsoft Office Word</Application>
  <DocSecurity>4</DocSecurity>
  <Lines>1753</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2021-05-21T05:56:00Z</cp:lastPrinted>
  <dcterms:created xsi:type="dcterms:W3CDTF">2021-06-16T06:15:00Z</dcterms:created>
  <dcterms:modified xsi:type="dcterms:W3CDTF">2021-06-16T06:15:00Z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