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43D87" w14:textId="5E3D6D76" w:rsidR="002436BD" w:rsidRPr="00613F01" w:rsidRDefault="00E62E09" w:rsidP="001A2234">
      <w:pPr>
        <w:pStyle w:val="Heading"/>
        <w:spacing w:after="240"/>
        <w:jc w:val="center"/>
        <w:rPr>
          <w:rFonts w:ascii="Times New Roman" w:hAnsi="Times New Roman"/>
          <w:sz w:val="24"/>
          <w:szCs w:val="24"/>
        </w:rPr>
      </w:pPr>
      <w:bookmarkStart w:id="0" w:name="_GoBack"/>
      <w:bookmarkEnd w:id="0"/>
      <w:r w:rsidRPr="00613F01">
        <w:rPr>
          <w:rFonts w:ascii="Times New Roman" w:hAnsi="Times New Roman"/>
          <w:sz w:val="24"/>
          <w:szCs w:val="24"/>
        </w:rPr>
        <w:t>Financial Sector (Collection of Data) (reporting standard)</w:t>
      </w:r>
      <w:r w:rsidR="001A2ADB" w:rsidRPr="00613F01">
        <w:rPr>
          <w:rFonts w:ascii="Times New Roman" w:hAnsi="Times New Roman"/>
          <w:sz w:val="24"/>
          <w:szCs w:val="24"/>
        </w:rPr>
        <w:t xml:space="preserve"> </w:t>
      </w:r>
      <w:r w:rsidR="002436BD" w:rsidRPr="00613F01">
        <w:rPr>
          <w:rFonts w:ascii="Times New Roman" w:hAnsi="Times New Roman"/>
          <w:sz w:val="24"/>
          <w:szCs w:val="24"/>
        </w:rPr>
        <w:t xml:space="preserve">determination </w:t>
      </w:r>
      <w:r w:rsidR="002436BD" w:rsidRPr="004C5BC3">
        <w:rPr>
          <w:rFonts w:ascii="Times New Roman" w:hAnsi="Times New Roman"/>
          <w:sz w:val="24"/>
          <w:szCs w:val="24"/>
        </w:rPr>
        <w:t>No</w:t>
      </w:r>
      <w:r w:rsidR="00CF7DAA" w:rsidRPr="004C5BC3">
        <w:rPr>
          <w:rFonts w:ascii="Times New Roman" w:hAnsi="Times New Roman"/>
          <w:sz w:val="24"/>
          <w:szCs w:val="24"/>
        </w:rPr>
        <w:t>s</w:t>
      </w:r>
      <w:r w:rsidR="002436BD" w:rsidRPr="004C5BC3">
        <w:rPr>
          <w:rFonts w:ascii="Times New Roman" w:hAnsi="Times New Roman"/>
          <w:sz w:val="24"/>
          <w:szCs w:val="24"/>
        </w:rPr>
        <w:t xml:space="preserve">. </w:t>
      </w:r>
      <w:r w:rsidR="00F13BA7">
        <w:rPr>
          <w:rFonts w:ascii="Times New Roman" w:hAnsi="Times New Roman"/>
          <w:sz w:val="24"/>
          <w:szCs w:val="24"/>
        </w:rPr>
        <w:t xml:space="preserve">23 and </w:t>
      </w:r>
      <w:r w:rsidR="00234EEF" w:rsidRPr="00234EEF">
        <w:rPr>
          <w:rFonts w:ascii="Times New Roman" w:hAnsi="Times New Roman"/>
          <w:sz w:val="24"/>
          <w:szCs w:val="24"/>
        </w:rPr>
        <w:t>24</w:t>
      </w:r>
      <w:r w:rsidR="00F13BA7">
        <w:rPr>
          <w:rFonts w:ascii="Times New Roman" w:hAnsi="Times New Roman"/>
          <w:sz w:val="24"/>
          <w:szCs w:val="24"/>
        </w:rPr>
        <w:t xml:space="preserve"> </w:t>
      </w:r>
      <w:r w:rsidR="00C02366" w:rsidRPr="00EE22FB">
        <w:rPr>
          <w:rFonts w:ascii="Times New Roman" w:hAnsi="Times New Roman"/>
          <w:sz w:val="24"/>
          <w:szCs w:val="24"/>
        </w:rPr>
        <w:t>of</w:t>
      </w:r>
      <w:r w:rsidR="00C02366" w:rsidRPr="004C5BC3">
        <w:rPr>
          <w:rFonts w:ascii="Times New Roman" w:hAnsi="Times New Roman"/>
          <w:sz w:val="24"/>
          <w:szCs w:val="24"/>
        </w:rPr>
        <w:t xml:space="preserve"> 202</w:t>
      </w:r>
      <w:r w:rsidR="00FE5F57" w:rsidRPr="004C5BC3">
        <w:rPr>
          <w:rFonts w:ascii="Times New Roman" w:hAnsi="Times New Roman"/>
          <w:sz w:val="24"/>
          <w:szCs w:val="24"/>
        </w:rPr>
        <w:t>1</w:t>
      </w:r>
    </w:p>
    <w:p w14:paraId="44E951BD"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45F19681"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0279A58"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6A5906BF" w14:textId="77777777" w:rsidR="00380068" w:rsidRDefault="00380068" w:rsidP="001A2234">
      <w:pPr>
        <w:pStyle w:val="heading0"/>
        <w:spacing w:before="0" w:beforeAutospacing="0" w:after="240" w:afterAutospacing="0"/>
        <w:jc w:val="center"/>
      </w:pPr>
      <w:r w:rsidRPr="00380068">
        <w:rPr>
          <w:i/>
        </w:rPr>
        <w:t>Acts Interpretation Act 1901</w:t>
      </w:r>
      <w:r>
        <w:t>, section 33</w:t>
      </w:r>
    </w:p>
    <w:p w14:paraId="7464B2FD" w14:textId="5F7E0FB3" w:rsidR="002436BD" w:rsidRPr="00AF72B8"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w:t>
      </w:r>
      <w:r w:rsidR="00C02366">
        <w:rPr>
          <w:rFonts w:ascii="Times New Roman" w:hAnsi="Times New Roman"/>
          <w:sz w:val="24"/>
          <w:szCs w:val="24"/>
        </w:rPr>
        <w:t xml:space="preserve">l sector entities must comply. </w:t>
      </w:r>
      <w:r w:rsidR="001A2ADB" w:rsidRPr="001A2ADB">
        <w:rPr>
          <w:rFonts w:ascii="Times New Roman" w:hAnsi="Times New Roman"/>
          <w:sz w:val="24"/>
          <w:szCs w:val="24"/>
        </w:rPr>
        <w:t>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rPr>
          <w:rFonts w:ascii="Times New Roman" w:hAnsi="Times New Roman"/>
          <w:sz w:val="24"/>
          <w:szCs w:val="24"/>
        </w:rPr>
        <w:t>Subsection</w:t>
      </w:r>
      <w:r w:rsidR="00C02366">
        <w:rPr>
          <w:rFonts w:ascii="Times New Roman" w:hAnsi="Times New Roman"/>
          <w:sz w:val="24"/>
          <w:szCs w:val="24"/>
        </w:rPr>
        <w:t> </w:t>
      </w:r>
      <w:r w:rsidR="00BD6360" w:rsidRPr="00BD6360">
        <w:rPr>
          <w:rFonts w:ascii="Times New Roman" w:hAnsi="Times New Roman"/>
          <w:sz w:val="24"/>
          <w:szCs w:val="24"/>
        </w:rPr>
        <w:t xml:space="preserve">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00BD6360" w:rsidRPr="00AF72B8">
        <w:rPr>
          <w:rFonts w:ascii="Times New Roman" w:hAnsi="Times New Roman"/>
          <w:sz w:val="24"/>
          <w:szCs w:val="24"/>
        </w:rPr>
        <w:t>if any) to revoke any such instrument.</w:t>
      </w:r>
    </w:p>
    <w:p w14:paraId="022D2D5C" w14:textId="33CFB527" w:rsidR="00C65D68" w:rsidRPr="00EE22FB" w:rsidRDefault="00C65D68" w:rsidP="001A2234">
      <w:pPr>
        <w:widowControl w:val="0"/>
        <w:spacing w:after="240"/>
        <w:jc w:val="both"/>
        <w:rPr>
          <w:rFonts w:ascii="Times New Roman" w:hAnsi="Times New Roman"/>
          <w:sz w:val="24"/>
          <w:szCs w:val="24"/>
        </w:rPr>
      </w:pPr>
      <w:bookmarkStart w:id="4" w:name="_Hlk67156972"/>
      <w:r w:rsidRPr="00AF72B8">
        <w:rPr>
          <w:rFonts w:ascii="Times New Roman" w:hAnsi="Times New Roman"/>
          <w:sz w:val="24"/>
          <w:szCs w:val="24"/>
        </w:rPr>
        <w:t xml:space="preserve">Subsection 15(1) of the Act provides that APRA may declare a day on and after which </w:t>
      </w:r>
      <w:r w:rsidRPr="00EE22FB">
        <w:rPr>
          <w:rFonts w:ascii="Times New Roman" w:hAnsi="Times New Roman"/>
          <w:sz w:val="24"/>
          <w:szCs w:val="24"/>
        </w:rPr>
        <w:t xml:space="preserve">the reporting standards are to apply. </w:t>
      </w:r>
    </w:p>
    <w:bookmarkEnd w:id="4"/>
    <w:p w14:paraId="113F4DEA" w14:textId="10A133E1" w:rsidR="0033665C" w:rsidRPr="00AF72B8" w:rsidRDefault="00246723" w:rsidP="00FE5F57">
      <w:pPr>
        <w:spacing w:after="240"/>
        <w:jc w:val="both"/>
        <w:rPr>
          <w:rFonts w:ascii="Times New Roman" w:hAnsi="Times New Roman"/>
          <w:sz w:val="24"/>
          <w:szCs w:val="24"/>
        </w:rPr>
      </w:pPr>
      <w:r w:rsidRPr="00EE22FB">
        <w:rPr>
          <w:rFonts w:ascii="Times New Roman" w:hAnsi="Times New Roman"/>
          <w:sz w:val="24"/>
          <w:szCs w:val="24"/>
        </w:rPr>
        <w:t xml:space="preserve">On </w:t>
      </w:r>
      <w:r w:rsidR="00EE22FB" w:rsidRPr="00EE22FB">
        <w:rPr>
          <w:rFonts w:ascii="Times New Roman" w:hAnsi="Times New Roman"/>
          <w:sz w:val="24"/>
          <w:szCs w:val="24"/>
        </w:rPr>
        <w:t>16</w:t>
      </w:r>
      <w:r w:rsidR="000269E8" w:rsidRPr="00EE22FB">
        <w:rPr>
          <w:rFonts w:ascii="Times New Roman" w:hAnsi="Times New Roman"/>
          <w:sz w:val="24"/>
          <w:szCs w:val="24"/>
        </w:rPr>
        <w:t xml:space="preserve"> June</w:t>
      </w:r>
      <w:r w:rsidR="00C02366" w:rsidRPr="00EE22FB">
        <w:rPr>
          <w:rFonts w:ascii="Times New Roman" w:hAnsi="Times New Roman"/>
          <w:sz w:val="24"/>
          <w:szCs w:val="24"/>
        </w:rPr>
        <w:t xml:space="preserve"> 202</w:t>
      </w:r>
      <w:r w:rsidR="00FE5F57" w:rsidRPr="00EE22FB">
        <w:rPr>
          <w:rFonts w:ascii="Times New Roman" w:hAnsi="Times New Roman"/>
          <w:sz w:val="24"/>
          <w:szCs w:val="24"/>
        </w:rPr>
        <w:t>1</w:t>
      </w:r>
      <w:r w:rsidRPr="00EE22FB">
        <w:rPr>
          <w:rFonts w:ascii="Times New Roman" w:hAnsi="Times New Roman"/>
          <w:sz w:val="24"/>
          <w:szCs w:val="24"/>
        </w:rPr>
        <w:t>, APRA</w:t>
      </w:r>
      <w:r w:rsidRPr="00AF72B8">
        <w:rPr>
          <w:rFonts w:ascii="Times New Roman" w:hAnsi="Times New Roman"/>
          <w:sz w:val="24"/>
          <w:szCs w:val="24"/>
        </w:rPr>
        <w:t xml:space="preserve"> made</w:t>
      </w:r>
      <w:r w:rsidR="00D30128" w:rsidRPr="00AF72B8">
        <w:rPr>
          <w:rFonts w:ascii="Times New Roman" w:hAnsi="Times New Roman"/>
          <w:sz w:val="24"/>
          <w:szCs w:val="24"/>
        </w:rPr>
        <w:t xml:space="preserve"> the following</w:t>
      </w:r>
      <w:r w:rsidR="00736D41" w:rsidRPr="00AF72B8">
        <w:rPr>
          <w:rFonts w:ascii="Times New Roman" w:hAnsi="Times New Roman"/>
          <w:sz w:val="24"/>
          <w:szCs w:val="24"/>
        </w:rPr>
        <w:t xml:space="preserve"> determination</w:t>
      </w:r>
      <w:r w:rsidR="0033665C" w:rsidRPr="00AF72B8">
        <w:rPr>
          <w:rFonts w:ascii="Times New Roman" w:hAnsi="Times New Roman"/>
          <w:sz w:val="24"/>
          <w:szCs w:val="24"/>
        </w:rPr>
        <w:t>s</w:t>
      </w:r>
      <w:r w:rsidR="00D30128" w:rsidRPr="00AF72B8">
        <w:rPr>
          <w:rFonts w:ascii="Times New Roman" w:hAnsi="Times New Roman"/>
          <w:sz w:val="24"/>
          <w:szCs w:val="24"/>
        </w:rPr>
        <w:t xml:space="preserve"> (the instruments)</w:t>
      </w:r>
      <w:r w:rsidR="0033665C" w:rsidRPr="00AF72B8">
        <w:rPr>
          <w:rFonts w:ascii="Times New Roman" w:hAnsi="Times New Roman"/>
          <w:sz w:val="24"/>
          <w:szCs w:val="24"/>
        </w:rPr>
        <w:t>:</w:t>
      </w:r>
      <w:r w:rsidR="00736D41" w:rsidRPr="00AF72B8">
        <w:rPr>
          <w:rFonts w:ascii="Times New Roman" w:hAnsi="Times New Roman"/>
          <w:sz w:val="24"/>
          <w:szCs w:val="24"/>
        </w:rPr>
        <w:t xml:space="preserve"> </w:t>
      </w:r>
    </w:p>
    <w:p w14:paraId="1CFB0E5F" w14:textId="30EAA470" w:rsidR="000559AF" w:rsidRPr="00AF72B8" w:rsidRDefault="00185387" w:rsidP="00185387">
      <w:pPr>
        <w:pStyle w:val="ListParagraph"/>
        <w:numPr>
          <w:ilvl w:val="0"/>
          <w:numId w:val="13"/>
        </w:numPr>
        <w:spacing w:after="240"/>
        <w:ind w:left="567" w:hanging="567"/>
        <w:jc w:val="both"/>
        <w:rPr>
          <w:rFonts w:ascii="Times New Roman" w:hAnsi="Times New Roman"/>
          <w:sz w:val="24"/>
          <w:szCs w:val="24"/>
        </w:rPr>
      </w:pPr>
      <w:r w:rsidRPr="00AF72B8">
        <w:rPr>
          <w:rFonts w:ascii="Times New Roman" w:hAnsi="Times New Roman"/>
          <w:sz w:val="24"/>
          <w:szCs w:val="24"/>
        </w:rPr>
        <w:t xml:space="preserve">Financial Sector (Collection of Data) (reporting standard) determination </w:t>
      </w:r>
      <w:r w:rsidR="00736D41" w:rsidRPr="00AF72B8">
        <w:rPr>
          <w:rFonts w:ascii="Times New Roman" w:hAnsi="Times New Roman"/>
          <w:sz w:val="24"/>
          <w:szCs w:val="24"/>
        </w:rPr>
        <w:t xml:space="preserve">No. </w:t>
      </w:r>
      <w:r w:rsidR="00234EEF">
        <w:rPr>
          <w:rFonts w:ascii="Times New Roman" w:hAnsi="Times New Roman"/>
          <w:sz w:val="24"/>
          <w:szCs w:val="24"/>
        </w:rPr>
        <w:t xml:space="preserve"> 23 </w:t>
      </w:r>
      <w:r w:rsidR="000B14BD" w:rsidRPr="00AF72B8">
        <w:rPr>
          <w:rFonts w:ascii="Times New Roman" w:hAnsi="Times New Roman"/>
          <w:sz w:val="24"/>
          <w:szCs w:val="24"/>
        </w:rPr>
        <w:t>of 20</w:t>
      </w:r>
      <w:r w:rsidR="00C02366" w:rsidRPr="00AF72B8">
        <w:rPr>
          <w:rFonts w:ascii="Times New Roman" w:hAnsi="Times New Roman"/>
          <w:sz w:val="24"/>
          <w:szCs w:val="24"/>
        </w:rPr>
        <w:t>2</w:t>
      </w:r>
      <w:r w:rsidR="00FE5F57" w:rsidRPr="00AF72B8">
        <w:rPr>
          <w:rFonts w:ascii="Times New Roman" w:hAnsi="Times New Roman"/>
          <w:sz w:val="24"/>
          <w:szCs w:val="24"/>
        </w:rPr>
        <w:t>1</w:t>
      </w:r>
      <w:r w:rsidR="000B14BD" w:rsidRPr="00AF72B8">
        <w:rPr>
          <w:rFonts w:ascii="Times New Roman" w:hAnsi="Times New Roman"/>
          <w:sz w:val="24"/>
          <w:szCs w:val="24"/>
        </w:rPr>
        <w:t xml:space="preserve"> which</w:t>
      </w:r>
      <w:r w:rsidR="000559AF" w:rsidRPr="00AF72B8">
        <w:rPr>
          <w:rFonts w:ascii="Times New Roman" w:hAnsi="Times New Roman"/>
          <w:sz w:val="24"/>
          <w:szCs w:val="24"/>
        </w:rPr>
        <w:t>:</w:t>
      </w:r>
    </w:p>
    <w:p w14:paraId="6EF922FB" w14:textId="0E964BD1" w:rsidR="00426D24" w:rsidRPr="00AF72B8" w:rsidRDefault="00426D24" w:rsidP="00AF72B8">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sidR="003B09ED">
        <w:rPr>
          <w:rFonts w:ascii="Times New Roman" w:hAnsi="Times New Roman"/>
          <w:i/>
          <w:sz w:val="24"/>
          <w:szCs w:val="24"/>
        </w:rPr>
        <w:t>01</w:t>
      </w:r>
      <w:r w:rsidRPr="00AF72B8">
        <w:rPr>
          <w:rFonts w:ascii="Times New Roman" w:hAnsi="Times New Roman"/>
          <w:i/>
          <w:sz w:val="24"/>
          <w:szCs w:val="24"/>
        </w:rPr>
        <w:t>.</w:t>
      </w:r>
      <w:r w:rsidR="003B09ED">
        <w:rPr>
          <w:rFonts w:ascii="Times New Roman" w:hAnsi="Times New Roman"/>
          <w:i/>
          <w:sz w:val="24"/>
          <w:szCs w:val="24"/>
        </w:rPr>
        <w:t>0</w:t>
      </w:r>
      <w:r w:rsidRPr="00AF72B8">
        <w:rPr>
          <w:rFonts w:ascii="Times New Roman" w:hAnsi="Times New Roman"/>
          <w:i/>
          <w:sz w:val="24"/>
          <w:szCs w:val="24"/>
        </w:rPr>
        <w:t xml:space="preserve"> ABS/RBA </w:t>
      </w:r>
      <w:r w:rsidR="003B09ED">
        <w:rPr>
          <w:rFonts w:ascii="Times New Roman" w:hAnsi="Times New Roman"/>
          <w:i/>
          <w:sz w:val="24"/>
          <w:szCs w:val="24"/>
        </w:rPr>
        <w:t>Definitions for the EFS Collection</w:t>
      </w:r>
      <w:r w:rsidRPr="00AF72B8">
        <w:rPr>
          <w:rFonts w:ascii="Times New Roman" w:hAnsi="Times New Roman"/>
          <w:sz w:val="24"/>
          <w:szCs w:val="24"/>
        </w:rPr>
        <w:t xml:space="preserve"> (ARS 70</w:t>
      </w:r>
      <w:r w:rsidR="003B09ED">
        <w:rPr>
          <w:rFonts w:ascii="Times New Roman" w:hAnsi="Times New Roman"/>
          <w:sz w:val="24"/>
          <w:szCs w:val="24"/>
        </w:rPr>
        <w:t>1</w:t>
      </w:r>
      <w:r w:rsidRPr="00AF72B8">
        <w:rPr>
          <w:rFonts w:ascii="Times New Roman" w:hAnsi="Times New Roman"/>
          <w:sz w:val="24"/>
          <w:szCs w:val="24"/>
        </w:rPr>
        <w:t>.</w:t>
      </w:r>
      <w:r w:rsidR="003B09ED">
        <w:rPr>
          <w:rFonts w:ascii="Times New Roman" w:hAnsi="Times New Roman"/>
          <w:sz w:val="24"/>
          <w:szCs w:val="24"/>
        </w:rPr>
        <w:t>0</w:t>
      </w:r>
      <w:r w:rsidRPr="00AF72B8">
        <w:rPr>
          <w:rFonts w:ascii="Times New Roman" w:hAnsi="Times New Roman"/>
          <w:sz w:val="24"/>
          <w:szCs w:val="24"/>
        </w:rPr>
        <w:t xml:space="preserve">) </w:t>
      </w:r>
      <w:r w:rsidR="00EA351E">
        <w:rPr>
          <w:rFonts w:ascii="Times New Roman" w:hAnsi="Times New Roman"/>
          <w:sz w:val="24"/>
          <w:szCs w:val="24"/>
        </w:rPr>
        <w:t>made under</w:t>
      </w:r>
      <w:r w:rsidRPr="00AF72B8">
        <w:rPr>
          <w:rFonts w:ascii="Times New Roman" w:hAnsi="Times New Roman"/>
          <w:sz w:val="24"/>
          <w:szCs w:val="24"/>
        </w:rPr>
        <w:t xml:space="preserve"> Financial Sector (Collection of Data) (reporting standard) determination No. 2</w:t>
      </w:r>
      <w:r w:rsidR="00826A36">
        <w:rPr>
          <w:rFonts w:ascii="Times New Roman" w:hAnsi="Times New Roman"/>
          <w:sz w:val="24"/>
          <w:szCs w:val="24"/>
        </w:rPr>
        <w:t>9</w:t>
      </w:r>
      <w:r w:rsidRPr="00AF72B8">
        <w:rPr>
          <w:rFonts w:ascii="Times New Roman" w:hAnsi="Times New Roman"/>
          <w:sz w:val="24"/>
          <w:szCs w:val="24"/>
        </w:rPr>
        <w:t xml:space="preserve"> of 2019; and</w:t>
      </w:r>
    </w:p>
    <w:p w14:paraId="4350456E" w14:textId="79F2F017" w:rsidR="00426D24" w:rsidRPr="00AF72B8" w:rsidRDefault="000B14BD" w:rsidP="00AF72B8">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w:t>
      </w:r>
      <w:r w:rsidR="00396D2C" w:rsidRPr="00AF72B8">
        <w:rPr>
          <w:rFonts w:ascii="Times New Roman" w:hAnsi="Times New Roman"/>
          <w:sz w:val="24"/>
          <w:szCs w:val="24"/>
        </w:rPr>
        <w:t xml:space="preserve"> a new</w:t>
      </w:r>
      <w:r w:rsidRPr="00AF72B8">
        <w:rPr>
          <w:rFonts w:ascii="Times New Roman" w:hAnsi="Times New Roman"/>
          <w:sz w:val="24"/>
          <w:szCs w:val="24"/>
        </w:rPr>
        <w:t xml:space="preserve"> </w:t>
      </w:r>
      <w:r w:rsidR="00426D24" w:rsidRPr="00AF72B8">
        <w:rPr>
          <w:rFonts w:ascii="Times New Roman" w:hAnsi="Times New Roman"/>
          <w:sz w:val="24"/>
          <w:szCs w:val="24"/>
        </w:rPr>
        <w:t>version of ARS</w:t>
      </w:r>
      <w:r w:rsidR="00426D24">
        <w:rPr>
          <w:rFonts w:ascii="Times New Roman" w:hAnsi="Times New Roman"/>
          <w:sz w:val="24"/>
          <w:szCs w:val="24"/>
        </w:rPr>
        <w:t xml:space="preserve"> 70</w:t>
      </w:r>
      <w:r w:rsidR="003B09ED">
        <w:rPr>
          <w:rFonts w:ascii="Times New Roman" w:hAnsi="Times New Roman"/>
          <w:sz w:val="24"/>
          <w:szCs w:val="24"/>
        </w:rPr>
        <w:t>1</w:t>
      </w:r>
      <w:r w:rsidR="00426D24">
        <w:rPr>
          <w:rFonts w:ascii="Times New Roman" w:hAnsi="Times New Roman"/>
          <w:sz w:val="24"/>
          <w:szCs w:val="24"/>
        </w:rPr>
        <w:t>.</w:t>
      </w:r>
      <w:r w:rsidR="003B09ED">
        <w:rPr>
          <w:rFonts w:ascii="Times New Roman" w:hAnsi="Times New Roman"/>
          <w:sz w:val="24"/>
          <w:szCs w:val="24"/>
        </w:rPr>
        <w:t>0</w:t>
      </w:r>
      <w:r w:rsidR="00EE2813">
        <w:rPr>
          <w:rFonts w:ascii="Times New Roman" w:hAnsi="Times New Roman"/>
          <w:sz w:val="24"/>
          <w:szCs w:val="24"/>
        </w:rPr>
        <w:t>;</w:t>
      </w:r>
    </w:p>
    <w:p w14:paraId="3E2DB174" w14:textId="4E27249F" w:rsidR="006A383F" w:rsidRPr="00EE22FB" w:rsidRDefault="006A383F" w:rsidP="006A383F">
      <w:pPr>
        <w:pStyle w:val="ListParagraph"/>
        <w:numPr>
          <w:ilvl w:val="0"/>
          <w:numId w:val="13"/>
        </w:numPr>
        <w:spacing w:after="240"/>
        <w:ind w:left="567" w:hanging="567"/>
        <w:jc w:val="both"/>
        <w:rPr>
          <w:rFonts w:ascii="Times New Roman" w:hAnsi="Times New Roman"/>
          <w:sz w:val="24"/>
          <w:szCs w:val="24"/>
        </w:rPr>
      </w:pPr>
      <w:r w:rsidRPr="00EE22FB">
        <w:rPr>
          <w:rFonts w:ascii="Times New Roman" w:hAnsi="Times New Roman"/>
          <w:sz w:val="24"/>
          <w:szCs w:val="24"/>
        </w:rPr>
        <w:t xml:space="preserve">Financial Sector (Collection of Data) (reporting standard) determination No. </w:t>
      </w:r>
      <w:r w:rsidR="00234EEF">
        <w:rPr>
          <w:rFonts w:ascii="Times New Roman" w:hAnsi="Times New Roman"/>
          <w:sz w:val="24"/>
          <w:szCs w:val="24"/>
        </w:rPr>
        <w:t xml:space="preserve">24 </w:t>
      </w:r>
      <w:r w:rsidRPr="00EE22FB">
        <w:rPr>
          <w:rFonts w:ascii="Times New Roman" w:hAnsi="Times New Roman"/>
          <w:sz w:val="24"/>
          <w:szCs w:val="24"/>
        </w:rPr>
        <w:t>of 2021 which:</w:t>
      </w:r>
    </w:p>
    <w:p w14:paraId="79FD8814" w14:textId="6E567645" w:rsidR="006A383F" w:rsidRPr="00AF72B8" w:rsidRDefault="006A383F" w:rsidP="006A383F">
      <w:pPr>
        <w:pStyle w:val="ListParagraph"/>
        <w:numPr>
          <w:ilvl w:val="1"/>
          <w:numId w:val="13"/>
        </w:numPr>
        <w:spacing w:after="240"/>
        <w:ind w:left="1134" w:hanging="567"/>
        <w:jc w:val="both"/>
        <w:rPr>
          <w:rFonts w:ascii="Times New Roman" w:hAnsi="Times New Roman"/>
          <w:sz w:val="24"/>
          <w:szCs w:val="24"/>
        </w:rPr>
      </w:pPr>
      <w:r w:rsidRPr="00EE22FB">
        <w:rPr>
          <w:rFonts w:ascii="Times New Roman" w:hAnsi="Times New Roman"/>
          <w:sz w:val="24"/>
          <w:szCs w:val="24"/>
        </w:rPr>
        <w:t xml:space="preserve">revokes </w:t>
      </w:r>
      <w:r w:rsidRPr="00EE22FB">
        <w:rPr>
          <w:rFonts w:ascii="Times New Roman" w:hAnsi="Times New Roman"/>
          <w:i/>
          <w:sz w:val="24"/>
          <w:szCs w:val="24"/>
        </w:rPr>
        <w:t xml:space="preserve">Reporting Standard </w:t>
      </w:r>
      <w:r w:rsidR="0036534B" w:rsidRPr="00EE22FB">
        <w:rPr>
          <w:rFonts w:ascii="Times New Roman" w:hAnsi="Times New Roman"/>
          <w:i/>
          <w:sz w:val="24"/>
          <w:szCs w:val="24"/>
        </w:rPr>
        <w:t>RRS 710.0 ABS/RBA Audit Requirements for Registered Financial Corporations - EFS collection</w:t>
      </w:r>
      <w:r w:rsidRPr="00EE22FB">
        <w:t xml:space="preserve"> </w:t>
      </w:r>
      <w:r w:rsidRPr="00EE22FB">
        <w:rPr>
          <w:rFonts w:ascii="Times New Roman" w:hAnsi="Times New Roman"/>
          <w:i/>
          <w:sz w:val="24"/>
          <w:szCs w:val="24"/>
        </w:rPr>
        <w:t>(</w:t>
      </w:r>
      <w:r w:rsidR="0036534B" w:rsidRPr="00EE22FB">
        <w:rPr>
          <w:rFonts w:ascii="Times New Roman" w:hAnsi="Times New Roman"/>
          <w:sz w:val="24"/>
          <w:szCs w:val="24"/>
        </w:rPr>
        <w:t>R</w:t>
      </w:r>
      <w:r w:rsidRPr="00EE22FB">
        <w:rPr>
          <w:rFonts w:ascii="Times New Roman" w:hAnsi="Times New Roman"/>
          <w:sz w:val="24"/>
          <w:szCs w:val="24"/>
        </w:rPr>
        <w:t>RS 7</w:t>
      </w:r>
      <w:r w:rsidR="0036534B" w:rsidRPr="00EE22FB">
        <w:rPr>
          <w:rFonts w:ascii="Times New Roman" w:hAnsi="Times New Roman"/>
          <w:sz w:val="24"/>
          <w:szCs w:val="24"/>
        </w:rPr>
        <w:t>10</w:t>
      </w:r>
      <w:r w:rsidRPr="00EE22FB">
        <w:rPr>
          <w:rFonts w:ascii="Times New Roman" w:hAnsi="Times New Roman"/>
          <w:sz w:val="24"/>
          <w:szCs w:val="24"/>
        </w:rPr>
        <w:t xml:space="preserve">.0) </w:t>
      </w:r>
      <w:r w:rsidR="00EA351E">
        <w:rPr>
          <w:rFonts w:ascii="Times New Roman" w:hAnsi="Times New Roman"/>
          <w:sz w:val="24"/>
          <w:szCs w:val="24"/>
        </w:rPr>
        <w:t>made under</w:t>
      </w:r>
      <w:r w:rsidR="009E1A17">
        <w:rPr>
          <w:rFonts w:ascii="Times New Roman" w:hAnsi="Times New Roman"/>
          <w:sz w:val="24"/>
          <w:szCs w:val="24"/>
        </w:rPr>
        <w:t xml:space="preserve"> </w:t>
      </w:r>
      <w:r w:rsidRPr="00EE22FB">
        <w:rPr>
          <w:rFonts w:ascii="Times New Roman" w:hAnsi="Times New Roman"/>
          <w:sz w:val="24"/>
          <w:szCs w:val="24"/>
        </w:rPr>
        <w:t>Financial Sector (Collection of Data) (reporting standard)</w:t>
      </w:r>
      <w:r w:rsidRPr="00AF72B8">
        <w:rPr>
          <w:rFonts w:ascii="Times New Roman" w:hAnsi="Times New Roman"/>
          <w:sz w:val="24"/>
          <w:szCs w:val="24"/>
        </w:rPr>
        <w:t xml:space="preserve"> determination No. </w:t>
      </w:r>
      <w:r w:rsidR="0036534B">
        <w:rPr>
          <w:rFonts w:ascii="Times New Roman" w:hAnsi="Times New Roman"/>
          <w:sz w:val="24"/>
          <w:szCs w:val="24"/>
        </w:rPr>
        <w:t>22</w:t>
      </w:r>
      <w:r w:rsidRPr="00AF72B8">
        <w:rPr>
          <w:rFonts w:ascii="Times New Roman" w:hAnsi="Times New Roman"/>
          <w:sz w:val="24"/>
          <w:szCs w:val="24"/>
        </w:rPr>
        <w:t xml:space="preserve"> of 2019; and</w:t>
      </w:r>
    </w:p>
    <w:p w14:paraId="6D1E4AEF" w14:textId="2C4B5F06" w:rsidR="006A383F" w:rsidRPr="006A383F" w:rsidRDefault="006A383F" w:rsidP="006A383F">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determines a new version of </w:t>
      </w:r>
      <w:r w:rsidR="0036534B">
        <w:rPr>
          <w:rFonts w:ascii="Times New Roman" w:hAnsi="Times New Roman"/>
          <w:sz w:val="24"/>
          <w:szCs w:val="24"/>
        </w:rPr>
        <w:t>R</w:t>
      </w:r>
      <w:r w:rsidRPr="00AF72B8">
        <w:rPr>
          <w:rFonts w:ascii="Times New Roman" w:hAnsi="Times New Roman"/>
          <w:sz w:val="24"/>
          <w:szCs w:val="24"/>
        </w:rPr>
        <w:t>RS</w:t>
      </w:r>
      <w:r>
        <w:rPr>
          <w:rFonts w:ascii="Times New Roman" w:hAnsi="Times New Roman"/>
          <w:sz w:val="24"/>
          <w:szCs w:val="24"/>
        </w:rPr>
        <w:t xml:space="preserve"> 7</w:t>
      </w:r>
      <w:r w:rsidR="0036534B">
        <w:rPr>
          <w:rFonts w:ascii="Times New Roman" w:hAnsi="Times New Roman"/>
          <w:sz w:val="24"/>
          <w:szCs w:val="24"/>
        </w:rPr>
        <w:t>10</w:t>
      </w:r>
      <w:r>
        <w:rPr>
          <w:rFonts w:ascii="Times New Roman" w:hAnsi="Times New Roman"/>
          <w:sz w:val="24"/>
          <w:szCs w:val="24"/>
        </w:rPr>
        <w:t>.0.</w:t>
      </w:r>
    </w:p>
    <w:p w14:paraId="00A7386E" w14:textId="5BD4FBE4" w:rsidR="00246723" w:rsidRDefault="00AC7A56" w:rsidP="001A2234">
      <w:pPr>
        <w:widowControl w:val="0"/>
        <w:spacing w:after="240"/>
        <w:jc w:val="both"/>
        <w:rPr>
          <w:rFonts w:ascii="Times New Roman" w:hAnsi="Times New Roman"/>
          <w:sz w:val="24"/>
          <w:szCs w:val="24"/>
        </w:rPr>
      </w:pPr>
      <w:r>
        <w:rPr>
          <w:rFonts w:ascii="Times New Roman" w:hAnsi="Times New Roman"/>
          <w:sz w:val="24"/>
          <w:szCs w:val="24"/>
        </w:rPr>
        <w:t>T</w:t>
      </w:r>
      <w:r w:rsidR="00FE5F57">
        <w:rPr>
          <w:rFonts w:ascii="Times New Roman" w:hAnsi="Times New Roman"/>
          <w:sz w:val="24"/>
          <w:szCs w:val="24"/>
        </w:rPr>
        <w:t>he instrument</w:t>
      </w:r>
      <w:r w:rsidR="0033665C">
        <w:rPr>
          <w:rFonts w:ascii="Times New Roman" w:hAnsi="Times New Roman"/>
          <w:sz w:val="24"/>
          <w:szCs w:val="24"/>
        </w:rPr>
        <w:t>s</w:t>
      </w:r>
      <w:r>
        <w:rPr>
          <w:rFonts w:ascii="Times New Roman" w:hAnsi="Times New Roman"/>
          <w:sz w:val="24"/>
          <w:szCs w:val="24"/>
        </w:rPr>
        <w:t xml:space="preserve"> </w:t>
      </w:r>
      <w:r w:rsidRPr="00580FC3">
        <w:rPr>
          <w:rFonts w:ascii="Times New Roman" w:hAnsi="Times New Roman"/>
          <w:sz w:val="24"/>
          <w:szCs w:val="24"/>
        </w:rPr>
        <w:t>commence on</w:t>
      </w:r>
      <w:r w:rsidR="00D50699" w:rsidRPr="00580FC3">
        <w:rPr>
          <w:rFonts w:ascii="Times New Roman" w:hAnsi="Times New Roman"/>
          <w:sz w:val="24"/>
          <w:szCs w:val="24"/>
        </w:rPr>
        <w:t xml:space="preserve"> </w:t>
      </w:r>
      <w:r w:rsidR="005B5CA7">
        <w:rPr>
          <w:rFonts w:ascii="Times New Roman" w:hAnsi="Times New Roman"/>
          <w:sz w:val="24"/>
          <w:szCs w:val="24"/>
        </w:rPr>
        <w:t>1 July 2021</w:t>
      </w:r>
      <w:r w:rsidR="00D50699">
        <w:rPr>
          <w:rFonts w:ascii="Times New Roman" w:hAnsi="Times New Roman"/>
          <w:sz w:val="24"/>
          <w:szCs w:val="24"/>
        </w:rPr>
        <w:t>.</w:t>
      </w:r>
    </w:p>
    <w:p w14:paraId="2A2C8557"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67015684" w14:textId="3795C0CE" w:rsidR="007941EE" w:rsidRPr="007941EE" w:rsidRDefault="007941EE" w:rsidP="007941EE">
      <w:pPr>
        <w:spacing w:after="240"/>
        <w:ind w:right="113"/>
        <w:jc w:val="both"/>
        <w:rPr>
          <w:rFonts w:ascii="Times New Roman" w:hAnsi="Times New Roman"/>
          <w:sz w:val="24"/>
          <w:szCs w:val="24"/>
        </w:rPr>
      </w:pPr>
      <w:bookmarkStart w:id="5" w:name="bkBackground"/>
      <w:bookmarkEnd w:id="5"/>
      <w:r w:rsidRPr="007941EE">
        <w:rPr>
          <w:rFonts w:ascii="Times New Roman" w:hAnsi="Times New Roman"/>
          <w:sz w:val="24"/>
          <w:szCs w:val="24"/>
        </w:rPr>
        <w:t xml:space="preserve">The economic and financial statistics (EFS) collection – previously the Domestic Books collection – is a series of reporting requirements administered on behalf of the Australian Bureau of Statistics (ABS) and the Reserve Bank of Australia (RBA) (collectively, the agencies) by APRA in its role as national statistical agency for the </w:t>
      </w:r>
      <w:r w:rsidRPr="007941EE">
        <w:rPr>
          <w:rFonts w:ascii="Times New Roman" w:hAnsi="Times New Roman"/>
          <w:sz w:val="24"/>
          <w:szCs w:val="24"/>
        </w:rPr>
        <w:lastRenderedPageBreak/>
        <w:t>financial sector. The collection focuses on the Australian (domestic) operations and activities of authorised deposit-taking institutions (ADIs) and Registered Financial Corporations (RFCs).</w:t>
      </w:r>
    </w:p>
    <w:p w14:paraId="59670783" w14:textId="3EE8CA1A" w:rsidR="007941EE" w:rsidRPr="007941EE" w:rsidRDefault="007941EE" w:rsidP="007941EE">
      <w:pPr>
        <w:spacing w:after="240"/>
        <w:ind w:right="113"/>
        <w:jc w:val="both"/>
        <w:rPr>
          <w:rFonts w:ascii="Times New Roman" w:hAnsi="Times New Roman"/>
          <w:sz w:val="24"/>
          <w:szCs w:val="24"/>
        </w:rPr>
      </w:pPr>
      <w:r w:rsidRPr="007941EE">
        <w:rPr>
          <w:rFonts w:ascii="Times New Roman" w:hAnsi="Times New Roman"/>
          <w:sz w:val="24"/>
          <w:szCs w:val="24"/>
        </w:rPr>
        <w:t>The data collected from ADIs and RFCs in the EFS data collection are used by the ABS and the RBA to compile and publish key macroeconomic indicators for Australia and are also used for analysis and policy purposes by the RBA. Data collected on the EFS forms are also used by APRA for prudential supervision and other purposes. Aggregated data are used by other economic policy makers and to meet Australia’s international reporting obligations.</w:t>
      </w:r>
    </w:p>
    <w:p w14:paraId="47630BC8" w14:textId="79CB1E7A" w:rsidR="007941EE" w:rsidRPr="007941EE" w:rsidRDefault="007941EE" w:rsidP="007941EE">
      <w:pPr>
        <w:spacing w:after="240"/>
        <w:ind w:right="113"/>
        <w:jc w:val="both"/>
        <w:rPr>
          <w:rFonts w:ascii="Times New Roman" w:hAnsi="Times New Roman"/>
          <w:sz w:val="24"/>
          <w:szCs w:val="24"/>
        </w:rPr>
      </w:pPr>
      <w:r w:rsidRPr="007941EE">
        <w:rPr>
          <w:rFonts w:ascii="Times New Roman" w:hAnsi="Times New Roman"/>
          <w:sz w:val="24"/>
          <w:szCs w:val="24"/>
        </w:rPr>
        <w:t>The EFS data are therefore a vital input for measuring and assessing both activity and risks in the financial sector and for the Australian economy more broadly. The data are also an input to global assessments of economic and financial activity and risks. The provision of relevant, timely and high quality EFS data will ensure that policy decisions are made using the best available information.</w:t>
      </w:r>
    </w:p>
    <w:p w14:paraId="7FA50A5F" w14:textId="79629302"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765EBA">
        <w:rPr>
          <w:rFonts w:ascii="Times New Roman" w:hAnsi="Times New Roman"/>
          <w:sz w:val="24"/>
          <w:szCs w:val="24"/>
        </w:rPr>
        <w:t>s</w:t>
      </w:r>
    </w:p>
    <w:p w14:paraId="5B8DB55C" w14:textId="190BC28A" w:rsidR="00DB4BED" w:rsidRDefault="003F7007" w:rsidP="00BF17E6">
      <w:pPr>
        <w:spacing w:after="240"/>
        <w:ind w:right="113"/>
        <w:jc w:val="both"/>
        <w:rPr>
          <w:rFonts w:ascii="Times New Roman" w:hAnsi="Times New Roman"/>
          <w:sz w:val="24"/>
          <w:szCs w:val="24"/>
        </w:rPr>
      </w:pPr>
      <w:bookmarkStart w:id="6" w:name="bkPurpose"/>
      <w:bookmarkEnd w:id="6"/>
      <w:r>
        <w:rPr>
          <w:rFonts w:ascii="Times New Roman" w:hAnsi="Times New Roman"/>
          <w:sz w:val="24"/>
          <w:szCs w:val="24"/>
        </w:rPr>
        <w:t>The purpose of t</w:t>
      </w:r>
      <w:r w:rsidR="009226AE">
        <w:rPr>
          <w:rFonts w:ascii="Times New Roman" w:hAnsi="Times New Roman"/>
          <w:sz w:val="24"/>
          <w:szCs w:val="24"/>
        </w:rPr>
        <w:t>he instrument</w:t>
      </w:r>
      <w:r w:rsidR="00765EBA">
        <w:rPr>
          <w:rFonts w:ascii="Times New Roman" w:hAnsi="Times New Roman"/>
          <w:sz w:val="24"/>
          <w:szCs w:val="24"/>
        </w:rPr>
        <w:t>s</w:t>
      </w:r>
      <w:r w:rsidR="009226AE">
        <w:rPr>
          <w:rFonts w:ascii="Times New Roman" w:hAnsi="Times New Roman"/>
          <w:sz w:val="24"/>
          <w:szCs w:val="24"/>
        </w:rPr>
        <w:t xml:space="preserve"> is to</w:t>
      </w:r>
      <w:r w:rsidR="00A62A13">
        <w:rPr>
          <w:rFonts w:ascii="Times New Roman" w:hAnsi="Times New Roman"/>
          <w:sz w:val="24"/>
          <w:szCs w:val="24"/>
        </w:rPr>
        <w:t xml:space="preserve"> </w:t>
      </w:r>
      <w:r w:rsidR="00004E0C">
        <w:rPr>
          <w:rFonts w:ascii="Times New Roman" w:hAnsi="Times New Roman"/>
          <w:sz w:val="24"/>
          <w:szCs w:val="24"/>
        </w:rPr>
        <w:t>r</w:t>
      </w:r>
      <w:r w:rsidR="006A1555">
        <w:rPr>
          <w:rFonts w:ascii="Times New Roman" w:hAnsi="Times New Roman"/>
          <w:sz w:val="24"/>
          <w:szCs w:val="24"/>
        </w:rPr>
        <w:t xml:space="preserve">evoke the existing </w:t>
      </w:r>
      <w:r w:rsidR="00DB4BED">
        <w:rPr>
          <w:rFonts w:ascii="Times New Roman" w:hAnsi="Times New Roman"/>
          <w:sz w:val="24"/>
          <w:szCs w:val="24"/>
        </w:rPr>
        <w:t xml:space="preserve">ARS 701.0 and RRS 710.0 and replace them with new versions. </w:t>
      </w:r>
    </w:p>
    <w:p w14:paraId="79D04E96" w14:textId="77777777" w:rsidR="00C05C75" w:rsidRDefault="003E77C3" w:rsidP="00BF17E6">
      <w:pPr>
        <w:spacing w:after="240"/>
        <w:ind w:right="113"/>
        <w:jc w:val="both"/>
        <w:rPr>
          <w:rFonts w:ascii="Times New Roman" w:hAnsi="Times New Roman"/>
          <w:sz w:val="24"/>
          <w:szCs w:val="24"/>
        </w:rPr>
      </w:pPr>
      <w:r>
        <w:rPr>
          <w:rFonts w:ascii="Times New Roman" w:hAnsi="Times New Roman"/>
          <w:sz w:val="24"/>
          <w:szCs w:val="24"/>
        </w:rPr>
        <w:t xml:space="preserve">ARS 701.0 </w:t>
      </w:r>
      <w:r w:rsidR="00792E0A" w:rsidRPr="00BF17E6">
        <w:rPr>
          <w:rFonts w:ascii="Times New Roman" w:hAnsi="Times New Roman"/>
          <w:sz w:val="24"/>
          <w:szCs w:val="24"/>
        </w:rPr>
        <w:t xml:space="preserve"> </w:t>
      </w:r>
      <w:r>
        <w:rPr>
          <w:rFonts w:ascii="Times New Roman" w:hAnsi="Times New Roman"/>
          <w:sz w:val="24"/>
          <w:szCs w:val="24"/>
        </w:rPr>
        <w:t xml:space="preserve">provides definitions of key terms and concepts used throughout the EFS collection. </w:t>
      </w:r>
      <w:r w:rsidR="00C05C75">
        <w:rPr>
          <w:rFonts w:ascii="Times New Roman" w:hAnsi="Times New Roman"/>
          <w:sz w:val="24"/>
          <w:szCs w:val="24"/>
        </w:rPr>
        <w:t>The new version of ARS 701.0 contains updated definitions and concepts used in the EFS collection that were previously issued as guidance by APRA.</w:t>
      </w:r>
    </w:p>
    <w:p w14:paraId="1971B6A5" w14:textId="36C4F3F1" w:rsidR="00225D0F" w:rsidRDefault="003E77C3" w:rsidP="00BF17E6">
      <w:pPr>
        <w:spacing w:after="240"/>
        <w:ind w:right="113"/>
        <w:jc w:val="both"/>
        <w:rPr>
          <w:rFonts w:ascii="Times New Roman" w:hAnsi="Times New Roman"/>
          <w:sz w:val="24"/>
          <w:szCs w:val="24"/>
        </w:rPr>
      </w:pPr>
      <w:r>
        <w:rPr>
          <w:rFonts w:ascii="Times New Roman" w:hAnsi="Times New Roman"/>
          <w:sz w:val="24"/>
          <w:szCs w:val="24"/>
        </w:rPr>
        <w:t xml:space="preserve">RRS 710.0 </w:t>
      </w:r>
      <w:r w:rsidRPr="003E77C3">
        <w:rPr>
          <w:rFonts w:ascii="Times New Roman" w:hAnsi="Times New Roman"/>
          <w:sz w:val="24"/>
          <w:szCs w:val="24"/>
        </w:rPr>
        <w:t>establishes requirements for a RFC to ensure that APRA, the RBA and the ABS have access to the provision of independent advice on the information and internal controls of RFCs’ EFS data</w:t>
      </w:r>
      <w:r>
        <w:rPr>
          <w:rFonts w:ascii="Times New Roman" w:hAnsi="Times New Roman"/>
          <w:sz w:val="24"/>
          <w:szCs w:val="24"/>
        </w:rPr>
        <w:t xml:space="preserve">. </w:t>
      </w:r>
      <w:r w:rsidR="00C05C75">
        <w:rPr>
          <w:rFonts w:ascii="Times New Roman" w:hAnsi="Times New Roman"/>
          <w:sz w:val="24"/>
          <w:szCs w:val="24"/>
        </w:rPr>
        <w:t>The new version of RRS 710.0 contains changes to allow RFCs to align their audits of EFS data with their financial year end.</w:t>
      </w:r>
    </w:p>
    <w:p w14:paraId="25B8F027" w14:textId="4AC76EC3" w:rsidR="00E7345E" w:rsidRDefault="00816E71" w:rsidP="00225D0F">
      <w:pPr>
        <w:spacing w:after="240"/>
        <w:jc w:val="both"/>
        <w:rPr>
          <w:rFonts w:ascii="Times New Roman" w:hAnsi="Times New Roman"/>
          <w:sz w:val="24"/>
          <w:szCs w:val="24"/>
        </w:rPr>
      </w:pPr>
      <w:bookmarkStart w:id="7" w:name="_Hlk65769522"/>
      <w:r w:rsidRPr="00AD1E70">
        <w:rPr>
          <w:rFonts w:ascii="Times New Roman" w:hAnsi="Times New Roman"/>
          <w:sz w:val="24"/>
          <w:szCs w:val="24"/>
        </w:rPr>
        <w:t xml:space="preserve">Where </w:t>
      </w:r>
      <w:r>
        <w:rPr>
          <w:rFonts w:ascii="Times New Roman" w:hAnsi="Times New Roman"/>
          <w:sz w:val="24"/>
          <w:szCs w:val="24"/>
        </w:rPr>
        <w:t>the instruments refer to an Act, Regulation,</w:t>
      </w:r>
      <w:r w:rsidRPr="008B659C">
        <w:rPr>
          <w:rFonts w:ascii="Times New Roman" w:hAnsi="Times New Roman"/>
          <w:sz w:val="24"/>
          <w:szCs w:val="24"/>
        </w:rPr>
        <w:t xml:space="preserve"> Prudential Standard, Reporting Standard, Australian Accounting</w:t>
      </w:r>
      <w:r>
        <w:rPr>
          <w:rFonts w:ascii="Times New Roman" w:hAnsi="Times New Roman"/>
          <w:sz w:val="24"/>
          <w:szCs w:val="24"/>
        </w:rPr>
        <w:t xml:space="preserve"> Standard</w:t>
      </w:r>
      <w:r w:rsidRPr="008B659C">
        <w:rPr>
          <w:rFonts w:ascii="Times New Roman" w:hAnsi="Times New Roman"/>
          <w:sz w:val="24"/>
          <w:szCs w:val="24"/>
        </w:rPr>
        <w:t xml:space="preserve"> or Auditing Standard, this is a reference to the document as it exists from time to time</w:t>
      </w:r>
      <w:r w:rsidRPr="008B659C">
        <w:rPr>
          <w:rFonts w:ascii="Times New Roman" w:hAnsi="Times New Roman"/>
          <w:b/>
          <w:sz w:val="24"/>
          <w:szCs w:val="24"/>
        </w:rPr>
        <w:t xml:space="preserve">, </w:t>
      </w:r>
      <w:r w:rsidRPr="008B659C">
        <w:rPr>
          <w:rFonts w:ascii="Times New Roman" w:hAnsi="Times New Roman"/>
          <w:sz w:val="24"/>
          <w:szCs w:val="24"/>
        </w:rPr>
        <w:t xml:space="preserve">and </w:t>
      </w:r>
      <w:r>
        <w:rPr>
          <w:rFonts w:ascii="Times New Roman" w:hAnsi="Times New Roman"/>
          <w:sz w:val="24"/>
          <w:szCs w:val="24"/>
        </w:rPr>
        <w:t>which is</w:t>
      </w:r>
      <w:r w:rsidRPr="008B659C">
        <w:rPr>
          <w:rFonts w:ascii="Times New Roman" w:hAnsi="Times New Roman"/>
          <w:sz w:val="24"/>
          <w:szCs w:val="24"/>
        </w:rPr>
        <w:t xml:space="preserve"> available on the Federal Register of Legislation at </w:t>
      </w:r>
      <w:hyperlink r:id="rId13" w:history="1">
        <w:r w:rsidRPr="008B659C">
          <w:rPr>
            <w:rStyle w:val="Hyperlink"/>
            <w:rFonts w:ascii="Times New Roman" w:hAnsi="Times New Roman"/>
            <w:sz w:val="24"/>
            <w:szCs w:val="24"/>
          </w:rPr>
          <w:t>www.legislation.gov.au</w:t>
        </w:r>
      </w:hyperlink>
      <w:r>
        <w:rPr>
          <w:rStyle w:val="Hyperlink"/>
          <w:rFonts w:ascii="Times New Roman" w:hAnsi="Times New Roman"/>
          <w:sz w:val="24"/>
          <w:szCs w:val="24"/>
        </w:rPr>
        <w:t>.</w:t>
      </w:r>
    </w:p>
    <w:p w14:paraId="620C833F" w14:textId="04C4F6BC" w:rsidR="002436BD" w:rsidRDefault="002436BD" w:rsidP="001A2234">
      <w:pPr>
        <w:pStyle w:val="Heading"/>
        <w:numPr>
          <w:ilvl w:val="0"/>
          <w:numId w:val="2"/>
        </w:numPr>
        <w:spacing w:after="240"/>
        <w:rPr>
          <w:rFonts w:ascii="Times New Roman" w:hAnsi="Times New Roman"/>
          <w:sz w:val="24"/>
          <w:szCs w:val="24"/>
        </w:rPr>
      </w:pPr>
      <w:bookmarkStart w:id="8" w:name="bkoperation"/>
      <w:bookmarkStart w:id="9" w:name="bkConsultationNo"/>
      <w:bookmarkEnd w:id="7"/>
      <w:bookmarkEnd w:id="8"/>
      <w:bookmarkEnd w:id="9"/>
      <w:r w:rsidRPr="002C6D26">
        <w:rPr>
          <w:rFonts w:ascii="Times New Roman" w:hAnsi="Times New Roman"/>
          <w:sz w:val="24"/>
          <w:szCs w:val="24"/>
        </w:rPr>
        <w:t>Consultation</w:t>
      </w:r>
    </w:p>
    <w:p w14:paraId="43190853" w14:textId="660B3129" w:rsidR="00BF17E6" w:rsidRDefault="000E7A4A" w:rsidP="00C02366">
      <w:pPr>
        <w:pStyle w:val="Heading"/>
        <w:tabs>
          <w:tab w:val="left" w:pos="360"/>
        </w:tabs>
        <w:spacing w:after="240"/>
        <w:rPr>
          <w:rFonts w:ascii="Times New Roman" w:hAnsi="Times New Roman"/>
          <w:b w:val="0"/>
          <w:sz w:val="24"/>
          <w:szCs w:val="24"/>
        </w:rPr>
      </w:pPr>
      <w:r w:rsidRPr="000E7A4A">
        <w:rPr>
          <w:rFonts w:ascii="Times New Roman" w:hAnsi="Times New Roman"/>
          <w:b w:val="0"/>
          <w:sz w:val="24"/>
          <w:szCs w:val="24"/>
        </w:rPr>
        <w:t xml:space="preserve">APRA consulted publicly on the proposed amendments to </w:t>
      </w:r>
      <w:r w:rsidR="00D23AB0">
        <w:rPr>
          <w:rFonts w:ascii="Times New Roman" w:hAnsi="Times New Roman"/>
          <w:b w:val="0"/>
          <w:sz w:val="24"/>
          <w:szCs w:val="24"/>
        </w:rPr>
        <w:t>ARS 701.0 and RRS 710.0</w:t>
      </w:r>
      <w:r w:rsidRPr="000E7A4A">
        <w:rPr>
          <w:rFonts w:ascii="Times New Roman" w:hAnsi="Times New Roman"/>
          <w:b w:val="0"/>
          <w:sz w:val="24"/>
          <w:szCs w:val="24"/>
        </w:rPr>
        <w:t xml:space="preserve"> from </w:t>
      </w:r>
      <w:r>
        <w:rPr>
          <w:rFonts w:ascii="Times New Roman" w:hAnsi="Times New Roman"/>
          <w:b w:val="0"/>
          <w:sz w:val="24"/>
          <w:szCs w:val="24"/>
        </w:rPr>
        <w:t>August</w:t>
      </w:r>
      <w:r w:rsidRPr="000E7A4A">
        <w:rPr>
          <w:rFonts w:ascii="Times New Roman" w:hAnsi="Times New Roman"/>
          <w:b w:val="0"/>
          <w:sz w:val="24"/>
          <w:szCs w:val="24"/>
        </w:rPr>
        <w:t xml:space="preserve"> 2020 to </w:t>
      </w:r>
      <w:r>
        <w:rPr>
          <w:rFonts w:ascii="Times New Roman" w:hAnsi="Times New Roman"/>
          <w:b w:val="0"/>
          <w:sz w:val="24"/>
          <w:szCs w:val="24"/>
        </w:rPr>
        <w:t>Septem</w:t>
      </w:r>
      <w:r w:rsidRPr="000E7A4A">
        <w:rPr>
          <w:rFonts w:ascii="Times New Roman" w:hAnsi="Times New Roman"/>
          <w:b w:val="0"/>
          <w:sz w:val="24"/>
          <w:szCs w:val="24"/>
        </w:rPr>
        <w:t>ber 2020</w:t>
      </w:r>
      <w:r w:rsidR="00C05C75">
        <w:rPr>
          <w:rFonts w:ascii="Times New Roman" w:hAnsi="Times New Roman"/>
          <w:b w:val="0"/>
          <w:sz w:val="24"/>
          <w:szCs w:val="24"/>
        </w:rPr>
        <w:t xml:space="preserve"> as part of a broader consultation on proposed changes to the EFS reporting standards</w:t>
      </w:r>
      <w:r w:rsidRPr="000E7A4A">
        <w:rPr>
          <w:rFonts w:ascii="Times New Roman" w:hAnsi="Times New Roman"/>
          <w:b w:val="0"/>
          <w:sz w:val="24"/>
          <w:szCs w:val="24"/>
        </w:rPr>
        <w:t>.</w:t>
      </w:r>
      <w:r w:rsidR="007E6166" w:rsidRPr="007E6166">
        <w:rPr>
          <w:rStyle w:val="FootnoteReference"/>
          <w:rFonts w:ascii="Times New Roman" w:hAnsi="Times New Roman"/>
          <w:b w:val="0"/>
          <w:sz w:val="24"/>
          <w:szCs w:val="24"/>
        </w:rPr>
        <w:t xml:space="preserve"> </w:t>
      </w:r>
      <w:r w:rsidR="007E6166">
        <w:rPr>
          <w:rStyle w:val="FootnoteReference"/>
          <w:rFonts w:ascii="Times New Roman" w:hAnsi="Times New Roman"/>
          <w:b w:val="0"/>
          <w:sz w:val="24"/>
          <w:szCs w:val="24"/>
        </w:rPr>
        <w:footnoteReference w:id="2"/>
      </w:r>
      <w:r w:rsidRPr="000E7A4A">
        <w:rPr>
          <w:rFonts w:ascii="Times New Roman" w:hAnsi="Times New Roman"/>
          <w:b w:val="0"/>
          <w:sz w:val="24"/>
          <w:szCs w:val="24"/>
        </w:rPr>
        <w:t xml:space="preserve"> A total of seven submissions were received in response to APRA’s consultation</w:t>
      </w:r>
      <w:r w:rsidR="0020598A">
        <w:rPr>
          <w:rFonts w:ascii="Times New Roman" w:hAnsi="Times New Roman"/>
          <w:b w:val="0"/>
          <w:sz w:val="24"/>
          <w:szCs w:val="24"/>
        </w:rPr>
        <w:t>.</w:t>
      </w:r>
      <w:r w:rsidRPr="000E7A4A">
        <w:rPr>
          <w:rFonts w:ascii="Times New Roman" w:hAnsi="Times New Roman"/>
          <w:b w:val="0"/>
          <w:sz w:val="24"/>
          <w:szCs w:val="24"/>
        </w:rPr>
        <w:t xml:space="preserve"> </w:t>
      </w:r>
    </w:p>
    <w:p w14:paraId="6690A2EE" w14:textId="2E918976" w:rsidR="004A14E0" w:rsidRPr="001A2234" w:rsidRDefault="000E7A4A" w:rsidP="00C02366">
      <w:pPr>
        <w:pStyle w:val="Heading"/>
        <w:tabs>
          <w:tab w:val="left" w:pos="360"/>
        </w:tabs>
        <w:spacing w:after="240"/>
        <w:rPr>
          <w:rFonts w:ascii="Times New Roman" w:hAnsi="Times New Roman"/>
          <w:b w:val="0"/>
          <w:sz w:val="24"/>
          <w:szCs w:val="24"/>
        </w:rPr>
      </w:pPr>
      <w:r w:rsidRPr="000E7A4A">
        <w:rPr>
          <w:rFonts w:ascii="Times New Roman" w:hAnsi="Times New Roman"/>
          <w:b w:val="0"/>
          <w:sz w:val="24"/>
          <w:szCs w:val="24"/>
        </w:rPr>
        <w:t xml:space="preserve">In </w:t>
      </w:r>
      <w:r>
        <w:rPr>
          <w:rFonts w:ascii="Times New Roman" w:hAnsi="Times New Roman"/>
          <w:b w:val="0"/>
          <w:sz w:val="24"/>
          <w:szCs w:val="24"/>
        </w:rPr>
        <w:t>November</w:t>
      </w:r>
      <w:r w:rsidRPr="000E7A4A">
        <w:rPr>
          <w:rFonts w:ascii="Times New Roman" w:hAnsi="Times New Roman"/>
          <w:b w:val="0"/>
          <w:sz w:val="24"/>
          <w:szCs w:val="24"/>
        </w:rPr>
        <w:t xml:space="preserve"> 2020, APRA released a response letter </w:t>
      </w:r>
      <w:r w:rsidRPr="000E7A4A">
        <w:rPr>
          <w:rFonts w:ascii="Times New Roman" w:hAnsi="Times New Roman"/>
          <w:b w:val="0"/>
          <w:i/>
          <w:sz w:val="24"/>
          <w:szCs w:val="24"/>
        </w:rPr>
        <w:t xml:space="preserve">Response to submissions: Proposed changes to modernised Economic and Financial Statistics (EFS) reporting </w:t>
      </w:r>
      <w:r w:rsidRPr="000E7A4A">
        <w:rPr>
          <w:rFonts w:ascii="Times New Roman" w:hAnsi="Times New Roman"/>
          <w:b w:val="0"/>
          <w:i/>
          <w:sz w:val="24"/>
          <w:szCs w:val="24"/>
        </w:rPr>
        <w:lastRenderedPageBreak/>
        <w:t>standards and guidance</w:t>
      </w:r>
      <w:r w:rsidR="007E574B">
        <w:rPr>
          <w:rStyle w:val="FootnoteReference"/>
          <w:rFonts w:ascii="Times New Roman" w:hAnsi="Times New Roman"/>
          <w:b w:val="0"/>
          <w:sz w:val="24"/>
          <w:szCs w:val="24"/>
        </w:rPr>
        <w:footnoteReference w:id="3"/>
      </w:r>
      <w:r w:rsidR="004A14E0">
        <w:rPr>
          <w:rFonts w:ascii="Times New Roman" w:hAnsi="Times New Roman"/>
          <w:b w:val="0"/>
          <w:sz w:val="24"/>
          <w:szCs w:val="24"/>
        </w:rPr>
        <w:t xml:space="preserve">. </w:t>
      </w:r>
      <w:r w:rsidR="0020598A">
        <w:rPr>
          <w:rFonts w:ascii="Times New Roman" w:hAnsi="Times New Roman"/>
          <w:b w:val="0"/>
          <w:sz w:val="24"/>
          <w:szCs w:val="24"/>
        </w:rPr>
        <w:t>APRA included</w:t>
      </w:r>
      <w:r w:rsidR="0020598A" w:rsidRPr="000E7A4A">
        <w:rPr>
          <w:rFonts w:ascii="Times New Roman" w:hAnsi="Times New Roman"/>
          <w:b w:val="0"/>
          <w:sz w:val="24"/>
          <w:szCs w:val="24"/>
        </w:rPr>
        <w:t xml:space="preserve"> further guidance and clarification </w:t>
      </w:r>
      <w:r w:rsidR="0020598A">
        <w:rPr>
          <w:rFonts w:ascii="Times New Roman" w:hAnsi="Times New Roman"/>
          <w:b w:val="0"/>
          <w:sz w:val="24"/>
          <w:szCs w:val="24"/>
        </w:rPr>
        <w:t>in the reporting instructions and reporting practice guide as a result of consultation</w:t>
      </w:r>
      <w:r w:rsidR="0020598A" w:rsidRPr="000E7A4A">
        <w:rPr>
          <w:rFonts w:ascii="Times New Roman" w:hAnsi="Times New Roman"/>
          <w:b w:val="0"/>
          <w:sz w:val="24"/>
          <w:szCs w:val="24"/>
        </w:rPr>
        <w:t>.</w:t>
      </w:r>
    </w:p>
    <w:p w14:paraId="53D8EB30" w14:textId="77777777" w:rsidR="002436BD" w:rsidRDefault="00DF524E" w:rsidP="001A2234">
      <w:pPr>
        <w:pStyle w:val="Heading"/>
        <w:tabs>
          <w:tab w:val="left" w:pos="360"/>
        </w:tabs>
        <w:spacing w:after="240"/>
        <w:rPr>
          <w:rFonts w:ascii="Times New Roman" w:hAnsi="Times New Roman"/>
          <w:sz w:val="24"/>
          <w:szCs w:val="24"/>
        </w:rPr>
      </w:pPr>
      <w:bookmarkStart w:id="10" w:name="bkConsultation"/>
      <w:bookmarkStart w:id="11" w:name="bkRISNO"/>
      <w:bookmarkStart w:id="12" w:name="bkRIS"/>
      <w:bookmarkEnd w:id="10"/>
      <w:bookmarkEnd w:id="11"/>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p w14:paraId="43C369FA" w14:textId="070529AC" w:rsidR="002436BD" w:rsidRDefault="009B02DA" w:rsidP="001A2234">
      <w:pPr>
        <w:pStyle w:val="Heading"/>
        <w:spacing w:after="240"/>
        <w:rPr>
          <w:rFonts w:ascii="Times New Roman" w:hAnsi="Times New Roman"/>
          <w:b w:val="0"/>
          <w:sz w:val="24"/>
          <w:szCs w:val="24"/>
        </w:rPr>
      </w:pPr>
      <w:r w:rsidRPr="009B02DA">
        <w:rPr>
          <w:rFonts w:ascii="Times New Roman" w:hAnsi="Times New Roman"/>
          <w:b w:val="0"/>
          <w:sz w:val="24"/>
          <w:szCs w:val="24"/>
        </w:rPr>
        <w:t>The Office of Best Practice Regulation has advised that a Regulation Impact Statement is not required for these legislative instruments</w:t>
      </w:r>
      <w:r w:rsidR="00A279AF">
        <w:rPr>
          <w:rFonts w:ascii="Times New Roman" w:hAnsi="Times New Roman"/>
          <w:b w:val="0"/>
          <w:sz w:val="24"/>
          <w:szCs w:val="24"/>
        </w:rPr>
        <w:t>.</w:t>
      </w:r>
      <w:bookmarkEnd w:id="12"/>
    </w:p>
    <w:p w14:paraId="3359862D" w14:textId="77777777"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575541">
        <w:rPr>
          <w:rFonts w:ascii="Times New Roman" w:hAnsi="Times New Roman"/>
          <w:i/>
          <w:sz w:val="24"/>
          <w:szCs w:val="24"/>
        </w:rPr>
        <w:t>Human Rights (Parliamentary Scrutiny) Act 2011</w:t>
      </w:r>
    </w:p>
    <w:p w14:paraId="73679DCC" w14:textId="4BE4AEA7" w:rsidR="00864003" w:rsidRPr="00C02366"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778F8B34" w14:textId="77777777" w:rsidR="00864003" w:rsidRDefault="00864003">
      <w:pPr>
        <w:rPr>
          <w:b/>
          <w:sz w:val="26"/>
          <w:szCs w:val="22"/>
        </w:rPr>
      </w:pPr>
      <w:r>
        <w:br w:type="page"/>
      </w:r>
    </w:p>
    <w:p w14:paraId="6913D193" w14:textId="77777777" w:rsidR="00864003" w:rsidRPr="00F510E0" w:rsidRDefault="00864003" w:rsidP="00864003">
      <w:pPr>
        <w:spacing w:after="360"/>
        <w:outlineLvl w:val="0"/>
        <w:rPr>
          <w:rFonts w:ascii="Times New Roman" w:hAnsi="Times New Roman"/>
          <w:sz w:val="24"/>
          <w:szCs w:val="24"/>
          <w:u w:val="single"/>
        </w:rPr>
      </w:pPr>
      <w:r w:rsidRPr="00F510E0">
        <w:rPr>
          <w:rFonts w:ascii="Times New Roman" w:hAnsi="Times New Roman"/>
          <w:sz w:val="24"/>
          <w:szCs w:val="24"/>
          <w:u w:val="single"/>
        </w:rPr>
        <w:lastRenderedPageBreak/>
        <w:t>ATTACHMENT A</w:t>
      </w:r>
    </w:p>
    <w:p w14:paraId="20951FB5" w14:textId="77777777"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b/>
          <w:bCs/>
          <w:sz w:val="24"/>
          <w:szCs w:val="24"/>
        </w:rPr>
        <w:t>Statement of Compatibility with Human Rights</w:t>
      </w:r>
    </w:p>
    <w:p w14:paraId="13EE363A" w14:textId="77777777"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sz w:val="24"/>
          <w:szCs w:val="24"/>
        </w:rPr>
        <w:t xml:space="preserve">Prepared in accordance with Part 3 of the </w:t>
      </w:r>
      <w:r w:rsidRPr="007D54B9">
        <w:rPr>
          <w:rFonts w:ascii="Times New Roman" w:hAnsi="Times New Roman"/>
          <w:i/>
          <w:iCs/>
          <w:sz w:val="24"/>
          <w:szCs w:val="24"/>
        </w:rPr>
        <w:t>Human Rights (Parliamentary Scrutiny) Act 2011</w:t>
      </w:r>
    </w:p>
    <w:p w14:paraId="34A30FE2" w14:textId="7F224B9D"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b/>
          <w:bCs/>
          <w:sz w:val="24"/>
          <w:szCs w:val="24"/>
        </w:rPr>
        <w:t xml:space="preserve">Financial Sector (Collection of Data) (reporting standard) determination </w:t>
      </w:r>
      <w:r w:rsidR="00EE22FB" w:rsidRPr="00EE22FB">
        <w:rPr>
          <w:rFonts w:ascii="Times New Roman" w:hAnsi="Times New Roman"/>
          <w:b/>
          <w:sz w:val="24"/>
          <w:szCs w:val="24"/>
        </w:rPr>
        <w:t xml:space="preserve">Nos. </w:t>
      </w:r>
      <w:r w:rsidR="001B530A">
        <w:rPr>
          <w:rFonts w:ascii="Times New Roman" w:hAnsi="Times New Roman"/>
          <w:b/>
          <w:sz w:val="24"/>
          <w:szCs w:val="24"/>
        </w:rPr>
        <w:t>23 and 24</w:t>
      </w:r>
      <w:r w:rsidR="00EE22FB" w:rsidRPr="00EE22FB">
        <w:rPr>
          <w:rFonts w:ascii="Times New Roman" w:hAnsi="Times New Roman"/>
          <w:b/>
          <w:sz w:val="24"/>
          <w:szCs w:val="24"/>
        </w:rPr>
        <w:t xml:space="preserve"> of 2021</w:t>
      </w:r>
    </w:p>
    <w:p w14:paraId="6EA52F82" w14:textId="66BA8425"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sz w:val="24"/>
          <w:szCs w:val="24"/>
        </w:rPr>
        <w:t>Th</w:t>
      </w:r>
      <w:r w:rsidR="000E2BDB">
        <w:rPr>
          <w:rFonts w:ascii="Times New Roman" w:hAnsi="Times New Roman"/>
          <w:sz w:val="24"/>
          <w:szCs w:val="24"/>
        </w:rPr>
        <w:t>e</w:t>
      </w:r>
      <w:r w:rsidRPr="007D54B9">
        <w:rPr>
          <w:rFonts w:ascii="Times New Roman" w:hAnsi="Times New Roman"/>
          <w:sz w:val="24"/>
          <w:szCs w:val="24"/>
        </w:rPr>
        <w:t xml:space="preserve"> legislative instrument</w:t>
      </w:r>
      <w:r w:rsidR="000E2BDB">
        <w:rPr>
          <w:rFonts w:ascii="Times New Roman" w:hAnsi="Times New Roman"/>
          <w:sz w:val="24"/>
          <w:szCs w:val="24"/>
        </w:rPr>
        <w:t>s</w:t>
      </w:r>
      <w:r w:rsidRPr="007D54B9">
        <w:rPr>
          <w:rFonts w:ascii="Times New Roman" w:hAnsi="Times New Roman"/>
          <w:sz w:val="24"/>
          <w:szCs w:val="24"/>
        </w:rPr>
        <w:t xml:space="preserve"> </w:t>
      </w:r>
      <w:r w:rsidR="000E2BDB">
        <w:rPr>
          <w:rFonts w:ascii="Times New Roman" w:hAnsi="Times New Roman"/>
          <w:sz w:val="24"/>
          <w:szCs w:val="24"/>
        </w:rPr>
        <w:t>are</w:t>
      </w:r>
      <w:r w:rsidRPr="007D54B9">
        <w:rPr>
          <w:rFonts w:ascii="Times New Roman" w:hAnsi="Times New Roman"/>
          <w:sz w:val="24"/>
          <w:szCs w:val="24"/>
        </w:rPr>
        <w:t xml:space="preserve"> compatible with the human rights and freedoms recognised or declared in the international instruments listed in section 3 of the </w:t>
      </w:r>
      <w:r w:rsidRPr="007D54B9">
        <w:rPr>
          <w:rFonts w:ascii="Times New Roman" w:hAnsi="Times New Roman"/>
          <w:i/>
          <w:iCs/>
          <w:sz w:val="24"/>
          <w:szCs w:val="24"/>
        </w:rPr>
        <w:t>Human Rights (Parliamentary Scrutiny) Act 2011</w:t>
      </w:r>
      <w:r w:rsidRPr="007D54B9">
        <w:rPr>
          <w:rFonts w:ascii="Times New Roman" w:hAnsi="Times New Roman"/>
          <w:sz w:val="24"/>
          <w:szCs w:val="24"/>
        </w:rPr>
        <w:t xml:space="preserve"> (HRPS Act).</w:t>
      </w:r>
    </w:p>
    <w:p w14:paraId="521C8955" w14:textId="113827DE"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b/>
          <w:bCs/>
          <w:sz w:val="24"/>
          <w:szCs w:val="24"/>
        </w:rPr>
        <w:t>Overview of the Legislative Instrument</w:t>
      </w:r>
      <w:r w:rsidR="007E6166">
        <w:rPr>
          <w:rFonts w:ascii="Times New Roman" w:hAnsi="Times New Roman"/>
          <w:b/>
          <w:bCs/>
          <w:sz w:val="24"/>
          <w:szCs w:val="24"/>
        </w:rPr>
        <w:t>s</w:t>
      </w:r>
    </w:p>
    <w:p w14:paraId="2BCD6C81" w14:textId="17C6F6DD" w:rsidR="007D54B9" w:rsidRDefault="007D54B9" w:rsidP="000B5660">
      <w:pPr>
        <w:spacing w:after="240"/>
        <w:jc w:val="both"/>
        <w:rPr>
          <w:rFonts w:ascii="Times New Roman" w:hAnsi="Times New Roman"/>
          <w:sz w:val="24"/>
          <w:szCs w:val="24"/>
        </w:rPr>
      </w:pPr>
      <w:r w:rsidRPr="007D54B9">
        <w:rPr>
          <w:rFonts w:ascii="Times New Roman" w:hAnsi="Times New Roman"/>
          <w:sz w:val="24"/>
          <w:szCs w:val="24"/>
        </w:rPr>
        <w:t>The purpose of the instrument</w:t>
      </w:r>
      <w:r w:rsidR="000E2BDB">
        <w:rPr>
          <w:rFonts w:ascii="Times New Roman" w:hAnsi="Times New Roman"/>
          <w:sz w:val="24"/>
          <w:szCs w:val="24"/>
        </w:rPr>
        <w:t>s</w:t>
      </w:r>
      <w:r w:rsidRPr="007D54B9">
        <w:rPr>
          <w:rFonts w:ascii="Times New Roman" w:hAnsi="Times New Roman"/>
          <w:sz w:val="24"/>
          <w:szCs w:val="24"/>
        </w:rPr>
        <w:t xml:space="preserve"> </w:t>
      </w:r>
      <w:r w:rsidR="00887F52">
        <w:rPr>
          <w:rFonts w:ascii="Times New Roman" w:hAnsi="Times New Roman"/>
          <w:sz w:val="24"/>
          <w:szCs w:val="24"/>
        </w:rPr>
        <w:t>is</w:t>
      </w:r>
      <w:r w:rsidRPr="007D54B9">
        <w:rPr>
          <w:rFonts w:ascii="Times New Roman" w:hAnsi="Times New Roman"/>
          <w:sz w:val="24"/>
          <w:szCs w:val="24"/>
        </w:rPr>
        <w:t xml:space="preserve"> to</w:t>
      </w:r>
      <w:r w:rsidR="00E23211">
        <w:rPr>
          <w:rFonts w:ascii="Times New Roman" w:hAnsi="Times New Roman"/>
          <w:sz w:val="24"/>
          <w:szCs w:val="24"/>
        </w:rPr>
        <w:t xml:space="preserve"> </w:t>
      </w:r>
      <w:r w:rsidR="000B5660">
        <w:rPr>
          <w:rFonts w:ascii="Times New Roman" w:hAnsi="Times New Roman"/>
          <w:sz w:val="24"/>
          <w:szCs w:val="24"/>
        </w:rPr>
        <w:t xml:space="preserve">revoke </w:t>
      </w:r>
      <w:r w:rsidR="00D23AB0">
        <w:rPr>
          <w:rFonts w:ascii="Times New Roman" w:hAnsi="Times New Roman"/>
          <w:sz w:val="24"/>
          <w:szCs w:val="24"/>
        </w:rPr>
        <w:t xml:space="preserve">existing versions of </w:t>
      </w:r>
      <w:r w:rsidR="00D23AB0">
        <w:rPr>
          <w:rFonts w:ascii="Times New Roman" w:hAnsi="Times New Roman"/>
          <w:i/>
          <w:sz w:val="24"/>
          <w:szCs w:val="24"/>
        </w:rPr>
        <w:t xml:space="preserve">Reporting Standard ARS 701.0 ABS/RBA Definitions for the EFS Collection </w:t>
      </w:r>
      <w:r w:rsidR="00D23AB0">
        <w:rPr>
          <w:rFonts w:ascii="Times New Roman" w:hAnsi="Times New Roman"/>
          <w:sz w:val="24"/>
          <w:szCs w:val="24"/>
        </w:rPr>
        <w:t xml:space="preserve">(ARS 701.0) and </w:t>
      </w:r>
      <w:r w:rsidR="00D23AB0" w:rsidRPr="00995BE3">
        <w:rPr>
          <w:rFonts w:ascii="Times New Roman" w:hAnsi="Times New Roman"/>
          <w:i/>
          <w:iCs/>
          <w:color w:val="000000"/>
          <w:sz w:val="24"/>
          <w:szCs w:val="24"/>
          <w:shd w:val="clear" w:color="auto" w:fill="FFFFFF"/>
        </w:rPr>
        <w:t>Reporting Standard RRS 710.0 ABS/RBA Audit Requirements for Registered Financial Corporations</w:t>
      </w:r>
      <w:r w:rsidR="00D23AB0" w:rsidRPr="00995BE3">
        <w:rPr>
          <w:rFonts w:ascii="Times New Roman" w:hAnsi="Times New Roman"/>
          <w:color w:val="000000"/>
          <w:sz w:val="24"/>
          <w:szCs w:val="24"/>
          <w:shd w:val="clear" w:color="auto" w:fill="FFFFFF"/>
        </w:rPr>
        <w:t> </w:t>
      </w:r>
      <w:r w:rsidR="00D23AB0" w:rsidRPr="00995BE3">
        <w:rPr>
          <w:rFonts w:ascii="Times New Roman" w:hAnsi="Times New Roman"/>
          <w:i/>
          <w:iCs/>
          <w:color w:val="000000"/>
          <w:sz w:val="24"/>
          <w:szCs w:val="24"/>
          <w:shd w:val="clear" w:color="auto" w:fill="FFFFFF"/>
        </w:rPr>
        <w:t>– EFS collection </w:t>
      </w:r>
      <w:r w:rsidR="00D23AB0" w:rsidRPr="00995BE3">
        <w:rPr>
          <w:rFonts w:ascii="Times New Roman" w:hAnsi="Times New Roman"/>
          <w:color w:val="000000"/>
          <w:sz w:val="24"/>
          <w:szCs w:val="24"/>
          <w:shd w:val="clear" w:color="auto" w:fill="FFFFFF"/>
        </w:rPr>
        <w:t>(RRS 710.0)</w:t>
      </w:r>
      <w:r w:rsidR="00D23AB0">
        <w:rPr>
          <w:rFonts w:ascii="Times New Roman" w:hAnsi="Times New Roman"/>
          <w:color w:val="000000"/>
          <w:sz w:val="24"/>
          <w:szCs w:val="24"/>
          <w:shd w:val="clear" w:color="auto" w:fill="FFFFFF"/>
        </w:rPr>
        <w:t xml:space="preserve"> and determine new versions of ARS 701.0 and RRS 710.0</w:t>
      </w:r>
      <w:r w:rsidR="000B5660" w:rsidRPr="007E6166">
        <w:rPr>
          <w:rFonts w:ascii="Times New Roman" w:hAnsi="Times New Roman"/>
          <w:sz w:val="24"/>
          <w:szCs w:val="24"/>
        </w:rPr>
        <w:t xml:space="preserve">. </w:t>
      </w:r>
    </w:p>
    <w:p w14:paraId="2E3ECC20" w14:textId="59603F31" w:rsidR="00D23AB0" w:rsidRPr="00995BE3" w:rsidRDefault="00D23AB0" w:rsidP="000B5660">
      <w:pPr>
        <w:spacing w:after="240"/>
        <w:jc w:val="both"/>
        <w:rPr>
          <w:rFonts w:ascii="Times New Roman" w:hAnsi="Times New Roman"/>
          <w:color w:val="000000"/>
          <w:sz w:val="24"/>
          <w:szCs w:val="24"/>
          <w:shd w:val="clear" w:color="auto" w:fill="FFFFFF"/>
        </w:rPr>
      </w:pPr>
      <w:r w:rsidRPr="00995BE3">
        <w:rPr>
          <w:rFonts w:ascii="Times New Roman" w:hAnsi="Times New Roman"/>
          <w:color w:val="000000"/>
          <w:sz w:val="24"/>
          <w:szCs w:val="24"/>
          <w:shd w:val="clear" w:color="auto" w:fill="FFFFFF"/>
        </w:rPr>
        <w:t>ARS 701.0 provides definitions of key terms and concepts used throughout the Economic and Financial Statistics (EFS) collection. The EFS collection sets out requirements for authorised deposit-taking institutions and registered financial corporations to report key data to APRA on their domestic operations.</w:t>
      </w:r>
    </w:p>
    <w:p w14:paraId="5C652772" w14:textId="4DF814F2" w:rsidR="00D23AB0" w:rsidRPr="007E6166" w:rsidRDefault="00D23AB0" w:rsidP="000B5660">
      <w:pPr>
        <w:spacing w:after="240"/>
        <w:jc w:val="both"/>
        <w:rPr>
          <w:rFonts w:ascii="Times New Roman" w:hAnsi="Times New Roman"/>
          <w:sz w:val="24"/>
          <w:szCs w:val="24"/>
        </w:rPr>
      </w:pPr>
      <w:r w:rsidRPr="00995BE3">
        <w:rPr>
          <w:rFonts w:ascii="Times New Roman" w:hAnsi="Times New Roman"/>
          <w:color w:val="000000"/>
          <w:sz w:val="24"/>
          <w:szCs w:val="24"/>
          <w:shd w:val="clear" w:color="auto" w:fill="FFFFFF"/>
        </w:rPr>
        <w:t>RRS 710.0 sets out requirements for a Registered Financial Corporations (RFCs) to ensure that APRA, the RBA and the ABS have access to the provision of independent advice on the information and internal controls of RFCs’ EFS data.</w:t>
      </w:r>
    </w:p>
    <w:p w14:paraId="3C45F39E" w14:textId="77777777" w:rsidR="007D54B9" w:rsidRPr="007D54B9" w:rsidRDefault="007D54B9" w:rsidP="007D54B9">
      <w:pPr>
        <w:spacing w:after="240"/>
        <w:jc w:val="both"/>
        <w:rPr>
          <w:rFonts w:ascii="Times New Roman" w:hAnsi="Times New Roman"/>
          <w:sz w:val="24"/>
          <w:szCs w:val="24"/>
          <w:lang w:val="en-US"/>
        </w:rPr>
      </w:pPr>
      <w:r w:rsidRPr="007D54B9">
        <w:rPr>
          <w:rFonts w:ascii="Times New Roman" w:hAnsi="Times New Roman"/>
          <w:b/>
          <w:bCs/>
          <w:sz w:val="24"/>
          <w:szCs w:val="24"/>
        </w:rPr>
        <w:t>Human rights implications</w:t>
      </w:r>
    </w:p>
    <w:p w14:paraId="629FC193" w14:textId="42FE4C43" w:rsidR="007D54B9" w:rsidRPr="007D54B9" w:rsidRDefault="007D54B9" w:rsidP="007D54B9">
      <w:pPr>
        <w:keepNext/>
        <w:shd w:val="clear" w:color="auto" w:fill="FFFFFF"/>
        <w:spacing w:before="100" w:beforeAutospacing="1" w:after="240"/>
        <w:jc w:val="both"/>
        <w:rPr>
          <w:rFonts w:ascii="Times New Roman" w:hAnsi="Times New Roman"/>
          <w:sz w:val="24"/>
          <w:szCs w:val="24"/>
        </w:rPr>
      </w:pPr>
      <w:r w:rsidRPr="007D54B9">
        <w:rPr>
          <w:rFonts w:ascii="Times New Roman" w:hAnsi="Times New Roman"/>
          <w:sz w:val="24"/>
          <w:szCs w:val="24"/>
        </w:rPr>
        <w:t>APRA has assessed the instrument</w:t>
      </w:r>
      <w:r w:rsidR="000E2BDB">
        <w:rPr>
          <w:rFonts w:ascii="Times New Roman" w:hAnsi="Times New Roman"/>
          <w:sz w:val="24"/>
          <w:szCs w:val="24"/>
        </w:rPr>
        <w:t>s</w:t>
      </w:r>
      <w:r w:rsidRPr="007D54B9">
        <w:rPr>
          <w:rFonts w:ascii="Times New Roman" w:hAnsi="Times New Roman"/>
          <w:sz w:val="24"/>
          <w:szCs w:val="24"/>
        </w:rPr>
        <w:t xml:space="preserve"> and is of the view that </w:t>
      </w:r>
      <w:r w:rsidR="000E2BDB">
        <w:rPr>
          <w:rFonts w:ascii="Times New Roman" w:hAnsi="Times New Roman"/>
          <w:sz w:val="24"/>
          <w:szCs w:val="24"/>
        </w:rPr>
        <w:t>the instruments</w:t>
      </w:r>
      <w:r w:rsidRPr="007D54B9">
        <w:rPr>
          <w:rFonts w:ascii="Times New Roman" w:hAnsi="Times New Roman"/>
          <w:sz w:val="24"/>
          <w:szCs w:val="24"/>
        </w:rPr>
        <w:t xml:space="preserve"> do not engage any of the applicable rights or freedoms recognised or declared in the international instruments listed in section 3 of the HRPS Act. Accordingly, in APRA’s assessment, the instrument</w:t>
      </w:r>
      <w:r w:rsidR="000E2BDB">
        <w:rPr>
          <w:rFonts w:ascii="Times New Roman" w:hAnsi="Times New Roman"/>
          <w:sz w:val="24"/>
          <w:szCs w:val="24"/>
        </w:rPr>
        <w:t>s are</w:t>
      </w:r>
      <w:r w:rsidRPr="007D54B9">
        <w:rPr>
          <w:rFonts w:ascii="Times New Roman" w:hAnsi="Times New Roman"/>
          <w:sz w:val="24"/>
          <w:szCs w:val="24"/>
        </w:rPr>
        <w:t xml:space="preserve"> compatible with human rights.</w:t>
      </w:r>
    </w:p>
    <w:p w14:paraId="25D201B1" w14:textId="77777777"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b/>
          <w:bCs/>
          <w:sz w:val="24"/>
          <w:szCs w:val="24"/>
        </w:rPr>
        <w:t>Conclusion</w:t>
      </w:r>
    </w:p>
    <w:p w14:paraId="04979C40" w14:textId="128E2CCB" w:rsidR="007D54B9" w:rsidRPr="007D54B9" w:rsidRDefault="007D54B9" w:rsidP="007D54B9">
      <w:pPr>
        <w:shd w:val="clear" w:color="auto" w:fill="FFFFFF"/>
        <w:spacing w:before="100" w:beforeAutospacing="1" w:after="240"/>
        <w:rPr>
          <w:rFonts w:ascii="Times New Roman" w:hAnsi="Times New Roman"/>
          <w:sz w:val="24"/>
          <w:szCs w:val="24"/>
          <w:lang w:val="en-US"/>
        </w:rPr>
      </w:pPr>
      <w:r w:rsidRPr="007D54B9">
        <w:rPr>
          <w:rFonts w:ascii="Times New Roman" w:hAnsi="Times New Roman"/>
          <w:sz w:val="24"/>
          <w:szCs w:val="24"/>
        </w:rPr>
        <w:t>The legislative instrument</w:t>
      </w:r>
      <w:r w:rsidR="00EC10D5">
        <w:rPr>
          <w:rFonts w:ascii="Times New Roman" w:hAnsi="Times New Roman"/>
          <w:sz w:val="24"/>
          <w:szCs w:val="24"/>
        </w:rPr>
        <w:t>s are</w:t>
      </w:r>
      <w:r w:rsidRPr="007D54B9">
        <w:rPr>
          <w:rFonts w:ascii="Times New Roman" w:hAnsi="Times New Roman"/>
          <w:sz w:val="24"/>
          <w:szCs w:val="24"/>
        </w:rPr>
        <w:t xml:space="preserve"> compatible with human rights as </w:t>
      </w:r>
      <w:r w:rsidR="00EC10D5">
        <w:rPr>
          <w:rFonts w:ascii="Times New Roman" w:hAnsi="Times New Roman"/>
          <w:sz w:val="24"/>
          <w:szCs w:val="24"/>
        </w:rPr>
        <w:t>the instruments</w:t>
      </w:r>
      <w:r w:rsidRPr="007D54B9">
        <w:rPr>
          <w:rFonts w:ascii="Times New Roman" w:hAnsi="Times New Roman"/>
          <w:sz w:val="24"/>
          <w:szCs w:val="24"/>
        </w:rPr>
        <w:t xml:space="preserve"> do not raise any human rights issues.</w:t>
      </w:r>
    </w:p>
    <w:p w14:paraId="6E05734B" w14:textId="1DC819DE" w:rsidR="00864003" w:rsidRPr="00F510E0" w:rsidRDefault="00864003" w:rsidP="007D54B9">
      <w:pPr>
        <w:shd w:val="clear" w:color="auto" w:fill="FFFFFF"/>
        <w:spacing w:before="100" w:beforeAutospacing="1" w:after="240"/>
        <w:jc w:val="center"/>
        <w:rPr>
          <w:rFonts w:ascii="Times New Roman" w:hAnsi="Times New Roman"/>
          <w:sz w:val="24"/>
          <w:szCs w:val="24"/>
        </w:rPr>
      </w:pPr>
    </w:p>
    <w:sectPr w:rsidR="00864003" w:rsidRPr="00F510E0"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0901" w14:textId="77777777" w:rsidR="00080677" w:rsidRDefault="00080677" w:rsidP="001A2234">
      <w:r>
        <w:separator/>
      </w:r>
    </w:p>
  </w:endnote>
  <w:endnote w:type="continuationSeparator" w:id="0">
    <w:p w14:paraId="2D03F0DF" w14:textId="77777777" w:rsidR="00080677" w:rsidRDefault="00080677" w:rsidP="001A2234">
      <w:r>
        <w:continuationSeparator/>
      </w:r>
    </w:p>
  </w:endnote>
  <w:endnote w:type="continuationNotice" w:id="1">
    <w:p w14:paraId="256AAE43" w14:textId="77777777" w:rsidR="00080677" w:rsidRDefault="00080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4F8C0C99" w14:textId="77777777" w:rsidR="00080677" w:rsidRPr="001A2234" w:rsidRDefault="00080677"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Pr>
            <w:rFonts w:ascii="Times New Roman" w:hAnsi="Times New Roman"/>
            <w:bCs/>
            <w:noProof/>
            <w:sz w:val="24"/>
            <w:szCs w:val="24"/>
          </w:rPr>
          <w:t>3</w:t>
        </w:r>
        <w:r w:rsidRPr="001A2234">
          <w:rPr>
            <w:rFonts w:ascii="Times New Roman" w:hAnsi="Times New Roman"/>
            <w:bCs/>
            <w:sz w:val="24"/>
            <w:szCs w:val="24"/>
          </w:rPr>
          <w:fldChar w:fldCharType="end"/>
        </w:r>
      </w:p>
    </w:sdtContent>
  </w:sdt>
  <w:p w14:paraId="4ACC2704" w14:textId="77777777" w:rsidR="00080677" w:rsidRDefault="00080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B36C4" w14:textId="77777777" w:rsidR="00080677" w:rsidRDefault="00080677" w:rsidP="001A2234">
      <w:r>
        <w:separator/>
      </w:r>
    </w:p>
  </w:footnote>
  <w:footnote w:type="continuationSeparator" w:id="0">
    <w:p w14:paraId="14858335" w14:textId="77777777" w:rsidR="00080677" w:rsidRDefault="00080677" w:rsidP="001A2234">
      <w:r>
        <w:continuationSeparator/>
      </w:r>
    </w:p>
  </w:footnote>
  <w:footnote w:type="continuationNotice" w:id="1">
    <w:p w14:paraId="70CA013A" w14:textId="77777777" w:rsidR="00080677" w:rsidRDefault="00080677"/>
  </w:footnote>
  <w:footnote w:id="2">
    <w:p w14:paraId="7F421D90" w14:textId="77777777" w:rsidR="00080677" w:rsidRPr="00AF72B8" w:rsidRDefault="00080677" w:rsidP="007E6166">
      <w:pPr>
        <w:pStyle w:val="FootnoteText"/>
        <w:rPr>
          <w:rFonts w:ascii="Arial" w:hAnsi="Arial" w:cs="Arial"/>
          <w:sz w:val="18"/>
          <w:szCs w:val="18"/>
        </w:rPr>
      </w:pPr>
      <w:r w:rsidRPr="00AF72B8">
        <w:rPr>
          <w:rStyle w:val="FootnoteReference"/>
          <w:rFonts w:ascii="Arial" w:hAnsi="Arial" w:cs="Arial"/>
          <w:sz w:val="18"/>
          <w:szCs w:val="18"/>
        </w:rPr>
        <w:footnoteRef/>
      </w:r>
      <w:r w:rsidRPr="00AF72B8">
        <w:rPr>
          <w:rFonts w:ascii="Arial" w:hAnsi="Arial" w:cs="Arial"/>
          <w:sz w:val="18"/>
          <w:szCs w:val="18"/>
        </w:rPr>
        <w:t xml:space="preserve"> </w:t>
      </w:r>
      <w:hyperlink r:id="rId1" w:history="1">
        <w:r w:rsidRPr="00AF72B8">
          <w:rPr>
            <w:rStyle w:val="Hyperlink"/>
            <w:rFonts w:ascii="Arial" w:hAnsi="Arial" w:cs="Arial"/>
            <w:sz w:val="18"/>
            <w:szCs w:val="18"/>
          </w:rPr>
          <w:t>Proposed changes to modernised Economic and Financial Statistics (EFS) reporting standards and guidance | APRA</w:t>
        </w:r>
      </w:hyperlink>
      <w:r w:rsidRPr="00AF72B8">
        <w:rPr>
          <w:rFonts w:ascii="Arial" w:hAnsi="Arial" w:cs="Arial"/>
          <w:sz w:val="18"/>
          <w:szCs w:val="18"/>
        </w:rPr>
        <w:t xml:space="preserve"> &lt;</w:t>
      </w:r>
      <w:hyperlink r:id="rId2" w:history="1">
        <w:r w:rsidRPr="00AF72B8">
          <w:rPr>
            <w:rStyle w:val="Hyperlink"/>
            <w:rFonts w:ascii="Arial" w:hAnsi="Arial" w:cs="Arial"/>
            <w:sz w:val="18"/>
            <w:szCs w:val="18"/>
          </w:rPr>
          <w:t>https://www.apra.gov.au/proposed-changes-to-modernised-economic-and-financial-statistics-efs-reporting-standards-and-0</w:t>
        </w:r>
      </w:hyperlink>
      <w:r w:rsidRPr="00AF72B8">
        <w:rPr>
          <w:rFonts w:ascii="Arial" w:hAnsi="Arial" w:cs="Arial"/>
          <w:sz w:val="18"/>
          <w:szCs w:val="18"/>
        </w:rPr>
        <w:t>&gt;.</w:t>
      </w:r>
    </w:p>
  </w:footnote>
  <w:footnote w:id="3">
    <w:p w14:paraId="1E0A947D" w14:textId="77777777" w:rsidR="00080677" w:rsidRDefault="00080677" w:rsidP="007E574B">
      <w:pPr>
        <w:pStyle w:val="FootnoteText"/>
      </w:pPr>
      <w:r w:rsidRPr="004950D3">
        <w:rPr>
          <w:rStyle w:val="FootnoteReference"/>
          <w:rFonts w:ascii="Arial" w:hAnsi="Arial" w:cs="Arial"/>
          <w:sz w:val="18"/>
          <w:szCs w:val="18"/>
        </w:rPr>
        <w:footnoteRef/>
      </w:r>
      <w:r w:rsidRPr="004950D3">
        <w:rPr>
          <w:rFonts w:ascii="Arial" w:hAnsi="Arial" w:cs="Arial"/>
          <w:sz w:val="18"/>
          <w:szCs w:val="18"/>
        </w:rPr>
        <w:t xml:space="preserve"> </w:t>
      </w:r>
      <w:hyperlink r:id="rId3" w:history="1">
        <w:r w:rsidRPr="004950D3">
          <w:rPr>
            <w:rStyle w:val="Hyperlink"/>
            <w:rFonts w:ascii="Arial" w:hAnsi="Arial" w:cs="Arial"/>
            <w:sz w:val="18"/>
            <w:szCs w:val="18"/>
          </w:rPr>
          <w:t>Response to submissions: Proposed changes to modernised Economic and Financial Statistics (EFS) reporting standards and guidance | APRA</w:t>
        </w:r>
      </w:hyperlink>
      <w:r w:rsidRPr="004950D3">
        <w:rPr>
          <w:rFonts w:ascii="Arial" w:hAnsi="Arial" w:cs="Arial"/>
          <w:sz w:val="18"/>
          <w:szCs w:val="18"/>
        </w:rPr>
        <w:t xml:space="preserve"> &lt;</w:t>
      </w:r>
      <w:hyperlink r:id="rId4" w:history="1">
        <w:r w:rsidRPr="004950D3">
          <w:rPr>
            <w:rStyle w:val="Hyperlink"/>
            <w:rFonts w:ascii="Arial" w:hAnsi="Arial" w:cs="Arial"/>
            <w:sz w:val="18"/>
            <w:szCs w:val="18"/>
          </w:rPr>
          <w:t>https://www.apra.gov.au/response-to-submissions-proposed-changes-to-modernised-economic-and-financial-statistics-efs</w:t>
        </w:r>
      </w:hyperlink>
      <w:r w:rsidRPr="004950D3">
        <w:rPr>
          <w:rFonts w:ascii="Arial" w:hAnsi="Arial" w:cs="Arial"/>
          <w:sz w:val="18"/>
          <w:szCs w:val="18"/>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36DF369A"/>
    <w:multiLevelType w:val="hybridMultilevel"/>
    <w:tmpl w:val="D62C1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D15727"/>
    <w:multiLevelType w:val="hybridMultilevel"/>
    <w:tmpl w:val="5A4E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207F31"/>
    <w:multiLevelType w:val="hybridMultilevel"/>
    <w:tmpl w:val="7A2A0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C610CE"/>
    <w:multiLevelType w:val="hybridMultilevel"/>
    <w:tmpl w:val="CFEC1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0B7F57"/>
    <w:multiLevelType w:val="hybridMultilevel"/>
    <w:tmpl w:val="0A1E8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B3711C"/>
    <w:multiLevelType w:val="hybridMultilevel"/>
    <w:tmpl w:val="31FCF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B17A3F"/>
    <w:multiLevelType w:val="multilevel"/>
    <w:tmpl w:val="4218048E"/>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3F66B9"/>
    <w:multiLevelType w:val="hybridMultilevel"/>
    <w:tmpl w:val="3DCE9A3C"/>
    <w:lvl w:ilvl="0" w:tplc="6F8CE888">
      <w:start w:val="1"/>
      <w:numFmt w:val="decimal"/>
      <w:lvlText w:val="(%1)"/>
      <w:lvlJc w:val="left"/>
      <w:pPr>
        <w:ind w:left="1080" w:hanging="360"/>
      </w:pPr>
      <w:rPr>
        <w:rFonts w:hint="default"/>
      </w:rPr>
    </w:lvl>
    <w:lvl w:ilvl="1" w:tplc="C332E7C6">
      <w:start w:val="1"/>
      <w:numFmt w:val="lowerLetter"/>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1"/>
  </w:num>
  <w:num w:numId="3">
    <w:abstractNumId w:val="13"/>
  </w:num>
  <w:num w:numId="4">
    <w:abstractNumId w:val="3"/>
  </w:num>
  <w:num w:numId="5">
    <w:abstractNumId w:val="4"/>
  </w:num>
  <w:num w:numId="6">
    <w:abstractNumId w:val="2"/>
  </w:num>
  <w:num w:numId="7">
    <w:abstractNumId w:val="6"/>
  </w:num>
  <w:num w:numId="8">
    <w:abstractNumId w:val="5"/>
  </w:num>
  <w:num w:numId="9">
    <w:abstractNumId w:val="9"/>
  </w:num>
  <w:num w:numId="10">
    <w:abstractNumId w:val="14"/>
  </w:num>
  <w:num w:numId="11">
    <w:abstractNumId w:val="15"/>
  </w:num>
  <w:num w:numId="12">
    <w:abstractNumId w:val="0"/>
  </w:num>
  <w:num w:numId="13">
    <w:abstractNumId w:val="8"/>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03A57"/>
    <w:rsid w:val="00004E0C"/>
    <w:rsid w:val="00010A0B"/>
    <w:rsid w:val="00013534"/>
    <w:rsid w:val="00022BE7"/>
    <w:rsid w:val="000243C4"/>
    <w:rsid w:val="000269E8"/>
    <w:rsid w:val="000304AA"/>
    <w:rsid w:val="00033B31"/>
    <w:rsid w:val="000401FC"/>
    <w:rsid w:val="000457E4"/>
    <w:rsid w:val="000559AF"/>
    <w:rsid w:val="00074BB4"/>
    <w:rsid w:val="00074CEB"/>
    <w:rsid w:val="00076618"/>
    <w:rsid w:val="00080677"/>
    <w:rsid w:val="00083727"/>
    <w:rsid w:val="0008681E"/>
    <w:rsid w:val="00087248"/>
    <w:rsid w:val="000979B1"/>
    <w:rsid w:val="00097A59"/>
    <w:rsid w:val="000A1787"/>
    <w:rsid w:val="000A5AA9"/>
    <w:rsid w:val="000B14BD"/>
    <w:rsid w:val="000B5660"/>
    <w:rsid w:val="000B5BB6"/>
    <w:rsid w:val="000D0015"/>
    <w:rsid w:val="000D143F"/>
    <w:rsid w:val="000D3451"/>
    <w:rsid w:val="000D76DC"/>
    <w:rsid w:val="000E0FF5"/>
    <w:rsid w:val="000E15E6"/>
    <w:rsid w:val="000E20F6"/>
    <w:rsid w:val="000E2BDB"/>
    <w:rsid w:val="000E369C"/>
    <w:rsid w:val="000E3A02"/>
    <w:rsid w:val="000E6D7E"/>
    <w:rsid w:val="000E7A4A"/>
    <w:rsid w:val="000F4125"/>
    <w:rsid w:val="001062E7"/>
    <w:rsid w:val="00113307"/>
    <w:rsid w:val="0011393A"/>
    <w:rsid w:val="00117D61"/>
    <w:rsid w:val="00122C95"/>
    <w:rsid w:val="00126870"/>
    <w:rsid w:val="00132748"/>
    <w:rsid w:val="00134D2D"/>
    <w:rsid w:val="00137F0E"/>
    <w:rsid w:val="00140960"/>
    <w:rsid w:val="00142358"/>
    <w:rsid w:val="00143FBB"/>
    <w:rsid w:val="00151AD5"/>
    <w:rsid w:val="00156332"/>
    <w:rsid w:val="001574C3"/>
    <w:rsid w:val="00157FF6"/>
    <w:rsid w:val="00162333"/>
    <w:rsid w:val="0016436B"/>
    <w:rsid w:val="0016652D"/>
    <w:rsid w:val="001670B6"/>
    <w:rsid w:val="001810E0"/>
    <w:rsid w:val="0018173C"/>
    <w:rsid w:val="00182FA1"/>
    <w:rsid w:val="0018346E"/>
    <w:rsid w:val="00185387"/>
    <w:rsid w:val="001870BD"/>
    <w:rsid w:val="00187486"/>
    <w:rsid w:val="00191481"/>
    <w:rsid w:val="001947CA"/>
    <w:rsid w:val="00194899"/>
    <w:rsid w:val="001A075E"/>
    <w:rsid w:val="001A2234"/>
    <w:rsid w:val="001A2ADB"/>
    <w:rsid w:val="001B2A41"/>
    <w:rsid w:val="001B530A"/>
    <w:rsid w:val="001C2D20"/>
    <w:rsid w:val="001C310E"/>
    <w:rsid w:val="001C463B"/>
    <w:rsid w:val="001E4FD3"/>
    <w:rsid w:val="001F2777"/>
    <w:rsid w:val="001F6192"/>
    <w:rsid w:val="0020598A"/>
    <w:rsid w:val="0021596D"/>
    <w:rsid w:val="00225D0F"/>
    <w:rsid w:val="00230B05"/>
    <w:rsid w:val="00234EEF"/>
    <w:rsid w:val="002436BD"/>
    <w:rsid w:val="00245634"/>
    <w:rsid w:val="00246723"/>
    <w:rsid w:val="00250B62"/>
    <w:rsid w:val="00264B90"/>
    <w:rsid w:val="00267087"/>
    <w:rsid w:val="00275936"/>
    <w:rsid w:val="00277E16"/>
    <w:rsid w:val="00281F8F"/>
    <w:rsid w:val="00283FF6"/>
    <w:rsid w:val="00285923"/>
    <w:rsid w:val="00291EEA"/>
    <w:rsid w:val="00294ADD"/>
    <w:rsid w:val="002A0F07"/>
    <w:rsid w:val="002A5F5F"/>
    <w:rsid w:val="002A73BD"/>
    <w:rsid w:val="002B526C"/>
    <w:rsid w:val="002B5971"/>
    <w:rsid w:val="002C0701"/>
    <w:rsid w:val="002C2806"/>
    <w:rsid w:val="002C7948"/>
    <w:rsid w:val="002D0429"/>
    <w:rsid w:val="002D4BAF"/>
    <w:rsid w:val="002D7C33"/>
    <w:rsid w:val="002F123D"/>
    <w:rsid w:val="002F70A2"/>
    <w:rsid w:val="00300EEF"/>
    <w:rsid w:val="003015DA"/>
    <w:rsid w:val="0030506B"/>
    <w:rsid w:val="00305648"/>
    <w:rsid w:val="00305A9C"/>
    <w:rsid w:val="00305E5F"/>
    <w:rsid w:val="00310CF8"/>
    <w:rsid w:val="0032483C"/>
    <w:rsid w:val="00331ED2"/>
    <w:rsid w:val="00333172"/>
    <w:rsid w:val="00333AAB"/>
    <w:rsid w:val="0033665C"/>
    <w:rsid w:val="00341B48"/>
    <w:rsid w:val="00341DA7"/>
    <w:rsid w:val="00343074"/>
    <w:rsid w:val="00343D8A"/>
    <w:rsid w:val="003509F8"/>
    <w:rsid w:val="0035215A"/>
    <w:rsid w:val="00352654"/>
    <w:rsid w:val="00354CB8"/>
    <w:rsid w:val="00357500"/>
    <w:rsid w:val="003609B7"/>
    <w:rsid w:val="003612D5"/>
    <w:rsid w:val="00361F8E"/>
    <w:rsid w:val="0036419F"/>
    <w:rsid w:val="0036534B"/>
    <w:rsid w:val="00366055"/>
    <w:rsid w:val="00366392"/>
    <w:rsid w:val="00380068"/>
    <w:rsid w:val="00382846"/>
    <w:rsid w:val="003843DB"/>
    <w:rsid w:val="00384D39"/>
    <w:rsid w:val="00385F12"/>
    <w:rsid w:val="003866AD"/>
    <w:rsid w:val="00393457"/>
    <w:rsid w:val="00396D2C"/>
    <w:rsid w:val="003977AE"/>
    <w:rsid w:val="003A2840"/>
    <w:rsid w:val="003A52A5"/>
    <w:rsid w:val="003A652F"/>
    <w:rsid w:val="003B09ED"/>
    <w:rsid w:val="003B1BE0"/>
    <w:rsid w:val="003C18BE"/>
    <w:rsid w:val="003C2529"/>
    <w:rsid w:val="003C7B27"/>
    <w:rsid w:val="003D5032"/>
    <w:rsid w:val="003E269D"/>
    <w:rsid w:val="003E4F75"/>
    <w:rsid w:val="003E74CF"/>
    <w:rsid w:val="003E77C3"/>
    <w:rsid w:val="003F1F60"/>
    <w:rsid w:val="003F7007"/>
    <w:rsid w:val="003F712D"/>
    <w:rsid w:val="0040175E"/>
    <w:rsid w:val="00404BBB"/>
    <w:rsid w:val="00405B27"/>
    <w:rsid w:val="00407BAB"/>
    <w:rsid w:val="00411387"/>
    <w:rsid w:val="004139D9"/>
    <w:rsid w:val="004145BC"/>
    <w:rsid w:val="00420DB0"/>
    <w:rsid w:val="00422164"/>
    <w:rsid w:val="00425D5C"/>
    <w:rsid w:val="00426D24"/>
    <w:rsid w:val="004275FF"/>
    <w:rsid w:val="00427A88"/>
    <w:rsid w:val="004324C9"/>
    <w:rsid w:val="00434568"/>
    <w:rsid w:val="00435131"/>
    <w:rsid w:val="0043679F"/>
    <w:rsid w:val="00443A02"/>
    <w:rsid w:val="004455DC"/>
    <w:rsid w:val="00453D19"/>
    <w:rsid w:val="00453D3C"/>
    <w:rsid w:val="00456BE0"/>
    <w:rsid w:val="004571DA"/>
    <w:rsid w:val="00464570"/>
    <w:rsid w:val="00473A51"/>
    <w:rsid w:val="004776F6"/>
    <w:rsid w:val="00481AC4"/>
    <w:rsid w:val="00482857"/>
    <w:rsid w:val="00482F85"/>
    <w:rsid w:val="00491310"/>
    <w:rsid w:val="00493583"/>
    <w:rsid w:val="004937A3"/>
    <w:rsid w:val="004A14E0"/>
    <w:rsid w:val="004A358E"/>
    <w:rsid w:val="004A707E"/>
    <w:rsid w:val="004B3BAA"/>
    <w:rsid w:val="004C3D07"/>
    <w:rsid w:val="004C5BC3"/>
    <w:rsid w:val="004C7E36"/>
    <w:rsid w:val="004E2008"/>
    <w:rsid w:val="004E5201"/>
    <w:rsid w:val="004E6D9E"/>
    <w:rsid w:val="004F2722"/>
    <w:rsid w:val="004F2954"/>
    <w:rsid w:val="004F29DC"/>
    <w:rsid w:val="004F3323"/>
    <w:rsid w:val="004F70BE"/>
    <w:rsid w:val="005002DD"/>
    <w:rsid w:val="00511825"/>
    <w:rsid w:val="00514AE1"/>
    <w:rsid w:val="005152C0"/>
    <w:rsid w:val="0051575B"/>
    <w:rsid w:val="00520F14"/>
    <w:rsid w:val="005318E1"/>
    <w:rsid w:val="005373BC"/>
    <w:rsid w:val="00540092"/>
    <w:rsid w:val="0054111E"/>
    <w:rsid w:val="00541A8B"/>
    <w:rsid w:val="00545F91"/>
    <w:rsid w:val="00546DC7"/>
    <w:rsid w:val="005502D1"/>
    <w:rsid w:val="00552287"/>
    <w:rsid w:val="005568DD"/>
    <w:rsid w:val="00556D12"/>
    <w:rsid w:val="0056141D"/>
    <w:rsid w:val="00561601"/>
    <w:rsid w:val="00561FB7"/>
    <w:rsid w:val="005633DE"/>
    <w:rsid w:val="005638DE"/>
    <w:rsid w:val="005666AB"/>
    <w:rsid w:val="00566B0B"/>
    <w:rsid w:val="005706B1"/>
    <w:rsid w:val="005711FF"/>
    <w:rsid w:val="00573EED"/>
    <w:rsid w:val="00575541"/>
    <w:rsid w:val="00580FC3"/>
    <w:rsid w:val="00583F21"/>
    <w:rsid w:val="00585BF8"/>
    <w:rsid w:val="00590F40"/>
    <w:rsid w:val="005953C6"/>
    <w:rsid w:val="005A32C7"/>
    <w:rsid w:val="005A51DD"/>
    <w:rsid w:val="005B44A1"/>
    <w:rsid w:val="005B5CA7"/>
    <w:rsid w:val="005C33BD"/>
    <w:rsid w:val="005C7DAF"/>
    <w:rsid w:val="005D4287"/>
    <w:rsid w:val="005E0BCF"/>
    <w:rsid w:val="005E5910"/>
    <w:rsid w:val="005F2967"/>
    <w:rsid w:val="005F297E"/>
    <w:rsid w:val="005F7DAA"/>
    <w:rsid w:val="006066BF"/>
    <w:rsid w:val="00607A85"/>
    <w:rsid w:val="00610CFB"/>
    <w:rsid w:val="00613F01"/>
    <w:rsid w:val="006142AE"/>
    <w:rsid w:val="00614388"/>
    <w:rsid w:val="00616B20"/>
    <w:rsid w:val="006202A3"/>
    <w:rsid w:val="00621C3B"/>
    <w:rsid w:val="00622480"/>
    <w:rsid w:val="00631116"/>
    <w:rsid w:val="00635169"/>
    <w:rsid w:val="006432C1"/>
    <w:rsid w:val="00644CBA"/>
    <w:rsid w:val="00647D58"/>
    <w:rsid w:val="00652745"/>
    <w:rsid w:val="006544E1"/>
    <w:rsid w:val="00657678"/>
    <w:rsid w:val="00657D0A"/>
    <w:rsid w:val="00661569"/>
    <w:rsid w:val="00666614"/>
    <w:rsid w:val="006776C1"/>
    <w:rsid w:val="00682865"/>
    <w:rsid w:val="00684900"/>
    <w:rsid w:val="00684F73"/>
    <w:rsid w:val="006A1555"/>
    <w:rsid w:val="006A383F"/>
    <w:rsid w:val="006A43F1"/>
    <w:rsid w:val="006B093F"/>
    <w:rsid w:val="006B0B74"/>
    <w:rsid w:val="006B4B39"/>
    <w:rsid w:val="006B662A"/>
    <w:rsid w:val="006B6FD2"/>
    <w:rsid w:val="006C2A2F"/>
    <w:rsid w:val="006C591F"/>
    <w:rsid w:val="006C59B9"/>
    <w:rsid w:val="006D6CB4"/>
    <w:rsid w:val="006E7887"/>
    <w:rsid w:val="006F1C44"/>
    <w:rsid w:val="006F7A58"/>
    <w:rsid w:val="007031F4"/>
    <w:rsid w:val="007049CF"/>
    <w:rsid w:val="00707277"/>
    <w:rsid w:val="00724F0B"/>
    <w:rsid w:val="00730E49"/>
    <w:rsid w:val="007368AD"/>
    <w:rsid w:val="00736D41"/>
    <w:rsid w:val="00736D9A"/>
    <w:rsid w:val="00737E47"/>
    <w:rsid w:val="00740229"/>
    <w:rsid w:val="007428D4"/>
    <w:rsid w:val="007430E5"/>
    <w:rsid w:val="00745C6F"/>
    <w:rsid w:val="00747AFF"/>
    <w:rsid w:val="00756284"/>
    <w:rsid w:val="007567E9"/>
    <w:rsid w:val="00760747"/>
    <w:rsid w:val="00764D02"/>
    <w:rsid w:val="00765265"/>
    <w:rsid w:val="00765EBA"/>
    <w:rsid w:val="00766B3D"/>
    <w:rsid w:val="0077361A"/>
    <w:rsid w:val="00781232"/>
    <w:rsid w:val="00781AE3"/>
    <w:rsid w:val="007842D9"/>
    <w:rsid w:val="0078519B"/>
    <w:rsid w:val="00785CDC"/>
    <w:rsid w:val="007916B6"/>
    <w:rsid w:val="0079175F"/>
    <w:rsid w:val="00792DAE"/>
    <w:rsid w:val="00792E0A"/>
    <w:rsid w:val="007941EE"/>
    <w:rsid w:val="00795275"/>
    <w:rsid w:val="0079680A"/>
    <w:rsid w:val="00796D9A"/>
    <w:rsid w:val="007A1CC7"/>
    <w:rsid w:val="007A2E50"/>
    <w:rsid w:val="007B11FC"/>
    <w:rsid w:val="007C2298"/>
    <w:rsid w:val="007C4B98"/>
    <w:rsid w:val="007C7815"/>
    <w:rsid w:val="007D0BEE"/>
    <w:rsid w:val="007D2434"/>
    <w:rsid w:val="007D39FD"/>
    <w:rsid w:val="007D3E28"/>
    <w:rsid w:val="007D54B9"/>
    <w:rsid w:val="007E0036"/>
    <w:rsid w:val="007E4B2A"/>
    <w:rsid w:val="007E574B"/>
    <w:rsid w:val="007E6166"/>
    <w:rsid w:val="007E6940"/>
    <w:rsid w:val="007F1E05"/>
    <w:rsid w:val="007F59E2"/>
    <w:rsid w:val="007F7D4A"/>
    <w:rsid w:val="0080080F"/>
    <w:rsid w:val="0080158E"/>
    <w:rsid w:val="00802197"/>
    <w:rsid w:val="008067CC"/>
    <w:rsid w:val="008125EB"/>
    <w:rsid w:val="008134E4"/>
    <w:rsid w:val="00816434"/>
    <w:rsid w:val="00816E71"/>
    <w:rsid w:val="0082518E"/>
    <w:rsid w:val="00826A36"/>
    <w:rsid w:val="00830F66"/>
    <w:rsid w:val="008317DE"/>
    <w:rsid w:val="00832289"/>
    <w:rsid w:val="0083316F"/>
    <w:rsid w:val="00834123"/>
    <w:rsid w:val="00834676"/>
    <w:rsid w:val="00835BD9"/>
    <w:rsid w:val="00852EAD"/>
    <w:rsid w:val="008558B1"/>
    <w:rsid w:val="00862488"/>
    <w:rsid w:val="00864003"/>
    <w:rsid w:val="00867FCA"/>
    <w:rsid w:val="008701ED"/>
    <w:rsid w:val="00870F55"/>
    <w:rsid w:val="00871E54"/>
    <w:rsid w:val="008875DF"/>
    <w:rsid w:val="00887F52"/>
    <w:rsid w:val="00890C79"/>
    <w:rsid w:val="00891962"/>
    <w:rsid w:val="00892D63"/>
    <w:rsid w:val="00895DAC"/>
    <w:rsid w:val="008A33CD"/>
    <w:rsid w:val="008B1B00"/>
    <w:rsid w:val="008B3AFF"/>
    <w:rsid w:val="008B659C"/>
    <w:rsid w:val="008C3118"/>
    <w:rsid w:val="008D4CA9"/>
    <w:rsid w:val="008E00D9"/>
    <w:rsid w:val="008E143B"/>
    <w:rsid w:val="008E2E3D"/>
    <w:rsid w:val="008F1FFE"/>
    <w:rsid w:val="008F2233"/>
    <w:rsid w:val="008F275E"/>
    <w:rsid w:val="00901D3C"/>
    <w:rsid w:val="00902344"/>
    <w:rsid w:val="0090441F"/>
    <w:rsid w:val="00911E34"/>
    <w:rsid w:val="009145DF"/>
    <w:rsid w:val="009226AE"/>
    <w:rsid w:val="00922FBC"/>
    <w:rsid w:val="00923688"/>
    <w:rsid w:val="009320C4"/>
    <w:rsid w:val="00932EFA"/>
    <w:rsid w:val="009356BF"/>
    <w:rsid w:val="009439CF"/>
    <w:rsid w:val="00957E44"/>
    <w:rsid w:val="009626AB"/>
    <w:rsid w:val="009660B9"/>
    <w:rsid w:val="009660F6"/>
    <w:rsid w:val="00967D16"/>
    <w:rsid w:val="009817EA"/>
    <w:rsid w:val="00981D3A"/>
    <w:rsid w:val="00987321"/>
    <w:rsid w:val="00995BE3"/>
    <w:rsid w:val="009B02DA"/>
    <w:rsid w:val="009B17A9"/>
    <w:rsid w:val="009B2F50"/>
    <w:rsid w:val="009B67A8"/>
    <w:rsid w:val="009C0141"/>
    <w:rsid w:val="009C0BC8"/>
    <w:rsid w:val="009C24D6"/>
    <w:rsid w:val="009C5368"/>
    <w:rsid w:val="009D53FE"/>
    <w:rsid w:val="009D708F"/>
    <w:rsid w:val="009D7338"/>
    <w:rsid w:val="009E1A17"/>
    <w:rsid w:val="009F0895"/>
    <w:rsid w:val="009F5B1C"/>
    <w:rsid w:val="00A00578"/>
    <w:rsid w:val="00A03FD1"/>
    <w:rsid w:val="00A21B6D"/>
    <w:rsid w:val="00A279AF"/>
    <w:rsid w:val="00A31F71"/>
    <w:rsid w:val="00A342FA"/>
    <w:rsid w:val="00A36726"/>
    <w:rsid w:val="00A37C12"/>
    <w:rsid w:val="00A4133B"/>
    <w:rsid w:val="00A41FC1"/>
    <w:rsid w:val="00A42365"/>
    <w:rsid w:val="00A4413B"/>
    <w:rsid w:val="00A62A13"/>
    <w:rsid w:val="00A63A2B"/>
    <w:rsid w:val="00A642D7"/>
    <w:rsid w:val="00A66D48"/>
    <w:rsid w:val="00A672CD"/>
    <w:rsid w:val="00A70688"/>
    <w:rsid w:val="00A70A37"/>
    <w:rsid w:val="00A8208F"/>
    <w:rsid w:val="00A862BF"/>
    <w:rsid w:val="00A92DF7"/>
    <w:rsid w:val="00AA19F2"/>
    <w:rsid w:val="00AA5522"/>
    <w:rsid w:val="00AB2CA3"/>
    <w:rsid w:val="00AB5737"/>
    <w:rsid w:val="00AB6F14"/>
    <w:rsid w:val="00AC0092"/>
    <w:rsid w:val="00AC01C8"/>
    <w:rsid w:val="00AC2517"/>
    <w:rsid w:val="00AC3FF0"/>
    <w:rsid w:val="00AC7A56"/>
    <w:rsid w:val="00AD1E70"/>
    <w:rsid w:val="00AD5290"/>
    <w:rsid w:val="00AD529B"/>
    <w:rsid w:val="00AD6628"/>
    <w:rsid w:val="00AE1BBC"/>
    <w:rsid w:val="00AF72B8"/>
    <w:rsid w:val="00B02803"/>
    <w:rsid w:val="00B02D82"/>
    <w:rsid w:val="00B04B20"/>
    <w:rsid w:val="00B059A1"/>
    <w:rsid w:val="00B06C1B"/>
    <w:rsid w:val="00B124FA"/>
    <w:rsid w:val="00B16668"/>
    <w:rsid w:val="00B17088"/>
    <w:rsid w:val="00B30428"/>
    <w:rsid w:val="00B37789"/>
    <w:rsid w:val="00B44CFC"/>
    <w:rsid w:val="00B46DC7"/>
    <w:rsid w:val="00B4787D"/>
    <w:rsid w:val="00B50C89"/>
    <w:rsid w:val="00B51EAF"/>
    <w:rsid w:val="00B52DDA"/>
    <w:rsid w:val="00B64B2E"/>
    <w:rsid w:val="00B71A9E"/>
    <w:rsid w:val="00B71EB5"/>
    <w:rsid w:val="00B731B6"/>
    <w:rsid w:val="00B754DC"/>
    <w:rsid w:val="00B84219"/>
    <w:rsid w:val="00B85B6E"/>
    <w:rsid w:val="00B91992"/>
    <w:rsid w:val="00B93BFF"/>
    <w:rsid w:val="00B963BE"/>
    <w:rsid w:val="00BA4B8D"/>
    <w:rsid w:val="00BA4F61"/>
    <w:rsid w:val="00BA5EB2"/>
    <w:rsid w:val="00BA7DA6"/>
    <w:rsid w:val="00BB1678"/>
    <w:rsid w:val="00BB25E0"/>
    <w:rsid w:val="00BB58C4"/>
    <w:rsid w:val="00BB7224"/>
    <w:rsid w:val="00BB7238"/>
    <w:rsid w:val="00BC1783"/>
    <w:rsid w:val="00BC2EEA"/>
    <w:rsid w:val="00BC3E3A"/>
    <w:rsid w:val="00BC3E7D"/>
    <w:rsid w:val="00BC609E"/>
    <w:rsid w:val="00BC6E15"/>
    <w:rsid w:val="00BD3D55"/>
    <w:rsid w:val="00BD6360"/>
    <w:rsid w:val="00BD6395"/>
    <w:rsid w:val="00BD66B1"/>
    <w:rsid w:val="00BD67AD"/>
    <w:rsid w:val="00BE25B7"/>
    <w:rsid w:val="00BE578F"/>
    <w:rsid w:val="00BE7748"/>
    <w:rsid w:val="00BF17E6"/>
    <w:rsid w:val="00BF2953"/>
    <w:rsid w:val="00C02366"/>
    <w:rsid w:val="00C02942"/>
    <w:rsid w:val="00C0368E"/>
    <w:rsid w:val="00C039ED"/>
    <w:rsid w:val="00C05C75"/>
    <w:rsid w:val="00C14BF6"/>
    <w:rsid w:val="00C166F0"/>
    <w:rsid w:val="00C1702B"/>
    <w:rsid w:val="00C21AD3"/>
    <w:rsid w:val="00C22FDE"/>
    <w:rsid w:val="00C247D5"/>
    <w:rsid w:val="00C26A22"/>
    <w:rsid w:val="00C302FA"/>
    <w:rsid w:val="00C3072D"/>
    <w:rsid w:val="00C3178E"/>
    <w:rsid w:val="00C3292D"/>
    <w:rsid w:val="00C33045"/>
    <w:rsid w:val="00C362C0"/>
    <w:rsid w:val="00C40B79"/>
    <w:rsid w:val="00C41639"/>
    <w:rsid w:val="00C43B83"/>
    <w:rsid w:val="00C4681D"/>
    <w:rsid w:val="00C65D68"/>
    <w:rsid w:val="00C66C00"/>
    <w:rsid w:val="00C72183"/>
    <w:rsid w:val="00C755BD"/>
    <w:rsid w:val="00C80A7E"/>
    <w:rsid w:val="00C80B16"/>
    <w:rsid w:val="00C83956"/>
    <w:rsid w:val="00C948AA"/>
    <w:rsid w:val="00CA1E64"/>
    <w:rsid w:val="00CA33DC"/>
    <w:rsid w:val="00CA6CB3"/>
    <w:rsid w:val="00CB0977"/>
    <w:rsid w:val="00CB0F92"/>
    <w:rsid w:val="00CB384A"/>
    <w:rsid w:val="00CB4C18"/>
    <w:rsid w:val="00CB6262"/>
    <w:rsid w:val="00CC0F76"/>
    <w:rsid w:val="00CC37BF"/>
    <w:rsid w:val="00CD1947"/>
    <w:rsid w:val="00CE3EF2"/>
    <w:rsid w:val="00CE684E"/>
    <w:rsid w:val="00CF0059"/>
    <w:rsid w:val="00CF098C"/>
    <w:rsid w:val="00CF33D2"/>
    <w:rsid w:val="00CF7DAA"/>
    <w:rsid w:val="00D02959"/>
    <w:rsid w:val="00D1094D"/>
    <w:rsid w:val="00D119F5"/>
    <w:rsid w:val="00D14FC6"/>
    <w:rsid w:val="00D22791"/>
    <w:rsid w:val="00D228AE"/>
    <w:rsid w:val="00D22E90"/>
    <w:rsid w:val="00D23AB0"/>
    <w:rsid w:val="00D30128"/>
    <w:rsid w:val="00D31875"/>
    <w:rsid w:val="00D34240"/>
    <w:rsid w:val="00D3484E"/>
    <w:rsid w:val="00D36C7E"/>
    <w:rsid w:val="00D36F73"/>
    <w:rsid w:val="00D46E2B"/>
    <w:rsid w:val="00D46E92"/>
    <w:rsid w:val="00D50699"/>
    <w:rsid w:val="00D51C9B"/>
    <w:rsid w:val="00D605BC"/>
    <w:rsid w:val="00D61C83"/>
    <w:rsid w:val="00D64906"/>
    <w:rsid w:val="00D70C8A"/>
    <w:rsid w:val="00D716B5"/>
    <w:rsid w:val="00D74DC3"/>
    <w:rsid w:val="00D76DDD"/>
    <w:rsid w:val="00D81A80"/>
    <w:rsid w:val="00D83531"/>
    <w:rsid w:val="00D86E2B"/>
    <w:rsid w:val="00D87E36"/>
    <w:rsid w:val="00D912B0"/>
    <w:rsid w:val="00D937D6"/>
    <w:rsid w:val="00D977CE"/>
    <w:rsid w:val="00DA3D1A"/>
    <w:rsid w:val="00DA6D66"/>
    <w:rsid w:val="00DB0979"/>
    <w:rsid w:val="00DB2009"/>
    <w:rsid w:val="00DB2B8C"/>
    <w:rsid w:val="00DB4BED"/>
    <w:rsid w:val="00DC198B"/>
    <w:rsid w:val="00DC19B3"/>
    <w:rsid w:val="00DD2E63"/>
    <w:rsid w:val="00DD3580"/>
    <w:rsid w:val="00DD69F6"/>
    <w:rsid w:val="00DE0DE0"/>
    <w:rsid w:val="00DE183E"/>
    <w:rsid w:val="00DF3D38"/>
    <w:rsid w:val="00DF524E"/>
    <w:rsid w:val="00E013A9"/>
    <w:rsid w:val="00E030D0"/>
    <w:rsid w:val="00E043DC"/>
    <w:rsid w:val="00E14C55"/>
    <w:rsid w:val="00E15497"/>
    <w:rsid w:val="00E154A3"/>
    <w:rsid w:val="00E158B2"/>
    <w:rsid w:val="00E16789"/>
    <w:rsid w:val="00E201A8"/>
    <w:rsid w:val="00E23211"/>
    <w:rsid w:val="00E241B7"/>
    <w:rsid w:val="00E27D8A"/>
    <w:rsid w:val="00E3334F"/>
    <w:rsid w:val="00E341C5"/>
    <w:rsid w:val="00E3435D"/>
    <w:rsid w:val="00E4750A"/>
    <w:rsid w:val="00E52DFE"/>
    <w:rsid w:val="00E53788"/>
    <w:rsid w:val="00E56C5E"/>
    <w:rsid w:val="00E61B19"/>
    <w:rsid w:val="00E62E09"/>
    <w:rsid w:val="00E66223"/>
    <w:rsid w:val="00E71180"/>
    <w:rsid w:val="00E72515"/>
    <w:rsid w:val="00E7345E"/>
    <w:rsid w:val="00E90C89"/>
    <w:rsid w:val="00E91BF6"/>
    <w:rsid w:val="00EA351E"/>
    <w:rsid w:val="00EB3130"/>
    <w:rsid w:val="00EB42E3"/>
    <w:rsid w:val="00EC0FDD"/>
    <w:rsid w:val="00EC10D5"/>
    <w:rsid w:val="00EC2033"/>
    <w:rsid w:val="00EC5582"/>
    <w:rsid w:val="00EC5653"/>
    <w:rsid w:val="00EC5FA9"/>
    <w:rsid w:val="00ED54D8"/>
    <w:rsid w:val="00EE01F2"/>
    <w:rsid w:val="00EE22FB"/>
    <w:rsid w:val="00EE2813"/>
    <w:rsid w:val="00EE3647"/>
    <w:rsid w:val="00EE4A18"/>
    <w:rsid w:val="00EE55B8"/>
    <w:rsid w:val="00EF087F"/>
    <w:rsid w:val="00F07A76"/>
    <w:rsid w:val="00F07C7A"/>
    <w:rsid w:val="00F1353F"/>
    <w:rsid w:val="00F13BA7"/>
    <w:rsid w:val="00F229F1"/>
    <w:rsid w:val="00F3120C"/>
    <w:rsid w:val="00F372EB"/>
    <w:rsid w:val="00F40E5E"/>
    <w:rsid w:val="00F436BC"/>
    <w:rsid w:val="00F456FD"/>
    <w:rsid w:val="00F510E0"/>
    <w:rsid w:val="00F57F16"/>
    <w:rsid w:val="00F70B8C"/>
    <w:rsid w:val="00F71CD3"/>
    <w:rsid w:val="00F72B3C"/>
    <w:rsid w:val="00F7706D"/>
    <w:rsid w:val="00F91197"/>
    <w:rsid w:val="00F924BA"/>
    <w:rsid w:val="00F950EB"/>
    <w:rsid w:val="00FA5345"/>
    <w:rsid w:val="00FB030E"/>
    <w:rsid w:val="00FB728D"/>
    <w:rsid w:val="00FC3FC5"/>
    <w:rsid w:val="00FC6BE4"/>
    <w:rsid w:val="00FD346B"/>
    <w:rsid w:val="00FE44FC"/>
    <w:rsid w:val="00FE5F57"/>
    <w:rsid w:val="00FE6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4AE173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paragraph" w:customStyle="1" w:styleId="APRANORMAL">
    <w:name w:val="APRA NORMAL"/>
    <w:basedOn w:val="Normal"/>
    <w:link w:val="APRANORMALChar"/>
    <w:qFormat/>
    <w:rsid w:val="00275936"/>
    <w:pPr>
      <w:spacing w:after="240"/>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275936"/>
    <w:rPr>
      <w:rFonts w:ascii="DIN OT Light" w:eastAsiaTheme="minorHAnsi" w:hAnsi="DIN OT Light"/>
      <w:sz w:val="22"/>
      <w:szCs w:val="22"/>
      <w:lang w:val="en-GB" w:eastAsia="en-US"/>
    </w:rPr>
  </w:style>
  <w:style w:type="paragraph" w:styleId="List">
    <w:name w:val="List"/>
    <w:basedOn w:val="Normal"/>
    <w:uiPriority w:val="17"/>
    <w:qFormat/>
    <w:rsid w:val="004A14E0"/>
    <w:pPr>
      <w:tabs>
        <w:tab w:val="num" w:pos="425"/>
      </w:tabs>
      <w:spacing w:after="240"/>
      <w:ind w:left="425" w:hanging="425"/>
    </w:pPr>
    <w:rPr>
      <w:rFonts w:ascii="DIN OT Light" w:eastAsiaTheme="minorHAnsi" w:hAnsi="DIN OT Light" w:cstheme="minorBidi"/>
      <w:color w:val="000000"/>
      <w:szCs w:val="22"/>
      <w:lang w:eastAsia="en-US"/>
    </w:rPr>
  </w:style>
  <w:style w:type="paragraph" w:styleId="List2">
    <w:name w:val="List 2"/>
    <w:basedOn w:val="Normal"/>
    <w:uiPriority w:val="17"/>
    <w:qFormat/>
    <w:rsid w:val="004A14E0"/>
    <w:pPr>
      <w:tabs>
        <w:tab w:val="num" w:pos="851"/>
      </w:tabs>
      <w:spacing w:after="240"/>
      <w:ind w:left="851" w:hanging="426"/>
    </w:pPr>
    <w:rPr>
      <w:rFonts w:ascii="DIN OT Light" w:eastAsiaTheme="minorHAnsi" w:hAnsi="DIN OT Light" w:cstheme="minorBidi"/>
      <w:color w:val="000000"/>
      <w:szCs w:val="22"/>
      <w:lang w:eastAsia="en-US"/>
    </w:rPr>
  </w:style>
  <w:style w:type="paragraph" w:styleId="List3">
    <w:name w:val="List 3"/>
    <w:basedOn w:val="Normal"/>
    <w:uiPriority w:val="17"/>
    <w:qFormat/>
    <w:rsid w:val="004A14E0"/>
    <w:pPr>
      <w:tabs>
        <w:tab w:val="num" w:pos="1276"/>
      </w:tabs>
      <w:spacing w:after="240"/>
      <w:ind w:left="1276" w:hanging="425"/>
    </w:pPr>
    <w:rPr>
      <w:rFonts w:ascii="DIN OT Light" w:eastAsiaTheme="minorHAnsi" w:hAnsi="DIN OT Light" w:cstheme="minorBidi"/>
      <w:color w:val="000000"/>
      <w:szCs w:val="22"/>
      <w:lang w:eastAsia="en-US"/>
    </w:rPr>
  </w:style>
  <w:style w:type="character" w:styleId="FollowedHyperlink">
    <w:name w:val="FollowedHyperlink"/>
    <w:basedOn w:val="DefaultParagraphFont"/>
    <w:uiPriority w:val="99"/>
    <w:semiHidden/>
    <w:unhideWhenUsed/>
    <w:rsid w:val="00684900"/>
    <w:rPr>
      <w:color w:val="800080" w:themeColor="followedHyperlink"/>
      <w:u w:val="single"/>
    </w:rPr>
  </w:style>
  <w:style w:type="paragraph" w:styleId="Revision">
    <w:name w:val="Revision"/>
    <w:hidden/>
    <w:uiPriority w:val="99"/>
    <w:semiHidden/>
    <w:rsid w:val="003F1F60"/>
    <w:rPr>
      <w:rFonts w:ascii="Trebuchet MS" w:eastAsia="Times New Roman" w:hAnsi="Trebuchet MS"/>
      <w:sz w:val="22"/>
    </w:rPr>
  </w:style>
  <w:style w:type="character" w:styleId="UnresolvedMention">
    <w:name w:val="Unresolved Mention"/>
    <w:basedOn w:val="DefaultParagraphFont"/>
    <w:uiPriority w:val="99"/>
    <w:semiHidden/>
    <w:unhideWhenUsed/>
    <w:rsid w:val="00C8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23904">
      <w:bodyDiv w:val="1"/>
      <w:marLeft w:val="0"/>
      <w:marRight w:val="0"/>
      <w:marTop w:val="0"/>
      <w:marBottom w:val="0"/>
      <w:divBdr>
        <w:top w:val="none" w:sz="0" w:space="0" w:color="auto"/>
        <w:left w:val="none" w:sz="0" w:space="0" w:color="auto"/>
        <w:bottom w:val="none" w:sz="0" w:space="0" w:color="auto"/>
        <w:right w:val="none" w:sz="0" w:space="0" w:color="auto"/>
      </w:divBdr>
    </w:div>
    <w:div w:id="775516951">
      <w:bodyDiv w:val="1"/>
      <w:marLeft w:val="0"/>
      <w:marRight w:val="0"/>
      <w:marTop w:val="0"/>
      <w:marBottom w:val="0"/>
      <w:divBdr>
        <w:top w:val="none" w:sz="0" w:space="0" w:color="auto"/>
        <w:left w:val="none" w:sz="0" w:space="0" w:color="auto"/>
        <w:bottom w:val="none" w:sz="0" w:space="0" w:color="auto"/>
        <w:right w:val="none" w:sz="0" w:space="0" w:color="auto"/>
      </w:divBdr>
    </w:div>
    <w:div w:id="1457605760">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response-to-submissions-proposed-changes-to-modernised-economic-and-financial-statistics-efs" TargetMode="External"/><Relationship Id="rId2" Type="http://schemas.openxmlformats.org/officeDocument/2006/relationships/hyperlink" Target="https://www.apra.gov.au/proposed-changes-to-modernised-economic-and-financial-statistics-efs-reporting-standards-and-0" TargetMode="External"/><Relationship Id="rId1" Type="http://schemas.openxmlformats.org/officeDocument/2006/relationships/hyperlink" Target="https://www.apra.gov.au/proposed-changes-to-modernised-economic-and-financial-statistics-efs-reporting-standards-and-0" TargetMode="External"/><Relationship Id="rId4" Type="http://schemas.openxmlformats.org/officeDocument/2006/relationships/hyperlink" Target="https://www.apra.gov.au/response-to-submissions-proposed-changes-to-modernised-economic-and-financial-statistics-ef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234</Value>
      <Value>10</Value>
      <Value>26</Value>
      <Value>93</Value>
      <Value>109</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 No. 23 and 24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5JENXJJSCC7A-445999044-11479</_dlc_DocId>
    <_dlc_DocIdUrl xmlns="814d62cb-2db6-4c25-ab62-b9075facbc11">
      <Url>https://im/teams/LEGAL/_layouts/15/DocIdRedir.aspx?ID=5JENXJJSCC7A-445999044-11479</Url>
      <Description>5JENXJJSCC7A-445999044-11479</Description>
    </_dlc_DocIdUrl>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E0B5-57C2-4781-900D-667EC70EB54A}">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814d62cb-2db6-4c25-ab62-b9075facbc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3.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4.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5.xml><?xml version="1.0" encoding="utf-8"?>
<ds:datastoreItem xmlns:ds="http://schemas.openxmlformats.org/officeDocument/2006/customXml" ds:itemID="{F4E60230-4304-40D4-A78C-60B5E16CD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57E860-53B7-42EE-9133-3EA3FB07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0</TotalTime>
  <Pages>4</Pages>
  <Words>1106</Words>
  <Characters>6150</Characters>
  <Application>Microsoft Office Word</Application>
  <DocSecurity>0</DocSecurity>
  <Lines>113</Lines>
  <Paragraphs>51</Paragraphs>
  <ScaleCrop>false</ScaleCrop>
  <HeadingPairs>
    <vt:vector size="2" baseType="variant">
      <vt:variant>
        <vt:lpstr>Title</vt:lpstr>
      </vt:variant>
      <vt:variant>
        <vt:i4>1</vt:i4>
      </vt:variant>
    </vt:vector>
  </HeadingPairs>
  <TitlesOfParts>
    <vt:vector size="1" baseType="lpstr">
      <vt:lpstr>ES - Financial Sector (Collection of Data) (reporting standard) determination No. 11 and 12 of 2020</vt:lpstr>
    </vt:vector>
  </TitlesOfParts>
  <Company>APRA</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FS(COD)(RS) determination No 23 and 24 of 2021</dc:title>
  <dc:creator>Sullivan, David</dc:creator>
  <cp:keywords>[SEC=OFFICIAL]</cp:keywords>
  <cp:lastModifiedBy>Michalis, Toni</cp:lastModifiedBy>
  <cp:revision>2</cp:revision>
  <cp:lastPrinted>2019-11-29T01:09:00Z</cp:lastPrinted>
  <dcterms:created xsi:type="dcterms:W3CDTF">2021-06-16T09:58:00Z</dcterms:created>
  <dcterms:modified xsi:type="dcterms:W3CDTF">2021-06-16T09:58:00Z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44CC5F15D8549579E463E6948B825C06D2F6FEF1</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3B0CCB2A9D064597B35F04C89ED4A370</vt:lpwstr>
  </property>
  <property fmtid="{D5CDD505-2E9C-101B-9397-08002B2CF9AE}" pid="16" name="PM_OriginationTimeStamp">
    <vt:lpwstr>2021-06-16T09:58:12Z</vt:lpwstr>
  </property>
  <property fmtid="{D5CDD505-2E9C-101B-9397-08002B2CF9AE}" pid="17" name="PM_Hash_Version">
    <vt:lpwstr>2018.0</vt:lpwstr>
  </property>
  <property fmtid="{D5CDD505-2E9C-101B-9397-08002B2CF9AE}" pid="18" name="PM_Hash_Salt_Prev">
    <vt:lpwstr>1352D2A1512CA156FB2D88E8A314B46D</vt:lpwstr>
  </property>
  <property fmtid="{D5CDD505-2E9C-101B-9397-08002B2CF9AE}" pid="19" name="PM_Hash_Salt">
    <vt:lpwstr>7E8D9A96FC04A665F0BB1C979C8C8460</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4" name="APRAYear">
    <vt:lpwstr>230;#2021|0e1e43df-81ea-47af-89d8-970d5d5956ff</vt:lpwstr>
  </property>
  <property fmtid="{D5CDD505-2E9C-101B-9397-08002B2CF9AE}" pid="25" name="APRAIndustry">
    <vt:lpwstr/>
  </property>
  <property fmtid="{D5CDD505-2E9C-101B-9397-08002B2CF9AE}" pid="26" name="APRAPRSG">
    <vt:lpwstr/>
  </property>
  <property fmtid="{D5CDD505-2E9C-101B-9397-08002B2CF9AE}" pid="27" name="_dlc_DocIdItemGuid">
    <vt:lpwstr>6ab81831-31de-4791-a240-ad514b022e98</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{6ab81831-31de-4791-a240-ad514b022e98}</vt:lpwstr>
  </property>
  <property fmtid="{D5CDD505-2E9C-101B-9397-08002B2CF9AE}" pid="43" name="RecordPoint_RecordNumberSubmitted">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PM_Note">
    <vt:lpwstr/>
  </property>
  <property fmtid="{D5CDD505-2E9C-101B-9397-08002B2CF9AE}" pid="50" name="PM_Markers">
    <vt:lpwstr/>
  </property>
  <property fmtid="{D5CDD505-2E9C-101B-9397-08002B2CF9AE}" pid="51" name="_docset_NoMedatataSyncRequired">
    <vt:lpwstr>False</vt:lpwstr>
  </property>
  <property fmtid="{D5CDD505-2E9C-101B-9397-08002B2CF9AE}" pid="52" name="RecordPoint_SubmissionCompleted">
    <vt:lpwstr/>
  </property>
</Properties>
</file>