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8A997" w14:textId="77777777" w:rsidR="00FB640B" w:rsidRPr="00347703" w:rsidRDefault="0057002B" w:rsidP="00BB0CF2">
      <w:pPr>
        <w:pStyle w:val="ESTitleHeader"/>
      </w:pPr>
      <w:bookmarkStart w:id="0" w:name="_GoBack"/>
      <w:bookmarkEnd w:id="0"/>
      <w:r w:rsidRPr="00347703">
        <w:t>EXPLANATORY STATEMENT</w:t>
      </w:r>
    </w:p>
    <w:p w14:paraId="470EA5B3" w14:textId="36B81D00" w:rsidR="0057002B" w:rsidRPr="00347703" w:rsidRDefault="0057002B" w:rsidP="00BB0CF2">
      <w:pPr>
        <w:pStyle w:val="ESTitleDecisionMaker"/>
      </w:pPr>
      <w:r w:rsidRPr="00347703">
        <w:t xml:space="preserve">Issued by authority of the </w:t>
      </w:r>
      <w:r w:rsidR="00AD5652" w:rsidRPr="00347703">
        <w:t xml:space="preserve">Minister </w:t>
      </w:r>
      <w:r w:rsidR="00CE5702" w:rsidRPr="00347703">
        <w:t>of Home Affairs</w:t>
      </w:r>
    </w:p>
    <w:p w14:paraId="144B8071" w14:textId="77777777" w:rsidR="0057002B" w:rsidRPr="00347703" w:rsidRDefault="0057002B" w:rsidP="00915032">
      <w:pPr>
        <w:spacing w:line="276" w:lineRule="auto"/>
        <w:jc w:val="center"/>
        <w:rPr>
          <w:rFonts w:ascii="Times New Roman" w:hAnsi="Times New Roman" w:cs="Times New Roman"/>
          <w:i/>
        </w:rPr>
      </w:pPr>
      <w:r w:rsidRPr="00347703">
        <w:rPr>
          <w:rFonts w:ascii="Times New Roman" w:hAnsi="Times New Roman" w:cs="Times New Roman"/>
          <w:i/>
        </w:rPr>
        <w:t>Migration Regulations 1994</w:t>
      </w:r>
    </w:p>
    <w:p w14:paraId="2F8B2AB2" w14:textId="4BF3283E" w:rsidR="0057002B" w:rsidRPr="00821A6B" w:rsidRDefault="00AA2F5B" w:rsidP="00177BED">
      <w:pPr>
        <w:pStyle w:val="ESTitleInstrumentName"/>
        <w:spacing w:before="0"/>
      </w:pPr>
      <w:r>
        <w:t xml:space="preserve">Migration (Class of persons: Nil VAC </w:t>
      </w:r>
      <w:r w:rsidR="0053492B">
        <w:t xml:space="preserve">for </w:t>
      </w:r>
      <w:r>
        <w:t>Work and Holiday and Working Holiday visas) Instrument (LIN 21/043) 2021</w:t>
      </w:r>
    </w:p>
    <w:p w14:paraId="08F1B89F" w14:textId="1AF595F3" w:rsidR="0057002B" w:rsidRPr="00821A6B" w:rsidRDefault="0057002B" w:rsidP="002D167E">
      <w:pPr>
        <w:pStyle w:val="ESPara"/>
      </w:pPr>
      <w:r w:rsidRPr="00821A6B">
        <w:t>The inst</w:t>
      </w:r>
      <w:r w:rsidR="00AD5652" w:rsidRPr="00821A6B">
        <w:t>rument, Departmental reference LIN21/043</w:t>
      </w:r>
      <w:r w:rsidRPr="00821A6B">
        <w:t xml:space="preserve">, </w:t>
      </w:r>
      <w:r w:rsidR="00AD5652" w:rsidRPr="00821A6B">
        <w:t xml:space="preserve">is made under </w:t>
      </w:r>
      <w:r w:rsidR="00AA2F5B">
        <w:t>subregulation</w:t>
      </w:r>
      <w:r w:rsidR="00821A6B">
        <w:t xml:space="preserve"> 2.07(5) and </w:t>
      </w:r>
      <w:r w:rsidR="00AD5652" w:rsidRPr="00821A6B">
        <w:t xml:space="preserve">subparagraphs </w:t>
      </w:r>
      <w:proofErr w:type="gramStart"/>
      <w:r w:rsidR="00AD5652" w:rsidRPr="00821A6B">
        <w:t>1224A(</w:t>
      </w:r>
      <w:proofErr w:type="gramEnd"/>
      <w:r w:rsidR="00AD5652" w:rsidRPr="00821A6B">
        <w:t>2)(a)(</w:t>
      </w:r>
      <w:proofErr w:type="spellStart"/>
      <w:r w:rsidR="00AD5652" w:rsidRPr="00821A6B">
        <w:t>i</w:t>
      </w:r>
      <w:proofErr w:type="spellEnd"/>
      <w:r w:rsidR="00AD5652" w:rsidRPr="00821A6B">
        <w:t>) and 1225(2)(a)(</w:t>
      </w:r>
      <w:proofErr w:type="spellStart"/>
      <w:r w:rsidR="00AD5652" w:rsidRPr="00821A6B">
        <w:t>i</w:t>
      </w:r>
      <w:proofErr w:type="spellEnd"/>
      <w:r w:rsidR="00AD5652" w:rsidRPr="00821A6B">
        <w:t>) of Schedule 1 to the</w:t>
      </w:r>
      <w:r w:rsidR="00AD5652" w:rsidRPr="00821A6B">
        <w:rPr>
          <w:i/>
        </w:rPr>
        <w:t xml:space="preserve"> </w:t>
      </w:r>
      <w:r w:rsidRPr="00821A6B">
        <w:rPr>
          <w:i/>
        </w:rPr>
        <w:t>Migration Regulations</w:t>
      </w:r>
      <w:r w:rsidR="000F16D8">
        <w:rPr>
          <w:i/>
        </w:rPr>
        <w:t> </w:t>
      </w:r>
      <w:r w:rsidRPr="00821A6B">
        <w:rPr>
          <w:i/>
        </w:rPr>
        <w:t>1994</w:t>
      </w:r>
      <w:r w:rsidR="00AD5652" w:rsidRPr="00821A6B">
        <w:t xml:space="preserve"> (the Regulations)</w:t>
      </w:r>
      <w:r w:rsidRPr="00821A6B">
        <w:t xml:space="preserve">.  </w:t>
      </w:r>
    </w:p>
    <w:p w14:paraId="3C4469F4" w14:textId="26F732F0" w:rsidR="00BD598E" w:rsidRPr="00821A6B" w:rsidRDefault="00AA4557" w:rsidP="002D167E">
      <w:pPr>
        <w:pStyle w:val="ESPara"/>
      </w:pPr>
      <w:r w:rsidRPr="00821A6B">
        <w:t xml:space="preserve">The instrument commences </w:t>
      </w:r>
      <w:r w:rsidR="002F148B" w:rsidRPr="00821A6B">
        <w:t xml:space="preserve">on </w:t>
      </w:r>
      <w:r w:rsidR="00AD5652" w:rsidRPr="00821A6B">
        <w:t>1 July 2021</w:t>
      </w:r>
      <w:r w:rsidRPr="00821A6B">
        <w:t>, and i</w:t>
      </w:r>
      <w:r w:rsidR="00BD598E" w:rsidRPr="00821A6B">
        <w:t xml:space="preserve">s a </w:t>
      </w:r>
      <w:r w:rsidRPr="00821A6B">
        <w:t>legislative</w:t>
      </w:r>
      <w:r w:rsidR="00BD598E" w:rsidRPr="00821A6B">
        <w:t xml:space="preserve"> instrument for </w:t>
      </w:r>
      <w:r w:rsidR="00B75478" w:rsidRPr="00821A6B">
        <w:t xml:space="preserve">the </w:t>
      </w:r>
      <w:r w:rsidR="00100DFC" w:rsidRPr="00821A6B">
        <w:rPr>
          <w:i/>
        </w:rPr>
        <w:t>Legislation Act 2003</w:t>
      </w:r>
      <w:r w:rsidR="00100DFC" w:rsidRPr="00821A6B">
        <w:t xml:space="preserve"> (the Legislation Act)</w:t>
      </w:r>
      <w:r w:rsidR="00BD598E" w:rsidRPr="00821A6B">
        <w:t xml:space="preserve">.  </w:t>
      </w:r>
    </w:p>
    <w:p w14:paraId="27A18657" w14:textId="77777777" w:rsidR="00EA12C9" w:rsidRPr="00821A6B" w:rsidRDefault="00BD598E" w:rsidP="00100DFC">
      <w:pPr>
        <w:pStyle w:val="ESHeading"/>
        <w:rPr>
          <w:color w:val="FF0000"/>
        </w:rPr>
      </w:pPr>
      <w:r w:rsidRPr="00821A6B">
        <w:t>Purpose</w:t>
      </w:r>
      <w:r w:rsidR="00BB0CF2" w:rsidRPr="00821A6B">
        <w:t xml:space="preserve"> </w:t>
      </w:r>
    </w:p>
    <w:p w14:paraId="39C1542C" w14:textId="37BBFAFD" w:rsidR="002D0A1E" w:rsidRPr="00821A6B" w:rsidRDefault="002D0A1E" w:rsidP="002E3718">
      <w:pPr>
        <w:pStyle w:val="ESPara"/>
      </w:pPr>
      <w:r w:rsidRPr="00821A6B">
        <w:rPr>
          <w:color w:val="000000"/>
          <w:shd w:val="clear" w:color="auto" w:fill="FFFFFF"/>
        </w:rPr>
        <w:t xml:space="preserve">The Working Holiday Maker (WHM) program consists of two visa </w:t>
      </w:r>
      <w:r w:rsidR="00AA2F5B">
        <w:rPr>
          <w:color w:val="000000"/>
          <w:shd w:val="clear" w:color="auto" w:fill="FFFFFF"/>
        </w:rPr>
        <w:t>s</w:t>
      </w:r>
      <w:r w:rsidR="00AA2F5B" w:rsidRPr="00821A6B">
        <w:rPr>
          <w:color w:val="000000"/>
          <w:shd w:val="clear" w:color="auto" w:fill="FFFFFF"/>
        </w:rPr>
        <w:t>ubclasses</w:t>
      </w:r>
      <w:r w:rsidRPr="00821A6B">
        <w:rPr>
          <w:color w:val="000000"/>
          <w:shd w:val="clear" w:color="auto" w:fill="FFFFFF"/>
        </w:rPr>
        <w:t>, the Working Holiday (Subclass 417) visa and the Work and Holiday (Subclass 462) visa (WHM visas).  The key differences between the two visa</w:t>
      </w:r>
      <w:r w:rsidR="004962E4">
        <w:rPr>
          <w:color w:val="000000"/>
          <w:shd w:val="clear" w:color="auto" w:fill="FFFFFF"/>
        </w:rPr>
        <w:t xml:space="preserve"> subclasses</w:t>
      </w:r>
      <w:r w:rsidRPr="00821A6B">
        <w:rPr>
          <w:color w:val="000000"/>
          <w:shd w:val="clear" w:color="auto" w:fill="FFFFFF"/>
        </w:rPr>
        <w:t xml:space="preserve"> are that Subclass 462 (Work and Holiday) visa arrangements have caps on the number of </w:t>
      </w:r>
      <w:r w:rsidR="00447601">
        <w:rPr>
          <w:color w:val="000000"/>
          <w:shd w:val="clear" w:color="auto" w:fill="FFFFFF"/>
        </w:rPr>
        <w:t xml:space="preserve">first </w:t>
      </w:r>
      <w:r w:rsidRPr="00821A6B">
        <w:rPr>
          <w:color w:val="000000"/>
          <w:shd w:val="clear" w:color="auto" w:fill="FFFFFF"/>
        </w:rPr>
        <w:t xml:space="preserve">visas granted annually (except for the United States of America) and include additional eligibility requirements such as a minimum education level, English language proficiency </w:t>
      </w:r>
      <w:r w:rsidR="00447601">
        <w:rPr>
          <w:color w:val="000000"/>
          <w:shd w:val="clear" w:color="auto" w:fill="FFFFFF"/>
        </w:rPr>
        <w:t>and</w:t>
      </w:r>
      <w:r w:rsidRPr="00821A6B">
        <w:rPr>
          <w:color w:val="000000"/>
          <w:shd w:val="clear" w:color="auto" w:fill="FFFFFF"/>
        </w:rPr>
        <w:t xml:space="preserve"> letters of support from a partner country </w:t>
      </w:r>
      <w:r w:rsidR="00AA2F5B">
        <w:rPr>
          <w:color w:val="000000"/>
          <w:shd w:val="clear" w:color="auto" w:fill="FFFFFF"/>
        </w:rPr>
        <w:t>g</w:t>
      </w:r>
      <w:r w:rsidR="00AA2F5B" w:rsidRPr="00821A6B">
        <w:rPr>
          <w:color w:val="000000"/>
          <w:shd w:val="clear" w:color="auto" w:fill="FFFFFF"/>
        </w:rPr>
        <w:t>overnment</w:t>
      </w:r>
      <w:r w:rsidRPr="00821A6B">
        <w:rPr>
          <w:color w:val="000000"/>
          <w:shd w:val="clear" w:color="auto" w:fill="FFFFFF"/>
        </w:rPr>
        <w:t>. Subclass 417 (Working Holiday) visa arrangements are uncapped with no limit on the annual number of visa grants.</w:t>
      </w:r>
    </w:p>
    <w:p w14:paraId="15C822F6" w14:textId="4CA05E5D" w:rsidR="002D0A1E" w:rsidRPr="00821A6B" w:rsidRDefault="004962E4" w:rsidP="002E3718">
      <w:pPr>
        <w:pStyle w:val="ESPara"/>
      </w:pPr>
      <w:r>
        <w:rPr>
          <w:color w:val="000000"/>
          <w:shd w:val="clear" w:color="auto" w:fill="FFFFFF"/>
        </w:rPr>
        <w:t>WHM</w:t>
      </w:r>
      <w:r w:rsidR="002D0A1E" w:rsidRPr="00821A6B">
        <w:rPr>
          <w:color w:val="000000"/>
          <w:shd w:val="clear" w:color="auto" w:fill="FFFFFF"/>
        </w:rPr>
        <w:t xml:space="preserve"> visas are granted with a 12-month stay period.  There are incentives for working holiday makers (WHMs) to work in locations and industries with critical work shortages, referred to as 'specified work'. While WHMs </w:t>
      </w:r>
      <w:r w:rsidR="00447601">
        <w:rPr>
          <w:color w:val="000000"/>
          <w:shd w:val="clear" w:color="auto" w:fill="FFFFFF"/>
        </w:rPr>
        <w:t xml:space="preserve">are not required to work at all, they </w:t>
      </w:r>
      <w:r w:rsidR="002D0A1E" w:rsidRPr="00821A6B">
        <w:rPr>
          <w:color w:val="000000"/>
          <w:shd w:val="clear" w:color="auto" w:fill="FFFFFF"/>
        </w:rPr>
        <w:t>can work in any area</w:t>
      </w:r>
      <w:r w:rsidR="00447601">
        <w:rPr>
          <w:color w:val="000000"/>
          <w:shd w:val="clear" w:color="auto" w:fill="FFFFFF"/>
        </w:rPr>
        <w:t>, occupation</w:t>
      </w:r>
      <w:r w:rsidR="002D0A1E" w:rsidRPr="00821A6B">
        <w:rPr>
          <w:color w:val="000000"/>
          <w:shd w:val="clear" w:color="auto" w:fill="FFFFFF"/>
        </w:rPr>
        <w:t xml:space="preserve"> or industry</w:t>
      </w:r>
      <w:r w:rsidR="00447601">
        <w:rPr>
          <w:color w:val="000000"/>
          <w:shd w:val="clear" w:color="auto" w:fill="FFFFFF"/>
        </w:rPr>
        <w:t>.</w:t>
      </w:r>
      <w:r w:rsidR="002D0A1E" w:rsidRPr="00821A6B">
        <w:rPr>
          <w:color w:val="000000"/>
          <w:shd w:val="clear" w:color="auto" w:fill="FFFFFF"/>
        </w:rPr>
        <w:t xml:space="preserve"> WHMs can be granted a second </w:t>
      </w:r>
      <w:r>
        <w:rPr>
          <w:color w:val="000000"/>
          <w:shd w:val="clear" w:color="auto" w:fill="FFFFFF"/>
        </w:rPr>
        <w:t>or</w:t>
      </w:r>
      <w:r w:rsidR="002D0A1E" w:rsidRPr="00821A6B">
        <w:rPr>
          <w:color w:val="000000"/>
          <w:shd w:val="clear" w:color="auto" w:fill="FFFFFF"/>
        </w:rPr>
        <w:t xml:space="preserve"> third </w:t>
      </w:r>
      <w:r w:rsidR="00447601">
        <w:rPr>
          <w:color w:val="000000"/>
          <w:shd w:val="clear" w:color="auto" w:fill="FFFFFF"/>
        </w:rPr>
        <w:t xml:space="preserve">WHM </w:t>
      </w:r>
      <w:r w:rsidR="002D0A1E" w:rsidRPr="00821A6B">
        <w:rPr>
          <w:color w:val="000000"/>
          <w:shd w:val="clear" w:color="auto" w:fill="FFFFFF"/>
        </w:rPr>
        <w:t xml:space="preserve">visa if they have carried out </w:t>
      </w:r>
      <w:r w:rsidR="00447601">
        <w:rPr>
          <w:color w:val="000000"/>
          <w:shd w:val="clear" w:color="auto" w:fill="FFFFFF"/>
        </w:rPr>
        <w:t xml:space="preserve">prescribed minimum periods of </w:t>
      </w:r>
      <w:r w:rsidR="002D0A1E" w:rsidRPr="00821A6B">
        <w:rPr>
          <w:color w:val="000000"/>
          <w:shd w:val="clear" w:color="auto" w:fill="FFFFFF"/>
        </w:rPr>
        <w:t xml:space="preserve">specified work on their </w:t>
      </w:r>
      <w:r w:rsidR="00447601">
        <w:rPr>
          <w:color w:val="000000"/>
          <w:shd w:val="clear" w:color="auto" w:fill="FFFFFF"/>
        </w:rPr>
        <w:t xml:space="preserve">previous </w:t>
      </w:r>
      <w:r w:rsidR="002D0A1E" w:rsidRPr="00821A6B">
        <w:rPr>
          <w:color w:val="000000"/>
          <w:shd w:val="clear" w:color="auto" w:fill="FFFFFF"/>
        </w:rPr>
        <w:t>WHM visa</w:t>
      </w:r>
      <w:r w:rsidR="00447601">
        <w:rPr>
          <w:color w:val="000000"/>
          <w:shd w:val="clear" w:color="auto" w:fill="FFFFFF"/>
        </w:rPr>
        <w:t>.</w:t>
      </w:r>
    </w:p>
    <w:p w14:paraId="7CAA4BF5" w14:textId="5C2A1F1A" w:rsidR="00183DED" w:rsidRPr="00821A6B" w:rsidRDefault="00347703" w:rsidP="002E3718">
      <w:pPr>
        <w:pStyle w:val="ESPara"/>
      </w:pPr>
      <w:r w:rsidRPr="00821A6B">
        <w:t>LIN 21/043</w:t>
      </w:r>
      <w:r w:rsidR="002E3718" w:rsidRPr="00821A6B">
        <w:t xml:space="preserve"> is being made to accompany changes to applications for the </w:t>
      </w:r>
      <w:r w:rsidR="004962E4">
        <w:t>WHM visas</w:t>
      </w:r>
      <w:r w:rsidR="00183DED" w:rsidRPr="00821A6B">
        <w:t xml:space="preserve"> made to</w:t>
      </w:r>
      <w:r w:rsidR="002E3718" w:rsidRPr="00821A6B">
        <w:t xml:space="preserve"> the Regulations by the </w:t>
      </w:r>
      <w:r w:rsidR="002E3718" w:rsidRPr="004962E4">
        <w:rPr>
          <w:i/>
        </w:rPr>
        <w:t>Home Affairs Legislation Amendment (2021 Measures No. 1) Regulation 2021</w:t>
      </w:r>
      <w:r w:rsidR="002E3718" w:rsidRPr="00181AFB">
        <w:rPr>
          <w:i/>
        </w:rPr>
        <w:t xml:space="preserve"> </w:t>
      </w:r>
      <w:r w:rsidR="002E3718" w:rsidRPr="00821A6B">
        <w:t xml:space="preserve">(the Amendment Regulations).  </w:t>
      </w:r>
    </w:p>
    <w:p w14:paraId="22118E4A" w14:textId="1DCF64EB" w:rsidR="00183DED" w:rsidRPr="00347703" w:rsidRDefault="002D0A1E" w:rsidP="002E3718">
      <w:pPr>
        <w:pStyle w:val="ESPara"/>
      </w:pPr>
      <w:r w:rsidRPr="00821A6B">
        <w:t>The Amendment Regulations insert new regulation 1.15P</w:t>
      </w:r>
      <w:r w:rsidR="0020799E" w:rsidRPr="00347703">
        <w:t>. The purpose of regulation 1.15P is to describe the visas that are COVID-19 affected visas. A WHM vis</w:t>
      </w:r>
      <w:r w:rsidR="00243E42" w:rsidRPr="00347703">
        <w:t>a</w:t>
      </w:r>
      <w:r w:rsidR="0020799E" w:rsidRPr="00347703">
        <w:t xml:space="preserve"> is a COVID-19 affected visa if all of the following requirements are met</w:t>
      </w:r>
      <w:r w:rsidR="00AB51DC">
        <w:t xml:space="preserve"> under subregulation 1.15P(1)</w:t>
      </w:r>
      <w:r w:rsidR="004962E4">
        <w:t>:</w:t>
      </w:r>
    </w:p>
    <w:p w14:paraId="3E2B3A90" w14:textId="385F51CE" w:rsidR="0020799E" w:rsidRPr="00347703" w:rsidRDefault="004962E4" w:rsidP="00181AFB">
      <w:pPr>
        <w:pStyle w:val="ESSubparaHeader"/>
        <w:keepNext w:val="0"/>
        <w:numPr>
          <w:ilvl w:val="0"/>
          <w:numId w:val="7"/>
        </w:numPr>
        <w:ind w:left="1281" w:hanging="357"/>
      </w:pPr>
      <w:proofErr w:type="gramStart"/>
      <w:r>
        <w:t>t</w:t>
      </w:r>
      <w:r w:rsidR="0020799E" w:rsidRPr="00347703">
        <w:t>he</w:t>
      </w:r>
      <w:proofErr w:type="gramEnd"/>
      <w:r w:rsidR="0020799E" w:rsidRPr="00347703">
        <w:t xml:space="preserve"> visa was in force during the travel restrictions resulting from the COVID-19 pandemic. This is defined as meaning that the visa was granted before 20 March 2020 and ceased to be in effect on or after that day (paragraphs 1.15P(1)(a) and (b));</w:t>
      </w:r>
      <w:r>
        <w:t xml:space="preserve"> and</w:t>
      </w:r>
    </w:p>
    <w:p w14:paraId="1A3504A7" w14:textId="0680C098" w:rsidR="0020799E" w:rsidRPr="00821A6B" w:rsidRDefault="004962E4" w:rsidP="00181AFB">
      <w:pPr>
        <w:pStyle w:val="ESSubparaHeader"/>
        <w:keepNext w:val="0"/>
        <w:numPr>
          <w:ilvl w:val="0"/>
          <w:numId w:val="7"/>
        </w:numPr>
        <w:ind w:left="1281" w:hanging="357"/>
      </w:pPr>
      <w:r>
        <w:t>t</w:t>
      </w:r>
      <w:r w:rsidR="0020799E" w:rsidRPr="00821A6B">
        <w:t>he visa expired, or was cancelled at the request of the visa holder, by 31 December 2021, at a time when the visa holder was outside Australia; or the visa, if still in effect, will expire by 31</w:t>
      </w:r>
      <w:r>
        <w:t> </w:t>
      </w:r>
      <w:r w:rsidR="0020799E" w:rsidRPr="00821A6B">
        <w:t>December 2021</w:t>
      </w:r>
      <w:r w:rsidR="00AB51DC">
        <w:t xml:space="preserve"> </w:t>
      </w:r>
      <w:r w:rsidR="0020799E" w:rsidRPr="00821A6B">
        <w:t>(paragraphs 1.15P(1)(e) and (f)); and</w:t>
      </w:r>
    </w:p>
    <w:p w14:paraId="6ADBD013" w14:textId="14694124" w:rsidR="0020799E" w:rsidRPr="00821A6B" w:rsidRDefault="004962E4" w:rsidP="00181AFB">
      <w:pPr>
        <w:pStyle w:val="ESSubparaHeader"/>
        <w:keepNext w:val="0"/>
        <w:numPr>
          <w:ilvl w:val="0"/>
          <w:numId w:val="7"/>
        </w:numPr>
        <w:ind w:left="1281" w:hanging="357"/>
      </w:pPr>
      <w:proofErr w:type="gramStart"/>
      <w:r>
        <w:t>t</w:t>
      </w:r>
      <w:r w:rsidR="0020799E" w:rsidRPr="00821A6B">
        <w:t>he</w:t>
      </w:r>
      <w:proofErr w:type="gramEnd"/>
      <w:r w:rsidR="0020799E" w:rsidRPr="00821A6B">
        <w:t xml:space="preserve"> holder or former holder of the visa is outside Australia and applies for another WHM visa, between 1 July 2021 and 31 December 2022 (paragraphs 1.15P(1)(c) and (d)).</w:t>
      </w:r>
    </w:p>
    <w:p w14:paraId="400F1502" w14:textId="2C962F86" w:rsidR="00347703" w:rsidRDefault="00B56620" w:rsidP="00821A6B">
      <w:pPr>
        <w:pStyle w:val="ESPara"/>
      </w:pPr>
      <w:r w:rsidRPr="00347703">
        <w:lastRenderedPageBreak/>
        <w:t>New subregulation 1.15P</w:t>
      </w:r>
      <w:r w:rsidR="00347703">
        <w:t>(2)</w:t>
      </w:r>
      <w:r w:rsidRPr="00347703">
        <w:t xml:space="preserve"> provides that the Minister may, by legislative instrument, specify kinds of WHM visa</w:t>
      </w:r>
      <w:r w:rsidR="004962E4">
        <w:t>s</w:t>
      </w:r>
      <w:r w:rsidRPr="00347703">
        <w:t xml:space="preserve"> for the purposes of the definition of </w:t>
      </w:r>
      <w:r w:rsidRPr="00181AFB">
        <w:t xml:space="preserve">COVID-19 affected </w:t>
      </w:r>
      <w:r w:rsidR="00243E42" w:rsidRPr="00181AFB">
        <w:t>vi</w:t>
      </w:r>
      <w:r w:rsidR="004962E4">
        <w:t>sa</w:t>
      </w:r>
      <w:r w:rsidR="00243E42" w:rsidRPr="00347703">
        <w:rPr>
          <w:i/>
        </w:rPr>
        <w:t xml:space="preserve"> </w:t>
      </w:r>
      <w:r w:rsidR="00243E42" w:rsidRPr="00181AFB">
        <w:t>in</w:t>
      </w:r>
      <w:r w:rsidR="00347703" w:rsidRPr="00181AFB">
        <w:t xml:space="preserve"> regulation 1.03</w:t>
      </w:r>
      <w:r w:rsidR="00AA2F5B">
        <w:t>, which was also a new definition inserted by the Amendment Regulations</w:t>
      </w:r>
      <w:r w:rsidR="00347703">
        <w:rPr>
          <w:i/>
        </w:rPr>
        <w:t>.</w:t>
      </w:r>
    </w:p>
    <w:p w14:paraId="5F8B9DC2" w14:textId="5A864040" w:rsidR="0074189C" w:rsidRPr="00821A6B" w:rsidRDefault="002E3718" w:rsidP="0074189C">
      <w:pPr>
        <w:pStyle w:val="ESSubparaHeader"/>
      </w:pPr>
      <w:r w:rsidRPr="00347703">
        <w:t xml:space="preserve">The </w:t>
      </w:r>
      <w:r w:rsidR="00183DED" w:rsidRPr="00347703">
        <w:t>A</w:t>
      </w:r>
      <w:r w:rsidRPr="00347703">
        <w:t xml:space="preserve">mendment </w:t>
      </w:r>
      <w:r w:rsidR="00B56620" w:rsidRPr="00347703">
        <w:t>Regulation</w:t>
      </w:r>
      <w:r w:rsidR="00447601">
        <w:t>s</w:t>
      </w:r>
      <w:r w:rsidR="00B56620" w:rsidRPr="00347703">
        <w:t xml:space="preserve"> also relevantly insert new </w:t>
      </w:r>
      <w:r w:rsidR="0074189C" w:rsidRPr="00347703">
        <w:t>subparagraph</w:t>
      </w:r>
      <w:r w:rsidR="00255E02">
        <w:t>s</w:t>
      </w:r>
      <w:r w:rsidR="00B56620" w:rsidRPr="00347703">
        <w:t xml:space="preserve"> </w:t>
      </w:r>
      <w:proofErr w:type="gramStart"/>
      <w:r w:rsidR="00B56620" w:rsidRPr="00347703">
        <w:t>1224A(</w:t>
      </w:r>
      <w:proofErr w:type="gramEnd"/>
      <w:r w:rsidR="00B56620" w:rsidRPr="00347703">
        <w:t>2)(a)(</w:t>
      </w:r>
      <w:proofErr w:type="spellStart"/>
      <w:r w:rsidR="00B56620" w:rsidRPr="00347703">
        <w:t>i</w:t>
      </w:r>
      <w:proofErr w:type="spellEnd"/>
      <w:r w:rsidR="00B56620" w:rsidRPr="00347703">
        <w:t>)</w:t>
      </w:r>
      <w:r w:rsidR="0074189C" w:rsidRPr="00347703">
        <w:t xml:space="preserve"> and</w:t>
      </w:r>
      <w:r w:rsidR="00255E02">
        <w:t xml:space="preserve"> </w:t>
      </w:r>
      <w:r w:rsidR="0074189C" w:rsidRPr="00347703">
        <w:t>1225(2)(a)(</w:t>
      </w:r>
      <w:proofErr w:type="spellStart"/>
      <w:r w:rsidR="0074189C" w:rsidRPr="00347703">
        <w:t>i</w:t>
      </w:r>
      <w:proofErr w:type="spellEnd"/>
      <w:r w:rsidR="0074189C" w:rsidRPr="00347703">
        <w:t xml:space="preserve">). The purpose </w:t>
      </w:r>
      <w:r w:rsidR="00255E02">
        <w:t>of</w:t>
      </w:r>
      <w:r w:rsidR="00255E02" w:rsidRPr="00347703">
        <w:t xml:space="preserve"> </w:t>
      </w:r>
      <w:r w:rsidR="0074189C" w:rsidRPr="00347703">
        <w:t>this instrument is to specify under subparagraph</w:t>
      </w:r>
      <w:r w:rsidR="00255E02">
        <w:t>s</w:t>
      </w:r>
      <w:r w:rsidR="0074189C" w:rsidRPr="00347703">
        <w:t xml:space="preserve"> 1224A(2)(a)(</w:t>
      </w:r>
      <w:proofErr w:type="spellStart"/>
      <w:r w:rsidR="0074189C" w:rsidRPr="00347703">
        <w:t>i</w:t>
      </w:r>
      <w:proofErr w:type="spellEnd"/>
      <w:r w:rsidR="0074189C" w:rsidRPr="00347703">
        <w:t>) and</w:t>
      </w:r>
      <w:r w:rsidR="00255E02">
        <w:t xml:space="preserve"> </w:t>
      </w:r>
      <w:r w:rsidR="0074189C" w:rsidRPr="00347703">
        <w:t>1225(2)(a)(</w:t>
      </w:r>
      <w:proofErr w:type="spellStart"/>
      <w:r w:rsidR="0074189C" w:rsidRPr="00347703">
        <w:t>i</w:t>
      </w:r>
      <w:proofErr w:type="spellEnd"/>
      <w:r w:rsidR="0074189C" w:rsidRPr="00347703">
        <w:t>) that a nil visa application charge</w:t>
      </w:r>
      <w:r w:rsidR="002A7CB7">
        <w:t xml:space="preserve"> (VAC)</w:t>
      </w:r>
      <w:r w:rsidR="0074189C" w:rsidRPr="00347703">
        <w:t xml:space="preserve"> will apply to </w:t>
      </w:r>
      <w:r w:rsidR="003D1EAE" w:rsidRPr="00347703">
        <w:t xml:space="preserve">a class of persons </w:t>
      </w:r>
      <w:r w:rsidR="0074189C" w:rsidRPr="00347703">
        <w:t xml:space="preserve">who hold or held a </w:t>
      </w:r>
      <w:r w:rsidR="004962E4">
        <w:t>WHM</w:t>
      </w:r>
      <w:r w:rsidR="0074189C" w:rsidRPr="00821A6B">
        <w:t xml:space="preserve"> visa, as described in </w:t>
      </w:r>
      <w:proofErr w:type="spellStart"/>
      <w:r w:rsidR="0074189C" w:rsidRPr="00821A6B">
        <w:t>subregulation</w:t>
      </w:r>
      <w:proofErr w:type="spellEnd"/>
      <w:r w:rsidR="0074189C" w:rsidRPr="00821A6B">
        <w:t xml:space="preserve"> 1.15P(1). </w:t>
      </w:r>
    </w:p>
    <w:p w14:paraId="008D1F03" w14:textId="6B5BC132" w:rsidR="0074189C" w:rsidRPr="00821A6B" w:rsidRDefault="00255E02" w:rsidP="00AD5652">
      <w:pPr>
        <w:pStyle w:val="ESSubparaHeader"/>
      </w:pPr>
      <w:r>
        <w:t xml:space="preserve">An applicant will be in a </w:t>
      </w:r>
      <w:r w:rsidR="003D1EAE" w:rsidRPr="00821A6B">
        <w:t xml:space="preserve">class of persons (as set out in sections 4 and 5 of the instrument) </w:t>
      </w:r>
      <w:r w:rsidR="00821A6B" w:rsidRPr="00821A6B">
        <w:t xml:space="preserve">to whom a nil </w:t>
      </w:r>
      <w:r w:rsidR="002A7CB7">
        <w:t>VAC</w:t>
      </w:r>
      <w:r w:rsidR="007D1216" w:rsidRPr="00821A6B">
        <w:t xml:space="preserve"> will apply </w:t>
      </w:r>
      <w:r>
        <w:t xml:space="preserve">if they meet </w:t>
      </w:r>
      <w:r w:rsidR="000F16D8">
        <w:t xml:space="preserve">both </w:t>
      </w:r>
      <w:r>
        <w:t>of the following criteria</w:t>
      </w:r>
      <w:r w:rsidR="003D1EAE" w:rsidRPr="00821A6B">
        <w:t>:</w:t>
      </w:r>
    </w:p>
    <w:p w14:paraId="73C4F3EC" w14:textId="3A0F9539" w:rsidR="003D1EAE" w:rsidRPr="00821A6B" w:rsidRDefault="00255E02" w:rsidP="00821A6B">
      <w:pPr>
        <w:pStyle w:val="ESSubparaList"/>
      </w:pPr>
      <w:r>
        <w:t>the applicant’s</w:t>
      </w:r>
      <w:r w:rsidR="003D1EAE" w:rsidRPr="00821A6B">
        <w:t xml:space="preserve"> last held visa is a COVID-19 affected visa of a kind mentioned in subregulation 1.15P(</w:t>
      </w:r>
      <w:r w:rsidR="008910FE">
        <w:t>1</w:t>
      </w:r>
      <w:r w:rsidR="003D1EAE" w:rsidRPr="00821A6B">
        <w:t>)</w:t>
      </w:r>
      <w:r w:rsidR="008910FE">
        <w:t>;</w:t>
      </w:r>
      <w:r>
        <w:t xml:space="preserve"> </w:t>
      </w:r>
    </w:p>
    <w:p w14:paraId="500D7504" w14:textId="0B576E6E" w:rsidR="00857961" w:rsidRDefault="00255E02">
      <w:pPr>
        <w:pStyle w:val="ESSubparaList"/>
      </w:pPr>
      <w:proofErr w:type="gramStart"/>
      <w:r>
        <w:t>the</w:t>
      </w:r>
      <w:proofErr w:type="gramEnd"/>
      <w:r>
        <w:t xml:space="preserve"> applicant</w:t>
      </w:r>
      <w:r w:rsidR="003D1EAE" w:rsidRPr="00821A6B">
        <w:t xml:space="preserve"> has not </w:t>
      </w:r>
      <w:r>
        <w:t>made any other nil VAC application for a</w:t>
      </w:r>
      <w:r w:rsidR="003D1EAE" w:rsidRPr="00821A6B">
        <w:t xml:space="preserve"> </w:t>
      </w:r>
      <w:r w:rsidR="004962E4">
        <w:t>WHM visa</w:t>
      </w:r>
      <w:r>
        <w:t xml:space="preserve"> that </w:t>
      </w:r>
      <w:r w:rsidR="00F22D2E">
        <w:t>is</w:t>
      </w:r>
      <w:r>
        <w:t xml:space="preserve"> </w:t>
      </w:r>
      <w:r w:rsidR="00902C09">
        <w:t xml:space="preserve">not </w:t>
      </w:r>
      <w:r>
        <w:t xml:space="preserve">finalised, </w:t>
      </w:r>
      <w:r w:rsidR="00902C09">
        <w:t xml:space="preserve">or was </w:t>
      </w:r>
      <w:r>
        <w:t xml:space="preserve">refused. </w:t>
      </w:r>
    </w:p>
    <w:p w14:paraId="7AAB8321" w14:textId="316B287B" w:rsidR="00AD5652" w:rsidRPr="00821A6B" w:rsidRDefault="00857961">
      <w:pPr>
        <w:pStyle w:val="ESSubparaHeader"/>
      </w:pPr>
      <w:r>
        <w:t>These criteria capture WHMs whose visas were affected by COVID-19, so that they can a</w:t>
      </w:r>
      <w:r w:rsidR="004962E4">
        <w:t>pply for another WHM visa with</w:t>
      </w:r>
      <w:r w:rsidR="00345921">
        <w:t xml:space="preserve"> a</w:t>
      </w:r>
      <w:r>
        <w:t xml:space="preserve"> nil VAC. Additionally, the class is limited so that an applicant can only be granted one nil VAC visa, and cannot make repeat applications if it is refused.  However, an applicant who withdraws a nil VAC application can reapply.  </w:t>
      </w:r>
    </w:p>
    <w:p w14:paraId="08312BF9" w14:textId="77777777" w:rsidR="008B24C8" w:rsidRPr="00821A6B" w:rsidRDefault="008B24C8" w:rsidP="00100DFC">
      <w:pPr>
        <w:pStyle w:val="ESHeading"/>
      </w:pPr>
      <w:r w:rsidRPr="00821A6B">
        <w:t>Consultation</w:t>
      </w:r>
    </w:p>
    <w:p w14:paraId="6170A52E" w14:textId="7FA59033" w:rsidR="008B24C8" w:rsidRPr="00821A6B" w:rsidRDefault="00CA3B2F" w:rsidP="00CA3B2F">
      <w:pPr>
        <w:pStyle w:val="ESPara"/>
      </w:pPr>
      <w:r w:rsidRPr="00821A6B">
        <w:t>Consultation was undertaken before the instrument was made with, and agreed to by, the following Departments, as part of a whole of government decision process: Treasury, Finance, Foreign Affairs and Trade, Education, Skills and Employment and Prime Minister and Cabinet. Public consultation was undertaken with Hospitality and Tourism industry peak bodies through the Department</w:t>
      </w:r>
      <w:r w:rsidR="002A7CB7">
        <w:t>’</w:t>
      </w:r>
      <w:r w:rsidRPr="00821A6B">
        <w:t xml:space="preserve">s Tourism Visa Advisory Group to communicate the change. </w:t>
      </w:r>
    </w:p>
    <w:p w14:paraId="397DB89E" w14:textId="77777777" w:rsidR="008B24C8" w:rsidRPr="00821A6B" w:rsidRDefault="008B24C8" w:rsidP="002D167E">
      <w:pPr>
        <w:pStyle w:val="ESPara"/>
      </w:pPr>
      <w:r w:rsidRPr="00821A6B">
        <w:t>The Office of Best Practice Regulation (OBPR) was also consulted and considered that the instrument dealt with m</w:t>
      </w:r>
      <w:r w:rsidR="00CA3B2F" w:rsidRPr="00821A6B">
        <w:t xml:space="preserve">atters of a </w:t>
      </w:r>
      <w:r w:rsidRPr="00821A6B">
        <w:t xml:space="preserve">minor nature and no regulatory impact statement was required.  </w:t>
      </w:r>
      <w:r w:rsidR="00CA3B2F" w:rsidRPr="00821A6B">
        <w:t>The OBPR reference number is 42822</w:t>
      </w:r>
      <w:r w:rsidRPr="00821A6B">
        <w:t>.</w:t>
      </w:r>
    </w:p>
    <w:p w14:paraId="2720563F" w14:textId="77777777" w:rsidR="00AA4557" w:rsidRPr="00821A6B" w:rsidRDefault="00464080" w:rsidP="00100DFC">
      <w:pPr>
        <w:pStyle w:val="ESHeading"/>
      </w:pPr>
      <w:r w:rsidRPr="00821A6B">
        <w:t>Details</w:t>
      </w:r>
      <w:r w:rsidR="00AA4557" w:rsidRPr="00821A6B">
        <w:t xml:space="preserve"> of the instrument</w:t>
      </w:r>
    </w:p>
    <w:p w14:paraId="1E99885A" w14:textId="77777777" w:rsidR="00AA4557" w:rsidRPr="00821A6B" w:rsidRDefault="00AA4557" w:rsidP="002D167E">
      <w:pPr>
        <w:pStyle w:val="ESPara"/>
      </w:pPr>
      <w:r w:rsidRPr="00821A6B">
        <w:t>Section 1 sets out</w:t>
      </w:r>
      <w:r w:rsidR="00E03DCC" w:rsidRPr="00821A6B">
        <w:t xml:space="preserve"> the name of the instrument. </w:t>
      </w:r>
    </w:p>
    <w:p w14:paraId="0310B9E5" w14:textId="77777777" w:rsidR="00AA4557" w:rsidRPr="00821A6B" w:rsidRDefault="00AA4557" w:rsidP="002D167E">
      <w:pPr>
        <w:pStyle w:val="ESPara"/>
      </w:pPr>
      <w:r w:rsidRPr="00821A6B">
        <w:t xml:space="preserve">Section 2 provides for the commencement of the instrument on </w:t>
      </w:r>
      <w:r w:rsidR="00397B8D" w:rsidRPr="00821A6B">
        <w:t>1 July 2021</w:t>
      </w:r>
      <w:r w:rsidRPr="00821A6B">
        <w:t>.</w:t>
      </w:r>
    </w:p>
    <w:p w14:paraId="33B82776" w14:textId="77777777" w:rsidR="00AA4557" w:rsidRPr="00821A6B" w:rsidRDefault="00397B8D" w:rsidP="00397B8D">
      <w:pPr>
        <w:pStyle w:val="ESPara"/>
      </w:pPr>
      <w:r w:rsidRPr="00821A6B">
        <w:t xml:space="preserve">Section 3 </w:t>
      </w:r>
      <w:r w:rsidR="00AA4557" w:rsidRPr="00821A6B">
        <w:t xml:space="preserve">sets out definitions of terms used in this instrument. </w:t>
      </w:r>
    </w:p>
    <w:p w14:paraId="3A68A6E1" w14:textId="0F044039" w:rsidR="008910FE" w:rsidRDefault="00397B8D" w:rsidP="00181AFB">
      <w:pPr>
        <w:pStyle w:val="ESPara"/>
      </w:pPr>
      <w:r w:rsidRPr="00821A6B">
        <w:t xml:space="preserve">Section 4 sets out, for </w:t>
      </w:r>
      <w:r w:rsidR="00AA2F5B" w:rsidRPr="00821A6B">
        <w:t>sub</w:t>
      </w:r>
      <w:r w:rsidR="00AA2F5B">
        <w:t xml:space="preserve">regulation </w:t>
      </w:r>
      <w:r w:rsidR="00821A6B">
        <w:t>2.07(5) and subparagraph</w:t>
      </w:r>
      <w:r w:rsidRPr="00821A6B">
        <w:t xml:space="preserve"> 1225(2)(a)(</w:t>
      </w:r>
      <w:proofErr w:type="spellStart"/>
      <w:r w:rsidRPr="00821A6B">
        <w:t>i</w:t>
      </w:r>
      <w:proofErr w:type="spellEnd"/>
      <w:r w:rsidRPr="00821A6B">
        <w:t>) of Schedule 1 of the Regulations</w:t>
      </w:r>
      <w:r w:rsidR="00821A6B">
        <w:t>,</w:t>
      </w:r>
      <w:r w:rsidRPr="00821A6B">
        <w:t xml:space="preserve"> the kind of applicants for a </w:t>
      </w:r>
      <w:r w:rsidR="008910FE" w:rsidRPr="00821A6B">
        <w:t>Subclass 417</w:t>
      </w:r>
      <w:r w:rsidR="008910FE">
        <w:t xml:space="preserve"> </w:t>
      </w:r>
      <w:r w:rsidR="00A8349E">
        <w:t>(</w:t>
      </w:r>
      <w:r w:rsidR="008910FE">
        <w:t>Working Holiday</w:t>
      </w:r>
      <w:r w:rsidR="00A8349E">
        <w:t>)</w:t>
      </w:r>
      <w:r w:rsidRPr="00821A6B">
        <w:t xml:space="preserve"> visa who will be in a class of persons for a nil VAC. </w:t>
      </w:r>
    </w:p>
    <w:p w14:paraId="26883ED4" w14:textId="100D5D8B" w:rsidR="00821A6B" w:rsidRPr="00181AFB" w:rsidRDefault="00397B8D" w:rsidP="00181AFB">
      <w:pPr>
        <w:pStyle w:val="ESPara"/>
      </w:pPr>
      <w:r w:rsidRPr="008910FE">
        <w:t>Section</w:t>
      </w:r>
      <w:r w:rsidRPr="00821A6B">
        <w:t xml:space="preserve"> </w:t>
      </w:r>
      <w:r w:rsidR="00821A6B">
        <w:t>5 sets out</w:t>
      </w:r>
      <w:r w:rsidR="00177BED">
        <w:t>,</w:t>
      </w:r>
      <w:r w:rsidR="00821A6B">
        <w:t xml:space="preserve"> for </w:t>
      </w:r>
      <w:r w:rsidR="00AA2F5B">
        <w:t xml:space="preserve">subregulation </w:t>
      </w:r>
      <w:r w:rsidR="00821A6B">
        <w:t xml:space="preserve">2.07(5) and subparagraph </w:t>
      </w:r>
      <w:proofErr w:type="gramStart"/>
      <w:r w:rsidR="00821A6B">
        <w:t>1224A(</w:t>
      </w:r>
      <w:proofErr w:type="gramEnd"/>
      <w:r w:rsidR="00821A6B">
        <w:t>2)(a)(</w:t>
      </w:r>
      <w:proofErr w:type="spellStart"/>
      <w:r w:rsidR="00821A6B">
        <w:t>i</w:t>
      </w:r>
      <w:proofErr w:type="spellEnd"/>
      <w:r w:rsidR="00821A6B">
        <w:t xml:space="preserve">) of Schedule 1 to the Regulations, the kinds of applicants for a </w:t>
      </w:r>
      <w:r w:rsidR="008910FE">
        <w:t xml:space="preserve">Subclass 462 </w:t>
      </w:r>
      <w:r w:rsidR="00A8349E">
        <w:t>(</w:t>
      </w:r>
      <w:r w:rsidR="008910FE">
        <w:t>Work and Holiday</w:t>
      </w:r>
      <w:r w:rsidR="00821A6B">
        <w:t>)</w:t>
      </w:r>
      <w:r w:rsidR="00A8349E">
        <w:t xml:space="preserve"> </w:t>
      </w:r>
      <w:r w:rsidR="00821A6B">
        <w:t>visa who will be in a class of persons for a nil VAC.</w:t>
      </w:r>
    </w:p>
    <w:p w14:paraId="349B9A65" w14:textId="2074668A" w:rsidR="00AA4557" w:rsidRPr="00347703" w:rsidRDefault="00397B8D" w:rsidP="00100DFC">
      <w:pPr>
        <w:pStyle w:val="ESHeading"/>
      </w:pPr>
      <w:r w:rsidRPr="00821A6B">
        <w:lastRenderedPageBreak/>
        <w:t xml:space="preserve"> </w:t>
      </w:r>
      <w:r w:rsidR="00AA4557" w:rsidRPr="00347703">
        <w:t xml:space="preserve">Parliamentary scrutiny etc.  </w:t>
      </w:r>
    </w:p>
    <w:p w14:paraId="507EE876" w14:textId="77777777" w:rsidR="007214FC" w:rsidRPr="00347703" w:rsidRDefault="007214FC" w:rsidP="00181AFB">
      <w:pPr>
        <w:pStyle w:val="ESPara"/>
      </w:pPr>
      <w:r w:rsidRPr="00347703">
        <w:t xml:space="preserve">The instrument is exempt from disallowance under section 42 of the Legislation Act.  This is because instruments made under Schedule 1 of the Migration Regulations are prescribed as exempt in section 10 of the </w:t>
      </w:r>
      <w:r w:rsidRPr="00347703">
        <w:rPr>
          <w:i/>
        </w:rPr>
        <w:t>Legislation (Exemptions and Other Matters) Regulation 2015</w:t>
      </w:r>
      <w:r w:rsidRPr="00347703">
        <w:t xml:space="preserve">.  </w:t>
      </w:r>
    </w:p>
    <w:p w14:paraId="2FA8D38E" w14:textId="410AF371" w:rsidR="00915032" w:rsidRPr="00821A6B" w:rsidRDefault="007214FC" w:rsidP="00181AFB">
      <w:pPr>
        <w:pStyle w:val="ESPara"/>
      </w:pPr>
      <w:r w:rsidRPr="00821A6B">
        <w:t xml:space="preserve">The instrument was made by a delegate of the Minister, </w:t>
      </w:r>
      <w:r w:rsidR="004A0639" w:rsidRPr="00821A6B">
        <w:t xml:space="preserve">A/g </w:t>
      </w:r>
      <w:r w:rsidRPr="00821A6B">
        <w:t>Senior Executive Service Band One, Immigration</w:t>
      </w:r>
      <w:r w:rsidR="004A0639" w:rsidRPr="00821A6B">
        <w:t>, Integrity, Assurance and Policy</w:t>
      </w:r>
      <w:r w:rsidRPr="00821A6B">
        <w:t xml:space="preserve"> Division, </w:t>
      </w:r>
      <w:r w:rsidR="0007448A">
        <w:t xml:space="preserve">acting under subregulation 2.07(5) of the Migration Regulations for the purposes of </w:t>
      </w:r>
      <w:r w:rsidRPr="00821A6B">
        <w:t>subparagraphs 1224A(2)(a)(</w:t>
      </w:r>
      <w:proofErr w:type="spellStart"/>
      <w:r w:rsidRPr="00821A6B">
        <w:t>i</w:t>
      </w:r>
      <w:proofErr w:type="spellEnd"/>
      <w:r w:rsidRPr="00821A6B">
        <w:t>) and 1225</w:t>
      </w:r>
      <w:r w:rsidR="00DA1F1D">
        <w:t>(2)</w:t>
      </w:r>
      <w:r w:rsidRPr="00821A6B">
        <w:t>(a)(</w:t>
      </w:r>
      <w:proofErr w:type="spellStart"/>
      <w:r w:rsidRPr="00821A6B">
        <w:t>i</w:t>
      </w:r>
      <w:proofErr w:type="spellEnd"/>
      <w:r w:rsidRPr="00821A6B">
        <w:t xml:space="preserve">) of Schedule 1 to the Migration Regulations.  The Senior Executive Service Band One was delegated the power to make the instrument by </w:t>
      </w:r>
      <w:r w:rsidRPr="00821A6B">
        <w:rPr>
          <w:i/>
        </w:rPr>
        <w:t>Migration (Minister—Instrument-making powers for Department and Australian Border Force) Delegation 2021</w:t>
      </w:r>
      <w:r w:rsidRPr="00821A6B">
        <w:t xml:space="preserve">. </w:t>
      </w:r>
    </w:p>
    <w:sectPr w:rsidR="00915032" w:rsidRPr="00821A6B"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92D"/>
    <w:multiLevelType w:val="hybridMultilevel"/>
    <w:tmpl w:val="B3FEB8DA"/>
    <w:lvl w:ilvl="0" w:tplc="0FCED3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F3E1D"/>
    <w:multiLevelType w:val="hybridMultilevel"/>
    <w:tmpl w:val="96DE4F5E"/>
    <w:lvl w:ilvl="0" w:tplc="F8B6ED78">
      <w:start w:val="1"/>
      <w:numFmt w:val="lowerLetter"/>
      <w:lvlText w:val="(%1)"/>
      <w:lvlJc w:val="left"/>
      <w:pPr>
        <w:ind w:left="1798" w:hanging="390"/>
      </w:pPr>
      <w:rPr>
        <w:rFonts w:hint="default"/>
      </w:rPr>
    </w:lvl>
    <w:lvl w:ilvl="1" w:tplc="0C090019" w:tentative="1">
      <w:start w:val="1"/>
      <w:numFmt w:val="lowerLetter"/>
      <w:lvlText w:val="%2."/>
      <w:lvlJc w:val="left"/>
      <w:pPr>
        <w:ind w:left="2488" w:hanging="360"/>
      </w:pPr>
    </w:lvl>
    <w:lvl w:ilvl="2" w:tplc="0C09001B" w:tentative="1">
      <w:start w:val="1"/>
      <w:numFmt w:val="lowerRoman"/>
      <w:lvlText w:val="%3."/>
      <w:lvlJc w:val="right"/>
      <w:pPr>
        <w:ind w:left="3208" w:hanging="180"/>
      </w:pPr>
    </w:lvl>
    <w:lvl w:ilvl="3" w:tplc="0C09000F" w:tentative="1">
      <w:start w:val="1"/>
      <w:numFmt w:val="decimal"/>
      <w:lvlText w:val="%4."/>
      <w:lvlJc w:val="left"/>
      <w:pPr>
        <w:ind w:left="3928" w:hanging="360"/>
      </w:pPr>
    </w:lvl>
    <w:lvl w:ilvl="4" w:tplc="0C090019" w:tentative="1">
      <w:start w:val="1"/>
      <w:numFmt w:val="lowerLetter"/>
      <w:lvlText w:val="%5."/>
      <w:lvlJc w:val="left"/>
      <w:pPr>
        <w:ind w:left="4648" w:hanging="360"/>
      </w:pPr>
    </w:lvl>
    <w:lvl w:ilvl="5" w:tplc="0C09001B" w:tentative="1">
      <w:start w:val="1"/>
      <w:numFmt w:val="lowerRoman"/>
      <w:lvlText w:val="%6."/>
      <w:lvlJc w:val="right"/>
      <w:pPr>
        <w:ind w:left="5368" w:hanging="180"/>
      </w:pPr>
    </w:lvl>
    <w:lvl w:ilvl="6" w:tplc="0C09000F" w:tentative="1">
      <w:start w:val="1"/>
      <w:numFmt w:val="decimal"/>
      <w:lvlText w:val="%7."/>
      <w:lvlJc w:val="left"/>
      <w:pPr>
        <w:ind w:left="6088" w:hanging="360"/>
      </w:pPr>
    </w:lvl>
    <w:lvl w:ilvl="7" w:tplc="0C090019" w:tentative="1">
      <w:start w:val="1"/>
      <w:numFmt w:val="lowerLetter"/>
      <w:lvlText w:val="%8."/>
      <w:lvlJc w:val="left"/>
      <w:pPr>
        <w:ind w:left="6808" w:hanging="360"/>
      </w:pPr>
    </w:lvl>
    <w:lvl w:ilvl="8" w:tplc="0C09001B" w:tentative="1">
      <w:start w:val="1"/>
      <w:numFmt w:val="lowerRoman"/>
      <w:lvlText w:val="%9."/>
      <w:lvlJc w:val="right"/>
      <w:pPr>
        <w:ind w:left="7528" w:hanging="180"/>
      </w:pPr>
    </w:lvl>
  </w:abstractNum>
  <w:abstractNum w:abstractNumId="2" w15:restartNumberingAfterBreak="0">
    <w:nsid w:val="25A01518"/>
    <w:multiLevelType w:val="hybridMultilevel"/>
    <w:tmpl w:val="9DCE539A"/>
    <w:lvl w:ilvl="0" w:tplc="9020A9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F002B"/>
    <w:multiLevelType w:val="hybridMultilevel"/>
    <w:tmpl w:val="65F27E94"/>
    <w:lvl w:ilvl="0" w:tplc="2B26BEB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3D4F2F"/>
    <w:multiLevelType w:val="hybridMultilevel"/>
    <w:tmpl w:val="68226C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4FD68D2"/>
    <w:multiLevelType w:val="hybridMultilevel"/>
    <w:tmpl w:val="02189412"/>
    <w:lvl w:ilvl="0" w:tplc="0C090001">
      <w:start w:val="1"/>
      <w:numFmt w:val="bullet"/>
      <w:lvlText w:val=""/>
      <w:lvlJc w:val="left"/>
      <w:pPr>
        <w:ind w:left="720" w:hanging="360"/>
      </w:pPr>
      <w:rPr>
        <w:rFonts w:ascii="Symbol" w:hAnsi="Symbol" w:hint="default"/>
        <w:b w:val="0"/>
        <w:i w:val="0"/>
      </w:rPr>
    </w:lvl>
    <w:lvl w:ilvl="1" w:tplc="ABC2DF2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B72FE"/>
    <w:multiLevelType w:val="hybridMultilevel"/>
    <w:tmpl w:val="47F02916"/>
    <w:lvl w:ilvl="0" w:tplc="367A4624">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7"/>
  </w:num>
  <w:num w:numId="4">
    <w:abstractNumId w:val="7"/>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1"/>
  </w:num>
  <w:num w:numId="10">
    <w:abstractNumId w:val="3"/>
  </w:num>
  <w:num w:numId="11">
    <w:abstractNumId w:val="0"/>
  </w:num>
  <w:num w:numId="12">
    <w:abstractNumId w:val="2"/>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52"/>
    <w:rsid w:val="0007448A"/>
    <w:rsid w:val="0008023C"/>
    <w:rsid w:val="000D014F"/>
    <w:rsid w:val="000F16D8"/>
    <w:rsid w:val="00100DFC"/>
    <w:rsid w:val="00177BED"/>
    <w:rsid w:val="00181AFB"/>
    <w:rsid w:val="00183DED"/>
    <w:rsid w:val="0019164E"/>
    <w:rsid w:val="001F1CBE"/>
    <w:rsid w:val="0020799E"/>
    <w:rsid w:val="002402E0"/>
    <w:rsid w:val="00243E42"/>
    <w:rsid w:val="0024418C"/>
    <w:rsid w:val="00255E02"/>
    <w:rsid w:val="002A7CB7"/>
    <w:rsid w:val="002D0A1E"/>
    <w:rsid w:val="002D167E"/>
    <w:rsid w:val="002E3718"/>
    <w:rsid w:val="002F148B"/>
    <w:rsid w:val="00345921"/>
    <w:rsid w:val="00347703"/>
    <w:rsid w:val="00397B8D"/>
    <w:rsid w:val="003D000E"/>
    <w:rsid w:val="003D1EAE"/>
    <w:rsid w:val="00447601"/>
    <w:rsid w:val="00457D4A"/>
    <w:rsid w:val="00464080"/>
    <w:rsid w:val="004962E4"/>
    <w:rsid w:val="004A0639"/>
    <w:rsid w:val="004A6103"/>
    <w:rsid w:val="004F5CE4"/>
    <w:rsid w:val="004F6E04"/>
    <w:rsid w:val="0053492B"/>
    <w:rsid w:val="00547804"/>
    <w:rsid w:val="00560B24"/>
    <w:rsid w:val="0057002B"/>
    <w:rsid w:val="00583A29"/>
    <w:rsid w:val="005C11F1"/>
    <w:rsid w:val="00604E06"/>
    <w:rsid w:val="007214FC"/>
    <w:rsid w:val="0074189C"/>
    <w:rsid w:val="007D1216"/>
    <w:rsid w:val="007E4691"/>
    <w:rsid w:val="00821A6B"/>
    <w:rsid w:val="00857961"/>
    <w:rsid w:val="008707E5"/>
    <w:rsid w:val="0088407D"/>
    <w:rsid w:val="008868E6"/>
    <w:rsid w:val="008910FE"/>
    <w:rsid w:val="008B24C8"/>
    <w:rsid w:val="008C2B0B"/>
    <w:rsid w:val="00902C09"/>
    <w:rsid w:val="00915032"/>
    <w:rsid w:val="00991848"/>
    <w:rsid w:val="009B7511"/>
    <w:rsid w:val="00A8349E"/>
    <w:rsid w:val="00AA2F5B"/>
    <w:rsid w:val="00AA4557"/>
    <w:rsid w:val="00AB51DC"/>
    <w:rsid w:val="00AB59A0"/>
    <w:rsid w:val="00AD5652"/>
    <w:rsid w:val="00B445D9"/>
    <w:rsid w:val="00B462E2"/>
    <w:rsid w:val="00B56620"/>
    <w:rsid w:val="00B60BA6"/>
    <w:rsid w:val="00B65A06"/>
    <w:rsid w:val="00B75478"/>
    <w:rsid w:val="00B924F3"/>
    <w:rsid w:val="00BB0CF2"/>
    <w:rsid w:val="00BD598E"/>
    <w:rsid w:val="00C03B42"/>
    <w:rsid w:val="00C069E3"/>
    <w:rsid w:val="00C14137"/>
    <w:rsid w:val="00C16353"/>
    <w:rsid w:val="00C81A5E"/>
    <w:rsid w:val="00C81BC1"/>
    <w:rsid w:val="00C930F2"/>
    <w:rsid w:val="00CA3B2F"/>
    <w:rsid w:val="00CE5702"/>
    <w:rsid w:val="00D40E1E"/>
    <w:rsid w:val="00D56A75"/>
    <w:rsid w:val="00D77EC7"/>
    <w:rsid w:val="00DA1F1D"/>
    <w:rsid w:val="00E03DCC"/>
    <w:rsid w:val="00E45FE2"/>
    <w:rsid w:val="00EA12C9"/>
    <w:rsid w:val="00EF1F9C"/>
    <w:rsid w:val="00EF256F"/>
    <w:rsid w:val="00F22D2E"/>
    <w:rsid w:val="00F91ECE"/>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8D37"/>
  <w15:chartTrackingRefBased/>
  <w15:docId w15:val="{FFD3C7FB-28D8-4892-A7C8-CEB3B057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99"/>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D000E"/>
    <w:rPr>
      <w:sz w:val="16"/>
      <w:szCs w:val="16"/>
    </w:rPr>
  </w:style>
  <w:style w:type="paragraph" w:styleId="CommentText">
    <w:name w:val="annotation text"/>
    <w:basedOn w:val="Normal"/>
    <w:link w:val="CommentTextChar"/>
    <w:uiPriority w:val="99"/>
    <w:semiHidden/>
    <w:unhideWhenUsed/>
    <w:rsid w:val="003D000E"/>
    <w:pPr>
      <w:spacing w:line="240" w:lineRule="auto"/>
    </w:pPr>
    <w:rPr>
      <w:sz w:val="20"/>
      <w:szCs w:val="20"/>
    </w:rPr>
  </w:style>
  <w:style w:type="character" w:customStyle="1" w:styleId="CommentTextChar">
    <w:name w:val="Comment Text Char"/>
    <w:basedOn w:val="DefaultParagraphFont"/>
    <w:link w:val="CommentText"/>
    <w:uiPriority w:val="99"/>
    <w:semiHidden/>
    <w:rsid w:val="003D000E"/>
    <w:rPr>
      <w:sz w:val="20"/>
      <w:szCs w:val="20"/>
    </w:rPr>
  </w:style>
  <w:style w:type="paragraph" w:styleId="CommentSubject">
    <w:name w:val="annotation subject"/>
    <w:basedOn w:val="CommentText"/>
    <w:next w:val="CommentText"/>
    <w:link w:val="CommentSubjectChar"/>
    <w:uiPriority w:val="99"/>
    <w:semiHidden/>
    <w:unhideWhenUsed/>
    <w:rsid w:val="003D000E"/>
    <w:rPr>
      <w:b/>
      <w:bCs/>
    </w:rPr>
  </w:style>
  <w:style w:type="character" w:customStyle="1" w:styleId="CommentSubjectChar">
    <w:name w:val="Comment Subject Char"/>
    <w:basedOn w:val="CommentTextChar"/>
    <w:link w:val="CommentSubject"/>
    <w:uiPriority w:val="99"/>
    <w:semiHidden/>
    <w:rsid w:val="003D000E"/>
    <w:rPr>
      <w:b/>
      <w:bCs/>
      <w:sz w:val="20"/>
      <w:szCs w:val="20"/>
    </w:rPr>
  </w:style>
  <w:style w:type="paragraph" w:styleId="BalloonText">
    <w:name w:val="Balloon Text"/>
    <w:basedOn w:val="Normal"/>
    <w:link w:val="BalloonTextChar"/>
    <w:uiPriority w:val="99"/>
    <w:semiHidden/>
    <w:unhideWhenUsed/>
    <w:rsid w:val="003D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0E"/>
    <w:rPr>
      <w:rFonts w:ascii="Segoe UI" w:hAnsi="Segoe UI" w:cs="Segoe UI"/>
      <w:sz w:val="18"/>
      <w:szCs w:val="18"/>
    </w:rPr>
  </w:style>
  <w:style w:type="character" w:customStyle="1" w:styleId="subsectionChar">
    <w:name w:val="subsection Char"/>
    <w:aliases w:val="ss Char"/>
    <w:basedOn w:val="DefaultParagraphFont"/>
    <w:link w:val="subsection"/>
    <w:locked/>
    <w:rsid w:val="00347703"/>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347703"/>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LDSec1">
    <w:name w:val="LDSec(1)"/>
    <w:link w:val="LDSec1Char"/>
    <w:rsid w:val="00347703"/>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47703"/>
    <w:rPr>
      <w:rFonts w:ascii="Times New Roman" w:eastAsia="Times New Roman" w:hAnsi="Times New Roman" w:cs="Times New Roman"/>
      <w:sz w:val="24"/>
      <w:szCs w:val="24"/>
    </w:rPr>
  </w:style>
  <w:style w:type="paragraph" w:styleId="Revision">
    <w:name w:val="Revision"/>
    <w:hidden/>
    <w:uiPriority w:val="99"/>
    <w:semiHidden/>
    <w:rsid w:val="00074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6322">
      <w:bodyDiv w:val="1"/>
      <w:marLeft w:val="0"/>
      <w:marRight w:val="0"/>
      <w:marTop w:val="0"/>
      <w:marBottom w:val="0"/>
      <w:divBdr>
        <w:top w:val="none" w:sz="0" w:space="0" w:color="auto"/>
        <w:left w:val="none" w:sz="0" w:space="0" w:color="auto"/>
        <w:bottom w:val="none" w:sz="0" w:space="0" w:color="auto"/>
        <w:right w:val="none" w:sz="0" w:space="0" w:color="auto"/>
      </w:divBdr>
    </w:div>
    <w:div w:id="846477587">
      <w:bodyDiv w:val="1"/>
      <w:marLeft w:val="0"/>
      <w:marRight w:val="0"/>
      <w:marTop w:val="0"/>
      <w:marBottom w:val="0"/>
      <w:divBdr>
        <w:top w:val="none" w:sz="0" w:space="0" w:color="auto"/>
        <w:left w:val="none" w:sz="0" w:space="0" w:color="auto"/>
        <w:bottom w:val="none" w:sz="0" w:space="0" w:color="auto"/>
        <w:right w:val="none" w:sz="0" w:space="0" w:color="auto"/>
      </w:divBdr>
    </w:div>
    <w:div w:id="1239943184">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723020504">
      <w:bodyDiv w:val="1"/>
      <w:marLeft w:val="0"/>
      <w:marRight w:val="0"/>
      <w:marTop w:val="0"/>
      <w:marBottom w:val="0"/>
      <w:divBdr>
        <w:top w:val="none" w:sz="0" w:space="0" w:color="auto"/>
        <w:left w:val="none" w:sz="0" w:space="0" w:color="auto"/>
        <w:bottom w:val="none" w:sz="0" w:space="0" w:color="auto"/>
        <w:right w:val="none" w:sz="0" w:space="0" w:color="auto"/>
      </w:divBdr>
    </w:div>
    <w:div w:id="18168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Christine Deng</cp:lastModifiedBy>
  <cp:revision>2</cp:revision>
  <dcterms:created xsi:type="dcterms:W3CDTF">2021-06-23T06:52:00Z</dcterms:created>
  <dcterms:modified xsi:type="dcterms:W3CDTF">2021-06-23T06:52:00Z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