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64DC5" w14:textId="77777777" w:rsidR="00FF6E25" w:rsidRPr="00A22D6A" w:rsidRDefault="00FF6E25" w:rsidP="00FF6E25">
      <w:pPr>
        <w:jc w:val="center"/>
        <w:rPr>
          <w:rFonts w:asciiTheme="minorHAnsi" w:hAnsiTheme="minorHAnsi" w:cstheme="minorHAnsi"/>
          <w:b/>
          <w:szCs w:val="24"/>
          <w:u w:val="single"/>
        </w:rPr>
      </w:pPr>
      <w:r w:rsidRPr="00A22D6A">
        <w:rPr>
          <w:rFonts w:asciiTheme="minorHAnsi" w:hAnsiTheme="minorHAnsi" w:cstheme="minorHAnsi"/>
          <w:b/>
          <w:szCs w:val="24"/>
          <w:u w:val="single"/>
        </w:rPr>
        <w:t>EXPLANATORY STATEMENT</w:t>
      </w:r>
    </w:p>
    <w:p w14:paraId="54C2388F" w14:textId="054B4214" w:rsidR="0088497A" w:rsidRPr="00A22D6A" w:rsidRDefault="0088497A" w:rsidP="00FF6E25">
      <w:pPr>
        <w:jc w:val="center"/>
        <w:rPr>
          <w:rFonts w:asciiTheme="minorHAnsi" w:hAnsiTheme="minorHAnsi" w:cstheme="minorHAnsi"/>
          <w:szCs w:val="24"/>
          <w:u w:val="single"/>
        </w:rPr>
      </w:pPr>
      <w:r w:rsidRPr="00A22D6A">
        <w:rPr>
          <w:rFonts w:asciiTheme="minorHAnsi" w:hAnsiTheme="minorHAnsi" w:cstheme="minorHAnsi"/>
          <w:szCs w:val="24"/>
          <w:u w:val="single"/>
        </w:rPr>
        <w:t xml:space="preserve">Issued by the authority of </w:t>
      </w:r>
      <w:r w:rsidR="00403C4A" w:rsidRPr="00A22D6A">
        <w:rPr>
          <w:rFonts w:asciiTheme="minorHAnsi" w:hAnsiTheme="minorHAnsi" w:cstheme="minorHAnsi"/>
          <w:szCs w:val="24"/>
          <w:u w:val="single"/>
        </w:rPr>
        <w:t>the Hon Alan Tudge MP, Minister for Education and Youth</w:t>
      </w:r>
    </w:p>
    <w:p w14:paraId="3A00B66B" w14:textId="10A85D1F" w:rsidR="00455C2A" w:rsidRPr="00A22D6A" w:rsidRDefault="00403C4A" w:rsidP="00FF6E25">
      <w:pPr>
        <w:jc w:val="center"/>
        <w:rPr>
          <w:rFonts w:asciiTheme="minorHAnsi" w:hAnsiTheme="minorHAnsi" w:cstheme="minorHAnsi"/>
          <w:b/>
          <w:i/>
          <w:szCs w:val="24"/>
        </w:rPr>
      </w:pPr>
      <w:r w:rsidRPr="00A22D6A">
        <w:rPr>
          <w:rFonts w:asciiTheme="minorHAnsi" w:hAnsiTheme="minorHAnsi" w:cstheme="minorHAnsi"/>
          <w:b/>
          <w:i/>
          <w:szCs w:val="24"/>
        </w:rPr>
        <w:t>Education Services for Overseas Students Act 2000</w:t>
      </w:r>
    </w:p>
    <w:p w14:paraId="4862F300" w14:textId="38151675" w:rsidR="00503218" w:rsidRPr="00A22D6A" w:rsidRDefault="00403C4A" w:rsidP="00DA552F">
      <w:pPr>
        <w:jc w:val="center"/>
        <w:rPr>
          <w:rFonts w:asciiTheme="minorHAnsi" w:hAnsiTheme="minorHAnsi" w:cstheme="minorHAnsi"/>
          <w:b/>
          <w:i/>
          <w:szCs w:val="24"/>
        </w:rPr>
      </w:pPr>
      <w:r w:rsidRPr="00A22D6A">
        <w:rPr>
          <w:rFonts w:asciiTheme="minorHAnsi" w:hAnsiTheme="minorHAnsi" w:cstheme="minorHAnsi"/>
          <w:b/>
          <w:i/>
          <w:szCs w:val="24"/>
        </w:rPr>
        <w:t>Education Services for Overseas Students Amendment (Deregulation and Other Measures) Regulations 2021</w:t>
      </w:r>
    </w:p>
    <w:p w14:paraId="17110F75" w14:textId="77777777" w:rsidR="00455C2A" w:rsidRPr="00A22D6A" w:rsidRDefault="00144950" w:rsidP="00F513EB">
      <w:pPr>
        <w:pStyle w:val="Heading2"/>
        <w:rPr>
          <w:rFonts w:asciiTheme="minorHAnsi" w:hAnsiTheme="minorHAnsi" w:cstheme="minorHAnsi"/>
          <w:color w:val="auto"/>
        </w:rPr>
      </w:pPr>
      <w:bookmarkStart w:id="0" w:name="_Toc23942238"/>
      <w:bookmarkStart w:id="1" w:name="_Toc34293358"/>
      <w:r w:rsidRPr="00A22D6A">
        <w:rPr>
          <w:rFonts w:asciiTheme="minorHAnsi" w:hAnsiTheme="minorHAnsi" w:cstheme="minorHAnsi"/>
          <w:color w:val="auto"/>
        </w:rPr>
        <w:t>AUTHORITY</w:t>
      </w:r>
    </w:p>
    <w:p w14:paraId="48B42C26" w14:textId="3D146075" w:rsidR="00403C4A" w:rsidRPr="00A22D6A" w:rsidRDefault="00403C4A" w:rsidP="00403C4A">
      <w:pPr>
        <w:pStyle w:val="Heading2"/>
        <w:spacing w:after="240"/>
        <w:rPr>
          <w:rFonts w:asciiTheme="minorHAnsi" w:hAnsiTheme="minorHAnsi" w:cstheme="minorHAnsi"/>
          <w:b w:val="0"/>
          <w:iCs/>
          <w:color w:val="auto"/>
        </w:rPr>
      </w:pPr>
      <w:r w:rsidRPr="00A22D6A">
        <w:rPr>
          <w:rFonts w:asciiTheme="minorHAnsi" w:hAnsiTheme="minorHAnsi" w:cstheme="minorHAnsi"/>
          <w:b w:val="0"/>
          <w:iCs/>
          <w:color w:val="auto"/>
        </w:rPr>
        <w:t xml:space="preserve">Section 177 of the </w:t>
      </w:r>
      <w:r w:rsidRPr="00A22D6A">
        <w:rPr>
          <w:rFonts w:asciiTheme="minorHAnsi" w:hAnsiTheme="minorHAnsi" w:cstheme="minorHAnsi"/>
          <w:b w:val="0"/>
          <w:i/>
          <w:color w:val="auto"/>
        </w:rPr>
        <w:t>Education Services for Overseas Students Act 2000</w:t>
      </w:r>
      <w:r w:rsidRPr="00A22D6A">
        <w:rPr>
          <w:rFonts w:asciiTheme="minorHAnsi" w:hAnsiTheme="minorHAnsi" w:cstheme="minorHAnsi"/>
          <w:b w:val="0"/>
          <w:iCs/>
          <w:color w:val="auto"/>
        </w:rPr>
        <w:t xml:space="preserve"> (the Act) provides the Governor-General may make regulations prescribing matters required or permitted by the Act to be prescribed, or are necessary or convenient to be prescribed, for carrying out or giving effect to the Act.</w:t>
      </w:r>
    </w:p>
    <w:p w14:paraId="048AC7C9" w14:textId="29C5BFDA" w:rsidR="00DB6247" w:rsidRPr="00A22D6A" w:rsidRDefault="00403C4A" w:rsidP="00403C4A">
      <w:pPr>
        <w:pStyle w:val="Heading2"/>
        <w:spacing w:after="240"/>
        <w:rPr>
          <w:rFonts w:asciiTheme="minorHAnsi" w:hAnsiTheme="minorHAnsi" w:cstheme="minorHAnsi"/>
          <w:b w:val="0"/>
          <w:iCs/>
          <w:color w:val="auto"/>
        </w:rPr>
      </w:pPr>
      <w:r w:rsidRPr="00A22D6A">
        <w:rPr>
          <w:rFonts w:asciiTheme="minorHAnsi" w:hAnsiTheme="minorHAnsi" w:cstheme="minorHAnsi"/>
          <w:b w:val="0"/>
          <w:iCs/>
          <w:color w:val="auto"/>
        </w:rPr>
        <w:t xml:space="preserve">Under subsection 33(3) of the </w:t>
      </w:r>
      <w:r w:rsidRPr="00A22D6A">
        <w:rPr>
          <w:rFonts w:asciiTheme="minorHAnsi" w:hAnsiTheme="minorHAnsi" w:cstheme="minorHAnsi"/>
          <w:b w:val="0"/>
          <w:i/>
          <w:color w:val="auto"/>
        </w:rPr>
        <w:t>Acts Interpretation Act 1901</w:t>
      </w:r>
      <w:r w:rsidRPr="00A22D6A">
        <w:rPr>
          <w:rFonts w:asciiTheme="minorHAnsi" w:hAnsiTheme="minorHAnsi" w:cstheme="minorHAnsi"/>
          <w:b w:val="0"/>
          <w:iCs/>
          <w:color w:val="auto"/>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8A6C7D" w:rsidRPr="00A22D6A">
        <w:rPr>
          <w:rFonts w:asciiTheme="minorHAnsi" w:hAnsiTheme="minorHAnsi" w:cstheme="minorHAnsi"/>
          <w:b w:val="0"/>
          <w:iCs/>
          <w:color w:val="auto"/>
        </w:rPr>
        <w:t xml:space="preserve"> These amendments are made in reliance on this power.</w:t>
      </w:r>
    </w:p>
    <w:bookmarkEnd w:id="0"/>
    <w:bookmarkEnd w:id="1"/>
    <w:p w14:paraId="1C48362D" w14:textId="225DC4D2" w:rsidR="00F8775F" w:rsidRPr="00A22D6A" w:rsidRDefault="00144950" w:rsidP="008A6C7D">
      <w:pPr>
        <w:pStyle w:val="Heading2"/>
        <w:rPr>
          <w:rFonts w:eastAsia="Times New Roman"/>
          <w:lang w:eastAsia="en-AU"/>
        </w:rPr>
      </w:pPr>
      <w:r w:rsidRPr="00A22D6A">
        <w:rPr>
          <w:rFonts w:asciiTheme="minorHAnsi" w:hAnsiTheme="minorHAnsi" w:cstheme="minorHAnsi"/>
          <w:color w:val="auto"/>
        </w:rPr>
        <w:t>PURPOSE AND OPERATION</w:t>
      </w:r>
    </w:p>
    <w:p w14:paraId="014AD0EC" w14:textId="24C4DB0F" w:rsidR="00715C66" w:rsidRPr="00A22D6A" w:rsidRDefault="00715C66" w:rsidP="00715C66">
      <w:pPr>
        <w:spacing w:before="120" w:after="120"/>
        <w:rPr>
          <w:rFonts w:asciiTheme="minorHAnsi" w:hAnsiTheme="minorHAnsi" w:cstheme="minorHAnsi"/>
          <w:i/>
          <w:szCs w:val="24"/>
        </w:rPr>
      </w:pPr>
      <w:r w:rsidRPr="00A22D6A">
        <w:rPr>
          <w:rFonts w:asciiTheme="minorHAnsi" w:hAnsiTheme="minorHAnsi" w:cstheme="minorHAnsi"/>
          <w:iCs/>
          <w:szCs w:val="24"/>
        </w:rPr>
        <w:t xml:space="preserve">The </w:t>
      </w:r>
      <w:r w:rsidRPr="00A22D6A">
        <w:rPr>
          <w:rFonts w:asciiTheme="minorHAnsi" w:hAnsiTheme="minorHAnsi" w:cstheme="minorHAnsi"/>
          <w:i/>
          <w:szCs w:val="24"/>
        </w:rPr>
        <w:t xml:space="preserve">Education Services for Overseas Students Amendment (Deregulation and Other Measures) Regulations 2021 </w:t>
      </w:r>
      <w:r w:rsidRPr="00A22D6A">
        <w:rPr>
          <w:rFonts w:asciiTheme="minorHAnsi" w:hAnsiTheme="minorHAnsi" w:cstheme="minorHAnsi"/>
          <w:iCs/>
          <w:szCs w:val="24"/>
        </w:rPr>
        <w:t>(the Amendment Regulations) amend the</w:t>
      </w:r>
      <w:r w:rsidR="00F8775F" w:rsidRPr="00A22D6A">
        <w:rPr>
          <w:rFonts w:eastAsia="Times New Roman" w:cs="Times New Roman"/>
          <w:lang w:eastAsia="en-AU"/>
        </w:rPr>
        <w:t xml:space="preserve"> </w:t>
      </w:r>
      <w:r w:rsidR="00F8775F" w:rsidRPr="00A22D6A">
        <w:rPr>
          <w:rFonts w:asciiTheme="minorHAnsi" w:eastAsia="Times New Roman" w:hAnsiTheme="minorHAnsi" w:cstheme="minorHAnsi"/>
          <w:i/>
          <w:lang w:eastAsia="en-AU"/>
        </w:rPr>
        <w:t>Education Services for Overseas Students Regulations 2019</w:t>
      </w:r>
      <w:r w:rsidR="00F8775F" w:rsidRPr="00A22D6A">
        <w:rPr>
          <w:rFonts w:asciiTheme="minorHAnsi" w:eastAsia="Times New Roman" w:hAnsiTheme="minorHAnsi" w:cstheme="minorHAnsi"/>
          <w:lang w:eastAsia="en-AU"/>
        </w:rPr>
        <w:t xml:space="preserve"> (the Principal Regulations) </w:t>
      </w:r>
      <w:r w:rsidRPr="00A22D6A">
        <w:rPr>
          <w:rFonts w:asciiTheme="minorHAnsi" w:hAnsiTheme="minorHAnsi" w:cstheme="minorHAnsi"/>
          <w:iCs/>
          <w:szCs w:val="24"/>
        </w:rPr>
        <w:t>to facilitate more effective administration of the Education Services for Overseas Students (ESOS) legislative framework and reduce regulatory burden on the international education sector.</w:t>
      </w:r>
    </w:p>
    <w:p w14:paraId="12E72298" w14:textId="2F1492DC" w:rsidR="00715C66" w:rsidRPr="00A22D6A" w:rsidRDefault="00715C66" w:rsidP="00715C66">
      <w:pPr>
        <w:spacing w:before="120" w:after="120"/>
        <w:rPr>
          <w:rFonts w:asciiTheme="minorHAnsi" w:hAnsiTheme="minorHAnsi" w:cstheme="minorHAnsi"/>
          <w:iCs/>
          <w:szCs w:val="24"/>
        </w:rPr>
      </w:pPr>
      <w:r w:rsidRPr="00A22D6A">
        <w:rPr>
          <w:rFonts w:asciiTheme="minorHAnsi" w:hAnsiTheme="minorHAnsi" w:cstheme="minorHAnsi"/>
          <w:iCs/>
          <w:szCs w:val="24"/>
        </w:rPr>
        <w:t>The Amendment Regulations amend the Principal Regulations to:</w:t>
      </w:r>
    </w:p>
    <w:p w14:paraId="4826EBC6" w14:textId="7BBACFD4" w:rsidR="00715C66" w:rsidRPr="00A22D6A" w:rsidRDefault="00715C66" w:rsidP="00715C66">
      <w:pPr>
        <w:pStyle w:val="ListParagraph"/>
        <w:numPr>
          <w:ilvl w:val="0"/>
          <w:numId w:val="4"/>
        </w:numPr>
        <w:spacing w:before="120" w:after="120"/>
        <w:rPr>
          <w:rFonts w:asciiTheme="minorHAnsi" w:hAnsiTheme="minorHAnsi" w:cstheme="minorHAnsi"/>
          <w:iCs/>
          <w:szCs w:val="24"/>
        </w:rPr>
      </w:pPr>
      <w:r w:rsidRPr="00A22D6A">
        <w:rPr>
          <w:rFonts w:asciiTheme="minorHAnsi" w:hAnsiTheme="minorHAnsi" w:cstheme="minorHAnsi"/>
          <w:iCs/>
          <w:szCs w:val="24"/>
        </w:rPr>
        <w:t>remove the requirement for providers to give information on the payment of tuition fees through the Provider Registration and Information Management System (PRISMS) when a calendar month ends</w:t>
      </w:r>
      <w:r w:rsidR="00F8775F" w:rsidRPr="00A22D6A">
        <w:rPr>
          <w:rFonts w:asciiTheme="minorHAnsi" w:hAnsiTheme="minorHAnsi" w:cstheme="minorHAnsi"/>
          <w:iCs/>
          <w:szCs w:val="24"/>
        </w:rPr>
        <w:t>;</w:t>
      </w:r>
      <w:r w:rsidR="008A6C7D" w:rsidRPr="00A22D6A">
        <w:rPr>
          <w:rFonts w:asciiTheme="minorHAnsi" w:hAnsiTheme="minorHAnsi" w:cstheme="minorHAnsi"/>
          <w:iCs/>
          <w:szCs w:val="24"/>
        </w:rPr>
        <w:t xml:space="preserve"> and</w:t>
      </w:r>
    </w:p>
    <w:p w14:paraId="717067F2" w14:textId="3C5CAE19" w:rsidR="00715C66" w:rsidRPr="00A22D6A" w:rsidRDefault="00715C66" w:rsidP="00715C66">
      <w:pPr>
        <w:pStyle w:val="ListParagraph"/>
        <w:numPr>
          <w:ilvl w:val="0"/>
          <w:numId w:val="4"/>
        </w:numPr>
        <w:spacing w:before="120" w:after="120"/>
        <w:rPr>
          <w:rFonts w:asciiTheme="minorHAnsi" w:hAnsiTheme="minorHAnsi" w:cstheme="minorHAnsi"/>
          <w:iCs/>
          <w:szCs w:val="24"/>
        </w:rPr>
      </w:pPr>
      <w:r w:rsidRPr="00A22D6A">
        <w:rPr>
          <w:rFonts w:asciiTheme="minorHAnsi" w:hAnsiTheme="minorHAnsi" w:cstheme="minorHAnsi"/>
          <w:iCs/>
          <w:szCs w:val="24"/>
        </w:rPr>
        <w:t>remove the</w:t>
      </w:r>
      <w:r w:rsidR="00895B86" w:rsidRPr="00A22D6A">
        <w:rPr>
          <w:rFonts w:asciiTheme="minorHAnsi" w:hAnsiTheme="minorHAnsi" w:cstheme="minorHAnsi"/>
          <w:iCs/>
          <w:szCs w:val="24"/>
        </w:rPr>
        <w:t xml:space="preserve"> </w:t>
      </w:r>
      <w:r w:rsidR="00425998" w:rsidRPr="00A22D6A">
        <w:rPr>
          <w:rFonts w:asciiTheme="minorHAnsi" w:hAnsiTheme="minorHAnsi" w:cstheme="minorHAnsi"/>
          <w:iCs/>
          <w:szCs w:val="24"/>
        </w:rPr>
        <w:t xml:space="preserve">now redundant </w:t>
      </w:r>
      <w:r w:rsidRPr="00A22D6A">
        <w:rPr>
          <w:rFonts w:asciiTheme="minorHAnsi" w:hAnsiTheme="minorHAnsi" w:cstheme="minorHAnsi"/>
          <w:iCs/>
          <w:szCs w:val="24"/>
        </w:rPr>
        <w:t>infringement notice scheme.</w:t>
      </w:r>
    </w:p>
    <w:p w14:paraId="56B75E61" w14:textId="4C45C095" w:rsidR="00895B86" w:rsidRPr="00A22D6A" w:rsidRDefault="008A6C7D" w:rsidP="00895B86">
      <w:pPr>
        <w:spacing w:before="120" w:after="120"/>
        <w:rPr>
          <w:rFonts w:asciiTheme="minorHAnsi" w:hAnsiTheme="minorHAnsi" w:cstheme="minorHAnsi"/>
          <w:iCs/>
          <w:szCs w:val="24"/>
        </w:rPr>
      </w:pPr>
      <w:r w:rsidRPr="00A22D6A">
        <w:rPr>
          <w:rFonts w:asciiTheme="minorHAnsi" w:hAnsiTheme="minorHAnsi" w:cstheme="minorHAnsi"/>
          <w:iCs/>
          <w:szCs w:val="24"/>
        </w:rPr>
        <w:t>Part 1 of t</w:t>
      </w:r>
      <w:r w:rsidR="00715C66" w:rsidRPr="00A22D6A">
        <w:rPr>
          <w:rFonts w:asciiTheme="minorHAnsi" w:hAnsiTheme="minorHAnsi" w:cstheme="minorHAnsi"/>
          <w:iCs/>
          <w:szCs w:val="24"/>
        </w:rPr>
        <w:t xml:space="preserve">he Amendment Regulations </w:t>
      </w:r>
      <w:r w:rsidRPr="00A22D6A">
        <w:rPr>
          <w:rFonts w:asciiTheme="minorHAnsi" w:hAnsiTheme="minorHAnsi" w:cstheme="minorHAnsi"/>
          <w:iCs/>
          <w:szCs w:val="24"/>
        </w:rPr>
        <w:t xml:space="preserve">give effect to the Government’s broader Deregulation Agenda in the 2021-22 Budget by removing </w:t>
      </w:r>
      <w:r w:rsidR="00715C66" w:rsidRPr="00A22D6A">
        <w:rPr>
          <w:rFonts w:asciiTheme="minorHAnsi" w:hAnsiTheme="minorHAnsi" w:cstheme="minorHAnsi"/>
          <w:iCs/>
          <w:szCs w:val="24"/>
        </w:rPr>
        <w:t>the requirement for providers to give information on the payment of tuition fees</w:t>
      </w:r>
      <w:r w:rsidRPr="00A22D6A">
        <w:rPr>
          <w:rFonts w:asciiTheme="minorHAnsi" w:hAnsiTheme="minorHAnsi" w:cstheme="minorHAnsi"/>
          <w:iCs/>
          <w:szCs w:val="24"/>
        </w:rPr>
        <w:t xml:space="preserve"> when a calendar month ends.</w:t>
      </w:r>
      <w:r w:rsidRPr="00A22D6A" w:rsidDel="008A6C7D">
        <w:rPr>
          <w:rFonts w:asciiTheme="minorHAnsi" w:hAnsiTheme="minorHAnsi" w:cstheme="minorHAnsi"/>
          <w:iCs/>
          <w:szCs w:val="24"/>
        </w:rPr>
        <w:t xml:space="preserve"> </w:t>
      </w:r>
    </w:p>
    <w:p w14:paraId="67E3E96B" w14:textId="3D1A2946" w:rsidR="00715C66" w:rsidRPr="00A22D6A" w:rsidRDefault="008A6C7D" w:rsidP="00895B86">
      <w:pPr>
        <w:spacing w:before="120" w:after="120"/>
        <w:rPr>
          <w:rFonts w:asciiTheme="minorHAnsi" w:hAnsiTheme="minorHAnsi" w:cstheme="minorHAnsi"/>
          <w:i/>
          <w:szCs w:val="24"/>
        </w:rPr>
      </w:pPr>
      <w:r w:rsidRPr="00A22D6A">
        <w:rPr>
          <w:rFonts w:asciiTheme="minorHAnsi" w:hAnsiTheme="minorHAnsi" w:cstheme="minorHAnsi"/>
          <w:iCs/>
          <w:szCs w:val="24"/>
        </w:rPr>
        <w:t>Part 2 of the Amendment Regulations repeals provisions which are redundant in the Principal Regulations. T</w:t>
      </w:r>
      <w:r w:rsidR="00715C66" w:rsidRPr="00A22D6A">
        <w:rPr>
          <w:rFonts w:asciiTheme="minorHAnsi" w:hAnsiTheme="minorHAnsi" w:cstheme="minorHAnsi"/>
          <w:iCs/>
          <w:szCs w:val="24"/>
        </w:rPr>
        <w:t>he</w:t>
      </w:r>
      <w:r w:rsidR="00715C66" w:rsidRPr="00A22D6A">
        <w:rPr>
          <w:rFonts w:asciiTheme="minorHAnsi" w:hAnsiTheme="minorHAnsi" w:cstheme="minorHAnsi"/>
          <w:i/>
          <w:szCs w:val="24"/>
        </w:rPr>
        <w:t xml:space="preserve"> Regulatory Powers (Standardisation Reform</w:t>
      </w:r>
      <w:r w:rsidR="00E76395" w:rsidRPr="00A22D6A">
        <w:rPr>
          <w:rFonts w:asciiTheme="minorHAnsi" w:hAnsiTheme="minorHAnsi" w:cstheme="minorHAnsi"/>
          <w:i/>
          <w:szCs w:val="24"/>
        </w:rPr>
        <w:t>)</w:t>
      </w:r>
      <w:r w:rsidR="00715C66" w:rsidRPr="00A22D6A">
        <w:rPr>
          <w:rFonts w:asciiTheme="minorHAnsi" w:hAnsiTheme="minorHAnsi" w:cstheme="minorHAnsi"/>
          <w:i/>
          <w:szCs w:val="24"/>
        </w:rPr>
        <w:t xml:space="preserve"> Act 2021 </w:t>
      </w:r>
      <w:r w:rsidR="00822520" w:rsidRPr="00A22D6A">
        <w:rPr>
          <w:rFonts w:asciiTheme="minorHAnsi" w:hAnsiTheme="minorHAnsi" w:cstheme="minorHAnsi"/>
          <w:iCs/>
          <w:szCs w:val="24"/>
        </w:rPr>
        <w:t xml:space="preserve">(the Regulatory Powers Reform Act) </w:t>
      </w:r>
      <w:r w:rsidR="00715C66" w:rsidRPr="00A22D6A">
        <w:rPr>
          <w:rFonts w:asciiTheme="minorHAnsi" w:hAnsiTheme="minorHAnsi" w:cstheme="minorHAnsi"/>
          <w:iCs/>
          <w:szCs w:val="24"/>
        </w:rPr>
        <w:t>repeal</w:t>
      </w:r>
      <w:r w:rsidR="00822520" w:rsidRPr="00A22D6A">
        <w:rPr>
          <w:rFonts w:asciiTheme="minorHAnsi" w:hAnsiTheme="minorHAnsi" w:cstheme="minorHAnsi"/>
          <w:iCs/>
          <w:szCs w:val="24"/>
        </w:rPr>
        <w:t>s</w:t>
      </w:r>
      <w:r w:rsidR="00715C66" w:rsidRPr="00A22D6A">
        <w:rPr>
          <w:rFonts w:asciiTheme="minorHAnsi" w:hAnsiTheme="minorHAnsi" w:cstheme="minorHAnsi"/>
          <w:iCs/>
          <w:szCs w:val="24"/>
        </w:rPr>
        <w:t xml:space="preserve"> provisions of the Act that allow an infringement notices scheme to be prescribed by regulation or legislative instrument</w:t>
      </w:r>
      <w:r w:rsidRPr="00A22D6A">
        <w:rPr>
          <w:rFonts w:asciiTheme="minorHAnsi" w:hAnsiTheme="minorHAnsi" w:cstheme="minorHAnsi"/>
          <w:iCs/>
          <w:szCs w:val="24"/>
        </w:rPr>
        <w:t>, rendering</w:t>
      </w:r>
      <w:r w:rsidR="00715C66" w:rsidRPr="00A22D6A">
        <w:rPr>
          <w:rFonts w:asciiTheme="minorHAnsi" w:hAnsiTheme="minorHAnsi" w:cstheme="minorHAnsi"/>
          <w:iCs/>
          <w:szCs w:val="24"/>
        </w:rPr>
        <w:t xml:space="preserve"> the infringement notices provision of the Principal Regulations redundant.</w:t>
      </w:r>
    </w:p>
    <w:p w14:paraId="3EF52E98" w14:textId="77777777" w:rsidR="00350779" w:rsidRPr="00A22D6A" w:rsidRDefault="00144950" w:rsidP="00350779">
      <w:pPr>
        <w:pStyle w:val="Heading2"/>
        <w:rPr>
          <w:rFonts w:asciiTheme="minorHAnsi" w:hAnsiTheme="minorHAnsi" w:cstheme="minorHAnsi"/>
          <w:color w:val="auto"/>
        </w:rPr>
      </w:pPr>
      <w:r w:rsidRPr="00A22D6A">
        <w:rPr>
          <w:rFonts w:asciiTheme="minorHAnsi" w:hAnsiTheme="minorHAnsi" w:cstheme="minorHAnsi"/>
          <w:color w:val="auto"/>
        </w:rPr>
        <w:lastRenderedPageBreak/>
        <w:t>REGULATORY IMPACT</w:t>
      </w:r>
    </w:p>
    <w:p w14:paraId="3ECED3AE" w14:textId="0DB64B2F" w:rsidR="00314610" w:rsidRPr="00A22D6A" w:rsidRDefault="00CD59F9" w:rsidP="00CD59F9">
      <w:pPr>
        <w:spacing w:before="120" w:after="120"/>
        <w:rPr>
          <w:rFonts w:asciiTheme="minorHAnsi" w:hAnsiTheme="minorHAnsi" w:cstheme="minorHAnsi"/>
          <w:szCs w:val="24"/>
        </w:rPr>
      </w:pPr>
      <w:r w:rsidRPr="00A22D6A">
        <w:rPr>
          <w:rFonts w:asciiTheme="minorHAnsi" w:hAnsiTheme="minorHAnsi" w:cstheme="minorHAnsi"/>
          <w:szCs w:val="24"/>
        </w:rPr>
        <w:t>The Office of Best Practice Regulation (OBPR) has assessed the first amendment as representing a minor reduction in reporting requirements for private providers, reducing regulatory burden under the Act.</w:t>
      </w:r>
      <w:r w:rsidR="00314610" w:rsidRPr="00A22D6A">
        <w:rPr>
          <w:rFonts w:asciiTheme="minorHAnsi" w:hAnsiTheme="minorHAnsi" w:cstheme="minorHAnsi"/>
          <w:szCs w:val="24"/>
        </w:rPr>
        <w:t xml:space="preserve"> The R</w:t>
      </w:r>
      <w:r w:rsidR="00ED0565" w:rsidRPr="00A22D6A">
        <w:rPr>
          <w:rFonts w:asciiTheme="minorHAnsi" w:hAnsiTheme="minorHAnsi" w:cstheme="minorHAnsi"/>
          <w:szCs w:val="24"/>
        </w:rPr>
        <w:t>egulation</w:t>
      </w:r>
      <w:r w:rsidR="00314610" w:rsidRPr="00A22D6A">
        <w:rPr>
          <w:rFonts w:asciiTheme="minorHAnsi" w:hAnsiTheme="minorHAnsi" w:cstheme="minorHAnsi"/>
          <w:szCs w:val="24"/>
        </w:rPr>
        <w:t xml:space="preserve"> Impact Statement </w:t>
      </w:r>
      <w:r w:rsidR="00ED0565" w:rsidRPr="00A22D6A">
        <w:rPr>
          <w:rFonts w:asciiTheme="minorHAnsi" w:hAnsiTheme="minorHAnsi" w:cstheme="minorHAnsi"/>
          <w:szCs w:val="24"/>
        </w:rPr>
        <w:t xml:space="preserve">(RIS) </w:t>
      </w:r>
      <w:r w:rsidR="00314610" w:rsidRPr="00A22D6A">
        <w:rPr>
          <w:rFonts w:asciiTheme="minorHAnsi" w:hAnsiTheme="minorHAnsi" w:cstheme="minorHAnsi"/>
          <w:szCs w:val="24"/>
        </w:rPr>
        <w:t>is at Attachment A.</w:t>
      </w:r>
    </w:p>
    <w:p w14:paraId="0D25E0A7" w14:textId="65DC36A7" w:rsidR="00314610" w:rsidRPr="00A22D6A" w:rsidRDefault="00314610" w:rsidP="00CD59F9">
      <w:pPr>
        <w:spacing w:before="120" w:after="120"/>
        <w:rPr>
          <w:rFonts w:asciiTheme="minorHAnsi" w:hAnsiTheme="minorHAnsi" w:cstheme="minorHAnsi"/>
          <w:szCs w:val="24"/>
        </w:rPr>
      </w:pPr>
      <w:r w:rsidRPr="00A22D6A">
        <w:rPr>
          <w:rFonts w:asciiTheme="minorHAnsi" w:hAnsiTheme="minorHAnsi" w:cstheme="minorHAnsi"/>
          <w:szCs w:val="24"/>
        </w:rPr>
        <w:t xml:space="preserve">OBPR has assessed the second amendment as unlikely to have regulatory impact on business, individuals or community organisations and therefore, the preparation of a </w:t>
      </w:r>
      <w:r w:rsidR="00ED0565" w:rsidRPr="00A22D6A">
        <w:rPr>
          <w:rFonts w:asciiTheme="minorHAnsi" w:hAnsiTheme="minorHAnsi" w:cstheme="minorHAnsi"/>
          <w:szCs w:val="24"/>
        </w:rPr>
        <w:t>RIS</w:t>
      </w:r>
      <w:r w:rsidRPr="00A22D6A">
        <w:rPr>
          <w:rFonts w:asciiTheme="minorHAnsi" w:hAnsiTheme="minorHAnsi" w:cstheme="minorHAnsi"/>
          <w:szCs w:val="24"/>
        </w:rPr>
        <w:t xml:space="preserve"> is not required.</w:t>
      </w:r>
    </w:p>
    <w:p w14:paraId="06013092" w14:textId="549891C6" w:rsidR="00CD59F9" w:rsidRPr="00A22D6A" w:rsidRDefault="00FB744F" w:rsidP="00CD59F9">
      <w:pPr>
        <w:spacing w:before="120" w:after="120"/>
        <w:rPr>
          <w:rFonts w:asciiTheme="minorHAnsi" w:hAnsiTheme="minorHAnsi" w:cstheme="minorHAnsi"/>
          <w:szCs w:val="24"/>
        </w:rPr>
      </w:pPr>
      <w:r w:rsidRPr="00A22D6A">
        <w:rPr>
          <w:rFonts w:asciiTheme="minorHAnsi" w:hAnsiTheme="minorHAnsi" w:cstheme="minorHAnsi"/>
          <w:szCs w:val="24"/>
        </w:rPr>
        <w:t xml:space="preserve">The </w:t>
      </w:r>
      <w:r w:rsidR="00CD59F9" w:rsidRPr="00A22D6A">
        <w:rPr>
          <w:rFonts w:asciiTheme="minorHAnsi" w:hAnsiTheme="minorHAnsi" w:cstheme="minorHAnsi"/>
          <w:szCs w:val="24"/>
        </w:rPr>
        <w:t>OBPR ID</w:t>
      </w:r>
      <w:r w:rsidR="00314610" w:rsidRPr="00A22D6A">
        <w:rPr>
          <w:rFonts w:asciiTheme="minorHAnsi" w:hAnsiTheme="minorHAnsi" w:cstheme="minorHAnsi"/>
          <w:szCs w:val="24"/>
        </w:rPr>
        <w:t xml:space="preserve"> for the first and second amendment</w:t>
      </w:r>
      <w:r w:rsidRPr="00A22D6A">
        <w:rPr>
          <w:rFonts w:asciiTheme="minorHAnsi" w:hAnsiTheme="minorHAnsi" w:cstheme="minorHAnsi"/>
          <w:szCs w:val="24"/>
        </w:rPr>
        <w:t xml:space="preserve"> is</w:t>
      </w:r>
      <w:r w:rsidR="00CD59F9" w:rsidRPr="00A22D6A">
        <w:rPr>
          <w:rFonts w:asciiTheme="minorHAnsi" w:hAnsiTheme="minorHAnsi" w:cstheme="minorHAnsi"/>
          <w:szCs w:val="24"/>
        </w:rPr>
        <w:t xml:space="preserve"> 43558.</w:t>
      </w:r>
    </w:p>
    <w:p w14:paraId="74D0771C" w14:textId="77777777" w:rsidR="00696CF0" w:rsidRPr="00A22D6A" w:rsidRDefault="00144950" w:rsidP="0088497A">
      <w:pPr>
        <w:pStyle w:val="Heading2"/>
        <w:rPr>
          <w:rFonts w:asciiTheme="minorHAnsi" w:hAnsiTheme="minorHAnsi" w:cstheme="minorHAnsi"/>
          <w:color w:val="auto"/>
        </w:rPr>
      </w:pPr>
      <w:r w:rsidRPr="00A22D6A">
        <w:rPr>
          <w:rFonts w:asciiTheme="minorHAnsi" w:hAnsiTheme="minorHAnsi" w:cstheme="minorHAnsi"/>
          <w:color w:val="auto"/>
        </w:rPr>
        <w:t>COMMENCEMENT</w:t>
      </w:r>
    </w:p>
    <w:p w14:paraId="4F348B20" w14:textId="053583DC" w:rsidR="00351DB8" w:rsidRPr="00A22D6A" w:rsidRDefault="00403C4A" w:rsidP="0032375C">
      <w:pPr>
        <w:spacing w:before="120" w:after="120"/>
        <w:rPr>
          <w:rFonts w:asciiTheme="minorHAnsi" w:hAnsiTheme="minorHAnsi" w:cstheme="minorHAnsi"/>
          <w:iCs/>
          <w:szCs w:val="24"/>
        </w:rPr>
      </w:pPr>
      <w:r w:rsidRPr="00A22D6A">
        <w:rPr>
          <w:rFonts w:asciiTheme="minorHAnsi" w:hAnsiTheme="minorHAnsi" w:cstheme="minorHAnsi"/>
          <w:iCs/>
          <w:szCs w:val="24"/>
        </w:rPr>
        <w:t>The Amendment Regulations commence on 1 July 2021</w:t>
      </w:r>
      <w:r w:rsidR="008A6C7D" w:rsidRPr="00A22D6A">
        <w:rPr>
          <w:rFonts w:asciiTheme="minorHAnsi" w:hAnsiTheme="minorHAnsi" w:cstheme="minorHAnsi"/>
          <w:iCs/>
          <w:szCs w:val="24"/>
        </w:rPr>
        <w:t xml:space="preserve">, </w:t>
      </w:r>
      <w:r w:rsidR="0032375C" w:rsidRPr="00A22D6A">
        <w:rPr>
          <w:rFonts w:asciiTheme="minorHAnsi" w:hAnsiTheme="minorHAnsi" w:cstheme="minorHAnsi"/>
          <w:iCs/>
          <w:szCs w:val="24"/>
        </w:rPr>
        <w:t>e</w:t>
      </w:r>
      <w:r w:rsidR="008A6C7D" w:rsidRPr="00A22D6A">
        <w:rPr>
          <w:rFonts w:asciiTheme="minorHAnsi" w:hAnsiTheme="minorHAnsi" w:cstheme="minorHAnsi"/>
          <w:iCs/>
          <w:szCs w:val="24"/>
        </w:rPr>
        <w:t xml:space="preserve">xcept for Part 2 of Schedule 1, which </w:t>
      </w:r>
      <w:r w:rsidR="00351DB8" w:rsidRPr="00A22D6A">
        <w:rPr>
          <w:rFonts w:asciiTheme="minorHAnsi" w:hAnsiTheme="minorHAnsi" w:cstheme="minorHAnsi"/>
          <w:iCs/>
          <w:szCs w:val="24"/>
        </w:rPr>
        <w:t>commence</w:t>
      </w:r>
      <w:r w:rsidR="008A6C7D" w:rsidRPr="00A22D6A">
        <w:rPr>
          <w:rFonts w:asciiTheme="minorHAnsi" w:hAnsiTheme="minorHAnsi" w:cstheme="minorHAnsi"/>
          <w:iCs/>
          <w:szCs w:val="24"/>
        </w:rPr>
        <w:t>s</w:t>
      </w:r>
      <w:r w:rsidR="00351DB8" w:rsidRPr="00A22D6A">
        <w:rPr>
          <w:rFonts w:asciiTheme="minorHAnsi" w:hAnsiTheme="minorHAnsi" w:cstheme="minorHAnsi"/>
          <w:iCs/>
          <w:szCs w:val="24"/>
        </w:rPr>
        <w:t xml:space="preserve"> at the same time as Part 1 of Schedule 3 to the </w:t>
      </w:r>
      <w:r w:rsidR="00822520" w:rsidRPr="00A22D6A">
        <w:rPr>
          <w:rFonts w:asciiTheme="minorHAnsi" w:hAnsiTheme="minorHAnsi" w:cstheme="minorHAnsi"/>
          <w:iCs/>
          <w:szCs w:val="24"/>
        </w:rPr>
        <w:t>Regulatory Powers Reform Act</w:t>
      </w:r>
      <w:r w:rsidR="00351DB8" w:rsidRPr="00A22D6A">
        <w:rPr>
          <w:rFonts w:asciiTheme="minorHAnsi" w:hAnsiTheme="minorHAnsi" w:cstheme="minorHAnsi"/>
          <w:iCs/>
          <w:szCs w:val="24"/>
        </w:rPr>
        <w:t>.</w:t>
      </w:r>
      <w:r w:rsidR="008A6C7D" w:rsidRPr="00A22D6A">
        <w:rPr>
          <w:rFonts w:asciiTheme="minorHAnsi" w:hAnsiTheme="minorHAnsi" w:cstheme="minorHAnsi"/>
          <w:iCs/>
          <w:szCs w:val="24"/>
        </w:rPr>
        <w:t xml:space="preserve"> </w:t>
      </w:r>
      <w:r w:rsidR="0032375C" w:rsidRPr="00A22D6A">
        <w:rPr>
          <w:rFonts w:asciiTheme="minorHAnsi" w:hAnsiTheme="minorHAnsi" w:cstheme="minorHAnsi"/>
          <w:iCs/>
          <w:szCs w:val="24"/>
        </w:rPr>
        <w:t xml:space="preserve">Part 1 of Schedule 3 to </w:t>
      </w:r>
      <w:r w:rsidR="00822520" w:rsidRPr="00A22D6A">
        <w:rPr>
          <w:rFonts w:asciiTheme="minorHAnsi" w:hAnsiTheme="minorHAnsi" w:cstheme="minorHAnsi"/>
          <w:iCs/>
          <w:szCs w:val="24"/>
        </w:rPr>
        <w:t xml:space="preserve">Regulatory Powers Reform Act </w:t>
      </w:r>
      <w:r w:rsidR="0032375C" w:rsidRPr="00A22D6A">
        <w:rPr>
          <w:rFonts w:asciiTheme="minorHAnsi" w:hAnsiTheme="minorHAnsi" w:cstheme="minorHAnsi"/>
          <w:iCs/>
          <w:szCs w:val="24"/>
        </w:rPr>
        <w:t xml:space="preserve">commences on a single day to be fixed by Proclamation, or if the provisions do not commence within the period of 6 months beginning on the day the </w:t>
      </w:r>
      <w:r w:rsidR="00822520" w:rsidRPr="00A22D6A">
        <w:rPr>
          <w:rFonts w:asciiTheme="minorHAnsi" w:hAnsiTheme="minorHAnsi" w:cstheme="minorHAnsi"/>
          <w:iCs/>
          <w:szCs w:val="24"/>
        </w:rPr>
        <w:t>Regulatory Powers Reform Act</w:t>
      </w:r>
      <w:r w:rsidR="0032375C" w:rsidRPr="00A22D6A">
        <w:rPr>
          <w:rFonts w:asciiTheme="minorHAnsi" w:hAnsiTheme="minorHAnsi" w:cstheme="minorHAnsi"/>
          <w:iCs/>
          <w:szCs w:val="24"/>
        </w:rPr>
        <w:t xml:space="preserve"> receive</w:t>
      </w:r>
      <w:r w:rsidR="00895B86" w:rsidRPr="00A22D6A">
        <w:rPr>
          <w:rFonts w:asciiTheme="minorHAnsi" w:hAnsiTheme="minorHAnsi" w:cstheme="minorHAnsi"/>
          <w:iCs/>
          <w:szCs w:val="24"/>
        </w:rPr>
        <w:t>d</w:t>
      </w:r>
      <w:r w:rsidR="0032375C" w:rsidRPr="00A22D6A">
        <w:rPr>
          <w:rFonts w:asciiTheme="minorHAnsi" w:hAnsiTheme="minorHAnsi" w:cstheme="minorHAnsi"/>
          <w:iCs/>
          <w:szCs w:val="24"/>
        </w:rPr>
        <w:t xml:space="preserve"> Royal Assent</w:t>
      </w:r>
      <w:r w:rsidR="00895B86" w:rsidRPr="00A22D6A">
        <w:rPr>
          <w:rFonts w:asciiTheme="minorHAnsi" w:hAnsiTheme="minorHAnsi" w:cstheme="minorHAnsi"/>
          <w:iCs/>
          <w:szCs w:val="24"/>
        </w:rPr>
        <w:t xml:space="preserve"> (which was on 26 March 2021)</w:t>
      </w:r>
      <w:r w:rsidR="0032375C" w:rsidRPr="00A22D6A">
        <w:rPr>
          <w:rFonts w:asciiTheme="minorHAnsi" w:hAnsiTheme="minorHAnsi" w:cstheme="minorHAnsi"/>
          <w:iCs/>
          <w:szCs w:val="24"/>
        </w:rPr>
        <w:t>, they commence on the day after the end of that period.</w:t>
      </w:r>
    </w:p>
    <w:p w14:paraId="642126B6" w14:textId="77777777" w:rsidR="00696CF0" w:rsidRPr="00A22D6A" w:rsidRDefault="00144950" w:rsidP="00696CF0">
      <w:pPr>
        <w:pStyle w:val="Heading2"/>
        <w:rPr>
          <w:rFonts w:asciiTheme="minorHAnsi" w:hAnsiTheme="minorHAnsi" w:cstheme="minorHAnsi"/>
          <w:color w:val="auto"/>
        </w:rPr>
      </w:pPr>
      <w:bookmarkStart w:id="2" w:name="_Toc34293360"/>
      <w:r w:rsidRPr="00A22D6A">
        <w:rPr>
          <w:rFonts w:asciiTheme="minorHAnsi" w:hAnsiTheme="minorHAnsi" w:cstheme="minorHAnsi"/>
          <w:color w:val="auto"/>
        </w:rPr>
        <w:t>CONSULTATION</w:t>
      </w:r>
      <w:bookmarkEnd w:id="2"/>
    </w:p>
    <w:p w14:paraId="488DAD28" w14:textId="123B8197" w:rsidR="00DD24F3" w:rsidRPr="00A22D6A" w:rsidRDefault="00403C4A" w:rsidP="00DD24F3">
      <w:pPr>
        <w:pStyle w:val="Default"/>
        <w:spacing w:line="276" w:lineRule="auto"/>
        <w:rPr>
          <w:rFonts w:asciiTheme="minorHAnsi" w:hAnsiTheme="minorHAnsi" w:cstheme="minorHAnsi"/>
          <w:iCs/>
        </w:rPr>
      </w:pPr>
      <w:bookmarkStart w:id="3" w:name="_Hlk73018130"/>
      <w:r w:rsidRPr="00A22D6A">
        <w:rPr>
          <w:rFonts w:asciiTheme="minorHAnsi" w:hAnsiTheme="minorHAnsi" w:cstheme="minorHAnsi"/>
          <w:iCs/>
        </w:rPr>
        <w:t>Consultations for these amendments w</w:t>
      </w:r>
      <w:r w:rsidR="00CD0992" w:rsidRPr="00A22D6A">
        <w:rPr>
          <w:rFonts w:asciiTheme="minorHAnsi" w:hAnsiTheme="minorHAnsi" w:cstheme="minorHAnsi"/>
          <w:iCs/>
        </w:rPr>
        <w:t>ere</w:t>
      </w:r>
      <w:r w:rsidRPr="00A22D6A">
        <w:rPr>
          <w:rFonts w:asciiTheme="minorHAnsi" w:hAnsiTheme="minorHAnsi" w:cstheme="minorHAnsi"/>
          <w:iCs/>
        </w:rPr>
        <w:t xml:space="preserve"> not required as they</w:t>
      </w:r>
      <w:r w:rsidR="0083708E" w:rsidRPr="00A22D6A">
        <w:rPr>
          <w:rFonts w:asciiTheme="minorHAnsi" w:hAnsiTheme="minorHAnsi" w:cstheme="minorHAnsi"/>
          <w:iCs/>
        </w:rPr>
        <w:t xml:space="preserve"> </w:t>
      </w:r>
      <w:r w:rsidR="00DD24F3" w:rsidRPr="00A22D6A">
        <w:rPr>
          <w:rFonts w:asciiTheme="minorHAnsi" w:hAnsiTheme="minorHAnsi" w:cstheme="minorHAnsi"/>
          <w:iCs/>
        </w:rPr>
        <w:t>are generally beneficial, of a minor nature and do not substantially alter existing arrangements.</w:t>
      </w:r>
      <w:bookmarkStart w:id="4" w:name="_Toc23942241"/>
      <w:bookmarkStart w:id="5" w:name="_Toc34293362"/>
    </w:p>
    <w:p w14:paraId="5F7AE0DF" w14:textId="77777777" w:rsidR="00DD24F3" w:rsidRPr="00A22D6A" w:rsidRDefault="00DD24F3" w:rsidP="00DD24F3">
      <w:pPr>
        <w:pStyle w:val="Default"/>
        <w:spacing w:line="276" w:lineRule="auto"/>
        <w:rPr>
          <w:rFonts w:asciiTheme="minorHAnsi" w:hAnsiTheme="minorHAnsi" w:cstheme="minorHAnsi"/>
          <w:iCs/>
        </w:rPr>
      </w:pPr>
    </w:p>
    <w:p w14:paraId="4144A7B4" w14:textId="61B2C022" w:rsidR="00DD24F3" w:rsidRPr="00A22D6A" w:rsidRDefault="00DD24F3" w:rsidP="00DD24F3">
      <w:pPr>
        <w:pStyle w:val="Default"/>
        <w:spacing w:line="276" w:lineRule="auto"/>
        <w:rPr>
          <w:rFonts w:asciiTheme="minorHAnsi" w:hAnsiTheme="minorHAnsi" w:cstheme="minorHAnsi"/>
          <w:iCs/>
        </w:rPr>
      </w:pPr>
      <w:r w:rsidRPr="00A22D6A">
        <w:rPr>
          <w:rFonts w:asciiTheme="minorHAnsi" w:hAnsiTheme="minorHAnsi" w:cstheme="minorHAnsi"/>
          <w:iCs/>
        </w:rPr>
        <w:t>The aspect of Amendment Regulations which removes the requirement for providers to give information on the payment of tuition fees through PRISMS when a calendar month ends is beneficial to providers and does not adversely impact students. Providers will continue to be required to keep financial records of tuition fees paid by students, however, they will no longer be required to duplicate these records in the PRISMS system. While this reduces the regulatory burden on providers, regulators and students can continue to request fee payment records from providers on a case by case basis, where required.</w:t>
      </w:r>
    </w:p>
    <w:p w14:paraId="43B88096" w14:textId="1829DA67" w:rsidR="00DD24F3" w:rsidRPr="00A22D6A" w:rsidRDefault="00DD24F3" w:rsidP="00DD24F3">
      <w:pPr>
        <w:pStyle w:val="Default"/>
        <w:spacing w:line="276" w:lineRule="auto"/>
        <w:rPr>
          <w:rFonts w:asciiTheme="minorHAnsi" w:hAnsiTheme="minorHAnsi" w:cstheme="minorHAnsi"/>
          <w:iCs/>
        </w:rPr>
      </w:pPr>
    </w:p>
    <w:p w14:paraId="43497637" w14:textId="2181BDB2" w:rsidR="00DD24F3" w:rsidRPr="00A22D6A" w:rsidRDefault="00DD24F3" w:rsidP="00DD24F3">
      <w:pPr>
        <w:pStyle w:val="Default"/>
        <w:spacing w:line="276" w:lineRule="auto"/>
        <w:rPr>
          <w:rFonts w:asciiTheme="minorHAnsi" w:hAnsiTheme="minorHAnsi" w:cstheme="minorHAnsi"/>
          <w:iCs/>
        </w:rPr>
      </w:pPr>
      <w:r w:rsidRPr="00A22D6A">
        <w:rPr>
          <w:rFonts w:asciiTheme="minorHAnsi" w:hAnsiTheme="minorHAnsi" w:cstheme="minorHAnsi"/>
          <w:iCs/>
        </w:rPr>
        <w:t>The amendments which remove the now redundant infringement notice scheme do not alter existing arrangements, but rather remove provisions which are made redundant by operation of another legislative provision.</w:t>
      </w:r>
    </w:p>
    <w:bookmarkEnd w:id="3"/>
    <w:p w14:paraId="3D2528FA" w14:textId="01E2899F" w:rsidR="00D23724" w:rsidRPr="00A22D6A" w:rsidRDefault="00D23724" w:rsidP="00356EA3">
      <w:pPr>
        <w:spacing w:before="120" w:after="120"/>
        <w:rPr>
          <w:rFonts w:asciiTheme="minorHAnsi" w:hAnsiTheme="minorHAnsi" w:cstheme="minorHAnsi"/>
          <w:iCs/>
        </w:rPr>
      </w:pPr>
      <w:r w:rsidRPr="00A22D6A">
        <w:rPr>
          <w:rFonts w:asciiTheme="minorHAnsi" w:hAnsiTheme="minorHAnsi" w:cstheme="minorHAnsi"/>
        </w:rPr>
        <w:br w:type="page"/>
      </w:r>
    </w:p>
    <w:p w14:paraId="0D01BE57" w14:textId="28C588FD" w:rsidR="00DA552F" w:rsidRPr="00A22D6A" w:rsidRDefault="00DA552F" w:rsidP="00F62708">
      <w:pPr>
        <w:pStyle w:val="Heading2"/>
        <w:jc w:val="center"/>
        <w:rPr>
          <w:rFonts w:asciiTheme="minorHAnsi" w:hAnsiTheme="minorHAnsi" w:cstheme="minorHAnsi"/>
          <w:color w:val="auto"/>
        </w:rPr>
      </w:pPr>
      <w:r w:rsidRPr="00A22D6A">
        <w:rPr>
          <w:rFonts w:asciiTheme="minorHAnsi" w:hAnsiTheme="minorHAnsi" w:cstheme="minorHAnsi"/>
          <w:color w:val="auto"/>
        </w:rPr>
        <w:lastRenderedPageBreak/>
        <w:t>STATEMENT OF COMPATIBILITY WITH HUMAN RIGHTS</w:t>
      </w:r>
      <w:bookmarkEnd w:id="4"/>
      <w:bookmarkEnd w:id="5"/>
    </w:p>
    <w:p w14:paraId="16EFB5F9" w14:textId="77777777" w:rsidR="00DA552F" w:rsidRPr="00A22D6A" w:rsidRDefault="00DA552F" w:rsidP="00DA552F">
      <w:pPr>
        <w:spacing w:before="120" w:after="120"/>
        <w:jc w:val="center"/>
        <w:rPr>
          <w:rFonts w:asciiTheme="minorHAnsi" w:hAnsiTheme="minorHAnsi" w:cstheme="minorHAnsi"/>
          <w:szCs w:val="24"/>
        </w:rPr>
      </w:pPr>
      <w:r w:rsidRPr="00A22D6A">
        <w:rPr>
          <w:rFonts w:asciiTheme="minorHAnsi" w:hAnsiTheme="minorHAnsi" w:cstheme="minorHAnsi"/>
          <w:i/>
          <w:szCs w:val="24"/>
        </w:rPr>
        <w:t xml:space="preserve">Prepared in accordance with Part 3 of the Human Rights (Parliamentary </w:t>
      </w:r>
      <w:r w:rsidR="003440C7" w:rsidRPr="00A22D6A">
        <w:rPr>
          <w:rFonts w:asciiTheme="minorHAnsi" w:hAnsiTheme="minorHAnsi" w:cstheme="minorHAnsi"/>
          <w:i/>
          <w:szCs w:val="24"/>
        </w:rPr>
        <w:t>Scrutiny) Act 2011</w:t>
      </w:r>
    </w:p>
    <w:p w14:paraId="0524C4F0" w14:textId="0CC45FE2" w:rsidR="00DA552F" w:rsidRPr="00A22D6A" w:rsidRDefault="008764F9" w:rsidP="00DA552F">
      <w:pPr>
        <w:spacing w:before="120" w:after="120"/>
        <w:jc w:val="center"/>
        <w:rPr>
          <w:rFonts w:asciiTheme="minorHAnsi" w:hAnsiTheme="minorHAnsi" w:cstheme="minorHAnsi"/>
          <w:i/>
          <w:iCs/>
          <w:szCs w:val="24"/>
        </w:rPr>
      </w:pPr>
      <w:r w:rsidRPr="00A22D6A">
        <w:rPr>
          <w:rFonts w:asciiTheme="minorHAnsi" w:hAnsiTheme="minorHAnsi" w:cstheme="minorHAnsi"/>
          <w:i/>
          <w:iCs/>
          <w:szCs w:val="24"/>
          <w:u w:val="single"/>
        </w:rPr>
        <w:t>Education Services for Overseas Students Amendment (Deregulation and Other Measures) Regulations 2021</w:t>
      </w:r>
    </w:p>
    <w:p w14:paraId="6EA3D67E" w14:textId="49133C14" w:rsidR="00DA552F" w:rsidRPr="00A22D6A" w:rsidRDefault="005668FF" w:rsidP="00DA552F">
      <w:pPr>
        <w:spacing w:before="120" w:after="120"/>
        <w:rPr>
          <w:rFonts w:asciiTheme="minorHAnsi" w:hAnsiTheme="minorHAnsi" w:cstheme="minorHAnsi"/>
          <w:szCs w:val="24"/>
        </w:rPr>
      </w:pPr>
      <w:r w:rsidRPr="00A22D6A">
        <w:rPr>
          <w:rFonts w:asciiTheme="minorHAnsi" w:hAnsiTheme="minorHAnsi" w:cstheme="minorHAnsi"/>
          <w:szCs w:val="24"/>
        </w:rPr>
        <w:t>This Legislative</w:t>
      </w:r>
      <w:r w:rsidR="001E52EB" w:rsidRPr="00A22D6A">
        <w:rPr>
          <w:rFonts w:asciiTheme="minorHAnsi" w:hAnsiTheme="minorHAnsi" w:cstheme="minorHAnsi"/>
          <w:szCs w:val="24"/>
        </w:rPr>
        <w:t xml:space="preserve"> </w:t>
      </w:r>
      <w:r w:rsidR="00FF6E25" w:rsidRPr="00A22D6A">
        <w:rPr>
          <w:rFonts w:asciiTheme="minorHAnsi" w:hAnsiTheme="minorHAnsi" w:cstheme="minorHAnsi"/>
          <w:szCs w:val="24"/>
        </w:rPr>
        <w:t>Instrument</w:t>
      </w:r>
      <w:r w:rsidR="001E52EB" w:rsidRPr="00A22D6A">
        <w:rPr>
          <w:rFonts w:asciiTheme="minorHAnsi" w:hAnsiTheme="minorHAnsi" w:cstheme="minorHAnsi"/>
          <w:szCs w:val="24"/>
        </w:rPr>
        <w:t xml:space="preserve"> </w:t>
      </w:r>
      <w:r w:rsidR="002B5C28" w:rsidRPr="00A22D6A">
        <w:rPr>
          <w:rFonts w:asciiTheme="minorHAnsi" w:hAnsiTheme="minorHAnsi" w:cstheme="minorHAnsi"/>
          <w:szCs w:val="24"/>
        </w:rPr>
        <w:t xml:space="preserve">is </w:t>
      </w:r>
      <w:r w:rsidR="00F9205E" w:rsidRPr="00A22D6A">
        <w:rPr>
          <w:rFonts w:asciiTheme="minorHAnsi" w:hAnsiTheme="minorHAnsi" w:cstheme="minorHAnsi"/>
          <w:szCs w:val="24"/>
        </w:rPr>
        <w:t xml:space="preserve">compatible with the human rights and freedoms recognised or declared in the international instruments listed in section 3 of the </w:t>
      </w:r>
      <w:r w:rsidR="00F9205E" w:rsidRPr="00A22D6A">
        <w:rPr>
          <w:rFonts w:asciiTheme="minorHAnsi" w:hAnsiTheme="minorHAnsi" w:cstheme="minorHAnsi"/>
          <w:i/>
          <w:szCs w:val="24"/>
        </w:rPr>
        <w:t>Human Rights (Parliamentary Scrutiny) Act 2011</w:t>
      </w:r>
      <w:r w:rsidR="00F9205E" w:rsidRPr="00A22D6A">
        <w:rPr>
          <w:rFonts w:asciiTheme="minorHAnsi" w:hAnsiTheme="minorHAnsi" w:cstheme="minorHAnsi"/>
          <w:szCs w:val="24"/>
        </w:rPr>
        <w:t>.</w:t>
      </w:r>
    </w:p>
    <w:p w14:paraId="1E689F87" w14:textId="6B0E5F43" w:rsidR="00F9205E" w:rsidRPr="00A22D6A" w:rsidRDefault="00F9205E" w:rsidP="00DA552F">
      <w:pPr>
        <w:spacing w:before="120" w:after="120"/>
        <w:rPr>
          <w:rFonts w:asciiTheme="minorHAnsi" w:hAnsiTheme="minorHAnsi" w:cstheme="minorHAnsi"/>
          <w:szCs w:val="24"/>
        </w:rPr>
      </w:pPr>
      <w:r w:rsidRPr="00A22D6A">
        <w:rPr>
          <w:rFonts w:asciiTheme="minorHAnsi" w:hAnsiTheme="minorHAnsi" w:cstheme="minorHAnsi"/>
          <w:b/>
          <w:szCs w:val="24"/>
        </w:rPr>
        <w:t xml:space="preserve">Overview of the </w:t>
      </w:r>
      <w:r w:rsidR="0027370A" w:rsidRPr="00A22D6A">
        <w:rPr>
          <w:rFonts w:asciiTheme="minorHAnsi" w:hAnsiTheme="minorHAnsi" w:cstheme="minorHAnsi"/>
          <w:b/>
          <w:szCs w:val="24"/>
        </w:rPr>
        <w:t>Legislative Instrument</w:t>
      </w:r>
    </w:p>
    <w:p w14:paraId="45285319" w14:textId="7526406B" w:rsidR="005668FF" w:rsidRPr="00A22D6A" w:rsidRDefault="005668FF" w:rsidP="005668FF">
      <w:pPr>
        <w:spacing w:before="120" w:after="120"/>
        <w:rPr>
          <w:rFonts w:asciiTheme="minorHAnsi" w:hAnsiTheme="minorHAnsi" w:cstheme="minorHAnsi"/>
          <w:i/>
        </w:rPr>
      </w:pPr>
      <w:r w:rsidRPr="00A22D6A">
        <w:rPr>
          <w:rFonts w:asciiTheme="minorHAnsi" w:hAnsiTheme="minorHAnsi" w:cstheme="minorHAnsi"/>
          <w:iCs/>
        </w:rPr>
        <w:t xml:space="preserve">The </w:t>
      </w:r>
      <w:r w:rsidRPr="00A22D6A">
        <w:rPr>
          <w:rFonts w:asciiTheme="minorHAnsi" w:hAnsiTheme="minorHAnsi" w:cstheme="minorHAnsi"/>
          <w:i/>
        </w:rPr>
        <w:t xml:space="preserve">Education Services for Overseas Students Amendment (Deregulation and Other Measures) Regulations 2021 (Amendment Regulations) </w:t>
      </w:r>
      <w:r w:rsidRPr="00A22D6A">
        <w:rPr>
          <w:rFonts w:asciiTheme="minorHAnsi" w:hAnsiTheme="minorHAnsi" w:cstheme="minorHAnsi"/>
          <w:iCs/>
        </w:rPr>
        <w:t>amend the</w:t>
      </w:r>
      <w:r w:rsidRPr="00A22D6A">
        <w:rPr>
          <w:rFonts w:asciiTheme="minorHAnsi" w:hAnsiTheme="minorHAnsi" w:cstheme="minorHAnsi"/>
          <w:i/>
        </w:rPr>
        <w:t xml:space="preserve"> Education Services for Overseas Students Regulations 2019 </w:t>
      </w:r>
      <w:r w:rsidRPr="00A22D6A">
        <w:rPr>
          <w:rFonts w:asciiTheme="minorHAnsi" w:hAnsiTheme="minorHAnsi" w:cstheme="minorHAnsi"/>
          <w:iCs/>
        </w:rPr>
        <w:t>(the Principal Regulations) to remove the requirement for providers to give information on the payment of tuition fees through the Provider Registration and Information Management System (PRISMS) when a calendar month ends and remove the</w:t>
      </w:r>
      <w:r w:rsidR="00895B86" w:rsidRPr="00A22D6A">
        <w:rPr>
          <w:rFonts w:asciiTheme="minorHAnsi" w:hAnsiTheme="minorHAnsi" w:cstheme="minorHAnsi"/>
          <w:iCs/>
        </w:rPr>
        <w:t xml:space="preserve"> </w:t>
      </w:r>
      <w:r w:rsidR="00425998" w:rsidRPr="00A22D6A">
        <w:rPr>
          <w:rFonts w:asciiTheme="minorHAnsi" w:hAnsiTheme="minorHAnsi" w:cstheme="minorHAnsi"/>
          <w:iCs/>
        </w:rPr>
        <w:t xml:space="preserve">now redundant </w:t>
      </w:r>
      <w:r w:rsidRPr="00A22D6A">
        <w:rPr>
          <w:rFonts w:asciiTheme="minorHAnsi" w:hAnsiTheme="minorHAnsi" w:cstheme="minorHAnsi"/>
          <w:iCs/>
        </w:rPr>
        <w:t>infringement notice scheme.</w:t>
      </w:r>
    </w:p>
    <w:p w14:paraId="18BE3429" w14:textId="77777777" w:rsidR="00F9205E" w:rsidRPr="00A22D6A" w:rsidRDefault="00F9205E" w:rsidP="00DA552F">
      <w:pPr>
        <w:spacing w:before="120" w:after="120"/>
        <w:rPr>
          <w:rFonts w:asciiTheme="minorHAnsi" w:hAnsiTheme="minorHAnsi" w:cstheme="minorHAnsi"/>
          <w:szCs w:val="24"/>
        </w:rPr>
      </w:pPr>
      <w:r w:rsidRPr="00A22D6A">
        <w:rPr>
          <w:rFonts w:asciiTheme="minorHAnsi" w:hAnsiTheme="minorHAnsi" w:cstheme="minorHAnsi"/>
          <w:b/>
          <w:szCs w:val="24"/>
        </w:rPr>
        <w:t>Human rights implications</w:t>
      </w:r>
    </w:p>
    <w:p w14:paraId="60D189A3" w14:textId="77777777" w:rsidR="00F9205E" w:rsidRPr="00A22D6A" w:rsidRDefault="00F9205E" w:rsidP="00DA552F">
      <w:pPr>
        <w:spacing w:before="120" w:after="120"/>
        <w:rPr>
          <w:rFonts w:asciiTheme="minorHAnsi" w:hAnsiTheme="minorHAnsi" w:cstheme="minorHAnsi"/>
          <w:szCs w:val="24"/>
        </w:rPr>
      </w:pPr>
      <w:r w:rsidRPr="00A22D6A">
        <w:rPr>
          <w:rFonts w:asciiTheme="minorHAnsi" w:hAnsiTheme="minorHAnsi" w:cstheme="minorHAnsi"/>
          <w:szCs w:val="24"/>
        </w:rPr>
        <w:t xml:space="preserve">The </w:t>
      </w:r>
      <w:r w:rsidR="00FF6E25" w:rsidRPr="00A22D6A">
        <w:rPr>
          <w:rFonts w:asciiTheme="minorHAnsi" w:hAnsiTheme="minorHAnsi" w:cstheme="minorHAnsi"/>
          <w:szCs w:val="24"/>
        </w:rPr>
        <w:t>Instrument</w:t>
      </w:r>
      <w:r w:rsidRPr="00A22D6A">
        <w:rPr>
          <w:rFonts w:asciiTheme="minorHAnsi" w:hAnsiTheme="minorHAnsi" w:cstheme="minorHAnsi"/>
          <w:szCs w:val="24"/>
        </w:rPr>
        <w:t xml:space="preserve"> engages the following rights:</w:t>
      </w:r>
    </w:p>
    <w:p w14:paraId="7E59DD4B" w14:textId="77777777" w:rsidR="008764F9" w:rsidRPr="00A22D6A" w:rsidRDefault="008764F9" w:rsidP="00715C66">
      <w:pPr>
        <w:pStyle w:val="ListParagraph"/>
        <w:numPr>
          <w:ilvl w:val="0"/>
          <w:numId w:val="2"/>
        </w:numPr>
        <w:spacing w:before="120" w:after="120"/>
        <w:rPr>
          <w:rFonts w:asciiTheme="minorHAnsi" w:hAnsiTheme="minorHAnsi" w:cstheme="minorHAnsi"/>
          <w:szCs w:val="24"/>
        </w:rPr>
      </w:pPr>
      <w:r w:rsidRPr="00A22D6A">
        <w:rPr>
          <w:rFonts w:asciiTheme="minorHAnsi" w:hAnsiTheme="minorHAnsi" w:cstheme="minorHAnsi"/>
          <w:szCs w:val="24"/>
        </w:rPr>
        <w:t xml:space="preserve">the right to education – Article 13 of the </w:t>
      </w:r>
      <w:r w:rsidRPr="00A22D6A">
        <w:rPr>
          <w:rFonts w:asciiTheme="minorHAnsi" w:hAnsiTheme="minorHAnsi" w:cstheme="minorHAnsi"/>
          <w:i/>
          <w:iCs/>
          <w:szCs w:val="24"/>
        </w:rPr>
        <w:t>International Covenant on Economic, Social and Cultural Rights</w:t>
      </w:r>
      <w:r w:rsidRPr="00A22D6A">
        <w:rPr>
          <w:rFonts w:asciiTheme="minorHAnsi" w:hAnsiTheme="minorHAnsi" w:cstheme="minorHAnsi"/>
          <w:szCs w:val="24"/>
        </w:rPr>
        <w:t xml:space="preserve"> (ICESCR), and Article 28 of the </w:t>
      </w:r>
      <w:r w:rsidRPr="00A22D6A">
        <w:rPr>
          <w:rFonts w:asciiTheme="minorHAnsi" w:hAnsiTheme="minorHAnsi" w:cstheme="minorHAnsi"/>
          <w:i/>
          <w:iCs/>
          <w:szCs w:val="24"/>
        </w:rPr>
        <w:t>Convention on the Rights of the Child</w:t>
      </w:r>
      <w:r w:rsidRPr="00A22D6A">
        <w:rPr>
          <w:rFonts w:asciiTheme="minorHAnsi" w:hAnsiTheme="minorHAnsi" w:cstheme="minorHAnsi"/>
          <w:szCs w:val="24"/>
        </w:rPr>
        <w:t xml:space="preserve"> (UNCRC); and</w:t>
      </w:r>
    </w:p>
    <w:p w14:paraId="6CA4FCB0" w14:textId="5CEE68C1" w:rsidR="00E8671C" w:rsidRPr="00A22D6A" w:rsidRDefault="008764F9" w:rsidP="00715C66">
      <w:pPr>
        <w:pStyle w:val="ListParagraph"/>
        <w:numPr>
          <w:ilvl w:val="0"/>
          <w:numId w:val="2"/>
        </w:numPr>
        <w:spacing w:before="120" w:after="120"/>
        <w:rPr>
          <w:rFonts w:asciiTheme="minorHAnsi" w:hAnsiTheme="minorHAnsi" w:cstheme="minorHAnsi"/>
          <w:szCs w:val="24"/>
        </w:rPr>
      </w:pPr>
      <w:r w:rsidRPr="00A22D6A">
        <w:rPr>
          <w:rFonts w:asciiTheme="minorHAnsi" w:hAnsiTheme="minorHAnsi" w:cstheme="minorHAnsi"/>
          <w:szCs w:val="24"/>
        </w:rPr>
        <w:t>the right to work – Article 6 of the ICESCR.</w:t>
      </w:r>
    </w:p>
    <w:p w14:paraId="107EECE4" w14:textId="23F316B6" w:rsidR="008310AA" w:rsidRPr="00A22D6A" w:rsidRDefault="008764F9" w:rsidP="00DA552F">
      <w:pPr>
        <w:spacing w:before="120" w:after="120"/>
        <w:rPr>
          <w:rFonts w:asciiTheme="minorHAnsi" w:hAnsiTheme="minorHAnsi" w:cstheme="minorHAnsi"/>
          <w:szCs w:val="24"/>
          <w:u w:val="single"/>
        </w:rPr>
      </w:pPr>
      <w:r w:rsidRPr="00A22D6A">
        <w:rPr>
          <w:rFonts w:asciiTheme="minorHAnsi" w:hAnsiTheme="minorHAnsi" w:cstheme="minorHAnsi"/>
          <w:szCs w:val="24"/>
          <w:u w:val="single"/>
        </w:rPr>
        <w:t>Right to education</w:t>
      </w:r>
    </w:p>
    <w:p w14:paraId="2103BEA7" w14:textId="1271FC55" w:rsidR="008764F9" w:rsidRPr="00A22D6A" w:rsidRDefault="008764F9" w:rsidP="008764F9">
      <w:pPr>
        <w:spacing w:before="120" w:after="120"/>
        <w:rPr>
          <w:rFonts w:asciiTheme="minorHAnsi" w:hAnsiTheme="minorHAnsi" w:cstheme="minorHAnsi"/>
          <w:iCs/>
          <w:szCs w:val="24"/>
        </w:rPr>
      </w:pPr>
      <w:r w:rsidRPr="00A22D6A">
        <w:rPr>
          <w:rFonts w:asciiTheme="minorHAnsi" w:hAnsiTheme="minorHAnsi" w:cstheme="minorHAnsi"/>
          <w:iCs/>
          <w:szCs w:val="24"/>
        </w:rPr>
        <w:t>The Amendment Regulations engage the right to education, contained in Article 13 of the ICESCR, insofar as it relates to the provision of education and training services to overseas students</w:t>
      </w:r>
      <w:r w:rsidR="00916A03" w:rsidRPr="00A22D6A">
        <w:rPr>
          <w:rFonts w:asciiTheme="minorHAnsi" w:hAnsiTheme="minorHAnsi" w:cstheme="minorHAnsi"/>
          <w:iCs/>
          <w:szCs w:val="24"/>
        </w:rPr>
        <w:t xml:space="preserve">. </w:t>
      </w:r>
      <w:r w:rsidRPr="00A22D6A">
        <w:rPr>
          <w:rFonts w:asciiTheme="minorHAnsi" w:hAnsiTheme="minorHAnsi" w:cstheme="minorHAnsi"/>
          <w:iCs/>
          <w:szCs w:val="24"/>
        </w:rPr>
        <w:t xml:space="preserve">Article 13(1) of the ICESCR recognises each person’s right to education, and that education is important to </w:t>
      </w:r>
      <w:r w:rsidRPr="00A22D6A">
        <w:rPr>
          <w:rFonts w:asciiTheme="minorHAnsi" w:hAnsiTheme="minorHAnsi" w:cstheme="minorHAnsi"/>
          <w:i/>
          <w:szCs w:val="24"/>
        </w:rPr>
        <w:t>“the full development of the human personality”</w:t>
      </w:r>
      <w:r w:rsidRPr="00A22D6A">
        <w:rPr>
          <w:rFonts w:asciiTheme="minorHAnsi" w:hAnsiTheme="minorHAnsi" w:cstheme="minorHAnsi"/>
          <w:iCs/>
          <w:szCs w:val="24"/>
        </w:rPr>
        <w:t>, and enables “</w:t>
      </w:r>
      <w:r w:rsidRPr="00A22D6A">
        <w:rPr>
          <w:rFonts w:asciiTheme="minorHAnsi" w:hAnsiTheme="minorHAnsi" w:cstheme="minorHAnsi"/>
          <w:i/>
          <w:szCs w:val="24"/>
        </w:rPr>
        <w:t>all persons to participate effectively in a free society, promote understanding, tolerance and friendship among all nations and all racial, ethnic or religious groups”</w:t>
      </w:r>
      <w:r w:rsidRPr="00A22D6A">
        <w:rPr>
          <w:rFonts w:asciiTheme="minorHAnsi" w:hAnsiTheme="minorHAnsi" w:cstheme="minorHAnsi"/>
          <w:iCs/>
          <w:szCs w:val="24"/>
        </w:rPr>
        <w:t>. The protections afforded by the Act</w:t>
      </w:r>
      <w:r w:rsidR="00F44A5D" w:rsidRPr="00A22D6A">
        <w:rPr>
          <w:rFonts w:asciiTheme="minorHAnsi" w:hAnsiTheme="minorHAnsi" w:cstheme="minorHAnsi"/>
          <w:iCs/>
          <w:szCs w:val="24"/>
        </w:rPr>
        <w:t xml:space="preserve"> and Regulations </w:t>
      </w:r>
      <w:r w:rsidRPr="00A22D6A">
        <w:rPr>
          <w:rFonts w:asciiTheme="minorHAnsi" w:hAnsiTheme="minorHAnsi" w:cstheme="minorHAnsi"/>
          <w:iCs/>
          <w:szCs w:val="24"/>
        </w:rPr>
        <w:t>to overseas students demonstrate Australia’s commitment to upholding the right to education for overseas students in Australia.</w:t>
      </w:r>
    </w:p>
    <w:p w14:paraId="27B5C192" w14:textId="29C53901" w:rsidR="008764F9" w:rsidRPr="00A22D6A" w:rsidRDefault="008764F9" w:rsidP="008764F9">
      <w:pPr>
        <w:spacing w:before="120" w:after="120"/>
        <w:rPr>
          <w:rFonts w:asciiTheme="minorHAnsi" w:hAnsiTheme="minorHAnsi" w:cstheme="minorHAnsi"/>
          <w:iCs/>
          <w:szCs w:val="24"/>
        </w:rPr>
      </w:pPr>
      <w:r w:rsidRPr="00A22D6A">
        <w:rPr>
          <w:rFonts w:asciiTheme="minorHAnsi" w:hAnsiTheme="minorHAnsi" w:cstheme="minorHAnsi"/>
          <w:iCs/>
          <w:szCs w:val="24"/>
        </w:rPr>
        <w:t xml:space="preserve">Similarly, </w:t>
      </w:r>
      <w:bookmarkStart w:id="6" w:name="_Hlk72410504"/>
      <w:r w:rsidRPr="00A22D6A">
        <w:rPr>
          <w:rFonts w:asciiTheme="minorHAnsi" w:hAnsiTheme="minorHAnsi" w:cstheme="minorHAnsi"/>
          <w:iCs/>
          <w:szCs w:val="24"/>
        </w:rPr>
        <w:t xml:space="preserve">Article 28(1) of the UNCRC is relevant to children who are overseas students studying in primary and secondary schools in Australia, and recognises </w:t>
      </w:r>
      <w:r w:rsidRPr="00A22D6A">
        <w:rPr>
          <w:rFonts w:asciiTheme="minorHAnsi" w:hAnsiTheme="minorHAnsi" w:cstheme="minorHAnsi"/>
          <w:i/>
          <w:szCs w:val="24"/>
        </w:rPr>
        <w:t>the “right of the child to education, and with a view to achieving this right progressively and on the basis of equal opportunity”</w:t>
      </w:r>
      <w:r w:rsidRPr="00A22D6A">
        <w:rPr>
          <w:rFonts w:asciiTheme="minorHAnsi" w:hAnsiTheme="minorHAnsi" w:cstheme="minorHAnsi"/>
          <w:iCs/>
          <w:szCs w:val="24"/>
        </w:rPr>
        <w:t xml:space="preserve">. </w:t>
      </w:r>
      <w:r w:rsidR="00FB700B" w:rsidRPr="00A22D6A">
        <w:rPr>
          <w:rFonts w:asciiTheme="minorHAnsi" w:hAnsiTheme="minorHAnsi" w:cstheme="minorHAnsi"/>
          <w:iCs/>
          <w:szCs w:val="24"/>
        </w:rPr>
        <w:t xml:space="preserve">The Act and Regulations, </w:t>
      </w:r>
      <w:r w:rsidRPr="00A22D6A">
        <w:rPr>
          <w:rFonts w:asciiTheme="minorHAnsi" w:hAnsiTheme="minorHAnsi" w:cstheme="minorHAnsi"/>
          <w:iCs/>
          <w:szCs w:val="24"/>
        </w:rPr>
        <w:t xml:space="preserve">in conjunction with state and territory laws on school registration, </w:t>
      </w:r>
      <w:r w:rsidR="00F8775F" w:rsidRPr="00A22D6A">
        <w:rPr>
          <w:rFonts w:asciiTheme="minorHAnsi" w:hAnsiTheme="minorHAnsi" w:cstheme="minorHAnsi"/>
          <w:iCs/>
          <w:szCs w:val="24"/>
        </w:rPr>
        <w:t xml:space="preserve">young person and </w:t>
      </w:r>
      <w:r w:rsidRPr="00A22D6A">
        <w:rPr>
          <w:rFonts w:asciiTheme="minorHAnsi" w:hAnsiTheme="minorHAnsi" w:cstheme="minorHAnsi"/>
          <w:iCs/>
          <w:szCs w:val="24"/>
        </w:rPr>
        <w:t>child protection and welfare</w:t>
      </w:r>
      <w:r w:rsidR="00FB700B" w:rsidRPr="00A22D6A">
        <w:rPr>
          <w:rFonts w:asciiTheme="minorHAnsi" w:hAnsiTheme="minorHAnsi" w:cstheme="minorHAnsi"/>
          <w:iCs/>
          <w:szCs w:val="24"/>
        </w:rPr>
        <w:t>,</w:t>
      </w:r>
      <w:r w:rsidRPr="00A22D6A">
        <w:rPr>
          <w:rFonts w:asciiTheme="minorHAnsi" w:hAnsiTheme="minorHAnsi" w:cstheme="minorHAnsi"/>
          <w:iCs/>
          <w:szCs w:val="24"/>
        </w:rPr>
        <w:t xml:space="preserve"> ensure there is a regulatory framework to </w:t>
      </w:r>
      <w:r w:rsidR="00FB700B" w:rsidRPr="00A22D6A">
        <w:rPr>
          <w:rFonts w:asciiTheme="minorHAnsi" w:hAnsiTheme="minorHAnsi" w:cstheme="minorHAnsi"/>
          <w:iCs/>
          <w:szCs w:val="24"/>
        </w:rPr>
        <w:t xml:space="preserve">ensure the quality of education experience for </w:t>
      </w:r>
      <w:r w:rsidRPr="00A22D6A">
        <w:rPr>
          <w:rFonts w:asciiTheme="minorHAnsi" w:hAnsiTheme="minorHAnsi" w:cstheme="minorHAnsi"/>
          <w:iCs/>
          <w:szCs w:val="24"/>
        </w:rPr>
        <w:t xml:space="preserve">overseas </w:t>
      </w:r>
      <w:r w:rsidR="00FB700B" w:rsidRPr="00A22D6A">
        <w:rPr>
          <w:rFonts w:asciiTheme="minorHAnsi" w:hAnsiTheme="minorHAnsi" w:cstheme="minorHAnsi"/>
          <w:iCs/>
          <w:szCs w:val="24"/>
        </w:rPr>
        <w:t>students</w:t>
      </w:r>
      <w:r w:rsidRPr="00A22D6A">
        <w:rPr>
          <w:rFonts w:asciiTheme="minorHAnsi" w:hAnsiTheme="minorHAnsi" w:cstheme="minorHAnsi"/>
          <w:iCs/>
          <w:szCs w:val="24"/>
        </w:rPr>
        <w:t xml:space="preserve"> </w:t>
      </w:r>
      <w:r w:rsidR="00FB700B" w:rsidRPr="00A22D6A">
        <w:rPr>
          <w:rFonts w:asciiTheme="minorHAnsi" w:hAnsiTheme="minorHAnsi" w:cstheme="minorHAnsi"/>
          <w:iCs/>
          <w:szCs w:val="24"/>
        </w:rPr>
        <w:t xml:space="preserve">under 18 </w:t>
      </w:r>
      <w:r w:rsidRPr="00A22D6A">
        <w:rPr>
          <w:rFonts w:asciiTheme="minorHAnsi" w:hAnsiTheme="minorHAnsi" w:cstheme="minorHAnsi"/>
          <w:iCs/>
          <w:szCs w:val="24"/>
        </w:rPr>
        <w:t xml:space="preserve">in </w:t>
      </w:r>
      <w:r w:rsidR="00FB700B" w:rsidRPr="00A22D6A">
        <w:rPr>
          <w:rFonts w:asciiTheme="minorHAnsi" w:hAnsiTheme="minorHAnsi" w:cstheme="minorHAnsi"/>
          <w:iCs/>
          <w:szCs w:val="24"/>
        </w:rPr>
        <w:t xml:space="preserve">Australian </w:t>
      </w:r>
      <w:r w:rsidRPr="00A22D6A">
        <w:rPr>
          <w:rFonts w:asciiTheme="minorHAnsi" w:hAnsiTheme="minorHAnsi" w:cstheme="minorHAnsi"/>
          <w:iCs/>
          <w:szCs w:val="24"/>
        </w:rPr>
        <w:t>primary and secondary school</w:t>
      </w:r>
      <w:r w:rsidR="00FB700B" w:rsidRPr="00A22D6A">
        <w:rPr>
          <w:rFonts w:asciiTheme="minorHAnsi" w:hAnsiTheme="minorHAnsi" w:cstheme="minorHAnsi"/>
          <w:iCs/>
          <w:szCs w:val="24"/>
        </w:rPr>
        <w:t>s</w:t>
      </w:r>
      <w:r w:rsidRPr="00A22D6A">
        <w:rPr>
          <w:rFonts w:asciiTheme="minorHAnsi" w:hAnsiTheme="minorHAnsi" w:cstheme="minorHAnsi"/>
          <w:iCs/>
          <w:szCs w:val="24"/>
        </w:rPr>
        <w:t>.</w:t>
      </w:r>
      <w:bookmarkEnd w:id="6"/>
    </w:p>
    <w:p w14:paraId="132DCF41" w14:textId="446158EA" w:rsidR="00916A03" w:rsidRPr="00A22D6A" w:rsidRDefault="00916A03" w:rsidP="008764F9">
      <w:pPr>
        <w:spacing w:before="120" w:after="120"/>
        <w:rPr>
          <w:rFonts w:asciiTheme="minorHAnsi" w:hAnsiTheme="minorHAnsi" w:cstheme="minorHAnsi"/>
          <w:iCs/>
          <w:szCs w:val="24"/>
        </w:rPr>
      </w:pPr>
      <w:r w:rsidRPr="00A22D6A">
        <w:rPr>
          <w:rFonts w:asciiTheme="minorHAnsi" w:hAnsiTheme="minorHAnsi" w:cstheme="minorHAnsi"/>
          <w:iCs/>
          <w:szCs w:val="24"/>
        </w:rPr>
        <w:lastRenderedPageBreak/>
        <w:t>The Act and the Principal Regulations provide the regulatory framework under which education providers can be registered as providers o</w:t>
      </w:r>
      <w:r w:rsidR="00F44A5D" w:rsidRPr="00A22D6A">
        <w:rPr>
          <w:rFonts w:asciiTheme="minorHAnsi" w:hAnsiTheme="minorHAnsi" w:cstheme="minorHAnsi"/>
          <w:iCs/>
          <w:szCs w:val="24"/>
        </w:rPr>
        <w:t>n the</w:t>
      </w:r>
      <w:r w:rsidRPr="00A22D6A">
        <w:rPr>
          <w:rFonts w:asciiTheme="minorHAnsi" w:hAnsiTheme="minorHAnsi" w:cstheme="minorHAnsi"/>
          <w:iCs/>
          <w:szCs w:val="24"/>
        </w:rPr>
        <w:t xml:space="preserve"> </w:t>
      </w:r>
      <w:r w:rsidR="0027370A" w:rsidRPr="00A22D6A">
        <w:rPr>
          <w:rFonts w:asciiTheme="minorHAnsi" w:hAnsiTheme="minorHAnsi" w:cstheme="minorHAnsi"/>
          <w:i/>
          <w:szCs w:val="24"/>
        </w:rPr>
        <w:t>Commonwealth Register of Institutions and Courses for Overseas students</w:t>
      </w:r>
      <w:r w:rsidR="0027370A" w:rsidRPr="00A22D6A">
        <w:rPr>
          <w:rFonts w:asciiTheme="minorHAnsi" w:hAnsiTheme="minorHAnsi" w:cstheme="minorHAnsi"/>
          <w:iCs/>
          <w:szCs w:val="24"/>
        </w:rPr>
        <w:t xml:space="preserve"> (</w:t>
      </w:r>
      <w:r w:rsidRPr="00A22D6A">
        <w:rPr>
          <w:rFonts w:asciiTheme="minorHAnsi" w:hAnsiTheme="minorHAnsi" w:cstheme="minorHAnsi"/>
          <w:iCs/>
          <w:szCs w:val="24"/>
        </w:rPr>
        <w:t>CRICOS</w:t>
      </w:r>
      <w:r w:rsidR="0027370A" w:rsidRPr="00A22D6A">
        <w:rPr>
          <w:rFonts w:asciiTheme="minorHAnsi" w:hAnsiTheme="minorHAnsi" w:cstheme="minorHAnsi"/>
          <w:iCs/>
          <w:szCs w:val="24"/>
        </w:rPr>
        <w:t>)</w:t>
      </w:r>
      <w:r w:rsidRPr="00A22D6A">
        <w:rPr>
          <w:rFonts w:asciiTheme="minorHAnsi" w:hAnsiTheme="minorHAnsi" w:cstheme="minorHAnsi"/>
          <w:iCs/>
          <w:szCs w:val="24"/>
        </w:rPr>
        <w:t>. This framework protects the integrity of Australia’s international education sector by ensuring CRICOS registered providers have an appropriate level of Australian Government regulation and oversight</w:t>
      </w:r>
      <w:r w:rsidR="005668FF" w:rsidRPr="00A22D6A">
        <w:rPr>
          <w:rFonts w:asciiTheme="minorHAnsi" w:hAnsiTheme="minorHAnsi" w:cstheme="minorHAnsi"/>
          <w:iCs/>
          <w:szCs w:val="24"/>
        </w:rPr>
        <w:t>, including establishing obligations on registered providers to keep and give student information.</w:t>
      </w:r>
    </w:p>
    <w:p w14:paraId="5F124AE7" w14:textId="7192399E" w:rsidR="005944F8" w:rsidRPr="00A22D6A" w:rsidRDefault="005944F8" w:rsidP="008764F9">
      <w:pPr>
        <w:spacing w:before="120" w:after="120"/>
        <w:rPr>
          <w:rFonts w:asciiTheme="minorHAnsi" w:hAnsiTheme="minorHAnsi" w:cstheme="minorHAnsi"/>
          <w:iCs/>
          <w:szCs w:val="24"/>
        </w:rPr>
      </w:pPr>
      <w:r w:rsidRPr="00A22D6A">
        <w:rPr>
          <w:rFonts w:asciiTheme="minorHAnsi" w:hAnsiTheme="minorHAnsi" w:cstheme="minorHAnsi"/>
          <w:iCs/>
          <w:szCs w:val="24"/>
        </w:rPr>
        <w:t>The</w:t>
      </w:r>
      <w:r w:rsidR="00916A03" w:rsidRPr="00A22D6A">
        <w:rPr>
          <w:rFonts w:asciiTheme="minorHAnsi" w:hAnsiTheme="minorHAnsi" w:cstheme="minorHAnsi"/>
          <w:iCs/>
          <w:szCs w:val="24"/>
        </w:rPr>
        <w:t xml:space="preserve"> amendments </w:t>
      </w:r>
      <w:r w:rsidR="00425998" w:rsidRPr="00A22D6A">
        <w:rPr>
          <w:rFonts w:asciiTheme="minorHAnsi" w:hAnsiTheme="minorHAnsi" w:cstheme="minorHAnsi"/>
          <w:iCs/>
          <w:szCs w:val="24"/>
        </w:rPr>
        <w:t>will</w:t>
      </w:r>
      <w:r w:rsidRPr="00A22D6A">
        <w:rPr>
          <w:rFonts w:asciiTheme="minorHAnsi" w:hAnsiTheme="minorHAnsi" w:cstheme="minorHAnsi"/>
          <w:iCs/>
          <w:szCs w:val="24"/>
        </w:rPr>
        <w:t xml:space="preserve"> enable</w:t>
      </w:r>
      <w:r w:rsidR="00916A03" w:rsidRPr="00A22D6A">
        <w:rPr>
          <w:rFonts w:asciiTheme="minorHAnsi" w:hAnsiTheme="minorHAnsi" w:cstheme="minorHAnsi"/>
          <w:iCs/>
          <w:szCs w:val="24"/>
        </w:rPr>
        <w:t xml:space="preserve"> more effective administration of the Education Services for Overseas Students (ESOS) legislative framework </w:t>
      </w:r>
      <w:r w:rsidRPr="00A22D6A">
        <w:rPr>
          <w:rFonts w:asciiTheme="minorHAnsi" w:hAnsiTheme="minorHAnsi" w:cstheme="minorHAnsi"/>
          <w:iCs/>
          <w:szCs w:val="24"/>
        </w:rPr>
        <w:t xml:space="preserve">and </w:t>
      </w:r>
      <w:r w:rsidR="00916A03" w:rsidRPr="00A22D6A">
        <w:rPr>
          <w:rFonts w:asciiTheme="minorHAnsi" w:hAnsiTheme="minorHAnsi" w:cstheme="minorHAnsi"/>
          <w:iCs/>
          <w:szCs w:val="24"/>
        </w:rPr>
        <w:t>reduc</w:t>
      </w:r>
      <w:r w:rsidRPr="00A22D6A">
        <w:rPr>
          <w:rFonts w:asciiTheme="minorHAnsi" w:hAnsiTheme="minorHAnsi" w:cstheme="minorHAnsi"/>
          <w:iCs/>
          <w:szCs w:val="24"/>
        </w:rPr>
        <w:t>e</w:t>
      </w:r>
      <w:r w:rsidR="00916A03" w:rsidRPr="00A22D6A">
        <w:rPr>
          <w:rFonts w:asciiTheme="minorHAnsi" w:hAnsiTheme="minorHAnsi" w:cstheme="minorHAnsi"/>
          <w:iCs/>
          <w:szCs w:val="24"/>
        </w:rPr>
        <w:t xml:space="preserve"> regulatory burden on the international education sector. </w:t>
      </w:r>
    </w:p>
    <w:p w14:paraId="32118439" w14:textId="6F35BB79" w:rsidR="00E8671C" w:rsidRPr="00A22D6A" w:rsidRDefault="008764F9" w:rsidP="00DA552F">
      <w:pPr>
        <w:spacing w:before="120" w:after="120"/>
        <w:rPr>
          <w:rFonts w:asciiTheme="minorHAnsi" w:hAnsiTheme="minorHAnsi" w:cstheme="minorHAnsi"/>
          <w:iCs/>
          <w:szCs w:val="24"/>
        </w:rPr>
      </w:pPr>
      <w:r w:rsidRPr="00A22D6A">
        <w:rPr>
          <w:rFonts w:asciiTheme="minorHAnsi" w:hAnsiTheme="minorHAnsi" w:cstheme="minorHAnsi"/>
          <w:iCs/>
          <w:szCs w:val="24"/>
        </w:rPr>
        <w:t xml:space="preserve">To the extent the right to education is engaged, the measures contained in the </w:t>
      </w:r>
      <w:r w:rsidR="00916A03" w:rsidRPr="00A22D6A">
        <w:rPr>
          <w:rFonts w:asciiTheme="minorHAnsi" w:hAnsiTheme="minorHAnsi" w:cstheme="minorHAnsi"/>
          <w:iCs/>
          <w:szCs w:val="24"/>
        </w:rPr>
        <w:t xml:space="preserve">Amendments </w:t>
      </w:r>
      <w:r w:rsidRPr="00A22D6A">
        <w:rPr>
          <w:rFonts w:asciiTheme="minorHAnsi" w:hAnsiTheme="minorHAnsi" w:cstheme="minorHAnsi"/>
          <w:iCs/>
          <w:szCs w:val="24"/>
        </w:rPr>
        <w:t>Regulations are compatible with the right to education</w:t>
      </w:r>
      <w:r w:rsidR="005944F8" w:rsidRPr="00A22D6A">
        <w:rPr>
          <w:rFonts w:asciiTheme="minorHAnsi" w:hAnsiTheme="minorHAnsi" w:cstheme="minorHAnsi"/>
          <w:iCs/>
          <w:szCs w:val="24"/>
        </w:rPr>
        <w:t>.</w:t>
      </w:r>
    </w:p>
    <w:p w14:paraId="1A41AD69" w14:textId="3716B2A7" w:rsidR="00916A03" w:rsidRPr="00A22D6A" w:rsidRDefault="00916A03" w:rsidP="00916A03">
      <w:pPr>
        <w:spacing w:before="120" w:after="120"/>
        <w:rPr>
          <w:rFonts w:asciiTheme="minorHAnsi" w:hAnsiTheme="minorHAnsi" w:cstheme="minorHAnsi"/>
          <w:szCs w:val="24"/>
          <w:u w:val="single"/>
        </w:rPr>
      </w:pPr>
      <w:r w:rsidRPr="00A22D6A">
        <w:rPr>
          <w:rFonts w:asciiTheme="minorHAnsi" w:hAnsiTheme="minorHAnsi" w:cstheme="minorHAnsi"/>
          <w:szCs w:val="24"/>
          <w:u w:val="single"/>
        </w:rPr>
        <w:t>Right to work</w:t>
      </w:r>
    </w:p>
    <w:p w14:paraId="3820D6FC" w14:textId="77777777" w:rsidR="0027370A" w:rsidRPr="00A22D6A" w:rsidRDefault="0027370A" w:rsidP="0027370A">
      <w:pPr>
        <w:spacing w:before="120" w:after="120"/>
        <w:rPr>
          <w:rFonts w:asciiTheme="minorHAnsi" w:hAnsiTheme="minorHAnsi" w:cstheme="minorHAnsi"/>
          <w:iCs/>
          <w:szCs w:val="24"/>
        </w:rPr>
      </w:pPr>
      <w:r w:rsidRPr="00A22D6A">
        <w:rPr>
          <w:rFonts w:asciiTheme="minorHAnsi" w:hAnsiTheme="minorHAnsi" w:cstheme="minorHAnsi"/>
          <w:iCs/>
          <w:szCs w:val="24"/>
        </w:rPr>
        <w:t>The Commonwealth’s commitment to the delivery of quality education and training services to overseas students provides a solid foundation and opportunity for people to engage with and pursue quality work objectives after completing their studies. The promotion of the right to education inherently leads into the promotion of the right to work, as education is one of the pathways to employment.</w:t>
      </w:r>
    </w:p>
    <w:p w14:paraId="5EE45F35" w14:textId="7BED3663" w:rsidR="0027370A" w:rsidRPr="00A22D6A" w:rsidRDefault="0027370A" w:rsidP="0027370A">
      <w:pPr>
        <w:spacing w:before="120" w:after="120"/>
        <w:rPr>
          <w:rFonts w:asciiTheme="minorHAnsi" w:hAnsiTheme="minorHAnsi" w:cstheme="minorHAnsi"/>
          <w:iCs/>
          <w:szCs w:val="24"/>
        </w:rPr>
      </w:pPr>
      <w:r w:rsidRPr="00A22D6A">
        <w:rPr>
          <w:rFonts w:asciiTheme="minorHAnsi" w:hAnsiTheme="minorHAnsi" w:cstheme="minorHAnsi"/>
          <w:iCs/>
          <w:szCs w:val="24"/>
        </w:rPr>
        <w:t>The Regulations engage the right to work, contained in Article 6</w:t>
      </w:r>
      <w:r w:rsidR="005944F8" w:rsidRPr="00A22D6A">
        <w:rPr>
          <w:rFonts w:asciiTheme="minorHAnsi" w:hAnsiTheme="minorHAnsi" w:cstheme="minorHAnsi"/>
          <w:iCs/>
          <w:szCs w:val="24"/>
        </w:rPr>
        <w:t xml:space="preserve"> (1)</w:t>
      </w:r>
      <w:r w:rsidRPr="00A22D6A">
        <w:rPr>
          <w:rFonts w:asciiTheme="minorHAnsi" w:hAnsiTheme="minorHAnsi" w:cstheme="minorHAnsi"/>
          <w:iCs/>
          <w:szCs w:val="24"/>
        </w:rPr>
        <w:t xml:space="preserve"> of the ICESCR</w:t>
      </w:r>
      <w:r w:rsidR="005944F8" w:rsidRPr="00A22D6A">
        <w:rPr>
          <w:rFonts w:asciiTheme="minorHAnsi" w:hAnsiTheme="minorHAnsi" w:cstheme="minorHAnsi"/>
          <w:iCs/>
          <w:szCs w:val="24"/>
        </w:rPr>
        <w:t>;</w:t>
      </w:r>
      <w:r w:rsidR="00812814" w:rsidRPr="00A22D6A">
        <w:rPr>
          <w:rFonts w:asciiTheme="minorHAnsi" w:hAnsiTheme="minorHAnsi" w:cstheme="minorHAnsi"/>
          <w:iCs/>
          <w:szCs w:val="24"/>
        </w:rPr>
        <w:t xml:space="preserve"> </w:t>
      </w:r>
      <w:r w:rsidRPr="00A22D6A">
        <w:rPr>
          <w:rFonts w:asciiTheme="minorHAnsi" w:hAnsiTheme="minorHAnsi" w:cstheme="minorHAnsi"/>
          <w:i/>
          <w:szCs w:val="24"/>
        </w:rPr>
        <w:t>“the right to work, which includes the right of everyone to the opportunity to gain [their]… living by work which [they] freely [choose] or [accept]”.</w:t>
      </w:r>
      <w:r w:rsidRPr="00A22D6A">
        <w:rPr>
          <w:rFonts w:asciiTheme="minorHAnsi" w:hAnsiTheme="minorHAnsi" w:cstheme="minorHAnsi"/>
          <w:iCs/>
          <w:szCs w:val="24"/>
        </w:rPr>
        <w:t xml:space="preserve"> A</w:t>
      </w:r>
      <w:r w:rsidR="005944F8" w:rsidRPr="00A22D6A">
        <w:rPr>
          <w:rFonts w:asciiTheme="minorHAnsi" w:hAnsiTheme="minorHAnsi" w:cstheme="minorHAnsi"/>
          <w:iCs/>
          <w:szCs w:val="24"/>
        </w:rPr>
        <w:t>ustralia’s</w:t>
      </w:r>
      <w:r w:rsidRPr="00A22D6A">
        <w:rPr>
          <w:rFonts w:asciiTheme="minorHAnsi" w:hAnsiTheme="minorHAnsi" w:cstheme="minorHAnsi"/>
          <w:iCs/>
          <w:szCs w:val="24"/>
        </w:rPr>
        <w:t xml:space="preserve"> high quality international education system provides a foundation on which overseas students may then pursue broader employment opportunities.</w:t>
      </w:r>
    </w:p>
    <w:p w14:paraId="047C7D08" w14:textId="7B6613DA" w:rsidR="0027370A" w:rsidRPr="00A22D6A" w:rsidRDefault="0027370A" w:rsidP="0027370A">
      <w:pPr>
        <w:spacing w:before="120" w:after="120"/>
        <w:rPr>
          <w:rFonts w:asciiTheme="minorHAnsi" w:hAnsiTheme="minorHAnsi" w:cstheme="minorHAnsi"/>
          <w:iCs/>
          <w:szCs w:val="24"/>
        </w:rPr>
      </w:pPr>
      <w:r w:rsidRPr="00A22D6A">
        <w:rPr>
          <w:rFonts w:asciiTheme="minorHAnsi" w:hAnsiTheme="minorHAnsi" w:cstheme="minorHAnsi"/>
          <w:iCs/>
          <w:szCs w:val="24"/>
        </w:rPr>
        <w:t>The Amendment Regulations are consistent with</w:t>
      </w:r>
      <w:r w:rsidR="00895B86" w:rsidRPr="00A22D6A">
        <w:rPr>
          <w:rFonts w:asciiTheme="minorHAnsi" w:hAnsiTheme="minorHAnsi" w:cstheme="minorHAnsi"/>
          <w:iCs/>
          <w:szCs w:val="24"/>
        </w:rPr>
        <w:t xml:space="preserve"> the</w:t>
      </w:r>
      <w:r w:rsidRPr="00A22D6A">
        <w:rPr>
          <w:rFonts w:asciiTheme="minorHAnsi" w:hAnsiTheme="minorHAnsi" w:cstheme="minorHAnsi"/>
          <w:iCs/>
          <w:szCs w:val="24"/>
        </w:rPr>
        <w:t xml:space="preserve"> Government</w:t>
      </w:r>
      <w:r w:rsidR="00895B86" w:rsidRPr="00A22D6A">
        <w:rPr>
          <w:rFonts w:asciiTheme="minorHAnsi" w:hAnsiTheme="minorHAnsi" w:cstheme="minorHAnsi"/>
          <w:iCs/>
          <w:szCs w:val="24"/>
        </w:rPr>
        <w:t xml:space="preserve"> objective of strengthening</w:t>
      </w:r>
      <w:r w:rsidRPr="00A22D6A">
        <w:rPr>
          <w:rFonts w:asciiTheme="minorHAnsi" w:hAnsiTheme="minorHAnsi" w:cstheme="minorHAnsi"/>
          <w:iCs/>
          <w:szCs w:val="24"/>
        </w:rPr>
        <w:t xml:space="preserve"> Australia’s international education system by bringing consistency to the regulation of private and public education providers, a</w:t>
      </w:r>
      <w:r w:rsidR="00053238" w:rsidRPr="00A22D6A">
        <w:rPr>
          <w:rFonts w:asciiTheme="minorHAnsi" w:hAnsiTheme="minorHAnsi" w:cstheme="minorHAnsi"/>
          <w:iCs/>
          <w:szCs w:val="24"/>
        </w:rPr>
        <w:t>s well as consistency with</w:t>
      </w:r>
      <w:r w:rsidRPr="00A22D6A">
        <w:rPr>
          <w:rFonts w:asciiTheme="minorHAnsi" w:hAnsiTheme="minorHAnsi" w:cstheme="minorHAnsi"/>
          <w:iCs/>
          <w:szCs w:val="24"/>
        </w:rPr>
        <w:t xml:space="preserve"> other legislative instruments.</w:t>
      </w:r>
    </w:p>
    <w:p w14:paraId="2A33A4B0" w14:textId="23603044" w:rsidR="00916A03" w:rsidRPr="00A22D6A" w:rsidRDefault="0054735A" w:rsidP="0027370A">
      <w:pPr>
        <w:spacing w:before="120" w:after="120"/>
        <w:rPr>
          <w:rFonts w:asciiTheme="minorHAnsi" w:hAnsiTheme="minorHAnsi" w:cstheme="minorHAnsi"/>
          <w:iCs/>
          <w:szCs w:val="24"/>
        </w:rPr>
      </w:pPr>
      <w:r w:rsidRPr="00A22D6A">
        <w:rPr>
          <w:rFonts w:asciiTheme="minorHAnsi" w:hAnsiTheme="minorHAnsi" w:cstheme="minorHAnsi"/>
          <w:iCs/>
          <w:szCs w:val="24"/>
        </w:rPr>
        <w:t xml:space="preserve">The pathway from the right to education to the right to work is supported by the international education system provided for by the Act and Regulations. </w:t>
      </w:r>
      <w:r w:rsidR="0027370A" w:rsidRPr="00A22D6A">
        <w:rPr>
          <w:rFonts w:asciiTheme="minorHAnsi" w:hAnsiTheme="minorHAnsi" w:cstheme="minorHAnsi"/>
          <w:iCs/>
          <w:szCs w:val="24"/>
        </w:rPr>
        <w:t>To the extent that the right to work is engaged, the measures contained in the Amendment Regulations are compatible with the right to work.</w:t>
      </w:r>
    </w:p>
    <w:p w14:paraId="650A4DFB" w14:textId="3389C21A" w:rsidR="00DA552F" w:rsidRPr="00A22D6A" w:rsidRDefault="00F9205E" w:rsidP="00DA552F">
      <w:pPr>
        <w:spacing w:before="120" w:after="120"/>
        <w:rPr>
          <w:rFonts w:asciiTheme="minorHAnsi" w:hAnsiTheme="minorHAnsi" w:cstheme="minorHAnsi"/>
          <w:szCs w:val="24"/>
        </w:rPr>
      </w:pPr>
      <w:r w:rsidRPr="00A22D6A">
        <w:rPr>
          <w:rFonts w:asciiTheme="minorHAnsi" w:hAnsiTheme="minorHAnsi" w:cstheme="minorHAnsi"/>
          <w:b/>
          <w:szCs w:val="24"/>
        </w:rPr>
        <w:t>Conclusion</w:t>
      </w:r>
    </w:p>
    <w:p w14:paraId="63537185" w14:textId="1D60D907" w:rsidR="00812814" w:rsidRPr="00A22D6A" w:rsidRDefault="00F9205E" w:rsidP="00812814">
      <w:pPr>
        <w:rPr>
          <w:rFonts w:asciiTheme="minorHAnsi" w:hAnsiTheme="minorHAnsi" w:cstheme="minorHAnsi"/>
        </w:rPr>
      </w:pPr>
      <w:r w:rsidRPr="00A22D6A">
        <w:rPr>
          <w:rFonts w:asciiTheme="minorHAnsi" w:hAnsiTheme="minorHAnsi" w:cstheme="minorHAnsi"/>
          <w:szCs w:val="24"/>
        </w:rPr>
        <w:t xml:space="preserve">The </w:t>
      </w:r>
      <w:r w:rsidR="00DD7496" w:rsidRPr="00A22D6A">
        <w:rPr>
          <w:rFonts w:asciiTheme="minorHAnsi" w:hAnsiTheme="minorHAnsi" w:cstheme="minorHAnsi"/>
          <w:szCs w:val="24"/>
        </w:rPr>
        <w:t xml:space="preserve">Instrument </w:t>
      </w:r>
      <w:r w:rsidRPr="00A22D6A">
        <w:rPr>
          <w:rFonts w:asciiTheme="minorHAnsi" w:hAnsiTheme="minorHAnsi" w:cstheme="minorHAnsi"/>
          <w:szCs w:val="24"/>
        </w:rPr>
        <w:t>is compatible with human rights because</w:t>
      </w:r>
      <w:r w:rsidR="00812814" w:rsidRPr="00A22D6A">
        <w:rPr>
          <w:rFonts w:asciiTheme="minorHAnsi" w:hAnsiTheme="minorHAnsi" w:cstheme="minorHAnsi"/>
        </w:rPr>
        <w:t xml:space="preserve"> the measures advance the protection of human rights.</w:t>
      </w:r>
    </w:p>
    <w:p w14:paraId="309A0062" w14:textId="3C48B0EF" w:rsidR="00FB700B" w:rsidRPr="00A22D6A" w:rsidRDefault="00FB700B" w:rsidP="00DA552F">
      <w:pPr>
        <w:spacing w:before="120" w:after="120"/>
        <w:rPr>
          <w:rFonts w:asciiTheme="minorHAnsi" w:hAnsiTheme="minorHAnsi" w:cstheme="minorHAnsi"/>
          <w:szCs w:val="24"/>
        </w:rPr>
      </w:pPr>
    </w:p>
    <w:p w14:paraId="18504DF8" w14:textId="4CD8DA7F" w:rsidR="00DA552F" w:rsidRPr="00A22D6A" w:rsidRDefault="00006491" w:rsidP="00FB700B">
      <w:pPr>
        <w:spacing w:before="120" w:after="120"/>
        <w:jc w:val="center"/>
        <w:rPr>
          <w:rFonts w:asciiTheme="minorHAnsi" w:hAnsiTheme="minorHAnsi" w:cstheme="minorHAnsi"/>
          <w:b/>
          <w:szCs w:val="24"/>
        </w:rPr>
        <w:sectPr w:rsidR="00DA552F" w:rsidRPr="00A22D6A" w:rsidSect="00785B13">
          <w:footerReference w:type="default" r:id="rId11"/>
          <w:pgSz w:w="11906" w:h="16838"/>
          <w:pgMar w:top="1440" w:right="1440" w:bottom="1440" w:left="1440" w:header="708" w:footer="708" w:gutter="0"/>
          <w:pgNumType w:start="1"/>
          <w:cols w:space="708"/>
          <w:docGrid w:linePitch="360"/>
        </w:sectPr>
      </w:pPr>
      <w:r w:rsidRPr="00A22D6A">
        <w:rPr>
          <w:rFonts w:asciiTheme="minorHAnsi" w:hAnsiTheme="minorHAnsi" w:cstheme="minorHAnsi"/>
          <w:b/>
          <w:szCs w:val="24"/>
        </w:rPr>
        <w:t>Alan Tudge</w:t>
      </w:r>
      <w:r w:rsidR="00FB700B" w:rsidRPr="00A22D6A">
        <w:rPr>
          <w:rFonts w:asciiTheme="minorHAnsi" w:hAnsiTheme="minorHAnsi" w:cstheme="minorHAnsi"/>
          <w:b/>
          <w:szCs w:val="24"/>
        </w:rPr>
        <w:t xml:space="preserve">, </w:t>
      </w:r>
      <w:r w:rsidR="00D8103E" w:rsidRPr="00A22D6A">
        <w:rPr>
          <w:rFonts w:asciiTheme="minorHAnsi" w:hAnsiTheme="minorHAnsi" w:cstheme="minorHAnsi"/>
          <w:b/>
          <w:szCs w:val="24"/>
        </w:rPr>
        <w:t>Minister for</w:t>
      </w:r>
      <w:r w:rsidRPr="00A22D6A">
        <w:rPr>
          <w:rFonts w:asciiTheme="minorHAnsi" w:hAnsiTheme="minorHAnsi" w:cstheme="minorHAnsi"/>
          <w:b/>
          <w:szCs w:val="24"/>
        </w:rPr>
        <w:t xml:space="preserve"> Education and Youth</w:t>
      </w:r>
    </w:p>
    <w:p w14:paraId="05C402FB" w14:textId="6ED64C1E" w:rsidR="00DA552F" w:rsidRPr="00A22D6A" w:rsidRDefault="00081713" w:rsidP="001E52EB">
      <w:pPr>
        <w:jc w:val="center"/>
        <w:rPr>
          <w:rFonts w:asciiTheme="minorHAnsi" w:hAnsiTheme="minorHAnsi" w:cstheme="minorHAnsi"/>
          <w:b/>
          <w:i/>
          <w:iCs/>
          <w:szCs w:val="24"/>
        </w:rPr>
      </w:pPr>
      <w:r w:rsidRPr="00A22D6A">
        <w:rPr>
          <w:rFonts w:asciiTheme="minorHAnsi" w:hAnsiTheme="minorHAnsi" w:cstheme="minorHAnsi"/>
          <w:b/>
          <w:i/>
          <w:iCs/>
          <w:szCs w:val="24"/>
        </w:rPr>
        <w:lastRenderedPageBreak/>
        <w:t>EDUCATION SERVICES FOR OVERSEAS STUDENTS AMENDMENT (DEREGULATION AND OTHER MEASURES) REGULATIONS 2021</w:t>
      </w:r>
    </w:p>
    <w:p w14:paraId="4BB31200" w14:textId="77777777" w:rsidR="00DA552F" w:rsidRPr="00A22D6A" w:rsidRDefault="00DB6247">
      <w:pPr>
        <w:pStyle w:val="Heading2"/>
        <w:jc w:val="center"/>
        <w:rPr>
          <w:rFonts w:asciiTheme="minorHAnsi" w:hAnsiTheme="minorHAnsi" w:cstheme="minorHAnsi"/>
          <w:color w:val="auto"/>
        </w:rPr>
      </w:pPr>
      <w:r w:rsidRPr="00A22D6A">
        <w:rPr>
          <w:rFonts w:asciiTheme="minorHAnsi" w:hAnsiTheme="minorHAnsi" w:cstheme="minorHAnsi"/>
          <w:color w:val="auto"/>
        </w:rPr>
        <w:t>EXPLANATION OF PROVISIONS</w:t>
      </w:r>
    </w:p>
    <w:p w14:paraId="2FC67A65" w14:textId="77777777" w:rsidR="00DA552F" w:rsidRPr="00A22D6A" w:rsidRDefault="00DB6247" w:rsidP="00F62708">
      <w:pPr>
        <w:keepNext/>
        <w:rPr>
          <w:rFonts w:asciiTheme="minorHAnsi" w:hAnsiTheme="minorHAnsi" w:cstheme="minorHAnsi"/>
          <w:b/>
          <w:u w:val="single"/>
        </w:rPr>
      </w:pPr>
      <w:r w:rsidRPr="00A22D6A">
        <w:rPr>
          <w:rFonts w:asciiTheme="minorHAnsi" w:hAnsiTheme="minorHAnsi" w:cstheme="minorHAnsi"/>
          <w:b/>
          <w:u w:val="single"/>
        </w:rPr>
        <w:t>Section</w:t>
      </w:r>
      <w:r w:rsidR="00DA552F" w:rsidRPr="00A22D6A">
        <w:rPr>
          <w:rFonts w:asciiTheme="minorHAnsi" w:hAnsiTheme="minorHAnsi" w:cstheme="minorHAnsi"/>
          <w:b/>
          <w:u w:val="single"/>
        </w:rPr>
        <w:t xml:space="preserve"> 1: </w:t>
      </w:r>
      <w:r w:rsidR="00E631F9" w:rsidRPr="00A22D6A">
        <w:rPr>
          <w:rFonts w:asciiTheme="minorHAnsi" w:hAnsiTheme="minorHAnsi" w:cstheme="minorHAnsi"/>
          <w:b/>
          <w:u w:val="single"/>
        </w:rPr>
        <w:t>Name</w:t>
      </w:r>
    </w:p>
    <w:p w14:paraId="6C5239D9" w14:textId="46B33AF6" w:rsidR="00DA552F" w:rsidRPr="00A22D6A" w:rsidRDefault="00DA552F" w:rsidP="00812814">
      <w:pPr>
        <w:spacing w:before="360" w:after="120"/>
        <w:rPr>
          <w:rFonts w:asciiTheme="minorHAnsi" w:hAnsiTheme="minorHAnsi" w:cstheme="minorHAnsi"/>
          <w:szCs w:val="24"/>
        </w:rPr>
      </w:pPr>
      <w:bookmarkStart w:id="7" w:name="_Hlk72492454"/>
      <w:r w:rsidRPr="00A22D6A">
        <w:rPr>
          <w:rFonts w:asciiTheme="minorHAnsi" w:hAnsiTheme="minorHAnsi" w:cstheme="minorHAnsi"/>
          <w:szCs w:val="24"/>
        </w:rPr>
        <w:t xml:space="preserve">This </w:t>
      </w:r>
      <w:r w:rsidR="00812814" w:rsidRPr="00A22D6A">
        <w:rPr>
          <w:rFonts w:asciiTheme="minorHAnsi" w:hAnsiTheme="minorHAnsi" w:cstheme="minorHAnsi"/>
          <w:szCs w:val="24"/>
        </w:rPr>
        <w:t xml:space="preserve">section provides that the title of the Amendment Regulations is </w:t>
      </w:r>
      <w:r w:rsidR="00812814" w:rsidRPr="00A22D6A">
        <w:rPr>
          <w:rFonts w:asciiTheme="minorHAnsi" w:hAnsiTheme="minorHAnsi" w:cstheme="minorHAnsi"/>
          <w:i/>
          <w:iCs/>
          <w:szCs w:val="24"/>
        </w:rPr>
        <w:t>Education Services for Overseas Students Amendment (Deregulation and Other Measures) Regulations 2021</w:t>
      </w:r>
      <w:r w:rsidR="00812814" w:rsidRPr="00A22D6A">
        <w:rPr>
          <w:rFonts w:asciiTheme="minorHAnsi" w:hAnsiTheme="minorHAnsi" w:cstheme="minorHAnsi"/>
          <w:szCs w:val="24"/>
        </w:rPr>
        <w:t>.</w:t>
      </w:r>
    </w:p>
    <w:bookmarkEnd w:id="7"/>
    <w:p w14:paraId="29822CC6" w14:textId="77777777" w:rsidR="00DA552F" w:rsidRPr="00A22D6A" w:rsidRDefault="00DB6247" w:rsidP="00F62708">
      <w:pPr>
        <w:keepNext/>
        <w:rPr>
          <w:rFonts w:asciiTheme="minorHAnsi" w:hAnsiTheme="minorHAnsi" w:cstheme="minorHAnsi"/>
          <w:b/>
          <w:u w:val="single"/>
        </w:rPr>
      </w:pPr>
      <w:r w:rsidRPr="00A22D6A">
        <w:rPr>
          <w:rFonts w:asciiTheme="minorHAnsi" w:hAnsiTheme="minorHAnsi" w:cstheme="minorHAnsi"/>
          <w:b/>
          <w:u w:val="single"/>
        </w:rPr>
        <w:t>Section</w:t>
      </w:r>
      <w:r w:rsidR="00DA552F" w:rsidRPr="00A22D6A">
        <w:rPr>
          <w:rFonts w:asciiTheme="minorHAnsi" w:hAnsiTheme="minorHAnsi" w:cstheme="minorHAnsi"/>
          <w:b/>
          <w:u w:val="single"/>
        </w:rPr>
        <w:t xml:space="preserve"> 2: Commencement</w:t>
      </w:r>
    </w:p>
    <w:p w14:paraId="01FC73FC" w14:textId="2B0B6E25" w:rsidR="00E631F9" w:rsidRPr="00A22D6A" w:rsidRDefault="00081713" w:rsidP="00812814">
      <w:pPr>
        <w:keepNext/>
        <w:spacing w:before="360" w:after="120"/>
        <w:rPr>
          <w:rFonts w:asciiTheme="minorHAnsi" w:hAnsiTheme="minorHAnsi" w:cstheme="minorHAnsi"/>
          <w:iCs/>
        </w:rPr>
      </w:pPr>
      <w:bookmarkStart w:id="8" w:name="_Hlk72492482"/>
      <w:r w:rsidRPr="00A22D6A">
        <w:rPr>
          <w:rFonts w:asciiTheme="minorHAnsi" w:hAnsiTheme="minorHAnsi" w:cstheme="minorHAnsi"/>
          <w:iCs/>
        </w:rPr>
        <w:t xml:space="preserve">The table in </w:t>
      </w:r>
      <w:r w:rsidR="00812814" w:rsidRPr="00A22D6A">
        <w:rPr>
          <w:rFonts w:asciiTheme="minorHAnsi" w:hAnsiTheme="minorHAnsi" w:cstheme="minorHAnsi"/>
          <w:iCs/>
        </w:rPr>
        <w:t>this section provides that th</w:t>
      </w:r>
      <w:r w:rsidRPr="00A22D6A">
        <w:rPr>
          <w:rFonts w:asciiTheme="minorHAnsi" w:hAnsiTheme="minorHAnsi" w:cstheme="minorHAnsi"/>
          <w:iCs/>
        </w:rPr>
        <w:t>e Amendment Regulations</w:t>
      </w:r>
      <w:r w:rsidR="00812814" w:rsidRPr="00A22D6A">
        <w:rPr>
          <w:rFonts w:asciiTheme="minorHAnsi" w:hAnsiTheme="minorHAnsi" w:cstheme="minorHAnsi"/>
          <w:iCs/>
        </w:rPr>
        <w:t>, except for Part 2 of Schedule 1,</w:t>
      </w:r>
      <w:r w:rsidRPr="00A22D6A">
        <w:rPr>
          <w:rFonts w:asciiTheme="minorHAnsi" w:hAnsiTheme="minorHAnsi" w:cstheme="minorHAnsi"/>
          <w:iCs/>
        </w:rPr>
        <w:t xml:space="preserve"> </w:t>
      </w:r>
      <w:r w:rsidR="00812814" w:rsidRPr="00A22D6A">
        <w:rPr>
          <w:rFonts w:asciiTheme="minorHAnsi" w:hAnsiTheme="minorHAnsi" w:cstheme="minorHAnsi"/>
          <w:iCs/>
        </w:rPr>
        <w:t>will commence</w:t>
      </w:r>
      <w:r w:rsidRPr="00A22D6A">
        <w:rPr>
          <w:rFonts w:asciiTheme="minorHAnsi" w:hAnsiTheme="minorHAnsi" w:cstheme="minorHAnsi"/>
          <w:iCs/>
        </w:rPr>
        <w:t xml:space="preserve"> on 1 July 2021.</w:t>
      </w:r>
    </w:p>
    <w:p w14:paraId="0CCE44BB" w14:textId="57042B31" w:rsidR="00812814" w:rsidRPr="00A22D6A" w:rsidRDefault="00812814" w:rsidP="00812814">
      <w:pPr>
        <w:keepNext/>
        <w:spacing w:before="360" w:after="120"/>
        <w:rPr>
          <w:rFonts w:asciiTheme="minorHAnsi" w:hAnsiTheme="minorHAnsi" w:cstheme="minorHAnsi"/>
          <w:iCs/>
          <w:szCs w:val="24"/>
        </w:rPr>
      </w:pPr>
      <w:r w:rsidRPr="00A22D6A">
        <w:rPr>
          <w:rFonts w:asciiTheme="minorHAnsi" w:hAnsiTheme="minorHAnsi" w:cstheme="minorHAnsi"/>
          <w:iCs/>
        </w:rPr>
        <w:t xml:space="preserve">Part 2 of Schedule 1 will </w:t>
      </w:r>
      <w:r w:rsidRPr="00A22D6A">
        <w:rPr>
          <w:rFonts w:asciiTheme="minorHAnsi" w:hAnsiTheme="minorHAnsi" w:cstheme="minorHAnsi"/>
          <w:iCs/>
          <w:szCs w:val="24"/>
        </w:rPr>
        <w:t xml:space="preserve">commence at the same time that Part 1 of Schedule 3 to the </w:t>
      </w:r>
      <w:r w:rsidR="00822520" w:rsidRPr="00A22D6A">
        <w:rPr>
          <w:rFonts w:asciiTheme="minorHAnsi" w:hAnsiTheme="minorHAnsi" w:cstheme="minorHAnsi"/>
          <w:iCs/>
          <w:szCs w:val="24"/>
        </w:rPr>
        <w:t xml:space="preserve">Regulatory Powers Reform Act </w:t>
      </w:r>
      <w:r w:rsidRPr="00A22D6A">
        <w:rPr>
          <w:rFonts w:asciiTheme="minorHAnsi" w:hAnsiTheme="minorHAnsi" w:cstheme="minorHAnsi"/>
          <w:iCs/>
          <w:szCs w:val="24"/>
        </w:rPr>
        <w:t xml:space="preserve">commences. Part 1 of Schedule 3 to the </w:t>
      </w:r>
      <w:r w:rsidR="00822520" w:rsidRPr="00A22D6A">
        <w:rPr>
          <w:rFonts w:asciiTheme="minorHAnsi" w:hAnsiTheme="minorHAnsi" w:cstheme="minorHAnsi"/>
          <w:iCs/>
          <w:szCs w:val="24"/>
        </w:rPr>
        <w:t>Regulatory Powers Reform Act</w:t>
      </w:r>
      <w:r w:rsidRPr="00A22D6A">
        <w:rPr>
          <w:rFonts w:asciiTheme="minorHAnsi" w:hAnsiTheme="minorHAnsi" w:cstheme="minorHAnsi"/>
          <w:iCs/>
          <w:szCs w:val="24"/>
        </w:rPr>
        <w:t xml:space="preserve"> commences on a single day to be fixed by Proclamation, </w:t>
      </w:r>
      <w:r w:rsidR="00C11D2E" w:rsidRPr="00A22D6A">
        <w:rPr>
          <w:rFonts w:asciiTheme="minorHAnsi" w:hAnsiTheme="minorHAnsi" w:cstheme="minorHAnsi"/>
          <w:iCs/>
          <w:szCs w:val="24"/>
        </w:rPr>
        <w:t>but</w:t>
      </w:r>
      <w:r w:rsidRPr="00A22D6A">
        <w:rPr>
          <w:rFonts w:asciiTheme="minorHAnsi" w:hAnsiTheme="minorHAnsi" w:cstheme="minorHAnsi"/>
          <w:iCs/>
          <w:szCs w:val="24"/>
        </w:rPr>
        <w:t xml:space="preserve"> if the </w:t>
      </w:r>
      <w:r w:rsidR="00C11D2E" w:rsidRPr="00A22D6A">
        <w:rPr>
          <w:rFonts w:asciiTheme="minorHAnsi" w:hAnsiTheme="minorHAnsi" w:cstheme="minorHAnsi"/>
          <w:iCs/>
          <w:szCs w:val="24"/>
        </w:rPr>
        <w:t>Part does</w:t>
      </w:r>
      <w:r w:rsidRPr="00A22D6A">
        <w:rPr>
          <w:rFonts w:asciiTheme="minorHAnsi" w:hAnsiTheme="minorHAnsi" w:cstheme="minorHAnsi"/>
          <w:iCs/>
          <w:szCs w:val="24"/>
        </w:rPr>
        <w:t xml:space="preserve"> not commence within the period of 6 months beginning on the day the </w:t>
      </w:r>
      <w:r w:rsidR="00822520" w:rsidRPr="00A22D6A">
        <w:rPr>
          <w:rFonts w:asciiTheme="minorHAnsi" w:hAnsiTheme="minorHAnsi" w:cstheme="minorHAnsi"/>
          <w:iCs/>
          <w:szCs w:val="24"/>
        </w:rPr>
        <w:t>Regulatory Powers Reform Act</w:t>
      </w:r>
      <w:r w:rsidRPr="00A22D6A">
        <w:rPr>
          <w:rFonts w:asciiTheme="minorHAnsi" w:hAnsiTheme="minorHAnsi" w:cstheme="minorHAnsi"/>
          <w:iCs/>
          <w:szCs w:val="24"/>
        </w:rPr>
        <w:t xml:space="preserve"> receive</w:t>
      </w:r>
      <w:r w:rsidR="00895B86" w:rsidRPr="00A22D6A">
        <w:rPr>
          <w:rFonts w:asciiTheme="minorHAnsi" w:hAnsiTheme="minorHAnsi" w:cstheme="minorHAnsi"/>
          <w:iCs/>
          <w:szCs w:val="24"/>
        </w:rPr>
        <w:t>d</w:t>
      </w:r>
      <w:r w:rsidRPr="00A22D6A">
        <w:rPr>
          <w:rFonts w:asciiTheme="minorHAnsi" w:hAnsiTheme="minorHAnsi" w:cstheme="minorHAnsi"/>
          <w:iCs/>
          <w:szCs w:val="24"/>
        </w:rPr>
        <w:t xml:space="preserve"> Royal Assent</w:t>
      </w:r>
      <w:r w:rsidR="00895B86" w:rsidRPr="00A22D6A">
        <w:rPr>
          <w:rFonts w:asciiTheme="minorHAnsi" w:hAnsiTheme="minorHAnsi" w:cstheme="minorHAnsi"/>
          <w:iCs/>
          <w:szCs w:val="24"/>
        </w:rPr>
        <w:t xml:space="preserve"> (which was on 26 March 2021)</w:t>
      </w:r>
      <w:r w:rsidRPr="00A22D6A">
        <w:rPr>
          <w:rFonts w:asciiTheme="minorHAnsi" w:hAnsiTheme="minorHAnsi" w:cstheme="minorHAnsi"/>
          <w:iCs/>
          <w:szCs w:val="24"/>
        </w:rPr>
        <w:t xml:space="preserve">, </w:t>
      </w:r>
      <w:r w:rsidR="00C11D2E" w:rsidRPr="00A22D6A">
        <w:rPr>
          <w:rFonts w:asciiTheme="minorHAnsi" w:hAnsiTheme="minorHAnsi" w:cstheme="minorHAnsi"/>
          <w:iCs/>
          <w:szCs w:val="24"/>
        </w:rPr>
        <w:t xml:space="preserve">it </w:t>
      </w:r>
      <w:r w:rsidRPr="00A22D6A">
        <w:rPr>
          <w:rFonts w:asciiTheme="minorHAnsi" w:hAnsiTheme="minorHAnsi" w:cstheme="minorHAnsi"/>
          <w:iCs/>
          <w:szCs w:val="24"/>
        </w:rPr>
        <w:t>commence</w:t>
      </w:r>
      <w:r w:rsidR="00C11D2E" w:rsidRPr="00A22D6A">
        <w:rPr>
          <w:rFonts w:asciiTheme="minorHAnsi" w:hAnsiTheme="minorHAnsi" w:cstheme="minorHAnsi"/>
          <w:iCs/>
          <w:szCs w:val="24"/>
        </w:rPr>
        <w:t>s</w:t>
      </w:r>
      <w:r w:rsidRPr="00A22D6A">
        <w:rPr>
          <w:rFonts w:asciiTheme="minorHAnsi" w:hAnsiTheme="minorHAnsi" w:cstheme="minorHAnsi"/>
          <w:iCs/>
          <w:szCs w:val="24"/>
        </w:rPr>
        <w:t xml:space="preserve"> on the day after the end of that period.</w:t>
      </w:r>
    </w:p>
    <w:p w14:paraId="6FABE9F3" w14:textId="2D92AC5B" w:rsidR="00812814" w:rsidRPr="00A22D6A" w:rsidRDefault="00812814" w:rsidP="00812814">
      <w:pPr>
        <w:keepNext/>
        <w:spacing w:before="360" w:after="120"/>
        <w:rPr>
          <w:rFonts w:asciiTheme="minorHAnsi" w:hAnsiTheme="minorHAnsi" w:cstheme="minorHAnsi"/>
          <w:iCs/>
        </w:rPr>
      </w:pPr>
      <w:r w:rsidRPr="00A22D6A">
        <w:rPr>
          <w:rFonts w:asciiTheme="minorHAnsi" w:hAnsiTheme="minorHAnsi" w:cstheme="minorHAnsi"/>
          <w:iCs/>
          <w:szCs w:val="24"/>
        </w:rPr>
        <w:t>The commencement provisions will operate so that</w:t>
      </w:r>
      <w:r w:rsidR="00895B86" w:rsidRPr="00A22D6A">
        <w:rPr>
          <w:rFonts w:asciiTheme="minorHAnsi" w:hAnsiTheme="minorHAnsi" w:cstheme="minorHAnsi"/>
          <w:iCs/>
          <w:szCs w:val="24"/>
        </w:rPr>
        <w:t xml:space="preserve"> </w:t>
      </w:r>
      <w:bookmarkStart w:id="9" w:name="_Hlk72499055"/>
      <w:r w:rsidR="00895B86" w:rsidRPr="00A22D6A">
        <w:rPr>
          <w:rFonts w:asciiTheme="minorHAnsi" w:hAnsiTheme="minorHAnsi" w:cstheme="minorHAnsi"/>
          <w:iCs/>
          <w:szCs w:val="24"/>
        </w:rPr>
        <w:t xml:space="preserve">the current infringement notice scheme that operates for the Act will be repealed once </w:t>
      </w:r>
      <w:r w:rsidR="00053238" w:rsidRPr="00A22D6A">
        <w:rPr>
          <w:rFonts w:asciiTheme="minorHAnsi" w:hAnsiTheme="minorHAnsi" w:cstheme="minorHAnsi"/>
          <w:iCs/>
          <w:szCs w:val="24"/>
        </w:rPr>
        <w:t xml:space="preserve">Part 1 of Schedule 3 to </w:t>
      </w:r>
      <w:r w:rsidR="00895B86" w:rsidRPr="00A22D6A">
        <w:rPr>
          <w:rFonts w:asciiTheme="minorHAnsi" w:hAnsiTheme="minorHAnsi" w:cstheme="minorHAnsi"/>
          <w:iCs/>
          <w:szCs w:val="24"/>
        </w:rPr>
        <w:t>the Regulatory Powers Reform Act</w:t>
      </w:r>
      <w:r w:rsidR="008A7365" w:rsidRPr="00A22D6A">
        <w:rPr>
          <w:rFonts w:asciiTheme="minorHAnsi" w:hAnsiTheme="minorHAnsi" w:cstheme="minorHAnsi"/>
          <w:iCs/>
          <w:szCs w:val="24"/>
        </w:rPr>
        <w:t xml:space="preserve"> commences. At this point</w:t>
      </w:r>
      <w:r w:rsidR="00053238" w:rsidRPr="00A22D6A">
        <w:rPr>
          <w:rFonts w:asciiTheme="minorHAnsi" w:hAnsiTheme="minorHAnsi" w:cstheme="minorHAnsi"/>
          <w:iCs/>
          <w:szCs w:val="24"/>
        </w:rPr>
        <w:t>,</w:t>
      </w:r>
      <w:r w:rsidR="008A7365" w:rsidRPr="00A22D6A">
        <w:rPr>
          <w:rFonts w:asciiTheme="minorHAnsi" w:hAnsiTheme="minorHAnsi" w:cstheme="minorHAnsi"/>
          <w:iCs/>
          <w:szCs w:val="24"/>
        </w:rPr>
        <w:t xml:space="preserve"> the Regulatory Powers Act</w:t>
      </w:r>
      <w:r w:rsidR="00895B86" w:rsidRPr="00A22D6A">
        <w:rPr>
          <w:rFonts w:asciiTheme="minorHAnsi" w:hAnsiTheme="minorHAnsi" w:cstheme="minorHAnsi"/>
          <w:iCs/>
          <w:szCs w:val="24"/>
        </w:rPr>
        <w:t xml:space="preserve"> </w:t>
      </w:r>
      <w:r w:rsidR="008A7365" w:rsidRPr="00A22D6A">
        <w:rPr>
          <w:rFonts w:asciiTheme="minorHAnsi" w:hAnsiTheme="minorHAnsi" w:cstheme="minorHAnsi"/>
          <w:iCs/>
          <w:szCs w:val="24"/>
        </w:rPr>
        <w:t xml:space="preserve">will itself </w:t>
      </w:r>
      <w:r w:rsidR="00895B86" w:rsidRPr="00A22D6A">
        <w:rPr>
          <w:rFonts w:asciiTheme="minorHAnsi" w:hAnsiTheme="minorHAnsi" w:cstheme="minorHAnsi"/>
          <w:iCs/>
          <w:szCs w:val="24"/>
        </w:rPr>
        <w:t xml:space="preserve">provide an infringement notice scheme for the Act. </w:t>
      </w:r>
      <w:bookmarkEnd w:id="9"/>
    </w:p>
    <w:bookmarkEnd w:id="8"/>
    <w:p w14:paraId="4CFA4C09" w14:textId="77777777" w:rsidR="00E631F9" w:rsidRPr="00A22D6A" w:rsidRDefault="00E631F9" w:rsidP="00E631F9">
      <w:pPr>
        <w:keepNext/>
        <w:spacing w:before="360" w:after="120"/>
        <w:rPr>
          <w:rFonts w:asciiTheme="minorHAnsi" w:hAnsiTheme="minorHAnsi" w:cstheme="minorHAnsi"/>
          <w:b/>
          <w:u w:val="single"/>
        </w:rPr>
      </w:pPr>
      <w:r w:rsidRPr="00A22D6A">
        <w:rPr>
          <w:rFonts w:asciiTheme="minorHAnsi" w:hAnsiTheme="minorHAnsi" w:cstheme="minorHAnsi"/>
          <w:b/>
          <w:u w:val="single"/>
        </w:rPr>
        <w:t>Section 3: Authority</w:t>
      </w:r>
    </w:p>
    <w:p w14:paraId="3943C5AC" w14:textId="64F8A189" w:rsidR="00E631F9" w:rsidRPr="00A22D6A" w:rsidRDefault="00822520" w:rsidP="00812814">
      <w:pPr>
        <w:keepNext/>
        <w:spacing w:before="360" w:after="120"/>
        <w:rPr>
          <w:rFonts w:asciiTheme="minorHAnsi" w:hAnsiTheme="minorHAnsi" w:cstheme="minorHAnsi"/>
          <w:iCs/>
        </w:rPr>
      </w:pPr>
      <w:r w:rsidRPr="00A22D6A">
        <w:rPr>
          <w:rFonts w:asciiTheme="minorHAnsi" w:hAnsiTheme="minorHAnsi" w:cstheme="minorHAnsi"/>
          <w:iCs/>
        </w:rPr>
        <w:t>This section provides that the</w:t>
      </w:r>
      <w:r w:rsidR="00081713" w:rsidRPr="00A22D6A">
        <w:rPr>
          <w:rFonts w:asciiTheme="minorHAnsi" w:hAnsiTheme="minorHAnsi" w:cstheme="minorHAnsi"/>
          <w:iCs/>
        </w:rPr>
        <w:t xml:space="preserve"> Amendment Regulations are made under the </w:t>
      </w:r>
      <w:r w:rsidR="00081713" w:rsidRPr="00A22D6A">
        <w:rPr>
          <w:rFonts w:asciiTheme="minorHAnsi" w:hAnsiTheme="minorHAnsi" w:cstheme="minorHAnsi"/>
          <w:i/>
        </w:rPr>
        <w:t>Education Services for Overseas Students Act 2000</w:t>
      </w:r>
      <w:r w:rsidR="00081713" w:rsidRPr="00A22D6A">
        <w:rPr>
          <w:rFonts w:asciiTheme="minorHAnsi" w:hAnsiTheme="minorHAnsi" w:cstheme="minorHAnsi"/>
          <w:iCs/>
        </w:rPr>
        <w:t>.</w:t>
      </w:r>
    </w:p>
    <w:p w14:paraId="78031E23" w14:textId="02CDD4A5" w:rsidR="00DA552F" w:rsidRPr="00A22D6A" w:rsidRDefault="00E631F9" w:rsidP="00E631F9">
      <w:pPr>
        <w:keepNext/>
        <w:spacing w:before="360" w:after="120"/>
        <w:rPr>
          <w:rFonts w:asciiTheme="minorHAnsi" w:hAnsiTheme="minorHAnsi" w:cstheme="minorHAnsi"/>
        </w:rPr>
      </w:pPr>
      <w:r w:rsidRPr="00A22D6A">
        <w:rPr>
          <w:rFonts w:asciiTheme="minorHAnsi" w:hAnsiTheme="minorHAnsi" w:cstheme="minorHAnsi"/>
          <w:b/>
          <w:u w:val="single"/>
        </w:rPr>
        <w:t xml:space="preserve">Section 4: </w:t>
      </w:r>
      <w:r w:rsidR="00081713" w:rsidRPr="00A22D6A">
        <w:rPr>
          <w:rFonts w:asciiTheme="minorHAnsi" w:hAnsiTheme="minorHAnsi" w:cstheme="minorHAnsi"/>
          <w:b/>
          <w:u w:val="single"/>
        </w:rPr>
        <w:t>Schedule(s)</w:t>
      </w:r>
    </w:p>
    <w:p w14:paraId="20469AEF" w14:textId="77777777" w:rsidR="00822520" w:rsidRPr="00A22D6A" w:rsidRDefault="00822520" w:rsidP="00822520">
      <w:pPr>
        <w:rPr>
          <w:rFonts w:asciiTheme="minorHAnsi" w:hAnsiTheme="minorHAnsi" w:cstheme="minorHAnsi"/>
        </w:rPr>
      </w:pPr>
      <w:bookmarkStart w:id="10" w:name="_Hlk72492579"/>
      <w:r w:rsidRPr="00A22D6A">
        <w:rPr>
          <w:rFonts w:asciiTheme="minorHAnsi" w:hAnsiTheme="minorHAnsi" w:cstheme="minorHAnsi"/>
        </w:rPr>
        <w:t>This section simply clarifies that the Schedule is effective to make amendments on the terms set out in the Schedule.</w:t>
      </w:r>
    </w:p>
    <w:bookmarkEnd w:id="10"/>
    <w:p w14:paraId="1C5AEC2E" w14:textId="67237109" w:rsidR="00081713" w:rsidRPr="00A22D6A" w:rsidRDefault="00081713" w:rsidP="00081713">
      <w:pPr>
        <w:spacing w:before="360" w:after="120"/>
        <w:rPr>
          <w:rFonts w:asciiTheme="minorHAnsi" w:hAnsiTheme="minorHAnsi" w:cstheme="minorHAnsi"/>
          <w:b/>
          <w:bCs/>
          <w:iCs/>
          <w:szCs w:val="24"/>
          <w:u w:val="single"/>
        </w:rPr>
      </w:pPr>
      <w:r w:rsidRPr="00A22D6A">
        <w:rPr>
          <w:rFonts w:asciiTheme="minorHAnsi" w:hAnsiTheme="minorHAnsi" w:cstheme="minorHAnsi"/>
          <w:b/>
          <w:bCs/>
          <w:iCs/>
          <w:szCs w:val="24"/>
          <w:u w:val="single"/>
        </w:rPr>
        <w:t xml:space="preserve">Schedule 1 – Amendments </w:t>
      </w:r>
    </w:p>
    <w:p w14:paraId="7F797EED" w14:textId="77777777" w:rsidR="00081713" w:rsidRPr="00A22D6A" w:rsidRDefault="00081713" w:rsidP="00081713">
      <w:pPr>
        <w:spacing w:after="0" w:line="240" w:lineRule="auto"/>
        <w:ind w:right="91"/>
        <w:rPr>
          <w:rFonts w:asciiTheme="minorHAnsi" w:eastAsia="Times New Roman" w:hAnsiTheme="minorHAnsi" w:cstheme="minorHAnsi"/>
          <w:b/>
          <w:lang w:eastAsia="en-AU"/>
        </w:rPr>
      </w:pPr>
    </w:p>
    <w:p w14:paraId="6DE7B202" w14:textId="006D9ED3" w:rsidR="00081713" w:rsidRPr="00A22D6A" w:rsidRDefault="00FA1A83" w:rsidP="00081713">
      <w:pPr>
        <w:spacing w:after="0" w:line="240" w:lineRule="auto"/>
        <w:ind w:right="91"/>
        <w:rPr>
          <w:rFonts w:asciiTheme="minorHAnsi" w:eastAsia="Times New Roman" w:hAnsiTheme="minorHAnsi" w:cstheme="minorHAnsi"/>
          <w:lang w:eastAsia="en-AU"/>
        </w:rPr>
      </w:pPr>
      <w:bookmarkStart w:id="11" w:name="_Hlk72492630"/>
      <w:r w:rsidRPr="00A22D6A">
        <w:rPr>
          <w:rFonts w:asciiTheme="minorHAnsi" w:eastAsia="Times New Roman" w:hAnsiTheme="minorHAnsi" w:cstheme="minorHAnsi"/>
          <w:b/>
          <w:lang w:eastAsia="en-AU"/>
        </w:rPr>
        <w:t xml:space="preserve">Part 1 – Amendments relating to giving information about accepted students </w:t>
      </w:r>
    </w:p>
    <w:p w14:paraId="6CA4DF8D" w14:textId="77777777" w:rsidR="00081713" w:rsidRPr="00A22D6A" w:rsidRDefault="00081713" w:rsidP="00081713">
      <w:pPr>
        <w:spacing w:after="0" w:line="240" w:lineRule="auto"/>
        <w:ind w:right="91"/>
        <w:rPr>
          <w:rFonts w:asciiTheme="minorHAnsi" w:eastAsia="Times New Roman" w:hAnsiTheme="minorHAnsi" w:cstheme="minorHAnsi"/>
          <w:lang w:eastAsia="en-AU"/>
        </w:rPr>
      </w:pPr>
    </w:p>
    <w:p w14:paraId="06373F15" w14:textId="6AC8FCAC" w:rsidR="00FA1A83" w:rsidRPr="00A22D6A" w:rsidRDefault="00FA1A83"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Table item 13 </w:t>
      </w:r>
      <w:r w:rsidR="00C11D2E" w:rsidRPr="00A22D6A">
        <w:rPr>
          <w:rFonts w:asciiTheme="minorHAnsi" w:eastAsia="Times New Roman" w:hAnsiTheme="minorHAnsi" w:cstheme="minorHAnsi"/>
          <w:lang w:eastAsia="en-AU"/>
        </w:rPr>
        <w:t xml:space="preserve">of subsection 11(2) of the Principal Regulations </w:t>
      </w:r>
      <w:r w:rsidRPr="00A22D6A">
        <w:rPr>
          <w:rFonts w:asciiTheme="minorHAnsi" w:eastAsia="Times New Roman" w:hAnsiTheme="minorHAnsi" w:cstheme="minorHAnsi"/>
          <w:lang w:eastAsia="en-AU"/>
        </w:rPr>
        <w:t xml:space="preserve">requires </w:t>
      </w:r>
      <w:r w:rsidR="00822520" w:rsidRPr="00A22D6A">
        <w:rPr>
          <w:rFonts w:asciiTheme="minorHAnsi" w:eastAsia="Times New Roman" w:hAnsiTheme="minorHAnsi" w:cstheme="minorHAnsi"/>
          <w:lang w:eastAsia="en-AU"/>
        </w:rPr>
        <w:t>registered providers to provide information at the end of each calendar month</w:t>
      </w:r>
      <w:r w:rsidRPr="00A22D6A">
        <w:rPr>
          <w:rFonts w:asciiTheme="minorHAnsi" w:eastAsia="Times New Roman" w:hAnsiTheme="minorHAnsi" w:cstheme="minorHAnsi"/>
          <w:lang w:eastAsia="en-AU"/>
        </w:rPr>
        <w:t xml:space="preserve">, if during that month, they </w:t>
      </w:r>
      <w:r w:rsidRPr="00A22D6A">
        <w:rPr>
          <w:rFonts w:asciiTheme="minorHAnsi" w:eastAsia="Times New Roman" w:hAnsiTheme="minorHAnsi" w:cstheme="minorHAnsi"/>
          <w:lang w:eastAsia="en-AU"/>
        </w:rPr>
        <w:lastRenderedPageBreak/>
        <w:t>received student tuition fees for a course. The provider must provide information on the following:</w:t>
      </w:r>
    </w:p>
    <w:p w14:paraId="4266AB84" w14:textId="77777777" w:rsidR="00FA1A83" w:rsidRPr="00A22D6A" w:rsidRDefault="00822520" w:rsidP="00FA1A83">
      <w:pPr>
        <w:pStyle w:val="ListParagraph"/>
        <w:numPr>
          <w:ilvl w:val="0"/>
          <w:numId w:val="5"/>
        </w:num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the amount of each payment, </w:t>
      </w:r>
    </w:p>
    <w:p w14:paraId="53762A05" w14:textId="77777777" w:rsidR="00FA1A83" w:rsidRPr="00A22D6A" w:rsidRDefault="00822520" w:rsidP="00FA1A83">
      <w:pPr>
        <w:pStyle w:val="ListParagraph"/>
        <w:numPr>
          <w:ilvl w:val="0"/>
          <w:numId w:val="5"/>
        </w:num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the day the payment was made, and </w:t>
      </w:r>
    </w:p>
    <w:p w14:paraId="087222C9" w14:textId="7736D6DB" w:rsidR="00822520" w:rsidRPr="00A22D6A" w:rsidRDefault="00822520" w:rsidP="00FA1A83">
      <w:pPr>
        <w:pStyle w:val="ListParagraph"/>
        <w:numPr>
          <w:ilvl w:val="0"/>
          <w:numId w:val="5"/>
        </w:num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the period to which the payment relates</w:t>
      </w:r>
      <w:r w:rsidR="00FA1A83" w:rsidRPr="00A22D6A">
        <w:rPr>
          <w:rFonts w:asciiTheme="minorHAnsi" w:eastAsia="Times New Roman" w:hAnsiTheme="minorHAnsi" w:cstheme="minorHAnsi"/>
          <w:lang w:eastAsia="en-AU"/>
        </w:rPr>
        <w:t>.</w:t>
      </w:r>
    </w:p>
    <w:p w14:paraId="21A088EF" w14:textId="77777777" w:rsidR="00822520" w:rsidRPr="00A22D6A" w:rsidRDefault="00822520" w:rsidP="00081713">
      <w:pPr>
        <w:spacing w:after="0" w:line="240" w:lineRule="auto"/>
        <w:ind w:right="91"/>
        <w:rPr>
          <w:rFonts w:asciiTheme="minorHAnsi" w:eastAsia="Times New Roman" w:hAnsiTheme="minorHAnsi" w:cstheme="minorHAnsi"/>
          <w:lang w:eastAsia="en-AU"/>
        </w:rPr>
      </w:pPr>
    </w:p>
    <w:p w14:paraId="4081F767" w14:textId="77777777" w:rsidR="0065129E" w:rsidRPr="00A22D6A" w:rsidRDefault="00081713"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Item 1 </w:t>
      </w:r>
      <w:r w:rsidR="00C11D2E" w:rsidRPr="00A22D6A">
        <w:rPr>
          <w:rFonts w:asciiTheme="minorHAnsi" w:eastAsia="Times New Roman" w:hAnsiTheme="minorHAnsi" w:cstheme="minorHAnsi"/>
          <w:lang w:eastAsia="en-AU"/>
        </w:rPr>
        <w:t>repeals this</w:t>
      </w:r>
      <w:r w:rsidR="00FA1A83" w:rsidRPr="00A22D6A">
        <w:rPr>
          <w:rFonts w:asciiTheme="minorHAnsi" w:eastAsia="Times New Roman" w:hAnsiTheme="minorHAnsi" w:cstheme="minorHAnsi"/>
          <w:lang w:eastAsia="en-AU"/>
        </w:rPr>
        <w:t xml:space="preserve"> requirement</w:t>
      </w:r>
      <w:r w:rsidR="0083708E" w:rsidRPr="00A22D6A">
        <w:rPr>
          <w:rFonts w:asciiTheme="minorHAnsi" w:eastAsia="Times New Roman" w:hAnsiTheme="minorHAnsi" w:cstheme="minorHAnsi"/>
          <w:lang w:eastAsia="en-AU"/>
        </w:rPr>
        <w:t xml:space="preserve"> as this reporting obligation is no longer necessary.</w:t>
      </w:r>
      <w:r w:rsidR="0065129E" w:rsidRPr="00A22D6A">
        <w:rPr>
          <w:rFonts w:asciiTheme="minorHAnsi" w:eastAsia="Times New Roman" w:hAnsiTheme="minorHAnsi" w:cstheme="minorHAnsi"/>
          <w:lang w:eastAsia="en-AU"/>
        </w:rPr>
        <w:t xml:space="preserve"> The requirement for providers to record post-commencement fee payments in PRISMS was established to inform the Tuition Protection Service (TPS) Director when calculating refund amounts. Analysis of the TPS Director’s business operations when calculating refunds has identified no ongoing requirement to report fee payment data on a monthly basis in PRISMS.</w:t>
      </w:r>
    </w:p>
    <w:p w14:paraId="0771427C" w14:textId="77777777" w:rsidR="0065129E" w:rsidRPr="00A22D6A" w:rsidRDefault="0065129E" w:rsidP="00081713">
      <w:pPr>
        <w:spacing w:after="0" w:line="240" w:lineRule="auto"/>
        <w:ind w:right="91"/>
        <w:rPr>
          <w:rFonts w:asciiTheme="minorHAnsi" w:eastAsia="Times New Roman" w:hAnsiTheme="minorHAnsi" w:cstheme="minorHAnsi"/>
          <w:lang w:eastAsia="en-AU"/>
        </w:rPr>
      </w:pPr>
    </w:p>
    <w:p w14:paraId="0C210290" w14:textId="42119B25" w:rsidR="00081713" w:rsidRPr="00A22D6A" w:rsidRDefault="0065129E"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The TPS Director uses alternative evidence submitted directly by students to support the calculation of refunds. The ESOS legislative protections for tuition fee refunds for students will be maintained. </w:t>
      </w:r>
      <w:bookmarkStart w:id="12" w:name="_Hlk73017843"/>
      <w:r w:rsidRPr="00A22D6A">
        <w:rPr>
          <w:rFonts w:asciiTheme="minorHAnsi" w:eastAsia="Times New Roman" w:hAnsiTheme="minorHAnsi" w:cstheme="minorHAnsi"/>
          <w:lang w:eastAsia="en-AU"/>
        </w:rPr>
        <w:t>Providers will continue to be required to keep financial records of tuition fees paid by students</w:t>
      </w:r>
      <w:r w:rsidR="00FB744F" w:rsidRPr="00A22D6A">
        <w:rPr>
          <w:rFonts w:asciiTheme="minorHAnsi" w:eastAsia="Times New Roman" w:hAnsiTheme="minorHAnsi" w:cstheme="minorHAnsi"/>
          <w:lang w:eastAsia="en-AU"/>
        </w:rPr>
        <w:t>,</w:t>
      </w:r>
      <w:r w:rsidRPr="00A22D6A">
        <w:rPr>
          <w:rFonts w:asciiTheme="minorHAnsi" w:eastAsia="Times New Roman" w:hAnsiTheme="minorHAnsi" w:cstheme="minorHAnsi"/>
          <w:lang w:eastAsia="en-AU"/>
        </w:rPr>
        <w:t xml:space="preserve"> however, they will no longer be required to duplicate these records in the PRISMS system. Regulators and students can continue to request fee payment records from providers on a case by case basis where required.</w:t>
      </w:r>
    </w:p>
    <w:bookmarkEnd w:id="12"/>
    <w:p w14:paraId="696BF5CC" w14:textId="77777777" w:rsidR="00081713" w:rsidRPr="00A22D6A" w:rsidRDefault="00081713" w:rsidP="00081713">
      <w:pPr>
        <w:spacing w:after="0" w:line="240" w:lineRule="auto"/>
        <w:ind w:right="91"/>
        <w:rPr>
          <w:rFonts w:asciiTheme="minorHAnsi" w:eastAsia="Times New Roman" w:hAnsiTheme="minorHAnsi" w:cstheme="minorHAnsi"/>
          <w:lang w:eastAsia="en-AU"/>
        </w:rPr>
      </w:pPr>
    </w:p>
    <w:p w14:paraId="63BA17D4" w14:textId="77777777" w:rsidR="00FA1A83" w:rsidRPr="00A22D6A" w:rsidRDefault="00FA1A83" w:rsidP="00081713">
      <w:pPr>
        <w:spacing w:after="0" w:line="240" w:lineRule="auto"/>
        <w:ind w:right="91"/>
        <w:rPr>
          <w:rFonts w:asciiTheme="minorHAnsi" w:eastAsia="Times New Roman" w:hAnsiTheme="minorHAnsi" w:cstheme="minorHAnsi"/>
          <w:b/>
          <w:lang w:eastAsia="en-AU"/>
        </w:rPr>
      </w:pPr>
      <w:r w:rsidRPr="00A22D6A">
        <w:rPr>
          <w:rFonts w:asciiTheme="minorHAnsi" w:eastAsia="Times New Roman" w:hAnsiTheme="minorHAnsi" w:cstheme="minorHAnsi"/>
          <w:b/>
          <w:lang w:eastAsia="en-AU"/>
        </w:rPr>
        <w:t xml:space="preserve">Part 2 – Amendments consequential to the Regulatory Powers (Standardisation Reform) Act 2021 </w:t>
      </w:r>
    </w:p>
    <w:p w14:paraId="761E7380" w14:textId="77777777" w:rsidR="00FA1A83" w:rsidRPr="00A22D6A" w:rsidRDefault="00FA1A83" w:rsidP="00081713">
      <w:pPr>
        <w:spacing w:after="0" w:line="240" w:lineRule="auto"/>
        <w:ind w:right="91"/>
        <w:rPr>
          <w:rFonts w:asciiTheme="minorHAnsi" w:eastAsia="Times New Roman" w:hAnsiTheme="minorHAnsi" w:cstheme="minorHAnsi"/>
          <w:b/>
          <w:lang w:eastAsia="en-AU"/>
        </w:rPr>
      </w:pPr>
    </w:p>
    <w:p w14:paraId="5313D173" w14:textId="021BD46B" w:rsidR="0046376F" w:rsidRPr="00A22D6A" w:rsidRDefault="0046376F"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Part 1 of Schedule 3 of the Regulatory Powers Reform Act </w:t>
      </w:r>
      <w:r w:rsidR="00067240" w:rsidRPr="00A22D6A">
        <w:rPr>
          <w:rFonts w:asciiTheme="minorHAnsi" w:eastAsia="Times New Roman" w:hAnsiTheme="minorHAnsi" w:cstheme="minorHAnsi"/>
          <w:lang w:eastAsia="en-AU"/>
        </w:rPr>
        <w:t xml:space="preserve">repeals section 106 of the Act, which provides the ability to issue infringements notices as prescribed by regulations. </w:t>
      </w:r>
      <w:r w:rsidRPr="00A22D6A">
        <w:rPr>
          <w:rFonts w:asciiTheme="minorHAnsi" w:eastAsia="Times New Roman" w:hAnsiTheme="minorHAnsi" w:cstheme="minorHAnsi"/>
          <w:lang w:eastAsia="en-AU"/>
        </w:rPr>
        <w:t xml:space="preserve">As a result, </w:t>
      </w:r>
      <w:r w:rsidR="00C11D2E" w:rsidRPr="00A22D6A">
        <w:rPr>
          <w:rFonts w:asciiTheme="minorHAnsi" w:eastAsia="Times New Roman" w:hAnsiTheme="minorHAnsi" w:cstheme="minorHAnsi"/>
          <w:lang w:eastAsia="en-AU"/>
        </w:rPr>
        <w:t xml:space="preserve">upon commencement of Part 1 of Schedule 3 of the Regulatory Powers Reform Act, </w:t>
      </w:r>
      <w:r w:rsidR="00067240" w:rsidRPr="00A22D6A">
        <w:rPr>
          <w:rFonts w:asciiTheme="minorHAnsi" w:eastAsia="Times New Roman" w:hAnsiTheme="minorHAnsi" w:cstheme="minorHAnsi"/>
          <w:lang w:eastAsia="en-AU"/>
        </w:rPr>
        <w:t xml:space="preserve">the infringements notice scheme in Part 4 of the Principal Regulations </w:t>
      </w:r>
      <w:r w:rsidR="00C11D2E" w:rsidRPr="00A22D6A">
        <w:rPr>
          <w:rFonts w:asciiTheme="minorHAnsi" w:eastAsia="Times New Roman" w:hAnsiTheme="minorHAnsi" w:cstheme="minorHAnsi"/>
          <w:lang w:eastAsia="en-AU"/>
        </w:rPr>
        <w:t xml:space="preserve">will no longer have legislative authority and will be redundant. </w:t>
      </w:r>
      <w:bookmarkStart w:id="13" w:name="_Hlk72499095"/>
      <w:r w:rsidR="0083708E" w:rsidRPr="00A22D6A">
        <w:rPr>
          <w:rFonts w:asciiTheme="minorHAnsi" w:eastAsia="Times New Roman" w:hAnsiTheme="minorHAnsi" w:cstheme="minorHAnsi"/>
          <w:lang w:eastAsia="en-AU"/>
        </w:rPr>
        <w:t>As such, this amendment is a consequential amendment to the enactment of the Regulatory Powers Reform Act.</w:t>
      </w:r>
      <w:bookmarkEnd w:id="13"/>
    </w:p>
    <w:p w14:paraId="40624432" w14:textId="77777777" w:rsidR="0046376F" w:rsidRPr="00A22D6A" w:rsidRDefault="0046376F" w:rsidP="00081713">
      <w:pPr>
        <w:spacing w:after="0" w:line="240" w:lineRule="auto"/>
        <w:ind w:right="91"/>
        <w:rPr>
          <w:rFonts w:asciiTheme="minorHAnsi" w:eastAsia="Times New Roman" w:hAnsiTheme="minorHAnsi" w:cstheme="minorHAnsi"/>
          <w:bCs/>
          <w:lang w:eastAsia="en-AU"/>
        </w:rPr>
      </w:pPr>
    </w:p>
    <w:p w14:paraId="6DC188BF" w14:textId="5A99A31F" w:rsidR="00081713" w:rsidRPr="00A22D6A" w:rsidRDefault="00081713" w:rsidP="00081713">
      <w:pPr>
        <w:spacing w:after="0" w:line="240" w:lineRule="auto"/>
        <w:ind w:right="91"/>
        <w:rPr>
          <w:rFonts w:asciiTheme="minorHAnsi" w:eastAsia="Times New Roman" w:hAnsiTheme="minorHAnsi" w:cstheme="minorHAnsi"/>
          <w:i/>
          <w:iCs/>
          <w:lang w:eastAsia="en-AU"/>
        </w:rPr>
      </w:pPr>
      <w:r w:rsidRPr="00A22D6A">
        <w:rPr>
          <w:rFonts w:asciiTheme="minorHAnsi" w:eastAsia="Times New Roman" w:hAnsiTheme="minorHAnsi" w:cstheme="minorHAnsi"/>
          <w:b/>
          <w:i/>
          <w:iCs/>
          <w:lang w:eastAsia="en-AU"/>
        </w:rPr>
        <w:t xml:space="preserve">Item 2 – </w:t>
      </w:r>
      <w:r w:rsidR="006F7D10" w:rsidRPr="00A22D6A">
        <w:rPr>
          <w:rFonts w:asciiTheme="minorHAnsi" w:eastAsia="Times New Roman" w:hAnsiTheme="minorHAnsi" w:cstheme="minorHAnsi"/>
          <w:b/>
          <w:i/>
          <w:iCs/>
          <w:lang w:eastAsia="en-AU"/>
        </w:rPr>
        <w:t>Section 5</w:t>
      </w:r>
    </w:p>
    <w:p w14:paraId="34A7E7F8" w14:textId="77777777" w:rsidR="00081713" w:rsidRPr="00A22D6A" w:rsidRDefault="00081713" w:rsidP="00081713">
      <w:pPr>
        <w:spacing w:after="0" w:line="240" w:lineRule="auto"/>
        <w:ind w:right="91"/>
        <w:rPr>
          <w:rFonts w:asciiTheme="minorHAnsi" w:eastAsia="Times New Roman" w:hAnsiTheme="minorHAnsi" w:cstheme="minorHAnsi"/>
          <w:lang w:eastAsia="en-AU"/>
        </w:rPr>
      </w:pPr>
    </w:p>
    <w:p w14:paraId="29C70707" w14:textId="28F02A73" w:rsidR="00081713" w:rsidRPr="00A22D6A" w:rsidRDefault="00C11D2E"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The definitions of </w:t>
      </w:r>
      <w:r w:rsidRPr="00A22D6A">
        <w:rPr>
          <w:rFonts w:asciiTheme="minorHAnsi" w:eastAsia="Times New Roman" w:hAnsiTheme="minorHAnsi" w:cstheme="minorHAnsi"/>
          <w:i/>
          <w:iCs/>
          <w:lang w:eastAsia="en-AU"/>
        </w:rPr>
        <w:t>infringement notice</w:t>
      </w:r>
      <w:r w:rsidRPr="00A22D6A">
        <w:rPr>
          <w:rFonts w:asciiTheme="minorHAnsi" w:eastAsia="Times New Roman" w:hAnsiTheme="minorHAnsi" w:cstheme="minorHAnsi"/>
          <w:lang w:eastAsia="en-AU"/>
        </w:rPr>
        <w:t xml:space="preserve"> and </w:t>
      </w:r>
      <w:r w:rsidRPr="00A22D6A">
        <w:rPr>
          <w:rFonts w:asciiTheme="minorHAnsi" w:eastAsia="Times New Roman" w:hAnsiTheme="minorHAnsi" w:cstheme="minorHAnsi"/>
          <w:i/>
          <w:iCs/>
          <w:lang w:eastAsia="en-AU"/>
        </w:rPr>
        <w:t>infringement notice penalty</w:t>
      </w:r>
      <w:r w:rsidRPr="00A22D6A">
        <w:rPr>
          <w:rFonts w:asciiTheme="minorHAnsi" w:eastAsia="Times New Roman" w:hAnsiTheme="minorHAnsi" w:cstheme="minorHAnsi"/>
          <w:lang w:eastAsia="en-AU"/>
        </w:rPr>
        <w:t xml:space="preserve"> in Section 5 of the Principal Regulations are only relevant for the purposes of Part 4 of the Principal Regulations. </w:t>
      </w:r>
      <w:r w:rsidR="006F7D10" w:rsidRPr="00A22D6A">
        <w:rPr>
          <w:rFonts w:asciiTheme="minorHAnsi" w:eastAsia="Times New Roman" w:hAnsiTheme="minorHAnsi" w:cstheme="minorHAnsi"/>
          <w:lang w:eastAsia="en-AU"/>
        </w:rPr>
        <w:t>Item 2 repeal</w:t>
      </w:r>
      <w:r w:rsidRPr="00A22D6A">
        <w:rPr>
          <w:rFonts w:asciiTheme="minorHAnsi" w:eastAsia="Times New Roman" w:hAnsiTheme="minorHAnsi" w:cstheme="minorHAnsi"/>
          <w:lang w:eastAsia="en-AU"/>
        </w:rPr>
        <w:t>s</w:t>
      </w:r>
      <w:r w:rsidR="006F7D10" w:rsidRPr="00A22D6A">
        <w:rPr>
          <w:rFonts w:asciiTheme="minorHAnsi" w:eastAsia="Times New Roman" w:hAnsiTheme="minorHAnsi" w:cstheme="minorHAnsi"/>
          <w:lang w:eastAsia="en-AU"/>
        </w:rPr>
        <w:t xml:space="preserve"> the</w:t>
      </w:r>
      <w:r w:rsidRPr="00A22D6A">
        <w:rPr>
          <w:rFonts w:asciiTheme="minorHAnsi" w:eastAsia="Times New Roman" w:hAnsiTheme="minorHAnsi" w:cstheme="minorHAnsi"/>
          <w:lang w:eastAsia="en-AU"/>
        </w:rPr>
        <w:t>se</w:t>
      </w:r>
      <w:r w:rsidR="006F7D10" w:rsidRPr="00A22D6A">
        <w:rPr>
          <w:rFonts w:asciiTheme="minorHAnsi" w:eastAsia="Times New Roman" w:hAnsiTheme="minorHAnsi" w:cstheme="minorHAnsi"/>
          <w:lang w:eastAsia="en-AU"/>
        </w:rPr>
        <w:t xml:space="preserve"> definitions at the same time as Part 1 of Schedule 3 to the Regulatory Powers Reform Act </w:t>
      </w:r>
      <w:r w:rsidRPr="00A22D6A">
        <w:rPr>
          <w:rFonts w:asciiTheme="minorHAnsi" w:eastAsia="Times New Roman" w:hAnsiTheme="minorHAnsi" w:cstheme="minorHAnsi"/>
          <w:lang w:eastAsia="en-AU"/>
        </w:rPr>
        <w:t>repeals the legislative authority for Part 4 of the Principal Regulations</w:t>
      </w:r>
      <w:r w:rsidR="006F7D10" w:rsidRPr="00A22D6A">
        <w:rPr>
          <w:rFonts w:asciiTheme="minorHAnsi" w:eastAsia="Times New Roman" w:hAnsiTheme="minorHAnsi" w:cstheme="minorHAnsi"/>
          <w:lang w:eastAsia="en-AU"/>
        </w:rPr>
        <w:t>.</w:t>
      </w:r>
    </w:p>
    <w:p w14:paraId="22510384" w14:textId="19009355" w:rsidR="006F7D10" w:rsidRPr="00A22D6A" w:rsidRDefault="006F7D10" w:rsidP="00081713">
      <w:pPr>
        <w:spacing w:after="0" w:line="240" w:lineRule="auto"/>
        <w:ind w:right="91"/>
        <w:rPr>
          <w:rFonts w:asciiTheme="minorHAnsi" w:eastAsia="Times New Roman" w:hAnsiTheme="minorHAnsi" w:cstheme="minorHAnsi"/>
          <w:lang w:eastAsia="en-AU"/>
        </w:rPr>
      </w:pPr>
    </w:p>
    <w:p w14:paraId="5E54BC79" w14:textId="001D44E6" w:rsidR="006F7D10" w:rsidRPr="00A22D6A" w:rsidRDefault="006F7D10" w:rsidP="006F7D10">
      <w:pPr>
        <w:spacing w:after="0" w:line="240" w:lineRule="auto"/>
        <w:ind w:right="91"/>
        <w:rPr>
          <w:rFonts w:asciiTheme="minorHAnsi" w:eastAsia="Times New Roman" w:hAnsiTheme="minorHAnsi" w:cstheme="minorHAnsi"/>
          <w:i/>
          <w:iCs/>
          <w:lang w:eastAsia="en-AU"/>
        </w:rPr>
      </w:pPr>
      <w:r w:rsidRPr="00A22D6A">
        <w:rPr>
          <w:rFonts w:asciiTheme="minorHAnsi" w:eastAsia="Times New Roman" w:hAnsiTheme="minorHAnsi" w:cstheme="minorHAnsi"/>
          <w:b/>
          <w:i/>
          <w:iCs/>
          <w:lang w:eastAsia="en-AU"/>
        </w:rPr>
        <w:t>Item 3 – Part 4</w:t>
      </w:r>
    </w:p>
    <w:p w14:paraId="64FC46FB" w14:textId="77777777" w:rsidR="006F7D10" w:rsidRPr="00A22D6A" w:rsidRDefault="006F7D10" w:rsidP="006F7D10">
      <w:pPr>
        <w:spacing w:after="0" w:line="240" w:lineRule="auto"/>
        <w:ind w:right="91"/>
        <w:rPr>
          <w:rFonts w:asciiTheme="minorHAnsi" w:eastAsia="Times New Roman" w:hAnsiTheme="minorHAnsi" w:cstheme="minorHAnsi"/>
          <w:lang w:eastAsia="en-AU"/>
        </w:rPr>
      </w:pPr>
    </w:p>
    <w:p w14:paraId="4620D615" w14:textId="7C1D2C2C" w:rsidR="006F7D10" w:rsidRPr="00A22D6A" w:rsidRDefault="00C11D2E" w:rsidP="00081713">
      <w:pPr>
        <w:spacing w:after="0" w:line="240" w:lineRule="auto"/>
        <w:ind w:right="91"/>
        <w:rPr>
          <w:rFonts w:asciiTheme="minorHAnsi" w:eastAsia="Times New Roman" w:hAnsiTheme="minorHAnsi" w:cstheme="minorHAnsi"/>
          <w:lang w:eastAsia="en-AU"/>
        </w:rPr>
      </w:pPr>
      <w:r w:rsidRPr="00A22D6A">
        <w:rPr>
          <w:rFonts w:asciiTheme="minorHAnsi" w:eastAsia="Times New Roman" w:hAnsiTheme="minorHAnsi" w:cstheme="minorHAnsi"/>
          <w:lang w:eastAsia="en-AU"/>
        </w:rPr>
        <w:t xml:space="preserve">Item </w:t>
      </w:r>
      <w:r w:rsidR="00235E32" w:rsidRPr="00A22D6A">
        <w:rPr>
          <w:rFonts w:asciiTheme="minorHAnsi" w:eastAsia="Times New Roman" w:hAnsiTheme="minorHAnsi" w:cstheme="minorHAnsi"/>
          <w:lang w:eastAsia="en-AU"/>
        </w:rPr>
        <w:t>3</w:t>
      </w:r>
      <w:r w:rsidR="006F7D10" w:rsidRPr="00A22D6A">
        <w:rPr>
          <w:rFonts w:asciiTheme="minorHAnsi" w:eastAsia="Times New Roman" w:hAnsiTheme="minorHAnsi" w:cstheme="minorHAnsi"/>
          <w:lang w:eastAsia="en-AU"/>
        </w:rPr>
        <w:t xml:space="preserve"> </w:t>
      </w:r>
      <w:r w:rsidRPr="00A22D6A">
        <w:rPr>
          <w:rFonts w:asciiTheme="minorHAnsi" w:eastAsia="Times New Roman" w:hAnsiTheme="minorHAnsi" w:cstheme="minorHAnsi"/>
          <w:lang w:eastAsia="en-AU"/>
        </w:rPr>
        <w:t>repeals</w:t>
      </w:r>
      <w:r w:rsidR="006F7D10" w:rsidRPr="00A22D6A">
        <w:rPr>
          <w:rFonts w:asciiTheme="minorHAnsi" w:eastAsia="Times New Roman" w:hAnsiTheme="minorHAnsi" w:cstheme="minorHAnsi"/>
          <w:lang w:eastAsia="en-AU"/>
        </w:rPr>
        <w:t xml:space="preserve"> Part 4 of the Principal Regulations at the same time as </w:t>
      </w:r>
      <w:r w:rsidRPr="00A22D6A">
        <w:rPr>
          <w:rFonts w:asciiTheme="minorHAnsi" w:eastAsia="Times New Roman" w:hAnsiTheme="minorHAnsi" w:cstheme="minorHAnsi"/>
          <w:lang w:eastAsia="en-AU"/>
        </w:rPr>
        <w:t xml:space="preserve">the legislative authority for this part is repealed by </w:t>
      </w:r>
      <w:r w:rsidR="006F7D10" w:rsidRPr="00A22D6A">
        <w:rPr>
          <w:rFonts w:asciiTheme="minorHAnsi" w:eastAsia="Times New Roman" w:hAnsiTheme="minorHAnsi" w:cstheme="minorHAnsi"/>
          <w:lang w:eastAsia="en-AU"/>
        </w:rPr>
        <w:t>Part</w:t>
      </w:r>
      <w:r w:rsidRPr="00A22D6A">
        <w:rPr>
          <w:rFonts w:asciiTheme="minorHAnsi" w:eastAsia="Times New Roman" w:hAnsiTheme="minorHAnsi" w:cstheme="minorHAnsi"/>
          <w:lang w:eastAsia="en-AU"/>
        </w:rPr>
        <w:t> </w:t>
      </w:r>
      <w:r w:rsidR="006F7D10" w:rsidRPr="00A22D6A">
        <w:rPr>
          <w:rFonts w:asciiTheme="minorHAnsi" w:eastAsia="Times New Roman" w:hAnsiTheme="minorHAnsi" w:cstheme="minorHAnsi"/>
          <w:lang w:eastAsia="en-AU"/>
        </w:rPr>
        <w:t>1 of Schedule 3 to the</w:t>
      </w:r>
      <w:r w:rsidRPr="00A22D6A">
        <w:rPr>
          <w:rFonts w:asciiTheme="minorHAnsi" w:eastAsia="Times New Roman" w:hAnsiTheme="minorHAnsi" w:cstheme="minorHAnsi"/>
          <w:lang w:eastAsia="en-AU"/>
        </w:rPr>
        <w:t xml:space="preserve"> Regulatory Powers Reform Act</w:t>
      </w:r>
      <w:r w:rsidR="006F7D10" w:rsidRPr="00A22D6A">
        <w:rPr>
          <w:rFonts w:asciiTheme="minorHAnsi" w:eastAsia="Times New Roman" w:hAnsiTheme="minorHAnsi" w:cstheme="minorHAnsi"/>
          <w:lang w:eastAsia="en-AU"/>
        </w:rPr>
        <w:t>.</w:t>
      </w:r>
      <w:bookmarkEnd w:id="11"/>
    </w:p>
    <w:p w14:paraId="06348C9F" w14:textId="29037453" w:rsidR="00FB744F" w:rsidRPr="00A22D6A" w:rsidRDefault="00FB744F">
      <w:pPr>
        <w:spacing w:after="160" w:line="259" w:lineRule="auto"/>
        <w:rPr>
          <w:rFonts w:asciiTheme="minorHAnsi" w:eastAsia="Times New Roman" w:hAnsiTheme="minorHAnsi" w:cstheme="minorHAnsi"/>
          <w:lang w:eastAsia="en-AU"/>
        </w:rPr>
      </w:pPr>
      <w:r w:rsidRPr="00A22D6A">
        <w:rPr>
          <w:rFonts w:asciiTheme="minorHAnsi" w:eastAsia="Times New Roman" w:hAnsiTheme="minorHAnsi" w:cstheme="minorHAnsi"/>
          <w:lang w:eastAsia="en-AU"/>
        </w:rPr>
        <w:br w:type="page"/>
      </w:r>
    </w:p>
    <w:p w14:paraId="04924F5A" w14:textId="4E4251F4" w:rsidR="00FB744F" w:rsidRPr="00A22D6A" w:rsidRDefault="00FB744F" w:rsidP="00FB744F">
      <w:pPr>
        <w:spacing w:after="0" w:line="240" w:lineRule="auto"/>
        <w:ind w:right="91"/>
        <w:jc w:val="right"/>
        <w:rPr>
          <w:rFonts w:asciiTheme="minorHAnsi" w:eastAsia="Times New Roman" w:hAnsiTheme="minorHAnsi" w:cstheme="minorHAnsi"/>
          <w:b/>
          <w:bCs/>
          <w:lang w:eastAsia="en-AU"/>
        </w:rPr>
      </w:pPr>
      <w:r w:rsidRPr="00A22D6A">
        <w:rPr>
          <w:rFonts w:asciiTheme="minorHAnsi" w:eastAsia="Times New Roman" w:hAnsiTheme="minorHAnsi" w:cstheme="minorHAnsi"/>
          <w:b/>
          <w:bCs/>
          <w:lang w:eastAsia="en-AU"/>
        </w:rPr>
        <w:lastRenderedPageBreak/>
        <w:t>ATTACHMENT A</w:t>
      </w:r>
    </w:p>
    <w:p w14:paraId="614EE5CA" w14:textId="03346F11" w:rsidR="00FB744F" w:rsidRPr="00A22D6A" w:rsidRDefault="00FB744F" w:rsidP="00FB744F">
      <w:pPr>
        <w:spacing w:after="0" w:line="240" w:lineRule="auto"/>
        <w:ind w:right="91"/>
        <w:rPr>
          <w:rFonts w:asciiTheme="minorHAnsi" w:eastAsia="Times New Roman" w:hAnsiTheme="minorHAnsi" w:cstheme="minorHAnsi"/>
          <w:b/>
          <w:bCs/>
          <w:lang w:eastAsia="en-AU"/>
        </w:rPr>
      </w:pPr>
    </w:p>
    <w:p w14:paraId="3BFFFB2C" w14:textId="1C2B2A7C" w:rsidR="00FB744F" w:rsidRPr="00A22D6A" w:rsidRDefault="00FB744F" w:rsidP="00FB744F">
      <w:pPr>
        <w:pStyle w:val="Default"/>
        <w:spacing w:line="276" w:lineRule="auto"/>
        <w:jc w:val="center"/>
        <w:rPr>
          <w:rFonts w:asciiTheme="minorHAnsi" w:eastAsiaTheme="minorEastAsia" w:hAnsiTheme="minorHAnsi" w:cstheme="minorHAnsi"/>
          <w:b/>
          <w:bCs/>
        </w:rPr>
      </w:pPr>
      <w:r w:rsidRPr="00A22D6A">
        <w:rPr>
          <w:rFonts w:asciiTheme="minorHAnsi" w:eastAsiaTheme="minorEastAsia" w:hAnsiTheme="minorHAnsi" w:cstheme="minorHAnsi"/>
          <w:b/>
          <w:bCs/>
        </w:rPr>
        <w:t>Regulation Impact Statement</w:t>
      </w:r>
    </w:p>
    <w:p w14:paraId="6653A8FD" w14:textId="77777777" w:rsidR="00FB744F" w:rsidRPr="00A22D6A" w:rsidRDefault="00FB744F" w:rsidP="00FB744F">
      <w:pPr>
        <w:pStyle w:val="Default"/>
        <w:spacing w:line="276" w:lineRule="auto"/>
        <w:rPr>
          <w:rFonts w:asciiTheme="minorHAnsi" w:eastAsiaTheme="minorEastAsia" w:hAnsiTheme="minorHAnsi" w:cstheme="minorHAnsi"/>
        </w:rPr>
      </w:pPr>
    </w:p>
    <w:p w14:paraId="3286E23B"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i/>
          <w:iCs/>
        </w:rPr>
        <w:t>Name of department/agency</w:t>
      </w:r>
      <w:r w:rsidRPr="00A22D6A">
        <w:rPr>
          <w:rFonts w:asciiTheme="minorHAnsi" w:eastAsiaTheme="minorEastAsia" w:hAnsiTheme="minorHAnsi" w:cstheme="minorHAnsi"/>
        </w:rPr>
        <w:t>: Department of Education, Skills and Employment</w:t>
      </w:r>
    </w:p>
    <w:p w14:paraId="7BA1AF9F" w14:textId="77777777" w:rsidR="00FB744F" w:rsidRPr="00A22D6A" w:rsidRDefault="00FB744F" w:rsidP="00FB744F">
      <w:pPr>
        <w:pStyle w:val="Default"/>
        <w:spacing w:line="276" w:lineRule="auto"/>
        <w:rPr>
          <w:rFonts w:asciiTheme="minorHAnsi" w:eastAsiaTheme="minorEastAsia" w:hAnsiTheme="minorHAnsi" w:cstheme="minorHAnsi"/>
        </w:rPr>
      </w:pPr>
    </w:p>
    <w:p w14:paraId="04DB5DD4"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i/>
          <w:iCs/>
        </w:rPr>
        <w:t>OBPR Reference number:</w:t>
      </w:r>
      <w:r w:rsidRPr="00A22D6A">
        <w:rPr>
          <w:rFonts w:asciiTheme="minorHAnsi" w:eastAsiaTheme="minorEastAsia" w:hAnsiTheme="minorHAnsi" w:cstheme="minorHAnsi"/>
        </w:rPr>
        <w:t xml:space="preserve">  43558</w:t>
      </w:r>
    </w:p>
    <w:p w14:paraId="6EAB3341" w14:textId="77777777" w:rsidR="00FB744F" w:rsidRPr="00A22D6A" w:rsidRDefault="00FB744F" w:rsidP="00FB744F">
      <w:pPr>
        <w:pStyle w:val="Default"/>
        <w:spacing w:line="276" w:lineRule="auto"/>
        <w:rPr>
          <w:rFonts w:asciiTheme="minorHAnsi" w:eastAsiaTheme="minorEastAsia" w:hAnsiTheme="minorHAnsi" w:cstheme="minorHAnsi"/>
          <w:i/>
          <w:iCs/>
        </w:rPr>
      </w:pPr>
    </w:p>
    <w:p w14:paraId="38DA2905"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i/>
          <w:iCs/>
        </w:rPr>
        <w:t>Name of proposal:</w:t>
      </w:r>
      <w:r w:rsidRPr="00A22D6A">
        <w:rPr>
          <w:rFonts w:asciiTheme="minorHAnsi" w:eastAsiaTheme="minorEastAsia" w:hAnsiTheme="minorHAnsi" w:cstheme="minorHAnsi"/>
        </w:rPr>
        <w:t xml:space="preserve"> International Education Deregulation 2021</w:t>
      </w:r>
    </w:p>
    <w:p w14:paraId="24646794" w14:textId="77777777" w:rsidR="00FB744F" w:rsidRPr="00A22D6A" w:rsidRDefault="00FB744F" w:rsidP="00FB744F">
      <w:pPr>
        <w:pStyle w:val="Default"/>
        <w:spacing w:line="276" w:lineRule="auto"/>
        <w:rPr>
          <w:rFonts w:asciiTheme="minorHAnsi" w:eastAsiaTheme="minorEastAsia" w:hAnsiTheme="minorHAnsi" w:cstheme="minorHAnsi"/>
        </w:rPr>
      </w:pPr>
    </w:p>
    <w:p w14:paraId="3AE66C89" w14:textId="77777777" w:rsidR="00FB744F" w:rsidRPr="00A22D6A" w:rsidRDefault="00FB744F" w:rsidP="00FB744F">
      <w:pPr>
        <w:pStyle w:val="Default"/>
        <w:spacing w:line="276" w:lineRule="auto"/>
        <w:rPr>
          <w:rFonts w:asciiTheme="minorHAnsi" w:eastAsiaTheme="minorEastAsia" w:hAnsiTheme="minorHAnsi" w:cstheme="minorHAnsi"/>
          <w:i/>
          <w:iCs/>
        </w:rPr>
      </w:pPr>
      <w:r w:rsidRPr="00A22D6A">
        <w:rPr>
          <w:rFonts w:asciiTheme="minorHAnsi" w:eastAsiaTheme="minorEastAsia" w:hAnsiTheme="minorHAnsi" w:cstheme="minorHAnsi"/>
          <w:i/>
          <w:iCs/>
        </w:rPr>
        <w:t xml:space="preserve">Summary of the proposed policy and any options considered: </w:t>
      </w:r>
    </w:p>
    <w:p w14:paraId="34DEA075" w14:textId="77777777" w:rsidR="00FB744F" w:rsidRPr="00A22D6A" w:rsidRDefault="00FB744F" w:rsidP="00FB744F">
      <w:pPr>
        <w:pStyle w:val="Default"/>
        <w:spacing w:line="276" w:lineRule="auto"/>
        <w:rPr>
          <w:rFonts w:asciiTheme="minorHAnsi" w:eastAsiaTheme="minorEastAsia" w:hAnsiTheme="minorHAnsi" w:cstheme="minorHAnsi"/>
        </w:rPr>
      </w:pPr>
    </w:p>
    <w:p w14:paraId="5BBE766E"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This proposal seeks to reduce regulatory burden for privately operated international education providers registered on the </w:t>
      </w:r>
      <w:r w:rsidRPr="00A22D6A">
        <w:rPr>
          <w:rFonts w:asciiTheme="minorHAnsi" w:eastAsiaTheme="minorEastAsia" w:hAnsiTheme="minorHAnsi" w:cstheme="minorHAnsi"/>
          <w:i/>
          <w:iCs/>
        </w:rPr>
        <w:t>Commonwealth Register of Institutions and Courses for Overseas Students</w:t>
      </w:r>
      <w:r w:rsidRPr="00A22D6A">
        <w:rPr>
          <w:rFonts w:asciiTheme="minorHAnsi" w:eastAsiaTheme="minorEastAsia" w:hAnsiTheme="minorHAnsi" w:cstheme="minorHAnsi"/>
        </w:rPr>
        <w:t xml:space="preserve"> (CRICOS) by removing a requirement to report post-commencement fee payments in the Provider Registration and International Student Management System (PRISMS).</w:t>
      </w:r>
    </w:p>
    <w:p w14:paraId="34D23034" w14:textId="77777777" w:rsidR="00FB744F" w:rsidRPr="00A22D6A" w:rsidRDefault="00FB744F" w:rsidP="00FB744F">
      <w:pPr>
        <w:pStyle w:val="Default"/>
        <w:spacing w:line="276" w:lineRule="auto"/>
        <w:rPr>
          <w:rFonts w:asciiTheme="minorHAnsi" w:eastAsiaTheme="minorEastAsia" w:hAnsiTheme="minorHAnsi" w:cstheme="minorHAnsi"/>
        </w:rPr>
      </w:pPr>
    </w:p>
    <w:p w14:paraId="7E901759"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The decreased regulatory burden under the </w:t>
      </w:r>
      <w:r w:rsidRPr="00A22D6A">
        <w:rPr>
          <w:rFonts w:asciiTheme="minorHAnsi" w:eastAsiaTheme="minorEastAsia" w:hAnsiTheme="minorHAnsi" w:cstheme="minorHAnsi"/>
          <w:i/>
          <w:iCs/>
        </w:rPr>
        <w:t>Education Services for Overseas Students Act 2000</w:t>
      </w:r>
      <w:r w:rsidRPr="00A22D6A">
        <w:rPr>
          <w:rFonts w:asciiTheme="minorHAnsi" w:eastAsiaTheme="minorEastAsia" w:hAnsiTheme="minorHAnsi" w:cstheme="minorHAnsi"/>
        </w:rPr>
        <w:t xml:space="preserve"> (ESOS Act) will reduce privately operated CRICOS registered providers’ administrative costs enabling them to redirect efforts elsewhere. The ESOS Agencies will continue to have access information necessary for compliance monitoring through PRISMS, while providers would not be required to report redundant information.</w:t>
      </w:r>
    </w:p>
    <w:p w14:paraId="78DCB713" w14:textId="77777777" w:rsidR="00FB744F" w:rsidRPr="00A22D6A" w:rsidRDefault="00FB744F" w:rsidP="00FB744F">
      <w:pPr>
        <w:pStyle w:val="Default"/>
        <w:spacing w:line="276" w:lineRule="auto"/>
        <w:rPr>
          <w:rFonts w:asciiTheme="minorHAnsi" w:eastAsiaTheme="minorEastAsia" w:hAnsiTheme="minorHAnsi" w:cstheme="minorHAnsi"/>
        </w:rPr>
      </w:pPr>
    </w:p>
    <w:p w14:paraId="46685CF2"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This proposal represents a total of $7.1 million annual deregulatory savings across 1,180 private CRICOS education providers in the schools, vocational education and higher education sectors. It follows on from previous annual deregulatory savings under the ESOS Act in 2015 of $48.6 million, in 2018 of $2.2 million and in 2020 $2.1 million.</w:t>
      </w:r>
    </w:p>
    <w:p w14:paraId="2CC2924C" w14:textId="77777777" w:rsidR="00FB744F" w:rsidRPr="00A22D6A" w:rsidRDefault="00FB744F" w:rsidP="00FB744F">
      <w:pPr>
        <w:pStyle w:val="Default"/>
        <w:spacing w:line="276" w:lineRule="auto"/>
        <w:rPr>
          <w:rFonts w:asciiTheme="minorHAnsi" w:eastAsiaTheme="minorEastAsia" w:hAnsiTheme="minorHAnsi" w:cstheme="minorHAnsi"/>
        </w:rPr>
      </w:pPr>
    </w:p>
    <w:p w14:paraId="3F73340B" w14:textId="77777777" w:rsidR="00FB744F" w:rsidRPr="00A22D6A" w:rsidRDefault="00FB744F" w:rsidP="00FB744F">
      <w:pPr>
        <w:pStyle w:val="ECPoint"/>
        <w:numPr>
          <w:ilvl w:val="0"/>
          <w:numId w:val="0"/>
        </w:numPr>
        <w:spacing w:after="0"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The proposal seeks to: </w:t>
      </w:r>
    </w:p>
    <w:p w14:paraId="41A059F2" w14:textId="77777777" w:rsidR="00FB744F" w:rsidRPr="00A22D6A" w:rsidRDefault="00FB744F" w:rsidP="00FB744F">
      <w:pPr>
        <w:pStyle w:val="ECPoint"/>
        <w:numPr>
          <w:ilvl w:val="0"/>
          <w:numId w:val="7"/>
        </w:numPr>
        <w:spacing w:after="0" w:line="276" w:lineRule="auto"/>
        <w:rPr>
          <w:rFonts w:asciiTheme="minorHAnsi" w:eastAsiaTheme="minorEastAsia" w:hAnsiTheme="minorHAnsi" w:cstheme="minorHAnsi"/>
        </w:rPr>
      </w:pPr>
      <w:r w:rsidRPr="00A22D6A">
        <w:rPr>
          <w:rFonts w:asciiTheme="minorHAnsi" w:eastAsiaTheme="minorEastAsia" w:hAnsiTheme="minorHAnsi" w:cstheme="minorHAnsi"/>
        </w:rPr>
        <w:t>reduce regulatory burden on private CRICOS providers through the removal of unnecessary data collection</w:t>
      </w:r>
    </w:p>
    <w:p w14:paraId="3FA76B7C" w14:textId="77777777" w:rsidR="00FB744F" w:rsidRPr="00A22D6A" w:rsidRDefault="00FB744F" w:rsidP="00FB744F">
      <w:pPr>
        <w:pStyle w:val="ECPoint"/>
        <w:numPr>
          <w:ilvl w:val="0"/>
          <w:numId w:val="7"/>
        </w:numPr>
        <w:spacing w:after="0" w:line="276" w:lineRule="auto"/>
        <w:rPr>
          <w:rFonts w:asciiTheme="minorHAnsi" w:eastAsiaTheme="minorEastAsia" w:hAnsiTheme="minorHAnsi" w:cstheme="minorHAnsi"/>
        </w:rPr>
      </w:pPr>
      <w:r w:rsidRPr="00A22D6A">
        <w:rPr>
          <w:rFonts w:asciiTheme="minorHAnsi" w:eastAsiaTheme="minorEastAsia" w:hAnsiTheme="minorHAnsi" w:cstheme="minorHAnsi"/>
        </w:rPr>
        <w:t>standardise requirements for public and private CRICOS providers to report fee payments made by students</w:t>
      </w:r>
    </w:p>
    <w:p w14:paraId="14D35455" w14:textId="77777777" w:rsidR="00FB744F" w:rsidRPr="00A22D6A" w:rsidRDefault="00FB744F" w:rsidP="00FB744F">
      <w:pPr>
        <w:pStyle w:val="ECPoint"/>
        <w:numPr>
          <w:ilvl w:val="0"/>
          <w:numId w:val="7"/>
        </w:numPr>
        <w:spacing w:after="0"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be consistent with the ESOS Agencies’ risk-based approach to compliance monitoring  </w:t>
      </w:r>
    </w:p>
    <w:p w14:paraId="0A570405" w14:textId="2DE78C9D" w:rsidR="00FB744F" w:rsidRPr="00A22D6A" w:rsidRDefault="00FB744F" w:rsidP="00FB744F">
      <w:pPr>
        <w:pStyle w:val="ListParagraph"/>
        <w:numPr>
          <w:ilvl w:val="0"/>
          <w:numId w:val="7"/>
        </w:num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ensure the ESOS legislative framework is no more complex than necessary.</w:t>
      </w:r>
    </w:p>
    <w:p w14:paraId="270A274C" w14:textId="77777777" w:rsidR="00FB744F" w:rsidRPr="00A22D6A" w:rsidRDefault="00FB744F" w:rsidP="00FB744F">
      <w:pPr>
        <w:pStyle w:val="ListParagraph"/>
        <w:spacing w:after="0"/>
        <w:rPr>
          <w:rFonts w:asciiTheme="minorHAnsi" w:eastAsiaTheme="minorEastAsia" w:hAnsiTheme="minorHAnsi" w:cstheme="minorHAnsi"/>
          <w:szCs w:val="24"/>
        </w:rPr>
      </w:pPr>
    </w:p>
    <w:p w14:paraId="4741DDB4"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Amendments to the </w:t>
      </w:r>
      <w:r w:rsidRPr="00A22D6A">
        <w:rPr>
          <w:rFonts w:asciiTheme="minorHAnsi" w:eastAsiaTheme="minorEastAsia" w:hAnsiTheme="minorHAnsi" w:cstheme="minorHAnsi"/>
          <w:i/>
          <w:iCs/>
        </w:rPr>
        <w:t>Education Services for Overseas Students Regulations 2019</w:t>
      </w:r>
      <w:r w:rsidRPr="00A22D6A">
        <w:rPr>
          <w:rFonts w:asciiTheme="minorHAnsi" w:eastAsiaTheme="minorEastAsia" w:hAnsiTheme="minorHAnsi" w:cstheme="minorHAnsi"/>
        </w:rPr>
        <w:t xml:space="preserve"> (ESOS Regulations), which are enabled by the ESOS Act will remove the requirement for private providers to record post-commencement fee payments from students when a calendar month ends. A change will be made to PRISMS to remove this requirement. </w:t>
      </w:r>
    </w:p>
    <w:p w14:paraId="551593C1"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lastRenderedPageBreak/>
        <w:t>Private education providers will benefit from reduced reporting requirements. The ESOS Agencies will no longer be required to monitor this function.</w:t>
      </w:r>
    </w:p>
    <w:p w14:paraId="37D23E1D" w14:textId="77777777" w:rsidR="00FB744F" w:rsidRPr="00A22D6A" w:rsidRDefault="00FB744F" w:rsidP="00FB744F">
      <w:pPr>
        <w:pStyle w:val="Default"/>
        <w:spacing w:line="276" w:lineRule="auto"/>
        <w:rPr>
          <w:rFonts w:asciiTheme="minorHAnsi" w:eastAsiaTheme="minorEastAsia" w:hAnsiTheme="minorHAnsi" w:cstheme="minorHAnsi"/>
        </w:rPr>
      </w:pPr>
    </w:p>
    <w:p w14:paraId="17A5A0B3" w14:textId="4B92544B"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The requirement for providers to record post-commencement fee payments in PRISMS was designed to provide data to inform the Tuition Protection Service (TPS) Director to support the payment of refunds to students, if an education provider is unable to meet its obligations. However, the data as collected is not used by the TPS Director in calculating refunds. Instead, the TPS Director relies on students’ own payment receipts and the protected amount prescribed in the ESOS Act for this purpose. </w:t>
      </w:r>
    </w:p>
    <w:p w14:paraId="4812B56A" w14:textId="77777777" w:rsidR="00FB744F" w:rsidRPr="00A22D6A" w:rsidRDefault="00FB744F" w:rsidP="00FB744F">
      <w:pPr>
        <w:pStyle w:val="Default"/>
        <w:spacing w:line="276" w:lineRule="auto"/>
        <w:rPr>
          <w:rFonts w:asciiTheme="minorHAnsi" w:eastAsiaTheme="minorEastAsia" w:hAnsiTheme="minorHAnsi" w:cstheme="minorHAnsi"/>
        </w:rPr>
      </w:pPr>
    </w:p>
    <w:p w14:paraId="10C67ACD"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The amendment will be made to the ESOS Regulations alongside other minor amendments to streamline and clarify information collected under the ESOS Regulations and ensure data collection is fit for purpose. </w:t>
      </w:r>
    </w:p>
    <w:p w14:paraId="2961D567" w14:textId="77777777" w:rsidR="00FB744F" w:rsidRPr="00A22D6A" w:rsidRDefault="00FB744F" w:rsidP="00FB744F">
      <w:pPr>
        <w:pStyle w:val="Default"/>
        <w:spacing w:line="276" w:lineRule="auto"/>
        <w:rPr>
          <w:rFonts w:asciiTheme="minorHAnsi" w:eastAsiaTheme="minorEastAsia" w:hAnsiTheme="minorHAnsi" w:cstheme="minorHAnsi"/>
        </w:rPr>
      </w:pPr>
    </w:p>
    <w:p w14:paraId="29449C79" w14:textId="77777777" w:rsidR="00FB744F" w:rsidRPr="00A22D6A" w:rsidRDefault="00FB744F" w:rsidP="00FB744F">
      <w:pPr>
        <w:pStyle w:val="Default"/>
        <w:spacing w:line="276" w:lineRule="auto"/>
        <w:rPr>
          <w:rFonts w:asciiTheme="minorHAnsi" w:eastAsiaTheme="minorEastAsia" w:hAnsiTheme="minorHAnsi" w:cstheme="minorHAnsi"/>
          <w:i/>
          <w:iCs/>
        </w:rPr>
      </w:pPr>
      <w:r w:rsidRPr="00A22D6A">
        <w:rPr>
          <w:rFonts w:asciiTheme="minorHAnsi" w:eastAsiaTheme="minorEastAsia" w:hAnsiTheme="minorHAnsi" w:cstheme="minorHAnsi"/>
          <w:i/>
          <w:iCs/>
        </w:rPr>
        <w:t xml:space="preserve">What are the regulatory impacts associated with this proposal? Explain. </w:t>
      </w:r>
    </w:p>
    <w:p w14:paraId="48338F72" w14:textId="77777777" w:rsidR="00FB744F" w:rsidRPr="00A22D6A" w:rsidRDefault="00FB744F" w:rsidP="00FB744F">
      <w:pPr>
        <w:pStyle w:val="Default"/>
        <w:spacing w:line="276" w:lineRule="auto"/>
        <w:rPr>
          <w:rFonts w:asciiTheme="minorHAnsi" w:eastAsiaTheme="minorEastAsia" w:hAnsiTheme="minorHAnsi" w:cstheme="minorHAnsi"/>
        </w:rPr>
      </w:pPr>
    </w:p>
    <w:p w14:paraId="7D12D8CF"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This proposal represents a minor reduction in reporting requirements for private providers. Providers would no longer be required to report on a monthly basis when they have received fee payments from students. </w:t>
      </w:r>
    </w:p>
    <w:p w14:paraId="57147994" w14:textId="77777777" w:rsidR="00FB744F" w:rsidRPr="00A22D6A" w:rsidRDefault="00FB744F" w:rsidP="00FB744F">
      <w:pPr>
        <w:pStyle w:val="Default"/>
        <w:spacing w:line="276" w:lineRule="auto"/>
        <w:rPr>
          <w:rFonts w:asciiTheme="minorHAnsi" w:eastAsiaTheme="minorEastAsia" w:hAnsiTheme="minorHAnsi" w:cstheme="minorHAnsi"/>
        </w:rPr>
      </w:pPr>
    </w:p>
    <w:p w14:paraId="478910AF" w14:textId="77777777" w:rsidR="00FB744F" w:rsidRPr="00A22D6A" w:rsidRDefault="00FB744F" w:rsidP="00FB744F">
      <w:pPr>
        <w:pStyle w:val="Default"/>
        <w:spacing w:line="276" w:lineRule="auto"/>
        <w:rPr>
          <w:rFonts w:asciiTheme="minorHAnsi" w:eastAsiaTheme="minorEastAsia" w:hAnsiTheme="minorHAnsi" w:cstheme="minorHAnsi"/>
          <w:i/>
          <w:iCs/>
        </w:rPr>
      </w:pPr>
      <w:r w:rsidRPr="00A22D6A">
        <w:rPr>
          <w:rFonts w:asciiTheme="minorHAnsi" w:eastAsiaTheme="minorEastAsia" w:hAnsiTheme="minorHAnsi" w:cstheme="minorHAnsi"/>
          <w:i/>
          <w:iCs/>
        </w:rPr>
        <w:t xml:space="preserve">What are the regulatory costs/savings associated with this proposal? Explain and quantify. </w:t>
      </w:r>
    </w:p>
    <w:p w14:paraId="7051F552" w14:textId="77777777" w:rsidR="00FB744F" w:rsidRPr="00A22D6A" w:rsidRDefault="00FB744F" w:rsidP="00FB744F">
      <w:pPr>
        <w:pStyle w:val="Default"/>
        <w:spacing w:line="276" w:lineRule="auto"/>
        <w:rPr>
          <w:rFonts w:asciiTheme="minorHAnsi" w:eastAsiaTheme="minorEastAsia" w:hAnsiTheme="minorHAnsi" w:cstheme="minorHAnsi"/>
        </w:rPr>
      </w:pPr>
    </w:p>
    <w:p w14:paraId="133D2C46"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Reporting requirements will be reduced for an estimated 1,180 private providers who are required to report each month any fees received from students in a calendar month for 322,031 enrolments. Aligning with typical study periods, the regulatory savings are calculated based on the assumption that on average, the higher education sector collects student fees every semester and the other sectors collect every quarter.</w:t>
      </w:r>
    </w:p>
    <w:p w14:paraId="2CD8390C" w14:textId="77777777" w:rsidR="00FB744F" w:rsidRPr="00A22D6A" w:rsidRDefault="00FB744F" w:rsidP="00FB744F">
      <w:pPr>
        <w:pStyle w:val="Default"/>
        <w:spacing w:line="276" w:lineRule="auto"/>
        <w:rPr>
          <w:rFonts w:asciiTheme="minorHAnsi" w:eastAsiaTheme="minorEastAsia" w:hAnsiTheme="minorHAnsi" w:cstheme="minorHAnsi"/>
        </w:rPr>
      </w:pPr>
    </w:p>
    <w:p w14:paraId="7E113D00"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 xml:space="preserve">This will save providers approximately 82.35 hours of compliance reporting, each year, saving average compliance costs of $6,015.67 per year based on the labour rate per hour taken from the OBPR guidelines ($73.05 per hour.) This represents an overall reduction in cost of compliance of $7,098,231.98 per year. </w:t>
      </w:r>
    </w:p>
    <w:p w14:paraId="765E1951" w14:textId="77777777" w:rsidR="00FB744F" w:rsidRPr="00A22D6A" w:rsidRDefault="00FB744F" w:rsidP="00FB744F">
      <w:pPr>
        <w:pStyle w:val="Default"/>
        <w:spacing w:line="276" w:lineRule="auto"/>
        <w:rPr>
          <w:rFonts w:asciiTheme="minorHAnsi" w:eastAsiaTheme="minorEastAsia" w:hAnsiTheme="minorHAnsi" w:cstheme="minorHAnsi"/>
        </w:rPr>
      </w:pPr>
    </w:p>
    <w:p w14:paraId="12FE1D0F"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Data from the 2019 calendar year has been used for the regulatory savings calculations, as it is the most recent, accurate data.</w:t>
      </w:r>
    </w:p>
    <w:p w14:paraId="5D28D2BD" w14:textId="77777777" w:rsidR="00FB744F" w:rsidRPr="00A22D6A" w:rsidRDefault="00FB744F" w:rsidP="00FB744F">
      <w:pPr>
        <w:pStyle w:val="Default"/>
        <w:spacing w:line="276" w:lineRule="auto"/>
        <w:rPr>
          <w:rFonts w:asciiTheme="minorHAnsi" w:eastAsiaTheme="minorEastAsia" w:hAnsiTheme="minorHAnsi" w:cstheme="minorHAnsi"/>
          <w:i/>
          <w:iCs/>
        </w:rPr>
      </w:pPr>
    </w:p>
    <w:p w14:paraId="4F278864" w14:textId="77777777" w:rsidR="00FB744F" w:rsidRPr="00A22D6A" w:rsidRDefault="00FB744F" w:rsidP="00FB744F">
      <w:pPr>
        <w:pStyle w:val="Default"/>
        <w:spacing w:line="276" w:lineRule="auto"/>
        <w:rPr>
          <w:rFonts w:asciiTheme="minorHAnsi" w:eastAsiaTheme="minorEastAsia" w:hAnsiTheme="minorHAnsi" w:cstheme="minorHAnsi"/>
          <w:i/>
          <w:iCs/>
        </w:rPr>
      </w:pPr>
      <w:r w:rsidRPr="00A22D6A">
        <w:rPr>
          <w:rFonts w:asciiTheme="minorHAnsi" w:eastAsiaTheme="minorEastAsia" w:hAnsiTheme="minorHAnsi" w:cstheme="minorHAnsi"/>
          <w:i/>
          <w:iCs/>
        </w:rPr>
        <w:t xml:space="preserve">Have offsets been identified for increases in regulatory costs? If not, why? </w:t>
      </w:r>
    </w:p>
    <w:p w14:paraId="3AA83E05" w14:textId="77777777" w:rsidR="00FB744F" w:rsidRPr="00A22D6A" w:rsidRDefault="00FB744F" w:rsidP="00FB744F">
      <w:pPr>
        <w:pStyle w:val="Default"/>
        <w:spacing w:line="276" w:lineRule="auto"/>
        <w:rPr>
          <w:rFonts w:asciiTheme="minorHAnsi" w:eastAsiaTheme="minorEastAsia" w:hAnsiTheme="minorHAnsi" w:cstheme="minorHAnsi"/>
        </w:rPr>
      </w:pPr>
      <w:r w:rsidRPr="00A22D6A">
        <w:rPr>
          <w:rFonts w:asciiTheme="minorHAnsi" w:eastAsiaTheme="minorEastAsia" w:hAnsiTheme="minorHAnsi" w:cstheme="minorHAnsi"/>
        </w:rPr>
        <w:t>Not applicable on advice from Prime Minister and Cabinet.</w:t>
      </w:r>
    </w:p>
    <w:p w14:paraId="3174D938" w14:textId="022979CD" w:rsidR="00FB744F" w:rsidRPr="00A22D6A" w:rsidRDefault="00FB744F" w:rsidP="00FB744F">
      <w:pPr>
        <w:pStyle w:val="Default"/>
        <w:spacing w:line="276" w:lineRule="auto"/>
        <w:rPr>
          <w:rFonts w:asciiTheme="minorHAnsi" w:eastAsiaTheme="minorEastAsia" w:hAnsiTheme="minorHAnsi" w:cstheme="minorHAnsi"/>
        </w:rPr>
      </w:pPr>
    </w:p>
    <w:p w14:paraId="0C32587C" w14:textId="02794A92" w:rsidR="00FB744F" w:rsidRPr="00A22D6A" w:rsidRDefault="00FB744F" w:rsidP="00FB744F">
      <w:pPr>
        <w:pStyle w:val="Default"/>
        <w:spacing w:line="276" w:lineRule="auto"/>
        <w:rPr>
          <w:rFonts w:asciiTheme="minorHAnsi" w:eastAsiaTheme="minorEastAsia" w:hAnsiTheme="minorHAnsi" w:cstheme="minorHAnsi"/>
        </w:rPr>
      </w:pPr>
    </w:p>
    <w:p w14:paraId="022E6C05" w14:textId="77777777" w:rsidR="00FB744F" w:rsidRPr="00A22D6A" w:rsidRDefault="00FB744F" w:rsidP="00FB744F">
      <w:pPr>
        <w:pStyle w:val="Default"/>
        <w:spacing w:line="276" w:lineRule="auto"/>
        <w:rPr>
          <w:rFonts w:asciiTheme="minorHAnsi" w:eastAsiaTheme="minorEastAsia" w:hAnsiTheme="minorHAnsi" w:cstheme="minorHAnsi"/>
        </w:rPr>
      </w:pPr>
    </w:p>
    <w:tbl>
      <w:tblPr>
        <w:tblW w:w="0" w:type="auto"/>
        <w:tblInd w:w="98" w:type="dxa"/>
        <w:tblCellMar>
          <w:left w:w="0" w:type="dxa"/>
          <w:right w:w="0" w:type="dxa"/>
        </w:tblCellMar>
        <w:tblLook w:val="04A0" w:firstRow="1" w:lastRow="0" w:firstColumn="1" w:lastColumn="0" w:noHBand="0" w:noVBand="1"/>
      </w:tblPr>
      <w:tblGrid>
        <w:gridCol w:w="158"/>
        <w:gridCol w:w="2117"/>
        <w:gridCol w:w="1488"/>
        <w:gridCol w:w="1595"/>
        <w:gridCol w:w="1488"/>
        <w:gridCol w:w="1490"/>
      </w:tblGrid>
      <w:tr w:rsidR="00FB744F" w:rsidRPr="00A22D6A" w14:paraId="26E06A09" w14:textId="77777777" w:rsidTr="001A63E9">
        <w:trPr>
          <w:trHeight w:val="277"/>
        </w:trPr>
        <w:tc>
          <w:tcPr>
            <w:tcW w:w="8229" w:type="dxa"/>
            <w:gridSpan w:val="6"/>
            <w:tcBorders>
              <w:top w:val="nil"/>
              <w:left w:val="nil"/>
              <w:bottom w:val="single" w:sz="8" w:space="0" w:color="C0504D"/>
              <w:right w:val="nil"/>
            </w:tcBorders>
            <w:shd w:val="clear" w:color="auto" w:fill="FDEADA"/>
            <w:hideMark/>
          </w:tcPr>
          <w:p w14:paraId="765B47DA" w14:textId="77777777" w:rsidR="00FB744F" w:rsidRPr="00A22D6A" w:rsidRDefault="00FB744F" w:rsidP="00FB744F">
            <w:pPr>
              <w:overflowPunct w:val="0"/>
              <w:autoSpaceDE w:val="0"/>
              <w:autoSpaceDN w:val="0"/>
              <w:spacing w:after="0"/>
              <w:ind w:left="147"/>
              <w:rPr>
                <w:rFonts w:asciiTheme="minorHAnsi" w:eastAsiaTheme="minorEastAsia" w:hAnsiTheme="minorHAnsi" w:cstheme="minorHAnsi"/>
                <w:szCs w:val="24"/>
                <w:lang w:eastAsia="en-AU"/>
              </w:rPr>
            </w:pPr>
            <w:r w:rsidRPr="00A22D6A">
              <w:rPr>
                <w:rFonts w:asciiTheme="minorHAnsi" w:eastAsiaTheme="minorEastAsia" w:hAnsiTheme="minorHAnsi" w:cstheme="minorHAnsi"/>
                <w:b/>
                <w:bCs/>
                <w:spacing w:val="-1"/>
                <w:szCs w:val="24"/>
                <w:lang w:eastAsia="en-AU"/>
              </w:rPr>
              <w:lastRenderedPageBreak/>
              <w:t>Regulatory</w:t>
            </w:r>
            <w:r w:rsidRPr="00A22D6A">
              <w:rPr>
                <w:rFonts w:asciiTheme="minorHAnsi" w:eastAsiaTheme="minorEastAsia" w:hAnsiTheme="minorHAnsi" w:cstheme="minorHAnsi"/>
                <w:b/>
                <w:bCs/>
                <w:szCs w:val="24"/>
                <w:lang w:eastAsia="en-AU"/>
              </w:rPr>
              <w:t xml:space="preserve"> </w:t>
            </w:r>
            <w:r w:rsidRPr="00A22D6A">
              <w:rPr>
                <w:rFonts w:asciiTheme="minorHAnsi" w:eastAsiaTheme="minorEastAsia" w:hAnsiTheme="minorHAnsi" w:cstheme="minorHAnsi"/>
                <w:b/>
                <w:bCs/>
                <w:spacing w:val="-1"/>
                <w:szCs w:val="24"/>
                <w:lang w:eastAsia="en-AU"/>
              </w:rPr>
              <w:t>burden</w:t>
            </w:r>
            <w:r w:rsidRPr="00A22D6A">
              <w:rPr>
                <w:rFonts w:asciiTheme="minorHAnsi" w:eastAsiaTheme="minorEastAsia" w:hAnsiTheme="minorHAnsi" w:cstheme="minorHAnsi"/>
                <w:b/>
                <w:bCs/>
                <w:szCs w:val="24"/>
                <w:lang w:eastAsia="en-AU"/>
              </w:rPr>
              <w:t xml:space="preserve"> </w:t>
            </w:r>
            <w:r w:rsidRPr="00A22D6A">
              <w:rPr>
                <w:rFonts w:asciiTheme="minorHAnsi" w:eastAsiaTheme="minorEastAsia" w:hAnsiTheme="minorHAnsi" w:cstheme="minorHAnsi"/>
                <w:b/>
                <w:bCs/>
                <w:spacing w:val="-1"/>
                <w:szCs w:val="24"/>
                <w:lang w:eastAsia="en-AU"/>
              </w:rPr>
              <w:t xml:space="preserve">estimate </w:t>
            </w:r>
            <w:r w:rsidRPr="00A22D6A">
              <w:rPr>
                <w:rFonts w:asciiTheme="minorHAnsi" w:eastAsiaTheme="minorEastAsia" w:hAnsiTheme="minorHAnsi" w:cstheme="minorHAnsi"/>
                <w:b/>
                <w:bCs/>
                <w:szCs w:val="24"/>
                <w:lang w:eastAsia="en-AU"/>
              </w:rPr>
              <w:t>(RBE)</w:t>
            </w:r>
            <w:r w:rsidRPr="00A22D6A">
              <w:rPr>
                <w:rFonts w:asciiTheme="minorHAnsi" w:eastAsiaTheme="minorEastAsia" w:hAnsiTheme="minorHAnsi" w:cstheme="minorHAnsi"/>
                <w:b/>
                <w:bCs/>
                <w:spacing w:val="-1"/>
                <w:szCs w:val="24"/>
                <w:lang w:eastAsia="en-AU"/>
              </w:rPr>
              <w:t xml:space="preserve"> table</w:t>
            </w:r>
          </w:p>
        </w:tc>
      </w:tr>
      <w:tr w:rsidR="00FB744F" w:rsidRPr="00A22D6A" w14:paraId="543850BE" w14:textId="77777777" w:rsidTr="001A63E9">
        <w:trPr>
          <w:trHeight w:val="419"/>
        </w:trPr>
        <w:tc>
          <w:tcPr>
            <w:tcW w:w="8229" w:type="dxa"/>
            <w:gridSpan w:val="6"/>
            <w:tcBorders>
              <w:top w:val="nil"/>
              <w:left w:val="nil"/>
              <w:bottom w:val="single" w:sz="8" w:space="0" w:color="C0504D"/>
              <w:right w:val="single" w:sz="8" w:space="0" w:color="C0504D"/>
            </w:tcBorders>
            <w:shd w:val="clear" w:color="auto" w:fill="CD0920"/>
            <w:hideMark/>
          </w:tcPr>
          <w:p w14:paraId="0A50AE38" w14:textId="77777777" w:rsidR="00FB744F" w:rsidRPr="00A22D6A" w:rsidRDefault="00FB744F" w:rsidP="00FB744F">
            <w:pPr>
              <w:overflowPunct w:val="0"/>
              <w:autoSpaceDE w:val="0"/>
              <w:autoSpaceDN w:val="0"/>
              <w:spacing w:after="0"/>
              <w:ind w:left="267"/>
              <w:rPr>
                <w:rFonts w:asciiTheme="minorHAnsi" w:eastAsiaTheme="minorEastAsia" w:hAnsiTheme="minorHAnsi" w:cstheme="minorHAnsi"/>
                <w:szCs w:val="24"/>
                <w:lang w:eastAsia="en-AU"/>
              </w:rPr>
            </w:pPr>
            <w:r w:rsidRPr="00A22D6A">
              <w:rPr>
                <w:rFonts w:asciiTheme="minorHAnsi" w:eastAsiaTheme="minorEastAsia" w:hAnsiTheme="minorHAnsi" w:cstheme="minorHAnsi"/>
                <w:b/>
                <w:bCs/>
                <w:color w:val="FFFFFF"/>
                <w:spacing w:val="-1"/>
                <w:szCs w:val="24"/>
                <w:lang w:eastAsia="en-AU"/>
              </w:rPr>
              <w:t>Average</w:t>
            </w:r>
            <w:r w:rsidRPr="00A22D6A">
              <w:rPr>
                <w:rFonts w:asciiTheme="minorHAnsi" w:eastAsiaTheme="minorEastAsia" w:hAnsiTheme="minorHAnsi" w:cstheme="minorHAnsi"/>
                <w:b/>
                <w:bCs/>
                <w:color w:val="FFFFFF"/>
                <w:spacing w:val="-9"/>
                <w:szCs w:val="24"/>
                <w:lang w:eastAsia="en-AU"/>
              </w:rPr>
              <w:t xml:space="preserve"> </w:t>
            </w:r>
            <w:r w:rsidRPr="00A22D6A">
              <w:rPr>
                <w:rFonts w:asciiTheme="minorHAnsi" w:eastAsiaTheme="minorEastAsia" w:hAnsiTheme="minorHAnsi" w:cstheme="minorHAnsi"/>
                <w:b/>
                <w:bCs/>
                <w:color w:val="FFFFFF"/>
                <w:szCs w:val="24"/>
                <w:lang w:eastAsia="en-AU"/>
              </w:rPr>
              <w:t>annual</w:t>
            </w:r>
            <w:r w:rsidRPr="00A22D6A">
              <w:rPr>
                <w:rFonts w:asciiTheme="minorHAnsi" w:eastAsiaTheme="minorEastAsia" w:hAnsiTheme="minorHAnsi" w:cstheme="minorHAnsi"/>
                <w:b/>
                <w:bCs/>
                <w:color w:val="FFFFFF"/>
                <w:spacing w:val="-8"/>
                <w:szCs w:val="24"/>
                <w:lang w:eastAsia="en-AU"/>
              </w:rPr>
              <w:t xml:space="preserve"> </w:t>
            </w:r>
            <w:r w:rsidRPr="00A22D6A">
              <w:rPr>
                <w:rFonts w:asciiTheme="minorHAnsi" w:eastAsiaTheme="minorEastAsia" w:hAnsiTheme="minorHAnsi" w:cstheme="minorHAnsi"/>
                <w:b/>
                <w:bCs/>
                <w:color w:val="FFFFFF"/>
                <w:spacing w:val="-1"/>
                <w:szCs w:val="24"/>
                <w:lang w:eastAsia="en-AU"/>
              </w:rPr>
              <w:t>regulatory</w:t>
            </w:r>
            <w:r w:rsidRPr="00A22D6A">
              <w:rPr>
                <w:rFonts w:asciiTheme="minorHAnsi" w:eastAsiaTheme="minorEastAsia" w:hAnsiTheme="minorHAnsi" w:cstheme="minorHAnsi"/>
                <w:b/>
                <w:bCs/>
                <w:color w:val="FFFFFF"/>
                <w:spacing w:val="-8"/>
                <w:szCs w:val="24"/>
                <w:lang w:eastAsia="en-AU"/>
              </w:rPr>
              <w:t xml:space="preserve"> </w:t>
            </w:r>
            <w:r w:rsidRPr="00A22D6A">
              <w:rPr>
                <w:rFonts w:asciiTheme="minorHAnsi" w:eastAsiaTheme="minorEastAsia" w:hAnsiTheme="minorHAnsi" w:cstheme="minorHAnsi"/>
                <w:b/>
                <w:bCs/>
                <w:color w:val="FFFFFF"/>
                <w:spacing w:val="-1"/>
                <w:szCs w:val="24"/>
                <w:lang w:eastAsia="en-AU"/>
              </w:rPr>
              <w:t>costs</w:t>
            </w:r>
            <w:r w:rsidRPr="00A22D6A">
              <w:rPr>
                <w:rFonts w:asciiTheme="minorHAnsi" w:eastAsiaTheme="minorEastAsia" w:hAnsiTheme="minorHAnsi" w:cstheme="minorHAnsi"/>
                <w:b/>
                <w:bCs/>
                <w:color w:val="FFFFFF"/>
                <w:spacing w:val="-9"/>
                <w:szCs w:val="24"/>
                <w:lang w:eastAsia="en-AU"/>
              </w:rPr>
              <w:t xml:space="preserve"> </w:t>
            </w:r>
            <w:r w:rsidRPr="00A22D6A">
              <w:rPr>
                <w:rFonts w:asciiTheme="minorHAnsi" w:eastAsiaTheme="minorEastAsia" w:hAnsiTheme="minorHAnsi" w:cstheme="minorHAnsi"/>
                <w:b/>
                <w:bCs/>
                <w:color w:val="FFFFFF"/>
                <w:spacing w:val="-1"/>
                <w:szCs w:val="24"/>
                <w:lang w:eastAsia="en-AU"/>
              </w:rPr>
              <w:t>(from</w:t>
            </w:r>
            <w:r w:rsidRPr="00A22D6A">
              <w:rPr>
                <w:rFonts w:asciiTheme="minorHAnsi" w:eastAsiaTheme="minorEastAsia" w:hAnsiTheme="minorHAnsi" w:cstheme="minorHAnsi"/>
                <w:b/>
                <w:bCs/>
                <w:color w:val="FFFFFF"/>
                <w:spacing w:val="-7"/>
                <w:szCs w:val="24"/>
                <w:lang w:eastAsia="en-AU"/>
              </w:rPr>
              <w:t xml:space="preserve"> </w:t>
            </w:r>
            <w:r w:rsidRPr="00A22D6A">
              <w:rPr>
                <w:rFonts w:asciiTheme="minorHAnsi" w:eastAsiaTheme="minorEastAsia" w:hAnsiTheme="minorHAnsi" w:cstheme="minorHAnsi"/>
                <w:b/>
                <w:bCs/>
                <w:color w:val="FFFFFF"/>
                <w:szCs w:val="24"/>
                <w:lang w:eastAsia="en-AU"/>
              </w:rPr>
              <w:t>business</w:t>
            </w:r>
            <w:r w:rsidRPr="00A22D6A">
              <w:rPr>
                <w:rFonts w:asciiTheme="minorHAnsi" w:eastAsiaTheme="minorEastAsia" w:hAnsiTheme="minorHAnsi" w:cstheme="minorHAnsi"/>
                <w:b/>
                <w:bCs/>
                <w:color w:val="FFFFFF"/>
                <w:spacing w:val="-8"/>
                <w:szCs w:val="24"/>
                <w:lang w:eastAsia="en-AU"/>
              </w:rPr>
              <w:t xml:space="preserve"> </w:t>
            </w:r>
            <w:r w:rsidRPr="00A22D6A">
              <w:rPr>
                <w:rFonts w:asciiTheme="minorHAnsi" w:eastAsiaTheme="minorEastAsia" w:hAnsiTheme="minorHAnsi" w:cstheme="minorHAnsi"/>
                <w:b/>
                <w:bCs/>
                <w:color w:val="FFFFFF"/>
                <w:spacing w:val="1"/>
                <w:szCs w:val="24"/>
                <w:lang w:eastAsia="en-AU"/>
              </w:rPr>
              <w:t>as</w:t>
            </w:r>
            <w:r w:rsidRPr="00A22D6A">
              <w:rPr>
                <w:rFonts w:asciiTheme="minorHAnsi" w:eastAsiaTheme="minorEastAsia" w:hAnsiTheme="minorHAnsi" w:cstheme="minorHAnsi"/>
                <w:b/>
                <w:bCs/>
                <w:color w:val="FFFFFF"/>
                <w:spacing w:val="-9"/>
                <w:szCs w:val="24"/>
                <w:lang w:eastAsia="en-AU"/>
              </w:rPr>
              <w:t xml:space="preserve"> </w:t>
            </w:r>
            <w:r w:rsidRPr="00A22D6A">
              <w:rPr>
                <w:rFonts w:asciiTheme="minorHAnsi" w:eastAsiaTheme="minorEastAsia" w:hAnsiTheme="minorHAnsi" w:cstheme="minorHAnsi"/>
                <w:b/>
                <w:bCs/>
                <w:color w:val="FFFFFF"/>
                <w:spacing w:val="-1"/>
                <w:szCs w:val="24"/>
                <w:lang w:eastAsia="en-AU"/>
              </w:rPr>
              <w:t>usual)</w:t>
            </w:r>
          </w:p>
        </w:tc>
      </w:tr>
      <w:tr w:rsidR="00FB744F" w:rsidRPr="00A22D6A" w14:paraId="0E886FE1" w14:textId="77777777" w:rsidTr="001A63E9">
        <w:trPr>
          <w:trHeight w:hRule="exact" w:val="641"/>
        </w:trPr>
        <w:tc>
          <w:tcPr>
            <w:tcW w:w="158" w:type="dxa"/>
            <w:tcBorders>
              <w:top w:val="nil"/>
              <w:left w:val="nil"/>
              <w:bottom w:val="nil"/>
              <w:right w:val="single" w:sz="8" w:space="0" w:color="C0504D"/>
            </w:tcBorders>
            <w:shd w:val="clear" w:color="auto" w:fill="FDEADA"/>
          </w:tcPr>
          <w:p w14:paraId="0F7E5DEC"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2117" w:type="dxa"/>
            <w:tcBorders>
              <w:top w:val="nil"/>
              <w:left w:val="nil"/>
              <w:bottom w:val="single" w:sz="8" w:space="0" w:color="C0504D"/>
              <w:right w:val="single" w:sz="8" w:space="0" w:color="C0504D"/>
            </w:tcBorders>
            <w:shd w:val="clear" w:color="auto" w:fill="FDEADA"/>
            <w:hideMark/>
          </w:tcPr>
          <w:p w14:paraId="7DE5D27D" w14:textId="77777777" w:rsidR="00FB744F" w:rsidRPr="00A22D6A" w:rsidRDefault="00FB744F" w:rsidP="00FB744F">
            <w:pPr>
              <w:overflowPunct w:val="0"/>
              <w:autoSpaceDE w:val="0"/>
              <w:autoSpaceDN w:val="0"/>
              <w:spacing w:after="0"/>
              <w:ind w:left="99" w:right="562"/>
              <w:rPr>
                <w:rFonts w:asciiTheme="minorHAnsi" w:eastAsiaTheme="minorEastAsia" w:hAnsiTheme="minorHAnsi" w:cstheme="minorHAnsi"/>
                <w:szCs w:val="24"/>
                <w:lang w:eastAsia="en-AU"/>
              </w:rPr>
            </w:pPr>
            <w:r w:rsidRPr="00A22D6A">
              <w:rPr>
                <w:rFonts w:asciiTheme="minorHAnsi" w:eastAsiaTheme="minorEastAsia" w:hAnsiTheme="minorHAnsi" w:cstheme="minorHAnsi"/>
                <w:spacing w:val="-1"/>
                <w:szCs w:val="24"/>
                <w:lang w:eastAsia="en-AU"/>
              </w:rPr>
              <w:t>Change</w:t>
            </w:r>
            <w:r w:rsidRPr="00A22D6A">
              <w:rPr>
                <w:rFonts w:asciiTheme="minorHAnsi" w:eastAsiaTheme="minorEastAsia" w:hAnsiTheme="minorHAnsi" w:cstheme="minorHAnsi"/>
                <w:spacing w:val="-6"/>
                <w:szCs w:val="24"/>
                <w:lang w:eastAsia="en-AU"/>
              </w:rPr>
              <w:t xml:space="preserve"> </w:t>
            </w:r>
            <w:r w:rsidRPr="00A22D6A">
              <w:rPr>
                <w:rFonts w:asciiTheme="minorHAnsi" w:eastAsiaTheme="minorEastAsia" w:hAnsiTheme="minorHAnsi" w:cstheme="minorHAnsi"/>
                <w:spacing w:val="-1"/>
                <w:szCs w:val="24"/>
                <w:lang w:eastAsia="en-AU"/>
              </w:rPr>
              <w:t>in</w:t>
            </w:r>
            <w:r w:rsidRPr="00A22D6A">
              <w:rPr>
                <w:rFonts w:asciiTheme="minorHAnsi" w:eastAsiaTheme="minorEastAsia" w:hAnsiTheme="minorHAnsi" w:cstheme="minorHAnsi"/>
                <w:spacing w:val="-8"/>
                <w:szCs w:val="24"/>
                <w:lang w:eastAsia="en-AU"/>
              </w:rPr>
              <w:t xml:space="preserve"> </w:t>
            </w:r>
            <w:r w:rsidRPr="00A22D6A">
              <w:rPr>
                <w:rFonts w:asciiTheme="minorHAnsi" w:eastAsiaTheme="minorEastAsia" w:hAnsiTheme="minorHAnsi" w:cstheme="minorHAnsi"/>
                <w:szCs w:val="24"/>
                <w:lang w:eastAsia="en-AU"/>
              </w:rPr>
              <w:t>costs</w:t>
            </w:r>
            <w:r w:rsidRPr="00A22D6A">
              <w:rPr>
                <w:rFonts w:asciiTheme="minorHAnsi" w:eastAsiaTheme="minorEastAsia" w:hAnsiTheme="minorHAnsi" w:cstheme="minorHAnsi"/>
                <w:spacing w:val="25"/>
                <w:szCs w:val="24"/>
                <w:lang w:eastAsia="en-AU"/>
              </w:rPr>
              <w:t xml:space="preserve"> </w:t>
            </w:r>
            <w:r w:rsidRPr="00A22D6A">
              <w:rPr>
                <w:rFonts w:asciiTheme="minorHAnsi" w:eastAsiaTheme="minorEastAsia" w:hAnsiTheme="minorHAnsi" w:cstheme="minorHAnsi"/>
                <w:szCs w:val="24"/>
                <w:lang w:eastAsia="en-AU"/>
              </w:rPr>
              <w:t>($</w:t>
            </w:r>
            <w:r w:rsidRPr="00A22D6A">
              <w:rPr>
                <w:rFonts w:asciiTheme="minorHAnsi" w:eastAsiaTheme="minorEastAsia" w:hAnsiTheme="minorHAnsi" w:cstheme="minorHAnsi"/>
                <w:spacing w:val="-10"/>
                <w:szCs w:val="24"/>
                <w:lang w:eastAsia="en-AU"/>
              </w:rPr>
              <w:t xml:space="preserve"> </w:t>
            </w:r>
            <w:r w:rsidRPr="00A22D6A">
              <w:rPr>
                <w:rFonts w:asciiTheme="minorHAnsi" w:eastAsiaTheme="minorEastAsia" w:hAnsiTheme="minorHAnsi" w:cstheme="minorHAnsi"/>
                <w:spacing w:val="-1"/>
                <w:szCs w:val="24"/>
                <w:lang w:eastAsia="en-AU"/>
              </w:rPr>
              <w:t>million)</w:t>
            </w:r>
          </w:p>
        </w:tc>
        <w:tc>
          <w:tcPr>
            <w:tcW w:w="1488" w:type="dxa"/>
            <w:tcBorders>
              <w:top w:val="nil"/>
              <w:left w:val="nil"/>
              <w:bottom w:val="single" w:sz="8" w:space="0" w:color="C0504D"/>
              <w:right w:val="single" w:sz="8" w:space="0" w:color="C0504D"/>
            </w:tcBorders>
            <w:shd w:val="clear" w:color="auto" w:fill="FDEADA"/>
            <w:hideMark/>
          </w:tcPr>
          <w:p w14:paraId="74C9089B"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r w:rsidRPr="00A22D6A">
              <w:rPr>
                <w:rFonts w:asciiTheme="minorHAnsi" w:eastAsiaTheme="minorEastAsia" w:hAnsiTheme="minorHAnsi" w:cstheme="minorHAnsi"/>
                <w:szCs w:val="24"/>
                <w:lang w:eastAsia="en-AU"/>
              </w:rPr>
              <w:t>Business</w:t>
            </w:r>
          </w:p>
        </w:tc>
        <w:tc>
          <w:tcPr>
            <w:tcW w:w="1488" w:type="dxa"/>
            <w:tcBorders>
              <w:top w:val="nil"/>
              <w:left w:val="nil"/>
              <w:bottom w:val="single" w:sz="8" w:space="0" w:color="C0504D"/>
              <w:right w:val="single" w:sz="8" w:space="0" w:color="C0504D"/>
            </w:tcBorders>
            <w:shd w:val="clear" w:color="auto" w:fill="FDEADA"/>
            <w:hideMark/>
          </w:tcPr>
          <w:p w14:paraId="5F5C249B" w14:textId="77777777" w:rsidR="00FB744F" w:rsidRPr="00A22D6A" w:rsidRDefault="00FB744F" w:rsidP="00FB744F">
            <w:pPr>
              <w:overflowPunct w:val="0"/>
              <w:autoSpaceDE w:val="0"/>
              <w:autoSpaceDN w:val="0"/>
              <w:spacing w:after="0"/>
              <w:ind w:left="99" w:right="178"/>
              <w:rPr>
                <w:rFonts w:asciiTheme="minorHAnsi" w:eastAsiaTheme="minorEastAsia" w:hAnsiTheme="minorHAnsi" w:cstheme="minorHAnsi"/>
                <w:szCs w:val="24"/>
                <w:lang w:eastAsia="en-AU"/>
              </w:rPr>
            </w:pPr>
            <w:r w:rsidRPr="00A22D6A">
              <w:rPr>
                <w:rFonts w:asciiTheme="minorHAnsi" w:eastAsiaTheme="minorEastAsia" w:hAnsiTheme="minorHAnsi" w:cstheme="minorHAnsi"/>
                <w:szCs w:val="24"/>
                <w:lang w:eastAsia="en-AU"/>
              </w:rPr>
              <w:t>Community</w:t>
            </w:r>
            <w:r w:rsidRPr="00A22D6A">
              <w:rPr>
                <w:rFonts w:asciiTheme="minorHAnsi" w:eastAsiaTheme="minorEastAsia" w:hAnsiTheme="minorHAnsi" w:cstheme="minorHAnsi"/>
                <w:spacing w:val="24"/>
                <w:szCs w:val="24"/>
                <w:lang w:eastAsia="en-AU"/>
              </w:rPr>
              <w:t xml:space="preserve"> </w:t>
            </w:r>
            <w:r w:rsidRPr="00A22D6A">
              <w:rPr>
                <w:rFonts w:asciiTheme="minorHAnsi" w:eastAsiaTheme="minorEastAsia" w:hAnsiTheme="minorHAnsi" w:cstheme="minorHAnsi"/>
                <w:spacing w:val="-1"/>
                <w:szCs w:val="24"/>
                <w:lang w:eastAsia="en-AU"/>
              </w:rPr>
              <w:t>organisations</w:t>
            </w:r>
          </w:p>
        </w:tc>
        <w:tc>
          <w:tcPr>
            <w:tcW w:w="1488" w:type="dxa"/>
            <w:tcBorders>
              <w:top w:val="nil"/>
              <w:left w:val="nil"/>
              <w:bottom w:val="single" w:sz="8" w:space="0" w:color="C0504D"/>
              <w:right w:val="single" w:sz="8" w:space="0" w:color="C0504D"/>
            </w:tcBorders>
            <w:shd w:val="clear" w:color="auto" w:fill="FDEADA"/>
            <w:hideMark/>
          </w:tcPr>
          <w:p w14:paraId="6CF549B7"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r w:rsidRPr="00A22D6A">
              <w:rPr>
                <w:rFonts w:asciiTheme="minorHAnsi" w:eastAsiaTheme="minorEastAsia" w:hAnsiTheme="minorHAnsi" w:cstheme="minorHAnsi"/>
                <w:spacing w:val="-1"/>
                <w:szCs w:val="24"/>
                <w:lang w:eastAsia="en-AU"/>
              </w:rPr>
              <w:t>Individuals</w:t>
            </w:r>
          </w:p>
        </w:tc>
        <w:tc>
          <w:tcPr>
            <w:tcW w:w="1490" w:type="dxa"/>
            <w:tcBorders>
              <w:top w:val="nil"/>
              <w:left w:val="nil"/>
              <w:bottom w:val="single" w:sz="8" w:space="0" w:color="C0504D"/>
              <w:right w:val="single" w:sz="8" w:space="0" w:color="C0504D"/>
            </w:tcBorders>
            <w:shd w:val="clear" w:color="auto" w:fill="FDEADA"/>
            <w:hideMark/>
          </w:tcPr>
          <w:p w14:paraId="1919D18B" w14:textId="77777777" w:rsidR="00FB744F" w:rsidRPr="00A22D6A" w:rsidRDefault="00FB744F" w:rsidP="00FB744F">
            <w:pPr>
              <w:overflowPunct w:val="0"/>
              <w:autoSpaceDE w:val="0"/>
              <w:autoSpaceDN w:val="0"/>
              <w:spacing w:after="0"/>
              <w:ind w:left="99" w:right="212"/>
              <w:rPr>
                <w:rFonts w:asciiTheme="minorHAnsi" w:eastAsiaTheme="minorEastAsia" w:hAnsiTheme="minorHAnsi" w:cstheme="minorHAnsi"/>
                <w:szCs w:val="24"/>
                <w:lang w:eastAsia="en-AU"/>
              </w:rPr>
            </w:pPr>
            <w:r w:rsidRPr="00A22D6A">
              <w:rPr>
                <w:rFonts w:asciiTheme="minorHAnsi" w:eastAsiaTheme="minorEastAsia" w:hAnsiTheme="minorHAnsi" w:cstheme="minorHAnsi"/>
                <w:szCs w:val="24"/>
                <w:lang w:eastAsia="en-AU"/>
              </w:rPr>
              <w:t>Total</w:t>
            </w:r>
            <w:r w:rsidRPr="00A22D6A">
              <w:rPr>
                <w:rFonts w:asciiTheme="minorHAnsi" w:eastAsiaTheme="minorEastAsia" w:hAnsiTheme="minorHAnsi" w:cstheme="minorHAnsi"/>
                <w:spacing w:val="-13"/>
                <w:szCs w:val="24"/>
                <w:lang w:eastAsia="en-AU"/>
              </w:rPr>
              <w:t xml:space="preserve"> </w:t>
            </w:r>
            <w:r w:rsidRPr="00A22D6A">
              <w:rPr>
                <w:rFonts w:asciiTheme="minorHAnsi" w:eastAsiaTheme="minorEastAsia" w:hAnsiTheme="minorHAnsi" w:cstheme="minorHAnsi"/>
                <w:szCs w:val="24"/>
                <w:lang w:eastAsia="en-AU"/>
              </w:rPr>
              <w:t xml:space="preserve">change </w:t>
            </w:r>
            <w:r w:rsidRPr="00A22D6A">
              <w:rPr>
                <w:rFonts w:asciiTheme="minorHAnsi" w:eastAsiaTheme="minorEastAsia" w:hAnsiTheme="minorHAnsi" w:cstheme="minorHAnsi"/>
                <w:spacing w:val="-1"/>
                <w:szCs w:val="24"/>
                <w:lang w:eastAsia="en-AU"/>
              </w:rPr>
              <w:t>in</w:t>
            </w:r>
            <w:r w:rsidRPr="00A22D6A">
              <w:rPr>
                <w:rFonts w:asciiTheme="minorHAnsi" w:eastAsiaTheme="minorEastAsia" w:hAnsiTheme="minorHAnsi" w:cstheme="minorHAnsi"/>
                <w:spacing w:val="-7"/>
                <w:szCs w:val="24"/>
                <w:lang w:eastAsia="en-AU"/>
              </w:rPr>
              <w:t xml:space="preserve"> </w:t>
            </w:r>
            <w:r w:rsidRPr="00A22D6A">
              <w:rPr>
                <w:rFonts w:asciiTheme="minorHAnsi" w:eastAsiaTheme="minorEastAsia" w:hAnsiTheme="minorHAnsi" w:cstheme="minorHAnsi"/>
                <w:szCs w:val="24"/>
                <w:lang w:eastAsia="en-AU"/>
              </w:rPr>
              <w:t>cost</w:t>
            </w:r>
          </w:p>
        </w:tc>
      </w:tr>
      <w:tr w:rsidR="00FB744F" w:rsidRPr="00A22D6A" w14:paraId="02D717F5" w14:textId="77777777" w:rsidTr="001A63E9">
        <w:trPr>
          <w:trHeight w:hRule="exact" w:val="410"/>
        </w:trPr>
        <w:tc>
          <w:tcPr>
            <w:tcW w:w="158" w:type="dxa"/>
            <w:tcBorders>
              <w:top w:val="nil"/>
              <w:left w:val="nil"/>
              <w:bottom w:val="nil"/>
              <w:right w:val="single" w:sz="8" w:space="0" w:color="C0504D"/>
            </w:tcBorders>
            <w:shd w:val="clear" w:color="auto" w:fill="FDEADA"/>
          </w:tcPr>
          <w:p w14:paraId="2338CEED"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2117" w:type="dxa"/>
            <w:tcBorders>
              <w:top w:val="nil"/>
              <w:left w:val="nil"/>
              <w:bottom w:val="single" w:sz="8" w:space="0" w:color="C0504D"/>
              <w:right w:val="single" w:sz="8" w:space="0" w:color="C0504D"/>
            </w:tcBorders>
            <w:shd w:val="clear" w:color="auto" w:fill="FDEADA"/>
            <w:hideMark/>
          </w:tcPr>
          <w:p w14:paraId="556718D0"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r w:rsidRPr="00A22D6A">
              <w:rPr>
                <w:rFonts w:asciiTheme="minorHAnsi" w:eastAsiaTheme="minorEastAsia" w:hAnsiTheme="minorHAnsi" w:cstheme="minorHAnsi"/>
                <w:spacing w:val="-1"/>
                <w:szCs w:val="24"/>
                <w:lang w:eastAsia="en-AU"/>
              </w:rPr>
              <w:t>Total,</w:t>
            </w:r>
            <w:r w:rsidRPr="00A22D6A">
              <w:rPr>
                <w:rFonts w:asciiTheme="minorHAnsi" w:eastAsiaTheme="minorEastAsia" w:hAnsiTheme="minorHAnsi" w:cstheme="minorHAnsi"/>
                <w:spacing w:val="-8"/>
                <w:szCs w:val="24"/>
                <w:lang w:eastAsia="en-AU"/>
              </w:rPr>
              <w:t xml:space="preserve"> </w:t>
            </w:r>
            <w:r w:rsidRPr="00A22D6A">
              <w:rPr>
                <w:rFonts w:asciiTheme="minorHAnsi" w:eastAsiaTheme="minorEastAsia" w:hAnsiTheme="minorHAnsi" w:cstheme="minorHAnsi"/>
                <w:spacing w:val="2"/>
                <w:szCs w:val="24"/>
                <w:lang w:eastAsia="en-AU"/>
              </w:rPr>
              <w:t>by</w:t>
            </w:r>
            <w:r w:rsidRPr="00A22D6A">
              <w:rPr>
                <w:rFonts w:asciiTheme="minorHAnsi" w:eastAsiaTheme="minorEastAsia" w:hAnsiTheme="minorHAnsi" w:cstheme="minorHAnsi"/>
                <w:spacing w:val="-10"/>
                <w:szCs w:val="24"/>
                <w:lang w:eastAsia="en-AU"/>
              </w:rPr>
              <w:t xml:space="preserve"> </w:t>
            </w:r>
            <w:r w:rsidRPr="00A22D6A">
              <w:rPr>
                <w:rFonts w:asciiTheme="minorHAnsi" w:eastAsiaTheme="minorEastAsia" w:hAnsiTheme="minorHAnsi" w:cstheme="minorHAnsi"/>
                <w:spacing w:val="-1"/>
                <w:szCs w:val="24"/>
                <w:lang w:eastAsia="en-AU"/>
              </w:rPr>
              <w:t>sector</w:t>
            </w:r>
          </w:p>
        </w:tc>
        <w:tc>
          <w:tcPr>
            <w:tcW w:w="1488" w:type="dxa"/>
            <w:tcBorders>
              <w:top w:val="nil"/>
              <w:left w:val="nil"/>
              <w:bottom w:val="single" w:sz="8" w:space="0" w:color="C0504D"/>
              <w:right w:val="single" w:sz="8" w:space="0" w:color="C0504D"/>
            </w:tcBorders>
            <w:shd w:val="clear" w:color="auto" w:fill="FDEADA"/>
            <w:hideMark/>
          </w:tcPr>
          <w:p w14:paraId="6F2FBEAC"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r w:rsidRPr="00A22D6A">
              <w:rPr>
                <w:rFonts w:asciiTheme="minorHAnsi" w:eastAsiaTheme="minorEastAsia" w:hAnsiTheme="minorHAnsi" w:cstheme="minorHAnsi"/>
                <w:szCs w:val="24"/>
                <w:lang w:eastAsia="en-AU"/>
              </w:rPr>
              <w:t>$7,098,232</w:t>
            </w:r>
          </w:p>
        </w:tc>
        <w:tc>
          <w:tcPr>
            <w:tcW w:w="1488" w:type="dxa"/>
            <w:tcBorders>
              <w:top w:val="nil"/>
              <w:left w:val="nil"/>
              <w:bottom w:val="single" w:sz="8" w:space="0" w:color="C0504D"/>
              <w:right w:val="single" w:sz="8" w:space="0" w:color="C0504D"/>
            </w:tcBorders>
            <w:shd w:val="clear" w:color="auto" w:fill="FDEADA"/>
            <w:hideMark/>
          </w:tcPr>
          <w:p w14:paraId="15B2C7E5"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p>
        </w:tc>
        <w:tc>
          <w:tcPr>
            <w:tcW w:w="1488" w:type="dxa"/>
            <w:tcBorders>
              <w:top w:val="nil"/>
              <w:left w:val="nil"/>
              <w:bottom w:val="single" w:sz="8" w:space="0" w:color="C0504D"/>
              <w:right w:val="single" w:sz="8" w:space="0" w:color="C0504D"/>
            </w:tcBorders>
            <w:shd w:val="clear" w:color="auto" w:fill="FDEADA"/>
            <w:hideMark/>
          </w:tcPr>
          <w:p w14:paraId="06AB55F7"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szCs w:val="24"/>
                <w:lang w:eastAsia="en-AU"/>
              </w:rPr>
            </w:pPr>
          </w:p>
        </w:tc>
        <w:tc>
          <w:tcPr>
            <w:tcW w:w="1490" w:type="dxa"/>
            <w:tcBorders>
              <w:top w:val="nil"/>
              <w:left w:val="nil"/>
              <w:bottom w:val="single" w:sz="8" w:space="0" w:color="C0504D"/>
              <w:right w:val="single" w:sz="8" w:space="0" w:color="C0504D"/>
            </w:tcBorders>
            <w:shd w:val="clear" w:color="auto" w:fill="FDEADA"/>
            <w:hideMark/>
          </w:tcPr>
          <w:p w14:paraId="760D99ED" w14:textId="77777777" w:rsidR="00FB744F" w:rsidRPr="00A22D6A" w:rsidRDefault="00FB744F" w:rsidP="00FB744F">
            <w:pPr>
              <w:overflowPunct w:val="0"/>
              <w:autoSpaceDE w:val="0"/>
              <w:autoSpaceDN w:val="0"/>
              <w:spacing w:after="0"/>
              <w:ind w:left="99"/>
              <w:rPr>
                <w:rFonts w:asciiTheme="minorHAnsi" w:eastAsiaTheme="minorEastAsia" w:hAnsiTheme="minorHAnsi" w:cstheme="minorHAnsi"/>
                <w:b/>
                <w:bCs/>
                <w:szCs w:val="24"/>
                <w:lang w:eastAsia="en-AU"/>
              </w:rPr>
            </w:pPr>
            <w:r w:rsidRPr="00A22D6A">
              <w:rPr>
                <w:rFonts w:asciiTheme="minorHAnsi" w:eastAsiaTheme="minorEastAsia" w:hAnsiTheme="minorHAnsi" w:cstheme="minorHAnsi"/>
                <w:szCs w:val="24"/>
                <w:lang w:eastAsia="en-AU"/>
              </w:rPr>
              <w:t>$7,098,232</w:t>
            </w:r>
          </w:p>
        </w:tc>
      </w:tr>
      <w:tr w:rsidR="00FB744F" w:rsidRPr="00A22D6A" w14:paraId="1F5981F3" w14:textId="77777777" w:rsidTr="001A63E9">
        <w:trPr>
          <w:trHeight w:hRule="exact" w:val="133"/>
        </w:trPr>
        <w:tc>
          <w:tcPr>
            <w:tcW w:w="158" w:type="dxa"/>
            <w:shd w:val="clear" w:color="auto" w:fill="FDEADA"/>
          </w:tcPr>
          <w:p w14:paraId="10BEB30D"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2117" w:type="dxa"/>
            <w:shd w:val="clear" w:color="auto" w:fill="FDEADA"/>
          </w:tcPr>
          <w:p w14:paraId="7EE7B12B"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1488" w:type="dxa"/>
            <w:shd w:val="clear" w:color="auto" w:fill="FDEADA"/>
          </w:tcPr>
          <w:p w14:paraId="1984BF5A"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1488" w:type="dxa"/>
            <w:shd w:val="clear" w:color="auto" w:fill="FDEADA"/>
          </w:tcPr>
          <w:p w14:paraId="14AD9592"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1488" w:type="dxa"/>
            <w:shd w:val="clear" w:color="auto" w:fill="FDEADA"/>
          </w:tcPr>
          <w:p w14:paraId="624FCC84"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c>
          <w:tcPr>
            <w:tcW w:w="1490" w:type="dxa"/>
            <w:shd w:val="clear" w:color="auto" w:fill="FDEADA"/>
          </w:tcPr>
          <w:p w14:paraId="2A65D2EC" w14:textId="77777777" w:rsidR="00FB744F" w:rsidRPr="00A22D6A" w:rsidRDefault="00FB744F" w:rsidP="00FB744F">
            <w:pPr>
              <w:autoSpaceDE w:val="0"/>
              <w:autoSpaceDN w:val="0"/>
              <w:spacing w:after="0"/>
              <w:rPr>
                <w:rFonts w:asciiTheme="minorHAnsi" w:eastAsiaTheme="minorEastAsia" w:hAnsiTheme="minorHAnsi" w:cstheme="minorHAnsi"/>
                <w:szCs w:val="24"/>
                <w:lang w:eastAsia="en-AU"/>
              </w:rPr>
            </w:pPr>
          </w:p>
        </w:tc>
      </w:tr>
    </w:tbl>
    <w:p w14:paraId="47DB156D" w14:textId="77777777" w:rsidR="00FB744F" w:rsidRPr="00A22D6A" w:rsidRDefault="00FB744F" w:rsidP="00FB744F">
      <w:pPr>
        <w:spacing w:after="0"/>
        <w:rPr>
          <w:rFonts w:asciiTheme="minorHAnsi" w:eastAsiaTheme="minorEastAsia" w:hAnsiTheme="minorHAnsi" w:cstheme="minorHAnsi"/>
          <w:szCs w:val="24"/>
        </w:rPr>
      </w:pPr>
    </w:p>
    <w:p w14:paraId="3AD1E1BF" w14:textId="77777777" w:rsidR="00FB744F" w:rsidRPr="00A22D6A" w:rsidRDefault="00FB744F" w:rsidP="00FB744F">
      <w:pPr>
        <w:spacing w:after="0"/>
        <w:rPr>
          <w:rFonts w:asciiTheme="minorHAnsi" w:eastAsiaTheme="minorEastAsia" w:hAnsiTheme="minorHAnsi" w:cstheme="minorHAnsi"/>
          <w:b/>
          <w:bCs/>
          <w:szCs w:val="24"/>
        </w:rPr>
      </w:pPr>
      <w:r w:rsidRPr="00A22D6A">
        <w:rPr>
          <w:rFonts w:asciiTheme="minorHAnsi" w:eastAsiaTheme="minorEastAsia" w:hAnsiTheme="minorHAnsi" w:cstheme="minorHAnsi"/>
          <w:b/>
          <w:bCs/>
          <w:szCs w:val="24"/>
        </w:rPr>
        <w:t>Regulatory savings table</w:t>
      </w:r>
    </w:p>
    <w:tbl>
      <w:tblPr>
        <w:tblStyle w:val="TableGrid"/>
        <w:tblW w:w="0" w:type="auto"/>
        <w:tblLayout w:type="fixed"/>
        <w:tblLook w:val="06A0" w:firstRow="1" w:lastRow="0" w:firstColumn="1" w:lastColumn="0" w:noHBand="1" w:noVBand="1"/>
      </w:tblPr>
      <w:tblGrid>
        <w:gridCol w:w="1502"/>
        <w:gridCol w:w="1502"/>
        <w:gridCol w:w="1502"/>
        <w:gridCol w:w="1650"/>
        <w:gridCol w:w="1500"/>
        <w:gridCol w:w="1358"/>
      </w:tblGrid>
      <w:tr w:rsidR="00FB744F" w:rsidRPr="00A22D6A" w14:paraId="2C2AB39D" w14:textId="77777777" w:rsidTr="001A63E9">
        <w:tc>
          <w:tcPr>
            <w:tcW w:w="1502" w:type="dxa"/>
            <w:shd w:val="clear" w:color="auto" w:fill="E7E6E6" w:themeFill="background2"/>
          </w:tcPr>
          <w:p w14:paraId="20CE2C7D"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Sector</w:t>
            </w:r>
          </w:p>
        </w:tc>
        <w:tc>
          <w:tcPr>
            <w:tcW w:w="1502" w:type="dxa"/>
            <w:shd w:val="clear" w:color="auto" w:fill="E7E6E6" w:themeFill="background2"/>
          </w:tcPr>
          <w:p w14:paraId="208D718F"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Number of fee payments reported</w:t>
            </w:r>
          </w:p>
        </w:tc>
        <w:tc>
          <w:tcPr>
            <w:tcW w:w="1502" w:type="dxa"/>
            <w:shd w:val="clear" w:color="auto" w:fill="E7E6E6" w:themeFill="background2"/>
          </w:tcPr>
          <w:p w14:paraId="6D4A2CA0"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Hours of compliance (number of payments*5minutes/60)</w:t>
            </w:r>
          </w:p>
        </w:tc>
        <w:tc>
          <w:tcPr>
            <w:tcW w:w="1650" w:type="dxa"/>
            <w:shd w:val="clear" w:color="auto" w:fill="E7E6E6" w:themeFill="background2"/>
          </w:tcPr>
          <w:p w14:paraId="519EE05F"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Cost of compliance ($)</w:t>
            </w:r>
          </w:p>
        </w:tc>
        <w:tc>
          <w:tcPr>
            <w:tcW w:w="1500" w:type="dxa"/>
            <w:shd w:val="clear" w:color="auto" w:fill="E7E6E6" w:themeFill="background2"/>
          </w:tcPr>
          <w:p w14:paraId="57128C3B"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Average hours of compliance</w:t>
            </w:r>
          </w:p>
        </w:tc>
        <w:tc>
          <w:tcPr>
            <w:tcW w:w="1358" w:type="dxa"/>
            <w:shd w:val="clear" w:color="auto" w:fill="E7E6E6" w:themeFill="background2"/>
          </w:tcPr>
          <w:p w14:paraId="7D9A869A" w14:textId="77777777" w:rsidR="00FB744F" w:rsidRPr="00A22D6A" w:rsidRDefault="00FB744F" w:rsidP="00FB744F">
            <w:pPr>
              <w:spacing w:after="0"/>
              <w:rPr>
                <w:rFonts w:asciiTheme="minorHAnsi" w:eastAsiaTheme="minorEastAsia" w:hAnsiTheme="minorHAnsi" w:cstheme="minorHAnsi"/>
                <w:b/>
                <w:bCs/>
                <w:color w:val="000000" w:themeColor="text1"/>
                <w:szCs w:val="24"/>
                <w:lang w:eastAsia="en-AU"/>
              </w:rPr>
            </w:pPr>
            <w:r w:rsidRPr="00A22D6A">
              <w:rPr>
                <w:rFonts w:asciiTheme="minorHAnsi" w:eastAsiaTheme="minorEastAsia" w:hAnsiTheme="minorHAnsi" w:cstheme="minorHAnsi"/>
                <w:b/>
                <w:bCs/>
                <w:color w:val="000000" w:themeColor="text1"/>
                <w:szCs w:val="24"/>
                <w:lang w:eastAsia="en-AU"/>
              </w:rPr>
              <w:t>Average cost of compliance</w:t>
            </w:r>
          </w:p>
        </w:tc>
      </w:tr>
      <w:tr w:rsidR="00FB744F" w:rsidRPr="00A22D6A" w14:paraId="6D8F8998" w14:textId="77777777" w:rsidTr="001A63E9">
        <w:tc>
          <w:tcPr>
            <w:tcW w:w="1502" w:type="dxa"/>
          </w:tcPr>
          <w:p w14:paraId="7D3956A3"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Higher Education (HE)</w:t>
            </w:r>
          </w:p>
        </w:tc>
        <w:tc>
          <w:tcPr>
            <w:tcW w:w="1502" w:type="dxa"/>
          </w:tcPr>
          <w:p w14:paraId="1BBDABCB"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133592</w:t>
            </w:r>
          </w:p>
        </w:tc>
        <w:tc>
          <w:tcPr>
            <w:tcW w:w="1502" w:type="dxa"/>
          </w:tcPr>
          <w:p w14:paraId="567458E5"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11132.67</w:t>
            </w:r>
          </w:p>
        </w:tc>
        <w:tc>
          <w:tcPr>
            <w:tcW w:w="1650" w:type="dxa"/>
          </w:tcPr>
          <w:p w14:paraId="48833457"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$ 813,241.30 </w:t>
            </w:r>
          </w:p>
        </w:tc>
        <w:tc>
          <w:tcPr>
            <w:tcW w:w="1500" w:type="dxa"/>
          </w:tcPr>
          <w:p w14:paraId="6C7BBDB4"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126.5075758</w:t>
            </w:r>
          </w:p>
        </w:tc>
        <w:tc>
          <w:tcPr>
            <w:tcW w:w="1358" w:type="dxa"/>
          </w:tcPr>
          <w:p w14:paraId="622982E6"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$ 9,241.38 </w:t>
            </w:r>
          </w:p>
        </w:tc>
      </w:tr>
      <w:tr w:rsidR="00FB744F" w:rsidRPr="00A22D6A" w14:paraId="7E6E21A4" w14:textId="77777777" w:rsidTr="001A63E9">
        <w:tc>
          <w:tcPr>
            <w:tcW w:w="1502" w:type="dxa"/>
          </w:tcPr>
          <w:p w14:paraId="369E7678"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Vocational Education and Training (VET)</w:t>
            </w:r>
          </w:p>
        </w:tc>
        <w:tc>
          <w:tcPr>
            <w:tcW w:w="1502" w:type="dxa"/>
          </w:tcPr>
          <w:p w14:paraId="7833A2F2"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748854</w:t>
            </w:r>
          </w:p>
        </w:tc>
        <w:tc>
          <w:tcPr>
            <w:tcW w:w="1502" w:type="dxa"/>
          </w:tcPr>
          <w:p w14:paraId="6FFF1772"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62404.5</w:t>
            </w:r>
          </w:p>
        </w:tc>
        <w:tc>
          <w:tcPr>
            <w:tcW w:w="1650" w:type="dxa"/>
          </w:tcPr>
          <w:p w14:paraId="2833623B"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$ 4,558,648.73 </w:t>
            </w:r>
          </w:p>
        </w:tc>
        <w:tc>
          <w:tcPr>
            <w:tcW w:w="1500" w:type="dxa"/>
          </w:tcPr>
          <w:p w14:paraId="564C47FA"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100.9781553</w:t>
            </w:r>
          </w:p>
        </w:tc>
        <w:tc>
          <w:tcPr>
            <w:tcW w:w="1358" w:type="dxa"/>
          </w:tcPr>
          <w:p w14:paraId="477213CB"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$ 7,376.45 </w:t>
            </w:r>
          </w:p>
        </w:tc>
      </w:tr>
      <w:tr w:rsidR="00FB744F" w:rsidRPr="00A22D6A" w14:paraId="3ACB8103" w14:textId="77777777" w:rsidTr="001A63E9">
        <w:tc>
          <w:tcPr>
            <w:tcW w:w="1502" w:type="dxa"/>
          </w:tcPr>
          <w:p w14:paraId="620D9B0B"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ELICOS (English Language) </w:t>
            </w:r>
          </w:p>
        </w:tc>
        <w:tc>
          <w:tcPr>
            <w:tcW w:w="1502" w:type="dxa"/>
          </w:tcPr>
          <w:p w14:paraId="3F01E89C"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222314</w:t>
            </w:r>
          </w:p>
        </w:tc>
        <w:tc>
          <w:tcPr>
            <w:tcW w:w="1502" w:type="dxa"/>
          </w:tcPr>
          <w:p w14:paraId="47458CED"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18526.17</w:t>
            </w:r>
          </w:p>
        </w:tc>
        <w:tc>
          <w:tcPr>
            <w:tcW w:w="1650" w:type="dxa"/>
          </w:tcPr>
          <w:p w14:paraId="523C3B49"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$ 1,353,336.48 </w:t>
            </w:r>
          </w:p>
        </w:tc>
        <w:tc>
          <w:tcPr>
            <w:tcW w:w="1500" w:type="dxa"/>
          </w:tcPr>
          <w:p w14:paraId="6BBB3B87"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161.0971014</w:t>
            </w:r>
          </w:p>
        </w:tc>
        <w:tc>
          <w:tcPr>
            <w:tcW w:w="1358" w:type="dxa"/>
          </w:tcPr>
          <w:p w14:paraId="08E7AC59"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$ 11,768.14 </w:t>
            </w:r>
          </w:p>
        </w:tc>
      </w:tr>
      <w:tr w:rsidR="00FB744F" w:rsidRPr="00A22D6A" w14:paraId="4581CD4F" w14:textId="77777777" w:rsidTr="001A63E9">
        <w:tc>
          <w:tcPr>
            <w:tcW w:w="1502" w:type="dxa"/>
          </w:tcPr>
          <w:p w14:paraId="2C213026"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Schools</w:t>
            </w:r>
          </w:p>
        </w:tc>
        <w:tc>
          <w:tcPr>
            <w:tcW w:w="1502" w:type="dxa"/>
          </w:tcPr>
          <w:p w14:paraId="1040F667"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34314</w:t>
            </w:r>
          </w:p>
        </w:tc>
        <w:tc>
          <w:tcPr>
            <w:tcW w:w="1502" w:type="dxa"/>
          </w:tcPr>
          <w:p w14:paraId="273983AB"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2859.5</w:t>
            </w:r>
          </w:p>
        </w:tc>
        <w:tc>
          <w:tcPr>
            <w:tcW w:w="1650" w:type="dxa"/>
          </w:tcPr>
          <w:p w14:paraId="647CFE14"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$ 208,886.48 </w:t>
            </w:r>
          </w:p>
        </w:tc>
        <w:tc>
          <w:tcPr>
            <w:tcW w:w="1500" w:type="dxa"/>
          </w:tcPr>
          <w:p w14:paraId="2A2C1FA1"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8.032303371</w:t>
            </w:r>
          </w:p>
        </w:tc>
        <w:tc>
          <w:tcPr>
            <w:tcW w:w="1358" w:type="dxa"/>
          </w:tcPr>
          <w:p w14:paraId="79C63F92"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$ 586.76 </w:t>
            </w:r>
          </w:p>
        </w:tc>
      </w:tr>
      <w:tr w:rsidR="00FB744F" w:rsidRPr="00A22D6A" w14:paraId="23D97464" w14:textId="77777777" w:rsidTr="001A63E9">
        <w:tc>
          <w:tcPr>
            <w:tcW w:w="1502" w:type="dxa"/>
          </w:tcPr>
          <w:p w14:paraId="1FAE208D"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Non-award / other</w:t>
            </w:r>
          </w:p>
        </w:tc>
        <w:tc>
          <w:tcPr>
            <w:tcW w:w="1502" w:type="dxa"/>
          </w:tcPr>
          <w:p w14:paraId="76237452"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26960</w:t>
            </w:r>
          </w:p>
        </w:tc>
        <w:tc>
          <w:tcPr>
            <w:tcW w:w="1502" w:type="dxa"/>
          </w:tcPr>
          <w:p w14:paraId="49326958"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2246.67</w:t>
            </w:r>
          </w:p>
        </w:tc>
        <w:tc>
          <w:tcPr>
            <w:tcW w:w="1650" w:type="dxa"/>
          </w:tcPr>
          <w:p w14:paraId="2E00430A"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$ 164,119.00 </w:t>
            </w:r>
          </w:p>
        </w:tc>
        <w:tc>
          <w:tcPr>
            <w:tcW w:w="1500" w:type="dxa"/>
          </w:tcPr>
          <w:p w14:paraId="5B18A9F4"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748.8888889</w:t>
            </w:r>
          </w:p>
        </w:tc>
        <w:tc>
          <w:tcPr>
            <w:tcW w:w="1358" w:type="dxa"/>
          </w:tcPr>
          <w:p w14:paraId="5C3CCEE1"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color w:val="000000" w:themeColor="text1"/>
                <w:szCs w:val="24"/>
              </w:rPr>
              <w:t xml:space="preserve"> $ 54,706.33 </w:t>
            </w:r>
          </w:p>
        </w:tc>
      </w:tr>
      <w:tr w:rsidR="00FB744F" w:rsidRPr="00A22D6A" w14:paraId="0334DA67" w14:textId="77777777" w:rsidTr="001A63E9">
        <w:tc>
          <w:tcPr>
            <w:tcW w:w="1502" w:type="dxa"/>
          </w:tcPr>
          <w:p w14:paraId="6852F452"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Total</w:t>
            </w:r>
          </w:p>
        </w:tc>
        <w:tc>
          <w:tcPr>
            <w:tcW w:w="1502" w:type="dxa"/>
          </w:tcPr>
          <w:p w14:paraId="5173DF61"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1166034</w:t>
            </w:r>
          </w:p>
        </w:tc>
        <w:tc>
          <w:tcPr>
            <w:tcW w:w="1502" w:type="dxa"/>
          </w:tcPr>
          <w:p w14:paraId="654D7429"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97169.5</w:t>
            </w:r>
          </w:p>
        </w:tc>
        <w:tc>
          <w:tcPr>
            <w:tcW w:w="1650" w:type="dxa"/>
          </w:tcPr>
          <w:p w14:paraId="676E469F"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 xml:space="preserve"> $ 7,098,231.98 </w:t>
            </w:r>
          </w:p>
        </w:tc>
        <w:tc>
          <w:tcPr>
            <w:tcW w:w="1500" w:type="dxa"/>
          </w:tcPr>
          <w:p w14:paraId="0C983A06"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82.3470339</w:t>
            </w:r>
          </w:p>
        </w:tc>
        <w:tc>
          <w:tcPr>
            <w:tcW w:w="1358" w:type="dxa"/>
          </w:tcPr>
          <w:p w14:paraId="46F6C01C" w14:textId="77777777" w:rsidR="00FB744F" w:rsidRPr="00A22D6A" w:rsidRDefault="00FB744F" w:rsidP="00FB744F">
            <w:pPr>
              <w:spacing w:after="0"/>
              <w:rPr>
                <w:rFonts w:asciiTheme="minorHAnsi" w:hAnsiTheme="minorHAnsi" w:cstheme="minorHAnsi"/>
                <w:szCs w:val="24"/>
              </w:rPr>
            </w:pPr>
            <w:r w:rsidRPr="00A22D6A">
              <w:rPr>
                <w:rFonts w:asciiTheme="minorHAnsi" w:eastAsia="Calibri" w:hAnsiTheme="minorHAnsi" w:cstheme="minorHAnsi"/>
                <w:b/>
                <w:bCs/>
                <w:color w:val="000000" w:themeColor="text1"/>
                <w:szCs w:val="24"/>
              </w:rPr>
              <w:t xml:space="preserve"> $ 6,015.45</w:t>
            </w:r>
          </w:p>
        </w:tc>
      </w:tr>
    </w:tbl>
    <w:p w14:paraId="1DAB47EF" w14:textId="77777777" w:rsidR="00FB744F" w:rsidRPr="00A22D6A" w:rsidRDefault="00FB744F" w:rsidP="00FB744F">
      <w:pPr>
        <w:spacing w:after="0"/>
        <w:rPr>
          <w:rFonts w:asciiTheme="minorHAnsi" w:eastAsiaTheme="minorEastAsia" w:hAnsiTheme="minorHAnsi" w:cstheme="minorHAnsi"/>
          <w:b/>
          <w:bCs/>
          <w:szCs w:val="24"/>
        </w:rPr>
      </w:pPr>
    </w:p>
    <w:p w14:paraId="4EF35D3D"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Number of privately operated CRICOS providers 2019:</w:t>
      </w:r>
    </w:p>
    <w:tbl>
      <w:tblPr>
        <w:tblW w:w="3277" w:type="dxa"/>
        <w:tblLook w:val="04A0" w:firstRow="1" w:lastRow="0" w:firstColumn="1" w:lastColumn="0" w:noHBand="0" w:noVBand="1"/>
      </w:tblPr>
      <w:tblGrid>
        <w:gridCol w:w="1537"/>
        <w:gridCol w:w="1740"/>
      </w:tblGrid>
      <w:tr w:rsidR="00FB744F" w:rsidRPr="00A22D6A" w14:paraId="133C3241" w14:textId="77777777" w:rsidTr="001A63E9">
        <w:trPr>
          <w:trHeight w:val="315"/>
        </w:trPr>
        <w:tc>
          <w:tcPr>
            <w:tcW w:w="1537"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694CCD97" w14:textId="77777777" w:rsidR="00FB744F" w:rsidRPr="00A22D6A" w:rsidRDefault="00FB744F" w:rsidP="00FB744F">
            <w:pPr>
              <w:spacing w:after="0"/>
              <w:rPr>
                <w:rFonts w:asciiTheme="minorHAnsi" w:eastAsia="Times New Roman" w:hAnsiTheme="minorHAnsi" w:cstheme="minorHAnsi"/>
                <w:b/>
                <w:bCs/>
                <w:color w:val="000000"/>
                <w:szCs w:val="24"/>
                <w:lang w:eastAsia="en-AU"/>
              </w:rPr>
            </w:pPr>
            <w:r w:rsidRPr="00A22D6A">
              <w:rPr>
                <w:rFonts w:asciiTheme="minorHAnsi" w:eastAsia="Times New Roman" w:hAnsiTheme="minorHAnsi" w:cstheme="minorHAnsi"/>
                <w:b/>
                <w:bCs/>
                <w:color w:val="000000"/>
                <w:szCs w:val="24"/>
                <w:lang w:eastAsia="en-AU"/>
              </w:rPr>
              <w:t>Sector</w:t>
            </w:r>
          </w:p>
        </w:tc>
        <w:tc>
          <w:tcPr>
            <w:tcW w:w="1740"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4278114B" w14:textId="77777777" w:rsidR="00FB744F" w:rsidRPr="00A22D6A" w:rsidRDefault="00FB744F" w:rsidP="00FB744F">
            <w:pPr>
              <w:spacing w:after="0"/>
              <w:rPr>
                <w:rFonts w:asciiTheme="minorHAnsi" w:eastAsia="Times New Roman" w:hAnsiTheme="minorHAnsi" w:cstheme="minorHAnsi"/>
                <w:b/>
                <w:bCs/>
                <w:color w:val="000000"/>
                <w:szCs w:val="24"/>
                <w:lang w:eastAsia="en-AU"/>
              </w:rPr>
            </w:pPr>
            <w:r w:rsidRPr="00A22D6A">
              <w:rPr>
                <w:rFonts w:asciiTheme="minorHAnsi" w:eastAsia="Times New Roman" w:hAnsiTheme="minorHAnsi" w:cstheme="minorHAnsi"/>
                <w:b/>
                <w:bCs/>
                <w:color w:val="000000"/>
                <w:szCs w:val="24"/>
                <w:lang w:eastAsia="en-AU"/>
              </w:rPr>
              <w:t>Number of Providers</w:t>
            </w:r>
          </w:p>
        </w:tc>
      </w:tr>
      <w:tr w:rsidR="00FB744F" w:rsidRPr="00A22D6A" w14:paraId="60BB2FC5"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0760B073" w14:textId="77777777" w:rsidR="00FB744F" w:rsidRPr="00A22D6A" w:rsidRDefault="00FB744F" w:rsidP="00FB744F">
            <w:pPr>
              <w:spacing w:after="0"/>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Higher Education</w:t>
            </w:r>
          </w:p>
        </w:tc>
        <w:tc>
          <w:tcPr>
            <w:tcW w:w="1740" w:type="dxa"/>
            <w:tcBorders>
              <w:top w:val="nil"/>
              <w:left w:val="nil"/>
              <w:bottom w:val="single" w:sz="8" w:space="0" w:color="auto"/>
              <w:right w:val="single" w:sz="8" w:space="0" w:color="auto"/>
            </w:tcBorders>
            <w:shd w:val="clear" w:color="auto" w:fill="auto"/>
            <w:noWrap/>
            <w:vAlign w:val="center"/>
            <w:hideMark/>
          </w:tcPr>
          <w:p w14:paraId="235DCE2C" w14:textId="77777777" w:rsidR="00FB744F" w:rsidRPr="00A22D6A" w:rsidRDefault="00FB744F" w:rsidP="00FB744F">
            <w:pPr>
              <w:spacing w:after="0"/>
              <w:jc w:val="right"/>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88</w:t>
            </w:r>
          </w:p>
        </w:tc>
      </w:tr>
      <w:tr w:rsidR="00FB744F" w:rsidRPr="00A22D6A" w14:paraId="7E2AE9A1"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082484D7" w14:textId="77777777" w:rsidR="00FB744F" w:rsidRPr="00A22D6A" w:rsidRDefault="00FB744F" w:rsidP="00FB744F">
            <w:pPr>
              <w:spacing w:after="0"/>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VET</w:t>
            </w:r>
          </w:p>
        </w:tc>
        <w:tc>
          <w:tcPr>
            <w:tcW w:w="1740" w:type="dxa"/>
            <w:tcBorders>
              <w:top w:val="nil"/>
              <w:left w:val="nil"/>
              <w:bottom w:val="single" w:sz="8" w:space="0" w:color="auto"/>
              <w:right w:val="single" w:sz="8" w:space="0" w:color="auto"/>
            </w:tcBorders>
            <w:shd w:val="clear" w:color="auto" w:fill="auto"/>
            <w:noWrap/>
            <w:vAlign w:val="center"/>
            <w:hideMark/>
          </w:tcPr>
          <w:p w14:paraId="7C08F1A3" w14:textId="77777777" w:rsidR="00FB744F" w:rsidRPr="00A22D6A" w:rsidRDefault="00FB744F" w:rsidP="00FB744F">
            <w:pPr>
              <w:spacing w:after="0"/>
              <w:jc w:val="right"/>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618</w:t>
            </w:r>
          </w:p>
        </w:tc>
      </w:tr>
      <w:tr w:rsidR="00FB744F" w:rsidRPr="00A22D6A" w14:paraId="565BD408"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4F51C996" w14:textId="77777777" w:rsidR="00FB744F" w:rsidRPr="00A22D6A" w:rsidRDefault="00FB744F" w:rsidP="00FB744F">
            <w:pPr>
              <w:spacing w:after="0"/>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ELICOS</w:t>
            </w:r>
          </w:p>
        </w:tc>
        <w:tc>
          <w:tcPr>
            <w:tcW w:w="1740" w:type="dxa"/>
            <w:tcBorders>
              <w:top w:val="nil"/>
              <w:left w:val="nil"/>
              <w:bottom w:val="single" w:sz="8" w:space="0" w:color="auto"/>
              <w:right w:val="single" w:sz="8" w:space="0" w:color="auto"/>
            </w:tcBorders>
            <w:shd w:val="clear" w:color="auto" w:fill="auto"/>
            <w:noWrap/>
            <w:vAlign w:val="center"/>
            <w:hideMark/>
          </w:tcPr>
          <w:p w14:paraId="0FAF6253" w14:textId="77777777" w:rsidR="00FB744F" w:rsidRPr="00A22D6A" w:rsidRDefault="00FB744F" w:rsidP="00FB744F">
            <w:pPr>
              <w:spacing w:after="0"/>
              <w:jc w:val="right"/>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115</w:t>
            </w:r>
          </w:p>
        </w:tc>
      </w:tr>
      <w:tr w:rsidR="00FB744F" w:rsidRPr="00A22D6A" w14:paraId="63F2645F"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1BE2147F" w14:textId="77777777" w:rsidR="00FB744F" w:rsidRPr="00A22D6A" w:rsidRDefault="00FB744F" w:rsidP="00FB744F">
            <w:pPr>
              <w:spacing w:after="0"/>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Schools</w:t>
            </w:r>
          </w:p>
        </w:tc>
        <w:tc>
          <w:tcPr>
            <w:tcW w:w="1740" w:type="dxa"/>
            <w:tcBorders>
              <w:top w:val="nil"/>
              <w:left w:val="nil"/>
              <w:bottom w:val="single" w:sz="8" w:space="0" w:color="auto"/>
              <w:right w:val="single" w:sz="8" w:space="0" w:color="auto"/>
            </w:tcBorders>
            <w:shd w:val="clear" w:color="auto" w:fill="auto"/>
            <w:noWrap/>
            <w:vAlign w:val="center"/>
            <w:hideMark/>
          </w:tcPr>
          <w:p w14:paraId="4B38FA98" w14:textId="77777777" w:rsidR="00FB744F" w:rsidRPr="00A22D6A" w:rsidRDefault="00FB744F" w:rsidP="00FB744F">
            <w:pPr>
              <w:spacing w:after="0"/>
              <w:jc w:val="right"/>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356</w:t>
            </w:r>
          </w:p>
        </w:tc>
      </w:tr>
      <w:tr w:rsidR="00FB744F" w:rsidRPr="00A22D6A" w14:paraId="36BCCB27"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65017178" w14:textId="77777777" w:rsidR="00FB744F" w:rsidRPr="00A22D6A" w:rsidRDefault="00FB744F" w:rsidP="00FB744F">
            <w:pPr>
              <w:spacing w:after="0"/>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Other</w:t>
            </w:r>
          </w:p>
        </w:tc>
        <w:tc>
          <w:tcPr>
            <w:tcW w:w="1740" w:type="dxa"/>
            <w:tcBorders>
              <w:top w:val="nil"/>
              <w:left w:val="nil"/>
              <w:bottom w:val="single" w:sz="8" w:space="0" w:color="auto"/>
              <w:right w:val="single" w:sz="8" w:space="0" w:color="auto"/>
            </w:tcBorders>
            <w:shd w:val="clear" w:color="auto" w:fill="auto"/>
            <w:noWrap/>
            <w:vAlign w:val="center"/>
            <w:hideMark/>
          </w:tcPr>
          <w:p w14:paraId="036AE416" w14:textId="77777777" w:rsidR="00FB744F" w:rsidRPr="00A22D6A" w:rsidRDefault="00FB744F" w:rsidP="00FB744F">
            <w:pPr>
              <w:spacing w:after="0"/>
              <w:jc w:val="right"/>
              <w:rPr>
                <w:rFonts w:asciiTheme="minorHAnsi" w:eastAsia="Times New Roman" w:hAnsiTheme="minorHAnsi" w:cstheme="minorHAnsi"/>
                <w:color w:val="000000"/>
                <w:szCs w:val="24"/>
                <w:lang w:eastAsia="en-AU"/>
              </w:rPr>
            </w:pPr>
            <w:r w:rsidRPr="00A22D6A">
              <w:rPr>
                <w:rFonts w:asciiTheme="minorHAnsi" w:eastAsia="Times New Roman" w:hAnsiTheme="minorHAnsi" w:cstheme="minorHAnsi"/>
                <w:color w:val="000000"/>
                <w:szCs w:val="24"/>
                <w:lang w:eastAsia="en-AU"/>
              </w:rPr>
              <w:t>3</w:t>
            </w:r>
          </w:p>
        </w:tc>
      </w:tr>
      <w:tr w:rsidR="00FB744F" w:rsidRPr="00A22D6A" w14:paraId="6AE4566F" w14:textId="77777777" w:rsidTr="001A63E9">
        <w:trPr>
          <w:trHeight w:val="315"/>
        </w:trPr>
        <w:tc>
          <w:tcPr>
            <w:tcW w:w="1537" w:type="dxa"/>
            <w:tcBorders>
              <w:top w:val="nil"/>
              <w:left w:val="single" w:sz="8" w:space="0" w:color="auto"/>
              <w:bottom w:val="single" w:sz="8" w:space="0" w:color="auto"/>
              <w:right w:val="single" w:sz="8" w:space="0" w:color="auto"/>
            </w:tcBorders>
            <w:shd w:val="clear" w:color="auto" w:fill="auto"/>
            <w:noWrap/>
            <w:vAlign w:val="center"/>
            <w:hideMark/>
          </w:tcPr>
          <w:p w14:paraId="03CA62A0" w14:textId="77777777" w:rsidR="00FB744F" w:rsidRPr="00A22D6A" w:rsidRDefault="00FB744F" w:rsidP="00FB744F">
            <w:pPr>
              <w:spacing w:after="0"/>
              <w:rPr>
                <w:rFonts w:asciiTheme="minorHAnsi" w:eastAsia="Times New Roman" w:hAnsiTheme="minorHAnsi" w:cstheme="minorHAnsi"/>
                <w:b/>
                <w:bCs/>
                <w:color w:val="000000"/>
                <w:szCs w:val="24"/>
                <w:lang w:eastAsia="en-AU"/>
              </w:rPr>
            </w:pPr>
            <w:r w:rsidRPr="00A22D6A">
              <w:rPr>
                <w:rFonts w:asciiTheme="minorHAnsi" w:eastAsia="Times New Roman" w:hAnsiTheme="minorHAnsi" w:cstheme="minorHAnsi"/>
                <w:b/>
                <w:bCs/>
                <w:color w:val="000000"/>
                <w:szCs w:val="24"/>
                <w:lang w:eastAsia="en-AU"/>
              </w:rPr>
              <w:t>Total</w:t>
            </w:r>
          </w:p>
        </w:tc>
        <w:tc>
          <w:tcPr>
            <w:tcW w:w="1740" w:type="dxa"/>
            <w:tcBorders>
              <w:top w:val="nil"/>
              <w:left w:val="nil"/>
              <w:bottom w:val="single" w:sz="8" w:space="0" w:color="auto"/>
              <w:right w:val="single" w:sz="8" w:space="0" w:color="auto"/>
            </w:tcBorders>
            <w:shd w:val="clear" w:color="auto" w:fill="auto"/>
            <w:noWrap/>
            <w:vAlign w:val="center"/>
            <w:hideMark/>
          </w:tcPr>
          <w:p w14:paraId="0636443C" w14:textId="77777777" w:rsidR="00FB744F" w:rsidRPr="00A22D6A" w:rsidRDefault="00FB744F" w:rsidP="00FB744F">
            <w:pPr>
              <w:spacing w:after="0"/>
              <w:jc w:val="right"/>
              <w:rPr>
                <w:rFonts w:asciiTheme="minorHAnsi" w:eastAsia="Times New Roman" w:hAnsiTheme="minorHAnsi" w:cstheme="minorHAnsi"/>
                <w:b/>
                <w:bCs/>
                <w:color w:val="000000"/>
                <w:szCs w:val="24"/>
                <w:lang w:eastAsia="en-AU"/>
              </w:rPr>
            </w:pPr>
            <w:r w:rsidRPr="00A22D6A">
              <w:rPr>
                <w:rFonts w:asciiTheme="minorHAnsi" w:eastAsia="Times New Roman" w:hAnsiTheme="minorHAnsi" w:cstheme="minorHAnsi"/>
                <w:b/>
                <w:bCs/>
                <w:color w:val="000000"/>
                <w:szCs w:val="24"/>
                <w:lang w:eastAsia="en-AU"/>
              </w:rPr>
              <w:t>1180</w:t>
            </w:r>
          </w:p>
        </w:tc>
      </w:tr>
    </w:tbl>
    <w:p w14:paraId="54D4D9B5" w14:textId="49F2ADC0" w:rsidR="00FB744F" w:rsidRPr="00A22D6A" w:rsidRDefault="00FB744F" w:rsidP="00FB744F">
      <w:pPr>
        <w:spacing w:after="0"/>
        <w:rPr>
          <w:rFonts w:asciiTheme="minorHAnsi" w:eastAsiaTheme="minorEastAsia" w:hAnsiTheme="minorHAnsi" w:cstheme="minorHAnsi"/>
          <w:szCs w:val="24"/>
        </w:rPr>
      </w:pPr>
    </w:p>
    <w:p w14:paraId="7E006F95" w14:textId="77777777" w:rsidR="00FB744F" w:rsidRPr="00A22D6A" w:rsidRDefault="00FB744F" w:rsidP="00FB744F">
      <w:pPr>
        <w:spacing w:after="0"/>
        <w:rPr>
          <w:rFonts w:asciiTheme="minorHAnsi" w:eastAsiaTheme="minorEastAsia" w:hAnsiTheme="minorHAnsi" w:cstheme="minorHAnsi"/>
          <w:szCs w:val="24"/>
        </w:rPr>
      </w:pPr>
    </w:p>
    <w:p w14:paraId="04B0D87D"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lastRenderedPageBreak/>
        <w:t>Overseas student enrolments by sector 2019:</w:t>
      </w:r>
    </w:p>
    <w:tbl>
      <w:tblPr>
        <w:tblW w:w="9155" w:type="dxa"/>
        <w:tblCellMar>
          <w:left w:w="0" w:type="dxa"/>
          <w:right w:w="0" w:type="dxa"/>
        </w:tblCellMar>
        <w:tblLook w:val="04A0" w:firstRow="1" w:lastRow="0" w:firstColumn="1" w:lastColumn="0" w:noHBand="0" w:noVBand="1"/>
      </w:tblPr>
      <w:tblGrid>
        <w:gridCol w:w="2116"/>
        <w:gridCol w:w="1703"/>
        <w:gridCol w:w="1748"/>
        <w:gridCol w:w="2151"/>
        <w:gridCol w:w="1437"/>
      </w:tblGrid>
      <w:tr w:rsidR="00FB744F" w:rsidRPr="00A22D6A" w14:paraId="349DC97B" w14:textId="77777777" w:rsidTr="001A63E9">
        <w:trPr>
          <w:trHeight w:val="603"/>
        </w:trPr>
        <w:tc>
          <w:tcPr>
            <w:tcW w:w="2116"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0F6DDDD3" w14:textId="77777777" w:rsidR="00FB744F" w:rsidRPr="00A22D6A" w:rsidRDefault="00FB744F" w:rsidP="00FB744F">
            <w:pPr>
              <w:spacing w:after="0"/>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 </w:t>
            </w:r>
          </w:p>
        </w:tc>
        <w:tc>
          <w:tcPr>
            <w:tcW w:w="1703"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04E393CA"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Full Enrolments</w:t>
            </w:r>
          </w:p>
        </w:tc>
        <w:tc>
          <w:tcPr>
            <w:tcW w:w="1748"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29A95F56"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Half Enrolments</w:t>
            </w:r>
          </w:p>
        </w:tc>
        <w:tc>
          <w:tcPr>
            <w:tcW w:w="215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1BB2D7F"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Quarter Enrolments</w:t>
            </w:r>
          </w:p>
        </w:tc>
        <w:tc>
          <w:tcPr>
            <w:tcW w:w="143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4CD575F"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Enrolments</w:t>
            </w:r>
          </w:p>
        </w:tc>
      </w:tr>
      <w:tr w:rsidR="00FB744F" w:rsidRPr="00A22D6A" w14:paraId="1B2E2BC6"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731BA"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HE</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B6F55"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51,192</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AE3A7"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19,709</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C33FE"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11,499</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36533"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63,921</w:t>
            </w:r>
          </w:p>
        </w:tc>
      </w:tr>
      <w:tr w:rsidR="00FB744F" w:rsidRPr="00A22D6A" w14:paraId="49C40103"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20107"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VET</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E48ED"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128,714</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08EB4"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84,775</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F6ABB"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64,448</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4B84"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187,214</w:t>
            </w:r>
          </w:p>
        </w:tc>
      </w:tr>
      <w:tr w:rsidR="00FB744F" w:rsidRPr="00A22D6A" w14:paraId="1950F165"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7A5E1"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ELICOS</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3A81E"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17,705</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558A6"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39,247</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6924C"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73,000</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75E13"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55,579</w:t>
            </w:r>
          </w:p>
        </w:tc>
      </w:tr>
      <w:tr w:rsidR="00FB744F" w:rsidRPr="00A22D6A" w14:paraId="0533859F"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97825"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Schools</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31616"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7,945</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2FA05"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1,042</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E7C38"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450</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0211F"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8,579</w:t>
            </w:r>
          </w:p>
        </w:tc>
      </w:tr>
      <w:tr w:rsidR="00FB744F" w:rsidRPr="00A22D6A" w14:paraId="437C9A67"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9D2B2"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Non-award / other</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4B767"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4,236</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CC1DC"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4,477</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5EDC9"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1,062</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02231"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6,740</w:t>
            </w:r>
          </w:p>
        </w:tc>
      </w:tr>
      <w:tr w:rsidR="00FB744F" w:rsidRPr="00A22D6A" w14:paraId="679DC9B0" w14:textId="77777777" w:rsidTr="001A63E9">
        <w:trPr>
          <w:trHeight w:val="309"/>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C2AC6"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Total</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1C11B" w14:textId="77777777" w:rsidR="00FB744F" w:rsidRPr="00A22D6A" w:rsidRDefault="00FB744F" w:rsidP="00FB744F">
            <w:pPr>
              <w:spacing w:after="0"/>
              <w:jc w:val="right"/>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209,792</w:t>
            </w:r>
          </w:p>
        </w:tc>
        <w:tc>
          <w:tcPr>
            <w:tcW w:w="1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9CDC0" w14:textId="77777777" w:rsidR="00FB744F" w:rsidRPr="00A22D6A" w:rsidRDefault="00FB744F" w:rsidP="00FB744F">
            <w:pPr>
              <w:spacing w:after="0"/>
              <w:jc w:val="right"/>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149,250</w:t>
            </w:r>
          </w:p>
        </w:tc>
        <w:tc>
          <w:tcPr>
            <w:tcW w:w="2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70749" w14:textId="77777777" w:rsidR="00FB744F" w:rsidRPr="00A22D6A" w:rsidRDefault="00FB744F" w:rsidP="00FB744F">
            <w:pPr>
              <w:spacing w:after="0"/>
              <w:jc w:val="right"/>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150,459</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F2868" w14:textId="77777777" w:rsidR="00FB744F" w:rsidRPr="00A22D6A" w:rsidRDefault="00FB744F" w:rsidP="00FB744F">
            <w:pPr>
              <w:spacing w:after="0"/>
              <w:jc w:val="right"/>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322,031</w:t>
            </w:r>
          </w:p>
        </w:tc>
      </w:tr>
    </w:tbl>
    <w:p w14:paraId="2B4F4FB6" w14:textId="77777777" w:rsidR="00FB744F" w:rsidRPr="00A22D6A" w:rsidRDefault="00FB744F" w:rsidP="00FB744F">
      <w:pPr>
        <w:spacing w:after="0"/>
        <w:rPr>
          <w:rFonts w:asciiTheme="minorHAnsi" w:eastAsiaTheme="minorEastAsia" w:hAnsiTheme="minorHAnsi" w:cstheme="minorHAnsi"/>
          <w:szCs w:val="24"/>
        </w:rPr>
      </w:pPr>
    </w:p>
    <w:p w14:paraId="1CB1CCBD"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Assuming that HE sector collects student fees every semester and the other sectors collect every quarter, we can estimate the </w:t>
      </w:r>
      <w:r w:rsidRPr="00A22D6A">
        <w:rPr>
          <w:rFonts w:asciiTheme="minorHAnsi" w:eastAsiaTheme="minorEastAsia" w:hAnsiTheme="minorHAnsi" w:cstheme="minorHAnsi"/>
          <w:b/>
          <w:bCs/>
          <w:szCs w:val="24"/>
        </w:rPr>
        <w:t>number of times</w:t>
      </w:r>
      <w:r w:rsidRPr="00A22D6A">
        <w:rPr>
          <w:rFonts w:asciiTheme="minorHAnsi" w:eastAsiaTheme="minorEastAsia" w:hAnsiTheme="minorHAnsi" w:cstheme="minorHAnsi"/>
          <w:szCs w:val="24"/>
        </w:rPr>
        <w:t xml:space="preserve"> fees will be collected and recorded on PRISMS per year:</w:t>
      </w:r>
    </w:p>
    <w:tbl>
      <w:tblPr>
        <w:tblW w:w="9272" w:type="dxa"/>
        <w:tblCellMar>
          <w:left w:w="0" w:type="dxa"/>
          <w:right w:w="0" w:type="dxa"/>
        </w:tblCellMar>
        <w:tblLook w:val="04A0" w:firstRow="1" w:lastRow="0" w:firstColumn="1" w:lastColumn="0" w:noHBand="0" w:noVBand="1"/>
      </w:tblPr>
      <w:tblGrid>
        <w:gridCol w:w="2040"/>
        <w:gridCol w:w="2415"/>
        <w:gridCol w:w="2481"/>
        <w:gridCol w:w="2336"/>
      </w:tblGrid>
      <w:tr w:rsidR="00FB744F" w:rsidRPr="00A22D6A" w14:paraId="7FD3505D" w14:textId="77777777" w:rsidTr="001A63E9">
        <w:trPr>
          <w:trHeight w:val="599"/>
        </w:trPr>
        <w:tc>
          <w:tcPr>
            <w:tcW w:w="2040"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C083D68" w14:textId="77777777" w:rsidR="00FB744F" w:rsidRPr="00A22D6A" w:rsidRDefault="00FB744F" w:rsidP="00FB744F">
            <w:pPr>
              <w:spacing w:after="0"/>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 </w:t>
            </w:r>
          </w:p>
        </w:tc>
        <w:tc>
          <w:tcPr>
            <w:tcW w:w="241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1328BB51"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Full Enrolments</w:t>
            </w:r>
          </w:p>
        </w:tc>
        <w:tc>
          <w:tcPr>
            <w:tcW w:w="248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1CA6C1B5"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Half Enrolments</w:t>
            </w:r>
          </w:p>
        </w:tc>
        <w:tc>
          <w:tcPr>
            <w:tcW w:w="233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446207D5"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Calculated Quarter Enrolments*</w:t>
            </w:r>
          </w:p>
        </w:tc>
      </w:tr>
      <w:tr w:rsidR="00FB744F" w:rsidRPr="00A22D6A" w14:paraId="31C2F5AA" w14:textId="77777777" w:rsidTr="001A63E9">
        <w:trPr>
          <w:trHeight w:val="30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F05C1"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HE</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CB4A1"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2</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A2D1A"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10327"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r>
      <w:tr w:rsidR="00FB744F" w:rsidRPr="00A22D6A" w14:paraId="3060FF56" w14:textId="77777777" w:rsidTr="001A63E9">
        <w:trPr>
          <w:trHeight w:val="30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75666"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VET</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A4026"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BDB61"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2</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BEF87"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r>
      <w:tr w:rsidR="00FB744F" w:rsidRPr="00A22D6A" w14:paraId="540066F2" w14:textId="77777777" w:rsidTr="001A63E9">
        <w:trPr>
          <w:trHeight w:val="30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0524C"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ELICOS</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1EF19"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E627B"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2</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4DEB3"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r>
      <w:tr w:rsidR="00FB744F" w:rsidRPr="00A22D6A" w14:paraId="5A75BF74" w14:textId="77777777" w:rsidTr="001A63E9">
        <w:trPr>
          <w:trHeight w:val="30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A3DAA"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Schools</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C5DE1"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A4047"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2</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0BED4"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r>
      <w:tr w:rsidR="00FB744F" w:rsidRPr="00A22D6A" w14:paraId="0EFF2F8A" w14:textId="77777777" w:rsidTr="001A63E9">
        <w:trPr>
          <w:trHeight w:val="307"/>
        </w:trPr>
        <w:tc>
          <w:tcPr>
            <w:tcW w:w="2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EA951"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Non-award / other</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28302"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4</w:t>
            </w:r>
          </w:p>
        </w:tc>
        <w:tc>
          <w:tcPr>
            <w:tcW w:w="2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C3DC"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2</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EAA7D" w14:textId="77777777" w:rsidR="00FB744F" w:rsidRPr="00A22D6A" w:rsidRDefault="00FB744F" w:rsidP="00FB744F">
            <w:pPr>
              <w:spacing w:after="0"/>
              <w:jc w:val="right"/>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1</w:t>
            </w:r>
          </w:p>
        </w:tc>
      </w:tr>
    </w:tbl>
    <w:p w14:paraId="6ECF8876"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*Quarter enrolments would record a payment each quarter regardless of sector</w:t>
      </w:r>
    </w:p>
    <w:p w14:paraId="2AB31413"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Assuming 5 minutes, 10 minutes and 15 minutes of work time per student, and an hourly rate of $73.05, the following table can be calculated using the formula: </w:t>
      </w:r>
    </w:p>
    <w:p w14:paraId="3315E476" w14:textId="77777777" w:rsidR="00FB744F" w:rsidRPr="00A22D6A" w:rsidRDefault="00FB744F" w:rsidP="00FB744F">
      <w:pPr>
        <w:spacing w:after="0"/>
        <w:jc w:val="center"/>
        <w:rPr>
          <w:rFonts w:asciiTheme="minorHAnsi" w:eastAsiaTheme="minorEastAsia" w:hAnsiTheme="minorHAnsi" w:cstheme="minorHAnsi"/>
          <w:szCs w:val="24"/>
        </w:rPr>
      </w:pPr>
      <w:r w:rsidRPr="00A22D6A">
        <w:rPr>
          <w:rFonts w:asciiTheme="minorHAnsi" w:hAnsiTheme="minorHAnsi" w:cstheme="minorHAnsi"/>
          <w:noProof/>
          <w:szCs w:val="24"/>
        </w:rPr>
        <w:drawing>
          <wp:inline distT="0" distB="0" distL="0" distR="0" wp14:anchorId="4882EEFA" wp14:editId="6216B5E0">
            <wp:extent cx="4770434" cy="579437"/>
            <wp:effectExtent l="0" t="0" r="0" b="0"/>
            <wp:docPr id="340125968" name="Picture 34012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770434" cy="579437"/>
                    </a:xfrm>
                    <a:prstGeom prst="rect">
                      <a:avLst/>
                    </a:prstGeom>
                  </pic:spPr>
                </pic:pic>
              </a:graphicData>
            </a:graphic>
          </wp:inline>
        </w:drawing>
      </w:r>
      <w:r w:rsidRPr="00A22D6A">
        <w:rPr>
          <w:rFonts w:asciiTheme="minorHAnsi" w:eastAsiaTheme="minorEastAsia" w:hAnsiTheme="minorHAnsi" w:cstheme="minorHAnsi"/>
          <w:szCs w:val="24"/>
        </w:rPr>
        <w:t> </w:t>
      </w:r>
    </w:p>
    <w:tbl>
      <w:tblPr>
        <w:tblW w:w="9397" w:type="dxa"/>
        <w:tblCellMar>
          <w:left w:w="0" w:type="dxa"/>
          <w:right w:w="0" w:type="dxa"/>
        </w:tblCellMar>
        <w:tblLook w:val="04A0" w:firstRow="1" w:lastRow="0" w:firstColumn="1" w:lastColumn="0" w:noHBand="0" w:noVBand="1"/>
      </w:tblPr>
      <w:tblGrid>
        <w:gridCol w:w="1555"/>
        <w:gridCol w:w="1920"/>
        <w:gridCol w:w="1830"/>
        <w:gridCol w:w="2280"/>
        <w:gridCol w:w="1812"/>
      </w:tblGrid>
      <w:tr w:rsidR="00FB744F" w:rsidRPr="00A22D6A" w14:paraId="4A615B1D" w14:textId="77777777" w:rsidTr="001A63E9">
        <w:trPr>
          <w:trHeight w:val="831"/>
        </w:trPr>
        <w:tc>
          <w:tcPr>
            <w:tcW w:w="1555"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9EA4840" w14:textId="77777777" w:rsidR="00FB744F" w:rsidRPr="00A22D6A" w:rsidRDefault="00FB744F" w:rsidP="00FB744F">
            <w:pPr>
              <w:spacing w:after="0"/>
              <w:rPr>
                <w:rFonts w:asciiTheme="minorHAnsi" w:eastAsiaTheme="minorEastAsia" w:hAnsiTheme="minorHAnsi" w:cstheme="minorHAnsi"/>
                <w:color w:val="000000"/>
                <w:szCs w:val="24"/>
                <w:lang w:eastAsia="en-AU"/>
              </w:rPr>
            </w:pPr>
            <w:r w:rsidRPr="00A22D6A">
              <w:rPr>
                <w:rFonts w:asciiTheme="minorHAnsi" w:eastAsiaTheme="minorEastAsia" w:hAnsiTheme="minorHAnsi" w:cstheme="minorHAnsi"/>
                <w:color w:val="000000" w:themeColor="text1"/>
                <w:szCs w:val="24"/>
                <w:lang w:eastAsia="en-AU"/>
              </w:rPr>
              <w:t> </w:t>
            </w:r>
          </w:p>
        </w:tc>
        <w:tc>
          <w:tcPr>
            <w:tcW w:w="192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5BE2A0BB"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 xml:space="preserve">Calculated Full Enrolments </w:t>
            </w:r>
          </w:p>
        </w:tc>
        <w:tc>
          <w:tcPr>
            <w:tcW w:w="18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203D0BD7"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 xml:space="preserve"> Calculated Half Enrolments </w:t>
            </w:r>
          </w:p>
        </w:tc>
        <w:tc>
          <w:tcPr>
            <w:tcW w:w="228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60FBEBC7"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 xml:space="preserve"> Calculated Quarter Enrolments </w:t>
            </w:r>
          </w:p>
        </w:tc>
        <w:tc>
          <w:tcPr>
            <w:tcW w:w="181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3B9125BB"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 xml:space="preserve"> Grand Total </w:t>
            </w:r>
          </w:p>
        </w:tc>
      </w:tr>
      <w:tr w:rsidR="00FB744F" w:rsidRPr="00A22D6A" w14:paraId="190540C5" w14:textId="77777777" w:rsidTr="001A63E9">
        <w:trPr>
          <w:trHeight w:val="277"/>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F13BC2" w14:textId="77777777" w:rsidR="00FB744F" w:rsidRPr="00A22D6A" w:rsidRDefault="00FB744F" w:rsidP="00FB744F">
            <w:pPr>
              <w:spacing w:after="0"/>
              <w:rPr>
                <w:rFonts w:asciiTheme="minorHAnsi" w:eastAsiaTheme="minorEastAsia" w:hAnsiTheme="minorHAnsi" w:cstheme="minorHAnsi"/>
                <w:b/>
                <w:bCs/>
                <w:color w:val="FF0000"/>
                <w:szCs w:val="24"/>
                <w:lang w:eastAsia="en-AU"/>
              </w:rPr>
            </w:pPr>
            <w:r w:rsidRPr="00A22D6A">
              <w:rPr>
                <w:rFonts w:asciiTheme="minorHAnsi" w:eastAsiaTheme="minorEastAsia" w:hAnsiTheme="minorHAnsi" w:cstheme="minorHAnsi"/>
                <w:b/>
                <w:bCs/>
                <w:color w:val="FF0000"/>
                <w:szCs w:val="24"/>
                <w:lang w:eastAsia="en-AU"/>
              </w:rPr>
              <w:t xml:space="preserve"> 5 minutes </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E3B3F" w14:textId="77777777" w:rsidR="00FB744F" w:rsidRPr="00A22D6A" w:rsidRDefault="00FB744F" w:rsidP="00FB744F">
            <w:pPr>
              <w:spacing w:after="0"/>
              <w:rPr>
                <w:rFonts w:asciiTheme="minorHAnsi" w:eastAsiaTheme="minorEastAsia" w:hAnsiTheme="minorHAnsi" w:cstheme="minorHAnsi"/>
                <w:color w:val="FF0000"/>
                <w:szCs w:val="24"/>
                <w:lang w:eastAsia="en-AU"/>
              </w:rPr>
            </w:pPr>
            <w:r w:rsidRPr="00A22D6A">
              <w:rPr>
                <w:rFonts w:asciiTheme="minorHAnsi" w:eastAsiaTheme="minorEastAsia" w:hAnsiTheme="minorHAnsi" w:cstheme="minorHAnsi"/>
                <w:color w:val="FF0000"/>
                <w:szCs w:val="24"/>
                <w:lang w:eastAsia="en-AU"/>
              </w:rPr>
              <w:t xml:space="preserve"> $4,485,172.60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3BB72" w14:textId="77777777" w:rsidR="00FB744F" w:rsidRPr="00A22D6A" w:rsidRDefault="00FB744F" w:rsidP="00FB744F">
            <w:pPr>
              <w:spacing w:after="0"/>
              <w:rPr>
                <w:rFonts w:asciiTheme="minorHAnsi" w:eastAsiaTheme="minorEastAsia" w:hAnsiTheme="minorHAnsi" w:cstheme="minorHAnsi"/>
                <w:color w:val="FF0000"/>
                <w:szCs w:val="24"/>
                <w:lang w:eastAsia="en-AU"/>
              </w:rPr>
            </w:pPr>
            <w:r w:rsidRPr="00A22D6A">
              <w:rPr>
                <w:rFonts w:asciiTheme="minorHAnsi" w:eastAsiaTheme="minorEastAsia" w:hAnsiTheme="minorHAnsi" w:cstheme="minorHAnsi"/>
                <w:color w:val="FF0000"/>
                <w:szCs w:val="24"/>
                <w:lang w:eastAsia="en-AU"/>
              </w:rPr>
              <w:t xml:space="preserve"> $1,697,140.21 </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B0345" w14:textId="77777777" w:rsidR="00FB744F" w:rsidRPr="00A22D6A" w:rsidRDefault="00FB744F" w:rsidP="00FB744F">
            <w:pPr>
              <w:spacing w:after="0"/>
              <w:rPr>
                <w:rFonts w:asciiTheme="minorHAnsi" w:eastAsiaTheme="minorEastAsia" w:hAnsiTheme="minorHAnsi" w:cstheme="minorHAnsi"/>
                <w:color w:val="FF0000"/>
                <w:szCs w:val="24"/>
                <w:lang w:eastAsia="en-AU"/>
              </w:rPr>
            </w:pPr>
            <w:r w:rsidRPr="00A22D6A">
              <w:rPr>
                <w:rFonts w:asciiTheme="minorHAnsi" w:eastAsiaTheme="minorEastAsia" w:hAnsiTheme="minorHAnsi" w:cstheme="minorHAnsi"/>
                <w:color w:val="FF0000"/>
                <w:szCs w:val="24"/>
                <w:lang w:eastAsia="en-AU"/>
              </w:rPr>
              <w:t xml:space="preserve"> $915,919.16 </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793579" w14:textId="77777777" w:rsidR="00FB744F" w:rsidRPr="00A22D6A" w:rsidRDefault="00FB744F" w:rsidP="00FB744F">
            <w:pPr>
              <w:spacing w:after="0"/>
              <w:rPr>
                <w:rFonts w:asciiTheme="minorHAnsi" w:eastAsiaTheme="minorEastAsia" w:hAnsiTheme="minorHAnsi" w:cstheme="minorHAnsi"/>
                <w:color w:val="FF0000"/>
                <w:szCs w:val="24"/>
                <w:lang w:eastAsia="en-AU"/>
              </w:rPr>
            </w:pPr>
            <w:r w:rsidRPr="00A22D6A">
              <w:rPr>
                <w:rFonts w:asciiTheme="minorHAnsi" w:eastAsiaTheme="minorEastAsia" w:hAnsiTheme="minorHAnsi" w:cstheme="minorHAnsi"/>
                <w:b/>
                <w:bCs/>
                <w:color w:val="FF0000"/>
                <w:szCs w:val="24"/>
                <w:lang w:eastAsia="en-AU"/>
              </w:rPr>
              <w:t> $7,098,231.98</w:t>
            </w:r>
            <w:r w:rsidRPr="00A22D6A">
              <w:rPr>
                <w:rFonts w:asciiTheme="minorHAnsi" w:eastAsiaTheme="minorEastAsia" w:hAnsiTheme="minorHAnsi" w:cstheme="minorHAnsi"/>
                <w:color w:val="FF0000"/>
                <w:szCs w:val="24"/>
                <w:lang w:eastAsia="en-AU"/>
              </w:rPr>
              <w:t xml:space="preserve"> </w:t>
            </w:r>
          </w:p>
        </w:tc>
      </w:tr>
      <w:tr w:rsidR="00FB744F" w:rsidRPr="00A22D6A" w14:paraId="069C20C3" w14:textId="77777777" w:rsidTr="001A63E9">
        <w:trPr>
          <w:trHeight w:val="277"/>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288EC" w14:textId="77777777" w:rsidR="00FB744F" w:rsidRPr="00A22D6A" w:rsidRDefault="00FB744F" w:rsidP="00FB744F">
            <w:pPr>
              <w:spacing w:after="0"/>
              <w:rPr>
                <w:rFonts w:asciiTheme="minorHAnsi" w:eastAsiaTheme="minorEastAsia" w:hAnsiTheme="minorHAnsi" w:cstheme="minorHAnsi"/>
                <w:b/>
                <w:bCs/>
                <w:szCs w:val="24"/>
                <w:lang w:eastAsia="en-AU"/>
              </w:rPr>
            </w:pPr>
            <w:r w:rsidRPr="00A22D6A">
              <w:rPr>
                <w:rFonts w:asciiTheme="minorHAnsi" w:eastAsiaTheme="minorEastAsia" w:hAnsiTheme="minorHAnsi" w:cstheme="minorHAnsi"/>
                <w:b/>
                <w:bCs/>
                <w:szCs w:val="24"/>
                <w:lang w:eastAsia="en-AU"/>
              </w:rPr>
              <w:t>10 minutes</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BD141"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$8,970,345.20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7667B"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 $3,394,280.43 </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35B8B"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 $1,831,838.33 </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3BBBAF"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$14,196,463.95</w:t>
            </w:r>
          </w:p>
        </w:tc>
      </w:tr>
      <w:tr w:rsidR="00FB744F" w:rsidRPr="00A22D6A" w14:paraId="03EB6328" w14:textId="77777777" w:rsidTr="001A63E9">
        <w:trPr>
          <w:trHeight w:val="390"/>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199CE" w14:textId="77777777" w:rsidR="00FB744F" w:rsidRPr="00A22D6A" w:rsidRDefault="00FB744F" w:rsidP="00FB744F">
            <w:pPr>
              <w:spacing w:after="0"/>
              <w:rPr>
                <w:rFonts w:asciiTheme="minorHAnsi" w:eastAsiaTheme="minorEastAsia" w:hAnsiTheme="minorHAnsi" w:cstheme="minorHAnsi"/>
                <w:b/>
                <w:bCs/>
                <w:color w:val="000000"/>
                <w:szCs w:val="24"/>
                <w:lang w:eastAsia="en-AU"/>
              </w:rPr>
            </w:pPr>
            <w:r w:rsidRPr="00A22D6A">
              <w:rPr>
                <w:rFonts w:asciiTheme="minorHAnsi" w:eastAsiaTheme="minorEastAsia" w:hAnsiTheme="minorHAnsi" w:cstheme="minorHAnsi"/>
                <w:b/>
                <w:bCs/>
                <w:color w:val="000000" w:themeColor="text1"/>
                <w:szCs w:val="24"/>
                <w:lang w:eastAsia="en-AU"/>
              </w:rPr>
              <w:t>15 minutes</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639D3"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$13,455,517.80 </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4F9CB"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 $5,091,420.64 </w:t>
            </w:r>
          </w:p>
        </w:tc>
        <w:tc>
          <w:tcPr>
            <w:tcW w:w="2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FA5AE"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xml:space="preserve"> $2,747,757.49 </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3E23F" w14:textId="77777777" w:rsidR="00FB744F" w:rsidRPr="00A22D6A"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 $21,294,695.93</w:t>
            </w:r>
          </w:p>
        </w:tc>
      </w:tr>
    </w:tbl>
    <w:p w14:paraId="7847A7F4" w14:textId="77777777" w:rsidR="00FB744F" w:rsidRPr="00A22D6A" w:rsidRDefault="00FB744F" w:rsidP="00FB744F">
      <w:pPr>
        <w:spacing w:after="0"/>
        <w:rPr>
          <w:rFonts w:asciiTheme="minorHAnsi" w:eastAsiaTheme="minorEastAsia" w:hAnsiTheme="minorHAnsi" w:cstheme="minorHAnsi"/>
          <w:szCs w:val="24"/>
        </w:rPr>
      </w:pPr>
    </w:p>
    <w:p w14:paraId="70034535" w14:textId="77777777" w:rsidR="00FB744F" w:rsidRPr="00FB744F" w:rsidRDefault="00FB744F" w:rsidP="00FB744F">
      <w:pPr>
        <w:spacing w:after="0"/>
        <w:rPr>
          <w:rFonts w:asciiTheme="minorHAnsi" w:eastAsiaTheme="minorEastAsia" w:hAnsiTheme="minorHAnsi" w:cstheme="minorHAnsi"/>
          <w:szCs w:val="24"/>
        </w:rPr>
      </w:pPr>
      <w:r w:rsidRPr="00A22D6A">
        <w:rPr>
          <w:rFonts w:asciiTheme="minorHAnsi" w:eastAsiaTheme="minorEastAsia" w:hAnsiTheme="minorHAnsi" w:cstheme="minorHAnsi"/>
          <w:szCs w:val="24"/>
        </w:rPr>
        <w:t>The regulatory savings uses the 5-minute calculation as above, mitigating the risk of inflating regulatory savings.</w:t>
      </w:r>
      <w:r w:rsidRPr="00FB744F">
        <w:rPr>
          <w:rFonts w:asciiTheme="minorHAnsi" w:eastAsiaTheme="minorEastAsia" w:hAnsiTheme="minorHAnsi" w:cstheme="minorHAnsi"/>
          <w:szCs w:val="24"/>
        </w:rPr>
        <w:t xml:space="preserve"> </w:t>
      </w:r>
    </w:p>
    <w:p w14:paraId="0D958445" w14:textId="77777777" w:rsidR="00FB744F" w:rsidRPr="00FB744F" w:rsidRDefault="00FB744F" w:rsidP="00FB744F">
      <w:pPr>
        <w:spacing w:after="0" w:line="240" w:lineRule="auto"/>
        <w:ind w:right="91"/>
        <w:rPr>
          <w:rFonts w:asciiTheme="minorHAnsi" w:eastAsia="Times New Roman" w:hAnsiTheme="minorHAnsi" w:cstheme="minorHAnsi"/>
          <w:b/>
          <w:bCs/>
          <w:lang w:eastAsia="en-AU"/>
        </w:rPr>
      </w:pPr>
    </w:p>
    <w:sectPr w:rsidR="00FB744F" w:rsidRPr="00FB74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84DB" w14:textId="77777777" w:rsidR="00674F6D" w:rsidRDefault="00674F6D" w:rsidP="00783FAB">
      <w:pPr>
        <w:spacing w:after="0" w:line="240" w:lineRule="auto"/>
      </w:pPr>
      <w:r>
        <w:separator/>
      </w:r>
    </w:p>
  </w:endnote>
  <w:endnote w:type="continuationSeparator" w:id="0">
    <w:p w14:paraId="5E57C834" w14:textId="77777777" w:rsidR="00674F6D" w:rsidRDefault="00674F6D" w:rsidP="00783FAB">
      <w:pPr>
        <w:spacing w:after="0" w:line="240" w:lineRule="auto"/>
      </w:pPr>
      <w:r>
        <w:continuationSeparator/>
      </w:r>
    </w:p>
  </w:endnote>
  <w:endnote w:type="continuationNotice" w:id="1">
    <w:p w14:paraId="2006C065" w14:textId="77777777" w:rsidR="00674F6D" w:rsidRDefault="00674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5394DF1F"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114084BA"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46106" w14:textId="77777777" w:rsidR="00674F6D" w:rsidRDefault="00674F6D" w:rsidP="00783FAB">
      <w:pPr>
        <w:spacing w:after="0" w:line="240" w:lineRule="auto"/>
      </w:pPr>
      <w:r>
        <w:separator/>
      </w:r>
    </w:p>
  </w:footnote>
  <w:footnote w:type="continuationSeparator" w:id="0">
    <w:p w14:paraId="1052A709" w14:textId="77777777" w:rsidR="00674F6D" w:rsidRDefault="00674F6D" w:rsidP="00783FAB">
      <w:pPr>
        <w:spacing w:after="0" w:line="240" w:lineRule="auto"/>
      </w:pPr>
      <w:r>
        <w:continuationSeparator/>
      </w:r>
    </w:p>
  </w:footnote>
  <w:footnote w:type="continuationNotice" w:id="1">
    <w:p w14:paraId="7694B107" w14:textId="77777777" w:rsidR="00674F6D" w:rsidRDefault="00674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60665B"/>
    <w:multiLevelType w:val="hybridMultilevel"/>
    <w:tmpl w:val="FF88B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B5242A"/>
    <w:multiLevelType w:val="hybridMultilevel"/>
    <w:tmpl w:val="6ABC288E"/>
    <w:lvl w:ilvl="0" w:tplc="B60C624A">
      <w:start w:val="1"/>
      <w:numFmt w:val="decimal"/>
      <w:pStyle w:val="ECPoint"/>
      <w:lvlText w:val="%1."/>
      <w:lvlJc w:val="left"/>
      <w:pPr>
        <w:ind w:left="-207" w:hanging="360"/>
      </w:pPr>
      <w:rPr>
        <w:rFonts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FD09082">
      <w:start w:val="1"/>
      <w:numFmt w:val="lowerLetter"/>
      <w:lvlText w:val="%2."/>
      <w:lvlJc w:val="left"/>
      <w:pPr>
        <w:ind w:left="513" w:hanging="360"/>
      </w:pPr>
    </w:lvl>
    <w:lvl w:ilvl="2" w:tplc="4EAA434A">
      <w:start w:val="1"/>
      <w:numFmt w:val="lowerRoman"/>
      <w:lvlText w:val="%3."/>
      <w:lvlJc w:val="right"/>
      <w:pPr>
        <w:ind w:left="1233" w:hanging="180"/>
      </w:pPr>
    </w:lvl>
    <w:lvl w:ilvl="3" w:tplc="F89E61BE">
      <w:start w:val="1"/>
      <w:numFmt w:val="decimal"/>
      <w:lvlText w:val="%4."/>
      <w:lvlJc w:val="left"/>
      <w:pPr>
        <w:ind w:left="1953" w:hanging="360"/>
      </w:pPr>
    </w:lvl>
    <w:lvl w:ilvl="4" w:tplc="2DC2E770">
      <w:start w:val="1"/>
      <w:numFmt w:val="lowerLetter"/>
      <w:lvlText w:val="%5."/>
      <w:lvlJc w:val="left"/>
      <w:pPr>
        <w:ind w:left="2673" w:hanging="360"/>
      </w:pPr>
    </w:lvl>
    <w:lvl w:ilvl="5" w:tplc="3306DC10">
      <w:start w:val="1"/>
      <w:numFmt w:val="lowerRoman"/>
      <w:lvlText w:val="%6."/>
      <w:lvlJc w:val="right"/>
      <w:pPr>
        <w:ind w:left="3393" w:hanging="180"/>
      </w:pPr>
    </w:lvl>
    <w:lvl w:ilvl="6" w:tplc="0318109E">
      <w:start w:val="1"/>
      <w:numFmt w:val="decimal"/>
      <w:lvlText w:val="%7."/>
      <w:lvlJc w:val="left"/>
      <w:pPr>
        <w:ind w:left="4113" w:hanging="360"/>
      </w:pPr>
    </w:lvl>
    <w:lvl w:ilvl="7" w:tplc="ED90477A">
      <w:start w:val="1"/>
      <w:numFmt w:val="lowerLetter"/>
      <w:lvlText w:val="%8."/>
      <w:lvlJc w:val="left"/>
      <w:pPr>
        <w:ind w:left="4833" w:hanging="360"/>
      </w:pPr>
    </w:lvl>
    <w:lvl w:ilvl="8" w:tplc="6AC23446">
      <w:start w:val="1"/>
      <w:numFmt w:val="lowerRoman"/>
      <w:lvlText w:val="%9."/>
      <w:lvlJc w:val="right"/>
      <w:pPr>
        <w:ind w:left="5553" w:hanging="180"/>
      </w:pPr>
    </w:lvl>
  </w:abstractNum>
  <w:abstractNum w:abstractNumId="4" w15:restartNumberingAfterBreak="0">
    <w:nsid w:val="6A9D6192"/>
    <w:multiLevelType w:val="hybridMultilevel"/>
    <w:tmpl w:val="8544E74C"/>
    <w:lvl w:ilvl="0" w:tplc="D7D6D4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960624"/>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6491"/>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3238"/>
    <w:rsid w:val="00057815"/>
    <w:rsid w:val="00057A1E"/>
    <w:rsid w:val="000614A1"/>
    <w:rsid w:val="00062794"/>
    <w:rsid w:val="0006484E"/>
    <w:rsid w:val="000668B0"/>
    <w:rsid w:val="00067240"/>
    <w:rsid w:val="00076E76"/>
    <w:rsid w:val="00081713"/>
    <w:rsid w:val="00083F41"/>
    <w:rsid w:val="000846B7"/>
    <w:rsid w:val="000A2A28"/>
    <w:rsid w:val="000A2D3A"/>
    <w:rsid w:val="000A3124"/>
    <w:rsid w:val="000A35D6"/>
    <w:rsid w:val="000B1BE1"/>
    <w:rsid w:val="000B3914"/>
    <w:rsid w:val="000B6430"/>
    <w:rsid w:val="000C224C"/>
    <w:rsid w:val="000C262C"/>
    <w:rsid w:val="000C34FD"/>
    <w:rsid w:val="000C4D6B"/>
    <w:rsid w:val="000D1472"/>
    <w:rsid w:val="000D5E6D"/>
    <w:rsid w:val="000E3516"/>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1736E"/>
    <w:rsid w:val="00223F82"/>
    <w:rsid w:val="00224C52"/>
    <w:rsid w:val="00232304"/>
    <w:rsid w:val="00235C50"/>
    <w:rsid w:val="00235E32"/>
    <w:rsid w:val="002378EE"/>
    <w:rsid w:val="002445E3"/>
    <w:rsid w:val="00247EBF"/>
    <w:rsid w:val="00261499"/>
    <w:rsid w:val="002672A4"/>
    <w:rsid w:val="0027370A"/>
    <w:rsid w:val="002747E8"/>
    <w:rsid w:val="00274EEA"/>
    <w:rsid w:val="0027686D"/>
    <w:rsid w:val="002808A9"/>
    <w:rsid w:val="00284C9D"/>
    <w:rsid w:val="00292863"/>
    <w:rsid w:val="00294430"/>
    <w:rsid w:val="00296CA7"/>
    <w:rsid w:val="00296FAF"/>
    <w:rsid w:val="00297EAB"/>
    <w:rsid w:val="002A15F1"/>
    <w:rsid w:val="002A4961"/>
    <w:rsid w:val="002B313C"/>
    <w:rsid w:val="002B5C28"/>
    <w:rsid w:val="002C1F84"/>
    <w:rsid w:val="002D124A"/>
    <w:rsid w:val="002D1504"/>
    <w:rsid w:val="002D564A"/>
    <w:rsid w:val="002E12E6"/>
    <w:rsid w:val="002F76C6"/>
    <w:rsid w:val="00304A88"/>
    <w:rsid w:val="00304E64"/>
    <w:rsid w:val="00307358"/>
    <w:rsid w:val="0031070C"/>
    <w:rsid w:val="00313612"/>
    <w:rsid w:val="00314610"/>
    <w:rsid w:val="00316053"/>
    <w:rsid w:val="003170AC"/>
    <w:rsid w:val="0032375C"/>
    <w:rsid w:val="00326C24"/>
    <w:rsid w:val="0033070E"/>
    <w:rsid w:val="003440C7"/>
    <w:rsid w:val="00350779"/>
    <w:rsid w:val="00351DB8"/>
    <w:rsid w:val="00353D81"/>
    <w:rsid w:val="00354743"/>
    <w:rsid w:val="00356EA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6D35"/>
    <w:rsid w:val="003D7CE2"/>
    <w:rsid w:val="003E4413"/>
    <w:rsid w:val="003E5B26"/>
    <w:rsid w:val="003F09F7"/>
    <w:rsid w:val="003F1AA1"/>
    <w:rsid w:val="003F24BC"/>
    <w:rsid w:val="00402CC7"/>
    <w:rsid w:val="00402D70"/>
    <w:rsid w:val="00403C4A"/>
    <w:rsid w:val="00403CE4"/>
    <w:rsid w:val="004075A3"/>
    <w:rsid w:val="00410A3F"/>
    <w:rsid w:val="0041144F"/>
    <w:rsid w:val="004143B1"/>
    <w:rsid w:val="00415A55"/>
    <w:rsid w:val="00425998"/>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6376F"/>
    <w:rsid w:val="00472F61"/>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4735A"/>
    <w:rsid w:val="005620CA"/>
    <w:rsid w:val="005668FF"/>
    <w:rsid w:val="00572401"/>
    <w:rsid w:val="005732E6"/>
    <w:rsid w:val="00577C30"/>
    <w:rsid w:val="005812FF"/>
    <w:rsid w:val="005819C8"/>
    <w:rsid w:val="0058422E"/>
    <w:rsid w:val="00584B84"/>
    <w:rsid w:val="00586468"/>
    <w:rsid w:val="005905A0"/>
    <w:rsid w:val="00591EC0"/>
    <w:rsid w:val="005944F8"/>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29E"/>
    <w:rsid w:val="00651D68"/>
    <w:rsid w:val="00652D30"/>
    <w:rsid w:val="00656314"/>
    <w:rsid w:val="00661BE8"/>
    <w:rsid w:val="00667B6F"/>
    <w:rsid w:val="00667F82"/>
    <w:rsid w:val="006700AA"/>
    <w:rsid w:val="00674F6D"/>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6F7D10"/>
    <w:rsid w:val="00701CB8"/>
    <w:rsid w:val="00701E47"/>
    <w:rsid w:val="00707E57"/>
    <w:rsid w:val="00707F49"/>
    <w:rsid w:val="007103B5"/>
    <w:rsid w:val="00715C66"/>
    <w:rsid w:val="007213BB"/>
    <w:rsid w:val="0072758F"/>
    <w:rsid w:val="00731373"/>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0617"/>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814"/>
    <w:rsid w:val="00812C37"/>
    <w:rsid w:val="008134D5"/>
    <w:rsid w:val="00813A38"/>
    <w:rsid w:val="00822520"/>
    <w:rsid w:val="00823B66"/>
    <w:rsid w:val="00824A98"/>
    <w:rsid w:val="008310AA"/>
    <w:rsid w:val="00834114"/>
    <w:rsid w:val="0083708E"/>
    <w:rsid w:val="00844D23"/>
    <w:rsid w:val="008517D8"/>
    <w:rsid w:val="00855239"/>
    <w:rsid w:val="00856BC4"/>
    <w:rsid w:val="00867101"/>
    <w:rsid w:val="008755D8"/>
    <w:rsid w:val="008764F9"/>
    <w:rsid w:val="0088497A"/>
    <w:rsid w:val="00891C06"/>
    <w:rsid w:val="00895B86"/>
    <w:rsid w:val="008A1F97"/>
    <w:rsid w:val="008A6224"/>
    <w:rsid w:val="008A6C7D"/>
    <w:rsid w:val="008A7365"/>
    <w:rsid w:val="008B478B"/>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6A03"/>
    <w:rsid w:val="009176F5"/>
    <w:rsid w:val="00933AD6"/>
    <w:rsid w:val="009421AA"/>
    <w:rsid w:val="0094476A"/>
    <w:rsid w:val="0094774B"/>
    <w:rsid w:val="00957F85"/>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2D6A"/>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97EAC"/>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29D"/>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1D2E"/>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0992"/>
    <w:rsid w:val="00CD20F8"/>
    <w:rsid w:val="00CD3705"/>
    <w:rsid w:val="00CD59F9"/>
    <w:rsid w:val="00CD6E72"/>
    <w:rsid w:val="00CE3EA5"/>
    <w:rsid w:val="00CF1C96"/>
    <w:rsid w:val="00CF5A8C"/>
    <w:rsid w:val="00D010D3"/>
    <w:rsid w:val="00D05A8C"/>
    <w:rsid w:val="00D119DD"/>
    <w:rsid w:val="00D14A9D"/>
    <w:rsid w:val="00D17A67"/>
    <w:rsid w:val="00D17FC6"/>
    <w:rsid w:val="00D217D1"/>
    <w:rsid w:val="00D23724"/>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150C"/>
    <w:rsid w:val="00DA552F"/>
    <w:rsid w:val="00DB1C9E"/>
    <w:rsid w:val="00DB2434"/>
    <w:rsid w:val="00DB461B"/>
    <w:rsid w:val="00DB4D35"/>
    <w:rsid w:val="00DB6247"/>
    <w:rsid w:val="00DC3E8C"/>
    <w:rsid w:val="00DC4B5E"/>
    <w:rsid w:val="00DD1234"/>
    <w:rsid w:val="00DD24F3"/>
    <w:rsid w:val="00DD408F"/>
    <w:rsid w:val="00DD5F43"/>
    <w:rsid w:val="00DD651A"/>
    <w:rsid w:val="00DD7496"/>
    <w:rsid w:val="00DD7B03"/>
    <w:rsid w:val="00DE02BB"/>
    <w:rsid w:val="00DE5F92"/>
    <w:rsid w:val="00DE715E"/>
    <w:rsid w:val="00DE7C37"/>
    <w:rsid w:val="00DF13F3"/>
    <w:rsid w:val="00DF3683"/>
    <w:rsid w:val="00DF46B2"/>
    <w:rsid w:val="00DF5838"/>
    <w:rsid w:val="00DF61B7"/>
    <w:rsid w:val="00E01C32"/>
    <w:rsid w:val="00E01F85"/>
    <w:rsid w:val="00E1257E"/>
    <w:rsid w:val="00E24E50"/>
    <w:rsid w:val="00E251EE"/>
    <w:rsid w:val="00E302D5"/>
    <w:rsid w:val="00E33927"/>
    <w:rsid w:val="00E33FED"/>
    <w:rsid w:val="00E43542"/>
    <w:rsid w:val="00E5541C"/>
    <w:rsid w:val="00E55D04"/>
    <w:rsid w:val="00E579A4"/>
    <w:rsid w:val="00E60A2A"/>
    <w:rsid w:val="00E62C51"/>
    <w:rsid w:val="00E631F9"/>
    <w:rsid w:val="00E662FD"/>
    <w:rsid w:val="00E72FD0"/>
    <w:rsid w:val="00E757D0"/>
    <w:rsid w:val="00E76395"/>
    <w:rsid w:val="00E767BE"/>
    <w:rsid w:val="00E8671C"/>
    <w:rsid w:val="00E90298"/>
    <w:rsid w:val="00E916A2"/>
    <w:rsid w:val="00E91930"/>
    <w:rsid w:val="00EA6D4F"/>
    <w:rsid w:val="00EA716A"/>
    <w:rsid w:val="00EA7EA8"/>
    <w:rsid w:val="00EC0A15"/>
    <w:rsid w:val="00ED056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48E6"/>
    <w:rsid w:val="00F44A5D"/>
    <w:rsid w:val="00F45857"/>
    <w:rsid w:val="00F513EB"/>
    <w:rsid w:val="00F5236B"/>
    <w:rsid w:val="00F5252A"/>
    <w:rsid w:val="00F54266"/>
    <w:rsid w:val="00F552D2"/>
    <w:rsid w:val="00F5679F"/>
    <w:rsid w:val="00F60D6A"/>
    <w:rsid w:val="00F60F15"/>
    <w:rsid w:val="00F61756"/>
    <w:rsid w:val="00F62708"/>
    <w:rsid w:val="00F6460E"/>
    <w:rsid w:val="00F64CB4"/>
    <w:rsid w:val="00F65889"/>
    <w:rsid w:val="00F72398"/>
    <w:rsid w:val="00F74CC9"/>
    <w:rsid w:val="00F77106"/>
    <w:rsid w:val="00F85B48"/>
    <w:rsid w:val="00F861AE"/>
    <w:rsid w:val="00F871D7"/>
    <w:rsid w:val="00F8775F"/>
    <w:rsid w:val="00F87FB6"/>
    <w:rsid w:val="00F90098"/>
    <w:rsid w:val="00F9205E"/>
    <w:rsid w:val="00F92FA5"/>
    <w:rsid w:val="00F935BD"/>
    <w:rsid w:val="00F96889"/>
    <w:rsid w:val="00FA1A83"/>
    <w:rsid w:val="00FA6309"/>
    <w:rsid w:val="00FA6319"/>
    <w:rsid w:val="00FB14CA"/>
    <w:rsid w:val="00FB46DD"/>
    <w:rsid w:val="00FB656A"/>
    <w:rsid w:val="00FB700B"/>
    <w:rsid w:val="00FB7019"/>
    <w:rsid w:val="00FB744F"/>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946DD7"/>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Default">
    <w:name w:val="Default"/>
    <w:rsid w:val="00FB744F"/>
    <w:pPr>
      <w:autoSpaceDE w:val="0"/>
      <w:autoSpaceDN w:val="0"/>
      <w:adjustRightInd w:val="0"/>
      <w:spacing w:after="0" w:line="240" w:lineRule="auto"/>
    </w:pPr>
    <w:rPr>
      <w:rFonts w:cs="Times New Roman"/>
      <w:color w:val="000000"/>
      <w:szCs w:val="24"/>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FB744F"/>
  </w:style>
  <w:style w:type="character" w:customStyle="1" w:styleId="ECPointChar">
    <w:name w:val="EC Point Char"/>
    <w:basedOn w:val="DefaultParagraphFont"/>
    <w:link w:val="ECPoint"/>
    <w:locked/>
    <w:rsid w:val="00FB744F"/>
    <w:rPr>
      <w:rFonts w:cs="Times New Roman"/>
      <w:szCs w:val="24"/>
    </w:rPr>
  </w:style>
  <w:style w:type="paragraph" w:customStyle="1" w:styleId="ECPoint">
    <w:name w:val="EC Point"/>
    <w:link w:val="ECPointChar"/>
    <w:qFormat/>
    <w:rsid w:val="00FB744F"/>
    <w:pPr>
      <w:numPr>
        <w:numId w:val="6"/>
      </w:numPr>
      <w:spacing w:after="12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830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F4A5B8B247DA42A90616C93A3546DA" ma:contentTypeVersion="" ma:contentTypeDescription="PDMS Document Site Content Type" ma:contentTypeScope="" ma:versionID="212853c33fe57c45f8a38b116981ede7">
  <xsd:schema xmlns:xsd="http://www.w3.org/2001/XMLSchema" xmlns:xs="http://www.w3.org/2001/XMLSchema" xmlns:p="http://schemas.microsoft.com/office/2006/metadata/properties" xmlns:ns2="ACCEFB8A-43A4-4461-A392-BF585A308207" targetNamespace="http://schemas.microsoft.com/office/2006/metadata/properties" ma:root="true" ma:fieldsID="8cb2ff2d3d21c4e4e45643d3aff4ae41" ns2:_="">
    <xsd:import namespace="ACCEFB8A-43A4-4461-A392-BF585A3082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FB8A-43A4-4461-A392-BF585A3082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CEFB8A-43A4-4461-A392-BF585A308207"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92C8FA3F-AC60-4DA0-9708-9ABD462A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FB8A-43A4-4461-A392-BF585A30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CCEFB8A-43A4-4461-A392-BF585A3082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HERBERT,Callum</cp:lastModifiedBy>
  <cp:revision>3</cp:revision>
  <cp:lastPrinted>2019-11-17T23:12:00Z</cp:lastPrinted>
  <dcterms:created xsi:type="dcterms:W3CDTF">2021-06-24T02:07:00Z</dcterms:created>
  <dcterms:modified xsi:type="dcterms:W3CDTF">2021-06-24T02:07:00Z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0x010100266966F133664895A6EE3632470D45F50013F4A5B8B247DA42A90616C93A3546DA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