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B11B0" w14:textId="77777777" w:rsidR="001E166D" w:rsidRPr="00B3113B" w:rsidRDefault="001E166D" w:rsidP="005A3046">
      <w:pPr>
        <w:pStyle w:val="Heading1"/>
        <w:jc w:val="center"/>
        <w:rPr>
          <w:rFonts w:ascii="Calibri" w:hAnsi="Calibri"/>
        </w:rPr>
      </w:pPr>
      <w:r w:rsidRPr="00B3113B">
        <w:rPr>
          <w:rFonts w:ascii="Calibri" w:hAnsi="Calibri"/>
          <w:u w:val="single"/>
        </w:rPr>
        <w:t>EXPLANATORY STATEMENT</w:t>
      </w:r>
    </w:p>
    <w:p w14:paraId="2454526C" w14:textId="13239AAF" w:rsidR="00DE16A9" w:rsidRPr="00774E56" w:rsidRDefault="00DE16A9" w:rsidP="004958F6">
      <w:pPr>
        <w:ind w:right="91"/>
        <w:jc w:val="center"/>
        <w:rPr>
          <w:iCs/>
          <w:u w:val="single"/>
        </w:rPr>
      </w:pPr>
      <w:r>
        <w:rPr>
          <w:iCs/>
          <w:u w:val="single"/>
        </w:rPr>
        <w:t xml:space="preserve">Issued by the </w:t>
      </w:r>
      <w:r w:rsidRPr="00DE16A9">
        <w:rPr>
          <w:iCs/>
          <w:u w:val="single"/>
        </w:rPr>
        <w:t>Clean Energy Regulator</w:t>
      </w:r>
    </w:p>
    <w:p w14:paraId="6FAE59BE" w14:textId="5FDC3226" w:rsidR="00530603" w:rsidRDefault="00530603" w:rsidP="004958F6">
      <w:pPr>
        <w:ind w:right="91"/>
        <w:jc w:val="center"/>
        <w:rPr>
          <w:i/>
        </w:rPr>
      </w:pPr>
      <w:r w:rsidRPr="0067685D">
        <w:rPr>
          <w:i/>
        </w:rPr>
        <w:t>Carbon Credits (Carbon Farming Initiative) Rule 2015</w:t>
      </w:r>
    </w:p>
    <w:p w14:paraId="6B0A692C" w14:textId="4AB3EFF0" w:rsidR="00F70C0A" w:rsidRPr="005D6BA6" w:rsidRDefault="008D0C32" w:rsidP="004958F6">
      <w:pPr>
        <w:ind w:right="91"/>
        <w:jc w:val="center"/>
        <w:rPr>
          <w:rFonts w:cs="Times New Roman"/>
          <w:i/>
          <w:sz w:val="24"/>
          <w:szCs w:val="24"/>
        </w:rPr>
      </w:pPr>
      <w:r w:rsidRPr="008D0C32">
        <w:rPr>
          <w:i/>
        </w:rPr>
        <w:t>Carbon Credits (Carbon Farming Initiative) (Audit Thresholds) Amendment (Low Risk Environmental Planting Projects) Instrument 2021</w:t>
      </w:r>
    </w:p>
    <w:p w14:paraId="43649EEF" w14:textId="0986CC8E" w:rsidR="00350E3E" w:rsidRPr="00350E3E" w:rsidRDefault="00350E3E" w:rsidP="00621EDA">
      <w:pPr>
        <w:pStyle w:val="base-text-paragraphnonumbers"/>
        <w:spacing w:after="200"/>
        <w:ind w:left="0"/>
        <w:rPr>
          <w:rFonts w:ascii="Calibri" w:hAnsi="Calibri"/>
          <w:b/>
          <w:bCs/>
          <w:sz w:val="24"/>
          <w:szCs w:val="24"/>
        </w:rPr>
      </w:pPr>
      <w:r>
        <w:rPr>
          <w:rFonts w:ascii="Calibri" w:hAnsi="Calibri"/>
          <w:b/>
          <w:bCs/>
          <w:sz w:val="24"/>
          <w:szCs w:val="24"/>
        </w:rPr>
        <w:t xml:space="preserve">Background </w:t>
      </w:r>
    </w:p>
    <w:p w14:paraId="7415A6C2" w14:textId="5D0B119E" w:rsidR="001B7D38" w:rsidRPr="00F70C0A" w:rsidRDefault="00621EDA" w:rsidP="00621EDA">
      <w:pPr>
        <w:pStyle w:val="base-text-paragraphnonumbers"/>
        <w:spacing w:after="200"/>
        <w:ind w:left="0"/>
        <w:rPr>
          <w:rFonts w:ascii="Calibri" w:hAnsi="Calibri"/>
          <w:sz w:val="24"/>
          <w:szCs w:val="24"/>
        </w:rPr>
      </w:pPr>
      <w:r w:rsidRPr="00F70C0A">
        <w:rPr>
          <w:rFonts w:ascii="Calibri" w:hAnsi="Calibri"/>
          <w:sz w:val="24"/>
          <w:szCs w:val="24"/>
        </w:rPr>
        <w:t xml:space="preserve">The </w:t>
      </w:r>
      <w:r w:rsidRPr="00F70C0A">
        <w:rPr>
          <w:rFonts w:ascii="Calibri" w:hAnsi="Calibri"/>
          <w:i/>
          <w:sz w:val="24"/>
          <w:szCs w:val="24"/>
        </w:rPr>
        <w:t>Carbon Credits (Carbon Farming Initiative) Act 2011</w:t>
      </w:r>
      <w:r w:rsidRPr="00F70C0A">
        <w:rPr>
          <w:rFonts w:ascii="Calibri" w:hAnsi="Calibri"/>
          <w:sz w:val="24"/>
          <w:szCs w:val="24"/>
        </w:rPr>
        <w:t xml:space="preserve"> (</w:t>
      </w:r>
      <w:r w:rsidR="001B7D38" w:rsidRPr="00F70C0A">
        <w:rPr>
          <w:rFonts w:ascii="Calibri" w:hAnsi="Calibri"/>
          <w:sz w:val="24"/>
          <w:szCs w:val="24"/>
        </w:rPr>
        <w:t xml:space="preserve">the </w:t>
      </w:r>
      <w:r w:rsidRPr="00F70C0A">
        <w:rPr>
          <w:rFonts w:ascii="Calibri" w:hAnsi="Calibri"/>
          <w:sz w:val="24"/>
          <w:szCs w:val="24"/>
        </w:rPr>
        <w:t xml:space="preserve">Act) enables the crediting of greenhouse gas abatement from emissions reduction activities across </w:t>
      </w:r>
      <w:r w:rsidR="001B7D38" w:rsidRPr="00F70C0A">
        <w:rPr>
          <w:rFonts w:ascii="Calibri" w:hAnsi="Calibri"/>
          <w:sz w:val="24"/>
          <w:szCs w:val="24"/>
        </w:rPr>
        <w:t>the economy</w:t>
      </w:r>
      <w:r w:rsidRPr="00F70C0A">
        <w:rPr>
          <w:rFonts w:ascii="Calibri" w:hAnsi="Calibri"/>
          <w:sz w:val="24"/>
          <w:szCs w:val="24"/>
        </w:rPr>
        <w:t>. Greenhouse gas abatement is achieved either by reducing or avoiding emissions, or by removing carbon from the atmosphere and storing it</w:t>
      </w:r>
      <w:r w:rsidR="00C1281B" w:rsidRPr="00F70C0A">
        <w:rPr>
          <w:rFonts w:ascii="Calibri" w:hAnsi="Calibri"/>
          <w:sz w:val="24"/>
          <w:szCs w:val="24"/>
        </w:rPr>
        <w:t xml:space="preserve">. </w:t>
      </w:r>
    </w:p>
    <w:p w14:paraId="0B7DB95B" w14:textId="269E7CA2" w:rsidR="00012333" w:rsidRPr="00F70C0A" w:rsidRDefault="00012333" w:rsidP="00A4127A">
      <w:pPr>
        <w:pStyle w:val="base-text-paragraphnonumbers"/>
        <w:spacing w:after="200"/>
        <w:ind w:left="0"/>
        <w:rPr>
          <w:rFonts w:ascii="Calibri" w:hAnsi="Calibri"/>
          <w:sz w:val="24"/>
          <w:szCs w:val="24"/>
        </w:rPr>
      </w:pPr>
      <w:r w:rsidRPr="00F70C0A">
        <w:rPr>
          <w:rFonts w:ascii="Calibri" w:hAnsi="Calibri"/>
          <w:sz w:val="24"/>
          <w:szCs w:val="24"/>
        </w:rPr>
        <w:t xml:space="preserve">In 2014, the Australian Parliament passed the </w:t>
      </w:r>
      <w:r w:rsidRPr="00A4127A">
        <w:rPr>
          <w:rFonts w:ascii="Calibri" w:hAnsi="Calibri"/>
          <w:sz w:val="24"/>
          <w:szCs w:val="24"/>
        </w:rPr>
        <w:t>Carbon Farming Initiative Amendment Act 2014</w:t>
      </w:r>
      <w:r w:rsidRPr="00F70C0A">
        <w:rPr>
          <w:rFonts w:ascii="Calibri" w:hAnsi="Calibri"/>
          <w:sz w:val="24"/>
          <w:szCs w:val="24"/>
        </w:rPr>
        <w:t xml:space="preserve">, which established the Emissions Reduction Fund (ERF). </w:t>
      </w:r>
    </w:p>
    <w:p w14:paraId="07B9926A" w14:textId="15B2B93B" w:rsidR="00621EDA" w:rsidRPr="00B3113B" w:rsidRDefault="00CF2C38" w:rsidP="00621EDA">
      <w:pPr>
        <w:pStyle w:val="base-text-paragraphnonumbers"/>
        <w:spacing w:after="200"/>
        <w:ind w:left="0"/>
        <w:rPr>
          <w:rFonts w:ascii="Calibri" w:hAnsi="Calibri"/>
          <w:sz w:val="24"/>
          <w:szCs w:val="24"/>
        </w:rPr>
      </w:pPr>
      <w:r>
        <w:rPr>
          <w:rFonts w:ascii="Calibri" w:hAnsi="Calibri"/>
          <w:sz w:val="24"/>
          <w:szCs w:val="24"/>
        </w:rPr>
        <w:t>Under the ERF, e</w:t>
      </w:r>
      <w:r w:rsidR="001B7D38" w:rsidRPr="00F70C0A">
        <w:rPr>
          <w:rFonts w:ascii="Calibri" w:hAnsi="Calibri"/>
          <w:sz w:val="24"/>
          <w:szCs w:val="24"/>
        </w:rPr>
        <w:t xml:space="preserve">missions reduction activities are undertaken as offsets projects. </w:t>
      </w:r>
      <w:r w:rsidR="00012333" w:rsidRPr="00F70C0A">
        <w:rPr>
          <w:rFonts w:ascii="Calibri" w:hAnsi="Calibri"/>
          <w:sz w:val="24"/>
          <w:szCs w:val="24"/>
        </w:rPr>
        <w:t>Participation in the</w:t>
      </w:r>
      <w:r w:rsidR="007E6D71" w:rsidRPr="00F70C0A">
        <w:rPr>
          <w:rFonts w:ascii="Calibri" w:hAnsi="Calibri"/>
          <w:sz w:val="24"/>
          <w:szCs w:val="24"/>
        </w:rPr>
        <w:t xml:space="preserve"> crediting component of the</w:t>
      </w:r>
      <w:r w:rsidR="00012333" w:rsidRPr="00F70C0A">
        <w:rPr>
          <w:rFonts w:ascii="Calibri" w:hAnsi="Calibri"/>
          <w:sz w:val="24"/>
          <w:szCs w:val="24"/>
        </w:rPr>
        <w:t xml:space="preserve"> ERF involves establishment of an offsets project</w:t>
      </w:r>
      <w:r w:rsidR="00D014ED" w:rsidRPr="00F70C0A">
        <w:rPr>
          <w:rFonts w:ascii="Calibri" w:hAnsi="Calibri"/>
          <w:sz w:val="24"/>
          <w:szCs w:val="24"/>
        </w:rPr>
        <w:t>,</w:t>
      </w:r>
      <w:r w:rsidR="00012333" w:rsidRPr="00F70C0A">
        <w:rPr>
          <w:rFonts w:ascii="Calibri" w:hAnsi="Calibri"/>
          <w:sz w:val="24"/>
          <w:szCs w:val="24"/>
        </w:rPr>
        <w:t xml:space="preserve"> and </w:t>
      </w:r>
      <w:r>
        <w:rPr>
          <w:rFonts w:ascii="Calibri" w:hAnsi="Calibri"/>
          <w:sz w:val="24"/>
          <w:szCs w:val="24"/>
        </w:rPr>
        <w:t xml:space="preserve">Project proponent can </w:t>
      </w:r>
      <w:r w:rsidR="00012333" w:rsidRPr="00F70C0A">
        <w:rPr>
          <w:rFonts w:ascii="Calibri" w:hAnsi="Calibri"/>
          <w:sz w:val="24"/>
          <w:szCs w:val="24"/>
        </w:rPr>
        <w:t xml:space="preserve">apply to the Clean Energy Regulator to declare </w:t>
      </w:r>
      <w:r w:rsidR="007E6D71" w:rsidRPr="00F70C0A">
        <w:rPr>
          <w:rFonts w:ascii="Calibri" w:hAnsi="Calibri"/>
          <w:sz w:val="24"/>
          <w:szCs w:val="24"/>
        </w:rPr>
        <w:t xml:space="preserve">the project </w:t>
      </w:r>
      <w:r w:rsidR="00012333" w:rsidRPr="00F70C0A">
        <w:rPr>
          <w:rFonts w:ascii="Calibri" w:hAnsi="Calibri"/>
          <w:sz w:val="24"/>
          <w:szCs w:val="24"/>
        </w:rPr>
        <w:t xml:space="preserve">as an </w:t>
      </w:r>
      <w:r w:rsidR="003113F9" w:rsidRPr="00F70C0A">
        <w:rPr>
          <w:rFonts w:ascii="Calibri" w:hAnsi="Calibri"/>
          <w:sz w:val="24"/>
          <w:szCs w:val="24"/>
        </w:rPr>
        <w:t>eligible offsets project.</w:t>
      </w:r>
      <w:r w:rsidR="0006465E" w:rsidRPr="00F70C0A">
        <w:rPr>
          <w:rFonts w:ascii="Calibri" w:hAnsi="Calibri"/>
          <w:sz w:val="24"/>
          <w:szCs w:val="24"/>
        </w:rPr>
        <w:t xml:space="preserve"> </w:t>
      </w:r>
      <w:r w:rsidR="007E6D71" w:rsidRPr="00F70C0A">
        <w:rPr>
          <w:rFonts w:ascii="Calibri" w:hAnsi="Calibri"/>
          <w:sz w:val="24"/>
          <w:szCs w:val="24"/>
        </w:rPr>
        <w:t xml:space="preserve">To be declared the </w:t>
      </w:r>
      <w:r w:rsidR="00012333" w:rsidRPr="00F70C0A">
        <w:rPr>
          <w:rFonts w:ascii="Calibri" w:hAnsi="Calibri"/>
          <w:sz w:val="24"/>
          <w:szCs w:val="24"/>
        </w:rPr>
        <w:t xml:space="preserve">offsets project </w:t>
      </w:r>
      <w:r w:rsidR="007E6D71" w:rsidRPr="00F70C0A">
        <w:rPr>
          <w:rFonts w:ascii="Calibri" w:hAnsi="Calibri"/>
          <w:sz w:val="24"/>
          <w:szCs w:val="24"/>
        </w:rPr>
        <w:t xml:space="preserve">must be </w:t>
      </w:r>
      <w:r w:rsidR="00012333" w:rsidRPr="00F70C0A">
        <w:rPr>
          <w:rFonts w:ascii="Calibri" w:hAnsi="Calibri"/>
          <w:sz w:val="24"/>
          <w:szCs w:val="24"/>
        </w:rPr>
        <w:t xml:space="preserve">covered by, and undertaken in accordance with, a methodology determination and meet other requirements set out in Part 3 of the Act. </w:t>
      </w:r>
    </w:p>
    <w:p w14:paraId="13E9C2F7" w14:textId="17FE7D54" w:rsidR="008E6DF4" w:rsidRDefault="008E6DF4" w:rsidP="00621EDA">
      <w:pPr>
        <w:spacing w:line="240" w:lineRule="auto"/>
        <w:rPr>
          <w:iCs/>
          <w:sz w:val="24"/>
          <w:szCs w:val="24"/>
        </w:rPr>
      </w:pPr>
      <w:bookmarkStart w:id="0" w:name="_Hlk73519045"/>
      <w:r w:rsidRPr="008E6DF4">
        <w:rPr>
          <w:iCs/>
          <w:sz w:val="24"/>
          <w:szCs w:val="24"/>
        </w:rPr>
        <w:t xml:space="preserve">The Act is supported by subordinate legislation, including the </w:t>
      </w:r>
      <w:r w:rsidRPr="005D6BA6">
        <w:rPr>
          <w:i/>
          <w:sz w:val="24"/>
          <w:szCs w:val="24"/>
        </w:rPr>
        <w:t>Carbon Credits (Carbon Farming Initiative) Rule 2015</w:t>
      </w:r>
      <w:r w:rsidRPr="009758D6">
        <w:rPr>
          <w:i/>
          <w:sz w:val="24"/>
          <w:szCs w:val="24"/>
        </w:rPr>
        <w:t xml:space="preserve"> </w:t>
      </w:r>
      <w:r w:rsidRPr="001F52C2">
        <w:rPr>
          <w:sz w:val="24"/>
          <w:szCs w:val="24"/>
        </w:rPr>
        <w:t>(t</w:t>
      </w:r>
      <w:r w:rsidRPr="00B3113B">
        <w:rPr>
          <w:rFonts w:eastAsia="Times New Roman" w:cs="Times New Roman"/>
          <w:sz w:val="24"/>
          <w:szCs w:val="24"/>
          <w:lang w:eastAsia="en-AU"/>
        </w:rPr>
        <w:t xml:space="preserve">he Rule) </w:t>
      </w:r>
      <w:r w:rsidRPr="008E6DF4">
        <w:rPr>
          <w:iCs/>
          <w:sz w:val="24"/>
          <w:szCs w:val="24"/>
        </w:rPr>
        <w:t xml:space="preserve">and the </w:t>
      </w:r>
      <w:r w:rsidRPr="00EA6D07">
        <w:rPr>
          <w:i/>
          <w:sz w:val="24"/>
          <w:szCs w:val="24"/>
        </w:rPr>
        <w:t>Carbon Credits (Carbon Farming Initiative) Regulations 2011</w:t>
      </w:r>
      <w:r w:rsidRPr="008E6DF4">
        <w:rPr>
          <w:iCs/>
          <w:sz w:val="24"/>
          <w:szCs w:val="24"/>
        </w:rPr>
        <w:t xml:space="preserve">. The Minister for Energy and Emissions Reduction is empowered to make legislative rules under section 308 of the Act.  </w:t>
      </w:r>
    </w:p>
    <w:p w14:paraId="5FEBA0D7" w14:textId="1BD1815B" w:rsidR="003113F9" w:rsidRDefault="003C4C42" w:rsidP="00621EDA">
      <w:pPr>
        <w:spacing w:line="240" w:lineRule="auto"/>
        <w:rPr>
          <w:rFonts w:eastAsia="Times New Roman" w:cs="Times New Roman"/>
          <w:sz w:val="24"/>
          <w:szCs w:val="24"/>
          <w:lang w:eastAsia="en-AU"/>
        </w:rPr>
      </w:pPr>
      <w:r>
        <w:rPr>
          <w:iCs/>
          <w:sz w:val="24"/>
          <w:szCs w:val="24"/>
        </w:rPr>
        <w:t xml:space="preserve">The </w:t>
      </w:r>
      <w:r w:rsidR="008E6DF4">
        <w:rPr>
          <w:iCs/>
          <w:sz w:val="24"/>
          <w:szCs w:val="24"/>
        </w:rPr>
        <w:t>Rule</w:t>
      </w:r>
      <w:r>
        <w:rPr>
          <w:iCs/>
          <w:sz w:val="24"/>
          <w:szCs w:val="24"/>
        </w:rPr>
        <w:t xml:space="preserve"> </w:t>
      </w:r>
      <w:r w:rsidR="00621EDA" w:rsidRPr="00B3113B">
        <w:rPr>
          <w:rFonts w:eastAsia="Times New Roman" w:cs="Times New Roman"/>
          <w:sz w:val="24"/>
          <w:szCs w:val="24"/>
          <w:lang w:eastAsia="en-AU"/>
        </w:rPr>
        <w:t xml:space="preserve">details additional administrative procedures under the Act, including </w:t>
      </w:r>
      <w:r w:rsidR="00350E3E">
        <w:rPr>
          <w:rFonts w:eastAsia="Times New Roman" w:cs="Times New Roman"/>
          <w:sz w:val="24"/>
          <w:szCs w:val="24"/>
          <w:lang w:eastAsia="en-AU"/>
        </w:rPr>
        <w:t xml:space="preserve">a </w:t>
      </w:r>
      <w:r w:rsidR="00621EDA" w:rsidRPr="00B3113B">
        <w:rPr>
          <w:rFonts w:eastAsia="Times New Roman" w:cs="Times New Roman"/>
          <w:sz w:val="24"/>
          <w:szCs w:val="24"/>
          <w:lang w:eastAsia="en-AU"/>
        </w:rPr>
        <w:t xml:space="preserve">fit and proper person test for </w:t>
      </w:r>
      <w:r w:rsidR="00446837">
        <w:rPr>
          <w:rFonts w:eastAsia="Times New Roman" w:cs="Times New Roman"/>
          <w:sz w:val="24"/>
          <w:szCs w:val="24"/>
          <w:lang w:eastAsia="en-AU"/>
        </w:rPr>
        <w:t>project proponents</w:t>
      </w:r>
      <w:r w:rsidR="00621EDA" w:rsidRPr="00B3113B">
        <w:rPr>
          <w:rFonts w:eastAsia="Times New Roman" w:cs="Times New Roman"/>
          <w:sz w:val="24"/>
          <w:szCs w:val="24"/>
          <w:lang w:eastAsia="en-AU"/>
        </w:rPr>
        <w:t>, procedures for parts of the carbon abatement purchasing process, the length of reporting periods, notification and record-keeping requirements</w:t>
      </w:r>
      <w:r>
        <w:rPr>
          <w:rFonts w:eastAsia="Times New Roman" w:cs="Times New Roman"/>
          <w:sz w:val="24"/>
          <w:szCs w:val="24"/>
          <w:lang w:eastAsia="en-AU"/>
        </w:rPr>
        <w:t>,</w:t>
      </w:r>
      <w:r w:rsidR="00350E3E">
        <w:rPr>
          <w:rFonts w:eastAsia="Times New Roman" w:cs="Times New Roman"/>
          <w:sz w:val="24"/>
          <w:szCs w:val="24"/>
          <w:lang w:eastAsia="en-AU"/>
        </w:rPr>
        <w:t xml:space="preserve"> as well as </w:t>
      </w:r>
      <w:r w:rsidR="00D71722">
        <w:rPr>
          <w:rFonts w:eastAsia="Times New Roman" w:cs="Times New Roman"/>
          <w:sz w:val="24"/>
          <w:szCs w:val="24"/>
          <w:lang w:eastAsia="en-AU"/>
        </w:rPr>
        <w:t xml:space="preserve">information </w:t>
      </w:r>
      <w:r w:rsidR="00105D5E">
        <w:rPr>
          <w:rFonts w:eastAsia="Times New Roman" w:cs="Times New Roman"/>
          <w:sz w:val="24"/>
          <w:szCs w:val="24"/>
          <w:lang w:eastAsia="en-AU"/>
        </w:rPr>
        <w:t xml:space="preserve">on </w:t>
      </w:r>
      <w:r w:rsidR="00350E3E" w:rsidRPr="00B3113B">
        <w:rPr>
          <w:rFonts w:eastAsia="Times New Roman" w:cs="Times New Roman"/>
          <w:sz w:val="24"/>
          <w:szCs w:val="24"/>
          <w:lang w:eastAsia="en-AU"/>
        </w:rPr>
        <w:t xml:space="preserve">audit requirements for </w:t>
      </w:r>
      <w:r w:rsidR="00350E3E">
        <w:rPr>
          <w:rFonts w:eastAsia="Times New Roman" w:cs="Times New Roman"/>
          <w:sz w:val="24"/>
          <w:szCs w:val="24"/>
          <w:lang w:eastAsia="en-AU"/>
        </w:rPr>
        <w:t xml:space="preserve">certain </w:t>
      </w:r>
      <w:r w:rsidR="00350E3E" w:rsidRPr="00B3113B">
        <w:rPr>
          <w:rFonts w:eastAsia="Times New Roman" w:cs="Times New Roman"/>
          <w:sz w:val="24"/>
          <w:szCs w:val="24"/>
          <w:lang w:eastAsia="en-AU"/>
        </w:rPr>
        <w:t>project applications</w:t>
      </w:r>
      <w:r w:rsidR="00D71722">
        <w:rPr>
          <w:rFonts w:eastAsia="Times New Roman" w:cs="Times New Roman"/>
          <w:sz w:val="24"/>
          <w:szCs w:val="24"/>
          <w:lang w:eastAsia="en-AU"/>
        </w:rPr>
        <w:t xml:space="preserve"> and reports</w:t>
      </w:r>
      <w:r w:rsidR="003113F9">
        <w:rPr>
          <w:rFonts w:eastAsia="Times New Roman" w:cs="Times New Roman"/>
          <w:sz w:val="24"/>
          <w:szCs w:val="24"/>
          <w:lang w:eastAsia="en-AU"/>
        </w:rPr>
        <w:t>.</w:t>
      </w:r>
      <w:r w:rsidR="00D71722">
        <w:rPr>
          <w:rFonts w:eastAsia="Times New Roman" w:cs="Times New Roman"/>
          <w:sz w:val="24"/>
          <w:szCs w:val="24"/>
          <w:lang w:eastAsia="en-AU"/>
        </w:rPr>
        <w:t xml:space="preserve"> </w:t>
      </w:r>
    </w:p>
    <w:p w14:paraId="075B002B" w14:textId="667DC5B2" w:rsidR="00621EDA" w:rsidRDefault="00350E3E" w:rsidP="00621EDA">
      <w:pPr>
        <w:spacing w:line="240" w:lineRule="auto"/>
        <w:rPr>
          <w:rFonts w:eastAsia="Times New Roman" w:cs="Times New Roman"/>
          <w:sz w:val="24"/>
          <w:szCs w:val="24"/>
          <w:lang w:eastAsia="en-AU"/>
        </w:rPr>
      </w:pPr>
      <w:bookmarkStart w:id="1" w:name="_Hlk73524575"/>
      <w:bookmarkEnd w:id="0"/>
      <w:r>
        <w:rPr>
          <w:rFonts w:eastAsia="Times New Roman" w:cs="Times New Roman"/>
          <w:sz w:val="24"/>
          <w:szCs w:val="24"/>
          <w:lang w:eastAsia="en-AU"/>
        </w:rPr>
        <w:t>S</w:t>
      </w:r>
      <w:r w:rsidR="004848D5">
        <w:rPr>
          <w:rFonts w:eastAsia="Times New Roman" w:cs="Times New Roman"/>
          <w:sz w:val="24"/>
          <w:szCs w:val="24"/>
          <w:lang w:eastAsia="en-AU"/>
        </w:rPr>
        <w:t>ubs</w:t>
      </w:r>
      <w:r>
        <w:rPr>
          <w:rFonts w:eastAsia="Times New Roman" w:cs="Times New Roman"/>
          <w:sz w:val="24"/>
          <w:szCs w:val="24"/>
          <w:lang w:eastAsia="en-AU"/>
        </w:rPr>
        <w:t xml:space="preserve">ection 75(4) of the </w:t>
      </w:r>
      <w:r w:rsidR="00621EDA">
        <w:rPr>
          <w:rFonts w:eastAsia="Times New Roman" w:cs="Times New Roman"/>
          <w:sz w:val="24"/>
          <w:szCs w:val="24"/>
          <w:lang w:eastAsia="en-AU"/>
        </w:rPr>
        <w:t xml:space="preserve">Rule </w:t>
      </w:r>
      <w:r>
        <w:rPr>
          <w:rFonts w:eastAsia="Times New Roman" w:cs="Times New Roman"/>
          <w:sz w:val="24"/>
          <w:szCs w:val="24"/>
          <w:lang w:eastAsia="en-AU"/>
        </w:rPr>
        <w:t xml:space="preserve">empowers the </w:t>
      </w:r>
      <w:r w:rsidR="00621EDA" w:rsidRPr="00621EDA">
        <w:rPr>
          <w:rFonts w:eastAsia="Times New Roman" w:cs="Times New Roman"/>
          <w:sz w:val="24"/>
          <w:szCs w:val="24"/>
          <w:lang w:eastAsia="en-AU"/>
        </w:rPr>
        <w:t>Clean Energy Regulator</w:t>
      </w:r>
      <w:r w:rsidR="00621EDA">
        <w:rPr>
          <w:rFonts w:eastAsia="Times New Roman" w:cs="Times New Roman"/>
          <w:sz w:val="24"/>
          <w:szCs w:val="24"/>
          <w:lang w:eastAsia="en-AU"/>
        </w:rPr>
        <w:t xml:space="preserve"> </w:t>
      </w:r>
      <w:r>
        <w:rPr>
          <w:rFonts w:eastAsia="Times New Roman" w:cs="Times New Roman"/>
          <w:sz w:val="24"/>
          <w:szCs w:val="24"/>
          <w:lang w:eastAsia="en-AU"/>
        </w:rPr>
        <w:t xml:space="preserve">to make a legislative </w:t>
      </w:r>
      <w:r w:rsidR="003113F9">
        <w:rPr>
          <w:rFonts w:eastAsia="Times New Roman" w:cs="Times New Roman"/>
          <w:sz w:val="24"/>
          <w:szCs w:val="24"/>
          <w:lang w:eastAsia="en-AU"/>
        </w:rPr>
        <w:t xml:space="preserve">instrument </w:t>
      </w:r>
      <w:r>
        <w:rPr>
          <w:rFonts w:eastAsia="Times New Roman" w:cs="Times New Roman"/>
          <w:sz w:val="24"/>
          <w:szCs w:val="24"/>
          <w:lang w:eastAsia="en-AU"/>
        </w:rPr>
        <w:t xml:space="preserve">(the </w:t>
      </w:r>
      <w:r w:rsidR="0064507D">
        <w:rPr>
          <w:rFonts w:eastAsia="Times New Roman" w:cs="Times New Roman"/>
          <w:sz w:val="24"/>
          <w:szCs w:val="24"/>
          <w:lang w:eastAsia="en-AU"/>
        </w:rPr>
        <w:t>a</w:t>
      </w:r>
      <w:r w:rsidRPr="00350E3E">
        <w:rPr>
          <w:rFonts w:eastAsia="Times New Roman" w:cs="Times New Roman"/>
          <w:sz w:val="24"/>
          <w:szCs w:val="24"/>
          <w:lang w:eastAsia="en-AU"/>
        </w:rPr>
        <w:t xml:space="preserve">udit </w:t>
      </w:r>
      <w:r w:rsidR="0064507D">
        <w:rPr>
          <w:rFonts w:eastAsia="Times New Roman" w:cs="Times New Roman"/>
          <w:sz w:val="24"/>
          <w:szCs w:val="24"/>
          <w:lang w:eastAsia="en-AU"/>
        </w:rPr>
        <w:t>t</w:t>
      </w:r>
      <w:r w:rsidRPr="00350E3E">
        <w:rPr>
          <w:rFonts w:eastAsia="Times New Roman" w:cs="Times New Roman"/>
          <w:sz w:val="24"/>
          <w:szCs w:val="24"/>
          <w:lang w:eastAsia="en-AU"/>
        </w:rPr>
        <w:t xml:space="preserve">hresholds </w:t>
      </w:r>
      <w:r w:rsidR="0064507D">
        <w:rPr>
          <w:rFonts w:eastAsia="Times New Roman" w:cs="Times New Roman"/>
          <w:sz w:val="24"/>
          <w:szCs w:val="24"/>
          <w:lang w:eastAsia="en-AU"/>
        </w:rPr>
        <w:t>i</w:t>
      </w:r>
      <w:r w:rsidRPr="00350E3E">
        <w:rPr>
          <w:rFonts w:eastAsia="Times New Roman" w:cs="Times New Roman"/>
          <w:sz w:val="24"/>
          <w:szCs w:val="24"/>
          <w:lang w:eastAsia="en-AU"/>
        </w:rPr>
        <w:t>nstrument</w:t>
      </w:r>
      <w:r>
        <w:rPr>
          <w:rFonts w:eastAsia="Times New Roman" w:cs="Times New Roman"/>
          <w:sz w:val="24"/>
          <w:szCs w:val="24"/>
          <w:lang w:eastAsia="en-AU"/>
        </w:rPr>
        <w:t xml:space="preserve">) </w:t>
      </w:r>
      <w:r w:rsidR="003113F9">
        <w:rPr>
          <w:rFonts w:eastAsia="Times New Roman" w:cs="Times New Roman"/>
          <w:sz w:val="24"/>
          <w:szCs w:val="24"/>
          <w:lang w:eastAsia="en-AU"/>
        </w:rPr>
        <w:t>that</w:t>
      </w:r>
      <w:r w:rsidR="006847C1">
        <w:rPr>
          <w:rFonts w:eastAsia="Times New Roman" w:cs="Times New Roman"/>
          <w:sz w:val="24"/>
          <w:szCs w:val="24"/>
          <w:lang w:eastAsia="en-AU"/>
        </w:rPr>
        <w:t xml:space="preserve"> may</w:t>
      </w:r>
      <w:r w:rsidR="003113F9">
        <w:rPr>
          <w:rFonts w:eastAsia="Times New Roman" w:cs="Times New Roman"/>
          <w:sz w:val="24"/>
          <w:szCs w:val="24"/>
          <w:lang w:eastAsia="en-AU"/>
        </w:rPr>
        <w:t xml:space="preserve"> set out the following </w:t>
      </w:r>
      <w:r w:rsidR="0041308E">
        <w:rPr>
          <w:rFonts w:eastAsia="Times New Roman" w:cs="Times New Roman"/>
          <w:sz w:val="24"/>
          <w:szCs w:val="24"/>
          <w:lang w:eastAsia="en-AU"/>
        </w:rPr>
        <w:t>six</w:t>
      </w:r>
      <w:r w:rsidR="003113F9">
        <w:rPr>
          <w:rFonts w:eastAsia="Times New Roman" w:cs="Times New Roman"/>
          <w:sz w:val="24"/>
          <w:szCs w:val="24"/>
          <w:lang w:eastAsia="en-AU"/>
        </w:rPr>
        <w:t xml:space="preserve"> matters:</w:t>
      </w:r>
    </w:p>
    <w:p w14:paraId="0829DB3A" w14:textId="616665C9" w:rsidR="003113F9" w:rsidRDefault="003B1480" w:rsidP="003113F9">
      <w:pPr>
        <w:pStyle w:val="base-text-paragraphnonumbers"/>
        <w:numPr>
          <w:ilvl w:val="0"/>
          <w:numId w:val="17"/>
        </w:numPr>
        <w:rPr>
          <w:rFonts w:ascii="Calibri" w:hAnsi="Calibri"/>
          <w:sz w:val="24"/>
          <w:szCs w:val="24"/>
        </w:rPr>
      </w:pPr>
      <w:r>
        <w:rPr>
          <w:rFonts w:ascii="Calibri" w:hAnsi="Calibri"/>
          <w:sz w:val="24"/>
          <w:szCs w:val="24"/>
        </w:rPr>
        <w:t>audit thresholds for eligible offsets projects</w:t>
      </w:r>
      <w:r w:rsidR="00AE1DC2">
        <w:rPr>
          <w:rFonts w:ascii="Calibri" w:hAnsi="Calibri"/>
          <w:sz w:val="24"/>
          <w:szCs w:val="24"/>
        </w:rPr>
        <w:t xml:space="preserve"> </w:t>
      </w:r>
    </w:p>
    <w:p w14:paraId="48CC0408" w14:textId="0CD3668A" w:rsidR="003113F9" w:rsidRDefault="003113F9" w:rsidP="003113F9">
      <w:pPr>
        <w:pStyle w:val="base-text-paragraphnonumbers"/>
        <w:numPr>
          <w:ilvl w:val="0"/>
          <w:numId w:val="17"/>
        </w:numPr>
        <w:rPr>
          <w:rFonts w:ascii="Calibri" w:hAnsi="Calibri"/>
          <w:sz w:val="24"/>
          <w:szCs w:val="24"/>
        </w:rPr>
      </w:pPr>
      <w:r w:rsidRPr="00E364D9">
        <w:rPr>
          <w:rFonts w:ascii="Calibri" w:hAnsi="Calibri"/>
          <w:sz w:val="24"/>
          <w:szCs w:val="24"/>
        </w:rPr>
        <w:t xml:space="preserve">the number of subsequent audits required for </w:t>
      </w:r>
      <w:r w:rsidR="003B1480">
        <w:rPr>
          <w:rFonts w:ascii="Calibri" w:hAnsi="Calibri"/>
          <w:sz w:val="24"/>
          <w:szCs w:val="24"/>
        </w:rPr>
        <w:t>projects meeting each audit threshold</w:t>
      </w:r>
    </w:p>
    <w:p w14:paraId="251166B2" w14:textId="358467DE" w:rsidR="00341D4F" w:rsidRDefault="00341D4F" w:rsidP="007B51A0">
      <w:pPr>
        <w:pStyle w:val="base-text-paragraphnonumbers"/>
        <w:ind w:left="360" w:hanging="76"/>
        <w:rPr>
          <w:rFonts w:ascii="Calibri" w:hAnsi="Calibri"/>
          <w:sz w:val="24"/>
          <w:szCs w:val="24"/>
        </w:rPr>
      </w:pPr>
      <w:r>
        <w:rPr>
          <w:rFonts w:ascii="Calibri" w:hAnsi="Calibri"/>
          <w:sz w:val="24"/>
          <w:szCs w:val="24"/>
        </w:rPr>
        <w:t>(</w:t>
      </w:r>
      <w:proofErr w:type="spellStart"/>
      <w:r>
        <w:rPr>
          <w:rFonts w:ascii="Calibri" w:hAnsi="Calibri"/>
          <w:sz w:val="24"/>
          <w:szCs w:val="24"/>
        </w:rPr>
        <w:t>ba</w:t>
      </w:r>
      <w:proofErr w:type="spellEnd"/>
      <w:r>
        <w:rPr>
          <w:rFonts w:ascii="Calibri" w:hAnsi="Calibri"/>
          <w:sz w:val="24"/>
          <w:szCs w:val="24"/>
        </w:rPr>
        <w:t xml:space="preserve">) </w:t>
      </w:r>
      <w:r w:rsidR="00D4718A" w:rsidRPr="00D4718A">
        <w:rPr>
          <w:rFonts w:ascii="Calibri" w:hAnsi="Calibri"/>
          <w:sz w:val="24"/>
          <w:szCs w:val="24"/>
        </w:rPr>
        <w:t>matters relating to alternative assurance projects for subsection 73(7)</w:t>
      </w:r>
    </w:p>
    <w:p w14:paraId="08CAC48B" w14:textId="6E31D821" w:rsidR="001A4DB6" w:rsidRDefault="001A4DB6" w:rsidP="007B51A0">
      <w:pPr>
        <w:pStyle w:val="base-text-paragraphnonumbers"/>
        <w:ind w:left="709" w:hanging="425"/>
        <w:rPr>
          <w:rFonts w:ascii="Calibri" w:hAnsi="Calibri"/>
          <w:sz w:val="24"/>
          <w:szCs w:val="24"/>
        </w:rPr>
      </w:pPr>
      <w:r>
        <w:rPr>
          <w:rFonts w:ascii="Calibri" w:hAnsi="Calibri"/>
          <w:sz w:val="24"/>
          <w:szCs w:val="24"/>
        </w:rPr>
        <w:t xml:space="preserve">(bb) </w:t>
      </w:r>
      <w:r w:rsidRPr="001A4DB6">
        <w:rPr>
          <w:rFonts w:ascii="Calibri" w:hAnsi="Calibri"/>
          <w:sz w:val="24"/>
          <w:szCs w:val="24"/>
        </w:rPr>
        <w:t>if an alternative assurance project is required to undertake one or more scheduled audits, whether the first of those audits is an initial audit</w:t>
      </w:r>
    </w:p>
    <w:p w14:paraId="55C37714" w14:textId="1ED13385" w:rsidR="003113F9" w:rsidRDefault="0089258F" w:rsidP="003113F9">
      <w:pPr>
        <w:pStyle w:val="base-text-paragraphnonumbers"/>
        <w:numPr>
          <w:ilvl w:val="0"/>
          <w:numId w:val="17"/>
        </w:numPr>
        <w:rPr>
          <w:rFonts w:ascii="Calibri" w:hAnsi="Calibri"/>
          <w:sz w:val="24"/>
          <w:szCs w:val="24"/>
        </w:rPr>
      </w:pPr>
      <w:r>
        <w:rPr>
          <w:rFonts w:ascii="Calibri" w:hAnsi="Calibri"/>
          <w:sz w:val="24"/>
          <w:szCs w:val="24"/>
        </w:rPr>
        <w:lastRenderedPageBreak/>
        <w:t xml:space="preserve">a </w:t>
      </w:r>
      <w:r w:rsidR="004848D5">
        <w:rPr>
          <w:rFonts w:ascii="Calibri" w:hAnsi="Calibri"/>
          <w:sz w:val="24"/>
          <w:szCs w:val="24"/>
        </w:rPr>
        <w:t xml:space="preserve">trigger audit </w:t>
      </w:r>
      <w:r>
        <w:rPr>
          <w:rFonts w:ascii="Calibri" w:hAnsi="Calibri"/>
          <w:sz w:val="24"/>
          <w:szCs w:val="24"/>
        </w:rPr>
        <w:t>threshold</w:t>
      </w:r>
      <w:r w:rsidR="00950BB1">
        <w:rPr>
          <w:rFonts w:ascii="Calibri" w:hAnsi="Calibri"/>
          <w:sz w:val="24"/>
          <w:szCs w:val="24"/>
        </w:rPr>
        <w:t>,</w:t>
      </w:r>
      <w:r>
        <w:rPr>
          <w:rFonts w:ascii="Calibri" w:hAnsi="Calibri"/>
          <w:sz w:val="24"/>
          <w:szCs w:val="24"/>
        </w:rPr>
        <w:t xml:space="preserve"> beyond which </w:t>
      </w:r>
      <w:r w:rsidR="00950BB1">
        <w:rPr>
          <w:rFonts w:ascii="Calibri" w:hAnsi="Calibri"/>
          <w:sz w:val="24"/>
          <w:szCs w:val="24"/>
        </w:rPr>
        <w:t xml:space="preserve">an eligible offsets project must be subject to </w:t>
      </w:r>
      <w:r>
        <w:rPr>
          <w:rFonts w:ascii="Calibri" w:hAnsi="Calibri"/>
          <w:sz w:val="24"/>
          <w:szCs w:val="24"/>
        </w:rPr>
        <w:t xml:space="preserve">a threshold audit, and </w:t>
      </w:r>
    </w:p>
    <w:p w14:paraId="46BC21BE" w14:textId="3002730E" w:rsidR="003113F9" w:rsidRPr="00F70C0A" w:rsidRDefault="0089258F" w:rsidP="003113F9">
      <w:pPr>
        <w:pStyle w:val="base-text-paragraphnonumbers"/>
        <w:numPr>
          <w:ilvl w:val="0"/>
          <w:numId w:val="17"/>
        </w:numPr>
        <w:rPr>
          <w:rFonts w:ascii="Calibri" w:hAnsi="Calibri"/>
          <w:sz w:val="24"/>
          <w:szCs w:val="24"/>
        </w:rPr>
      </w:pPr>
      <w:r w:rsidRPr="00F70C0A">
        <w:rPr>
          <w:rFonts w:ascii="Calibri" w:hAnsi="Calibri"/>
          <w:sz w:val="24"/>
          <w:szCs w:val="24"/>
        </w:rPr>
        <w:t xml:space="preserve">a </w:t>
      </w:r>
      <w:r w:rsidR="004848D5" w:rsidRPr="00F70C0A">
        <w:rPr>
          <w:rFonts w:ascii="Calibri" w:hAnsi="Calibri"/>
          <w:sz w:val="24"/>
          <w:szCs w:val="24"/>
        </w:rPr>
        <w:t xml:space="preserve">variance audit </w:t>
      </w:r>
      <w:r w:rsidRPr="00F70C0A">
        <w:rPr>
          <w:rFonts w:ascii="Calibri" w:hAnsi="Calibri"/>
          <w:sz w:val="24"/>
          <w:szCs w:val="24"/>
        </w:rPr>
        <w:t>threshold</w:t>
      </w:r>
      <w:r w:rsidR="00950BB1" w:rsidRPr="00F70C0A">
        <w:rPr>
          <w:rFonts w:ascii="Calibri" w:hAnsi="Calibri"/>
          <w:sz w:val="24"/>
          <w:szCs w:val="24"/>
        </w:rPr>
        <w:t>,</w:t>
      </w:r>
      <w:r w:rsidRPr="00F70C0A">
        <w:rPr>
          <w:rFonts w:ascii="Calibri" w:hAnsi="Calibri"/>
          <w:sz w:val="24"/>
          <w:szCs w:val="24"/>
        </w:rPr>
        <w:t xml:space="preserve"> beyond which </w:t>
      </w:r>
      <w:r w:rsidR="00950BB1" w:rsidRPr="00F70C0A">
        <w:rPr>
          <w:rFonts w:ascii="Calibri" w:hAnsi="Calibri"/>
          <w:sz w:val="24"/>
          <w:szCs w:val="24"/>
        </w:rPr>
        <w:t xml:space="preserve">an eligible offsets period must be subject to </w:t>
      </w:r>
      <w:r w:rsidR="0064507D" w:rsidRPr="00F70C0A">
        <w:rPr>
          <w:rFonts w:ascii="Calibri" w:hAnsi="Calibri"/>
          <w:sz w:val="24"/>
          <w:szCs w:val="24"/>
        </w:rPr>
        <w:t>a</w:t>
      </w:r>
      <w:r w:rsidR="00ED7C0A" w:rsidRPr="00F70C0A">
        <w:rPr>
          <w:rFonts w:ascii="Calibri" w:hAnsi="Calibri"/>
          <w:sz w:val="24"/>
          <w:szCs w:val="24"/>
        </w:rPr>
        <w:t xml:space="preserve"> triggered</w:t>
      </w:r>
      <w:r w:rsidR="0064507D" w:rsidRPr="00F70C0A">
        <w:rPr>
          <w:rFonts w:ascii="Calibri" w:hAnsi="Calibri"/>
          <w:sz w:val="24"/>
          <w:szCs w:val="24"/>
        </w:rPr>
        <w:t xml:space="preserve"> </w:t>
      </w:r>
      <w:r w:rsidR="003113F9" w:rsidRPr="00F70C0A">
        <w:rPr>
          <w:rFonts w:ascii="Calibri" w:hAnsi="Calibri"/>
          <w:sz w:val="24"/>
          <w:szCs w:val="24"/>
        </w:rPr>
        <w:t xml:space="preserve">audit </w:t>
      </w:r>
      <w:r w:rsidR="00375C0A" w:rsidRPr="00F70C0A">
        <w:rPr>
          <w:rFonts w:ascii="Calibri" w:hAnsi="Calibri"/>
          <w:sz w:val="24"/>
          <w:szCs w:val="24"/>
        </w:rPr>
        <w:t xml:space="preserve">under section 78 of the Rule </w:t>
      </w:r>
      <w:r w:rsidR="00950BB1" w:rsidRPr="00F70C0A">
        <w:rPr>
          <w:rFonts w:ascii="Calibri" w:hAnsi="Calibri"/>
          <w:sz w:val="24"/>
          <w:szCs w:val="24"/>
        </w:rPr>
        <w:t xml:space="preserve">if </w:t>
      </w:r>
      <w:r w:rsidRPr="00F70C0A">
        <w:rPr>
          <w:rFonts w:ascii="Calibri" w:hAnsi="Calibri"/>
          <w:sz w:val="24"/>
          <w:szCs w:val="24"/>
        </w:rPr>
        <w:t>requested by the Clean Energy Regulator</w:t>
      </w:r>
      <w:r w:rsidR="00AF7908" w:rsidRPr="00F70C0A">
        <w:rPr>
          <w:rFonts w:ascii="Calibri" w:hAnsi="Calibri"/>
          <w:sz w:val="24"/>
          <w:szCs w:val="24"/>
        </w:rPr>
        <w:t>.</w:t>
      </w:r>
    </w:p>
    <w:p w14:paraId="7103829A" w14:textId="0DB6B6AD" w:rsidR="004E0ABB" w:rsidRDefault="004E0ABB" w:rsidP="00621EDA">
      <w:pPr>
        <w:spacing w:line="240" w:lineRule="auto"/>
        <w:rPr>
          <w:rFonts w:eastAsia="Times New Roman" w:cs="Times New Roman"/>
          <w:sz w:val="24"/>
          <w:szCs w:val="24"/>
          <w:lang w:eastAsia="en-AU"/>
        </w:rPr>
      </w:pPr>
      <w:r>
        <w:rPr>
          <w:rFonts w:eastAsia="Times New Roman" w:cs="Times New Roman"/>
          <w:sz w:val="24"/>
          <w:szCs w:val="24"/>
          <w:lang w:eastAsia="en-AU"/>
        </w:rPr>
        <w:t>The provisions at 75(</w:t>
      </w:r>
      <w:proofErr w:type="gramStart"/>
      <w:r>
        <w:rPr>
          <w:rFonts w:eastAsia="Times New Roman" w:cs="Times New Roman"/>
          <w:sz w:val="24"/>
          <w:szCs w:val="24"/>
          <w:lang w:eastAsia="en-AU"/>
        </w:rPr>
        <w:t>4)(</w:t>
      </w:r>
      <w:proofErr w:type="spellStart"/>
      <w:proofErr w:type="gramEnd"/>
      <w:r>
        <w:rPr>
          <w:rFonts w:eastAsia="Times New Roman" w:cs="Times New Roman"/>
          <w:sz w:val="24"/>
          <w:szCs w:val="24"/>
          <w:lang w:eastAsia="en-AU"/>
        </w:rPr>
        <w:t>ba</w:t>
      </w:r>
      <w:proofErr w:type="spellEnd"/>
      <w:r>
        <w:rPr>
          <w:rFonts w:eastAsia="Times New Roman" w:cs="Times New Roman"/>
          <w:sz w:val="24"/>
          <w:szCs w:val="24"/>
          <w:lang w:eastAsia="en-AU"/>
        </w:rPr>
        <w:t>) and (bb) were introduced through a June 2021 amendment to the CFI Rule</w:t>
      </w:r>
      <w:r w:rsidR="002D22FC">
        <w:rPr>
          <w:rFonts w:eastAsia="Times New Roman" w:cs="Times New Roman"/>
          <w:sz w:val="24"/>
          <w:szCs w:val="24"/>
          <w:lang w:eastAsia="en-AU"/>
        </w:rPr>
        <w:t xml:space="preserve"> – they set out the powers of the </w:t>
      </w:r>
      <w:r w:rsidR="002D22FC" w:rsidRPr="002D22FC">
        <w:rPr>
          <w:rFonts w:eastAsia="Times New Roman" w:cs="Times New Roman"/>
          <w:sz w:val="24"/>
          <w:szCs w:val="24"/>
          <w:lang w:eastAsia="en-AU"/>
        </w:rPr>
        <w:t>Clean Energy Regulator</w:t>
      </w:r>
      <w:r w:rsidR="002D22FC">
        <w:rPr>
          <w:rFonts w:eastAsia="Times New Roman" w:cs="Times New Roman"/>
          <w:sz w:val="24"/>
          <w:szCs w:val="24"/>
          <w:lang w:eastAsia="en-AU"/>
        </w:rPr>
        <w:t xml:space="preserve"> in creating and setting out audit obligations for classes of alternative assurance projects. </w:t>
      </w:r>
    </w:p>
    <w:p w14:paraId="6EEDBCC9" w14:textId="0701F43D" w:rsidR="00350E3E" w:rsidRDefault="0089258F" w:rsidP="00621EDA">
      <w:pPr>
        <w:spacing w:line="240" w:lineRule="auto"/>
        <w:rPr>
          <w:rFonts w:eastAsia="Times New Roman" w:cs="Times New Roman"/>
          <w:sz w:val="24"/>
          <w:szCs w:val="24"/>
          <w:lang w:eastAsia="en-AU"/>
        </w:rPr>
      </w:pPr>
      <w:r>
        <w:rPr>
          <w:rFonts w:eastAsia="Times New Roman" w:cs="Times New Roman"/>
          <w:sz w:val="24"/>
          <w:szCs w:val="24"/>
          <w:lang w:eastAsia="en-AU"/>
        </w:rPr>
        <w:t xml:space="preserve">The </w:t>
      </w:r>
      <w:r w:rsidR="00AF7908">
        <w:rPr>
          <w:rFonts w:eastAsia="Times New Roman" w:cs="Times New Roman"/>
          <w:sz w:val="24"/>
          <w:szCs w:val="24"/>
          <w:lang w:eastAsia="en-AU"/>
        </w:rPr>
        <w:t xml:space="preserve">ability to determine the contents of the </w:t>
      </w:r>
      <w:r w:rsidR="0064507D">
        <w:rPr>
          <w:rFonts w:eastAsia="Times New Roman" w:cs="Times New Roman"/>
          <w:sz w:val="24"/>
          <w:szCs w:val="24"/>
          <w:lang w:eastAsia="en-AU"/>
        </w:rPr>
        <w:t>a</w:t>
      </w:r>
      <w:r w:rsidRPr="00350E3E">
        <w:rPr>
          <w:rFonts w:eastAsia="Times New Roman" w:cs="Times New Roman"/>
          <w:sz w:val="24"/>
          <w:szCs w:val="24"/>
          <w:lang w:eastAsia="en-AU"/>
        </w:rPr>
        <w:t xml:space="preserve">udit </w:t>
      </w:r>
      <w:r w:rsidR="0064507D">
        <w:rPr>
          <w:rFonts w:eastAsia="Times New Roman" w:cs="Times New Roman"/>
          <w:sz w:val="24"/>
          <w:szCs w:val="24"/>
          <w:lang w:eastAsia="en-AU"/>
        </w:rPr>
        <w:t>t</w:t>
      </w:r>
      <w:r w:rsidRPr="00350E3E">
        <w:rPr>
          <w:rFonts w:eastAsia="Times New Roman" w:cs="Times New Roman"/>
          <w:sz w:val="24"/>
          <w:szCs w:val="24"/>
          <w:lang w:eastAsia="en-AU"/>
        </w:rPr>
        <w:t xml:space="preserve">hresholds </w:t>
      </w:r>
      <w:r w:rsidR="0064507D">
        <w:rPr>
          <w:rFonts w:eastAsia="Times New Roman" w:cs="Times New Roman"/>
          <w:sz w:val="24"/>
          <w:szCs w:val="24"/>
          <w:lang w:eastAsia="en-AU"/>
        </w:rPr>
        <w:t>i</w:t>
      </w:r>
      <w:r w:rsidRPr="00350E3E">
        <w:rPr>
          <w:rFonts w:eastAsia="Times New Roman" w:cs="Times New Roman"/>
          <w:sz w:val="24"/>
          <w:szCs w:val="24"/>
          <w:lang w:eastAsia="en-AU"/>
        </w:rPr>
        <w:t>nstrument</w:t>
      </w:r>
      <w:r>
        <w:rPr>
          <w:rFonts w:eastAsia="Times New Roman" w:cs="Times New Roman"/>
          <w:sz w:val="24"/>
          <w:szCs w:val="24"/>
          <w:lang w:eastAsia="en-AU"/>
        </w:rPr>
        <w:t xml:space="preserve"> provides the </w:t>
      </w:r>
      <w:r w:rsidRPr="0089258F">
        <w:rPr>
          <w:rFonts w:eastAsia="Times New Roman" w:cs="Times New Roman"/>
          <w:sz w:val="24"/>
          <w:szCs w:val="24"/>
          <w:lang w:eastAsia="en-AU"/>
        </w:rPr>
        <w:t>Clean Energy Regulator</w:t>
      </w:r>
      <w:r>
        <w:rPr>
          <w:rFonts w:eastAsia="Times New Roman" w:cs="Times New Roman"/>
          <w:sz w:val="24"/>
          <w:szCs w:val="24"/>
          <w:lang w:eastAsia="en-AU"/>
        </w:rPr>
        <w:t xml:space="preserve"> </w:t>
      </w:r>
      <w:r w:rsidRPr="005C5642">
        <w:rPr>
          <w:rFonts w:eastAsia="Times New Roman" w:cs="Times New Roman"/>
          <w:sz w:val="24"/>
          <w:szCs w:val="24"/>
          <w:lang w:eastAsia="en-AU"/>
        </w:rPr>
        <w:t xml:space="preserve">with </w:t>
      </w:r>
      <w:r w:rsidR="003C4C42" w:rsidRPr="005C5642">
        <w:rPr>
          <w:rFonts w:eastAsia="Times New Roman" w:cs="Times New Roman"/>
          <w:sz w:val="24"/>
          <w:szCs w:val="24"/>
          <w:lang w:eastAsia="en-AU"/>
        </w:rPr>
        <w:t xml:space="preserve">flexibility </w:t>
      </w:r>
      <w:r w:rsidRPr="005C5642">
        <w:rPr>
          <w:rFonts w:eastAsia="Times New Roman" w:cs="Times New Roman"/>
          <w:sz w:val="24"/>
          <w:szCs w:val="24"/>
          <w:lang w:eastAsia="en-AU"/>
        </w:rPr>
        <w:t xml:space="preserve">to </w:t>
      </w:r>
      <w:proofErr w:type="gramStart"/>
      <w:r w:rsidRPr="005C5642">
        <w:rPr>
          <w:rFonts w:eastAsia="Times New Roman" w:cs="Times New Roman"/>
          <w:sz w:val="24"/>
          <w:szCs w:val="24"/>
          <w:lang w:eastAsia="en-AU"/>
        </w:rPr>
        <w:t>make adjustments to</w:t>
      </w:r>
      <w:proofErr w:type="gramEnd"/>
      <w:r w:rsidRPr="005C5642">
        <w:rPr>
          <w:rFonts w:eastAsia="Times New Roman" w:cs="Times New Roman"/>
          <w:sz w:val="24"/>
          <w:szCs w:val="24"/>
          <w:lang w:eastAsia="en-AU"/>
        </w:rPr>
        <w:t xml:space="preserve"> the </w:t>
      </w:r>
      <w:r w:rsidR="00AA2823" w:rsidRPr="005C5642">
        <w:rPr>
          <w:rFonts w:eastAsia="Times New Roman" w:cs="Times New Roman"/>
          <w:sz w:val="24"/>
          <w:szCs w:val="24"/>
          <w:lang w:eastAsia="en-AU"/>
        </w:rPr>
        <w:t xml:space="preserve">audit arrangements to meet </w:t>
      </w:r>
      <w:r w:rsidR="006847C1" w:rsidRPr="005C5642">
        <w:rPr>
          <w:rFonts w:eastAsia="Times New Roman" w:cs="Times New Roman"/>
          <w:sz w:val="24"/>
          <w:szCs w:val="24"/>
          <w:lang w:eastAsia="en-AU"/>
        </w:rPr>
        <w:t>evolving</w:t>
      </w:r>
      <w:r w:rsidR="00AA2823" w:rsidRPr="005C5642">
        <w:rPr>
          <w:rFonts w:eastAsia="Times New Roman" w:cs="Times New Roman"/>
          <w:sz w:val="24"/>
          <w:szCs w:val="24"/>
          <w:lang w:eastAsia="en-AU"/>
        </w:rPr>
        <w:t xml:space="preserve"> needs and adapt to developing risks.</w:t>
      </w:r>
    </w:p>
    <w:bookmarkEnd w:id="1"/>
    <w:p w14:paraId="102BD913" w14:textId="705EA1B2" w:rsidR="00CF2C38" w:rsidRPr="00A4127A" w:rsidRDefault="00E66FFB" w:rsidP="00E66FFB">
      <w:pPr>
        <w:spacing w:line="240" w:lineRule="auto"/>
        <w:rPr>
          <w:rFonts w:eastAsia="Times New Roman" w:cs="Times New Roman"/>
          <w:sz w:val="24"/>
          <w:szCs w:val="24"/>
          <w:lang w:eastAsia="en-AU"/>
        </w:rPr>
      </w:pPr>
      <w:r>
        <w:rPr>
          <w:rFonts w:eastAsia="Times New Roman" w:cs="Times New Roman"/>
          <w:sz w:val="24"/>
          <w:szCs w:val="24"/>
          <w:lang w:eastAsia="en-AU"/>
        </w:rPr>
        <w:t xml:space="preserve">In June 2021 the Rule was amended to introduce ‘alternative assurance projects’ as a new category of eligible offset projects. Prior to these amendments all eligible offsets projects were subject to one initial and a minimum of two subsequent audits, with the number of subsequent audits dependent on the audit threshold met by the project as set out in the </w:t>
      </w:r>
      <w:r w:rsidRPr="005D6BA6">
        <w:rPr>
          <w:i/>
          <w:iCs/>
          <w:sz w:val="24"/>
          <w:szCs w:val="24"/>
        </w:rPr>
        <w:t>Carbon Credits (Carbon Farming Initiative) (Audit Thresholds) Instrument 20</w:t>
      </w:r>
      <w:r w:rsidR="00530603">
        <w:rPr>
          <w:i/>
          <w:iCs/>
          <w:sz w:val="24"/>
          <w:szCs w:val="24"/>
        </w:rPr>
        <w:t>15</w:t>
      </w:r>
      <w:r>
        <w:rPr>
          <w:sz w:val="24"/>
          <w:szCs w:val="24"/>
        </w:rPr>
        <w:t xml:space="preserve"> (the </w:t>
      </w:r>
      <w:r w:rsidR="00530603">
        <w:rPr>
          <w:sz w:val="24"/>
          <w:szCs w:val="24"/>
        </w:rPr>
        <w:t xml:space="preserve">2015 Audit Thresholds Instrument </w:t>
      </w:r>
      <w:r>
        <w:rPr>
          <w:sz w:val="24"/>
          <w:szCs w:val="24"/>
        </w:rPr>
        <w:t xml:space="preserve">). </w:t>
      </w:r>
    </w:p>
    <w:p w14:paraId="63187CDC" w14:textId="6572293D" w:rsidR="00E66FFB" w:rsidRDefault="00130456" w:rsidP="00E66FFB">
      <w:pPr>
        <w:spacing w:line="240" w:lineRule="auto"/>
        <w:rPr>
          <w:rFonts w:eastAsia="Times New Roman" w:cs="Times New Roman"/>
          <w:sz w:val="24"/>
          <w:szCs w:val="24"/>
          <w:lang w:eastAsia="en-AU"/>
        </w:rPr>
      </w:pPr>
      <w:r>
        <w:rPr>
          <w:rFonts w:eastAsia="Times New Roman" w:cs="Times New Roman"/>
          <w:sz w:val="24"/>
          <w:szCs w:val="24"/>
          <w:lang w:eastAsia="en-AU"/>
        </w:rPr>
        <w:t>As a result of the Rule amendment, a</w:t>
      </w:r>
      <w:r w:rsidR="00E66FFB">
        <w:rPr>
          <w:rFonts w:eastAsia="Times New Roman" w:cs="Times New Roman"/>
          <w:sz w:val="24"/>
          <w:szCs w:val="24"/>
          <w:lang w:eastAsia="en-AU"/>
        </w:rPr>
        <w:t xml:space="preserve">lternative assurance projects </w:t>
      </w:r>
      <w:r w:rsidR="00697005">
        <w:rPr>
          <w:rFonts w:eastAsia="Times New Roman" w:cs="Times New Roman"/>
          <w:sz w:val="24"/>
          <w:szCs w:val="24"/>
          <w:lang w:eastAsia="en-AU"/>
        </w:rPr>
        <w:t>may be</w:t>
      </w:r>
      <w:r w:rsidR="00E66FFB">
        <w:rPr>
          <w:rFonts w:eastAsia="Times New Roman" w:cs="Times New Roman"/>
          <w:sz w:val="24"/>
          <w:szCs w:val="24"/>
          <w:lang w:eastAsia="en-AU"/>
        </w:rPr>
        <w:t xml:space="preserve"> subject to fewer audits and in some cases may require no audits.</w:t>
      </w:r>
    </w:p>
    <w:p w14:paraId="3A5D9C5E" w14:textId="6174E956" w:rsidR="00FF01FA" w:rsidRDefault="00FF01FA" w:rsidP="00E66FFB">
      <w:pPr>
        <w:spacing w:line="240" w:lineRule="auto"/>
        <w:rPr>
          <w:rFonts w:eastAsia="Times New Roman" w:cs="Times New Roman"/>
          <w:sz w:val="24"/>
          <w:szCs w:val="24"/>
          <w:lang w:eastAsia="en-AU"/>
        </w:rPr>
      </w:pPr>
      <w:r>
        <w:rPr>
          <w:rFonts w:eastAsia="Times New Roman" w:cs="Times New Roman"/>
          <w:sz w:val="24"/>
          <w:szCs w:val="24"/>
          <w:lang w:eastAsia="en-AU"/>
        </w:rPr>
        <w:t xml:space="preserve">The Rule was also </w:t>
      </w:r>
      <w:r w:rsidRPr="00FF01FA">
        <w:rPr>
          <w:rFonts w:eastAsia="Times New Roman" w:cs="Times New Roman"/>
          <w:sz w:val="24"/>
          <w:szCs w:val="24"/>
          <w:lang w:eastAsia="en-AU"/>
        </w:rPr>
        <w:t xml:space="preserve">amended to expand the situations in which the </w:t>
      </w:r>
      <w:r w:rsidR="00FF0C6E">
        <w:rPr>
          <w:rFonts w:eastAsia="Times New Roman" w:cs="Times New Roman"/>
          <w:sz w:val="24"/>
          <w:szCs w:val="24"/>
          <w:lang w:eastAsia="en-AU"/>
        </w:rPr>
        <w:t xml:space="preserve">Clean Energy </w:t>
      </w:r>
      <w:r w:rsidRPr="00FF01FA">
        <w:rPr>
          <w:rFonts w:eastAsia="Times New Roman" w:cs="Times New Roman"/>
          <w:sz w:val="24"/>
          <w:szCs w:val="24"/>
          <w:lang w:eastAsia="en-AU"/>
        </w:rPr>
        <w:t>Regulator may vary an audit schedule for pre</w:t>
      </w:r>
      <w:r w:rsidR="006952C9">
        <w:rPr>
          <w:rFonts w:eastAsia="Times New Roman" w:cs="Times New Roman"/>
          <w:sz w:val="24"/>
          <w:szCs w:val="24"/>
          <w:lang w:eastAsia="en-AU"/>
        </w:rPr>
        <w:t>-</w:t>
      </w:r>
      <w:r w:rsidRPr="00FF01FA">
        <w:rPr>
          <w:rFonts w:eastAsia="Times New Roman" w:cs="Times New Roman"/>
          <w:sz w:val="24"/>
          <w:szCs w:val="24"/>
          <w:lang w:eastAsia="en-AU"/>
        </w:rPr>
        <w:t xml:space="preserve">existing projects that meet the criteria for alternative assurance projects or change </w:t>
      </w:r>
      <w:r w:rsidR="00130456">
        <w:rPr>
          <w:rFonts w:eastAsia="Times New Roman" w:cs="Times New Roman"/>
          <w:sz w:val="24"/>
          <w:szCs w:val="24"/>
          <w:lang w:eastAsia="en-AU"/>
        </w:rPr>
        <w:t xml:space="preserve">the schedule </w:t>
      </w:r>
      <w:r w:rsidRPr="00FF01FA">
        <w:rPr>
          <w:rFonts w:eastAsia="Times New Roman" w:cs="Times New Roman"/>
          <w:sz w:val="24"/>
          <w:szCs w:val="24"/>
          <w:lang w:eastAsia="en-AU"/>
        </w:rPr>
        <w:t xml:space="preserve">so that </w:t>
      </w:r>
      <w:r w:rsidR="00130456">
        <w:rPr>
          <w:rFonts w:eastAsia="Times New Roman" w:cs="Times New Roman"/>
          <w:sz w:val="24"/>
          <w:szCs w:val="24"/>
          <w:lang w:eastAsia="en-AU"/>
        </w:rPr>
        <w:t xml:space="preserve">a project </w:t>
      </w:r>
      <w:r w:rsidRPr="00FF01FA">
        <w:rPr>
          <w:rFonts w:eastAsia="Times New Roman" w:cs="Times New Roman"/>
          <w:sz w:val="24"/>
          <w:szCs w:val="24"/>
          <w:lang w:eastAsia="en-AU"/>
        </w:rPr>
        <w:t xml:space="preserve"> become</w:t>
      </w:r>
      <w:r w:rsidR="00130456">
        <w:rPr>
          <w:rFonts w:eastAsia="Times New Roman" w:cs="Times New Roman"/>
          <w:sz w:val="24"/>
          <w:szCs w:val="24"/>
          <w:lang w:eastAsia="en-AU"/>
        </w:rPr>
        <w:t>s</w:t>
      </w:r>
      <w:r w:rsidRPr="00FF01FA">
        <w:rPr>
          <w:rFonts w:eastAsia="Times New Roman" w:cs="Times New Roman"/>
          <w:sz w:val="24"/>
          <w:szCs w:val="24"/>
          <w:lang w:eastAsia="en-AU"/>
        </w:rPr>
        <w:t xml:space="preserve"> an alternative assurance project, after a schedule is set. This includes allowing the removal of one or more audits that would not be required if the project becomes a low risk alternative assurance project.</w:t>
      </w:r>
    </w:p>
    <w:p w14:paraId="698E221C" w14:textId="18C506E8" w:rsidR="00130456" w:rsidRDefault="00130456" w:rsidP="00E66FFB">
      <w:pPr>
        <w:spacing w:line="240" w:lineRule="auto"/>
        <w:rPr>
          <w:rFonts w:eastAsia="Times New Roman" w:cs="Times New Roman"/>
          <w:sz w:val="24"/>
          <w:szCs w:val="24"/>
          <w:lang w:eastAsia="en-AU"/>
        </w:rPr>
      </w:pPr>
      <w:r>
        <w:rPr>
          <w:rFonts w:eastAsia="Times New Roman" w:cs="Times New Roman"/>
          <w:sz w:val="24"/>
          <w:szCs w:val="24"/>
          <w:lang w:eastAsia="en-AU"/>
        </w:rPr>
        <w:t>The changes to the Rule to allow for alternative assurance projects’ needs to be given effect by changes to the Audit Threshold Instrument.</w:t>
      </w:r>
    </w:p>
    <w:p w14:paraId="3D7AE63A" w14:textId="228A0C9B" w:rsidR="00E66FFB" w:rsidRDefault="00E66FFB" w:rsidP="00E66FFB">
      <w:pPr>
        <w:spacing w:line="240" w:lineRule="auto"/>
        <w:rPr>
          <w:rFonts w:eastAsia="Times New Roman" w:cs="Times New Roman"/>
          <w:sz w:val="24"/>
          <w:szCs w:val="24"/>
          <w:lang w:eastAsia="en-AU"/>
        </w:rPr>
      </w:pPr>
      <w:r>
        <w:rPr>
          <w:rFonts w:eastAsia="Times New Roman" w:cs="Times New Roman"/>
          <w:sz w:val="24"/>
          <w:szCs w:val="24"/>
          <w:lang w:eastAsia="en-AU"/>
        </w:rPr>
        <w:t xml:space="preserve">Through the </w:t>
      </w:r>
      <w:r w:rsidR="00530603">
        <w:rPr>
          <w:rFonts w:eastAsia="Times New Roman" w:cs="Times New Roman"/>
          <w:sz w:val="24"/>
          <w:szCs w:val="24"/>
          <w:lang w:eastAsia="en-AU"/>
        </w:rPr>
        <w:t>audit thresholds</w:t>
      </w:r>
      <w:r>
        <w:rPr>
          <w:rFonts w:eastAsia="Times New Roman" w:cs="Times New Roman"/>
          <w:sz w:val="24"/>
          <w:szCs w:val="24"/>
          <w:lang w:eastAsia="en-AU"/>
        </w:rPr>
        <w:t xml:space="preserve"> instrument, the </w:t>
      </w:r>
      <w:r w:rsidRPr="00B95851">
        <w:rPr>
          <w:rFonts w:eastAsia="Times New Roman" w:cs="Times New Roman"/>
          <w:sz w:val="24"/>
          <w:szCs w:val="24"/>
          <w:lang w:eastAsia="en-AU"/>
        </w:rPr>
        <w:t>Clean Energy Regulator</w:t>
      </w:r>
      <w:r>
        <w:rPr>
          <w:rFonts w:eastAsia="Times New Roman" w:cs="Times New Roman"/>
          <w:sz w:val="24"/>
          <w:szCs w:val="24"/>
          <w:lang w:eastAsia="en-AU"/>
        </w:rPr>
        <w:t xml:space="preserve"> </w:t>
      </w:r>
      <w:r w:rsidR="00697005">
        <w:rPr>
          <w:rFonts w:eastAsia="Times New Roman" w:cs="Times New Roman"/>
          <w:sz w:val="24"/>
          <w:szCs w:val="24"/>
          <w:lang w:eastAsia="en-AU"/>
        </w:rPr>
        <w:t xml:space="preserve">may </w:t>
      </w:r>
      <w:r>
        <w:rPr>
          <w:rFonts w:eastAsia="Times New Roman" w:cs="Times New Roman"/>
          <w:sz w:val="24"/>
          <w:szCs w:val="24"/>
          <w:lang w:eastAsia="en-AU"/>
        </w:rPr>
        <w:t>define</w:t>
      </w:r>
      <w:r w:rsidRPr="00B95851">
        <w:rPr>
          <w:rFonts w:eastAsia="Times New Roman" w:cs="Times New Roman"/>
          <w:sz w:val="24"/>
          <w:szCs w:val="24"/>
          <w:lang w:eastAsia="en-AU"/>
        </w:rPr>
        <w:t xml:space="preserve"> </w:t>
      </w:r>
      <w:r w:rsidR="00ED29E1">
        <w:rPr>
          <w:rFonts w:eastAsia="Times New Roman" w:cs="Times New Roman"/>
          <w:sz w:val="24"/>
          <w:szCs w:val="24"/>
          <w:lang w:eastAsia="en-AU"/>
        </w:rPr>
        <w:t xml:space="preserve">the </w:t>
      </w:r>
      <w:r w:rsidRPr="00B95851">
        <w:rPr>
          <w:rFonts w:eastAsia="Times New Roman" w:cs="Times New Roman"/>
          <w:sz w:val="24"/>
          <w:szCs w:val="24"/>
          <w:lang w:eastAsia="en-AU"/>
        </w:rPr>
        <w:t xml:space="preserve">classes of alternative assurance </w:t>
      </w:r>
      <w:r w:rsidRPr="00AD6279">
        <w:rPr>
          <w:rFonts w:eastAsia="Times New Roman" w:cs="Times New Roman"/>
          <w:sz w:val="24"/>
          <w:szCs w:val="24"/>
          <w:lang w:eastAsia="en-AU"/>
        </w:rPr>
        <w:t>projects</w:t>
      </w:r>
      <w:r w:rsidR="00805273" w:rsidRPr="00F70C0A">
        <w:rPr>
          <w:sz w:val="24"/>
          <w:szCs w:val="24"/>
        </w:rPr>
        <w:t xml:space="preserve"> that may be subject to fewer audits subject to meeting specified criteria and conditions.</w:t>
      </w:r>
      <w:r w:rsidR="00201272">
        <w:rPr>
          <w:sz w:val="24"/>
          <w:szCs w:val="24"/>
        </w:rPr>
        <w:t xml:space="preserve"> </w:t>
      </w:r>
      <w:r w:rsidR="00AB12EE">
        <w:rPr>
          <w:rFonts w:eastAsia="Times New Roman" w:cs="Times New Roman"/>
          <w:sz w:val="24"/>
          <w:szCs w:val="24"/>
          <w:lang w:eastAsia="en-AU"/>
        </w:rPr>
        <w:t>However</w:t>
      </w:r>
      <w:r w:rsidR="00A4127A">
        <w:rPr>
          <w:rFonts w:eastAsia="Times New Roman" w:cs="Times New Roman"/>
          <w:sz w:val="24"/>
          <w:szCs w:val="24"/>
          <w:lang w:eastAsia="en-AU"/>
        </w:rPr>
        <w:t>,</w:t>
      </w:r>
      <w:r w:rsidR="0019312B">
        <w:rPr>
          <w:rFonts w:eastAsia="Times New Roman" w:cs="Times New Roman"/>
          <w:sz w:val="24"/>
          <w:szCs w:val="24"/>
          <w:lang w:eastAsia="en-AU"/>
        </w:rPr>
        <w:t xml:space="preserve"> </w:t>
      </w:r>
      <w:r w:rsidR="00AB12EE">
        <w:rPr>
          <w:rFonts w:eastAsia="Times New Roman" w:cs="Times New Roman"/>
          <w:sz w:val="24"/>
          <w:szCs w:val="24"/>
          <w:lang w:eastAsia="en-AU"/>
        </w:rPr>
        <w:t>the application of the class to a specific project will be contingent on the consent of the project proponent</w:t>
      </w:r>
      <w:r w:rsidR="00C9411A">
        <w:rPr>
          <w:rFonts w:eastAsia="Times New Roman" w:cs="Times New Roman"/>
          <w:sz w:val="24"/>
          <w:szCs w:val="24"/>
          <w:lang w:eastAsia="en-AU"/>
        </w:rPr>
        <w:t xml:space="preserve"> </w:t>
      </w:r>
      <w:r w:rsidR="003B6449">
        <w:rPr>
          <w:rFonts w:eastAsia="Times New Roman" w:cs="Times New Roman"/>
          <w:sz w:val="24"/>
          <w:szCs w:val="24"/>
          <w:lang w:eastAsia="en-AU"/>
        </w:rPr>
        <w:t>(paragraph 73(7)(d) of the Rule)</w:t>
      </w:r>
      <w:r w:rsidR="00AB12EE">
        <w:rPr>
          <w:rFonts w:eastAsia="Times New Roman" w:cs="Times New Roman"/>
          <w:sz w:val="24"/>
          <w:szCs w:val="24"/>
          <w:lang w:eastAsia="en-AU"/>
        </w:rPr>
        <w:t>.</w:t>
      </w:r>
      <w:r w:rsidR="00D20919">
        <w:rPr>
          <w:rFonts w:eastAsia="Times New Roman" w:cs="Times New Roman"/>
          <w:sz w:val="24"/>
          <w:szCs w:val="24"/>
          <w:lang w:eastAsia="en-AU"/>
        </w:rPr>
        <w:t xml:space="preserve"> </w:t>
      </w:r>
    </w:p>
    <w:p w14:paraId="7FFDF868" w14:textId="141985C4" w:rsidR="00130456" w:rsidRPr="00A4127A" w:rsidRDefault="00130456" w:rsidP="00E66FFB">
      <w:pPr>
        <w:spacing w:line="240" w:lineRule="auto"/>
        <w:rPr>
          <w:rFonts w:eastAsia="Times New Roman" w:cs="Times New Roman"/>
          <w:sz w:val="24"/>
          <w:szCs w:val="24"/>
          <w:lang w:eastAsia="en-AU"/>
        </w:rPr>
      </w:pPr>
      <w:r>
        <w:rPr>
          <w:rFonts w:eastAsia="Times New Roman" w:cs="Times New Roman"/>
          <w:sz w:val="24"/>
          <w:szCs w:val="24"/>
          <w:lang w:eastAsia="en-AU"/>
        </w:rPr>
        <w:t xml:space="preserve">Where a project changes </w:t>
      </w:r>
      <w:r w:rsidRPr="00FF0C6E">
        <w:rPr>
          <w:rFonts w:eastAsia="Times New Roman" w:cs="Times New Roman"/>
          <w:sz w:val="24"/>
          <w:szCs w:val="24"/>
          <w:lang w:eastAsia="en-AU"/>
        </w:rPr>
        <w:t>so that it is no longer an alternative assurance project, or does not meet the conditions of an alternative assurance project</w:t>
      </w:r>
      <w:r>
        <w:rPr>
          <w:rFonts w:eastAsia="Times New Roman" w:cs="Times New Roman"/>
          <w:sz w:val="24"/>
          <w:szCs w:val="24"/>
          <w:lang w:eastAsia="en-AU"/>
        </w:rPr>
        <w:t xml:space="preserve">, the Rule allows the Clean Energy Regulator to vary the audit schedule </w:t>
      </w:r>
      <w:r w:rsidRPr="00FF0C6E">
        <w:rPr>
          <w:rFonts w:eastAsia="Times New Roman" w:cs="Times New Roman"/>
          <w:sz w:val="24"/>
          <w:szCs w:val="24"/>
          <w:lang w:eastAsia="en-AU"/>
        </w:rPr>
        <w:t xml:space="preserve">to add audits that would have otherwise been required if the project was not an alternative assurance project. This type of decision </w:t>
      </w:r>
      <w:r>
        <w:rPr>
          <w:rFonts w:eastAsia="Times New Roman" w:cs="Times New Roman"/>
          <w:sz w:val="24"/>
          <w:szCs w:val="24"/>
          <w:lang w:eastAsia="en-AU"/>
        </w:rPr>
        <w:t>is</w:t>
      </w:r>
      <w:r w:rsidRPr="00FF0C6E">
        <w:rPr>
          <w:rFonts w:eastAsia="Times New Roman" w:cs="Times New Roman"/>
          <w:sz w:val="24"/>
          <w:szCs w:val="24"/>
          <w:lang w:eastAsia="en-AU"/>
        </w:rPr>
        <w:t xml:space="preserve"> a reviewable decision.</w:t>
      </w:r>
    </w:p>
    <w:p w14:paraId="2EDF24E6" w14:textId="6E103CEB" w:rsidR="00E66FFB" w:rsidRDefault="00E66FFB" w:rsidP="00E66FFB">
      <w:pPr>
        <w:spacing w:line="240" w:lineRule="auto"/>
        <w:rPr>
          <w:sz w:val="24"/>
          <w:szCs w:val="24"/>
        </w:rPr>
      </w:pPr>
      <w:r>
        <w:rPr>
          <w:sz w:val="24"/>
          <w:szCs w:val="24"/>
        </w:rPr>
        <w:t xml:space="preserve">The purpose of the </w:t>
      </w:r>
      <w:r w:rsidR="008D0C32" w:rsidRPr="008D0C32">
        <w:rPr>
          <w:i/>
          <w:iCs/>
          <w:sz w:val="24"/>
          <w:szCs w:val="24"/>
        </w:rPr>
        <w:t>Carbon Credits (Carbon Farming Initiative) (Audit Thresholds) Amendment (Low Risk Environmental Planting Projects) Instrument 2021</w:t>
      </w:r>
      <w:r w:rsidR="008D0C32" w:rsidRPr="008D0C32" w:rsidDel="008D0C32">
        <w:rPr>
          <w:i/>
          <w:iCs/>
          <w:sz w:val="24"/>
          <w:szCs w:val="24"/>
        </w:rPr>
        <w:t xml:space="preserve"> </w:t>
      </w:r>
      <w:r>
        <w:rPr>
          <w:sz w:val="24"/>
          <w:szCs w:val="24"/>
        </w:rPr>
        <w:t xml:space="preserve">(the instrument) is to amend the 2015 </w:t>
      </w:r>
      <w:r w:rsidRPr="00E364D9">
        <w:rPr>
          <w:sz w:val="24"/>
          <w:szCs w:val="24"/>
        </w:rPr>
        <w:t xml:space="preserve">Audit Thresholds Instrument </w:t>
      </w:r>
      <w:r>
        <w:rPr>
          <w:sz w:val="24"/>
          <w:szCs w:val="24"/>
        </w:rPr>
        <w:t xml:space="preserve">to set out the requirements </w:t>
      </w:r>
      <w:r w:rsidR="00697005">
        <w:rPr>
          <w:sz w:val="24"/>
          <w:szCs w:val="24"/>
        </w:rPr>
        <w:t xml:space="preserve">for one class of </w:t>
      </w:r>
      <w:r>
        <w:rPr>
          <w:sz w:val="24"/>
          <w:szCs w:val="24"/>
        </w:rPr>
        <w:t>alternative assurance project</w:t>
      </w:r>
      <w:r w:rsidR="00697005">
        <w:rPr>
          <w:sz w:val="24"/>
          <w:szCs w:val="24"/>
        </w:rPr>
        <w:t xml:space="preserve"> – this class is called “</w:t>
      </w:r>
      <w:r w:rsidR="00697005" w:rsidRPr="00697005">
        <w:rPr>
          <w:sz w:val="24"/>
          <w:szCs w:val="24"/>
        </w:rPr>
        <w:t>Low Risk Environmental Planting projects</w:t>
      </w:r>
      <w:r w:rsidR="00697005">
        <w:rPr>
          <w:sz w:val="24"/>
          <w:szCs w:val="24"/>
        </w:rPr>
        <w:t>”</w:t>
      </w:r>
      <w:r>
        <w:rPr>
          <w:sz w:val="24"/>
          <w:szCs w:val="24"/>
        </w:rPr>
        <w:t xml:space="preserve">. </w:t>
      </w:r>
    </w:p>
    <w:p w14:paraId="431643F6" w14:textId="77777777" w:rsidR="00C53714" w:rsidRDefault="00C53714" w:rsidP="00C53714">
      <w:pPr>
        <w:spacing w:line="240" w:lineRule="auto"/>
        <w:rPr>
          <w:sz w:val="24"/>
          <w:szCs w:val="24"/>
        </w:rPr>
      </w:pPr>
      <w:r>
        <w:rPr>
          <w:sz w:val="24"/>
          <w:szCs w:val="24"/>
        </w:rPr>
        <w:lastRenderedPageBreak/>
        <w:t xml:space="preserve">In making the instrument, the Clean Energy Regulator is required by subsection 75(4A) to </w:t>
      </w:r>
      <w:proofErr w:type="gramStart"/>
      <w:r>
        <w:rPr>
          <w:sz w:val="24"/>
          <w:szCs w:val="24"/>
        </w:rPr>
        <w:t>take into account</w:t>
      </w:r>
      <w:proofErr w:type="gramEnd"/>
      <w:r>
        <w:rPr>
          <w:sz w:val="24"/>
          <w:szCs w:val="24"/>
        </w:rPr>
        <w:t>:</w:t>
      </w:r>
    </w:p>
    <w:p w14:paraId="4839FD6C" w14:textId="77777777" w:rsidR="00C53714" w:rsidRPr="00C46213" w:rsidRDefault="00C53714" w:rsidP="00C53714">
      <w:pPr>
        <w:pStyle w:val="base-text-paragraphnonumbers"/>
        <w:numPr>
          <w:ilvl w:val="0"/>
          <w:numId w:val="25"/>
        </w:numPr>
        <w:rPr>
          <w:sz w:val="24"/>
          <w:szCs w:val="24"/>
        </w:rPr>
      </w:pPr>
      <w:r w:rsidRPr="00CA5D8B">
        <w:rPr>
          <w:rFonts w:ascii="Calibri" w:hAnsi="Calibri"/>
          <w:sz w:val="24"/>
          <w:szCs w:val="24"/>
        </w:rPr>
        <w:t>the proportionality of likely audit burden to risks associated with relevant classes of eligible offsets projects; and</w:t>
      </w:r>
    </w:p>
    <w:p w14:paraId="73BBF5E4" w14:textId="77777777" w:rsidR="00C53714" w:rsidRPr="00C46213" w:rsidRDefault="00C53714" w:rsidP="00C53714">
      <w:pPr>
        <w:pStyle w:val="base-text-paragraphnonumbers"/>
        <w:numPr>
          <w:ilvl w:val="0"/>
          <w:numId w:val="25"/>
        </w:numPr>
        <w:rPr>
          <w:sz w:val="24"/>
          <w:szCs w:val="24"/>
        </w:rPr>
      </w:pPr>
      <w:r w:rsidRPr="00CA5D8B">
        <w:rPr>
          <w:rFonts w:ascii="Calibri" w:hAnsi="Calibri"/>
          <w:sz w:val="24"/>
          <w:szCs w:val="24"/>
        </w:rPr>
        <w:t>whether particular classes of eligible offsets projects should have more or less scheduled audits or no scheduled audits; and</w:t>
      </w:r>
    </w:p>
    <w:p w14:paraId="0CD52DFB" w14:textId="77777777" w:rsidR="00C53714" w:rsidRPr="00C46213" w:rsidRDefault="00C53714" w:rsidP="00C53714">
      <w:pPr>
        <w:pStyle w:val="base-text-paragraphnonumbers"/>
        <w:numPr>
          <w:ilvl w:val="0"/>
          <w:numId w:val="25"/>
        </w:numPr>
        <w:rPr>
          <w:sz w:val="24"/>
          <w:szCs w:val="24"/>
        </w:rPr>
      </w:pPr>
      <w:r w:rsidRPr="00CA5D8B">
        <w:rPr>
          <w:rFonts w:ascii="Calibri" w:hAnsi="Calibri"/>
          <w:sz w:val="24"/>
          <w:szCs w:val="24"/>
        </w:rPr>
        <w:t>the likely effectiveness of any alternative assurance process that may be prescribed or specified for the purposes of paragraphs 73(7)(b) or (c); and</w:t>
      </w:r>
    </w:p>
    <w:p w14:paraId="6951BD4A" w14:textId="77777777" w:rsidR="00C53714" w:rsidRPr="00C46213" w:rsidRDefault="00C53714" w:rsidP="00C53714">
      <w:pPr>
        <w:pStyle w:val="base-text-paragraphnonumbers"/>
        <w:numPr>
          <w:ilvl w:val="0"/>
          <w:numId w:val="25"/>
        </w:numPr>
        <w:rPr>
          <w:sz w:val="24"/>
          <w:szCs w:val="24"/>
        </w:rPr>
      </w:pPr>
      <w:r w:rsidRPr="00CA5D8B">
        <w:rPr>
          <w:rFonts w:ascii="Calibri" w:hAnsi="Calibri"/>
          <w:sz w:val="24"/>
          <w:szCs w:val="24"/>
        </w:rPr>
        <w:t>the principle that any costs for a project proponent of being an alternative assurance project should be less than the costs of audits that would otherwise be conducted; and</w:t>
      </w:r>
    </w:p>
    <w:p w14:paraId="7FD7A82E" w14:textId="77777777" w:rsidR="00C53714" w:rsidRDefault="00C53714" w:rsidP="00C53714">
      <w:pPr>
        <w:pStyle w:val="base-text-paragraphnonumbers"/>
        <w:numPr>
          <w:ilvl w:val="0"/>
          <w:numId w:val="25"/>
        </w:numPr>
        <w:rPr>
          <w:sz w:val="24"/>
          <w:szCs w:val="24"/>
        </w:rPr>
      </w:pPr>
      <w:r w:rsidRPr="00CA5D8B">
        <w:rPr>
          <w:rFonts w:ascii="Calibri" w:hAnsi="Calibri"/>
          <w:sz w:val="24"/>
          <w:szCs w:val="24"/>
        </w:rPr>
        <w:t>any other matter the Regulator considers relevant.</w:t>
      </w:r>
    </w:p>
    <w:p w14:paraId="7F230660" w14:textId="77777777" w:rsidR="00B13B5D" w:rsidRDefault="00C53714" w:rsidP="00E66FFB">
      <w:pPr>
        <w:spacing w:line="240" w:lineRule="auto"/>
        <w:rPr>
          <w:sz w:val="24"/>
          <w:szCs w:val="24"/>
        </w:rPr>
      </w:pPr>
      <w:r>
        <w:rPr>
          <w:sz w:val="24"/>
          <w:szCs w:val="24"/>
        </w:rPr>
        <w:t xml:space="preserve">The Clean Energy Regulator has taken </w:t>
      </w:r>
      <w:r w:rsidR="006952C9">
        <w:rPr>
          <w:sz w:val="24"/>
          <w:szCs w:val="24"/>
        </w:rPr>
        <w:t xml:space="preserve">specific regard to </w:t>
      </w:r>
      <w:r>
        <w:rPr>
          <w:sz w:val="24"/>
          <w:szCs w:val="24"/>
        </w:rPr>
        <w:t xml:space="preserve">the matters </w:t>
      </w:r>
      <w:r w:rsidR="006952C9">
        <w:rPr>
          <w:sz w:val="24"/>
          <w:szCs w:val="24"/>
        </w:rPr>
        <w:t xml:space="preserve">set at in (a) to (d) </w:t>
      </w:r>
      <w:r>
        <w:rPr>
          <w:sz w:val="24"/>
          <w:szCs w:val="24"/>
        </w:rPr>
        <w:t xml:space="preserve">into account for the class of Low Risk Environmental Planting projects and considers that the risks are such that no audits would be necessary for this class of projects. The costs of these projects being alternative assurance projects meeting the criteria in the instrument would </w:t>
      </w:r>
      <w:r w:rsidR="00130456">
        <w:rPr>
          <w:sz w:val="24"/>
          <w:szCs w:val="24"/>
        </w:rPr>
        <w:t xml:space="preserve">generally </w:t>
      </w:r>
      <w:r>
        <w:rPr>
          <w:sz w:val="24"/>
          <w:szCs w:val="24"/>
        </w:rPr>
        <w:t>be less than if audits were conducted.</w:t>
      </w:r>
      <w:r w:rsidR="002C6CE1">
        <w:rPr>
          <w:sz w:val="24"/>
          <w:szCs w:val="24"/>
        </w:rPr>
        <w:t xml:space="preserve"> </w:t>
      </w:r>
    </w:p>
    <w:p w14:paraId="78071750" w14:textId="3FA780A1" w:rsidR="00C53714" w:rsidRDefault="00B13B5D" w:rsidP="00E66FFB">
      <w:pPr>
        <w:spacing w:line="240" w:lineRule="auto"/>
        <w:rPr>
          <w:sz w:val="24"/>
          <w:szCs w:val="24"/>
        </w:rPr>
      </w:pPr>
      <w:r>
        <w:rPr>
          <w:sz w:val="24"/>
          <w:szCs w:val="24"/>
        </w:rPr>
        <w:t xml:space="preserve">Where the cost of meeting the criteria is higher, the proponent may choose for the project to continue with a standard audit schedule. </w:t>
      </w:r>
    </w:p>
    <w:p w14:paraId="5A4A5F9A" w14:textId="194BA997" w:rsidR="00271A7E" w:rsidRPr="00B3113B" w:rsidRDefault="00045A56" w:rsidP="00271A7E">
      <w:pPr>
        <w:pStyle w:val="base-text-paragraphnonumbers"/>
        <w:ind w:left="0"/>
        <w:rPr>
          <w:rFonts w:ascii="Calibri" w:hAnsi="Calibri"/>
        </w:rPr>
      </w:pPr>
      <w:r w:rsidRPr="00884FA4">
        <w:rPr>
          <w:rFonts w:ascii="Calibri" w:hAnsi="Calibri"/>
          <w:b/>
          <w:sz w:val="24"/>
          <w:szCs w:val="24"/>
          <w:u w:val="single"/>
        </w:rPr>
        <w:t>Attachment A</w:t>
      </w:r>
      <w:r w:rsidRPr="00B3113B">
        <w:rPr>
          <w:rFonts w:ascii="Calibri" w:hAnsi="Calibri"/>
          <w:sz w:val="24"/>
          <w:szCs w:val="24"/>
        </w:rPr>
        <w:t xml:space="preserve"> outlines</w:t>
      </w:r>
      <w:r w:rsidR="006831DB" w:rsidRPr="00B3113B">
        <w:rPr>
          <w:rFonts w:ascii="Calibri" w:hAnsi="Calibri"/>
          <w:sz w:val="24"/>
          <w:szCs w:val="24"/>
        </w:rPr>
        <w:t xml:space="preserve"> and describes</w:t>
      </w:r>
      <w:r w:rsidRPr="00B3113B">
        <w:rPr>
          <w:rFonts w:ascii="Calibri" w:hAnsi="Calibri"/>
          <w:sz w:val="24"/>
          <w:szCs w:val="24"/>
        </w:rPr>
        <w:t xml:space="preserve"> the sections in the </w:t>
      </w:r>
      <w:r w:rsidR="00BD212A">
        <w:rPr>
          <w:rFonts w:ascii="Calibri" w:hAnsi="Calibri"/>
          <w:sz w:val="24"/>
          <w:szCs w:val="24"/>
        </w:rPr>
        <w:t>instrument</w:t>
      </w:r>
      <w:r w:rsidRPr="00B3113B">
        <w:rPr>
          <w:rFonts w:ascii="Calibri" w:hAnsi="Calibri"/>
          <w:sz w:val="24"/>
          <w:szCs w:val="24"/>
        </w:rPr>
        <w:t>.</w:t>
      </w:r>
      <w:r w:rsidR="00A542EC" w:rsidRPr="00B3113B">
        <w:rPr>
          <w:rFonts w:ascii="Calibri" w:hAnsi="Calibri"/>
          <w:sz w:val="24"/>
          <w:szCs w:val="24"/>
        </w:rPr>
        <w:t xml:space="preserve"> </w:t>
      </w:r>
    </w:p>
    <w:p w14:paraId="61D2E9E9" w14:textId="77777777" w:rsidR="003068A1" w:rsidRPr="00F70C0A" w:rsidRDefault="003068A1" w:rsidP="003068A1">
      <w:pPr>
        <w:rPr>
          <w:rFonts w:asciiTheme="minorHAnsi" w:hAnsiTheme="minorHAnsi" w:cstheme="minorHAnsi"/>
          <w:b/>
          <w:sz w:val="24"/>
          <w:szCs w:val="24"/>
        </w:rPr>
      </w:pPr>
      <w:bookmarkStart w:id="2" w:name="_Hlk72413906"/>
      <w:r w:rsidRPr="00F70C0A">
        <w:rPr>
          <w:rFonts w:asciiTheme="minorHAnsi" w:hAnsiTheme="minorHAnsi" w:cstheme="minorHAnsi"/>
          <w:b/>
          <w:sz w:val="24"/>
          <w:szCs w:val="24"/>
        </w:rPr>
        <w:t>Reasons for amendment</w:t>
      </w:r>
    </w:p>
    <w:p w14:paraId="736471CC" w14:textId="77777777" w:rsidR="003068A1" w:rsidRPr="00F70C0A" w:rsidRDefault="003068A1" w:rsidP="003068A1">
      <w:pPr>
        <w:rPr>
          <w:rFonts w:asciiTheme="minorHAnsi" w:hAnsiTheme="minorHAnsi" w:cstheme="minorHAnsi"/>
          <w:sz w:val="24"/>
          <w:szCs w:val="24"/>
        </w:rPr>
      </w:pPr>
      <w:r w:rsidRPr="00F70C0A">
        <w:rPr>
          <w:rFonts w:asciiTheme="minorHAnsi" w:hAnsiTheme="minorHAnsi" w:cstheme="minorHAnsi"/>
          <w:sz w:val="24"/>
          <w:szCs w:val="24"/>
        </w:rPr>
        <w:t xml:space="preserve">The 2020 </w:t>
      </w:r>
      <w:r w:rsidRPr="00F70C0A">
        <w:rPr>
          <w:rFonts w:asciiTheme="minorHAnsi" w:hAnsiTheme="minorHAnsi" w:cstheme="minorHAnsi"/>
          <w:i/>
          <w:sz w:val="24"/>
          <w:szCs w:val="24"/>
        </w:rPr>
        <w:t xml:space="preserve">Report of the expert panel examining additional sources of </w:t>
      </w:r>
      <w:proofErr w:type="gramStart"/>
      <w:r w:rsidRPr="00F70C0A">
        <w:rPr>
          <w:rFonts w:asciiTheme="minorHAnsi" w:hAnsiTheme="minorHAnsi" w:cstheme="minorHAnsi"/>
          <w:i/>
          <w:sz w:val="24"/>
          <w:szCs w:val="24"/>
        </w:rPr>
        <w:t>low cost</w:t>
      </w:r>
      <w:proofErr w:type="gramEnd"/>
      <w:r w:rsidRPr="00F70C0A">
        <w:rPr>
          <w:rFonts w:asciiTheme="minorHAnsi" w:hAnsiTheme="minorHAnsi" w:cstheme="minorHAnsi"/>
          <w:i/>
          <w:sz w:val="24"/>
          <w:szCs w:val="24"/>
        </w:rPr>
        <w:t xml:space="preserve"> abatement</w:t>
      </w:r>
      <w:r w:rsidRPr="00F70C0A">
        <w:rPr>
          <w:rFonts w:asciiTheme="minorHAnsi" w:hAnsiTheme="minorHAnsi" w:cstheme="minorHAnsi"/>
          <w:iCs/>
          <w:sz w:val="24"/>
          <w:szCs w:val="24"/>
        </w:rPr>
        <w:t xml:space="preserve"> (the King Review), made several recommendations to reduce administrative costs and encourage greater uptake of ERF</w:t>
      </w:r>
      <w:r w:rsidRPr="00F70C0A">
        <w:rPr>
          <w:rFonts w:asciiTheme="minorHAnsi" w:hAnsiTheme="minorHAnsi" w:cstheme="minorHAnsi"/>
          <w:sz w:val="24"/>
          <w:szCs w:val="24"/>
        </w:rPr>
        <w:t xml:space="preserve"> projects by farmers and small landholders, including: </w:t>
      </w:r>
    </w:p>
    <w:p w14:paraId="6F6E9D5C" w14:textId="77777777" w:rsidR="003068A1" w:rsidRPr="00F70C0A" w:rsidRDefault="003068A1" w:rsidP="003068A1">
      <w:pPr>
        <w:numPr>
          <w:ilvl w:val="0"/>
          <w:numId w:val="24"/>
        </w:numPr>
        <w:spacing w:after="160" w:line="259" w:lineRule="auto"/>
        <w:rPr>
          <w:rFonts w:asciiTheme="minorHAnsi" w:hAnsiTheme="minorHAnsi" w:cstheme="minorHAnsi"/>
          <w:sz w:val="24"/>
          <w:szCs w:val="24"/>
        </w:rPr>
      </w:pPr>
      <w:r w:rsidRPr="00F70C0A">
        <w:rPr>
          <w:rFonts w:asciiTheme="minorHAnsi" w:hAnsiTheme="minorHAnsi" w:cstheme="minorHAnsi"/>
          <w:sz w:val="24"/>
          <w:szCs w:val="24"/>
        </w:rPr>
        <w:t xml:space="preserve">Recommendation 6.7 – reducing transaction costs to drive participation from small agriculture projects. </w:t>
      </w:r>
    </w:p>
    <w:p w14:paraId="0197D52D" w14:textId="77777777" w:rsidR="003068A1" w:rsidRPr="00F70C0A" w:rsidRDefault="003068A1" w:rsidP="003068A1">
      <w:pPr>
        <w:numPr>
          <w:ilvl w:val="0"/>
          <w:numId w:val="24"/>
        </w:numPr>
        <w:spacing w:after="160" w:line="259" w:lineRule="auto"/>
        <w:rPr>
          <w:rFonts w:asciiTheme="minorHAnsi" w:hAnsiTheme="minorHAnsi" w:cstheme="minorHAnsi"/>
          <w:sz w:val="24"/>
          <w:szCs w:val="24"/>
        </w:rPr>
      </w:pPr>
      <w:r w:rsidRPr="00F70C0A">
        <w:rPr>
          <w:rFonts w:asciiTheme="minorHAnsi" w:hAnsiTheme="minorHAnsi" w:cstheme="minorHAnsi"/>
          <w:sz w:val="24"/>
          <w:szCs w:val="24"/>
        </w:rPr>
        <w:t>Recommendation 6.10 – continue efforts to streamline ERF audit requirements at an administrative level and to explore the potential to use alternatives to more traditional audit processes.</w:t>
      </w:r>
    </w:p>
    <w:p w14:paraId="38D9D17A" w14:textId="63EF5621" w:rsidR="003068A1" w:rsidRPr="00F70C0A" w:rsidRDefault="003068A1" w:rsidP="003068A1">
      <w:pPr>
        <w:rPr>
          <w:rFonts w:asciiTheme="minorHAnsi" w:hAnsiTheme="minorHAnsi" w:cstheme="minorHAnsi"/>
          <w:sz w:val="24"/>
          <w:szCs w:val="24"/>
        </w:rPr>
      </w:pPr>
      <w:r w:rsidRPr="00F70C0A">
        <w:rPr>
          <w:rFonts w:asciiTheme="minorHAnsi" w:hAnsiTheme="minorHAnsi" w:cstheme="minorHAnsi"/>
          <w:sz w:val="24"/>
          <w:szCs w:val="24"/>
        </w:rPr>
        <w:t>I</w:t>
      </w:r>
      <w:bookmarkEnd w:id="2"/>
      <w:r w:rsidRPr="00F70C0A">
        <w:rPr>
          <w:rFonts w:asciiTheme="minorHAnsi" w:hAnsiTheme="minorHAnsi" w:cstheme="minorHAnsi"/>
          <w:sz w:val="24"/>
          <w:szCs w:val="24"/>
        </w:rPr>
        <w:t xml:space="preserve">ntegrity of abatement is a key element of the ERF. Since the inception of the scheme, audit has been a core integrity and assurance measure for all projects. The CFI Amendment Rule and related amendments to the Audit Threshold Instrument recognise that, as industry innovates and technologies develop, there are opportunities to recognise alternatives to </w:t>
      </w:r>
      <w:r w:rsidR="008D0C32">
        <w:rPr>
          <w:rFonts w:asciiTheme="minorHAnsi" w:hAnsiTheme="minorHAnsi" w:cstheme="minorHAnsi"/>
          <w:sz w:val="24"/>
          <w:szCs w:val="24"/>
        </w:rPr>
        <w:t xml:space="preserve">the current </w:t>
      </w:r>
      <w:r w:rsidRPr="00F70C0A">
        <w:rPr>
          <w:rFonts w:asciiTheme="minorHAnsi" w:hAnsiTheme="minorHAnsi" w:cstheme="minorHAnsi"/>
          <w:sz w:val="24"/>
          <w:szCs w:val="24"/>
        </w:rPr>
        <w:t>audit</w:t>
      </w:r>
      <w:r w:rsidR="008D0C32">
        <w:rPr>
          <w:rFonts w:asciiTheme="minorHAnsi" w:hAnsiTheme="minorHAnsi" w:cstheme="minorHAnsi"/>
          <w:sz w:val="24"/>
          <w:szCs w:val="24"/>
        </w:rPr>
        <w:t xml:space="preserve"> arrangement</w:t>
      </w:r>
      <w:r w:rsidRPr="00F70C0A">
        <w:rPr>
          <w:rFonts w:asciiTheme="minorHAnsi" w:hAnsiTheme="minorHAnsi" w:cstheme="minorHAnsi"/>
          <w:sz w:val="24"/>
          <w:szCs w:val="24"/>
        </w:rPr>
        <w:t xml:space="preserve">s </w:t>
      </w:r>
      <w:r w:rsidR="00130456">
        <w:rPr>
          <w:rFonts w:asciiTheme="minorHAnsi" w:hAnsiTheme="minorHAnsi" w:cstheme="minorHAnsi"/>
          <w:sz w:val="24"/>
          <w:szCs w:val="24"/>
        </w:rPr>
        <w:t>while</w:t>
      </w:r>
      <w:r w:rsidR="008D0C32">
        <w:rPr>
          <w:rFonts w:asciiTheme="minorHAnsi" w:hAnsiTheme="minorHAnsi" w:cstheme="minorHAnsi"/>
          <w:sz w:val="24"/>
          <w:szCs w:val="24"/>
        </w:rPr>
        <w:t xml:space="preserve"> still </w:t>
      </w:r>
      <w:r w:rsidRPr="00F70C0A">
        <w:rPr>
          <w:rFonts w:asciiTheme="minorHAnsi" w:hAnsiTheme="minorHAnsi" w:cstheme="minorHAnsi"/>
          <w:sz w:val="24"/>
          <w:szCs w:val="24"/>
        </w:rPr>
        <w:t>provid</w:t>
      </w:r>
      <w:r w:rsidR="00130456">
        <w:rPr>
          <w:rFonts w:asciiTheme="minorHAnsi" w:hAnsiTheme="minorHAnsi" w:cstheme="minorHAnsi"/>
          <w:sz w:val="24"/>
          <w:szCs w:val="24"/>
        </w:rPr>
        <w:t>ing</w:t>
      </w:r>
      <w:r w:rsidRPr="00F70C0A">
        <w:rPr>
          <w:rFonts w:asciiTheme="minorHAnsi" w:hAnsiTheme="minorHAnsi" w:cstheme="minorHAnsi"/>
          <w:sz w:val="24"/>
          <w:szCs w:val="24"/>
        </w:rPr>
        <w:t xml:space="preserve"> a level of assurance that is fit for purpose and does not reduce scheme integrity. Such alternatives can reduce administrative burden for participants and </w:t>
      </w:r>
      <w:r w:rsidR="00130456">
        <w:rPr>
          <w:rFonts w:asciiTheme="minorHAnsi" w:hAnsiTheme="minorHAnsi" w:cstheme="minorHAnsi"/>
          <w:sz w:val="24"/>
          <w:szCs w:val="24"/>
        </w:rPr>
        <w:t>broaden</w:t>
      </w:r>
      <w:r w:rsidR="00C9069F">
        <w:rPr>
          <w:rFonts w:asciiTheme="minorHAnsi" w:hAnsiTheme="minorHAnsi" w:cstheme="minorHAnsi"/>
          <w:sz w:val="24"/>
          <w:szCs w:val="24"/>
        </w:rPr>
        <w:t xml:space="preserve"> </w:t>
      </w:r>
      <w:r w:rsidRPr="00F70C0A">
        <w:rPr>
          <w:rFonts w:asciiTheme="minorHAnsi" w:hAnsiTheme="minorHAnsi" w:cstheme="minorHAnsi"/>
          <w:sz w:val="24"/>
          <w:szCs w:val="24"/>
        </w:rPr>
        <w:t>scheme participation, including for small-scale projects for which the audit costs are a barrier, in line with the King Review recommendation.</w:t>
      </w:r>
    </w:p>
    <w:p w14:paraId="1745FCA8" w14:textId="693C0F87" w:rsidR="003068A1" w:rsidRPr="00F70C0A" w:rsidRDefault="003068A1" w:rsidP="003068A1">
      <w:pPr>
        <w:rPr>
          <w:rFonts w:asciiTheme="minorHAnsi" w:hAnsiTheme="minorHAnsi" w:cstheme="minorHAnsi"/>
          <w:sz w:val="24"/>
          <w:szCs w:val="24"/>
        </w:rPr>
      </w:pPr>
      <w:r w:rsidRPr="00F70C0A">
        <w:rPr>
          <w:rFonts w:asciiTheme="minorHAnsi" w:hAnsiTheme="minorHAnsi" w:cstheme="minorHAnsi"/>
          <w:sz w:val="24"/>
          <w:szCs w:val="24"/>
        </w:rPr>
        <w:lastRenderedPageBreak/>
        <w:t xml:space="preserve">In addition, the CFI Amendment Rule and amended Audit Threshold Instrument supports the Carbon + Biodiversity Pilot (C+B Pilot) administered by the Department of Agriculture, </w:t>
      </w:r>
      <w:proofErr w:type="gramStart"/>
      <w:r w:rsidRPr="00F70C0A">
        <w:rPr>
          <w:rFonts w:asciiTheme="minorHAnsi" w:hAnsiTheme="minorHAnsi" w:cstheme="minorHAnsi"/>
          <w:sz w:val="24"/>
          <w:szCs w:val="24"/>
        </w:rPr>
        <w:t>Water</w:t>
      </w:r>
      <w:proofErr w:type="gramEnd"/>
      <w:r w:rsidRPr="00F70C0A">
        <w:rPr>
          <w:rFonts w:asciiTheme="minorHAnsi" w:hAnsiTheme="minorHAnsi" w:cstheme="minorHAnsi"/>
          <w:sz w:val="24"/>
          <w:szCs w:val="24"/>
        </w:rPr>
        <w:t xml:space="preserve"> and the Environment (DAWE). The C+B Pilot provides financial support for farmers and landholders to improve on-farm biodiversity together with carbon abatement benefits under the ERF. One of the core elements of the C+B Pilot is that participants register an ERF project using the Carbon Credits (Carbon Farming Initiative) (Reforestation by Environmental or Mallee Plantings—</w:t>
      </w:r>
      <w:proofErr w:type="spellStart"/>
      <w:r w:rsidRPr="00F70C0A">
        <w:rPr>
          <w:rFonts w:asciiTheme="minorHAnsi" w:hAnsiTheme="minorHAnsi" w:cstheme="minorHAnsi"/>
          <w:sz w:val="24"/>
          <w:szCs w:val="24"/>
        </w:rPr>
        <w:t>FullCAM</w:t>
      </w:r>
      <w:proofErr w:type="spellEnd"/>
      <w:r w:rsidRPr="00F70C0A">
        <w:rPr>
          <w:rFonts w:asciiTheme="minorHAnsi" w:hAnsiTheme="minorHAnsi" w:cstheme="minorHAnsi"/>
          <w:sz w:val="24"/>
          <w:szCs w:val="24"/>
        </w:rPr>
        <w:t xml:space="preserve">) Methodology Determination 2014 (the environmental plantings method). </w:t>
      </w:r>
      <w:r w:rsidR="00130456">
        <w:rPr>
          <w:rFonts w:asciiTheme="minorHAnsi" w:hAnsiTheme="minorHAnsi" w:cstheme="minorHAnsi"/>
          <w:sz w:val="24"/>
          <w:szCs w:val="24"/>
        </w:rPr>
        <w:t>Stakeholders have raised a</w:t>
      </w:r>
      <w:r w:rsidRPr="00F70C0A">
        <w:rPr>
          <w:rFonts w:asciiTheme="minorHAnsi" w:hAnsiTheme="minorHAnsi" w:cstheme="minorHAnsi"/>
          <w:sz w:val="24"/>
          <w:szCs w:val="24"/>
        </w:rPr>
        <w:t xml:space="preserve">udit costs as an impediment to participation in the C+B Pilot. </w:t>
      </w:r>
    </w:p>
    <w:p w14:paraId="72426EFC" w14:textId="77777777" w:rsidR="001E166D" w:rsidRPr="00B3113B" w:rsidRDefault="001E166D" w:rsidP="00405DF6">
      <w:pPr>
        <w:spacing w:before="240" w:after="0"/>
        <w:rPr>
          <w:rFonts w:cs="Times New Roman"/>
          <w:b/>
          <w:bCs/>
          <w:sz w:val="24"/>
          <w:szCs w:val="24"/>
        </w:rPr>
      </w:pPr>
      <w:r w:rsidRPr="00B3113B">
        <w:rPr>
          <w:rFonts w:cs="Times New Roman"/>
          <w:b/>
          <w:bCs/>
          <w:sz w:val="24"/>
          <w:szCs w:val="24"/>
        </w:rPr>
        <w:t>Public Consultation</w:t>
      </w:r>
    </w:p>
    <w:p w14:paraId="52465989" w14:textId="402CAA0D" w:rsidR="002673C7" w:rsidRDefault="008310F9" w:rsidP="00AE767E">
      <w:pPr>
        <w:pStyle w:val="base-text-paragraphnonumbers"/>
        <w:ind w:left="0"/>
        <w:rPr>
          <w:rFonts w:ascii="Calibri" w:hAnsi="Calibri"/>
          <w:sz w:val="24"/>
          <w:szCs w:val="24"/>
        </w:rPr>
      </w:pPr>
      <w:bookmarkStart w:id="3" w:name="_Hlk73616404"/>
      <w:bookmarkStart w:id="4" w:name="_Hlk73616506"/>
      <w:r>
        <w:rPr>
          <w:rFonts w:ascii="Calibri" w:hAnsi="Calibri"/>
          <w:sz w:val="24"/>
          <w:szCs w:val="24"/>
        </w:rPr>
        <w:t xml:space="preserve">In September 2020, the </w:t>
      </w:r>
      <w:r w:rsidRPr="008310F9">
        <w:rPr>
          <w:rFonts w:ascii="Calibri" w:hAnsi="Calibri"/>
          <w:sz w:val="24"/>
          <w:szCs w:val="24"/>
        </w:rPr>
        <w:t>Clean Energy Regulator</w:t>
      </w:r>
      <w:r>
        <w:rPr>
          <w:rFonts w:ascii="Calibri" w:hAnsi="Calibri"/>
          <w:sz w:val="24"/>
          <w:szCs w:val="24"/>
        </w:rPr>
        <w:t xml:space="preserve"> undertook a round of public consultation seeking industry’s reviews on ways in which audit requirements in the Emissions Reduction Fund could be streamlined to reduce costs</w:t>
      </w:r>
      <w:r w:rsidR="002673C7">
        <w:rPr>
          <w:rFonts w:ascii="Calibri" w:hAnsi="Calibri"/>
          <w:sz w:val="24"/>
          <w:szCs w:val="24"/>
        </w:rPr>
        <w:t xml:space="preserve"> while maintaining scheme integrity. </w:t>
      </w:r>
      <w:r w:rsidR="00A433DD">
        <w:rPr>
          <w:rFonts w:ascii="Calibri" w:hAnsi="Calibri"/>
          <w:sz w:val="24"/>
          <w:szCs w:val="24"/>
        </w:rPr>
        <w:t xml:space="preserve">This consultation contributed to the </w:t>
      </w:r>
      <w:r w:rsidR="00FE3499">
        <w:rPr>
          <w:rFonts w:ascii="Calibri" w:hAnsi="Calibri"/>
          <w:sz w:val="24"/>
          <w:szCs w:val="24"/>
        </w:rPr>
        <w:t xml:space="preserve">proposal to create a new category </w:t>
      </w:r>
      <w:r w:rsidR="001A4CA3">
        <w:rPr>
          <w:rFonts w:ascii="Calibri" w:hAnsi="Calibri"/>
          <w:sz w:val="24"/>
          <w:szCs w:val="24"/>
        </w:rPr>
        <w:t xml:space="preserve">of </w:t>
      </w:r>
      <w:r w:rsidR="00FE3499">
        <w:rPr>
          <w:rFonts w:ascii="Calibri" w:hAnsi="Calibri"/>
          <w:sz w:val="24"/>
          <w:szCs w:val="24"/>
        </w:rPr>
        <w:t xml:space="preserve">eligible offsets projects that would be subject to lower audit obligations. </w:t>
      </w:r>
    </w:p>
    <w:bookmarkEnd w:id="3"/>
    <w:p w14:paraId="79A8A3CB" w14:textId="58694F79" w:rsidR="001E166D" w:rsidRPr="00B3113B" w:rsidRDefault="001A4CA3" w:rsidP="00AE767E">
      <w:pPr>
        <w:pStyle w:val="base-text-paragraphnonumbers"/>
        <w:ind w:left="0"/>
        <w:rPr>
          <w:rFonts w:ascii="Calibri" w:hAnsi="Calibri"/>
          <w:sz w:val="24"/>
          <w:szCs w:val="24"/>
        </w:rPr>
      </w:pPr>
      <w:r>
        <w:rPr>
          <w:rFonts w:ascii="Calibri" w:hAnsi="Calibri"/>
          <w:sz w:val="24"/>
          <w:szCs w:val="24"/>
        </w:rPr>
        <w:t>Joint c</w:t>
      </w:r>
      <w:r w:rsidR="001E166D" w:rsidRPr="00B3113B">
        <w:rPr>
          <w:rFonts w:ascii="Calibri" w:hAnsi="Calibri"/>
          <w:sz w:val="24"/>
          <w:szCs w:val="24"/>
        </w:rPr>
        <w:t>onsultation</w:t>
      </w:r>
      <w:r w:rsidR="00130936">
        <w:rPr>
          <w:rFonts w:ascii="Calibri" w:hAnsi="Calibri"/>
          <w:sz w:val="24"/>
          <w:szCs w:val="24"/>
        </w:rPr>
        <w:t xml:space="preserve"> </w:t>
      </w:r>
      <w:r>
        <w:rPr>
          <w:rFonts w:ascii="Calibri" w:hAnsi="Calibri"/>
          <w:sz w:val="24"/>
          <w:szCs w:val="24"/>
        </w:rPr>
        <w:t xml:space="preserve">between the </w:t>
      </w:r>
      <w:r w:rsidRPr="001A4CA3">
        <w:rPr>
          <w:rFonts w:ascii="Calibri" w:hAnsi="Calibri"/>
          <w:sz w:val="24"/>
          <w:szCs w:val="24"/>
        </w:rPr>
        <w:t>Clean Energy Regulator</w:t>
      </w:r>
      <w:r>
        <w:rPr>
          <w:rFonts w:ascii="Calibri" w:hAnsi="Calibri"/>
          <w:sz w:val="24"/>
          <w:szCs w:val="24"/>
        </w:rPr>
        <w:t xml:space="preserve"> and the Department of Industry, Science, Energy and Resources </w:t>
      </w:r>
      <w:r w:rsidR="00130936">
        <w:rPr>
          <w:rFonts w:ascii="Calibri" w:hAnsi="Calibri"/>
          <w:sz w:val="24"/>
          <w:szCs w:val="24"/>
        </w:rPr>
        <w:t xml:space="preserve">on </w:t>
      </w:r>
      <w:r w:rsidR="00CA7D5D">
        <w:rPr>
          <w:rFonts w:ascii="Calibri" w:hAnsi="Calibri"/>
          <w:sz w:val="24"/>
          <w:szCs w:val="24"/>
        </w:rPr>
        <w:t>alternative assurance projects</w:t>
      </w:r>
      <w:r w:rsidR="001E166D" w:rsidRPr="00B3113B">
        <w:rPr>
          <w:rFonts w:ascii="Calibri" w:hAnsi="Calibri"/>
          <w:sz w:val="24"/>
          <w:szCs w:val="24"/>
        </w:rPr>
        <w:t xml:space="preserve"> </w:t>
      </w:r>
      <w:r w:rsidR="00E77FA0" w:rsidRPr="00B3113B">
        <w:rPr>
          <w:rFonts w:ascii="Calibri" w:hAnsi="Calibri"/>
          <w:sz w:val="24"/>
          <w:szCs w:val="24"/>
        </w:rPr>
        <w:t>was</w:t>
      </w:r>
      <w:r w:rsidR="001E166D" w:rsidRPr="00B3113B">
        <w:rPr>
          <w:rFonts w:ascii="Calibri" w:hAnsi="Calibri"/>
          <w:sz w:val="24"/>
          <w:szCs w:val="24"/>
        </w:rPr>
        <w:t xml:space="preserve"> </w:t>
      </w:r>
      <w:r w:rsidR="001E166D" w:rsidRPr="00783B50">
        <w:rPr>
          <w:rFonts w:ascii="Calibri" w:hAnsi="Calibri"/>
          <w:sz w:val="24"/>
          <w:szCs w:val="24"/>
        </w:rPr>
        <w:t xml:space="preserve">undertaken in </w:t>
      </w:r>
      <w:r w:rsidR="00FA7534" w:rsidRPr="00783B50">
        <w:rPr>
          <w:rFonts w:ascii="Calibri" w:hAnsi="Calibri"/>
          <w:sz w:val="24"/>
          <w:szCs w:val="24"/>
        </w:rPr>
        <w:t>May</w:t>
      </w:r>
      <w:r w:rsidR="00854719" w:rsidRPr="00783B50">
        <w:rPr>
          <w:rFonts w:ascii="Calibri" w:hAnsi="Calibri"/>
          <w:sz w:val="24"/>
          <w:szCs w:val="24"/>
        </w:rPr>
        <w:t xml:space="preserve"> 2021</w:t>
      </w:r>
      <w:r w:rsidR="00CA7D5D">
        <w:rPr>
          <w:rFonts w:ascii="Calibri" w:hAnsi="Calibri"/>
          <w:sz w:val="24"/>
          <w:szCs w:val="24"/>
        </w:rPr>
        <w:t xml:space="preserve">. </w:t>
      </w:r>
      <w:r>
        <w:rPr>
          <w:rFonts w:ascii="Calibri" w:hAnsi="Calibri"/>
          <w:sz w:val="24"/>
          <w:szCs w:val="24"/>
        </w:rPr>
        <w:t>An e</w:t>
      </w:r>
      <w:r w:rsidR="00274AE9">
        <w:rPr>
          <w:rFonts w:ascii="Calibri" w:hAnsi="Calibri"/>
          <w:sz w:val="24"/>
          <w:szCs w:val="24"/>
        </w:rPr>
        <w:t xml:space="preserve">xposure draft </w:t>
      </w:r>
      <w:r w:rsidR="00832F9C">
        <w:rPr>
          <w:rFonts w:ascii="Calibri" w:hAnsi="Calibri"/>
          <w:sz w:val="24"/>
          <w:szCs w:val="24"/>
        </w:rPr>
        <w:t xml:space="preserve">of the </w:t>
      </w:r>
      <w:r w:rsidR="00130456">
        <w:rPr>
          <w:rFonts w:ascii="Calibri" w:hAnsi="Calibri"/>
          <w:sz w:val="24"/>
          <w:szCs w:val="24"/>
        </w:rPr>
        <w:t>A</w:t>
      </w:r>
      <w:r w:rsidR="00832F9C">
        <w:rPr>
          <w:rFonts w:ascii="Calibri" w:hAnsi="Calibri"/>
          <w:sz w:val="24"/>
          <w:szCs w:val="24"/>
        </w:rPr>
        <w:t xml:space="preserve">udit </w:t>
      </w:r>
      <w:r w:rsidR="00130456">
        <w:rPr>
          <w:rFonts w:ascii="Calibri" w:hAnsi="Calibri"/>
          <w:sz w:val="24"/>
          <w:szCs w:val="24"/>
        </w:rPr>
        <w:t>T</w:t>
      </w:r>
      <w:r w:rsidR="00832F9C">
        <w:rPr>
          <w:rFonts w:ascii="Calibri" w:hAnsi="Calibri"/>
          <w:sz w:val="24"/>
          <w:szCs w:val="24"/>
        </w:rPr>
        <w:t xml:space="preserve">hresholds </w:t>
      </w:r>
      <w:r w:rsidR="00130456">
        <w:rPr>
          <w:rFonts w:ascii="Calibri" w:hAnsi="Calibri"/>
          <w:sz w:val="24"/>
          <w:szCs w:val="24"/>
        </w:rPr>
        <w:t>I</w:t>
      </w:r>
      <w:r w:rsidR="00832F9C">
        <w:rPr>
          <w:rFonts w:ascii="Calibri" w:hAnsi="Calibri"/>
          <w:sz w:val="24"/>
          <w:szCs w:val="24"/>
        </w:rPr>
        <w:t xml:space="preserve">nstrument </w:t>
      </w:r>
      <w:r w:rsidR="007C3568">
        <w:rPr>
          <w:rFonts w:ascii="Calibri" w:hAnsi="Calibri"/>
          <w:sz w:val="24"/>
          <w:szCs w:val="24"/>
        </w:rPr>
        <w:t xml:space="preserve">was </w:t>
      </w:r>
      <w:r w:rsidR="00CE09DD">
        <w:rPr>
          <w:rFonts w:ascii="Calibri" w:hAnsi="Calibri"/>
          <w:sz w:val="24"/>
          <w:szCs w:val="24"/>
        </w:rPr>
        <w:t>included as part of the consultation</w:t>
      </w:r>
      <w:r w:rsidR="006447B2">
        <w:rPr>
          <w:rFonts w:ascii="Calibri" w:hAnsi="Calibri"/>
          <w:sz w:val="24"/>
          <w:szCs w:val="24"/>
        </w:rPr>
        <w:t xml:space="preserve"> on the Clean Energy Regulator website for comment and feedback. </w:t>
      </w:r>
      <w:r w:rsidR="00AB16D4" w:rsidRPr="00AB16D4">
        <w:rPr>
          <w:rFonts w:ascii="Calibri" w:hAnsi="Calibri"/>
          <w:sz w:val="24"/>
          <w:szCs w:val="24"/>
        </w:rPr>
        <w:t xml:space="preserve">Comments and advice received were </w:t>
      </w:r>
      <w:proofErr w:type="gramStart"/>
      <w:r w:rsidR="00AB16D4" w:rsidRPr="00AB16D4">
        <w:rPr>
          <w:rFonts w:ascii="Calibri" w:hAnsi="Calibri"/>
          <w:sz w:val="24"/>
          <w:szCs w:val="24"/>
        </w:rPr>
        <w:t>taken into account</w:t>
      </w:r>
      <w:proofErr w:type="gramEnd"/>
      <w:r w:rsidR="00AB16D4" w:rsidRPr="00AB16D4">
        <w:rPr>
          <w:rFonts w:ascii="Calibri" w:hAnsi="Calibri"/>
          <w:sz w:val="24"/>
          <w:szCs w:val="24"/>
        </w:rPr>
        <w:t xml:space="preserve"> in finalising the</w:t>
      </w:r>
      <w:r w:rsidR="00AB16D4">
        <w:rPr>
          <w:rFonts w:ascii="Calibri" w:hAnsi="Calibri"/>
          <w:sz w:val="24"/>
          <w:szCs w:val="24"/>
        </w:rPr>
        <w:t xml:space="preserve"> audit threshold instrument</w:t>
      </w:r>
      <w:bookmarkStart w:id="5" w:name="_Hlk73617594"/>
      <w:r w:rsidR="00697005">
        <w:rPr>
          <w:rFonts w:ascii="Calibri" w:hAnsi="Calibri"/>
          <w:sz w:val="24"/>
          <w:szCs w:val="24"/>
        </w:rPr>
        <w:t>.</w:t>
      </w:r>
      <w:r>
        <w:rPr>
          <w:rFonts w:ascii="Calibri" w:hAnsi="Calibri"/>
          <w:sz w:val="24"/>
          <w:szCs w:val="24"/>
        </w:rPr>
        <w:t xml:space="preserve"> </w:t>
      </w:r>
      <w:r w:rsidRPr="001A4CA3">
        <w:rPr>
          <w:rFonts w:ascii="Calibri" w:hAnsi="Calibri"/>
          <w:sz w:val="24"/>
          <w:szCs w:val="24"/>
        </w:rPr>
        <w:t>XX submissions were received</w:t>
      </w:r>
      <w:r w:rsidR="004F53C4">
        <w:rPr>
          <w:rFonts w:ascii="Calibri" w:hAnsi="Calibri"/>
          <w:sz w:val="24"/>
          <w:szCs w:val="24"/>
        </w:rPr>
        <w:t xml:space="preserve"> </w:t>
      </w:r>
      <w:bookmarkEnd w:id="5"/>
    </w:p>
    <w:bookmarkEnd w:id="4"/>
    <w:p w14:paraId="370EC498" w14:textId="77777777" w:rsidR="00045A56" w:rsidRPr="00047C4F" w:rsidRDefault="00045A56" w:rsidP="00045A56">
      <w:pPr>
        <w:spacing w:before="240" w:after="0"/>
        <w:rPr>
          <w:rFonts w:cs="Times New Roman"/>
          <w:b/>
          <w:bCs/>
          <w:sz w:val="24"/>
          <w:szCs w:val="24"/>
        </w:rPr>
      </w:pPr>
      <w:r w:rsidRPr="00047C4F">
        <w:rPr>
          <w:rFonts w:cs="Times New Roman"/>
          <w:b/>
          <w:bCs/>
          <w:sz w:val="24"/>
          <w:szCs w:val="24"/>
        </w:rPr>
        <w:t>Regulatory Impact</w:t>
      </w:r>
    </w:p>
    <w:p w14:paraId="2C5304AE" w14:textId="2035035B" w:rsidR="007131C2" w:rsidRPr="00785A00" w:rsidRDefault="007131C2" w:rsidP="00AE767E">
      <w:pPr>
        <w:pStyle w:val="base-text-paragraphnonumbers"/>
        <w:ind w:left="0"/>
        <w:rPr>
          <w:rFonts w:ascii="Calibri" w:hAnsi="Calibri"/>
          <w:sz w:val="24"/>
          <w:szCs w:val="24"/>
        </w:rPr>
      </w:pPr>
      <w:r w:rsidRPr="00774E56">
        <w:rPr>
          <w:rFonts w:ascii="Calibri" w:hAnsi="Calibri"/>
          <w:sz w:val="24"/>
          <w:szCs w:val="24"/>
        </w:rPr>
        <w:t xml:space="preserve">The Office of Best Practice Regulation </w:t>
      </w:r>
      <w:r w:rsidR="000D5EA5" w:rsidRPr="000D5EA5">
        <w:rPr>
          <w:rFonts w:ascii="Calibri" w:hAnsi="Calibri"/>
          <w:sz w:val="24"/>
          <w:szCs w:val="24"/>
        </w:rPr>
        <w:t xml:space="preserve">considers that the proposal is unlikely to have a more than minor regulatory impact. Therefore, the preparation of a Regulation Impact Statement is not required for the proposal. </w:t>
      </w:r>
    </w:p>
    <w:p w14:paraId="420E6D32" w14:textId="444DB037" w:rsidR="00045A56" w:rsidRPr="00047C4F" w:rsidRDefault="00045A56" w:rsidP="00045A56">
      <w:pPr>
        <w:spacing w:before="240" w:after="0"/>
        <w:rPr>
          <w:rFonts w:cs="Times New Roman"/>
          <w:b/>
          <w:bCs/>
          <w:sz w:val="24"/>
          <w:szCs w:val="24"/>
        </w:rPr>
      </w:pPr>
      <w:r w:rsidRPr="00047C4F">
        <w:rPr>
          <w:rFonts w:cs="Times New Roman"/>
          <w:b/>
          <w:bCs/>
          <w:sz w:val="24"/>
          <w:szCs w:val="24"/>
        </w:rPr>
        <w:t>Statement of compatibility with human rights</w:t>
      </w:r>
    </w:p>
    <w:p w14:paraId="5DA69BEC" w14:textId="77777777" w:rsidR="001E166D" w:rsidRDefault="00045A56" w:rsidP="00C4399A">
      <w:pPr>
        <w:pStyle w:val="base-text-paragraphnonumbers"/>
        <w:ind w:left="0"/>
        <w:rPr>
          <w:rFonts w:ascii="Calibri" w:hAnsi="Calibri"/>
          <w:b/>
          <w:bCs/>
          <w:i/>
          <w:iCs/>
          <w:sz w:val="24"/>
          <w:szCs w:val="24"/>
        </w:rPr>
      </w:pPr>
      <w:r w:rsidRPr="00047C4F">
        <w:rPr>
          <w:rFonts w:ascii="Calibri" w:hAnsi="Calibri"/>
          <w:sz w:val="24"/>
          <w:szCs w:val="24"/>
        </w:rPr>
        <w:t xml:space="preserve">A statement of compatibility with human rights for the purposes of Part </w:t>
      </w:r>
      <w:r w:rsidR="006831DB" w:rsidRPr="00047C4F">
        <w:rPr>
          <w:rFonts w:ascii="Calibri" w:hAnsi="Calibri"/>
          <w:sz w:val="24"/>
          <w:szCs w:val="24"/>
        </w:rPr>
        <w:t>3</w:t>
      </w:r>
      <w:r w:rsidRPr="00047C4F">
        <w:rPr>
          <w:rFonts w:ascii="Calibri" w:hAnsi="Calibri"/>
          <w:sz w:val="24"/>
          <w:szCs w:val="24"/>
        </w:rPr>
        <w:t xml:space="preserve"> of </w:t>
      </w:r>
      <w:r w:rsidR="00271A7E" w:rsidRPr="00047C4F">
        <w:rPr>
          <w:rFonts w:ascii="Calibri" w:hAnsi="Calibri"/>
          <w:i/>
          <w:sz w:val="24"/>
          <w:szCs w:val="24"/>
        </w:rPr>
        <w:t>the Human Rights (Parliamentary Scrutiny) Act 2011</w:t>
      </w:r>
      <w:r w:rsidRPr="00047C4F">
        <w:rPr>
          <w:rFonts w:ascii="Calibri" w:hAnsi="Calibri"/>
          <w:sz w:val="24"/>
          <w:szCs w:val="24"/>
        </w:rPr>
        <w:t xml:space="preserve"> is </w:t>
      </w:r>
      <w:r w:rsidR="006831DB" w:rsidRPr="00047C4F">
        <w:rPr>
          <w:rFonts w:ascii="Calibri" w:hAnsi="Calibri"/>
          <w:sz w:val="24"/>
          <w:szCs w:val="24"/>
        </w:rPr>
        <w:t xml:space="preserve">set out </w:t>
      </w:r>
      <w:r w:rsidRPr="00047C4F">
        <w:rPr>
          <w:rFonts w:ascii="Calibri" w:hAnsi="Calibri"/>
          <w:sz w:val="24"/>
          <w:szCs w:val="24"/>
        </w:rPr>
        <w:t xml:space="preserve">at </w:t>
      </w:r>
      <w:r w:rsidRPr="00047C4F">
        <w:rPr>
          <w:rFonts w:ascii="Calibri" w:hAnsi="Calibri"/>
          <w:b/>
          <w:sz w:val="24"/>
          <w:szCs w:val="24"/>
          <w:u w:val="single"/>
        </w:rPr>
        <w:t xml:space="preserve">Attachment </w:t>
      </w:r>
      <w:r w:rsidR="00026D47" w:rsidRPr="00047C4F">
        <w:rPr>
          <w:rFonts w:ascii="Calibri" w:hAnsi="Calibri"/>
          <w:b/>
          <w:sz w:val="24"/>
          <w:szCs w:val="24"/>
          <w:u w:val="single"/>
        </w:rPr>
        <w:t>B</w:t>
      </w:r>
      <w:r w:rsidRPr="00047C4F">
        <w:rPr>
          <w:rFonts w:ascii="Calibri" w:hAnsi="Calibri"/>
          <w:sz w:val="24"/>
          <w:szCs w:val="24"/>
        </w:rPr>
        <w:t>.</w:t>
      </w:r>
    </w:p>
    <w:p w14:paraId="1A32329A" w14:textId="77777777" w:rsidR="00884FA4" w:rsidRPr="00B3113B" w:rsidRDefault="00884FA4" w:rsidP="00C4399A">
      <w:pPr>
        <w:pStyle w:val="base-text-paragraphnonumbers"/>
        <w:ind w:left="0"/>
        <w:rPr>
          <w:rFonts w:ascii="Calibri" w:hAnsi="Calibri"/>
          <w:b/>
          <w:bCs/>
          <w:i/>
          <w:iCs/>
          <w:sz w:val="24"/>
          <w:szCs w:val="24"/>
        </w:rPr>
      </w:pPr>
    </w:p>
    <w:p w14:paraId="06E5DA42" w14:textId="77777777" w:rsidR="00672230" w:rsidRDefault="00672230">
      <w:pPr>
        <w:spacing w:after="0" w:line="240" w:lineRule="auto"/>
        <w:rPr>
          <w:rFonts w:cs="Times New Roman"/>
          <w:b/>
          <w:bCs/>
          <w:sz w:val="24"/>
          <w:szCs w:val="24"/>
          <w:u w:val="single"/>
        </w:rPr>
      </w:pPr>
      <w:r>
        <w:rPr>
          <w:rFonts w:cs="Times New Roman"/>
          <w:b/>
          <w:bCs/>
          <w:sz w:val="24"/>
          <w:szCs w:val="24"/>
          <w:u w:val="single"/>
        </w:rPr>
        <w:br w:type="page"/>
      </w:r>
    </w:p>
    <w:p w14:paraId="12CC0CA0" w14:textId="19810D3F" w:rsidR="001E166D" w:rsidRPr="00B3113B" w:rsidRDefault="00DB2C98" w:rsidP="00BB151F">
      <w:pPr>
        <w:jc w:val="right"/>
        <w:rPr>
          <w:rFonts w:cs="Times New Roman"/>
          <w:b/>
          <w:bCs/>
          <w:sz w:val="24"/>
          <w:szCs w:val="24"/>
          <w:u w:val="single"/>
        </w:rPr>
      </w:pPr>
      <w:r w:rsidRPr="00B3113B">
        <w:rPr>
          <w:rFonts w:cs="Times New Roman"/>
          <w:b/>
          <w:bCs/>
          <w:sz w:val="24"/>
          <w:szCs w:val="24"/>
          <w:u w:val="single"/>
        </w:rPr>
        <w:lastRenderedPageBreak/>
        <w:t>ATTACHMENT A</w:t>
      </w:r>
    </w:p>
    <w:p w14:paraId="390CFEF6" w14:textId="2CCE8358" w:rsidR="00856E8A" w:rsidRPr="005D6BA6" w:rsidRDefault="001E166D" w:rsidP="006B7E81">
      <w:pPr>
        <w:rPr>
          <w:rFonts w:cs="Times New Roman"/>
          <w:i/>
          <w:iCs/>
          <w:sz w:val="24"/>
          <w:szCs w:val="24"/>
          <w:u w:val="single"/>
        </w:rPr>
      </w:pPr>
      <w:r w:rsidRPr="00B3113B">
        <w:rPr>
          <w:rFonts w:cs="Times New Roman"/>
          <w:b/>
          <w:bCs/>
          <w:sz w:val="24"/>
          <w:szCs w:val="24"/>
          <w:u w:val="single"/>
        </w:rPr>
        <w:t>Details of the sections in the</w:t>
      </w:r>
      <w:r w:rsidR="00DB2C98" w:rsidRPr="00B3113B">
        <w:rPr>
          <w:rFonts w:cs="Times New Roman"/>
          <w:b/>
          <w:bCs/>
          <w:sz w:val="24"/>
          <w:szCs w:val="24"/>
          <w:u w:val="single"/>
        </w:rPr>
        <w:t xml:space="preserve"> </w:t>
      </w:r>
      <w:r w:rsidR="008D0C32" w:rsidRPr="008D0C32">
        <w:rPr>
          <w:rFonts w:cs="Times New Roman"/>
          <w:b/>
          <w:bCs/>
          <w:i/>
          <w:iCs/>
          <w:sz w:val="24"/>
          <w:szCs w:val="24"/>
          <w:u w:val="single"/>
        </w:rPr>
        <w:t>Carbon Credits (Carbon Farming Initiative) (Audit Thresholds) Amendment (Low Risk Environmental Planting Projects) Instrument 2021</w:t>
      </w:r>
    </w:p>
    <w:p w14:paraId="429DFCFB" w14:textId="041EF888" w:rsidR="00133F1E" w:rsidRPr="00B3113B" w:rsidRDefault="00133F1E" w:rsidP="006B7E81">
      <w:pPr>
        <w:rPr>
          <w:rFonts w:cs="Times New Roman"/>
          <w:sz w:val="24"/>
          <w:szCs w:val="24"/>
          <w:u w:val="single"/>
        </w:rPr>
      </w:pPr>
      <w:r w:rsidRPr="00B3113B">
        <w:rPr>
          <w:rFonts w:cs="Times New Roman"/>
          <w:sz w:val="24"/>
          <w:szCs w:val="24"/>
          <w:u w:val="single"/>
        </w:rPr>
        <w:t>1</w:t>
      </w:r>
      <w:r w:rsidR="00136E1C">
        <w:rPr>
          <w:rFonts w:cs="Times New Roman"/>
          <w:sz w:val="24"/>
          <w:szCs w:val="24"/>
          <w:u w:val="single"/>
        </w:rPr>
        <w:tab/>
      </w:r>
      <w:r w:rsidR="00076FC5" w:rsidRPr="00B3113B">
        <w:rPr>
          <w:rFonts w:cs="Times New Roman"/>
          <w:sz w:val="24"/>
          <w:szCs w:val="24"/>
          <w:u w:val="single"/>
        </w:rPr>
        <w:t>Name</w:t>
      </w:r>
    </w:p>
    <w:p w14:paraId="55F71538" w14:textId="212FD0A7" w:rsidR="0074160A" w:rsidRPr="00B3113B" w:rsidRDefault="00145908" w:rsidP="0074160A">
      <w:pPr>
        <w:pStyle w:val="base-text-paragraphnonumbers"/>
        <w:ind w:left="0"/>
        <w:rPr>
          <w:rFonts w:ascii="Calibri" w:hAnsi="Calibri"/>
          <w:sz w:val="24"/>
          <w:szCs w:val="24"/>
        </w:rPr>
      </w:pPr>
      <w:r>
        <w:rPr>
          <w:rFonts w:ascii="Calibri" w:hAnsi="Calibri"/>
          <w:sz w:val="24"/>
          <w:szCs w:val="24"/>
        </w:rPr>
        <w:t>This s</w:t>
      </w:r>
      <w:r w:rsidR="00374F1A" w:rsidRPr="00B3113B">
        <w:rPr>
          <w:rFonts w:ascii="Calibri" w:hAnsi="Calibri"/>
          <w:sz w:val="24"/>
          <w:szCs w:val="24"/>
        </w:rPr>
        <w:t xml:space="preserve">ection </w:t>
      </w:r>
      <w:r>
        <w:rPr>
          <w:rFonts w:ascii="Calibri" w:hAnsi="Calibri"/>
          <w:sz w:val="24"/>
          <w:szCs w:val="24"/>
        </w:rPr>
        <w:t>sets out</w:t>
      </w:r>
      <w:r w:rsidRPr="00B3113B">
        <w:rPr>
          <w:rFonts w:ascii="Calibri" w:hAnsi="Calibri"/>
          <w:sz w:val="24"/>
          <w:szCs w:val="24"/>
        </w:rPr>
        <w:t xml:space="preserve"> </w:t>
      </w:r>
      <w:r w:rsidR="00076FC5" w:rsidRPr="00B3113B">
        <w:rPr>
          <w:rFonts w:ascii="Calibri" w:hAnsi="Calibri"/>
          <w:sz w:val="24"/>
          <w:szCs w:val="24"/>
        </w:rPr>
        <w:t>the name of the instrument</w:t>
      </w:r>
      <w:r w:rsidR="00133F1E" w:rsidRPr="00B3113B">
        <w:rPr>
          <w:rFonts w:ascii="Calibri" w:hAnsi="Calibri"/>
          <w:sz w:val="24"/>
          <w:szCs w:val="24"/>
        </w:rPr>
        <w:t xml:space="preserve">. </w:t>
      </w:r>
      <w:r w:rsidR="0074160A">
        <w:rPr>
          <w:rFonts w:ascii="Calibri" w:hAnsi="Calibri"/>
          <w:sz w:val="24"/>
          <w:szCs w:val="24"/>
        </w:rPr>
        <w:t xml:space="preserve"> </w:t>
      </w:r>
    </w:p>
    <w:p w14:paraId="70883ED0" w14:textId="33311907" w:rsidR="00133F1E" w:rsidRPr="00B3113B" w:rsidRDefault="00076FC5" w:rsidP="006B7E81">
      <w:pPr>
        <w:rPr>
          <w:rFonts w:cs="Times New Roman"/>
          <w:sz w:val="24"/>
          <w:szCs w:val="24"/>
          <w:u w:val="single"/>
        </w:rPr>
      </w:pPr>
      <w:r w:rsidRPr="00B3113B">
        <w:rPr>
          <w:rFonts w:cs="Times New Roman"/>
          <w:sz w:val="24"/>
          <w:szCs w:val="24"/>
          <w:u w:val="single"/>
        </w:rPr>
        <w:t>2</w:t>
      </w:r>
      <w:r w:rsidR="00136E1C">
        <w:rPr>
          <w:rFonts w:cs="Times New Roman"/>
          <w:sz w:val="24"/>
          <w:szCs w:val="24"/>
          <w:u w:val="single"/>
        </w:rPr>
        <w:tab/>
      </w:r>
      <w:r w:rsidRPr="00B3113B">
        <w:rPr>
          <w:rFonts w:cs="Times New Roman"/>
          <w:sz w:val="24"/>
          <w:szCs w:val="24"/>
          <w:u w:val="single"/>
        </w:rPr>
        <w:t>Commencement</w:t>
      </w:r>
    </w:p>
    <w:p w14:paraId="35DEA507" w14:textId="4DF67CCF" w:rsidR="00133F1E" w:rsidRPr="00B3113B" w:rsidRDefault="00133F1E" w:rsidP="00095423">
      <w:pPr>
        <w:pStyle w:val="base-text-paragraphnonumbers"/>
        <w:ind w:left="0"/>
        <w:rPr>
          <w:rFonts w:ascii="Calibri" w:hAnsi="Calibri"/>
          <w:sz w:val="24"/>
          <w:szCs w:val="24"/>
        </w:rPr>
      </w:pPr>
      <w:r w:rsidRPr="00B3113B">
        <w:rPr>
          <w:rFonts w:ascii="Calibri" w:hAnsi="Calibri"/>
          <w:sz w:val="24"/>
          <w:szCs w:val="24"/>
        </w:rPr>
        <w:t xml:space="preserve">This section </w:t>
      </w:r>
      <w:r w:rsidR="00076FC5" w:rsidRPr="00B3113B">
        <w:rPr>
          <w:rFonts w:ascii="Calibri" w:hAnsi="Calibri"/>
          <w:sz w:val="24"/>
          <w:szCs w:val="24"/>
        </w:rPr>
        <w:t xml:space="preserve">provides </w:t>
      </w:r>
      <w:r w:rsidR="00FA13F7">
        <w:rPr>
          <w:rFonts w:ascii="Calibri" w:hAnsi="Calibri"/>
          <w:sz w:val="24"/>
          <w:szCs w:val="24"/>
        </w:rPr>
        <w:t xml:space="preserve">that </w:t>
      </w:r>
      <w:r w:rsidR="00437FC5">
        <w:rPr>
          <w:rFonts w:ascii="Calibri" w:hAnsi="Calibri"/>
          <w:sz w:val="24"/>
          <w:szCs w:val="24"/>
        </w:rPr>
        <w:t>the instrument</w:t>
      </w:r>
      <w:r w:rsidR="00076FC5" w:rsidRPr="00B3113B">
        <w:rPr>
          <w:rFonts w:ascii="Calibri" w:hAnsi="Calibri"/>
          <w:sz w:val="24"/>
          <w:szCs w:val="24"/>
        </w:rPr>
        <w:t xml:space="preserve"> </w:t>
      </w:r>
      <w:r w:rsidR="00FA13F7">
        <w:rPr>
          <w:rFonts w:ascii="Calibri" w:hAnsi="Calibri"/>
          <w:sz w:val="24"/>
          <w:szCs w:val="24"/>
        </w:rPr>
        <w:t xml:space="preserve">commences </w:t>
      </w:r>
      <w:r w:rsidR="00076FC5" w:rsidRPr="00B3113B">
        <w:rPr>
          <w:rFonts w:ascii="Calibri" w:hAnsi="Calibri"/>
          <w:sz w:val="24"/>
          <w:szCs w:val="24"/>
        </w:rPr>
        <w:t xml:space="preserve">on the day after </w:t>
      </w:r>
      <w:r w:rsidR="00FA13F7">
        <w:rPr>
          <w:rFonts w:ascii="Calibri" w:hAnsi="Calibri"/>
          <w:sz w:val="24"/>
          <w:szCs w:val="24"/>
        </w:rPr>
        <w:t xml:space="preserve">it </w:t>
      </w:r>
      <w:r w:rsidR="00076FC5" w:rsidRPr="00B3113B">
        <w:rPr>
          <w:rFonts w:ascii="Calibri" w:hAnsi="Calibri"/>
          <w:sz w:val="24"/>
          <w:szCs w:val="24"/>
        </w:rPr>
        <w:t>is registered</w:t>
      </w:r>
      <w:r w:rsidR="00136E1C">
        <w:rPr>
          <w:rFonts w:ascii="Calibri" w:hAnsi="Calibri"/>
          <w:sz w:val="24"/>
          <w:szCs w:val="24"/>
        </w:rPr>
        <w:t xml:space="preserve"> on the Federal Register of Legislation</w:t>
      </w:r>
      <w:r w:rsidRPr="00B3113B">
        <w:rPr>
          <w:rFonts w:ascii="Calibri" w:hAnsi="Calibri"/>
          <w:sz w:val="24"/>
          <w:szCs w:val="24"/>
        </w:rPr>
        <w:t>.</w:t>
      </w:r>
    </w:p>
    <w:p w14:paraId="396DD3F0" w14:textId="7D99EE0B" w:rsidR="006B7E81" w:rsidRPr="00B3113B" w:rsidRDefault="00076FC5" w:rsidP="006B7E81">
      <w:pPr>
        <w:rPr>
          <w:rFonts w:cs="Times New Roman"/>
          <w:sz w:val="24"/>
          <w:szCs w:val="24"/>
          <w:u w:val="single"/>
        </w:rPr>
      </w:pPr>
      <w:r w:rsidRPr="00B3113B">
        <w:rPr>
          <w:rFonts w:cs="Times New Roman"/>
          <w:sz w:val="24"/>
          <w:szCs w:val="24"/>
          <w:u w:val="single"/>
        </w:rPr>
        <w:t>3</w:t>
      </w:r>
      <w:r w:rsidR="00136E1C">
        <w:rPr>
          <w:rFonts w:cs="Times New Roman"/>
          <w:sz w:val="24"/>
          <w:szCs w:val="24"/>
          <w:u w:val="single"/>
        </w:rPr>
        <w:tab/>
      </w:r>
      <w:r w:rsidR="000C7F52">
        <w:rPr>
          <w:rFonts w:cs="Times New Roman"/>
          <w:sz w:val="24"/>
          <w:szCs w:val="24"/>
          <w:u w:val="single"/>
        </w:rPr>
        <w:t xml:space="preserve">Authority </w:t>
      </w:r>
    </w:p>
    <w:p w14:paraId="6AEF472D" w14:textId="1CE38251" w:rsidR="00FA13F7" w:rsidRPr="00B3113B" w:rsidRDefault="006B7E81" w:rsidP="00095423">
      <w:pPr>
        <w:pStyle w:val="base-text-paragraphnonumbers"/>
        <w:ind w:left="0"/>
        <w:rPr>
          <w:rFonts w:ascii="Calibri" w:hAnsi="Calibri"/>
          <w:sz w:val="24"/>
          <w:szCs w:val="24"/>
        </w:rPr>
      </w:pPr>
      <w:r w:rsidRPr="00B3113B">
        <w:rPr>
          <w:rFonts w:ascii="Calibri" w:hAnsi="Calibri"/>
          <w:sz w:val="24"/>
          <w:szCs w:val="24"/>
        </w:rPr>
        <w:t xml:space="preserve">This </w:t>
      </w:r>
      <w:r w:rsidR="00CF2DB8" w:rsidRPr="00B3113B">
        <w:rPr>
          <w:rFonts w:ascii="Calibri" w:hAnsi="Calibri"/>
          <w:sz w:val="24"/>
          <w:szCs w:val="24"/>
        </w:rPr>
        <w:t xml:space="preserve">section </w:t>
      </w:r>
      <w:r w:rsidR="008A4C1B">
        <w:rPr>
          <w:rFonts w:ascii="Calibri" w:hAnsi="Calibri"/>
          <w:sz w:val="24"/>
          <w:szCs w:val="24"/>
        </w:rPr>
        <w:t xml:space="preserve">sets out the legal authority for </w:t>
      </w:r>
      <w:r w:rsidR="00FA13F7">
        <w:rPr>
          <w:rFonts w:ascii="Calibri" w:hAnsi="Calibri"/>
          <w:sz w:val="24"/>
          <w:szCs w:val="24"/>
        </w:rPr>
        <w:t xml:space="preserve">the making of the </w:t>
      </w:r>
      <w:r w:rsidR="008A4C1B">
        <w:rPr>
          <w:rFonts w:ascii="Calibri" w:hAnsi="Calibri"/>
          <w:sz w:val="24"/>
          <w:szCs w:val="24"/>
        </w:rPr>
        <w:t>instrument</w:t>
      </w:r>
      <w:r w:rsidR="00FA13F7">
        <w:rPr>
          <w:rFonts w:ascii="Calibri" w:hAnsi="Calibri"/>
          <w:sz w:val="24"/>
          <w:szCs w:val="24"/>
        </w:rPr>
        <w:t>,</w:t>
      </w:r>
      <w:r w:rsidR="008A4C1B">
        <w:rPr>
          <w:rFonts w:ascii="Calibri" w:hAnsi="Calibri"/>
          <w:sz w:val="24"/>
          <w:szCs w:val="24"/>
        </w:rPr>
        <w:t xml:space="preserve"> being </w:t>
      </w:r>
      <w:r w:rsidR="00FA13F7">
        <w:rPr>
          <w:rFonts w:ascii="Calibri" w:hAnsi="Calibri"/>
          <w:sz w:val="24"/>
          <w:szCs w:val="24"/>
        </w:rPr>
        <w:t xml:space="preserve">subsection </w:t>
      </w:r>
      <w:r w:rsidR="008A4C1B">
        <w:rPr>
          <w:rFonts w:ascii="Calibri" w:hAnsi="Calibri"/>
          <w:sz w:val="24"/>
          <w:szCs w:val="24"/>
        </w:rPr>
        <w:t xml:space="preserve">75(4) of the </w:t>
      </w:r>
      <w:r w:rsidR="00076FC5" w:rsidRPr="005D6BA6">
        <w:rPr>
          <w:rFonts w:ascii="Calibri" w:hAnsi="Calibri"/>
          <w:i/>
          <w:sz w:val="24"/>
          <w:szCs w:val="24"/>
        </w:rPr>
        <w:t>Carbon Credits (Carbon Farming Initiative) Rule 2015</w:t>
      </w:r>
      <w:r w:rsidR="00F7348E" w:rsidRPr="008A4C1B">
        <w:rPr>
          <w:rFonts w:ascii="Calibri" w:hAnsi="Calibri"/>
          <w:iCs/>
          <w:sz w:val="24"/>
          <w:szCs w:val="24"/>
        </w:rPr>
        <w:t>.</w:t>
      </w:r>
      <w:r w:rsidR="00C53714">
        <w:rPr>
          <w:rFonts w:ascii="Calibri" w:hAnsi="Calibri"/>
          <w:iCs/>
          <w:sz w:val="24"/>
          <w:szCs w:val="24"/>
        </w:rPr>
        <w:t xml:space="preserve"> The power to amend the existing instrument is confirmed by subsection 33(3) of the </w:t>
      </w:r>
      <w:r w:rsidR="00C53714" w:rsidRPr="00CA5D8B">
        <w:rPr>
          <w:rFonts w:ascii="Calibri" w:hAnsi="Calibri"/>
          <w:i/>
          <w:iCs/>
          <w:sz w:val="24"/>
          <w:szCs w:val="24"/>
        </w:rPr>
        <w:t>Acts Interpretation Act 1901</w:t>
      </w:r>
      <w:r w:rsidR="00C53714">
        <w:rPr>
          <w:rFonts w:ascii="Calibri" w:hAnsi="Calibri"/>
          <w:iCs/>
          <w:sz w:val="24"/>
          <w:szCs w:val="24"/>
        </w:rPr>
        <w:t>.</w:t>
      </w:r>
    </w:p>
    <w:p w14:paraId="508CFBD9" w14:textId="1549F06D" w:rsidR="001A6C0E" w:rsidRPr="00B3113B" w:rsidRDefault="00076FC5" w:rsidP="001B0BE4">
      <w:pPr>
        <w:rPr>
          <w:rFonts w:cs="Times New Roman"/>
          <w:sz w:val="24"/>
          <w:szCs w:val="24"/>
          <w:u w:val="single"/>
        </w:rPr>
      </w:pPr>
      <w:r w:rsidRPr="00B3113B">
        <w:rPr>
          <w:rFonts w:cs="Times New Roman"/>
          <w:sz w:val="24"/>
          <w:szCs w:val="24"/>
          <w:u w:val="single"/>
        </w:rPr>
        <w:t>4</w:t>
      </w:r>
      <w:r w:rsidR="00FA13F7">
        <w:rPr>
          <w:rFonts w:cs="Times New Roman"/>
          <w:sz w:val="24"/>
          <w:szCs w:val="24"/>
          <w:u w:val="single"/>
        </w:rPr>
        <w:tab/>
      </w:r>
      <w:r w:rsidR="008A4C1B">
        <w:rPr>
          <w:rFonts w:cs="Times New Roman"/>
          <w:sz w:val="24"/>
          <w:szCs w:val="24"/>
          <w:u w:val="single"/>
        </w:rPr>
        <w:t>Amendment of instrument</w:t>
      </w:r>
    </w:p>
    <w:p w14:paraId="0633F965" w14:textId="5099382C" w:rsidR="00437FC5" w:rsidRDefault="00F02782" w:rsidP="00437FC5">
      <w:pPr>
        <w:spacing w:line="240" w:lineRule="auto"/>
        <w:rPr>
          <w:b/>
          <w:bCs/>
          <w:sz w:val="24"/>
          <w:szCs w:val="24"/>
        </w:rPr>
      </w:pPr>
      <w:r w:rsidRPr="00B3113B">
        <w:rPr>
          <w:sz w:val="24"/>
          <w:szCs w:val="24"/>
        </w:rPr>
        <w:t>Th</w:t>
      </w:r>
      <w:r w:rsidR="008A4C1B">
        <w:rPr>
          <w:sz w:val="24"/>
          <w:szCs w:val="24"/>
        </w:rPr>
        <w:t xml:space="preserve">is </w:t>
      </w:r>
      <w:r w:rsidR="00FA13F7">
        <w:rPr>
          <w:sz w:val="24"/>
          <w:szCs w:val="24"/>
        </w:rPr>
        <w:t xml:space="preserve">section </w:t>
      </w:r>
      <w:r w:rsidR="00854719">
        <w:rPr>
          <w:sz w:val="24"/>
          <w:szCs w:val="24"/>
        </w:rPr>
        <w:t xml:space="preserve">references </w:t>
      </w:r>
      <w:r w:rsidR="00FA13F7">
        <w:rPr>
          <w:sz w:val="24"/>
          <w:szCs w:val="24"/>
        </w:rPr>
        <w:t>S</w:t>
      </w:r>
      <w:r w:rsidR="00854719">
        <w:rPr>
          <w:sz w:val="24"/>
          <w:szCs w:val="24"/>
        </w:rPr>
        <w:t xml:space="preserve">chedule 1 of the instrument, which sets out the amendments </w:t>
      </w:r>
      <w:r w:rsidR="00FA13F7">
        <w:rPr>
          <w:sz w:val="24"/>
          <w:szCs w:val="24"/>
        </w:rPr>
        <w:t xml:space="preserve">made </w:t>
      </w:r>
      <w:r w:rsidR="00854719">
        <w:rPr>
          <w:sz w:val="24"/>
          <w:szCs w:val="24"/>
        </w:rPr>
        <w:t xml:space="preserve">to the </w:t>
      </w:r>
      <w:r w:rsidR="00FA13F7" w:rsidRPr="005D6BA6">
        <w:rPr>
          <w:i/>
          <w:iCs/>
          <w:sz w:val="24"/>
          <w:szCs w:val="24"/>
        </w:rPr>
        <w:t>Carbon Credits (Carbon Farming Initiative) (</w:t>
      </w:r>
      <w:r w:rsidR="00854719" w:rsidRPr="005D6BA6">
        <w:rPr>
          <w:i/>
          <w:iCs/>
          <w:sz w:val="24"/>
          <w:szCs w:val="24"/>
        </w:rPr>
        <w:t>Audit Thresholds</w:t>
      </w:r>
      <w:r w:rsidR="00FA13F7" w:rsidRPr="005D6BA6">
        <w:rPr>
          <w:i/>
          <w:iCs/>
          <w:sz w:val="24"/>
          <w:szCs w:val="24"/>
        </w:rPr>
        <w:t>)</w:t>
      </w:r>
      <w:r w:rsidR="00854719" w:rsidRPr="005D6BA6">
        <w:rPr>
          <w:i/>
          <w:iCs/>
          <w:sz w:val="24"/>
          <w:szCs w:val="24"/>
        </w:rPr>
        <w:t xml:space="preserve"> Instrument</w:t>
      </w:r>
      <w:r w:rsidR="00FA13F7" w:rsidRPr="005D6BA6">
        <w:rPr>
          <w:i/>
          <w:iCs/>
          <w:sz w:val="24"/>
          <w:szCs w:val="24"/>
        </w:rPr>
        <w:t xml:space="preserve"> 2015</w:t>
      </w:r>
      <w:r w:rsidR="00854719">
        <w:rPr>
          <w:sz w:val="24"/>
          <w:szCs w:val="24"/>
        </w:rPr>
        <w:t xml:space="preserve">. </w:t>
      </w:r>
    </w:p>
    <w:p w14:paraId="67BAB77A" w14:textId="210CE121" w:rsidR="00854719" w:rsidRPr="005D6BA6" w:rsidRDefault="00854719" w:rsidP="00F02782">
      <w:pPr>
        <w:spacing w:line="240" w:lineRule="auto"/>
        <w:rPr>
          <w:b/>
          <w:bCs/>
          <w:i/>
          <w:iCs/>
          <w:sz w:val="24"/>
          <w:szCs w:val="24"/>
        </w:rPr>
      </w:pPr>
      <w:r w:rsidRPr="00854719">
        <w:rPr>
          <w:b/>
          <w:bCs/>
          <w:sz w:val="24"/>
          <w:szCs w:val="24"/>
        </w:rPr>
        <w:t>Schedule 1</w:t>
      </w:r>
      <w:r w:rsidR="0074160A">
        <w:rPr>
          <w:sz w:val="24"/>
          <w:szCs w:val="24"/>
        </w:rPr>
        <w:t>–</w:t>
      </w:r>
      <w:r w:rsidRPr="00854719">
        <w:rPr>
          <w:b/>
          <w:bCs/>
          <w:sz w:val="24"/>
          <w:szCs w:val="24"/>
        </w:rPr>
        <w:t xml:space="preserve">Amendment of the </w:t>
      </w:r>
      <w:r w:rsidRPr="005D6BA6">
        <w:rPr>
          <w:b/>
          <w:bCs/>
          <w:i/>
          <w:iCs/>
          <w:sz w:val="24"/>
          <w:szCs w:val="24"/>
        </w:rPr>
        <w:t>Carbon Credits (Carbon Farming Initiative) (Audit Thresholds) Instrument 2015</w:t>
      </w:r>
    </w:p>
    <w:p w14:paraId="4D28DABA" w14:textId="06256D1C" w:rsidR="00854719" w:rsidRPr="00854719" w:rsidRDefault="00854719" w:rsidP="00854719">
      <w:pPr>
        <w:rPr>
          <w:rFonts w:cs="Times New Roman"/>
          <w:sz w:val="24"/>
          <w:szCs w:val="24"/>
          <w:u w:val="single"/>
        </w:rPr>
      </w:pPr>
      <w:r w:rsidRPr="00854719">
        <w:rPr>
          <w:rFonts w:cs="Times New Roman"/>
          <w:sz w:val="24"/>
          <w:szCs w:val="24"/>
          <w:u w:val="single"/>
        </w:rPr>
        <w:t>1</w:t>
      </w:r>
      <w:r w:rsidR="0074160A">
        <w:rPr>
          <w:rFonts w:cs="Times New Roman"/>
          <w:sz w:val="24"/>
          <w:szCs w:val="24"/>
          <w:u w:val="single"/>
        </w:rPr>
        <w:tab/>
      </w:r>
      <w:r w:rsidRPr="00854719">
        <w:rPr>
          <w:rFonts w:cs="Times New Roman"/>
          <w:sz w:val="24"/>
          <w:szCs w:val="24"/>
          <w:u w:val="single"/>
        </w:rPr>
        <w:t>Section 3</w:t>
      </w:r>
    </w:p>
    <w:p w14:paraId="6852C2FC" w14:textId="099183D0" w:rsidR="00CE06B3" w:rsidRDefault="00CE06B3" w:rsidP="00F02782">
      <w:pPr>
        <w:spacing w:line="240" w:lineRule="auto"/>
        <w:rPr>
          <w:sz w:val="24"/>
          <w:szCs w:val="24"/>
        </w:rPr>
      </w:pPr>
      <w:r>
        <w:rPr>
          <w:sz w:val="24"/>
          <w:szCs w:val="24"/>
        </w:rPr>
        <w:t xml:space="preserve">The effect </w:t>
      </w:r>
      <w:r w:rsidR="00375C0A">
        <w:rPr>
          <w:sz w:val="24"/>
          <w:szCs w:val="24"/>
        </w:rPr>
        <w:t xml:space="preserve">of </w:t>
      </w:r>
      <w:r>
        <w:rPr>
          <w:sz w:val="24"/>
          <w:szCs w:val="24"/>
        </w:rPr>
        <w:t xml:space="preserve">this </w:t>
      </w:r>
      <w:r w:rsidR="00C53714">
        <w:rPr>
          <w:sz w:val="24"/>
          <w:szCs w:val="24"/>
        </w:rPr>
        <w:t xml:space="preserve">item </w:t>
      </w:r>
      <w:r w:rsidR="008152BF">
        <w:rPr>
          <w:sz w:val="24"/>
          <w:szCs w:val="24"/>
        </w:rPr>
        <w:t>is</w:t>
      </w:r>
      <w:r>
        <w:rPr>
          <w:sz w:val="24"/>
          <w:szCs w:val="24"/>
        </w:rPr>
        <w:t xml:space="preserve"> to retain the current two definitions</w:t>
      </w:r>
      <w:r w:rsidR="00433C5A">
        <w:rPr>
          <w:sz w:val="24"/>
          <w:szCs w:val="24"/>
        </w:rPr>
        <w:t xml:space="preserve"> in the previous section </w:t>
      </w:r>
      <w:proofErr w:type="gramStart"/>
      <w:r w:rsidR="00433C5A">
        <w:rPr>
          <w:sz w:val="24"/>
          <w:szCs w:val="24"/>
        </w:rPr>
        <w:t>3</w:t>
      </w:r>
      <w:r>
        <w:rPr>
          <w:sz w:val="24"/>
          <w:szCs w:val="24"/>
        </w:rPr>
        <w:t>, and</w:t>
      </w:r>
      <w:proofErr w:type="gramEnd"/>
      <w:r>
        <w:rPr>
          <w:sz w:val="24"/>
          <w:szCs w:val="24"/>
        </w:rPr>
        <w:t xml:space="preserve"> add </w:t>
      </w:r>
      <w:r w:rsidR="007E6AE1">
        <w:rPr>
          <w:sz w:val="24"/>
          <w:szCs w:val="24"/>
        </w:rPr>
        <w:t>one</w:t>
      </w:r>
      <w:r w:rsidR="00375C0A">
        <w:rPr>
          <w:sz w:val="24"/>
          <w:szCs w:val="24"/>
        </w:rPr>
        <w:t xml:space="preserve"> </w:t>
      </w:r>
      <w:r>
        <w:rPr>
          <w:sz w:val="24"/>
          <w:szCs w:val="24"/>
        </w:rPr>
        <w:t xml:space="preserve">new one. </w:t>
      </w:r>
      <w:r w:rsidR="008152BF">
        <w:rPr>
          <w:sz w:val="24"/>
          <w:szCs w:val="24"/>
        </w:rPr>
        <w:t>T</w:t>
      </w:r>
      <w:r w:rsidR="003E7798">
        <w:rPr>
          <w:sz w:val="24"/>
          <w:szCs w:val="24"/>
        </w:rPr>
        <w:t>his</w:t>
      </w:r>
      <w:r w:rsidR="00C13642">
        <w:rPr>
          <w:sz w:val="24"/>
          <w:szCs w:val="24"/>
        </w:rPr>
        <w:t xml:space="preserve"> new definition </w:t>
      </w:r>
      <w:r w:rsidR="00C53714">
        <w:rPr>
          <w:sz w:val="24"/>
          <w:szCs w:val="24"/>
        </w:rPr>
        <w:t xml:space="preserve">added by this item </w:t>
      </w:r>
      <w:r w:rsidR="003E7798">
        <w:rPr>
          <w:sz w:val="24"/>
          <w:szCs w:val="24"/>
        </w:rPr>
        <w:t>is</w:t>
      </w:r>
      <w:r w:rsidR="00C13642">
        <w:rPr>
          <w:sz w:val="24"/>
          <w:szCs w:val="24"/>
        </w:rPr>
        <w:t>:</w:t>
      </w:r>
    </w:p>
    <w:p w14:paraId="5E1B758C" w14:textId="29DF8DFF" w:rsidR="00754CDA" w:rsidRPr="008E5599" w:rsidRDefault="00754CDA" w:rsidP="00A45220">
      <w:pPr>
        <w:pStyle w:val="ListParagraph"/>
        <w:numPr>
          <w:ilvl w:val="0"/>
          <w:numId w:val="16"/>
        </w:numPr>
        <w:spacing w:line="240" w:lineRule="auto"/>
        <w:rPr>
          <w:sz w:val="24"/>
          <w:szCs w:val="24"/>
        </w:rPr>
      </w:pPr>
      <w:r w:rsidRPr="00840E43">
        <w:rPr>
          <w:b/>
          <w:bCs/>
          <w:i/>
          <w:iCs/>
          <w:sz w:val="24"/>
          <w:szCs w:val="24"/>
        </w:rPr>
        <w:t>CFI Rule</w:t>
      </w:r>
      <w:r w:rsidRPr="00754CDA">
        <w:rPr>
          <w:sz w:val="24"/>
          <w:szCs w:val="24"/>
        </w:rPr>
        <w:t xml:space="preserve"> means the </w:t>
      </w:r>
      <w:r w:rsidRPr="00DE0F61">
        <w:rPr>
          <w:i/>
          <w:iCs/>
          <w:sz w:val="24"/>
          <w:szCs w:val="24"/>
        </w:rPr>
        <w:t>Carbon Credits (Carbon Farming Initiative) Rule 2015</w:t>
      </w:r>
      <w:r w:rsidRPr="00754CDA">
        <w:rPr>
          <w:sz w:val="24"/>
          <w:szCs w:val="24"/>
        </w:rPr>
        <w:t>.</w:t>
      </w:r>
    </w:p>
    <w:p w14:paraId="585F3790" w14:textId="581E7C4A" w:rsidR="00C86BA6" w:rsidRPr="00C86BA6" w:rsidRDefault="00C86BA6" w:rsidP="00C86BA6">
      <w:pPr>
        <w:spacing w:line="240" w:lineRule="auto"/>
        <w:rPr>
          <w:sz w:val="24"/>
          <w:szCs w:val="24"/>
          <w:u w:val="single"/>
        </w:rPr>
      </w:pPr>
      <w:r w:rsidRPr="00C86BA6">
        <w:rPr>
          <w:sz w:val="24"/>
          <w:szCs w:val="24"/>
          <w:u w:val="single"/>
        </w:rPr>
        <w:t>2</w:t>
      </w:r>
      <w:r w:rsidR="0074160A">
        <w:rPr>
          <w:sz w:val="24"/>
          <w:szCs w:val="24"/>
          <w:u w:val="single"/>
        </w:rPr>
        <w:tab/>
      </w:r>
      <w:r w:rsidRPr="00C86BA6">
        <w:rPr>
          <w:sz w:val="24"/>
          <w:szCs w:val="24"/>
          <w:u w:val="single"/>
        </w:rPr>
        <w:t>Section 4</w:t>
      </w:r>
    </w:p>
    <w:p w14:paraId="0CBEE7A5" w14:textId="2E7A88EC" w:rsidR="008A2F3B" w:rsidRDefault="00C86BA6" w:rsidP="00F02782">
      <w:pPr>
        <w:spacing w:line="240" w:lineRule="auto"/>
        <w:rPr>
          <w:sz w:val="24"/>
          <w:szCs w:val="24"/>
        </w:rPr>
      </w:pPr>
      <w:r>
        <w:rPr>
          <w:sz w:val="24"/>
          <w:szCs w:val="24"/>
        </w:rPr>
        <w:t xml:space="preserve">This </w:t>
      </w:r>
      <w:r w:rsidR="00C53714">
        <w:rPr>
          <w:sz w:val="24"/>
          <w:szCs w:val="24"/>
        </w:rPr>
        <w:t>item</w:t>
      </w:r>
      <w:r>
        <w:rPr>
          <w:sz w:val="24"/>
          <w:szCs w:val="24"/>
        </w:rPr>
        <w:t xml:space="preserve"> </w:t>
      </w:r>
      <w:r w:rsidR="003B7589">
        <w:rPr>
          <w:sz w:val="24"/>
          <w:szCs w:val="24"/>
        </w:rPr>
        <w:t xml:space="preserve">adds ‘(other than alternative assurance projects)’ </w:t>
      </w:r>
      <w:r w:rsidR="005927CF">
        <w:rPr>
          <w:sz w:val="24"/>
          <w:szCs w:val="24"/>
        </w:rPr>
        <w:t>into the paragraph</w:t>
      </w:r>
      <w:r w:rsidR="003874BD">
        <w:rPr>
          <w:sz w:val="24"/>
          <w:szCs w:val="24"/>
        </w:rPr>
        <w:t xml:space="preserve">. </w:t>
      </w:r>
      <w:r w:rsidR="00834C4C">
        <w:rPr>
          <w:sz w:val="24"/>
          <w:szCs w:val="24"/>
        </w:rPr>
        <w:t xml:space="preserve">This </w:t>
      </w:r>
      <w:r w:rsidR="00E255EA">
        <w:rPr>
          <w:sz w:val="24"/>
          <w:szCs w:val="24"/>
        </w:rPr>
        <w:t>text was added to</w:t>
      </w:r>
      <w:r w:rsidR="00ED3C08">
        <w:rPr>
          <w:sz w:val="24"/>
          <w:szCs w:val="24"/>
        </w:rPr>
        <w:t xml:space="preserve"> </w:t>
      </w:r>
      <w:r w:rsidR="00CB09B1">
        <w:rPr>
          <w:sz w:val="24"/>
          <w:szCs w:val="24"/>
        </w:rPr>
        <w:t>clarify</w:t>
      </w:r>
      <w:r w:rsidR="00ED3C08">
        <w:rPr>
          <w:sz w:val="24"/>
          <w:szCs w:val="24"/>
        </w:rPr>
        <w:t xml:space="preserve"> that the audit thresholds in the table under this sectio</w:t>
      </w:r>
      <w:r w:rsidR="00CB09B1">
        <w:rPr>
          <w:sz w:val="24"/>
          <w:szCs w:val="24"/>
        </w:rPr>
        <w:t>n do not apply to alternative assurance projects.</w:t>
      </w:r>
    </w:p>
    <w:p w14:paraId="3C9B4226" w14:textId="29FBC75B" w:rsidR="00AA441E" w:rsidRPr="00C86BA6" w:rsidRDefault="00A85A89" w:rsidP="00AA441E">
      <w:pPr>
        <w:spacing w:line="240" w:lineRule="auto"/>
        <w:rPr>
          <w:sz w:val="24"/>
          <w:szCs w:val="24"/>
          <w:u w:val="single"/>
        </w:rPr>
      </w:pPr>
      <w:r>
        <w:rPr>
          <w:sz w:val="24"/>
          <w:szCs w:val="24"/>
          <w:u w:val="single"/>
        </w:rPr>
        <w:t>3</w:t>
      </w:r>
      <w:r w:rsidR="00AA441E">
        <w:rPr>
          <w:sz w:val="24"/>
          <w:szCs w:val="24"/>
          <w:u w:val="single"/>
        </w:rPr>
        <w:tab/>
      </w:r>
      <w:r w:rsidR="00AA441E" w:rsidRPr="00C86BA6">
        <w:rPr>
          <w:sz w:val="24"/>
          <w:szCs w:val="24"/>
          <w:u w:val="single"/>
        </w:rPr>
        <w:t xml:space="preserve">Section </w:t>
      </w:r>
      <w:r w:rsidR="0006762D">
        <w:rPr>
          <w:sz w:val="24"/>
          <w:szCs w:val="24"/>
          <w:u w:val="single"/>
        </w:rPr>
        <w:t>5</w:t>
      </w:r>
    </w:p>
    <w:p w14:paraId="35CCEE84" w14:textId="2DE38EB7" w:rsidR="002905BC" w:rsidRDefault="0006762D" w:rsidP="0006762D">
      <w:pPr>
        <w:spacing w:line="240" w:lineRule="auto"/>
        <w:rPr>
          <w:sz w:val="24"/>
          <w:szCs w:val="24"/>
        </w:rPr>
      </w:pPr>
      <w:r>
        <w:rPr>
          <w:sz w:val="24"/>
          <w:szCs w:val="24"/>
        </w:rPr>
        <w:t xml:space="preserve">This </w:t>
      </w:r>
      <w:r w:rsidR="00C53714">
        <w:rPr>
          <w:sz w:val="24"/>
          <w:szCs w:val="24"/>
        </w:rPr>
        <w:t>item</w:t>
      </w:r>
      <w:r>
        <w:rPr>
          <w:sz w:val="24"/>
          <w:szCs w:val="24"/>
        </w:rPr>
        <w:t xml:space="preserve"> adds ‘(other than alternative assurance projects)’ into the paragraph. This text was added to clarify that</w:t>
      </w:r>
      <w:r w:rsidR="002905BC">
        <w:rPr>
          <w:sz w:val="24"/>
          <w:szCs w:val="24"/>
        </w:rPr>
        <w:t xml:space="preserve"> alternative assurance projects</w:t>
      </w:r>
      <w:r w:rsidR="00734D5A">
        <w:rPr>
          <w:sz w:val="24"/>
          <w:szCs w:val="24"/>
        </w:rPr>
        <w:t xml:space="preserve"> are not subject to the number of subsequent audits </w:t>
      </w:r>
      <w:r w:rsidR="00A85A89">
        <w:rPr>
          <w:sz w:val="24"/>
          <w:szCs w:val="24"/>
        </w:rPr>
        <w:t>set out in the table under this section.</w:t>
      </w:r>
    </w:p>
    <w:p w14:paraId="7E16F238" w14:textId="5750EDD2" w:rsidR="00E05A71" w:rsidRPr="00C86BA6" w:rsidRDefault="00E05A71" w:rsidP="00E05A71">
      <w:pPr>
        <w:spacing w:line="240" w:lineRule="auto"/>
        <w:rPr>
          <w:sz w:val="24"/>
          <w:szCs w:val="24"/>
          <w:u w:val="single"/>
        </w:rPr>
      </w:pPr>
      <w:r>
        <w:rPr>
          <w:sz w:val="24"/>
          <w:szCs w:val="24"/>
          <w:u w:val="single"/>
        </w:rPr>
        <w:t>4</w:t>
      </w:r>
      <w:r>
        <w:rPr>
          <w:sz w:val="24"/>
          <w:szCs w:val="24"/>
          <w:u w:val="single"/>
        </w:rPr>
        <w:tab/>
      </w:r>
      <w:r w:rsidRPr="00C86BA6">
        <w:rPr>
          <w:sz w:val="24"/>
          <w:szCs w:val="24"/>
          <w:u w:val="single"/>
        </w:rPr>
        <w:t xml:space="preserve">Section </w:t>
      </w:r>
      <w:r>
        <w:rPr>
          <w:sz w:val="24"/>
          <w:szCs w:val="24"/>
          <w:u w:val="single"/>
        </w:rPr>
        <w:t>7</w:t>
      </w:r>
    </w:p>
    <w:p w14:paraId="4B011220" w14:textId="0DE6D92D" w:rsidR="00A85A89" w:rsidRDefault="00A56676" w:rsidP="0006762D">
      <w:pPr>
        <w:spacing w:line="240" w:lineRule="auto"/>
        <w:rPr>
          <w:sz w:val="24"/>
          <w:szCs w:val="24"/>
        </w:rPr>
      </w:pPr>
      <w:r>
        <w:rPr>
          <w:sz w:val="24"/>
          <w:szCs w:val="24"/>
        </w:rPr>
        <w:t xml:space="preserve">This </w:t>
      </w:r>
      <w:r w:rsidR="00C53714">
        <w:rPr>
          <w:sz w:val="24"/>
          <w:szCs w:val="24"/>
        </w:rPr>
        <w:t>item adds a new section to the instrument</w:t>
      </w:r>
      <w:r w:rsidR="008E0943">
        <w:rPr>
          <w:sz w:val="24"/>
          <w:szCs w:val="24"/>
        </w:rPr>
        <w:t xml:space="preserve"> </w:t>
      </w:r>
      <w:r w:rsidR="00A723A3">
        <w:rPr>
          <w:sz w:val="24"/>
          <w:szCs w:val="24"/>
        </w:rPr>
        <w:t xml:space="preserve">that sets out the </w:t>
      </w:r>
      <w:r w:rsidR="0023189D">
        <w:rPr>
          <w:sz w:val="24"/>
          <w:szCs w:val="24"/>
        </w:rPr>
        <w:t>requirements an eligible offset project</w:t>
      </w:r>
      <w:r>
        <w:rPr>
          <w:sz w:val="24"/>
          <w:szCs w:val="24"/>
        </w:rPr>
        <w:t xml:space="preserve"> </w:t>
      </w:r>
      <w:r w:rsidR="000B34E3">
        <w:rPr>
          <w:sz w:val="24"/>
          <w:szCs w:val="24"/>
        </w:rPr>
        <w:t>must meet to be classified as an alternative assurance project</w:t>
      </w:r>
      <w:r w:rsidR="0096759E">
        <w:rPr>
          <w:sz w:val="24"/>
          <w:szCs w:val="24"/>
        </w:rPr>
        <w:t>. It also sets out</w:t>
      </w:r>
      <w:r w:rsidR="00335D94">
        <w:rPr>
          <w:sz w:val="24"/>
          <w:szCs w:val="24"/>
        </w:rPr>
        <w:t xml:space="preserve"> the number</w:t>
      </w:r>
      <w:r w:rsidR="000A5B53">
        <w:rPr>
          <w:sz w:val="24"/>
          <w:szCs w:val="24"/>
        </w:rPr>
        <w:t xml:space="preserve"> and type</w:t>
      </w:r>
      <w:r w:rsidR="00335D94">
        <w:rPr>
          <w:sz w:val="24"/>
          <w:szCs w:val="24"/>
        </w:rPr>
        <w:t xml:space="preserve"> of audits </w:t>
      </w:r>
      <w:r w:rsidR="000A5B53">
        <w:rPr>
          <w:sz w:val="24"/>
          <w:szCs w:val="24"/>
        </w:rPr>
        <w:t xml:space="preserve">required for specific classes of </w:t>
      </w:r>
      <w:r w:rsidR="0096759E">
        <w:rPr>
          <w:sz w:val="24"/>
          <w:szCs w:val="24"/>
        </w:rPr>
        <w:t>alternative assurance projects</w:t>
      </w:r>
      <w:r w:rsidR="00617687">
        <w:rPr>
          <w:sz w:val="24"/>
          <w:szCs w:val="24"/>
        </w:rPr>
        <w:t>. The requirements an eligible offset project must meet are:</w:t>
      </w:r>
    </w:p>
    <w:p w14:paraId="43F01366" w14:textId="16931778" w:rsidR="0067582F" w:rsidRPr="005E1086" w:rsidRDefault="005E1086" w:rsidP="00313A9F">
      <w:pPr>
        <w:pStyle w:val="ListParagraph"/>
        <w:numPr>
          <w:ilvl w:val="0"/>
          <w:numId w:val="22"/>
        </w:numPr>
        <w:spacing w:line="240" w:lineRule="auto"/>
        <w:rPr>
          <w:sz w:val="24"/>
          <w:szCs w:val="24"/>
        </w:rPr>
      </w:pPr>
      <w:r>
        <w:rPr>
          <w:sz w:val="24"/>
          <w:szCs w:val="24"/>
          <w:lang w:val="en-AU"/>
        </w:rPr>
        <w:lastRenderedPageBreak/>
        <w:t xml:space="preserve">Have </w:t>
      </w:r>
      <w:r w:rsidRPr="005E1086">
        <w:rPr>
          <w:sz w:val="24"/>
          <w:szCs w:val="24"/>
          <w:lang w:val="en-AU"/>
        </w:rPr>
        <w:t>its applicable methodology determination prescribed by column 2 of the</w:t>
      </w:r>
      <w:r w:rsidR="00F274C4">
        <w:rPr>
          <w:sz w:val="24"/>
          <w:szCs w:val="24"/>
          <w:lang w:val="en-AU"/>
        </w:rPr>
        <w:t xml:space="preserve"> </w:t>
      </w:r>
      <w:r w:rsidRPr="005E1086">
        <w:rPr>
          <w:sz w:val="24"/>
          <w:szCs w:val="24"/>
          <w:lang w:val="en-AU"/>
        </w:rPr>
        <w:t>table</w:t>
      </w:r>
      <w:r w:rsidR="00F828A5">
        <w:rPr>
          <w:sz w:val="24"/>
          <w:szCs w:val="24"/>
          <w:lang w:val="en-AU"/>
        </w:rPr>
        <w:t xml:space="preserve"> below</w:t>
      </w:r>
      <w:r w:rsidRPr="005E1086">
        <w:rPr>
          <w:sz w:val="24"/>
          <w:szCs w:val="24"/>
          <w:lang w:val="en-AU"/>
        </w:rPr>
        <w:t>; and</w:t>
      </w:r>
    </w:p>
    <w:p w14:paraId="3E4A6F02" w14:textId="6FAB983A" w:rsidR="005E1086" w:rsidRPr="00450C88" w:rsidRDefault="00450C88" w:rsidP="00313A9F">
      <w:pPr>
        <w:pStyle w:val="ListParagraph"/>
        <w:numPr>
          <w:ilvl w:val="0"/>
          <w:numId w:val="22"/>
        </w:numPr>
        <w:spacing w:line="240" w:lineRule="auto"/>
        <w:rPr>
          <w:sz w:val="24"/>
          <w:szCs w:val="24"/>
        </w:rPr>
      </w:pPr>
      <w:r>
        <w:rPr>
          <w:sz w:val="24"/>
          <w:szCs w:val="24"/>
          <w:lang w:val="en-AU"/>
        </w:rPr>
        <w:t xml:space="preserve">meet </w:t>
      </w:r>
      <w:r w:rsidRPr="00450C88">
        <w:rPr>
          <w:sz w:val="24"/>
          <w:szCs w:val="24"/>
          <w:lang w:val="en-AU"/>
        </w:rPr>
        <w:t>the criteria prescribed by column 3 of the table</w:t>
      </w:r>
      <w:r w:rsidR="00F828A5">
        <w:rPr>
          <w:sz w:val="24"/>
          <w:szCs w:val="24"/>
          <w:lang w:val="en-AU"/>
        </w:rPr>
        <w:t xml:space="preserve"> below</w:t>
      </w:r>
      <w:r w:rsidRPr="00450C88">
        <w:rPr>
          <w:sz w:val="24"/>
          <w:szCs w:val="24"/>
          <w:lang w:val="en-AU"/>
        </w:rPr>
        <w:t>; and</w:t>
      </w:r>
    </w:p>
    <w:p w14:paraId="6306427F" w14:textId="713818AC" w:rsidR="00450C88" w:rsidRPr="00F274C4" w:rsidRDefault="007949D3" w:rsidP="00313A9F">
      <w:pPr>
        <w:pStyle w:val="ListParagraph"/>
        <w:numPr>
          <w:ilvl w:val="0"/>
          <w:numId w:val="22"/>
        </w:numPr>
        <w:spacing w:line="240" w:lineRule="auto"/>
        <w:rPr>
          <w:sz w:val="24"/>
          <w:szCs w:val="24"/>
        </w:rPr>
      </w:pPr>
      <w:r>
        <w:rPr>
          <w:sz w:val="24"/>
          <w:szCs w:val="24"/>
          <w:lang w:val="en-AU"/>
        </w:rPr>
        <w:t xml:space="preserve">meet </w:t>
      </w:r>
      <w:r w:rsidRPr="007949D3">
        <w:rPr>
          <w:sz w:val="24"/>
          <w:szCs w:val="24"/>
          <w:lang w:val="en-AU"/>
        </w:rPr>
        <w:t>conditions on the project proponent related to the operation or reporting for the project specified by column 4 of the table</w:t>
      </w:r>
      <w:r w:rsidR="00F828A5">
        <w:rPr>
          <w:sz w:val="24"/>
          <w:szCs w:val="24"/>
          <w:lang w:val="en-AU"/>
        </w:rPr>
        <w:t xml:space="preserve"> below</w:t>
      </w:r>
      <w:r w:rsidRPr="007949D3">
        <w:rPr>
          <w:sz w:val="24"/>
          <w:szCs w:val="24"/>
          <w:lang w:val="en-AU"/>
        </w:rPr>
        <w:t>.</w:t>
      </w:r>
    </w:p>
    <w:p w14:paraId="04B2A4EB" w14:textId="14DE222B" w:rsidR="00F274C4" w:rsidRPr="00F274C4" w:rsidRDefault="00F274C4" w:rsidP="00F274C4">
      <w:pPr>
        <w:spacing w:line="240" w:lineRule="auto"/>
        <w:rPr>
          <w:sz w:val="24"/>
          <w:szCs w:val="24"/>
        </w:rPr>
      </w:pPr>
      <w:r>
        <w:rPr>
          <w:sz w:val="24"/>
          <w:szCs w:val="24"/>
        </w:rPr>
        <w:t xml:space="preserve">The </w:t>
      </w:r>
      <w:r w:rsidR="00F828A5">
        <w:rPr>
          <w:sz w:val="24"/>
          <w:szCs w:val="24"/>
        </w:rPr>
        <w:t xml:space="preserve">following table sets out the </w:t>
      </w:r>
      <w:r w:rsidR="00836EB2">
        <w:rPr>
          <w:sz w:val="24"/>
          <w:szCs w:val="24"/>
        </w:rPr>
        <w:t>specific requirements for each class of alternative assurance project</w:t>
      </w:r>
      <w:r w:rsidR="00242971">
        <w:rPr>
          <w:sz w:val="24"/>
          <w:szCs w:val="24"/>
        </w:rPr>
        <w:t>s.</w:t>
      </w:r>
      <w:r w:rsidR="003660C0">
        <w:rPr>
          <w:sz w:val="24"/>
          <w:szCs w:val="24"/>
        </w:rPr>
        <w:t xml:space="preserve"> </w:t>
      </w:r>
    </w:p>
    <w:tbl>
      <w:tblPr>
        <w:tblStyle w:val="TableGrid"/>
        <w:tblW w:w="9322" w:type="dxa"/>
        <w:tblLayout w:type="fixed"/>
        <w:tblLook w:val="04A0" w:firstRow="1" w:lastRow="0" w:firstColumn="1" w:lastColumn="0" w:noHBand="0" w:noVBand="1"/>
      </w:tblPr>
      <w:tblGrid>
        <w:gridCol w:w="2005"/>
        <w:gridCol w:w="2012"/>
        <w:gridCol w:w="2165"/>
        <w:gridCol w:w="1439"/>
        <w:gridCol w:w="1701"/>
      </w:tblGrid>
      <w:tr w:rsidR="006A0DE3" w:rsidRPr="00AC558A" w14:paraId="3987CA64" w14:textId="77777777" w:rsidTr="00D014ED">
        <w:tc>
          <w:tcPr>
            <w:tcW w:w="2005" w:type="dxa"/>
          </w:tcPr>
          <w:p w14:paraId="45F4CC22" w14:textId="77777777" w:rsidR="006A0DE3" w:rsidRPr="006A0DE3" w:rsidRDefault="006A0DE3" w:rsidP="00D014ED">
            <w:pPr>
              <w:rPr>
                <w:b/>
                <w:bCs/>
                <w:sz w:val="24"/>
                <w:szCs w:val="24"/>
              </w:rPr>
            </w:pPr>
            <w:r w:rsidRPr="006A0DE3">
              <w:rPr>
                <w:b/>
                <w:bCs/>
                <w:sz w:val="24"/>
                <w:szCs w:val="24"/>
              </w:rPr>
              <w:t>Class of project</w:t>
            </w:r>
          </w:p>
        </w:tc>
        <w:tc>
          <w:tcPr>
            <w:tcW w:w="2012" w:type="dxa"/>
          </w:tcPr>
          <w:p w14:paraId="5B481CCD" w14:textId="77777777" w:rsidR="006A0DE3" w:rsidRPr="006A0DE3" w:rsidRDefault="006A0DE3" w:rsidP="00D014ED">
            <w:pPr>
              <w:rPr>
                <w:b/>
                <w:bCs/>
                <w:sz w:val="24"/>
                <w:szCs w:val="24"/>
              </w:rPr>
            </w:pPr>
            <w:r w:rsidRPr="006A0DE3">
              <w:rPr>
                <w:b/>
                <w:bCs/>
                <w:sz w:val="24"/>
                <w:szCs w:val="24"/>
              </w:rPr>
              <w:t xml:space="preserve">Prescribed methodology determination </w:t>
            </w:r>
          </w:p>
          <w:p w14:paraId="3F138707" w14:textId="77777777" w:rsidR="006A0DE3" w:rsidRPr="006A0DE3" w:rsidRDefault="006A0DE3" w:rsidP="00D014ED">
            <w:pPr>
              <w:rPr>
                <w:b/>
                <w:bCs/>
                <w:sz w:val="24"/>
                <w:szCs w:val="24"/>
              </w:rPr>
            </w:pPr>
            <w:r w:rsidRPr="006A0DE3">
              <w:rPr>
                <w:b/>
                <w:bCs/>
                <w:sz w:val="24"/>
                <w:szCs w:val="24"/>
              </w:rPr>
              <w:t xml:space="preserve">(CFI Rule paragraph 73(7)(a)) </w:t>
            </w:r>
          </w:p>
        </w:tc>
        <w:tc>
          <w:tcPr>
            <w:tcW w:w="2165" w:type="dxa"/>
          </w:tcPr>
          <w:p w14:paraId="6B2FE218" w14:textId="77777777" w:rsidR="006A0DE3" w:rsidRPr="006A0DE3" w:rsidRDefault="006A0DE3" w:rsidP="00D014ED">
            <w:pPr>
              <w:rPr>
                <w:b/>
                <w:bCs/>
                <w:sz w:val="24"/>
                <w:szCs w:val="24"/>
              </w:rPr>
            </w:pPr>
            <w:r w:rsidRPr="006A0DE3">
              <w:rPr>
                <w:b/>
                <w:bCs/>
                <w:sz w:val="24"/>
                <w:szCs w:val="24"/>
              </w:rPr>
              <w:t xml:space="preserve">Project related criteria that must be met </w:t>
            </w:r>
          </w:p>
          <w:p w14:paraId="05B00B47" w14:textId="77777777" w:rsidR="006A0DE3" w:rsidRPr="006A0DE3" w:rsidRDefault="006A0DE3" w:rsidP="00D014ED">
            <w:pPr>
              <w:rPr>
                <w:b/>
                <w:bCs/>
                <w:sz w:val="24"/>
                <w:szCs w:val="24"/>
              </w:rPr>
            </w:pPr>
            <w:r w:rsidRPr="006A0DE3">
              <w:rPr>
                <w:b/>
                <w:bCs/>
                <w:sz w:val="24"/>
                <w:szCs w:val="24"/>
              </w:rPr>
              <w:t>(CFI Rule paragraph 73(7)(b))</w:t>
            </w:r>
          </w:p>
        </w:tc>
        <w:tc>
          <w:tcPr>
            <w:tcW w:w="1439" w:type="dxa"/>
          </w:tcPr>
          <w:p w14:paraId="4DAD58E4" w14:textId="77777777" w:rsidR="006A0DE3" w:rsidRPr="006A0DE3" w:rsidRDefault="006A0DE3" w:rsidP="00D014ED">
            <w:pPr>
              <w:rPr>
                <w:b/>
                <w:bCs/>
                <w:sz w:val="24"/>
                <w:szCs w:val="24"/>
              </w:rPr>
            </w:pPr>
            <w:r w:rsidRPr="006A0DE3">
              <w:rPr>
                <w:b/>
                <w:bCs/>
                <w:sz w:val="24"/>
                <w:szCs w:val="24"/>
              </w:rPr>
              <w:t>Conditions related to operation, monitoring, or reporting for the project that must be met</w:t>
            </w:r>
          </w:p>
          <w:p w14:paraId="15B9B43A" w14:textId="77777777" w:rsidR="006A0DE3" w:rsidRPr="006A0DE3" w:rsidRDefault="006A0DE3" w:rsidP="00D014ED">
            <w:pPr>
              <w:rPr>
                <w:b/>
                <w:bCs/>
                <w:sz w:val="24"/>
                <w:szCs w:val="24"/>
              </w:rPr>
            </w:pPr>
            <w:r w:rsidRPr="006A0DE3">
              <w:rPr>
                <w:b/>
                <w:bCs/>
                <w:sz w:val="24"/>
                <w:szCs w:val="24"/>
              </w:rPr>
              <w:t>(CFI Rule paragraph 73(7)(c))</w:t>
            </w:r>
          </w:p>
        </w:tc>
        <w:tc>
          <w:tcPr>
            <w:tcW w:w="1701" w:type="dxa"/>
          </w:tcPr>
          <w:p w14:paraId="1043CA0C" w14:textId="77777777" w:rsidR="006A0DE3" w:rsidRPr="006A0DE3" w:rsidRDefault="006A0DE3" w:rsidP="00D014ED">
            <w:pPr>
              <w:rPr>
                <w:b/>
                <w:bCs/>
                <w:sz w:val="24"/>
                <w:szCs w:val="24"/>
              </w:rPr>
            </w:pPr>
            <w:r w:rsidRPr="006A0DE3">
              <w:rPr>
                <w:b/>
                <w:bCs/>
                <w:sz w:val="24"/>
                <w:szCs w:val="24"/>
              </w:rPr>
              <w:t>Number/type of audits</w:t>
            </w:r>
          </w:p>
          <w:p w14:paraId="2010A49C" w14:textId="77777777" w:rsidR="006A0DE3" w:rsidRPr="006A0DE3" w:rsidRDefault="006A0DE3" w:rsidP="00D014ED">
            <w:pPr>
              <w:rPr>
                <w:b/>
                <w:bCs/>
                <w:sz w:val="24"/>
                <w:szCs w:val="24"/>
              </w:rPr>
            </w:pPr>
            <w:r w:rsidRPr="006A0DE3">
              <w:rPr>
                <w:b/>
                <w:bCs/>
                <w:sz w:val="24"/>
                <w:szCs w:val="24"/>
              </w:rPr>
              <w:t>(CFI Rule paragraph 73(2)(d) and 75(</w:t>
            </w:r>
            <w:proofErr w:type="gramStart"/>
            <w:r w:rsidRPr="006A0DE3">
              <w:rPr>
                <w:b/>
                <w:bCs/>
                <w:sz w:val="24"/>
                <w:szCs w:val="24"/>
              </w:rPr>
              <w:t>4)(</w:t>
            </w:r>
            <w:proofErr w:type="gramEnd"/>
            <w:r w:rsidRPr="006A0DE3">
              <w:rPr>
                <w:b/>
                <w:bCs/>
                <w:sz w:val="24"/>
                <w:szCs w:val="24"/>
              </w:rPr>
              <w:t>bb))</w:t>
            </w:r>
          </w:p>
        </w:tc>
      </w:tr>
      <w:tr w:rsidR="006A0DE3" w:rsidRPr="00AC558A" w14:paraId="4776EF62" w14:textId="77777777" w:rsidTr="00D014ED">
        <w:tc>
          <w:tcPr>
            <w:tcW w:w="2005" w:type="dxa"/>
          </w:tcPr>
          <w:p w14:paraId="296C3060" w14:textId="77777777" w:rsidR="006A0DE3" w:rsidRPr="006A0DE3" w:rsidRDefault="006A0DE3" w:rsidP="00D014ED">
            <w:pPr>
              <w:rPr>
                <w:sz w:val="24"/>
                <w:szCs w:val="24"/>
              </w:rPr>
            </w:pPr>
            <w:r w:rsidRPr="006A0DE3">
              <w:rPr>
                <w:sz w:val="24"/>
                <w:szCs w:val="24"/>
              </w:rPr>
              <w:t>Low Risk Environmental Planting projects</w:t>
            </w:r>
          </w:p>
        </w:tc>
        <w:tc>
          <w:tcPr>
            <w:tcW w:w="2012" w:type="dxa"/>
          </w:tcPr>
          <w:p w14:paraId="3688A8BE" w14:textId="77777777" w:rsidR="006A0DE3" w:rsidRPr="006A0DE3" w:rsidRDefault="006A0DE3" w:rsidP="00D014ED">
            <w:pPr>
              <w:rPr>
                <w:sz w:val="24"/>
                <w:szCs w:val="24"/>
              </w:rPr>
            </w:pPr>
            <w:r w:rsidRPr="006A0DE3">
              <w:rPr>
                <w:i/>
                <w:iCs/>
                <w:sz w:val="24"/>
                <w:szCs w:val="24"/>
              </w:rPr>
              <w:t>Carbon Credits (Carbon Farming Initiative) (Reforestation by Environmental or Mallee Plantings—</w:t>
            </w:r>
            <w:proofErr w:type="spellStart"/>
            <w:r w:rsidRPr="006A0DE3">
              <w:rPr>
                <w:i/>
                <w:iCs/>
                <w:sz w:val="24"/>
                <w:szCs w:val="24"/>
              </w:rPr>
              <w:t>FullCAM</w:t>
            </w:r>
            <w:proofErr w:type="spellEnd"/>
            <w:r w:rsidRPr="006A0DE3">
              <w:rPr>
                <w:i/>
                <w:iCs/>
                <w:sz w:val="24"/>
                <w:szCs w:val="24"/>
              </w:rPr>
              <w:t>) Methodology Determination 2014</w:t>
            </w:r>
            <w:r w:rsidRPr="006A0DE3">
              <w:rPr>
                <w:sz w:val="24"/>
                <w:szCs w:val="24"/>
              </w:rPr>
              <w:t xml:space="preserve"> (whether applied as in force from time to time or applied under sections 125, 126 or 127 of the Act)</w:t>
            </w:r>
          </w:p>
        </w:tc>
        <w:tc>
          <w:tcPr>
            <w:tcW w:w="2165" w:type="dxa"/>
          </w:tcPr>
          <w:p w14:paraId="6DCFF86D" w14:textId="2952B605" w:rsidR="006A0DE3" w:rsidRPr="006A0DE3" w:rsidRDefault="008D0C32" w:rsidP="00D014ED">
            <w:pPr>
              <w:rPr>
                <w:sz w:val="24"/>
                <w:szCs w:val="24"/>
              </w:rPr>
            </w:pPr>
            <w:r w:rsidRPr="008D0C32">
              <w:rPr>
                <w:sz w:val="24"/>
                <w:szCs w:val="24"/>
              </w:rPr>
              <w:t xml:space="preserve">1. The project proponent, or nominee of multiple project proponents, must be a freehold title holder, leaseholder, or native title holder or registered native title body corporate for all project areas of the project. </w:t>
            </w:r>
            <w:r w:rsidR="006A0DE3" w:rsidRPr="006A0DE3">
              <w:rPr>
                <w:sz w:val="24"/>
                <w:szCs w:val="24"/>
              </w:rPr>
              <w:t xml:space="preserve">2. The anticipated and reported carbon estimation area for the project must be </w:t>
            </w:r>
            <w:r w:rsidR="006A0DE3" w:rsidRPr="006A0DE3">
              <w:rPr>
                <w:sz w:val="24"/>
                <w:szCs w:val="24"/>
              </w:rPr>
              <w:lastRenderedPageBreak/>
              <w:t>no more than 200 hectares.</w:t>
            </w:r>
          </w:p>
          <w:p w14:paraId="16F06489" w14:textId="77777777" w:rsidR="006A0DE3" w:rsidRPr="006A0DE3" w:rsidRDefault="006A0DE3" w:rsidP="00D014ED">
            <w:pPr>
              <w:rPr>
                <w:sz w:val="24"/>
                <w:szCs w:val="24"/>
              </w:rPr>
            </w:pPr>
            <w:r w:rsidRPr="006A0DE3">
              <w:rPr>
                <w:sz w:val="24"/>
                <w:szCs w:val="24"/>
              </w:rPr>
              <w:t xml:space="preserve">3. The project must be modelled as a mixed species block planting using the generic calibration in </w:t>
            </w:r>
            <w:proofErr w:type="spellStart"/>
            <w:r w:rsidRPr="006A0DE3">
              <w:rPr>
                <w:sz w:val="24"/>
                <w:szCs w:val="24"/>
              </w:rPr>
              <w:t>FullCAM</w:t>
            </w:r>
            <w:proofErr w:type="spellEnd"/>
            <w:r w:rsidRPr="006A0DE3">
              <w:rPr>
                <w:sz w:val="24"/>
                <w:szCs w:val="24"/>
              </w:rPr>
              <w:t>.</w:t>
            </w:r>
          </w:p>
          <w:p w14:paraId="7D40D845" w14:textId="3ADFF5F8" w:rsidR="006A0DE3" w:rsidRPr="006A0DE3" w:rsidRDefault="006A0DE3" w:rsidP="00D014ED">
            <w:pPr>
              <w:rPr>
                <w:sz w:val="24"/>
                <w:szCs w:val="24"/>
              </w:rPr>
            </w:pPr>
            <w:r w:rsidRPr="006A0DE3">
              <w:rPr>
                <w:sz w:val="24"/>
                <w:szCs w:val="24"/>
              </w:rPr>
              <w:t xml:space="preserve">4. The project is subject to </w:t>
            </w:r>
            <w:r w:rsidR="008D0C32" w:rsidRPr="008D0C32">
              <w:rPr>
                <w:sz w:val="24"/>
                <w:szCs w:val="24"/>
              </w:rPr>
              <w:t>geospatial tool</w:t>
            </w:r>
            <w:r w:rsidRPr="006A0DE3">
              <w:rPr>
                <w:sz w:val="24"/>
                <w:szCs w:val="24"/>
              </w:rPr>
              <w:t xml:space="preserve"> monitoring by the Clean Energy Regulator</w:t>
            </w:r>
            <w:r w:rsidR="008D0C32">
              <w:t xml:space="preserve"> </w:t>
            </w:r>
            <w:r w:rsidR="008D0C32" w:rsidRPr="008D0C32">
              <w:rPr>
                <w:sz w:val="24"/>
                <w:szCs w:val="24"/>
              </w:rPr>
              <w:t>(within the meaning of the prescribed methodology determination).</w:t>
            </w:r>
          </w:p>
        </w:tc>
        <w:tc>
          <w:tcPr>
            <w:tcW w:w="1439" w:type="dxa"/>
          </w:tcPr>
          <w:p w14:paraId="3BB5D8A3" w14:textId="77777777" w:rsidR="006A0DE3" w:rsidRPr="006A0DE3" w:rsidRDefault="006A0DE3" w:rsidP="00D014ED">
            <w:pPr>
              <w:rPr>
                <w:sz w:val="24"/>
                <w:szCs w:val="24"/>
              </w:rPr>
            </w:pPr>
            <w:r w:rsidRPr="006A0DE3">
              <w:rPr>
                <w:sz w:val="24"/>
                <w:szCs w:val="24"/>
              </w:rPr>
              <w:lastRenderedPageBreak/>
              <w:t>Nil</w:t>
            </w:r>
          </w:p>
        </w:tc>
        <w:tc>
          <w:tcPr>
            <w:tcW w:w="1701" w:type="dxa"/>
          </w:tcPr>
          <w:p w14:paraId="4A44AB92" w14:textId="77777777" w:rsidR="006A0DE3" w:rsidRPr="006A0DE3" w:rsidRDefault="006A0DE3" w:rsidP="00D014ED">
            <w:pPr>
              <w:rPr>
                <w:sz w:val="24"/>
                <w:szCs w:val="24"/>
              </w:rPr>
            </w:pPr>
            <w:r w:rsidRPr="006A0DE3">
              <w:rPr>
                <w:sz w:val="24"/>
                <w:szCs w:val="24"/>
              </w:rPr>
              <w:t>Zero</w:t>
            </w:r>
          </w:p>
        </w:tc>
      </w:tr>
    </w:tbl>
    <w:p w14:paraId="0DA9543D" w14:textId="77777777" w:rsidR="006A49CB" w:rsidRPr="006A49CB" w:rsidRDefault="006A49CB" w:rsidP="006A49CB">
      <w:pPr>
        <w:spacing w:line="240" w:lineRule="auto"/>
        <w:rPr>
          <w:sz w:val="24"/>
          <w:szCs w:val="24"/>
        </w:rPr>
      </w:pPr>
    </w:p>
    <w:p w14:paraId="4DABF0F4" w14:textId="15FA801D" w:rsidR="00C53714" w:rsidRDefault="00C53714" w:rsidP="00C53714">
      <w:pPr>
        <w:spacing w:line="240" w:lineRule="auto"/>
        <w:rPr>
          <w:iCs/>
          <w:sz w:val="24"/>
          <w:szCs w:val="24"/>
        </w:rPr>
      </w:pPr>
      <w:r>
        <w:rPr>
          <w:iCs/>
          <w:sz w:val="24"/>
          <w:szCs w:val="24"/>
        </w:rPr>
        <w:t xml:space="preserve">The </w:t>
      </w:r>
      <w:r w:rsidRPr="006A0DE3">
        <w:rPr>
          <w:i/>
          <w:iCs/>
          <w:sz w:val="24"/>
          <w:szCs w:val="24"/>
        </w:rPr>
        <w:t>Carbon Credits (Carbon Farming Initiative) (Reforestation by Environmental or Mallee Plantings—</w:t>
      </w:r>
      <w:proofErr w:type="spellStart"/>
      <w:r w:rsidRPr="006A0DE3">
        <w:rPr>
          <w:i/>
          <w:iCs/>
          <w:sz w:val="24"/>
          <w:szCs w:val="24"/>
        </w:rPr>
        <w:t>FullCAM</w:t>
      </w:r>
      <w:proofErr w:type="spellEnd"/>
      <w:r w:rsidRPr="006A0DE3">
        <w:rPr>
          <w:i/>
          <w:iCs/>
          <w:sz w:val="24"/>
          <w:szCs w:val="24"/>
        </w:rPr>
        <w:t>) Methodology Determination 2014</w:t>
      </w:r>
      <w:r>
        <w:rPr>
          <w:iCs/>
          <w:sz w:val="24"/>
          <w:szCs w:val="24"/>
        </w:rPr>
        <w:t xml:space="preserve"> is a methodology determination made under section 106 of the Act and a legislative instrument registered on the Federal Register of Legislation.</w:t>
      </w:r>
      <w:r w:rsidR="00530603">
        <w:rPr>
          <w:iCs/>
          <w:sz w:val="24"/>
          <w:szCs w:val="24"/>
        </w:rPr>
        <w:t xml:space="preserve"> It allows for the creation of eligible offsets projects for which abatement can be credited for project proponents who undertake environmental plantings in accordance with the methodology.</w:t>
      </w:r>
    </w:p>
    <w:p w14:paraId="5847A6B1" w14:textId="039A4286" w:rsidR="00C53714" w:rsidRDefault="00C53714" w:rsidP="00C53714">
      <w:pPr>
        <w:spacing w:line="240" w:lineRule="auto"/>
        <w:rPr>
          <w:iCs/>
          <w:sz w:val="24"/>
          <w:szCs w:val="24"/>
        </w:rPr>
      </w:pPr>
      <w:r>
        <w:rPr>
          <w:iCs/>
          <w:sz w:val="24"/>
          <w:szCs w:val="24"/>
        </w:rPr>
        <w:t xml:space="preserve">The first criteria </w:t>
      </w:r>
      <w:proofErr w:type="gramStart"/>
      <w:r>
        <w:rPr>
          <w:iCs/>
          <w:sz w:val="24"/>
          <w:szCs w:val="24"/>
        </w:rPr>
        <w:t>relates</w:t>
      </w:r>
      <w:proofErr w:type="gramEnd"/>
      <w:r>
        <w:rPr>
          <w:iCs/>
          <w:sz w:val="24"/>
          <w:szCs w:val="24"/>
        </w:rPr>
        <w:t xml:space="preserve"> to who is declared as the project proponent for the project. Only direct landholders</w:t>
      </w:r>
      <w:r w:rsidR="00530603">
        <w:rPr>
          <w:iCs/>
          <w:sz w:val="24"/>
          <w:szCs w:val="24"/>
        </w:rPr>
        <w:t>, such as title holders and leaseholders,</w:t>
      </w:r>
      <w:r>
        <w:rPr>
          <w:iCs/>
          <w:sz w:val="24"/>
          <w:szCs w:val="24"/>
        </w:rPr>
        <w:t xml:space="preserve"> are included for the project area and not third parties such as carbon service providers. </w:t>
      </w:r>
      <w:proofErr w:type="gramStart"/>
      <w:r w:rsidR="00EF5F18">
        <w:rPr>
          <w:iCs/>
          <w:sz w:val="24"/>
          <w:szCs w:val="24"/>
        </w:rPr>
        <w:t>However</w:t>
      </w:r>
      <w:proofErr w:type="gramEnd"/>
      <w:r w:rsidR="00EF5F18">
        <w:rPr>
          <w:iCs/>
          <w:sz w:val="24"/>
          <w:szCs w:val="24"/>
        </w:rPr>
        <w:t xml:space="preserve"> carbon service providers can be agents for the projects,</w:t>
      </w:r>
    </w:p>
    <w:p w14:paraId="4FD2BD46" w14:textId="7F74AB37" w:rsidR="00C53714" w:rsidRDefault="00C53714" w:rsidP="00C53714">
      <w:pPr>
        <w:spacing w:line="240" w:lineRule="auto"/>
        <w:rPr>
          <w:iCs/>
          <w:sz w:val="24"/>
          <w:szCs w:val="24"/>
        </w:rPr>
      </w:pPr>
      <w:r>
        <w:rPr>
          <w:iCs/>
          <w:sz w:val="24"/>
          <w:szCs w:val="24"/>
        </w:rPr>
        <w:t xml:space="preserve">The second criteria </w:t>
      </w:r>
      <w:proofErr w:type="gramStart"/>
      <w:r>
        <w:rPr>
          <w:iCs/>
          <w:sz w:val="24"/>
          <w:szCs w:val="24"/>
        </w:rPr>
        <w:t>relates</w:t>
      </w:r>
      <w:proofErr w:type="gramEnd"/>
      <w:r>
        <w:rPr>
          <w:iCs/>
          <w:sz w:val="24"/>
          <w:szCs w:val="24"/>
        </w:rPr>
        <w:t xml:space="preserve"> to the size of the area that will be credited for environmental plantings under the methodology determination</w:t>
      </w:r>
      <w:r w:rsidR="00530603">
        <w:rPr>
          <w:iCs/>
          <w:sz w:val="24"/>
          <w:szCs w:val="24"/>
        </w:rPr>
        <w:t xml:space="preserve"> and provides an upper limit of 200 hectares</w:t>
      </w:r>
      <w:r>
        <w:rPr>
          <w:iCs/>
          <w:sz w:val="24"/>
          <w:szCs w:val="24"/>
        </w:rPr>
        <w:t xml:space="preserve">. </w:t>
      </w:r>
    </w:p>
    <w:p w14:paraId="62B412A0" w14:textId="3D89B4C1" w:rsidR="00C53714" w:rsidRDefault="00C53714" w:rsidP="00C53714">
      <w:pPr>
        <w:spacing w:line="240" w:lineRule="auto"/>
        <w:rPr>
          <w:iCs/>
          <w:sz w:val="24"/>
          <w:szCs w:val="24"/>
        </w:rPr>
      </w:pPr>
      <w:r>
        <w:rPr>
          <w:iCs/>
          <w:sz w:val="24"/>
          <w:szCs w:val="24"/>
        </w:rPr>
        <w:t>The third criteria</w:t>
      </w:r>
      <w:r w:rsidR="00530603">
        <w:rPr>
          <w:iCs/>
          <w:sz w:val="24"/>
          <w:szCs w:val="24"/>
        </w:rPr>
        <w:t xml:space="preserve"> </w:t>
      </w:r>
      <w:proofErr w:type="gramStart"/>
      <w:r w:rsidR="00530603">
        <w:rPr>
          <w:iCs/>
          <w:sz w:val="24"/>
          <w:szCs w:val="24"/>
        </w:rPr>
        <w:t>relates</w:t>
      </w:r>
      <w:proofErr w:type="gramEnd"/>
      <w:r w:rsidR="00530603">
        <w:rPr>
          <w:iCs/>
          <w:sz w:val="24"/>
          <w:szCs w:val="24"/>
        </w:rPr>
        <w:t xml:space="preserve"> to the way in which the project’s abatement is modelled</w:t>
      </w:r>
      <w:r>
        <w:rPr>
          <w:iCs/>
          <w:sz w:val="24"/>
          <w:szCs w:val="24"/>
        </w:rPr>
        <w:t xml:space="preserve">.  </w:t>
      </w:r>
      <w:proofErr w:type="spellStart"/>
      <w:r>
        <w:rPr>
          <w:iCs/>
          <w:sz w:val="24"/>
          <w:szCs w:val="24"/>
        </w:rPr>
        <w:t>FullCAM</w:t>
      </w:r>
      <w:proofErr w:type="spellEnd"/>
      <w:r>
        <w:rPr>
          <w:iCs/>
          <w:sz w:val="24"/>
          <w:szCs w:val="24"/>
        </w:rPr>
        <w:t xml:space="preserve"> is the Government’s Full Carbon Accounting Model</w:t>
      </w:r>
      <w:r w:rsidR="00530603">
        <w:rPr>
          <w:iCs/>
          <w:sz w:val="24"/>
          <w:szCs w:val="24"/>
        </w:rPr>
        <w:t>,</w:t>
      </w:r>
      <w:r>
        <w:rPr>
          <w:iCs/>
          <w:sz w:val="24"/>
          <w:szCs w:val="24"/>
        </w:rPr>
        <w:t xml:space="preserve"> w</w:t>
      </w:r>
      <w:r w:rsidR="00530603">
        <w:rPr>
          <w:iCs/>
          <w:sz w:val="24"/>
          <w:szCs w:val="24"/>
        </w:rPr>
        <w:t>hich</w:t>
      </w:r>
      <w:r>
        <w:rPr>
          <w:iCs/>
          <w:sz w:val="24"/>
          <w:szCs w:val="24"/>
        </w:rPr>
        <w:t xml:space="preserve"> is defined in the methodology determination</w:t>
      </w:r>
      <w:r w:rsidR="00530603">
        <w:rPr>
          <w:iCs/>
          <w:sz w:val="24"/>
          <w:szCs w:val="24"/>
        </w:rPr>
        <w:t xml:space="preserve">. </w:t>
      </w:r>
      <w:proofErr w:type="spellStart"/>
      <w:r w:rsidR="00530603">
        <w:rPr>
          <w:iCs/>
          <w:sz w:val="24"/>
          <w:szCs w:val="24"/>
        </w:rPr>
        <w:t>FullCAM</w:t>
      </w:r>
      <w:proofErr w:type="spellEnd"/>
      <w:r w:rsidR="00530603">
        <w:rPr>
          <w:iCs/>
          <w:sz w:val="24"/>
          <w:szCs w:val="24"/>
        </w:rPr>
        <w:t xml:space="preserve"> is currently available at </w:t>
      </w:r>
      <w:hyperlink r:id="rId13" w:history="1">
        <w:r w:rsidR="00530603" w:rsidRPr="003710E5">
          <w:rPr>
            <w:rStyle w:val="Hyperlink"/>
            <w:iCs/>
            <w:sz w:val="24"/>
            <w:szCs w:val="24"/>
          </w:rPr>
          <w:t>www.industry.gov.au</w:t>
        </w:r>
      </w:hyperlink>
      <w:r w:rsidR="00530603">
        <w:rPr>
          <w:iCs/>
          <w:sz w:val="24"/>
          <w:szCs w:val="24"/>
        </w:rPr>
        <w:t>, and in the event of changes the Administrative Arrangements Order</w:t>
      </w:r>
      <w:r w:rsidR="00D22067">
        <w:rPr>
          <w:iCs/>
          <w:sz w:val="24"/>
          <w:szCs w:val="24"/>
        </w:rPr>
        <w:t xml:space="preserve"> can be reasonably expected to be found on the website of the Department administered by the Minister responsible for the Act. </w:t>
      </w:r>
      <w:r w:rsidR="00530603">
        <w:rPr>
          <w:iCs/>
          <w:sz w:val="24"/>
          <w:szCs w:val="24"/>
        </w:rPr>
        <w:t xml:space="preserve">  </w:t>
      </w:r>
    </w:p>
    <w:p w14:paraId="313B690E" w14:textId="66E82860" w:rsidR="00C53714" w:rsidRDefault="00C53714" w:rsidP="00C53714">
      <w:pPr>
        <w:spacing w:line="240" w:lineRule="auto"/>
        <w:rPr>
          <w:iCs/>
          <w:sz w:val="24"/>
          <w:szCs w:val="24"/>
        </w:rPr>
      </w:pPr>
      <w:r>
        <w:rPr>
          <w:iCs/>
          <w:sz w:val="24"/>
          <w:szCs w:val="24"/>
        </w:rPr>
        <w:t xml:space="preserve">The fourth criteria </w:t>
      </w:r>
      <w:proofErr w:type="gramStart"/>
      <w:r>
        <w:rPr>
          <w:iCs/>
          <w:sz w:val="24"/>
          <w:szCs w:val="24"/>
        </w:rPr>
        <w:t>relates</w:t>
      </w:r>
      <w:proofErr w:type="gramEnd"/>
      <w:r>
        <w:rPr>
          <w:iCs/>
          <w:sz w:val="24"/>
          <w:szCs w:val="24"/>
        </w:rPr>
        <w:t xml:space="preserve"> to GIS (Geographic Information System) monitoring, such as the use of satellite imagery to monitor the progress of the plantings. </w:t>
      </w:r>
    </w:p>
    <w:p w14:paraId="7361EA07" w14:textId="7803A2A5" w:rsidR="00D22067" w:rsidRDefault="00D22067" w:rsidP="00C53714">
      <w:pPr>
        <w:spacing w:line="240" w:lineRule="auto"/>
        <w:rPr>
          <w:iCs/>
          <w:sz w:val="24"/>
          <w:szCs w:val="24"/>
        </w:rPr>
      </w:pPr>
      <w:r>
        <w:rPr>
          <w:iCs/>
          <w:sz w:val="24"/>
          <w:szCs w:val="24"/>
        </w:rPr>
        <w:lastRenderedPageBreak/>
        <w:t xml:space="preserve">There are no conditions for </w:t>
      </w:r>
      <w:r w:rsidRPr="00D22067">
        <w:rPr>
          <w:iCs/>
          <w:sz w:val="24"/>
          <w:szCs w:val="24"/>
        </w:rPr>
        <w:t xml:space="preserve">Low Risk Environmental Planting projects </w:t>
      </w:r>
      <w:r>
        <w:rPr>
          <w:iCs/>
          <w:sz w:val="24"/>
          <w:szCs w:val="24"/>
        </w:rPr>
        <w:t>set out in the instrument.</w:t>
      </w:r>
    </w:p>
    <w:p w14:paraId="76F6E031" w14:textId="44D0946E" w:rsidR="00D22067" w:rsidRPr="00185946" w:rsidRDefault="00D22067" w:rsidP="00C53714">
      <w:pPr>
        <w:spacing w:line="240" w:lineRule="auto"/>
        <w:rPr>
          <w:iCs/>
          <w:sz w:val="24"/>
          <w:szCs w:val="24"/>
        </w:rPr>
      </w:pPr>
      <w:r w:rsidRPr="006A0DE3">
        <w:rPr>
          <w:sz w:val="24"/>
          <w:szCs w:val="24"/>
        </w:rPr>
        <w:t>Low Risk Environmental Planting projects</w:t>
      </w:r>
      <w:r>
        <w:rPr>
          <w:sz w:val="24"/>
          <w:szCs w:val="24"/>
        </w:rPr>
        <w:t xml:space="preserve"> are subject to no audits. </w:t>
      </w:r>
    </w:p>
    <w:p w14:paraId="04DA9D1C" w14:textId="77777777" w:rsidR="008E5599" w:rsidRDefault="008E5599">
      <w:pPr>
        <w:spacing w:after="0" w:line="240" w:lineRule="auto"/>
        <w:rPr>
          <w:rFonts w:cs="Times New Roman"/>
          <w:b/>
          <w:bCs/>
          <w:sz w:val="24"/>
          <w:szCs w:val="24"/>
          <w:u w:val="single"/>
        </w:rPr>
      </w:pPr>
      <w:r>
        <w:rPr>
          <w:rFonts w:cs="Times New Roman"/>
          <w:b/>
          <w:bCs/>
          <w:sz w:val="24"/>
          <w:szCs w:val="24"/>
          <w:u w:val="single"/>
        </w:rPr>
        <w:br w:type="page"/>
      </w:r>
    </w:p>
    <w:p w14:paraId="375C391F" w14:textId="2FE1CF4E" w:rsidR="001E166D" w:rsidRPr="00B3113B" w:rsidRDefault="00DB2C98" w:rsidP="00414FA2">
      <w:pPr>
        <w:jc w:val="right"/>
        <w:rPr>
          <w:rFonts w:cs="Times New Roman"/>
          <w:b/>
          <w:bCs/>
          <w:sz w:val="24"/>
          <w:szCs w:val="24"/>
          <w:u w:val="single"/>
        </w:rPr>
      </w:pPr>
      <w:r w:rsidRPr="00B3113B">
        <w:rPr>
          <w:rFonts w:cs="Times New Roman"/>
          <w:b/>
          <w:bCs/>
          <w:sz w:val="24"/>
          <w:szCs w:val="24"/>
          <w:u w:val="single"/>
        </w:rPr>
        <w:lastRenderedPageBreak/>
        <w:t xml:space="preserve">ATTACHMENT </w:t>
      </w:r>
      <w:r w:rsidR="00923FA0" w:rsidRPr="00B3113B">
        <w:rPr>
          <w:rFonts w:cs="Times New Roman"/>
          <w:b/>
          <w:bCs/>
          <w:sz w:val="24"/>
          <w:szCs w:val="24"/>
          <w:u w:val="single"/>
        </w:rPr>
        <w:t>B</w:t>
      </w:r>
    </w:p>
    <w:p w14:paraId="680831ED" w14:textId="77777777" w:rsidR="002A5C89" w:rsidRPr="00717E6E" w:rsidRDefault="00FE61DD" w:rsidP="00D014ED">
      <w:pPr>
        <w:ind w:right="91"/>
        <w:jc w:val="center"/>
        <w:rPr>
          <w:sz w:val="24"/>
          <w:szCs w:val="24"/>
          <w:u w:val="single"/>
        </w:rPr>
      </w:pPr>
      <w:r w:rsidRPr="00717E6E">
        <w:rPr>
          <w:rFonts w:cs="Times New Roman"/>
          <w:b/>
          <w:bCs/>
          <w:sz w:val="24"/>
          <w:szCs w:val="24"/>
          <w:u w:val="single"/>
        </w:rPr>
        <w:t>Statement of Compatibility with Human Rights</w:t>
      </w:r>
    </w:p>
    <w:p w14:paraId="1D703EDF" w14:textId="77777777" w:rsidR="001E166D" w:rsidRPr="00717E6E" w:rsidRDefault="001E166D" w:rsidP="00D014ED">
      <w:pPr>
        <w:spacing w:before="120" w:after="120"/>
        <w:rPr>
          <w:rFonts w:cs="Times New Roman"/>
          <w:sz w:val="24"/>
          <w:szCs w:val="24"/>
        </w:rPr>
      </w:pPr>
      <w:r w:rsidRPr="00F62758">
        <w:rPr>
          <w:rFonts w:cs="Times New Roman"/>
          <w:sz w:val="24"/>
          <w:szCs w:val="24"/>
        </w:rPr>
        <w:t>Prepared in accordance with Part 3 of the</w:t>
      </w:r>
      <w:r w:rsidRPr="00717E6E">
        <w:rPr>
          <w:rFonts w:cs="Times New Roman"/>
          <w:i/>
          <w:iCs/>
          <w:sz w:val="24"/>
          <w:szCs w:val="24"/>
        </w:rPr>
        <w:t xml:space="preserve"> Human Rights (Parliamentary Scrutiny) Act 2011</w:t>
      </w:r>
    </w:p>
    <w:p w14:paraId="7628A875" w14:textId="790349CF" w:rsidR="00A3475F" w:rsidRPr="00717E6E" w:rsidRDefault="00A3475F" w:rsidP="00D014ED">
      <w:pPr>
        <w:spacing w:before="100" w:beforeAutospacing="1" w:after="100" w:afterAutospacing="1"/>
        <w:jc w:val="center"/>
        <w:rPr>
          <w:rFonts w:eastAsia="Times New Roman" w:cs="Times New Roman"/>
          <w:b/>
          <w:bCs/>
          <w:i/>
          <w:sz w:val="24"/>
          <w:szCs w:val="24"/>
          <w:lang w:eastAsia="en-AU"/>
        </w:rPr>
      </w:pPr>
      <w:r w:rsidRPr="00717E6E">
        <w:rPr>
          <w:rFonts w:eastAsia="Times New Roman" w:cs="Times New Roman"/>
          <w:b/>
          <w:bCs/>
          <w:i/>
          <w:sz w:val="24"/>
          <w:szCs w:val="24"/>
          <w:lang w:eastAsia="en-AU"/>
        </w:rPr>
        <w:t xml:space="preserve">Carbon Credits (Carbon Farming Initiative) </w:t>
      </w:r>
      <w:r w:rsidR="002744F7" w:rsidRPr="00717E6E">
        <w:rPr>
          <w:rFonts w:eastAsia="Times New Roman" w:cs="Times New Roman"/>
          <w:b/>
          <w:bCs/>
          <w:i/>
          <w:sz w:val="24"/>
          <w:szCs w:val="24"/>
          <w:lang w:eastAsia="en-AU"/>
        </w:rPr>
        <w:t xml:space="preserve">(Audit Thresholds) </w:t>
      </w:r>
      <w:r w:rsidR="007E524F" w:rsidRPr="00717E6E">
        <w:rPr>
          <w:rFonts w:eastAsia="Times New Roman" w:cs="Times New Roman"/>
          <w:b/>
          <w:bCs/>
          <w:i/>
          <w:sz w:val="24"/>
          <w:szCs w:val="24"/>
          <w:lang w:eastAsia="en-AU"/>
        </w:rPr>
        <w:t xml:space="preserve">Amendment </w:t>
      </w:r>
      <w:r w:rsidR="002744F7" w:rsidRPr="00717E6E">
        <w:rPr>
          <w:rFonts w:eastAsia="Times New Roman" w:cs="Times New Roman"/>
          <w:b/>
          <w:bCs/>
          <w:i/>
          <w:sz w:val="24"/>
          <w:szCs w:val="24"/>
          <w:lang w:eastAsia="en-AU"/>
        </w:rPr>
        <w:t xml:space="preserve">Instrument </w:t>
      </w:r>
      <w:r w:rsidR="007E524F" w:rsidRPr="00717E6E">
        <w:rPr>
          <w:rFonts w:eastAsia="Times New Roman" w:cs="Times New Roman"/>
          <w:b/>
          <w:bCs/>
          <w:i/>
          <w:sz w:val="24"/>
          <w:szCs w:val="24"/>
          <w:lang w:eastAsia="en-AU"/>
        </w:rPr>
        <w:t>2021</w:t>
      </w:r>
    </w:p>
    <w:p w14:paraId="10D37A3B" w14:textId="3228BFDE" w:rsidR="0028238B" w:rsidRPr="007131C2" w:rsidRDefault="00B74062" w:rsidP="00E021B7">
      <w:pPr>
        <w:pStyle w:val="base-text-paragraphnonumbers"/>
        <w:ind w:left="0"/>
        <w:rPr>
          <w:rFonts w:ascii="Calibri" w:hAnsi="Calibri"/>
          <w:sz w:val="24"/>
          <w:szCs w:val="24"/>
        </w:rPr>
      </w:pPr>
      <w:r w:rsidRPr="00717E6E">
        <w:rPr>
          <w:rFonts w:ascii="Calibri" w:hAnsi="Calibri"/>
          <w:i/>
          <w:iCs/>
          <w:sz w:val="24"/>
          <w:szCs w:val="24"/>
        </w:rPr>
        <w:t>The</w:t>
      </w:r>
      <w:r w:rsidRPr="00BB5F5E">
        <w:rPr>
          <w:rFonts w:ascii="Calibri" w:hAnsi="Calibri"/>
          <w:i/>
          <w:iCs/>
          <w:sz w:val="24"/>
          <w:szCs w:val="24"/>
        </w:rPr>
        <w:t xml:space="preserve"> </w:t>
      </w:r>
      <w:r w:rsidRPr="00717E6E">
        <w:rPr>
          <w:rFonts w:ascii="Calibri" w:hAnsi="Calibri"/>
          <w:i/>
          <w:iCs/>
          <w:sz w:val="24"/>
          <w:szCs w:val="24"/>
        </w:rPr>
        <w:t xml:space="preserve">Carbon Credits (Carbon Farming Initiative) </w:t>
      </w:r>
      <w:r w:rsidR="002744F7" w:rsidRPr="00717E6E">
        <w:rPr>
          <w:rFonts w:ascii="Calibri" w:hAnsi="Calibri"/>
          <w:i/>
          <w:iCs/>
          <w:sz w:val="24"/>
          <w:szCs w:val="24"/>
        </w:rPr>
        <w:t>(</w:t>
      </w:r>
      <w:r w:rsidRPr="00717E6E">
        <w:rPr>
          <w:rFonts w:ascii="Calibri" w:hAnsi="Calibri"/>
          <w:i/>
          <w:iCs/>
          <w:sz w:val="24"/>
          <w:szCs w:val="24"/>
        </w:rPr>
        <w:t>Audit Thresholds</w:t>
      </w:r>
      <w:r w:rsidR="002744F7" w:rsidRPr="00717E6E">
        <w:rPr>
          <w:rFonts w:ascii="Calibri" w:hAnsi="Calibri"/>
          <w:i/>
          <w:iCs/>
          <w:sz w:val="24"/>
          <w:szCs w:val="24"/>
        </w:rPr>
        <w:t>)</w:t>
      </w:r>
      <w:r w:rsidRPr="00717E6E">
        <w:rPr>
          <w:rFonts w:ascii="Calibri" w:hAnsi="Calibri"/>
          <w:i/>
          <w:iCs/>
          <w:sz w:val="24"/>
          <w:szCs w:val="24"/>
        </w:rPr>
        <w:t xml:space="preserve"> </w:t>
      </w:r>
      <w:r w:rsidR="007E524F" w:rsidRPr="00717E6E">
        <w:rPr>
          <w:rFonts w:ascii="Calibri" w:hAnsi="Calibri"/>
          <w:i/>
          <w:iCs/>
          <w:sz w:val="24"/>
          <w:szCs w:val="24"/>
        </w:rPr>
        <w:t xml:space="preserve">Amendment </w:t>
      </w:r>
      <w:r w:rsidRPr="00717E6E">
        <w:rPr>
          <w:rFonts w:ascii="Calibri" w:hAnsi="Calibri"/>
          <w:i/>
          <w:iCs/>
          <w:sz w:val="24"/>
          <w:szCs w:val="24"/>
        </w:rPr>
        <w:t xml:space="preserve">Instrument </w:t>
      </w:r>
      <w:r w:rsidR="007E524F" w:rsidRPr="00717E6E">
        <w:rPr>
          <w:rFonts w:ascii="Calibri" w:hAnsi="Calibri"/>
          <w:i/>
          <w:iCs/>
          <w:sz w:val="24"/>
          <w:szCs w:val="24"/>
        </w:rPr>
        <w:t>2021</w:t>
      </w:r>
      <w:r w:rsidR="007E524F" w:rsidRPr="007131C2">
        <w:rPr>
          <w:rFonts w:ascii="Calibri" w:hAnsi="Calibri"/>
          <w:iCs/>
          <w:sz w:val="24"/>
          <w:szCs w:val="24"/>
        </w:rPr>
        <w:t xml:space="preserve"> </w:t>
      </w:r>
      <w:r w:rsidR="00541931" w:rsidRPr="007131C2">
        <w:rPr>
          <w:rFonts w:ascii="Calibri" w:hAnsi="Calibri"/>
          <w:iCs/>
          <w:sz w:val="24"/>
          <w:szCs w:val="24"/>
        </w:rPr>
        <w:t>(</w:t>
      </w:r>
      <w:r w:rsidR="00541931" w:rsidRPr="007131C2">
        <w:rPr>
          <w:rFonts w:ascii="Calibri" w:hAnsi="Calibri"/>
          <w:sz w:val="24"/>
          <w:szCs w:val="24"/>
        </w:rPr>
        <w:t xml:space="preserve">the instrument) </w:t>
      </w:r>
      <w:r w:rsidR="001E166D" w:rsidRPr="007131C2">
        <w:rPr>
          <w:rFonts w:ascii="Calibri" w:hAnsi="Calibri"/>
          <w:sz w:val="24"/>
          <w:szCs w:val="24"/>
        </w:rPr>
        <w:t xml:space="preserve">is compatible with the human rights and freedoms recognised or declared in the international instruments listed in section 3 of the </w:t>
      </w:r>
      <w:r w:rsidR="001E166D" w:rsidRPr="007131C2">
        <w:rPr>
          <w:rFonts w:ascii="Calibri" w:hAnsi="Calibri"/>
          <w:i/>
          <w:sz w:val="24"/>
          <w:szCs w:val="24"/>
        </w:rPr>
        <w:t>Human Rights (Parliamentary Scrutiny) Act 2011</w:t>
      </w:r>
      <w:r w:rsidR="001E166D" w:rsidRPr="007131C2">
        <w:rPr>
          <w:rFonts w:ascii="Calibri" w:hAnsi="Calibri"/>
          <w:sz w:val="24"/>
          <w:szCs w:val="24"/>
        </w:rPr>
        <w:t>.</w:t>
      </w:r>
    </w:p>
    <w:p w14:paraId="1C04E84D" w14:textId="77777777" w:rsidR="001E166D" w:rsidRPr="007131C2" w:rsidRDefault="001E166D" w:rsidP="00C315C4">
      <w:pPr>
        <w:pStyle w:val="Heading2"/>
        <w:ind w:left="855" w:hanging="855"/>
        <w:rPr>
          <w:rFonts w:ascii="Calibri" w:hAnsi="Calibri"/>
          <w:b/>
          <w:bCs/>
        </w:rPr>
      </w:pPr>
      <w:r w:rsidRPr="007131C2">
        <w:rPr>
          <w:rFonts w:ascii="Calibri" w:hAnsi="Calibri"/>
          <w:b/>
          <w:bCs/>
        </w:rPr>
        <w:t>Overview of the Legislative Instrument</w:t>
      </w:r>
    </w:p>
    <w:p w14:paraId="035094AA" w14:textId="605577EF" w:rsidR="00A3475F" w:rsidRPr="007131C2" w:rsidRDefault="00A3475F" w:rsidP="00671944">
      <w:pPr>
        <w:pStyle w:val="base-text-paragraphnonumbers"/>
        <w:spacing w:after="200"/>
        <w:ind w:left="0"/>
        <w:rPr>
          <w:rFonts w:ascii="Calibri" w:hAnsi="Calibri"/>
          <w:sz w:val="24"/>
          <w:szCs w:val="24"/>
        </w:rPr>
      </w:pPr>
      <w:r w:rsidRPr="007131C2">
        <w:rPr>
          <w:rFonts w:ascii="Calibri" w:hAnsi="Calibri"/>
          <w:sz w:val="24"/>
          <w:szCs w:val="24"/>
        </w:rPr>
        <w:t xml:space="preserve">The </w:t>
      </w:r>
      <w:r w:rsidRPr="007131C2">
        <w:rPr>
          <w:rFonts w:ascii="Calibri" w:hAnsi="Calibri"/>
          <w:i/>
          <w:iCs/>
          <w:sz w:val="24"/>
          <w:szCs w:val="24"/>
        </w:rPr>
        <w:t>Carbon Credits (Carbon Farming Initiative) Act 2011</w:t>
      </w:r>
      <w:r w:rsidRPr="007131C2">
        <w:rPr>
          <w:rFonts w:ascii="Calibri" w:hAnsi="Calibri"/>
          <w:sz w:val="24"/>
          <w:szCs w:val="24"/>
        </w:rPr>
        <w:t xml:space="preserve"> (</w:t>
      </w:r>
      <w:r w:rsidR="007E524F" w:rsidRPr="007131C2">
        <w:rPr>
          <w:rFonts w:ascii="Calibri" w:hAnsi="Calibri"/>
          <w:sz w:val="24"/>
          <w:szCs w:val="24"/>
        </w:rPr>
        <w:t xml:space="preserve">the </w:t>
      </w:r>
      <w:r w:rsidRPr="007131C2">
        <w:rPr>
          <w:rFonts w:ascii="Calibri" w:hAnsi="Calibri"/>
          <w:sz w:val="24"/>
          <w:szCs w:val="24"/>
        </w:rPr>
        <w:t>Act) enables the crediting of greenhouse gas abatement from emissions reduction activities across Australia. Greenhouse gas abatement is achieved either by reducing or avoiding emissions, or by removing carbon from the atmosphere and storing it.</w:t>
      </w:r>
    </w:p>
    <w:p w14:paraId="4563E432" w14:textId="6A6F2C42" w:rsidR="00671944" w:rsidRPr="00AA47D9" w:rsidRDefault="006A0256" w:rsidP="00671944">
      <w:pPr>
        <w:spacing w:line="240" w:lineRule="auto"/>
        <w:rPr>
          <w:rFonts w:eastAsia="Times New Roman"/>
          <w:sz w:val="24"/>
          <w:szCs w:val="24"/>
          <w:lang w:eastAsia="en-AU"/>
        </w:rPr>
      </w:pPr>
      <w:r w:rsidRPr="00717E6E">
        <w:rPr>
          <w:iCs/>
          <w:sz w:val="24"/>
          <w:szCs w:val="24"/>
        </w:rPr>
        <w:t>The</w:t>
      </w:r>
      <w:r w:rsidRPr="00717E6E">
        <w:rPr>
          <w:i/>
          <w:sz w:val="24"/>
          <w:szCs w:val="24"/>
        </w:rPr>
        <w:t xml:space="preserve"> </w:t>
      </w:r>
      <w:r w:rsidR="00B74062" w:rsidRPr="00717E6E">
        <w:rPr>
          <w:i/>
          <w:sz w:val="24"/>
          <w:szCs w:val="24"/>
        </w:rPr>
        <w:t>Carbon Credits (Carbon Farming Initiative) Rule 2015</w:t>
      </w:r>
      <w:r w:rsidR="00B74062" w:rsidRPr="009B7D1C">
        <w:rPr>
          <w:i/>
          <w:sz w:val="24"/>
          <w:szCs w:val="24"/>
        </w:rPr>
        <w:t xml:space="preserve"> </w:t>
      </w:r>
      <w:r w:rsidR="00691F3D" w:rsidRPr="00AA47D9">
        <w:rPr>
          <w:rFonts w:eastAsia="Times New Roman"/>
          <w:sz w:val="24"/>
          <w:szCs w:val="24"/>
          <w:lang w:eastAsia="en-AU"/>
        </w:rPr>
        <w:t xml:space="preserve">details additional administrative procedures under the Act, including information and audit requirements for project applications and reports, the fit and proper person test for participants, procedures for parts of the carbon abatement purchasing process, the length of reporting periods, and notification and record-keeping requirements. </w:t>
      </w:r>
      <w:r w:rsidR="003004ED" w:rsidRPr="00AA47D9">
        <w:rPr>
          <w:rFonts w:eastAsia="Times New Roman"/>
          <w:sz w:val="24"/>
          <w:szCs w:val="24"/>
          <w:lang w:eastAsia="en-AU"/>
        </w:rPr>
        <w:t xml:space="preserve">It also sets out certain audit requirements for eligible offsets </w:t>
      </w:r>
      <w:proofErr w:type="gramStart"/>
      <w:r w:rsidR="003004ED" w:rsidRPr="00AA47D9">
        <w:rPr>
          <w:rFonts w:eastAsia="Times New Roman"/>
          <w:sz w:val="24"/>
          <w:szCs w:val="24"/>
          <w:lang w:eastAsia="en-AU"/>
        </w:rPr>
        <w:t>requirements, and</w:t>
      </w:r>
      <w:proofErr w:type="gramEnd"/>
      <w:r w:rsidR="003004ED" w:rsidRPr="00AA47D9">
        <w:rPr>
          <w:rFonts w:eastAsia="Times New Roman"/>
          <w:sz w:val="24"/>
          <w:szCs w:val="24"/>
          <w:lang w:eastAsia="en-AU"/>
        </w:rPr>
        <w:t xml:space="preserve"> provides for a head of power for the Clean Energy Regulator to create an audit thresholds instrument discussed below. </w:t>
      </w:r>
    </w:p>
    <w:p w14:paraId="4E4E5F03" w14:textId="0190B7C0" w:rsidR="00B74062" w:rsidRPr="007131C2" w:rsidRDefault="00E021B7" w:rsidP="00D014ED">
      <w:pPr>
        <w:spacing w:line="240" w:lineRule="auto"/>
        <w:rPr>
          <w:sz w:val="24"/>
          <w:szCs w:val="24"/>
        </w:rPr>
      </w:pPr>
      <w:r w:rsidRPr="00AA47D9">
        <w:rPr>
          <w:rFonts w:eastAsia="Times New Roman"/>
          <w:sz w:val="24"/>
          <w:szCs w:val="24"/>
          <w:lang w:eastAsia="en-AU"/>
        </w:rPr>
        <w:t xml:space="preserve">Amongst other </w:t>
      </w:r>
      <w:r w:rsidR="00145908" w:rsidRPr="00AA47D9">
        <w:rPr>
          <w:rFonts w:eastAsia="Times New Roman"/>
          <w:sz w:val="24"/>
          <w:szCs w:val="24"/>
          <w:lang w:eastAsia="en-AU"/>
        </w:rPr>
        <w:t>matters</w:t>
      </w:r>
      <w:r w:rsidRPr="00AA47D9">
        <w:rPr>
          <w:rFonts w:eastAsia="Times New Roman"/>
          <w:sz w:val="24"/>
          <w:szCs w:val="24"/>
          <w:lang w:eastAsia="en-AU"/>
        </w:rPr>
        <w:t>, t</w:t>
      </w:r>
      <w:r w:rsidR="00B74062" w:rsidRPr="00D014ED">
        <w:rPr>
          <w:sz w:val="24"/>
          <w:szCs w:val="24"/>
        </w:rPr>
        <w:t>he</w:t>
      </w:r>
      <w:r w:rsidR="00B74062" w:rsidRPr="00717E6E">
        <w:rPr>
          <w:i/>
          <w:iCs/>
          <w:sz w:val="24"/>
          <w:szCs w:val="24"/>
        </w:rPr>
        <w:t xml:space="preserve"> Carbon Credits (Carbon Farming Initiative) </w:t>
      </w:r>
      <w:r w:rsidR="002744F7" w:rsidRPr="00717E6E">
        <w:rPr>
          <w:i/>
          <w:iCs/>
          <w:sz w:val="24"/>
          <w:szCs w:val="24"/>
        </w:rPr>
        <w:t>(</w:t>
      </w:r>
      <w:r w:rsidR="00B74062" w:rsidRPr="00717E6E">
        <w:rPr>
          <w:i/>
          <w:iCs/>
          <w:sz w:val="24"/>
          <w:szCs w:val="24"/>
        </w:rPr>
        <w:t>Audit Thresholds</w:t>
      </w:r>
      <w:r w:rsidR="002744F7" w:rsidRPr="00717E6E">
        <w:rPr>
          <w:i/>
          <w:iCs/>
          <w:sz w:val="24"/>
          <w:szCs w:val="24"/>
        </w:rPr>
        <w:t>)</w:t>
      </w:r>
      <w:r w:rsidR="00B74062" w:rsidRPr="00717E6E">
        <w:rPr>
          <w:i/>
          <w:iCs/>
          <w:sz w:val="24"/>
          <w:szCs w:val="24"/>
        </w:rPr>
        <w:t xml:space="preserve"> Instrument 2015</w:t>
      </w:r>
      <w:r w:rsidR="00B74062" w:rsidRPr="007131C2">
        <w:rPr>
          <w:sz w:val="24"/>
          <w:szCs w:val="24"/>
        </w:rPr>
        <w:t xml:space="preserve"> (</w:t>
      </w:r>
      <w:r w:rsidR="000164CF" w:rsidRPr="007131C2">
        <w:rPr>
          <w:sz w:val="24"/>
          <w:szCs w:val="24"/>
        </w:rPr>
        <w:t xml:space="preserve">the 2015 </w:t>
      </w:r>
      <w:r w:rsidR="00B74062" w:rsidRPr="007131C2">
        <w:rPr>
          <w:sz w:val="24"/>
          <w:szCs w:val="24"/>
        </w:rPr>
        <w:t xml:space="preserve">Audit Thresholds Instrument) details the </w:t>
      </w:r>
      <w:r>
        <w:rPr>
          <w:sz w:val="24"/>
          <w:szCs w:val="24"/>
        </w:rPr>
        <w:t xml:space="preserve">number of audits to which an eligible offsets project is subject. </w:t>
      </w:r>
    </w:p>
    <w:p w14:paraId="61648CFC" w14:textId="4601DE61" w:rsidR="007E524F" w:rsidRPr="00AA47D9" w:rsidRDefault="007E524F" w:rsidP="00671944">
      <w:pPr>
        <w:pStyle w:val="base-text-paragraphnonumbers"/>
        <w:spacing w:after="200"/>
        <w:ind w:left="0"/>
        <w:rPr>
          <w:rFonts w:ascii="Calibri" w:hAnsi="Calibri" w:cs="Calibri"/>
          <w:sz w:val="24"/>
          <w:szCs w:val="24"/>
        </w:rPr>
      </w:pPr>
      <w:r w:rsidRPr="00AA47D9">
        <w:rPr>
          <w:rFonts w:ascii="Calibri" w:hAnsi="Calibri" w:cs="Calibri"/>
          <w:sz w:val="24"/>
          <w:szCs w:val="24"/>
        </w:rPr>
        <w:t>The</w:t>
      </w:r>
      <w:r w:rsidR="00541931" w:rsidRPr="00AA47D9">
        <w:rPr>
          <w:rFonts w:ascii="Calibri" w:hAnsi="Calibri" w:cs="Calibri"/>
          <w:sz w:val="24"/>
          <w:szCs w:val="24"/>
        </w:rPr>
        <w:t xml:space="preserve"> instrument</w:t>
      </w:r>
      <w:r w:rsidRPr="00AA47D9">
        <w:rPr>
          <w:rFonts w:ascii="Calibri" w:hAnsi="Calibri" w:cs="Calibri"/>
          <w:sz w:val="24"/>
          <w:szCs w:val="24"/>
        </w:rPr>
        <w:t xml:space="preserve"> amends the </w:t>
      </w:r>
      <w:r w:rsidR="000164CF" w:rsidRPr="00AA47D9">
        <w:rPr>
          <w:rFonts w:ascii="Calibri" w:hAnsi="Calibri" w:cs="Calibri"/>
          <w:sz w:val="24"/>
          <w:szCs w:val="24"/>
        </w:rPr>
        <w:t xml:space="preserve">2015 </w:t>
      </w:r>
      <w:r w:rsidRPr="00AA47D9">
        <w:rPr>
          <w:rFonts w:ascii="Calibri" w:hAnsi="Calibri" w:cs="Calibri"/>
          <w:sz w:val="24"/>
          <w:szCs w:val="24"/>
        </w:rPr>
        <w:t xml:space="preserve">Audit Thresholds Instrument </w:t>
      </w:r>
      <w:r w:rsidR="009D1190" w:rsidRPr="00AA47D9">
        <w:rPr>
          <w:rFonts w:ascii="Calibri" w:hAnsi="Calibri" w:cs="Calibri"/>
          <w:sz w:val="24"/>
          <w:szCs w:val="24"/>
        </w:rPr>
        <w:t>by</w:t>
      </w:r>
      <w:r w:rsidR="00B056D4" w:rsidRPr="00AA47D9">
        <w:rPr>
          <w:rFonts w:ascii="Calibri" w:hAnsi="Calibri" w:cs="Calibri"/>
          <w:sz w:val="24"/>
          <w:szCs w:val="24"/>
        </w:rPr>
        <w:t xml:space="preserve"> </w:t>
      </w:r>
      <w:r w:rsidR="00E021B7" w:rsidRPr="00AA47D9">
        <w:rPr>
          <w:rFonts w:ascii="Calibri" w:hAnsi="Calibri" w:cs="Calibri"/>
          <w:sz w:val="24"/>
          <w:szCs w:val="24"/>
        </w:rPr>
        <w:t xml:space="preserve">creating a class of “alternative assurance </w:t>
      </w:r>
      <w:r w:rsidR="003004ED" w:rsidRPr="00AA47D9">
        <w:rPr>
          <w:rFonts w:ascii="Calibri" w:hAnsi="Calibri" w:cs="Calibri"/>
          <w:sz w:val="24"/>
          <w:szCs w:val="24"/>
        </w:rPr>
        <w:t>projects” that are subject to different audit requirements than other eligible offsets projects with the same forward abatement estimate.</w:t>
      </w:r>
      <w:r w:rsidR="009D1190" w:rsidRPr="00AA47D9">
        <w:rPr>
          <w:rFonts w:ascii="Calibri" w:hAnsi="Calibri" w:cs="Calibri"/>
          <w:sz w:val="24"/>
          <w:szCs w:val="24"/>
        </w:rPr>
        <w:t xml:space="preserve"> </w:t>
      </w:r>
    </w:p>
    <w:p w14:paraId="6917416A" w14:textId="77777777" w:rsidR="00DE0F61" w:rsidRPr="00AA47D9" w:rsidRDefault="00DE0F61" w:rsidP="00D014ED">
      <w:pPr>
        <w:pStyle w:val="Heading2"/>
        <w:ind w:left="855" w:hanging="855"/>
        <w:rPr>
          <w:rFonts w:ascii="Calibri" w:hAnsi="Calibri" w:cs="Calibri"/>
          <w:b/>
        </w:rPr>
      </w:pPr>
      <w:r w:rsidRPr="00AA47D9">
        <w:rPr>
          <w:rFonts w:ascii="Calibri" w:hAnsi="Calibri" w:cs="Calibri"/>
          <w:b/>
        </w:rPr>
        <w:t>Human rights implications</w:t>
      </w:r>
    </w:p>
    <w:p w14:paraId="3C356E07" w14:textId="3AE9420F" w:rsidR="00DE0F61" w:rsidRPr="00AA47D9" w:rsidRDefault="00DE0F61" w:rsidP="00DE0F61">
      <w:pPr>
        <w:spacing w:before="120" w:after="120" w:line="240" w:lineRule="auto"/>
        <w:rPr>
          <w:rFonts w:eastAsiaTheme="minorHAnsi"/>
          <w:sz w:val="24"/>
          <w:szCs w:val="24"/>
        </w:rPr>
      </w:pPr>
      <w:r w:rsidRPr="00AA47D9">
        <w:rPr>
          <w:sz w:val="24"/>
          <w:szCs w:val="24"/>
        </w:rPr>
        <w:t>Th</w:t>
      </w:r>
      <w:r w:rsidR="003004ED" w:rsidRPr="00AA47D9">
        <w:rPr>
          <w:sz w:val="24"/>
          <w:szCs w:val="24"/>
        </w:rPr>
        <w:t xml:space="preserve">e instrument </w:t>
      </w:r>
      <w:r w:rsidRPr="00AA47D9">
        <w:rPr>
          <w:sz w:val="24"/>
          <w:szCs w:val="24"/>
        </w:rPr>
        <w:t>does not engage any of the applicable rights or freedoms.</w:t>
      </w:r>
    </w:p>
    <w:p w14:paraId="2F9FC6CA" w14:textId="77777777" w:rsidR="003524D3" w:rsidRPr="00AA47D9" w:rsidRDefault="00040EFA" w:rsidP="00B74062">
      <w:pPr>
        <w:pStyle w:val="Heading2"/>
        <w:ind w:left="855" w:hanging="855"/>
        <w:rPr>
          <w:rFonts w:ascii="Calibri" w:hAnsi="Calibri" w:cs="Calibri"/>
          <w:b/>
        </w:rPr>
      </w:pPr>
      <w:r w:rsidRPr="00AA47D9">
        <w:rPr>
          <w:rFonts w:ascii="Calibri" w:hAnsi="Calibri" w:cs="Calibri"/>
          <w:b/>
        </w:rPr>
        <w:t>Conclusion</w:t>
      </w:r>
    </w:p>
    <w:p w14:paraId="6CE53067" w14:textId="79C6BF2A" w:rsidR="00DE0F61" w:rsidRPr="00AA47D9" w:rsidRDefault="003524D3" w:rsidP="00DE0F61">
      <w:pPr>
        <w:spacing w:before="120" w:after="120" w:line="240" w:lineRule="auto"/>
        <w:rPr>
          <w:sz w:val="24"/>
          <w:szCs w:val="24"/>
        </w:rPr>
      </w:pPr>
      <w:r w:rsidRPr="007131C2">
        <w:rPr>
          <w:sz w:val="24"/>
          <w:szCs w:val="24"/>
        </w:rPr>
        <w:t xml:space="preserve">The </w:t>
      </w:r>
      <w:r w:rsidR="00541931" w:rsidRPr="007131C2">
        <w:rPr>
          <w:sz w:val="24"/>
          <w:szCs w:val="24"/>
        </w:rPr>
        <w:t xml:space="preserve">instrument </w:t>
      </w:r>
      <w:r w:rsidR="00DE0F61" w:rsidRPr="00AA47D9">
        <w:rPr>
          <w:sz w:val="24"/>
          <w:szCs w:val="24"/>
        </w:rPr>
        <w:t>is compatible with human rights as it does not raise any human rights issues.</w:t>
      </w:r>
    </w:p>
    <w:p w14:paraId="71D50E14" w14:textId="241D56EB" w:rsidR="00CB257A" w:rsidRPr="00640C29" w:rsidRDefault="00CB257A" w:rsidP="00640C29">
      <w:pPr>
        <w:pStyle w:val="base-text-paragraphnonumbers"/>
        <w:spacing w:after="200"/>
        <w:ind w:left="0"/>
        <w:rPr>
          <w:rFonts w:ascii="Calibri" w:hAnsi="Calibri"/>
          <w:sz w:val="24"/>
          <w:szCs w:val="24"/>
        </w:rPr>
      </w:pPr>
    </w:p>
    <w:sectPr w:rsidR="00CB257A" w:rsidRPr="00640C29" w:rsidSect="00D7004F">
      <w:headerReference w:type="default" r:id="rId14"/>
      <w:footerReference w:type="default" r:id="rId15"/>
      <w:headerReference w:type="first" r:id="rId16"/>
      <w:foot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3B3D3" w14:textId="77777777" w:rsidR="00E45A9D" w:rsidRDefault="00E45A9D" w:rsidP="004958F6">
      <w:pPr>
        <w:spacing w:after="0" w:line="240" w:lineRule="auto"/>
      </w:pPr>
      <w:r>
        <w:separator/>
      </w:r>
    </w:p>
  </w:endnote>
  <w:endnote w:type="continuationSeparator" w:id="0">
    <w:p w14:paraId="3384870B" w14:textId="77777777" w:rsidR="00E45A9D" w:rsidRDefault="00E45A9D" w:rsidP="004958F6">
      <w:pPr>
        <w:spacing w:after="0" w:line="240" w:lineRule="auto"/>
      </w:pPr>
      <w:r>
        <w:continuationSeparator/>
      </w:r>
    </w:p>
  </w:endnote>
  <w:endnote w:type="continuationNotice" w:id="1">
    <w:p w14:paraId="16804DE5" w14:textId="77777777" w:rsidR="00E45A9D" w:rsidRDefault="00E45A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14A4E" w14:textId="77777777" w:rsidR="00D20919" w:rsidRDefault="00D20919">
    <w:pPr>
      <w:pStyle w:val="Footer"/>
      <w:jc w:val="center"/>
    </w:pPr>
    <w:r>
      <w:fldChar w:fldCharType="begin"/>
    </w:r>
    <w:r>
      <w:instrText xml:space="preserve"> PAGE   \* MERGEFORMAT </w:instrText>
    </w:r>
    <w:r>
      <w:fldChar w:fldCharType="separate"/>
    </w:r>
    <w:r>
      <w:rPr>
        <w:noProof/>
      </w:rPr>
      <w:t>5</w:t>
    </w:r>
    <w:r>
      <w:rPr>
        <w:noProof/>
      </w:rPr>
      <w:fldChar w:fldCharType="end"/>
    </w:r>
  </w:p>
  <w:p w14:paraId="03DC917E" w14:textId="77777777" w:rsidR="00D20919" w:rsidRDefault="00D20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E0066" w14:textId="77777777" w:rsidR="00D20919" w:rsidRDefault="00D20919">
    <w:pPr>
      <w:pStyle w:val="Footer"/>
      <w:jc w:val="center"/>
    </w:pPr>
  </w:p>
  <w:p w14:paraId="21022572" w14:textId="77777777" w:rsidR="00D20919" w:rsidRDefault="00D20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B7265" w14:textId="77777777" w:rsidR="00E45A9D" w:rsidRDefault="00E45A9D" w:rsidP="004958F6">
      <w:pPr>
        <w:spacing w:after="0" w:line="240" w:lineRule="auto"/>
      </w:pPr>
      <w:r>
        <w:separator/>
      </w:r>
    </w:p>
  </w:footnote>
  <w:footnote w:type="continuationSeparator" w:id="0">
    <w:p w14:paraId="0DA335E4" w14:textId="77777777" w:rsidR="00E45A9D" w:rsidRDefault="00E45A9D" w:rsidP="004958F6">
      <w:pPr>
        <w:spacing w:after="0" w:line="240" w:lineRule="auto"/>
      </w:pPr>
      <w:r>
        <w:continuationSeparator/>
      </w:r>
    </w:p>
  </w:footnote>
  <w:footnote w:type="continuationNotice" w:id="1">
    <w:p w14:paraId="2C563C29" w14:textId="77777777" w:rsidR="00E45A9D" w:rsidRDefault="00E45A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7C3E3" w14:textId="77777777" w:rsidR="00D20919" w:rsidRDefault="00D20919">
    <w:pPr>
      <w:pStyle w:val="Header"/>
    </w:pPr>
  </w:p>
  <w:p w14:paraId="2DF2C796" w14:textId="77777777" w:rsidR="00D20919" w:rsidRDefault="00D209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292A1" w14:textId="3D59DA18" w:rsidR="00D20919" w:rsidRDefault="00D20919" w:rsidP="005A255D">
    <w:pPr>
      <w:pStyle w:val="Header"/>
      <w:jc w:val="center"/>
    </w:pPr>
    <w:r w:rsidRPr="005A255D">
      <w:rPr>
        <w:noProof/>
      </w:rPr>
      <w:drawing>
        <wp:inline distT="0" distB="0" distL="0" distR="0" wp14:anchorId="155C78F8" wp14:editId="41E65BBB">
          <wp:extent cx="1559560" cy="948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9560" cy="9480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81933"/>
    <w:multiLevelType w:val="hybridMultilevel"/>
    <w:tmpl w:val="642421DA"/>
    <w:lvl w:ilvl="0" w:tplc="A7D4ED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08039F"/>
    <w:multiLevelType w:val="hybridMultilevel"/>
    <w:tmpl w:val="197C2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C328B7"/>
    <w:multiLevelType w:val="hybridMultilevel"/>
    <w:tmpl w:val="0A74490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7AE345E"/>
    <w:multiLevelType w:val="hybridMultilevel"/>
    <w:tmpl w:val="FFDE6F06"/>
    <w:lvl w:ilvl="0" w:tplc="7DEE79D2">
      <w:start w:val="1"/>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7B22405"/>
    <w:multiLevelType w:val="hybridMultilevel"/>
    <w:tmpl w:val="3D766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79767A"/>
    <w:multiLevelType w:val="hybridMultilevel"/>
    <w:tmpl w:val="E8AA4000"/>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1637"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6" w15:restartNumberingAfterBreak="0">
    <w:nsid w:val="3BD172C9"/>
    <w:multiLevelType w:val="hybridMultilevel"/>
    <w:tmpl w:val="5EC6490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856F54"/>
    <w:multiLevelType w:val="hybridMultilevel"/>
    <w:tmpl w:val="7346C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E72448"/>
    <w:multiLevelType w:val="hybridMultilevel"/>
    <w:tmpl w:val="1AD0206C"/>
    <w:lvl w:ilvl="0" w:tplc="61F681E0">
      <w:start w:val="1"/>
      <w:numFmt w:val="bullet"/>
      <w:lvlText w:val=""/>
      <w:lvlJc w:val="left"/>
      <w:pPr>
        <w:ind w:left="720" w:hanging="360"/>
      </w:pPr>
      <w:rPr>
        <w:rFonts w:ascii="Symbol" w:hAnsi="Symbol" w:cs="Symbol" w:hint="default"/>
      </w:rPr>
    </w:lvl>
    <w:lvl w:ilvl="1" w:tplc="ED24037E">
      <w:start w:val="1"/>
      <w:numFmt w:val="bullet"/>
      <w:lvlText w:val="o"/>
      <w:lvlJc w:val="left"/>
      <w:pPr>
        <w:ind w:left="1440" w:hanging="360"/>
      </w:pPr>
      <w:rPr>
        <w:rFonts w:ascii="Courier New" w:hAnsi="Courier New" w:cs="Courier New" w:hint="default"/>
      </w:rPr>
    </w:lvl>
    <w:lvl w:ilvl="2" w:tplc="3FD8BEAC">
      <w:start w:val="1"/>
      <w:numFmt w:val="bullet"/>
      <w:lvlText w:val=""/>
      <w:lvlJc w:val="left"/>
      <w:pPr>
        <w:ind w:left="2160" w:hanging="360"/>
      </w:pPr>
      <w:rPr>
        <w:rFonts w:ascii="Wingdings" w:hAnsi="Wingdings" w:cs="Wingdings" w:hint="default"/>
      </w:rPr>
    </w:lvl>
    <w:lvl w:ilvl="3" w:tplc="81481284">
      <w:start w:val="1"/>
      <w:numFmt w:val="bullet"/>
      <w:lvlText w:val=""/>
      <w:lvlJc w:val="left"/>
      <w:pPr>
        <w:ind w:left="2880" w:hanging="360"/>
      </w:pPr>
      <w:rPr>
        <w:rFonts w:ascii="Symbol" w:hAnsi="Symbol" w:cs="Symbol" w:hint="default"/>
      </w:rPr>
    </w:lvl>
    <w:lvl w:ilvl="4" w:tplc="C73E1E94">
      <w:start w:val="1"/>
      <w:numFmt w:val="bullet"/>
      <w:lvlText w:val="o"/>
      <w:lvlJc w:val="left"/>
      <w:pPr>
        <w:ind w:left="3600" w:hanging="360"/>
      </w:pPr>
      <w:rPr>
        <w:rFonts w:ascii="Courier New" w:hAnsi="Courier New" w:cs="Courier New" w:hint="default"/>
      </w:rPr>
    </w:lvl>
    <w:lvl w:ilvl="5" w:tplc="71E261FA">
      <w:start w:val="1"/>
      <w:numFmt w:val="bullet"/>
      <w:lvlText w:val=""/>
      <w:lvlJc w:val="left"/>
      <w:pPr>
        <w:ind w:left="4320" w:hanging="360"/>
      </w:pPr>
      <w:rPr>
        <w:rFonts w:ascii="Wingdings" w:hAnsi="Wingdings" w:cs="Wingdings" w:hint="default"/>
      </w:rPr>
    </w:lvl>
    <w:lvl w:ilvl="6" w:tplc="354E82B8">
      <w:start w:val="1"/>
      <w:numFmt w:val="bullet"/>
      <w:lvlText w:val=""/>
      <w:lvlJc w:val="left"/>
      <w:pPr>
        <w:ind w:left="5040" w:hanging="360"/>
      </w:pPr>
      <w:rPr>
        <w:rFonts w:ascii="Symbol" w:hAnsi="Symbol" w:cs="Symbol" w:hint="default"/>
      </w:rPr>
    </w:lvl>
    <w:lvl w:ilvl="7" w:tplc="2D928CE2">
      <w:start w:val="1"/>
      <w:numFmt w:val="bullet"/>
      <w:lvlText w:val="o"/>
      <w:lvlJc w:val="left"/>
      <w:pPr>
        <w:ind w:left="5760" w:hanging="360"/>
      </w:pPr>
      <w:rPr>
        <w:rFonts w:ascii="Courier New" w:hAnsi="Courier New" w:cs="Courier New" w:hint="default"/>
      </w:rPr>
    </w:lvl>
    <w:lvl w:ilvl="8" w:tplc="2E68971C">
      <w:start w:val="1"/>
      <w:numFmt w:val="bullet"/>
      <w:lvlText w:val=""/>
      <w:lvlJc w:val="left"/>
      <w:pPr>
        <w:ind w:left="6480" w:hanging="360"/>
      </w:pPr>
      <w:rPr>
        <w:rFonts w:ascii="Wingdings" w:hAnsi="Wingdings" w:cs="Wingdings" w:hint="default"/>
      </w:rPr>
    </w:lvl>
  </w:abstractNum>
  <w:abstractNum w:abstractNumId="9" w15:restartNumberingAfterBreak="0">
    <w:nsid w:val="3D714D4B"/>
    <w:multiLevelType w:val="multilevel"/>
    <w:tmpl w:val="484032EC"/>
    <w:styleLink w:val="ChapterList"/>
    <w:lvl w:ilvl="0">
      <w:start w:val="1"/>
      <w:numFmt w:val="decimal"/>
      <w:pStyle w:val="ChapterHeading"/>
      <w:lvlText w:val="Chapter %1"/>
      <w:lvlJc w:val="left"/>
      <w:pPr>
        <w:tabs>
          <w:tab w:val="num" w:pos="1134"/>
        </w:tabs>
      </w:pPr>
      <w:rPr>
        <w:rFonts w:hint="default"/>
      </w:rPr>
    </w:lvl>
    <w:lvl w:ilvl="1">
      <w:start w:val="1"/>
      <w:numFmt w:val="decimal"/>
      <w:pStyle w:val="base-text-paragraph"/>
      <w:lvlText w:val="%1.%2"/>
      <w:lvlJc w:val="left"/>
      <w:pPr>
        <w:tabs>
          <w:tab w:val="num" w:pos="1985"/>
        </w:tabs>
        <w:ind w:left="1134"/>
      </w:pPr>
      <w:rPr>
        <w:rFonts w:hint="default"/>
      </w:rPr>
    </w:lvl>
    <w:lvl w:ilvl="2">
      <w:start w:val="1"/>
      <w:numFmt w:val="decimal"/>
      <w:pStyle w:val="Diagram"/>
      <w:suff w:val="space"/>
      <w:lvlText w:val="Diagram %1.%3"/>
      <w:lvlJc w:val="left"/>
      <w:pPr>
        <w:ind w:left="1134"/>
      </w:pPr>
      <w:rPr>
        <w:rFonts w:hint="default"/>
      </w:rPr>
    </w:lvl>
    <w:lvl w:ilvl="3">
      <w:start w:val="1"/>
      <w:numFmt w:val="decimal"/>
      <w:pStyle w:val="ExampleHeading"/>
      <w:suff w:val="space"/>
      <w:lvlText w:val="Example %1.%4"/>
      <w:lvlJc w:val="left"/>
      <w:pPr>
        <w:ind w:left="1134"/>
      </w:pPr>
      <w:rPr>
        <w:rFonts w:hint="default"/>
      </w:rPr>
    </w:lvl>
    <w:lvl w:ilvl="4">
      <w:start w:val="1"/>
      <w:numFmt w:val="decimal"/>
      <w:pStyle w:val="TableHeadingoutsidetable"/>
      <w:suff w:val="space"/>
      <w:lvlText w:val="Table %1.%5"/>
      <w:lvlJc w:val="left"/>
      <w:pPr>
        <w:ind w:left="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DBE5552"/>
    <w:multiLevelType w:val="hybridMultilevel"/>
    <w:tmpl w:val="07B05FF6"/>
    <w:lvl w:ilvl="0" w:tplc="0C090001">
      <w:start w:val="1"/>
      <w:numFmt w:val="bullet"/>
      <w:lvlText w:val=""/>
      <w:lvlJc w:val="left"/>
      <w:pPr>
        <w:ind w:left="720" w:hanging="360"/>
      </w:pPr>
      <w:rPr>
        <w:rFonts w:ascii="Symbol" w:hAnsi="Symbol" w:cs="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3F4F0D4E"/>
    <w:multiLevelType w:val="hybridMultilevel"/>
    <w:tmpl w:val="2618CC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44727F82"/>
    <w:multiLevelType w:val="hybridMultilevel"/>
    <w:tmpl w:val="3102998E"/>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211"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3" w15:restartNumberingAfterBreak="0">
    <w:nsid w:val="4E056B1D"/>
    <w:multiLevelType w:val="hybridMultilevel"/>
    <w:tmpl w:val="F9E42D74"/>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4" w15:restartNumberingAfterBreak="0">
    <w:nsid w:val="549A59A1"/>
    <w:multiLevelType w:val="hybridMultilevel"/>
    <w:tmpl w:val="710C46B6"/>
    <w:lvl w:ilvl="0" w:tplc="0C090001">
      <w:start w:val="1"/>
      <w:numFmt w:val="bullet"/>
      <w:lvlText w:val=""/>
      <w:lvlJc w:val="left"/>
      <w:pPr>
        <w:ind w:left="720" w:hanging="360"/>
      </w:pPr>
      <w:rPr>
        <w:rFonts w:ascii="Symbol" w:hAnsi="Symbol" w:cs="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5AEB20C6"/>
    <w:multiLevelType w:val="hybridMultilevel"/>
    <w:tmpl w:val="F4E6B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34533A"/>
    <w:multiLevelType w:val="hybridMultilevel"/>
    <w:tmpl w:val="CECC1314"/>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211"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15:restartNumberingAfterBreak="0">
    <w:nsid w:val="68E27F84"/>
    <w:multiLevelType w:val="hybridMultilevel"/>
    <w:tmpl w:val="79DC8C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84174D"/>
    <w:multiLevelType w:val="multilevel"/>
    <w:tmpl w:val="E6F87B74"/>
    <w:lvl w:ilvl="0">
      <w:start w:val="1"/>
      <w:numFmt w:val="decimal"/>
      <w:lvlText w:val="%1."/>
      <w:lvlJc w:val="left"/>
      <w:pPr>
        <w:ind w:left="720" w:hanging="360"/>
      </w:pPr>
      <w:rPr>
        <w:b w:val="0"/>
        <w:bCs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737B04C3"/>
    <w:multiLevelType w:val="hybridMultilevel"/>
    <w:tmpl w:val="E2D46AFC"/>
    <w:lvl w:ilvl="0" w:tplc="E3361DF0">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677561"/>
    <w:multiLevelType w:val="hybridMultilevel"/>
    <w:tmpl w:val="C5B67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DB23C0"/>
    <w:multiLevelType w:val="multilevel"/>
    <w:tmpl w:val="CE947A96"/>
    <w:name w:val="CERBullets22"/>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0D0CAE"/>
    <w:multiLevelType w:val="hybridMultilevel"/>
    <w:tmpl w:val="642421DA"/>
    <w:lvl w:ilvl="0" w:tplc="A7D4ED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CAC208D"/>
    <w:multiLevelType w:val="multilevel"/>
    <w:tmpl w:val="484032EC"/>
    <w:numStyleLink w:val="ChapterList"/>
  </w:abstractNum>
  <w:abstractNum w:abstractNumId="24" w15:restartNumberingAfterBreak="0">
    <w:nsid w:val="7FF52B33"/>
    <w:multiLevelType w:val="hybridMultilevel"/>
    <w:tmpl w:val="206A0422"/>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num w:numId="1">
    <w:abstractNumId w:val="18"/>
  </w:num>
  <w:num w:numId="2">
    <w:abstractNumId w:val="11"/>
  </w:num>
  <w:num w:numId="3">
    <w:abstractNumId w:val="13"/>
  </w:num>
  <w:num w:numId="4">
    <w:abstractNumId w:val="2"/>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12"/>
  </w:num>
  <w:num w:numId="10">
    <w:abstractNumId w:val="24"/>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3"/>
  </w:num>
  <w:num w:numId="14">
    <w:abstractNumId w:val="4"/>
  </w:num>
  <w:num w:numId="15">
    <w:abstractNumId w:val="7"/>
  </w:num>
  <w:num w:numId="16">
    <w:abstractNumId w:val="17"/>
  </w:num>
  <w:num w:numId="17">
    <w:abstractNumId w:val="0"/>
  </w:num>
  <w:num w:numId="18">
    <w:abstractNumId w:val="1"/>
  </w:num>
  <w:num w:numId="19">
    <w:abstractNumId w:val="19"/>
  </w:num>
  <w:num w:numId="20">
    <w:abstractNumId w:val="3"/>
  </w:num>
  <w:num w:numId="21">
    <w:abstractNumId w:val="20"/>
  </w:num>
  <w:num w:numId="22">
    <w:abstractNumId w:val="6"/>
  </w:num>
  <w:num w:numId="23">
    <w:abstractNumId w:val="15"/>
  </w:num>
  <w:num w:numId="24">
    <w:abstractNumId w:val="2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trackRevisions/>
  <w:defaultTabStop w:val="720"/>
  <w:doNotHyphenateCaps/>
  <w:drawingGridHorizontalSpacing w:val="110"/>
  <w:displayHorizontalDrawingGridEvery w:val="2"/>
  <w:characterSpacingControl w:val="doNotCompress"/>
  <w:doNotValidateAgainstSchema/>
  <w:doNotDemarcateInvalidXml/>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8F6"/>
    <w:rsid w:val="000024E4"/>
    <w:rsid w:val="000058C4"/>
    <w:rsid w:val="00011541"/>
    <w:rsid w:val="00012333"/>
    <w:rsid w:val="00014AB5"/>
    <w:rsid w:val="00014E60"/>
    <w:rsid w:val="000164CF"/>
    <w:rsid w:val="00026D47"/>
    <w:rsid w:val="000321B5"/>
    <w:rsid w:val="0003271F"/>
    <w:rsid w:val="0003358C"/>
    <w:rsid w:val="00033745"/>
    <w:rsid w:val="0003519E"/>
    <w:rsid w:val="00040EFA"/>
    <w:rsid w:val="000421EB"/>
    <w:rsid w:val="00042AE3"/>
    <w:rsid w:val="00042EBF"/>
    <w:rsid w:val="00043E11"/>
    <w:rsid w:val="00045A56"/>
    <w:rsid w:val="00047C4F"/>
    <w:rsid w:val="00050D73"/>
    <w:rsid w:val="000518D3"/>
    <w:rsid w:val="00052FDE"/>
    <w:rsid w:val="00054A20"/>
    <w:rsid w:val="00055218"/>
    <w:rsid w:val="00055729"/>
    <w:rsid w:val="000567EE"/>
    <w:rsid w:val="00060FD8"/>
    <w:rsid w:val="00061026"/>
    <w:rsid w:val="0006465E"/>
    <w:rsid w:val="0006762D"/>
    <w:rsid w:val="00072672"/>
    <w:rsid w:val="0007585C"/>
    <w:rsid w:val="00076FC5"/>
    <w:rsid w:val="00086766"/>
    <w:rsid w:val="00087A65"/>
    <w:rsid w:val="00087AF6"/>
    <w:rsid w:val="0009399B"/>
    <w:rsid w:val="00095423"/>
    <w:rsid w:val="000969D7"/>
    <w:rsid w:val="000A1E7A"/>
    <w:rsid w:val="000A4B5F"/>
    <w:rsid w:val="000A5B53"/>
    <w:rsid w:val="000A71CF"/>
    <w:rsid w:val="000A7EFB"/>
    <w:rsid w:val="000B29F7"/>
    <w:rsid w:val="000B34E3"/>
    <w:rsid w:val="000B416B"/>
    <w:rsid w:val="000B5241"/>
    <w:rsid w:val="000C1716"/>
    <w:rsid w:val="000C279E"/>
    <w:rsid w:val="000C53F3"/>
    <w:rsid w:val="000C75F7"/>
    <w:rsid w:val="000C7F52"/>
    <w:rsid w:val="000D0611"/>
    <w:rsid w:val="000D5242"/>
    <w:rsid w:val="000D5EA5"/>
    <w:rsid w:val="000D7860"/>
    <w:rsid w:val="000E0269"/>
    <w:rsid w:val="000E73EC"/>
    <w:rsid w:val="000F1BB1"/>
    <w:rsid w:val="000F209D"/>
    <w:rsid w:val="000F2257"/>
    <w:rsid w:val="001010C8"/>
    <w:rsid w:val="00101FDC"/>
    <w:rsid w:val="00102FDD"/>
    <w:rsid w:val="00103DD9"/>
    <w:rsid w:val="00104A2D"/>
    <w:rsid w:val="00105D5E"/>
    <w:rsid w:val="0011215D"/>
    <w:rsid w:val="001174BB"/>
    <w:rsid w:val="00122E91"/>
    <w:rsid w:val="00130456"/>
    <w:rsid w:val="00130936"/>
    <w:rsid w:val="0013268B"/>
    <w:rsid w:val="00133F1E"/>
    <w:rsid w:val="00136E1C"/>
    <w:rsid w:val="00142766"/>
    <w:rsid w:val="00145908"/>
    <w:rsid w:val="00167977"/>
    <w:rsid w:val="00171E8E"/>
    <w:rsid w:val="00175F94"/>
    <w:rsid w:val="00181B02"/>
    <w:rsid w:val="00185946"/>
    <w:rsid w:val="0018681D"/>
    <w:rsid w:val="0018691D"/>
    <w:rsid w:val="001927C3"/>
    <w:rsid w:val="0019312B"/>
    <w:rsid w:val="00194E7C"/>
    <w:rsid w:val="00195802"/>
    <w:rsid w:val="00195FC5"/>
    <w:rsid w:val="001A1A4D"/>
    <w:rsid w:val="001A20DA"/>
    <w:rsid w:val="001A4CA3"/>
    <w:rsid w:val="001A4DB6"/>
    <w:rsid w:val="001A6C0E"/>
    <w:rsid w:val="001A6D74"/>
    <w:rsid w:val="001B0BE4"/>
    <w:rsid w:val="001B7D38"/>
    <w:rsid w:val="001C0720"/>
    <w:rsid w:val="001C56B9"/>
    <w:rsid w:val="001C6D53"/>
    <w:rsid w:val="001D2CF5"/>
    <w:rsid w:val="001D43B8"/>
    <w:rsid w:val="001D5CF0"/>
    <w:rsid w:val="001D6F66"/>
    <w:rsid w:val="001D7F5B"/>
    <w:rsid w:val="001E166D"/>
    <w:rsid w:val="001E2793"/>
    <w:rsid w:val="001F4E94"/>
    <w:rsid w:val="001F52C2"/>
    <w:rsid w:val="00201272"/>
    <w:rsid w:val="00201C7D"/>
    <w:rsid w:val="002033C5"/>
    <w:rsid w:val="002047BF"/>
    <w:rsid w:val="00205AE4"/>
    <w:rsid w:val="00205FDB"/>
    <w:rsid w:val="002111CF"/>
    <w:rsid w:val="00211605"/>
    <w:rsid w:val="00214AF9"/>
    <w:rsid w:val="00217E76"/>
    <w:rsid w:val="00221F1C"/>
    <w:rsid w:val="002222DF"/>
    <w:rsid w:val="00223928"/>
    <w:rsid w:val="00224CD8"/>
    <w:rsid w:val="002254F9"/>
    <w:rsid w:val="0023189D"/>
    <w:rsid w:val="002337ED"/>
    <w:rsid w:val="00235D0B"/>
    <w:rsid w:val="00237076"/>
    <w:rsid w:val="00237FED"/>
    <w:rsid w:val="00242328"/>
    <w:rsid w:val="00242971"/>
    <w:rsid w:val="00243310"/>
    <w:rsid w:val="002439D4"/>
    <w:rsid w:val="00245E7C"/>
    <w:rsid w:val="00254124"/>
    <w:rsid w:val="002547D8"/>
    <w:rsid w:val="00254DAB"/>
    <w:rsid w:val="00262892"/>
    <w:rsid w:val="00263B2E"/>
    <w:rsid w:val="00264E6C"/>
    <w:rsid w:val="002673C7"/>
    <w:rsid w:val="0027016A"/>
    <w:rsid w:val="002706A1"/>
    <w:rsid w:val="00271A7E"/>
    <w:rsid w:val="002741FC"/>
    <w:rsid w:val="002742A9"/>
    <w:rsid w:val="002744F7"/>
    <w:rsid w:val="00274AE9"/>
    <w:rsid w:val="00277338"/>
    <w:rsid w:val="0028097C"/>
    <w:rsid w:val="0028238B"/>
    <w:rsid w:val="00282F3B"/>
    <w:rsid w:val="00284C3F"/>
    <w:rsid w:val="00286805"/>
    <w:rsid w:val="002905BC"/>
    <w:rsid w:val="002920EE"/>
    <w:rsid w:val="00296DFF"/>
    <w:rsid w:val="002A1476"/>
    <w:rsid w:val="002A4862"/>
    <w:rsid w:val="002A5C89"/>
    <w:rsid w:val="002A5EC1"/>
    <w:rsid w:val="002A66BB"/>
    <w:rsid w:val="002A672A"/>
    <w:rsid w:val="002A6AA0"/>
    <w:rsid w:val="002A7D38"/>
    <w:rsid w:val="002B2E53"/>
    <w:rsid w:val="002B3AC0"/>
    <w:rsid w:val="002B70B6"/>
    <w:rsid w:val="002C521E"/>
    <w:rsid w:val="002C57AF"/>
    <w:rsid w:val="002C59E2"/>
    <w:rsid w:val="002C6CE1"/>
    <w:rsid w:val="002C75F7"/>
    <w:rsid w:val="002D22FC"/>
    <w:rsid w:val="002D2920"/>
    <w:rsid w:val="002E04C0"/>
    <w:rsid w:val="002E0A13"/>
    <w:rsid w:val="002E521A"/>
    <w:rsid w:val="002F1B90"/>
    <w:rsid w:val="002F7C1B"/>
    <w:rsid w:val="003004ED"/>
    <w:rsid w:val="003013CE"/>
    <w:rsid w:val="00301C3F"/>
    <w:rsid w:val="0030202E"/>
    <w:rsid w:val="00302959"/>
    <w:rsid w:val="00304051"/>
    <w:rsid w:val="003043AF"/>
    <w:rsid w:val="0030586A"/>
    <w:rsid w:val="00306214"/>
    <w:rsid w:val="003068A1"/>
    <w:rsid w:val="003113F9"/>
    <w:rsid w:val="00313A9F"/>
    <w:rsid w:val="00320CA6"/>
    <w:rsid w:val="00322770"/>
    <w:rsid w:val="003228FB"/>
    <w:rsid w:val="00323102"/>
    <w:rsid w:val="003261CA"/>
    <w:rsid w:val="003272A0"/>
    <w:rsid w:val="003331A8"/>
    <w:rsid w:val="00335D94"/>
    <w:rsid w:val="00341D4F"/>
    <w:rsid w:val="00345129"/>
    <w:rsid w:val="003459DA"/>
    <w:rsid w:val="00350E3E"/>
    <w:rsid w:val="00351EC6"/>
    <w:rsid w:val="003524D3"/>
    <w:rsid w:val="00353B22"/>
    <w:rsid w:val="0035503A"/>
    <w:rsid w:val="00360744"/>
    <w:rsid w:val="0036344C"/>
    <w:rsid w:val="003660C0"/>
    <w:rsid w:val="00374F1A"/>
    <w:rsid w:val="00375C0A"/>
    <w:rsid w:val="003773A1"/>
    <w:rsid w:val="003804B9"/>
    <w:rsid w:val="00381619"/>
    <w:rsid w:val="00382391"/>
    <w:rsid w:val="00384164"/>
    <w:rsid w:val="003874BD"/>
    <w:rsid w:val="003903EB"/>
    <w:rsid w:val="00390E09"/>
    <w:rsid w:val="003B0A6A"/>
    <w:rsid w:val="003B1480"/>
    <w:rsid w:val="003B2D93"/>
    <w:rsid w:val="003B3E7D"/>
    <w:rsid w:val="003B4174"/>
    <w:rsid w:val="003B5A1D"/>
    <w:rsid w:val="003B5FD1"/>
    <w:rsid w:val="003B6449"/>
    <w:rsid w:val="003B7589"/>
    <w:rsid w:val="003C276C"/>
    <w:rsid w:val="003C4612"/>
    <w:rsid w:val="003C4C42"/>
    <w:rsid w:val="003C5033"/>
    <w:rsid w:val="003C5E25"/>
    <w:rsid w:val="003C71B7"/>
    <w:rsid w:val="003D10AA"/>
    <w:rsid w:val="003D25A8"/>
    <w:rsid w:val="003D3001"/>
    <w:rsid w:val="003D3444"/>
    <w:rsid w:val="003D4384"/>
    <w:rsid w:val="003D47D0"/>
    <w:rsid w:val="003D489D"/>
    <w:rsid w:val="003D5B99"/>
    <w:rsid w:val="003D7A6C"/>
    <w:rsid w:val="003E45C9"/>
    <w:rsid w:val="003E7798"/>
    <w:rsid w:val="003F2B7D"/>
    <w:rsid w:val="003F30C2"/>
    <w:rsid w:val="003F37BD"/>
    <w:rsid w:val="00400DCD"/>
    <w:rsid w:val="004041C1"/>
    <w:rsid w:val="00405DF6"/>
    <w:rsid w:val="00405F9A"/>
    <w:rsid w:val="00406269"/>
    <w:rsid w:val="0041308E"/>
    <w:rsid w:val="00414FA2"/>
    <w:rsid w:val="004208EE"/>
    <w:rsid w:val="00420A8F"/>
    <w:rsid w:val="004227A6"/>
    <w:rsid w:val="00433C5A"/>
    <w:rsid w:val="00436D9D"/>
    <w:rsid w:val="00437FC5"/>
    <w:rsid w:val="004421C9"/>
    <w:rsid w:val="00442906"/>
    <w:rsid w:val="00444584"/>
    <w:rsid w:val="00446837"/>
    <w:rsid w:val="004508D2"/>
    <w:rsid w:val="00450C88"/>
    <w:rsid w:val="004605AA"/>
    <w:rsid w:val="00460F9A"/>
    <w:rsid w:val="00462796"/>
    <w:rsid w:val="00463A33"/>
    <w:rsid w:val="00467021"/>
    <w:rsid w:val="00470BAF"/>
    <w:rsid w:val="00474671"/>
    <w:rsid w:val="0047521A"/>
    <w:rsid w:val="00480428"/>
    <w:rsid w:val="00482C36"/>
    <w:rsid w:val="0048353C"/>
    <w:rsid w:val="00483B64"/>
    <w:rsid w:val="004840D8"/>
    <w:rsid w:val="004848D5"/>
    <w:rsid w:val="00487383"/>
    <w:rsid w:val="004878F4"/>
    <w:rsid w:val="004911F0"/>
    <w:rsid w:val="00491598"/>
    <w:rsid w:val="004958F6"/>
    <w:rsid w:val="00497C2B"/>
    <w:rsid w:val="004A0EBF"/>
    <w:rsid w:val="004A4846"/>
    <w:rsid w:val="004A6B59"/>
    <w:rsid w:val="004B4D77"/>
    <w:rsid w:val="004B5AD2"/>
    <w:rsid w:val="004C08C9"/>
    <w:rsid w:val="004C1BCD"/>
    <w:rsid w:val="004C38F5"/>
    <w:rsid w:val="004C4CA8"/>
    <w:rsid w:val="004C713C"/>
    <w:rsid w:val="004E0ABB"/>
    <w:rsid w:val="004E4553"/>
    <w:rsid w:val="004E5210"/>
    <w:rsid w:val="004E5C6F"/>
    <w:rsid w:val="004E5F77"/>
    <w:rsid w:val="004F18E8"/>
    <w:rsid w:val="004F53C4"/>
    <w:rsid w:val="004F5FC8"/>
    <w:rsid w:val="005030B5"/>
    <w:rsid w:val="005107CF"/>
    <w:rsid w:val="0051169B"/>
    <w:rsid w:val="005118A7"/>
    <w:rsid w:val="0052027F"/>
    <w:rsid w:val="00521D1D"/>
    <w:rsid w:val="00522BB3"/>
    <w:rsid w:val="00527059"/>
    <w:rsid w:val="0052752D"/>
    <w:rsid w:val="00530112"/>
    <w:rsid w:val="00530603"/>
    <w:rsid w:val="005311BD"/>
    <w:rsid w:val="00531680"/>
    <w:rsid w:val="0053300B"/>
    <w:rsid w:val="00535C91"/>
    <w:rsid w:val="00541931"/>
    <w:rsid w:val="005538FA"/>
    <w:rsid w:val="00553998"/>
    <w:rsid w:val="00555143"/>
    <w:rsid w:val="005559B6"/>
    <w:rsid w:val="0055666E"/>
    <w:rsid w:val="005572E8"/>
    <w:rsid w:val="00560DFE"/>
    <w:rsid w:val="0056216E"/>
    <w:rsid w:val="00564897"/>
    <w:rsid w:val="005652EB"/>
    <w:rsid w:val="00565D26"/>
    <w:rsid w:val="00566905"/>
    <w:rsid w:val="0057002E"/>
    <w:rsid w:val="00572052"/>
    <w:rsid w:val="0057545C"/>
    <w:rsid w:val="00577B70"/>
    <w:rsid w:val="00582CAF"/>
    <w:rsid w:val="00582CF7"/>
    <w:rsid w:val="005927CF"/>
    <w:rsid w:val="00593797"/>
    <w:rsid w:val="00597109"/>
    <w:rsid w:val="005A1CB2"/>
    <w:rsid w:val="005A1FE4"/>
    <w:rsid w:val="005A255D"/>
    <w:rsid w:val="005A3046"/>
    <w:rsid w:val="005B17E4"/>
    <w:rsid w:val="005B1C78"/>
    <w:rsid w:val="005B2897"/>
    <w:rsid w:val="005B3C81"/>
    <w:rsid w:val="005B5E81"/>
    <w:rsid w:val="005B7A40"/>
    <w:rsid w:val="005C21F0"/>
    <w:rsid w:val="005C4137"/>
    <w:rsid w:val="005C5642"/>
    <w:rsid w:val="005D104F"/>
    <w:rsid w:val="005D2C5D"/>
    <w:rsid w:val="005D47C4"/>
    <w:rsid w:val="005D5B8F"/>
    <w:rsid w:val="005D6BA6"/>
    <w:rsid w:val="005D7DCC"/>
    <w:rsid w:val="005E1086"/>
    <w:rsid w:val="005F07B6"/>
    <w:rsid w:val="005F2641"/>
    <w:rsid w:val="00600EF6"/>
    <w:rsid w:val="00613B06"/>
    <w:rsid w:val="00615167"/>
    <w:rsid w:val="006173E7"/>
    <w:rsid w:val="00617653"/>
    <w:rsid w:val="00617687"/>
    <w:rsid w:val="006208AB"/>
    <w:rsid w:val="00621A58"/>
    <w:rsid w:val="00621EDA"/>
    <w:rsid w:val="00627B56"/>
    <w:rsid w:val="00637CA0"/>
    <w:rsid w:val="0064079B"/>
    <w:rsid w:val="00640B23"/>
    <w:rsid w:val="00640C29"/>
    <w:rsid w:val="0064386A"/>
    <w:rsid w:val="006447B2"/>
    <w:rsid w:val="0064507D"/>
    <w:rsid w:val="006476BB"/>
    <w:rsid w:val="00655A7C"/>
    <w:rsid w:val="00660CDA"/>
    <w:rsid w:val="006613A7"/>
    <w:rsid w:val="006638C3"/>
    <w:rsid w:val="006639D1"/>
    <w:rsid w:val="006644AE"/>
    <w:rsid w:val="006647BF"/>
    <w:rsid w:val="00670239"/>
    <w:rsid w:val="00670DEC"/>
    <w:rsid w:val="00671944"/>
    <w:rsid w:val="00672230"/>
    <w:rsid w:val="006731DA"/>
    <w:rsid w:val="00673779"/>
    <w:rsid w:val="0067582F"/>
    <w:rsid w:val="006772F3"/>
    <w:rsid w:val="006831DB"/>
    <w:rsid w:val="00684531"/>
    <w:rsid w:val="006847C1"/>
    <w:rsid w:val="006858B9"/>
    <w:rsid w:val="00687802"/>
    <w:rsid w:val="00690902"/>
    <w:rsid w:val="00691F3D"/>
    <w:rsid w:val="00692A3F"/>
    <w:rsid w:val="00692CA6"/>
    <w:rsid w:val="006952C9"/>
    <w:rsid w:val="006953A8"/>
    <w:rsid w:val="00697005"/>
    <w:rsid w:val="00697AFE"/>
    <w:rsid w:val="006A0256"/>
    <w:rsid w:val="006A0DE3"/>
    <w:rsid w:val="006A14BE"/>
    <w:rsid w:val="006A25DC"/>
    <w:rsid w:val="006A2655"/>
    <w:rsid w:val="006A49CB"/>
    <w:rsid w:val="006B1062"/>
    <w:rsid w:val="006B29A4"/>
    <w:rsid w:val="006B6DF4"/>
    <w:rsid w:val="006B7184"/>
    <w:rsid w:val="006B7E81"/>
    <w:rsid w:val="006C534B"/>
    <w:rsid w:val="006C59E8"/>
    <w:rsid w:val="006C78F3"/>
    <w:rsid w:val="006D26DF"/>
    <w:rsid w:val="006D61D4"/>
    <w:rsid w:val="006D691D"/>
    <w:rsid w:val="006D7245"/>
    <w:rsid w:val="006E0560"/>
    <w:rsid w:val="006E43FA"/>
    <w:rsid w:val="006E5AD3"/>
    <w:rsid w:val="006F061A"/>
    <w:rsid w:val="006F0F58"/>
    <w:rsid w:val="006F1375"/>
    <w:rsid w:val="006F2114"/>
    <w:rsid w:val="006F322F"/>
    <w:rsid w:val="006F4FD0"/>
    <w:rsid w:val="006F5C94"/>
    <w:rsid w:val="006F6714"/>
    <w:rsid w:val="006F747E"/>
    <w:rsid w:val="00700773"/>
    <w:rsid w:val="0070632E"/>
    <w:rsid w:val="0071151D"/>
    <w:rsid w:val="007124C7"/>
    <w:rsid w:val="007131C2"/>
    <w:rsid w:val="00714127"/>
    <w:rsid w:val="007158ED"/>
    <w:rsid w:val="0071728F"/>
    <w:rsid w:val="00717E6E"/>
    <w:rsid w:val="0072637F"/>
    <w:rsid w:val="00727459"/>
    <w:rsid w:val="00732824"/>
    <w:rsid w:val="00734D5A"/>
    <w:rsid w:val="00736C0F"/>
    <w:rsid w:val="00740631"/>
    <w:rsid w:val="0074160A"/>
    <w:rsid w:val="007425AB"/>
    <w:rsid w:val="00750400"/>
    <w:rsid w:val="00754CDA"/>
    <w:rsid w:val="00757821"/>
    <w:rsid w:val="00757ED9"/>
    <w:rsid w:val="00760091"/>
    <w:rsid w:val="00760A44"/>
    <w:rsid w:val="00760D6C"/>
    <w:rsid w:val="00765D6A"/>
    <w:rsid w:val="00765E55"/>
    <w:rsid w:val="0077030D"/>
    <w:rsid w:val="0077490E"/>
    <w:rsid w:val="00774E56"/>
    <w:rsid w:val="0077547B"/>
    <w:rsid w:val="00776BC3"/>
    <w:rsid w:val="00776C11"/>
    <w:rsid w:val="0078312B"/>
    <w:rsid w:val="00783B50"/>
    <w:rsid w:val="00785576"/>
    <w:rsid w:val="00785985"/>
    <w:rsid w:val="00785A00"/>
    <w:rsid w:val="00786C7C"/>
    <w:rsid w:val="00787A3A"/>
    <w:rsid w:val="00787F94"/>
    <w:rsid w:val="007909AF"/>
    <w:rsid w:val="00790AA2"/>
    <w:rsid w:val="00790E3E"/>
    <w:rsid w:val="00791C1B"/>
    <w:rsid w:val="007949D3"/>
    <w:rsid w:val="00794A66"/>
    <w:rsid w:val="00797ABF"/>
    <w:rsid w:val="007A390A"/>
    <w:rsid w:val="007A7ACB"/>
    <w:rsid w:val="007B03C9"/>
    <w:rsid w:val="007B51A0"/>
    <w:rsid w:val="007B5A28"/>
    <w:rsid w:val="007B71C5"/>
    <w:rsid w:val="007C0634"/>
    <w:rsid w:val="007C3568"/>
    <w:rsid w:val="007C44F5"/>
    <w:rsid w:val="007C4920"/>
    <w:rsid w:val="007C774A"/>
    <w:rsid w:val="007D1ACD"/>
    <w:rsid w:val="007D3934"/>
    <w:rsid w:val="007E085D"/>
    <w:rsid w:val="007E0F35"/>
    <w:rsid w:val="007E25CE"/>
    <w:rsid w:val="007E2BB3"/>
    <w:rsid w:val="007E524F"/>
    <w:rsid w:val="007E6AE1"/>
    <w:rsid w:val="007E6D71"/>
    <w:rsid w:val="007F175A"/>
    <w:rsid w:val="007F4473"/>
    <w:rsid w:val="007F5CD6"/>
    <w:rsid w:val="007F78E9"/>
    <w:rsid w:val="007F7985"/>
    <w:rsid w:val="0080010B"/>
    <w:rsid w:val="0080066D"/>
    <w:rsid w:val="008013EF"/>
    <w:rsid w:val="00802BEA"/>
    <w:rsid w:val="00802D95"/>
    <w:rsid w:val="00805273"/>
    <w:rsid w:val="00806141"/>
    <w:rsid w:val="00807BC2"/>
    <w:rsid w:val="00812765"/>
    <w:rsid w:val="008129DE"/>
    <w:rsid w:val="00815195"/>
    <w:rsid w:val="00815205"/>
    <w:rsid w:val="008152BF"/>
    <w:rsid w:val="00816609"/>
    <w:rsid w:val="00816F67"/>
    <w:rsid w:val="00817277"/>
    <w:rsid w:val="008201C9"/>
    <w:rsid w:val="0082103D"/>
    <w:rsid w:val="008213C3"/>
    <w:rsid w:val="0082596C"/>
    <w:rsid w:val="00826AAB"/>
    <w:rsid w:val="008310F9"/>
    <w:rsid w:val="0083124D"/>
    <w:rsid w:val="00832F9C"/>
    <w:rsid w:val="00833954"/>
    <w:rsid w:val="00834C4C"/>
    <w:rsid w:val="00835C51"/>
    <w:rsid w:val="008365B9"/>
    <w:rsid w:val="00836EB2"/>
    <w:rsid w:val="00840E43"/>
    <w:rsid w:val="0084169B"/>
    <w:rsid w:val="00841AC0"/>
    <w:rsid w:val="00841F88"/>
    <w:rsid w:val="00843AB8"/>
    <w:rsid w:val="0085259D"/>
    <w:rsid w:val="0085330C"/>
    <w:rsid w:val="00854719"/>
    <w:rsid w:val="00856E8A"/>
    <w:rsid w:val="00860810"/>
    <w:rsid w:val="008631B1"/>
    <w:rsid w:val="00864D13"/>
    <w:rsid w:val="00866894"/>
    <w:rsid w:val="00870676"/>
    <w:rsid w:val="00874214"/>
    <w:rsid w:val="00874908"/>
    <w:rsid w:val="00875199"/>
    <w:rsid w:val="00884FA4"/>
    <w:rsid w:val="0088670B"/>
    <w:rsid w:val="008915DC"/>
    <w:rsid w:val="0089258F"/>
    <w:rsid w:val="00893DCD"/>
    <w:rsid w:val="00897EBA"/>
    <w:rsid w:val="008A09B6"/>
    <w:rsid w:val="008A1CFE"/>
    <w:rsid w:val="008A2F3B"/>
    <w:rsid w:val="008A3A1F"/>
    <w:rsid w:val="008A4C1B"/>
    <w:rsid w:val="008B06C8"/>
    <w:rsid w:val="008B0EF9"/>
    <w:rsid w:val="008B12A9"/>
    <w:rsid w:val="008B423C"/>
    <w:rsid w:val="008B5111"/>
    <w:rsid w:val="008C3723"/>
    <w:rsid w:val="008C42FE"/>
    <w:rsid w:val="008C6504"/>
    <w:rsid w:val="008C75AD"/>
    <w:rsid w:val="008C75E6"/>
    <w:rsid w:val="008D0C32"/>
    <w:rsid w:val="008D15F1"/>
    <w:rsid w:val="008D4847"/>
    <w:rsid w:val="008D4B8A"/>
    <w:rsid w:val="008D65DD"/>
    <w:rsid w:val="008E0943"/>
    <w:rsid w:val="008E3609"/>
    <w:rsid w:val="008E398F"/>
    <w:rsid w:val="008E5599"/>
    <w:rsid w:val="008E5F7A"/>
    <w:rsid w:val="008E6DF4"/>
    <w:rsid w:val="008F2059"/>
    <w:rsid w:val="008F4411"/>
    <w:rsid w:val="009008ED"/>
    <w:rsid w:val="00903708"/>
    <w:rsid w:val="009066DF"/>
    <w:rsid w:val="00906982"/>
    <w:rsid w:val="00911E60"/>
    <w:rsid w:val="00914ABA"/>
    <w:rsid w:val="00916E90"/>
    <w:rsid w:val="00922373"/>
    <w:rsid w:val="00922CA0"/>
    <w:rsid w:val="00923FA0"/>
    <w:rsid w:val="00925A83"/>
    <w:rsid w:val="0092619B"/>
    <w:rsid w:val="009308BA"/>
    <w:rsid w:val="00931BEB"/>
    <w:rsid w:val="0093498B"/>
    <w:rsid w:val="00935485"/>
    <w:rsid w:val="00942D0F"/>
    <w:rsid w:val="00944297"/>
    <w:rsid w:val="0094574D"/>
    <w:rsid w:val="0095023A"/>
    <w:rsid w:val="00950BB1"/>
    <w:rsid w:val="00952810"/>
    <w:rsid w:val="00953F60"/>
    <w:rsid w:val="00960A56"/>
    <w:rsid w:val="00961523"/>
    <w:rsid w:val="00962964"/>
    <w:rsid w:val="00966029"/>
    <w:rsid w:val="00966208"/>
    <w:rsid w:val="009662AE"/>
    <w:rsid w:val="009666D0"/>
    <w:rsid w:val="0096759E"/>
    <w:rsid w:val="00970111"/>
    <w:rsid w:val="00970CB7"/>
    <w:rsid w:val="009758D6"/>
    <w:rsid w:val="009763B3"/>
    <w:rsid w:val="00976455"/>
    <w:rsid w:val="00980EB2"/>
    <w:rsid w:val="00984B22"/>
    <w:rsid w:val="009853B6"/>
    <w:rsid w:val="009868CA"/>
    <w:rsid w:val="009929CD"/>
    <w:rsid w:val="00992B07"/>
    <w:rsid w:val="0099357B"/>
    <w:rsid w:val="009946A8"/>
    <w:rsid w:val="00994838"/>
    <w:rsid w:val="009A06E1"/>
    <w:rsid w:val="009A1B64"/>
    <w:rsid w:val="009A29D0"/>
    <w:rsid w:val="009A33D3"/>
    <w:rsid w:val="009A5551"/>
    <w:rsid w:val="009B7D1C"/>
    <w:rsid w:val="009C0631"/>
    <w:rsid w:val="009C64EA"/>
    <w:rsid w:val="009D04EA"/>
    <w:rsid w:val="009D1190"/>
    <w:rsid w:val="009E0D85"/>
    <w:rsid w:val="009E470B"/>
    <w:rsid w:val="009E7A5B"/>
    <w:rsid w:val="009F010E"/>
    <w:rsid w:val="009F143B"/>
    <w:rsid w:val="009F185B"/>
    <w:rsid w:val="00A03D92"/>
    <w:rsid w:val="00A116C5"/>
    <w:rsid w:val="00A13D2D"/>
    <w:rsid w:val="00A21E89"/>
    <w:rsid w:val="00A2565A"/>
    <w:rsid w:val="00A2694C"/>
    <w:rsid w:val="00A32E51"/>
    <w:rsid w:val="00A34399"/>
    <w:rsid w:val="00A3475F"/>
    <w:rsid w:val="00A4127A"/>
    <w:rsid w:val="00A4175B"/>
    <w:rsid w:val="00A4209B"/>
    <w:rsid w:val="00A433DD"/>
    <w:rsid w:val="00A44FAA"/>
    <w:rsid w:val="00A45220"/>
    <w:rsid w:val="00A45ECD"/>
    <w:rsid w:val="00A468EC"/>
    <w:rsid w:val="00A505C2"/>
    <w:rsid w:val="00A52DB0"/>
    <w:rsid w:val="00A542EC"/>
    <w:rsid w:val="00A549C1"/>
    <w:rsid w:val="00A56676"/>
    <w:rsid w:val="00A57ECF"/>
    <w:rsid w:val="00A60278"/>
    <w:rsid w:val="00A61818"/>
    <w:rsid w:val="00A6640E"/>
    <w:rsid w:val="00A66B13"/>
    <w:rsid w:val="00A723A3"/>
    <w:rsid w:val="00A72D71"/>
    <w:rsid w:val="00A73A82"/>
    <w:rsid w:val="00A73C49"/>
    <w:rsid w:val="00A75787"/>
    <w:rsid w:val="00A77686"/>
    <w:rsid w:val="00A77E51"/>
    <w:rsid w:val="00A805EE"/>
    <w:rsid w:val="00A814E4"/>
    <w:rsid w:val="00A81BA9"/>
    <w:rsid w:val="00A825CA"/>
    <w:rsid w:val="00A8334D"/>
    <w:rsid w:val="00A85A89"/>
    <w:rsid w:val="00A87422"/>
    <w:rsid w:val="00A9241F"/>
    <w:rsid w:val="00A962B4"/>
    <w:rsid w:val="00AA0D05"/>
    <w:rsid w:val="00AA2823"/>
    <w:rsid w:val="00AA2906"/>
    <w:rsid w:val="00AA441E"/>
    <w:rsid w:val="00AA47D9"/>
    <w:rsid w:val="00AA600B"/>
    <w:rsid w:val="00AA7288"/>
    <w:rsid w:val="00AA7CF8"/>
    <w:rsid w:val="00AB12EE"/>
    <w:rsid w:val="00AB16D4"/>
    <w:rsid w:val="00AB366C"/>
    <w:rsid w:val="00AB5F3A"/>
    <w:rsid w:val="00AB6769"/>
    <w:rsid w:val="00AB6BB9"/>
    <w:rsid w:val="00AC6799"/>
    <w:rsid w:val="00AC73BA"/>
    <w:rsid w:val="00AD135A"/>
    <w:rsid w:val="00AD3666"/>
    <w:rsid w:val="00AD6279"/>
    <w:rsid w:val="00AD6B59"/>
    <w:rsid w:val="00AE188D"/>
    <w:rsid w:val="00AE1DC2"/>
    <w:rsid w:val="00AE2F86"/>
    <w:rsid w:val="00AE4003"/>
    <w:rsid w:val="00AE4C01"/>
    <w:rsid w:val="00AE57B4"/>
    <w:rsid w:val="00AE767E"/>
    <w:rsid w:val="00AF07B8"/>
    <w:rsid w:val="00AF1445"/>
    <w:rsid w:val="00AF5BB9"/>
    <w:rsid w:val="00AF5CE1"/>
    <w:rsid w:val="00AF7908"/>
    <w:rsid w:val="00B02137"/>
    <w:rsid w:val="00B023EF"/>
    <w:rsid w:val="00B03244"/>
    <w:rsid w:val="00B056D4"/>
    <w:rsid w:val="00B06510"/>
    <w:rsid w:val="00B073AA"/>
    <w:rsid w:val="00B07439"/>
    <w:rsid w:val="00B12F55"/>
    <w:rsid w:val="00B136A4"/>
    <w:rsid w:val="00B13B5D"/>
    <w:rsid w:val="00B13CCF"/>
    <w:rsid w:val="00B20836"/>
    <w:rsid w:val="00B26ED0"/>
    <w:rsid w:val="00B27A4E"/>
    <w:rsid w:val="00B30F41"/>
    <w:rsid w:val="00B3113B"/>
    <w:rsid w:val="00B32B2B"/>
    <w:rsid w:val="00B415A7"/>
    <w:rsid w:val="00B41E4D"/>
    <w:rsid w:val="00B44ED4"/>
    <w:rsid w:val="00B50327"/>
    <w:rsid w:val="00B70031"/>
    <w:rsid w:val="00B70E79"/>
    <w:rsid w:val="00B70FDE"/>
    <w:rsid w:val="00B7109E"/>
    <w:rsid w:val="00B7245A"/>
    <w:rsid w:val="00B724F3"/>
    <w:rsid w:val="00B7374F"/>
    <w:rsid w:val="00B74062"/>
    <w:rsid w:val="00B74309"/>
    <w:rsid w:val="00B7659E"/>
    <w:rsid w:val="00B77D46"/>
    <w:rsid w:val="00B80753"/>
    <w:rsid w:val="00B84A36"/>
    <w:rsid w:val="00B84D04"/>
    <w:rsid w:val="00B905F5"/>
    <w:rsid w:val="00B92488"/>
    <w:rsid w:val="00B93630"/>
    <w:rsid w:val="00B96439"/>
    <w:rsid w:val="00BA0619"/>
    <w:rsid w:val="00BA1C50"/>
    <w:rsid w:val="00BB151F"/>
    <w:rsid w:val="00BB32F1"/>
    <w:rsid w:val="00BB3582"/>
    <w:rsid w:val="00BB49C9"/>
    <w:rsid w:val="00BB5F5E"/>
    <w:rsid w:val="00BC1D51"/>
    <w:rsid w:val="00BC4936"/>
    <w:rsid w:val="00BD212A"/>
    <w:rsid w:val="00BD2E34"/>
    <w:rsid w:val="00BD3F18"/>
    <w:rsid w:val="00BE3703"/>
    <w:rsid w:val="00BF00C3"/>
    <w:rsid w:val="00BF19D3"/>
    <w:rsid w:val="00BF7FDB"/>
    <w:rsid w:val="00C0453F"/>
    <w:rsid w:val="00C068D2"/>
    <w:rsid w:val="00C06A13"/>
    <w:rsid w:val="00C124B7"/>
    <w:rsid w:val="00C1281B"/>
    <w:rsid w:val="00C13642"/>
    <w:rsid w:val="00C1497D"/>
    <w:rsid w:val="00C20C37"/>
    <w:rsid w:val="00C27A7F"/>
    <w:rsid w:val="00C315C4"/>
    <w:rsid w:val="00C33539"/>
    <w:rsid w:val="00C351A2"/>
    <w:rsid w:val="00C36CCB"/>
    <w:rsid w:val="00C4309A"/>
    <w:rsid w:val="00C4399A"/>
    <w:rsid w:val="00C445D0"/>
    <w:rsid w:val="00C449A8"/>
    <w:rsid w:val="00C45048"/>
    <w:rsid w:val="00C45C0C"/>
    <w:rsid w:val="00C53714"/>
    <w:rsid w:val="00C57D17"/>
    <w:rsid w:val="00C70263"/>
    <w:rsid w:val="00C72E1E"/>
    <w:rsid w:val="00C77A90"/>
    <w:rsid w:val="00C81A1A"/>
    <w:rsid w:val="00C84929"/>
    <w:rsid w:val="00C8679C"/>
    <w:rsid w:val="00C86BA6"/>
    <w:rsid w:val="00C8748D"/>
    <w:rsid w:val="00C9069F"/>
    <w:rsid w:val="00C9340D"/>
    <w:rsid w:val="00C9411A"/>
    <w:rsid w:val="00C95B23"/>
    <w:rsid w:val="00C9616C"/>
    <w:rsid w:val="00CA30B1"/>
    <w:rsid w:val="00CA58BC"/>
    <w:rsid w:val="00CA7B77"/>
    <w:rsid w:val="00CA7D5D"/>
    <w:rsid w:val="00CB09B1"/>
    <w:rsid w:val="00CB257A"/>
    <w:rsid w:val="00CB3930"/>
    <w:rsid w:val="00CB3D87"/>
    <w:rsid w:val="00CB53D3"/>
    <w:rsid w:val="00CB63DC"/>
    <w:rsid w:val="00CC0E1F"/>
    <w:rsid w:val="00CC21EA"/>
    <w:rsid w:val="00CC6F26"/>
    <w:rsid w:val="00CD19B2"/>
    <w:rsid w:val="00CD29A0"/>
    <w:rsid w:val="00CD4867"/>
    <w:rsid w:val="00CD4CAB"/>
    <w:rsid w:val="00CD5485"/>
    <w:rsid w:val="00CD6E0D"/>
    <w:rsid w:val="00CD78F7"/>
    <w:rsid w:val="00CE06B3"/>
    <w:rsid w:val="00CE09DD"/>
    <w:rsid w:val="00CE0BE6"/>
    <w:rsid w:val="00CE2E13"/>
    <w:rsid w:val="00CE416A"/>
    <w:rsid w:val="00CE4901"/>
    <w:rsid w:val="00CE69CB"/>
    <w:rsid w:val="00CE776C"/>
    <w:rsid w:val="00CE7A8B"/>
    <w:rsid w:val="00CF02DF"/>
    <w:rsid w:val="00CF096D"/>
    <w:rsid w:val="00CF109E"/>
    <w:rsid w:val="00CF166B"/>
    <w:rsid w:val="00CF1C41"/>
    <w:rsid w:val="00CF2C38"/>
    <w:rsid w:val="00CF2DB8"/>
    <w:rsid w:val="00CF2F18"/>
    <w:rsid w:val="00CF7E24"/>
    <w:rsid w:val="00D014ED"/>
    <w:rsid w:val="00D06DA5"/>
    <w:rsid w:val="00D07F45"/>
    <w:rsid w:val="00D13B43"/>
    <w:rsid w:val="00D14E19"/>
    <w:rsid w:val="00D20919"/>
    <w:rsid w:val="00D21F4F"/>
    <w:rsid w:val="00D22067"/>
    <w:rsid w:val="00D22A04"/>
    <w:rsid w:val="00D22E53"/>
    <w:rsid w:val="00D23E96"/>
    <w:rsid w:val="00D23EF2"/>
    <w:rsid w:val="00D27F28"/>
    <w:rsid w:val="00D339FE"/>
    <w:rsid w:val="00D3434B"/>
    <w:rsid w:val="00D356AA"/>
    <w:rsid w:val="00D36F25"/>
    <w:rsid w:val="00D42CAA"/>
    <w:rsid w:val="00D42F18"/>
    <w:rsid w:val="00D463CD"/>
    <w:rsid w:val="00D4718A"/>
    <w:rsid w:val="00D50B4B"/>
    <w:rsid w:val="00D50F38"/>
    <w:rsid w:val="00D55583"/>
    <w:rsid w:val="00D55B68"/>
    <w:rsid w:val="00D57E05"/>
    <w:rsid w:val="00D61433"/>
    <w:rsid w:val="00D61C2C"/>
    <w:rsid w:val="00D61C46"/>
    <w:rsid w:val="00D61E33"/>
    <w:rsid w:val="00D63862"/>
    <w:rsid w:val="00D665EA"/>
    <w:rsid w:val="00D67007"/>
    <w:rsid w:val="00D679D7"/>
    <w:rsid w:val="00D7004F"/>
    <w:rsid w:val="00D71722"/>
    <w:rsid w:val="00D71D8B"/>
    <w:rsid w:val="00D723C7"/>
    <w:rsid w:val="00D7260E"/>
    <w:rsid w:val="00D7506C"/>
    <w:rsid w:val="00D75950"/>
    <w:rsid w:val="00D76394"/>
    <w:rsid w:val="00D77FBB"/>
    <w:rsid w:val="00D81902"/>
    <w:rsid w:val="00D81EF1"/>
    <w:rsid w:val="00D8319F"/>
    <w:rsid w:val="00D834EF"/>
    <w:rsid w:val="00D8468C"/>
    <w:rsid w:val="00D852F4"/>
    <w:rsid w:val="00D9225A"/>
    <w:rsid w:val="00DA0AAC"/>
    <w:rsid w:val="00DA1207"/>
    <w:rsid w:val="00DA22E2"/>
    <w:rsid w:val="00DA460F"/>
    <w:rsid w:val="00DB2C98"/>
    <w:rsid w:val="00DB455C"/>
    <w:rsid w:val="00DB4710"/>
    <w:rsid w:val="00DB5BB4"/>
    <w:rsid w:val="00DB6D59"/>
    <w:rsid w:val="00DC2A31"/>
    <w:rsid w:val="00DC3611"/>
    <w:rsid w:val="00DC3A7C"/>
    <w:rsid w:val="00DC50A1"/>
    <w:rsid w:val="00DC55D5"/>
    <w:rsid w:val="00DD1464"/>
    <w:rsid w:val="00DD2FC0"/>
    <w:rsid w:val="00DE0F61"/>
    <w:rsid w:val="00DE16A9"/>
    <w:rsid w:val="00DE3B47"/>
    <w:rsid w:val="00DE4482"/>
    <w:rsid w:val="00DE6D9B"/>
    <w:rsid w:val="00DE7B7A"/>
    <w:rsid w:val="00DF778C"/>
    <w:rsid w:val="00E003D8"/>
    <w:rsid w:val="00E021B7"/>
    <w:rsid w:val="00E05A71"/>
    <w:rsid w:val="00E12E05"/>
    <w:rsid w:val="00E1464D"/>
    <w:rsid w:val="00E14792"/>
    <w:rsid w:val="00E23378"/>
    <w:rsid w:val="00E24E26"/>
    <w:rsid w:val="00E255EA"/>
    <w:rsid w:val="00E33990"/>
    <w:rsid w:val="00E364D9"/>
    <w:rsid w:val="00E400F9"/>
    <w:rsid w:val="00E405A1"/>
    <w:rsid w:val="00E4081F"/>
    <w:rsid w:val="00E45A9D"/>
    <w:rsid w:val="00E50C8E"/>
    <w:rsid w:val="00E53976"/>
    <w:rsid w:val="00E548A7"/>
    <w:rsid w:val="00E55ABB"/>
    <w:rsid w:val="00E5619F"/>
    <w:rsid w:val="00E60778"/>
    <w:rsid w:val="00E65BCA"/>
    <w:rsid w:val="00E66FFB"/>
    <w:rsid w:val="00E76EE8"/>
    <w:rsid w:val="00E77FA0"/>
    <w:rsid w:val="00E82C18"/>
    <w:rsid w:val="00E858DD"/>
    <w:rsid w:val="00E85AF2"/>
    <w:rsid w:val="00E87925"/>
    <w:rsid w:val="00E92AB7"/>
    <w:rsid w:val="00E94911"/>
    <w:rsid w:val="00E9566E"/>
    <w:rsid w:val="00E96B54"/>
    <w:rsid w:val="00E97D06"/>
    <w:rsid w:val="00EA0A2B"/>
    <w:rsid w:val="00EA19D3"/>
    <w:rsid w:val="00EA6AAE"/>
    <w:rsid w:val="00EA6D07"/>
    <w:rsid w:val="00EB0486"/>
    <w:rsid w:val="00EB4138"/>
    <w:rsid w:val="00EB532C"/>
    <w:rsid w:val="00EC277D"/>
    <w:rsid w:val="00EC4585"/>
    <w:rsid w:val="00EC586D"/>
    <w:rsid w:val="00EC65D4"/>
    <w:rsid w:val="00EC6F3C"/>
    <w:rsid w:val="00EC7757"/>
    <w:rsid w:val="00ED29E1"/>
    <w:rsid w:val="00ED2B6B"/>
    <w:rsid w:val="00ED3C08"/>
    <w:rsid w:val="00ED478C"/>
    <w:rsid w:val="00ED4D2A"/>
    <w:rsid w:val="00ED4FE9"/>
    <w:rsid w:val="00ED5992"/>
    <w:rsid w:val="00ED7A1A"/>
    <w:rsid w:val="00ED7C0A"/>
    <w:rsid w:val="00EE50E6"/>
    <w:rsid w:val="00EE54B7"/>
    <w:rsid w:val="00EE7C2E"/>
    <w:rsid w:val="00EF179D"/>
    <w:rsid w:val="00EF5F18"/>
    <w:rsid w:val="00F0047D"/>
    <w:rsid w:val="00F02782"/>
    <w:rsid w:val="00F12BD1"/>
    <w:rsid w:val="00F15BAD"/>
    <w:rsid w:val="00F169CA"/>
    <w:rsid w:val="00F253AF"/>
    <w:rsid w:val="00F262C0"/>
    <w:rsid w:val="00F26751"/>
    <w:rsid w:val="00F274C4"/>
    <w:rsid w:val="00F3788C"/>
    <w:rsid w:val="00F4309B"/>
    <w:rsid w:val="00F43271"/>
    <w:rsid w:val="00F46EBA"/>
    <w:rsid w:val="00F5184D"/>
    <w:rsid w:val="00F529D5"/>
    <w:rsid w:val="00F5513C"/>
    <w:rsid w:val="00F55F71"/>
    <w:rsid w:val="00F62758"/>
    <w:rsid w:val="00F63BC1"/>
    <w:rsid w:val="00F6582A"/>
    <w:rsid w:val="00F65F43"/>
    <w:rsid w:val="00F67126"/>
    <w:rsid w:val="00F70C0A"/>
    <w:rsid w:val="00F70F20"/>
    <w:rsid w:val="00F71FC5"/>
    <w:rsid w:val="00F727EF"/>
    <w:rsid w:val="00F72908"/>
    <w:rsid w:val="00F7348E"/>
    <w:rsid w:val="00F73875"/>
    <w:rsid w:val="00F75130"/>
    <w:rsid w:val="00F754D8"/>
    <w:rsid w:val="00F75AD4"/>
    <w:rsid w:val="00F7640C"/>
    <w:rsid w:val="00F828A5"/>
    <w:rsid w:val="00F86099"/>
    <w:rsid w:val="00F914BA"/>
    <w:rsid w:val="00F95378"/>
    <w:rsid w:val="00F96589"/>
    <w:rsid w:val="00FA0006"/>
    <w:rsid w:val="00FA13F7"/>
    <w:rsid w:val="00FA1A1F"/>
    <w:rsid w:val="00FA2574"/>
    <w:rsid w:val="00FA2775"/>
    <w:rsid w:val="00FA2CF9"/>
    <w:rsid w:val="00FA4A79"/>
    <w:rsid w:val="00FA7430"/>
    <w:rsid w:val="00FA7534"/>
    <w:rsid w:val="00FB0E8F"/>
    <w:rsid w:val="00FB0F87"/>
    <w:rsid w:val="00FB141C"/>
    <w:rsid w:val="00FB1777"/>
    <w:rsid w:val="00FB3830"/>
    <w:rsid w:val="00FB4188"/>
    <w:rsid w:val="00FB54E1"/>
    <w:rsid w:val="00FB6DAC"/>
    <w:rsid w:val="00FC3998"/>
    <w:rsid w:val="00FC55F6"/>
    <w:rsid w:val="00FC5791"/>
    <w:rsid w:val="00FC6F40"/>
    <w:rsid w:val="00FC7C2F"/>
    <w:rsid w:val="00FD202B"/>
    <w:rsid w:val="00FD2F0C"/>
    <w:rsid w:val="00FD7275"/>
    <w:rsid w:val="00FE3499"/>
    <w:rsid w:val="00FE4DC8"/>
    <w:rsid w:val="00FE61DD"/>
    <w:rsid w:val="00FE64E8"/>
    <w:rsid w:val="00FE66EE"/>
    <w:rsid w:val="00FE6C22"/>
    <w:rsid w:val="00FF01FA"/>
    <w:rsid w:val="00FF0C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8371191"/>
  <w15:chartTrackingRefBased/>
  <w15:docId w15:val="{7DC25C15-1733-482C-BA9D-188E1045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09B"/>
    <w:pPr>
      <w:spacing w:after="200" w:line="276" w:lineRule="auto"/>
    </w:pPr>
    <w:rPr>
      <w:rFonts w:cs="Calibri"/>
      <w:sz w:val="22"/>
      <w:szCs w:val="22"/>
      <w:lang w:eastAsia="en-US"/>
    </w:rPr>
  </w:style>
  <w:style w:type="paragraph" w:styleId="Heading1">
    <w:name w:val="heading 1"/>
    <w:basedOn w:val="Normal"/>
    <w:next w:val="Normal"/>
    <w:link w:val="Heading1Char"/>
    <w:uiPriority w:val="99"/>
    <w:qFormat/>
    <w:rsid w:val="004958F6"/>
    <w:pPr>
      <w:widowControl w:val="0"/>
      <w:autoSpaceDE w:val="0"/>
      <w:autoSpaceDN w:val="0"/>
      <w:adjustRightInd w:val="0"/>
      <w:spacing w:before="240" w:after="240" w:line="240" w:lineRule="auto"/>
      <w:outlineLvl w:val="0"/>
    </w:pPr>
    <w:rPr>
      <w:rFonts w:ascii="Times New Roman" w:hAnsi="Times New Roman" w:cs="Times New Roman"/>
      <w:b/>
      <w:bCs/>
      <w:sz w:val="24"/>
      <w:szCs w:val="24"/>
      <w:lang w:val="x-none" w:eastAsia="en-AU"/>
    </w:rPr>
  </w:style>
  <w:style w:type="paragraph" w:styleId="Heading2">
    <w:name w:val="heading 2"/>
    <w:basedOn w:val="Normal"/>
    <w:next w:val="Normal"/>
    <w:link w:val="Heading2Char"/>
    <w:uiPriority w:val="99"/>
    <w:qFormat/>
    <w:rsid w:val="004958F6"/>
    <w:pPr>
      <w:widowControl w:val="0"/>
      <w:autoSpaceDE w:val="0"/>
      <w:autoSpaceDN w:val="0"/>
      <w:adjustRightInd w:val="0"/>
      <w:spacing w:before="240" w:after="240" w:line="240" w:lineRule="auto"/>
      <w:outlineLvl w:val="1"/>
    </w:pPr>
    <w:rPr>
      <w:rFonts w:ascii="Times New Roman" w:hAnsi="Times New Roman" w:cs="Times New Roman"/>
      <w:sz w:val="24"/>
      <w:szCs w:val="24"/>
      <w:lang w:val="x-none" w:eastAsia="en-AU"/>
    </w:rPr>
  </w:style>
  <w:style w:type="paragraph" w:styleId="Heading3">
    <w:name w:val="heading 3"/>
    <w:basedOn w:val="Normal"/>
    <w:next w:val="Normal"/>
    <w:link w:val="Heading3Char"/>
    <w:semiHidden/>
    <w:unhideWhenUsed/>
    <w:qFormat/>
    <w:locked/>
    <w:rsid w:val="00DE0F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9"/>
    <w:qFormat/>
    <w:rsid w:val="00B74309"/>
    <w:pPr>
      <w:keepNext/>
      <w:keepLines/>
      <w:spacing w:before="200" w:after="0"/>
      <w:outlineLvl w:val="3"/>
    </w:pPr>
    <w:rPr>
      <w:rFonts w:ascii="Cambria" w:hAnsi="Cambria" w:cs="Times New Roman"/>
      <w:b/>
      <w:bCs/>
      <w:i/>
      <w:i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958F6"/>
    <w:rPr>
      <w:rFonts w:ascii="Times New Roman" w:hAnsi="Times New Roman" w:cs="Times New Roman"/>
      <w:b/>
      <w:bCs/>
      <w:sz w:val="24"/>
      <w:szCs w:val="24"/>
      <w:lang w:eastAsia="en-AU"/>
    </w:rPr>
  </w:style>
  <w:style w:type="character" w:customStyle="1" w:styleId="Heading2Char">
    <w:name w:val="Heading 2 Char"/>
    <w:link w:val="Heading2"/>
    <w:uiPriority w:val="99"/>
    <w:locked/>
    <w:rsid w:val="004958F6"/>
    <w:rPr>
      <w:rFonts w:ascii="Times New Roman" w:hAnsi="Times New Roman" w:cs="Times New Roman"/>
      <w:sz w:val="24"/>
      <w:szCs w:val="24"/>
      <w:lang w:eastAsia="en-AU"/>
    </w:rPr>
  </w:style>
  <w:style w:type="character" w:customStyle="1" w:styleId="Heading4Char">
    <w:name w:val="Heading 4 Char"/>
    <w:link w:val="Heading4"/>
    <w:uiPriority w:val="99"/>
    <w:semiHidden/>
    <w:locked/>
    <w:rsid w:val="00B74309"/>
    <w:rPr>
      <w:rFonts w:ascii="Cambria" w:hAnsi="Cambria" w:cs="Cambria"/>
      <w:b/>
      <w:bCs/>
      <w:i/>
      <w:iCs/>
      <w:color w:val="4F81BD"/>
    </w:rPr>
  </w:style>
  <w:style w:type="paragraph" w:styleId="Header">
    <w:name w:val="header"/>
    <w:basedOn w:val="Normal"/>
    <w:link w:val="HeaderChar"/>
    <w:uiPriority w:val="99"/>
    <w:rsid w:val="004958F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958F6"/>
  </w:style>
  <w:style w:type="paragraph" w:styleId="Footer">
    <w:name w:val="footer"/>
    <w:basedOn w:val="Normal"/>
    <w:link w:val="FooterChar"/>
    <w:uiPriority w:val="99"/>
    <w:rsid w:val="004958F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958F6"/>
  </w:style>
  <w:style w:type="paragraph" w:styleId="BalloonText">
    <w:name w:val="Balloon Text"/>
    <w:basedOn w:val="Normal"/>
    <w:link w:val="BalloonTextChar"/>
    <w:uiPriority w:val="99"/>
    <w:semiHidden/>
    <w:rsid w:val="004958F6"/>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locked/>
    <w:rsid w:val="004958F6"/>
    <w:rPr>
      <w:rFonts w:ascii="Tahoma" w:hAnsi="Tahoma" w:cs="Tahoma"/>
      <w:sz w:val="16"/>
      <w:szCs w:val="16"/>
    </w:rPr>
  </w:style>
  <w:style w:type="paragraph" w:customStyle="1" w:styleId="base-text-paragraphnonumbers">
    <w:name w:val="base-text-paragraph no numbers"/>
    <w:basedOn w:val="Normal"/>
    <w:uiPriority w:val="99"/>
    <w:rsid w:val="004958F6"/>
    <w:pPr>
      <w:spacing w:before="120" w:after="120" w:line="240" w:lineRule="auto"/>
      <w:ind w:left="1134"/>
    </w:pPr>
    <w:rPr>
      <w:rFonts w:ascii="Times New Roman" w:eastAsia="Times New Roman" w:hAnsi="Times New Roman" w:cs="Times New Roman"/>
      <w:lang w:eastAsia="en-AU"/>
    </w:rPr>
  </w:style>
  <w:style w:type="paragraph" w:styleId="ListParagraph">
    <w:name w:val="List Paragraph"/>
    <w:basedOn w:val="Normal"/>
    <w:link w:val="ListParagraphChar"/>
    <w:uiPriority w:val="99"/>
    <w:qFormat/>
    <w:rsid w:val="0077547B"/>
    <w:pPr>
      <w:ind w:left="720"/>
    </w:pPr>
    <w:rPr>
      <w:rFonts w:eastAsia="Times New Roman" w:cs="Times New Roman"/>
      <w:sz w:val="20"/>
      <w:szCs w:val="20"/>
      <w:lang w:val="x-none" w:eastAsia="x-none"/>
    </w:rPr>
  </w:style>
  <w:style w:type="character" w:styleId="CommentReference">
    <w:name w:val="annotation reference"/>
    <w:uiPriority w:val="99"/>
    <w:semiHidden/>
    <w:rsid w:val="0077547B"/>
    <w:rPr>
      <w:sz w:val="16"/>
      <w:szCs w:val="16"/>
    </w:rPr>
  </w:style>
  <w:style w:type="paragraph" w:styleId="CommentText">
    <w:name w:val="annotation text"/>
    <w:basedOn w:val="Normal"/>
    <w:link w:val="CommentTextChar"/>
    <w:uiPriority w:val="99"/>
    <w:semiHidden/>
    <w:rsid w:val="0077547B"/>
    <w:pPr>
      <w:spacing w:line="240" w:lineRule="auto"/>
    </w:pPr>
    <w:rPr>
      <w:rFonts w:cs="Times New Roman"/>
      <w:sz w:val="20"/>
      <w:szCs w:val="20"/>
      <w:lang w:val="x-none" w:eastAsia="x-none"/>
    </w:rPr>
  </w:style>
  <w:style w:type="character" w:customStyle="1" w:styleId="CommentTextChar">
    <w:name w:val="Comment Text Char"/>
    <w:link w:val="CommentText"/>
    <w:uiPriority w:val="99"/>
    <w:locked/>
    <w:rsid w:val="0077547B"/>
    <w:rPr>
      <w:sz w:val="20"/>
      <w:szCs w:val="20"/>
    </w:rPr>
  </w:style>
  <w:style w:type="paragraph" w:styleId="CommentSubject">
    <w:name w:val="annotation subject"/>
    <w:basedOn w:val="CommentText"/>
    <w:next w:val="CommentText"/>
    <w:link w:val="CommentSubjectChar"/>
    <w:uiPriority w:val="99"/>
    <w:semiHidden/>
    <w:rsid w:val="0077547B"/>
    <w:rPr>
      <w:b/>
      <w:bCs/>
    </w:rPr>
  </w:style>
  <w:style w:type="character" w:customStyle="1" w:styleId="CommentSubjectChar">
    <w:name w:val="Comment Subject Char"/>
    <w:link w:val="CommentSubject"/>
    <w:uiPriority w:val="99"/>
    <w:semiHidden/>
    <w:locked/>
    <w:rsid w:val="0077547B"/>
    <w:rPr>
      <w:b/>
      <w:bCs/>
      <w:sz w:val="20"/>
      <w:szCs w:val="20"/>
    </w:rPr>
  </w:style>
  <w:style w:type="character" w:styleId="Hyperlink">
    <w:name w:val="Hyperlink"/>
    <w:uiPriority w:val="99"/>
    <w:rsid w:val="00EB532C"/>
    <w:rPr>
      <w:color w:val="0000FF"/>
      <w:u w:val="single"/>
    </w:rPr>
  </w:style>
  <w:style w:type="character" w:styleId="FollowedHyperlink">
    <w:name w:val="FollowedHyperlink"/>
    <w:uiPriority w:val="99"/>
    <w:semiHidden/>
    <w:rsid w:val="006C59E8"/>
    <w:rPr>
      <w:color w:val="800080"/>
      <w:u w:val="single"/>
    </w:rPr>
  </w:style>
  <w:style w:type="paragraph" w:customStyle="1" w:styleId="Default">
    <w:name w:val="Default"/>
    <w:basedOn w:val="Normal"/>
    <w:uiPriority w:val="99"/>
    <w:rsid w:val="00B7245A"/>
    <w:pPr>
      <w:autoSpaceDE w:val="0"/>
      <w:autoSpaceDN w:val="0"/>
      <w:spacing w:after="0" w:line="240" w:lineRule="auto"/>
    </w:pPr>
    <w:rPr>
      <w:rFonts w:ascii="Arial" w:hAnsi="Arial" w:cs="Arial"/>
      <w:color w:val="000000"/>
      <w:sz w:val="24"/>
      <w:szCs w:val="24"/>
      <w:lang w:eastAsia="en-AU"/>
    </w:rPr>
  </w:style>
  <w:style w:type="character" w:customStyle="1" w:styleId="ListParagraphChar">
    <w:name w:val="List Paragraph Char"/>
    <w:link w:val="ListParagraph"/>
    <w:uiPriority w:val="99"/>
    <w:locked/>
    <w:rsid w:val="00B7245A"/>
    <w:rPr>
      <w:rFonts w:ascii="Calibri" w:eastAsia="Times New Roman" w:hAnsi="Calibri" w:cs="Calibri"/>
    </w:rPr>
  </w:style>
  <w:style w:type="table" w:styleId="TableGrid">
    <w:name w:val="Table Grid"/>
    <w:basedOn w:val="TableNormal"/>
    <w:uiPriority w:val="39"/>
    <w:rsid w:val="001B0BE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43AB8"/>
    <w:rPr>
      <w:rFonts w:cs="Calibri"/>
      <w:sz w:val="22"/>
      <w:szCs w:val="22"/>
      <w:lang w:eastAsia="en-US"/>
    </w:rPr>
  </w:style>
  <w:style w:type="paragraph" w:customStyle="1" w:styleId="ChapterHeading">
    <w:name w:val="Chapter Heading"/>
    <w:next w:val="Heading2"/>
    <w:rsid w:val="00B74309"/>
    <w:pPr>
      <w:numPr>
        <w:numId w:val="13"/>
      </w:numPr>
      <w:pBdr>
        <w:top w:val="single" w:sz="4" w:space="1" w:color="auto"/>
        <w:bottom w:val="single" w:sz="4" w:space="1" w:color="auto"/>
      </w:pBdr>
      <w:tabs>
        <w:tab w:val="clear" w:pos="1134"/>
        <w:tab w:val="num" w:pos="360"/>
      </w:tabs>
      <w:spacing w:before="240" w:line="260" w:lineRule="atLeast"/>
    </w:pPr>
    <w:rPr>
      <w:rFonts w:ascii="Helvetica" w:eastAsia="Times New Roman" w:hAnsi="Helvetica" w:cs="Helvetica"/>
      <w:b/>
      <w:bCs/>
      <w:i/>
      <w:iCs/>
      <w:sz w:val="38"/>
      <w:szCs w:val="38"/>
    </w:rPr>
  </w:style>
  <w:style w:type="paragraph" w:customStyle="1" w:styleId="TableHeadingoutsidetable">
    <w:name w:val="Table Heading (outside table)"/>
    <w:basedOn w:val="Heading4"/>
    <w:rsid w:val="00B74309"/>
    <w:pPr>
      <w:keepLines w:val="0"/>
      <w:numPr>
        <w:ilvl w:val="4"/>
        <w:numId w:val="13"/>
      </w:numPr>
      <w:tabs>
        <w:tab w:val="num" w:pos="360"/>
      </w:tabs>
      <w:spacing w:before="120" w:after="120" w:line="240" w:lineRule="auto"/>
      <w:ind w:left="0"/>
    </w:pPr>
    <w:rPr>
      <w:rFonts w:ascii="Times New Roman" w:hAnsi="Times New Roman"/>
      <w:i w:val="0"/>
      <w:iCs w:val="0"/>
      <w:color w:val="auto"/>
      <w:lang w:eastAsia="en-AU"/>
    </w:rPr>
  </w:style>
  <w:style w:type="paragraph" w:customStyle="1" w:styleId="base-text-paragraph">
    <w:name w:val="base-text-paragraph"/>
    <w:basedOn w:val="Normal"/>
    <w:link w:val="base-text-paragraphChar"/>
    <w:rsid w:val="00B74309"/>
    <w:pPr>
      <w:numPr>
        <w:ilvl w:val="1"/>
        <w:numId w:val="13"/>
      </w:numPr>
      <w:spacing w:before="120" w:after="120" w:line="240" w:lineRule="auto"/>
    </w:pPr>
    <w:rPr>
      <w:rFonts w:ascii="Times New Roman" w:hAnsi="Times New Roman" w:cs="Times New Roman"/>
      <w:sz w:val="20"/>
      <w:szCs w:val="20"/>
      <w:lang w:val="x-none" w:eastAsia="en-AU"/>
    </w:rPr>
  </w:style>
  <w:style w:type="paragraph" w:customStyle="1" w:styleId="ExampleHeading">
    <w:name w:val="Example Heading"/>
    <w:basedOn w:val="Normal"/>
    <w:next w:val="Normal"/>
    <w:rsid w:val="00B74309"/>
    <w:pPr>
      <w:keepNext/>
      <w:numPr>
        <w:ilvl w:val="3"/>
        <w:numId w:val="13"/>
      </w:numPr>
      <w:tabs>
        <w:tab w:val="num" w:pos="360"/>
      </w:tabs>
      <w:spacing w:before="120" w:after="120" w:line="240" w:lineRule="auto"/>
      <w:ind w:left="0"/>
    </w:pPr>
    <w:rPr>
      <w:rFonts w:ascii="Times New Roman" w:eastAsia="Times New Roman" w:hAnsi="Times New Roman" w:cs="Times New Roman"/>
      <w:b/>
      <w:bCs/>
      <w:lang w:eastAsia="en-AU"/>
    </w:rPr>
  </w:style>
  <w:style w:type="paragraph" w:customStyle="1" w:styleId="Diagram">
    <w:name w:val="Diagram"/>
    <w:basedOn w:val="Normal"/>
    <w:next w:val="Normal"/>
    <w:rsid w:val="00B74309"/>
    <w:pPr>
      <w:keepNext/>
      <w:numPr>
        <w:ilvl w:val="2"/>
        <w:numId w:val="13"/>
      </w:numPr>
      <w:spacing w:after="0" w:line="240" w:lineRule="auto"/>
    </w:pPr>
    <w:rPr>
      <w:rFonts w:ascii="Times New Roman" w:eastAsia="Times New Roman" w:hAnsi="Times New Roman" w:cs="Times New Roman"/>
      <w:b/>
      <w:bCs/>
      <w:lang w:eastAsia="en-AU"/>
    </w:rPr>
  </w:style>
  <w:style w:type="character" w:customStyle="1" w:styleId="base-text-paragraphChar">
    <w:name w:val="base-text-paragraph Char"/>
    <w:link w:val="base-text-paragraph"/>
    <w:locked/>
    <w:rsid w:val="00B74309"/>
    <w:rPr>
      <w:rFonts w:ascii="Times New Roman" w:hAnsi="Times New Roman" w:cs="Times New Roman"/>
      <w:sz w:val="20"/>
      <w:szCs w:val="20"/>
      <w:lang w:eastAsia="en-AU"/>
    </w:rPr>
  </w:style>
  <w:style w:type="numbering" w:customStyle="1" w:styleId="ChapterList">
    <w:name w:val="ChapterList"/>
    <w:uiPriority w:val="99"/>
    <w:rsid w:val="00DD3E9C"/>
    <w:pPr>
      <w:numPr>
        <w:numId w:val="12"/>
      </w:numPr>
    </w:pPr>
  </w:style>
  <w:style w:type="paragraph" w:customStyle="1" w:styleId="subsection">
    <w:name w:val="subsection"/>
    <w:aliases w:val="ss,t_Main"/>
    <w:basedOn w:val="Normal"/>
    <w:link w:val="subsectionChar"/>
    <w:qFormat/>
    <w:rsid w:val="00727459"/>
    <w:pPr>
      <w:tabs>
        <w:tab w:val="right" w:pos="1021"/>
      </w:tabs>
      <w:spacing w:before="180" w:after="0" w:line="240" w:lineRule="auto"/>
      <w:ind w:left="1134" w:hanging="1134"/>
    </w:pPr>
    <w:rPr>
      <w:rFonts w:ascii="Times New Roman" w:eastAsia="Times New Roman" w:hAnsi="Times New Roman" w:cs="Times New Roman"/>
      <w:sz w:val="20"/>
      <w:szCs w:val="20"/>
      <w:lang w:eastAsia="en-AU"/>
    </w:rPr>
  </w:style>
  <w:style w:type="character" w:customStyle="1" w:styleId="subsectionChar">
    <w:name w:val="subsection Char"/>
    <w:aliases w:val="ss Char"/>
    <w:link w:val="subsection"/>
    <w:locked/>
    <w:rsid w:val="00727459"/>
    <w:rPr>
      <w:rFonts w:ascii="Times New Roman" w:eastAsia="Times New Roman" w:hAnsi="Times New Roman"/>
      <w:szCs w:val="20"/>
      <w:lang w:val="en-AU" w:eastAsia="en-AU"/>
    </w:rPr>
  </w:style>
  <w:style w:type="character" w:customStyle="1" w:styleId="Heading3Char">
    <w:name w:val="Heading 3 Char"/>
    <w:basedOn w:val="DefaultParagraphFont"/>
    <w:link w:val="Heading3"/>
    <w:semiHidden/>
    <w:rsid w:val="00DE0F61"/>
    <w:rPr>
      <w:rFonts w:asciiTheme="majorHAnsi" w:eastAsiaTheme="majorEastAsia" w:hAnsiTheme="majorHAnsi" w:cstheme="majorBidi"/>
      <w:color w:val="1F3763" w:themeColor="accent1" w:themeShade="7F"/>
      <w:sz w:val="24"/>
      <w:szCs w:val="24"/>
      <w:lang w:eastAsia="en-US"/>
    </w:rPr>
  </w:style>
  <w:style w:type="paragraph" w:styleId="FootnoteText">
    <w:name w:val="footnote text"/>
    <w:basedOn w:val="Normal"/>
    <w:link w:val="FootnoteTextChar"/>
    <w:uiPriority w:val="99"/>
    <w:semiHidden/>
    <w:unhideWhenUsed/>
    <w:rsid w:val="00807BC2"/>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07BC2"/>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807BC2"/>
    <w:rPr>
      <w:vertAlign w:val="superscript"/>
    </w:rPr>
  </w:style>
  <w:style w:type="character" w:styleId="UnresolvedMention">
    <w:name w:val="Unresolved Mention"/>
    <w:basedOn w:val="DefaultParagraphFont"/>
    <w:uiPriority w:val="99"/>
    <w:semiHidden/>
    <w:unhideWhenUsed/>
    <w:rsid w:val="00807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88436">
      <w:bodyDiv w:val="1"/>
      <w:marLeft w:val="0"/>
      <w:marRight w:val="0"/>
      <w:marTop w:val="0"/>
      <w:marBottom w:val="0"/>
      <w:divBdr>
        <w:top w:val="none" w:sz="0" w:space="0" w:color="auto"/>
        <w:left w:val="none" w:sz="0" w:space="0" w:color="auto"/>
        <w:bottom w:val="none" w:sz="0" w:space="0" w:color="auto"/>
        <w:right w:val="none" w:sz="0" w:space="0" w:color="auto"/>
      </w:divBdr>
    </w:div>
    <w:div w:id="213856030">
      <w:bodyDiv w:val="1"/>
      <w:marLeft w:val="0"/>
      <w:marRight w:val="0"/>
      <w:marTop w:val="0"/>
      <w:marBottom w:val="0"/>
      <w:divBdr>
        <w:top w:val="none" w:sz="0" w:space="0" w:color="auto"/>
        <w:left w:val="none" w:sz="0" w:space="0" w:color="auto"/>
        <w:bottom w:val="none" w:sz="0" w:space="0" w:color="auto"/>
        <w:right w:val="none" w:sz="0" w:space="0" w:color="auto"/>
      </w:divBdr>
    </w:div>
    <w:div w:id="246041413">
      <w:bodyDiv w:val="1"/>
      <w:marLeft w:val="0"/>
      <w:marRight w:val="0"/>
      <w:marTop w:val="0"/>
      <w:marBottom w:val="0"/>
      <w:divBdr>
        <w:top w:val="none" w:sz="0" w:space="0" w:color="auto"/>
        <w:left w:val="none" w:sz="0" w:space="0" w:color="auto"/>
        <w:bottom w:val="none" w:sz="0" w:space="0" w:color="auto"/>
        <w:right w:val="none" w:sz="0" w:space="0" w:color="auto"/>
      </w:divBdr>
    </w:div>
    <w:div w:id="321007471">
      <w:bodyDiv w:val="1"/>
      <w:marLeft w:val="0"/>
      <w:marRight w:val="0"/>
      <w:marTop w:val="0"/>
      <w:marBottom w:val="0"/>
      <w:divBdr>
        <w:top w:val="none" w:sz="0" w:space="0" w:color="auto"/>
        <w:left w:val="none" w:sz="0" w:space="0" w:color="auto"/>
        <w:bottom w:val="none" w:sz="0" w:space="0" w:color="auto"/>
        <w:right w:val="none" w:sz="0" w:space="0" w:color="auto"/>
      </w:divBdr>
    </w:div>
    <w:div w:id="536625125">
      <w:bodyDiv w:val="1"/>
      <w:marLeft w:val="0"/>
      <w:marRight w:val="0"/>
      <w:marTop w:val="0"/>
      <w:marBottom w:val="0"/>
      <w:divBdr>
        <w:top w:val="none" w:sz="0" w:space="0" w:color="auto"/>
        <w:left w:val="none" w:sz="0" w:space="0" w:color="auto"/>
        <w:bottom w:val="none" w:sz="0" w:space="0" w:color="auto"/>
        <w:right w:val="none" w:sz="0" w:space="0" w:color="auto"/>
      </w:divBdr>
    </w:div>
    <w:div w:id="543830903">
      <w:bodyDiv w:val="1"/>
      <w:marLeft w:val="0"/>
      <w:marRight w:val="0"/>
      <w:marTop w:val="0"/>
      <w:marBottom w:val="0"/>
      <w:divBdr>
        <w:top w:val="none" w:sz="0" w:space="0" w:color="auto"/>
        <w:left w:val="none" w:sz="0" w:space="0" w:color="auto"/>
        <w:bottom w:val="none" w:sz="0" w:space="0" w:color="auto"/>
        <w:right w:val="none" w:sz="0" w:space="0" w:color="auto"/>
      </w:divBdr>
    </w:div>
    <w:div w:id="697925052">
      <w:bodyDiv w:val="1"/>
      <w:marLeft w:val="0"/>
      <w:marRight w:val="0"/>
      <w:marTop w:val="0"/>
      <w:marBottom w:val="0"/>
      <w:divBdr>
        <w:top w:val="none" w:sz="0" w:space="0" w:color="auto"/>
        <w:left w:val="none" w:sz="0" w:space="0" w:color="auto"/>
        <w:bottom w:val="none" w:sz="0" w:space="0" w:color="auto"/>
        <w:right w:val="none" w:sz="0" w:space="0" w:color="auto"/>
      </w:divBdr>
    </w:div>
    <w:div w:id="752052172">
      <w:bodyDiv w:val="1"/>
      <w:marLeft w:val="0"/>
      <w:marRight w:val="0"/>
      <w:marTop w:val="0"/>
      <w:marBottom w:val="0"/>
      <w:divBdr>
        <w:top w:val="none" w:sz="0" w:space="0" w:color="auto"/>
        <w:left w:val="none" w:sz="0" w:space="0" w:color="auto"/>
        <w:bottom w:val="none" w:sz="0" w:space="0" w:color="auto"/>
        <w:right w:val="none" w:sz="0" w:space="0" w:color="auto"/>
      </w:divBdr>
    </w:div>
    <w:div w:id="846944157">
      <w:marLeft w:val="0"/>
      <w:marRight w:val="0"/>
      <w:marTop w:val="0"/>
      <w:marBottom w:val="0"/>
      <w:divBdr>
        <w:top w:val="none" w:sz="0" w:space="0" w:color="auto"/>
        <w:left w:val="none" w:sz="0" w:space="0" w:color="auto"/>
        <w:bottom w:val="none" w:sz="0" w:space="0" w:color="auto"/>
        <w:right w:val="none" w:sz="0" w:space="0" w:color="auto"/>
      </w:divBdr>
    </w:div>
    <w:div w:id="846944158">
      <w:marLeft w:val="0"/>
      <w:marRight w:val="0"/>
      <w:marTop w:val="0"/>
      <w:marBottom w:val="0"/>
      <w:divBdr>
        <w:top w:val="none" w:sz="0" w:space="0" w:color="auto"/>
        <w:left w:val="none" w:sz="0" w:space="0" w:color="auto"/>
        <w:bottom w:val="none" w:sz="0" w:space="0" w:color="auto"/>
        <w:right w:val="none" w:sz="0" w:space="0" w:color="auto"/>
      </w:divBdr>
    </w:div>
    <w:div w:id="1131511610">
      <w:bodyDiv w:val="1"/>
      <w:marLeft w:val="0"/>
      <w:marRight w:val="0"/>
      <w:marTop w:val="0"/>
      <w:marBottom w:val="0"/>
      <w:divBdr>
        <w:top w:val="none" w:sz="0" w:space="0" w:color="auto"/>
        <w:left w:val="none" w:sz="0" w:space="0" w:color="auto"/>
        <w:bottom w:val="none" w:sz="0" w:space="0" w:color="auto"/>
        <w:right w:val="none" w:sz="0" w:space="0" w:color="auto"/>
      </w:divBdr>
    </w:div>
    <w:div w:id="1257708478">
      <w:bodyDiv w:val="1"/>
      <w:marLeft w:val="0"/>
      <w:marRight w:val="0"/>
      <w:marTop w:val="0"/>
      <w:marBottom w:val="0"/>
      <w:divBdr>
        <w:top w:val="none" w:sz="0" w:space="0" w:color="auto"/>
        <w:left w:val="none" w:sz="0" w:space="0" w:color="auto"/>
        <w:bottom w:val="none" w:sz="0" w:space="0" w:color="auto"/>
        <w:right w:val="none" w:sz="0" w:space="0" w:color="auto"/>
      </w:divBdr>
    </w:div>
    <w:div w:id="1300302374">
      <w:bodyDiv w:val="1"/>
      <w:marLeft w:val="0"/>
      <w:marRight w:val="0"/>
      <w:marTop w:val="0"/>
      <w:marBottom w:val="0"/>
      <w:divBdr>
        <w:top w:val="none" w:sz="0" w:space="0" w:color="auto"/>
        <w:left w:val="none" w:sz="0" w:space="0" w:color="auto"/>
        <w:bottom w:val="none" w:sz="0" w:space="0" w:color="auto"/>
        <w:right w:val="none" w:sz="0" w:space="0" w:color="auto"/>
      </w:divBdr>
    </w:div>
    <w:div w:id="1438672930">
      <w:bodyDiv w:val="1"/>
      <w:marLeft w:val="0"/>
      <w:marRight w:val="0"/>
      <w:marTop w:val="0"/>
      <w:marBottom w:val="0"/>
      <w:divBdr>
        <w:top w:val="none" w:sz="0" w:space="0" w:color="auto"/>
        <w:left w:val="none" w:sz="0" w:space="0" w:color="auto"/>
        <w:bottom w:val="none" w:sz="0" w:space="0" w:color="auto"/>
        <w:right w:val="none" w:sz="0" w:space="0" w:color="auto"/>
      </w:divBdr>
    </w:div>
    <w:div w:id="173454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industry.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ER_DLM xmlns="476D25E0-46CD-4971-A0FE-8237EC9DBE6E">For Official Use Only (FOUO)</CER_DLM>
    <EDi_VitalDocument xmlns="476d25e0-46cd-4971-a0fe-8237ec9dbe6e">No</EDi_VitalDocument>
    <EDi_RecordNumber xmlns="476D25E0-46CD-4971-A0FE-8237EC9DBE6E" xsi:nil="true"/>
    <CER_FileClassification xmlns="476D25E0-46CD-4971-A0FE-8237EC9DBE6E">Unclassified</CER_FileClassification>
    <EDi_BCPDocument xmlns="476d25e0-46cd-4971-a0fe-8237ec9dbe6e">No</EDi_BCPDocument>
    <EDi_DocumentDescription xmlns="476d25e0-46cd-4971-a0fe-8237ec9dbe6e" xsi:nil="true"/>
    <CER_DocumentGUID xmlns="476d25e0-46cd-4971-a0fe-8237ec9dbe6e" xsi:nil="true"/>
    <CER_FileStatus xmlns="476D25E0-46CD-4971-A0FE-8237EC9DBE6E">Open</CER_FileStatus>
    <TaxCatchAll xmlns="fea560b0-206f-46eb-a9d8-4504da3da1d2">
      <Value>7</Value>
    </TaxCatchAll>
    <_dlc_DocId xmlns="35d7dce1-22dc-4c3f-bf90-aebce6a2395f">CER-00813959</_dlc_DocId>
    <g1c5c8a5ed744825af876dc81dccc5dd xmlns="35d7dce1-22dc-4c3f-bf90-aebce6a2395f">
      <Terms xmlns="http://schemas.microsoft.com/office/infopath/2007/PartnerControls"/>
    </g1c5c8a5ed744825af876dc81dccc5dd>
    <jfdbf192cf3e432bae7ead6b01437832 xmlns="35d7dce1-22dc-4c3f-bf90-aebce6a2395f">
      <Terms xmlns="http://schemas.microsoft.com/office/infopath/2007/PartnerControls"/>
    </jfdbf192cf3e432bae7ead6b01437832>
    <m580224f57af48d5998ad1d627b3f8a6 xmlns="35d7dce1-22dc-4c3f-bf90-aebce6a2395f">
      <Terms xmlns="http://schemas.microsoft.com/office/infopath/2007/PartnerControls"/>
    </m580224f57af48d5998ad1d627b3f8a6>
    <aa7cfb7b7c8a4cdc88e464a139bfbbb5 xmlns="35d7dce1-22dc-4c3f-bf90-aebce6a2395f">
      <Terms xmlns="http://schemas.microsoft.com/office/infopath/2007/PartnerControls"/>
    </aa7cfb7b7c8a4cdc88e464a139bfbbb5>
    <fbf5ba1606af44cc8a6bbbd47132b0ab xmlns="35d7dce1-22dc-4c3f-bf90-aebce6a2395f">
      <Terms xmlns="http://schemas.microsoft.com/office/infopath/2007/PartnerControls"/>
    </fbf5ba1606af44cc8a6bbbd47132b0ab>
    <i0f84bba906045b4af568ee102a52dcb xmlns="fea560b0-206f-46eb-a9d8-4504da3da1d2">
      <Terms xmlns="http://schemas.microsoft.com/office/infopath/2007/PartnerControls">
        <TermInfo xmlns="http://schemas.microsoft.com/office/infopath/2007/PartnerControls">
          <TermName xmlns="http://schemas.microsoft.com/office/infopath/2007/PartnerControls">62604_ 62605 - 7 years</TermName>
          <TermId xmlns="http://schemas.microsoft.com/office/infopath/2007/PartnerControls">848926f3-46e6-4776-97ba-0a62992a1f0d</TermId>
        </TermInfo>
      </Terms>
    </i0f84bba906045b4af568ee102a52dcb>
    <c275726743ff40b1bd16afcbde5101e0 xmlns="35d7dce1-22dc-4c3f-bf90-aebce6a2395f">
      <Terms xmlns="http://schemas.microsoft.com/office/infopath/2007/PartnerControls"/>
    </c275726743ff40b1bd16afcbde5101e0>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Di Document" ma:contentTypeID="0x010100DDEBB6CC12EF4A079B1186EEFE45A56400E924555CC2C9465C9A717C3C430520D500C37148DF2D6F664EBF8316A0D909BD28" ma:contentTypeVersion="108" ma:contentTypeDescription="Any document other than an email or document link" ma:contentTypeScope="" ma:versionID="a4e716c744858d23704d873190ff2ebe">
  <xsd:schema xmlns:xsd="http://www.w3.org/2001/XMLSchema" xmlns:xs="http://www.w3.org/2001/XMLSchema" xmlns:p="http://schemas.microsoft.com/office/2006/metadata/properties" xmlns:ns2="35d7dce1-22dc-4c3f-bf90-aebce6a2395f" xmlns:ns3="51f528a6-c2c0-4642-bd9a-edfe156abdaf" xmlns:ns4="476d25e0-46cd-4971-a0fe-8237ec9dbe6e" xmlns:ns5="476D25E0-46CD-4971-A0FE-8237EC9DBE6E" xmlns:ns6="fea560b0-206f-46eb-a9d8-4504da3da1d2" targetNamespace="http://schemas.microsoft.com/office/2006/metadata/properties" ma:root="true" ma:fieldsID="49cec734da171c202a32bf57ce9e12ae" ns2:_="" ns3:_="" ns4:_="" ns5:_="" ns6:_="">
    <xsd:import namespace="35d7dce1-22dc-4c3f-bf90-aebce6a2395f"/>
    <xsd:import namespace="51f528a6-c2c0-4642-bd9a-edfe156abdaf"/>
    <xsd:import namespace="476d25e0-46cd-4971-a0fe-8237ec9dbe6e"/>
    <xsd:import namespace="476D25E0-46CD-4971-A0FE-8237EC9DBE6E"/>
    <xsd:import namespace="fea560b0-206f-46eb-a9d8-4504da3da1d2"/>
    <xsd:element name="properties">
      <xsd:complexType>
        <xsd:sequence>
          <xsd:element name="documentManagement">
            <xsd:complexType>
              <xsd:all>
                <xsd:element ref="ns2:_dlc_DocId" minOccurs="0"/>
                <xsd:element ref="ns3:_dlc_DocIdUrl" minOccurs="0"/>
                <xsd:element ref="ns2:_dlc_DocIdPersistId" minOccurs="0"/>
                <xsd:element ref="ns4:EDi_DocumentDescription" minOccurs="0"/>
                <xsd:element ref="ns2:c275726743ff40b1bd16afcbde5101e0" minOccurs="0"/>
                <xsd:element ref="ns2:m580224f57af48d5998ad1d627b3f8a6" minOccurs="0"/>
                <xsd:element ref="ns4:EDi_VitalDocument" minOccurs="0"/>
                <xsd:element ref="ns4:EDi_BCPDocument" minOccurs="0"/>
                <xsd:element ref="ns5:EDi_RecordNumber" minOccurs="0"/>
                <xsd:element ref="ns4:CER_DocumentGUID" minOccurs="0"/>
                <xsd:element ref="ns2:jfdbf192cf3e432bae7ead6b01437832" minOccurs="0"/>
                <xsd:element ref="ns5:CER_DLM" minOccurs="0"/>
                <xsd:element ref="ns5:CER_FileClassification" minOccurs="0"/>
                <xsd:element ref="ns5:CER_FileStatus" minOccurs="0"/>
                <xsd:element ref="ns2:fbf5ba1606af44cc8a6bbbd47132b0ab" minOccurs="0"/>
                <xsd:element ref="ns2:aa7cfb7b7c8a4cdc88e464a139bfbbb5" minOccurs="0"/>
                <xsd:element ref="ns2:g1c5c8a5ed744825af876dc81dccc5dd" minOccurs="0"/>
                <xsd:element ref="ns6:TaxCatchAll" minOccurs="0"/>
                <xsd:element ref="ns6:TaxCatchAllLabel" minOccurs="0"/>
                <xsd:element ref="ns6:i0f84bba906045b4af568ee102a52d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7dce1-22dc-4c3f-bf90-aebce6a239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c275726743ff40b1bd16afcbde5101e0" ma:index="13" nillable="true" ma:taxonomy="true" ma:internalName="c275726743ff40b1bd16afcbde5101e0" ma:taxonomyFieldName="EDi_DocumentKeywords" ma:displayName="Document Keywords" ma:readOnly="false" ma:fieldId="{c2757267-43ff-40b1-bd16-afcbde5101e0}" ma:taxonomyMulti="true" ma:sspId="a2e065b1-f413-4592-874b-39c3f10b47c4" ma:termSetId="0e50b7a3-a264-430c-a2e5-e8cb190c5cdc" ma:anchorId="00000000-0000-0000-0000-000000000000" ma:open="false" ma:isKeyword="false">
      <xsd:complexType>
        <xsd:sequence>
          <xsd:element ref="pc:Terms" minOccurs="0" maxOccurs="1"/>
        </xsd:sequence>
      </xsd:complexType>
    </xsd:element>
    <xsd:element name="m580224f57af48d5998ad1d627b3f8a6" ma:index="15" nillable="true" ma:taxonomy="true" ma:internalName="m580224f57af48d5998ad1d627b3f8a6" ma:taxonomyFieldName="CER_Agency" ma:displayName="Agency" ma:readOnly="false" ma:fieldId="{6580224f-57af-48d5-998a-d1d627b3f8a6}" ma:sspId="a2e065b1-f413-4592-874b-39c3f10b47c4" ma:termSetId="0f908e50-4941-4432-a5bc-5464d577a362" ma:anchorId="00000000-0000-0000-0000-000000000000" ma:open="false" ma:isKeyword="false">
      <xsd:complexType>
        <xsd:sequence>
          <xsd:element ref="pc:Terms" minOccurs="0" maxOccurs="1"/>
        </xsd:sequence>
      </xsd:complexType>
    </xsd:element>
    <xsd:element name="jfdbf192cf3e432bae7ead6b01437832" ma:index="21" nillable="true" ma:taxonomy="true" ma:internalName="jfdbf192cf3e432bae7ead6b01437832" ma:taxonomyFieldName="CER_FileKeywords" ma:displayName="File Keywords" ma:fieldId="{3fdbf192-cf3e-432b-ae7e-ad6b01437832}" ma:taxonomyMulti="true" ma:sspId="a2e065b1-f413-4592-874b-39c3f10b47c4" ma:termSetId="0e50b7a3-a264-430c-a2e5-e8cb190c5cdc" ma:anchorId="00000000-0000-0000-0000-000000000000" ma:open="false" ma:isKeyword="false">
      <xsd:complexType>
        <xsd:sequence>
          <xsd:element ref="pc:Terms" minOccurs="0" maxOccurs="1"/>
        </xsd:sequence>
      </xsd:complexType>
    </xsd:element>
    <xsd:element name="fbf5ba1606af44cc8a6bbbd47132b0ab" ma:index="26" nillable="true" ma:taxonomy="true" ma:internalName="fbf5ba1606af44cc8a6bbbd47132b0ab" ma:taxonomyFieldName="CER_Scheme" ma:displayName="Scheme" ma:fieldId="{fbf5ba16-06af-44cc-8a6b-bbd47132b0ab}" ma:sspId="a2e065b1-f413-4592-874b-39c3f10b47c4" ma:termSetId="7ff3da5f-6c54-49cc-aabb-e0080ce1ebed" ma:anchorId="00000000-0000-0000-0000-000000000000" ma:open="false" ma:isKeyword="false">
      <xsd:complexType>
        <xsd:sequence>
          <xsd:element ref="pc:Terms" minOccurs="0" maxOccurs="1"/>
        </xsd:sequence>
      </xsd:complexType>
    </xsd:element>
    <xsd:element name="aa7cfb7b7c8a4cdc88e464a139bfbbb5" ma:index="28" nillable="true" ma:taxonomy="true" ma:internalName="aa7cfb7b7c8a4cdc88e464a139bfbbb5" ma:taxonomyFieldName="CER_Client" ma:displayName="Client" ma:fieldId="{aa7cfb7b-7c8a-4cdc-88e4-64a139bfbbb5}" ma:sspId="a2e065b1-f413-4592-874b-39c3f10b47c4" ma:termSetId="19a43a92-e145-45da-907d-30d9c1c24101" ma:anchorId="00000000-0000-0000-0000-000000000000" ma:open="false" ma:isKeyword="false">
      <xsd:complexType>
        <xsd:sequence>
          <xsd:element ref="pc:Terms" minOccurs="0" maxOccurs="1"/>
        </xsd:sequence>
      </xsd:complexType>
    </xsd:element>
    <xsd:element name="g1c5c8a5ed744825af876dc81dccc5dd" ma:index="30" nillable="true" ma:taxonomy="true" ma:internalName="g1c5c8a5ed744825af876dc81dccc5dd" ma:taxonomyFieldName="CER_State" ma:displayName="State" ma:fieldId="{01c5c8a5-ed74-4825-af87-6dc81dccc5dd}" ma:sspId="a2e065b1-f413-4592-874b-39c3f10b47c4" ma:termSetId="a9130a4c-2414-44de-bf19-0a462096b5e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f528a6-c2c0-4642-bd9a-edfe156abdaf" elementFormDefault="qualified">
    <xsd:import namespace="http://schemas.microsoft.com/office/2006/documentManagement/types"/>
    <xsd:import namespace="http://schemas.microsoft.com/office/infopath/2007/PartnerControls"/>
    <xsd:element name="_dlc_DocIdUrl" ma:index="9" nillable="true" ma:displayName="EDi1_DocID" ma:description="Permanent link to this document." ma:hidden="true" ma:internalName="_dlc_DocIdUrl0"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6d25e0-46cd-4971-a0fe-8237ec9dbe6e" elementFormDefault="qualified">
    <xsd:import namespace="http://schemas.microsoft.com/office/2006/documentManagement/types"/>
    <xsd:import namespace="http://schemas.microsoft.com/office/infopath/2007/PartnerControls"/>
    <xsd:element name="EDi_DocumentDescription" ma:index="11" nillable="true" ma:displayName="Document Description" ma:description="Document Description&lt;!-- Field: EDi --&gt;" ma:internalName="EDi_DocumentDescription" ma:readOnly="false">
      <xsd:simpleType>
        <xsd:restriction base="dms:Note">
          <xsd:maxLength value="255"/>
        </xsd:restriction>
      </xsd:simpleType>
    </xsd:element>
    <xsd:element name="EDi_VitalDocument" ma:index="16" nillable="true" ma:displayName="Vital Document" ma:default="No" ma:description="Is this a vital business document?&lt;!-- Field: EDi --&gt;" ma:format="Dropdown" ma:internalName="EDi_VitalDocument" ma:readOnly="false">
      <xsd:simpleType>
        <xsd:restriction base="dms:Choice">
          <xsd:enumeration value="Yes"/>
          <xsd:enumeration value="No"/>
        </xsd:restriction>
      </xsd:simpleType>
    </xsd:element>
    <xsd:element name="EDi_BCPDocument" ma:index="17" nillable="true" ma:displayName="BCP Document" ma:default="No" ma:description="Is this document required as part of the Business Continuity Plan or Disaster Recovery Strategy?&lt;!-- Field: EDi --&gt;" ma:format="Dropdown" ma:internalName="EDi_BCPDocument" ma:readOnly="false">
      <xsd:simpleType>
        <xsd:restriction base="dms:Choice">
          <xsd:enumeration value="Yes"/>
          <xsd:enumeration value="No"/>
        </xsd:restriction>
      </xsd:simpleType>
    </xsd:element>
    <xsd:element name="CER_DocumentGUID" ma:index="19" nillable="true" ma:displayName="Document GUID" ma:description="CRM Document GUID" ma:internalName="CER_DocumentGU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6D25E0-46CD-4971-A0FE-8237EC9DBE6E" elementFormDefault="qualified">
    <xsd:import namespace="http://schemas.microsoft.com/office/2006/documentManagement/types"/>
    <xsd:import namespace="http://schemas.microsoft.com/office/infopath/2007/PartnerControls"/>
    <xsd:element name="EDi_RecordNumber" ma:index="18" nillable="true" ma:displayName="Record Number" ma:description="Enter any external reference numbers&lt;br /&gt;&#10;One per line. Eg&lt;ul&gt;&#10;&lt;li&gt;TRIM CER2015/12345&lt;/li&gt;&#10;&lt;li&gt;CRM 12345&lt;/li&gt;&#10;&lt;li&gt;RecRegistry 12345&lt;/li&gt;&lt;/ul&gt;&lt;!-- Field: File --&gt;" ma:internalName="EDi_RecordNumber">
      <xsd:simpleType>
        <xsd:restriction base="dms:Text"/>
      </xsd:simpleType>
    </xsd:element>
    <xsd:element name="CER_DLM" ma:index="22" nillable="true" ma:displayName="File DLM" ma:description="Select the appropriate Dissemination Limiting Marker (DLM) from this group:&#10;Unofficial;&#10;OFFICIAL;&#10;OFFICIAL: Sensitive;&#10;Legal privilege;&#10;Legislative secrecy;&#10;Personal privacy;&#10;None.&#10;&#10;The following DLMs are being phased out, and should not be used for new files:&#10;For Official Use Only (FOUO);&#10;Sensitive;&#10;Sensitive: Legal;&#10;Sensitive: Personal.&#10;&#10;Sensitive: Cabinet&#10;&lt;!-- Field: File --&gt;" ma:format="RadioButtons" ma:internalName="CER_DLM">
      <xsd:simpleType>
        <xsd:restriction base="dms:Choice">
          <xsd:enumeration value="Unofficial"/>
          <xsd:enumeration value="OFFICIAL"/>
          <xsd:enumeration value="OFFICIAL: Sensitive"/>
          <xsd:enumeration value="Legal privilege"/>
          <xsd:enumeration value="Legislative secrecy"/>
          <xsd:enumeration value="Personal privacy"/>
          <xsd:enumeration value="None"/>
        </xsd:restriction>
      </xsd:simpleType>
    </xsd:element>
    <xsd:element name="CER_FileClassification" ma:index="23" nillable="true" ma:displayName="File Classification" ma:default="None" ma:description="Select the appropriate security classification. Very few CER files would justify a classification of Protected, and most should be classified as 'None'.&#10;Please note that 'Unclassified' is being phased out and should not be used for new files.&#10;&lt;!-- Field: File --&gt;" ma:format="RadioButtons" ma:internalName="CER_FileClassification">
      <xsd:simpleType>
        <xsd:restriction base="dms:Choice">
          <xsd:enumeration value="PROTECTED"/>
          <xsd:enumeration value="None"/>
        </xsd:restriction>
      </xsd:simpleType>
    </xsd:element>
    <xsd:element name="CER_FileStatus" ma:index="24" nillable="true" ma:displayName="File Status" ma:default="Open" ma:description="&lt;!-- Field: File --&gt;Select the status of the file" ma:format="RadioButtons" ma:internalName="CER_FileStatus" ma:readOnly="false">
      <xsd:simpleType>
        <xsd:restriction base="dms:Choice">
          <xsd:enumeration value="Open"/>
          <xsd:enumeration value="Closed"/>
        </xsd:restriction>
      </xsd:simpleType>
    </xsd:element>
  </xsd:schema>
  <xsd:schema xmlns:xsd="http://www.w3.org/2001/XMLSchema" xmlns:xs="http://www.w3.org/2001/XMLSchema" xmlns:dms="http://schemas.microsoft.com/office/2006/documentManagement/types" xmlns:pc="http://schemas.microsoft.com/office/infopath/2007/PartnerControls" targetNamespace="fea560b0-206f-46eb-a9d8-4504da3da1d2"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0ec419c5-ec6e-43d7-866a-753ff6e820bd}" ma:internalName="TaxCatchAll" ma:readOnly="false" ma:showField="CatchAllData" ma:web="fea560b0-206f-46eb-a9d8-4504da3da1d2">
      <xsd:complexType>
        <xsd:complexContent>
          <xsd:extension base="dms:MultiChoiceLookup">
            <xsd:sequence>
              <xsd:element name="Value" type="dms:Lookup" maxOccurs="unbounded" minOccurs="0" nillable="true"/>
            </xsd:sequence>
          </xsd:extension>
        </xsd:complexContent>
      </xsd:complexType>
    </xsd:element>
    <xsd:element name="TaxCatchAllLabel" ma:index="32" nillable="true" ma:displayName="Taxonomy Catch All Column1" ma:hidden="true" ma:list="{0ec419c5-ec6e-43d7-866a-753ff6e820bd}" ma:internalName="TaxCatchAllLabel" ma:readOnly="true" ma:showField="CatchAllDataLabel" ma:web="fea560b0-206f-46eb-a9d8-4504da3da1d2">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34" nillable="true" ma:taxonomy="true" ma:internalName="i0f84bba906045b4af568ee102a52dcb" ma:taxonomyFieldName="RevIMBCS" ma:displayName="Record Class" ma:indexed="true" ma:default="7;#62604_ 62605 - 7 years|848926f3-46e6-4776-97ba-0a62992a1f0d" ma:fieldId="{20f84bba-9060-45b4-af56-8ee102a52dcb}" ma:sspId="a2e065b1-f413-4592-874b-39c3f10b47c4" ma:termSetId="60518aca-4dc9-4b56-9553-af4b9ac69072" ma:anchorId="257732a6-71ed-4ff7-b019-1827bfb226e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9B21016-EB62-4FC3-BC77-2B75B51A654D}">
  <ds:schemaRefs>
    <ds:schemaRef ds:uri="http://purl.org/dc/elements/1.1/"/>
    <ds:schemaRef ds:uri="http://purl.org/dc/dcmitype/"/>
    <ds:schemaRef ds:uri="51f528a6-c2c0-4642-bd9a-edfe156abdaf"/>
    <ds:schemaRef ds:uri="476D25E0-46CD-4971-A0FE-8237EC9DBE6E"/>
    <ds:schemaRef ds:uri="http://schemas.microsoft.com/office/infopath/2007/PartnerControls"/>
    <ds:schemaRef ds:uri="http://schemas.microsoft.com/office/2006/documentManagement/types"/>
    <ds:schemaRef ds:uri="http://schemas.openxmlformats.org/package/2006/metadata/core-properties"/>
    <ds:schemaRef ds:uri="fea560b0-206f-46eb-a9d8-4504da3da1d2"/>
    <ds:schemaRef ds:uri="http://purl.org/dc/terms/"/>
    <ds:schemaRef ds:uri="476d25e0-46cd-4971-a0fe-8237ec9dbe6e"/>
    <ds:schemaRef ds:uri="35d7dce1-22dc-4c3f-bf90-aebce6a2395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3D6F9ED-4DD7-4A2F-B777-8BF7FEC19617}">
  <ds:schemaRefs>
    <ds:schemaRef ds:uri="http://schemas.microsoft.com/office/2006/metadata/longProperties"/>
  </ds:schemaRefs>
</ds:datastoreItem>
</file>

<file path=customXml/itemProps3.xml><?xml version="1.0" encoding="utf-8"?>
<ds:datastoreItem xmlns:ds="http://schemas.openxmlformats.org/officeDocument/2006/customXml" ds:itemID="{1CC1D8CA-1E34-4191-8465-189EEAE16FEF}">
  <ds:schemaRefs>
    <ds:schemaRef ds:uri="http://schemas.openxmlformats.org/officeDocument/2006/bibliography"/>
  </ds:schemaRefs>
</ds:datastoreItem>
</file>

<file path=customXml/itemProps4.xml><?xml version="1.0" encoding="utf-8"?>
<ds:datastoreItem xmlns:ds="http://schemas.openxmlformats.org/officeDocument/2006/customXml" ds:itemID="{1651C086-9559-4E66-B692-4F968F1EFB0E}">
  <ds:schemaRefs>
    <ds:schemaRef ds:uri="http://schemas.microsoft.com/sharepoint/v3/contenttype/forms"/>
  </ds:schemaRefs>
</ds:datastoreItem>
</file>

<file path=customXml/itemProps5.xml><?xml version="1.0" encoding="utf-8"?>
<ds:datastoreItem xmlns:ds="http://schemas.openxmlformats.org/officeDocument/2006/customXml" ds:itemID="{A65090BD-74FC-4F2E-B2C3-3723FAC4D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7dce1-22dc-4c3f-bf90-aebce6a2395f"/>
    <ds:schemaRef ds:uri="51f528a6-c2c0-4642-bd9a-edfe156abdaf"/>
    <ds:schemaRef ds:uri="476d25e0-46cd-4971-a0fe-8237ec9dbe6e"/>
    <ds:schemaRef ds:uri="476D25E0-46CD-4971-A0FE-8237EC9DBE6E"/>
    <ds:schemaRef ds:uri="fea560b0-206f-46eb-a9d8-4504da3da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9361BB3-FAB5-4404-899A-84540D86391C}">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2651</Words>
  <Characters>15115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17731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a14189</dc:creator>
  <cp:keywords/>
  <cp:lastModifiedBy>Hannaford, Myndee</cp:lastModifiedBy>
  <cp:revision>2</cp:revision>
  <cp:lastPrinted>2021-06-02T03:06:00Z</cp:lastPrinted>
  <dcterms:created xsi:type="dcterms:W3CDTF">2021-06-25T07:03:00Z</dcterms:created>
  <dcterms:modified xsi:type="dcterms:W3CDTF">2021-06-25T07:03:00Z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0x010100DDEBB6CC12EF4A079B1186EEFE45A56400E924555CC2C9465C9A717C3C430520D500C37148DF2D6F664EBF8316A0D909BD28</vt:lpwstr>
  </property>
  <property fmtid="{D5CDD505-2E9C-101B-9397-08002B2CF9AE}" pid="3" name="RecordPoint_WorkflowType">
    <vt:lpwstr>ActiveSubmitStub</vt:lpwstr>
  </property>
  <property fmtid="{D5CDD505-2E9C-101B-9397-08002B2CF9AE}" pid="4" name="RecordPoint_ActiveItemSiteId">
    <vt:lpwstr>{1b8f0867-fd14-435b-b9bb-f1034028fa73}</vt:lpwstr>
  </property>
  <property fmtid="{D5CDD505-2E9C-101B-9397-08002B2CF9AE}" pid="5" name="RecordPoint_ActiveItemListId">
    <vt:lpwstr>{c29a8b74-34a5-4201-ae31-f6d82a90d57e}</vt:lpwstr>
  </property>
  <property fmtid="{D5CDD505-2E9C-101B-9397-08002B2CF9AE}" pid="6" name="RecordPoint_ActiveItemUniqueId">
    <vt:lpwstr>{147d40d9-9aa2-4596-b1d4-6017e077c8db}</vt:lpwstr>
  </property>
  <property fmtid="{D5CDD505-2E9C-101B-9397-08002B2CF9AE}" pid="7" name="RecordPoint_ActiveItemWebId">
    <vt:lpwstr>{1be8217a-a5e2-41c3-9d97-b9daca195a02}</vt:lpwstr>
  </property>
  <property fmtid="{D5CDD505-2E9C-101B-9397-08002B2CF9AE}" pid="8" name="IconOverlay">
    <vt:lpwstr/>
  </property>
  <property fmtid="{D5CDD505-2E9C-101B-9397-08002B2CF9AE}" pid="9" name="RecordPoint_SubmissionCompleted">
    <vt:lpwstr>2015-03-12T09:48:18.0486346+11:00</vt:lpwstr>
  </property>
  <property fmtid="{D5CDD505-2E9C-101B-9397-08002B2CF9AE}" pid="10" name="RecordPoint_RecordNumberSubmitted">
    <vt:lpwstr>R0000000730</vt:lpwstr>
  </property>
  <property fmtid="{D5CDD505-2E9C-101B-9397-08002B2CF9AE}" pid="11" name="CER_FileKeywords">
    <vt:lpwstr/>
  </property>
  <property fmtid="{D5CDD505-2E9C-101B-9397-08002B2CF9AE}" pid="12" name="EDi_DocumentKeywords">
    <vt:lpwstr/>
  </property>
  <property fmtid="{D5CDD505-2E9C-101B-9397-08002B2CF9AE}" pid="13" name="CER_Scheme">
    <vt:lpwstr/>
  </property>
  <property fmtid="{D5CDD505-2E9C-101B-9397-08002B2CF9AE}" pid="14" name="CER_Client">
    <vt:lpwstr/>
  </property>
  <property fmtid="{D5CDD505-2E9C-101B-9397-08002B2CF9AE}" pid="15" name="CER_State">
    <vt:lpwstr/>
  </property>
  <property fmtid="{D5CDD505-2E9C-101B-9397-08002B2CF9AE}" pid="16" name="CER_Agency">
    <vt:lpwstr/>
  </property>
  <property fmtid="{D5CDD505-2E9C-101B-9397-08002B2CF9AE}" pid="17" name="_dlc_DocIdItemGuid">
    <vt:lpwstr>b720fac5-3c29-47cc-b3d4-050e20493f72</vt:lpwstr>
  </property>
  <property fmtid="{D5CDD505-2E9C-101B-9397-08002B2CF9AE}" pid="18" name="RevIMBCS">
    <vt:i4>7</vt:i4>
  </property>
</Properties>
</file>