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B3422" w14:textId="77777777" w:rsidR="000F62D7" w:rsidRDefault="000F62D7" w:rsidP="00670C8D">
      <w:pPr>
        <w:pStyle w:val="Heading1"/>
        <w:spacing w:before="0" w:after="0" w:line="240" w:lineRule="auto"/>
        <w:jc w:val="center"/>
        <w:rPr>
          <w:rFonts w:ascii="Times New Roman" w:hAnsi="Times New Roman"/>
          <w:b/>
          <w:sz w:val="24"/>
          <w:u w:val="single"/>
        </w:rPr>
      </w:pPr>
      <w:r>
        <w:rPr>
          <w:rFonts w:ascii="Times New Roman" w:hAnsi="Times New Roman"/>
          <w:b/>
          <w:sz w:val="24"/>
          <w:u w:val="single"/>
        </w:rPr>
        <w:t>LEGISLATION</w:t>
      </w:r>
      <w:r w:rsidR="00376163">
        <w:rPr>
          <w:rFonts w:ascii="Times New Roman" w:hAnsi="Times New Roman"/>
          <w:b/>
          <w:sz w:val="24"/>
          <w:u w:val="single"/>
        </w:rPr>
        <w:t xml:space="preserve"> </w:t>
      </w:r>
      <w:r w:rsidR="00CA51E8">
        <w:rPr>
          <w:rFonts w:ascii="Times New Roman" w:hAnsi="Times New Roman"/>
          <w:b/>
          <w:sz w:val="24"/>
          <w:u w:val="single"/>
        </w:rPr>
        <w:t>(</w:t>
      </w:r>
      <w:r>
        <w:rPr>
          <w:rFonts w:ascii="Times New Roman" w:hAnsi="Times New Roman"/>
          <w:b/>
          <w:sz w:val="24"/>
          <w:u w:val="single"/>
        </w:rPr>
        <w:t xml:space="preserve">EXEMPTIONS AND OTHER MATTERS) AMENDMENT </w:t>
      </w:r>
    </w:p>
    <w:p w14:paraId="09BFDCC9" w14:textId="124BEE05" w:rsidR="00670C8D" w:rsidRPr="00521029" w:rsidRDefault="000F62D7" w:rsidP="00670C8D">
      <w:pPr>
        <w:pStyle w:val="Heading1"/>
        <w:spacing w:before="0" w:after="0" w:line="240" w:lineRule="auto"/>
        <w:jc w:val="center"/>
        <w:rPr>
          <w:rFonts w:ascii="Times New Roman" w:hAnsi="Times New Roman"/>
          <w:b/>
          <w:sz w:val="24"/>
          <w:u w:val="single"/>
        </w:rPr>
      </w:pPr>
      <w:r>
        <w:rPr>
          <w:rFonts w:ascii="Times New Roman" w:hAnsi="Times New Roman"/>
          <w:b/>
          <w:sz w:val="24"/>
          <w:u w:val="single"/>
        </w:rPr>
        <w:t>(2021 MEASURES NO. 1) Regulations 2021</w:t>
      </w:r>
    </w:p>
    <w:p w14:paraId="09BFDCCB" w14:textId="77777777" w:rsidR="00670C8D" w:rsidRPr="00D15E3C" w:rsidRDefault="00670C8D" w:rsidP="00670C8D">
      <w:pPr>
        <w:pStyle w:val="Heading1"/>
        <w:spacing w:before="0" w:after="0" w:line="240" w:lineRule="auto"/>
        <w:jc w:val="center"/>
        <w:rPr>
          <w:rFonts w:ascii="Times New Roman" w:hAnsi="Times New Roman"/>
          <w:b/>
          <w:sz w:val="24"/>
          <w:u w:val="single"/>
        </w:rPr>
      </w:pPr>
    </w:p>
    <w:p w14:paraId="146FF33D" w14:textId="1582DE99" w:rsidR="00012AD6" w:rsidRPr="00D15E3C" w:rsidRDefault="002B361E" w:rsidP="00670C8D">
      <w:pPr>
        <w:pStyle w:val="Heading1"/>
        <w:spacing w:before="0" w:after="0" w:line="240" w:lineRule="auto"/>
        <w:jc w:val="center"/>
        <w:rPr>
          <w:rFonts w:ascii="Times New Roman" w:hAnsi="Times New Roman"/>
          <w:caps w:val="0"/>
          <w:sz w:val="24"/>
          <w:szCs w:val="24"/>
        </w:rPr>
      </w:pPr>
      <w:r w:rsidRPr="00712FEE">
        <w:rPr>
          <w:rFonts w:ascii="Times New Roman" w:hAnsi="Times New Roman"/>
          <w:b/>
          <w:sz w:val="24"/>
        </w:rPr>
        <w:t>EXPLANATORY STATEMENT</w:t>
      </w:r>
      <w:r w:rsidR="00670C8D" w:rsidRPr="00712FEE">
        <w:rPr>
          <w:rFonts w:ascii="Times New Roman" w:hAnsi="Times New Roman"/>
          <w:b/>
          <w:sz w:val="24"/>
        </w:rPr>
        <w:t xml:space="preserve"> </w:t>
      </w:r>
      <w:r w:rsidR="00012AD6" w:rsidRPr="00712FEE">
        <w:rPr>
          <w:rFonts w:ascii="Times New Roman" w:hAnsi="Times New Roman"/>
          <w:b/>
          <w:sz w:val="24"/>
        </w:rPr>
        <w:br/>
      </w:r>
    </w:p>
    <w:p w14:paraId="2424007E" w14:textId="0344CFF8" w:rsidR="00BC6D47" w:rsidRPr="00712FEE" w:rsidRDefault="00E23B2F" w:rsidP="00A80418">
      <w:pPr>
        <w:spacing w:after="0" w:line="360" w:lineRule="auto"/>
        <w:jc w:val="center"/>
        <w:rPr>
          <w:rFonts w:ascii="Times New Roman" w:hAnsi="Times New Roman" w:cs="Times New Roman"/>
        </w:rPr>
      </w:pPr>
      <w:r w:rsidRPr="00712FEE">
        <w:rPr>
          <w:rFonts w:ascii="Times New Roman" w:hAnsi="Times New Roman" w:cs="Times New Roman"/>
        </w:rPr>
        <w:t>Issued by authority of the Attorney-General</w:t>
      </w:r>
      <w:r w:rsidR="005D194A" w:rsidRPr="00712FEE">
        <w:rPr>
          <w:rFonts w:ascii="Times New Roman" w:hAnsi="Times New Roman" w:cs="Times New Roman"/>
        </w:rPr>
        <w:t xml:space="preserve"> </w:t>
      </w:r>
    </w:p>
    <w:p w14:paraId="09BFDCD4" w14:textId="2D0223BE" w:rsidR="00AF0C63" w:rsidRPr="00D15E3C" w:rsidRDefault="00AF0C63" w:rsidP="00E26062">
      <w:pPr>
        <w:pStyle w:val="NoSpacing"/>
      </w:pPr>
    </w:p>
    <w:p w14:paraId="197164E2" w14:textId="77777777" w:rsidR="00394402" w:rsidRDefault="00394402" w:rsidP="00394402">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Purpose and operation of the Instrument</w:t>
      </w:r>
    </w:p>
    <w:p w14:paraId="52E2BBEF" w14:textId="77777777" w:rsidR="000F62D7" w:rsidRDefault="000F62D7" w:rsidP="000F62D7">
      <w:pPr>
        <w:spacing w:after="0" w:line="240" w:lineRule="auto"/>
        <w:ind w:right="91"/>
        <w:rPr>
          <w:rFonts w:ascii="Times New Roman" w:eastAsia="Times New Roman" w:hAnsi="Times New Roman" w:cs="Times New Roman"/>
          <w:sz w:val="24"/>
          <w:lang w:eastAsia="en-AU"/>
        </w:rPr>
      </w:pPr>
      <w:r w:rsidRPr="0046169A">
        <w:rPr>
          <w:rFonts w:ascii="Times New Roman" w:eastAsia="Times New Roman" w:hAnsi="Times New Roman" w:cs="Times New Roman"/>
          <w:sz w:val="24"/>
          <w:lang w:eastAsia="en-AU"/>
        </w:rPr>
        <w:t xml:space="preserve">The </w:t>
      </w:r>
      <w:r w:rsidRPr="0046169A">
        <w:rPr>
          <w:rFonts w:ascii="Times New Roman" w:eastAsia="Times New Roman" w:hAnsi="Times New Roman" w:cs="Times New Roman"/>
          <w:i/>
          <w:sz w:val="24"/>
          <w:lang w:eastAsia="en-AU"/>
        </w:rPr>
        <w:t>Legislation Act 2003</w:t>
      </w:r>
      <w:r w:rsidRPr="0046169A">
        <w:rPr>
          <w:rFonts w:ascii="Times New Roman" w:eastAsia="Times New Roman" w:hAnsi="Times New Roman" w:cs="Times New Roman"/>
          <w:sz w:val="24"/>
          <w:lang w:eastAsia="en-AU"/>
        </w:rPr>
        <w:t xml:space="preserve"> (Legislation Act) establishes a comprehensive regime for the publication of Commonwealth Acts and instruments. It also provides for the registration, tabling, parliamentary scrutiny, disallowance and sunsetting of instruments.</w:t>
      </w:r>
    </w:p>
    <w:p w14:paraId="5F50AAD2" w14:textId="77777777" w:rsidR="000F62D7" w:rsidRDefault="000F62D7" w:rsidP="000F62D7">
      <w:pPr>
        <w:spacing w:after="0" w:line="240" w:lineRule="auto"/>
        <w:ind w:right="91"/>
        <w:rPr>
          <w:rFonts w:ascii="Times New Roman" w:eastAsia="Times New Roman" w:hAnsi="Times New Roman" w:cs="Times New Roman"/>
          <w:sz w:val="24"/>
          <w:lang w:eastAsia="en-AU"/>
        </w:rPr>
      </w:pPr>
    </w:p>
    <w:p w14:paraId="34B63134" w14:textId="77777777" w:rsidR="000F62D7" w:rsidRDefault="000F62D7" w:rsidP="000F62D7">
      <w:pPr>
        <w:spacing w:after="0" w:line="240" w:lineRule="auto"/>
        <w:ind w:right="91"/>
        <w:rPr>
          <w:rFonts w:ascii="Times New Roman" w:eastAsia="Times New Roman" w:hAnsi="Times New Roman" w:cs="Times New Roman"/>
          <w:sz w:val="24"/>
          <w:lang w:eastAsia="en-AU"/>
        </w:rPr>
      </w:pPr>
      <w:r w:rsidRPr="0046169A">
        <w:rPr>
          <w:rFonts w:ascii="Times New Roman" w:eastAsia="Times New Roman" w:hAnsi="Times New Roman" w:cs="Times New Roman"/>
          <w:sz w:val="24"/>
          <w:lang w:eastAsia="en-AU"/>
        </w:rPr>
        <w:t>Section 62 of the Legislation Act provides that the Governor-General may make regulations prescribing matters required or permitted by the Act to be prescribed, or necessary or convenient to be prescribed, for carrying out or giving effect to that Act.</w:t>
      </w:r>
    </w:p>
    <w:p w14:paraId="1EE8463A" w14:textId="6E0A5E80" w:rsidR="00712FEE" w:rsidRPr="00A82B2E" w:rsidRDefault="000F62D7" w:rsidP="00712FEE">
      <w:pPr>
        <w:numPr>
          <w:ilvl w:val="12"/>
          <w:numId w:val="0"/>
        </w:numPr>
        <w:spacing w:before="240" w:after="0" w:line="240" w:lineRule="auto"/>
        <w:rPr>
          <w:rFonts w:ascii="Times New Roman" w:eastAsia="Times New Roman" w:hAnsi="Times New Roman" w:cs="Times New Roman"/>
          <w:sz w:val="24"/>
          <w:lang w:eastAsia="en-AU"/>
        </w:rPr>
      </w:pPr>
      <w:r>
        <w:rPr>
          <w:rFonts w:ascii="Times New Roman" w:eastAsia="Times New Roman" w:hAnsi="Times New Roman" w:cs="Times New Roman"/>
          <w:color w:val="000000"/>
          <w:sz w:val="24"/>
          <w:szCs w:val="24"/>
          <w:lang w:eastAsia="en-AU"/>
        </w:rPr>
        <w:t xml:space="preserve">Section 42 of the Legislation Act provides for the disallowance of legislative instruments. </w:t>
      </w:r>
      <w:r w:rsidR="00712FEE" w:rsidRPr="0046169A">
        <w:rPr>
          <w:rFonts w:ascii="Times New Roman" w:eastAsia="Times New Roman" w:hAnsi="Times New Roman" w:cs="Times New Roman"/>
          <w:sz w:val="24"/>
          <w:lang w:eastAsia="en-AU"/>
        </w:rPr>
        <w:t xml:space="preserve">Subsection </w:t>
      </w:r>
      <w:r w:rsidR="00712FEE">
        <w:rPr>
          <w:rFonts w:ascii="Times New Roman" w:eastAsia="Times New Roman" w:hAnsi="Times New Roman" w:cs="Times New Roman"/>
          <w:sz w:val="24"/>
          <w:lang w:eastAsia="en-AU"/>
        </w:rPr>
        <w:t>4</w:t>
      </w:r>
      <w:r w:rsidR="00712FEE" w:rsidRPr="0046169A">
        <w:rPr>
          <w:rFonts w:ascii="Times New Roman" w:eastAsia="Times New Roman" w:hAnsi="Times New Roman" w:cs="Times New Roman"/>
          <w:sz w:val="24"/>
          <w:lang w:eastAsia="en-AU"/>
        </w:rPr>
        <w:t xml:space="preserve">4(2) of the Legislation Act provides that instruments prescribed by regulation for the purposes of paragraph </w:t>
      </w:r>
      <w:r w:rsidR="00712FEE">
        <w:rPr>
          <w:rFonts w:ascii="Times New Roman" w:eastAsia="Times New Roman" w:hAnsi="Times New Roman" w:cs="Times New Roman"/>
          <w:sz w:val="24"/>
          <w:lang w:eastAsia="en-AU"/>
        </w:rPr>
        <w:t>4</w:t>
      </w:r>
      <w:r w:rsidR="00712FEE" w:rsidRPr="0046169A">
        <w:rPr>
          <w:rFonts w:ascii="Times New Roman" w:eastAsia="Times New Roman" w:hAnsi="Times New Roman" w:cs="Times New Roman"/>
          <w:sz w:val="24"/>
          <w:lang w:eastAsia="en-AU"/>
        </w:rPr>
        <w:t xml:space="preserve">4(2)(b) are not subject to </w:t>
      </w:r>
      <w:r w:rsidR="00712FEE">
        <w:rPr>
          <w:rFonts w:ascii="Times New Roman" w:eastAsia="Times New Roman" w:hAnsi="Times New Roman" w:cs="Times New Roman"/>
          <w:sz w:val="24"/>
          <w:lang w:eastAsia="en-AU"/>
        </w:rPr>
        <w:t>disallowance</w:t>
      </w:r>
      <w:r w:rsidR="00712FEE" w:rsidRPr="0046169A">
        <w:rPr>
          <w:rFonts w:ascii="Times New Roman" w:eastAsia="Times New Roman" w:hAnsi="Times New Roman" w:cs="Times New Roman"/>
          <w:sz w:val="24"/>
          <w:lang w:eastAsia="en-AU"/>
        </w:rPr>
        <w:t xml:space="preserve">.  </w:t>
      </w:r>
    </w:p>
    <w:p w14:paraId="71FE355C" w14:textId="77777777" w:rsidR="000F62D7" w:rsidRDefault="000F62D7" w:rsidP="000F62D7">
      <w:pPr>
        <w:numPr>
          <w:ilvl w:val="12"/>
          <w:numId w:val="0"/>
        </w:numPr>
        <w:spacing w:before="240" w:after="0" w:line="240" w:lineRule="auto"/>
        <w:rPr>
          <w:rFonts w:ascii="Times New Roman" w:eastAsia="Times New Roman" w:hAnsi="Times New Roman" w:cs="Times New Roman"/>
          <w:color w:val="000000"/>
          <w:sz w:val="24"/>
          <w:szCs w:val="24"/>
          <w:lang w:eastAsia="en-AU"/>
        </w:rPr>
      </w:pPr>
      <w:r w:rsidRPr="0046169A">
        <w:rPr>
          <w:rFonts w:ascii="Times New Roman" w:eastAsia="Times New Roman" w:hAnsi="Times New Roman" w:cs="Times New Roman"/>
          <w:sz w:val="24"/>
          <w:lang w:eastAsia="en-AU"/>
        </w:rPr>
        <w:t xml:space="preserve">Part 4 of Chapter 3 of the Legislation Act provides for the sunsetting of legislative instruments. Sunsetting is the process by which instruments are automatically repealed approximately 10 years after they are made unless steps are taken to preserve their operation, or the instruments are exempt from sunsetting. </w:t>
      </w:r>
    </w:p>
    <w:p w14:paraId="4051F6EB" w14:textId="77777777" w:rsidR="000F62D7" w:rsidRPr="00A82B2E" w:rsidRDefault="000F62D7" w:rsidP="000F62D7">
      <w:pPr>
        <w:numPr>
          <w:ilvl w:val="12"/>
          <w:numId w:val="0"/>
        </w:numPr>
        <w:spacing w:before="240" w:after="0" w:line="240" w:lineRule="auto"/>
        <w:rPr>
          <w:rFonts w:ascii="Times New Roman" w:eastAsia="Times New Roman" w:hAnsi="Times New Roman" w:cs="Times New Roman"/>
          <w:sz w:val="24"/>
          <w:lang w:eastAsia="en-AU"/>
        </w:rPr>
      </w:pPr>
      <w:r w:rsidRPr="00616D11">
        <w:rPr>
          <w:rFonts w:ascii="Times New Roman" w:eastAsia="Times New Roman" w:hAnsi="Times New Roman" w:cs="Times New Roman"/>
          <w:color w:val="000000"/>
          <w:sz w:val="24"/>
          <w:szCs w:val="24"/>
          <w:lang w:eastAsia="en-AU"/>
        </w:rPr>
        <w:t>Section</w:t>
      </w:r>
      <w:r w:rsidRPr="0046169A">
        <w:rPr>
          <w:rFonts w:ascii="Times New Roman" w:eastAsia="Times New Roman" w:hAnsi="Times New Roman" w:cs="Times New Roman"/>
          <w:sz w:val="24"/>
          <w:lang w:eastAsia="en-AU"/>
        </w:rPr>
        <w:t xml:space="preserve"> 54 of the Legislation Act provides for instruments to which the sunsetting regime in Part 4 of Chapter 3 does not apply. Subsection 54(2) of the Legislation Act provides that instruments prescribed by regulation for the purposes of paragraph 54(2)(b) are not subject to sunsetting.  </w:t>
      </w:r>
    </w:p>
    <w:p w14:paraId="237A6FD0" w14:textId="44ED1AED" w:rsidR="000F62D7" w:rsidRPr="00166DBE" w:rsidRDefault="000F62D7" w:rsidP="000F62D7">
      <w:pPr>
        <w:numPr>
          <w:ilvl w:val="12"/>
          <w:numId w:val="0"/>
        </w:numPr>
        <w:spacing w:before="240" w:after="0" w:line="240" w:lineRule="auto"/>
        <w:rPr>
          <w:rFonts w:ascii="Times New Roman" w:eastAsia="Calibri" w:hAnsi="Times New Roman" w:cs="Times New Roman"/>
          <w:sz w:val="24"/>
          <w:szCs w:val="24"/>
          <w:lang w:eastAsia="en-AU"/>
        </w:rPr>
      </w:pPr>
      <w:r>
        <w:rPr>
          <w:rFonts w:ascii="Times New Roman" w:eastAsia="Times New Roman" w:hAnsi="Times New Roman" w:cs="Times New Roman"/>
          <w:color w:val="000000"/>
          <w:sz w:val="24"/>
          <w:szCs w:val="24"/>
          <w:lang w:eastAsia="en-AU"/>
        </w:rPr>
        <w:t xml:space="preserve">The </w:t>
      </w:r>
      <w:r w:rsidRPr="002B1A9B">
        <w:rPr>
          <w:rFonts w:ascii="Times New Roman" w:eastAsia="Times New Roman" w:hAnsi="Times New Roman" w:cs="Times New Roman"/>
          <w:i/>
          <w:color w:val="000000"/>
          <w:sz w:val="24"/>
          <w:szCs w:val="24"/>
          <w:lang w:eastAsia="en-AU"/>
        </w:rPr>
        <w:t>Legislation (Exemptions and Other Matters) Regulatio</w:t>
      </w:r>
      <w:r>
        <w:rPr>
          <w:rFonts w:ascii="Times New Roman" w:eastAsia="Times New Roman" w:hAnsi="Times New Roman" w:cs="Times New Roman"/>
          <w:i/>
          <w:color w:val="000000"/>
          <w:sz w:val="24"/>
          <w:szCs w:val="24"/>
          <w:lang w:eastAsia="en-AU"/>
        </w:rPr>
        <w:t>n 2015</w:t>
      </w:r>
      <w:r>
        <w:rPr>
          <w:rFonts w:ascii="Times New Roman" w:eastAsia="Times New Roman" w:hAnsi="Times New Roman" w:cs="Times New Roman"/>
          <w:color w:val="000000"/>
          <w:sz w:val="24"/>
          <w:szCs w:val="24"/>
          <w:lang w:eastAsia="en-AU"/>
        </w:rPr>
        <w:t xml:space="preserve"> (</w:t>
      </w:r>
      <w:r w:rsidR="0050128E">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Principal Regulation) prescribe</w:t>
      </w:r>
      <w:r w:rsidR="00712FEE">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w:t>
      </w:r>
      <w:r w:rsidR="00712FEE">
        <w:rPr>
          <w:rFonts w:ascii="Times New Roman" w:eastAsia="Times New Roman" w:hAnsi="Times New Roman" w:cs="Times New Roman"/>
          <w:color w:val="000000"/>
          <w:sz w:val="24"/>
          <w:szCs w:val="24"/>
          <w:lang w:eastAsia="en-AU"/>
        </w:rPr>
        <w:t xml:space="preserve">instruments that are exempt from disallowance or sunsetting. Section 10 of the Principal Regulation prescribes </w:t>
      </w:r>
      <w:r>
        <w:rPr>
          <w:rFonts w:ascii="Times New Roman" w:eastAsia="Times New Roman" w:hAnsi="Times New Roman" w:cs="Times New Roman"/>
          <w:color w:val="000000"/>
          <w:sz w:val="24"/>
          <w:szCs w:val="24"/>
          <w:lang w:eastAsia="en-AU"/>
        </w:rPr>
        <w:t xml:space="preserve">particular instruments that are exempt from disallowance under paragraph 44(2)(b) of the Legislation Act. </w:t>
      </w:r>
      <w:r w:rsidR="0050128E">
        <w:rPr>
          <w:rFonts w:ascii="Times New Roman" w:eastAsia="Times New Roman" w:hAnsi="Times New Roman" w:cs="Times New Roman"/>
          <w:color w:val="000000"/>
          <w:sz w:val="24"/>
          <w:szCs w:val="24"/>
          <w:lang w:eastAsia="en-AU"/>
        </w:rPr>
        <w:t xml:space="preserve">Section 12 of the Principal Regulation </w:t>
      </w:r>
      <w:r>
        <w:rPr>
          <w:rFonts w:ascii="Times New Roman" w:eastAsia="Times New Roman" w:hAnsi="Times New Roman" w:cs="Times New Roman"/>
          <w:color w:val="000000"/>
          <w:sz w:val="24"/>
          <w:szCs w:val="24"/>
          <w:lang w:eastAsia="en-AU"/>
        </w:rPr>
        <w:t>prescribe</w:t>
      </w:r>
      <w:r w:rsidR="0050128E">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w:t>
      </w:r>
      <w:r>
        <w:rPr>
          <w:rFonts w:ascii="Times New Roman" w:eastAsia="Calibri" w:hAnsi="Times New Roman" w:cs="Times New Roman"/>
          <w:sz w:val="24"/>
          <w:szCs w:val="24"/>
          <w:lang w:eastAsia="en-AU"/>
        </w:rPr>
        <w:t xml:space="preserve">particular instruments that are exempt from sunsetting under paragraph 54(2)(b) of the Act. </w:t>
      </w:r>
    </w:p>
    <w:p w14:paraId="2B203B42" w14:textId="77777777" w:rsidR="000F62D7" w:rsidRPr="005411E2" w:rsidRDefault="000F62D7" w:rsidP="000F62D7">
      <w:pPr>
        <w:spacing w:after="0" w:line="240" w:lineRule="auto"/>
        <w:ind w:right="91"/>
        <w:rPr>
          <w:rFonts w:ascii="Times New Roman" w:eastAsia="Times New Roman" w:hAnsi="Times New Roman" w:cs="Times New Roman"/>
          <w:sz w:val="24"/>
          <w:lang w:eastAsia="en-AU"/>
        </w:rPr>
      </w:pPr>
    </w:p>
    <w:p w14:paraId="0E8E0B67" w14:textId="126ED845" w:rsidR="000F62D7" w:rsidRDefault="000F62D7" w:rsidP="000F62D7">
      <w:pPr>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lang w:eastAsia="en-AU"/>
        </w:rPr>
        <w:t xml:space="preserve">The </w:t>
      </w:r>
      <w:r>
        <w:rPr>
          <w:rFonts w:ascii="Times New Roman" w:eastAsia="Times New Roman" w:hAnsi="Times New Roman" w:cs="Times New Roman"/>
          <w:i/>
          <w:sz w:val="24"/>
          <w:lang w:eastAsia="en-AU"/>
        </w:rPr>
        <w:t>Legislation (Exemptions and Other Matters) Amendment (2021 Measures No. 1) Regulations 2021</w:t>
      </w:r>
      <w:r w:rsidR="0050128E">
        <w:rPr>
          <w:rFonts w:ascii="Times New Roman" w:eastAsia="Times New Roman" w:hAnsi="Times New Roman" w:cs="Times New Roman"/>
          <w:i/>
          <w:sz w:val="24"/>
          <w:lang w:eastAsia="en-AU"/>
        </w:rPr>
        <w:t xml:space="preserve"> </w:t>
      </w:r>
      <w:r w:rsidR="0050128E" w:rsidRPr="00D15E3C">
        <w:rPr>
          <w:rFonts w:ascii="Times New Roman" w:eastAsia="Times New Roman" w:hAnsi="Times New Roman" w:cs="Times New Roman"/>
          <w:sz w:val="24"/>
          <w:lang w:eastAsia="en-AU"/>
        </w:rPr>
        <w:t xml:space="preserve">(the </w:t>
      </w:r>
      <w:r w:rsidR="00BB1CFA">
        <w:rPr>
          <w:rFonts w:ascii="Times New Roman" w:eastAsia="Times New Roman" w:hAnsi="Times New Roman" w:cs="Times New Roman"/>
          <w:sz w:val="24"/>
          <w:lang w:eastAsia="en-AU"/>
        </w:rPr>
        <w:t xml:space="preserve">Amendment </w:t>
      </w:r>
      <w:r w:rsidR="0050128E" w:rsidRPr="00D15E3C">
        <w:rPr>
          <w:rFonts w:ascii="Times New Roman" w:eastAsia="Times New Roman" w:hAnsi="Times New Roman" w:cs="Times New Roman"/>
          <w:sz w:val="24"/>
          <w:lang w:eastAsia="en-AU"/>
        </w:rPr>
        <w:t>Regulations)</w:t>
      </w:r>
      <w:r w:rsidR="0050128E">
        <w:rPr>
          <w:rFonts w:ascii="Times New Roman" w:eastAsia="Times New Roman" w:hAnsi="Times New Roman" w:cs="Times New Roman"/>
          <w:i/>
          <w:sz w:val="24"/>
          <w:lang w:eastAsia="en-AU"/>
        </w:rPr>
        <w:t xml:space="preserve"> </w:t>
      </w:r>
      <w:r w:rsidR="0050128E" w:rsidRPr="00D15E3C">
        <w:rPr>
          <w:rFonts w:ascii="Times New Roman" w:eastAsia="Times New Roman" w:hAnsi="Times New Roman" w:cs="Times New Roman"/>
          <w:sz w:val="24"/>
          <w:lang w:eastAsia="en-AU"/>
        </w:rPr>
        <w:t>amend the Principal</w:t>
      </w:r>
      <w:r>
        <w:rPr>
          <w:rFonts w:ascii="Times New Roman" w:eastAsia="Times New Roman" w:hAnsi="Times New Roman" w:cs="Times New Roman"/>
          <w:sz w:val="24"/>
          <w:lang w:eastAsia="en-AU"/>
        </w:rPr>
        <w:t xml:space="preserve"> </w:t>
      </w:r>
      <w:r w:rsidR="0050128E">
        <w:rPr>
          <w:rFonts w:ascii="Times New Roman" w:eastAsia="Times New Roman" w:hAnsi="Times New Roman" w:cs="Times New Roman"/>
          <w:sz w:val="24"/>
          <w:lang w:eastAsia="en-AU"/>
        </w:rPr>
        <w:t xml:space="preserve">Regulation to update references to provisions that are, or will become by 1 July 2021, out of date. </w:t>
      </w:r>
    </w:p>
    <w:p w14:paraId="33E76911" w14:textId="77777777" w:rsidR="0050128E" w:rsidRDefault="0050128E" w:rsidP="000F62D7">
      <w:pPr>
        <w:spacing w:after="0" w:line="240" w:lineRule="auto"/>
        <w:ind w:right="91"/>
        <w:rPr>
          <w:rFonts w:ascii="Times New Roman" w:eastAsia="Times New Roman" w:hAnsi="Times New Roman" w:cs="Times New Roman"/>
          <w:sz w:val="24"/>
          <w:lang w:eastAsia="en-AU"/>
        </w:rPr>
      </w:pPr>
    </w:p>
    <w:p w14:paraId="6C2EB863" w14:textId="77777777" w:rsidR="0050128E" w:rsidRPr="00BD0E0F" w:rsidRDefault="0050128E" w:rsidP="0050128E">
      <w:pPr>
        <w:tabs>
          <w:tab w:val="right" w:pos="8931"/>
        </w:tabs>
        <w:spacing w:after="0" w:line="240" w:lineRule="auto"/>
        <w:ind w:right="91"/>
        <w:rPr>
          <w:rFonts w:ascii="Times New Roman" w:eastAsia="Times New Roman" w:hAnsi="Times New Roman" w:cs="Times New Roman"/>
          <w:sz w:val="24"/>
          <w:lang w:eastAsia="en-AU"/>
        </w:rPr>
      </w:pPr>
      <w:r w:rsidRPr="00AA3E62">
        <w:rPr>
          <w:rFonts w:ascii="Times New Roman" w:eastAsia="Times New Roman" w:hAnsi="Times New Roman" w:cs="Times New Roman"/>
          <w:sz w:val="24"/>
          <w:lang w:eastAsia="en-AU"/>
        </w:rPr>
        <w:t xml:space="preserve">Item 2(b) </w:t>
      </w:r>
      <w:r w:rsidRPr="003D0C04">
        <w:rPr>
          <w:rFonts w:ascii="Times New Roman" w:eastAsia="Times New Roman" w:hAnsi="Times New Roman" w:cs="Times New Roman"/>
          <w:sz w:val="24"/>
          <w:lang w:eastAsia="en-AU"/>
        </w:rPr>
        <w:t>of section</w:t>
      </w:r>
      <w:r w:rsidRPr="00BD0E0F">
        <w:rPr>
          <w:rFonts w:ascii="Times New Roman" w:eastAsia="Times New Roman" w:hAnsi="Times New Roman" w:cs="Times New Roman"/>
          <w:sz w:val="24"/>
          <w:lang w:eastAsia="en-AU"/>
        </w:rPr>
        <w:t xml:space="preserve"> 10 of the Principal Regulation</w:t>
      </w:r>
      <w:r>
        <w:rPr>
          <w:rFonts w:ascii="Times New Roman" w:eastAsia="Times New Roman" w:hAnsi="Times New Roman" w:cs="Times New Roman"/>
          <w:sz w:val="24"/>
          <w:lang w:eastAsia="en-AU"/>
        </w:rPr>
        <w:t xml:space="preserve"> provides that certain </w:t>
      </w:r>
      <w:r w:rsidRPr="00BD0E0F">
        <w:rPr>
          <w:rFonts w:ascii="Times New Roman" w:eastAsia="Times New Roman" w:hAnsi="Times New Roman" w:cs="Times New Roman"/>
          <w:sz w:val="24"/>
          <w:lang w:eastAsia="en-AU"/>
        </w:rPr>
        <w:t xml:space="preserve">instruments made under the </w:t>
      </w:r>
      <w:r w:rsidRPr="00BD0E0F">
        <w:rPr>
          <w:rFonts w:ascii="Times New Roman" w:eastAsia="Times New Roman" w:hAnsi="Times New Roman" w:cs="Times New Roman"/>
          <w:i/>
          <w:sz w:val="24"/>
          <w:lang w:eastAsia="en-AU"/>
        </w:rPr>
        <w:t>Air Services Regulations 1995</w:t>
      </w:r>
      <w:r>
        <w:rPr>
          <w:rFonts w:ascii="Times New Roman" w:eastAsia="Times New Roman" w:hAnsi="Times New Roman" w:cs="Times New Roman"/>
          <w:i/>
          <w:sz w:val="24"/>
          <w:lang w:eastAsia="en-AU"/>
        </w:rPr>
        <w:t xml:space="preserve"> </w:t>
      </w:r>
      <w:r w:rsidRPr="00D55735">
        <w:rPr>
          <w:rFonts w:ascii="Times New Roman" w:eastAsia="Times New Roman" w:hAnsi="Times New Roman" w:cs="Times New Roman"/>
          <w:sz w:val="24"/>
          <w:lang w:eastAsia="en-AU"/>
        </w:rPr>
        <w:t>(ASR 1995)</w:t>
      </w:r>
      <w:r>
        <w:rPr>
          <w:rFonts w:ascii="Times New Roman" w:eastAsia="Times New Roman" w:hAnsi="Times New Roman" w:cs="Times New Roman"/>
          <w:i/>
          <w:sz w:val="24"/>
          <w:lang w:eastAsia="en-AU"/>
        </w:rPr>
        <w:t xml:space="preserve"> </w:t>
      </w:r>
      <w:r w:rsidRPr="00AA3E62">
        <w:rPr>
          <w:rFonts w:ascii="Times New Roman" w:eastAsia="Times New Roman" w:hAnsi="Times New Roman" w:cs="Times New Roman"/>
          <w:sz w:val="24"/>
          <w:lang w:eastAsia="en-AU"/>
        </w:rPr>
        <w:t>are not subject to disallowance.</w:t>
      </w:r>
      <w:r w:rsidRPr="00BD0E0F">
        <w:rPr>
          <w:rFonts w:ascii="Times New Roman" w:eastAsia="Times New Roman" w:hAnsi="Times New Roman" w:cs="Times New Roman"/>
          <w:sz w:val="24"/>
          <w:lang w:eastAsia="en-AU"/>
        </w:rPr>
        <w:t xml:space="preserve"> This </w:t>
      </w:r>
      <w:r>
        <w:rPr>
          <w:rFonts w:ascii="Times New Roman" w:eastAsia="Times New Roman" w:hAnsi="Times New Roman" w:cs="Times New Roman"/>
          <w:sz w:val="24"/>
          <w:lang w:eastAsia="en-AU"/>
        </w:rPr>
        <w:t xml:space="preserve">replicates the </w:t>
      </w:r>
      <w:r w:rsidRPr="00BD0E0F">
        <w:rPr>
          <w:rFonts w:ascii="Times New Roman" w:eastAsia="Times New Roman" w:hAnsi="Times New Roman" w:cs="Times New Roman"/>
          <w:sz w:val="24"/>
          <w:lang w:eastAsia="en-AU"/>
        </w:rPr>
        <w:t>exemption in item 1</w:t>
      </w:r>
      <w:r>
        <w:rPr>
          <w:rFonts w:ascii="Times New Roman" w:eastAsia="Times New Roman" w:hAnsi="Times New Roman" w:cs="Times New Roman"/>
          <w:sz w:val="24"/>
          <w:lang w:eastAsia="en-AU"/>
        </w:rPr>
        <w:t xml:space="preserve">B </w:t>
      </w:r>
      <w:r w:rsidRPr="00BD0E0F">
        <w:rPr>
          <w:rFonts w:ascii="Times New Roman" w:eastAsia="Times New Roman" w:hAnsi="Times New Roman" w:cs="Times New Roman"/>
          <w:sz w:val="24"/>
          <w:lang w:eastAsia="en-AU"/>
        </w:rPr>
        <w:t>of Schedule</w:t>
      </w:r>
      <w:r>
        <w:rPr>
          <w:rFonts w:ascii="Times New Roman" w:eastAsia="Times New Roman" w:hAnsi="Times New Roman" w:cs="Times New Roman"/>
          <w:sz w:val="24"/>
          <w:lang w:eastAsia="en-AU"/>
        </w:rPr>
        <w:t> </w:t>
      </w:r>
      <w:r w:rsidRPr="00BD0E0F">
        <w:rPr>
          <w:rFonts w:ascii="Times New Roman" w:eastAsia="Times New Roman" w:hAnsi="Times New Roman" w:cs="Times New Roman"/>
          <w:sz w:val="24"/>
          <w:lang w:eastAsia="en-AU"/>
        </w:rPr>
        <w:t xml:space="preserve">2 </w:t>
      </w:r>
      <w:r>
        <w:rPr>
          <w:rFonts w:ascii="Times New Roman" w:eastAsia="Times New Roman" w:hAnsi="Times New Roman" w:cs="Times New Roman"/>
          <w:sz w:val="24"/>
          <w:lang w:eastAsia="en-AU"/>
        </w:rPr>
        <w:t xml:space="preserve">to </w:t>
      </w:r>
      <w:r w:rsidRPr="00BD0E0F">
        <w:rPr>
          <w:rFonts w:ascii="Times New Roman" w:eastAsia="Times New Roman" w:hAnsi="Times New Roman" w:cs="Times New Roman"/>
          <w:sz w:val="24"/>
          <w:lang w:eastAsia="en-AU"/>
        </w:rPr>
        <w:t xml:space="preserve">the </w:t>
      </w:r>
      <w:r>
        <w:rPr>
          <w:rFonts w:ascii="Times New Roman" w:eastAsia="Times New Roman" w:hAnsi="Times New Roman" w:cs="Times New Roman"/>
          <w:sz w:val="24"/>
          <w:lang w:eastAsia="en-AU"/>
        </w:rPr>
        <w:t>former</w:t>
      </w:r>
      <w:r w:rsidRPr="00BD0E0F">
        <w:rPr>
          <w:rFonts w:ascii="Times New Roman" w:eastAsia="Times New Roman" w:hAnsi="Times New Roman" w:cs="Times New Roman"/>
          <w:sz w:val="24"/>
          <w:lang w:eastAsia="en-AU"/>
        </w:rPr>
        <w:t xml:space="preserve"> </w:t>
      </w:r>
      <w:r w:rsidRPr="00BD0E0F">
        <w:rPr>
          <w:rFonts w:ascii="Times New Roman" w:eastAsia="Times New Roman" w:hAnsi="Times New Roman" w:cs="Times New Roman"/>
          <w:i/>
          <w:sz w:val="24"/>
          <w:lang w:eastAsia="en-AU"/>
        </w:rPr>
        <w:t>Legislative Instruments Regulations 2004</w:t>
      </w:r>
      <w:r w:rsidRPr="00BD0E0F">
        <w:rPr>
          <w:rFonts w:ascii="Times New Roman" w:eastAsia="Times New Roman" w:hAnsi="Times New Roman" w:cs="Times New Roman"/>
          <w:sz w:val="24"/>
          <w:lang w:eastAsia="en-AU"/>
        </w:rPr>
        <w:t xml:space="preserve">. The </w:t>
      </w:r>
      <w:r>
        <w:rPr>
          <w:rFonts w:ascii="Times New Roman" w:eastAsia="Times New Roman" w:hAnsi="Times New Roman" w:cs="Times New Roman"/>
          <w:sz w:val="24"/>
          <w:lang w:eastAsia="en-AU"/>
        </w:rPr>
        <w:t>reason for this exemption was that disallowance would adversely impact on the orderly management of the aviation industry and air traffic safety management.</w:t>
      </w:r>
    </w:p>
    <w:p w14:paraId="5764AD91" w14:textId="77777777" w:rsidR="0050128E" w:rsidRPr="00BD0E0F" w:rsidRDefault="0050128E" w:rsidP="0050128E">
      <w:pPr>
        <w:tabs>
          <w:tab w:val="right" w:pos="8931"/>
        </w:tabs>
        <w:spacing w:after="0" w:line="240" w:lineRule="auto"/>
        <w:ind w:right="91"/>
        <w:rPr>
          <w:rFonts w:ascii="Times New Roman" w:eastAsia="Times New Roman" w:hAnsi="Times New Roman" w:cs="Times New Roman"/>
          <w:sz w:val="24"/>
          <w:lang w:eastAsia="en-AU"/>
        </w:rPr>
      </w:pPr>
    </w:p>
    <w:p w14:paraId="4C637A67" w14:textId="13A954E6" w:rsidR="0050128E" w:rsidRPr="00BD0E0F" w:rsidRDefault="0050128E" w:rsidP="0050128E">
      <w:pPr>
        <w:tabs>
          <w:tab w:val="right" w:pos="8931"/>
        </w:tabs>
        <w:spacing w:after="0" w:line="240" w:lineRule="auto"/>
        <w:ind w:right="91"/>
        <w:rPr>
          <w:rFonts w:ascii="Times New Roman" w:eastAsia="Times New Roman" w:hAnsi="Times New Roman" w:cs="Times New Roman"/>
          <w:sz w:val="24"/>
          <w:lang w:eastAsia="en-AU"/>
        </w:rPr>
      </w:pPr>
      <w:r w:rsidRPr="00BD0E0F">
        <w:rPr>
          <w:rFonts w:ascii="Times New Roman" w:eastAsia="Times New Roman" w:hAnsi="Times New Roman" w:cs="Times New Roman"/>
          <w:sz w:val="24"/>
          <w:lang w:eastAsia="en-AU"/>
        </w:rPr>
        <w:lastRenderedPageBreak/>
        <w:t xml:space="preserve">The </w:t>
      </w:r>
      <w:r w:rsidRPr="000515B6">
        <w:rPr>
          <w:rFonts w:ascii="Times New Roman" w:eastAsia="Times New Roman" w:hAnsi="Times New Roman" w:cs="Times New Roman"/>
          <w:sz w:val="24"/>
          <w:lang w:eastAsia="en-AU"/>
        </w:rPr>
        <w:t>ASR 1995</w:t>
      </w:r>
      <w:r>
        <w:rPr>
          <w:rFonts w:ascii="Times New Roman" w:eastAsia="Times New Roman" w:hAnsi="Times New Roman" w:cs="Times New Roman"/>
          <w:i/>
          <w:sz w:val="24"/>
          <w:lang w:eastAsia="en-AU"/>
        </w:rPr>
        <w:t xml:space="preserve"> </w:t>
      </w:r>
      <w:r w:rsidRPr="00BD0E0F">
        <w:rPr>
          <w:rFonts w:ascii="Times New Roman" w:eastAsia="Times New Roman" w:hAnsi="Times New Roman" w:cs="Times New Roman"/>
          <w:sz w:val="24"/>
          <w:lang w:eastAsia="en-AU"/>
        </w:rPr>
        <w:t xml:space="preserve">have been replaced </w:t>
      </w:r>
      <w:r>
        <w:rPr>
          <w:rFonts w:ascii="Times New Roman" w:eastAsia="Times New Roman" w:hAnsi="Times New Roman" w:cs="Times New Roman"/>
          <w:sz w:val="24"/>
          <w:lang w:eastAsia="en-AU"/>
        </w:rPr>
        <w:t xml:space="preserve">by the </w:t>
      </w:r>
      <w:r w:rsidRPr="00BD0E0F">
        <w:rPr>
          <w:rFonts w:ascii="Times New Roman" w:eastAsia="Times New Roman" w:hAnsi="Times New Roman" w:cs="Times New Roman"/>
          <w:i/>
          <w:sz w:val="24"/>
          <w:lang w:eastAsia="en-AU"/>
        </w:rPr>
        <w:t>Air Services Regulations 2019</w:t>
      </w:r>
      <w:r>
        <w:rPr>
          <w:rFonts w:ascii="Times New Roman" w:eastAsia="Times New Roman" w:hAnsi="Times New Roman" w:cs="Times New Roman"/>
          <w:i/>
          <w:sz w:val="24"/>
          <w:lang w:eastAsia="en-AU"/>
        </w:rPr>
        <w:t xml:space="preserve"> </w:t>
      </w:r>
      <w:r w:rsidRPr="00D55735">
        <w:rPr>
          <w:rFonts w:ascii="Times New Roman" w:eastAsia="Times New Roman" w:hAnsi="Times New Roman" w:cs="Times New Roman"/>
          <w:sz w:val="24"/>
          <w:lang w:eastAsia="en-AU"/>
        </w:rPr>
        <w:t>(ASR 2019).</w:t>
      </w:r>
      <w:r w:rsidRPr="00BD0E0F">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The</w:t>
      </w:r>
      <w:r w:rsidRPr="00BD0E0F">
        <w:rPr>
          <w:rFonts w:ascii="Times New Roman" w:eastAsia="Times New Roman" w:hAnsi="Times New Roman" w:cs="Times New Roman"/>
          <w:sz w:val="24"/>
          <w:lang w:eastAsia="en-AU"/>
        </w:rPr>
        <w:t xml:space="preserve"> </w:t>
      </w:r>
      <w:r w:rsidR="00B14CCA">
        <w:rPr>
          <w:rFonts w:ascii="Times New Roman" w:eastAsia="Times New Roman" w:hAnsi="Times New Roman" w:cs="Times New Roman"/>
          <w:sz w:val="24"/>
          <w:lang w:eastAsia="en-AU"/>
        </w:rPr>
        <w:t xml:space="preserve">Amendment </w:t>
      </w:r>
      <w:r w:rsidRPr="00BD0E0F">
        <w:rPr>
          <w:rFonts w:ascii="Times New Roman" w:eastAsia="Times New Roman" w:hAnsi="Times New Roman" w:cs="Times New Roman"/>
          <w:sz w:val="24"/>
          <w:lang w:eastAsia="en-AU"/>
        </w:rPr>
        <w:t>Regulations replace the reference</w:t>
      </w:r>
      <w:r>
        <w:rPr>
          <w:rFonts w:ascii="Times New Roman" w:eastAsia="Times New Roman" w:hAnsi="Times New Roman" w:cs="Times New Roman"/>
          <w:sz w:val="24"/>
          <w:lang w:eastAsia="en-AU"/>
        </w:rPr>
        <w:t xml:space="preserve">s </w:t>
      </w:r>
      <w:r w:rsidRPr="00BD0E0F">
        <w:rPr>
          <w:rFonts w:ascii="Times New Roman" w:eastAsia="Times New Roman" w:hAnsi="Times New Roman" w:cs="Times New Roman"/>
          <w:sz w:val="24"/>
          <w:lang w:eastAsia="en-AU"/>
        </w:rPr>
        <w:t>t</w:t>
      </w:r>
      <w:r>
        <w:rPr>
          <w:rFonts w:ascii="Times New Roman" w:eastAsia="Times New Roman" w:hAnsi="Times New Roman" w:cs="Times New Roman"/>
          <w:sz w:val="24"/>
          <w:lang w:eastAsia="en-AU"/>
        </w:rPr>
        <w:t xml:space="preserve">o </w:t>
      </w:r>
      <w:r w:rsidRPr="00BD0E0F">
        <w:rPr>
          <w:rFonts w:ascii="Times New Roman" w:eastAsia="Times New Roman" w:hAnsi="Times New Roman" w:cs="Times New Roman"/>
          <w:sz w:val="24"/>
          <w:lang w:eastAsia="en-AU"/>
        </w:rPr>
        <w:t xml:space="preserve">the </w:t>
      </w:r>
      <w:r w:rsidRPr="000515B6">
        <w:rPr>
          <w:rFonts w:ascii="Times New Roman" w:eastAsia="Times New Roman" w:hAnsi="Times New Roman" w:cs="Times New Roman"/>
          <w:sz w:val="24"/>
          <w:lang w:eastAsia="en-AU"/>
        </w:rPr>
        <w:t>ASR 1995</w:t>
      </w:r>
      <w:r w:rsidRPr="00BD0E0F">
        <w:rPr>
          <w:rFonts w:ascii="Times New Roman" w:eastAsia="Times New Roman" w:hAnsi="Times New Roman" w:cs="Times New Roman"/>
          <w:sz w:val="24"/>
          <w:lang w:eastAsia="en-AU"/>
        </w:rPr>
        <w:t xml:space="preserve"> with </w:t>
      </w:r>
      <w:r>
        <w:rPr>
          <w:rFonts w:ascii="Times New Roman" w:eastAsia="Times New Roman" w:hAnsi="Times New Roman" w:cs="Times New Roman"/>
          <w:sz w:val="24"/>
          <w:lang w:eastAsia="en-AU"/>
        </w:rPr>
        <w:t>the equivalent provisions</w:t>
      </w:r>
      <w:r w:rsidRPr="00BD0E0F">
        <w:rPr>
          <w:rFonts w:ascii="Times New Roman" w:eastAsia="Times New Roman" w:hAnsi="Times New Roman" w:cs="Times New Roman"/>
          <w:sz w:val="24"/>
          <w:lang w:eastAsia="en-AU"/>
        </w:rPr>
        <w:t xml:space="preserve"> of the </w:t>
      </w:r>
      <w:r w:rsidRPr="000515B6">
        <w:rPr>
          <w:rFonts w:ascii="Times New Roman" w:eastAsia="Times New Roman" w:hAnsi="Times New Roman" w:cs="Times New Roman"/>
          <w:sz w:val="24"/>
          <w:lang w:eastAsia="en-AU"/>
        </w:rPr>
        <w:t>ASR 2019</w:t>
      </w:r>
      <w:r w:rsidRPr="00BD0E0F">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This maintains the scope of the existing exemption from disallowance</w:t>
      </w:r>
      <w:r w:rsidRPr="00BD0E0F">
        <w:rPr>
          <w:rFonts w:ascii="Times New Roman" w:eastAsia="Times New Roman" w:hAnsi="Times New Roman" w:cs="Times New Roman"/>
          <w:sz w:val="24"/>
          <w:lang w:eastAsia="en-AU"/>
        </w:rPr>
        <w:t xml:space="preserve">. </w:t>
      </w:r>
    </w:p>
    <w:p w14:paraId="00C368A0" w14:textId="63917AFE" w:rsidR="00F1412B" w:rsidRDefault="00F1412B" w:rsidP="0050128E">
      <w:pPr>
        <w:numPr>
          <w:ilvl w:val="12"/>
          <w:numId w:val="0"/>
        </w:numPr>
        <w:spacing w:before="240" w:after="0" w:line="240" w:lineRule="auto"/>
        <w:rPr>
          <w:rFonts w:ascii="Times New Roman" w:eastAsia="Calibri" w:hAnsi="Times New Roman" w:cs="Times New Roman"/>
          <w:sz w:val="24"/>
          <w:szCs w:val="24"/>
          <w:lang w:eastAsia="en-AU"/>
        </w:rPr>
      </w:pPr>
      <w:r w:rsidRPr="00B80FB9">
        <w:rPr>
          <w:rFonts w:ascii="Times New Roman" w:eastAsia="Calibri" w:hAnsi="Times New Roman" w:cs="Times New Roman"/>
          <w:i/>
          <w:sz w:val="24"/>
          <w:szCs w:val="24"/>
          <w:lang w:eastAsia="en-AU"/>
        </w:rPr>
        <w:t>Australian Security Intelligence Organisation Act 1979</w:t>
      </w:r>
    </w:p>
    <w:p w14:paraId="216C1403" w14:textId="77777777" w:rsidR="0050128E" w:rsidRDefault="0050128E" w:rsidP="0050128E">
      <w:pPr>
        <w:numPr>
          <w:ilvl w:val="12"/>
          <w:numId w:val="0"/>
        </w:numPr>
        <w:spacing w:before="240" w:after="0" w:line="240" w:lineRule="auto"/>
        <w:rPr>
          <w:rFonts w:ascii="Times New Roman" w:eastAsia="Calibri" w:hAnsi="Times New Roman" w:cs="Times New Roman"/>
          <w:i/>
          <w:sz w:val="24"/>
          <w:szCs w:val="24"/>
          <w:lang w:eastAsia="en-AU"/>
        </w:rPr>
      </w:pPr>
      <w:r>
        <w:rPr>
          <w:rFonts w:ascii="Times New Roman" w:eastAsia="Calibri" w:hAnsi="Times New Roman" w:cs="Times New Roman"/>
          <w:sz w:val="24"/>
          <w:szCs w:val="24"/>
          <w:lang w:eastAsia="en-AU"/>
        </w:rPr>
        <w:t xml:space="preserve">Section 34 AF of the </w:t>
      </w:r>
      <w:r w:rsidRPr="00B80FB9">
        <w:rPr>
          <w:rFonts w:ascii="Times New Roman" w:eastAsia="Calibri" w:hAnsi="Times New Roman" w:cs="Times New Roman"/>
          <w:i/>
          <w:sz w:val="24"/>
          <w:szCs w:val="24"/>
          <w:lang w:eastAsia="en-AU"/>
        </w:rPr>
        <w:t>Australian Security Intelligence Organisation Act 1979</w:t>
      </w:r>
      <w:r>
        <w:rPr>
          <w:rFonts w:ascii="Times New Roman" w:eastAsia="Calibri" w:hAnsi="Times New Roman" w:cs="Times New Roman"/>
          <w:i/>
          <w:sz w:val="24"/>
          <w:szCs w:val="24"/>
          <w:lang w:eastAsia="en-AU"/>
        </w:rPr>
        <w:t xml:space="preserve"> </w:t>
      </w:r>
      <w:r w:rsidRPr="004734E7">
        <w:rPr>
          <w:rFonts w:ascii="Times New Roman" w:eastAsia="Calibri" w:hAnsi="Times New Roman" w:cs="Times New Roman"/>
          <w:sz w:val="24"/>
          <w:szCs w:val="24"/>
          <w:lang w:eastAsia="en-AU"/>
        </w:rPr>
        <w:t>(ASIO</w:t>
      </w:r>
      <w:r>
        <w:rPr>
          <w:rFonts w:ascii="Times New Roman" w:eastAsia="Calibri" w:hAnsi="Times New Roman" w:cs="Times New Roman"/>
          <w:sz w:val="24"/>
          <w:szCs w:val="24"/>
          <w:lang w:eastAsia="en-AU"/>
        </w:rPr>
        <w:t> </w:t>
      </w:r>
      <w:r w:rsidRPr="004734E7">
        <w:rPr>
          <w:rFonts w:ascii="Times New Roman" w:eastAsia="Calibri" w:hAnsi="Times New Roman" w:cs="Times New Roman"/>
          <w:sz w:val="24"/>
          <w:szCs w:val="24"/>
          <w:lang w:eastAsia="en-AU"/>
        </w:rPr>
        <w:t>Act)</w:t>
      </w:r>
      <w:r>
        <w:rPr>
          <w:rFonts w:ascii="Times New Roman" w:eastAsia="Calibri" w:hAnsi="Times New Roman" w:cs="Times New Roman"/>
          <w:i/>
          <w:sz w:val="24"/>
          <w:szCs w:val="24"/>
          <w:lang w:eastAsia="en-AU"/>
        </w:rPr>
        <w:t xml:space="preserve"> </w:t>
      </w:r>
      <w:r w:rsidRPr="007A2FB6">
        <w:rPr>
          <w:rFonts w:ascii="Times New Roman" w:eastAsia="Calibri" w:hAnsi="Times New Roman" w:cs="Times New Roman"/>
          <w:sz w:val="24"/>
          <w:szCs w:val="24"/>
          <w:lang w:eastAsia="en-AU"/>
        </w:rPr>
        <w:t>provides that the Director-General may prepare a written statement of procedures to be followed under a questioning warrant.</w:t>
      </w:r>
      <w:r>
        <w:rPr>
          <w:rFonts w:ascii="Times New Roman" w:eastAsia="Calibri" w:hAnsi="Times New Roman" w:cs="Times New Roman"/>
          <w:i/>
          <w:sz w:val="24"/>
          <w:szCs w:val="24"/>
          <w:lang w:eastAsia="en-AU"/>
        </w:rPr>
        <w:t xml:space="preserve"> </w:t>
      </w:r>
      <w:r w:rsidRPr="007A2FB6">
        <w:rPr>
          <w:rFonts w:ascii="Times New Roman" w:eastAsia="Calibri" w:hAnsi="Times New Roman" w:cs="Times New Roman"/>
          <w:sz w:val="24"/>
          <w:szCs w:val="24"/>
          <w:lang w:eastAsia="en-AU"/>
        </w:rPr>
        <w:t xml:space="preserve">This section replicates former section 34C </w:t>
      </w:r>
      <w:r>
        <w:rPr>
          <w:rFonts w:ascii="Times New Roman" w:eastAsia="Calibri" w:hAnsi="Times New Roman" w:cs="Times New Roman"/>
          <w:sz w:val="24"/>
          <w:szCs w:val="24"/>
          <w:lang w:eastAsia="en-AU"/>
        </w:rPr>
        <w:t xml:space="preserve">of the ASIO Act </w:t>
      </w:r>
      <w:r w:rsidRPr="007A2FB6">
        <w:rPr>
          <w:rFonts w:ascii="Times New Roman" w:eastAsia="Calibri" w:hAnsi="Times New Roman" w:cs="Times New Roman"/>
          <w:sz w:val="24"/>
          <w:szCs w:val="24"/>
          <w:lang w:eastAsia="en-AU"/>
        </w:rPr>
        <w:t>which was repealed by the</w:t>
      </w:r>
      <w:r>
        <w:rPr>
          <w:rFonts w:ascii="Times New Roman" w:eastAsia="Calibri" w:hAnsi="Times New Roman" w:cs="Times New Roman"/>
          <w:i/>
          <w:sz w:val="24"/>
          <w:szCs w:val="24"/>
          <w:lang w:eastAsia="en-AU"/>
        </w:rPr>
        <w:t xml:space="preserve"> Australian Security Intelligence Organisation Amendment Act 2020.</w:t>
      </w:r>
    </w:p>
    <w:p w14:paraId="4A4869AB" w14:textId="0A8900B4" w:rsidR="0050128E" w:rsidRDefault="0050128E" w:rsidP="0050128E">
      <w:pPr>
        <w:numPr>
          <w:ilvl w:val="12"/>
          <w:numId w:val="0"/>
        </w:numPr>
        <w:spacing w:before="240" w:after="0" w:line="240" w:lineRule="auto"/>
        <w:rPr>
          <w:rFonts w:ascii="Times New Roman" w:eastAsia="Calibri" w:hAnsi="Times New Roman" w:cs="Times New Roman"/>
          <w:sz w:val="24"/>
          <w:szCs w:val="24"/>
        </w:rPr>
      </w:pPr>
      <w:r>
        <w:rPr>
          <w:rFonts w:ascii="Times New Roman" w:eastAsia="Times New Roman" w:hAnsi="Times New Roman" w:cs="Times New Roman"/>
          <w:sz w:val="24"/>
          <w:lang w:eastAsia="en-AU"/>
        </w:rPr>
        <w:t xml:space="preserve">Item 10 of </w:t>
      </w:r>
      <w:r w:rsidRPr="00BD0E0F">
        <w:rPr>
          <w:rFonts w:ascii="Times New Roman" w:eastAsia="Times New Roman" w:hAnsi="Times New Roman" w:cs="Times New Roman"/>
          <w:sz w:val="24"/>
          <w:lang w:eastAsia="en-AU"/>
        </w:rPr>
        <w:t xml:space="preserve">section 12 of the Principal Regulation </w:t>
      </w:r>
      <w:r>
        <w:rPr>
          <w:rFonts w:ascii="Times New Roman" w:eastAsia="Times New Roman" w:hAnsi="Times New Roman" w:cs="Times New Roman"/>
          <w:sz w:val="24"/>
          <w:lang w:eastAsia="en-AU"/>
        </w:rPr>
        <w:t xml:space="preserve">provides a sunsetting exemption for a statement of procedures approved under former section 34C of the ASIO Act. The </w:t>
      </w:r>
      <w:r w:rsidR="00BB1CFA">
        <w:rPr>
          <w:rFonts w:ascii="Times New Roman" w:eastAsia="Times New Roman" w:hAnsi="Times New Roman" w:cs="Times New Roman"/>
          <w:sz w:val="24"/>
          <w:lang w:eastAsia="en-AU"/>
        </w:rPr>
        <w:t xml:space="preserve">Amendment </w:t>
      </w:r>
      <w:r>
        <w:rPr>
          <w:rFonts w:ascii="Times New Roman" w:eastAsia="Times New Roman" w:hAnsi="Times New Roman" w:cs="Times New Roman"/>
          <w:sz w:val="24"/>
          <w:lang w:eastAsia="en-AU"/>
        </w:rPr>
        <w:t>Regulations amend item 10 to provide an exemption for procedures approved under section 34AF of the ASIO Act</w:t>
      </w:r>
      <w:r>
        <w:rPr>
          <w:rFonts w:ascii="Times New Roman" w:eastAsia="Calibri" w:hAnsi="Times New Roman" w:cs="Times New Roman"/>
          <w:sz w:val="24"/>
          <w:szCs w:val="24"/>
        </w:rPr>
        <w:t xml:space="preserve">. </w:t>
      </w:r>
    </w:p>
    <w:p w14:paraId="7B28E514" w14:textId="77777777" w:rsidR="00F1412B" w:rsidRDefault="0050128E" w:rsidP="0050128E">
      <w:pPr>
        <w:numPr>
          <w:ilvl w:val="12"/>
          <w:numId w:val="0"/>
        </w:numPr>
        <w:spacing w:before="240" w:after="0" w:line="240" w:lineRule="auto"/>
        <w:rPr>
          <w:rFonts w:ascii="Times New Roman" w:eastAsia="Times New Roman" w:hAnsi="Times New Roman" w:cs="Times New Roman"/>
          <w:sz w:val="24"/>
          <w:lang w:eastAsia="en-AU"/>
        </w:rPr>
      </w:pPr>
      <w:r>
        <w:rPr>
          <w:rFonts w:ascii="Times New Roman" w:eastAsia="Calibri" w:hAnsi="Times New Roman" w:cs="Times New Roman"/>
          <w:sz w:val="24"/>
          <w:szCs w:val="24"/>
        </w:rPr>
        <w:t>S</w:t>
      </w:r>
      <w:r>
        <w:rPr>
          <w:rFonts w:ascii="Times New Roman" w:eastAsia="Times New Roman" w:hAnsi="Times New Roman" w:cs="Times New Roman"/>
          <w:sz w:val="24"/>
          <w:lang w:eastAsia="en-AU"/>
        </w:rPr>
        <w:t>ection </w:t>
      </w:r>
      <w:r w:rsidRPr="000F548E">
        <w:rPr>
          <w:rFonts w:ascii="Times New Roman" w:eastAsia="Times New Roman" w:hAnsi="Times New Roman" w:cs="Times New Roman"/>
          <w:sz w:val="24"/>
          <w:lang w:eastAsia="en-AU"/>
        </w:rPr>
        <w:t xml:space="preserve">34JF of the ASIO Act provides that Division 3 of Part III </w:t>
      </w:r>
      <w:r>
        <w:rPr>
          <w:rFonts w:ascii="Times New Roman" w:eastAsia="Times New Roman" w:hAnsi="Times New Roman" w:cs="Times New Roman"/>
          <w:sz w:val="24"/>
          <w:lang w:eastAsia="en-AU"/>
        </w:rPr>
        <w:t>(which includes section 34AF) will cease to have effect on 7 </w:t>
      </w:r>
      <w:r w:rsidRPr="000F548E">
        <w:rPr>
          <w:rFonts w:ascii="Times New Roman" w:eastAsia="Times New Roman" w:hAnsi="Times New Roman" w:cs="Times New Roman"/>
          <w:sz w:val="24"/>
          <w:lang w:eastAsia="en-AU"/>
        </w:rPr>
        <w:t>Sep</w:t>
      </w:r>
      <w:r>
        <w:rPr>
          <w:rFonts w:ascii="Times New Roman" w:eastAsia="Times New Roman" w:hAnsi="Times New Roman" w:cs="Times New Roman"/>
          <w:sz w:val="24"/>
          <w:lang w:eastAsia="en-AU"/>
        </w:rPr>
        <w:t>tember </w:t>
      </w:r>
      <w:r w:rsidRPr="00743C1A">
        <w:rPr>
          <w:rFonts w:ascii="Times New Roman" w:eastAsia="Times New Roman" w:hAnsi="Times New Roman" w:cs="Times New Roman"/>
          <w:sz w:val="24"/>
          <w:lang w:eastAsia="en-AU"/>
        </w:rPr>
        <w:t>2025</w:t>
      </w:r>
      <w:r>
        <w:rPr>
          <w:rFonts w:ascii="Times New Roman" w:eastAsia="Times New Roman" w:hAnsi="Times New Roman" w:cs="Times New Roman"/>
          <w:sz w:val="24"/>
          <w:lang w:eastAsia="en-AU"/>
        </w:rPr>
        <w:t xml:space="preserve">. This Division will also be subject to review by the Parliamentary Joint Committee on Intelligence and Security, if it resolves to do so, before 7 September 2023 (paragraph 29(1)(ce), </w:t>
      </w:r>
      <w:r w:rsidRPr="00C40369">
        <w:rPr>
          <w:rFonts w:ascii="Times New Roman" w:eastAsia="Times New Roman" w:hAnsi="Times New Roman" w:cs="Times New Roman"/>
          <w:i/>
          <w:sz w:val="24"/>
          <w:lang w:eastAsia="en-AU"/>
        </w:rPr>
        <w:t>Intelligence Services Act 2001</w:t>
      </w:r>
      <w:r>
        <w:rPr>
          <w:rFonts w:ascii="Times New Roman" w:eastAsia="Times New Roman" w:hAnsi="Times New Roman" w:cs="Times New Roman"/>
          <w:sz w:val="24"/>
          <w:lang w:eastAsia="en-AU"/>
        </w:rPr>
        <w:t xml:space="preserve">). </w:t>
      </w:r>
    </w:p>
    <w:p w14:paraId="0AB35683" w14:textId="77777777" w:rsidR="00F1412B" w:rsidRDefault="00F1412B" w:rsidP="00F1412B">
      <w:pPr>
        <w:spacing w:after="0" w:line="240" w:lineRule="auto"/>
        <w:ind w:right="91"/>
        <w:rPr>
          <w:rFonts w:ascii="Times New Roman" w:eastAsia="Times New Roman" w:hAnsi="Times New Roman" w:cs="Times New Roman"/>
          <w:sz w:val="24"/>
          <w:lang w:eastAsia="en-AU"/>
        </w:rPr>
      </w:pPr>
    </w:p>
    <w:p w14:paraId="2C8B3339" w14:textId="77777777" w:rsidR="00CA4747" w:rsidRDefault="00F1412B" w:rsidP="00BC751D">
      <w:pPr>
        <w:pStyle w:val="Heading2"/>
        <w:keepNext w:val="0"/>
        <w:keepLines w:val="0"/>
        <w:widowControl w:val="0"/>
        <w:spacing w:before="0" w:line="240" w:lineRule="auto"/>
        <w:rPr>
          <w:rFonts w:ascii="Times New Roman" w:eastAsia="Times New Roman" w:hAnsi="Times New Roman" w:cs="Times New Roman"/>
          <w:sz w:val="24"/>
          <w:lang w:eastAsia="en-AU"/>
        </w:rPr>
      </w:pPr>
      <w:r w:rsidRPr="00D15E3C">
        <w:rPr>
          <w:rFonts w:ascii="Times New Roman" w:eastAsia="Times New Roman" w:hAnsi="Times New Roman" w:cs="Times New Roman"/>
          <w:color w:val="auto"/>
          <w:sz w:val="24"/>
          <w:lang w:eastAsia="en-AU"/>
        </w:rPr>
        <w:t xml:space="preserve">In addition, section 16 of the </w:t>
      </w:r>
      <w:r w:rsidRPr="00D15E3C">
        <w:rPr>
          <w:rFonts w:ascii="Times New Roman" w:hAnsi="Times New Roman" w:cs="Times New Roman"/>
          <w:i/>
          <w:color w:val="auto"/>
          <w:sz w:val="24"/>
          <w:szCs w:val="24"/>
        </w:rPr>
        <w:t xml:space="preserve">Australian Security Intelligence Organisation (Statement of Procedures) Instrument 2020 </w:t>
      </w:r>
      <w:r w:rsidRPr="00D15E3C">
        <w:rPr>
          <w:rFonts w:ascii="Times New Roman" w:eastAsia="Times New Roman" w:hAnsi="Times New Roman" w:cs="Times New Roman"/>
          <w:color w:val="auto"/>
          <w:sz w:val="24"/>
          <w:lang w:eastAsia="en-AU"/>
        </w:rPr>
        <w:t xml:space="preserve">provides that the operation and suitability of the instrument will be reviewed on a recurring basis to coincide with the review of the Minister’s Guidelines made under section 8A of the ASIO Act. Paragraph 1.14 of those Guidelines provides that an initial review must be completed within three years after the commencement of the </w:t>
      </w:r>
      <w:r w:rsidR="00CA4747">
        <w:rPr>
          <w:rFonts w:ascii="Times New Roman" w:eastAsia="Times New Roman" w:hAnsi="Times New Roman" w:cs="Times New Roman"/>
          <w:color w:val="auto"/>
          <w:sz w:val="24"/>
          <w:lang w:eastAsia="en-AU"/>
        </w:rPr>
        <w:t xml:space="preserve">Guidelines, and that a further review must be completed every three years thereafter. </w:t>
      </w:r>
    </w:p>
    <w:p w14:paraId="65A65A16" w14:textId="77777777" w:rsidR="00CA4747" w:rsidRDefault="00CA4747" w:rsidP="00BC751D">
      <w:pPr>
        <w:pStyle w:val="Heading2"/>
        <w:keepNext w:val="0"/>
        <w:keepLines w:val="0"/>
        <w:widowControl w:val="0"/>
        <w:spacing w:before="0" w:line="240" w:lineRule="auto"/>
        <w:rPr>
          <w:rFonts w:ascii="Times New Roman" w:eastAsia="Times New Roman" w:hAnsi="Times New Roman" w:cs="Times New Roman"/>
          <w:sz w:val="24"/>
          <w:lang w:eastAsia="en-AU"/>
        </w:rPr>
      </w:pPr>
    </w:p>
    <w:p w14:paraId="570A8FE6" w14:textId="7A6FE6EF" w:rsidR="0050128E" w:rsidRDefault="00CA4747" w:rsidP="00BC751D">
      <w:pPr>
        <w:pStyle w:val="Heading2"/>
        <w:keepNext w:val="0"/>
        <w:keepLines w:val="0"/>
        <w:widowControl w:val="0"/>
        <w:spacing w:before="0" w:line="240" w:lineRule="auto"/>
        <w:rPr>
          <w:rFonts w:ascii="Times New Roman" w:eastAsia="Calibri" w:hAnsi="Times New Roman" w:cs="Times New Roman"/>
          <w:color w:val="auto"/>
          <w:sz w:val="24"/>
          <w:szCs w:val="24"/>
        </w:rPr>
      </w:pPr>
      <w:r w:rsidRPr="00D15E3C">
        <w:rPr>
          <w:rFonts w:ascii="Times New Roman" w:eastAsia="Times New Roman" w:hAnsi="Times New Roman" w:cs="Times New Roman"/>
          <w:color w:val="auto"/>
          <w:sz w:val="24"/>
          <w:lang w:eastAsia="en-AU"/>
        </w:rPr>
        <w:t xml:space="preserve">The exemption is therefore appropriate as the provision is subject to a statutory review process and </w:t>
      </w:r>
      <w:r w:rsidR="0050128E" w:rsidRPr="00CA4747">
        <w:rPr>
          <w:rFonts w:ascii="Times New Roman" w:eastAsia="Calibri" w:hAnsi="Times New Roman" w:cs="Times New Roman"/>
          <w:color w:val="auto"/>
          <w:sz w:val="24"/>
          <w:szCs w:val="24"/>
        </w:rPr>
        <w:t>it provide</w:t>
      </w:r>
      <w:r w:rsidR="00D27A56" w:rsidRPr="00CA4747">
        <w:rPr>
          <w:rFonts w:ascii="Times New Roman" w:eastAsia="Calibri" w:hAnsi="Times New Roman" w:cs="Times New Roman"/>
          <w:color w:val="auto"/>
          <w:sz w:val="24"/>
          <w:szCs w:val="24"/>
        </w:rPr>
        <w:t>s</w:t>
      </w:r>
      <w:r w:rsidR="0050128E" w:rsidRPr="00CA4747">
        <w:rPr>
          <w:rFonts w:ascii="Times New Roman" w:eastAsia="Calibri" w:hAnsi="Times New Roman" w:cs="Times New Roman"/>
          <w:color w:val="auto"/>
          <w:sz w:val="24"/>
          <w:szCs w:val="24"/>
        </w:rPr>
        <w:t xml:space="preserve"> legal certainty for the status of the instruments. </w:t>
      </w:r>
    </w:p>
    <w:p w14:paraId="0276F169" w14:textId="77777777" w:rsidR="00BC751D" w:rsidRDefault="00BC751D" w:rsidP="00BC751D">
      <w:pPr>
        <w:spacing w:after="0"/>
      </w:pPr>
    </w:p>
    <w:p w14:paraId="47E2FAA9" w14:textId="2817F368" w:rsidR="00BC751D" w:rsidRDefault="00BC751D" w:rsidP="00BC751D">
      <w:pPr>
        <w:spacing w:after="120"/>
        <w:rPr>
          <w:rFonts w:ascii="Times New Roman" w:eastAsia="Calibri" w:hAnsi="Times New Roman" w:cs="Times New Roman"/>
          <w:sz w:val="24"/>
          <w:szCs w:val="24"/>
          <w:lang w:eastAsia="en-AU"/>
        </w:rPr>
      </w:pPr>
      <w:r w:rsidRPr="000515B6">
        <w:rPr>
          <w:rFonts w:ascii="Times New Roman" w:eastAsia="Calibri" w:hAnsi="Times New Roman" w:cs="Times New Roman"/>
          <w:i/>
          <w:sz w:val="24"/>
          <w:szCs w:val="24"/>
          <w:lang w:eastAsia="en-AU"/>
        </w:rPr>
        <w:t>Road Vehicle Standards Act 2018</w:t>
      </w:r>
      <w:r>
        <w:rPr>
          <w:rFonts w:ascii="Times New Roman" w:eastAsia="Calibri" w:hAnsi="Times New Roman" w:cs="Times New Roman"/>
          <w:sz w:val="24"/>
          <w:szCs w:val="24"/>
          <w:lang w:eastAsia="en-AU"/>
        </w:rPr>
        <w:t xml:space="preserve"> </w:t>
      </w:r>
    </w:p>
    <w:p w14:paraId="2C286C73" w14:textId="77777777" w:rsidR="00BC751D" w:rsidRDefault="00BC751D" w:rsidP="00BC751D">
      <w:pPr>
        <w:spacing w:after="0" w:line="240" w:lineRule="auto"/>
        <w:ind w:right="91"/>
        <w:rPr>
          <w:rFonts w:ascii="Times New Roman" w:eastAsia="Times New Roman" w:hAnsi="Times New Roman" w:cs="Times New Roman"/>
          <w:sz w:val="24"/>
          <w:lang w:eastAsia="en-AU"/>
        </w:rPr>
      </w:pPr>
      <w:r>
        <w:rPr>
          <w:rFonts w:ascii="Times New Roman" w:eastAsia="Calibri" w:hAnsi="Times New Roman" w:cs="Times New Roman"/>
          <w:sz w:val="24"/>
          <w:szCs w:val="24"/>
          <w:lang w:eastAsia="en-AU"/>
        </w:rPr>
        <w:t xml:space="preserve">Item 40 of Section 12 of the Principal Regulation provides a sunsetting exemption for national road vehicle standards made under Section 7 of the </w:t>
      </w:r>
      <w:r w:rsidRPr="000515B6">
        <w:rPr>
          <w:rFonts w:ascii="Times New Roman" w:eastAsia="Calibri" w:hAnsi="Times New Roman" w:cs="Times New Roman"/>
          <w:i/>
          <w:sz w:val="24"/>
          <w:szCs w:val="24"/>
          <w:lang w:eastAsia="en-AU"/>
        </w:rPr>
        <w:t>Motor Vehicle Standards Act 1989</w:t>
      </w:r>
      <w:r>
        <w:rPr>
          <w:rFonts w:ascii="Times New Roman" w:eastAsia="Calibri" w:hAnsi="Times New Roman" w:cs="Times New Roman"/>
          <w:sz w:val="24"/>
          <w:szCs w:val="24"/>
          <w:lang w:eastAsia="en-AU"/>
        </w:rPr>
        <w:t xml:space="preserve"> (MVS Act). The </w:t>
      </w:r>
      <w:r w:rsidRPr="000515B6">
        <w:rPr>
          <w:rFonts w:ascii="Times New Roman" w:eastAsia="Calibri" w:hAnsi="Times New Roman" w:cs="Times New Roman"/>
          <w:i/>
          <w:sz w:val="24"/>
          <w:szCs w:val="24"/>
          <w:lang w:eastAsia="en-AU"/>
        </w:rPr>
        <w:t>Road Vehicle Standards Act 2018</w:t>
      </w:r>
      <w:r>
        <w:rPr>
          <w:rFonts w:ascii="Times New Roman" w:eastAsia="Calibri" w:hAnsi="Times New Roman" w:cs="Times New Roman"/>
          <w:sz w:val="24"/>
          <w:szCs w:val="24"/>
          <w:lang w:eastAsia="en-AU"/>
        </w:rPr>
        <w:t xml:space="preserve"> (RVS Act) will replace the MVS Act on 1 July 2021. The Amendment Regulations insert item 56C in section 12 of the Principal Regulation to provide an exemption from sunsetting for road vehicle standards made under the RVS Act. The </w:t>
      </w:r>
      <w:r w:rsidRPr="00BD0E0F">
        <w:rPr>
          <w:rFonts w:ascii="Times New Roman" w:eastAsia="Times New Roman" w:hAnsi="Times New Roman" w:cs="Times New Roman"/>
          <w:sz w:val="24"/>
          <w:lang w:eastAsia="en-AU"/>
        </w:rPr>
        <w:t xml:space="preserve">exemption </w:t>
      </w:r>
      <w:r>
        <w:rPr>
          <w:rFonts w:ascii="Times New Roman" w:eastAsia="Times New Roman" w:hAnsi="Times New Roman" w:cs="Times New Roman"/>
          <w:sz w:val="24"/>
          <w:lang w:eastAsia="en-AU"/>
        </w:rPr>
        <w:t>is</w:t>
      </w:r>
      <w:r w:rsidRPr="00BD0E0F">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appropriate</w:t>
      </w:r>
      <w:r w:rsidRPr="00BD0E0F">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as</w:t>
      </w:r>
      <w:r w:rsidRPr="00BD0E0F">
        <w:rPr>
          <w:rFonts w:ascii="Times New Roman" w:eastAsia="Times New Roman" w:hAnsi="Times New Roman" w:cs="Times New Roman"/>
          <w:sz w:val="24"/>
          <w:lang w:eastAsia="en-AU"/>
        </w:rPr>
        <w:t xml:space="preserve"> the instruments form part of an intergovernmental scheme</w:t>
      </w:r>
      <w:r>
        <w:rPr>
          <w:rFonts w:ascii="Times New Roman" w:eastAsia="Times New Roman" w:hAnsi="Times New Roman" w:cs="Times New Roman"/>
          <w:sz w:val="24"/>
          <w:lang w:eastAsia="en-AU"/>
        </w:rPr>
        <w:t xml:space="preserve"> </w:t>
      </w:r>
      <w:r w:rsidRPr="00BD0E0F">
        <w:rPr>
          <w:rFonts w:ascii="Times New Roman" w:eastAsia="Times New Roman" w:hAnsi="Times New Roman" w:cs="Times New Roman"/>
          <w:sz w:val="24"/>
          <w:lang w:eastAsia="en-AU"/>
        </w:rPr>
        <w:t>and they provide commercial certainty due to the fact that they remain relevant for the life of the vehicle</w:t>
      </w:r>
      <w:r>
        <w:rPr>
          <w:rFonts w:ascii="Times New Roman" w:eastAsia="Times New Roman" w:hAnsi="Times New Roman" w:cs="Times New Roman"/>
          <w:sz w:val="24"/>
          <w:lang w:eastAsia="en-AU"/>
        </w:rPr>
        <w:t xml:space="preserve">. </w:t>
      </w:r>
    </w:p>
    <w:p w14:paraId="7121818F" w14:textId="77777777" w:rsidR="00BC751D" w:rsidRDefault="00BC751D" w:rsidP="00BC751D">
      <w:pPr>
        <w:widowControl w:val="0"/>
        <w:spacing w:after="0" w:line="240" w:lineRule="auto"/>
        <w:rPr>
          <w:rFonts w:ascii="Times New Roman" w:eastAsia="Calibri" w:hAnsi="Times New Roman" w:cs="Times New Roman"/>
          <w:sz w:val="24"/>
          <w:szCs w:val="24"/>
        </w:rPr>
      </w:pPr>
    </w:p>
    <w:p w14:paraId="1F7A4AA8" w14:textId="77777777" w:rsidR="00CA4747" w:rsidRPr="00BD0E0F" w:rsidRDefault="00CA4747" w:rsidP="00BC751D">
      <w:pPr>
        <w:widowControl w:val="0"/>
        <w:spacing w:line="240" w:lineRule="auto"/>
        <w:rPr>
          <w:rFonts w:ascii="Times New Roman" w:eastAsia="Calibri" w:hAnsi="Times New Roman" w:cs="Times New Roman"/>
          <w:sz w:val="24"/>
          <w:szCs w:val="24"/>
        </w:rPr>
      </w:pPr>
      <w:r w:rsidRPr="00CA4747">
        <w:rPr>
          <w:rFonts w:ascii="Times New Roman" w:eastAsia="Calibri" w:hAnsi="Times New Roman" w:cs="Times New Roman"/>
          <w:sz w:val="24"/>
          <w:szCs w:val="24"/>
        </w:rPr>
        <w:t>The Legislation Act does not specify any conditions that must be fulfilled before the power to</w:t>
      </w:r>
      <w:r w:rsidRPr="00BD0E0F">
        <w:rPr>
          <w:rFonts w:ascii="Times New Roman" w:eastAsia="Calibri" w:hAnsi="Times New Roman" w:cs="Times New Roman"/>
          <w:sz w:val="24"/>
          <w:szCs w:val="24"/>
        </w:rPr>
        <w:t xml:space="preserve"> grant exemptions </w:t>
      </w:r>
      <w:r>
        <w:rPr>
          <w:rFonts w:ascii="Times New Roman" w:eastAsia="Calibri" w:hAnsi="Times New Roman" w:cs="Times New Roman"/>
          <w:sz w:val="24"/>
          <w:szCs w:val="24"/>
        </w:rPr>
        <w:t xml:space="preserve">from sunsetting </w:t>
      </w:r>
      <w:r w:rsidRPr="00BD0E0F">
        <w:rPr>
          <w:rFonts w:ascii="Times New Roman" w:eastAsia="Calibri" w:hAnsi="Times New Roman" w:cs="Times New Roman"/>
          <w:sz w:val="24"/>
          <w:szCs w:val="24"/>
        </w:rPr>
        <w:t>may be exercised. However, there are established criteria against which the Attorney</w:t>
      </w:r>
      <w:r w:rsidRPr="00BD0E0F">
        <w:rPr>
          <w:rFonts w:ascii="Times New Roman" w:eastAsia="Calibri" w:hAnsi="Times New Roman" w:cs="Times New Roman"/>
          <w:sz w:val="24"/>
          <w:szCs w:val="24"/>
        </w:rPr>
        <w:noBreakHyphen/>
        <w:t>General considers all applications to exempt an instrument or class of instruments from sunsetting</w:t>
      </w:r>
      <w:r>
        <w:rPr>
          <w:rFonts w:ascii="Times New Roman" w:eastAsia="Calibri" w:hAnsi="Times New Roman" w:cs="Times New Roman"/>
          <w:sz w:val="24"/>
          <w:szCs w:val="24"/>
        </w:rPr>
        <w:t>. Relevant to the amendments are the criteria that</w:t>
      </w:r>
      <w:r w:rsidRPr="00BD0E0F">
        <w:rPr>
          <w:rFonts w:ascii="Times New Roman" w:eastAsia="Calibri" w:hAnsi="Times New Roman" w:cs="Times New Roman"/>
          <w:sz w:val="24"/>
          <w:szCs w:val="24"/>
        </w:rPr>
        <w:t xml:space="preserve">: </w:t>
      </w:r>
    </w:p>
    <w:p w14:paraId="318ECCEC" w14:textId="77777777" w:rsidR="00CA4747" w:rsidRPr="00BD0E0F" w:rsidRDefault="00CA4747" w:rsidP="00CA4747">
      <w:pPr>
        <w:pStyle w:val="ListParagraph"/>
        <w:numPr>
          <w:ilvl w:val="1"/>
          <w:numId w:val="23"/>
        </w:numPr>
        <w:spacing w:before="120" w:after="0" w:line="240" w:lineRule="auto"/>
        <w:rPr>
          <w:rFonts w:ascii="Times New Roman" w:eastAsia="Calibri" w:hAnsi="Times New Roman" w:cs="Times New Roman"/>
          <w:sz w:val="24"/>
          <w:szCs w:val="24"/>
        </w:rPr>
      </w:pPr>
      <w:r w:rsidRPr="00BD0E0F">
        <w:rPr>
          <w:rFonts w:ascii="Times New Roman" w:eastAsia="Calibri" w:hAnsi="Times New Roman" w:cs="Times New Roman"/>
          <w:sz w:val="24"/>
          <w:szCs w:val="24"/>
        </w:rPr>
        <w:t xml:space="preserve">the instrument is sufficiently large and complex that the administrative burden associated with remaking the instrument would outweigh any regulatory benefit and </w:t>
      </w:r>
    </w:p>
    <w:p w14:paraId="4E5854EC" w14:textId="77777777" w:rsidR="00CA4747" w:rsidRPr="00BD0E0F" w:rsidRDefault="00CA4747" w:rsidP="00CA4747">
      <w:pPr>
        <w:pStyle w:val="ListParagraph"/>
        <w:numPr>
          <w:ilvl w:val="2"/>
          <w:numId w:val="23"/>
        </w:numPr>
        <w:spacing w:before="240" w:after="0" w:line="240" w:lineRule="auto"/>
        <w:rPr>
          <w:rFonts w:ascii="Times New Roman" w:eastAsia="Calibri" w:hAnsi="Times New Roman" w:cs="Times New Roman"/>
          <w:sz w:val="24"/>
          <w:szCs w:val="24"/>
        </w:rPr>
      </w:pPr>
      <w:r w:rsidRPr="00BD0E0F">
        <w:rPr>
          <w:rFonts w:ascii="Times New Roman" w:eastAsia="Calibri" w:hAnsi="Times New Roman" w:cs="Times New Roman"/>
          <w:sz w:val="24"/>
          <w:szCs w:val="24"/>
        </w:rPr>
        <w:lastRenderedPageBreak/>
        <w:t>the instrument is subject to regular review, and</w:t>
      </w:r>
    </w:p>
    <w:p w14:paraId="2DBEBDBF" w14:textId="77777777" w:rsidR="00CA4747" w:rsidRDefault="00CA4747" w:rsidP="00CA4747">
      <w:pPr>
        <w:pStyle w:val="ListParagraph"/>
        <w:numPr>
          <w:ilvl w:val="2"/>
          <w:numId w:val="23"/>
        </w:numPr>
        <w:spacing w:before="240" w:after="0" w:line="240" w:lineRule="auto"/>
        <w:rPr>
          <w:rFonts w:ascii="Times New Roman" w:eastAsia="Calibri" w:hAnsi="Times New Roman" w:cs="Times New Roman"/>
          <w:sz w:val="24"/>
          <w:szCs w:val="24"/>
        </w:rPr>
      </w:pPr>
      <w:r w:rsidRPr="00BD0E0F">
        <w:rPr>
          <w:rFonts w:ascii="Times New Roman" w:eastAsia="Calibri" w:hAnsi="Times New Roman" w:cs="Times New Roman"/>
          <w:sz w:val="24"/>
          <w:szCs w:val="24"/>
        </w:rPr>
        <w:t>the instrument is subject to regular amendment</w:t>
      </w:r>
      <w:r>
        <w:rPr>
          <w:rFonts w:ascii="Times New Roman" w:eastAsia="Calibri" w:hAnsi="Times New Roman" w:cs="Times New Roman"/>
          <w:sz w:val="24"/>
          <w:szCs w:val="24"/>
        </w:rPr>
        <w:t>, or</w:t>
      </w:r>
      <w:r w:rsidRPr="00BD0E0F">
        <w:rPr>
          <w:rFonts w:ascii="Times New Roman" w:eastAsia="Calibri" w:hAnsi="Times New Roman" w:cs="Times New Roman"/>
          <w:sz w:val="24"/>
          <w:szCs w:val="24"/>
        </w:rPr>
        <w:t xml:space="preserve"> </w:t>
      </w:r>
    </w:p>
    <w:p w14:paraId="09822454" w14:textId="77777777" w:rsidR="00CA4747" w:rsidRPr="00BD0E0F" w:rsidRDefault="00CA4747" w:rsidP="00CA4747">
      <w:pPr>
        <w:pStyle w:val="ListParagraph"/>
        <w:numPr>
          <w:ilvl w:val="1"/>
          <w:numId w:val="23"/>
        </w:numPr>
        <w:spacing w:before="240" w:after="0" w:line="240" w:lineRule="auto"/>
        <w:rPr>
          <w:rFonts w:ascii="Times New Roman" w:eastAsia="Calibri" w:hAnsi="Times New Roman" w:cs="Times New Roman"/>
          <w:sz w:val="24"/>
          <w:szCs w:val="24"/>
        </w:rPr>
      </w:pPr>
      <w:r w:rsidRPr="00BD0E0F">
        <w:rPr>
          <w:rFonts w:ascii="Times New Roman" w:eastAsia="Calibri" w:hAnsi="Times New Roman" w:cs="Times New Roman"/>
          <w:sz w:val="24"/>
          <w:szCs w:val="24"/>
        </w:rPr>
        <w:t>the instrument is part of an intergovernmental scheme</w:t>
      </w:r>
    </w:p>
    <w:p w14:paraId="60B8591F" w14:textId="77777777" w:rsidR="00CA4747" w:rsidRPr="00B80FB9" w:rsidRDefault="00CA4747" w:rsidP="00CA4747">
      <w:pPr>
        <w:pStyle w:val="Paragraph"/>
        <w:numPr>
          <w:ilvl w:val="0"/>
          <w:numId w:val="0"/>
        </w:numPr>
        <w:tabs>
          <w:tab w:val="left" w:pos="567"/>
        </w:tabs>
        <w:rPr>
          <w:rFonts w:eastAsia="Calibri"/>
        </w:rPr>
      </w:pPr>
      <w:r w:rsidRPr="00B80FB9">
        <w:rPr>
          <w:rFonts w:eastAsia="Calibri"/>
        </w:rPr>
        <w:t xml:space="preserve">The sunsetting exemptions in items 2 and 3 of Schedule 1 to the </w:t>
      </w:r>
      <w:r>
        <w:rPr>
          <w:rFonts w:eastAsia="Calibri"/>
        </w:rPr>
        <w:t xml:space="preserve">Amendment </w:t>
      </w:r>
      <w:r w:rsidRPr="00B80FB9">
        <w:rPr>
          <w:rFonts w:eastAsia="Calibri"/>
        </w:rPr>
        <w:t>Regulation</w:t>
      </w:r>
      <w:r>
        <w:rPr>
          <w:rFonts w:eastAsia="Calibri"/>
        </w:rPr>
        <w:t>s</w:t>
      </w:r>
      <w:r w:rsidRPr="00B80FB9">
        <w:rPr>
          <w:rFonts w:eastAsia="Calibri"/>
        </w:rPr>
        <w:t xml:space="preserve"> were found to be justified when analysed against the above criteria.  </w:t>
      </w:r>
    </w:p>
    <w:p w14:paraId="5E91EE92" w14:textId="77777777" w:rsidR="00CA4747" w:rsidRDefault="00CA4747" w:rsidP="00D15E3C">
      <w:pPr>
        <w:numPr>
          <w:ilvl w:val="12"/>
          <w:numId w:val="0"/>
        </w:numPr>
        <w:spacing w:after="0" w:line="240" w:lineRule="auto"/>
        <w:rPr>
          <w:rFonts w:ascii="Times New Roman" w:eastAsia="Times New Roman" w:hAnsi="Times New Roman" w:cs="Times New Roman"/>
          <w:sz w:val="24"/>
          <w:lang w:eastAsia="en-AU"/>
        </w:rPr>
      </w:pPr>
    </w:p>
    <w:p w14:paraId="09BFDCE0" w14:textId="732F2B6C" w:rsidR="0026109C" w:rsidRPr="00376163" w:rsidRDefault="004F430F" w:rsidP="00BC751D">
      <w:pPr>
        <w:rPr>
          <w:rFonts w:ascii="Times New Roman" w:hAnsi="Times New Roman" w:cs="Times New Roman"/>
          <w:b/>
          <w:caps/>
          <w:sz w:val="24"/>
          <w:szCs w:val="24"/>
        </w:rPr>
      </w:pPr>
      <w:r w:rsidRPr="00376163">
        <w:rPr>
          <w:rFonts w:ascii="Times New Roman" w:hAnsi="Times New Roman" w:cs="Times New Roman"/>
          <w:b/>
          <w:caps/>
          <w:sz w:val="24"/>
          <w:szCs w:val="24"/>
        </w:rPr>
        <w:t>Consultation</w:t>
      </w:r>
    </w:p>
    <w:p w14:paraId="1F5EF1BA" w14:textId="186C1D80" w:rsidR="00270128" w:rsidRDefault="000F62D7" w:rsidP="000F62D7">
      <w:pPr>
        <w:numPr>
          <w:ilvl w:val="12"/>
          <w:numId w:val="0"/>
        </w:numPr>
        <w:spacing w:before="240"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 xml:space="preserve">The Attorney-General considered the general obligation to consult imposed by section 17 of the Legislation Act. </w:t>
      </w:r>
    </w:p>
    <w:p w14:paraId="17918D4C" w14:textId="2EA2B7F2" w:rsidR="00270128" w:rsidRDefault="002415F9" w:rsidP="000F62D7">
      <w:pPr>
        <w:numPr>
          <w:ilvl w:val="12"/>
          <w:numId w:val="0"/>
        </w:numPr>
        <w:spacing w:before="240"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The Minister for Home Affairs, who has responsibility for the ASIO A</w:t>
      </w:r>
      <w:r w:rsidR="00B14CCA">
        <w:rPr>
          <w:rFonts w:ascii="Times New Roman" w:eastAsia="Calibri" w:hAnsi="Times New Roman" w:cs="Times New Roman"/>
          <w:sz w:val="24"/>
          <w:szCs w:val="24"/>
          <w:lang w:eastAsia="en-AU"/>
        </w:rPr>
        <w:t>ct</w:t>
      </w:r>
      <w:r>
        <w:rPr>
          <w:rFonts w:ascii="Times New Roman" w:eastAsia="Calibri" w:hAnsi="Times New Roman" w:cs="Times New Roman"/>
          <w:sz w:val="24"/>
          <w:szCs w:val="24"/>
          <w:lang w:eastAsia="en-AU"/>
        </w:rPr>
        <w:t xml:space="preserve">, wrote to the Attorney-General requesting </w:t>
      </w:r>
      <w:r w:rsidR="0039734A">
        <w:rPr>
          <w:rFonts w:ascii="Times New Roman" w:eastAsia="Calibri" w:hAnsi="Times New Roman" w:cs="Times New Roman"/>
          <w:sz w:val="24"/>
          <w:szCs w:val="24"/>
          <w:lang w:eastAsia="en-AU"/>
        </w:rPr>
        <w:t xml:space="preserve">an exemption from sunsetting for a statement of procedures under section 34AF of the ASIO Act. The Department of Home Affairs did </w:t>
      </w:r>
      <w:r w:rsidR="00270128" w:rsidRPr="00270128">
        <w:rPr>
          <w:rFonts w:ascii="Times New Roman" w:eastAsia="Calibri" w:hAnsi="Times New Roman" w:cs="Times New Roman"/>
          <w:sz w:val="24"/>
          <w:szCs w:val="24"/>
          <w:lang w:eastAsia="en-AU"/>
        </w:rPr>
        <w:t xml:space="preserve">not undertake any external consultations as part of </w:t>
      </w:r>
      <w:r w:rsidR="0039734A" w:rsidRPr="00270128">
        <w:rPr>
          <w:rFonts w:ascii="Times New Roman" w:eastAsia="Calibri" w:hAnsi="Times New Roman" w:cs="Times New Roman"/>
          <w:sz w:val="24"/>
          <w:szCs w:val="24"/>
          <w:lang w:eastAsia="en-AU"/>
        </w:rPr>
        <w:t>th</w:t>
      </w:r>
      <w:r w:rsidR="0039734A">
        <w:rPr>
          <w:rFonts w:ascii="Times New Roman" w:eastAsia="Calibri" w:hAnsi="Times New Roman" w:cs="Times New Roman"/>
          <w:sz w:val="24"/>
          <w:szCs w:val="24"/>
          <w:lang w:eastAsia="en-AU"/>
        </w:rPr>
        <w:t>is</w:t>
      </w:r>
      <w:r w:rsidR="0039734A" w:rsidRPr="00270128">
        <w:rPr>
          <w:rFonts w:ascii="Times New Roman" w:eastAsia="Calibri" w:hAnsi="Times New Roman" w:cs="Times New Roman"/>
          <w:sz w:val="24"/>
          <w:szCs w:val="24"/>
          <w:lang w:eastAsia="en-AU"/>
        </w:rPr>
        <w:t xml:space="preserve"> </w:t>
      </w:r>
      <w:r w:rsidR="00270128" w:rsidRPr="00270128">
        <w:rPr>
          <w:rFonts w:ascii="Times New Roman" w:eastAsia="Calibri" w:hAnsi="Times New Roman" w:cs="Times New Roman"/>
          <w:sz w:val="24"/>
          <w:szCs w:val="24"/>
          <w:lang w:eastAsia="en-AU"/>
        </w:rPr>
        <w:t xml:space="preserve">application. However, the Department extensively consulted both </w:t>
      </w:r>
      <w:r w:rsidR="0039734A">
        <w:rPr>
          <w:rFonts w:ascii="Times New Roman" w:eastAsia="Calibri" w:hAnsi="Times New Roman" w:cs="Times New Roman"/>
          <w:sz w:val="24"/>
          <w:szCs w:val="24"/>
          <w:lang w:eastAsia="en-AU"/>
        </w:rPr>
        <w:t xml:space="preserve">the </w:t>
      </w:r>
      <w:r w:rsidR="00270128" w:rsidRPr="00270128">
        <w:rPr>
          <w:rFonts w:ascii="Times New Roman" w:eastAsia="Calibri" w:hAnsi="Times New Roman" w:cs="Times New Roman"/>
          <w:sz w:val="24"/>
          <w:szCs w:val="24"/>
          <w:lang w:eastAsia="en-AU"/>
        </w:rPr>
        <w:t>I</w:t>
      </w:r>
      <w:r w:rsidR="0039734A">
        <w:rPr>
          <w:rFonts w:ascii="Times New Roman" w:eastAsia="Calibri" w:hAnsi="Times New Roman" w:cs="Times New Roman"/>
          <w:sz w:val="24"/>
          <w:szCs w:val="24"/>
          <w:lang w:eastAsia="en-AU"/>
        </w:rPr>
        <w:t xml:space="preserve">nspector-General of Intelligence and Security </w:t>
      </w:r>
      <w:r w:rsidR="00270128" w:rsidRPr="00270128">
        <w:rPr>
          <w:rFonts w:ascii="Times New Roman" w:eastAsia="Calibri" w:hAnsi="Times New Roman" w:cs="Times New Roman"/>
          <w:sz w:val="24"/>
          <w:szCs w:val="24"/>
          <w:lang w:eastAsia="en-AU"/>
        </w:rPr>
        <w:t>and ASIO when developing the Bill to amend the ASIO Act, which included a note explaining that the statement will not be subject to the sunsetting provisions in the Legislation Act.</w:t>
      </w:r>
    </w:p>
    <w:p w14:paraId="05C85B5B" w14:textId="0C37CC4B" w:rsidR="000F62D7" w:rsidRDefault="0039734A" w:rsidP="000F62D7">
      <w:pPr>
        <w:numPr>
          <w:ilvl w:val="12"/>
          <w:numId w:val="0"/>
        </w:numPr>
        <w:spacing w:before="240" w:after="0" w:line="240" w:lineRule="auto"/>
        <w:rPr>
          <w:rFonts w:ascii="Times New Roman" w:eastAsia="Times New Roman" w:hAnsi="Times New Roman" w:cs="Times New Roman"/>
          <w:sz w:val="24"/>
          <w:lang w:eastAsia="en-AU"/>
        </w:rPr>
      </w:pPr>
      <w:r>
        <w:rPr>
          <w:rFonts w:ascii="Times New Roman" w:eastAsia="Calibri" w:hAnsi="Times New Roman" w:cs="Times New Roman"/>
          <w:sz w:val="24"/>
          <w:szCs w:val="24"/>
          <w:lang w:eastAsia="en-AU"/>
        </w:rPr>
        <w:t xml:space="preserve">The Assistant Minister to the Deputy Prime Minister, the Hon Kevin Hogan MP, who is one of the Ministers with portfolio responsibility for the RVS Act, wrote to the Attorney-General requesting an exemption from sunsetting for road vehicle standards made under the RVS Act. In developing the application, the </w:t>
      </w:r>
      <w:r w:rsidR="000F62D7">
        <w:rPr>
          <w:rFonts w:ascii="Times New Roman" w:eastAsia="Calibri" w:hAnsi="Times New Roman" w:cs="Times New Roman"/>
          <w:sz w:val="24"/>
          <w:szCs w:val="24"/>
          <w:lang w:eastAsia="en-AU"/>
        </w:rPr>
        <w:t xml:space="preserve">Department of Infrastructure, </w:t>
      </w:r>
      <w:r w:rsidR="000F62D7" w:rsidRPr="00CD42F0">
        <w:rPr>
          <w:rFonts w:ascii="Times New Roman" w:eastAsia="Calibri" w:hAnsi="Times New Roman" w:cs="Times New Roman"/>
          <w:sz w:val="24"/>
          <w:szCs w:val="24"/>
          <w:lang w:eastAsia="en-AU"/>
        </w:rPr>
        <w:t>Transport, Regional Development and Communications</w:t>
      </w:r>
      <w:r w:rsidR="000F62D7">
        <w:rPr>
          <w:rFonts w:ascii="Times New Roman" w:eastAsia="Calibri" w:hAnsi="Times New Roman" w:cs="Times New Roman"/>
          <w:sz w:val="24"/>
          <w:szCs w:val="24"/>
          <w:lang w:eastAsia="en-AU"/>
        </w:rPr>
        <w:t xml:space="preserve"> stated that they sought the views of key stakeholders, including representatives of state and territory government, the Federal Chamber of Automotive Industries, the Truck Industry Council, the Bus Industry Confederation, the Australian Trucking Association, the Caravan Industry Association of Australia and the Australian Automobile Association. </w:t>
      </w:r>
      <w:r w:rsidR="000F62D7">
        <w:rPr>
          <w:rFonts w:ascii="Times New Roman" w:eastAsia="Times New Roman" w:hAnsi="Times New Roman" w:cs="Times New Roman"/>
          <w:sz w:val="24"/>
          <w:lang w:eastAsia="en-AU"/>
        </w:rPr>
        <w:t>None of the stakeholders objected to the application.</w:t>
      </w:r>
    </w:p>
    <w:p w14:paraId="428F2B74" w14:textId="77777777" w:rsidR="000F62D7" w:rsidRPr="00C425E1" w:rsidRDefault="000F62D7" w:rsidP="00C425E1">
      <w:pPr>
        <w:keepNext/>
        <w:spacing w:after="0" w:line="240" w:lineRule="auto"/>
        <w:ind w:right="748"/>
        <w:rPr>
          <w:rFonts w:ascii="Times New Roman" w:eastAsia="Times New Roman" w:hAnsi="Times New Roman" w:cs="Times New Roman"/>
          <w:sz w:val="24"/>
          <w:lang w:eastAsia="en-AU"/>
        </w:rPr>
      </w:pPr>
    </w:p>
    <w:p w14:paraId="01959F9B" w14:textId="77777777" w:rsidR="00394402" w:rsidRPr="00376163" w:rsidRDefault="00394402" w:rsidP="00394402">
      <w:pPr>
        <w:spacing w:line="360" w:lineRule="auto"/>
        <w:rPr>
          <w:rFonts w:ascii="Times New Roman" w:hAnsi="Times New Roman" w:cs="Times New Roman"/>
          <w:b/>
          <w:caps/>
          <w:sz w:val="24"/>
          <w:szCs w:val="24"/>
        </w:rPr>
      </w:pPr>
      <w:r w:rsidRPr="00376163">
        <w:rPr>
          <w:rFonts w:ascii="Times New Roman" w:hAnsi="Times New Roman" w:cs="Times New Roman"/>
          <w:b/>
          <w:caps/>
          <w:sz w:val="24"/>
          <w:szCs w:val="24"/>
        </w:rPr>
        <w:t>Regulation Impact Statement</w:t>
      </w:r>
    </w:p>
    <w:p w14:paraId="6418A64B" w14:textId="16D4E3E9" w:rsidR="00394402" w:rsidRPr="00C425E1" w:rsidRDefault="00394402" w:rsidP="00C425E1">
      <w:pPr>
        <w:keepNext/>
        <w:spacing w:after="0" w:line="240" w:lineRule="auto"/>
        <w:ind w:right="748"/>
        <w:rPr>
          <w:rFonts w:ascii="Times New Roman" w:eastAsia="Times New Roman" w:hAnsi="Times New Roman" w:cs="Times New Roman"/>
          <w:sz w:val="24"/>
          <w:lang w:eastAsia="en-AU"/>
        </w:rPr>
      </w:pPr>
      <w:r w:rsidRPr="00690031">
        <w:rPr>
          <w:rFonts w:ascii="Times New Roman" w:eastAsia="Times New Roman" w:hAnsi="Times New Roman" w:cs="Times New Roman"/>
          <w:sz w:val="24"/>
          <w:lang w:eastAsia="en-AU"/>
        </w:rPr>
        <w:t xml:space="preserve">The </w:t>
      </w:r>
      <w:r w:rsidR="00BB1CFA">
        <w:rPr>
          <w:rFonts w:ascii="Times New Roman" w:eastAsia="Times New Roman" w:hAnsi="Times New Roman" w:cs="Times New Roman"/>
          <w:sz w:val="24"/>
          <w:lang w:eastAsia="en-AU"/>
        </w:rPr>
        <w:t xml:space="preserve">Amendment </w:t>
      </w:r>
      <w:r w:rsidRPr="00690031">
        <w:rPr>
          <w:rFonts w:ascii="Times New Roman" w:eastAsia="Times New Roman" w:hAnsi="Times New Roman" w:cs="Times New Roman"/>
          <w:sz w:val="24"/>
          <w:lang w:eastAsia="en-AU"/>
        </w:rPr>
        <w:t xml:space="preserve">Regulations do not create any regulatory impact. The OBPR reference is </w:t>
      </w:r>
      <w:r w:rsidR="001A7CA7" w:rsidRPr="00D15E3C">
        <w:rPr>
          <w:rFonts w:ascii="Times New Roman" w:eastAsia="Times New Roman" w:hAnsi="Times New Roman" w:cs="Times New Roman"/>
          <w:sz w:val="24"/>
          <w:lang w:eastAsia="en-AU"/>
        </w:rPr>
        <w:t>44115</w:t>
      </w:r>
      <w:r w:rsidR="00797F90" w:rsidRPr="00B14CCA">
        <w:rPr>
          <w:rFonts w:ascii="Times New Roman" w:eastAsia="Times New Roman" w:hAnsi="Times New Roman" w:cs="Times New Roman"/>
          <w:sz w:val="24"/>
          <w:lang w:eastAsia="en-AU"/>
        </w:rPr>
        <w:t>.</w:t>
      </w:r>
    </w:p>
    <w:p w14:paraId="4B3EF7FF" w14:textId="77777777" w:rsidR="00E26062" w:rsidRPr="001B4C3D" w:rsidRDefault="00E26062" w:rsidP="00E26062">
      <w:pPr>
        <w:pStyle w:val="Body"/>
        <w:rPr>
          <w:b/>
          <w:szCs w:val="24"/>
        </w:rPr>
      </w:pPr>
      <w:r w:rsidRPr="001B4C3D">
        <w:rPr>
          <w:b/>
          <w:szCs w:val="24"/>
        </w:rPr>
        <w:t>OTHER DETAILS</w:t>
      </w:r>
    </w:p>
    <w:p w14:paraId="49BCBE23" w14:textId="03AC8D37" w:rsidR="00E26062" w:rsidRPr="006A5E4B" w:rsidRDefault="00E26062" w:rsidP="00E26062">
      <w:pPr>
        <w:pStyle w:val="NoSpacing"/>
        <w:rPr>
          <w:rFonts w:ascii="Times New Roman" w:hAnsi="Times New Roman" w:cs="Times New Roman"/>
          <w:sz w:val="24"/>
          <w:szCs w:val="24"/>
        </w:rPr>
      </w:pPr>
    </w:p>
    <w:p w14:paraId="308BF30C" w14:textId="00381CEB" w:rsidR="00875243" w:rsidRPr="00C425E1" w:rsidRDefault="00875243" w:rsidP="00D15E3C">
      <w:pPr>
        <w:widowControl w:val="0"/>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Details of the </w:t>
      </w:r>
      <w:r w:rsidR="00BB1CFA">
        <w:rPr>
          <w:rFonts w:ascii="Times New Roman" w:eastAsia="Times New Roman" w:hAnsi="Times New Roman" w:cs="Times New Roman"/>
          <w:sz w:val="24"/>
          <w:lang w:eastAsia="en-AU"/>
        </w:rPr>
        <w:t xml:space="preserve">Amendment </w:t>
      </w:r>
      <w:r w:rsidRPr="00C425E1">
        <w:rPr>
          <w:rFonts w:ascii="Times New Roman" w:eastAsia="Times New Roman" w:hAnsi="Times New Roman" w:cs="Times New Roman"/>
          <w:sz w:val="24"/>
          <w:lang w:eastAsia="en-AU"/>
        </w:rPr>
        <w:t xml:space="preserve">Regulations are set out in the </w:t>
      </w:r>
      <w:r w:rsidRPr="00C425E1">
        <w:rPr>
          <w:rFonts w:ascii="Times New Roman" w:eastAsia="Times New Roman" w:hAnsi="Times New Roman" w:cs="Times New Roman"/>
          <w:sz w:val="24"/>
          <w:u w:val="single"/>
          <w:lang w:eastAsia="en-AU"/>
        </w:rPr>
        <w:t>Attachment</w:t>
      </w:r>
      <w:r w:rsidR="00E26062" w:rsidRPr="00C425E1">
        <w:rPr>
          <w:rFonts w:ascii="Times New Roman" w:eastAsia="Times New Roman" w:hAnsi="Times New Roman" w:cs="Times New Roman"/>
          <w:sz w:val="24"/>
          <w:u w:val="single"/>
          <w:lang w:eastAsia="en-AU"/>
        </w:rPr>
        <w:t xml:space="preserve"> A</w:t>
      </w:r>
      <w:r w:rsidRPr="00C425E1">
        <w:rPr>
          <w:rFonts w:ascii="Times New Roman" w:eastAsia="Times New Roman" w:hAnsi="Times New Roman" w:cs="Times New Roman"/>
          <w:sz w:val="24"/>
          <w:lang w:eastAsia="en-AU"/>
        </w:rPr>
        <w:t>.</w:t>
      </w:r>
    </w:p>
    <w:p w14:paraId="406B4695" w14:textId="77777777" w:rsidR="00245D1E" w:rsidRDefault="00245D1E" w:rsidP="00D15E3C">
      <w:pPr>
        <w:widowControl w:val="0"/>
        <w:spacing w:after="0" w:line="240" w:lineRule="auto"/>
        <w:ind w:right="748"/>
        <w:rPr>
          <w:rFonts w:ascii="Times New Roman" w:eastAsia="Times New Roman" w:hAnsi="Times New Roman" w:cs="Times New Roman"/>
          <w:sz w:val="24"/>
          <w:lang w:eastAsia="en-AU"/>
        </w:rPr>
      </w:pPr>
    </w:p>
    <w:p w14:paraId="51911AD9" w14:textId="75EEA208" w:rsidR="00875243" w:rsidRPr="00BB1CFA" w:rsidRDefault="00875243" w:rsidP="00D15E3C">
      <w:pPr>
        <w:widowControl w:val="0"/>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The </w:t>
      </w:r>
      <w:r w:rsidR="00BB1CFA">
        <w:rPr>
          <w:rFonts w:ascii="Times New Roman" w:eastAsia="Times New Roman" w:hAnsi="Times New Roman" w:cs="Times New Roman"/>
          <w:sz w:val="24"/>
          <w:lang w:eastAsia="en-AU"/>
        </w:rPr>
        <w:t xml:space="preserve">Amendment </w:t>
      </w:r>
      <w:r w:rsidRPr="00C425E1">
        <w:rPr>
          <w:rFonts w:ascii="Times New Roman" w:eastAsia="Times New Roman" w:hAnsi="Times New Roman" w:cs="Times New Roman"/>
          <w:sz w:val="24"/>
          <w:lang w:eastAsia="en-AU"/>
        </w:rPr>
        <w:t xml:space="preserve">Regulations are a legislative instrument for the purposes of the </w:t>
      </w:r>
      <w:r w:rsidRPr="00D15E3C">
        <w:rPr>
          <w:rFonts w:ascii="Times New Roman" w:eastAsia="Times New Roman" w:hAnsi="Times New Roman" w:cs="Times New Roman"/>
          <w:sz w:val="24"/>
          <w:lang w:eastAsia="en-AU"/>
        </w:rPr>
        <w:t>Legislation Act</w:t>
      </w:r>
      <w:r w:rsidR="00BB1CFA" w:rsidRPr="00D15E3C">
        <w:rPr>
          <w:rFonts w:ascii="Times New Roman" w:eastAsia="Times New Roman" w:hAnsi="Times New Roman" w:cs="Times New Roman"/>
          <w:sz w:val="24"/>
          <w:lang w:eastAsia="en-AU"/>
        </w:rPr>
        <w:t>.</w:t>
      </w:r>
    </w:p>
    <w:p w14:paraId="2E5064A2" w14:textId="77777777" w:rsidR="00245D1E" w:rsidRDefault="00245D1E" w:rsidP="00D15E3C">
      <w:pPr>
        <w:widowControl w:val="0"/>
        <w:spacing w:after="0" w:line="240" w:lineRule="auto"/>
        <w:ind w:right="748"/>
        <w:rPr>
          <w:rFonts w:ascii="Times New Roman" w:eastAsia="Times New Roman" w:hAnsi="Times New Roman" w:cs="Times New Roman"/>
          <w:sz w:val="24"/>
          <w:lang w:eastAsia="en-AU"/>
        </w:rPr>
      </w:pPr>
    </w:p>
    <w:p w14:paraId="63F5DA0A" w14:textId="5B5380AA" w:rsidR="00875243" w:rsidRPr="00C425E1" w:rsidRDefault="00875243" w:rsidP="00D15E3C">
      <w:pPr>
        <w:widowControl w:val="0"/>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The </w:t>
      </w:r>
      <w:r w:rsidR="00BB1CFA">
        <w:rPr>
          <w:rFonts w:ascii="Times New Roman" w:eastAsia="Times New Roman" w:hAnsi="Times New Roman" w:cs="Times New Roman"/>
          <w:sz w:val="24"/>
          <w:lang w:eastAsia="en-AU"/>
        </w:rPr>
        <w:t xml:space="preserve">Amendment </w:t>
      </w:r>
      <w:r w:rsidRPr="00C425E1">
        <w:rPr>
          <w:rFonts w:ascii="Times New Roman" w:eastAsia="Times New Roman" w:hAnsi="Times New Roman" w:cs="Times New Roman"/>
          <w:sz w:val="24"/>
          <w:lang w:eastAsia="en-AU"/>
        </w:rPr>
        <w:t>Regulations commence the day after registration.</w:t>
      </w:r>
      <w:r w:rsidR="00E26062" w:rsidRPr="00C425E1">
        <w:rPr>
          <w:rFonts w:ascii="Times New Roman" w:eastAsia="Times New Roman" w:hAnsi="Times New Roman" w:cs="Times New Roman"/>
          <w:sz w:val="24"/>
          <w:lang w:eastAsia="en-AU"/>
        </w:rPr>
        <w:tab/>
      </w:r>
    </w:p>
    <w:p w14:paraId="5D31609C" w14:textId="77777777" w:rsidR="00245D1E" w:rsidRDefault="00245D1E" w:rsidP="00D15E3C">
      <w:pPr>
        <w:widowControl w:val="0"/>
        <w:spacing w:after="0" w:line="240" w:lineRule="auto"/>
        <w:ind w:right="748"/>
      </w:pPr>
    </w:p>
    <w:p w14:paraId="3663679B" w14:textId="08156CCD" w:rsidR="00E26062" w:rsidRPr="00C425E1" w:rsidRDefault="00E26062" w:rsidP="00D15E3C">
      <w:pPr>
        <w:widowControl w:val="0"/>
        <w:spacing w:after="0" w:line="240" w:lineRule="auto"/>
        <w:ind w:right="748"/>
      </w:pPr>
      <w:r w:rsidRPr="00C425E1">
        <w:rPr>
          <w:rFonts w:ascii="Times New Roman" w:eastAsia="Times New Roman" w:hAnsi="Times New Roman" w:cs="Times New Roman"/>
          <w:sz w:val="24"/>
          <w:lang w:eastAsia="en-AU"/>
        </w:rPr>
        <w:t xml:space="preserve">The </w:t>
      </w:r>
      <w:r w:rsidR="00BB1CFA">
        <w:rPr>
          <w:rFonts w:ascii="Times New Roman" w:eastAsia="Times New Roman" w:hAnsi="Times New Roman" w:cs="Times New Roman"/>
          <w:sz w:val="24"/>
          <w:lang w:eastAsia="en-AU"/>
        </w:rPr>
        <w:t xml:space="preserve">Amendment </w:t>
      </w:r>
      <w:r w:rsidRPr="00C425E1">
        <w:rPr>
          <w:rFonts w:ascii="Times New Roman" w:eastAsia="Times New Roman" w:hAnsi="Times New Roman" w:cs="Times New Roman"/>
          <w:sz w:val="24"/>
          <w:lang w:eastAsia="en-AU"/>
        </w:rPr>
        <w:t xml:space="preserve">Regulations and the </w:t>
      </w:r>
      <w:r w:rsidR="00BB1CFA">
        <w:rPr>
          <w:rFonts w:ascii="Times New Roman" w:eastAsia="Times New Roman" w:hAnsi="Times New Roman" w:cs="Times New Roman"/>
          <w:sz w:val="24"/>
          <w:lang w:eastAsia="en-AU"/>
        </w:rPr>
        <w:t xml:space="preserve">Legislation </w:t>
      </w:r>
      <w:r w:rsidRPr="00C425E1">
        <w:rPr>
          <w:rFonts w:ascii="Times New Roman" w:eastAsia="Times New Roman" w:hAnsi="Times New Roman" w:cs="Times New Roman"/>
          <w:sz w:val="24"/>
          <w:lang w:eastAsia="en-AU"/>
        </w:rPr>
        <w:t xml:space="preserve">Act are available on the Federal Register of Legislation </w:t>
      </w:r>
      <w:hyperlink r:id="rId11" w:history="1">
        <w:r w:rsidRPr="008E1C80">
          <w:rPr>
            <w:rFonts w:ascii="Times New Roman" w:hAnsi="Times New Roman" w:cs="Times New Roman"/>
            <w:sz w:val="24"/>
            <w:szCs w:val="24"/>
          </w:rPr>
          <w:t>https://www.legislation.gov.au/</w:t>
        </w:r>
      </w:hyperlink>
      <w:r w:rsidRPr="008E1C80">
        <w:rPr>
          <w:rFonts w:ascii="Times New Roman" w:eastAsia="Times New Roman" w:hAnsi="Times New Roman" w:cs="Times New Roman"/>
          <w:sz w:val="24"/>
          <w:szCs w:val="24"/>
          <w:lang w:eastAsia="en-AU"/>
        </w:rPr>
        <w:t>.</w:t>
      </w:r>
    </w:p>
    <w:p w14:paraId="1FF841C4" w14:textId="77777777" w:rsidR="00BC751D" w:rsidRDefault="00BC751D">
      <w:pPr>
        <w:rPr>
          <w:rFonts w:ascii="Times New Roman" w:hAnsi="Times New Roman" w:cs="Times New Roman"/>
          <w:b/>
          <w:caps/>
          <w:sz w:val="24"/>
          <w:szCs w:val="24"/>
        </w:rPr>
      </w:pPr>
      <w:r>
        <w:rPr>
          <w:rFonts w:ascii="Times New Roman" w:hAnsi="Times New Roman" w:cs="Times New Roman"/>
          <w:b/>
          <w:caps/>
          <w:sz w:val="24"/>
          <w:szCs w:val="24"/>
        </w:rPr>
        <w:br w:type="page"/>
      </w:r>
    </w:p>
    <w:p w14:paraId="09BFDCE7" w14:textId="73A1C465" w:rsidR="008B2955" w:rsidRPr="00376163" w:rsidRDefault="008B2955" w:rsidP="00D04770">
      <w:pPr>
        <w:spacing w:line="360" w:lineRule="auto"/>
        <w:rPr>
          <w:rFonts w:ascii="Times New Roman" w:hAnsi="Times New Roman" w:cs="Times New Roman"/>
          <w:b/>
          <w:caps/>
          <w:sz w:val="24"/>
          <w:szCs w:val="24"/>
        </w:rPr>
      </w:pPr>
      <w:r w:rsidRPr="00376163">
        <w:rPr>
          <w:rFonts w:ascii="Times New Roman" w:hAnsi="Times New Roman" w:cs="Times New Roman"/>
          <w:b/>
          <w:caps/>
          <w:sz w:val="24"/>
          <w:szCs w:val="24"/>
        </w:rPr>
        <w:lastRenderedPageBreak/>
        <w:t>Statement of Compatibility with Human Rights</w:t>
      </w:r>
    </w:p>
    <w:p w14:paraId="09BFDCE8" w14:textId="0A3C25B8" w:rsidR="001D3031" w:rsidRDefault="001D3031" w:rsidP="00C425E1">
      <w:pPr>
        <w:keepNext/>
        <w:spacing w:after="0" w:line="240" w:lineRule="auto"/>
        <w:ind w:right="748"/>
        <w:rPr>
          <w:rFonts w:ascii="Times New Roman" w:eastAsia="Times New Roman" w:hAnsi="Times New Roman" w:cs="Times New Roman"/>
          <w:i/>
          <w:sz w:val="24"/>
          <w:lang w:eastAsia="en-AU"/>
        </w:rPr>
      </w:pPr>
      <w:r w:rsidRPr="000F62D7">
        <w:rPr>
          <w:rFonts w:ascii="Times New Roman" w:eastAsia="Times New Roman" w:hAnsi="Times New Roman" w:cs="Times New Roman"/>
          <w:sz w:val="24"/>
          <w:lang w:eastAsia="en-AU"/>
        </w:rPr>
        <w:t>Prepared in accordance with Part 3 of the</w:t>
      </w:r>
      <w:r w:rsidRPr="00C425E1">
        <w:rPr>
          <w:rFonts w:ascii="Times New Roman" w:eastAsia="Times New Roman" w:hAnsi="Times New Roman" w:cs="Times New Roman"/>
          <w:i/>
          <w:sz w:val="24"/>
          <w:lang w:eastAsia="en-AU"/>
        </w:rPr>
        <w:t xml:space="preserve"> Human Rights (Parliamentary Scrutiny) Act 2011</w:t>
      </w:r>
      <w:r w:rsidR="000F62D7">
        <w:rPr>
          <w:rFonts w:ascii="Times New Roman" w:eastAsia="Times New Roman" w:hAnsi="Times New Roman" w:cs="Times New Roman"/>
          <w:i/>
          <w:sz w:val="24"/>
          <w:lang w:eastAsia="en-AU"/>
        </w:rPr>
        <w:t>.</w:t>
      </w:r>
    </w:p>
    <w:p w14:paraId="407FA7E2" w14:textId="77777777" w:rsidR="00711774" w:rsidRPr="00C425E1" w:rsidRDefault="00711774" w:rsidP="00C425E1">
      <w:pPr>
        <w:keepNext/>
        <w:spacing w:after="0" w:line="240" w:lineRule="auto"/>
        <w:ind w:right="748"/>
        <w:rPr>
          <w:rFonts w:ascii="Times New Roman" w:eastAsia="Times New Roman" w:hAnsi="Times New Roman" w:cs="Times New Roman"/>
          <w:i/>
          <w:sz w:val="24"/>
          <w:lang w:eastAsia="en-AU"/>
        </w:rPr>
      </w:pPr>
    </w:p>
    <w:p w14:paraId="0E3C8701" w14:textId="77777777" w:rsidR="00711774" w:rsidRPr="00711774" w:rsidRDefault="00711774" w:rsidP="00711774">
      <w:pPr>
        <w:pStyle w:val="NoSpacing"/>
        <w:rPr>
          <w:rFonts w:ascii="Times New Roman" w:hAnsi="Times New Roman" w:cs="Times New Roman"/>
          <w:b/>
          <w:sz w:val="24"/>
          <w:szCs w:val="24"/>
        </w:rPr>
      </w:pPr>
      <w:r w:rsidRPr="00711774">
        <w:rPr>
          <w:rFonts w:ascii="Times New Roman" w:hAnsi="Times New Roman" w:cs="Times New Roman"/>
          <w:b/>
          <w:i/>
          <w:sz w:val="24"/>
          <w:szCs w:val="24"/>
        </w:rPr>
        <w:t>Legislation (Exemptions and Other Matters) Amendment (2021 Measures No. 1) Regulations 2021</w:t>
      </w:r>
    </w:p>
    <w:p w14:paraId="4313F5A0" w14:textId="77777777" w:rsidR="00711774" w:rsidRPr="00711774" w:rsidRDefault="00711774" w:rsidP="00711774">
      <w:pPr>
        <w:pStyle w:val="NoSpacing"/>
        <w:rPr>
          <w:rFonts w:ascii="Times New Roman" w:hAnsi="Times New Roman" w:cs="Times New Roman"/>
          <w:b/>
          <w:sz w:val="24"/>
          <w:szCs w:val="24"/>
        </w:rPr>
      </w:pPr>
    </w:p>
    <w:p w14:paraId="6FC2C0CE" w14:textId="77777777" w:rsidR="00711774" w:rsidRPr="00711774" w:rsidRDefault="00711774" w:rsidP="00711774">
      <w:pPr>
        <w:pStyle w:val="NoSpacing"/>
        <w:rPr>
          <w:rFonts w:ascii="Times New Roman" w:hAnsi="Times New Roman" w:cs="Times New Roman"/>
          <w:iCs/>
          <w:sz w:val="24"/>
          <w:szCs w:val="24"/>
        </w:rPr>
      </w:pPr>
      <w:r w:rsidRPr="00711774">
        <w:rPr>
          <w:rFonts w:ascii="Times New Roman" w:hAnsi="Times New Roman" w:cs="Times New Roman"/>
          <w:sz w:val="24"/>
          <w:szCs w:val="24"/>
        </w:rPr>
        <w:t xml:space="preserve">The </w:t>
      </w:r>
      <w:r w:rsidRPr="00711774">
        <w:rPr>
          <w:rFonts w:ascii="Times New Roman" w:hAnsi="Times New Roman" w:cs="Times New Roman"/>
          <w:i/>
          <w:sz w:val="24"/>
          <w:szCs w:val="24"/>
        </w:rPr>
        <w:t>Legislation (Exemptions and Other Matters) Amendment (2021 Measures No. 1) Regulations 2021</w:t>
      </w:r>
      <w:r w:rsidRPr="00711774">
        <w:rPr>
          <w:rFonts w:ascii="Times New Roman" w:hAnsi="Times New Roman" w:cs="Times New Roman"/>
          <w:sz w:val="24"/>
          <w:szCs w:val="24"/>
        </w:rPr>
        <w:t xml:space="preserve"> (the Amendment Regulations) are compatible with the human rights and freedoms recognised or declared in the international instruments listed in section 3 of the </w:t>
      </w:r>
      <w:r w:rsidRPr="00711774">
        <w:rPr>
          <w:rFonts w:ascii="Times New Roman" w:hAnsi="Times New Roman" w:cs="Times New Roman"/>
          <w:i/>
          <w:iCs/>
          <w:sz w:val="24"/>
          <w:szCs w:val="24"/>
        </w:rPr>
        <w:t>Human Rights (Parliamentary Scrutiny) Act 2011.</w:t>
      </w:r>
    </w:p>
    <w:p w14:paraId="1D6B9C32" w14:textId="77777777" w:rsidR="00711774" w:rsidRPr="00711774" w:rsidRDefault="00711774" w:rsidP="00711774">
      <w:pPr>
        <w:pStyle w:val="NoSpacing"/>
        <w:rPr>
          <w:rFonts w:ascii="Times New Roman" w:hAnsi="Times New Roman" w:cs="Times New Roman"/>
          <w:iCs/>
          <w:sz w:val="24"/>
          <w:szCs w:val="24"/>
        </w:rPr>
      </w:pPr>
    </w:p>
    <w:p w14:paraId="4453D94B" w14:textId="77777777" w:rsidR="00711774" w:rsidRPr="00711774" w:rsidRDefault="00711774" w:rsidP="00711774">
      <w:pPr>
        <w:pStyle w:val="NoSpacing"/>
        <w:rPr>
          <w:rFonts w:ascii="Times New Roman" w:hAnsi="Times New Roman" w:cs="Times New Roman"/>
          <w:iCs/>
          <w:sz w:val="24"/>
          <w:szCs w:val="24"/>
        </w:rPr>
      </w:pPr>
      <w:r w:rsidRPr="00711774">
        <w:rPr>
          <w:rFonts w:ascii="Times New Roman" w:hAnsi="Times New Roman" w:cs="Times New Roman"/>
          <w:b/>
          <w:iCs/>
          <w:sz w:val="24"/>
          <w:szCs w:val="24"/>
        </w:rPr>
        <w:t>Overview</w:t>
      </w:r>
    </w:p>
    <w:p w14:paraId="5FC3F5C0" w14:textId="77777777" w:rsidR="00711774" w:rsidRPr="00711774" w:rsidRDefault="00711774" w:rsidP="00711774">
      <w:pPr>
        <w:pStyle w:val="Paragraph"/>
        <w:tabs>
          <w:tab w:val="left" w:pos="567"/>
        </w:tabs>
      </w:pPr>
      <w:r w:rsidRPr="00711774">
        <w:t xml:space="preserve">The </w:t>
      </w:r>
      <w:r w:rsidRPr="00711774">
        <w:rPr>
          <w:i/>
        </w:rPr>
        <w:t xml:space="preserve">Legislation Act 2003 </w:t>
      </w:r>
      <w:r w:rsidRPr="00711774">
        <w:t xml:space="preserve">(Legislation Act) establishes a comprehensive regime for the publication of Commonwealth Acts and Instruments and provides for the sunsetting of legislative instruments. Sunsetting is the process by which instruments are automatically repealed approximately 10 years after they are made unless steps are taken to preserve their operation or the instruments are exempt from sunsetting. </w:t>
      </w:r>
    </w:p>
    <w:p w14:paraId="7BB7A8FA" w14:textId="5ECB0816" w:rsidR="00711774" w:rsidRPr="00711774" w:rsidRDefault="00711774" w:rsidP="00711774">
      <w:pPr>
        <w:numPr>
          <w:ilvl w:val="12"/>
          <w:numId w:val="0"/>
        </w:numPr>
        <w:spacing w:before="240" w:after="0" w:line="240" w:lineRule="auto"/>
        <w:rPr>
          <w:rFonts w:ascii="Times New Roman" w:eastAsia="Calibri" w:hAnsi="Times New Roman" w:cs="Times New Roman"/>
          <w:sz w:val="24"/>
          <w:szCs w:val="24"/>
          <w:lang w:eastAsia="en-AU"/>
        </w:rPr>
      </w:pPr>
      <w:r w:rsidRPr="00711774">
        <w:rPr>
          <w:rFonts w:ascii="Times New Roman" w:eastAsia="Times New Roman" w:hAnsi="Times New Roman" w:cs="Times New Roman"/>
          <w:color w:val="000000"/>
          <w:sz w:val="24"/>
          <w:szCs w:val="24"/>
          <w:lang w:eastAsia="en-AU"/>
        </w:rPr>
        <w:t xml:space="preserve">The </w:t>
      </w:r>
      <w:r w:rsidRPr="00711774">
        <w:rPr>
          <w:rFonts w:ascii="Times New Roman" w:eastAsia="Times New Roman" w:hAnsi="Times New Roman" w:cs="Times New Roman"/>
          <w:i/>
          <w:color w:val="000000"/>
          <w:sz w:val="24"/>
          <w:szCs w:val="24"/>
          <w:lang w:eastAsia="en-AU"/>
        </w:rPr>
        <w:t>Legislation (Exemptions and Other Matters) Regulation 2015</w:t>
      </w:r>
      <w:r w:rsidRPr="00711774">
        <w:rPr>
          <w:rFonts w:ascii="Times New Roman" w:eastAsia="Times New Roman" w:hAnsi="Times New Roman" w:cs="Times New Roman"/>
          <w:color w:val="000000"/>
          <w:sz w:val="24"/>
          <w:szCs w:val="24"/>
          <w:lang w:eastAsia="en-AU"/>
        </w:rPr>
        <w:t xml:space="preserve"> (the Principal Regulation) prescribe classes of instruments (at section 9) and particular instruments (at section 10) that are exempt from disallowance under paragraph 44(2)(b) of the Legislation Act. The Principal Regulations also prescribe </w:t>
      </w:r>
      <w:r w:rsidRPr="00711774">
        <w:rPr>
          <w:rFonts w:ascii="Times New Roman" w:eastAsia="Calibri" w:hAnsi="Times New Roman" w:cs="Times New Roman"/>
          <w:sz w:val="24"/>
          <w:szCs w:val="24"/>
          <w:lang w:eastAsia="en-AU"/>
        </w:rPr>
        <w:t xml:space="preserve">classes of instruments (at section 11) and particular instruments (at section 12) that are exempt from sunsetting under paragraph 54(2)(b) of the Act. </w:t>
      </w:r>
    </w:p>
    <w:p w14:paraId="4FDA840B" w14:textId="77777777" w:rsidR="00711774" w:rsidRPr="00711774" w:rsidRDefault="00711774" w:rsidP="00711774">
      <w:pPr>
        <w:pStyle w:val="NoSpacing"/>
        <w:rPr>
          <w:rFonts w:ascii="Times New Roman" w:hAnsi="Times New Roman" w:cs="Times New Roman"/>
          <w:sz w:val="24"/>
          <w:szCs w:val="24"/>
        </w:rPr>
      </w:pPr>
    </w:p>
    <w:p w14:paraId="0D087257" w14:textId="2E022583" w:rsidR="00711774" w:rsidRPr="00711774" w:rsidRDefault="00711774" w:rsidP="00711774">
      <w:pPr>
        <w:pStyle w:val="NoSpacing"/>
        <w:rPr>
          <w:rFonts w:ascii="Times New Roman" w:eastAsia="Times New Roman" w:hAnsi="Times New Roman" w:cs="Times New Roman"/>
          <w:sz w:val="24"/>
          <w:szCs w:val="24"/>
          <w:lang w:eastAsia="en-AU"/>
        </w:rPr>
      </w:pPr>
      <w:r w:rsidRPr="00711774">
        <w:rPr>
          <w:rFonts w:ascii="Times New Roman" w:hAnsi="Times New Roman" w:cs="Times New Roman"/>
          <w:sz w:val="24"/>
          <w:szCs w:val="24"/>
        </w:rPr>
        <w:t xml:space="preserve">The Amendment Regulations are made under section 62 of the Legislation Act and amend the Principal Regulation </w:t>
      </w:r>
      <w:r w:rsidRPr="00711774">
        <w:rPr>
          <w:rFonts w:ascii="Times New Roman" w:eastAsia="Times New Roman" w:hAnsi="Times New Roman" w:cs="Times New Roman"/>
          <w:sz w:val="24"/>
          <w:szCs w:val="24"/>
          <w:lang w:eastAsia="en-AU"/>
        </w:rPr>
        <w:t>as follows:</w:t>
      </w:r>
    </w:p>
    <w:p w14:paraId="18172D01" w14:textId="5927A806" w:rsidR="00711774" w:rsidRPr="00711774" w:rsidRDefault="00711774" w:rsidP="00711774">
      <w:pPr>
        <w:pStyle w:val="ListParagraph"/>
        <w:numPr>
          <w:ilvl w:val="0"/>
          <w:numId w:val="26"/>
        </w:numPr>
        <w:spacing w:before="60" w:after="60" w:line="240" w:lineRule="auto"/>
        <w:ind w:left="425" w:right="91" w:hanging="425"/>
        <w:contextualSpacing w:val="0"/>
        <w:rPr>
          <w:rFonts w:ascii="Times New Roman" w:eastAsia="Times New Roman" w:hAnsi="Times New Roman" w:cs="Times New Roman"/>
          <w:sz w:val="24"/>
          <w:szCs w:val="24"/>
          <w:lang w:eastAsia="en-AU"/>
        </w:rPr>
      </w:pPr>
      <w:r w:rsidRPr="00711774">
        <w:rPr>
          <w:rFonts w:ascii="Times New Roman" w:eastAsia="Times New Roman" w:hAnsi="Times New Roman" w:cs="Times New Roman"/>
          <w:sz w:val="24"/>
          <w:szCs w:val="24"/>
          <w:lang w:eastAsia="en-AU"/>
        </w:rPr>
        <w:t xml:space="preserve">by replacing a reference in item 2(b) of section 10 of the Principal Regulations to an outdated instrument that is no longer in force (the </w:t>
      </w:r>
      <w:r w:rsidRPr="00D15E3C">
        <w:rPr>
          <w:rFonts w:ascii="Times New Roman" w:eastAsia="Times New Roman" w:hAnsi="Times New Roman" w:cs="Times New Roman"/>
          <w:i/>
          <w:sz w:val="24"/>
          <w:szCs w:val="24"/>
          <w:lang w:eastAsia="en-AU"/>
        </w:rPr>
        <w:t>Air Services Regulations 1995</w:t>
      </w:r>
      <w:r w:rsidR="00F63244">
        <w:rPr>
          <w:rFonts w:ascii="Times New Roman" w:eastAsia="Times New Roman" w:hAnsi="Times New Roman" w:cs="Times New Roman"/>
          <w:i/>
          <w:sz w:val="24"/>
          <w:szCs w:val="24"/>
          <w:lang w:eastAsia="en-AU"/>
        </w:rPr>
        <w:t xml:space="preserve"> </w:t>
      </w:r>
      <w:r w:rsidR="00F63244" w:rsidRPr="00D15E3C">
        <w:rPr>
          <w:rFonts w:ascii="Times New Roman" w:eastAsia="Times New Roman" w:hAnsi="Times New Roman" w:cs="Times New Roman"/>
          <w:sz w:val="24"/>
          <w:szCs w:val="24"/>
          <w:lang w:eastAsia="en-AU"/>
        </w:rPr>
        <w:t>(ASR</w:t>
      </w:r>
      <w:r w:rsidR="00F63244">
        <w:rPr>
          <w:rFonts w:ascii="Times New Roman" w:eastAsia="Times New Roman" w:hAnsi="Times New Roman" w:cs="Times New Roman"/>
          <w:sz w:val="24"/>
          <w:szCs w:val="24"/>
          <w:lang w:eastAsia="en-AU"/>
        </w:rPr>
        <w:t> </w:t>
      </w:r>
      <w:r w:rsidR="00F63244" w:rsidRPr="00D15E3C">
        <w:rPr>
          <w:rFonts w:ascii="Times New Roman" w:eastAsia="Times New Roman" w:hAnsi="Times New Roman" w:cs="Times New Roman"/>
          <w:sz w:val="24"/>
          <w:szCs w:val="24"/>
          <w:lang w:eastAsia="en-AU"/>
        </w:rPr>
        <w:t>1995</w:t>
      </w:r>
      <w:r w:rsidRPr="00F63244">
        <w:rPr>
          <w:rFonts w:ascii="Times New Roman" w:eastAsia="Times New Roman" w:hAnsi="Times New Roman" w:cs="Times New Roman"/>
          <w:sz w:val="24"/>
          <w:szCs w:val="24"/>
          <w:lang w:eastAsia="en-AU"/>
        </w:rPr>
        <w:t>)</w:t>
      </w:r>
      <w:r w:rsidRPr="00711774">
        <w:rPr>
          <w:rFonts w:ascii="Times New Roman" w:eastAsia="Times New Roman" w:hAnsi="Times New Roman" w:cs="Times New Roman"/>
          <w:sz w:val="24"/>
          <w:szCs w:val="24"/>
          <w:lang w:eastAsia="en-AU"/>
        </w:rPr>
        <w:t xml:space="preserve"> with a reference to the equivalent provisions in the </w:t>
      </w:r>
      <w:r w:rsidRPr="00D15E3C">
        <w:rPr>
          <w:rFonts w:ascii="Times New Roman" w:eastAsia="Times New Roman" w:hAnsi="Times New Roman" w:cs="Times New Roman"/>
          <w:i/>
          <w:sz w:val="24"/>
          <w:szCs w:val="24"/>
          <w:lang w:eastAsia="en-AU"/>
        </w:rPr>
        <w:t>Air Services Regulations 2019</w:t>
      </w:r>
      <w:r w:rsidR="00F63244">
        <w:rPr>
          <w:rFonts w:ascii="Times New Roman" w:eastAsia="Times New Roman" w:hAnsi="Times New Roman" w:cs="Times New Roman"/>
          <w:i/>
          <w:sz w:val="24"/>
          <w:szCs w:val="24"/>
          <w:lang w:eastAsia="en-AU"/>
        </w:rPr>
        <w:t xml:space="preserve"> </w:t>
      </w:r>
      <w:r w:rsidR="00F63244" w:rsidRPr="00D15E3C">
        <w:rPr>
          <w:rFonts w:ascii="Times New Roman" w:eastAsia="Times New Roman" w:hAnsi="Times New Roman" w:cs="Times New Roman"/>
          <w:sz w:val="24"/>
          <w:szCs w:val="24"/>
          <w:lang w:eastAsia="en-AU"/>
        </w:rPr>
        <w:t>(ASR 2019)</w:t>
      </w:r>
      <w:r w:rsidRPr="00F63244">
        <w:rPr>
          <w:rFonts w:ascii="Times New Roman" w:eastAsia="Times New Roman" w:hAnsi="Times New Roman" w:cs="Times New Roman"/>
          <w:sz w:val="24"/>
          <w:szCs w:val="24"/>
          <w:lang w:eastAsia="en-AU"/>
        </w:rPr>
        <w:t>;</w:t>
      </w:r>
      <w:r w:rsidRPr="00711774">
        <w:rPr>
          <w:rFonts w:ascii="Times New Roman" w:eastAsia="Times New Roman" w:hAnsi="Times New Roman" w:cs="Times New Roman"/>
          <w:sz w:val="24"/>
          <w:szCs w:val="24"/>
          <w:lang w:eastAsia="en-AU"/>
        </w:rPr>
        <w:t xml:space="preserve">  </w:t>
      </w:r>
    </w:p>
    <w:p w14:paraId="4C263815" w14:textId="77777777" w:rsidR="00711774" w:rsidRPr="00711774" w:rsidRDefault="00711774" w:rsidP="00711774">
      <w:pPr>
        <w:pStyle w:val="ListParagraph"/>
        <w:numPr>
          <w:ilvl w:val="0"/>
          <w:numId w:val="26"/>
        </w:numPr>
        <w:spacing w:before="60" w:after="60" w:line="240" w:lineRule="auto"/>
        <w:ind w:left="425" w:right="91" w:hanging="425"/>
        <w:contextualSpacing w:val="0"/>
        <w:rPr>
          <w:rFonts w:ascii="Times New Roman" w:eastAsia="Times New Roman" w:hAnsi="Times New Roman" w:cs="Times New Roman"/>
          <w:sz w:val="24"/>
          <w:szCs w:val="24"/>
          <w:lang w:eastAsia="en-AU"/>
        </w:rPr>
      </w:pPr>
      <w:r w:rsidRPr="00711774">
        <w:rPr>
          <w:rFonts w:ascii="Times New Roman" w:eastAsia="Times New Roman" w:hAnsi="Times New Roman" w:cs="Times New Roman"/>
          <w:sz w:val="24"/>
          <w:szCs w:val="24"/>
          <w:lang w:eastAsia="en-AU"/>
        </w:rPr>
        <w:t xml:space="preserve">by amending table item 10 of section 12 of the Principal Regulations to reflect amendments to the </w:t>
      </w:r>
      <w:r w:rsidRPr="00711774">
        <w:rPr>
          <w:rFonts w:ascii="Times New Roman" w:eastAsia="Times New Roman" w:hAnsi="Times New Roman" w:cs="Times New Roman"/>
          <w:i/>
          <w:sz w:val="24"/>
          <w:szCs w:val="24"/>
          <w:lang w:eastAsia="en-AU"/>
        </w:rPr>
        <w:t xml:space="preserve">Australian Security and Intelligence Organisation Act 1979 </w:t>
      </w:r>
      <w:r w:rsidRPr="00711774">
        <w:rPr>
          <w:rFonts w:ascii="Times New Roman" w:eastAsia="Times New Roman" w:hAnsi="Times New Roman" w:cs="Times New Roman"/>
          <w:sz w:val="24"/>
          <w:szCs w:val="24"/>
          <w:lang w:eastAsia="en-AU"/>
        </w:rPr>
        <w:t xml:space="preserve">(ASIO Act); and </w:t>
      </w:r>
    </w:p>
    <w:p w14:paraId="71426AB9" w14:textId="2365CD30" w:rsidR="00711774" w:rsidRPr="00711774" w:rsidRDefault="00711774" w:rsidP="00711774">
      <w:pPr>
        <w:pStyle w:val="ListParagraph"/>
        <w:numPr>
          <w:ilvl w:val="0"/>
          <w:numId w:val="26"/>
        </w:numPr>
        <w:spacing w:before="60" w:after="60" w:line="240" w:lineRule="auto"/>
        <w:ind w:left="425" w:right="91" w:hanging="425"/>
        <w:contextualSpacing w:val="0"/>
        <w:rPr>
          <w:rFonts w:ascii="Times New Roman" w:eastAsia="Times New Roman" w:hAnsi="Times New Roman" w:cs="Times New Roman"/>
          <w:sz w:val="24"/>
          <w:szCs w:val="24"/>
          <w:lang w:eastAsia="en-AU"/>
        </w:rPr>
      </w:pPr>
      <w:r w:rsidRPr="00711774">
        <w:rPr>
          <w:rFonts w:ascii="Times New Roman" w:eastAsia="Times New Roman" w:hAnsi="Times New Roman" w:cs="Times New Roman"/>
          <w:sz w:val="24"/>
          <w:szCs w:val="24"/>
          <w:lang w:eastAsia="en-AU"/>
        </w:rPr>
        <w:t xml:space="preserve">by adding item 56C in section 12 of the Principal Regulations to reflect an exemption from sunsetting for standards made under section 12 of the </w:t>
      </w:r>
      <w:r w:rsidRPr="00711774">
        <w:rPr>
          <w:rFonts w:ascii="Times New Roman" w:eastAsia="Times New Roman" w:hAnsi="Times New Roman" w:cs="Times New Roman"/>
          <w:i/>
          <w:sz w:val="24"/>
          <w:szCs w:val="24"/>
          <w:lang w:eastAsia="en-AU"/>
        </w:rPr>
        <w:t xml:space="preserve">Road Vehicle Standards </w:t>
      </w:r>
      <w:r w:rsidR="00E524D9" w:rsidRPr="00711774">
        <w:rPr>
          <w:rFonts w:ascii="Times New Roman" w:eastAsia="Times New Roman" w:hAnsi="Times New Roman" w:cs="Times New Roman"/>
          <w:i/>
          <w:sz w:val="24"/>
          <w:szCs w:val="24"/>
          <w:lang w:eastAsia="en-AU"/>
        </w:rPr>
        <w:t>Act</w:t>
      </w:r>
      <w:r w:rsidR="00E524D9">
        <w:rPr>
          <w:rFonts w:ascii="Times New Roman" w:eastAsia="Times New Roman" w:hAnsi="Times New Roman" w:cs="Times New Roman"/>
          <w:i/>
          <w:sz w:val="24"/>
          <w:szCs w:val="24"/>
          <w:lang w:eastAsia="en-AU"/>
        </w:rPr>
        <w:t> </w:t>
      </w:r>
      <w:r w:rsidRPr="00711774">
        <w:rPr>
          <w:rFonts w:ascii="Times New Roman" w:eastAsia="Times New Roman" w:hAnsi="Times New Roman" w:cs="Times New Roman"/>
          <w:i/>
          <w:sz w:val="24"/>
          <w:szCs w:val="24"/>
          <w:lang w:eastAsia="en-AU"/>
        </w:rPr>
        <w:t>2018</w:t>
      </w:r>
      <w:r w:rsidRPr="00711774">
        <w:rPr>
          <w:rFonts w:ascii="Times New Roman" w:eastAsia="Times New Roman" w:hAnsi="Times New Roman" w:cs="Times New Roman"/>
          <w:sz w:val="24"/>
          <w:szCs w:val="24"/>
          <w:lang w:eastAsia="en-AU"/>
        </w:rPr>
        <w:t>.</w:t>
      </w:r>
    </w:p>
    <w:p w14:paraId="499A160A" w14:textId="77777777" w:rsidR="00DF3162" w:rsidRDefault="00DF3162" w:rsidP="00C425E1">
      <w:pPr>
        <w:pStyle w:val="NoSpacing"/>
      </w:pPr>
    </w:p>
    <w:p w14:paraId="374C4AE2" w14:textId="5FDF5F47" w:rsidR="00DF3162" w:rsidRPr="00D15E3C" w:rsidRDefault="00DF3162" w:rsidP="00C425E1">
      <w:pPr>
        <w:pStyle w:val="NoSpacing"/>
        <w:rPr>
          <w:rFonts w:ascii="Times New Roman" w:hAnsi="Times New Roman" w:cs="Times New Roman"/>
          <w:sz w:val="24"/>
          <w:szCs w:val="24"/>
        </w:rPr>
      </w:pPr>
      <w:r w:rsidRPr="00D15E3C">
        <w:rPr>
          <w:rFonts w:ascii="Times New Roman" w:hAnsi="Times New Roman" w:cs="Times New Roman"/>
          <w:sz w:val="24"/>
          <w:szCs w:val="24"/>
        </w:rPr>
        <w:t xml:space="preserve">The disallowance and sunsetting exemptions made by the Amendment Regulations </w:t>
      </w:r>
      <w:r w:rsidR="00B14CCA">
        <w:rPr>
          <w:rFonts w:ascii="Times New Roman" w:hAnsi="Times New Roman" w:cs="Times New Roman"/>
          <w:sz w:val="24"/>
          <w:szCs w:val="24"/>
        </w:rPr>
        <w:t>are</w:t>
      </w:r>
      <w:r w:rsidRPr="00D15E3C">
        <w:rPr>
          <w:rFonts w:ascii="Times New Roman" w:hAnsi="Times New Roman" w:cs="Times New Roman"/>
          <w:sz w:val="24"/>
          <w:szCs w:val="24"/>
        </w:rPr>
        <w:t xml:space="preserve"> in accordance with established policy criteria for the granting of exemptions. </w:t>
      </w:r>
    </w:p>
    <w:p w14:paraId="4967E3BE" w14:textId="77777777" w:rsidR="00DF3162" w:rsidRPr="00D15E3C" w:rsidRDefault="00DF3162" w:rsidP="00C425E1">
      <w:pPr>
        <w:pStyle w:val="NoSpacing"/>
        <w:rPr>
          <w:rFonts w:ascii="Times New Roman" w:hAnsi="Times New Roman" w:cs="Times New Roman"/>
          <w:sz w:val="24"/>
          <w:szCs w:val="24"/>
        </w:rPr>
      </w:pPr>
    </w:p>
    <w:p w14:paraId="329B9D61" w14:textId="3B64D685" w:rsidR="00F63244" w:rsidRPr="00BD0E0F" w:rsidRDefault="00F63244" w:rsidP="00F63244">
      <w:pPr>
        <w:tabs>
          <w:tab w:val="right" w:pos="8931"/>
        </w:tabs>
        <w:spacing w:after="0" w:line="240" w:lineRule="auto"/>
        <w:ind w:right="91"/>
        <w:rPr>
          <w:rFonts w:ascii="Times New Roman" w:eastAsia="Times New Roman" w:hAnsi="Times New Roman" w:cs="Times New Roman"/>
          <w:sz w:val="24"/>
          <w:lang w:eastAsia="en-AU"/>
        </w:rPr>
      </w:pPr>
      <w:r w:rsidRPr="00AA3E62">
        <w:rPr>
          <w:rFonts w:ascii="Times New Roman" w:eastAsia="Times New Roman" w:hAnsi="Times New Roman" w:cs="Times New Roman"/>
          <w:sz w:val="24"/>
          <w:lang w:eastAsia="en-AU"/>
        </w:rPr>
        <w:t xml:space="preserve">Item 2(b) </w:t>
      </w:r>
      <w:r w:rsidRPr="003D0C04">
        <w:rPr>
          <w:rFonts w:ascii="Times New Roman" w:eastAsia="Times New Roman" w:hAnsi="Times New Roman" w:cs="Times New Roman"/>
          <w:sz w:val="24"/>
          <w:lang w:eastAsia="en-AU"/>
        </w:rPr>
        <w:t>of section</w:t>
      </w:r>
      <w:r w:rsidRPr="00BD0E0F">
        <w:rPr>
          <w:rFonts w:ascii="Times New Roman" w:eastAsia="Times New Roman" w:hAnsi="Times New Roman" w:cs="Times New Roman"/>
          <w:sz w:val="24"/>
          <w:lang w:eastAsia="en-AU"/>
        </w:rPr>
        <w:t xml:space="preserve"> 10 of the Principal Regulation</w:t>
      </w:r>
      <w:r>
        <w:rPr>
          <w:rFonts w:ascii="Times New Roman" w:eastAsia="Times New Roman" w:hAnsi="Times New Roman" w:cs="Times New Roman"/>
          <w:sz w:val="24"/>
          <w:lang w:eastAsia="en-AU"/>
        </w:rPr>
        <w:t xml:space="preserve"> provides that certain </w:t>
      </w:r>
      <w:r w:rsidRPr="00BD0E0F">
        <w:rPr>
          <w:rFonts w:ascii="Times New Roman" w:eastAsia="Times New Roman" w:hAnsi="Times New Roman" w:cs="Times New Roman"/>
          <w:sz w:val="24"/>
          <w:lang w:eastAsia="en-AU"/>
        </w:rPr>
        <w:t xml:space="preserve">instruments made under the </w:t>
      </w:r>
      <w:r w:rsidRPr="00D55735">
        <w:rPr>
          <w:rFonts w:ascii="Times New Roman" w:eastAsia="Times New Roman" w:hAnsi="Times New Roman" w:cs="Times New Roman"/>
          <w:sz w:val="24"/>
          <w:lang w:eastAsia="en-AU"/>
        </w:rPr>
        <w:t>ASR 1995</w:t>
      </w:r>
      <w:r>
        <w:rPr>
          <w:rFonts w:ascii="Times New Roman" w:eastAsia="Times New Roman" w:hAnsi="Times New Roman" w:cs="Times New Roman"/>
          <w:i/>
          <w:sz w:val="24"/>
          <w:lang w:eastAsia="en-AU"/>
        </w:rPr>
        <w:t xml:space="preserve"> </w:t>
      </w:r>
      <w:r w:rsidRPr="00AA3E62">
        <w:rPr>
          <w:rFonts w:ascii="Times New Roman" w:eastAsia="Times New Roman" w:hAnsi="Times New Roman" w:cs="Times New Roman"/>
          <w:sz w:val="24"/>
          <w:lang w:eastAsia="en-AU"/>
        </w:rPr>
        <w:t>are not subject to disallowance.</w:t>
      </w:r>
      <w:r w:rsidRPr="00BD0E0F">
        <w:rPr>
          <w:rFonts w:ascii="Times New Roman" w:eastAsia="Times New Roman" w:hAnsi="Times New Roman" w:cs="Times New Roman"/>
          <w:sz w:val="24"/>
          <w:lang w:eastAsia="en-AU"/>
        </w:rPr>
        <w:t xml:space="preserve"> The </w:t>
      </w:r>
      <w:r w:rsidRPr="000515B6">
        <w:rPr>
          <w:rFonts w:ascii="Times New Roman" w:eastAsia="Times New Roman" w:hAnsi="Times New Roman" w:cs="Times New Roman"/>
          <w:sz w:val="24"/>
          <w:lang w:eastAsia="en-AU"/>
        </w:rPr>
        <w:t>ASR 1995</w:t>
      </w:r>
      <w:r>
        <w:rPr>
          <w:rFonts w:ascii="Times New Roman" w:eastAsia="Times New Roman" w:hAnsi="Times New Roman" w:cs="Times New Roman"/>
          <w:i/>
          <w:sz w:val="24"/>
          <w:lang w:eastAsia="en-AU"/>
        </w:rPr>
        <w:t xml:space="preserve"> </w:t>
      </w:r>
      <w:r w:rsidRPr="00BD0E0F">
        <w:rPr>
          <w:rFonts w:ascii="Times New Roman" w:eastAsia="Times New Roman" w:hAnsi="Times New Roman" w:cs="Times New Roman"/>
          <w:sz w:val="24"/>
          <w:lang w:eastAsia="en-AU"/>
        </w:rPr>
        <w:t xml:space="preserve">have been replaced </w:t>
      </w:r>
      <w:r>
        <w:rPr>
          <w:rFonts w:ascii="Times New Roman" w:eastAsia="Times New Roman" w:hAnsi="Times New Roman" w:cs="Times New Roman"/>
          <w:sz w:val="24"/>
          <w:lang w:eastAsia="en-AU"/>
        </w:rPr>
        <w:t xml:space="preserve">by the </w:t>
      </w:r>
      <w:r w:rsidRPr="00D55735">
        <w:rPr>
          <w:rFonts w:ascii="Times New Roman" w:eastAsia="Times New Roman" w:hAnsi="Times New Roman" w:cs="Times New Roman"/>
          <w:sz w:val="24"/>
          <w:lang w:eastAsia="en-AU"/>
        </w:rPr>
        <w:t>ASR 2019.</w:t>
      </w:r>
      <w:r w:rsidRPr="00BD0E0F">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The</w:t>
      </w:r>
      <w:r w:rsidRPr="00BD0E0F">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Amendment </w:t>
      </w:r>
      <w:r w:rsidRPr="00BD0E0F">
        <w:rPr>
          <w:rFonts w:ascii="Times New Roman" w:eastAsia="Times New Roman" w:hAnsi="Times New Roman" w:cs="Times New Roman"/>
          <w:sz w:val="24"/>
          <w:lang w:eastAsia="en-AU"/>
        </w:rPr>
        <w:t>Regulations replace the reference</w:t>
      </w:r>
      <w:r>
        <w:rPr>
          <w:rFonts w:ascii="Times New Roman" w:eastAsia="Times New Roman" w:hAnsi="Times New Roman" w:cs="Times New Roman"/>
          <w:sz w:val="24"/>
          <w:lang w:eastAsia="en-AU"/>
        </w:rPr>
        <w:t xml:space="preserve">s </w:t>
      </w:r>
      <w:r w:rsidRPr="00BD0E0F">
        <w:rPr>
          <w:rFonts w:ascii="Times New Roman" w:eastAsia="Times New Roman" w:hAnsi="Times New Roman" w:cs="Times New Roman"/>
          <w:sz w:val="24"/>
          <w:lang w:eastAsia="en-AU"/>
        </w:rPr>
        <w:t>t</w:t>
      </w:r>
      <w:r>
        <w:rPr>
          <w:rFonts w:ascii="Times New Roman" w:eastAsia="Times New Roman" w:hAnsi="Times New Roman" w:cs="Times New Roman"/>
          <w:sz w:val="24"/>
          <w:lang w:eastAsia="en-AU"/>
        </w:rPr>
        <w:t xml:space="preserve">o </w:t>
      </w:r>
      <w:r w:rsidRPr="00BD0E0F">
        <w:rPr>
          <w:rFonts w:ascii="Times New Roman" w:eastAsia="Times New Roman" w:hAnsi="Times New Roman" w:cs="Times New Roman"/>
          <w:sz w:val="24"/>
          <w:lang w:eastAsia="en-AU"/>
        </w:rPr>
        <w:t xml:space="preserve">the </w:t>
      </w:r>
      <w:r w:rsidRPr="000515B6">
        <w:rPr>
          <w:rFonts w:ascii="Times New Roman" w:eastAsia="Times New Roman" w:hAnsi="Times New Roman" w:cs="Times New Roman"/>
          <w:sz w:val="24"/>
          <w:lang w:eastAsia="en-AU"/>
        </w:rPr>
        <w:t>ASR 1995</w:t>
      </w:r>
      <w:r w:rsidRPr="00BD0E0F">
        <w:rPr>
          <w:rFonts w:ascii="Times New Roman" w:eastAsia="Times New Roman" w:hAnsi="Times New Roman" w:cs="Times New Roman"/>
          <w:sz w:val="24"/>
          <w:lang w:eastAsia="en-AU"/>
        </w:rPr>
        <w:t xml:space="preserve"> with </w:t>
      </w:r>
      <w:r>
        <w:rPr>
          <w:rFonts w:ascii="Times New Roman" w:eastAsia="Times New Roman" w:hAnsi="Times New Roman" w:cs="Times New Roman"/>
          <w:sz w:val="24"/>
          <w:lang w:eastAsia="en-AU"/>
        </w:rPr>
        <w:t>the equivalent provisions</w:t>
      </w:r>
      <w:r w:rsidRPr="00BD0E0F">
        <w:rPr>
          <w:rFonts w:ascii="Times New Roman" w:eastAsia="Times New Roman" w:hAnsi="Times New Roman" w:cs="Times New Roman"/>
          <w:sz w:val="24"/>
          <w:lang w:eastAsia="en-AU"/>
        </w:rPr>
        <w:t xml:space="preserve"> of the </w:t>
      </w:r>
      <w:r w:rsidRPr="000515B6">
        <w:rPr>
          <w:rFonts w:ascii="Times New Roman" w:eastAsia="Times New Roman" w:hAnsi="Times New Roman" w:cs="Times New Roman"/>
          <w:sz w:val="24"/>
          <w:lang w:eastAsia="en-AU"/>
        </w:rPr>
        <w:t>ASR 2019</w:t>
      </w:r>
      <w:r w:rsidRPr="00BD0E0F">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This maintains the scope of the existing exemption from disallowance</w:t>
      </w:r>
      <w:r w:rsidRPr="00BD0E0F">
        <w:rPr>
          <w:rFonts w:ascii="Times New Roman" w:eastAsia="Times New Roman" w:hAnsi="Times New Roman" w:cs="Times New Roman"/>
          <w:sz w:val="24"/>
          <w:lang w:eastAsia="en-AU"/>
        </w:rPr>
        <w:t xml:space="preserve">. </w:t>
      </w:r>
    </w:p>
    <w:p w14:paraId="70F115F5" w14:textId="2C558195" w:rsidR="008A5DF1" w:rsidRPr="00D15E3C" w:rsidRDefault="00F63244" w:rsidP="008A5DF1">
      <w:pPr>
        <w:spacing w:before="80" w:after="80" w:line="240" w:lineRule="auto"/>
        <w:rPr>
          <w:rFonts w:ascii="Times New Roman" w:hAnsi="Times New Roman" w:cs="Times New Roman"/>
          <w:spacing w:val="-2"/>
          <w:sz w:val="24"/>
          <w:szCs w:val="24"/>
          <w:u w:val="single"/>
        </w:rPr>
      </w:pPr>
      <w:r w:rsidRPr="00D15E3C">
        <w:rPr>
          <w:rFonts w:ascii="Times New Roman" w:hAnsi="Times New Roman" w:cs="Times New Roman"/>
          <w:spacing w:val="-2"/>
          <w:sz w:val="24"/>
          <w:szCs w:val="24"/>
          <w:u w:val="single"/>
        </w:rPr>
        <w:lastRenderedPageBreak/>
        <w:t xml:space="preserve">ASIO Act </w:t>
      </w:r>
      <w:bookmarkStart w:id="0" w:name="_GoBack"/>
      <w:bookmarkEnd w:id="0"/>
    </w:p>
    <w:p w14:paraId="4E3A8121" w14:textId="1DC2C809" w:rsidR="00E524D9" w:rsidRDefault="00E524D9" w:rsidP="008A5DF1">
      <w:pPr>
        <w:spacing w:before="80" w:after="80"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The Amendment Regulations provide an exemption from sunsetting for a statement of procedures made under section 34 AF of the ASIO Act. Section 34 AF of the ASIO Act replicates section 34C of the Act which was exempt from sunsetting under the Prinicpal Regulation. </w:t>
      </w:r>
    </w:p>
    <w:p w14:paraId="3578AF32" w14:textId="77777777" w:rsidR="00E524D9" w:rsidRDefault="00E524D9" w:rsidP="00D15E3C">
      <w:pPr>
        <w:spacing w:after="0" w:line="240" w:lineRule="auto"/>
        <w:rPr>
          <w:rFonts w:ascii="Times New Roman" w:hAnsi="Times New Roman" w:cs="Times New Roman"/>
          <w:spacing w:val="-2"/>
          <w:sz w:val="24"/>
          <w:szCs w:val="24"/>
        </w:rPr>
      </w:pPr>
    </w:p>
    <w:p w14:paraId="6BE44F10" w14:textId="5172A373" w:rsidR="008A5DF1" w:rsidRPr="008A5DF1" w:rsidRDefault="008A5DF1" w:rsidP="008A5DF1">
      <w:pPr>
        <w:spacing w:before="80" w:after="80" w:line="240" w:lineRule="auto"/>
        <w:rPr>
          <w:rFonts w:ascii="Times New Roman" w:hAnsi="Times New Roman" w:cs="Times New Roman"/>
          <w:spacing w:val="-2"/>
          <w:sz w:val="24"/>
          <w:szCs w:val="24"/>
        </w:rPr>
      </w:pPr>
      <w:r w:rsidRPr="008A5DF1">
        <w:rPr>
          <w:rFonts w:ascii="Times New Roman" w:hAnsi="Times New Roman" w:cs="Times New Roman"/>
          <w:spacing w:val="-2"/>
          <w:sz w:val="24"/>
          <w:szCs w:val="24"/>
        </w:rPr>
        <w:t>On its own, the exemption</w:t>
      </w:r>
      <w:r w:rsidR="00F63244">
        <w:rPr>
          <w:rFonts w:ascii="Times New Roman" w:hAnsi="Times New Roman" w:cs="Times New Roman"/>
          <w:spacing w:val="-2"/>
          <w:sz w:val="24"/>
          <w:szCs w:val="24"/>
        </w:rPr>
        <w:t xml:space="preserve"> </w:t>
      </w:r>
      <w:r w:rsidRPr="008A5DF1">
        <w:rPr>
          <w:rFonts w:ascii="Times New Roman" w:hAnsi="Times New Roman" w:cs="Times New Roman"/>
          <w:spacing w:val="-2"/>
          <w:sz w:val="24"/>
          <w:szCs w:val="24"/>
        </w:rPr>
        <w:t xml:space="preserve">from sunsetting </w:t>
      </w:r>
      <w:r w:rsidR="00F63244">
        <w:rPr>
          <w:rFonts w:ascii="Times New Roman" w:hAnsi="Times New Roman" w:cs="Times New Roman"/>
          <w:spacing w:val="-2"/>
          <w:sz w:val="24"/>
          <w:szCs w:val="24"/>
        </w:rPr>
        <w:t xml:space="preserve">for a statement of procedures under section 34 AF of the ASIO Act </w:t>
      </w:r>
      <w:r w:rsidRPr="008A5DF1">
        <w:rPr>
          <w:rFonts w:ascii="Times New Roman" w:hAnsi="Times New Roman" w:cs="Times New Roman"/>
          <w:spacing w:val="-2"/>
          <w:sz w:val="24"/>
          <w:szCs w:val="24"/>
        </w:rPr>
        <w:t>will not raise human rights issues. If human rights implications arise by reason of subsequent revision to the statement of procedures, or by reason of the operation of</w:t>
      </w:r>
      <w:r w:rsidR="00DF617F">
        <w:rPr>
          <w:rFonts w:ascii="Times New Roman" w:hAnsi="Times New Roman" w:cs="Times New Roman"/>
          <w:spacing w:val="-2"/>
          <w:sz w:val="24"/>
          <w:szCs w:val="24"/>
        </w:rPr>
        <w:t>,</w:t>
      </w:r>
      <w:r w:rsidRPr="008A5DF1">
        <w:rPr>
          <w:rFonts w:ascii="Times New Roman" w:hAnsi="Times New Roman" w:cs="Times New Roman"/>
          <w:spacing w:val="-2"/>
          <w:sz w:val="24"/>
          <w:szCs w:val="24"/>
        </w:rPr>
        <w:t xml:space="preserve"> or revision to</w:t>
      </w:r>
      <w:r w:rsidR="00DF617F">
        <w:rPr>
          <w:rFonts w:ascii="Times New Roman" w:hAnsi="Times New Roman" w:cs="Times New Roman"/>
          <w:spacing w:val="-2"/>
          <w:sz w:val="24"/>
          <w:szCs w:val="24"/>
        </w:rPr>
        <w:t>,</w:t>
      </w:r>
      <w:r w:rsidRPr="008A5DF1">
        <w:rPr>
          <w:rFonts w:ascii="Times New Roman" w:hAnsi="Times New Roman" w:cs="Times New Roman"/>
          <w:spacing w:val="-2"/>
          <w:sz w:val="24"/>
          <w:szCs w:val="24"/>
        </w:rPr>
        <w:t xml:space="preserve"> legislation that relies on the statement of procedures, those implications will be addressed through a </w:t>
      </w:r>
      <w:r w:rsidRPr="008A5DF1">
        <w:rPr>
          <w:rFonts w:ascii="Times New Roman" w:hAnsi="Times New Roman" w:cs="Times New Roman"/>
          <w:sz w:val="24"/>
          <w:szCs w:val="24"/>
        </w:rPr>
        <w:t xml:space="preserve">review process that is equivalent to the sunsetting regime </w:t>
      </w:r>
      <w:r w:rsidRPr="008A5DF1">
        <w:rPr>
          <w:rFonts w:ascii="Times New Roman" w:hAnsi="Times New Roman" w:cs="Times New Roman"/>
          <w:spacing w:val="-2"/>
          <w:sz w:val="24"/>
          <w:szCs w:val="24"/>
        </w:rPr>
        <w:t xml:space="preserve">(for the statement of procedures) or the applicable legislative review processes and parliamentary scrutiny processes (for any relevant legislation). </w:t>
      </w:r>
    </w:p>
    <w:p w14:paraId="76A719C7" w14:textId="77777777" w:rsidR="00E524D9" w:rsidRDefault="00E524D9" w:rsidP="008A5DF1">
      <w:pPr>
        <w:spacing w:before="80" w:after="80" w:line="240" w:lineRule="auto"/>
        <w:rPr>
          <w:rFonts w:ascii="Times New Roman" w:hAnsi="Times New Roman" w:cs="Times New Roman"/>
          <w:sz w:val="24"/>
          <w:szCs w:val="24"/>
        </w:rPr>
      </w:pPr>
    </w:p>
    <w:p w14:paraId="2F1556CD" w14:textId="40FFA569" w:rsidR="004C075C" w:rsidRDefault="008A5DF1" w:rsidP="00D15E3C">
      <w:pPr>
        <w:spacing w:after="0" w:line="240" w:lineRule="auto"/>
        <w:rPr>
          <w:rFonts w:ascii="Times New Roman" w:hAnsi="Times New Roman" w:cs="Times New Roman"/>
          <w:sz w:val="24"/>
          <w:szCs w:val="24"/>
        </w:rPr>
      </w:pPr>
      <w:r w:rsidRPr="008A5DF1">
        <w:rPr>
          <w:rFonts w:ascii="Times New Roman" w:hAnsi="Times New Roman" w:cs="Times New Roman"/>
          <w:sz w:val="24"/>
          <w:szCs w:val="24"/>
        </w:rPr>
        <w:t>The exemption does not alter the content of the ASIO Act or the statement of procedures. It simply ensures the statement of procedures is not automatically repealed pursuant to the sunsetting regime set out in the Legislation Act. As outlined above, the statement of procedures is subject to a statutory review process that is equivalent to the sunsetting regime set out in the Legislation Act.</w:t>
      </w:r>
      <w:r w:rsidR="00F63244">
        <w:rPr>
          <w:rFonts w:ascii="Times New Roman" w:hAnsi="Times New Roman" w:cs="Times New Roman"/>
          <w:sz w:val="24"/>
          <w:szCs w:val="24"/>
        </w:rPr>
        <w:t xml:space="preserve"> </w:t>
      </w:r>
    </w:p>
    <w:p w14:paraId="5F3CCDEC" w14:textId="77777777" w:rsidR="00E524D9" w:rsidRDefault="00E524D9" w:rsidP="00D15E3C">
      <w:pPr>
        <w:spacing w:before="80" w:after="0" w:line="240" w:lineRule="auto"/>
        <w:rPr>
          <w:rFonts w:ascii="Times New Roman" w:hAnsi="Times New Roman" w:cs="Times New Roman"/>
          <w:sz w:val="24"/>
          <w:szCs w:val="24"/>
        </w:rPr>
      </w:pPr>
    </w:p>
    <w:p w14:paraId="3AB4C7BA" w14:textId="01C8611F" w:rsidR="00E524D9" w:rsidRPr="00D15E3C" w:rsidRDefault="00E524D9" w:rsidP="00D15E3C">
      <w:pPr>
        <w:spacing w:before="80" w:after="0" w:line="240" w:lineRule="auto"/>
        <w:rPr>
          <w:rFonts w:ascii="Times New Roman" w:eastAsia="Times New Roman" w:hAnsi="Times New Roman" w:cs="Times New Roman"/>
          <w:sz w:val="24"/>
          <w:szCs w:val="24"/>
          <w:u w:val="single"/>
          <w:lang w:eastAsia="en-AU"/>
        </w:rPr>
      </w:pPr>
      <w:r w:rsidRPr="00D15E3C">
        <w:rPr>
          <w:rFonts w:ascii="Times New Roman" w:eastAsia="Times New Roman" w:hAnsi="Times New Roman" w:cs="Times New Roman"/>
          <w:sz w:val="24"/>
          <w:szCs w:val="24"/>
          <w:u w:val="single"/>
          <w:lang w:eastAsia="en-AU"/>
        </w:rPr>
        <w:t>Road Vehicle Standards Act 2018</w:t>
      </w:r>
      <w:r w:rsidR="00B14CCA">
        <w:rPr>
          <w:rFonts w:ascii="Times New Roman" w:eastAsia="Times New Roman" w:hAnsi="Times New Roman" w:cs="Times New Roman"/>
          <w:sz w:val="24"/>
          <w:szCs w:val="24"/>
          <w:u w:val="single"/>
          <w:lang w:eastAsia="en-AU"/>
        </w:rPr>
        <w:t xml:space="preserve"> (RVS Act)</w:t>
      </w:r>
    </w:p>
    <w:p w14:paraId="17570E32" w14:textId="77777777" w:rsidR="00B14CCA" w:rsidRDefault="00B14CCA" w:rsidP="0080060F">
      <w:pPr>
        <w:spacing w:after="0" w:line="240" w:lineRule="auto"/>
        <w:ind w:right="91"/>
        <w:rPr>
          <w:rFonts w:ascii="Times New Roman" w:eastAsia="Calibri" w:hAnsi="Times New Roman" w:cs="Times New Roman"/>
          <w:sz w:val="24"/>
          <w:szCs w:val="24"/>
          <w:lang w:eastAsia="en-AU"/>
        </w:rPr>
      </w:pPr>
    </w:p>
    <w:p w14:paraId="71664976" w14:textId="03913518" w:rsidR="0080060F" w:rsidRDefault="0080060F" w:rsidP="0080060F">
      <w:pPr>
        <w:spacing w:after="0" w:line="240" w:lineRule="auto"/>
        <w:ind w:right="91"/>
        <w:rPr>
          <w:rFonts w:ascii="Times New Roman" w:eastAsia="Times New Roman" w:hAnsi="Times New Roman" w:cs="Times New Roman"/>
          <w:sz w:val="24"/>
          <w:lang w:eastAsia="en-AU"/>
        </w:rPr>
      </w:pPr>
      <w:r>
        <w:rPr>
          <w:rFonts w:ascii="Times New Roman" w:eastAsia="Calibri" w:hAnsi="Times New Roman" w:cs="Times New Roman"/>
          <w:sz w:val="24"/>
          <w:szCs w:val="24"/>
          <w:lang w:eastAsia="en-AU"/>
        </w:rPr>
        <w:t xml:space="preserve">The Amendment Regulations provide an exemption from sunsetting for </w:t>
      </w:r>
      <w:r w:rsidR="00835821">
        <w:rPr>
          <w:rFonts w:ascii="Times New Roman" w:eastAsia="Calibri" w:hAnsi="Times New Roman" w:cs="Times New Roman"/>
          <w:sz w:val="24"/>
          <w:szCs w:val="24"/>
          <w:lang w:eastAsia="en-AU"/>
        </w:rPr>
        <w:t xml:space="preserve">national </w:t>
      </w:r>
      <w:r>
        <w:rPr>
          <w:rFonts w:ascii="Times New Roman" w:eastAsia="Calibri" w:hAnsi="Times New Roman" w:cs="Times New Roman"/>
          <w:sz w:val="24"/>
          <w:szCs w:val="24"/>
          <w:lang w:eastAsia="en-AU"/>
        </w:rPr>
        <w:t xml:space="preserve">road vehicle standards made under the RVS Act. </w:t>
      </w:r>
      <w:r w:rsidR="00835821">
        <w:rPr>
          <w:rFonts w:ascii="Times New Roman" w:eastAsia="Calibri" w:hAnsi="Times New Roman" w:cs="Times New Roman"/>
          <w:sz w:val="24"/>
          <w:szCs w:val="24"/>
          <w:lang w:eastAsia="en-AU"/>
        </w:rPr>
        <w:t xml:space="preserve">The Principal Regulation provided an exemption from sunsetting for national road vehicle standards made under </w:t>
      </w:r>
      <w:r w:rsidR="00835821" w:rsidRPr="00D15E3C">
        <w:rPr>
          <w:rFonts w:ascii="Times New Roman" w:eastAsia="Calibri" w:hAnsi="Times New Roman" w:cs="Times New Roman"/>
          <w:i/>
          <w:sz w:val="24"/>
          <w:szCs w:val="24"/>
          <w:lang w:eastAsia="en-AU"/>
        </w:rPr>
        <w:t xml:space="preserve">the Motor Vehicle Standards Act 1989 </w:t>
      </w:r>
      <w:r w:rsidR="00835821">
        <w:rPr>
          <w:rFonts w:ascii="Times New Roman" w:eastAsia="Calibri" w:hAnsi="Times New Roman" w:cs="Times New Roman"/>
          <w:sz w:val="24"/>
          <w:szCs w:val="24"/>
          <w:lang w:eastAsia="en-AU"/>
        </w:rPr>
        <w:t xml:space="preserve">(MVS Act). The RVS Act will replace the MVS Act on 1 July 2021. </w:t>
      </w:r>
      <w:r>
        <w:rPr>
          <w:rFonts w:ascii="Times New Roman" w:eastAsia="Calibri" w:hAnsi="Times New Roman" w:cs="Times New Roman"/>
          <w:sz w:val="24"/>
          <w:szCs w:val="24"/>
          <w:lang w:eastAsia="en-AU"/>
        </w:rPr>
        <w:t xml:space="preserve">The </w:t>
      </w:r>
      <w:r w:rsidRPr="00BD0E0F">
        <w:rPr>
          <w:rFonts w:ascii="Times New Roman" w:eastAsia="Times New Roman" w:hAnsi="Times New Roman" w:cs="Times New Roman"/>
          <w:sz w:val="24"/>
          <w:lang w:eastAsia="en-AU"/>
        </w:rPr>
        <w:t xml:space="preserve">exemption </w:t>
      </w:r>
      <w:r w:rsidR="00835821">
        <w:rPr>
          <w:rFonts w:ascii="Times New Roman" w:eastAsia="Times New Roman" w:hAnsi="Times New Roman" w:cs="Times New Roman"/>
          <w:sz w:val="24"/>
          <w:lang w:eastAsia="en-AU"/>
        </w:rPr>
        <w:t xml:space="preserve">from sunsetting maintains the existing exemption for road vehicle standards and is </w:t>
      </w:r>
      <w:r>
        <w:rPr>
          <w:rFonts w:ascii="Times New Roman" w:eastAsia="Times New Roman" w:hAnsi="Times New Roman" w:cs="Times New Roman"/>
          <w:sz w:val="24"/>
          <w:lang w:eastAsia="en-AU"/>
        </w:rPr>
        <w:t>appropriate</w:t>
      </w:r>
      <w:r w:rsidRPr="00BD0E0F">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as</w:t>
      </w:r>
      <w:r w:rsidRPr="00BD0E0F">
        <w:rPr>
          <w:rFonts w:ascii="Times New Roman" w:eastAsia="Times New Roman" w:hAnsi="Times New Roman" w:cs="Times New Roman"/>
          <w:sz w:val="24"/>
          <w:lang w:eastAsia="en-AU"/>
        </w:rPr>
        <w:t xml:space="preserve"> the instruments form part of an intergovernmental scheme</w:t>
      </w:r>
      <w:r>
        <w:rPr>
          <w:rFonts w:ascii="Times New Roman" w:eastAsia="Times New Roman" w:hAnsi="Times New Roman" w:cs="Times New Roman"/>
          <w:sz w:val="24"/>
          <w:lang w:eastAsia="en-AU"/>
        </w:rPr>
        <w:t xml:space="preserve"> </w:t>
      </w:r>
      <w:r w:rsidRPr="00BD0E0F">
        <w:rPr>
          <w:rFonts w:ascii="Times New Roman" w:eastAsia="Times New Roman" w:hAnsi="Times New Roman" w:cs="Times New Roman"/>
          <w:sz w:val="24"/>
          <w:lang w:eastAsia="en-AU"/>
        </w:rPr>
        <w:t>and they provide commercial certainty due to the fact that they remain relevant for the life of the vehicle</w:t>
      </w:r>
      <w:r>
        <w:rPr>
          <w:rFonts w:ascii="Times New Roman" w:eastAsia="Times New Roman" w:hAnsi="Times New Roman" w:cs="Times New Roman"/>
          <w:sz w:val="24"/>
          <w:lang w:eastAsia="en-AU"/>
        </w:rPr>
        <w:t xml:space="preserve">. </w:t>
      </w:r>
    </w:p>
    <w:p w14:paraId="1F574106" w14:textId="77777777" w:rsidR="0080060F" w:rsidRDefault="0080060F" w:rsidP="00D15E3C">
      <w:pPr>
        <w:spacing w:after="80" w:line="240" w:lineRule="auto"/>
        <w:rPr>
          <w:rFonts w:ascii="Times New Roman" w:hAnsi="Times New Roman" w:cs="Times New Roman"/>
          <w:sz w:val="24"/>
          <w:szCs w:val="24"/>
        </w:rPr>
      </w:pPr>
    </w:p>
    <w:p w14:paraId="516CE948" w14:textId="77777777" w:rsidR="00354A2D" w:rsidRDefault="00354A2D" w:rsidP="00D15E3C">
      <w:pPr>
        <w:spacing w:after="0" w:line="360" w:lineRule="auto"/>
        <w:rPr>
          <w:rFonts w:ascii="Times New Roman" w:hAnsi="Times New Roman" w:cs="Times New Roman"/>
          <w:b/>
          <w:sz w:val="24"/>
          <w:szCs w:val="24"/>
        </w:rPr>
      </w:pPr>
      <w:r w:rsidRPr="006A5E4B">
        <w:rPr>
          <w:rFonts w:ascii="Times New Roman" w:hAnsi="Times New Roman" w:cs="Times New Roman"/>
          <w:b/>
          <w:sz w:val="24"/>
          <w:szCs w:val="24"/>
        </w:rPr>
        <w:t xml:space="preserve">Conclusion </w:t>
      </w:r>
    </w:p>
    <w:p w14:paraId="634091A3" w14:textId="3D980331" w:rsidR="00E524D9" w:rsidRPr="006A5E4B" w:rsidRDefault="00D27A56" w:rsidP="00D15E3C">
      <w:pPr>
        <w:spacing w:after="80" w:line="240" w:lineRule="auto"/>
        <w:rPr>
          <w:rFonts w:ascii="Times New Roman" w:hAnsi="Times New Roman" w:cs="Times New Roman"/>
          <w:b/>
          <w:sz w:val="24"/>
          <w:szCs w:val="24"/>
        </w:rPr>
      </w:pPr>
      <w:r w:rsidRPr="008A5DF1">
        <w:rPr>
          <w:rFonts w:ascii="Times New Roman" w:hAnsi="Times New Roman" w:cs="Times New Roman"/>
          <w:sz w:val="24"/>
          <w:szCs w:val="24"/>
        </w:rPr>
        <w:t>As such, th</w:t>
      </w:r>
      <w:r>
        <w:rPr>
          <w:rFonts w:ascii="Times New Roman" w:hAnsi="Times New Roman" w:cs="Times New Roman"/>
          <w:sz w:val="24"/>
          <w:szCs w:val="24"/>
        </w:rPr>
        <w:t>e</w:t>
      </w:r>
      <w:r w:rsidRPr="008A5DF1">
        <w:rPr>
          <w:rFonts w:ascii="Times New Roman" w:hAnsi="Times New Roman" w:cs="Times New Roman"/>
          <w:sz w:val="24"/>
          <w:szCs w:val="24"/>
        </w:rPr>
        <w:t xml:space="preserve"> exemption</w:t>
      </w:r>
      <w:r>
        <w:rPr>
          <w:rFonts w:ascii="Times New Roman" w:hAnsi="Times New Roman" w:cs="Times New Roman"/>
          <w:sz w:val="24"/>
          <w:szCs w:val="24"/>
        </w:rPr>
        <w:t>s</w:t>
      </w:r>
      <w:r w:rsidRPr="008A5DF1">
        <w:rPr>
          <w:rFonts w:ascii="Times New Roman" w:hAnsi="Times New Roman" w:cs="Times New Roman"/>
          <w:sz w:val="24"/>
          <w:szCs w:val="24"/>
        </w:rPr>
        <w:t xml:space="preserve"> </w:t>
      </w:r>
      <w:r>
        <w:rPr>
          <w:rFonts w:ascii="Times New Roman" w:hAnsi="Times New Roman" w:cs="Times New Roman"/>
          <w:sz w:val="24"/>
          <w:szCs w:val="24"/>
        </w:rPr>
        <w:t xml:space="preserve">from disallowance and sunsetting do not alter the content of the laws to which those exemptions apply. The exemptions preserve those laws and the sunsetting exemptions ensure the relevant instruments are not automatically repealed pursuant to the sunsetting regime set out in the Legislation Act. </w:t>
      </w:r>
    </w:p>
    <w:p w14:paraId="5DBFBA0A" w14:textId="77777777" w:rsidR="00D27A56" w:rsidRDefault="00D27A56" w:rsidP="00C425E1">
      <w:pPr>
        <w:keepNext/>
        <w:spacing w:after="0" w:line="240" w:lineRule="auto"/>
        <w:ind w:right="748"/>
        <w:rPr>
          <w:rFonts w:ascii="Times New Roman" w:eastAsia="Times New Roman" w:hAnsi="Times New Roman" w:cs="Times New Roman"/>
          <w:sz w:val="24"/>
          <w:lang w:eastAsia="en-AU"/>
        </w:rPr>
      </w:pPr>
    </w:p>
    <w:p w14:paraId="144D9189" w14:textId="140B39E9" w:rsidR="001C64C1" w:rsidRPr="00C425E1" w:rsidRDefault="00354A2D" w:rsidP="00C425E1">
      <w:pPr>
        <w:keepNext/>
        <w:spacing w:after="0" w:line="240" w:lineRule="auto"/>
        <w:ind w:right="748"/>
        <w:rPr>
          <w:rFonts w:ascii="Times New Roman" w:eastAsia="Times New Roman" w:hAnsi="Times New Roman" w:cs="Times New Roman"/>
          <w:sz w:val="24"/>
          <w:lang w:eastAsia="en-AU"/>
        </w:rPr>
      </w:pPr>
      <w:r w:rsidRPr="00B25414">
        <w:rPr>
          <w:rFonts w:ascii="Times New Roman" w:eastAsia="Times New Roman" w:hAnsi="Times New Roman" w:cs="Times New Roman"/>
          <w:sz w:val="24"/>
          <w:lang w:eastAsia="en-AU"/>
        </w:rPr>
        <w:t xml:space="preserve">The </w:t>
      </w:r>
      <w:r w:rsidR="006B56F1" w:rsidRPr="00B25414">
        <w:rPr>
          <w:rFonts w:ascii="Times New Roman" w:eastAsia="Times New Roman" w:hAnsi="Times New Roman" w:cs="Times New Roman"/>
          <w:sz w:val="24"/>
          <w:lang w:eastAsia="en-AU"/>
        </w:rPr>
        <w:t>Regulations</w:t>
      </w:r>
      <w:r w:rsidRPr="00B25414">
        <w:rPr>
          <w:rFonts w:ascii="Times New Roman" w:eastAsia="Times New Roman" w:hAnsi="Times New Roman" w:cs="Times New Roman"/>
          <w:sz w:val="24"/>
          <w:lang w:eastAsia="en-AU"/>
        </w:rPr>
        <w:t xml:space="preserve"> </w:t>
      </w:r>
      <w:r w:rsidR="006B56F1" w:rsidRPr="00B25414">
        <w:rPr>
          <w:rFonts w:ascii="Times New Roman" w:eastAsia="Times New Roman" w:hAnsi="Times New Roman" w:cs="Times New Roman"/>
          <w:sz w:val="24"/>
          <w:lang w:eastAsia="en-AU"/>
        </w:rPr>
        <w:t>are</w:t>
      </w:r>
      <w:r w:rsidRPr="00B25414">
        <w:rPr>
          <w:rFonts w:ascii="Times New Roman" w:eastAsia="Times New Roman" w:hAnsi="Times New Roman" w:cs="Times New Roman"/>
          <w:sz w:val="24"/>
          <w:lang w:eastAsia="en-AU"/>
        </w:rPr>
        <w:t xml:space="preserve"> compatible with human rights </w:t>
      </w:r>
      <w:r w:rsidRPr="00967B7A">
        <w:rPr>
          <w:rFonts w:ascii="Times New Roman" w:eastAsia="Times New Roman" w:hAnsi="Times New Roman" w:cs="Times New Roman"/>
          <w:sz w:val="24"/>
          <w:lang w:eastAsia="en-AU"/>
        </w:rPr>
        <w:t xml:space="preserve">because </w:t>
      </w:r>
      <w:r w:rsidR="00270128" w:rsidRPr="00967B7A">
        <w:rPr>
          <w:rFonts w:ascii="Times New Roman" w:eastAsia="Times New Roman" w:hAnsi="Times New Roman" w:cs="Times New Roman"/>
          <w:sz w:val="24"/>
          <w:lang w:eastAsia="en-AU"/>
        </w:rPr>
        <w:t>the exemptions from disallowance and sunsetting do not engage any of the rights or freedoms</w:t>
      </w:r>
      <w:r w:rsidR="00270128">
        <w:rPr>
          <w:rFonts w:ascii="Times New Roman" w:eastAsia="Times New Roman" w:hAnsi="Times New Roman" w:cs="Times New Roman"/>
          <w:sz w:val="24"/>
          <w:lang w:eastAsia="en-AU"/>
        </w:rPr>
        <w:t xml:space="preserve"> recognised or declared </w:t>
      </w:r>
      <w:r w:rsidR="00270128" w:rsidRPr="008A5DF1">
        <w:rPr>
          <w:rFonts w:ascii="Times New Roman" w:hAnsi="Times New Roman" w:cs="Times New Roman"/>
          <w:sz w:val="24"/>
          <w:szCs w:val="24"/>
        </w:rPr>
        <w:t xml:space="preserve">in the international instruments listed in section 3 of the </w:t>
      </w:r>
      <w:r w:rsidR="00270128" w:rsidRPr="008A5DF1">
        <w:rPr>
          <w:rFonts w:ascii="Times New Roman" w:hAnsi="Times New Roman" w:cs="Times New Roman"/>
          <w:i/>
          <w:sz w:val="24"/>
          <w:szCs w:val="24"/>
        </w:rPr>
        <w:t>Human Rights (Parliamentary Scrutiny) Act 2011</w:t>
      </w:r>
      <w:r w:rsidR="00A203ED">
        <w:rPr>
          <w:rFonts w:ascii="Times New Roman" w:hAnsi="Times New Roman" w:cs="Times New Roman"/>
          <w:sz w:val="24"/>
          <w:szCs w:val="24"/>
        </w:rPr>
        <w:t xml:space="preserve">. </w:t>
      </w:r>
    </w:p>
    <w:p w14:paraId="09BFDCEB" w14:textId="77777777" w:rsidR="009B6322" w:rsidRPr="006A5E4B" w:rsidRDefault="009B6322">
      <w:pPr>
        <w:rPr>
          <w:rFonts w:ascii="Times New Roman" w:hAnsi="Times New Roman" w:cs="Times New Roman"/>
          <w:color w:val="FF0000"/>
          <w:sz w:val="24"/>
          <w:szCs w:val="24"/>
        </w:rPr>
      </w:pPr>
      <w:r w:rsidRPr="006A5E4B">
        <w:rPr>
          <w:rFonts w:ascii="Times New Roman" w:hAnsi="Times New Roman" w:cs="Times New Roman"/>
          <w:color w:val="FF0000"/>
          <w:sz w:val="24"/>
          <w:szCs w:val="24"/>
        </w:rPr>
        <w:br w:type="page"/>
      </w:r>
    </w:p>
    <w:p w14:paraId="121F2E18" w14:textId="77777777" w:rsidR="009C0BE2" w:rsidRPr="00376163" w:rsidRDefault="009C0BE2" w:rsidP="009C0BE2">
      <w:pPr>
        <w:spacing w:line="360" w:lineRule="auto"/>
        <w:jc w:val="right"/>
        <w:rPr>
          <w:rFonts w:ascii="Times New Roman" w:hAnsi="Times New Roman" w:cs="Times New Roman"/>
          <w:b/>
          <w:sz w:val="24"/>
          <w:szCs w:val="24"/>
        </w:rPr>
      </w:pPr>
      <w:r w:rsidRPr="00376163">
        <w:rPr>
          <w:rFonts w:ascii="Times New Roman" w:hAnsi="Times New Roman" w:cs="Times New Roman"/>
          <w:b/>
          <w:sz w:val="24"/>
          <w:szCs w:val="24"/>
        </w:rPr>
        <w:lastRenderedPageBreak/>
        <w:t>Attachment A</w:t>
      </w:r>
    </w:p>
    <w:p w14:paraId="01EB1897" w14:textId="331B14E0" w:rsidR="00BC6D47" w:rsidRPr="00376163" w:rsidRDefault="00BC6D47" w:rsidP="00043840">
      <w:pPr>
        <w:spacing w:line="360" w:lineRule="auto"/>
        <w:rPr>
          <w:rFonts w:ascii="Times New Roman" w:hAnsi="Times New Roman" w:cs="Times New Roman"/>
          <w:b/>
          <w:caps/>
          <w:sz w:val="24"/>
          <w:szCs w:val="24"/>
        </w:rPr>
      </w:pPr>
      <w:r w:rsidRPr="00376163">
        <w:rPr>
          <w:rFonts w:ascii="Times New Roman" w:hAnsi="Times New Roman" w:cs="Times New Roman"/>
          <w:b/>
          <w:caps/>
          <w:sz w:val="24"/>
          <w:szCs w:val="24"/>
        </w:rPr>
        <w:t>NOTES ON SECTIONS</w:t>
      </w:r>
    </w:p>
    <w:p w14:paraId="7E877529" w14:textId="139167E0" w:rsidR="00043840" w:rsidRPr="008B54CC" w:rsidRDefault="006310BD" w:rsidP="00043840">
      <w:pPr>
        <w:spacing w:line="360" w:lineRule="auto"/>
        <w:rPr>
          <w:rFonts w:ascii="Times New Roman" w:hAnsi="Times New Roman" w:cs="Times New Roman"/>
          <w:b/>
          <w:sz w:val="24"/>
          <w:szCs w:val="24"/>
          <w:u w:val="single"/>
        </w:rPr>
      </w:pPr>
      <w:r w:rsidRPr="008B54CC">
        <w:rPr>
          <w:rFonts w:ascii="Times New Roman" w:hAnsi="Times New Roman" w:cs="Times New Roman"/>
          <w:b/>
          <w:sz w:val="24"/>
          <w:szCs w:val="24"/>
          <w:u w:val="single"/>
        </w:rPr>
        <w:t xml:space="preserve">Details of the </w:t>
      </w:r>
      <w:r w:rsidR="000F62D7">
        <w:rPr>
          <w:rFonts w:ascii="Times New Roman" w:hAnsi="Times New Roman" w:cs="Times New Roman"/>
          <w:b/>
          <w:i/>
          <w:sz w:val="24"/>
          <w:szCs w:val="24"/>
          <w:u w:val="single"/>
        </w:rPr>
        <w:t>Legislation (Exemptions and Other Matters) Amendment (2021 Measures No. 1)</w:t>
      </w:r>
      <w:r w:rsidRPr="008B54CC">
        <w:rPr>
          <w:rFonts w:ascii="Times New Roman" w:hAnsi="Times New Roman" w:cs="Times New Roman"/>
          <w:b/>
          <w:i/>
          <w:sz w:val="24"/>
          <w:szCs w:val="24"/>
          <w:u w:val="single"/>
        </w:rPr>
        <w:t xml:space="preserve"> Regulations 202</w:t>
      </w:r>
      <w:r w:rsidR="000F62D7">
        <w:rPr>
          <w:rFonts w:ascii="Times New Roman" w:hAnsi="Times New Roman" w:cs="Times New Roman"/>
          <w:b/>
          <w:i/>
          <w:sz w:val="24"/>
          <w:szCs w:val="24"/>
          <w:u w:val="single"/>
        </w:rPr>
        <w:t>1</w:t>
      </w:r>
      <w:r w:rsidR="00C16B35" w:rsidRPr="008B54CC">
        <w:rPr>
          <w:rFonts w:ascii="Times New Roman" w:hAnsi="Times New Roman" w:cs="Times New Roman"/>
          <w:b/>
          <w:sz w:val="24"/>
          <w:szCs w:val="24"/>
          <w:u w:val="single"/>
        </w:rPr>
        <w:t xml:space="preserve"> </w:t>
      </w:r>
    </w:p>
    <w:p w14:paraId="0032D546" w14:textId="77777777" w:rsidR="00043840" w:rsidRPr="008B54CC" w:rsidRDefault="00C16B35" w:rsidP="002F4CC7">
      <w:pPr>
        <w:spacing w:line="240" w:lineRule="auto"/>
        <w:rPr>
          <w:rFonts w:ascii="Times New Roman" w:hAnsi="Times New Roman" w:cs="Times New Roman"/>
          <w:b/>
          <w:sz w:val="24"/>
          <w:szCs w:val="24"/>
        </w:rPr>
      </w:pPr>
      <w:r w:rsidRPr="008B54CC">
        <w:rPr>
          <w:rFonts w:ascii="Times New Roman" w:hAnsi="Times New Roman" w:cs="Times New Roman"/>
          <w:b/>
          <w:sz w:val="24"/>
          <w:szCs w:val="24"/>
        </w:rPr>
        <w:t>Section 1 – Name</w:t>
      </w:r>
    </w:p>
    <w:p w14:paraId="4AB22170" w14:textId="5529B7F2" w:rsidR="00043840" w:rsidRPr="000F62D7" w:rsidRDefault="00A25DB3" w:rsidP="002F4CC7">
      <w:pPr>
        <w:spacing w:line="240" w:lineRule="auto"/>
        <w:rPr>
          <w:rFonts w:ascii="Times New Roman" w:hAnsi="Times New Roman" w:cs="Times New Roman"/>
          <w:sz w:val="24"/>
          <w:szCs w:val="24"/>
        </w:rPr>
      </w:pPr>
      <w:r>
        <w:rPr>
          <w:rFonts w:ascii="Times New Roman" w:hAnsi="Times New Roman" w:cs="Times New Roman"/>
          <w:sz w:val="24"/>
          <w:szCs w:val="24"/>
        </w:rPr>
        <w:t>This s</w:t>
      </w:r>
      <w:r w:rsidR="00C16B35" w:rsidRPr="008B54CC">
        <w:rPr>
          <w:rFonts w:ascii="Times New Roman" w:hAnsi="Times New Roman" w:cs="Times New Roman"/>
          <w:sz w:val="24"/>
          <w:szCs w:val="24"/>
        </w:rPr>
        <w:t xml:space="preserve">ection provides that the title of the </w:t>
      </w:r>
      <w:r w:rsidR="00411CA5">
        <w:rPr>
          <w:rFonts w:ascii="Times New Roman" w:hAnsi="Times New Roman" w:cs="Times New Roman"/>
          <w:sz w:val="24"/>
          <w:szCs w:val="24"/>
        </w:rPr>
        <w:t>Regulations</w:t>
      </w:r>
      <w:r w:rsidR="00C16B35" w:rsidRPr="008B54CC">
        <w:rPr>
          <w:rFonts w:ascii="Times New Roman" w:hAnsi="Times New Roman" w:cs="Times New Roman"/>
          <w:sz w:val="24"/>
          <w:szCs w:val="24"/>
        </w:rPr>
        <w:t xml:space="preserve"> is the </w:t>
      </w:r>
      <w:r w:rsidR="000F62D7" w:rsidRPr="000F62D7">
        <w:rPr>
          <w:rFonts w:ascii="Times New Roman" w:hAnsi="Times New Roman" w:cs="Times New Roman"/>
          <w:i/>
          <w:sz w:val="24"/>
          <w:szCs w:val="24"/>
        </w:rPr>
        <w:t>Legislation (Exemptions and Other Matters) Amendment (2021 Measures No. 1) Regulations 2021</w:t>
      </w:r>
      <w:r w:rsidR="00D27A56">
        <w:rPr>
          <w:rFonts w:ascii="Times New Roman" w:hAnsi="Times New Roman" w:cs="Times New Roman"/>
          <w:i/>
          <w:sz w:val="24"/>
          <w:szCs w:val="24"/>
        </w:rPr>
        <w:t xml:space="preserve"> (</w:t>
      </w:r>
      <w:r w:rsidR="00D27A56" w:rsidRPr="00D15E3C">
        <w:rPr>
          <w:rFonts w:ascii="Times New Roman" w:hAnsi="Times New Roman" w:cs="Times New Roman"/>
          <w:sz w:val="24"/>
          <w:szCs w:val="24"/>
        </w:rPr>
        <w:t>Amendment Regulations)</w:t>
      </w:r>
      <w:r w:rsidR="000F62D7">
        <w:rPr>
          <w:rFonts w:ascii="Times New Roman" w:hAnsi="Times New Roman" w:cs="Times New Roman"/>
          <w:sz w:val="24"/>
          <w:szCs w:val="24"/>
        </w:rPr>
        <w:t>.</w:t>
      </w:r>
    </w:p>
    <w:p w14:paraId="0CF8DC30" w14:textId="77777777" w:rsidR="00043840" w:rsidRPr="008B54CC" w:rsidRDefault="00C16B35" w:rsidP="002F4CC7">
      <w:pPr>
        <w:spacing w:line="240" w:lineRule="auto"/>
        <w:rPr>
          <w:rFonts w:ascii="Times New Roman" w:hAnsi="Times New Roman" w:cs="Times New Roman"/>
          <w:b/>
          <w:sz w:val="24"/>
          <w:szCs w:val="24"/>
        </w:rPr>
      </w:pPr>
      <w:r w:rsidRPr="008B54CC">
        <w:rPr>
          <w:rFonts w:ascii="Times New Roman" w:hAnsi="Times New Roman" w:cs="Times New Roman"/>
          <w:b/>
          <w:sz w:val="24"/>
          <w:szCs w:val="24"/>
        </w:rPr>
        <w:t>Section 2 – Commencement</w:t>
      </w:r>
    </w:p>
    <w:p w14:paraId="09BFDCFC" w14:textId="7F428447" w:rsidR="00C16B35" w:rsidRPr="008B54CC" w:rsidRDefault="006310BD" w:rsidP="002F4CC7">
      <w:pPr>
        <w:spacing w:line="240" w:lineRule="auto"/>
        <w:rPr>
          <w:rFonts w:ascii="Times New Roman" w:hAnsi="Times New Roman" w:cs="Times New Roman"/>
          <w:b/>
          <w:sz w:val="24"/>
          <w:szCs w:val="24"/>
        </w:rPr>
      </w:pPr>
      <w:r w:rsidRPr="008B54CC">
        <w:rPr>
          <w:rFonts w:ascii="Times New Roman" w:hAnsi="Times New Roman" w:cs="Times New Roman"/>
          <w:sz w:val="24"/>
          <w:szCs w:val="24"/>
        </w:rPr>
        <w:t xml:space="preserve">This section provides for the </w:t>
      </w:r>
      <w:r w:rsidR="00B14CCA">
        <w:rPr>
          <w:rFonts w:ascii="Times New Roman" w:hAnsi="Times New Roman" w:cs="Times New Roman"/>
          <w:sz w:val="24"/>
          <w:szCs w:val="24"/>
        </w:rPr>
        <w:t xml:space="preserve">Amendment </w:t>
      </w:r>
      <w:r w:rsidRPr="008B54CC">
        <w:rPr>
          <w:rFonts w:ascii="Times New Roman" w:hAnsi="Times New Roman" w:cs="Times New Roman"/>
          <w:sz w:val="24"/>
          <w:szCs w:val="24"/>
        </w:rPr>
        <w:t>Regulations to commence the day after registration.</w:t>
      </w:r>
    </w:p>
    <w:p w14:paraId="5F9B456F" w14:textId="17437113" w:rsidR="006310BD" w:rsidRPr="008B54CC" w:rsidRDefault="006310BD" w:rsidP="002F4CC7">
      <w:pPr>
        <w:keepNext/>
        <w:spacing w:line="240" w:lineRule="auto"/>
        <w:rPr>
          <w:rFonts w:ascii="Times New Roman" w:hAnsi="Times New Roman" w:cs="Times New Roman"/>
          <w:b/>
          <w:sz w:val="24"/>
          <w:szCs w:val="24"/>
        </w:rPr>
      </w:pPr>
      <w:r w:rsidRPr="008B54CC">
        <w:rPr>
          <w:rFonts w:ascii="Times New Roman" w:hAnsi="Times New Roman" w:cs="Times New Roman"/>
          <w:b/>
          <w:sz w:val="24"/>
          <w:szCs w:val="24"/>
        </w:rPr>
        <w:t>Section 3 – Authority</w:t>
      </w:r>
    </w:p>
    <w:p w14:paraId="033F139B" w14:textId="35D98378" w:rsidR="006310BD" w:rsidRPr="008B54CC" w:rsidRDefault="006310BD" w:rsidP="002F4CC7">
      <w:pPr>
        <w:keepNext/>
        <w:spacing w:line="240" w:lineRule="auto"/>
        <w:rPr>
          <w:rFonts w:ascii="Times New Roman" w:hAnsi="Times New Roman" w:cs="Times New Roman"/>
          <w:sz w:val="24"/>
          <w:szCs w:val="24"/>
        </w:rPr>
      </w:pPr>
      <w:r w:rsidRPr="008B54CC">
        <w:rPr>
          <w:rFonts w:ascii="Times New Roman" w:hAnsi="Times New Roman" w:cs="Times New Roman"/>
          <w:sz w:val="24"/>
          <w:szCs w:val="24"/>
        </w:rPr>
        <w:t xml:space="preserve">This section provides that </w:t>
      </w:r>
      <w:r w:rsidRPr="00411CA5">
        <w:rPr>
          <w:rFonts w:ascii="Times New Roman" w:hAnsi="Times New Roman" w:cs="Times New Roman"/>
          <w:sz w:val="24"/>
          <w:szCs w:val="24"/>
        </w:rPr>
        <w:t>the</w:t>
      </w:r>
      <w:r w:rsidRPr="00411CA5">
        <w:rPr>
          <w:rFonts w:ascii="Times New Roman" w:hAnsi="Times New Roman" w:cs="Times New Roman"/>
          <w:b/>
          <w:sz w:val="24"/>
          <w:szCs w:val="24"/>
        </w:rPr>
        <w:t xml:space="preserve"> </w:t>
      </w:r>
      <w:r w:rsidR="00B14CCA" w:rsidRPr="00D15E3C">
        <w:rPr>
          <w:rFonts w:ascii="Times New Roman" w:hAnsi="Times New Roman" w:cs="Times New Roman"/>
          <w:sz w:val="24"/>
          <w:szCs w:val="24"/>
        </w:rPr>
        <w:t xml:space="preserve">Amendment </w:t>
      </w:r>
      <w:r w:rsidR="00411CA5" w:rsidRPr="00411CA5">
        <w:rPr>
          <w:rFonts w:ascii="Times New Roman" w:hAnsi="Times New Roman" w:cs="Times New Roman"/>
          <w:sz w:val="24"/>
          <w:szCs w:val="24"/>
        </w:rPr>
        <w:t>Regulations are</w:t>
      </w:r>
      <w:r w:rsidR="00411CA5">
        <w:rPr>
          <w:rFonts w:ascii="Times New Roman" w:hAnsi="Times New Roman" w:cs="Times New Roman"/>
          <w:i/>
          <w:sz w:val="24"/>
          <w:szCs w:val="24"/>
        </w:rPr>
        <w:t xml:space="preserve"> </w:t>
      </w:r>
      <w:r w:rsidRPr="008B54CC">
        <w:rPr>
          <w:rFonts w:ascii="Times New Roman" w:hAnsi="Times New Roman" w:cs="Times New Roman"/>
          <w:sz w:val="24"/>
          <w:szCs w:val="24"/>
        </w:rPr>
        <w:t xml:space="preserve">made under the </w:t>
      </w:r>
      <w:r w:rsidR="000F62D7">
        <w:rPr>
          <w:rFonts w:ascii="Times New Roman" w:hAnsi="Times New Roman" w:cs="Times New Roman"/>
          <w:i/>
          <w:sz w:val="24"/>
          <w:szCs w:val="24"/>
        </w:rPr>
        <w:t>Legislation Act 2003</w:t>
      </w:r>
      <w:r w:rsidRPr="008B54CC">
        <w:rPr>
          <w:rFonts w:ascii="Times New Roman" w:hAnsi="Times New Roman" w:cs="Times New Roman"/>
          <w:sz w:val="24"/>
          <w:szCs w:val="24"/>
        </w:rPr>
        <w:t>.</w:t>
      </w:r>
    </w:p>
    <w:p w14:paraId="6427ABC8" w14:textId="5EFCB9C1" w:rsidR="006310BD" w:rsidRPr="008B54CC" w:rsidRDefault="006310BD" w:rsidP="002F4CC7">
      <w:pPr>
        <w:keepNext/>
        <w:spacing w:line="240" w:lineRule="auto"/>
        <w:rPr>
          <w:rFonts w:ascii="Times New Roman" w:hAnsi="Times New Roman" w:cs="Times New Roman"/>
          <w:b/>
          <w:sz w:val="24"/>
          <w:szCs w:val="24"/>
        </w:rPr>
      </w:pPr>
      <w:r w:rsidRPr="008B54CC">
        <w:rPr>
          <w:rFonts w:ascii="Times New Roman" w:hAnsi="Times New Roman" w:cs="Times New Roman"/>
          <w:b/>
          <w:sz w:val="24"/>
          <w:szCs w:val="24"/>
        </w:rPr>
        <w:t>Section 4 – Schedules</w:t>
      </w:r>
    </w:p>
    <w:p w14:paraId="3045C098" w14:textId="74955DBE" w:rsidR="006310BD" w:rsidRPr="008B54CC" w:rsidRDefault="006310BD" w:rsidP="002F4CC7">
      <w:pPr>
        <w:keepNext/>
        <w:spacing w:line="240" w:lineRule="auto"/>
        <w:rPr>
          <w:rFonts w:ascii="Times New Roman" w:hAnsi="Times New Roman" w:cs="Times New Roman"/>
          <w:sz w:val="24"/>
          <w:szCs w:val="24"/>
        </w:rPr>
      </w:pPr>
      <w:r w:rsidRPr="008B54CC">
        <w:rPr>
          <w:rFonts w:ascii="Times New Roman" w:hAnsi="Times New Roman" w:cs="Times New Roman"/>
          <w:sz w:val="24"/>
          <w:szCs w:val="24"/>
        </w:rPr>
        <w:t xml:space="preserve">This section provides that each instrument that is specified in a Schedule to </w:t>
      </w:r>
      <w:r w:rsidR="006B56F1" w:rsidRPr="008B54CC">
        <w:rPr>
          <w:rFonts w:ascii="Times New Roman" w:hAnsi="Times New Roman" w:cs="Times New Roman"/>
          <w:sz w:val="24"/>
          <w:szCs w:val="24"/>
        </w:rPr>
        <w:t xml:space="preserve">the </w:t>
      </w:r>
      <w:r w:rsidR="00B14CCA">
        <w:rPr>
          <w:rFonts w:ascii="Times New Roman" w:hAnsi="Times New Roman" w:cs="Times New Roman"/>
          <w:sz w:val="24"/>
          <w:szCs w:val="24"/>
        </w:rPr>
        <w:t xml:space="preserve">Amendment </w:t>
      </w:r>
      <w:r w:rsidR="006B56F1" w:rsidRPr="008B54CC">
        <w:rPr>
          <w:rFonts w:ascii="Times New Roman" w:hAnsi="Times New Roman" w:cs="Times New Roman"/>
          <w:sz w:val="24"/>
          <w:szCs w:val="24"/>
        </w:rPr>
        <w:t>Regulations</w:t>
      </w:r>
      <w:r w:rsidRPr="008B54CC">
        <w:rPr>
          <w:rFonts w:ascii="Times New Roman" w:hAnsi="Times New Roman" w:cs="Times New Roman"/>
          <w:sz w:val="24"/>
          <w:szCs w:val="24"/>
        </w:rPr>
        <w:t xml:space="preserve"> is amended or repealed as set out in the applicable items in the Schedule concerned, and any other item in a Schedule to this instrument has effect according to its terms.</w:t>
      </w:r>
    </w:p>
    <w:p w14:paraId="09BFDCFD" w14:textId="11BEA013" w:rsidR="00C16B35" w:rsidRPr="008B54CC" w:rsidRDefault="00C16B35" w:rsidP="00521029">
      <w:pPr>
        <w:keepNext/>
        <w:spacing w:line="360" w:lineRule="auto"/>
        <w:rPr>
          <w:rFonts w:ascii="Times New Roman" w:hAnsi="Times New Roman" w:cs="Times New Roman"/>
          <w:b/>
          <w:sz w:val="24"/>
          <w:szCs w:val="24"/>
          <w:u w:val="single"/>
        </w:rPr>
      </w:pPr>
      <w:r w:rsidRPr="008B54CC">
        <w:rPr>
          <w:rFonts w:ascii="Times New Roman" w:hAnsi="Times New Roman" w:cs="Times New Roman"/>
          <w:b/>
          <w:sz w:val="24"/>
          <w:szCs w:val="24"/>
          <w:u w:val="single"/>
        </w:rPr>
        <w:t>S</w:t>
      </w:r>
      <w:r w:rsidR="006310BD" w:rsidRPr="008B54CC">
        <w:rPr>
          <w:rFonts w:ascii="Times New Roman" w:hAnsi="Times New Roman" w:cs="Times New Roman"/>
          <w:b/>
          <w:sz w:val="24"/>
          <w:szCs w:val="24"/>
          <w:u w:val="single"/>
        </w:rPr>
        <w:t>chedule</w:t>
      </w:r>
      <w:r w:rsidRPr="008B54CC">
        <w:rPr>
          <w:rFonts w:ascii="Times New Roman" w:hAnsi="Times New Roman" w:cs="Times New Roman"/>
          <w:b/>
          <w:sz w:val="24"/>
          <w:szCs w:val="24"/>
          <w:u w:val="single"/>
        </w:rPr>
        <w:t xml:space="preserve"> 1 – Amendments</w:t>
      </w:r>
    </w:p>
    <w:p w14:paraId="07D7664E" w14:textId="77777777" w:rsidR="000F62D7" w:rsidRDefault="000F62D7" w:rsidP="000F62D7">
      <w:pPr>
        <w:tabs>
          <w:tab w:val="right" w:pos="8931"/>
        </w:tabs>
        <w:spacing w:after="0" w:line="240" w:lineRule="exact"/>
        <w:ind w:right="91"/>
        <w:rPr>
          <w:rFonts w:ascii="Times New Roman" w:eastAsia="Times New Roman" w:hAnsi="Times New Roman" w:cs="Times New Roman"/>
          <w:b/>
          <w:sz w:val="24"/>
          <w:lang w:eastAsia="en-AU"/>
        </w:rPr>
      </w:pPr>
      <w:r w:rsidRPr="00224DAC">
        <w:rPr>
          <w:rFonts w:ascii="Times New Roman" w:eastAsia="Times New Roman" w:hAnsi="Times New Roman" w:cs="Times New Roman"/>
          <w:b/>
          <w:sz w:val="24"/>
          <w:lang w:eastAsia="en-AU"/>
        </w:rPr>
        <w:t>Item 1 –</w:t>
      </w:r>
      <w:r>
        <w:rPr>
          <w:rFonts w:ascii="Times New Roman" w:eastAsia="Times New Roman" w:hAnsi="Times New Roman" w:cs="Times New Roman"/>
          <w:b/>
          <w:sz w:val="24"/>
          <w:lang w:eastAsia="en-AU"/>
        </w:rPr>
        <w:t xml:space="preserve"> S</w:t>
      </w:r>
      <w:r w:rsidRPr="00224DAC">
        <w:rPr>
          <w:rFonts w:ascii="Times New Roman" w:eastAsia="Times New Roman" w:hAnsi="Times New Roman" w:cs="Times New Roman"/>
          <w:b/>
          <w:sz w:val="24"/>
          <w:lang w:eastAsia="en-AU"/>
        </w:rPr>
        <w:t>ection 10 (table item 2)</w:t>
      </w:r>
    </w:p>
    <w:p w14:paraId="6D7C6C7D" w14:textId="77777777" w:rsidR="000F62D7" w:rsidRPr="00224DAC" w:rsidRDefault="000F62D7" w:rsidP="000F62D7">
      <w:pPr>
        <w:tabs>
          <w:tab w:val="right" w:pos="8931"/>
        </w:tabs>
        <w:spacing w:after="0" w:line="240" w:lineRule="exact"/>
        <w:ind w:right="91"/>
        <w:rPr>
          <w:rFonts w:ascii="Times New Roman" w:eastAsia="Times New Roman" w:hAnsi="Times New Roman" w:cs="Times New Roman"/>
          <w:b/>
          <w:sz w:val="24"/>
          <w:lang w:eastAsia="en-AU"/>
        </w:rPr>
      </w:pPr>
    </w:p>
    <w:p w14:paraId="2E1ECEB1" w14:textId="77777777" w:rsidR="00224698" w:rsidRDefault="00D27A56" w:rsidP="000F62D7">
      <w:pPr>
        <w:tabs>
          <w:tab w:val="right" w:pos="8931"/>
        </w:tabs>
        <w:spacing w:after="0" w:line="240" w:lineRule="auto"/>
        <w:ind w:right="91"/>
        <w:rPr>
          <w:rFonts w:ascii="Times New Roman" w:hAnsi="Times New Roman" w:cs="Times New Roman"/>
          <w:color w:val="000000"/>
          <w:sz w:val="24"/>
          <w:szCs w:val="24"/>
          <w:shd w:val="clear" w:color="auto" w:fill="FFFFFF"/>
        </w:rPr>
      </w:pPr>
      <w:r w:rsidRPr="00D15E3C">
        <w:rPr>
          <w:rFonts w:ascii="Times New Roman" w:hAnsi="Times New Roman" w:cs="Times New Roman"/>
          <w:color w:val="000000"/>
          <w:sz w:val="24"/>
          <w:szCs w:val="24"/>
          <w:shd w:val="clear" w:color="auto" w:fill="FFFFFF"/>
        </w:rPr>
        <w:t xml:space="preserve">For the purposes of paragraph </w:t>
      </w:r>
      <w:r w:rsidR="00224698">
        <w:rPr>
          <w:rFonts w:ascii="Times New Roman" w:hAnsi="Times New Roman" w:cs="Times New Roman"/>
          <w:color w:val="000000"/>
          <w:sz w:val="24"/>
          <w:szCs w:val="24"/>
          <w:shd w:val="clear" w:color="auto" w:fill="FFFFFF"/>
        </w:rPr>
        <w:t>4</w:t>
      </w:r>
      <w:r w:rsidRPr="00D15E3C">
        <w:rPr>
          <w:rFonts w:ascii="Times New Roman" w:hAnsi="Times New Roman" w:cs="Times New Roman"/>
          <w:color w:val="000000"/>
          <w:sz w:val="24"/>
          <w:szCs w:val="24"/>
          <w:shd w:val="clear" w:color="auto" w:fill="FFFFFF"/>
        </w:rPr>
        <w:t>4(2)(b) of the Legislation Act, section 1</w:t>
      </w:r>
      <w:r w:rsidR="00224698">
        <w:rPr>
          <w:rFonts w:ascii="Times New Roman" w:hAnsi="Times New Roman" w:cs="Times New Roman"/>
          <w:color w:val="000000"/>
          <w:sz w:val="24"/>
          <w:szCs w:val="24"/>
          <w:shd w:val="clear" w:color="auto" w:fill="FFFFFF"/>
        </w:rPr>
        <w:t>0</w:t>
      </w:r>
      <w:r w:rsidRPr="00D15E3C">
        <w:rPr>
          <w:rFonts w:ascii="Times New Roman" w:hAnsi="Times New Roman" w:cs="Times New Roman"/>
          <w:color w:val="000000"/>
          <w:sz w:val="24"/>
          <w:szCs w:val="24"/>
          <w:shd w:val="clear" w:color="auto" w:fill="FFFFFF"/>
        </w:rPr>
        <w:t xml:space="preserve"> of the </w:t>
      </w:r>
      <w:r w:rsidRPr="00D15E3C">
        <w:rPr>
          <w:rFonts w:ascii="Times New Roman" w:hAnsi="Times New Roman" w:cs="Times New Roman"/>
          <w:i/>
          <w:iCs/>
          <w:color w:val="000000"/>
          <w:sz w:val="24"/>
          <w:szCs w:val="24"/>
          <w:shd w:val="clear" w:color="auto" w:fill="FFFFFF"/>
        </w:rPr>
        <w:t>Legislation (Exemptions and Other Matters) Regulation 2015 </w:t>
      </w:r>
      <w:r w:rsidRPr="00D15E3C">
        <w:rPr>
          <w:rFonts w:ascii="Times New Roman" w:hAnsi="Times New Roman" w:cs="Times New Roman"/>
          <w:color w:val="000000"/>
          <w:sz w:val="24"/>
          <w:szCs w:val="24"/>
          <w:shd w:val="clear" w:color="auto" w:fill="FFFFFF"/>
        </w:rPr>
        <w:t xml:space="preserve">(Principal Regulation) provides that instruments contained in the table to that section are not subject to </w:t>
      </w:r>
      <w:r w:rsidR="00224698">
        <w:rPr>
          <w:rFonts w:ascii="Times New Roman" w:hAnsi="Times New Roman" w:cs="Times New Roman"/>
          <w:color w:val="000000"/>
          <w:sz w:val="24"/>
          <w:szCs w:val="24"/>
          <w:shd w:val="clear" w:color="auto" w:fill="FFFFFF"/>
        </w:rPr>
        <w:t>disallowance</w:t>
      </w:r>
      <w:r w:rsidRPr="00D15E3C">
        <w:rPr>
          <w:rFonts w:ascii="Times New Roman" w:hAnsi="Times New Roman" w:cs="Times New Roman"/>
          <w:color w:val="000000"/>
          <w:sz w:val="24"/>
          <w:szCs w:val="24"/>
          <w:shd w:val="clear" w:color="auto" w:fill="FFFFFF"/>
        </w:rPr>
        <w:t>.</w:t>
      </w:r>
    </w:p>
    <w:p w14:paraId="75450780" w14:textId="77777777" w:rsidR="00224698" w:rsidRDefault="00224698" w:rsidP="000F62D7">
      <w:pPr>
        <w:tabs>
          <w:tab w:val="right" w:pos="8931"/>
        </w:tabs>
        <w:spacing w:after="0" w:line="240" w:lineRule="auto"/>
        <w:ind w:right="91"/>
        <w:rPr>
          <w:rFonts w:ascii="Times New Roman" w:hAnsi="Times New Roman" w:cs="Times New Roman"/>
          <w:color w:val="000000"/>
          <w:sz w:val="24"/>
          <w:szCs w:val="24"/>
          <w:shd w:val="clear" w:color="auto" w:fill="FFFFFF"/>
        </w:rPr>
      </w:pPr>
    </w:p>
    <w:p w14:paraId="595AF36A" w14:textId="0D977901" w:rsidR="000F62D7" w:rsidRDefault="000F62D7" w:rsidP="000F62D7">
      <w:pPr>
        <w:tabs>
          <w:tab w:val="right" w:pos="8931"/>
        </w:tabs>
        <w:spacing w:after="0" w:line="240" w:lineRule="auto"/>
        <w:ind w:right="91"/>
        <w:rPr>
          <w:rFonts w:ascii="Times New Roman" w:eastAsia="Times New Roman" w:hAnsi="Times New Roman" w:cs="Times New Roman"/>
          <w:sz w:val="24"/>
          <w:lang w:eastAsia="en-AU"/>
        </w:rPr>
      </w:pPr>
      <w:r w:rsidRPr="00CA4747">
        <w:rPr>
          <w:rFonts w:ascii="Times New Roman" w:eastAsia="Times New Roman" w:hAnsi="Times New Roman" w:cs="Times New Roman"/>
          <w:sz w:val="24"/>
          <w:szCs w:val="24"/>
          <w:lang w:eastAsia="en-AU"/>
        </w:rPr>
        <w:t xml:space="preserve">The </w:t>
      </w:r>
      <w:r w:rsidR="00224698">
        <w:rPr>
          <w:rFonts w:ascii="Times New Roman" w:eastAsia="Times New Roman" w:hAnsi="Times New Roman" w:cs="Times New Roman"/>
          <w:sz w:val="24"/>
          <w:szCs w:val="24"/>
          <w:lang w:eastAsia="en-AU"/>
        </w:rPr>
        <w:t xml:space="preserve">Amendment </w:t>
      </w:r>
      <w:r w:rsidRPr="00CA4747">
        <w:rPr>
          <w:rFonts w:ascii="Times New Roman" w:eastAsia="Times New Roman" w:hAnsi="Times New Roman" w:cs="Times New Roman"/>
          <w:sz w:val="24"/>
          <w:szCs w:val="24"/>
          <w:lang w:eastAsia="en-AU"/>
        </w:rPr>
        <w:t xml:space="preserve">Regulations </w:t>
      </w:r>
      <w:r w:rsidRPr="00F80B50">
        <w:rPr>
          <w:rFonts w:ascii="Times New Roman" w:eastAsia="Times New Roman" w:hAnsi="Times New Roman" w:cs="Times New Roman"/>
          <w:sz w:val="24"/>
          <w:szCs w:val="24"/>
          <w:lang w:eastAsia="en-AU"/>
        </w:rPr>
        <w:t>replace a reference in item 2(b) in section 10 of the Principal Regulation</w:t>
      </w:r>
      <w:r w:rsidRPr="00D15E3C">
        <w:rPr>
          <w:rFonts w:ascii="Times New Roman" w:eastAsia="Times New Roman" w:hAnsi="Times New Roman" w:cs="Times New Roman"/>
          <w:sz w:val="24"/>
          <w:szCs w:val="24"/>
          <w:lang w:eastAsia="en-AU"/>
        </w:rPr>
        <w:t xml:space="preserve"> to subregulation 3.03(3) or (4) of the </w:t>
      </w:r>
      <w:r w:rsidRPr="00D15E3C">
        <w:rPr>
          <w:rFonts w:ascii="Times New Roman" w:eastAsia="Times New Roman" w:hAnsi="Times New Roman" w:cs="Times New Roman"/>
          <w:i/>
          <w:sz w:val="24"/>
          <w:szCs w:val="24"/>
          <w:lang w:eastAsia="en-AU"/>
        </w:rPr>
        <w:t>Air Services Regulations 1995</w:t>
      </w:r>
      <w:r w:rsidRPr="00D15E3C">
        <w:rPr>
          <w:rFonts w:ascii="Times New Roman" w:eastAsia="Times New Roman" w:hAnsi="Times New Roman" w:cs="Times New Roman"/>
          <w:sz w:val="24"/>
          <w:szCs w:val="24"/>
          <w:lang w:eastAsia="en-AU"/>
        </w:rPr>
        <w:t xml:space="preserve"> with a reference to s</w:t>
      </w:r>
      <w:r w:rsidR="008E1C80" w:rsidRPr="00D15E3C">
        <w:rPr>
          <w:rFonts w:ascii="Times New Roman" w:eastAsia="Times New Roman" w:hAnsi="Times New Roman" w:cs="Times New Roman"/>
          <w:sz w:val="24"/>
          <w:szCs w:val="24"/>
          <w:lang w:eastAsia="en-AU"/>
        </w:rPr>
        <w:t>ubs</w:t>
      </w:r>
      <w:r w:rsidRPr="00D15E3C">
        <w:rPr>
          <w:rFonts w:ascii="Times New Roman" w:eastAsia="Times New Roman" w:hAnsi="Times New Roman" w:cs="Times New Roman"/>
          <w:sz w:val="24"/>
          <w:szCs w:val="24"/>
          <w:lang w:eastAsia="en-AU"/>
        </w:rPr>
        <w:t xml:space="preserve">ection 7(3) or (4) of the </w:t>
      </w:r>
      <w:r w:rsidRPr="00D15E3C">
        <w:rPr>
          <w:rFonts w:ascii="Times New Roman" w:eastAsia="Times New Roman" w:hAnsi="Times New Roman" w:cs="Times New Roman"/>
          <w:i/>
          <w:sz w:val="24"/>
          <w:szCs w:val="24"/>
          <w:lang w:eastAsia="en-AU"/>
        </w:rPr>
        <w:t>Air</w:t>
      </w:r>
      <w:r>
        <w:rPr>
          <w:rFonts w:ascii="Times New Roman" w:eastAsia="Times New Roman" w:hAnsi="Times New Roman" w:cs="Times New Roman"/>
          <w:i/>
          <w:sz w:val="24"/>
          <w:lang w:eastAsia="en-AU"/>
        </w:rPr>
        <w:t xml:space="preserve"> Services Regulations 2019</w:t>
      </w:r>
      <w:r>
        <w:rPr>
          <w:rFonts w:ascii="Times New Roman" w:eastAsia="Times New Roman" w:hAnsi="Times New Roman" w:cs="Times New Roman"/>
          <w:sz w:val="24"/>
          <w:lang w:eastAsia="en-AU"/>
        </w:rPr>
        <w:t xml:space="preserve">. The </w:t>
      </w:r>
      <w:r>
        <w:rPr>
          <w:rFonts w:ascii="Times New Roman" w:eastAsia="Times New Roman" w:hAnsi="Times New Roman" w:cs="Times New Roman"/>
          <w:i/>
          <w:sz w:val="24"/>
          <w:lang w:eastAsia="en-AU"/>
        </w:rPr>
        <w:t>Air Services Regulations 1995</w:t>
      </w:r>
      <w:r>
        <w:rPr>
          <w:rFonts w:ascii="Times New Roman" w:eastAsia="Times New Roman" w:hAnsi="Times New Roman" w:cs="Times New Roman"/>
          <w:sz w:val="24"/>
          <w:lang w:eastAsia="en-AU"/>
        </w:rPr>
        <w:t xml:space="preserve"> are no longer in force and have been replaced with </w:t>
      </w:r>
      <w:r>
        <w:rPr>
          <w:rFonts w:ascii="Times New Roman" w:eastAsia="Times New Roman" w:hAnsi="Times New Roman" w:cs="Times New Roman"/>
          <w:i/>
          <w:sz w:val="24"/>
          <w:lang w:eastAsia="en-AU"/>
        </w:rPr>
        <w:t>Air Services Regulations 2019</w:t>
      </w:r>
      <w:r>
        <w:rPr>
          <w:rFonts w:ascii="Times New Roman" w:eastAsia="Times New Roman" w:hAnsi="Times New Roman" w:cs="Times New Roman"/>
          <w:sz w:val="24"/>
          <w:lang w:eastAsia="en-AU"/>
        </w:rPr>
        <w:t xml:space="preserve">. </w:t>
      </w:r>
    </w:p>
    <w:p w14:paraId="11391B07" w14:textId="77777777" w:rsidR="000F62D7" w:rsidRDefault="000F62D7" w:rsidP="000F62D7">
      <w:pPr>
        <w:tabs>
          <w:tab w:val="right" w:pos="8931"/>
        </w:tabs>
        <w:spacing w:after="0" w:line="240" w:lineRule="auto"/>
        <w:ind w:right="91"/>
        <w:rPr>
          <w:rFonts w:ascii="Times New Roman" w:eastAsia="Times New Roman" w:hAnsi="Times New Roman" w:cs="Times New Roman"/>
          <w:sz w:val="24"/>
          <w:lang w:eastAsia="en-AU"/>
        </w:rPr>
      </w:pPr>
    </w:p>
    <w:p w14:paraId="56CE9623" w14:textId="7F292116" w:rsidR="000F62D7" w:rsidRDefault="000F62D7" w:rsidP="000F62D7">
      <w:pPr>
        <w:tabs>
          <w:tab w:val="right" w:pos="8931"/>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w:t>
      </w:r>
      <w:r w:rsidR="008E1C80">
        <w:rPr>
          <w:rFonts w:ascii="Times New Roman" w:eastAsia="Times New Roman" w:hAnsi="Times New Roman" w:cs="Times New Roman"/>
          <w:sz w:val="24"/>
          <w:lang w:eastAsia="en-AU"/>
        </w:rPr>
        <w:t>ubs</w:t>
      </w:r>
      <w:r>
        <w:rPr>
          <w:rFonts w:ascii="Times New Roman" w:eastAsia="Times New Roman" w:hAnsi="Times New Roman" w:cs="Times New Roman"/>
          <w:sz w:val="24"/>
          <w:lang w:eastAsia="en-AU"/>
        </w:rPr>
        <w:t xml:space="preserve">ection 7(3) or (4) of the </w:t>
      </w:r>
      <w:r>
        <w:rPr>
          <w:rFonts w:ascii="Times New Roman" w:eastAsia="Times New Roman" w:hAnsi="Times New Roman" w:cs="Times New Roman"/>
          <w:i/>
          <w:sz w:val="24"/>
          <w:lang w:eastAsia="en-AU"/>
        </w:rPr>
        <w:t>Air Services Regulations 2019</w:t>
      </w:r>
      <w:r>
        <w:rPr>
          <w:rFonts w:ascii="Times New Roman" w:eastAsia="Times New Roman" w:hAnsi="Times New Roman" w:cs="Times New Roman"/>
          <w:sz w:val="24"/>
          <w:lang w:eastAsia="en-AU"/>
        </w:rPr>
        <w:t xml:space="preserve"> is substantively equivalent to subregulation 3.03(3) or (4) of the </w:t>
      </w:r>
      <w:r>
        <w:rPr>
          <w:rFonts w:ascii="Times New Roman" w:eastAsia="Times New Roman" w:hAnsi="Times New Roman" w:cs="Times New Roman"/>
          <w:i/>
          <w:sz w:val="24"/>
          <w:lang w:eastAsia="en-AU"/>
        </w:rPr>
        <w:t>Air Services Regulations 1995</w:t>
      </w:r>
      <w:r>
        <w:rPr>
          <w:rFonts w:ascii="Times New Roman" w:eastAsia="Times New Roman" w:hAnsi="Times New Roman" w:cs="Times New Roman"/>
          <w:sz w:val="24"/>
          <w:lang w:eastAsia="en-AU"/>
        </w:rPr>
        <w:t xml:space="preserve">. Accordingly, it does not substantively change the scope of existing disallowance exemptions. </w:t>
      </w:r>
    </w:p>
    <w:p w14:paraId="4E629834" w14:textId="77777777" w:rsidR="000F62D7" w:rsidRDefault="000F62D7" w:rsidP="000F62D7">
      <w:pPr>
        <w:tabs>
          <w:tab w:val="right" w:pos="8931"/>
        </w:tabs>
        <w:spacing w:after="0" w:line="240" w:lineRule="exact"/>
        <w:ind w:right="91"/>
        <w:rPr>
          <w:rFonts w:ascii="Times New Roman" w:eastAsia="Times New Roman" w:hAnsi="Times New Roman" w:cs="Times New Roman"/>
          <w:sz w:val="24"/>
          <w:lang w:eastAsia="en-AU"/>
        </w:rPr>
      </w:pPr>
    </w:p>
    <w:p w14:paraId="3775D46A" w14:textId="77777777" w:rsidR="000F62D7" w:rsidRPr="00224DAC" w:rsidRDefault="000F62D7" w:rsidP="00D15E3C">
      <w:pPr>
        <w:keepNext/>
        <w:tabs>
          <w:tab w:val="right" w:pos="8931"/>
        </w:tabs>
        <w:spacing w:after="0" w:line="240" w:lineRule="exact"/>
        <w:ind w:right="91"/>
        <w:rPr>
          <w:rFonts w:ascii="Times New Roman" w:eastAsia="Times New Roman" w:hAnsi="Times New Roman" w:cs="Times New Roman"/>
          <w:b/>
          <w:sz w:val="24"/>
          <w:lang w:eastAsia="en-AU"/>
        </w:rPr>
      </w:pPr>
      <w:r w:rsidRPr="00224DAC">
        <w:rPr>
          <w:rFonts w:ascii="Times New Roman" w:eastAsia="Times New Roman" w:hAnsi="Times New Roman" w:cs="Times New Roman"/>
          <w:b/>
          <w:sz w:val="24"/>
          <w:lang w:eastAsia="en-AU"/>
        </w:rPr>
        <w:lastRenderedPageBreak/>
        <w:t>Item 2 –</w:t>
      </w:r>
      <w:r>
        <w:rPr>
          <w:rFonts w:ascii="Times New Roman" w:eastAsia="Times New Roman" w:hAnsi="Times New Roman" w:cs="Times New Roman"/>
          <w:b/>
          <w:sz w:val="24"/>
          <w:lang w:eastAsia="en-AU"/>
        </w:rPr>
        <w:t xml:space="preserve"> S</w:t>
      </w:r>
      <w:r w:rsidRPr="00224DAC">
        <w:rPr>
          <w:rFonts w:ascii="Times New Roman" w:eastAsia="Times New Roman" w:hAnsi="Times New Roman" w:cs="Times New Roman"/>
          <w:b/>
          <w:sz w:val="24"/>
          <w:lang w:eastAsia="en-AU"/>
        </w:rPr>
        <w:t>ection 12 (table item 10)</w:t>
      </w:r>
    </w:p>
    <w:p w14:paraId="3E62B1F6" w14:textId="77777777" w:rsidR="000F62D7" w:rsidRDefault="000F62D7" w:rsidP="00D15E3C">
      <w:pPr>
        <w:keepNext/>
        <w:tabs>
          <w:tab w:val="right" w:pos="8931"/>
        </w:tabs>
        <w:spacing w:after="0" w:line="240" w:lineRule="exact"/>
        <w:ind w:right="91"/>
        <w:rPr>
          <w:rFonts w:ascii="Times New Roman" w:eastAsia="Times New Roman" w:hAnsi="Times New Roman" w:cs="Times New Roman"/>
          <w:sz w:val="24"/>
          <w:lang w:eastAsia="en-AU"/>
        </w:rPr>
      </w:pPr>
    </w:p>
    <w:p w14:paraId="7C5847C4" w14:textId="77777777" w:rsidR="00224698" w:rsidRDefault="00224698" w:rsidP="00D15E3C">
      <w:pPr>
        <w:keepNext/>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For the purposes of paragraph 54(2)(b) of the Legislation Act, section 12 of the Principal Regulation provides that instruments contained in the table to that section are not subject to sunsetting.</w:t>
      </w:r>
    </w:p>
    <w:p w14:paraId="5C7D345A" w14:textId="174CA579" w:rsidR="00224698" w:rsidRDefault="00224698" w:rsidP="00224698">
      <w:pPr>
        <w:numPr>
          <w:ilvl w:val="12"/>
          <w:numId w:val="0"/>
        </w:numPr>
        <w:spacing w:before="240" w:after="0" w:line="240" w:lineRule="auto"/>
        <w:rPr>
          <w:rFonts w:ascii="Times New Roman" w:eastAsia="Calibri" w:hAnsi="Times New Roman" w:cs="Times New Roman"/>
          <w:sz w:val="24"/>
          <w:szCs w:val="24"/>
        </w:rPr>
      </w:pPr>
      <w:r>
        <w:rPr>
          <w:rFonts w:ascii="Times New Roman" w:eastAsia="Times New Roman" w:hAnsi="Times New Roman" w:cs="Times New Roman"/>
          <w:sz w:val="24"/>
          <w:lang w:eastAsia="en-AU"/>
        </w:rPr>
        <w:t xml:space="preserve">Item 10 of </w:t>
      </w:r>
      <w:r w:rsidRPr="00BD0E0F">
        <w:rPr>
          <w:rFonts w:ascii="Times New Roman" w:eastAsia="Times New Roman" w:hAnsi="Times New Roman" w:cs="Times New Roman"/>
          <w:sz w:val="24"/>
          <w:lang w:eastAsia="en-AU"/>
        </w:rPr>
        <w:t xml:space="preserve">section 12 of the Principal Regulation </w:t>
      </w:r>
      <w:r>
        <w:rPr>
          <w:rFonts w:ascii="Times New Roman" w:eastAsia="Times New Roman" w:hAnsi="Times New Roman" w:cs="Times New Roman"/>
          <w:sz w:val="24"/>
          <w:lang w:eastAsia="en-AU"/>
        </w:rPr>
        <w:t xml:space="preserve">provides a sunsetting exemption for a statement of procedures approved under former section 34C of the </w:t>
      </w:r>
      <w:r w:rsidRPr="00BD0E0F">
        <w:rPr>
          <w:rFonts w:ascii="Times New Roman" w:eastAsia="Times New Roman" w:hAnsi="Times New Roman" w:cs="Times New Roman"/>
          <w:i/>
          <w:sz w:val="24"/>
          <w:lang w:eastAsia="en-AU"/>
        </w:rPr>
        <w:t>Australian Security Intelligence Organisation Act 1979</w:t>
      </w:r>
      <w:r w:rsidRPr="00BD0E0F">
        <w:rPr>
          <w:rFonts w:ascii="Times New Roman" w:eastAsia="Times New Roman" w:hAnsi="Times New Roman" w:cs="Times New Roman"/>
          <w:sz w:val="24"/>
          <w:lang w:eastAsia="en-AU"/>
        </w:rPr>
        <w:t xml:space="preserve"> (ASIO Act)</w:t>
      </w:r>
      <w:r>
        <w:rPr>
          <w:rFonts w:ascii="Times New Roman" w:eastAsia="Times New Roman" w:hAnsi="Times New Roman" w:cs="Times New Roman"/>
          <w:sz w:val="24"/>
          <w:lang w:eastAsia="en-AU"/>
        </w:rPr>
        <w:t>. Item 2 of Schedule 1 to the Amendment Regulations update item 10 to provide an exemption for procedures approved under section 34AF of the ASIO Act to reflect the new numbering of that provision.</w:t>
      </w:r>
      <w:r>
        <w:rPr>
          <w:rFonts w:ascii="Times New Roman" w:eastAsia="Calibri" w:hAnsi="Times New Roman" w:cs="Times New Roman"/>
          <w:sz w:val="24"/>
          <w:szCs w:val="24"/>
        </w:rPr>
        <w:t xml:space="preserve">  </w:t>
      </w:r>
    </w:p>
    <w:p w14:paraId="186BD85E" w14:textId="77777777" w:rsidR="00224698" w:rsidRDefault="00224698" w:rsidP="000F62D7">
      <w:pPr>
        <w:spacing w:after="0" w:line="240" w:lineRule="auto"/>
        <w:ind w:right="91"/>
        <w:rPr>
          <w:rFonts w:ascii="Times New Roman" w:eastAsia="Times New Roman" w:hAnsi="Times New Roman" w:cs="Times New Roman"/>
          <w:sz w:val="24"/>
          <w:lang w:eastAsia="en-AU"/>
        </w:rPr>
      </w:pPr>
    </w:p>
    <w:p w14:paraId="6B5200D5" w14:textId="697E9404" w:rsidR="000F62D7" w:rsidRDefault="007E52ED" w:rsidP="000F62D7">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Section </w:t>
      </w:r>
      <w:r w:rsidR="00F659A8">
        <w:rPr>
          <w:rFonts w:ascii="Times New Roman" w:eastAsia="Times New Roman" w:hAnsi="Times New Roman" w:cs="Times New Roman"/>
          <w:sz w:val="24"/>
          <w:lang w:eastAsia="en-AU"/>
        </w:rPr>
        <w:t xml:space="preserve">34C of the ASIO Act was repealed by the </w:t>
      </w:r>
      <w:r w:rsidR="00F659A8" w:rsidRPr="007B3662">
        <w:rPr>
          <w:rFonts w:ascii="Times New Roman" w:eastAsia="Times New Roman" w:hAnsi="Times New Roman" w:cs="Times New Roman"/>
          <w:i/>
          <w:sz w:val="24"/>
          <w:lang w:eastAsia="en-AU"/>
        </w:rPr>
        <w:t>Australian Security Intelligence Organisation Amendment Act 2020</w:t>
      </w:r>
      <w:r w:rsidR="00F659A8">
        <w:rPr>
          <w:rFonts w:ascii="Times New Roman" w:eastAsia="Times New Roman" w:hAnsi="Times New Roman" w:cs="Times New Roman"/>
          <w:i/>
          <w:sz w:val="24"/>
          <w:lang w:eastAsia="en-AU"/>
        </w:rPr>
        <w:t xml:space="preserve"> </w:t>
      </w:r>
      <w:r w:rsidR="00F659A8">
        <w:rPr>
          <w:rFonts w:ascii="Times New Roman" w:eastAsia="Times New Roman" w:hAnsi="Times New Roman" w:cs="Times New Roman"/>
          <w:sz w:val="24"/>
          <w:lang w:eastAsia="en-AU"/>
        </w:rPr>
        <w:t>(the ASIO Amendment Act 2020). New section 34AF inserted by the ASIO Amendment Act replicates in full the repealed section 34C with the addition of the defined term questioning warrant instead of the general reference to warrant.</w:t>
      </w:r>
      <w:r>
        <w:rPr>
          <w:rFonts w:ascii="Times New Roman" w:eastAsia="Times New Roman" w:hAnsi="Times New Roman" w:cs="Times New Roman"/>
          <w:sz w:val="24"/>
          <w:lang w:eastAsia="en-AU"/>
        </w:rPr>
        <w:t xml:space="preserve"> </w:t>
      </w:r>
    </w:p>
    <w:p w14:paraId="43F6DCBF" w14:textId="77777777" w:rsidR="000F62D7" w:rsidRDefault="000F62D7" w:rsidP="000F62D7">
      <w:pPr>
        <w:spacing w:after="0" w:line="240" w:lineRule="auto"/>
        <w:ind w:right="91"/>
        <w:rPr>
          <w:rFonts w:ascii="Times New Roman" w:eastAsia="Times New Roman" w:hAnsi="Times New Roman" w:cs="Times New Roman"/>
          <w:sz w:val="24"/>
          <w:lang w:eastAsia="en-AU"/>
        </w:rPr>
      </w:pPr>
    </w:p>
    <w:p w14:paraId="6C005D23" w14:textId="26FF0E8D" w:rsidR="00F659A8" w:rsidRDefault="00F659A8" w:rsidP="000F62D7">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repealed section 34C of the ASIO Act and new section 34AF of the ASIO Act provide that the Director-General of ASIO may prepare a written statement of procedures to be followed in the exercise of authority under a questioning warrant.</w:t>
      </w:r>
    </w:p>
    <w:p w14:paraId="61587F61" w14:textId="77777777" w:rsidR="000F62D7" w:rsidRDefault="000F62D7" w:rsidP="000F62D7">
      <w:pPr>
        <w:spacing w:after="0" w:line="240" w:lineRule="auto"/>
        <w:ind w:right="91"/>
        <w:rPr>
          <w:rFonts w:ascii="Times New Roman" w:eastAsia="Times New Roman" w:hAnsi="Times New Roman" w:cs="Times New Roman"/>
          <w:sz w:val="24"/>
          <w:lang w:eastAsia="en-AU"/>
        </w:rPr>
      </w:pPr>
    </w:p>
    <w:p w14:paraId="1B1B9F41" w14:textId="6D4B94CF" w:rsidR="000F62D7" w:rsidRDefault="000F62D7" w:rsidP="000F62D7">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w:t>
      </w:r>
      <w:r w:rsidR="00F659A8">
        <w:rPr>
          <w:rFonts w:ascii="Times New Roman" w:eastAsia="Times New Roman" w:hAnsi="Times New Roman" w:cs="Times New Roman"/>
          <w:sz w:val="24"/>
          <w:lang w:eastAsia="en-AU"/>
        </w:rPr>
        <w:t>ASIO Amendment Act 2020</w:t>
      </w:r>
      <w:r>
        <w:rPr>
          <w:rFonts w:ascii="Times New Roman" w:eastAsia="Times New Roman" w:hAnsi="Times New Roman" w:cs="Times New Roman"/>
          <w:sz w:val="24"/>
          <w:lang w:eastAsia="en-AU"/>
        </w:rPr>
        <w:t xml:space="preserve"> </w:t>
      </w:r>
      <w:r w:rsidRPr="000218FA">
        <w:rPr>
          <w:rFonts w:ascii="Times New Roman" w:eastAsia="Times New Roman" w:hAnsi="Times New Roman" w:cs="Times New Roman"/>
          <w:sz w:val="24"/>
          <w:lang w:eastAsia="en-AU"/>
        </w:rPr>
        <w:t>expand</w:t>
      </w:r>
      <w:r w:rsidR="00F659A8">
        <w:rPr>
          <w:rFonts w:ascii="Times New Roman" w:eastAsia="Times New Roman" w:hAnsi="Times New Roman" w:cs="Times New Roman"/>
          <w:sz w:val="24"/>
          <w:lang w:eastAsia="en-AU"/>
        </w:rPr>
        <w:t>ed</w:t>
      </w:r>
      <w:r w:rsidRPr="000218FA">
        <w:rPr>
          <w:rFonts w:ascii="Times New Roman" w:eastAsia="Times New Roman" w:hAnsi="Times New Roman" w:cs="Times New Roman"/>
          <w:sz w:val="24"/>
          <w:lang w:eastAsia="en-AU"/>
        </w:rPr>
        <w:t xml:space="preserve"> the scope of activities to which questioning warrants may apply</w:t>
      </w:r>
      <w:r w:rsidR="00F659A8">
        <w:rPr>
          <w:rFonts w:ascii="Times New Roman" w:eastAsia="Times New Roman" w:hAnsi="Times New Roman" w:cs="Times New Roman"/>
          <w:sz w:val="24"/>
          <w:lang w:eastAsia="en-AU"/>
        </w:rPr>
        <w:t xml:space="preserve"> fro</w:t>
      </w:r>
      <w:r w:rsidR="007E52ED">
        <w:rPr>
          <w:rFonts w:ascii="Times New Roman" w:eastAsia="Times New Roman" w:hAnsi="Times New Roman" w:cs="Times New Roman"/>
          <w:sz w:val="24"/>
          <w:lang w:eastAsia="en-AU"/>
        </w:rPr>
        <w:t>m only terrorism offences,</w:t>
      </w:r>
      <w:r w:rsidRPr="000218FA">
        <w:rPr>
          <w:rFonts w:ascii="Times New Roman" w:eastAsia="Times New Roman" w:hAnsi="Times New Roman" w:cs="Times New Roman"/>
          <w:sz w:val="24"/>
          <w:lang w:eastAsia="en-AU"/>
        </w:rPr>
        <w:t xml:space="preserve"> to</w:t>
      </w:r>
      <w:r w:rsidR="007E52ED">
        <w:rPr>
          <w:rFonts w:ascii="Times New Roman" w:eastAsia="Times New Roman" w:hAnsi="Times New Roman" w:cs="Times New Roman"/>
          <w:sz w:val="24"/>
          <w:lang w:eastAsia="en-AU"/>
        </w:rPr>
        <w:t xml:space="preserve"> </w:t>
      </w:r>
      <w:r w:rsidRPr="000218FA">
        <w:rPr>
          <w:rFonts w:ascii="Times New Roman" w:eastAsia="Times New Roman" w:hAnsi="Times New Roman" w:cs="Times New Roman"/>
          <w:sz w:val="24"/>
          <w:lang w:eastAsia="en-AU"/>
        </w:rPr>
        <w:t>foreign interference</w:t>
      </w:r>
      <w:r w:rsidR="007E52ED">
        <w:rPr>
          <w:rFonts w:ascii="Times New Roman" w:eastAsia="Times New Roman" w:hAnsi="Times New Roman" w:cs="Times New Roman"/>
          <w:sz w:val="24"/>
          <w:lang w:eastAsia="en-AU"/>
        </w:rPr>
        <w:t>,</w:t>
      </w:r>
      <w:r w:rsidRPr="000218FA">
        <w:rPr>
          <w:rFonts w:ascii="Times New Roman" w:eastAsia="Times New Roman" w:hAnsi="Times New Roman" w:cs="Times New Roman"/>
          <w:sz w:val="24"/>
          <w:lang w:eastAsia="en-AU"/>
        </w:rPr>
        <w:t xml:space="preserve"> espionage, </w:t>
      </w:r>
      <w:r w:rsidR="007E52ED">
        <w:rPr>
          <w:rFonts w:ascii="Times New Roman" w:eastAsia="Times New Roman" w:hAnsi="Times New Roman" w:cs="Times New Roman"/>
          <w:sz w:val="24"/>
          <w:lang w:eastAsia="en-AU"/>
        </w:rPr>
        <w:t>and</w:t>
      </w:r>
      <w:r w:rsidRPr="000218FA">
        <w:rPr>
          <w:rFonts w:ascii="Times New Roman" w:eastAsia="Times New Roman" w:hAnsi="Times New Roman" w:cs="Times New Roman"/>
          <w:sz w:val="24"/>
          <w:lang w:eastAsia="en-AU"/>
        </w:rPr>
        <w:t xml:space="preserve"> politically motivated violence</w:t>
      </w:r>
      <w:r w:rsidR="007E52ED">
        <w:rPr>
          <w:rFonts w:ascii="Times New Roman" w:eastAsia="Times New Roman" w:hAnsi="Times New Roman" w:cs="Times New Roman"/>
          <w:sz w:val="24"/>
          <w:lang w:eastAsia="en-AU"/>
        </w:rPr>
        <w:t xml:space="preserve"> (which includes terrorism</w:t>
      </w:r>
      <w:r w:rsidR="007E52ED" w:rsidRPr="00B25414">
        <w:rPr>
          <w:rFonts w:ascii="Times New Roman" w:eastAsia="Times New Roman" w:hAnsi="Times New Roman" w:cs="Times New Roman"/>
          <w:sz w:val="24"/>
          <w:lang w:eastAsia="en-AU"/>
        </w:rPr>
        <w:t>)</w:t>
      </w:r>
      <w:r w:rsidRPr="00B25414">
        <w:rPr>
          <w:rFonts w:ascii="Times New Roman" w:eastAsia="Times New Roman" w:hAnsi="Times New Roman" w:cs="Times New Roman"/>
          <w:sz w:val="24"/>
          <w:lang w:eastAsia="en-AU"/>
        </w:rPr>
        <w:t>.</w:t>
      </w:r>
      <w:r w:rsidR="007E52ED" w:rsidRPr="00B25414" w:rsidDel="007E52ED">
        <w:rPr>
          <w:rFonts w:ascii="Times New Roman" w:eastAsia="Times New Roman" w:hAnsi="Times New Roman" w:cs="Times New Roman"/>
          <w:sz w:val="24"/>
          <w:lang w:eastAsia="en-AU"/>
        </w:rPr>
        <w:t xml:space="preserve"> </w:t>
      </w:r>
      <w:r w:rsidR="00AA211A" w:rsidRPr="00B25414">
        <w:rPr>
          <w:rFonts w:ascii="Times New Roman" w:eastAsia="Times New Roman" w:hAnsi="Times New Roman" w:cs="Times New Roman"/>
          <w:sz w:val="24"/>
          <w:lang w:eastAsia="en-AU"/>
        </w:rPr>
        <w:t>The sta</w:t>
      </w:r>
      <w:r w:rsidR="00AA211A" w:rsidRPr="00967B7A">
        <w:rPr>
          <w:rFonts w:ascii="Times New Roman" w:eastAsia="Times New Roman" w:hAnsi="Times New Roman" w:cs="Times New Roman"/>
          <w:sz w:val="24"/>
          <w:lang w:eastAsia="en-AU"/>
        </w:rPr>
        <w:t>tement of procedures applies to</w:t>
      </w:r>
      <w:r w:rsidR="00AA211A" w:rsidRPr="00B25414">
        <w:rPr>
          <w:rFonts w:ascii="Times New Roman" w:eastAsia="Times New Roman" w:hAnsi="Times New Roman" w:cs="Times New Roman"/>
          <w:sz w:val="24"/>
          <w:lang w:eastAsia="en-AU"/>
        </w:rPr>
        <w:t xml:space="preserve"> any questioning warrant, regardless of </w:t>
      </w:r>
      <w:r w:rsidR="00967B7A">
        <w:rPr>
          <w:rFonts w:ascii="Times New Roman" w:eastAsia="Times New Roman" w:hAnsi="Times New Roman" w:cs="Times New Roman"/>
          <w:sz w:val="24"/>
          <w:lang w:eastAsia="en-AU"/>
        </w:rPr>
        <w:t>which activity the warrant relates</w:t>
      </w:r>
      <w:r w:rsidR="00AA211A" w:rsidRPr="00B25414">
        <w:rPr>
          <w:rFonts w:ascii="Times New Roman" w:eastAsia="Times New Roman" w:hAnsi="Times New Roman" w:cs="Times New Roman"/>
          <w:sz w:val="24"/>
          <w:lang w:eastAsia="en-AU"/>
        </w:rPr>
        <w:t>.</w:t>
      </w:r>
    </w:p>
    <w:p w14:paraId="0DB9537D" w14:textId="77777777" w:rsidR="000F62D7" w:rsidRDefault="000F62D7" w:rsidP="000F62D7">
      <w:pPr>
        <w:spacing w:after="0" w:line="240" w:lineRule="auto"/>
        <w:ind w:right="91"/>
        <w:rPr>
          <w:rFonts w:ascii="Times New Roman" w:eastAsia="Times New Roman" w:hAnsi="Times New Roman" w:cs="Times New Roman"/>
          <w:sz w:val="24"/>
          <w:lang w:eastAsia="en-AU"/>
        </w:rPr>
      </w:pPr>
    </w:p>
    <w:p w14:paraId="34597D02" w14:textId="0B118A91" w:rsidR="000F62D7" w:rsidRDefault="007E52ED" w:rsidP="000F62D7">
      <w:pPr>
        <w:spacing w:after="0" w:line="240" w:lineRule="auto"/>
        <w:ind w:right="91"/>
        <w:rPr>
          <w:rFonts w:ascii="Times New Roman" w:eastAsia="Times New Roman" w:hAnsi="Times New Roman" w:cs="Times New Roman"/>
          <w:i/>
          <w:sz w:val="24"/>
          <w:lang w:eastAsia="en-AU"/>
        </w:rPr>
      </w:pPr>
      <w:r>
        <w:rPr>
          <w:rFonts w:ascii="Times New Roman" w:eastAsia="Times New Roman" w:hAnsi="Times New Roman" w:cs="Times New Roman"/>
          <w:sz w:val="24"/>
          <w:lang w:eastAsia="en-AU"/>
        </w:rPr>
        <w:t>T</w:t>
      </w:r>
      <w:r w:rsidR="000F62D7">
        <w:rPr>
          <w:rFonts w:ascii="Times New Roman" w:eastAsia="Times New Roman" w:hAnsi="Times New Roman" w:cs="Times New Roman"/>
          <w:sz w:val="24"/>
          <w:lang w:eastAsia="en-AU"/>
        </w:rPr>
        <w:t xml:space="preserve">he statement of procedures is subject to a statutory review process that is equivalent to the sunsetting regime set out in the Legislation Act. The application of the sunsetting regime to the statement of procedures would be duplicative. </w:t>
      </w:r>
      <w:r w:rsidR="005E5D54">
        <w:rPr>
          <w:rFonts w:ascii="Times New Roman" w:eastAsia="Calibri" w:hAnsi="Times New Roman" w:cs="Times New Roman"/>
          <w:sz w:val="24"/>
          <w:szCs w:val="24"/>
        </w:rPr>
        <w:t>In particular, s</w:t>
      </w:r>
      <w:r w:rsidR="005E5D54">
        <w:rPr>
          <w:rFonts w:ascii="Times New Roman" w:eastAsia="Times New Roman" w:hAnsi="Times New Roman" w:cs="Times New Roman"/>
          <w:sz w:val="24"/>
          <w:lang w:eastAsia="en-AU"/>
        </w:rPr>
        <w:t>ection </w:t>
      </w:r>
      <w:r w:rsidR="005E5D54" w:rsidRPr="000F548E">
        <w:rPr>
          <w:rFonts w:ascii="Times New Roman" w:eastAsia="Times New Roman" w:hAnsi="Times New Roman" w:cs="Times New Roman"/>
          <w:sz w:val="24"/>
          <w:lang w:eastAsia="en-AU"/>
        </w:rPr>
        <w:t xml:space="preserve">34JF of the ASIO Act provides that Division 3 of Part III </w:t>
      </w:r>
      <w:r w:rsidR="005E5D54">
        <w:rPr>
          <w:rFonts w:ascii="Times New Roman" w:eastAsia="Times New Roman" w:hAnsi="Times New Roman" w:cs="Times New Roman"/>
          <w:sz w:val="24"/>
          <w:lang w:eastAsia="en-AU"/>
        </w:rPr>
        <w:t>(including the power to make the statement of procedures under section 34AF) will cease to have effect on 7 </w:t>
      </w:r>
      <w:r w:rsidR="005E5D54" w:rsidRPr="000F548E">
        <w:rPr>
          <w:rFonts w:ascii="Times New Roman" w:eastAsia="Times New Roman" w:hAnsi="Times New Roman" w:cs="Times New Roman"/>
          <w:sz w:val="24"/>
          <w:lang w:eastAsia="en-AU"/>
        </w:rPr>
        <w:t>Sep</w:t>
      </w:r>
      <w:r w:rsidR="005E5D54">
        <w:rPr>
          <w:rFonts w:ascii="Times New Roman" w:eastAsia="Times New Roman" w:hAnsi="Times New Roman" w:cs="Times New Roman"/>
          <w:sz w:val="24"/>
          <w:lang w:eastAsia="en-AU"/>
        </w:rPr>
        <w:t>tember </w:t>
      </w:r>
      <w:r w:rsidR="005E5D54" w:rsidRPr="00743C1A">
        <w:rPr>
          <w:rFonts w:ascii="Times New Roman" w:eastAsia="Times New Roman" w:hAnsi="Times New Roman" w:cs="Times New Roman"/>
          <w:sz w:val="24"/>
          <w:lang w:eastAsia="en-AU"/>
        </w:rPr>
        <w:t>2025</w:t>
      </w:r>
      <w:r w:rsidR="005E5D54">
        <w:rPr>
          <w:rFonts w:ascii="Times New Roman" w:eastAsia="Times New Roman" w:hAnsi="Times New Roman" w:cs="Times New Roman"/>
          <w:sz w:val="24"/>
          <w:lang w:eastAsia="en-AU"/>
        </w:rPr>
        <w:t xml:space="preserve">. Division 3 of Part III will also be subject to review by the Parliamentary Joint Committee on Intelligence and Security, if the Committee resolves to do so, by 7 September 2023 (paragraph 29(1)(ce), </w:t>
      </w:r>
      <w:r w:rsidR="005E5D54" w:rsidRPr="00C40369">
        <w:rPr>
          <w:rFonts w:ascii="Times New Roman" w:eastAsia="Times New Roman" w:hAnsi="Times New Roman" w:cs="Times New Roman"/>
          <w:i/>
          <w:sz w:val="24"/>
          <w:lang w:eastAsia="en-AU"/>
        </w:rPr>
        <w:t>Intelligence Services Act 2001.</w:t>
      </w:r>
    </w:p>
    <w:p w14:paraId="49A98C8A" w14:textId="77777777" w:rsidR="005E5D54" w:rsidRDefault="005E5D54" w:rsidP="000F62D7">
      <w:pPr>
        <w:spacing w:after="0" w:line="240" w:lineRule="auto"/>
        <w:ind w:right="91"/>
        <w:rPr>
          <w:rFonts w:ascii="Times New Roman" w:eastAsia="Times New Roman" w:hAnsi="Times New Roman" w:cs="Times New Roman"/>
          <w:i/>
          <w:sz w:val="24"/>
          <w:lang w:eastAsia="en-AU"/>
        </w:rPr>
      </w:pPr>
    </w:p>
    <w:p w14:paraId="67A5B076" w14:textId="2B8A659C" w:rsidR="005E5D54" w:rsidRPr="007A452F" w:rsidRDefault="00D27A56" w:rsidP="00D27A56">
      <w:pPr>
        <w:spacing w:after="0" w:line="240" w:lineRule="auto"/>
        <w:ind w:right="91"/>
        <w:rPr>
          <w:rFonts w:ascii="Times New Roman" w:eastAsia="Times New Roman" w:hAnsi="Times New Roman" w:cs="Times New Roman"/>
          <w:sz w:val="24"/>
          <w:lang w:eastAsia="en-AU"/>
        </w:rPr>
      </w:pPr>
      <w:r w:rsidRPr="00400938">
        <w:rPr>
          <w:rFonts w:ascii="Times New Roman" w:eastAsia="Times New Roman" w:hAnsi="Times New Roman" w:cs="Times New Roman"/>
          <w:sz w:val="24"/>
          <w:lang w:eastAsia="en-AU"/>
        </w:rPr>
        <w:t xml:space="preserve">In addition, section 16 of the </w:t>
      </w:r>
      <w:r w:rsidRPr="00400938">
        <w:rPr>
          <w:rFonts w:ascii="Times New Roman" w:hAnsi="Times New Roman" w:cs="Times New Roman"/>
          <w:i/>
          <w:sz w:val="24"/>
          <w:szCs w:val="24"/>
        </w:rPr>
        <w:t xml:space="preserve">Australian Security Intelligence Organisation (Statement of Procedures) Instrument 2020 </w:t>
      </w:r>
      <w:r w:rsidR="005E5D54" w:rsidRPr="007A452F">
        <w:rPr>
          <w:rFonts w:ascii="Times New Roman" w:eastAsia="Times New Roman" w:hAnsi="Times New Roman" w:cs="Times New Roman"/>
          <w:sz w:val="24"/>
          <w:lang w:eastAsia="en-AU"/>
        </w:rPr>
        <w:t>provides that the operation and suitability of the instrument will be reviewed on a recurring basis to coincide with the review of the Minister’s Guidelines made under section 8A of the ASIO Act. Paragraph 1.14 of those Guidelines provides that an initial review must be completed within three years after the commencement of the Guidelines, and that a further review must be completed every three years thereafter.</w:t>
      </w:r>
    </w:p>
    <w:p w14:paraId="681D9615" w14:textId="77777777" w:rsidR="000F62D7" w:rsidRDefault="000F62D7" w:rsidP="000F62D7">
      <w:pPr>
        <w:tabs>
          <w:tab w:val="right" w:pos="8931"/>
        </w:tabs>
        <w:spacing w:after="0" w:line="240" w:lineRule="exact"/>
        <w:ind w:right="91"/>
        <w:rPr>
          <w:rFonts w:ascii="Times New Roman" w:eastAsia="Times New Roman" w:hAnsi="Times New Roman" w:cs="Times New Roman"/>
          <w:sz w:val="24"/>
          <w:lang w:eastAsia="en-AU"/>
        </w:rPr>
      </w:pPr>
    </w:p>
    <w:p w14:paraId="52139418" w14:textId="77777777" w:rsidR="000F62D7" w:rsidRPr="00224DAC" w:rsidRDefault="000F62D7" w:rsidP="000F62D7">
      <w:pPr>
        <w:tabs>
          <w:tab w:val="right" w:pos="8931"/>
        </w:tabs>
        <w:spacing w:after="0" w:line="240" w:lineRule="exact"/>
        <w:ind w:right="91"/>
        <w:rPr>
          <w:rFonts w:ascii="Times New Roman" w:eastAsia="Times New Roman" w:hAnsi="Times New Roman" w:cs="Times New Roman"/>
          <w:b/>
          <w:sz w:val="24"/>
          <w:lang w:eastAsia="en-AU"/>
        </w:rPr>
      </w:pPr>
      <w:r w:rsidRPr="00224DAC">
        <w:rPr>
          <w:rFonts w:ascii="Times New Roman" w:eastAsia="Times New Roman" w:hAnsi="Times New Roman" w:cs="Times New Roman"/>
          <w:b/>
          <w:sz w:val="24"/>
          <w:lang w:eastAsia="en-AU"/>
        </w:rPr>
        <w:t>Item 3 –</w:t>
      </w:r>
      <w:r>
        <w:rPr>
          <w:rFonts w:ascii="Times New Roman" w:eastAsia="Times New Roman" w:hAnsi="Times New Roman" w:cs="Times New Roman"/>
          <w:b/>
          <w:sz w:val="24"/>
          <w:lang w:eastAsia="en-AU"/>
        </w:rPr>
        <w:t xml:space="preserve"> S</w:t>
      </w:r>
      <w:r w:rsidRPr="00224DAC">
        <w:rPr>
          <w:rFonts w:ascii="Times New Roman" w:eastAsia="Times New Roman" w:hAnsi="Times New Roman" w:cs="Times New Roman"/>
          <w:b/>
          <w:sz w:val="24"/>
          <w:lang w:eastAsia="en-AU"/>
        </w:rPr>
        <w:t>ection 12 (after table item 56B)</w:t>
      </w:r>
    </w:p>
    <w:p w14:paraId="54254F35" w14:textId="77777777" w:rsidR="000F62D7" w:rsidRDefault="000F62D7" w:rsidP="000F62D7">
      <w:pPr>
        <w:tabs>
          <w:tab w:val="right" w:pos="8931"/>
        </w:tabs>
        <w:spacing w:after="0" w:line="240" w:lineRule="exact"/>
        <w:ind w:right="91"/>
        <w:rPr>
          <w:rFonts w:ascii="Times New Roman" w:eastAsia="Times New Roman" w:hAnsi="Times New Roman" w:cs="Times New Roman"/>
          <w:sz w:val="24"/>
          <w:lang w:eastAsia="en-AU"/>
        </w:rPr>
      </w:pPr>
    </w:p>
    <w:p w14:paraId="0DA2943E" w14:textId="2D1570FB" w:rsidR="001D032F" w:rsidRPr="00BD0E0F" w:rsidRDefault="001D032F" w:rsidP="001D032F">
      <w:pPr>
        <w:tabs>
          <w:tab w:val="right" w:pos="8931"/>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Item 3 of Schedule 1 to t</w:t>
      </w:r>
      <w:r w:rsidRPr="00BD0E0F">
        <w:rPr>
          <w:rFonts w:ascii="Times New Roman" w:eastAsia="Times New Roman" w:hAnsi="Times New Roman" w:cs="Times New Roman"/>
          <w:sz w:val="24"/>
          <w:lang w:eastAsia="en-AU"/>
        </w:rPr>
        <w:t xml:space="preserve">he </w:t>
      </w:r>
      <w:r>
        <w:rPr>
          <w:rFonts w:ascii="Times New Roman" w:eastAsia="Times New Roman" w:hAnsi="Times New Roman" w:cs="Times New Roman"/>
          <w:sz w:val="24"/>
          <w:lang w:eastAsia="en-AU"/>
        </w:rPr>
        <w:t>Ame</w:t>
      </w:r>
      <w:r w:rsidR="00014E4A">
        <w:rPr>
          <w:rFonts w:ascii="Times New Roman" w:eastAsia="Times New Roman" w:hAnsi="Times New Roman" w:cs="Times New Roman"/>
          <w:sz w:val="24"/>
          <w:lang w:eastAsia="en-AU"/>
        </w:rPr>
        <w:t>ndment</w:t>
      </w:r>
      <w:r w:rsidRPr="00BD0E0F">
        <w:rPr>
          <w:rFonts w:ascii="Times New Roman" w:eastAsia="Times New Roman" w:hAnsi="Times New Roman" w:cs="Times New Roman"/>
          <w:sz w:val="24"/>
          <w:lang w:eastAsia="en-AU"/>
        </w:rPr>
        <w:t xml:space="preserve"> Regulations insert</w:t>
      </w:r>
      <w:r w:rsidR="00014E4A">
        <w:rPr>
          <w:rFonts w:ascii="Times New Roman" w:eastAsia="Times New Roman" w:hAnsi="Times New Roman" w:cs="Times New Roman"/>
          <w:sz w:val="24"/>
          <w:lang w:eastAsia="en-AU"/>
        </w:rPr>
        <w:t>s</w:t>
      </w:r>
      <w:r w:rsidRPr="00BD0E0F">
        <w:rPr>
          <w:rFonts w:ascii="Times New Roman" w:eastAsia="Times New Roman" w:hAnsi="Times New Roman" w:cs="Times New Roman"/>
          <w:sz w:val="24"/>
          <w:lang w:eastAsia="en-AU"/>
        </w:rPr>
        <w:t xml:space="preserve"> a new sunsetting exemption in item 56C of section 12 of the Principal Regulation for standards made under section 12 of the </w:t>
      </w:r>
      <w:r w:rsidRPr="00BD0E0F">
        <w:rPr>
          <w:rFonts w:ascii="Times New Roman" w:eastAsia="Times New Roman" w:hAnsi="Times New Roman" w:cs="Times New Roman"/>
          <w:i/>
          <w:sz w:val="24"/>
          <w:lang w:eastAsia="en-AU"/>
        </w:rPr>
        <w:t>Road Vehicle Standards Act 2018</w:t>
      </w:r>
      <w:r w:rsidRPr="00BD0E0F">
        <w:rPr>
          <w:rFonts w:ascii="Times New Roman" w:eastAsia="Times New Roman" w:hAnsi="Times New Roman" w:cs="Times New Roman"/>
          <w:sz w:val="24"/>
          <w:lang w:eastAsia="en-AU"/>
        </w:rPr>
        <w:t xml:space="preserve"> (RVS Act). </w:t>
      </w:r>
    </w:p>
    <w:p w14:paraId="18830C2F" w14:textId="77777777" w:rsidR="000F62D7" w:rsidRDefault="000F62D7" w:rsidP="000F62D7">
      <w:pPr>
        <w:tabs>
          <w:tab w:val="right" w:pos="8931"/>
        </w:tabs>
        <w:spacing w:after="0" w:line="240" w:lineRule="auto"/>
        <w:ind w:right="91"/>
        <w:rPr>
          <w:rFonts w:ascii="Times New Roman" w:eastAsia="Times New Roman" w:hAnsi="Times New Roman" w:cs="Times New Roman"/>
          <w:sz w:val="24"/>
          <w:lang w:eastAsia="en-AU"/>
        </w:rPr>
      </w:pPr>
    </w:p>
    <w:p w14:paraId="7677171A" w14:textId="77777777" w:rsidR="000F62D7" w:rsidRDefault="000F62D7" w:rsidP="000F62D7">
      <w:pPr>
        <w:tabs>
          <w:tab w:val="right" w:pos="8931"/>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lastRenderedPageBreak/>
        <w:t xml:space="preserve">The RVS Act and associated Acts relating to consequential and transitional provisions passed Parliament in late 2018. The RVS Act is being phased in and will replace the </w:t>
      </w:r>
      <w:r w:rsidRPr="00B72DCC">
        <w:rPr>
          <w:rFonts w:ascii="Times New Roman" w:eastAsia="Times New Roman" w:hAnsi="Times New Roman" w:cs="Times New Roman"/>
          <w:i/>
          <w:sz w:val="24"/>
          <w:lang w:eastAsia="en-AU"/>
        </w:rPr>
        <w:t>Motor Vehicle Standards Act 1989</w:t>
      </w:r>
      <w:r>
        <w:rPr>
          <w:rFonts w:ascii="Times New Roman" w:eastAsia="Times New Roman" w:hAnsi="Times New Roman" w:cs="Times New Roman"/>
          <w:sz w:val="24"/>
          <w:lang w:eastAsia="en-AU"/>
        </w:rPr>
        <w:t xml:space="preserve"> (MVS Act) and commence in full from 1 July 2021.</w:t>
      </w:r>
    </w:p>
    <w:p w14:paraId="51BE2AD8" w14:textId="77777777" w:rsidR="000F62D7" w:rsidRDefault="000F62D7" w:rsidP="000F62D7">
      <w:pPr>
        <w:tabs>
          <w:tab w:val="right" w:pos="8931"/>
        </w:tabs>
        <w:spacing w:after="0" w:line="240" w:lineRule="auto"/>
        <w:ind w:right="91"/>
        <w:rPr>
          <w:rFonts w:ascii="Times New Roman" w:eastAsia="Times New Roman" w:hAnsi="Times New Roman" w:cs="Times New Roman"/>
          <w:sz w:val="24"/>
          <w:lang w:eastAsia="en-AU"/>
        </w:rPr>
      </w:pPr>
    </w:p>
    <w:p w14:paraId="077E779D" w14:textId="42748C6E" w:rsidR="000F62D7" w:rsidRDefault="000F62D7" w:rsidP="000F62D7">
      <w:pPr>
        <w:tabs>
          <w:tab w:val="right" w:pos="8931"/>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An exemption from sunsetting was previously granted in respect of national standards made under section 7 or 9 of the MVS Act (item 40, section 12 of the Principal Regulation). Following the commencement of the RVS Act on 1 July 2021, the national standards will be made under section 12 of the RVS Act. Section 12 of the RVS Act is substantively equivalent to section 7 of the MVS Act. </w:t>
      </w:r>
    </w:p>
    <w:p w14:paraId="19BF7F08" w14:textId="77777777" w:rsidR="000F62D7" w:rsidRDefault="000F62D7" w:rsidP="000F62D7">
      <w:pPr>
        <w:tabs>
          <w:tab w:val="right" w:pos="8931"/>
        </w:tabs>
        <w:spacing w:after="0" w:line="240" w:lineRule="auto"/>
        <w:ind w:right="91"/>
        <w:rPr>
          <w:rFonts w:ascii="Times New Roman" w:eastAsia="Times New Roman" w:hAnsi="Times New Roman" w:cs="Times New Roman"/>
          <w:sz w:val="24"/>
          <w:lang w:eastAsia="en-AU"/>
        </w:rPr>
      </w:pPr>
    </w:p>
    <w:p w14:paraId="627903D6" w14:textId="77777777" w:rsidR="000F62D7" w:rsidRDefault="000F62D7" w:rsidP="000F62D7">
      <w:pPr>
        <w:tabs>
          <w:tab w:val="right" w:pos="8931"/>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legislative instruments covered by the exemption are commonly known as Australian Design Rules (ADRs). ADRs set minimum standards for road vehicles and their components, which support the design, manufacture and testing of road vehicles to regulate safety, theft protection and emissions control. Standards remain relevant for the life of the vehicle and are therefore intended to have enduring operation. The ADRs also facilitate the establishment and operation of the intergovernmental vehicle standard regime that Commonwealth, State and Territory governments rely on to regulate the safety of vehicles on public roads.</w:t>
      </w:r>
    </w:p>
    <w:p w14:paraId="57950FD8" w14:textId="77777777" w:rsidR="000F62D7" w:rsidRDefault="000F62D7" w:rsidP="000F62D7">
      <w:pPr>
        <w:tabs>
          <w:tab w:val="right" w:pos="8931"/>
        </w:tabs>
        <w:spacing w:after="0" w:line="240" w:lineRule="auto"/>
        <w:ind w:right="91"/>
        <w:rPr>
          <w:rFonts w:ascii="Times New Roman" w:eastAsia="Times New Roman" w:hAnsi="Times New Roman" w:cs="Times New Roman"/>
          <w:sz w:val="24"/>
          <w:lang w:eastAsia="en-AU"/>
        </w:rPr>
      </w:pPr>
    </w:p>
    <w:p w14:paraId="0C8DA8EA" w14:textId="0C3C230B" w:rsidR="000F62D7" w:rsidRPr="000218FA" w:rsidRDefault="000F62D7" w:rsidP="000F62D7">
      <w:pPr>
        <w:tabs>
          <w:tab w:val="right" w:pos="8931"/>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Although the instruments made under section 7 and 9 of the MVS Act are saved and transitioned across to the RVS Act pursuant to the </w:t>
      </w:r>
      <w:r w:rsidRPr="00F6333B">
        <w:rPr>
          <w:rFonts w:ascii="Times New Roman" w:eastAsia="Times New Roman" w:hAnsi="Times New Roman" w:cs="Times New Roman"/>
          <w:i/>
          <w:sz w:val="24"/>
          <w:lang w:eastAsia="en-AU"/>
        </w:rPr>
        <w:t>Road Vehicle Standards Transitional and Consequential Act 2018</w:t>
      </w:r>
      <w:r>
        <w:rPr>
          <w:rFonts w:ascii="Times New Roman" w:eastAsia="Times New Roman" w:hAnsi="Times New Roman" w:cs="Times New Roman"/>
          <w:sz w:val="24"/>
          <w:lang w:eastAsia="en-AU"/>
        </w:rPr>
        <w:t>, the existing exemption for these instruments as made under the MVS Act will remain in the Principal Regulation (item 40, section 12), to maintain certainty around the exemption applying to the Act under which the instruments were originally made and registered.</w:t>
      </w:r>
    </w:p>
    <w:p w14:paraId="09BFDCFF" w14:textId="62F90F93" w:rsidR="00F33269" w:rsidRPr="00C15B9E" w:rsidRDefault="00F33269" w:rsidP="000F62D7">
      <w:pPr>
        <w:keepNext/>
        <w:spacing w:line="360" w:lineRule="auto"/>
        <w:rPr>
          <w:rFonts w:ascii="Times New Roman" w:eastAsia="Times New Roman" w:hAnsi="Times New Roman" w:cs="Times New Roman"/>
          <w:sz w:val="24"/>
          <w:lang w:eastAsia="en-AU"/>
        </w:rPr>
      </w:pPr>
    </w:p>
    <w:sectPr w:rsidR="00F33269" w:rsidRPr="00C15B9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F9551" w14:textId="77777777" w:rsidR="0025613C" w:rsidRDefault="0025613C" w:rsidP="0002636A">
      <w:pPr>
        <w:spacing w:after="0" w:line="240" w:lineRule="auto"/>
      </w:pPr>
      <w:r>
        <w:separator/>
      </w:r>
    </w:p>
  </w:endnote>
  <w:endnote w:type="continuationSeparator" w:id="0">
    <w:p w14:paraId="746D4EE9" w14:textId="77777777" w:rsidR="0025613C" w:rsidRDefault="0025613C"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188CA" w14:textId="77777777" w:rsidR="00CA4747" w:rsidRDefault="00CA47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7FD0DE36" w:rsidR="0002636A" w:rsidRDefault="0002636A">
        <w:pPr>
          <w:pStyle w:val="Footer"/>
          <w:jc w:val="right"/>
        </w:pPr>
        <w:r>
          <w:fldChar w:fldCharType="begin"/>
        </w:r>
        <w:r>
          <w:instrText xml:space="preserve"> PAGE   \* MERGEFORMAT </w:instrText>
        </w:r>
        <w:r>
          <w:fldChar w:fldCharType="separate"/>
        </w:r>
        <w:r w:rsidR="00BC751D">
          <w:rPr>
            <w:noProof/>
          </w:rPr>
          <w:t>4</w:t>
        </w:r>
        <w:r>
          <w:rPr>
            <w:noProof/>
          </w:rPr>
          <w:fldChar w:fldCharType="end"/>
        </w:r>
      </w:p>
    </w:sdtContent>
  </w:sdt>
  <w:p w14:paraId="09BFDD05" w14:textId="77777777" w:rsidR="0002636A" w:rsidRDefault="000263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A6CB" w14:textId="77777777" w:rsidR="00CA4747" w:rsidRDefault="00CA4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146D3" w14:textId="77777777" w:rsidR="0025613C" w:rsidRDefault="0025613C" w:rsidP="0002636A">
      <w:pPr>
        <w:spacing w:after="0" w:line="240" w:lineRule="auto"/>
      </w:pPr>
      <w:r>
        <w:separator/>
      </w:r>
    </w:p>
  </w:footnote>
  <w:footnote w:type="continuationSeparator" w:id="0">
    <w:p w14:paraId="225D245E" w14:textId="77777777" w:rsidR="0025613C" w:rsidRDefault="0025613C" w:rsidP="00026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7DC8" w14:textId="77777777" w:rsidR="00CA4747" w:rsidRDefault="00CA47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3BFF5" w14:textId="77777777" w:rsidR="00CA4747" w:rsidRDefault="00CA47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76532" w14:textId="77777777" w:rsidR="00CA4747" w:rsidRDefault="00CA47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07F75"/>
    <w:multiLevelType w:val="hybridMultilevel"/>
    <w:tmpl w:val="1D2C6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0416D5"/>
    <w:multiLevelType w:val="hybridMultilevel"/>
    <w:tmpl w:val="2D0A1F1A"/>
    <w:lvl w:ilvl="0" w:tplc="A4CEFB2E">
      <w:start w:val="1"/>
      <w:numFmt w:val="bullet"/>
      <w:lvlText w:val=""/>
      <w:lvlJc w:val="left"/>
      <w:pPr>
        <w:ind w:left="1117" w:hanging="360"/>
      </w:pPr>
      <w:rPr>
        <w:rFonts w:ascii="Symbol" w:hAnsi="Symbol" w:hint="default"/>
        <w:color w:val="auto"/>
      </w:rPr>
    </w:lvl>
    <w:lvl w:ilvl="1" w:tplc="0C090003">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4"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9D5B48"/>
    <w:multiLevelType w:val="hybridMultilevel"/>
    <w:tmpl w:val="24B45C10"/>
    <w:lvl w:ilvl="0" w:tplc="B41E4FBA">
      <w:start w:val="3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726FC8"/>
    <w:multiLevelType w:val="hybridMultilevel"/>
    <w:tmpl w:val="16086F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4333AD"/>
    <w:multiLevelType w:val="hybridMultilevel"/>
    <w:tmpl w:val="418C1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10485C"/>
    <w:multiLevelType w:val="hybridMultilevel"/>
    <w:tmpl w:val="6FB870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4C371E"/>
    <w:multiLevelType w:val="singleLevel"/>
    <w:tmpl w:val="F7BC9572"/>
    <w:lvl w:ilvl="0">
      <w:start w:val="1"/>
      <w:numFmt w:val="bullet"/>
      <w:pStyle w:val="legcomeasuredot"/>
      <w:lvlText w:val=""/>
      <w:lvlJc w:val="left"/>
      <w:pPr>
        <w:tabs>
          <w:tab w:val="num" w:pos="757"/>
        </w:tabs>
        <w:ind w:left="397"/>
      </w:pPr>
      <w:rPr>
        <w:rFonts w:ascii="Wingdings" w:hAnsi="Wingdings" w:hint="default"/>
        <w:sz w:val="16"/>
      </w:rPr>
    </w:lvl>
  </w:abstractNum>
  <w:abstractNum w:abstractNumId="12"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C82722"/>
    <w:multiLevelType w:val="hybridMultilevel"/>
    <w:tmpl w:val="16086F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B54D2C"/>
    <w:multiLevelType w:val="multilevel"/>
    <w:tmpl w:val="E7DA1C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6B57919"/>
    <w:multiLevelType w:val="hybridMultilevel"/>
    <w:tmpl w:val="11925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D94064F"/>
    <w:multiLevelType w:val="hybridMultilevel"/>
    <w:tmpl w:val="DB805A48"/>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330DD3"/>
    <w:multiLevelType w:val="hybridMultilevel"/>
    <w:tmpl w:val="176AA8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0B3972"/>
    <w:multiLevelType w:val="hybridMultilevel"/>
    <w:tmpl w:val="7F8CBBCA"/>
    <w:lvl w:ilvl="0" w:tplc="A52880F0">
      <w:start w:val="1"/>
      <w:numFmt w:val="decimal"/>
      <w:lvlText w:val="%1."/>
      <w:lvlJc w:val="left"/>
      <w:pPr>
        <w:ind w:left="720"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2"/>
  </w:num>
  <w:num w:numId="3">
    <w:abstractNumId w:val="15"/>
  </w:num>
  <w:num w:numId="4">
    <w:abstractNumId w:val="22"/>
  </w:num>
  <w:num w:numId="5">
    <w:abstractNumId w:val="4"/>
  </w:num>
  <w:num w:numId="6">
    <w:abstractNumId w:val="24"/>
  </w:num>
  <w:num w:numId="7">
    <w:abstractNumId w:val="0"/>
  </w:num>
  <w:num w:numId="8">
    <w:abstractNumId w:val="14"/>
  </w:num>
  <w:num w:numId="9">
    <w:abstractNumId w:val="5"/>
  </w:num>
  <w:num w:numId="10">
    <w:abstractNumId w:val="20"/>
  </w:num>
  <w:num w:numId="11">
    <w:abstractNumId w:val="17"/>
  </w:num>
  <w:num w:numId="12">
    <w:abstractNumId w:val="16"/>
  </w:num>
  <w:num w:numId="13">
    <w:abstractNumId w:val="6"/>
  </w:num>
  <w:num w:numId="14">
    <w:abstractNumId w:val="25"/>
  </w:num>
  <w:num w:numId="15">
    <w:abstractNumId w:val="11"/>
  </w:num>
  <w:num w:numId="16">
    <w:abstractNumId w:val="3"/>
  </w:num>
  <w:num w:numId="17">
    <w:abstractNumId w:val="10"/>
  </w:num>
  <w:num w:numId="18">
    <w:abstractNumId w:val="19"/>
  </w:num>
  <w:num w:numId="19">
    <w:abstractNumId w:val="7"/>
  </w:num>
  <w:num w:numId="20">
    <w:abstractNumId w:val="1"/>
  </w:num>
  <w:num w:numId="21">
    <w:abstractNumId w:val="23"/>
  </w:num>
  <w:num w:numId="22">
    <w:abstractNumId w:val="21"/>
  </w:num>
  <w:num w:numId="23">
    <w:abstractNumId w:val="18"/>
  </w:num>
  <w:num w:numId="24">
    <w:abstractNumId w:val="13"/>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123CD"/>
    <w:rsid w:val="00012AD6"/>
    <w:rsid w:val="00014E4A"/>
    <w:rsid w:val="0002636A"/>
    <w:rsid w:val="000415BA"/>
    <w:rsid w:val="00043840"/>
    <w:rsid w:val="00050A67"/>
    <w:rsid w:val="00065A9B"/>
    <w:rsid w:val="000760AF"/>
    <w:rsid w:val="00092565"/>
    <w:rsid w:val="000A66BD"/>
    <w:rsid w:val="000E1EA1"/>
    <w:rsid w:val="000E2C80"/>
    <w:rsid w:val="000F0FB1"/>
    <w:rsid w:val="000F62D7"/>
    <w:rsid w:val="00102000"/>
    <w:rsid w:val="0010364C"/>
    <w:rsid w:val="00106CBA"/>
    <w:rsid w:val="001210F6"/>
    <w:rsid w:val="0012118E"/>
    <w:rsid w:val="00132863"/>
    <w:rsid w:val="001469C7"/>
    <w:rsid w:val="001578EC"/>
    <w:rsid w:val="0017632E"/>
    <w:rsid w:val="00186EFA"/>
    <w:rsid w:val="001950D4"/>
    <w:rsid w:val="00195A18"/>
    <w:rsid w:val="001A7CA7"/>
    <w:rsid w:val="001B4C3D"/>
    <w:rsid w:val="001C4696"/>
    <w:rsid w:val="001C64C1"/>
    <w:rsid w:val="001D032F"/>
    <w:rsid w:val="001D3031"/>
    <w:rsid w:val="001E4E49"/>
    <w:rsid w:val="001F1F27"/>
    <w:rsid w:val="001F521A"/>
    <w:rsid w:val="00207E15"/>
    <w:rsid w:val="0021535B"/>
    <w:rsid w:val="00223A60"/>
    <w:rsid w:val="00224698"/>
    <w:rsid w:val="002415F9"/>
    <w:rsid w:val="00245D1E"/>
    <w:rsid w:val="0025613C"/>
    <w:rsid w:val="0026109C"/>
    <w:rsid w:val="00262B9E"/>
    <w:rsid w:val="00270128"/>
    <w:rsid w:val="002A084D"/>
    <w:rsid w:val="002A0F7E"/>
    <w:rsid w:val="002B2ED4"/>
    <w:rsid w:val="002B361E"/>
    <w:rsid w:val="002C5B76"/>
    <w:rsid w:val="002C7CFD"/>
    <w:rsid w:val="002E2783"/>
    <w:rsid w:val="002E691C"/>
    <w:rsid w:val="002F4CC7"/>
    <w:rsid w:val="002F7B4E"/>
    <w:rsid w:val="00331612"/>
    <w:rsid w:val="00332005"/>
    <w:rsid w:val="0033661A"/>
    <w:rsid w:val="00340B67"/>
    <w:rsid w:val="003516FD"/>
    <w:rsid w:val="00354A2D"/>
    <w:rsid w:val="00356C7B"/>
    <w:rsid w:val="00376163"/>
    <w:rsid w:val="00381504"/>
    <w:rsid w:val="00381AEC"/>
    <w:rsid w:val="003861A6"/>
    <w:rsid w:val="003910B7"/>
    <w:rsid w:val="00394402"/>
    <w:rsid w:val="00396940"/>
    <w:rsid w:val="0039734A"/>
    <w:rsid w:val="003B6050"/>
    <w:rsid w:val="003C6789"/>
    <w:rsid w:val="003F74F0"/>
    <w:rsid w:val="00411CA5"/>
    <w:rsid w:val="00413128"/>
    <w:rsid w:val="00445D8F"/>
    <w:rsid w:val="00446A47"/>
    <w:rsid w:val="004518A4"/>
    <w:rsid w:val="0045685C"/>
    <w:rsid w:val="00465532"/>
    <w:rsid w:val="004709FE"/>
    <w:rsid w:val="00480CA7"/>
    <w:rsid w:val="00485B71"/>
    <w:rsid w:val="0049094A"/>
    <w:rsid w:val="004A0438"/>
    <w:rsid w:val="004A4086"/>
    <w:rsid w:val="004B3C03"/>
    <w:rsid w:val="004C075C"/>
    <w:rsid w:val="004C3F91"/>
    <w:rsid w:val="004C493D"/>
    <w:rsid w:val="004F430F"/>
    <w:rsid w:val="0050128E"/>
    <w:rsid w:val="0050398F"/>
    <w:rsid w:val="00516FB9"/>
    <w:rsid w:val="00521029"/>
    <w:rsid w:val="00523742"/>
    <w:rsid w:val="00526AA1"/>
    <w:rsid w:val="00545D94"/>
    <w:rsid w:val="00546990"/>
    <w:rsid w:val="0056353F"/>
    <w:rsid w:val="00566C9B"/>
    <w:rsid w:val="00582527"/>
    <w:rsid w:val="00594B38"/>
    <w:rsid w:val="005C40D8"/>
    <w:rsid w:val="005C4F5C"/>
    <w:rsid w:val="005D194A"/>
    <w:rsid w:val="005D22E8"/>
    <w:rsid w:val="005E5D54"/>
    <w:rsid w:val="0061332F"/>
    <w:rsid w:val="00623936"/>
    <w:rsid w:val="006310BD"/>
    <w:rsid w:val="0063239B"/>
    <w:rsid w:val="00634AE9"/>
    <w:rsid w:val="00635C6A"/>
    <w:rsid w:val="00664938"/>
    <w:rsid w:val="00670C8D"/>
    <w:rsid w:val="00674543"/>
    <w:rsid w:val="00681C94"/>
    <w:rsid w:val="0068288A"/>
    <w:rsid w:val="00687295"/>
    <w:rsid w:val="00690031"/>
    <w:rsid w:val="006905FE"/>
    <w:rsid w:val="006A5E4B"/>
    <w:rsid w:val="006B56F1"/>
    <w:rsid w:val="006C3158"/>
    <w:rsid w:val="006D4824"/>
    <w:rsid w:val="006D6A13"/>
    <w:rsid w:val="006E4A7B"/>
    <w:rsid w:val="006F1D65"/>
    <w:rsid w:val="00711774"/>
    <w:rsid w:val="00712FEE"/>
    <w:rsid w:val="00717DBD"/>
    <w:rsid w:val="00722B1A"/>
    <w:rsid w:val="007722BA"/>
    <w:rsid w:val="00795F5D"/>
    <w:rsid w:val="0079647D"/>
    <w:rsid w:val="00797F90"/>
    <w:rsid w:val="007A757B"/>
    <w:rsid w:val="007A7D00"/>
    <w:rsid w:val="007B7195"/>
    <w:rsid w:val="007C1534"/>
    <w:rsid w:val="007E52ED"/>
    <w:rsid w:val="007F1D53"/>
    <w:rsid w:val="0080060F"/>
    <w:rsid w:val="008305A3"/>
    <w:rsid w:val="00835821"/>
    <w:rsid w:val="008408A2"/>
    <w:rsid w:val="00840BC8"/>
    <w:rsid w:val="00872B27"/>
    <w:rsid w:val="00875243"/>
    <w:rsid w:val="00877BB1"/>
    <w:rsid w:val="00891655"/>
    <w:rsid w:val="00894D9D"/>
    <w:rsid w:val="008A5DF1"/>
    <w:rsid w:val="008A7565"/>
    <w:rsid w:val="008B2955"/>
    <w:rsid w:val="008B54CC"/>
    <w:rsid w:val="008D065D"/>
    <w:rsid w:val="008E1C80"/>
    <w:rsid w:val="008E5A9E"/>
    <w:rsid w:val="008F0E59"/>
    <w:rsid w:val="008F5D1D"/>
    <w:rsid w:val="00900A3E"/>
    <w:rsid w:val="00902F3D"/>
    <w:rsid w:val="00911332"/>
    <w:rsid w:val="00917F5A"/>
    <w:rsid w:val="009227B6"/>
    <w:rsid w:val="00931CAD"/>
    <w:rsid w:val="009401C1"/>
    <w:rsid w:val="00950568"/>
    <w:rsid w:val="00951004"/>
    <w:rsid w:val="00957401"/>
    <w:rsid w:val="009601BB"/>
    <w:rsid w:val="00967B7A"/>
    <w:rsid w:val="009B07B0"/>
    <w:rsid w:val="009B1F88"/>
    <w:rsid w:val="009B6322"/>
    <w:rsid w:val="009C0BE2"/>
    <w:rsid w:val="009D2B82"/>
    <w:rsid w:val="00A203ED"/>
    <w:rsid w:val="00A219C3"/>
    <w:rsid w:val="00A25DB3"/>
    <w:rsid w:val="00A54E54"/>
    <w:rsid w:val="00A56FDF"/>
    <w:rsid w:val="00A6232C"/>
    <w:rsid w:val="00A62E04"/>
    <w:rsid w:val="00A775B0"/>
    <w:rsid w:val="00A80418"/>
    <w:rsid w:val="00A919C5"/>
    <w:rsid w:val="00A95CB7"/>
    <w:rsid w:val="00A976D0"/>
    <w:rsid w:val="00AA1DBA"/>
    <w:rsid w:val="00AA211A"/>
    <w:rsid w:val="00AB3F89"/>
    <w:rsid w:val="00AC39E5"/>
    <w:rsid w:val="00AD2CF6"/>
    <w:rsid w:val="00AD3994"/>
    <w:rsid w:val="00AF0C63"/>
    <w:rsid w:val="00AF673F"/>
    <w:rsid w:val="00B00A72"/>
    <w:rsid w:val="00B0768B"/>
    <w:rsid w:val="00B14CCA"/>
    <w:rsid w:val="00B25414"/>
    <w:rsid w:val="00B273E1"/>
    <w:rsid w:val="00B325F7"/>
    <w:rsid w:val="00B427D5"/>
    <w:rsid w:val="00B442DD"/>
    <w:rsid w:val="00B57503"/>
    <w:rsid w:val="00B61812"/>
    <w:rsid w:val="00B732E5"/>
    <w:rsid w:val="00B828BC"/>
    <w:rsid w:val="00B94B27"/>
    <w:rsid w:val="00BA3F3C"/>
    <w:rsid w:val="00BB1CFA"/>
    <w:rsid w:val="00BC1B8C"/>
    <w:rsid w:val="00BC6D47"/>
    <w:rsid w:val="00BC751D"/>
    <w:rsid w:val="00BD1B4B"/>
    <w:rsid w:val="00BD77EE"/>
    <w:rsid w:val="00BE587A"/>
    <w:rsid w:val="00C15B9E"/>
    <w:rsid w:val="00C16B35"/>
    <w:rsid w:val="00C30C43"/>
    <w:rsid w:val="00C425E1"/>
    <w:rsid w:val="00C43A8F"/>
    <w:rsid w:val="00C53AC9"/>
    <w:rsid w:val="00C559C7"/>
    <w:rsid w:val="00C80232"/>
    <w:rsid w:val="00C82E75"/>
    <w:rsid w:val="00C858F4"/>
    <w:rsid w:val="00CA0513"/>
    <w:rsid w:val="00CA0AC0"/>
    <w:rsid w:val="00CA4747"/>
    <w:rsid w:val="00CA51E8"/>
    <w:rsid w:val="00CB12A1"/>
    <w:rsid w:val="00CB6411"/>
    <w:rsid w:val="00CC5A78"/>
    <w:rsid w:val="00CC7938"/>
    <w:rsid w:val="00CD3263"/>
    <w:rsid w:val="00CE263A"/>
    <w:rsid w:val="00CE2B60"/>
    <w:rsid w:val="00CE6485"/>
    <w:rsid w:val="00CF14E3"/>
    <w:rsid w:val="00D04770"/>
    <w:rsid w:val="00D11BE8"/>
    <w:rsid w:val="00D137DB"/>
    <w:rsid w:val="00D15E3C"/>
    <w:rsid w:val="00D171DB"/>
    <w:rsid w:val="00D21D3D"/>
    <w:rsid w:val="00D27A56"/>
    <w:rsid w:val="00D466D1"/>
    <w:rsid w:val="00D51A2A"/>
    <w:rsid w:val="00D866F2"/>
    <w:rsid w:val="00DA43DB"/>
    <w:rsid w:val="00DB2DA6"/>
    <w:rsid w:val="00DB54AF"/>
    <w:rsid w:val="00DD38FD"/>
    <w:rsid w:val="00DD4B8B"/>
    <w:rsid w:val="00DE27C8"/>
    <w:rsid w:val="00DE3676"/>
    <w:rsid w:val="00DF3162"/>
    <w:rsid w:val="00DF617F"/>
    <w:rsid w:val="00E21A37"/>
    <w:rsid w:val="00E23B2F"/>
    <w:rsid w:val="00E26062"/>
    <w:rsid w:val="00E336BF"/>
    <w:rsid w:val="00E4308A"/>
    <w:rsid w:val="00E44073"/>
    <w:rsid w:val="00E50752"/>
    <w:rsid w:val="00E524D9"/>
    <w:rsid w:val="00E81349"/>
    <w:rsid w:val="00E96A52"/>
    <w:rsid w:val="00EB5F92"/>
    <w:rsid w:val="00ED357E"/>
    <w:rsid w:val="00F10A91"/>
    <w:rsid w:val="00F11561"/>
    <w:rsid w:val="00F1412B"/>
    <w:rsid w:val="00F24633"/>
    <w:rsid w:val="00F26896"/>
    <w:rsid w:val="00F31A90"/>
    <w:rsid w:val="00F33269"/>
    <w:rsid w:val="00F53BCD"/>
    <w:rsid w:val="00F60F74"/>
    <w:rsid w:val="00F63244"/>
    <w:rsid w:val="00F659A8"/>
    <w:rsid w:val="00F7597C"/>
    <w:rsid w:val="00F769DC"/>
    <w:rsid w:val="00F80B50"/>
    <w:rsid w:val="00F929E0"/>
    <w:rsid w:val="00F9683F"/>
    <w:rsid w:val="00FE44EB"/>
    <w:rsid w:val="00FE6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unhideWhenUsed/>
    <w:qFormat/>
    <w:rsid w:val="00F141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link w:val="ListParagraphChar"/>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legcomeasuredot">
    <w:name w:val="legcomeasuredot"/>
    <w:basedOn w:val="Normal"/>
    <w:rsid w:val="00CC5A78"/>
    <w:pPr>
      <w:numPr>
        <w:numId w:val="15"/>
      </w:numPr>
      <w:tabs>
        <w:tab w:val="left" w:pos="794"/>
      </w:tabs>
      <w:spacing w:after="0" w:line="240" w:lineRule="auto"/>
    </w:pPr>
    <w:rPr>
      <w:rFonts w:ascii="Times New Roman" w:eastAsia="Times New Roman" w:hAnsi="Times New Roman" w:cs="Times New Roman"/>
      <w:sz w:val="24"/>
      <w:szCs w:val="20"/>
      <w:lang w:eastAsia="en-AU"/>
    </w:rPr>
  </w:style>
  <w:style w:type="paragraph" w:styleId="NoSpacing">
    <w:name w:val="No Spacing"/>
    <w:uiPriority w:val="1"/>
    <w:qFormat/>
    <w:rsid w:val="00394402"/>
    <w:pPr>
      <w:spacing w:after="0" w:line="240" w:lineRule="auto"/>
    </w:pPr>
  </w:style>
  <w:style w:type="paragraph" w:customStyle="1" w:styleId="Body">
    <w:name w:val="Body"/>
    <w:aliases w:val="b"/>
    <w:basedOn w:val="Normal"/>
    <w:rsid w:val="00E26062"/>
    <w:pPr>
      <w:spacing w:before="240" w:after="0" w:line="240" w:lineRule="auto"/>
    </w:pPr>
    <w:rPr>
      <w:rFonts w:ascii="Times New Roman" w:eastAsia="Times New Roman" w:hAnsi="Times New Roman" w:cs="Times New Roman"/>
      <w:sz w:val="24"/>
      <w:szCs w:val="20"/>
      <w:lang w:eastAsia="en-AU"/>
    </w:rPr>
  </w:style>
  <w:style w:type="character" w:styleId="Emphasis">
    <w:name w:val="Emphasis"/>
    <w:basedOn w:val="DefaultParagraphFont"/>
    <w:uiPriority w:val="20"/>
    <w:qFormat/>
    <w:rsid w:val="00CA0513"/>
    <w:rPr>
      <w:i/>
      <w:iCs/>
    </w:rPr>
  </w:style>
  <w:style w:type="paragraph" w:styleId="Revision">
    <w:name w:val="Revision"/>
    <w:hidden/>
    <w:uiPriority w:val="99"/>
    <w:semiHidden/>
    <w:rsid w:val="00C425E1"/>
    <w:pPr>
      <w:spacing w:after="0" w:line="240" w:lineRule="auto"/>
    </w:pPr>
  </w:style>
  <w:style w:type="character" w:customStyle="1" w:styleId="ListParagraphChar">
    <w:name w:val="List Paragraph Char"/>
    <w:basedOn w:val="DefaultParagraphFont"/>
    <w:link w:val="ListParagraph"/>
    <w:uiPriority w:val="34"/>
    <w:locked/>
    <w:rsid w:val="000F62D7"/>
  </w:style>
  <w:style w:type="character" w:customStyle="1" w:styleId="Heading2Char">
    <w:name w:val="Heading 2 Char"/>
    <w:basedOn w:val="DefaultParagraphFont"/>
    <w:link w:val="Heading2"/>
    <w:uiPriority w:val="9"/>
    <w:rsid w:val="00F1412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04044">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37EEE5F-C4D9-4278-8416-38DC0D0FCB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9AEC696CE71834AA846805E41D34739" ma:contentTypeVersion="" ma:contentTypeDescription="PDMS Document Site Content Type" ma:contentTypeScope="" ma:versionID="de08a6525fc71c85af8bf1226058930b">
  <xsd:schema xmlns:xsd="http://www.w3.org/2001/XMLSchema" xmlns:xs="http://www.w3.org/2001/XMLSchema" xmlns:p="http://schemas.microsoft.com/office/2006/metadata/properties" xmlns:ns2="637EEE5F-C4D9-4278-8416-38DC0D0FCBD6" targetNamespace="http://schemas.microsoft.com/office/2006/metadata/properties" ma:root="true" ma:fieldsID="fa2b1bdb287351991437b3c6c7c3d7d1" ns2:_="">
    <xsd:import namespace="637EEE5F-C4D9-4278-8416-38DC0D0FCBD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EEE5F-C4D9-4278-8416-38DC0D0FCBD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637EEE5F-C4D9-4278-8416-38DC0D0FCBD6"/>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5843D1B-AA1A-4AB6-92D0-BBD671F72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EEE5F-C4D9-4278-8416-38DC0D0F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DCD711AA-C6E6-47F1-9132-0B799705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Cassimatis, Jessica</cp:lastModifiedBy>
  <cp:revision>4</cp:revision>
  <cp:lastPrinted>2021-06-10T01:44:00Z</cp:lastPrinted>
  <dcterms:created xsi:type="dcterms:W3CDTF">2021-06-10T01:54:00Z</dcterms:created>
  <dcterms:modified xsi:type="dcterms:W3CDTF">2021-06-10T04:08:00Z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0x010100266966F133664895A6EE3632470D45F50029AEC696CE71834AA846805E41D34739</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