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005694" w:rsidRDefault="00DA186E" w:rsidP="00715914">
      <w:pPr>
        <w:rPr>
          <w:sz w:val="28"/>
        </w:rPr>
      </w:pPr>
      <w:r w:rsidRPr="00005694">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005694" w:rsidRDefault="00715914" w:rsidP="00715914">
      <w:pPr>
        <w:rPr>
          <w:sz w:val="19"/>
        </w:rPr>
      </w:pPr>
    </w:p>
    <w:p w14:paraId="6D141519" w14:textId="16A14ED4" w:rsidR="00554826" w:rsidRPr="00005694" w:rsidRDefault="00AF03E7" w:rsidP="00554826">
      <w:pPr>
        <w:pStyle w:val="ShortT"/>
        <w:rPr>
          <w:color w:val="FF0000"/>
        </w:rPr>
      </w:pPr>
      <w:r w:rsidRPr="00005694">
        <w:t>Health Insurance Legislation Amendment (Section 3C General Medical Services –</w:t>
      </w:r>
      <w:r w:rsidR="00EA13DF" w:rsidRPr="00005694">
        <w:t xml:space="preserve"> Eating Disorder and HCH</w:t>
      </w:r>
      <w:r w:rsidR="00ED0E9E" w:rsidRPr="00005694">
        <w:t xml:space="preserve"> </w:t>
      </w:r>
      <w:r w:rsidRPr="00005694">
        <w:t>Consequential Changes)</w:t>
      </w:r>
      <w:r w:rsidR="00CA05CF" w:rsidRPr="00005694">
        <w:t xml:space="preserve"> Determination 2021</w:t>
      </w:r>
    </w:p>
    <w:p w14:paraId="367A4A2F" w14:textId="298B5A14" w:rsidR="00554826" w:rsidRPr="00005694" w:rsidRDefault="00554826" w:rsidP="00554826">
      <w:pPr>
        <w:pStyle w:val="SignCoverPageStart"/>
        <w:spacing w:before="240"/>
        <w:ind w:right="91"/>
        <w:rPr>
          <w:szCs w:val="22"/>
        </w:rPr>
      </w:pPr>
      <w:r w:rsidRPr="00005694">
        <w:rPr>
          <w:szCs w:val="22"/>
        </w:rPr>
        <w:t xml:space="preserve">I, </w:t>
      </w:r>
      <w:r w:rsidR="00873EC0" w:rsidRPr="00005694">
        <w:rPr>
          <w:szCs w:val="22"/>
        </w:rPr>
        <w:t>Travis Haslam</w:t>
      </w:r>
      <w:r w:rsidRPr="00005694">
        <w:rPr>
          <w:szCs w:val="22"/>
        </w:rPr>
        <w:t>,</w:t>
      </w:r>
      <w:r w:rsidRPr="00005694">
        <w:rPr>
          <w:color w:val="FF0000"/>
          <w:szCs w:val="22"/>
        </w:rPr>
        <w:t xml:space="preserve"> </w:t>
      </w:r>
      <w:r w:rsidR="00FF4480" w:rsidRPr="00005694">
        <w:rPr>
          <w:szCs w:val="22"/>
        </w:rPr>
        <w:t xml:space="preserve">delegate of the </w:t>
      </w:r>
      <w:r w:rsidR="009841B4" w:rsidRPr="00005694">
        <w:rPr>
          <w:szCs w:val="22"/>
        </w:rPr>
        <w:t>Minister for Health</w:t>
      </w:r>
      <w:r w:rsidR="00FE7510" w:rsidRPr="00005694">
        <w:rPr>
          <w:szCs w:val="22"/>
        </w:rPr>
        <w:t xml:space="preserve"> and Aged Care</w:t>
      </w:r>
      <w:r w:rsidR="009841B4" w:rsidRPr="00005694">
        <w:rPr>
          <w:szCs w:val="22"/>
        </w:rPr>
        <w:t xml:space="preserve">, </w:t>
      </w:r>
      <w:r w:rsidRPr="00005694">
        <w:rPr>
          <w:szCs w:val="22"/>
        </w:rPr>
        <w:t xml:space="preserve">make the following </w:t>
      </w:r>
      <w:r w:rsidR="009841B4" w:rsidRPr="00005694">
        <w:rPr>
          <w:szCs w:val="22"/>
        </w:rPr>
        <w:t>Determination</w:t>
      </w:r>
      <w:r w:rsidRPr="00005694">
        <w:rPr>
          <w:szCs w:val="22"/>
        </w:rPr>
        <w:t>.</w:t>
      </w:r>
    </w:p>
    <w:p w14:paraId="3485E31C" w14:textId="1A1FC1CB" w:rsidR="00AF03E7" w:rsidRPr="00005694" w:rsidRDefault="00AF03E7" w:rsidP="00AF03E7">
      <w:pPr>
        <w:keepNext/>
        <w:spacing w:before="300" w:line="240" w:lineRule="atLeast"/>
        <w:ind w:right="397"/>
        <w:jc w:val="both"/>
        <w:rPr>
          <w:szCs w:val="22"/>
        </w:rPr>
      </w:pPr>
      <w:r w:rsidRPr="00005694">
        <w:rPr>
          <w:szCs w:val="22"/>
        </w:rPr>
        <w:t>Dated</w:t>
      </w:r>
      <w:r w:rsidR="00005694" w:rsidRPr="00005694">
        <w:rPr>
          <w:szCs w:val="22"/>
        </w:rPr>
        <w:tab/>
        <w:t xml:space="preserve">18 June </w:t>
      </w:r>
      <w:r w:rsidRPr="00005694">
        <w:rPr>
          <w:szCs w:val="22"/>
        </w:rPr>
        <w:t>2021</w:t>
      </w:r>
    </w:p>
    <w:p w14:paraId="0F667ED1" w14:textId="276DF681" w:rsidR="00AF03E7" w:rsidRPr="00005694" w:rsidRDefault="00873EC0" w:rsidP="00AF03E7">
      <w:pPr>
        <w:keepNext/>
        <w:tabs>
          <w:tab w:val="left" w:pos="3402"/>
        </w:tabs>
        <w:spacing w:before="1440" w:line="300" w:lineRule="atLeast"/>
        <w:ind w:right="397"/>
        <w:rPr>
          <w:b/>
          <w:szCs w:val="22"/>
        </w:rPr>
      </w:pPr>
      <w:r w:rsidRPr="00005694">
        <w:rPr>
          <w:szCs w:val="22"/>
        </w:rPr>
        <w:t>Travis Haslam</w:t>
      </w:r>
    </w:p>
    <w:p w14:paraId="6A1BE300" w14:textId="7C3F616E" w:rsidR="00AF03E7" w:rsidRPr="00005694" w:rsidRDefault="00873EC0" w:rsidP="00AF03E7">
      <w:pPr>
        <w:pStyle w:val="SignCoverPageEnd"/>
        <w:ind w:right="91"/>
        <w:rPr>
          <w:sz w:val="22"/>
        </w:rPr>
      </w:pPr>
      <w:r w:rsidRPr="00005694">
        <w:rPr>
          <w:sz w:val="22"/>
        </w:rPr>
        <w:t xml:space="preserve">Acting </w:t>
      </w:r>
      <w:r w:rsidR="00AF03E7" w:rsidRPr="00005694">
        <w:rPr>
          <w:sz w:val="22"/>
        </w:rPr>
        <w:t>First Assistant Secretary</w:t>
      </w:r>
    </w:p>
    <w:p w14:paraId="4AE0775A" w14:textId="77777777" w:rsidR="00AF03E7" w:rsidRPr="00005694" w:rsidRDefault="00AF03E7" w:rsidP="00AF03E7">
      <w:pPr>
        <w:pStyle w:val="SignCoverPageEnd"/>
        <w:ind w:right="91"/>
        <w:rPr>
          <w:sz w:val="22"/>
        </w:rPr>
      </w:pPr>
      <w:r w:rsidRPr="00005694">
        <w:rPr>
          <w:sz w:val="22"/>
        </w:rPr>
        <w:t>Medical Benefits Division</w:t>
      </w:r>
    </w:p>
    <w:p w14:paraId="204F974E" w14:textId="77777777" w:rsidR="00AF03E7" w:rsidRPr="00005694" w:rsidRDefault="00AF03E7" w:rsidP="00AF03E7">
      <w:pPr>
        <w:pStyle w:val="SignCoverPageEnd"/>
        <w:ind w:right="91"/>
        <w:rPr>
          <w:sz w:val="22"/>
        </w:rPr>
      </w:pPr>
      <w:r w:rsidRPr="00005694">
        <w:rPr>
          <w:sz w:val="22"/>
        </w:rPr>
        <w:t xml:space="preserve">Health Resourcing Group </w:t>
      </w:r>
    </w:p>
    <w:p w14:paraId="286C5C7C" w14:textId="77777777" w:rsidR="00AF03E7" w:rsidRPr="00005694" w:rsidRDefault="00AF03E7" w:rsidP="00AF03E7">
      <w:pPr>
        <w:pStyle w:val="SignCoverPageEnd"/>
        <w:ind w:right="91"/>
        <w:rPr>
          <w:sz w:val="22"/>
        </w:rPr>
      </w:pPr>
      <w:r w:rsidRPr="00005694">
        <w:rPr>
          <w:sz w:val="22"/>
        </w:rPr>
        <w:t>Department of Health</w:t>
      </w:r>
    </w:p>
    <w:p w14:paraId="57012222" w14:textId="77777777" w:rsidR="00554826" w:rsidRPr="00005694" w:rsidRDefault="00554826" w:rsidP="00554826"/>
    <w:p w14:paraId="61874D17" w14:textId="77777777" w:rsidR="00554826" w:rsidRPr="00005694" w:rsidRDefault="00554826" w:rsidP="00554826"/>
    <w:p w14:paraId="1EA543EC" w14:textId="77777777" w:rsidR="00F6696E" w:rsidRPr="00005694" w:rsidRDefault="00F6696E" w:rsidP="00F6696E"/>
    <w:p w14:paraId="452B8309" w14:textId="77777777" w:rsidR="00F6696E" w:rsidRPr="00005694" w:rsidRDefault="00F6696E" w:rsidP="00F6696E">
      <w:pPr>
        <w:sectPr w:rsidR="00F6696E" w:rsidRPr="00005694"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005694" w:rsidRDefault="00715914" w:rsidP="00715914">
      <w:pPr>
        <w:outlineLvl w:val="0"/>
        <w:rPr>
          <w:sz w:val="36"/>
        </w:rPr>
      </w:pPr>
      <w:r w:rsidRPr="00005694">
        <w:rPr>
          <w:sz w:val="36"/>
        </w:rPr>
        <w:lastRenderedPageBreak/>
        <w:t>Contents</w:t>
      </w:r>
    </w:p>
    <w:p w14:paraId="0721A30A" w14:textId="46034696" w:rsidR="00EA13DF" w:rsidRPr="00005694" w:rsidRDefault="00B418CB">
      <w:pPr>
        <w:pStyle w:val="TOC5"/>
        <w:rPr>
          <w:rFonts w:asciiTheme="minorHAnsi" w:eastAsiaTheme="minorEastAsia" w:hAnsiTheme="minorHAnsi" w:cstheme="minorBidi"/>
          <w:noProof/>
          <w:kern w:val="0"/>
          <w:sz w:val="22"/>
          <w:szCs w:val="22"/>
        </w:rPr>
      </w:pPr>
      <w:r w:rsidRPr="00005694">
        <w:fldChar w:fldCharType="begin" w:fldLock="1"/>
      </w:r>
      <w:r w:rsidRPr="00005694">
        <w:instrText xml:space="preserve"> TOC \o "1-9" </w:instrText>
      </w:r>
      <w:r w:rsidRPr="00005694">
        <w:fldChar w:fldCharType="separate"/>
      </w:r>
      <w:r w:rsidR="00EA13DF" w:rsidRPr="00005694">
        <w:rPr>
          <w:noProof/>
        </w:rPr>
        <w:t>1  Name</w:t>
      </w:r>
      <w:r w:rsidR="00EA13DF" w:rsidRPr="00005694">
        <w:rPr>
          <w:noProof/>
        </w:rPr>
        <w:tab/>
      </w:r>
      <w:r w:rsidR="00EA13DF" w:rsidRPr="00005694">
        <w:rPr>
          <w:noProof/>
        </w:rPr>
        <w:fldChar w:fldCharType="begin" w:fldLock="1"/>
      </w:r>
      <w:r w:rsidR="00EA13DF" w:rsidRPr="00005694">
        <w:rPr>
          <w:noProof/>
        </w:rPr>
        <w:instrText xml:space="preserve"> PAGEREF _Toc74747207 \h </w:instrText>
      </w:r>
      <w:r w:rsidR="00EA13DF" w:rsidRPr="00005694">
        <w:rPr>
          <w:noProof/>
        </w:rPr>
      </w:r>
      <w:r w:rsidR="00EA13DF" w:rsidRPr="00005694">
        <w:rPr>
          <w:noProof/>
        </w:rPr>
        <w:fldChar w:fldCharType="separate"/>
      </w:r>
      <w:r w:rsidR="00EA13DF" w:rsidRPr="00005694">
        <w:rPr>
          <w:noProof/>
        </w:rPr>
        <w:t>1</w:t>
      </w:r>
      <w:r w:rsidR="00EA13DF" w:rsidRPr="00005694">
        <w:rPr>
          <w:noProof/>
        </w:rPr>
        <w:fldChar w:fldCharType="end"/>
      </w:r>
    </w:p>
    <w:p w14:paraId="30785C79" w14:textId="34055828" w:rsidR="00EA13DF" w:rsidRPr="00005694" w:rsidRDefault="00EA13DF">
      <w:pPr>
        <w:pStyle w:val="TOC5"/>
        <w:rPr>
          <w:rFonts w:asciiTheme="minorHAnsi" w:eastAsiaTheme="minorEastAsia" w:hAnsiTheme="minorHAnsi" w:cstheme="minorBidi"/>
          <w:noProof/>
          <w:kern w:val="0"/>
          <w:sz w:val="22"/>
          <w:szCs w:val="22"/>
        </w:rPr>
      </w:pPr>
      <w:r w:rsidRPr="00005694">
        <w:rPr>
          <w:noProof/>
        </w:rPr>
        <w:t>2  Commencement</w:t>
      </w:r>
      <w:r w:rsidRPr="00005694">
        <w:rPr>
          <w:noProof/>
        </w:rPr>
        <w:tab/>
      </w:r>
      <w:r w:rsidRPr="00005694">
        <w:rPr>
          <w:noProof/>
        </w:rPr>
        <w:fldChar w:fldCharType="begin" w:fldLock="1"/>
      </w:r>
      <w:r w:rsidRPr="00005694">
        <w:rPr>
          <w:noProof/>
        </w:rPr>
        <w:instrText xml:space="preserve"> PAGEREF _Toc74747208 \h </w:instrText>
      </w:r>
      <w:r w:rsidRPr="00005694">
        <w:rPr>
          <w:noProof/>
        </w:rPr>
      </w:r>
      <w:r w:rsidRPr="00005694">
        <w:rPr>
          <w:noProof/>
        </w:rPr>
        <w:fldChar w:fldCharType="separate"/>
      </w:r>
      <w:r w:rsidRPr="00005694">
        <w:rPr>
          <w:noProof/>
        </w:rPr>
        <w:t>1</w:t>
      </w:r>
      <w:r w:rsidRPr="00005694">
        <w:rPr>
          <w:noProof/>
        </w:rPr>
        <w:fldChar w:fldCharType="end"/>
      </w:r>
    </w:p>
    <w:p w14:paraId="14805D62" w14:textId="2F674127" w:rsidR="00EA13DF" w:rsidRPr="00005694" w:rsidRDefault="00EA13DF">
      <w:pPr>
        <w:pStyle w:val="TOC5"/>
        <w:rPr>
          <w:rFonts w:asciiTheme="minorHAnsi" w:eastAsiaTheme="minorEastAsia" w:hAnsiTheme="minorHAnsi" w:cstheme="minorBidi"/>
          <w:noProof/>
          <w:kern w:val="0"/>
          <w:sz w:val="22"/>
          <w:szCs w:val="22"/>
        </w:rPr>
      </w:pPr>
      <w:r w:rsidRPr="00005694">
        <w:rPr>
          <w:noProof/>
        </w:rPr>
        <w:t>3  Authority</w:t>
      </w:r>
      <w:r w:rsidRPr="00005694">
        <w:rPr>
          <w:noProof/>
        </w:rPr>
        <w:tab/>
      </w:r>
      <w:r w:rsidRPr="00005694">
        <w:rPr>
          <w:noProof/>
        </w:rPr>
        <w:fldChar w:fldCharType="begin" w:fldLock="1"/>
      </w:r>
      <w:r w:rsidRPr="00005694">
        <w:rPr>
          <w:noProof/>
        </w:rPr>
        <w:instrText xml:space="preserve"> PAGEREF _Toc74747209 \h </w:instrText>
      </w:r>
      <w:r w:rsidRPr="00005694">
        <w:rPr>
          <w:noProof/>
        </w:rPr>
      </w:r>
      <w:r w:rsidRPr="00005694">
        <w:rPr>
          <w:noProof/>
        </w:rPr>
        <w:fldChar w:fldCharType="separate"/>
      </w:r>
      <w:r w:rsidRPr="00005694">
        <w:rPr>
          <w:noProof/>
        </w:rPr>
        <w:t>1</w:t>
      </w:r>
      <w:r w:rsidRPr="00005694">
        <w:rPr>
          <w:noProof/>
        </w:rPr>
        <w:fldChar w:fldCharType="end"/>
      </w:r>
    </w:p>
    <w:p w14:paraId="1B8B40C3" w14:textId="7D16C3D4" w:rsidR="00EA13DF" w:rsidRPr="00005694" w:rsidRDefault="00EA13DF">
      <w:pPr>
        <w:pStyle w:val="TOC5"/>
        <w:rPr>
          <w:rFonts w:asciiTheme="minorHAnsi" w:eastAsiaTheme="minorEastAsia" w:hAnsiTheme="minorHAnsi" w:cstheme="minorBidi"/>
          <w:noProof/>
          <w:kern w:val="0"/>
          <w:sz w:val="22"/>
          <w:szCs w:val="22"/>
        </w:rPr>
      </w:pPr>
      <w:r w:rsidRPr="00005694">
        <w:rPr>
          <w:noProof/>
        </w:rPr>
        <w:t>4  Schedules</w:t>
      </w:r>
      <w:r w:rsidRPr="00005694">
        <w:rPr>
          <w:noProof/>
        </w:rPr>
        <w:tab/>
      </w:r>
      <w:r w:rsidRPr="00005694">
        <w:rPr>
          <w:noProof/>
        </w:rPr>
        <w:fldChar w:fldCharType="begin" w:fldLock="1"/>
      </w:r>
      <w:r w:rsidRPr="00005694">
        <w:rPr>
          <w:noProof/>
        </w:rPr>
        <w:instrText xml:space="preserve"> PAGEREF _Toc74747210 \h </w:instrText>
      </w:r>
      <w:r w:rsidRPr="00005694">
        <w:rPr>
          <w:noProof/>
        </w:rPr>
      </w:r>
      <w:r w:rsidRPr="00005694">
        <w:rPr>
          <w:noProof/>
        </w:rPr>
        <w:fldChar w:fldCharType="separate"/>
      </w:r>
      <w:r w:rsidRPr="00005694">
        <w:rPr>
          <w:noProof/>
        </w:rPr>
        <w:t>1</w:t>
      </w:r>
      <w:r w:rsidRPr="00005694">
        <w:rPr>
          <w:noProof/>
        </w:rPr>
        <w:fldChar w:fldCharType="end"/>
      </w:r>
    </w:p>
    <w:p w14:paraId="4840293E" w14:textId="14B59DB1" w:rsidR="00EA13DF" w:rsidRPr="00005694" w:rsidRDefault="00EA13DF">
      <w:pPr>
        <w:pStyle w:val="TOC5"/>
        <w:rPr>
          <w:rFonts w:asciiTheme="minorHAnsi" w:eastAsiaTheme="minorEastAsia" w:hAnsiTheme="minorHAnsi" w:cstheme="minorBidi"/>
          <w:noProof/>
          <w:kern w:val="0"/>
          <w:sz w:val="22"/>
          <w:szCs w:val="22"/>
        </w:rPr>
      </w:pPr>
      <w:r w:rsidRPr="00005694">
        <w:rPr>
          <w:rFonts w:ascii="Arial" w:hAnsi="Arial" w:cs="Arial"/>
          <w:noProof/>
        </w:rPr>
        <w:t>Schedule 1— Eating disorder consequential amendments</w:t>
      </w:r>
      <w:r w:rsidRPr="00005694">
        <w:rPr>
          <w:noProof/>
        </w:rPr>
        <w:tab/>
      </w:r>
      <w:r w:rsidRPr="00005694">
        <w:rPr>
          <w:noProof/>
        </w:rPr>
        <w:fldChar w:fldCharType="begin" w:fldLock="1"/>
      </w:r>
      <w:r w:rsidRPr="00005694">
        <w:rPr>
          <w:noProof/>
        </w:rPr>
        <w:instrText xml:space="preserve"> PAGEREF _Toc74747211 \h </w:instrText>
      </w:r>
      <w:r w:rsidRPr="00005694">
        <w:rPr>
          <w:noProof/>
        </w:rPr>
      </w:r>
      <w:r w:rsidRPr="00005694">
        <w:rPr>
          <w:noProof/>
        </w:rPr>
        <w:fldChar w:fldCharType="separate"/>
      </w:r>
      <w:r w:rsidRPr="00005694">
        <w:rPr>
          <w:noProof/>
        </w:rPr>
        <w:t>2</w:t>
      </w:r>
      <w:r w:rsidRPr="00005694">
        <w:rPr>
          <w:noProof/>
        </w:rPr>
        <w:fldChar w:fldCharType="end"/>
      </w:r>
    </w:p>
    <w:p w14:paraId="607B1666" w14:textId="5A270575" w:rsidR="00EA13DF" w:rsidRPr="00005694" w:rsidRDefault="00EA13DF">
      <w:pPr>
        <w:pStyle w:val="TOC5"/>
        <w:rPr>
          <w:rFonts w:asciiTheme="minorHAnsi" w:eastAsiaTheme="minorEastAsia" w:hAnsiTheme="minorHAnsi" w:cstheme="minorBidi"/>
          <w:noProof/>
          <w:kern w:val="0"/>
          <w:sz w:val="22"/>
          <w:szCs w:val="22"/>
        </w:rPr>
      </w:pPr>
      <w:r w:rsidRPr="00005694">
        <w:rPr>
          <w:rFonts w:ascii="Arial" w:hAnsi="Arial" w:cs="Arial"/>
          <w:noProof/>
        </w:rPr>
        <w:t>Schedule 2— Health Care Homes transitional provisions</w:t>
      </w:r>
      <w:r w:rsidRPr="00005694">
        <w:rPr>
          <w:noProof/>
        </w:rPr>
        <w:tab/>
      </w:r>
      <w:r w:rsidRPr="00005694">
        <w:rPr>
          <w:noProof/>
        </w:rPr>
        <w:fldChar w:fldCharType="begin" w:fldLock="1"/>
      </w:r>
      <w:r w:rsidRPr="00005694">
        <w:rPr>
          <w:noProof/>
        </w:rPr>
        <w:instrText xml:space="preserve"> PAGEREF _Toc74747212 \h </w:instrText>
      </w:r>
      <w:r w:rsidRPr="00005694">
        <w:rPr>
          <w:noProof/>
        </w:rPr>
      </w:r>
      <w:r w:rsidRPr="00005694">
        <w:rPr>
          <w:noProof/>
        </w:rPr>
        <w:fldChar w:fldCharType="separate"/>
      </w:r>
      <w:r w:rsidRPr="00005694">
        <w:rPr>
          <w:noProof/>
        </w:rPr>
        <w:t>8</w:t>
      </w:r>
      <w:r w:rsidRPr="00005694">
        <w:rPr>
          <w:noProof/>
        </w:rPr>
        <w:fldChar w:fldCharType="end"/>
      </w:r>
    </w:p>
    <w:p w14:paraId="6D172FF4" w14:textId="6849C493" w:rsidR="00EA13DF" w:rsidRPr="00005694" w:rsidRDefault="00EA13DF">
      <w:pPr>
        <w:pStyle w:val="TOC5"/>
        <w:rPr>
          <w:rFonts w:asciiTheme="minorHAnsi" w:eastAsiaTheme="minorEastAsia" w:hAnsiTheme="minorHAnsi" w:cstheme="minorBidi"/>
          <w:noProof/>
          <w:kern w:val="0"/>
          <w:sz w:val="22"/>
          <w:szCs w:val="22"/>
        </w:rPr>
      </w:pPr>
      <w:r w:rsidRPr="00005694">
        <w:rPr>
          <w:rFonts w:ascii="Arial" w:hAnsi="Arial" w:cs="Arial"/>
          <w:noProof/>
        </w:rPr>
        <w:t>Schedule 3— Health Care Homes consequential amendments</w:t>
      </w:r>
      <w:r w:rsidRPr="00005694">
        <w:rPr>
          <w:noProof/>
        </w:rPr>
        <w:tab/>
      </w:r>
      <w:r w:rsidRPr="00005694">
        <w:rPr>
          <w:noProof/>
        </w:rPr>
        <w:fldChar w:fldCharType="begin" w:fldLock="1"/>
      </w:r>
      <w:r w:rsidRPr="00005694">
        <w:rPr>
          <w:noProof/>
        </w:rPr>
        <w:instrText xml:space="preserve"> PAGEREF _Toc74747213 \h </w:instrText>
      </w:r>
      <w:r w:rsidRPr="00005694">
        <w:rPr>
          <w:noProof/>
        </w:rPr>
      </w:r>
      <w:r w:rsidRPr="00005694">
        <w:rPr>
          <w:noProof/>
        </w:rPr>
        <w:fldChar w:fldCharType="separate"/>
      </w:r>
      <w:r w:rsidRPr="00005694">
        <w:rPr>
          <w:noProof/>
        </w:rPr>
        <w:t>9</w:t>
      </w:r>
      <w:r w:rsidRPr="00005694">
        <w:rPr>
          <w:noProof/>
        </w:rPr>
        <w:fldChar w:fldCharType="end"/>
      </w:r>
    </w:p>
    <w:p w14:paraId="2494364F" w14:textId="659102B4" w:rsidR="00F6696E" w:rsidRPr="00005694" w:rsidRDefault="00B418CB" w:rsidP="00F6696E">
      <w:pPr>
        <w:outlineLvl w:val="0"/>
      </w:pPr>
      <w:r w:rsidRPr="00005694">
        <w:fldChar w:fldCharType="end"/>
      </w:r>
    </w:p>
    <w:p w14:paraId="64F43A28" w14:textId="77777777" w:rsidR="00F6696E" w:rsidRPr="00005694" w:rsidRDefault="00F6696E" w:rsidP="00F6696E">
      <w:pPr>
        <w:outlineLvl w:val="0"/>
        <w:rPr>
          <w:sz w:val="20"/>
        </w:rPr>
      </w:pPr>
    </w:p>
    <w:p w14:paraId="0867F8FC" w14:textId="77777777" w:rsidR="00F6696E" w:rsidRPr="00005694" w:rsidRDefault="00F6696E" w:rsidP="00F6696E">
      <w:pPr>
        <w:sectPr w:rsidR="00F6696E" w:rsidRPr="00005694"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005694" w:rsidRDefault="00554826" w:rsidP="00554826">
      <w:pPr>
        <w:pStyle w:val="ActHead5"/>
      </w:pPr>
      <w:bookmarkStart w:id="0" w:name="_Toc74747207"/>
      <w:r w:rsidRPr="00005694">
        <w:lastRenderedPageBreak/>
        <w:t>1  Name</w:t>
      </w:r>
      <w:bookmarkEnd w:id="0"/>
    </w:p>
    <w:p w14:paraId="5EF75D24" w14:textId="1B8FFBA8" w:rsidR="00554826" w:rsidRPr="00005694" w:rsidRDefault="00554826" w:rsidP="004940C4">
      <w:pPr>
        <w:pStyle w:val="subsection"/>
        <w:tabs>
          <w:tab w:val="clear" w:pos="1021"/>
        </w:tabs>
        <w:ind w:left="709" w:hanging="709"/>
        <w:rPr>
          <w:color w:val="FF0000"/>
        </w:rPr>
      </w:pPr>
      <w:r w:rsidRPr="00005694">
        <w:tab/>
      </w:r>
      <w:r w:rsidRPr="00005694">
        <w:tab/>
        <w:t xml:space="preserve">This instrument is the </w:t>
      </w:r>
      <w:bookmarkStart w:id="1" w:name="BKCheck15B_3"/>
      <w:bookmarkEnd w:id="1"/>
      <w:r w:rsidR="00EA13DF" w:rsidRPr="00005694">
        <w:rPr>
          <w:i/>
        </w:rPr>
        <w:t>Health Insurance Legislation Amendment (Section 3C General Medical Services – Eating Disorder and HCH Consequential Changes) Determination 2021</w:t>
      </w:r>
      <w:r w:rsidR="00443413" w:rsidRPr="00005694">
        <w:t>.</w:t>
      </w:r>
    </w:p>
    <w:p w14:paraId="52BD1EFF" w14:textId="77777777" w:rsidR="00554826" w:rsidRPr="00005694" w:rsidRDefault="00554826" w:rsidP="00554826">
      <w:pPr>
        <w:pStyle w:val="ActHead5"/>
      </w:pPr>
      <w:bookmarkStart w:id="2" w:name="_Toc74747208"/>
      <w:r w:rsidRPr="00005694">
        <w:t>2  Commencement</w:t>
      </w:r>
      <w:bookmarkEnd w:id="2"/>
    </w:p>
    <w:p w14:paraId="3C5AEC36" w14:textId="77777777" w:rsidR="004940C4" w:rsidRPr="00005694" w:rsidRDefault="004940C4" w:rsidP="004940C4">
      <w:pPr>
        <w:pStyle w:val="subsection"/>
        <w:tabs>
          <w:tab w:val="left" w:pos="709"/>
        </w:tabs>
        <w:ind w:left="709" w:hanging="709"/>
      </w:pPr>
      <w:r w:rsidRPr="00005694">
        <w:t>(1)</w:t>
      </w:r>
      <w:r w:rsidRPr="00005694">
        <w:tab/>
      </w:r>
      <w:r w:rsidRPr="00005694">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005694"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005694" w14:paraId="2F3A7035" w14:textId="77777777" w:rsidTr="00894E21">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Commencement information</w:t>
            </w:r>
          </w:p>
        </w:tc>
      </w:tr>
      <w:tr w:rsidR="004940C4" w:rsidRPr="00005694" w14:paraId="7B1560D1" w14:textId="77777777" w:rsidTr="00894E21">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Column 3</w:t>
            </w:r>
          </w:p>
        </w:tc>
      </w:tr>
      <w:tr w:rsidR="004940C4" w:rsidRPr="00005694" w14:paraId="4A74A92F" w14:textId="77777777" w:rsidTr="00894E21">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005694" w:rsidRDefault="004940C4" w:rsidP="00894E21">
            <w:pPr>
              <w:keepNext/>
              <w:autoSpaceDE w:val="0"/>
              <w:autoSpaceDN w:val="0"/>
              <w:spacing w:before="60" w:line="240" w:lineRule="atLeast"/>
              <w:rPr>
                <w:rFonts w:eastAsia="Times New Roman" w:cs="Times New Roman"/>
                <w:b/>
                <w:sz w:val="20"/>
                <w:szCs w:val="24"/>
                <w:lang w:eastAsia="en-AU"/>
              </w:rPr>
            </w:pPr>
            <w:r w:rsidRPr="00005694">
              <w:rPr>
                <w:rFonts w:eastAsia="Times New Roman" w:cs="Times New Roman"/>
                <w:b/>
                <w:sz w:val="20"/>
                <w:szCs w:val="24"/>
                <w:lang w:eastAsia="en-AU"/>
              </w:rPr>
              <w:t>Date/Details</w:t>
            </w:r>
          </w:p>
        </w:tc>
      </w:tr>
      <w:tr w:rsidR="004940C4" w:rsidRPr="00005694" w14:paraId="1F08CFDD" w14:textId="77777777" w:rsidTr="00285539">
        <w:trPr>
          <w:cantSplit/>
        </w:trPr>
        <w:tc>
          <w:tcPr>
            <w:tcW w:w="3154" w:type="dxa"/>
            <w:tcBorders>
              <w:top w:val="single" w:sz="12" w:space="0" w:color="auto"/>
              <w:left w:val="nil"/>
              <w:bottom w:val="single" w:sz="4" w:space="0" w:color="auto"/>
              <w:right w:val="nil"/>
            </w:tcBorders>
            <w:hideMark/>
          </w:tcPr>
          <w:p w14:paraId="788B5CA4" w14:textId="49492092" w:rsidR="004940C4" w:rsidRPr="00005694" w:rsidRDefault="004940C4" w:rsidP="00285539">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 xml:space="preserve">1.  </w:t>
            </w:r>
            <w:r w:rsidR="00285539" w:rsidRPr="00005694">
              <w:rPr>
                <w:rFonts w:eastAsia="Times New Roman" w:cs="Times New Roman"/>
                <w:sz w:val="20"/>
                <w:szCs w:val="24"/>
                <w:lang w:eastAsia="en-AU"/>
              </w:rPr>
              <w:t>Sections 1 to 4</w:t>
            </w:r>
          </w:p>
        </w:tc>
        <w:tc>
          <w:tcPr>
            <w:tcW w:w="3367" w:type="dxa"/>
            <w:tcBorders>
              <w:top w:val="single" w:sz="12" w:space="0" w:color="auto"/>
              <w:left w:val="nil"/>
              <w:bottom w:val="single" w:sz="4" w:space="0" w:color="auto"/>
              <w:right w:val="nil"/>
            </w:tcBorders>
            <w:hideMark/>
          </w:tcPr>
          <w:p w14:paraId="156E075A" w14:textId="24AFAE33" w:rsidR="004940C4" w:rsidRPr="00005694" w:rsidRDefault="00FF50C2" w:rsidP="003E2302">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Immediately after registration of this instrument</w:t>
            </w:r>
          </w:p>
        </w:tc>
        <w:tc>
          <w:tcPr>
            <w:tcW w:w="1843" w:type="dxa"/>
            <w:tcBorders>
              <w:top w:val="single" w:sz="12" w:space="0" w:color="auto"/>
              <w:left w:val="nil"/>
              <w:bottom w:val="single" w:sz="4" w:space="0" w:color="auto"/>
              <w:right w:val="nil"/>
            </w:tcBorders>
          </w:tcPr>
          <w:p w14:paraId="391CC044" w14:textId="77777777" w:rsidR="004940C4" w:rsidRPr="00005694" w:rsidRDefault="004940C4" w:rsidP="00894E21">
            <w:pPr>
              <w:keepNext/>
              <w:autoSpaceDE w:val="0"/>
              <w:autoSpaceDN w:val="0"/>
              <w:spacing w:before="60" w:line="240" w:lineRule="atLeast"/>
              <w:rPr>
                <w:rFonts w:eastAsia="Times New Roman" w:cs="Times New Roman"/>
                <w:sz w:val="20"/>
                <w:szCs w:val="24"/>
                <w:lang w:eastAsia="en-AU"/>
              </w:rPr>
            </w:pPr>
          </w:p>
        </w:tc>
      </w:tr>
      <w:tr w:rsidR="00285539" w:rsidRPr="00005694" w14:paraId="651EB0F4" w14:textId="77777777" w:rsidTr="00285539">
        <w:trPr>
          <w:cantSplit/>
        </w:trPr>
        <w:tc>
          <w:tcPr>
            <w:tcW w:w="3154" w:type="dxa"/>
            <w:tcBorders>
              <w:top w:val="single" w:sz="4" w:space="0" w:color="auto"/>
              <w:left w:val="nil"/>
              <w:bottom w:val="single" w:sz="4" w:space="0" w:color="auto"/>
              <w:right w:val="nil"/>
            </w:tcBorders>
          </w:tcPr>
          <w:p w14:paraId="6BCB49A8" w14:textId="59EB9E59" w:rsidR="00285539" w:rsidRPr="00005694" w:rsidRDefault="00285539" w:rsidP="00894E21">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2. Schedule 1</w:t>
            </w:r>
          </w:p>
        </w:tc>
        <w:tc>
          <w:tcPr>
            <w:tcW w:w="3367" w:type="dxa"/>
            <w:tcBorders>
              <w:top w:val="single" w:sz="4" w:space="0" w:color="auto"/>
              <w:left w:val="nil"/>
              <w:bottom w:val="single" w:sz="4" w:space="0" w:color="auto"/>
              <w:right w:val="nil"/>
            </w:tcBorders>
          </w:tcPr>
          <w:p w14:paraId="70D5A532" w14:textId="48AD0C5E" w:rsidR="00285539" w:rsidRPr="00005694" w:rsidRDefault="00285539" w:rsidP="003E2302">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1 March 2021</w:t>
            </w:r>
          </w:p>
        </w:tc>
        <w:tc>
          <w:tcPr>
            <w:tcW w:w="1843" w:type="dxa"/>
            <w:tcBorders>
              <w:top w:val="single" w:sz="4" w:space="0" w:color="auto"/>
              <w:left w:val="nil"/>
              <w:bottom w:val="single" w:sz="4" w:space="0" w:color="auto"/>
              <w:right w:val="nil"/>
            </w:tcBorders>
          </w:tcPr>
          <w:p w14:paraId="4F2F500C" w14:textId="77777777" w:rsidR="00285539" w:rsidRPr="00005694" w:rsidRDefault="00285539" w:rsidP="00894E21">
            <w:pPr>
              <w:keepNext/>
              <w:autoSpaceDE w:val="0"/>
              <w:autoSpaceDN w:val="0"/>
              <w:spacing w:before="60" w:line="240" w:lineRule="atLeast"/>
              <w:rPr>
                <w:rFonts w:eastAsia="Times New Roman" w:cs="Times New Roman"/>
                <w:sz w:val="20"/>
                <w:szCs w:val="24"/>
                <w:lang w:eastAsia="en-AU"/>
              </w:rPr>
            </w:pPr>
          </w:p>
        </w:tc>
      </w:tr>
      <w:tr w:rsidR="00504B40" w:rsidRPr="00005694" w14:paraId="63CED248" w14:textId="77777777" w:rsidTr="0095414C">
        <w:trPr>
          <w:cantSplit/>
        </w:trPr>
        <w:tc>
          <w:tcPr>
            <w:tcW w:w="3154" w:type="dxa"/>
            <w:tcBorders>
              <w:top w:val="single" w:sz="4" w:space="0" w:color="auto"/>
              <w:left w:val="nil"/>
              <w:bottom w:val="single" w:sz="4" w:space="0" w:color="auto"/>
              <w:right w:val="nil"/>
            </w:tcBorders>
          </w:tcPr>
          <w:p w14:paraId="4818FE08" w14:textId="55A50A1E" w:rsidR="00504B40" w:rsidRPr="00005694" w:rsidRDefault="00504B40" w:rsidP="00894E21">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 xml:space="preserve">3. Schedule 2 </w:t>
            </w:r>
          </w:p>
        </w:tc>
        <w:tc>
          <w:tcPr>
            <w:tcW w:w="3367" w:type="dxa"/>
            <w:tcBorders>
              <w:top w:val="single" w:sz="4" w:space="0" w:color="auto"/>
              <w:left w:val="nil"/>
              <w:bottom w:val="single" w:sz="4" w:space="0" w:color="auto"/>
              <w:right w:val="nil"/>
            </w:tcBorders>
          </w:tcPr>
          <w:p w14:paraId="01D65C0A" w14:textId="3F351A10" w:rsidR="00504B40" w:rsidRPr="00005694" w:rsidRDefault="00A93460" w:rsidP="003E2302">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30 June</w:t>
            </w:r>
            <w:r w:rsidR="00504B40" w:rsidRPr="00005694">
              <w:rPr>
                <w:rFonts w:eastAsia="Times New Roman" w:cs="Times New Roman"/>
                <w:sz w:val="20"/>
                <w:szCs w:val="24"/>
                <w:lang w:eastAsia="en-AU"/>
              </w:rPr>
              <w:t xml:space="preserve"> 2021</w:t>
            </w:r>
          </w:p>
        </w:tc>
        <w:tc>
          <w:tcPr>
            <w:tcW w:w="1843" w:type="dxa"/>
            <w:tcBorders>
              <w:top w:val="single" w:sz="4" w:space="0" w:color="auto"/>
              <w:left w:val="nil"/>
              <w:bottom w:val="single" w:sz="4" w:space="0" w:color="auto"/>
              <w:right w:val="nil"/>
            </w:tcBorders>
          </w:tcPr>
          <w:p w14:paraId="1795AB06" w14:textId="77777777" w:rsidR="00504B40" w:rsidRPr="00005694" w:rsidRDefault="00504B40" w:rsidP="00894E21">
            <w:pPr>
              <w:keepNext/>
              <w:autoSpaceDE w:val="0"/>
              <w:autoSpaceDN w:val="0"/>
              <w:spacing w:before="60" w:line="240" w:lineRule="atLeast"/>
              <w:rPr>
                <w:rFonts w:eastAsia="Times New Roman" w:cs="Times New Roman"/>
                <w:sz w:val="20"/>
                <w:szCs w:val="24"/>
                <w:lang w:eastAsia="en-AU"/>
              </w:rPr>
            </w:pPr>
          </w:p>
        </w:tc>
      </w:tr>
      <w:tr w:rsidR="00285539" w:rsidRPr="00005694" w14:paraId="0E34D704" w14:textId="77777777" w:rsidTr="00285539">
        <w:trPr>
          <w:cantSplit/>
        </w:trPr>
        <w:tc>
          <w:tcPr>
            <w:tcW w:w="3154" w:type="dxa"/>
            <w:tcBorders>
              <w:top w:val="single" w:sz="4" w:space="0" w:color="auto"/>
              <w:left w:val="nil"/>
              <w:bottom w:val="single" w:sz="12" w:space="0" w:color="auto"/>
              <w:right w:val="nil"/>
            </w:tcBorders>
          </w:tcPr>
          <w:p w14:paraId="4F1FE389" w14:textId="4F0FE44B" w:rsidR="00285539" w:rsidRPr="00005694" w:rsidRDefault="00EA13DF" w:rsidP="00894E21">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4</w:t>
            </w:r>
            <w:r w:rsidR="00285539" w:rsidRPr="00005694">
              <w:rPr>
                <w:rFonts w:eastAsia="Times New Roman" w:cs="Times New Roman"/>
                <w:sz w:val="20"/>
                <w:szCs w:val="24"/>
                <w:lang w:eastAsia="en-AU"/>
              </w:rPr>
              <w:t>. Schedule</w:t>
            </w:r>
            <w:r w:rsidRPr="00005694">
              <w:rPr>
                <w:rFonts w:eastAsia="Times New Roman" w:cs="Times New Roman"/>
                <w:sz w:val="20"/>
                <w:szCs w:val="24"/>
                <w:lang w:eastAsia="en-AU"/>
              </w:rPr>
              <w:t xml:space="preserve"> 3</w:t>
            </w:r>
          </w:p>
        </w:tc>
        <w:tc>
          <w:tcPr>
            <w:tcW w:w="3367" w:type="dxa"/>
            <w:tcBorders>
              <w:top w:val="single" w:sz="4" w:space="0" w:color="auto"/>
              <w:left w:val="nil"/>
              <w:bottom w:val="single" w:sz="12" w:space="0" w:color="auto"/>
              <w:right w:val="nil"/>
            </w:tcBorders>
          </w:tcPr>
          <w:p w14:paraId="1568D35E" w14:textId="410D59C4" w:rsidR="00285539" w:rsidRPr="00005694" w:rsidRDefault="00EA13DF" w:rsidP="003E2302">
            <w:pPr>
              <w:keepNext/>
              <w:autoSpaceDE w:val="0"/>
              <w:autoSpaceDN w:val="0"/>
              <w:spacing w:before="60" w:line="240" w:lineRule="atLeast"/>
              <w:rPr>
                <w:rFonts w:eastAsia="Times New Roman" w:cs="Times New Roman"/>
                <w:sz w:val="20"/>
                <w:szCs w:val="24"/>
                <w:lang w:eastAsia="en-AU"/>
              </w:rPr>
            </w:pPr>
            <w:r w:rsidRPr="00005694">
              <w:rPr>
                <w:rFonts w:eastAsia="Times New Roman" w:cs="Times New Roman"/>
                <w:sz w:val="20"/>
                <w:szCs w:val="24"/>
                <w:lang w:eastAsia="en-AU"/>
              </w:rPr>
              <w:t>30 June 2022</w:t>
            </w:r>
          </w:p>
        </w:tc>
        <w:tc>
          <w:tcPr>
            <w:tcW w:w="1843" w:type="dxa"/>
            <w:tcBorders>
              <w:top w:val="single" w:sz="4" w:space="0" w:color="auto"/>
              <w:left w:val="nil"/>
              <w:bottom w:val="single" w:sz="12" w:space="0" w:color="auto"/>
              <w:right w:val="nil"/>
            </w:tcBorders>
          </w:tcPr>
          <w:p w14:paraId="71817365" w14:textId="77777777" w:rsidR="00285539" w:rsidRPr="00005694" w:rsidRDefault="00285539" w:rsidP="00894E21">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005694" w:rsidRDefault="004940C4" w:rsidP="004940C4">
      <w:pPr>
        <w:pStyle w:val="subsection"/>
        <w:tabs>
          <w:tab w:val="left" w:pos="709"/>
        </w:tabs>
        <w:ind w:left="709" w:hanging="709"/>
        <w:rPr>
          <w:sz w:val="18"/>
          <w:szCs w:val="18"/>
        </w:rPr>
      </w:pPr>
      <w:r w:rsidRPr="00005694">
        <w:rPr>
          <w:sz w:val="18"/>
          <w:szCs w:val="18"/>
        </w:rPr>
        <w:tab/>
        <w:t>Note:</w:t>
      </w:r>
      <w:r w:rsidRPr="00005694">
        <w:rPr>
          <w:sz w:val="18"/>
          <w:szCs w:val="18"/>
        </w:rPr>
        <w:tab/>
        <w:t>This table relates only to the provisions of this instrument as originally made. It will not be amended to deal with any later amendments of this instrument.</w:t>
      </w:r>
    </w:p>
    <w:p w14:paraId="79380ADC" w14:textId="77777777" w:rsidR="004940C4" w:rsidRPr="00005694" w:rsidRDefault="004940C4" w:rsidP="004940C4">
      <w:pPr>
        <w:pStyle w:val="subsection"/>
        <w:tabs>
          <w:tab w:val="clear" w:pos="1021"/>
          <w:tab w:val="left" w:pos="709"/>
        </w:tabs>
        <w:ind w:left="709" w:hanging="709"/>
      </w:pPr>
      <w:r w:rsidRPr="00005694">
        <w:t>(2)</w:t>
      </w:r>
      <w:r w:rsidRPr="00005694">
        <w:tab/>
        <w:t>Any information in column 3 of the table is not part of this instrument. Information may be inserted in this column, or information in it may be edited, in any published version of this instrument.</w:t>
      </w:r>
    </w:p>
    <w:p w14:paraId="76058537" w14:textId="77777777" w:rsidR="00554826" w:rsidRPr="00005694" w:rsidRDefault="00554826" w:rsidP="00554826">
      <w:pPr>
        <w:pStyle w:val="ActHead5"/>
      </w:pPr>
      <w:bookmarkStart w:id="3" w:name="_Toc74747209"/>
      <w:r w:rsidRPr="00005694">
        <w:t>3  Authority</w:t>
      </w:r>
      <w:bookmarkEnd w:id="3"/>
    </w:p>
    <w:p w14:paraId="4CD49361" w14:textId="77777777" w:rsidR="00554826" w:rsidRPr="00005694" w:rsidRDefault="00554826" w:rsidP="004940C4">
      <w:pPr>
        <w:pStyle w:val="subsection"/>
        <w:tabs>
          <w:tab w:val="clear" w:pos="1021"/>
        </w:tabs>
        <w:ind w:left="709" w:hanging="709"/>
      </w:pPr>
      <w:r w:rsidRPr="00005694">
        <w:tab/>
      </w:r>
      <w:r w:rsidRPr="00005694">
        <w:tab/>
        <w:t xml:space="preserve">This instrument is </w:t>
      </w:r>
      <w:r w:rsidR="00FF4480" w:rsidRPr="00005694">
        <w:t xml:space="preserve">made under subsection 3C(1) of the </w:t>
      </w:r>
      <w:r w:rsidR="00FF4480" w:rsidRPr="00005694">
        <w:rPr>
          <w:i/>
        </w:rPr>
        <w:t>Health Insurance Act 1973</w:t>
      </w:r>
      <w:r w:rsidR="009D4587" w:rsidRPr="00005694">
        <w:t>.</w:t>
      </w:r>
    </w:p>
    <w:p w14:paraId="1226C895" w14:textId="77777777" w:rsidR="00554826" w:rsidRPr="00005694" w:rsidRDefault="00495AF2" w:rsidP="00554826">
      <w:pPr>
        <w:pStyle w:val="ActHead5"/>
      </w:pPr>
      <w:bookmarkStart w:id="4" w:name="_Toc454781205"/>
      <w:bookmarkStart w:id="5" w:name="_Toc74747210"/>
      <w:r w:rsidRPr="00005694">
        <w:t>4</w:t>
      </w:r>
      <w:r w:rsidR="00554826" w:rsidRPr="00005694">
        <w:t xml:space="preserve">  Schedules</w:t>
      </w:r>
      <w:bookmarkEnd w:id="4"/>
      <w:bookmarkEnd w:id="5"/>
    </w:p>
    <w:p w14:paraId="74E9B585" w14:textId="77777777" w:rsidR="00554826" w:rsidRPr="00005694" w:rsidRDefault="00554826" w:rsidP="004940C4">
      <w:pPr>
        <w:pStyle w:val="subsection"/>
        <w:tabs>
          <w:tab w:val="clear" w:pos="1021"/>
        </w:tabs>
        <w:ind w:left="709" w:hanging="709"/>
      </w:pPr>
      <w:r w:rsidRPr="00005694">
        <w:tab/>
      </w:r>
      <w:r w:rsidRPr="00005694">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005694" w:rsidRDefault="00554826" w:rsidP="00554826">
      <w:pPr>
        <w:spacing w:line="240" w:lineRule="auto"/>
        <w:rPr>
          <w:rFonts w:eastAsia="Times New Roman" w:cs="Times New Roman"/>
          <w:lang w:eastAsia="en-AU"/>
        </w:rPr>
      </w:pPr>
      <w:r w:rsidRPr="00005694">
        <w:br w:type="page"/>
      </w:r>
    </w:p>
    <w:p w14:paraId="3B548A03" w14:textId="7C36C1C0" w:rsidR="00FF4480" w:rsidRPr="00005694" w:rsidRDefault="004E1307" w:rsidP="00DB4767">
      <w:pPr>
        <w:pStyle w:val="ActHead5"/>
        <w:rPr>
          <w:rFonts w:ascii="Arial" w:hAnsi="Arial" w:cs="Arial"/>
        </w:rPr>
      </w:pPr>
      <w:bookmarkStart w:id="6" w:name="_Toc74747211"/>
      <w:r w:rsidRPr="00005694">
        <w:rPr>
          <w:rFonts w:ascii="Arial" w:hAnsi="Arial" w:cs="Arial"/>
        </w:rPr>
        <w:lastRenderedPageBreak/>
        <w:t xml:space="preserve">Schedule </w:t>
      </w:r>
      <w:r w:rsidR="00D6537E" w:rsidRPr="00005694">
        <w:rPr>
          <w:rFonts w:ascii="Arial" w:hAnsi="Arial" w:cs="Arial"/>
        </w:rPr>
        <w:t>1—</w:t>
      </w:r>
      <w:r w:rsidR="009D4587" w:rsidRPr="00005694">
        <w:rPr>
          <w:rFonts w:ascii="Arial" w:hAnsi="Arial" w:cs="Arial"/>
        </w:rPr>
        <w:t xml:space="preserve"> </w:t>
      </w:r>
      <w:r w:rsidR="00285539" w:rsidRPr="00005694">
        <w:rPr>
          <w:rFonts w:ascii="Arial" w:hAnsi="Arial" w:cs="Arial"/>
        </w:rPr>
        <w:t xml:space="preserve">Eating disorder </w:t>
      </w:r>
      <w:r w:rsidR="0004558A" w:rsidRPr="00005694">
        <w:rPr>
          <w:rFonts w:ascii="Arial" w:hAnsi="Arial" w:cs="Arial"/>
        </w:rPr>
        <w:t xml:space="preserve">consequential </w:t>
      </w:r>
      <w:r w:rsidR="00285539" w:rsidRPr="00005694">
        <w:rPr>
          <w:rFonts w:ascii="Arial" w:hAnsi="Arial" w:cs="Arial"/>
        </w:rPr>
        <w:t>a</w:t>
      </w:r>
      <w:r w:rsidR="009D4587" w:rsidRPr="00005694">
        <w:rPr>
          <w:rFonts w:ascii="Arial" w:hAnsi="Arial" w:cs="Arial"/>
        </w:rPr>
        <w:t>mendments</w:t>
      </w:r>
      <w:bookmarkEnd w:id="6"/>
    </w:p>
    <w:p w14:paraId="48433F01" w14:textId="77777777" w:rsidR="00AF03E7" w:rsidRPr="00005694" w:rsidRDefault="00AF03E7" w:rsidP="00AF03E7">
      <w:pPr>
        <w:pStyle w:val="ItemHead"/>
        <w:spacing w:before="0"/>
        <w:rPr>
          <w:b w:val="0"/>
          <w:i/>
          <w:lang w:eastAsia="en-US"/>
        </w:rPr>
      </w:pPr>
    </w:p>
    <w:p w14:paraId="003E7384" w14:textId="6E1EF553" w:rsidR="00AF03E7" w:rsidRPr="00005694" w:rsidRDefault="00AF03E7" w:rsidP="00AF03E7">
      <w:pPr>
        <w:pStyle w:val="ItemHead"/>
        <w:spacing w:before="0"/>
        <w:rPr>
          <w:lang w:eastAsia="en-US"/>
        </w:rPr>
      </w:pPr>
      <w:r w:rsidRPr="00005694">
        <w:rPr>
          <w:i/>
          <w:lang w:eastAsia="en-US"/>
        </w:rPr>
        <w:t>Health Insurance (Allied Health Services) Determination 2014</w:t>
      </w:r>
    </w:p>
    <w:p w14:paraId="1C536B29" w14:textId="12C68B95" w:rsidR="00AF03E7" w:rsidRPr="00005694" w:rsidRDefault="00AF03E7" w:rsidP="00AF03E7">
      <w:pPr>
        <w:pStyle w:val="ItemHead"/>
        <w:numPr>
          <w:ilvl w:val="0"/>
          <w:numId w:val="21"/>
        </w:numPr>
        <w:rPr>
          <w:lang w:eastAsia="en-US"/>
        </w:rPr>
      </w:pPr>
      <w:r w:rsidRPr="00005694">
        <w:rPr>
          <w:lang w:eastAsia="en-US"/>
        </w:rPr>
        <w:t xml:space="preserve">Subsection 4(1) (definition of </w:t>
      </w:r>
      <w:r w:rsidRPr="00005694">
        <w:rPr>
          <w:i/>
          <w:lang w:eastAsia="en-US"/>
        </w:rPr>
        <w:t xml:space="preserve">eating disorder </w:t>
      </w:r>
      <w:r w:rsidRPr="00005694">
        <w:rPr>
          <w:bCs/>
          <w:i/>
          <w:iCs/>
          <w:lang w:eastAsia="en-US"/>
        </w:rPr>
        <w:t xml:space="preserve">psychological </w:t>
      </w:r>
      <w:r w:rsidRPr="00005694">
        <w:rPr>
          <w:i/>
          <w:lang w:eastAsia="en-US"/>
        </w:rPr>
        <w:t>treatment service</w:t>
      </w:r>
      <w:r w:rsidRPr="00005694">
        <w:rPr>
          <w:lang w:eastAsia="en-US"/>
        </w:rPr>
        <w:t>)</w:t>
      </w:r>
    </w:p>
    <w:p w14:paraId="65E59643" w14:textId="1A2907AE" w:rsidR="00AF03E7" w:rsidRPr="00005694" w:rsidRDefault="00AF03E7" w:rsidP="003C63E8">
      <w:pPr>
        <w:pStyle w:val="Item"/>
        <w:ind w:left="567" w:firstLine="567"/>
        <w:rPr>
          <w:lang w:eastAsia="en-US"/>
        </w:rPr>
      </w:pPr>
      <w:r w:rsidRPr="00005694">
        <w:rPr>
          <w:lang w:eastAsia="en-US"/>
        </w:rPr>
        <w:t>Repeal the definition.</w:t>
      </w:r>
    </w:p>
    <w:p w14:paraId="33185D60" w14:textId="542B0E24" w:rsidR="00AF03E7" w:rsidRPr="00005694" w:rsidRDefault="00AF03E7" w:rsidP="00AF03E7">
      <w:pPr>
        <w:pStyle w:val="ItemHead"/>
        <w:numPr>
          <w:ilvl w:val="0"/>
          <w:numId w:val="21"/>
        </w:numPr>
        <w:rPr>
          <w:lang w:eastAsia="en-US"/>
        </w:rPr>
      </w:pPr>
      <w:r w:rsidRPr="00005694">
        <w:rPr>
          <w:lang w:eastAsia="en-US"/>
        </w:rPr>
        <w:t xml:space="preserve">Subsection 4(1) (definition of </w:t>
      </w:r>
      <w:r w:rsidR="00592B2A" w:rsidRPr="00005694">
        <w:rPr>
          <w:i/>
          <w:lang w:eastAsia="en-US"/>
        </w:rPr>
        <w:t>eating disorder treatment and management plan</w:t>
      </w:r>
      <w:r w:rsidR="00592B2A" w:rsidRPr="00005694">
        <w:rPr>
          <w:lang w:eastAsia="en-US"/>
        </w:rPr>
        <w:t>)</w:t>
      </w:r>
    </w:p>
    <w:p w14:paraId="12CA66E7" w14:textId="5D9CB50D" w:rsidR="00592B2A" w:rsidRPr="00005694" w:rsidRDefault="00592B2A" w:rsidP="003C63E8">
      <w:pPr>
        <w:pStyle w:val="Item"/>
        <w:ind w:left="1134"/>
        <w:rPr>
          <w:lang w:eastAsia="en-US"/>
        </w:rPr>
      </w:pPr>
      <w:r w:rsidRPr="00005694">
        <w:rPr>
          <w:lang w:eastAsia="en-US"/>
        </w:rPr>
        <w:t>Omit “</w:t>
      </w:r>
      <w:r w:rsidRPr="00005694">
        <w:rPr>
          <w:i/>
          <w:lang w:eastAsia="en-US"/>
        </w:rPr>
        <w:t>Health Insurance (Section 3C General Medical Services – Eating Disorders Treatment Plan and Psychological Treatment Services) Determination 2019</w:t>
      </w:r>
      <w:r w:rsidRPr="00005694">
        <w:rPr>
          <w:lang w:eastAsia="en-US"/>
        </w:rPr>
        <w:t>”, substitute “</w:t>
      </w:r>
      <w:r w:rsidR="003729C1" w:rsidRPr="00005694">
        <w:rPr>
          <w:lang w:eastAsia="en-US"/>
        </w:rPr>
        <w:t>general medical services table</w:t>
      </w:r>
      <w:r w:rsidRPr="00005694">
        <w:rPr>
          <w:lang w:eastAsia="en-US"/>
        </w:rPr>
        <w:t>”.</w:t>
      </w:r>
    </w:p>
    <w:p w14:paraId="41B67CCC" w14:textId="4C590F22" w:rsidR="00592B2A" w:rsidRPr="00005694" w:rsidRDefault="00592B2A" w:rsidP="00592B2A">
      <w:pPr>
        <w:pStyle w:val="ItemHead"/>
        <w:numPr>
          <w:ilvl w:val="0"/>
          <w:numId w:val="21"/>
        </w:numPr>
        <w:rPr>
          <w:lang w:eastAsia="en-US"/>
        </w:rPr>
      </w:pPr>
      <w:r w:rsidRPr="00005694">
        <w:rPr>
          <w:lang w:eastAsia="en-US"/>
        </w:rPr>
        <w:t xml:space="preserve">Subsection 4(1) (definition of </w:t>
      </w:r>
      <w:r w:rsidRPr="00005694">
        <w:rPr>
          <w:i/>
          <w:lang w:eastAsia="en-US"/>
        </w:rPr>
        <w:t>eligible patient</w:t>
      </w:r>
      <w:r w:rsidRPr="00005694">
        <w:rPr>
          <w:lang w:eastAsia="en-US"/>
        </w:rPr>
        <w:t>)</w:t>
      </w:r>
    </w:p>
    <w:p w14:paraId="088C3870" w14:textId="67B14ED4" w:rsidR="000E5643" w:rsidRPr="00005694" w:rsidRDefault="00592B2A" w:rsidP="003A1A2C">
      <w:pPr>
        <w:pStyle w:val="Item"/>
        <w:ind w:left="567" w:firstLine="567"/>
        <w:rPr>
          <w:lang w:eastAsia="en-US"/>
        </w:rPr>
      </w:pPr>
      <w:r w:rsidRPr="00005694">
        <w:rPr>
          <w:lang w:eastAsia="en-US"/>
        </w:rPr>
        <w:t>Repeal the definition.</w:t>
      </w:r>
    </w:p>
    <w:p w14:paraId="4F7133D0" w14:textId="6239582A" w:rsidR="00592B2A" w:rsidRPr="00005694" w:rsidRDefault="00737A78" w:rsidP="00592B2A">
      <w:pPr>
        <w:pStyle w:val="ItemHead"/>
        <w:numPr>
          <w:ilvl w:val="0"/>
          <w:numId w:val="21"/>
        </w:numPr>
        <w:rPr>
          <w:lang w:eastAsia="en-US"/>
        </w:rPr>
      </w:pPr>
      <w:r w:rsidRPr="00005694">
        <w:rPr>
          <w:lang w:eastAsia="en-US"/>
        </w:rPr>
        <w:t>Subsection 6AA(1)</w:t>
      </w:r>
    </w:p>
    <w:p w14:paraId="7FF61E0C" w14:textId="7911664D" w:rsidR="004C7360" w:rsidRPr="00005694" w:rsidRDefault="00737A78" w:rsidP="003C63E8">
      <w:pPr>
        <w:pStyle w:val="Item"/>
        <w:ind w:left="1134"/>
        <w:rPr>
          <w:lang w:eastAsia="en-US"/>
        </w:rPr>
      </w:pPr>
      <w:r w:rsidRPr="00005694">
        <w:rPr>
          <w:lang w:eastAsia="en-US"/>
        </w:rPr>
        <w:t xml:space="preserve">Omit “an </w:t>
      </w:r>
      <w:r w:rsidRPr="00005694">
        <w:rPr>
          <w:b/>
          <w:lang w:eastAsia="en-US"/>
        </w:rPr>
        <w:t>eating disorder psychological treatment service</w:t>
      </w:r>
      <w:r w:rsidRPr="00005694">
        <w:rPr>
          <w:lang w:eastAsia="en-US"/>
        </w:rPr>
        <w:t>”, substitute “the service”.</w:t>
      </w:r>
    </w:p>
    <w:p w14:paraId="6CF34192" w14:textId="503859B0" w:rsidR="00956CF9" w:rsidRPr="00005694" w:rsidRDefault="00956CF9" w:rsidP="00956CF9">
      <w:pPr>
        <w:pStyle w:val="ItemHead"/>
        <w:numPr>
          <w:ilvl w:val="0"/>
          <w:numId w:val="21"/>
        </w:numPr>
        <w:rPr>
          <w:lang w:eastAsia="en-US"/>
        </w:rPr>
      </w:pPr>
      <w:r w:rsidRPr="00005694">
        <w:rPr>
          <w:lang w:eastAsia="en-US"/>
        </w:rPr>
        <w:t>Subsection 6AA(2)</w:t>
      </w:r>
    </w:p>
    <w:p w14:paraId="1CD58BDB" w14:textId="7B32258C" w:rsidR="0023331F" w:rsidRPr="00005694" w:rsidRDefault="0023331F" w:rsidP="0023331F">
      <w:pPr>
        <w:pStyle w:val="Item"/>
        <w:ind w:left="1134"/>
        <w:rPr>
          <w:lang w:eastAsia="en-US"/>
        </w:rPr>
      </w:pPr>
      <w:r w:rsidRPr="00005694">
        <w:rPr>
          <w:lang w:eastAsia="en-US"/>
        </w:rPr>
        <w:t>Repeal the subsection, substitute:</w:t>
      </w:r>
    </w:p>
    <w:p w14:paraId="23075315" w14:textId="0E222F3E" w:rsidR="0023331F" w:rsidRPr="00005694" w:rsidRDefault="0023331F" w:rsidP="00080823">
      <w:pPr>
        <w:shd w:val="clear" w:color="auto" w:fill="FFFFFF"/>
        <w:spacing w:before="180" w:line="240" w:lineRule="auto"/>
        <w:ind w:left="1588" w:hanging="454"/>
        <w:rPr>
          <w:rFonts w:eastAsia="Times New Roman" w:cs="Times New Roman"/>
          <w:color w:val="000000"/>
          <w:szCs w:val="22"/>
          <w:lang w:eastAsia="en-AU"/>
        </w:rPr>
      </w:pPr>
      <w:r w:rsidRPr="00005694">
        <w:rPr>
          <w:rFonts w:eastAsia="Times New Roman" w:cs="Times New Roman"/>
          <w:color w:val="000000"/>
          <w:szCs w:val="22"/>
          <w:lang w:eastAsia="en-AU"/>
        </w:rPr>
        <w:t>  (2)  An item in Subgroup 2 of Part 8 of Schedule 2 does not apply to a service providing a treatment to a patient under an eating disorder treatment and management plan if:</w:t>
      </w:r>
    </w:p>
    <w:p w14:paraId="6B0B0619" w14:textId="34823664" w:rsidR="0023331F" w:rsidRPr="00005694" w:rsidRDefault="0023331F" w:rsidP="003A3C01">
      <w:pPr>
        <w:shd w:val="clear" w:color="auto" w:fill="FFFFFF"/>
        <w:spacing w:before="40" w:line="240" w:lineRule="auto"/>
        <w:ind w:left="1985" w:hanging="851"/>
        <w:rPr>
          <w:rFonts w:eastAsia="Times New Roman" w:cs="Times New Roman"/>
          <w:color w:val="000000"/>
          <w:szCs w:val="22"/>
          <w:lang w:eastAsia="en-AU"/>
        </w:rPr>
      </w:pPr>
      <w:r w:rsidRPr="00005694">
        <w:rPr>
          <w:rFonts w:eastAsia="Times New Roman" w:cs="Times New Roman"/>
          <w:color w:val="000000"/>
          <w:szCs w:val="22"/>
          <w:lang w:eastAsia="en-AU"/>
        </w:rPr>
        <w:t>  </w:t>
      </w:r>
      <w:r w:rsidR="003A3C01" w:rsidRPr="00005694">
        <w:rPr>
          <w:rFonts w:eastAsia="Times New Roman" w:cs="Times New Roman"/>
          <w:color w:val="000000"/>
          <w:szCs w:val="22"/>
          <w:lang w:eastAsia="en-AU"/>
        </w:rPr>
        <w:t xml:space="preserve">       </w:t>
      </w:r>
      <w:r w:rsidRPr="00005694">
        <w:rPr>
          <w:rFonts w:eastAsia="Times New Roman" w:cs="Times New Roman"/>
          <w:color w:val="000000"/>
          <w:szCs w:val="22"/>
          <w:lang w:eastAsia="en-AU"/>
        </w:rPr>
        <w:t>(a)  the service is provided more than 12 months after the plan is prepared; or</w:t>
      </w:r>
    </w:p>
    <w:p w14:paraId="20F5D323" w14:textId="523212D3" w:rsidR="0023331F" w:rsidRPr="00005694" w:rsidRDefault="003A3C01" w:rsidP="003A3C01">
      <w:pPr>
        <w:shd w:val="clear" w:color="auto" w:fill="FFFFFF"/>
        <w:spacing w:before="40" w:line="240" w:lineRule="auto"/>
        <w:ind w:left="1985" w:hanging="851"/>
        <w:rPr>
          <w:rFonts w:eastAsia="Times New Roman" w:cs="Times New Roman"/>
          <w:color w:val="000000"/>
          <w:szCs w:val="22"/>
          <w:lang w:eastAsia="en-AU"/>
        </w:rPr>
      </w:pPr>
      <w:r w:rsidRPr="00005694">
        <w:rPr>
          <w:rFonts w:eastAsia="Times New Roman" w:cs="Times New Roman"/>
          <w:color w:val="000000"/>
          <w:szCs w:val="22"/>
          <w:lang w:eastAsia="en-AU"/>
        </w:rPr>
        <w:t>         </w:t>
      </w:r>
      <w:r w:rsidR="0023331F" w:rsidRPr="00005694">
        <w:rPr>
          <w:rFonts w:eastAsia="Times New Roman" w:cs="Times New Roman"/>
          <w:color w:val="000000"/>
          <w:szCs w:val="22"/>
          <w:lang w:eastAsia="en-AU"/>
        </w:rPr>
        <w:t>(b)  the patient has already been provided with 40 services under the plan; or</w:t>
      </w:r>
    </w:p>
    <w:p w14:paraId="11B1A87B" w14:textId="47096A38" w:rsidR="0023331F" w:rsidRPr="00005694" w:rsidRDefault="003A3C01" w:rsidP="003A3C01">
      <w:pPr>
        <w:shd w:val="clear" w:color="auto" w:fill="FFFFFF"/>
        <w:spacing w:before="40" w:line="240" w:lineRule="auto"/>
        <w:ind w:left="1985" w:hanging="851"/>
        <w:rPr>
          <w:rFonts w:eastAsia="Times New Roman" w:cs="Times New Roman"/>
          <w:color w:val="000000"/>
          <w:szCs w:val="22"/>
          <w:lang w:eastAsia="en-AU"/>
        </w:rPr>
      </w:pPr>
      <w:r w:rsidRPr="00005694">
        <w:rPr>
          <w:rFonts w:eastAsia="Times New Roman" w:cs="Times New Roman"/>
          <w:color w:val="000000"/>
          <w:szCs w:val="22"/>
          <w:lang w:eastAsia="en-AU"/>
        </w:rPr>
        <w:t>         </w:t>
      </w:r>
      <w:r w:rsidR="0023331F" w:rsidRPr="00005694">
        <w:rPr>
          <w:rFonts w:eastAsia="Times New Roman" w:cs="Times New Roman"/>
          <w:color w:val="000000"/>
          <w:szCs w:val="22"/>
          <w:lang w:eastAsia="en-AU"/>
        </w:rPr>
        <w:t>(c)  the service is provided after the patient has already been provided with 10 services under the plan but before a recommendation by a reviewing practitioner is given that additional services should be provided under the plan; or</w:t>
      </w:r>
    </w:p>
    <w:p w14:paraId="67992417" w14:textId="2600DDBA" w:rsidR="0023331F" w:rsidRPr="00005694" w:rsidRDefault="003A3C01" w:rsidP="003A3C01">
      <w:pPr>
        <w:shd w:val="clear" w:color="auto" w:fill="FFFFFF"/>
        <w:spacing w:before="40" w:line="240" w:lineRule="auto"/>
        <w:ind w:left="1985" w:hanging="851"/>
        <w:rPr>
          <w:rFonts w:eastAsia="Times New Roman" w:cs="Times New Roman"/>
          <w:color w:val="000000"/>
          <w:szCs w:val="22"/>
          <w:lang w:eastAsia="en-AU"/>
        </w:rPr>
      </w:pPr>
      <w:r w:rsidRPr="00005694">
        <w:rPr>
          <w:rFonts w:eastAsia="Times New Roman" w:cs="Times New Roman"/>
          <w:color w:val="000000"/>
          <w:szCs w:val="22"/>
          <w:lang w:eastAsia="en-AU"/>
        </w:rPr>
        <w:t>         </w:t>
      </w:r>
      <w:r w:rsidR="0023331F" w:rsidRPr="00005694">
        <w:rPr>
          <w:rFonts w:eastAsia="Times New Roman" w:cs="Times New Roman"/>
          <w:color w:val="000000"/>
          <w:szCs w:val="22"/>
          <w:lang w:eastAsia="en-AU"/>
        </w:rPr>
        <w:t>(d)  the service is provided after the patient has already been provided with 20 services under the plan but before recommendations that additional services should be provided under the plan are given by each of the following:</w:t>
      </w:r>
    </w:p>
    <w:p w14:paraId="790A630A" w14:textId="15672781" w:rsidR="0023331F" w:rsidRPr="00005694" w:rsidRDefault="003A3C01" w:rsidP="003A3C01">
      <w:pPr>
        <w:shd w:val="clear" w:color="auto" w:fill="FFFFFF"/>
        <w:spacing w:before="40" w:line="240" w:lineRule="auto"/>
        <w:ind w:left="2438" w:hanging="1304"/>
        <w:rPr>
          <w:rFonts w:eastAsia="Times New Roman" w:cs="Times New Roman"/>
          <w:color w:val="000000"/>
          <w:szCs w:val="22"/>
          <w:lang w:eastAsia="en-AU"/>
        </w:rPr>
      </w:pPr>
      <w:r w:rsidRPr="00005694">
        <w:rPr>
          <w:rFonts w:eastAsia="Times New Roman" w:cs="Times New Roman"/>
          <w:color w:val="000000"/>
          <w:szCs w:val="22"/>
          <w:lang w:eastAsia="en-AU"/>
        </w:rPr>
        <w:t>        </w:t>
      </w:r>
      <w:r w:rsidR="0066586D" w:rsidRPr="00005694">
        <w:rPr>
          <w:rFonts w:eastAsia="Times New Roman" w:cs="Times New Roman"/>
          <w:color w:val="000000"/>
          <w:szCs w:val="22"/>
          <w:lang w:eastAsia="en-AU"/>
        </w:rPr>
        <w:t xml:space="preserve">         </w:t>
      </w:r>
      <w:r w:rsidR="0023331F" w:rsidRPr="00005694">
        <w:rPr>
          <w:rFonts w:eastAsia="Times New Roman" w:cs="Times New Roman"/>
          <w:color w:val="000000"/>
          <w:szCs w:val="22"/>
          <w:lang w:eastAsia="en-AU"/>
        </w:rPr>
        <w:t>(i)  a medical practitioner (other than a specialist or consultant physician);</w:t>
      </w:r>
    </w:p>
    <w:p w14:paraId="1E866AED" w14:textId="646CC404" w:rsidR="0023331F" w:rsidRPr="00005694" w:rsidRDefault="0066586D" w:rsidP="00EA4AD9">
      <w:pPr>
        <w:shd w:val="clear" w:color="auto" w:fill="FFFFFF"/>
        <w:spacing w:before="40" w:line="240" w:lineRule="auto"/>
        <w:ind w:left="2438" w:hanging="1304"/>
        <w:rPr>
          <w:rFonts w:eastAsia="Times New Roman" w:cs="Times New Roman"/>
          <w:color w:val="000000"/>
          <w:szCs w:val="22"/>
          <w:lang w:eastAsia="en-AU"/>
        </w:rPr>
      </w:pPr>
      <w:r w:rsidRPr="00005694">
        <w:rPr>
          <w:rFonts w:eastAsia="Times New Roman" w:cs="Times New Roman"/>
          <w:color w:val="000000"/>
          <w:szCs w:val="22"/>
          <w:lang w:eastAsia="en-AU"/>
        </w:rPr>
        <w:t>                </w:t>
      </w:r>
      <w:r w:rsidR="0023331F" w:rsidRPr="00005694">
        <w:rPr>
          <w:rFonts w:eastAsia="Times New Roman" w:cs="Times New Roman"/>
          <w:color w:val="000000"/>
          <w:szCs w:val="22"/>
          <w:lang w:eastAsia="en-AU"/>
        </w:rPr>
        <w:t>(ii)  a consultant physician</w:t>
      </w:r>
      <w:r w:rsidR="00EA4AD9" w:rsidRPr="00005694">
        <w:rPr>
          <w:rFonts w:eastAsia="Times New Roman" w:cs="Times New Roman"/>
          <w:color w:val="000000"/>
          <w:szCs w:val="22"/>
          <w:lang w:eastAsia="en-AU"/>
        </w:rPr>
        <w:t xml:space="preserve"> practising in the specialty of psychiatry or paediatrics</w:t>
      </w:r>
      <w:r w:rsidR="0023331F" w:rsidRPr="00005694">
        <w:rPr>
          <w:rFonts w:eastAsia="Times New Roman" w:cs="Times New Roman"/>
          <w:color w:val="000000"/>
          <w:szCs w:val="22"/>
          <w:lang w:eastAsia="en-AU"/>
        </w:rPr>
        <w:t>; or</w:t>
      </w:r>
    </w:p>
    <w:p w14:paraId="25C0B5FB" w14:textId="61BC2205" w:rsidR="0023331F" w:rsidRPr="00005694" w:rsidRDefault="003A3C01" w:rsidP="003A3C01">
      <w:pPr>
        <w:shd w:val="clear" w:color="auto" w:fill="FFFFFF"/>
        <w:spacing w:before="40" w:line="240" w:lineRule="auto"/>
        <w:ind w:left="1985" w:hanging="851"/>
        <w:rPr>
          <w:rFonts w:eastAsia="Times New Roman" w:cs="Times New Roman"/>
          <w:color w:val="000000"/>
          <w:szCs w:val="22"/>
          <w:lang w:eastAsia="en-AU"/>
        </w:rPr>
      </w:pPr>
      <w:r w:rsidRPr="00005694">
        <w:rPr>
          <w:rFonts w:eastAsia="Times New Roman" w:cs="Times New Roman"/>
          <w:color w:val="000000"/>
          <w:szCs w:val="22"/>
          <w:lang w:eastAsia="en-AU"/>
        </w:rPr>
        <w:t>         </w:t>
      </w:r>
      <w:r w:rsidR="0023331F" w:rsidRPr="00005694">
        <w:rPr>
          <w:rFonts w:eastAsia="Times New Roman" w:cs="Times New Roman"/>
          <w:color w:val="000000"/>
          <w:szCs w:val="22"/>
          <w:lang w:eastAsia="en-AU"/>
        </w:rPr>
        <w:t>(e)  the service is provided after the patient has already been provided with 30 services under the plan but before a recommendation is given by a reviewing practitioner that additional services should be provided.</w:t>
      </w:r>
    </w:p>
    <w:p w14:paraId="51B8CC23" w14:textId="1C5A7CAD" w:rsidR="006E3641" w:rsidRPr="00005694" w:rsidRDefault="006E3641" w:rsidP="006E3641">
      <w:pPr>
        <w:pStyle w:val="ItemHead"/>
        <w:numPr>
          <w:ilvl w:val="0"/>
          <w:numId w:val="21"/>
        </w:numPr>
        <w:rPr>
          <w:lang w:eastAsia="en-US"/>
        </w:rPr>
      </w:pPr>
      <w:r w:rsidRPr="00005694">
        <w:rPr>
          <w:lang w:eastAsia="en-US"/>
        </w:rPr>
        <w:lastRenderedPageBreak/>
        <w:t>Subsection 6AA(3)</w:t>
      </w:r>
    </w:p>
    <w:p w14:paraId="47052C17" w14:textId="0EF66FB8" w:rsidR="006E3641" w:rsidRPr="00005694" w:rsidRDefault="006E3641" w:rsidP="006E3641">
      <w:pPr>
        <w:shd w:val="clear" w:color="auto" w:fill="FFFFFF"/>
        <w:spacing w:before="180" w:line="240" w:lineRule="auto"/>
        <w:ind w:left="1134"/>
        <w:rPr>
          <w:rFonts w:eastAsia="Times New Roman" w:cs="Times New Roman"/>
          <w:color w:val="000000"/>
          <w:szCs w:val="22"/>
          <w:lang w:eastAsia="en-AU"/>
        </w:rPr>
      </w:pPr>
      <w:r w:rsidRPr="00005694">
        <w:t>Repeal the subsection, substitute:</w:t>
      </w:r>
      <w:r w:rsidR="0023331F" w:rsidRPr="00005694">
        <w:rPr>
          <w:rFonts w:eastAsia="Times New Roman" w:cs="Times New Roman"/>
          <w:color w:val="000000"/>
          <w:szCs w:val="22"/>
          <w:lang w:eastAsia="en-AU"/>
        </w:rPr>
        <w:t xml:space="preserve"> </w:t>
      </w:r>
    </w:p>
    <w:p w14:paraId="6D121448" w14:textId="5EB7AA17" w:rsidR="0023331F" w:rsidRPr="00005694" w:rsidRDefault="0023331F" w:rsidP="006E3641">
      <w:pPr>
        <w:shd w:val="clear" w:color="auto" w:fill="FFFFFF"/>
        <w:spacing w:before="180" w:line="240" w:lineRule="auto"/>
        <w:ind w:left="1548" w:hanging="414"/>
        <w:rPr>
          <w:rFonts w:eastAsia="Times New Roman" w:cs="Times New Roman"/>
          <w:color w:val="000000"/>
          <w:szCs w:val="22"/>
          <w:lang w:eastAsia="en-AU"/>
        </w:rPr>
      </w:pPr>
      <w:r w:rsidRPr="00005694">
        <w:rPr>
          <w:rFonts w:eastAsia="Times New Roman" w:cs="Times New Roman"/>
          <w:color w:val="000000"/>
          <w:szCs w:val="22"/>
          <w:lang w:eastAsia="en-AU"/>
        </w:rPr>
        <w:t>(3)  A reviewing practitioner may recommend that additional services be provided under a plan only if:</w:t>
      </w:r>
    </w:p>
    <w:p w14:paraId="69A0ED8A" w14:textId="59133325" w:rsidR="0023331F" w:rsidRPr="00005694" w:rsidRDefault="0023331F" w:rsidP="006E3641">
      <w:pPr>
        <w:shd w:val="clear" w:color="auto" w:fill="FFFFFF"/>
        <w:spacing w:before="40" w:line="240" w:lineRule="auto"/>
        <w:ind w:left="1945" w:hanging="1531"/>
        <w:rPr>
          <w:rFonts w:eastAsia="Times New Roman" w:cs="Times New Roman"/>
          <w:color w:val="000000"/>
          <w:szCs w:val="22"/>
          <w:lang w:eastAsia="en-AU"/>
        </w:rPr>
      </w:pPr>
      <w:r w:rsidRPr="00005694">
        <w:rPr>
          <w:rFonts w:eastAsia="Times New Roman" w:cs="Times New Roman"/>
          <w:color w:val="000000"/>
          <w:szCs w:val="22"/>
          <w:lang w:eastAsia="en-AU"/>
        </w:rPr>
        <w:t xml:space="preserve">                     (a)  the recommendation is made as part of a service to which an item in </w:t>
      </w:r>
      <w:r w:rsidR="001C52B2" w:rsidRPr="00005694">
        <w:rPr>
          <w:color w:val="000000"/>
          <w:szCs w:val="22"/>
          <w:shd w:val="clear" w:color="auto" w:fill="FFFFFF"/>
        </w:rPr>
        <w:t xml:space="preserve">Subgroup 3 of Group A36 </w:t>
      </w:r>
      <w:r w:rsidR="00D7690B" w:rsidRPr="00005694">
        <w:rPr>
          <w:color w:val="000000"/>
          <w:szCs w:val="22"/>
          <w:shd w:val="clear" w:color="auto" w:fill="FFFFFF"/>
        </w:rPr>
        <w:t xml:space="preserve">of the general medical services table </w:t>
      </w:r>
      <w:r w:rsidR="001C52B2" w:rsidRPr="00005694">
        <w:rPr>
          <w:color w:val="000000"/>
          <w:szCs w:val="22"/>
          <w:shd w:val="clear" w:color="auto" w:fill="FFFFFF"/>
        </w:rPr>
        <w:t>or Subgroup 25 or 26 of Group A40</w:t>
      </w:r>
      <w:r w:rsidR="00D7690B" w:rsidRPr="00005694">
        <w:rPr>
          <w:color w:val="000000"/>
          <w:szCs w:val="22"/>
          <w:shd w:val="clear" w:color="auto" w:fill="FFFFFF"/>
        </w:rPr>
        <w:t xml:space="preserve"> of the </w:t>
      </w:r>
      <w:r w:rsidR="00D7690B" w:rsidRPr="00005694">
        <w:rPr>
          <w:bCs/>
          <w:iCs/>
          <w:color w:val="000000"/>
          <w:szCs w:val="22"/>
          <w:shd w:val="clear" w:color="auto" w:fill="FFFFFF"/>
        </w:rPr>
        <w:t>COVID</w:t>
      </w:r>
      <w:r w:rsidR="00D7690B" w:rsidRPr="00005694">
        <w:rPr>
          <w:bCs/>
          <w:iCs/>
          <w:color w:val="000000"/>
          <w:szCs w:val="22"/>
          <w:shd w:val="clear" w:color="auto" w:fill="FFFFFF"/>
        </w:rPr>
        <w:noBreakHyphen/>
        <w:t>19 Determination</w:t>
      </w:r>
      <w:r w:rsidRPr="00005694">
        <w:rPr>
          <w:rFonts w:eastAsia="Times New Roman" w:cs="Times New Roman"/>
          <w:color w:val="000000"/>
          <w:szCs w:val="22"/>
          <w:lang w:eastAsia="en-AU"/>
        </w:rPr>
        <w:t xml:space="preserve"> applies; and</w:t>
      </w:r>
    </w:p>
    <w:p w14:paraId="5DC5A9D0" w14:textId="77777777" w:rsidR="0023331F" w:rsidRPr="00005694" w:rsidRDefault="0023331F" w:rsidP="006E3641">
      <w:pPr>
        <w:shd w:val="clear" w:color="auto" w:fill="FFFFFF"/>
        <w:spacing w:before="40" w:line="240" w:lineRule="auto"/>
        <w:ind w:left="2058" w:hanging="1644"/>
        <w:rPr>
          <w:rFonts w:eastAsia="Times New Roman" w:cs="Times New Roman"/>
          <w:color w:val="000000"/>
          <w:szCs w:val="22"/>
          <w:lang w:eastAsia="en-AU"/>
        </w:rPr>
      </w:pPr>
      <w:r w:rsidRPr="00005694">
        <w:rPr>
          <w:rFonts w:eastAsia="Times New Roman" w:cs="Times New Roman"/>
          <w:color w:val="000000"/>
          <w:szCs w:val="22"/>
          <w:lang w:eastAsia="en-AU"/>
        </w:rPr>
        <w:t>                     (b)  the service is provided:</w:t>
      </w:r>
    </w:p>
    <w:p w14:paraId="031072DF" w14:textId="1E73636C" w:rsidR="0023331F" w:rsidRPr="00005694" w:rsidRDefault="0023331F" w:rsidP="006E3641">
      <w:pPr>
        <w:shd w:val="clear" w:color="auto" w:fill="FFFFFF"/>
        <w:spacing w:before="40" w:line="240" w:lineRule="auto"/>
        <w:ind w:left="2512" w:hanging="2098"/>
        <w:rPr>
          <w:rFonts w:eastAsia="Times New Roman" w:cs="Times New Roman"/>
          <w:color w:val="000000"/>
          <w:szCs w:val="22"/>
          <w:lang w:eastAsia="en-AU"/>
        </w:rPr>
      </w:pPr>
      <w:r w:rsidRPr="00005694">
        <w:rPr>
          <w:rFonts w:eastAsia="Times New Roman" w:cs="Times New Roman"/>
          <w:color w:val="000000"/>
          <w:szCs w:val="22"/>
          <w:lang w:eastAsia="en-AU"/>
        </w:rPr>
        <w:t>                              (i)  for the purposes of paragraph (2)(c)—after the patient has been provided with 10 services under the plan; and</w:t>
      </w:r>
    </w:p>
    <w:p w14:paraId="2913947A" w14:textId="51E9B9C8" w:rsidR="0023331F" w:rsidRPr="00005694" w:rsidRDefault="0023331F" w:rsidP="006E3641">
      <w:pPr>
        <w:shd w:val="clear" w:color="auto" w:fill="FFFFFF"/>
        <w:spacing w:before="40" w:line="240" w:lineRule="auto"/>
        <w:ind w:left="2512" w:hanging="2098"/>
        <w:rPr>
          <w:rFonts w:eastAsia="Times New Roman" w:cs="Times New Roman"/>
          <w:color w:val="000000"/>
          <w:szCs w:val="22"/>
          <w:lang w:eastAsia="en-AU"/>
        </w:rPr>
      </w:pPr>
      <w:r w:rsidRPr="00005694">
        <w:rPr>
          <w:rFonts w:eastAsia="Times New Roman" w:cs="Times New Roman"/>
          <w:color w:val="000000"/>
          <w:szCs w:val="22"/>
          <w:lang w:eastAsia="en-AU"/>
        </w:rPr>
        <w:t>                             (ii)  for the purposes of paragraph (2)(d)—after the patient has been provided with 20 services under the plan; and</w:t>
      </w:r>
    </w:p>
    <w:p w14:paraId="6F33E064" w14:textId="7D429D2A" w:rsidR="0023331F" w:rsidRPr="00005694" w:rsidRDefault="0023331F" w:rsidP="006E3641">
      <w:pPr>
        <w:shd w:val="clear" w:color="auto" w:fill="FFFFFF"/>
        <w:spacing w:before="40" w:line="240" w:lineRule="auto"/>
        <w:ind w:left="2512" w:hanging="2098"/>
        <w:rPr>
          <w:rFonts w:eastAsia="Times New Roman" w:cs="Times New Roman"/>
          <w:color w:val="000000"/>
          <w:szCs w:val="22"/>
          <w:lang w:eastAsia="en-AU"/>
        </w:rPr>
      </w:pPr>
      <w:r w:rsidRPr="00005694">
        <w:rPr>
          <w:rFonts w:eastAsia="Times New Roman" w:cs="Times New Roman"/>
          <w:color w:val="000000"/>
          <w:szCs w:val="22"/>
          <w:lang w:eastAsia="en-AU"/>
        </w:rPr>
        <w:t>                            (iii)  for the purposes of paragraph (2)(e)—after the patient has been provided with 30 services under the plan; and</w:t>
      </w:r>
    </w:p>
    <w:p w14:paraId="34344587" w14:textId="77777777" w:rsidR="0023331F" w:rsidRPr="00005694" w:rsidRDefault="0023331F" w:rsidP="006E3641">
      <w:pPr>
        <w:shd w:val="clear" w:color="auto" w:fill="FFFFFF"/>
        <w:spacing w:before="40" w:line="240" w:lineRule="auto"/>
        <w:ind w:left="2058" w:hanging="1644"/>
        <w:rPr>
          <w:rFonts w:eastAsia="Times New Roman" w:cs="Times New Roman"/>
          <w:color w:val="000000"/>
          <w:szCs w:val="22"/>
          <w:lang w:eastAsia="en-AU"/>
        </w:rPr>
      </w:pPr>
      <w:r w:rsidRPr="00005694">
        <w:rPr>
          <w:rFonts w:eastAsia="Times New Roman" w:cs="Times New Roman"/>
          <w:color w:val="000000"/>
          <w:szCs w:val="22"/>
          <w:lang w:eastAsia="en-AU"/>
        </w:rPr>
        <w:t>                     (c)  the practitioner records the recommendation in the patient’s records.</w:t>
      </w:r>
    </w:p>
    <w:p w14:paraId="545C26C8" w14:textId="023BF914" w:rsidR="0023331F" w:rsidRPr="00005694" w:rsidRDefault="0023331F" w:rsidP="00D7690B">
      <w:pPr>
        <w:shd w:val="clear" w:color="auto" w:fill="FFFFFF"/>
        <w:spacing w:before="180" w:line="240" w:lineRule="auto"/>
        <w:ind w:left="1605" w:hanging="1191"/>
        <w:rPr>
          <w:rFonts w:eastAsia="Times New Roman" w:cs="Times New Roman"/>
          <w:color w:val="000000"/>
          <w:szCs w:val="22"/>
          <w:lang w:eastAsia="en-AU"/>
        </w:rPr>
      </w:pPr>
      <w:r w:rsidRPr="00005694">
        <w:rPr>
          <w:rFonts w:eastAsia="Times New Roman" w:cs="Times New Roman"/>
          <w:color w:val="000000"/>
          <w:szCs w:val="22"/>
          <w:lang w:eastAsia="en-AU"/>
        </w:rPr>
        <w:t>             (3C) For the purposes of this clause, in counting the services providing treatments under a plan, only count the services to which any of the following apply:</w:t>
      </w:r>
    </w:p>
    <w:p w14:paraId="6E489F38" w14:textId="77777777" w:rsidR="0023331F" w:rsidRPr="00005694" w:rsidRDefault="0023331F" w:rsidP="006E3641">
      <w:pPr>
        <w:shd w:val="clear" w:color="auto" w:fill="FFFFFF"/>
        <w:spacing w:before="40" w:line="240" w:lineRule="auto"/>
        <w:ind w:left="2058" w:hanging="1644"/>
        <w:rPr>
          <w:rFonts w:eastAsia="Times New Roman" w:cs="Times New Roman"/>
          <w:color w:val="000000"/>
          <w:szCs w:val="22"/>
          <w:lang w:eastAsia="en-AU"/>
        </w:rPr>
      </w:pPr>
      <w:r w:rsidRPr="00005694">
        <w:rPr>
          <w:rFonts w:eastAsia="Times New Roman" w:cs="Times New Roman"/>
          <w:color w:val="000000"/>
          <w:szCs w:val="22"/>
          <w:lang w:eastAsia="en-AU"/>
        </w:rPr>
        <w:t>                     (a)  items 283, 285, 286, 287, 371 and 372;</w:t>
      </w:r>
    </w:p>
    <w:p w14:paraId="73111C01" w14:textId="77777777" w:rsidR="0023331F" w:rsidRPr="00005694" w:rsidRDefault="0023331F" w:rsidP="006E3641">
      <w:pPr>
        <w:shd w:val="clear" w:color="auto" w:fill="FFFFFF"/>
        <w:spacing w:before="40" w:line="240" w:lineRule="auto"/>
        <w:ind w:left="2058" w:hanging="1644"/>
        <w:rPr>
          <w:rFonts w:eastAsia="Times New Roman" w:cs="Times New Roman"/>
          <w:color w:val="000000"/>
          <w:szCs w:val="22"/>
          <w:lang w:eastAsia="en-AU"/>
        </w:rPr>
      </w:pPr>
      <w:r w:rsidRPr="00005694">
        <w:rPr>
          <w:rFonts w:eastAsia="Times New Roman" w:cs="Times New Roman"/>
          <w:color w:val="000000"/>
          <w:szCs w:val="22"/>
          <w:lang w:eastAsia="en-AU"/>
        </w:rPr>
        <w:t>                     (b)  items 2721, 2723, 2725 and 2727;</w:t>
      </w:r>
    </w:p>
    <w:p w14:paraId="726C4B85" w14:textId="77777777" w:rsidR="0023331F" w:rsidRPr="00005694" w:rsidRDefault="0023331F" w:rsidP="006E3641">
      <w:pPr>
        <w:shd w:val="clear" w:color="auto" w:fill="FFFFFF"/>
        <w:spacing w:before="40" w:line="240" w:lineRule="auto"/>
        <w:ind w:left="2058" w:hanging="1644"/>
        <w:rPr>
          <w:rFonts w:eastAsia="Times New Roman" w:cs="Times New Roman"/>
          <w:color w:val="000000"/>
          <w:szCs w:val="22"/>
          <w:lang w:eastAsia="en-AU"/>
        </w:rPr>
      </w:pPr>
      <w:r w:rsidRPr="00005694">
        <w:rPr>
          <w:rFonts w:eastAsia="Times New Roman" w:cs="Times New Roman"/>
          <w:color w:val="000000"/>
          <w:szCs w:val="22"/>
          <w:lang w:eastAsia="en-AU"/>
        </w:rPr>
        <w:t>                     (c)  items in Groups M6, M7 and M16 other than items 82350 and 82351;</w:t>
      </w:r>
    </w:p>
    <w:p w14:paraId="3F9A2294" w14:textId="77777777" w:rsidR="0023331F" w:rsidRPr="00005694" w:rsidRDefault="0023331F" w:rsidP="000626C1">
      <w:pPr>
        <w:shd w:val="clear" w:color="auto" w:fill="FFFFFF"/>
        <w:spacing w:before="40" w:line="240" w:lineRule="auto"/>
        <w:ind w:left="1945" w:hanging="1531"/>
        <w:rPr>
          <w:rFonts w:eastAsia="Times New Roman" w:cs="Times New Roman"/>
          <w:color w:val="000000"/>
          <w:szCs w:val="22"/>
          <w:lang w:eastAsia="en-AU"/>
        </w:rPr>
      </w:pPr>
      <w:r w:rsidRPr="00005694">
        <w:rPr>
          <w:rFonts w:eastAsia="Times New Roman" w:cs="Times New Roman"/>
          <w:color w:val="000000"/>
          <w:szCs w:val="22"/>
          <w:lang w:eastAsia="en-AU"/>
        </w:rPr>
        <w:t>                     (d)  items 90271, 90272, 90273, 90274, 90275, 90276, 90277, 90278, 90279, 90280, 90281 and 90282;</w:t>
      </w:r>
    </w:p>
    <w:p w14:paraId="172D6BF3" w14:textId="77777777" w:rsidR="0023331F" w:rsidRPr="00005694" w:rsidRDefault="0023331F" w:rsidP="000626C1">
      <w:pPr>
        <w:shd w:val="clear" w:color="auto" w:fill="FFFFFF"/>
        <w:spacing w:before="40" w:line="240" w:lineRule="auto"/>
        <w:ind w:left="1945" w:hanging="1531"/>
        <w:rPr>
          <w:rFonts w:eastAsia="Times New Roman" w:cs="Times New Roman"/>
          <w:color w:val="000000"/>
          <w:szCs w:val="22"/>
          <w:lang w:eastAsia="en-AU"/>
        </w:rPr>
      </w:pPr>
      <w:r w:rsidRPr="00005694">
        <w:rPr>
          <w:rFonts w:eastAsia="Times New Roman" w:cs="Times New Roman"/>
          <w:color w:val="000000"/>
          <w:szCs w:val="22"/>
          <w:lang w:eastAsia="en-AU"/>
        </w:rPr>
        <w:t>                     (e)  items 91166, 91167, 91169, 91170, 91172, 91173, 91175, 91176, 91181 to 91188, 91818, 91819, 91820, 91821, 91842, 91843, 91844, 91845, 92182, 92184, 92186, 92188, 92194, 92196, 92198, 92200, 93076, 93079, 93084. 93087, 93092, 93095, 93100, 93103, 93110, 93113, 93118, 93121, 93126, 93129, 93134 and 93137.</w:t>
      </w:r>
    </w:p>
    <w:p w14:paraId="43A63AE0" w14:textId="65659868" w:rsidR="006E3641" w:rsidRPr="00005694" w:rsidRDefault="006E3641" w:rsidP="006E3641">
      <w:pPr>
        <w:pStyle w:val="ItemHead"/>
        <w:numPr>
          <w:ilvl w:val="0"/>
          <w:numId w:val="21"/>
        </w:numPr>
        <w:rPr>
          <w:lang w:eastAsia="en-US"/>
        </w:rPr>
      </w:pPr>
      <w:r w:rsidRPr="00005694">
        <w:rPr>
          <w:lang w:eastAsia="en-US"/>
        </w:rPr>
        <w:t>Subsection 6AA(5)</w:t>
      </w:r>
    </w:p>
    <w:p w14:paraId="5EB16C17" w14:textId="77777777" w:rsidR="00AE6FB9" w:rsidRPr="00005694" w:rsidRDefault="00AE6FB9" w:rsidP="00AE6FB9">
      <w:pPr>
        <w:pStyle w:val="Item"/>
        <w:ind w:left="1123" w:firstLine="11"/>
        <w:rPr>
          <w:lang w:eastAsia="en-US"/>
        </w:rPr>
      </w:pPr>
      <w:r w:rsidRPr="00005694">
        <w:rPr>
          <w:lang w:eastAsia="en-US"/>
        </w:rPr>
        <w:t>Repeal the subsection, substitute:</w:t>
      </w:r>
    </w:p>
    <w:p w14:paraId="557B2ED0" w14:textId="5DFB8664" w:rsidR="00AE6FB9" w:rsidRPr="00005694" w:rsidRDefault="00AE6FB9" w:rsidP="00AE6FB9">
      <w:pPr>
        <w:pStyle w:val="Item"/>
        <w:ind w:left="1520" w:hanging="397"/>
        <w:rPr>
          <w:lang w:eastAsia="en-US"/>
        </w:rPr>
      </w:pPr>
      <w:r w:rsidRPr="00005694">
        <w:rPr>
          <w:lang w:eastAsia="en-US"/>
        </w:rPr>
        <w:t>(5)   For an item in Subgroup 2 of Part 8 of Schedule 2, a pa</w:t>
      </w:r>
      <w:r w:rsidR="00001F27" w:rsidRPr="00005694">
        <w:rPr>
          <w:lang w:eastAsia="en-US"/>
        </w:rPr>
        <w:t xml:space="preserve">tient is an </w:t>
      </w:r>
      <w:r w:rsidR="00001F27" w:rsidRPr="00005694">
        <w:rPr>
          <w:b/>
          <w:lang w:eastAsia="en-US"/>
        </w:rPr>
        <w:t>eligible patient</w:t>
      </w:r>
      <w:r w:rsidRPr="00005694">
        <w:rPr>
          <w:lang w:eastAsia="en-US"/>
        </w:rPr>
        <w:t xml:space="preserve"> if the patient meets the requirements for a patient specified in clause 2.31.2 of the general medical services table.</w:t>
      </w:r>
    </w:p>
    <w:p w14:paraId="4A3AC028" w14:textId="0BE9115B" w:rsidR="006E3641" w:rsidRPr="00005694" w:rsidRDefault="006E3641" w:rsidP="006E3641">
      <w:pPr>
        <w:pStyle w:val="ItemHead"/>
        <w:numPr>
          <w:ilvl w:val="0"/>
          <w:numId w:val="21"/>
        </w:numPr>
        <w:rPr>
          <w:lang w:eastAsia="en-US"/>
        </w:rPr>
      </w:pPr>
      <w:r w:rsidRPr="00005694">
        <w:rPr>
          <w:lang w:eastAsia="en-US"/>
        </w:rPr>
        <w:t>Subsection 6AA(6)</w:t>
      </w:r>
    </w:p>
    <w:p w14:paraId="18E552E0" w14:textId="52C70111" w:rsidR="003A1A2C" w:rsidRPr="00005694" w:rsidRDefault="006E3641" w:rsidP="00580337">
      <w:pPr>
        <w:pStyle w:val="Item"/>
        <w:ind w:left="1134"/>
        <w:rPr>
          <w:lang w:eastAsia="en-US"/>
        </w:rPr>
      </w:pPr>
      <w:r w:rsidRPr="00005694">
        <w:rPr>
          <w:lang w:eastAsia="en-US"/>
        </w:rPr>
        <w:t>Repeal the subsection.</w:t>
      </w:r>
    </w:p>
    <w:p w14:paraId="29B8E0D1" w14:textId="3CAA3245" w:rsidR="0090563E" w:rsidRPr="00005694" w:rsidRDefault="00671DFD" w:rsidP="0090563E">
      <w:pPr>
        <w:pStyle w:val="ItemHead"/>
        <w:numPr>
          <w:ilvl w:val="0"/>
          <w:numId w:val="21"/>
        </w:numPr>
        <w:rPr>
          <w:lang w:eastAsia="en-US"/>
        </w:rPr>
      </w:pPr>
      <w:r w:rsidRPr="00005694">
        <w:rPr>
          <w:lang w:eastAsia="en-US"/>
        </w:rPr>
        <w:t>Subsection</w:t>
      </w:r>
      <w:r w:rsidR="004C7360" w:rsidRPr="00005694">
        <w:rPr>
          <w:lang w:eastAsia="en-US"/>
        </w:rPr>
        <w:t xml:space="preserve"> 8B(2)</w:t>
      </w:r>
      <w:r w:rsidRPr="00005694">
        <w:rPr>
          <w:lang w:eastAsia="en-US"/>
        </w:rPr>
        <w:t xml:space="preserve"> (paragraphs </w:t>
      </w:r>
      <w:r w:rsidR="004C7360" w:rsidRPr="00005694">
        <w:rPr>
          <w:lang w:eastAsia="en-US"/>
        </w:rPr>
        <w:t>(a)</w:t>
      </w:r>
      <w:r w:rsidRPr="00005694">
        <w:rPr>
          <w:lang w:eastAsia="en-US"/>
        </w:rPr>
        <w:t xml:space="preserve"> to (c))</w:t>
      </w:r>
    </w:p>
    <w:p w14:paraId="53CCBD5C" w14:textId="7F47A64A" w:rsidR="004C7360" w:rsidRPr="00005694" w:rsidRDefault="004C7360" w:rsidP="004C7360">
      <w:pPr>
        <w:pStyle w:val="Item"/>
        <w:ind w:left="1134"/>
        <w:rPr>
          <w:lang w:eastAsia="en-US"/>
        </w:rPr>
      </w:pPr>
      <w:r w:rsidRPr="00005694">
        <w:rPr>
          <w:lang w:eastAsia="en-US"/>
        </w:rPr>
        <w:t xml:space="preserve">Omit “the </w:t>
      </w:r>
      <w:r w:rsidRPr="00005694">
        <w:rPr>
          <w:i/>
          <w:lang w:eastAsia="en-US"/>
        </w:rPr>
        <w:t>Health Insurance (Section 3C General Medical Services – Eating Disorders Treatment Plan and Psychological Treatment Services) Determination 2019</w:t>
      </w:r>
      <w:r w:rsidRPr="00005694">
        <w:rPr>
          <w:lang w:eastAsia="en-US"/>
        </w:rPr>
        <w:t>”</w:t>
      </w:r>
      <w:r w:rsidR="00F7720F" w:rsidRPr="00005694">
        <w:rPr>
          <w:lang w:eastAsia="en-US"/>
        </w:rPr>
        <w:t xml:space="preserve"> (wherever occurring)</w:t>
      </w:r>
      <w:r w:rsidRPr="00005694">
        <w:rPr>
          <w:lang w:eastAsia="en-US"/>
        </w:rPr>
        <w:t xml:space="preserve">, substitute “Group A36 of the </w:t>
      </w:r>
      <w:r w:rsidR="003729C1" w:rsidRPr="00005694">
        <w:rPr>
          <w:lang w:eastAsia="en-US"/>
        </w:rPr>
        <w:t>general medical services table</w:t>
      </w:r>
      <w:r w:rsidRPr="00005694">
        <w:rPr>
          <w:lang w:eastAsia="en-US"/>
        </w:rPr>
        <w:t>”.</w:t>
      </w:r>
    </w:p>
    <w:p w14:paraId="4106CC29" w14:textId="342DD61B" w:rsidR="001276AA" w:rsidRPr="00005694" w:rsidRDefault="001276AA" w:rsidP="001276AA">
      <w:pPr>
        <w:pStyle w:val="ItemHead"/>
        <w:numPr>
          <w:ilvl w:val="0"/>
          <w:numId w:val="21"/>
        </w:numPr>
        <w:rPr>
          <w:lang w:eastAsia="en-US"/>
        </w:rPr>
      </w:pPr>
      <w:r w:rsidRPr="00005694">
        <w:rPr>
          <w:lang w:eastAsia="en-US"/>
        </w:rPr>
        <w:lastRenderedPageBreak/>
        <w:t xml:space="preserve">Part 8 of Schedule 2 (items 82352 to </w:t>
      </w:r>
      <w:r w:rsidR="009B70AC" w:rsidRPr="00005694">
        <w:rPr>
          <w:lang w:eastAsia="en-US"/>
        </w:rPr>
        <w:t>82381</w:t>
      </w:r>
      <w:r w:rsidRPr="00005694">
        <w:rPr>
          <w:lang w:eastAsia="en-US"/>
        </w:rPr>
        <w:t>)</w:t>
      </w:r>
    </w:p>
    <w:p w14:paraId="6AE22A87" w14:textId="7936CB35" w:rsidR="001276AA" w:rsidRPr="00005694" w:rsidRDefault="001276AA" w:rsidP="001276AA">
      <w:pPr>
        <w:pStyle w:val="Item"/>
        <w:ind w:left="1134"/>
        <w:rPr>
          <w:lang w:eastAsia="en-US"/>
        </w:rPr>
      </w:pPr>
      <w:r w:rsidRPr="00005694">
        <w:rPr>
          <w:lang w:eastAsia="en-US"/>
        </w:rPr>
        <w:t>Omit “</w:t>
      </w:r>
      <w:r w:rsidRPr="00005694">
        <w:rPr>
          <w:b/>
          <w:lang w:eastAsia="en-US"/>
        </w:rPr>
        <w:t>Eating disorder psychological treatment service</w:t>
      </w:r>
      <w:r w:rsidRPr="00005694">
        <w:rPr>
          <w:lang w:eastAsia="en-US"/>
        </w:rPr>
        <w:t>”</w:t>
      </w:r>
      <w:r w:rsidR="00C45B87" w:rsidRPr="00005694">
        <w:rPr>
          <w:lang w:eastAsia="en-US"/>
        </w:rPr>
        <w:t xml:space="preserve"> (wherever occurring)</w:t>
      </w:r>
      <w:r w:rsidRPr="00005694">
        <w:rPr>
          <w:lang w:eastAsia="en-US"/>
        </w:rPr>
        <w:t>, substitute “Eating disorder psychological treatment service”.</w:t>
      </w:r>
    </w:p>
    <w:p w14:paraId="6B1A7659" w14:textId="570B6302" w:rsidR="0004558A" w:rsidRPr="00005694" w:rsidRDefault="0004558A" w:rsidP="0004558A">
      <w:pPr>
        <w:pStyle w:val="ItemHead"/>
        <w:ind w:left="0" w:firstLine="0"/>
        <w:rPr>
          <w:i/>
          <w:lang w:eastAsia="en-US"/>
        </w:rPr>
      </w:pPr>
      <w:r w:rsidRPr="00005694">
        <w:rPr>
          <w:i/>
          <w:lang w:eastAsia="en-US"/>
        </w:rPr>
        <w:t>Health Insurance (Section 3C General Medical Services - COVID-19 Telehealth and Telephone Attendances) Determination 2020</w:t>
      </w:r>
    </w:p>
    <w:p w14:paraId="18C1AC30" w14:textId="7547047C" w:rsidR="004C7360" w:rsidRPr="00005694" w:rsidRDefault="0004558A" w:rsidP="004C7360">
      <w:pPr>
        <w:pStyle w:val="ItemHead"/>
        <w:numPr>
          <w:ilvl w:val="0"/>
          <w:numId w:val="21"/>
        </w:numPr>
        <w:rPr>
          <w:lang w:eastAsia="en-US"/>
        </w:rPr>
      </w:pPr>
      <w:r w:rsidRPr="00005694">
        <w:rPr>
          <w:lang w:eastAsia="en-US"/>
        </w:rPr>
        <w:t xml:space="preserve">Subsection 5(1) (definition of </w:t>
      </w:r>
      <w:r w:rsidRPr="00005694">
        <w:rPr>
          <w:i/>
          <w:lang w:eastAsia="en-US"/>
        </w:rPr>
        <w:t>eating disorder examination questionnaire</w:t>
      </w:r>
      <w:r w:rsidRPr="00005694">
        <w:rPr>
          <w:lang w:eastAsia="en-US"/>
        </w:rPr>
        <w:t>)</w:t>
      </w:r>
    </w:p>
    <w:p w14:paraId="4083FEC2" w14:textId="529C8FFE" w:rsidR="0004558A" w:rsidRPr="00005694" w:rsidRDefault="0004558A" w:rsidP="0004558A">
      <w:pPr>
        <w:pStyle w:val="Item"/>
        <w:ind w:left="1134"/>
        <w:rPr>
          <w:lang w:eastAsia="en-US"/>
        </w:rPr>
      </w:pPr>
      <w:r w:rsidRPr="00005694">
        <w:rPr>
          <w:lang w:eastAsia="en-US"/>
        </w:rPr>
        <w:t>Repeal the definition.</w:t>
      </w:r>
    </w:p>
    <w:p w14:paraId="5B4CF517" w14:textId="4D5DCA70" w:rsidR="0004558A" w:rsidRPr="00005694" w:rsidRDefault="0004558A" w:rsidP="0004558A">
      <w:pPr>
        <w:pStyle w:val="ItemHead"/>
        <w:numPr>
          <w:ilvl w:val="0"/>
          <w:numId w:val="21"/>
        </w:numPr>
        <w:rPr>
          <w:lang w:eastAsia="en-US"/>
        </w:rPr>
      </w:pPr>
      <w:r w:rsidRPr="00005694">
        <w:rPr>
          <w:lang w:eastAsia="en-US"/>
        </w:rPr>
        <w:t xml:space="preserve">Subsection 5(1) (definition of </w:t>
      </w:r>
      <w:r w:rsidRPr="00005694">
        <w:rPr>
          <w:i/>
          <w:lang w:eastAsia="en-US"/>
        </w:rPr>
        <w:t>eating disorder psychological treatment service</w:t>
      </w:r>
      <w:r w:rsidRPr="00005694">
        <w:rPr>
          <w:lang w:eastAsia="en-US"/>
        </w:rPr>
        <w:t>)</w:t>
      </w:r>
    </w:p>
    <w:p w14:paraId="6D77961D" w14:textId="7D43B856" w:rsidR="0004558A" w:rsidRPr="00005694" w:rsidRDefault="0004558A" w:rsidP="0004558A">
      <w:pPr>
        <w:pStyle w:val="Item"/>
        <w:ind w:left="1134"/>
        <w:rPr>
          <w:lang w:eastAsia="en-US"/>
        </w:rPr>
      </w:pPr>
      <w:r w:rsidRPr="00005694">
        <w:rPr>
          <w:lang w:eastAsia="en-US"/>
        </w:rPr>
        <w:t>Repeal the definition.</w:t>
      </w:r>
    </w:p>
    <w:p w14:paraId="2A03B142" w14:textId="37CEB1F6" w:rsidR="0004558A" w:rsidRPr="00005694" w:rsidRDefault="0004558A" w:rsidP="0004558A">
      <w:pPr>
        <w:pStyle w:val="ItemHead"/>
        <w:numPr>
          <w:ilvl w:val="0"/>
          <w:numId w:val="21"/>
        </w:numPr>
        <w:rPr>
          <w:lang w:eastAsia="en-US"/>
        </w:rPr>
      </w:pPr>
      <w:r w:rsidRPr="00005694">
        <w:rPr>
          <w:lang w:eastAsia="en-US"/>
        </w:rPr>
        <w:t xml:space="preserve">Subsection 5(1) (definition of </w:t>
      </w:r>
      <w:r w:rsidRPr="00005694">
        <w:rPr>
          <w:i/>
          <w:lang w:eastAsia="en-US"/>
        </w:rPr>
        <w:t>Eating Disorders Services Determination</w:t>
      </w:r>
      <w:r w:rsidRPr="00005694">
        <w:rPr>
          <w:lang w:eastAsia="en-US"/>
        </w:rPr>
        <w:t>)</w:t>
      </w:r>
    </w:p>
    <w:p w14:paraId="0F8DF453" w14:textId="30D39374" w:rsidR="0004558A" w:rsidRPr="00005694" w:rsidRDefault="0004558A" w:rsidP="0004558A">
      <w:pPr>
        <w:pStyle w:val="Item"/>
        <w:ind w:left="1134"/>
        <w:rPr>
          <w:lang w:eastAsia="en-US"/>
        </w:rPr>
      </w:pPr>
      <w:r w:rsidRPr="00005694">
        <w:rPr>
          <w:lang w:eastAsia="en-US"/>
        </w:rPr>
        <w:t>Repeal the definition.</w:t>
      </w:r>
    </w:p>
    <w:p w14:paraId="3FCC986A" w14:textId="40612096" w:rsidR="0004558A" w:rsidRPr="00005694" w:rsidRDefault="0004558A" w:rsidP="0004558A">
      <w:pPr>
        <w:pStyle w:val="ItemHead"/>
        <w:numPr>
          <w:ilvl w:val="0"/>
          <w:numId w:val="21"/>
        </w:numPr>
        <w:rPr>
          <w:bCs/>
          <w:lang w:eastAsia="en-US"/>
        </w:rPr>
      </w:pPr>
      <w:r w:rsidRPr="00005694">
        <w:rPr>
          <w:lang w:eastAsia="en-US"/>
        </w:rPr>
        <w:t xml:space="preserve">Subsection 5(1) (definition of </w:t>
      </w:r>
      <w:r w:rsidRPr="00005694">
        <w:rPr>
          <w:bCs/>
          <w:i/>
          <w:lang w:eastAsia="en-US"/>
        </w:rPr>
        <w:t>eating disorder treatment and management plan</w:t>
      </w:r>
      <w:r w:rsidRPr="00005694">
        <w:rPr>
          <w:bCs/>
          <w:lang w:eastAsia="en-US"/>
        </w:rPr>
        <w:t>)</w:t>
      </w:r>
    </w:p>
    <w:p w14:paraId="692BDF59" w14:textId="0F9E4D6C" w:rsidR="0004558A" w:rsidRPr="00005694" w:rsidRDefault="0004558A" w:rsidP="0004558A">
      <w:pPr>
        <w:pStyle w:val="Item"/>
        <w:ind w:left="1134"/>
        <w:rPr>
          <w:lang w:eastAsia="en-US"/>
        </w:rPr>
      </w:pPr>
      <w:r w:rsidRPr="00005694">
        <w:rPr>
          <w:lang w:eastAsia="en-US"/>
        </w:rPr>
        <w:t xml:space="preserve">Omit “Eating Disorders Services Determination”, substitute “the </w:t>
      </w:r>
      <w:r w:rsidR="003729C1" w:rsidRPr="00005694">
        <w:rPr>
          <w:lang w:eastAsia="en-US"/>
        </w:rPr>
        <w:t>general medical services table</w:t>
      </w:r>
      <w:r w:rsidRPr="00005694">
        <w:rPr>
          <w:lang w:eastAsia="en-US"/>
        </w:rPr>
        <w:t>”.</w:t>
      </w:r>
    </w:p>
    <w:p w14:paraId="74744F00" w14:textId="2D0D71D5" w:rsidR="0004558A" w:rsidRPr="00005694" w:rsidRDefault="0004558A" w:rsidP="0004558A">
      <w:pPr>
        <w:pStyle w:val="ItemHead"/>
        <w:numPr>
          <w:ilvl w:val="0"/>
          <w:numId w:val="21"/>
        </w:numPr>
        <w:rPr>
          <w:lang w:eastAsia="en-US"/>
        </w:rPr>
      </w:pPr>
      <w:r w:rsidRPr="00005694">
        <w:rPr>
          <w:lang w:eastAsia="en-US"/>
        </w:rPr>
        <w:t xml:space="preserve">Subsection 5(1) (definition of </w:t>
      </w:r>
      <w:r w:rsidRPr="00005694">
        <w:rPr>
          <w:i/>
          <w:lang w:eastAsia="en-US"/>
        </w:rPr>
        <w:t>eligibility criteria</w:t>
      </w:r>
      <w:r w:rsidRPr="00005694">
        <w:rPr>
          <w:lang w:eastAsia="en-US"/>
        </w:rPr>
        <w:t>)</w:t>
      </w:r>
    </w:p>
    <w:p w14:paraId="77D4BA50" w14:textId="69024E41" w:rsidR="0004558A" w:rsidRPr="00005694" w:rsidRDefault="0004558A" w:rsidP="0004558A">
      <w:pPr>
        <w:pStyle w:val="Item"/>
        <w:ind w:left="1134"/>
        <w:rPr>
          <w:lang w:eastAsia="en-US"/>
        </w:rPr>
      </w:pPr>
      <w:r w:rsidRPr="00005694">
        <w:rPr>
          <w:lang w:eastAsia="en-US"/>
        </w:rPr>
        <w:t>Repeal the definition.</w:t>
      </w:r>
    </w:p>
    <w:p w14:paraId="18810702" w14:textId="0CECD555" w:rsidR="0004558A" w:rsidRPr="00005694" w:rsidRDefault="0004558A" w:rsidP="0004558A">
      <w:pPr>
        <w:pStyle w:val="ItemHead"/>
        <w:numPr>
          <w:ilvl w:val="0"/>
          <w:numId w:val="21"/>
        </w:numPr>
        <w:rPr>
          <w:lang w:eastAsia="en-US"/>
        </w:rPr>
      </w:pPr>
      <w:r w:rsidRPr="00005694">
        <w:rPr>
          <w:lang w:eastAsia="en-US"/>
        </w:rPr>
        <w:t xml:space="preserve">Subsection 5(1) (definition of </w:t>
      </w:r>
      <w:r w:rsidRPr="00005694">
        <w:rPr>
          <w:i/>
          <w:lang w:eastAsia="en-US"/>
        </w:rPr>
        <w:t>eligible patient</w:t>
      </w:r>
      <w:r w:rsidRPr="00005694">
        <w:rPr>
          <w:lang w:eastAsia="en-US"/>
        </w:rPr>
        <w:t>)</w:t>
      </w:r>
    </w:p>
    <w:p w14:paraId="74C0DB2B" w14:textId="2DE6CB76" w:rsidR="0004558A" w:rsidRPr="00005694" w:rsidRDefault="0004558A" w:rsidP="0004558A">
      <w:pPr>
        <w:pStyle w:val="Item"/>
        <w:ind w:left="1134"/>
        <w:rPr>
          <w:lang w:eastAsia="en-US"/>
        </w:rPr>
      </w:pPr>
      <w:r w:rsidRPr="00005694">
        <w:rPr>
          <w:lang w:eastAsia="en-US"/>
        </w:rPr>
        <w:t>Repeal the subsection</w:t>
      </w:r>
    </w:p>
    <w:p w14:paraId="0A1847B6" w14:textId="3CBFD696" w:rsidR="0004558A" w:rsidRPr="00005694" w:rsidRDefault="0004558A" w:rsidP="0004558A">
      <w:pPr>
        <w:pStyle w:val="ItemHead"/>
        <w:numPr>
          <w:ilvl w:val="0"/>
          <w:numId w:val="21"/>
        </w:numPr>
        <w:rPr>
          <w:lang w:eastAsia="en-US"/>
        </w:rPr>
      </w:pPr>
      <w:r w:rsidRPr="00005694">
        <w:rPr>
          <w:lang w:eastAsia="en-US"/>
        </w:rPr>
        <w:t xml:space="preserve">Subsection 5(1) (definition of </w:t>
      </w:r>
      <w:r w:rsidR="006152B7" w:rsidRPr="00005694">
        <w:rPr>
          <w:i/>
          <w:lang w:eastAsia="en-US"/>
        </w:rPr>
        <w:t>patient review</w:t>
      </w:r>
      <w:r w:rsidR="006152B7" w:rsidRPr="00005694">
        <w:rPr>
          <w:lang w:eastAsia="en-US"/>
        </w:rPr>
        <w:t>)</w:t>
      </w:r>
    </w:p>
    <w:p w14:paraId="46959BDA" w14:textId="4D414049" w:rsidR="00A53F71" w:rsidRPr="00005694" w:rsidRDefault="006152B7" w:rsidP="00A53F71">
      <w:pPr>
        <w:pStyle w:val="Item"/>
        <w:ind w:left="1134"/>
        <w:rPr>
          <w:lang w:eastAsia="en-US"/>
        </w:rPr>
      </w:pPr>
      <w:r w:rsidRPr="00005694">
        <w:rPr>
          <w:lang w:eastAsia="en-US"/>
        </w:rPr>
        <w:t>Repeal the definition.</w:t>
      </w:r>
    </w:p>
    <w:p w14:paraId="092C6BD9" w14:textId="37C6D08F" w:rsidR="006152B7" w:rsidRPr="00005694" w:rsidRDefault="00643CB0" w:rsidP="006152B7">
      <w:pPr>
        <w:pStyle w:val="ItemHead"/>
        <w:numPr>
          <w:ilvl w:val="0"/>
          <w:numId w:val="21"/>
        </w:numPr>
        <w:rPr>
          <w:lang w:eastAsia="en-US"/>
        </w:rPr>
      </w:pPr>
      <w:r w:rsidRPr="00005694">
        <w:rPr>
          <w:lang w:eastAsia="en-US"/>
        </w:rPr>
        <w:t>After c</w:t>
      </w:r>
      <w:r w:rsidR="006152B7" w:rsidRPr="00005694">
        <w:rPr>
          <w:lang w:eastAsia="en-US"/>
        </w:rPr>
        <w:t>lause 1.1.16</w:t>
      </w:r>
    </w:p>
    <w:p w14:paraId="40C6FF39" w14:textId="4847FD01" w:rsidR="006152B7" w:rsidRPr="00005694" w:rsidRDefault="006152B7" w:rsidP="006152B7">
      <w:pPr>
        <w:pStyle w:val="Item"/>
        <w:ind w:left="1134"/>
        <w:rPr>
          <w:lang w:eastAsia="en-US"/>
        </w:rPr>
      </w:pPr>
      <w:r w:rsidRPr="00005694">
        <w:rPr>
          <w:lang w:eastAsia="en-US"/>
        </w:rPr>
        <w:t>Insert:</w:t>
      </w:r>
    </w:p>
    <w:p w14:paraId="11FEF025" w14:textId="3C3C02ED" w:rsidR="006152B7" w:rsidRPr="00005694" w:rsidRDefault="006152B7" w:rsidP="006152B7">
      <w:pPr>
        <w:pStyle w:val="Item"/>
        <w:ind w:left="1123" w:firstLine="11"/>
        <w:rPr>
          <w:b/>
          <w:lang w:eastAsia="en-US"/>
        </w:rPr>
      </w:pPr>
      <w:r w:rsidRPr="00005694">
        <w:rPr>
          <w:b/>
          <w:lang w:eastAsia="en-US"/>
        </w:rPr>
        <w:t>1.1.16A Eligible patients for eating disorder</w:t>
      </w:r>
      <w:r w:rsidR="000E5643" w:rsidRPr="00005694">
        <w:rPr>
          <w:b/>
          <w:lang w:eastAsia="en-US"/>
        </w:rPr>
        <w:t>s</w:t>
      </w:r>
      <w:r w:rsidRPr="00005694">
        <w:rPr>
          <w:b/>
          <w:lang w:eastAsia="en-US"/>
        </w:rPr>
        <w:t xml:space="preserve"> items</w:t>
      </w:r>
    </w:p>
    <w:p w14:paraId="496F14EC" w14:textId="2AED56BF" w:rsidR="006152B7" w:rsidRPr="00005694" w:rsidRDefault="007A33FA" w:rsidP="00A53F71">
      <w:pPr>
        <w:pStyle w:val="Item"/>
        <w:numPr>
          <w:ilvl w:val="0"/>
          <w:numId w:val="24"/>
        </w:numPr>
        <w:ind w:left="1894" w:hanging="454"/>
        <w:rPr>
          <w:lang w:eastAsia="en-US"/>
        </w:rPr>
      </w:pPr>
      <w:r w:rsidRPr="00005694">
        <w:rPr>
          <w:lang w:eastAsia="en-US"/>
        </w:rPr>
        <w:t>For an item in Subgroup 27 or 28 of Group A40, a</w:t>
      </w:r>
      <w:r w:rsidR="006152B7" w:rsidRPr="00005694">
        <w:rPr>
          <w:lang w:eastAsia="en-US"/>
        </w:rPr>
        <w:t xml:space="preserve"> </w:t>
      </w:r>
      <w:r w:rsidR="00A53F71" w:rsidRPr="00005694">
        <w:rPr>
          <w:lang w:eastAsia="en-US"/>
        </w:rPr>
        <w:t xml:space="preserve">patient is an </w:t>
      </w:r>
      <w:r w:rsidR="00A53F71" w:rsidRPr="00005694">
        <w:rPr>
          <w:b/>
          <w:lang w:eastAsia="en-US"/>
        </w:rPr>
        <w:t>eligible patient</w:t>
      </w:r>
      <w:r w:rsidR="006152B7" w:rsidRPr="00005694">
        <w:rPr>
          <w:lang w:eastAsia="en-US"/>
        </w:rPr>
        <w:t xml:space="preserve"> </w:t>
      </w:r>
      <w:r w:rsidR="00A53F71" w:rsidRPr="00005694">
        <w:rPr>
          <w:lang w:eastAsia="en-US"/>
        </w:rPr>
        <w:t>if the patient meets the requirements for a patient</w:t>
      </w:r>
      <w:r w:rsidR="003729C1" w:rsidRPr="00005694">
        <w:rPr>
          <w:lang w:eastAsia="en-US"/>
        </w:rPr>
        <w:t xml:space="preserve"> specified in clause 2.31.2 of the general medical services table.</w:t>
      </w:r>
    </w:p>
    <w:p w14:paraId="13C4B8D0" w14:textId="00D6A50F" w:rsidR="003729C1" w:rsidRPr="00005694" w:rsidRDefault="004140F2" w:rsidP="003729C1">
      <w:pPr>
        <w:pStyle w:val="ItemHead"/>
        <w:numPr>
          <w:ilvl w:val="0"/>
          <w:numId w:val="21"/>
        </w:numPr>
        <w:rPr>
          <w:lang w:eastAsia="en-US"/>
        </w:rPr>
      </w:pPr>
      <w:r w:rsidRPr="00005694">
        <w:rPr>
          <w:lang w:eastAsia="en-US"/>
        </w:rPr>
        <w:t xml:space="preserve">Subclause </w:t>
      </w:r>
      <w:r w:rsidR="003729C1" w:rsidRPr="00005694">
        <w:rPr>
          <w:lang w:eastAsia="en-US"/>
        </w:rPr>
        <w:t>1.1.17(</w:t>
      </w:r>
      <w:r w:rsidRPr="00005694">
        <w:rPr>
          <w:lang w:eastAsia="en-US"/>
        </w:rPr>
        <w:t>1)</w:t>
      </w:r>
    </w:p>
    <w:p w14:paraId="4586EF04" w14:textId="23F54572" w:rsidR="004140F2" w:rsidRPr="00005694" w:rsidRDefault="004140F2" w:rsidP="004140F2">
      <w:pPr>
        <w:pStyle w:val="Item"/>
        <w:ind w:left="1134"/>
        <w:rPr>
          <w:lang w:eastAsia="en-US"/>
        </w:rPr>
      </w:pPr>
      <w:r w:rsidRPr="00005694">
        <w:rPr>
          <w:lang w:eastAsia="en-US"/>
        </w:rPr>
        <w:t xml:space="preserve">Omit “an </w:t>
      </w:r>
      <w:r w:rsidRPr="00005694">
        <w:rPr>
          <w:b/>
          <w:i/>
          <w:lang w:eastAsia="en-US"/>
        </w:rPr>
        <w:t>eating disorder psychological treatment service</w:t>
      </w:r>
      <w:r w:rsidRPr="00005694">
        <w:rPr>
          <w:lang w:eastAsia="en-US"/>
        </w:rPr>
        <w:t>”, substitute “the service”.</w:t>
      </w:r>
    </w:p>
    <w:p w14:paraId="15A90737" w14:textId="27B0409B" w:rsidR="0074502D" w:rsidRPr="00005694" w:rsidRDefault="0074502D" w:rsidP="0074502D">
      <w:pPr>
        <w:pStyle w:val="ItemHead"/>
        <w:numPr>
          <w:ilvl w:val="0"/>
          <w:numId w:val="21"/>
        </w:numPr>
        <w:rPr>
          <w:lang w:eastAsia="en-US"/>
        </w:rPr>
      </w:pPr>
      <w:r w:rsidRPr="00005694">
        <w:rPr>
          <w:lang w:eastAsia="en-US"/>
        </w:rPr>
        <w:lastRenderedPageBreak/>
        <w:t>Subclause 1.1.17(3)</w:t>
      </w:r>
    </w:p>
    <w:p w14:paraId="2FAB3FEB" w14:textId="45A4A9B5" w:rsidR="0074502D" w:rsidRPr="00005694" w:rsidRDefault="0074502D" w:rsidP="0074502D">
      <w:pPr>
        <w:pStyle w:val="Item"/>
        <w:ind w:left="1134"/>
        <w:rPr>
          <w:lang w:eastAsia="en-US"/>
        </w:rPr>
      </w:pPr>
      <w:r w:rsidRPr="00005694">
        <w:rPr>
          <w:lang w:eastAsia="en-US"/>
        </w:rPr>
        <w:t>Repeal the subclause, substitute:</w:t>
      </w:r>
    </w:p>
    <w:p w14:paraId="62E3C76D" w14:textId="64048B17" w:rsidR="0074502D" w:rsidRPr="00005694" w:rsidRDefault="0074502D" w:rsidP="00F56013">
      <w:pPr>
        <w:shd w:val="clear" w:color="auto" w:fill="FFFFFF"/>
        <w:spacing w:before="180" w:line="240" w:lineRule="auto"/>
        <w:ind w:left="1588" w:hanging="454"/>
        <w:rPr>
          <w:rFonts w:eastAsia="Times New Roman" w:cs="Times New Roman"/>
          <w:color w:val="000000"/>
          <w:szCs w:val="22"/>
          <w:lang w:eastAsia="en-AU"/>
        </w:rPr>
      </w:pPr>
      <w:r w:rsidRPr="00005694">
        <w:rPr>
          <w:rFonts w:eastAsia="Times New Roman" w:cs="Times New Roman"/>
          <w:color w:val="000000"/>
          <w:szCs w:val="22"/>
          <w:lang w:eastAsia="en-AU"/>
        </w:rPr>
        <w:t>  (3)  An item in Subgroup 27 or 28 of Group A40 does not apply to a service providing a treatment to a patient under an eating disorder treatment and management plan if:</w:t>
      </w:r>
    </w:p>
    <w:p w14:paraId="5766908A" w14:textId="5BA0212D" w:rsidR="0074502D" w:rsidRPr="00005694" w:rsidRDefault="003A3C01" w:rsidP="003A3C01">
      <w:pPr>
        <w:shd w:val="clear" w:color="auto" w:fill="FFFFFF"/>
        <w:spacing w:before="40" w:line="240" w:lineRule="auto"/>
        <w:ind w:left="1985" w:hanging="1418"/>
        <w:rPr>
          <w:rFonts w:eastAsia="Times New Roman" w:cs="Times New Roman"/>
          <w:color w:val="000000"/>
          <w:szCs w:val="22"/>
          <w:lang w:eastAsia="en-AU"/>
        </w:rPr>
      </w:pPr>
      <w:r w:rsidRPr="00005694">
        <w:rPr>
          <w:rFonts w:eastAsia="Times New Roman" w:cs="Times New Roman"/>
          <w:color w:val="000000"/>
          <w:szCs w:val="22"/>
          <w:lang w:eastAsia="en-AU"/>
        </w:rPr>
        <w:t>                   </w:t>
      </w:r>
      <w:r w:rsidR="0074502D" w:rsidRPr="00005694">
        <w:rPr>
          <w:rFonts w:eastAsia="Times New Roman" w:cs="Times New Roman"/>
          <w:color w:val="000000"/>
          <w:szCs w:val="22"/>
          <w:lang w:eastAsia="en-AU"/>
        </w:rPr>
        <w:t>(a)  the service is provided more than 12 months after the plan is prepared; or</w:t>
      </w:r>
    </w:p>
    <w:p w14:paraId="14C3E636" w14:textId="12A2ED8F" w:rsidR="0074502D" w:rsidRPr="00005694" w:rsidRDefault="003A3C01" w:rsidP="003A3C01">
      <w:pPr>
        <w:shd w:val="clear" w:color="auto" w:fill="FFFFFF"/>
        <w:spacing w:before="40" w:line="240" w:lineRule="auto"/>
        <w:ind w:left="1985" w:hanging="1418"/>
        <w:rPr>
          <w:rFonts w:eastAsia="Times New Roman" w:cs="Times New Roman"/>
          <w:color w:val="000000"/>
          <w:szCs w:val="22"/>
          <w:lang w:eastAsia="en-AU"/>
        </w:rPr>
      </w:pPr>
      <w:r w:rsidRPr="00005694">
        <w:rPr>
          <w:rFonts w:eastAsia="Times New Roman" w:cs="Times New Roman"/>
          <w:color w:val="000000"/>
          <w:szCs w:val="22"/>
          <w:lang w:eastAsia="en-AU"/>
        </w:rPr>
        <w:t>                   </w:t>
      </w:r>
      <w:r w:rsidR="0074502D" w:rsidRPr="00005694">
        <w:rPr>
          <w:rFonts w:eastAsia="Times New Roman" w:cs="Times New Roman"/>
          <w:color w:val="000000"/>
          <w:szCs w:val="22"/>
          <w:lang w:eastAsia="en-AU"/>
        </w:rPr>
        <w:t>(b)  the patient has already been provided with 40 services under the plan; or</w:t>
      </w:r>
    </w:p>
    <w:p w14:paraId="3A63648F" w14:textId="412F2FAF" w:rsidR="0074502D" w:rsidRPr="00005694" w:rsidRDefault="003A3C01" w:rsidP="003A3C01">
      <w:pPr>
        <w:shd w:val="clear" w:color="auto" w:fill="FFFFFF"/>
        <w:spacing w:before="40" w:line="240" w:lineRule="auto"/>
        <w:ind w:left="1985" w:hanging="1418"/>
        <w:rPr>
          <w:rFonts w:eastAsia="Times New Roman" w:cs="Times New Roman"/>
          <w:color w:val="000000"/>
          <w:szCs w:val="22"/>
          <w:lang w:eastAsia="en-AU"/>
        </w:rPr>
      </w:pPr>
      <w:r w:rsidRPr="00005694">
        <w:rPr>
          <w:rFonts w:eastAsia="Times New Roman" w:cs="Times New Roman"/>
          <w:color w:val="000000"/>
          <w:szCs w:val="22"/>
          <w:lang w:eastAsia="en-AU"/>
        </w:rPr>
        <w:t>                   </w:t>
      </w:r>
      <w:r w:rsidR="0074502D" w:rsidRPr="00005694">
        <w:rPr>
          <w:rFonts w:eastAsia="Times New Roman" w:cs="Times New Roman"/>
          <w:color w:val="000000"/>
          <w:szCs w:val="22"/>
          <w:lang w:eastAsia="en-AU"/>
        </w:rPr>
        <w:t>(c)  the service is provided after the patient has already been provided with 10 services under the plan but before a recommendation by a reviewing practitioner is given that additional services should be provided under the plan; or</w:t>
      </w:r>
    </w:p>
    <w:p w14:paraId="12158B9B" w14:textId="69B412EC" w:rsidR="0074502D" w:rsidRPr="00005694" w:rsidRDefault="003A3C01" w:rsidP="003A3C01">
      <w:pPr>
        <w:shd w:val="clear" w:color="auto" w:fill="FFFFFF"/>
        <w:spacing w:before="40" w:line="240" w:lineRule="auto"/>
        <w:ind w:left="1985" w:hanging="1418"/>
        <w:rPr>
          <w:rFonts w:eastAsia="Times New Roman" w:cs="Times New Roman"/>
          <w:color w:val="000000"/>
          <w:szCs w:val="22"/>
          <w:lang w:eastAsia="en-AU"/>
        </w:rPr>
      </w:pPr>
      <w:r w:rsidRPr="00005694">
        <w:rPr>
          <w:rFonts w:eastAsia="Times New Roman" w:cs="Times New Roman"/>
          <w:color w:val="000000"/>
          <w:szCs w:val="22"/>
          <w:lang w:eastAsia="en-AU"/>
        </w:rPr>
        <w:t>                   </w:t>
      </w:r>
      <w:r w:rsidR="0074502D" w:rsidRPr="00005694">
        <w:rPr>
          <w:rFonts w:eastAsia="Times New Roman" w:cs="Times New Roman"/>
          <w:color w:val="000000"/>
          <w:szCs w:val="22"/>
          <w:lang w:eastAsia="en-AU"/>
        </w:rPr>
        <w:t>(d)  the service is provided after the patient has already been provided with 20 services under the plan but before recommendations that additional services should be provided under the plan are given by each of the following:</w:t>
      </w:r>
    </w:p>
    <w:p w14:paraId="5F9981FD" w14:textId="57BEA977" w:rsidR="0074502D" w:rsidRPr="00005694" w:rsidRDefault="006260A7" w:rsidP="006260A7">
      <w:pPr>
        <w:shd w:val="clear" w:color="auto" w:fill="FFFFFF"/>
        <w:spacing w:before="40" w:line="240" w:lineRule="auto"/>
        <w:ind w:left="2381" w:hanging="1814"/>
        <w:rPr>
          <w:rFonts w:eastAsia="Times New Roman" w:cs="Times New Roman"/>
          <w:color w:val="000000"/>
          <w:szCs w:val="22"/>
          <w:lang w:eastAsia="en-AU"/>
        </w:rPr>
      </w:pPr>
      <w:r w:rsidRPr="00005694">
        <w:rPr>
          <w:rFonts w:eastAsia="Times New Roman" w:cs="Times New Roman"/>
          <w:color w:val="000000"/>
          <w:szCs w:val="22"/>
          <w:lang w:eastAsia="en-AU"/>
        </w:rPr>
        <w:t xml:space="preserve">                          </w:t>
      </w:r>
      <w:r w:rsidR="0074502D" w:rsidRPr="00005694">
        <w:rPr>
          <w:rFonts w:eastAsia="Times New Roman" w:cs="Times New Roman"/>
          <w:color w:val="000000"/>
          <w:szCs w:val="22"/>
          <w:lang w:eastAsia="en-AU"/>
        </w:rPr>
        <w:t xml:space="preserve"> (i)  a medical practitioner (other than a specialist or consultant physician);</w:t>
      </w:r>
    </w:p>
    <w:p w14:paraId="1F1CA818" w14:textId="6E13D38D" w:rsidR="0074502D" w:rsidRPr="00005694" w:rsidRDefault="0074502D" w:rsidP="00EA4AD9">
      <w:pPr>
        <w:shd w:val="clear" w:color="auto" w:fill="FFFFFF"/>
        <w:spacing w:before="40" w:line="240" w:lineRule="auto"/>
        <w:ind w:left="2381" w:hanging="1814"/>
        <w:rPr>
          <w:rFonts w:eastAsia="Times New Roman" w:cs="Times New Roman"/>
          <w:color w:val="000000"/>
          <w:szCs w:val="22"/>
          <w:lang w:eastAsia="en-AU"/>
        </w:rPr>
      </w:pPr>
      <w:r w:rsidRPr="00005694">
        <w:rPr>
          <w:rFonts w:eastAsia="Times New Roman" w:cs="Times New Roman"/>
          <w:color w:val="000000"/>
          <w:szCs w:val="22"/>
          <w:lang w:eastAsia="en-AU"/>
        </w:rPr>
        <w:t>                  </w:t>
      </w:r>
      <w:r w:rsidR="006260A7" w:rsidRPr="00005694">
        <w:rPr>
          <w:rFonts w:eastAsia="Times New Roman" w:cs="Times New Roman"/>
          <w:color w:val="000000"/>
          <w:szCs w:val="22"/>
          <w:lang w:eastAsia="en-AU"/>
        </w:rPr>
        <w:t>        </w:t>
      </w:r>
      <w:r w:rsidRPr="00005694">
        <w:rPr>
          <w:rFonts w:eastAsia="Times New Roman" w:cs="Times New Roman"/>
          <w:color w:val="000000"/>
          <w:szCs w:val="22"/>
          <w:lang w:eastAsia="en-AU"/>
        </w:rPr>
        <w:t>(ii)  a consultant physician</w:t>
      </w:r>
      <w:r w:rsidR="00EA4AD9" w:rsidRPr="00005694">
        <w:rPr>
          <w:rFonts w:eastAsia="Times New Roman" w:cs="Times New Roman"/>
          <w:color w:val="000000"/>
          <w:szCs w:val="22"/>
          <w:lang w:eastAsia="en-AU"/>
        </w:rPr>
        <w:t xml:space="preserve"> practising in the specialty of psychiatry or paediatrics</w:t>
      </w:r>
      <w:r w:rsidRPr="00005694">
        <w:rPr>
          <w:rFonts w:eastAsia="Times New Roman" w:cs="Times New Roman"/>
          <w:color w:val="000000"/>
          <w:szCs w:val="22"/>
          <w:lang w:eastAsia="en-AU"/>
        </w:rPr>
        <w:t>; or</w:t>
      </w:r>
    </w:p>
    <w:p w14:paraId="0C4F93F8" w14:textId="7CE6B79A" w:rsidR="0074502D" w:rsidRPr="00005694" w:rsidRDefault="003A3C01" w:rsidP="003A3C01">
      <w:pPr>
        <w:shd w:val="clear" w:color="auto" w:fill="FFFFFF"/>
        <w:spacing w:before="40" w:line="240" w:lineRule="auto"/>
        <w:ind w:left="1985" w:hanging="1418"/>
        <w:rPr>
          <w:rFonts w:eastAsia="Times New Roman" w:cs="Times New Roman"/>
          <w:color w:val="000000"/>
          <w:szCs w:val="22"/>
          <w:lang w:eastAsia="en-AU"/>
        </w:rPr>
      </w:pPr>
      <w:r w:rsidRPr="00005694">
        <w:rPr>
          <w:rFonts w:eastAsia="Times New Roman" w:cs="Times New Roman"/>
          <w:color w:val="000000"/>
          <w:szCs w:val="22"/>
          <w:lang w:eastAsia="en-AU"/>
        </w:rPr>
        <w:t>                   </w:t>
      </w:r>
      <w:r w:rsidR="0074502D" w:rsidRPr="00005694">
        <w:rPr>
          <w:rFonts w:eastAsia="Times New Roman" w:cs="Times New Roman"/>
          <w:color w:val="000000"/>
          <w:szCs w:val="22"/>
          <w:lang w:eastAsia="en-AU"/>
        </w:rPr>
        <w:t>(e)  the service is provided after the patient has already been provided with 30 services under the plan but before a recommendation is given by a reviewing practitioner that additional services should be provided.</w:t>
      </w:r>
    </w:p>
    <w:p w14:paraId="64A7CEB6" w14:textId="7D9F0AF8" w:rsidR="0074502D" w:rsidRPr="00005694" w:rsidRDefault="0074502D" w:rsidP="0074502D">
      <w:pPr>
        <w:pStyle w:val="ItemHead"/>
        <w:numPr>
          <w:ilvl w:val="0"/>
          <w:numId w:val="21"/>
        </w:numPr>
        <w:rPr>
          <w:lang w:eastAsia="en-US"/>
        </w:rPr>
      </w:pPr>
      <w:r w:rsidRPr="00005694">
        <w:rPr>
          <w:lang w:eastAsia="en-US"/>
        </w:rPr>
        <w:t>Subclause 1.1.17(4)</w:t>
      </w:r>
    </w:p>
    <w:p w14:paraId="396F411F" w14:textId="53E1A29A" w:rsidR="0074502D" w:rsidRPr="00005694" w:rsidRDefault="0074502D" w:rsidP="0074502D">
      <w:pPr>
        <w:shd w:val="clear" w:color="auto" w:fill="FFFFFF"/>
        <w:spacing w:before="40" w:line="240" w:lineRule="auto"/>
        <w:ind w:left="2778" w:hanging="1644"/>
        <w:rPr>
          <w:rFonts w:eastAsia="Times New Roman" w:cs="Times New Roman"/>
          <w:color w:val="000000"/>
          <w:szCs w:val="22"/>
          <w:lang w:eastAsia="en-AU"/>
        </w:rPr>
      </w:pPr>
      <w:r w:rsidRPr="00005694">
        <w:rPr>
          <w:rFonts w:eastAsia="Times New Roman" w:cs="Times New Roman"/>
          <w:color w:val="000000"/>
          <w:szCs w:val="22"/>
          <w:lang w:eastAsia="en-AU"/>
        </w:rPr>
        <w:t>Repeal the subclause, substitute:</w:t>
      </w:r>
    </w:p>
    <w:p w14:paraId="4C310CE9" w14:textId="09AFE162" w:rsidR="0074502D" w:rsidRPr="00005694" w:rsidRDefault="000C51C5" w:rsidP="0074502D">
      <w:pPr>
        <w:shd w:val="clear" w:color="auto" w:fill="FFFFFF"/>
        <w:spacing w:before="180" w:line="240" w:lineRule="auto"/>
        <w:ind w:left="1854" w:hanging="1134"/>
        <w:rPr>
          <w:rFonts w:eastAsia="Times New Roman" w:cs="Times New Roman"/>
          <w:color w:val="000000"/>
          <w:szCs w:val="22"/>
          <w:lang w:eastAsia="en-AU"/>
        </w:rPr>
      </w:pPr>
      <w:r w:rsidRPr="00005694">
        <w:rPr>
          <w:rFonts w:eastAsia="Times New Roman" w:cs="Times New Roman"/>
          <w:color w:val="000000"/>
          <w:szCs w:val="22"/>
          <w:lang w:eastAsia="en-AU"/>
        </w:rPr>
        <w:t>             (4</w:t>
      </w:r>
      <w:r w:rsidR="0074502D" w:rsidRPr="00005694">
        <w:rPr>
          <w:rFonts w:eastAsia="Times New Roman" w:cs="Times New Roman"/>
          <w:color w:val="000000"/>
          <w:szCs w:val="22"/>
          <w:lang w:eastAsia="en-AU"/>
        </w:rPr>
        <w:t>)  A reviewing practitioner may recommend that additional services be provided under a plan only if:</w:t>
      </w:r>
    </w:p>
    <w:p w14:paraId="10C91339" w14:textId="4E6CA00D" w:rsidR="0074502D" w:rsidRPr="00005694" w:rsidRDefault="0074502D" w:rsidP="006260A7">
      <w:pPr>
        <w:shd w:val="clear" w:color="auto" w:fill="FFFFFF"/>
        <w:spacing w:before="40" w:line="240" w:lineRule="auto"/>
        <w:ind w:left="2194" w:hanging="1474"/>
        <w:rPr>
          <w:rFonts w:eastAsia="Times New Roman" w:cs="Times New Roman"/>
          <w:color w:val="000000"/>
          <w:szCs w:val="22"/>
          <w:lang w:eastAsia="en-AU"/>
        </w:rPr>
      </w:pPr>
      <w:r w:rsidRPr="00005694">
        <w:rPr>
          <w:rFonts w:eastAsia="Times New Roman" w:cs="Times New Roman"/>
          <w:color w:val="000000"/>
          <w:szCs w:val="22"/>
          <w:lang w:eastAsia="en-AU"/>
        </w:rPr>
        <w:t xml:space="preserve">                     (a)  the recommendation is made as part of a service to which an item in </w:t>
      </w:r>
      <w:r w:rsidR="00D7690B" w:rsidRPr="00005694">
        <w:rPr>
          <w:color w:val="000000"/>
          <w:szCs w:val="22"/>
          <w:shd w:val="clear" w:color="auto" w:fill="FFFFFF"/>
        </w:rPr>
        <w:t xml:space="preserve">Subgroup 3 of Group A36 of the general medical services table or Subgroup 25 or 26 of Group A40 of the </w:t>
      </w:r>
      <w:r w:rsidR="00D7690B" w:rsidRPr="00005694">
        <w:rPr>
          <w:bCs/>
          <w:iCs/>
          <w:color w:val="000000"/>
          <w:szCs w:val="22"/>
          <w:shd w:val="clear" w:color="auto" w:fill="FFFFFF"/>
        </w:rPr>
        <w:t>COVID</w:t>
      </w:r>
      <w:r w:rsidR="00D7690B" w:rsidRPr="00005694">
        <w:rPr>
          <w:bCs/>
          <w:iCs/>
          <w:color w:val="000000"/>
          <w:szCs w:val="22"/>
          <w:shd w:val="clear" w:color="auto" w:fill="FFFFFF"/>
        </w:rPr>
        <w:noBreakHyphen/>
        <w:t>19 Determination</w:t>
      </w:r>
      <w:r w:rsidR="00D7690B" w:rsidRPr="00005694">
        <w:rPr>
          <w:rFonts w:eastAsia="Times New Roman" w:cs="Times New Roman"/>
          <w:color w:val="000000"/>
          <w:szCs w:val="22"/>
          <w:lang w:eastAsia="en-AU"/>
        </w:rPr>
        <w:t xml:space="preserve"> applies</w:t>
      </w:r>
      <w:r w:rsidRPr="00005694">
        <w:rPr>
          <w:rFonts w:eastAsia="Times New Roman" w:cs="Times New Roman"/>
          <w:color w:val="000000"/>
          <w:szCs w:val="22"/>
          <w:lang w:eastAsia="en-AU"/>
        </w:rPr>
        <w:t>; and</w:t>
      </w:r>
    </w:p>
    <w:p w14:paraId="0CF33D9D" w14:textId="77777777" w:rsidR="0074502D" w:rsidRPr="00005694" w:rsidRDefault="0074502D" w:rsidP="0074502D">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(b)  the service is provided:</w:t>
      </w:r>
    </w:p>
    <w:p w14:paraId="6A8F6395" w14:textId="39BE63AE" w:rsidR="0074502D" w:rsidRPr="00005694" w:rsidRDefault="0074502D" w:rsidP="006260A7">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xml:space="preserve">                              (i)  </w:t>
      </w:r>
      <w:r w:rsidR="001E4EED" w:rsidRPr="00005694">
        <w:rPr>
          <w:rFonts w:eastAsia="Times New Roman" w:cs="Times New Roman"/>
          <w:color w:val="000000"/>
          <w:szCs w:val="22"/>
          <w:lang w:eastAsia="en-AU"/>
        </w:rPr>
        <w:t>for the purposes of paragraph (3</w:t>
      </w:r>
      <w:r w:rsidRPr="00005694">
        <w:rPr>
          <w:rFonts w:eastAsia="Times New Roman" w:cs="Times New Roman"/>
          <w:color w:val="000000"/>
          <w:szCs w:val="22"/>
          <w:lang w:eastAsia="en-AU"/>
        </w:rPr>
        <w:t>)(c)—after the patient has been provided with 10 services under the plan; and</w:t>
      </w:r>
    </w:p>
    <w:p w14:paraId="19EC4A23" w14:textId="7942A002" w:rsidR="0074502D" w:rsidRPr="00005694" w:rsidRDefault="0074502D" w:rsidP="006260A7">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xml:space="preserve">                             (ii)  </w:t>
      </w:r>
      <w:r w:rsidR="001E4EED" w:rsidRPr="00005694">
        <w:rPr>
          <w:rFonts w:eastAsia="Times New Roman" w:cs="Times New Roman"/>
          <w:color w:val="000000"/>
          <w:szCs w:val="22"/>
          <w:lang w:eastAsia="en-AU"/>
        </w:rPr>
        <w:t>for the purposes of paragraph (3</w:t>
      </w:r>
      <w:r w:rsidRPr="00005694">
        <w:rPr>
          <w:rFonts w:eastAsia="Times New Roman" w:cs="Times New Roman"/>
          <w:color w:val="000000"/>
          <w:szCs w:val="22"/>
          <w:lang w:eastAsia="en-AU"/>
        </w:rPr>
        <w:t>)(d)—after the patient has been provided with 20 services under the plan; and</w:t>
      </w:r>
    </w:p>
    <w:p w14:paraId="18E4CF9F" w14:textId="28CE481D" w:rsidR="0074502D" w:rsidRPr="00005694" w:rsidRDefault="0074502D" w:rsidP="006260A7">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xml:space="preserve">                            (iii)  </w:t>
      </w:r>
      <w:r w:rsidR="001E4EED" w:rsidRPr="00005694">
        <w:rPr>
          <w:rFonts w:eastAsia="Times New Roman" w:cs="Times New Roman"/>
          <w:color w:val="000000"/>
          <w:szCs w:val="22"/>
          <w:lang w:eastAsia="en-AU"/>
        </w:rPr>
        <w:t>for the purposes of paragraph (3</w:t>
      </w:r>
      <w:r w:rsidRPr="00005694">
        <w:rPr>
          <w:rFonts w:eastAsia="Times New Roman" w:cs="Times New Roman"/>
          <w:color w:val="000000"/>
          <w:szCs w:val="22"/>
          <w:lang w:eastAsia="en-AU"/>
        </w:rPr>
        <w:t>)(e)—after the patient has been provided with 30 services under the plan; and</w:t>
      </w:r>
    </w:p>
    <w:p w14:paraId="1CFDD55D" w14:textId="14FEA3B1" w:rsidR="0074502D" w:rsidRPr="00005694" w:rsidRDefault="0074502D" w:rsidP="0074502D">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(c)  the practitioner records the recommendation in the patient’s records.</w:t>
      </w:r>
    </w:p>
    <w:p w14:paraId="07DA7799" w14:textId="1844E38D" w:rsidR="0074502D" w:rsidRPr="00005694" w:rsidRDefault="0074502D" w:rsidP="0074502D">
      <w:pPr>
        <w:pStyle w:val="ItemHead"/>
        <w:numPr>
          <w:ilvl w:val="0"/>
          <w:numId w:val="21"/>
        </w:numPr>
        <w:rPr>
          <w:lang w:eastAsia="en-US"/>
        </w:rPr>
      </w:pPr>
      <w:r w:rsidRPr="00005694">
        <w:rPr>
          <w:lang w:eastAsia="en-US"/>
        </w:rPr>
        <w:t>Subclause 1.1.17(5)</w:t>
      </w:r>
    </w:p>
    <w:p w14:paraId="25DA5C2F" w14:textId="0A1F1A11" w:rsidR="0074502D" w:rsidRPr="00005694" w:rsidRDefault="0074502D" w:rsidP="0074502D">
      <w:pPr>
        <w:pStyle w:val="Item"/>
        <w:ind w:left="1134"/>
        <w:rPr>
          <w:lang w:eastAsia="en-US"/>
        </w:rPr>
      </w:pPr>
      <w:r w:rsidRPr="00005694">
        <w:rPr>
          <w:lang w:eastAsia="en-US"/>
        </w:rPr>
        <w:t>Repeal the subclause, substitute:</w:t>
      </w:r>
    </w:p>
    <w:p w14:paraId="50EF1904" w14:textId="50B2A94B" w:rsidR="0074502D" w:rsidRPr="00005694" w:rsidRDefault="000C51C5" w:rsidP="001E4EED">
      <w:pPr>
        <w:shd w:val="clear" w:color="auto" w:fill="FFFFFF"/>
        <w:spacing w:before="180" w:line="240" w:lineRule="auto"/>
        <w:ind w:left="1854" w:hanging="1134"/>
        <w:rPr>
          <w:rFonts w:eastAsia="Times New Roman" w:cs="Times New Roman"/>
          <w:color w:val="000000"/>
          <w:szCs w:val="22"/>
          <w:lang w:eastAsia="en-AU"/>
        </w:rPr>
      </w:pPr>
      <w:r w:rsidRPr="00005694">
        <w:rPr>
          <w:rFonts w:eastAsia="Times New Roman" w:cs="Times New Roman"/>
          <w:color w:val="000000"/>
          <w:szCs w:val="22"/>
          <w:lang w:eastAsia="en-AU"/>
        </w:rPr>
        <w:lastRenderedPageBreak/>
        <w:t>             (5</w:t>
      </w:r>
      <w:r w:rsidR="0074502D" w:rsidRPr="00005694">
        <w:rPr>
          <w:rFonts w:eastAsia="Times New Roman" w:cs="Times New Roman"/>
          <w:color w:val="000000"/>
          <w:szCs w:val="22"/>
          <w:lang w:eastAsia="en-AU"/>
        </w:rPr>
        <w:t>)  For the purposes of this clause, in counting the services providing treatments under a plan, only count the services to which any of the following apply:</w:t>
      </w:r>
    </w:p>
    <w:p w14:paraId="7F9F8C2F" w14:textId="77777777" w:rsidR="0074502D" w:rsidRPr="00005694" w:rsidRDefault="0074502D" w:rsidP="001E4EED">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(a)  items 283, 285, 286, 287, 371 and 372;</w:t>
      </w:r>
    </w:p>
    <w:p w14:paraId="26D1F032" w14:textId="77777777" w:rsidR="0074502D" w:rsidRPr="00005694" w:rsidRDefault="0074502D" w:rsidP="001E4EED">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(b)  items 2721, 2723, 2725 and 2727;</w:t>
      </w:r>
    </w:p>
    <w:p w14:paraId="5EF87139" w14:textId="77777777" w:rsidR="0074502D" w:rsidRPr="00005694" w:rsidRDefault="0074502D" w:rsidP="006260A7">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(c)  items in Groups M6, M7 and M16 other than items 82350 and 82351;</w:t>
      </w:r>
    </w:p>
    <w:p w14:paraId="7C1C8759" w14:textId="77777777" w:rsidR="0074502D" w:rsidRPr="00005694" w:rsidRDefault="0074502D" w:rsidP="006260A7">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(d)  items 90271, 90272, 90273, 90274, 90275, 90276, 90277, 90278, 90279, 90280, 90281 and 90282;</w:t>
      </w:r>
    </w:p>
    <w:p w14:paraId="25CB1B94" w14:textId="28F0ED42" w:rsidR="0074502D" w:rsidRPr="00005694" w:rsidRDefault="0074502D" w:rsidP="006260A7">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(e)  items 91166, 91167, 91169, 91170, 91172, 91173, 91175, 91176, 91181 to 91188, 91818, 91819, 91820, 91821, 91842, 91843, 91844, 91845, 92182, 92184, 92186, 92188, 92194, 92196, 92198, 92200, 93076, 93079, 93084. 93087, 93092, 93095, 93100, 93103, 93110, 93113, 93118, 93121, 93126, 93129, 93134 and 93137.</w:t>
      </w:r>
    </w:p>
    <w:p w14:paraId="257F26E5" w14:textId="67248DF1" w:rsidR="000C51C5" w:rsidRPr="00005694" w:rsidRDefault="00643CB0" w:rsidP="000C51C5">
      <w:pPr>
        <w:pStyle w:val="ItemHead"/>
        <w:numPr>
          <w:ilvl w:val="0"/>
          <w:numId w:val="21"/>
        </w:numPr>
        <w:rPr>
          <w:lang w:eastAsia="en-US"/>
        </w:rPr>
      </w:pPr>
      <w:r w:rsidRPr="00005694">
        <w:rPr>
          <w:lang w:eastAsia="en-US"/>
        </w:rPr>
        <w:t xml:space="preserve">After </w:t>
      </w:r>
      <w:r w:rsidR="00CB5965" w:rsidRPr="00005694">
        <w:rPr>
          <w:lang w:eastAsia="en-US"/>
        </w:rPr>
        <w:t>c</w:t>
      </w:r>
      <w:r w:rsidR="0053631E" w:rsidRPr="00005694">
        <w:rPr>
          <w:lang w:eastAsia="en-US"/>
        </w:rPr>
        <w:t>lause 3.1.5</w:t>
      </w:r>
    </w:p>
    <w:p w14:paraId="1B0EDC2A" w14:textId="77777777" w:rsidR="0053631E" w:rsidRPr="00005694" w:rsidRDefault="0053631E" w:rsidP="0053631E">
      <w:pPr>
        <w:pStyle w:val="Item"/>
        <w:ind w:left="1134"/>
        <w:rPr>
          <w:lang w:eastAsia="en-US"/>
        </w:rPr>
      </w:pPr>
      <w:r w:rsidRPr="00005694">
        <w:rPr>
          <w:lang w:eastAsia="en-US"/>
        </w:rPr>
        <w:t>Insert:</w:t>
      </w:r>
    </w:p>
    <w:p w14:paraId="1C6B2B3C" w14:textId="1F4C6E66" w:rsidR="0053631E" w:rsidRPr="00005694" w:rsidRDefault="0053631E" w:rsidP="0053631E">
      <w:pPr>
        <w:pStyle w:val="Item"/>
        <w:ind w:left="1134"/>
        <w:rPr>
          <w:b/>
        </w:rPr>
      </w:pPr>
      <w:r w:rsidRPr="00005694">
        <w:rPr>
          <w:b/>
        </w:rPr>
        <w:t>3.1.5A Eligible patient for eating disorder</w:t>
      </w:r>
      <w:r w:rsidR="000E5643" w:rsidRPr="00005694">
        <w:rPr>
          <w:b/>
        </w:rPr>
        <w:t>s</w:t>
      </w:r>
      <w:r w:rsidRPr="00005694">
        <w:rPr>
          <w:b/>
        </w:rPr>
        <w:t xml:space="preserve"> items</w:t>
      </w:r>
    </w:p>
    <w:p w14:paraId="4B9129B9" w14:textId="659DAC5C" w:rsidR="00BD69AB" w:rsidRPr="00005694" w:rsidRDefault="007D5469" w:rsidP="00BD69AB">
      <w:pPr>
        <w:pStyle w:val="Item"/>
        <w:numPr>
          <w:ilvl w:val="0"/>
          <w:numId w:val="25"/>
        </w:numPr>
        <w:ind w:left="1894" w:hanging="454"/>
        <w:rPr>
          <w:lang w:eastAsia="en-US"/>
        </w:rPr>
      </w:pPr>
      <w:r w:rsidRPr="00005694">
        <w:t>For an item in Subgroup 20 or 22 of Group M18, a</w:t>
      </w:r>
      <w:r w:rsidR="00BD69AB" w:rsidRPr="00005694">
        <w:t xml:space="preserve"> patient is an </w:t>
      </w:r>
      <w:r w:rsidR="00BD69AB" w:rsidRPr="00005694">
        <w:rPr>
          <w:b/>
        </w:rPr>
        <w:t>eligible patient</w:t>
      </w:r>
      <w:r w:rsidR="00BD69AB" w:rsidRPr="00005694">
        <w:t xml:space="preserve"> </w:t>
      </w:r>
      <w:r w:rsidR="00BD69AB" w:rsidRPr="00005694">
        <w:rPr>
          <w:lang w:eastAsia="en-US"/>
        </w:rPr>
        <w:t>if the patient meets the requirements for a patient specified in clause 2.31.2 of the general medical services table</w:t>
      </w:r>
      <w:r w:rsidR="00BD69AB" w:rsidRPr="00005694">
        <w:t>.</w:t>
      </w:r>
    </w:p>
    <w:p w14:paraId="5EE7D4B8" w14:textId="08D82042" w:rsidR="00BD69AB" w:rsidRPr="00005694" w:rsidRDefault="00BD69AB" w:rsidP="00BD69AB">
      <w:pPr>
        <w:pStyle w:val="ItemHead"/>
        <w:numPr>
          <w:ilvl w:val="0"/>
          <w:numId w:val="21"/>
        </w:numPr>
        <w:rPr>
          <w:lang w:eastAsia="en-US"/>
        </w:rPr>
      </w:pPr>
      <w:r w:rsidRPr="00005694">
        <w:rPr>
          <w:lang w:eastAsia="en-US"/>
        </w:rPr>
        <w:t>Subclause 3.1.6(1)</w:t>
      </w:r>
    </w:p>
    <w:p w14:paraId="7ED872C7" w14:textId="787CC229" w:rsidR="00BD69AB" w:rsidRPr="00005694" w:rsidRDefault="00BD69AB" w:rsidP="00BD69AB">
      <w:pPr>
        <w:pStyle w:val="Item"/>
        <w:ind w:left="1134"/>
        <w:rPr>
          <w:lang w:eastAsia="en-US"/>
        </w:rPr>
      </w:pPr>
      <w:r w:rsidRPr="00005694">
        <w:rPr>
          <w:lang w:eastAsia="en-US"/>
        </w:rPr>
        <w:t xml:space="preserve">Omit “an </w:t>
      </w:r>
      <w:r w:rsidRPr="00005694">
        <w:rPr>
          <w:b/>
          <w:i/>
          <w:lang w:eastAsia="en-US"/>
        </w:rPr>
        <w:t>eating disorder psychological treatment service</w:t>
      </w:r>
      <w:r w:rsidRPr="00005694">
        <w:rPr>
          <w:lang w:eastAsia="en-US"/>
        </w:rPr>
        <w:t>”, substitute “the service”.</w:t>
      </w:r>
    </w:p>
    <w:p w14:paraId="65319F78" w14:textId="123CDC38" w:rsidR="00104CD4" w:rsidRPr="00005694" w:rsidRDefault="00104CD4" w:rsidP="00104CD4">
      <w:pPr>
        <w:pStyle w:val="ItemHead"/>
        <w:numPr>
          <w:ilvl w:val="0"/>
          <w:numId w:val="21"/>
        </w:numPr>
        <w:rPr>
          <w:lang w:eastAsia="en-US"/>
        </w:rPr>
      </w:pPr>
      <w:r w:rsidRPr="00005694">
        <w:rPr>
          <w:lang w:eastAsia="en-US"/>
        </w:rPr>
        <w:t>Subclause 3.1.6(2)</w:t>
      </w:r>
    </w:p>
    <w:p w14:paraId="1784FF24" w14:textId="669C278A" w:rsidR="00104CD4" w:rsidRPr="00005694" w:rsidRDefault="00104CD4" w:rsidP="00104CD4">
      <w:pPr>
        <w:pStyle w:val="Item"/>
        <w:ind w:left="1134"/>
        <w:rPr>
          <w:lang w:eastAsia="en-US"/>
        </w:rPr>
      </w:pPr>
      <w:r w:rsidRPr="00005694">
        <w:rPr>
          <w:lang w:eastAsia="en-US"/>
        </w:rPr>
        <w:t>Repeal the subclause, substitute:</w:t>
      </w:r>
    </w:p>
    <w:p w14:paraId="6A898BE4" w14:textId="5C418235" w:rsidR="00104CD4" w:rsidRPr="00005694" w:rsidRDefault="00C13736" w:rsidP="00E87D64">
      <w:pPr>
        <w:shd w:val="clear" w:color="auto" w:fill="FFFFFF"/>
        <w:spacing w:before="180" w:line="240" w:lineRule="auto"/>
        <w:ind w:left="1837" w:hanging="397"/>
        <w:rPr>
          <w:rFonts w:eastAsia="Times New Roman" w:cs="Times New Roman"/>
          <w:color w:val="000000"/>
          <w:szCs w:val="22"/>
          <w:lang w:eastAsia="en-AU"/>
        </w:rPr>
      </w:pPr>
      <w:r w:rsidRPr="00005694">
        <w:rPr>
          <w:rFonts w:eastAsia="Times New Roman" w:cs="Times New Roman"/>
          <w:color w:val="000000"/>
          <w:szCs w:val="22"/>
          <w:lang w:eastAsia="en-AU"/>
        </w:rPr>
        <w:t>(2</w:t>
      </w:r>
      <w:r w:rsidR="0024075A" w:rsidRPr="00005694">
        <w:rPr>
          <w:rFonts w:eastAsia="Times New Roman" w:cs="Times New Roman"/>
          <w:color w:val="000000"/>
          <w:szCs w:val="22"/>
          <w:lang w:eastAsia="en-AU"/>
        </w:rPr>
        <w:t>)  An item in Subgroup 20 or 22 of Group M18</w:t>
      </w:r>
      <w:r w:rsidR="00104CD4" w:rsidRPr="00005694">
        <w:rPr>
          <w:rFonts w:eastAsia="Times New Roman" w:cs="Times New Roman"/>
          <w:color w:val="000000"/>
          <w:szCs w:val="22"/>
          <w:lang w:eastAsia="en-AU"/>
        </w:rPr>
        <w:t xml:space="preserve"> does not apply to a service providing a treatment to a patient under an eating disorder treatment and management plan if:</w:t>
      </w:r>
    </w:p>
    <w:p w14:paraId="39C8AB28" w14:textId="77777777" w:rsidR="00104CD4" w:rsidRPr="00005694" w:rsidRDefault="00104CD4" w:rsidP="00E87D64">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(a)  the service is provided more than 12 months after the plan is prepared; or</w:t>
      </w:r>
    </w:p>
    <w:p w14:paraId="625AE4A3" w14:textId="77777777" w:rsidR="00104CD4" w:rsidRPr="00005694" w:rsidRDefault="00104CD4" w:rsidP="00E87D64">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(b)  the patient has already been provided with 40 services under the plan; or</w:t>
      </w:r>
    </w:p>
    <w:p w14:paraId="54022984" w14:textId="77777777" w:rsidR="00104CD4" w:rsidRPr="00005694" w:rsidRDefault="00104CD4" w:rsidP="00E87D64">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(c)  the service is provided after the patient has already been provided with 10 services under the plan but before a recommendation by a reviewing practitioner is given that additional services should be provided under the plan; or</w:t>
      </w:r>
    </w:p>
    <w:p w14:paraId="71FF80CC" w14:textId="77777777" w:rsidR="00104CD4" w:rsidRPr="00005694" w:rsidRDefault="00104CD4" w:rsidP="00E87D64">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(d)  the service is provided after the patient has already been provided with 20 services under the plan but before recommendations that additional services should be provided under the plan are given by each of the following:</w:t>
      </w:r>
    </w:p>
    <w:p w14:paraId="71FCF5C3" w14:textId="77777777" w:rsidR="00104CD4" w:rsidRPr="00005694" w:rsidRDefault="00104CD4" w:rsidP="00E87D64">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(i)  a medical practitioner (other than a specialist or consultant physician);</w:t>
      </w:r>
    </w:p>
    <w:p w14:paraId="106D2A29" w14:textId="2716DD58" w:rsidR="00104CD4" w:rsidRPr="00005694" w:rsidRDefault="00104CD4" w:rsidP="00EA4AD9">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lastRenderedPageBreak/>
        <w:t>                             (ii)  a consultant physician</w:t>
      </w:r>
      <w:r w:rsidR="00EA4AD9" w:rsidRPr="00005694">
        <w:rPr>
          <w:rFonts w:eastAsia="Times New Roman" w:cs="Times New Roman"/>
          <w:color w:val="000000"/>
          <w:szCs w:val="22"/>
          <w:lang w:eastAsia="en-AU"/>
        </w:rPr>
        <w:t xml:space="preserve"> practising in the specialty of psychiatry or paediatrics</w:t>
      </w:r>
      <w:r w:rsidRPr="00005694">
        <w:rPr>
          <w:rFonts w:eastAsia="Times New Roman" w:cs="Times New Roman"/>
          <w:color w:val="000000"/>
          <w:szCs w:val="22"/>
          <w:lang w:eastAsia="en-AU"/>
        </w:rPr>
        <w:t>; or</w:t>
      </w:r>
    </w:p>
    <w:p w14:paraId="42B2FC17" w14:textId="0A1B52BE" w:rsidR="00104CD4" w:rsidRPr="00005694" w:rsidRDefault="00104CD4" w:rsidP="00E87D64">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(e)  the service is provided after the patient has already been provided with 30 services under the plan but before a recommendation is given by a reviewing practitioner that additional services should be provided.</w:t>
      </w:r>
    </w:p>
    <w:p w14:paraId="1D9EC5A7" w14:textId="62BFF774" w:rsidR="00C13736" w:rsidRPr="00005694" w:rsidRDefault="00C13736" w:rsidP="00C13736">
      <w:pPr>
        <w:pStyle w:val="ItemHead"/>
        <w:numPr>
          <w:ilvl w:val="0"/>
          <w:numId w:val="21"/>
        </w:numPr>
        <w:rPr>
          <w:lang w:eastAsia="en-US"/>
        </w:rPr>
      </w:pPr>
      <w:r w:rsidRPr="00005694">
        <w:rPr>
          <w:lang w:eastAsia="en-US"/>
        </w:rPr>
        <w:t>Subclause 3.1.6(3)</w:t>
      </w:r>
    </w:p>
    <w:p w14:paraId="798500A4" w14:textId="6C597B6A" w:rsidR="00C13736" w:rsidRPr="00005694" w:rsidRDefault="00C13736" w:rsidP="00C13736">
      <w:pPr>
        <w:pStyle w:val="Item"/>
        <w:ind w:left="1134"/>
        <w:rPr>
          <w:lang w:eastAsia="en-US"/>
        </w:rPr>
      </w:pPr>
      <w:r w:rsidRPr="00005694">
        <w:rPr>
          <w:lang w:eastAsia="en-US"/>
        </w:rPr>
        <w:t>Repeal the subclause, substitute:</w:t>
      </w:r>
    </w:p>
    <w:p w14:paraId="122172FC" w14:textId="0A99695D" w:rsidR="005F6AF1" w:rsidRPr="00005694" w:rsidRDefault="0024075A" w:rsidP="005F6AF1">
      <w:pPr>
        <w:pStyle w:val="subsection"/>
        <w:shd w:val="clear" w:color="auto" w:fill="FFFFFF"/>
        <w:ind w:left="1837" w:hanging="397"/>
        <w:rPr>
          <w:color w:val="000000"/>
          <w:szCs w:val="22"/>
        </w:rPr>
      </w:pPr>
      <w:r w:rsidRPr="00005694">
        <w:rPr>
          <w:color w:val="000000"/>
          <w:szCs w:val="22"/>
        </w:rPr>
        <w:t>(3</w:t>
      </w:r>
      <w:r w:rsidR="005F6AF1" w:rsidRPr="00005694">
        <w:rPr>
          <w:color w:val="000000"/>
          <w:szCs w:val="22"/>
        </w:rPr>
        <w:t>)  A reviewing practitioner may recommend that additional services be provided under a plan only if:</w:t>
      </w:r>
    </w:p>
    <w:p w14:paraId="2844F6E7" w14:textId="5A21CA05" w:rsidR="005F6AF1" w:rsidRPr="00005694" w:rsidRDefault="005F6AF1" w:rsidP="00AB1A29">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(a)  the recommendation is made as part of a servic</w:t>
      </w:r>
      <w:r w:rsidR="00AB1A29" w:rsidRPr="00005694">
        <w:rPr>
          <w:rFonts w:eastAsia="Times New Roman" w:cs="Times New Roman"/>
          <w:color w:val="000000"/>
          <w:szCs w:val="22"/>
          <w:lang w:eastAsia="en-AU"/>
        </w:rPr>
        <w:t xml:space="preserve">e to which an item in </w:t>
      </w:r>
      <w:r w:rsidR="00D7690B" w:rsidRPr="00005694">
        <w:rPr>
          <w:color w:val="000000"/>
          <w:szCs w:val="22"/>
          <w:shd w:val="clear" w:color="auto" w:fill="FFFFFF"/>
        </w:rPr>
        <w:t xml:space="preserve">Subgroup 3 of Group A36 of the general medical services table or Subgroup 25 or 26 of Group A40 of the </w:t>
      </w:r>
      <w:r w:rsidR="00D7690B" w:rsidRPr="00005694">
        <w:rPr>
          <w:bCs/>
          <w:iCs/>
          <w:color w:val="000000"/>
          <w:szCs w:val="22"/>
          <w:shd w:val="clear" w:color="auto" w:fill="FFFFFF"/>
        </w:rPr>
        <w:t>COVID</w:t>
      </w:r>
      <w:r w:rsidR="00D7690B" w:rsidRPr="00005694">
        <w:rPr>
          <w:bCs/>
          <w:iCs/>
          <w:color w:val="000000"/>
          <w:szCs w:val="22"/>
          <w:shd w:val="clear" w:color="auto" w:fill="FFFFFF"/>
        </w:rPr>
        <w:noBreakHyphen/>
        <w:t>19 Determination</w:t>
      </w:r>
      <w:r w:rsidR="00D7690B" w:rsidRPr="00005694">
        <w:rPr>
          <w:rFonts w:eastAsia="Times New Roman" w:cs="Times New Roman"/>
          <w:color w:val="000000"/>
          <w:szCs w:val="22"/>
          <w:lang w:eastAsia="en-AU"/>
        </w:rPr>
        <w:t xml:space="preserve"> applies</w:t>
      </w:r>
      <w:r w:rsidRPr="00005694">
        <w:rPr>
          <w:rFonts w:eastAsia="Times New Roman" w:cs="Times New Roman"/>
          <w:color w:val="000000"/>
          <w:szCs w:val="22"/>
          <w:lang w:eastAsia="en-AU"/>
        </w:rPr>
        <w:t>; and</w:t>
      </w:r>
    </w:p>
    <w:p w14:paraId="78C0CF16" w14:textId="77777777" w:rsidR="005F6AF1" w:rsidRPr="00005694" w:rsidRDefault="005F6AF1" w:rsidP="005F6AF1">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(b)  the service is provided:</w:t>
      </w:r>
    </w:p>
    <w:p w14:paraId="17D570A9" w14:textId="548F5299" w:rsidR="005F6AF1" w:rsidRPr="00005694" w:rsidRDefault="005F6AF1" w:rsidP="002F2C02">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(i)  for t</w:t>
      </w:r>
      <w:r w:rsidR="00AB1A29" w:rsidRPr="00005694">
        <w:rPr>
          <w:rFonts w:eastAsia="Times New Roman" w:cs="Times New Roman"/>
          <w:color w:val="000000"/>
          <w:szCs w:val="22"/>
          <w:lang w:eastAsia="en-AU"/>
        </w:rPr>
        <w:t>he purposes of paragraph (2</w:t>
      </w:r>
      <w:r w:rsidRPr="00005694">
        <w:rPr>
          <w:rFonts w:eastAsia="Times New Roman" w:cs="Times New Roman"/>
          <w:color w:val="000000"/>
          <w:szCs w:val="22"/>
          <w:lang w:eastAsia="en-AU"/>
        </w:rPr>
        <w:t>)(c)—after the patient has been provided with 10 services under the plan; and</w:t>
      </w:r>
    </w:p>
    <w:p w14:paraId="724FCBFF" w14:textId="2B0CA7F5" w:rsidR="005F6AF1" w:rsidRPr="00005694" w:rsidRDefault="005F6AF1" w:rsidP="002F2C02">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xml:space="preserve">                             (ii)  </w:t>
      </w:r>
      <w:r w:rsidR="00AB1A29" w:rsidRPr="00005694">
        <w:rPr>
          <w:rFonts w:eastAsia="Times New Roman" w:cs="Times New Roman"/>
          <w:color w:val="000000"/>
          <w:szCs w:val="22"/>
          <w:lang w:eastAsia="en-AU"/>
        </w:rPr>
        <w:t>for the purposes of paragraph (2</w:t>
      </w:r>
      <w:r w:rsidRPr="00005694">
        <w:rPr>
          <w:rFonts w:eastAsia="Times New Roman" w:cs="Times New Roman"/>
          <w:color w:val="000000"/>
          <w:szCs w:val="22"/>
          <w:lang w:eastAsia="en-AU"/>
        </w:rPr>
        <w:t>)(d)—after the patient has been provided with 20 services under the plan; and</w:t>
      </w:r>
    </w:p>
    <w:p w14:paraId="7A51F636" w14:textId="628F0A9D" w:rsidR="005F6AF1" w:rsidRPr="00005694" w:rsidRDefault="005F6AF1" w:rsidP="002F2C02">
      <w:pPr>
        <w:shd w:val="clear" w:color="auto" w:fill="FFFFFF"/>
        <w:spacing w:before="40" w:line="240" w:lineRule="auto"/>
        <w:ind w:left="2705" w:hanging="1985"/>
        <w:rPr>
          <w:rFonts w:eastAsia="Times New Roman" w:cs="Times New Roman"/>
          <w:color w:val="000000"/>
          <w:szCs w:val="22"/>
          <w:lang w:eastAsia="en-AU"/>
        </w:rPr>
      </w:pPr>
      <w:r w:rsidRPr="00005694">
        <w:rPr>
          <w:rFonts w:eastAsia="Times New Roman" w:cs="Times New Roman"/>
          <w:color w:val="000000"/>
          <w:szCs w:val="22"/>
          <w:lang w:eastAsia="en-AU"/>
        </w:rPr>
        <w:t xml:space="preserve">                            (iii)  </w:t>
      </w:r>
      <w:r w:rsidR="00AB1A29" w:rsidRPr="00005694">
        <w:rPr>
          <w:rFonts w:eastAsia="Times New Roman" w:cs="Times New Roman"/>
          <w:color w:val="000000"/>
          <w:szCs w:val="22"/>
          <w:lang w:eastAsia="en-AU"/>
        </w:rPr>
        <w:t>for the purposes of paragraph (2</w:t>
      </w:r>
      <w:r w:rsidRPr="00005694">
        <w:rPr>
          <w:rFonts w:eastAsia="Times New Roman" w:cs="Times New Roman"/>
          <w:color w:val="000000"/>
          <w:szCs w:val="22"/>
          <w:lang w:eastAsia="en-AU"/>
        </w:rPr>
        <w:t>)(e)—after the patient has been provided with 30 services under the plan; and</w:t>
      </w:r>
    </w:p>
    <w:p w14:paraId="355F6A22" w14:textId="77777777" w:rsidR="005F6AF1" w:rsidRPr="00005694" w:rsidRDefault="005F6AF1" w:rsidP="005F6AF1">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(c)  the practitioner records the recommendation in the patient’s records.</w:t>
      </w:r>
    </w:p>
    <w:p w14:paraId="3FE09395" w14:textId="54CAA9D7" w:rsidR="005F6AF1" w:rsidRPr="00005694" w:rsidRDefault="005F6AF1" w:rsidP="005F6AF1">
      <w:pPr>
        <w:pStyle w:val="ItemHead"/>
        <w:spacing w:before="0"/>
        <w:rPr>
          <w:rFonts w:ascii="Times New Roman" w:hAnsi="Times New Roman"/>
          <w:sz w:val="22"/>
          <w:lang w:eastAsia="en-US"/>
        </w:rPr>
      </w:pPr>
    </w:p>
    <w:p w14:paraId="19AB70C8" w14:textId="5770876A" w:rsidR="00C13736" w:rsidRPr="00005694" w:rsidRDefault="0024075A" w:rsidP="005F6AF1">
      <w:pPr>
        <w:pStyle w:val="ItemHead"/>
        <w:numPr>
          <w:ilvl w:val="0"/>
          <w:numId w:val="21"/>
        </w:numPr>
        <w:rPr>
          <w:lang w:eastAsia="en-US"/>
        </w:rPr>
      </w:pPr>
      <w:r w:rsidRPr="00005694">
        <w:rPr>
          <w:lang w:eastAsia="en-US"/>
        </w:rPr>
        <w:t>Subclause 3.1.6(5)</w:t>
      </w:r>
    </w:p>
    <w:p w14:paraId="19E111C0" w14:textId="1CFC0079" w:rsidR="0024075A" w:rsidRPr="00005694" w:rsidRDefault="0024075A" w:rsidP="0024075A">
      <w:pPr>
        <w:pStyle w:val="Item"/>
        <w:ind w:left="1134"/>
        <w:rPr>
          <w:lang w:eastAsia="en-US"/>
        </w:rPr>
      </w:pPr>
      <w:r w:rsidRPr="00005694">
        <w:rPr>
          <w:lang w:eastAsia="en-US"/>
        </w:rPr>
        <w:t>Repeal the subclause, substitute:</w:t>
      </w:r>
    </w:p>
    <w:p w14:paraId="56F2B5A5" w14:textId="0F5FF089" w:rsidR="0024075A" w:rsidRPr="00005694" w:rsidRDefault="0024075A" w:rsidP="0024075A">
      <w:pPr>
        <w:pStyle w:val="subsection"/>
        <w:shd w:val="clear" w:color="auto" w:fill="FFFFFF"/>
        <w:ind w:left="1837" w:hanging="397"/>
        <w:rPr>
          <w:color w:val="000000"/>
          <w:szCs w:val="22"/>
        </w:rPr>
      </w:pPr>
      <w:r w:rsidRPr="00005694">
        <w:rPr>
          <w:color w:val="000000"/>
          <w:szCs w:val="22"/>
        </w:rPr>
        <w:t>(5)  For the purposes of this clause, in counting the services providing treatments under a plan, only count the services to which any of the following apply:</w:t>
      </w:r>
    </w:p>
    <w:p w14:paraId="382F68DD" w14:textId="77777777" w:rsidR="0024075A" w:rsidRPr="00005694" w:rsidRDefault="0024075A" w:rsidP="0024075A">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(a)  items 283, 285, 286, 287, 371 and 372;</w:t>
      </w:r>
    </w:p>
    <w:p w14:paraId="0DD6ABAC" w14:textId="77777777" w:rsidR="0024075A" w:rsidRPr="00005694" w:rsidRDefault="0024075A" w:rsidP="0024075A">
      <w:pPr>
        <w:shd w:val="clear" w:color="auto" w:fill="FFFFFF"/>
        <w:spacing w:before="40" w:line="240" w:lineRule="auto"/>
        <w:ind w:left="2364" w:hanging="1644"/>
        <w:rPr>
          <w:rFonts w:eastAsia="Times New Roman" w:cs="Times New Roman"/>
          <w:color w:val="000000"/>
          <w:szCs w:val="22"/>
          <w:lang w:eastAsia="en-AU"/>
        </w:rPr>
      </w:pPr>
      <w:r w:rsidRPr="00005694">
        <w:rPr>
          <w:rFonts w:eastAsia="Times New Roman" w:cs="Times New Roman"/>
          <w:color w:val="000000"/>
          <w:szCs w:val="22"/>
          <w:lang w:eastAsia="en-AU"/>
        </w:rPr>
        <w:t>                     (b)  items 2721, 2723, 2725 and 2727;</w:t>
      </w:r>
    </w:p>
    <w:p w14:paraId="7F84A099" w14:textId="77777777" w:rsidR="0024075A" w:rsidRPr="00005694" w:rsidRDefault="0024075A" w:rsidP="002F2C02">
      <w:pPr>
        <w:shd w:val="clear" w:color="auto" w:fill="FFFFFF"/>
        <w:spacing w:before="40" w:line="240" w:lineRule="auto"/>
        <w:ind w:left="2194" w:hanging="1474"/>
        <w:rPr>
          <w:rFonts w:eastAsia="Times New Roman" w:cs="Times New Roman"/>
          <w:color w:val="000000"/>
          <w:szCs w:val="22"/>
          <w:lang w:eastAsia="en-AU"/>
        </w:rPr>
      </w:pPr>
      <w:r w:rsidRPr="00005694">
        <w:rPr>
          <w:rFonts w:eastAsia="Times New Roman" w:cs="Times New Roman"/>
          <w:color w:val="000000"/>
          <w:szCs w:val="22"/>
          <w:lang w:eastAsia="en-AU"/>
        </w:rPr>
        <w:t>                     (c)  items in Groups M6, M7 and M16 other than items 82350 and 82351;</w:t>
      </w:r>
    </w:p>
    <w:p w14:paraId="1E1219DA" w14:textId="77777777" w:rsidR="0024075A" w:rsidRPr="00005694" w:rsidRDefault="0024075A" w:rsidP="002F2C02">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(d)  items 90271, 90272, 90273, 90274, 90275, 90276, 90277, 90278, 90279, 90280, 90281 and 90282;</w:t>
      </w:r>
    </w:p>
    <w:p w14:paraId="377674DF" w14:textId="77777777" w:rsidR="0024075A" w:rsidRPr="00005694" w:rsidRDefault="0024075A" w:rsidP="002F2C02">
      <w:pPr>
        <w:shd w:val="clear" w:color="auto" w:fill="FFFFFF"/>
        <w:spacing w:before="40" w:line="240" w:lineRule="auto"/>
        <w:ind w:left="2251" w:hanging="1531"/>
        <w:rPr>
          <w:rFonts w:eastAsia="Times New Roman" w:cs="Times New Roman"/>
          <w:color w:val="000000"/>
          <w:szCs w:val="22"/>
          <w:lang w:eastAsia="en-AU"/>
        </w:rPr>
      </w:pPr>
      <w:r w:rsidRPr="00005694">
        <w:rPr>
          <w:rFonts w:eastAsia="Times New Roman" w:cs="Times New Roman"/>
          <w:color w:val="000000"/>
          <w:szCs w:val="22"/>
          <w:lang w:eastAsia="en-AU"/>
        </w:rPr>
        <w:t>                     (e)  items 91166, 91167, 91169, 91170, 91172, 91173, 91175, 91176, 91181 to 91188, 91818, 91819, 91820, 91821, 91842, 91843, 91844, 91845, 92182, 92184, 92186, 92188, 92194, 92196, 92198, 92200, 93076, 93079, 93084. 93087, 93092, 93095, 93100, 93103, 93110, 93113, 93118, 93121, 93126, 93129, 93134 and 93137.</w:t>
      </w:r>
    </w:p>
    <w:p w14:paraId="796819EF" w14:textId="209C1CC2" w:rsidR="003B2E07" w:rsidRPr="00005694" w:rsidRDefault="003B2E07" w:rsidP="003B2E07">
      <w:pPr>
        <w:pStyle w:val="ItemHead"/>
        <w:numPr>
          <w:ilvl w:val="0"/>
          <w:numId w:val="21"/>
        </w:numPr>
        <w:rPr>
          <w:lang w:eastAsia="en-US"/>
        </w:rPr>
      </w:pPr>
      <w:r w:rsidRPr="00005694">
        <w:rPr>
          <w:lang w:eastAsia="en-US"/>
        </w:rPr>
        <w:t>Subclause 3.1.6(6) (paragraphs (a) to (c))</w:t>
      </w:r>
    </w:p>
    <w:p w14:paraId="07D77F48" w14:textId="12A209AE" w:rsidR="00285539" w:rsidRPr="00005694" w:rsidRDefault="003B2E07" w:rsidP="001276AA">
      <w:pPr>
        <w:pStyle w:val="Item"/>
        <w:ind w:left="1134"/>
        <w:rPr>
          <w:lang w:eastAsia="en-US"/>
        </w:rPr>
      </w:pPr>
      <w:r w:rsidRPr="00005694">
        <w:rPr>
          <w:lang w:eastAsia="en-US"/>
        </w:rPr>
        <w:t>Omit “the Eating Disorders Services Determination”</w:t>
      </w:r>
      <w:r w:rsidR="00955945" w:rsidRPr="00005694">
        <w:rPr>
          <w:lang w:eastAsia="en-US"/>
        </w:rPr>
        <w:t xml:space="preserve"> (wherever occurring)</w:t>
      </w:r>
      <w:r w:rsidRPr="00005694">
        <w:rPr>
          <w:lang w:eastAsia="en-US"/>
        </w:rPr>
        <w:t>, substitute “Group 36 of the general medical services table”.</w:t>
      </w:r>
    </w:p>
    <w:p w14:paraId="318AA939" w14:textId="23731B47" w:rsidR="0026365C" w:rsidRPr="00005694" w:rsidRDefault="0026365C">
      <w:pPr>
        <w:pStyle w:val="ActHead5"/>
        <w:rPr>
          <w:rFonts w:ascii="Arial" w:hAnsi="Arial" w:cs="Arial"/>
        </w:rPr>
      </w:pPr>
      <w:bookmarkStart w:id="7" w:name="_Toc74747212"/>
      <w:r w:rsidRPr="00005694">
        <w:rPr>
          <w:rFonts w:ascii="Arial" w:hAnsi="Arial" w:cs="Arial"/>
        </w:rPr>
        <w:lastRenderedPageBreak/>
        <w:t>Schedule 2— Health</w:t>
      </w:r>
      <w:r w:rsidR="0044722E" w:rsidRPr="00005694">
        <w:rPr>
          <w:rFonts w:ascii="Arial" w:hAnsi="Arial" w:cs="Arial"/>
        </w:rPr>
        <w:t xml:space="preserve"> Care Homes transitional provisions</w:t>
      </w:r>
      <w:bookmarkEnd w:id="7"/>
    </w:p>
    <w:p w14:paraId="733612FE" w14:textId="1DF11887" w:rsidR="0026365C" w:rsidRPr="00005694" w:rsidRDefault="008D55F0" w:rsidP="0026365C">
      <w:pPr>
        <w:pStyle w:val="subsection"/>
        <w:rPr>
          <w:rFonts w:ascii="Arial" w:hAnsi="Arial" w:cs="Arial"/>
          <w:b/>
          <w:sz w:val="24"/>
          <w:szCs w:val="24"/>
          <w:lang w:eastAsia="en-US"/>
        </w:rPr>
      </w:pPr>
      <w:r w:rsidRPr="00005694">
        <w:rPr>
          <w:rFonts w:ascii="Arial" w:hAnsi="Arial" w:cs="Arial"/>
          <w:b/>
          <w:i/>
          <w:sz w:val="24"/>
          <w:szCs w:val="24"/>
          <w:lang w:eastAsia="en-US"/>
        </w:rPr>
        <w:t>Health Insurance (Allied Health Services) Determination 2014</w:t>
      </w:r>
    </w:p>
    <w:p w14:paraId="4546BAAD" w14:textId="66CA5399" w:rsidR="008D55F0" w:rsidRPr="00005694" w:rsidRDefault="00C507A9" w:rsidP="008D55F0">
      <w:pPr>
        <w:pStyle w:val="subsection"/>
        <w:numPr>
          <w:ilvl w:val="0"/>
          <w:numId w:val="30"/>
        </w:numPr>
        <w:rPr>
          <w:rFonts w:ascii="Arial" w:hAnsi="Arial" w:cs="Arial"/>
          <w:b/>
          <w:sz w:val="24"/>
          <w:szCs w:val="24"/>
        </w:rPr>
      </w:pPr>
      <w:r w:rsidRPr="00005694">
        <w:rPr>
          <w:rFonts w:ascii="Arial" w:hAnsi="Arial" w:cs="Arial"/>
          <w:b/>
          <w:sz w:val="24"/>
          <w:szCs w:val="24"/>
        </w:rPr>
        <w:t xml:space="preserve">After </w:t>
      </w:r>
      <w:r w:rsidR="008D55F0" w:rsidRPr="00005694">
        <w:rPr>
          <w:rFonts w:ascii="Arial" w:hAnsi="Arial" w:cs="Arial"/>
          <w:b/>
          <w:sz w:val="24"/>
          <w:szCs w:val="24"/>
        </w:rPr>
        <w:t xml:space="preserve">Section </w:t>
      </w:r>
      <w:r w:rsidRPr="00005694">
        <w:rPr>
          <w:rFonts w:ascii="Arial" w:hAnsi="Arial" w:cs="Arial"/>
          <w:b/>
          <w:sz w:val="24"/>
          <w:szCs w:val="24"/>
        </w:rPr>
        <w:t>12</w:t>
      </w:r>
    </w:p>
    <w:p w14:paraId="0183C38F" w14:textId="3188BDA3" w:rsidR="008D55F0" w:rsidRPr="00005694" w:rsidRDefault="008D55F0" w:rsidP="008D55F0">
      <w:pPr>
        <w:pStyle w:val="subsection"/>
        <w:ind w:left="720" w:firstLine="0"/>
        <w:rPr>
          <w:szCs w:val="24"/>
        </w:rPr>
      </w:pPr>
      <w:r w:rsidRPr="00005694">
        <w:rPr>
          <w:szCs w:val="24"/>
        </w:rPr>
        <w:tab/>
      </w:r>
      <w:r w:rsidRPr="00005694">
        <w:rPr>
          <w:szCs w:val="24"/>
        </w:rPr>
        <w:tab/>
        <w:t>Insert:</w:t>
      </w:r>
    </w:p>
    <w:p w14:paraId="5B1BECCC" w14:textId="2D8C87A1" w:rsidR="008D55F0" w:rsidRPr="00005694" w:rsidRDefault="008D55F0" w:rsidP="008D55F0">
      <w:pPr>
        <w:keepLines/>
        <w:spacing w:before="80" w:line="240" w:lineRule="auto"/>
        <w:ind w:left="1191"/>
        <w:rPr>
          <w:rFonts w:eastAsia="Times New Roman" w:cs="Times New Roman"/>
        </w:rPr>
      </w:pPr>
      <w:r w:rsidRPr="00005694">
        <w:rPr>
          <w:szCs w:val="24"/>
        </w:rPr>
        <w:tab/>
      </w:r>
      <w:r w:rsidRPr="00005694">
        <w:rPr>
          <w:rFonts w:eastAsia="Times New Roman" w:cs="Times New Roman"/>
          <w:b/>
          <w:kern w:val="28"/>
        </w:rPr>
        <w:t xml:space="preserve">13 </w:t>
      </w:r>
      <w:r w:rsidR="00B5765D" w:rsidRPr="00005694">
        <w:rPr>
          <w:rFonts w:eastAsia="Times New Roman" w:cs="Times New Roman"/>
          <w:b/>
          <w:kern w:val="28"/>
        </w:rPr>
        <w:t>Referrals by medical practitioners under a shared care plan</w:t>
      </w:r>
    </w:p>
    <w:p w14:paraId="3E4CD382" w14:textId="3CF6BA91" w:rsidR="003C0DE7" w:rsidRPr="00005694" w:rsidRDefault="003C0DE7" w:rsidP="003C0DE7">
      <w:pPr>
        <w:keepLines/>
        <w:spacing w:before="80" w:line="240" w:lineRule="auto"/>
        <w:ind w:left="1837" w:hanging="397"/>
        <w:rPr>
          <w:rFonts w:eastAsia="Times New Roman" w:cs="Times New Roman"/>
        </w:rPr>
      </w:pPr>
      <w:r w:rsidRPr="00005694">
        <w:rPr>
          <w:rFonts w:eastAsia="Times New Roman" w:cs="Times New Roman"/>
        </w:rPr>
        <w:t>(1)  This Section applies to items</w:t>
      </w:r>
      <w:r w:rsidRPr="00005694">
        <w:t xml:space="preserve"> 10950 to 10970, 80000, 80001, </w:t>
      </w:r>
      <w:r w:rsidR="00BF237A" w:rsidRPr="00005694">
        <w:t xml:space="preserve">80005, </w:t>
      </w:r>
      <w:r w:rsidRPr="00005694">
        <w:t>80010, 80011,</w:t>
      </w:r>
      <w:r w:rsidR="00BF237A" w:rsidRPr="00005694">
        <w:t xml:space="preserve"> 80015,</w:t>
      </w:r>
      <w:r w:rsidRPr="00005694">
        <w:t xml:space="preserve"> 80020, 80021, 80100, 80101, </w:t>
      </w:r>
      <w:r w:rsidR="00BF237A" w:rsidRPr="00005694">
        <w:t xml:space="preserve">80105, </w:t>
      </w:r>
      <w:r w:rsidRPr="00005694">
        <w:t xml:space="preserve">80110, 80111, </w:t>
      </w:r>
      <w:r w:rsidR="00BF237A" w:rsidRPr="00005694">
        <w:t xml:space="preserve">80115, </w:t>
      </w:r>
      <w:r w:rsidRPr="00005694">
        <w:t xml:space="preserve">80120, 80121, 80125, 80126, </w:t>
      </w:r>
      <w:r w:rsidR="00BF237A" w:rsidRPr="00005694">
        <w:t xml:space="preserve">80130, </w:t>
      </w:r>
      <w:r w:rsidRPr="00005694">
        <w:t>80135, 80136,</w:t>
      </w:r>
      <w:r w:rsidR="00BF237A" w:rsidRPr="00005694">
        <w:t xml:space="preserve"> 80140,</w:t>
      </w:r>
      <w:r w:rsidRPr="00005694">
        <w:t xml:space="preserve"> 80145, 80146, 80150, 80151, </w:t>
      </w:r>
      <w:r w:rsidR="00BF237A" w:rsidRPr="00005694">
        <w:t xml:space="preserve">80155, </w:t>
      </w:r>
      <w:r w:rsidRPr="00005694">
        <w:t xml:space="preserve">80160, 80161, </w:t>
      </w:r>
      <w:r w:rsidR="00BF237A" w:rsidRPr="00005694">
        <w:t xml:space="preserve">80165, </w:t>
      </w:r>
      <w:r w:rsidRPr="00005694">
        <w:t>80170, 80171, 81100, 81110, 81120 and 81300 to 81360</w:t>
      </w:r>
      <w:r w:rsidR="00F14C4D" w:rsidRPr="00005694">
        <w:t xml:space="preserve"> in Schedule 2</w:t>
      </w:r>
      <w:r w:rsidRPr="00005694">
        <w:t>.</w:t>
      </w:r>
    </w:p>
    <w:p w14:paraId="65DFEE7A" w14:textId="3E56D978" w:rsidR="008D55F0" w:rsidRPr="00005694" w:rsidRDefault="003C0DE7" w:rsidP="003C0DE7">
      <w:pPr>
        <w:keepLines/>
        <w:spacing w:before="80" w:line="240" w:lineRule="auto"/>
        <w:ind w:left="1837" w:hanging="397"/>
        <w:rPr>
          <w:rFonts w:eastAsia="Times New Roman" w:cs="Times New Roman"/>
        </w:rPr>
      </w:pPr>
      <w:r w:rsidRPr="00005694">
        <w:rPr>
          <w:rFonts w:eastAsia="Times New Roman" w:cs="Times New Roman"/>
        </w:rPr>
        <w:t xml:space="preserve">(2)  For an item mentioned in subsection (1), where the referral is by a medical practitioner as part of a shared care plan, the shared care plan must have been prepared </w:t>
      </w:r>
      <w:r w:rsidR="000B0117" w:rsidRPr="00005694">
        <w:rPr>
          <w:rFonts w:eastAsia="Times New Roman" w:cs="Times New Roman"/>
        </w:rPr>
        <w:t xml:space="preserve">on or </w:t>
      </w:r>
      <w:r w:rsidRPr="00005694">
        <w:rPr>
          <w:rFonts w:eastAsia="Times New Roman" w:cs="Times New Roman"/>
        </w:rPr>
        <w:t>before 30 June 2021.</w:t>
      </w:r>
    </w:p>
    <w:p w14:paraId="34E74D15" w14:textId="6FF8CEC8" w:rsidR="008D55F0" w:rsidRPr="00005694" w:rsidRDefault="008D55F0" w:rsidP="008D55F0">
      <w:pPr>
        <w:pStyle w:val="subsection"/>
        <w:ind w:left="0" w:firstLine="0"/>
        <w:rPr>
          <w:rFonts w:ascii="Arial" w:hAnsi="Arial" w:cs="Arial"/>
          <w:b/>
          <w:i/>
          <w:sz w:val="24"/>
          <w:szCs w:val="24"/>
        </w:rPr>
      </w:pPr>
      <w:r w:rsidRPr="00005694">
        <w:rPr>
          <w:rFonts w:ascii="Arial" w:hAnsi="Arial" w:cs="Arial"/>
          <w:b/>
          <w:i/>
          <w:sz w:val="24"/>
          <w:szCs w:val="24"/>
        </w:rPr>
        <w:t>Health Insurance (Section 3C General Medical Services - COVID-19 Telehealth and Telephone Attendances) Determination 2020</w:t>
      </w:r>
    </w:p>
    <w:p w14:paraId="69ECE326" w14:textId="207BEFF8" w:rsidR="008D55F0" w:rsidRPr="00005694" w:rsidRDefault="00C507A9" w:rsidP="008D55F0">
      <w:pPr>
        <w:pStyle w:val="subsection"/>
        <w:numPr>
          <w:ilvl w:val="0"/>
          <w:numId w:val="30"/>
        </w:numPr>
        <w:rPr>
          <w:rFonts w:ascii="Arial" w:hAnsi="Arial" w:cs="Arial"/>
          <w:b/>
          <w:sz w:val="24"/>
          <w:szCs w:val="24"/>
        </w:rPr>
      </w:pPr>
      <w:r w:rsidRPr="00005694">
        <w:rPr>
          <w:rFonts w:ascii="Arial" w:hAnsi="Arial" w:cs="Arial"/>
          <w:b/>
          <w:sz w:val="24"/>
          <w:szCs w:val="24"/>
        </w:rPr>
        <w:t>After Section 8</w:t>
      </w:r>
    </w:p>
    <w:p w14:paraId="40C5D005" w14:textId="13ABB4FD" w:rsidR="008D55F0" w:rsidRPr="00005694" w:rsidRDefault="008D55F0" w:rsidP="008D55F0">
      <w:pPr>
        <w:pStyle w:val="subsection"/>
        <w:ind w:left="720" w:firstLine="0"/>
        <w:rPr>
          <w:szCs w:val="24"/>
        </w:rPr>
      </w:pPr>
      <w:r w:rsidRPr="00005694">
        <w:rPr>
          <w:szCs w:val="24"/>
        </w:rPr>
        <w:tab/>
      </w:r>
      <w:r w:rsidRPr="00005694">
        <w:rPr>
          <w:szCs w:val="24"/>
        </w:rPr>
        <w:tab/>
        <w:t>Insert:</w:t>
      </w:r>
    </w:p>
    <w:p w14:paraId="3139101D" w14:textId="29F52D58" w:rsidR="008D55F0" w:rsidRPr="00005694" w:rsidRDefault="008D55F0" w:rsidP="008D55F0">
      <w:pPr>
        <w:keepLines/>
        <w:spacing w:before="80" w:line="240" w:lineRule="auto"/>
        <w:ind w:left="1191"/>
        <w:rPr>
          <w:rFonts w:eastAsia="Times New Roman" w:cs="Times New Roman"/>
        </w:rPr>
      </w:pPr>
      <w:r w:rsidRPr="00005694">
        <w:rPr>
          <w:szCs w:val="24"/>
        </w:rPr>
        <w:tab/>
      </w:r>
      <w:r w:rsidRPr="00005694">
        <w:rPr>
          <w:rFonts w:eastAsia="Times New Roman" w:cs="Times New Roman"/>
          <w:b/>
          <w:kern w:val="28"/>
        </w:rPr>
        <w:t xml:space="preserve">9 </w:t>
      </w:r>
      <w:r w:rsidR="00B5765D" w:rsidRPr="00005694">
        <w:rPr>
          <w:rFonts w:eastAsia="Times New Roman" w:cs="Times New Roman"/>
          <w:b/>
          <w:kern w:val="28"/>
        </w:rPr>
        <w:t>Referrals by medical practitioners under a shared care plan</w:t>
      </w:r>
    </w:p>
    <w:p w14:paraId="084C76FA" w14:textId="3E8A9B1F" w:rsidR="008D55F0" w:rsidRPr="00005694" w:rsidRDefault="008D55F0" w:rsidP="008D55F0">
      <w:pPr>
        <w:keepLines/>
        <w:spacing w:before="80" w:line="240" w:lineRule="auto"/>
        <w:ind w:left="1837" w:hanging="397"/>
        <w:rPr>
          <w:rFonts w:eastAsia="Times New Roman" w:cs="Times New Roman"/>
        </w:rPr>
      </w:pPr>
      <w:r w:rsidRPr="00005694">
        <w:rPr>
          <w:rFonts w:eastAsia="Times New Roman" w:cs="Times New Roman"/>
        </w:rPr>
        <w:t xml:space="preserve">(1)  </w:t>
      </w:r>
      <w:r w:rsidR="00653711" w:rsidRPr="00005694">
        <w:rPr>
          <w:rFonts w:eastAsia="Times New Roman" w:cs="Times New Roman"/>
        </w:rPr>
        <w:t>This Section applies to items</w:t>
      </w:r>
      <w:r w:rsidR="004E1231" w:rsidRPr="00005694">
        <w:rPr>
          <w:rFonts w:eastAsia="Times New Roman" w:cs="Times New Roman"/>
        </w:rPr>
        <w:t xml:space="preserve"> </w:t>
      </w:r>
      <w:r w:rsidR="004E1231" w:rsidRPr="00005694">
        <w:t>91166 to 93013, 93048, 93061, 93284 and 93286</w:t>
      </w:r>
      <w:r w:rsidR="00F14C4D" w:rsidRPr="00005694">
        <w:t xml:space="preserve"> in Schedule 3</w:t>
      </w:r>
      <w:r w:rsidR="004E1231" w:rsidRPr="00005694">
        <w:t>.</w:t>
      </w:r>
    </w:p>
    <w:p w14:paraId="4447D8B5" w14:textId="54C2F527" w:rsidR="00A17435" w:rsidRPr="00005694" w:rsidRDefault="00653711" w:rsidP="00A17435">
      <w:pPr>
        <w:keepLines/>
        <w:spacing w:before="80" w:line="240" w:lineRule="auto"/>
        <w:ind w:left="1837" w:hanging="397"/>
        <w:rPr>
          <w:rFonts w:eastAsia="Times New Roman" w:cs="Times New Roman"/>
        </w:rPr>
      </w:pPr>
      <w:r w:rsidRPr="00005694">
        <w:rPr>
          <w:rFonts w:eastAsia="Times New Roman" w:cs="Times New Roman"/>
        </w:rPr>
        <w:t xml:space="preserve">(2) </w:t>
      </w:r>
      <w:r w:rsidR="00F66C30" w:rsidRPr="00005694">
        <w:rPr>
          <w:rFonts w:eastAsia="Times New Roman" w:cs="Times New Roman"/>
        </w:rPr>
        <w:t xml:space="preserve"> </w:t>
      </w:r>
      <w:r w:rsidR="00B5765D" w:rsidRPr="00005694">
        <w:rPr>
          <w:rFonts w:eastAsia="Times New Roman" w:cs="Times New Roman"/>
        </w:rPr>
        <w:t>For an item mentioned in subsection (1), where the referral is by a medical practitioner as part of a shared care plan</w:t>
      </w:r>
      <w:r w:rsidR="003F46F1" w:rsidRPr="00005694">
        <w:rPr>
          <w:rFonts w:eastAsia="Times New Roman" w:cs="Times New Roman"/>
        </w:rPr>
        <w:t>,</w:t>
      </w:r>
      <w:r w:rsidR="00B5765D" w:rsidRPr="00005694">
        <w:rPr>
          <w:rFonts w:eastAsia="Times New Roman" w:cs="Times New Roman"/>
        </w:rPr>
        <w:t xml:space="preserve"> the shared c</w:t>
      </w:r>
      <w:r w:rsidR="003C0DE7" w:rsidRPr="00005694">
        <w:rPr>
          <w:rFonts w:eastAsia="Times New Roman" w:cs="Times New Roman"/>
        </w:rPr>
        <w:t>are plan must have been</w:t>
      </w:r>
      <w:r w:rsidR="00B5765D" w:rsidRPr="00005694">
        <w:rPr>
          <w:rFonts w:eastAsia="Times New Roman" w:cs="Times New Roman"/>
        </w:rPr>
        <w:t xml:space="preserve"> prepared</w:t>
      </w:r>
      <w:r w:rsidR="000B0117" w:rsidRPr="00005694">
        <w:rPr>
          <w:rFonts w:eastAsia="Times New Roman" w:cs="Times New Roman"/>
        </w:rPr>
        <w:t xml:space="preserve"> on or</w:t>
      </w:r>
      <w:r w:rsidR="00B5765D" w:rsidRPr="00005694">
        <w:rPr>
          <w:rFonts w:eastAsia="Times New Roman" w:cs="Times New Roman"/>
        </w:rPr>
        <w:t xml:space="preserve"> before 30 J</w:t>
      </w:r>
      <w:r w:rsidR="003F46F1" w:rsidRPr="00005694">
        <w:rPr>
          <w:rFonts w:eastAsia="Times New Roman" w:cs="Times New Roman"/>
        </w:rPr>
        <w:t>une 2021</w:t>
      </w:r>
      <w:r w:rsidR="00B5765D" w:rsidRPr="00005694">
        <w:rPr>
          <w:rFonts w:eastAsia="Times New Roman" w:cs="Times New Roman"/>
        </w:rPr>
        <w:t>.</w:t>
      </w:r>
    </w:p>
    <w:p w14:paraId="60F5D680" w14:textId="46392231" w:rsidR="003C0DE7" w:rsidRPr="00005694" w:rsidRDefault="003C0DE7" w:rsidP="003F46F1">
      <w:pPr>
        <w:keepLines/>
        <w:spacing w:before="80" w:line="240" w:lineRule="auto"/>
        <w:ind w:left="1837" w:hanging="397"/>
        <w:rPr>
          <w:rFonts w:eastAsia="Times New Roman" w:cs="Times New Roman"/>
        </w:rPr>
      </w:pPr>
    </w:p>
    <w:p w14:paraId="18E17DB5" w14:textId="77777777" w:rsidR="003C0DE7" w:rsidRPr="00005694" w:rsidRDefault="003C0DE7" w:rsidP="003F46F1">
      <w:pPr>
        <w:keepLines/>
        <w:spacing w:before="80" w:line="240" w:lineRule="auto"/>
        <w:ind w:left="1837" w:hanging="397"/>
        <w:rPr>
          <w:rFonts w:eastAsia="Times New Roman" w:cs="Times New Roman"/>
        </w:rPr>
      </w:pPr>
    </w:p>
    <w:p w14:paraId="4DCCFCC3" w14:textId="77777777" w:rsidR="008D55F0" w:rsidRPr="00005694" w:rsidRDefault="008D55F0">
      <w:pPr>
        <w:spacing w:line="240" w:lineRule="auto"/>
        <w:rPr>
          <w:rFonts w:ascii="Arial" w:eastAsia="Times New Roman" w:hAnsi="Arial" w:cs="Arial"/>
          <w:b/>
          <w:kern w:val="28"/>
          <w:sz w:val="24"/>
          <w:lang w:eastAsia="en-AU"/>
        </w:rPr>
      </w:pPr>
      <w:r w:rsidRPr="00005694">
        <w:rPr>
          <w:rFonts w:ascii="Arial" w:hAnsi="Arial" w:cs="Arial"/>
        </w:rPr>
        <w:br w:type="page"/>
      </w:r>
    </w:p>
    <w:p w14:paraId="3E3660F4" w14:textId="5D66DA2E" w:rsidR="00285539" w:rsidRPr="00005694" w:rsidRDefault="0026365C" w:rsidP="001276AA">
      <w:pPr>
        <w:pStyle w:val="ActHead5"/>
        <w:ind w:left="0" w:firstLine="0"/>
        <w:rPr>
          <w:rFonts w:ascii="Arial" w:hAnsi="Arial" w:cs="Arial"/>
        </w:rPr>
      </w:pPr>
      <w:bookmarkStart w:id="8" w:name="_Toc74747213"/>
      <w:r w:rsidRPr="00005694">
        <w:rPr>
          <w:rFonts w:ascii="Arial" w:hAnsi="Arial" w:cs="Arial"/>
        </w:rPr>
        <w:lastRenderedPageBreak/>
        <w:t>Schedule 3</w:t>
      </w:r>
      <w:r w:rsidR="00285539" w:rsidRPr="00005694">
        <w:rPr>
          <w:rFonts w:ascii="Arial" w:hAnsi="Arial" w:cs="Arial"/>
        </w:rPr>
        <w:t xml:space="preserve">— Health Care Homes </w:t>
      </w:r>
      <w:r w:rsidR="0004558A" w:rsidRPr="00005694">
        <w:rPr>
          <w:rFonts w:ascii="Arial" w:hAnsi="Arial" w:cs="Arial"/>
        </w:rPr>
        <w:t xml:space="preserve">consequential </w:t>
      </w:r>
      <w:r w:rsidR="00285539" w:rsidRPr="00005694">
        <w:rPr>
          <w:rFonts w:ascii="Arial" w:hAnsi="Arial" w:cs="Arial"/>
        </w:rPr>
        <w:t>amendments</w:t>
      </w:r>
      <w:bookmarkEnd w:id="8"/>
    </w:p>
    <w:p w14:paraId="4B6BF588" w14:textId="77777777" w:rsidR="00285539" w:rsidRPr="00005694" w:rsidRDefault="00285539" w:rsidP="00285539">
      <w:pPr>
        <w:pStyle w:val="ItemHead"/>
        <w:spacing w:before="0"/>
        <w:rPr>
          <w:i/>
          <w:lang w:eastAsia="en-US"/>
        </w:rPr>
      </w:pPr>
    </w:p>
    <w:p w14:paraId="22DEC80E" w14:textId="0FC31E3E" w:rsidR="00285539" w:rsidRPr="00005694" w:rsidRDefault="00285539" w:rsidP="00285539">
      <w:pPr>
        <w:pStyle w:val="ItemHead"/>
        <w:spacing w:before="0"/>
        <w:rPr>
          <w:lang w:eastAsia="en-US"/>
        </w:rPr>
      </w:pPr>
      <w:r w:rsidRPr="00005694">
        <w:rPr>
          <w:i/>
          <w:lang w:eastAsia="en-US"/>
        </w:rPr>
        <w:t>Health Insurance (Allied Health Services) Determination 2014</w:t>
      </w:r>
    </w:p>
    <w:p w14:paraId="57AD7C0E" w14:textId="66D221BF" w:rsidR="00285539" w:rsidRPr="00005694" w:rsidRDefault="00285539" w:rsidP="009A7A62">
      <w:pPr>
        <w:pStyle w:val="ItemHead"/>
        <w:numPr>
          <w:ilvl w:val="0"/>
          <w:numId w:val="27"/>
        </w:numPr>
        <w:rPr>
          <w:lang w:eastAsia="en-US"/>
        </w:rPr>
      </w:pPr>
      <w:r w:rsidRPr="00005694">
        <w:rPr>
          <w:lang w:eastAsia="en-US"/>
        </w:rPr>
        <w:t xml:space="preserve">Subsection 4(1) (definition of </w:t>
      </w:r>
      <w:r w:rsidRPr="00005694">
        <w:rPr>
          <w:i/>
          <w:lang w:eastAsia="en-US"/>
        </w:rPr>
        <w:t>shared care plan</w:t>
      </w:r>
      <w:r w:rsidRPr="00005694">
        <w:rPr>
          <w:lang w:eastAsia="en-US"/>
        </w:rPr>
        <w:t>)</w:t>
      </w:r>
    </w:p>
    <w:p w14:paraId="357CFD0D" w14:textId="77777777" w:rsidR="00285539" w:rsidRPr="00005694" w:rsidRDefault="00285539" w:rsidP="003C63E8">
      <w:pPr>
        <w:pStyle w:val="Item"/>
        <w:ind w:left="567" w:firstLine="567"/>
        <w:rPr>
          <w:lang w:eastAsia="en-US"/>
        </w:rPr>
      </w:pPr>
      <w:r w:rsidRPr="00005694">
        <w:rPr>
          <w:lang w:eastAsia="en-US"/>
        </w:rPr>
        <w:t>Repeal the definition.</w:t>
      </w:r>
    </w:p>
    <w:p w14:paraId="1704BF01" w14:textId="70C269F6" w:rsidR="00285539" w:rsidRPr="00005694" w:rsidRDefault="004C7360" w:rsidP="009A7A62">
      <w:pPr>
        <w:pStyle w:val="ItemHead"/>
        <w:numPr>
          <w:ilvl w:val="0"/>
          <w:numId w:val="27"/>
        </w:numPr>
        <w:rPr>
          <w:lang w:eastAsia="en-US"/>
        </w:rPr>
      </w:pPr>
      <w:r w:rsidRPr="00005694">
        <w:rPr>
          <w:lang w:eastAsia="en-US"/>
        </w:rPr>
        <w:t>Subsection 7(5)</w:t>
      </w:r>
    </w:p>
    <w:p w14:paraId="6D67FA40" w14:textId="7FAA86FF" w:rsidR="004C7360" w:rsidRPr="00005694" w:rsidRDefault="004C7360" w:rsidP="003C63E8">
      <w:pPr>
        <w:pStyle w:val="Item"/>
        <w:ind w:left="567" w:firstLine="567"/>
        <w:rPr>
          <w:lang w:eastAsia="en-US"/>
        </w:rPr>
      </w:pPr>
      <w:r w:rsidRPr="00005694">
        <w:rPr>
          <w:lang w:eastAsia="en-US"/>
        </w:rPr>
        <w:t>Repeal the subsection.</w:t>
      </w:r>
    </w:p>
    <w:p w14:paraId="4C09D9E6" w14:textId="34E90102" w:rsidR="004C7360" w:rsidRPr="00005694" w:rsidRDefault="004C7360" w:rsidP="009A7A62">
      <w:pPr>
        <w:pStyle w:val="ItemHead"/>
        <w:numPr>
          <w:ilvl w:val="0"/>
          <w:numId w:val="27"/>
        </w:numPr>
        <w:rPr>
          <w:lang w:eastAsia="en-US"/>
        </w:rPr>
      </w:pPr>
      <w:r w:rsidRPr="00005694">
        <w:rPr>
          <w:lang w:eastAsia="en-US"/>
        </w:rPr>
        <w:t>Section 9B</w:t>
      </w:r>
    </w:p>
    <w:p w14:paraId="69D86FDB" w14:textId="0CB55B67" w:rsidR="004C7360" w:rsidRPr="00005694" w:rsidRDefault="004C7360" w:rsidP="003C63E8">
      <w:pPr>
        <w:pStyle w:val="Item"/>
        <w:ind w:left="567" w:firstLine="567"/>
        <w:rPr>
          <w:lang w:eastAsia="en-US"/>
        </w:rPr>
      </w:pPr>
      <w:r w:rsidRPr="00005694">
        <w:rPr>
          <w:lang w:eastAsia="en-US"/>
        </w:rPr>
        <w:t>Repeal the Section.</w:t>
      </w:r>
    </w:p>
    <w:p w14:paraId="1F6C2E9B" w14:textId="3572CA6A" w:rsidR="004C7360" w:rsidRPr="00005694" w:rsidRDefault="00356EF3" w:rsidP="009A7A62">
      <w:pPr>
        <w:pStyle w:val="ItemHead"/>
        <w:numPr>
          <w:ilvl w:val="0"/>
          <w:numId w:val="27"/>
        </w:numPr>
        <w:rPr>
          <w:lang w:eastAsia="en-US"/>
        </w:rPr>
      </w:pPr>
      <w:r w:rsidRPr="00005694">
        <w:rPr>
          <w:lang w:eastAsia="en-US"/>
        </w:rPr>
        <w:t xml:space="preserve">Part 1 of </w:t>
      </w:r>
      <w:r w:rsidR="004C7360" w:rsidRPr="00005694">
        <w:rPr>
          <w:lang w:eastAsia="en-US"/>
        </w:rPr>
        <w:t>Schedule 2</w:t>
      </w:r>
      <w:r w:rsidRPr="00005694">
        <w:rPr>
          <w:lang w:eastAsia="en-US"/>
        </w:rPr>
        <w:t xml:space="preserve"> (items 10950 to 10970, subparagraph </w:t>
      </w:r>
      <w:r w:rsidR="00D47ADC" w:rsidRPr="00005694">
        <w:rPr>
          <w:lang w:eastAsia="en-US"/>
        </w:rPr>
        <w:t>(a)</w:t>
      </w:r>
      <w:r w:rsidRPr="00005694">
        <w:rPr>
          <w:lang w:eastAsia="en-US"/>
        </w:rPr>
        <w:t>(ii))</w:t>
      </w:r>
    </w:p>
    <w:p w14:paraId="5D9A4457" w14:textId="28A292B4" w:rsidR="00356EF3" w:rsidRPr="00005694" w:rsidRDefault="00356EF3" w:rsidP="003C63E8">
      <w:pPr>
        <w:pStyle w:val="Item"/>
        <w:ind w:left="1134"/>
        <w:rPr>
          <w:lang w:eastAsia="en-US"/>
        </w:rPr>
      </w:pPr>
      <w:r w:rsidRPr="00005694">
        <w:rPr>
          <w:lang w:eastAsia="en-US"/>
        </w:rPr>
        <w:t>Omit “under a shared care plan or”.</w:t>
      </w:r>
    </w:p>
    <w:p w14:paraId="7FE2C10E" w14:textId="64883A3A" w:rsidR="00356EF3" w:rsidRPr="00005694" w:rsidRDefault="00356EF3" w:rsidP="009A7A62">
      <w:pPr>
        <w:pStyle w:val="ItemHead"/>
        <w:numPr>
          <w:ilvl w:val="0"/>
          <w:numId w:val="27"/>
        </w:numPr>
        <w:rPr>
          <w:lang w:eastAsia="en-US"/>
        </w:rPr>
      </w:pPr>
      <w:r w:rsidRPr="00005694">
        <w:rPr>
          <w:lang w:eastAsia="en-US"/>
        </w:rPr>
        <w:t xml:space="preserve">Part 1 of </w:t>
      </w:r>
      <w:r w:rsidR="00AE73B5" w:rsidRPr="00005694">
        <w:rPr>
          <w:lang w:eastAsia="en-US"/>
        </w:rPr>
        <w:t>Schedule 2 (</w:t>
      </w:r>
      <w:r w:rsidRPr="00005694">
        <w:rPr>
          <w:lang w:eastAsia="en-US"/>
        </w:rPr>
        <w:t>items 10950 to 10970, paragraph (b))</w:t>
      </w:r>
    </w:p>
    <w:p w14:paraId="50E070BF" w14:textId="377BBEB9" w:rsidR="00356EF3" w:rsidRPr="00005694" w:rsidRDefault="00356EF3" w:rsidP="003C63E8">
      <w:pPr>
        <w:pStyle w:val="Item"/>
        <w:ind w:left="567" w:firstLine="567"/>
        <w:rPr>
          <w:lang w:eastAsia="en-US"/>
        </w:rPr>
      </w:pPr>
      <w:r w:rsidRPr="00005694">
        <w:rPr>
          <w:lang w:eastAsia="en-US"/>
        </w:rPr>
        <w:t>Omit “or shared care plan”.</w:t>
      </w:r>
    </w:p>
    <w:p w14:paraId="774D4B73" w14:textId="5D89C284" w:rsidR="00D47ADC" w:rsidRPr="00005694" w:rsidRDefault="00D47ADC" w:rsidP="009A7A62">
      <w:pPr>
        <w:pStyle w:val="ItemHead"/>
        <w:numPr>
          <w:ilvl w:val="0"/>
          <w:numId w:val="27"/>
        </w:numPr>
        <w:rPr>
          <w:lang w:eastAsia="en-US"/>
        </w:rPr>
      </w:pPr>
      <w:r w:rsidRPr="00005694">
        <w:rPr>
          <w:lang w:eastAsia="en-US"/>
        </w:rPr>
        <w:t>Part 2 of Schedule 2 (items 80000, 80001, 80010, 80011, 80020, 80021, 80100, 80101, 80110, 80111, 80120, 80121, 80125, 80126, 80135, 80136, 80145, 80146, 80150</w:t>
      </w:r>
      <w:r w:rsidR="00F7240C" w:rsidRPr="00005694">
        <w:rPr>
          <w:lang w:eastAsia="en-US"/>
        </w:rPr>
        <w:t>, 80151, 80160, 80161, 80170 and 80171</w:t>
      </w:r>
      <w:r w:rsidRPr="00005694">
        <w:rPr>
          <w:lang w:eastAsia="en-US"/>
        </w:rPr>
        <w:t>, subparagraph (a)(ii))</w:t>
      </w:r>
    </w:p>
    <w:p w14:paraId="49CC44A3" w14:textId="0F3D83E4" w:rsidR="00D47ADC" w:rsidRPr="00005694" w:rsidRDefault="00D47ADC" w:rsidP="003C63E8">
      <w:pPr>
        <w:pStyle w:val="Item"/>
        <w:ind w:left="567" w:firstLine="567"/>
        <w:rPr>
          <w:lang w:eastAsia="en-US"/>
        </w:rPr>
      </w:pPr>
      <w:r w:rsidRPr="00005694">
        <w:rPr>
          <w:lang w:eastAsia="en-US"/>
        </w:rPr>
        <w:t>Omit “as part of a shared care plan or”.</w:t>
      </w:r>
    </w:p>
    <w:p w14:paraId="45F98DA8" w14:textId="6785BEBB" w:rsidR="00D47ADC" w:rsidRPr="00005694" w:rsidRDefault="00BE057E" w:rsidP="009A7A62">
      <w:pPr>
        <w:pStyle w:val="ItemHead"/>
        <w:numPr>
          <w:ilvl w:val="0"/>
          <w:numId w:val="27"/>
        </w:numPr>
        <w:rPr>
          <w:lang w:eastAsia="en-US"/>
        </w:rPr>
      </w:pPr>
      <w:r w:rsidRPr="00005694">
        <w:rPr>
          <w:lang w:eastAsia="en-US"/>
        </w:rPr>
        <w:t>Part 4 of Schedule 2 (items 81100, 81110 and 81120</w:t>
      </w:r>
      <w:r w:rsidR="00AE73B5" w:rsidRPr="00005694">
        <w:rPr>
          <w:lang w:eastAsia="en-US"/>
        </w:rPr>
        <w:t xml:space="preserve">, </w:t>
      </w:r>
      <w:r w:rsidRPr="00005694">
        <w:rPr>
          <w:lang w:eastAsia="en-US"/>
        </w:rPr>
        <w:t>paragraph (b))</w:t>
      </w:r>
    </w:p>
    <w:p w14:paraId="111E95BA" w14:textId="29C1F85D" w:rsidR="00BE057E" w:rsidRPr="00005694" w:rsidRDefault="00BE057E" w:rsidP="003C63E8">
      <w:pPr>
        <w:pStyle w:val="Item"/>
        <w:ind w:left="567" w:firstLine="567"/>
        <w:rPr>
          <w:lang w:eastAsia="en-US"/>
        </w:rPr>
      </w:pPr>
      <w:r w:rsidRPr="00005694">
        <w:rPr>
          <w:lang w:eastAsia="en-US"/>
        </w:rPr>
        <w:t>Omit “a shared care plan or”.</w:t>
      </w:r>
    </w:p>
    <w:p w14:paraId="1161C694" w14:textId="11FE12A2" w:rsidR="00BE057E" w:rsidRPr="00005694" w:rsidRDefault="00AE73B5" w:rsidP="009A7A62">
      <w:pPr>
        <w:pStyle w:val="ItemHead"/>
        <w:numPr>
          <w:ilvl w:val="0"/>
          <w:numId w:val="27"/>
        </w:numPr>
        <w:rPr>
          <w:lang w:eastAsia="en-US"/>
        </w:rPr>
      </w:pPr>
      <w:r w:rsidRPr="00005694">
        <w:rPr>
          <w:lang w:eastAsia="en-US"/>
        </w:rPr>
        <w:t>Part 6 of Schedule 2 (</w:t>
      </w:r>
      <w:r w:rsidR="00BE057E" w:rsidRPr="00005694">
        <w:rPr>
          <w:lang w:eastAsia="en-US"/>
        </w:rPr>
        <w:t>items 81300 to 81360</w:t>
      </w:r>
      <w:r w:rsidRPr="00005694">
        <w:rPr>
          <w:lang w:eastAsia="en-US"/>
        </w:rPr>
        <w:t>, paragraph (a)</w:t>
      </w:r>
      <w:r w:rsidR="00BE057E" w:rsidRPr="00005694">
        <w:rPr>
          <w:lang w:eastAsia="en-US"/>
        </w:rPr>
        <w:t>)</w:t>
      </w:r>
    </w:p>
    <w:p w14:paraId="33FD8979" w14:textId="77777777" w:rsidR="00AE73B5" w:rsidRPr="00005694" w:rsidRDefault="00AE73B5" w:rsidP="00AE73B5">
      <w:pPr>
        <w:shd w:val="clear" w:color="auto" w:fill="FFFFFF"/>
        <w:spacing w:after="60" w:line="240" w:lineRule="atLeast"/>
        <w:ind w:left="1327" w:hanging="136"/>
        <w:rPr>
          <w:rFonts w:eastAsia="Times New Roman" w:cs="Times New Roman"/>
          <w:color w:val="000000"/>
          <w:szCs w:val="22"/>
          <w:lang w:eastAsia="en-AU"/>
        </w:rPr>
      </w:pPr>
      <w:r w:rsidRPr="00005694">
        <w:t xml:space="preserve">Repeal the paragraph, substitute: </w:t>
      </w:r>
      <w:r w:rsidRPr="00005694">
        <w:rPr>
          <w:rFonts w:eastAsia="Times New Roman" w:cs="Times New Roman"/>
          <w:color w:val="000000"/>
          <w:szCs w:val="22"/>
          <w:lang w:eastAsia="en-AU"/>
        </w:rPr>
        <w:t> </w:t>
      </w:r>
    </w:p>
    <w:p w14:paraId="37EC53B8" w14:textId="38F9CE11" w:rsidR="00AE73B5" w:rsidRPr="00005694" w:rsidRDefault="00AE73B5" w:rsidP="00AE73B5">
      <w:pPr>
        <w:shd w:val="clear" w:color="auto" w:fill="FFFFFF"/>
        <w:spacing w:after="60" w:line="240" w:lineRule="atLeast"/>
        <w:ind w:left="1724" w:hanging="533"/>
        <w:rPr>
          <w:rFonts w:eastAsia="Times New Roman" w:cs="Times New Roman"/>
          <w:color w:val="000000"/>
          <w:szCs w:val="22"/>
          <w:lang w:eastAsia="en-AU"/>
        </w:rPr>
      </w:pPr>
      <w:r w:rsidRPr="00005694">
        <w:rPr>
          <w:rFonts w:eastAsia="Times New Roman" w:cs="Times New Roman"/>
          <w:color w:val="000000"/>
          <w:szCs w:val="22"/>
          <w:lang w:eastAsia="en-AU"/>
        </w:rPr>
        <w:t>(a)  a medical practitioner has undertaken a health assessment and identified a need for follow</w:t>
      </w:r>
      <w:r w:rsidRPr="00005694">
        <w:rPr>
          <w:rFonts w:eastAsia="Times New Roman" w:cs="Times New Roman"/>
          <w:color w:val="000000"/>
          <w:szCs w:val="22"/>
          <w:lang w:eastAsia="en-AU"/>
        </w:rPr>
        <w:noBreakHyphen/>
        <w:t>up allied health services; and</w:t>
      </w:r>
    </w:p>
    <w:p w14:paraId="5C5CE141" w14:textId="1C8763CF" w:rsidR="000C51C5" w:rsidRPr="00005694" w:rsidRDefault="000C51C5" w:rsidP="000C51C5">
      <w:pPr>
        <w:pStyle w:val="ItemHead"/>
        <w:ind w:left="0" w:firstLine="0"/>
        <w:rPr>
          <w:lang w:eastAsia="en-US"/>
        </w:rPr>
      </w:pPr>
      <w:r w:rsidRPr="00005694">
        <w:rPr>
          <w:i/>
          <w:lang w:eastAsia="en-US"/>
        </w:rPr>
        <w:t>Health Insurance (Section 3C General Medical Services - COVID-19 Telehealth and Telephone Attendances) Determination 2020</w:t>
      </w:r>
    </w:p>
    <w:p w14:paraId="331BE555" w14:textId="77777777" w:rsidR="00DB14BB" w:rsidRPr="00005694" w:rsidRDefault="00DB14BB" w:rsidP="009A7A62">
      <w:pPr>
        <w:pStyle w:val="ItemHead"/>
        <w:numPr>
          <w:ilvl w:val="0"/>
          <w:numId w:val="27"/>
        </w:numPr>
        <w:rPr>
          <w:lang w:eastAsia="en-US"/>
        </w:rPr>
      </w:pPr>
      <w:r w:rsidRPr="00005694">
        <w:rPr>
          <w:lang w:eastAsia="en-US"/>
        </w:rPr>
        <w:t xml:space="preserve">Subsection 5(1) (definition of </w:t>
      </w:r>
      <w:r w:rsidRPr="00005694">
        <w:rPr>
          <w:i/>
          <w:lang w:eastAsia="en-US"/>
        </w:rPr>
        <w:t>shared care plan</w:t>
      </w:r>
      <w:r w:rsidRPr="00005694">
        <w:rPr>
          <w:lang w:eastAsia="en-US"/>
        </w:rPr>
        <w:t>)</w:t>
      </w:r>
    </w:p>
    <w:p w14:paraId="2A036345" w14:textId="6EA4BFB6" w:rsidR="00DB14BB" w:rsidRPr="00005694" w:rsidRDefault="00DB14BB" w:rsidP="00DB14BB">
      <w:pPr>
        <w:pStyle w:val="ItemHead"/>
        <w:ind w:left="1106" w:firstLine="85"/>
        <w:rPr>
          <w:lang w:eastAsia="en-US"/>
        </w:rPr>
      </w:pPr>
      <w:r w:rsidRPr="00005694">
        <w:rPr>
          <w:rFonts w:ascii="Times New Roman" w:hAnsi="Times New Roman"/>
          <w:b w:val="0"/>
          <w:sz w:val="22"/>
          <w:szCs w:val="22"/>
          <w:lang w:eastAsia="en-US"/>
        </w:rPr>
        <w:t>Repeal the definition.</w:t>
      </w:r>
    </w:p>
    <w:p w14:paraId="07859BA1" w14:textId="27FE2DE6" w:rsidR="00AE73B5" w:rsidRPr="00005694" w:rsidRDefault="00053D33" w:rsidP="009A7A62">
      <w:pPr>
        <w:pStyle w:val="ItemHead"/>
        <w:numPr>
          <w:ilvl w:val="0"/>
          <w:numId w:val="27"/>
        </w:numPr>
        <w:rPr>
          <w:lang w:eastAsia="en-US"/>
        </w:rPr>
      </w:pPr>
      <w:r w:rsidRPr="00005694">
        <w:rPr>
          <w:lang w:eastAsia="en-US"/>
        </w:rPr>
        <w:t>Paragraphs 3.1.5(1)(c) to (d)</w:t>
      </w:r>
    </w:p>
    <w:p w14:paraId="63979EDD" w14:textId="30AC3F83" w:rsidR="00AE73B5" w:rsidRPr="00005694" w:rsidRDefault="00AE73B5" w:rsidP="00AE73B5">
      <w:pPr>
        <w:pStyle w:val="Item"/>
        <w:ind w:left="1191"/>
        <w:rPr>
          <w:color w:val="000000"/>
          <w:szCs w:val="22"/>
          <w:shd w:val="clear" w:color="auto" w:fill="FFFFFF"/>
        </w:rPr>
      </w:pPr>
      <w:r w:rsidRPr="00005694">
        <w:rPr>
          <w:lang w:eastAsia="en-US"/>
        </w:rPr>
        <w:t>Repeal the paragraph</w:t>
      </w:r>
      <w:r w:rsidR="00053D33" w:rsidRPr="00005694">
        <w:rPr>
          <w:lang w:eastAsia="en-US"/>
        </w:rPr>
        <w:t>s</w:t>
      </w:r>
      <w:r w:rsidRPr="00005694">
        <w:rPr>
          <w:lang w:eastAsia="en-US"/>
        </w:rPr>
        <w:t>, substitute:</w:t>
      </w:r>
      <w:r w:rsidRPr="00005694">
        <w:rPr>
          <w:color w:val="000000"/>
          <w:szCs w:val="22"/>
          <w:shd w:val="clear" w:color="auto" w:fill="FFFFFF"/>
        </w:rPr>
        <w:t xml:space="preserve"> </w:t>
      </w:r>
    </w:p>
    <w:p w14:paraId="5E3C6AC6" w14:textId="751131AE" w:rsidR="00AE73B5" w:rsidRPr="00005694" w:rsidRDefault="00AE73B5" w:rsidP="00AE73B5">
      <w:pPr>
        <w:pStyle w:val="Item"/>
        <w:ind w:left="1588" w:hanging="397"/>
        <w:rPr>
          <w:lang w:eastAsia="en-US"/>
        </w:rPr>
      </w:pPr>
      <w:r w:rsidRPr="00005694">
        <w:rPr>
          <w:color w:val="000000"/>
          <w:szCs w:val="22"/>
          <w:shd w:val="clear" w:color="auto" w:fill="FFFFFF"/>
        </w:rPr>
        <w:t>(c)  the referral by a specialist in the practice of their</w:t>
      </w:r>
      <w:r w:rsidR="00E31E94" w:rsidRPr="00005694">
        <w:rPr>
          <w:color w:val="000000"/>
          <w:szCs w:val="22"/>
          <w:shd w:val="clear" w:color="auto" w:fill="FFFFFF"/>
        </w:rPr>
        <w:t xml:space="preserve"> </w:t>
      </w:r>
      <w:r w:rsidRPr="00005694">
        <w:rPr>
          <w:color w:val="000000"/>
          <w:szCs w:val="22"/>
          <w:shd w:val="clear" w:color="auto" w:fill="FFFFFF"/>
        </w:rPr>
        <w:t>field of psychiatry or paediatrics must be a referral for a service to which any of items 104 to 109 of the general medical services table or items 91822, 91823, 91832 or 91833 applies.</w:t>
      </w:r>
    </w:p>
    <w:p w14:paraId="1E24F8EC" w14:textId="1A583EC6" w:rsidR="00936760" w:rsidRPr="00005694" w:rsidRDefault="00936760" w:rsidP="009A7A62">
      <w:pPr>
        <w:pStyle w:val="ItemHead"/>
        <w:numPr>
          <w:ilvl w:val="0"/>
          <w:numId w:val="27"/>
        </w:numPr>
        <w:rPr>
          <w:lang w:eastAsia="en-US"/>
        </w:rPr>
      </w:pPr>
      <w:r w:rsidRPr="00005694">
        <w:rPr>
          <w:lang w:eastAsia="en-US"/>
        </w:rPr>
        <w:lastRenderedPageBreak/>
        <w:t>Schedu</w:t>
      </w:r>
      <w:r w:rsidR="00A234B9" w:rsidRPr="00005694">
        <w:rPr>
          <w:lang w:eastAsia="en-US"/>
        </w:rPr>
        <w:t>le 3 (items 91166 to 91188</w:t>
      </w:r>
      <w:r w:rsidRPr="00005694">
        <w:rPr>
          <w:lang w:eastAsia="en-US"/>
        </w:rPr>
        <w:t>, subparagraph (a)(ii))</w:t>
      </w:r>
    </w:p>
    <w:p w14:paraId="03B416C9" w14:textId="1A1A2CE7" w:rsidR="00936760" w:rsidRPr="00005694" w:rsidRDefault="00936760" w:rsidP="003C63E8">
      <w:pPr>
        <w:pStyle w:val="Item"/>
        <w:ind w:left="567" w:firstLine="567"/>
        <w:rPr>
          <w:lang w:eastAsia="en-US"/>
        </w:rPr>
      </w:pPr>
      <w:r w:rsidRPr="00005694">
        <w:rPr>
          <w:lang w:eastAsia="en-US"/>
        </w:rPr>
        <w:t>Omit “</w:t>
      </w:r>
      <w:r w:rsidR="00A234B9" w:rsidRPr="00005694">
        <w:rPr>
          <w:lang w:eastAsia="en-US"/>
        </w:rPr>
        <w:t xml:space="preserve">, </w:t>
      </w:r>
      <w:r w:rsidR="00A234B9" w:rsidRPr="00005694">
        <w:rPr>
          <w:color w:val="000000"/>
          <w:sz w:val="20"/>
          <w:shd w:val="clear" w:color="auto" w:fill="FFFFFF"/>
        </w:rPr>
        <w:t>or as part of a shared care plan</w:t>
      </w:r>
      <w:r w:rsidRPr="00005694">
        <w:rPr>
          <w:lang w:eastAsia="en-US"/>
        </w:rPr>
        <w:t>”.</w:t>
      </w:r>
    </w:p>
    <w:p w14:paraId="1AAF1122" w14:textId="02415CF8" w:rsidR="00936760" w:rsidRPr="00005694" w:rsidRDefault="007D0217" w:rsidP="009A7A62">
      <w:pPr>
        <w:pStyle w:val="ItemHead"/>
        <w:numPr>
          <w:ilvl w:val="0"/>
          <w:numId w:val="27"/>
        </w:numPr>
        <w:rPr>
          <w:lang w:eastAsia="en-US"/>
        </w:rPr>
      </w:pPr>
      <w:r w:rsidRPr="00005694">
        <w:rPr>
          <w:lang w:eastAsia="en-US"/>
        </w:rPr>
        <w:t>Schedule 3 (</w:t>
      </w:r>
      <w:r w:rsidR="00936760" w:rsidRPr="00005694">
        <w:rPr>
          <w:lang w:eastAsia="en-US"/>
        </w:rPr>
        <w:t>items 93000 and 93013, paragraph</w:t>
      </w:r>
      <w:r w:rsidRPr="00005694">
        <w:rPr>
          <w:lang w:eastAsia="en-US"/>
        </w:rPr>
        <w:t>s</w:t>
      </w:r>
      <w:r w:rsidR="00936760" w:rsidRPr="00005694">
        <w:rPr>
          <w:lang w:eastAsia="en-US"/>
        </w:rPr>
        <w:t xml:space="preserve"> </w:t>
      </w:r>
      <w:r w:rsidR="00A67FEB" w:rsidRPr="00005694">
        <w:rPr>
          <w:lang w:eastAsia="en-US"/>
        </w:rPr>
        <w:t>(a) to</w:t>
      </w:r>
      <w:r w:rsidRPr="00005694">
        <w:rPr>
          <w:lang w:eastAsia="en-US"/>
        </w:rPr>
        <w:t xml:space="preserve"> </w:t>
      </w:r>
      <w:r w:rsidR="00936760" w:rsidRPr="00005694">
        <w:rPr>
          <w:lang w:eastAsia="en-US"/>
        </w:rPr>
        <w:t>(b))</w:t>
      </w:r>
    </w:p>
    <w:p w14:paraId="22DB7308" w14:textId="77777777" w:rsidR="007D0217" w:rsidRPr="00005694" w:rsidRDefault="007D0217" w:rsidP="007D0217">
      <w:pPr>
        <w:shd w:val="clear" w:color="auto" w:fill="FFFFFF"/>
        <w:spacing w:after="60" w:line="240" w:lineRule="atLeast"/>
        <w:ind w:left="930" w:firstLine="261"/>
        <w:rPr>
          <w:rFonts w:eastAsia="Times New Roman" w:cs="Times New Roman"/>
          <w:color w:val="000000"/>
          <w:sz w:val="20"/>
          <w:lang w:eastAsia="en-AU"/>
        </w:rPr>
      </w:pPr>
      <w:r w:rsidRPr="00005694">
        <w:t xml:space="preserve">Repeal the paragraphs, substitute: </w:t>
      </w:r>
      <w:r w:rsidRPr="00005694">
        <w:rPr>
          <w:rFonts w:eastAsia="Times New Roman" w:cs="Times New Roman"/>
          <w:color w:val="000000"/>
          <w:sz w:val="20"/>
          <w:lang w:eastAsia="en-AU"/>
        </w:rPr>
        <w:t> </w:t>
      </w:r>
    </w:p>
    <w:p w14:paraId="5ECF5D0A" w14:textId="5F5B21A3" w:rsidR="007D0217" w:rsidRPr="00005694" w:rsidRDefault="007D0217" w:rsidP="007D0217">
      <w:pPr>
        <w:shd w:val="clear" w:color="auto" w:fill="FFFFFF"/>
        <w:spacing w:after="60" w:line="240" w:lineRule="atLeast"/>
        <w:ind w:left="1724" w:hanging="533"/>
        <w:rPr>
          <w:rFonts w:eastAsia="Times New Roman" w:cs="Times New Roman"/>
          <w:color w:val="000000"/>
          <w:szCs w:val="22"/>
          <w:lang w:eastAsia="en-AU"/>
        </w:rPr>
      </w:pPr>
      <w:r w:rsidRPr="00005694">
        <w:rPr>
          <w:rFonts w:eastAsia="Times New Roman" w:cs="Times New Roman"/>
          <w:color w:val="000000"/>
          <w:sz w:val="20"/>
          <w:lang w:eastAsia="en-AU"/>
        </w:rPr>
        <w:t>(a)   the service is provided to a person who has:</w:t>
      </w:r>
    </w:p>
    <w:p w14:paraId="54313A73" w14:textId="4C034EF8" w:rsidR="007D0217" w:rsidRPr="00005694" w:rsidRDefault="007D0217" w:rsidP="007D0217">
      <w:pPr>
        <w:shd w:val="clear" w:color="auto" w:fill="FFFFFF"/>
        <w:spacing w:after="60" w:line="240" w:lineRule="atLeast"/>
        <w:ind w:left="2132" w:hanging="533"/>
        <w:rPr>
          <w:rFonts w:eastAsia="Times New Roman" w:cs="Times New Roman"/>
          <w:color w:val="000000"/>
          <w:szCs w:val="22"/>
          <w:lang w:eastAsia="en-AU"/>
        </w:rPr>
      </w:pPr>
      <w:r w:rsidRPr="00005694">
        <w:rPr>
          <w:rFonts w:eastAsia="Times New Roman" w:cs="Times New Roman"/>
          <w:color w:val="000000"/>
          <w:sz w:val="20"/>
          <w:lang w:eastAsia="en-AU"/>
        </w:rPr>
        <w:t>(i)       a chronic condition; and</w:t>
      </w:r>
    </w:p>
    <w:p w14:paraId="7F9C243E" w14:textId="36C69F4A" w:rsidR="007D0217" w:rsidRPr="00005694" w:rsidRDefault="007D0217" w:rsidP="007D0217">
      <w:pPr>
        <w:shd w:val="clear" w:color="auto" w:fill="FFFFFF"/>
        <w:spacing w:after="60" w:line="240" w:lineRule="atLeast"/>
        <w:ind w:left="2132" w:hanging="533"/>
        <w:rPr>
          <w:rFonts w:eastAsia="Times New Roman" w:cs="Times New Roman"/>
          <w:color w:val="000000"/>
          <w:szCs w:val="22"/>
          <w:lang w:eastAsia="en-AU"/>
        </w:rPr>
      </w:pPr>
      <w:r w:rsidRPr="00005694">
        <w:rPr>
          <w:rFonts w:eastAsia="Times New Roman" w:cs="Times New Roman"/>
          <w:color w:val="000000"/>
          <w:sz w:val="20"/>
          <w:lang w:eastAsia="en-AU"/>
        </w:rPr>
        <w:t>(ii)      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6BEA4400" w14:textId="4DC2197B" w:rsidR="00936760" w:rsidRPr="00005694" w:rsidRDefault="007D0217" w:rsidP="007D0217">
      <w:pPr>
        <w:shd w:val="clear" w:color="auto" w:fill="FFFFFF"/>
        <w:spacing w:after="60" w:line="240" w:lineRule="atLeast"/>
        <w:ind w:left="1724" w:hanging="533"/>
        <w:rPr>
          <w:rFonts w:eastAsia="Times New Roman" w:cs="Times New Roman"/>
          <w:color w:val="000000"/>
          <w:szCs w:val="22"/>
          <w:lang w:eastAsia="en-AU"/>
        </w:rPr>
      </w:pPr>
      <w:r w:rsidRPr="00005694">
        <w:rPr>
          <w:rFonts w:eastAsia="Times New Roman" w:cs="Times New Roman"/>
          <w:color w:val="000000"/>
          <w:sz w:val="20"/>
          <w:lang w:eastAsia="en-AU"/>
        </w:rPr>
        <w:t xml:space="preserve">  (b)    the service is recommended in the </w:t>
      </w:r>
      <w:r w:rsidR="00E77748" w:rsidRPr="00005694">
        <w:rPr>
          <w:rFonts w:eastAsia="Times New Roman" w:cs="Times New Roman"/>
          <w:color w:val="000000"/>
          <w:sz w:val="20"/>
          <w:lang w:eastAsia="en-AU"/>
        </w:rPr>
        <w:t>person’s Team Care Arrangements or</w:t>
      </w:r>
      <w:r w:rsidRPr="00005694">
        <w:rPr>
          <w:rFonts w:eastAsia="Times New Roman" w:cs="Times New Roman"/>
          <w:color w:val="000000"/>
          <w:sz w:val="20"/>
          <w:lang w:eastAsia="en-AU"/>
        </w:rPr>
        <w:t xml:space="preserve"> multidisciplinary care plan as part of the management of the person’s chronic condition and complex care needs; and</w:t>
      </w:r>
    </w:p>
    <w:p w14:paraId="74F7944D" w14:textId="24E6A877" w:rsidR="00894E21" w:rsidRPr="00005694" w:rsidRDefault="00A602BD" w:rsidP="009A7A62">
      <w:pPr>
        <w:pStyle w:val="ItemHead"/>
        <w:numPr>
          <w:ilvl w:val="0"/>
          <w:numId w:val="27"/>
        </w:numPr>
        <w:rPr>
          <w:lang w:eastAsia="en-US"/>
        </w:rPr>
      </w:pPr>
      <w:r w:rsidRPr="00005694">
        <w:rPr>
          <w:lang w:eastAsia="en-US"/>
        </w:rPr>
        <w:t>S</w:t>
      </w:r>
      <w:r w:rsidR="00390D21" w:rsidRPr="00005694">
        <w:rPr>
          <w:lang w:eastAsia="en-US"/>
        </w:rPr>
        <w:t>chedule 3 (</w:t>
      </w:r>
      <w:r w:rsidRPr="00005694">
        <w:rPr>
          <w:lang w:eastAsia="en-US"/>
        </w:rPr>
        <w:t>items 93048 an</w:t>
      </w:r>
      <w:r w:rsidR="00390D21" w:rsidRPr="00005694">
        <w:rPr>
          <w:lang w:eastAsia="en-US"/>
        </w:rPr>
        <w:t>d 93061</w:t>
      </w:r>
      <w:r w:rsidRPr="00005694">
        <w:rPr>
          <w:lang w:eastAsia="en-US"/>
        </w:rPr>
        <w:t>, paragraph (a))</w:t>
      </w:r>
    </w:p>
    <w:p w14:paraId="7F8C2CED" w14:textId="655A3C12" w:rsidR="00A602BD" w:rsidRPr="00005694" w:rsidRDefault="00A602BD" w:rsidP="003C63E8">
      <w:pPr>
        <w:pStyle w:val="Item"/>
        <w:ind w:left="567" w:firstLine="567"/>
        <w:rPr>
          <w:lang w:eastAsia="en-US"/>
        </w:rPr>
      </w:pPr>
      <w:r w:rsidRPr="00005694">
        <w:rPr>
          <w:lang w:eastAsia="en-US"/>
        </w:rPr>
        <w:t>Repeal</w:t>
      </w:r>
      <w:r w:rsidR="00FB4429" w:rsidRPr="00005694">
        <w:rPr>
          <w:lang w:eastAsia="en-US"/>
        </w:rPr>
        <w:t xml:space="preserve"> the</w:t>
      </w:r>
      <w:r w:rsidRPr="00005694">
        <w:rPr>
          <w:lang w:eastAsia="en-US"/>
        </w:rPr>
        <w:t xml:space="preserve"> paragraph, substitute:</w:t>
      </w:r>
      <w:r w:rsidRPr="00005694">
        <w:rPr>
          <w:lang w:eastAsia="en-US"/>
        </w:rPr>
        <w:tab/>
      </w:r>
    </w:p>
    <w:p w14:paraId="54372882" w14:textId="7BE83583" w:rsidR="00A602BD" w:rsidRPr="00005694" w:rsidRDefault="00A602BD" w:rsidP="00A602BD">
      <w:pPr>
        <w:pStyle w:val="Item"/>
        <w:numPr>
          <w:ilvl w:val="0"/>
          <w:numId w:val="26"/>
        </w:numPr>
        <w:rPr>
          <w:lang w:eastAsia="en-US"/>
        </w:rPr>
      </w:pPr>
      <w:r w:rsidRPr="00005694">
        <w:rPr>
          <w:lang w:eastAsia="en-US"/>
        </w:rPr>
        <w:t>a medical practitioner has undertaken a health assessment and identified a need for follow-up allied health services; and</w:t>
      </w:r>
    </w:p>
    <w:p w14:paraId="5192DB7B" w14:textId="0CD105F7" w:rsidR="00CC1D61" w:rsidRPr="00005694" w:rsidRDefault="00390D21" w:rsidP="009A7A62">
      <w:pPr>
        <w:pStyle w:val="ItemHead"/>
        <w:numPr>
          <w:ilvl w:val="0"/>
          <w:numId w:val="27"/>
        </w:numPr>
        <w:rPr>
          <w:lang w:eastAsia="en-US"/>
        </w:rPr>
      </w:pPr>
      <w:r w:rsidRPr="00005694">
        <w:rPr>
          <w:lang w:eastAsia="en-US"/>
        </w:rPr>
        <w:t>Schedule 3 (</w:t>
      </w:r>
      <w:r w:rsidR="00CC1D61" w:rsidRPr="00005694">
        <w:rPr>
          <w:lang w:eastAsia="en-US"/>
        </w:rPr>
        <w:t>items 93284 and</w:t>
      </w:r>
      <w:r w:rsidRPr="00005694">
        <w:rPr>
          <w:lang w:eastAsia="en-US"/>
        </w:rPr>
        <w:t xml:space="preserve"> 93286,</w:t>
      </w:r>
      <w:r w:rsidR="00CC1D61" w:rsidRPr="00005694">
        <w:rPr>
          <w:lang w:eastAsia="en-US"/>
        </w:rPr>
        <w:t xml:space="preserve"> paragraph (b))</w:t>
      </w:r>
    </w:p>
    <w:p w14:paraId="1659E8B7" w14:textId="1A6758C3" w:rsidR="00F31DC9" w:rsidRPr="00005694" w:rsidRDefault="00CC1D61" w:rsidP="00993149">
      <w:pPr>
        <w:pStyle w:val="ItemHead"/>
        <w:spacing w:after="240"/>
        <w:ind w:left="567" w:firstLine="567"/>
        <w:rPr>
          <w:lang w:eastAsia="en-US"/>
        </w:rPr>
      </w:pPr>
      <w:r w:rsidRPr="00005694">
        <w:rPr>
          <w:rFonts w:ascii="Times New Roman" w:hAnsi="Times New Roman"/>
          <w:b w:val="0"/>
          <w:sz w:val="22"/>
          <w:lang w:eastAsia="en-US"/>
        </w:rPr>
        <w:t>Omit “a shared care plan or”.</w:t>
      </w:r>
      <w:r w:rsidRPr="00005694">
        <w:rPr>
          <w:lang w:eastAsia="en-US"/>
        </w:rPr>
        <w:t xml:space="preserve"> </w:t>
      </w:r>
    </w:p>
    <w:p w14:paraId="1A4C972D" w14:textId="77777777" w:rsidR="00993149" w:rsidRPr="00005694" w:rsidRDefault="00993149" w:rsidP="00993149">
      <w:pPr>
        <w:pStyle w:val="Item"/>
        <w:spacing w:before="0"/>
        <w:ind w:left="0"/>
        <w:rPr>
          <w:rFonts w:ascii="Arial" w:hAnsi="Arial" w:cs="Arial"/>
          <w:b/>
          <w:iCs/>
          <w:sz w:val="24"/>
        </w:rPr>
      </w:pPr>
      <w:r w:rsidRPr="00005694">
        <w:rPr>
          <w:rFonts w:ascii="Arial" w:hAnsi="Arial" w:cs="Arial"/>
          <w:b/>
          <w:i/>
          <w:iCs/>
          <w:sz w:val="24"/>
        </w:rPr>
        <w:t>Health Insurance (Section 3C General Medical – Expansion of GP and Allied Health Mental Health Services) Determination 2020</w:t>
      </w:r>
    </w:p>
    <w:p w14:paraId="5FFDF001" w14:textId="77777777" w:rsidR="00993149" w:rsidRPr="00005694" w:rsidRDefault="00993149" w:rsidP="00993149">
      <w:pPr>
        <w:pStyle w:val="Item"/>
        <w:spacing w:before="0"/>
        <w:ind w:left="0"/>
        <w:rPr>
          <w:rFonts w:ascii="Arial" w:hAnsi="Arial" w:cs="Arial"/>
          <w:b/>
          <w:iCs/>
          <w:sz w:val="24"/>
        </w:rPr>
      </w:pPr>
    </w:p>
    <w:p w14:paraId="204F6D5F" w14:textId="77777777" w:rsidR="00993149" w:rsidRPr="00005694" w:rsidRDefault="00993149" w:rsidP="00993149">
      <w:pPr>
        <w:pStyle w:val="Item"/>
        <w:numPr>
          <w:ilvl w:val="0"/>
          <w:numId w:val="27"/>
        </w:numPr>
        <w:spacing w:before="0"/>
        <w:rPr>
          <w:rFonts w:ascii="Arial" w:hAnsi="Arial" w:cs="Arial"/>
          <w:b/>
          <w:kern w:val="28"/>
          <w:sz w:val="24"/>
          <w:szCs w:val="24"/>
        </w:rPr>
      </w:pPr>
      <w:r w:rsidRPr="00005694">
        <w:rPr>
          <w:rFonts w:ascii="Arial" w:hAnsi="Arial" w:cs="Arial"/>
          <w:b/>
          <w:sz w:val="24"/>
          <w:szCs w:val="24"/>
        </w:rPr>
        <w:t xml:space="preserve">Subsection 5(1) (definition of </w:t>
      </w:r>
      <w:r w:rsidRPr="00005694">
        <w:rPr>
          <w:rFonts w:ascii="Arial" w:hAnsi="Arial" w:cs="Arial"/>
          <w:b/>
          <w:i/>
          <w:sz w:val="24"/>
          <w:szCs w:val="24"/>
        </w:rPr>
        <w:t>shared care plan</w:t>
      </w:r>
      <w:r w:rsidRPr="00005694">
        <w:rPr>
          <w:rFonts w:ascii="Arial" w:hAnsi="Arial" w:cs="Arial"/>
          <w:b/>
          <w:sz w:val="24"/>
          <w:szCs w:val="24"/>
        </w:rPr>
        <w:t>)</w:t>
      </w:r>
    </w:p>
    <w:p w14:paraId="5D039B19" w14:textId="62AF721C" w:rsidR="00F31DC9" w:rsidRPr="00993149" w:rsidRDefault="00EA13DF" w:rsidP="00993149">
      <w:pPr>
        <w:pStyle w:val="Item"/>
        <w:spacing w:before="0"/>
        <w:ind w:left="1106" w:firstLine="85"/>
        <w:rPr>
          <w:rFonts w:ascii="Arial" w:hAnsi="Arial" w:cs="Arial"/>
          <w:b/>
          <w:kern w:val="28"/>
          <w:sz w:val="24"/>
          <w:szCs w:val="24"/>
        </w:rPr>
      </w:pPr>
      <w:r w:rsidRPr="00005694">
        <w:rPr>
          <w:szCs w:val="22"/>
        </w:rPr>
        <w:t>Repeal the definition.</w:t>
      </w:r>
      <w:bookmarkStart w:id="9" w:name="_GoBack"/>
      <w:bookmarkEnd w:id="9"/>
    </w:p>
    <w:sectPr w:rsidR="00F31DC9" w:rsidRPr="00993149"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A234B9" w:rsidRDefault="00A234B9" w:rsidP="00715914">
      <w:pPr>
        <w:spacing w:line="240" w:lineRule="auto"/>
      </w:pPr>
      <w:r>
        <w:separator/>
      </w:r>
    </w:p>
  </w:endnote>
  <w:endnote w:type="continuationSeparator" w:id="0">
    <w:p w14:paraId="00C8CF1A" w14:textId="77777777" w:rsidR="00A234B9" w:rsidRDefault="00A234B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A234B9" w:rsidRPr="00E33C1C" w:rsidRDefault="00A234B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234B9" w14:paraId="7A9C1507" w14:textId="77777777" w:rsidTr="00B33709">
      <w:tc>
        <w:tcPr>
          <w:tcW w:w="709" w:type="dxa"/>
          <w:tcBorders>
            <w:top w:val="nil"/>
            <w:left w:val="nil"/>
            <w:bottom w:val="nil"/>
            <w:right w:val="nil"/>
          </w:tcBorders>
        </w:tcPr>
        <w:p w14:paraId="72FF7035" w14:textId="77777777" w:rsidR="00A234B9" w:rsidRDefault="00A234B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28D46EC7" w:rsidR="00A234B9" w:rsidRPr="004E1307" w:rsidRDefault="00A234B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General Medical Services – Expansion of Better Access and Consequential Changes) Determination 2021</w:t>
          </w:r>
          <w:r w:rsidRPr="004E1307">
            <w:rPr>
              <w:i/>
              <w:sz w:val="18"/>
            </w:rPr>
            <w:fldChar w:fldCharType="end"/>
          </w:r>
        </w:p>
      </w:tc>
      <w:tc>
        <w:tcPr>
          <w:tcW w:w="1383" w:type="dxa"/>
          <w:tcBorders>
            <w:top w:val="nil"/>
            <w:left w:val="nil"/>
            <w:bottom w:val="nil"/>
            <w:right w:val="nil"/>
          </w:tcBorders>
        </w:tcPr>
        <w:p w14:paraId="7963896D" w14:textId="77777777" w:rsidR="00A234B9" w:rsidRDefault="00A234B9" w:rsidP="00A369E3">
          <w:pPr>
            <w:spacing w:line="0" w:lineRule="atLeast"/>
            <w:jc w:val="right"/>
            <w:rPr>
              <w:sz w:val="18"/>
            </w:rPr>
          </w:pPr>
        </w:p>
      </w:tc>
    </w:tr>
    <w:tr w:rsidR="00A234B9"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A234B9" w:rsidRDefault="00A234B9" w:rsidP="00A369E3">
          <w:pPr>
            <w:jc w:val="right"/>
            <w:rPr>
              <w:sz w:val="18"/>
            </w:rPr>
          </w:pPr>
        </w:p>
      </w:tc>
    </w:tr>
  </w:tbl>
  <w:p w14:paraId="41BC7DA5" w14:textId="77777777" w:rsidR="00A234B9" w:rsidRPr="00ED79B6" w:rsidRDefault="00A234B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A234B9" w:rsidRPr="00E33C1C" w:rsidRDefault="00A234B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234B9" w14:paraId="547D1AC2" w14:textId="77777777" w:rsidTr="00A369E3">
      <w:tc>
        <w:tcPr>
          <w:tcW w:w="1384" w:type="dxa"/>
          <w:tcBorders>
            <w:top w:val="nil"/>
            <w:left w:val="nil"/>
            <w:bottom w:val="nil"/>
            <w:right w:val="nil"/>
          </w:tcBorders>
        </w:tcPr>
        <w:p w14:paraId="5588C78E" w14:textId="77777777" w:rsidR="00A234B9" w:rsidRDefault="00A234B9" w:rsidP="00A369E3">
          <w:pPr>
            <w:spacing w:line="0" w:lineRule="atLeast"/>
            <w:rPr>
              <w:sz w:val="18"/>
            </w:rPr>
          </w:pPr>
        </w:p>
      </w:tc>
      <w:tc>
        <w:tcPr>
          <w:tcW w:w="6379" w:type="dxa"/>
          <w:tcBorders>
            <w:top w:val="nil"/>
            <w:left w:val="nil"/>
            <w:bottom w:val="nil"/>
            <w:right w:val="nil"/>
          </w:tcBorders>
        </w:tcPr>
        <w:p w14:paraId="7B5C635B" w14:textId="44826AE1" w:rsidR="00A234B9" w:rsidRDefault="00A234B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General Medical Services – Expansion of Better Access and Consequential Changes) Determination 2021</w:t>
          </w:r>
          <w:r w:rsidRPr="004E1307">
            <w:rPr>
              <w:i/>
              <w:sz w:val="18"/>
            </w:rPr>
            <w:fldChar w:fldCharType="end"/>
          </w:r>
        </w:p>
      </w:tc>
      <w:tc>
        <w:tcPr>
          <w:tcW w:w="709" w:type="dxa"/>
          <w:tcBorders>
            <w:top w:val="nil"/>
            <w:left w:val="nil"/>
            <w:bottom w:val="nil"/>
            <w:right w:val="nil"/>
          </w:tcBorders>
        </w:tcPr>
        <w:p w14:paraId="225C92EC" w14:textId="77777777" w:rsidR="00A234B9" w:rsidRDefault="00A234B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234B9"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A234B9" w:rsidRDefault="00A234B9" w:rsidP="00A369E3">
          <w:pPr>
            <w:rPr>
              <w:sz w:val="18"/>
            </w:rPr>
          </w:pPr>
        </w:p>
      </w:tc>
    </w:tr>
  </w:tbl>
  <w:p w14:paraId="1B991271" w14:textId="77777777" w:rsidR="00A234B9" w:rsidRPr="00ED79B6" w:rsidRDefault="00A234B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A234B9" w:rsidRPr="00E33C1C" w:rsidRDefault="00A234B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234B9" w14:paraId="684E4D14" w14:textId="77777777" w:rsidTr="00B33709">
      <w:tc>
        <w:tcPr>
          <w:tcW w:w="1384" w:type="dxa"/>
          <w:tcBorders>
            <w:top w:val="nil"/>
            <w:left w:val="nil"/>
            <w:bottom w:val="nil"/>
            <w:right w:val="nil"/>
          </w:tcBorders>
        </w:tcPr>
        <w:p w14:paraId="5AB80F97" w14:textId="77777777" w:rsidR="00A234B9" w:rsidRDefault="00A234B9" w:rsidP="00A369E3">
          <w:pPr>
            <w:spacing w:line="0" w:lineRule="atLeast"/>
            <w:rPr>
              <w:sz w:val="18"/>
            </w:rPr>
          </w:pPr>
        </w:p>
      </w:tc>
      <w:tc>
        <w:tcPr>
          <w:tcW w:w="6379" w:type="dxa"/>
          <w:tcBorders>
            <w:top w:val="nil"/>
            <w:left w:val="nil"/>
            <w:bottom w:val="nil"/>
            <w:right w:val="nil"/>
          </w:tcBorders>
        </w:tcPr>
        <w:p w14:paraId="623B055F" w14:textId="77777777" w:rsidR="00A234B9" w:rsidRDefault="00A234B9" w:rsidP="00A369E3">
          <w:pPr>
            <w:spacing w:line="0" w:lineRule="atLeast"/>
            <w:jc w:val="center"/>
            <w:rPr>
              <w:sz w:val="18"/>
            </w:rPr>
          </w:pPr>
        </w:p>
      </w:tc>
      <w:tc>
        <w:tcPr>
          <w:tcW w:w="709" w:type="dxa"/>
          <w:tcBorders>
            <w:top w:val="nil"/>
            <w:left w:val="nil"/>
            <w:bottom w:val="nil"/>
            <w:right w:val="nil"/>
          </w:tcBorders>
        </w:tcPr>
        <w:p w14:paraId="0D49EE79" w14:textId="77777777" w:rsidR="00A234B9" w:rsidRDefault="00A234B9" w:rsidP="00A369E3">
          <w:pPr>
            <w:spacing w:line="0" w:lineRule="atLeast"/>
            <w:jc w:val="right"/>
            <w:rPr>
              <w:sz w:val="18"/>
            </w:rPr>
          </w:pPr>
        </w:p>
      </w:tc>
    </w:tr>
  </w:tbl>
  <w:p w14:paraId="1EEFF027" w14:textId="77777777" w:rsidR="00A234B9" w:rsidRPr="00ED79B6" w:rsidRDefault="00A234B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A234B9" w:rsidRPr="002B0EA5" w:rsidRDefault="00A234B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234B9" w14:paraId="3C05DE38" w14:textId="77777777" w:rsidTr="000E05F9">
      <w:tc>
        <w:tcPr>
          <w:tcW w:w="365" w:type="pct"/>
        </w:tcPr>
        <w:p w14:paraId="66C24B85" w14:textId="77777777" w:rsidR="00A234B9" w:rsidRDefault="00A234B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0B693B64" w:rsidR="00A234B9" w:rsidRDefault="00A234B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Legislation Amendment (Section 3C General Medical Services – Expansion of Better Access and Consequential Changes) Determination 2021</w:t>
          </w:r>
          <w:r w:rsidRPr="004E1307">
            <w:rPr>
              <w:i/>
              <w:sz w:val="18"/>
            </w:rPr>
            <w:fldChar w:fldCharType="end"/>
          </w:r>
        </w:p>
      </w:tc>
      <w:tc>
        <w:tcPr>
          <w:tcW w:w="947" w:type="pct"/>
        </w:tcPr>
        <w:p w14:paraId="6DD5BECE" w14:textId="77777777" w:rsidR="00A234B9" w:rsidRDefault="00A234B9" w:rsidP="000E05F9">
          <w:pPr>
            <w:spacing w:line="0" w:lineRule="atLeast"/>
            <w:jc w:val="right"/>
            <w:rPr>
              <w:sz w:val="18"/>
            </w:rPr>
          </w:pPr>
        </w:p>
      </w:tc>
    </w:tr>
    <w:tr w:rsidR="00A234B9" w14:paraId="31FC1FAD" w14:textId="77777777" w:rsidTr="000E05F9">
      <w:tc>
        <w:tcPr>
          <w:tcW w:w="5000" w:type="pct"/>
          <w:gridSpan w:val="3"/>
        </w:tcPr>
        <w:p w14:paraId="482AEE13" w14:textId="77777777" w:rsidR="00A234B9" w:rsidRDefault="00A234B9" w:rsidP="000E05F9">
          <w:pPr>
            <w:jc w:val="right"/>
            <w:rPr>
              <w:sz w:val="18"/>
            </w:rPr>
          </w:pPr>
        </w:p>
      </w:tc>
    </w:tr>
  </w:tbl>
  <w:p w14:paraId="30580258" w14:textId="77777777" w:rsidR="00A234B9" w:rsidRPr="00ED79B6" w:rsidRDefault="00A234B9"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A234B9" w:rsidRPr="002B0EA5" w:rsidRDefault="00A234B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234B9" w14:paraId="16C96B4D" w14:textId="77777777" w:rsidTr="000E05F9">
      <w:tc>
        <w:tcPr>
          <w:tcW w:w="947" w:type="pct"/>
        </w:tcPr>
        <w:p w14:paraId="0850382C" w14:textId="77777777" w:rsidR="00A234B9" w:rsidRDefault="00A234B9" w:rsidP="000E05F9">
          <w:pPr>
            <w:spacing w:line="0" w:lineRule="atLeast"/>
            <w:rPr>
              <w:sz w:val="18"/>
            </w:rPr>
          </w:pPr>
        </w:p>
      </w:tc>
      <w:tc>
        <w:tcPr>
          <w:tcW w:w="3688" w:type="pct"/>
        </w:tcPr>
        <w:p w14:paraId="0887953A" w14:textId="2086C79F" w:rsidR="00A234B9" w:rsidRDefault="00A234B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694">
            <w:rPr>
              <w:i/>
              <w:noProof/>
              <w:sz w:val="18"/>
            </w:rPr>
            <w:t>Health Insurance Legislation Amendment (Section 3C General Medical Services – Eating Disorder and HCH Consequential Changes) Determination 2021</w:t>
          </w:r>
          <w:r w:rsidRPr="004E1307">
            <w:rPr>
              <w:i/>
              <w:sz w:val="18"/>
            </w:rPr>
            <w:fldChar w:fldCharType="end"/>
          </w:r>
        </w:p>
      </w:tc>
      <w:tc>
        <w:tcPr>
          <w:tcW w:w="365" w:type="pct"/>
        </w:tcPr>
        <w:p w14:paraId="5474901C" w14:textId="69F97F1C" w:rsidR="00A234B9" w:rsidRDefault="00A234B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5694">
            <w:rPr>
              <w:i/>
              <w:noProof/>
              <w:sz w:val="18"/>
            </w:rPr>
            <w:t>i</w:t>
          </w:r>
          <w:r w:rsidRPr="00ED79B6">
            <w:rPr>
              <w:i/>
              <w:sz w:val="18"/>
            </w:rPr>
            <w:fldChar w:fldCharType="end"/>
          </w:r>
        </w:p>
      </w:tc>
    </w:tr>
    <w:tr w:rsidR="00A234B9" w14:paraId="783563EC" w14:textId="77777777" w:rsidTr="000E05F9">
      <w:tc>
        <w:tcPr>
          <w:tcW w:w="5000" w:type="pct"/>
          <w:gridSpan w:val="3"/>
        </w:tcPr>
        <w:p w14:paraId="48261661" w14:textId="77777777" w:rsidR="00A234B9" w:rsidRDefault="00A234B9" w:rsidP="000E05F9">
          <w:pPr>
            <w:rPr>
              <w:sz w:val="18"/>
            </w:rPr>
          </w:pPr>
        </w:p>
      </w:tc>
    </w:tr>
  </w:tbl>
  <w:p w14:paraId="33474906" w14:textId="77777777" w:rsidR="00A234B9" w:rsidRPr="00ED79B6" w:rsidRDefault="00A234B9"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A234B9" w:rsidRPr="002B0EA5" w:rsidRDefault="00A234B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234B9" w14:paraId="44C0DBC8" w14:textId="77777777" w:rsidTr="000E05F9">
      <w:tc>
        <w:tcPr>
          <w:tcW w:w="365" w:type="pct"/>
        </w:tcPr>
        <w:p w14:paraId="25BE9428" w14:textId="49ED9DFC" w:rsidR="00A234B9" w:rsidRDefault="00A234B9"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5694">
            <w:rPr>
              <w:i/>
              <w:noProof/>
              <w:sz w:val="18"/>
            </w:rPr>
            <w:t>2</w:t>
          </w:r>
          <w:r w:rsidRPr="00ED79B6">
            <w:rPr>
              <w:i/>
              <w:sz w:val="18"/>
            </w:rPr>
            <w:fldChar w:fldCharType="end"/>
          </w:r>
        </w:p>
      </w:tc>
      <w:tc>
        <w:tcPr>
          <w:tcW w:w="3688" w:type="pct"/>
        </w:tcPr>
        <w:p w14:paraId="1B46842C" w14:textId="19350D6F" w:rsidR="00A234B9" w:rsidRDefault="00A234B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694">
            <w:rPr>
              <w:i/>
              <w:noProof/>
              <w:sz w:val="18"/>
            </w:rPr>
            <w:t>Health Insurance Legislation Amendment (Section 3C General Medical Services – Eating Disorder and HCH Consequential Changes) Determination 2021</w:t>
          </w:r>
          <w:r w:rsidRPr="004E1307">
            <w:rPr>
              <w:i/>
              <w:sz w:val="18"/>
            </w:rPr>
            <w:fldChar w:fldCharType="end"/>
          </w:r>
        </w:p>
      </w:tc>
      <w:tc>
        <w:tcPr>
          <w:tcW w:w="947" w:type="pct"/>
        </w:tcPr>
        <w:p w14:paraId="7B4943F4" w14:textId="77777777" w:rsidR="00A234B9" w:rsidRDefault="00A234B9" w:rsidP="000E05F9">
          <w:pPr>
            <w:spacing w:line="0" w:lineRule="atLeast"/>
            <w:jc w:val="right"/>
            <w:rPr>
              <w:sz w:val="18"/>
            </w:rPr>
          </w:pPr>
        </w:p>
      </w:tc>
    </w:tr>
    <w:tr w:rsidR="00A234B9" w14:paraId="145A34D1" w14:textId="77777777" w:rsidTr="000E05F9">
      <w:tc>
        <w:tcPr>
          <w:tcW w:w="5000" w:type="pct"/>
          <w:gridSpan w:val="3"/>
        </w:tcPr>
        <w:p w14:paraId="35BC501D" w14:textId="77777777" w:rsidR="00A234B9" w:rsidRDefault="00A234B9" w:rsidP="000E05F9">
          <w:pPr>
            <w:jc w:val="right"/>
            <w:rPr>
              <w:sz w:val="18"/>
            </w:rPr>
          </w:pPr>
        </w:p>
      </w:tc>
    </w:tr>
  </w:tbl>
  <w:p w14:paraId="63A8E5F4" w14:textId="77777777" w:rsidR="00A234B9" w:rsidRPr="00ED79B6" w:rsidRDefault="00A234B9"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A234B9" w:rsidRPr="002B0EA5" w:rsidRDefault="00A234B9"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234B9" w14:paraId="5DBDFC33" w14:textId="77777777" w:rsidTr="000E05F9">
      <w:tc>
        <w:tcPr>
          <w:tcW w:w="947" w:type="pct"/>
        </w:tcPr>
        <w:p w14:paraId="5B00D949" w14:textId="77777777" w:rsidR="00A234B9" w:rsidRDefault="00A234B9" w:rsidP="000E05F9">
          <w:pPr>
            <w:spacing w:line="0" w:lineRule="atLeast"/>
            <w:rPr>
              <w:sz w:val="18"/>
            </w:rPr>
          </w:pPr>
        </w:p>
      </w:tc>
      <w:tc>
        <w:tcPr>
          <w:tcW w:w="3688" w:type="pct"/>
        </w:tcPr>
        <w:p w14:paraId="4A9C99D0" w14:textId="4B128091" w:rsidR="00A234B9" w:rsidRDefault="00A234B9"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694">
            <w:rPr>
              <w:i/>
              <w:noProof/>
              <w:sz w:val="18"/>
            </w:rPr>
            <w:t>Health Insurance Legislation Amendment (Section 3C General Medical Services – Eating Disorder and HCH Consequential Changes) Determination 2021</w:t>
          </w:r>
          <w:r w:rsidRPr="004E1307">
            <w:rPr>
              <w:i/>
              <w:sz w:val="18"/>
            </w:rPr>
            <w:fldChar w:fldCharType="end"/>
          </w:r>
        </w:p>
      </w:tc>
      <w:tc>
        <w:tcPr>
          <w:tcW w:w="365" w:type="pct"/>
        </w:tcPr>
        <w:p w14:paraId="74C5A7A9" w14:textId="32EB3AE9" w:rsidR="00A234B9" w:rsidRDefault="00A234B9"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5694">
            <w:rPr>
              <w:i/>
              <w:noProof/>
              <w:sz w:val="18"/>
            </w:rPr>
            <w:t>1</w:t>
          </w:r>
          <w:r w:rsidRPr="00ED79B6">
            <w:rPr>
              <w:i/>
              <w:sz w:val="18"/>
            </w:rPr>
            <w:fldChar w:fldCharType="end"/>
          </w:r>
        </w:p>
      </w:tc>
    </w:tr>
    <w:tr w:rsidR="00A234B9" w14:paraId="5D550B5F" w14:textId="77777777" w:rsidTr="000E05F9">
      <w:tc>
        <w:tcPr>
          <w:tcW w:w="5000" w:type="pct"/>
          <w:gridSpan w:val="3"/>
        </w:tcPr>
        <w:p w14:paraId="5C810977" w14:textId="77777777" w:rsidR="00A234B9" w:rsidRDefault="00A234B9" w:rsidP="000E05F9">
          <w:pPr>
            <w:rPr>
              <w:sz w:val="18"/>
            </w:rPr>
          </w:pPr>
        </w:p>
      </w:tc>
    </w:tr>
  </w:tbl>
  <w:p w14:paraId="22A21FFE" w14:textId="77777777" w:rsidR="00A234B9" w:rsidRPr="00ED79B6" w:rsidRDefault="00A234B9"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A234B9" w:rsidRDefault="00A234B9" w:rsidP="00715914">
      <w:pPr>
        <w:spacing w:line="240" w:lineRule="auto"/>
      </w:pPr>
      <w:r>
        <w:separator/>
      </w:r>
    </w:p>
  </w:footnote>
  <w:footnote w:type="continuationSeparator" w:id="0">
    <w:p w14:paraId="12372923" w14:textId="77777777" w:rsidR="00A234B9" w:rsidRDefault="00A234B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A234B9" w:rsidRPr="005F1388" w:rsidRDefault="00A234B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A234B9" w:rsidRPr="005F1388" w:rsidRDefault="00A234B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A234B9" w:rsidRPr="00ED79B6" w:rsidRDefault="00A234B9"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A234B9" w:rsidRPr="00ED79B6" w:rsidRDefault="00A234B9"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A234B9" w:rsidRPr="00ED79B6" w:rsidRDefault="00A234B9"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A234B9" w:rsidRDefault="00A234B9" w:rsidP="00715914">
    <w:pPr>
      <w:rPr>
        <w:sz w:val="20"/>
      </w:rPr>
    </w:pPr>
  </w:p>
  <w:p w14:paraId="6C624911" w14:textId="77777777" w:rsidR="00A234B9" w:rsidRDefault="00A234B9" w:rsidP="00715914">
    <w:pPr>
      <w:rPr>
        <w:sz w:val="20"/>
      </w:rPr>
    </w:pPr>
  </w:p>
  <w:p w14:paraId="1199FB21" w14:textId="77777777" w:rsidR="00A234B9" w:rsidRPr="007A1328" w:rsidRDefault="00A234B9" w:rsidP="00715914">
    <w:pPr>
      <w:rPr>
        <w:sz w:val="20"/>
      </w:rPr>
    </w:pPr>
  </w:p>
  <w:p w14:paraId="5B43CE78" w14:textId="77777777" w:rsidR="00A234B9" w:rsidRPr="007A1328" w:rsidRDefault="00A234B9" w:rsidP="00715914">
    <w:pPr>
      <w:rPr>
        <w:b/>
        <w:sz w:val="24"/>
      </w:rPr>
    </w:pPr>
  </w:p>
  <w:p w14:paraId="5354B53F" w14:textId="77777777" w:rsidR="00A234B9" w:rsidRPr="007A1328" w:rsidRDefault="00A234B9"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A234B9" w:rsidRPr="007A1328" w:rsidRDefault="00A234B9" w:rsidP="00715914">
    <w:pPr>
      <w:jc w:val="right"/>
      <w:rPr>
        <w:sz w:val="20"/>
      </w:rPr>
    </w:pPr>
  </w:p>
  <w:p w14:paraId="4D4D5754" w14:textId="77777777" w:rsidR="00A234B9" w:rsidRPr="007A1328" w:rsidRDefault="00A234B9" w:rsidP="00715914">
    <w:pPr>
      <w:jc w:val="right"/>
      <w:rPr>
        <w:sz w:val="20"/>
      </w:rPr>
    </w:pPr>
  </w:p>
  <w:p w14:paraId="2B1C22A9" w14:textId="77777777" w:rsidR="00A234B9" w:rsidRPr="007A1328" w:rsidRDefault="00A234B9" w:rsidP="00715914">
    <w:pPr>
      <w:jc w:val="right"/>
      <w:rPr>
        <w:sz w:val="20"/>
      </w:rPr>
    </w:pPr>
  </w:p>
  <w:p w14:paraId="716A6B82" w14:textId="77777777" w:rsidR="00A234B9" w:rsidRPr="007A1328" w:rsidRDefault="00A234B9" w:rsidP="00715914">
    <w:pPr>
      <w:jc w:val="right"/>
      <w:rPr>
        <w:b/>
        <w:sz w:val="24"/>
      </w:rPr>
    </w:pPr>
  </w:p>
  <w:p w14:paraId="1AAB4A52" w14:textId="77777777" w:rsidR="00A234B9" w:rsidRPr="007A1328" w:rsidRDefault="00A234B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F2832"/>
    <w:multiLevelType w:val="hybridMultilevel"/>
    <w:tmpl w:val="7B76C130"/>
    <w:lvl w:ilvl="0" w:tplc="07A6DAC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4E62C47"/>
    <w:multiLevelType w:val="hybridMultilevel"/>
    <w:tmpl w:val="56D0C142"/>
    <w:lvl w:ilvl="0" w:tplc="774E4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F6187C"/>
    <w:multiLevelType w:val="hybridMultilevel"/>
    <w:tmpl w:val="69824130"/>
    <w:lvl w:ilvl="0" w:tplc="0C09000F">
      <w:start w:val="1"/>
      <w:numFmt w:val="decimal"/>
      <w:lvlText w:val="%1."/>
      <w:lvlJc w:val="left"/>
      <w:pPr>
        <w:ind w:left="720" w:hanging="360"/>
      </w:pPr>
      <w:rPr>
        <w:rFonts w:hint="default"/>
      </w:rPr>
    </w:lvl>
    <w:lvl w:ilvl="1" w:tplc="10943A0E">
      <w:start w:val="1"/>
      <w:numFmt w:val="decimal"/>
      <w:lvlText w:val="(%2)"/>
      <w:lvlJc w:val="left"/>
      <w:pPr>
        <w:ind w:left="1792" w:hanging="375"/>
      </w:pPr>
      <w:rPr>
        <w:rFonts w:hint="default"/>
      </w:rPr>
    </w:lvl>
    <w:lvl w:ilvl="2" w:tplc="E91EBFAE">
      <w:start w:val="1"/>
      <w:numFmt w:val="lowerLetter"/>
      <w:lvlText w:val="(%3)"/>
      <w:lvlJc w:val="left"/>
      <w:pPr>
        <w:ind w:left="2340" w:hanging="360"/>
      </w:pPr>
      <w:rPr>
        <w:rFonts w:hint="default"/>
      </w:rPr>
    </w:lvl>
    <w:lvl w:ilvl="3" w:tplc="07A6DACC">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6839C0"/>
    <w:multiLevelType w:val="hybridMultilevel"/>
    <w:tmpl w:val="6C2E9710"/>
    <w:lvl w:ilvl="0" w:tplc="31C83D92">
      <w:start w:val="1"/>
      <w:numFmt w:val="decimal"/>
      <w:lvlText w:val="(%1)"/>
      <w:lvlJc w:val="left"/>
      <w:pPr>
        <w:ind w:left="1485" w:hanging="4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B73A23"/>
    <w:multiLevelType w:val="hybridMultilevel"/>
    <w:tmpl w:val="69824130"/>
    <w:lvl w:ilvl="0" w:tplc="0C09000F">
      <w:start w:val="1"/>
      <w:numFmt w:val="decimal"/>
      <w:lvlText w:val="%1."/>
      <w:lvlJc w:val="left"/>
      <w:pPr>
        <w:ind w:left="720" w:hanging="360"/>
      </w:pPr>
      <w:rPr>
        <w:rFonts w:hint="default"/>
      </w:rPr>
    </w:lvl>
    <w:lvl w:ilvl="1" w:tplc="10943A0E">
      <w:start w:val="1"/>
      <w:numFmt w:val="decimal"/>
      <w:lvlText w:val="(%2)"/>
      <w:lvlJc w:val="left"/>
      <w:pPr>
        <w:ind w:left="1792" w:hanging="375"/>
      </w:pPr>
      <w:rPr>
        <w:rFonts w:hint="default"/>
      </w:rPr>
    </w:lvl>
    <w:lvl w:ilvl="2" w:tplc="E91EBFAE">
      <w:start w:val="1"/>
      <w:numFmt w:val="lowerLetter"/>
      <w:lvlText w:val="(%3)"/>
      <w:lvlJc w:val="left"/>
      <w:pPr>
        <w:ind w:left="2340" w:hanging="360"/>
      </w:pPr>
      <w:rPr>
        <w:rFonts w:hint="default"/>
      </w:rPr>
    </w:lvl>
    <w:lvl w:ilvl="3" w:tplc="07A6DACC">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4F3D1D"/>
    <w:multiLevelType w:val="hybridMultilevel"/>
    <w:tmpl w:val="69824130"/>
    <w:lvl w:ilvl="0" w:tplc="0C09000F">
      <w:start w:val="1"/>
      <w:numFmt w:val="decimal"/>
      <w:lvlText w:val="%1."/>
      <w:lvlJc w:val="left"/>
      <w:pPr>
        <w:ind w:left="720" w:hanging="360"/>
      </w:pPr>
      <w:rPr>
        <w:rFonts w:hint="default"/>
      </w:rPr>
    </w:lvl>
    <w:lvl w:ilvl="1" w:tplc="10943A0E">
      <w:start w:val="1"/>
      <w:numFmt w:val="decimal"/>
      <w:lvlText w:val="(%2)"/>
      <w:lvlJc w:val="left"/>
      <w:pPr>
        <w:ind w:left="1792" w:hanging="375"/>
      </w:pPr>
      <w:rPr>
        <w:rFonts w:hint="default"/>
      </w:rPr>
    </w:lvl>
    <w:lvl w:ilvl="2" w:tplc="E91EBFAE">
      <w:start w:val="1"/>
      <w:numFmt w:val="lowerLetter"/>
      <w:lvlText w:val="(%3)"/>
      <w:lvlJc w:val="left"/>
      <w:pPr>
        <w:ind w:left="2340" w:hanging="360"/>
      </w:pPr>
      <w:rPr>
        <w:rFonts w:hint="default"/>
      </w:rPr>
    </w:lvl>
    <w:lvl w:ilvl="3" w:tplc="07A6DACC">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315754"/>
    <w:multiLevelType w:val="hybridMultilevel"/>
    <w:tmpl w:val="51800696"/>
    <w:lvl w:ilvl="0" w:tplc="9CF4BE26">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7A0D99"/>
    <w:multiLevelType w:val="hybridMultilevel"/>
    <w:tmpl w:val="8034ADB8"/>
    <w:lvl w:ilvl="0" w:tplc="192ACAB0">
      <w:start w:val="1"/>
      <w:numFmt w:val="lowerLetter"/>
      <w:lvlText w:val="(%1)"/>
      <w:lvlJc w:val="left"/>
      <w:pPr>
        <w:ind w:left="1804" w:hanging="360"/>
      </w:pPr>
      <w:rPr>
        <w:rFonts w:hint="default"/>
      </w:rPr>
    </w:lvl>
    <w:lvl w:ilvl="1" w:tplc="0C090019" w:tentative="1">
      <w:start w:val="1"/>
      <w:numFmt w:val="lowerLetter"/>
      <w:lvlText w:val="%2."/>
      <w:lvlJc w:val="left"/>
      <w:pPr>
        <w:ind w:left="2524" w:hanging="360"/>
      </w:pPr>
    </w:lvl>
    <w:lvl w:ilvl="2" w:tplc="0C09001B" w:tentative="1">
      <w:start w:val="1"/>
      <w:numFmt w:val="lowerRoman"/>
      <w:lvlText w:val="%3."/>
      <w:lvlJc w:val="right"/>
      <w:pPr>
        <w:ind w:left="3244" w:hanging="180"/>
      </w:pPr>
    </w:lvl>
    <w:lvl w:ilvl="3" w:tplc="0C09000F" w:tentative="1">
      <w:start w:val="1"/>
      <w:numFmt w:val="decimal"/>
      <w:lvlText w:val="%4."/>
      <w:lvlJc w:val="left"/>
      <w:pPr>
        <w:ind w:left="3964" w:hanging="360"/>
      </w:pPr>
    </w:lvl>
    <w:lvl w:ilvl="4" w:tplc="0C090019" w:tentative="1">
      <w:start w:val="1"/>
      <w:numFmt w:val="lowerLetter"/>
      <w:lvlText w:val="%5."/>
      <w:lvlJc w:val="left"/>
      <w:pPr>
        <w:ind w:left="4684" w:hanging="360"/>
      </w:pPr>
    </w:lvl>
    <w:lvl w:ilvl="5" w:tplc="0C09001B" w:tentative="1">
      <w:start w:val="1"/>
      <w:numFmt w:val="lowerRoman"/>
      <w:lvlText w:val="%6."/>
      <w:lvlJc w:val="right"/>
      <w:pPr>
        <w:ind w:left="5404" w:hanging="180"/>
      </w:pPr>
    </w:lvl>
    <w:lvl w:ilvl="6" w:tplc="0C09000F" w:tentative="1">
      <w:start w:val="1"/>
      <w:numFmt w:val="decimal"/>
      <w:lvlText w:val="%7."/>
      <w:lvlJc w:val="left"/>
      <w:pPr>
        <w:ind w:left="6124" w:hanging="360"/>
      </w:pPr>
    </w:lvl>
    <w:lvl w:ilvl="7" w:tplc="0C090019" w:tentative="1">
      <w:start w:val="1"/>
      <w:numFmt w:val="lowerLetter"/>
      <w:lvlText w:val="%8."/>
      <w:lvlJc w:val="left"/>
      <w:pPr>
        <w:ind w:left="6844" w:hanging="360"/>
      </w:pPr>
    </w:lvl>
    <w:lvl w:ilvl="8" w:tplc="0C09001B" w:tentative="1">
      <w:start w:val="1"/>
      <w:numFmt w:val="lowerRoman"/>
      <w:lvlText w:val="%9."/>
      <w:lvlJc w:val="right"/>
      <w:pPr>
        <w:ind w:left="7564" w:hanging="180"/>
      </w:pPr>
    </w:lvl>
  </w:abstractNum>
  <w:abstractNum w:abstractNumId="27" w15:restartNumberingAfterBreak="0">
    <w:nsid w:val="6BD51AA6"/>
    <w:multiLevelType w:val="hybridMultilevel"/>
    <w:tmpl w:val="AA60A02A"/>
    <w:lvl w:ilvl="0" w:tplc="82DA4320">
      <w:start w:val="1"/>
      <w:numFmt w:val="decimal"/>
      <w:lvlText w:val="(%1)"/>
      <w:lvlJc w:val="left"/>
      <w:pPr>
        <w:ind w:left="1440" w:firstLine="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C5B0D63"/>
    <w:multiLevelType w:val="hybridMultilevel"/>
    <w:tmpl w:val="856C1A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7"/>
  </w:num>
  <w:num w:numId="14">
    <w:abstractNumId w:val="12"/>
  </w:num>
  <w:num w:numId="15">
    <w:abstractNumId w:val="19"/>
  </w:num>
  <w:num w:numId="16">
    <w:abstractNumId w:val="14"/>
  </w:num>
  <w:num w:numId="17">
    <w:abstractNumId w:val="29"/>
  </w:num>
  <w:num w:numId="18">
    <w:abstractNumId w:val="16"/>
  </w:num>
  <w:num w:numId="19">
    <w:abstractNumId w:val="22"/>
  </w:num>
  <w:num w:numId="20">
    <w:abstractNumId w:val="15"/>
  </w:num>
  <w:num w:numId="21">
    <w:abstractNumId w:val="18"/>
  </w:num>
  <w:num w:numId="22">
    <w:abstractNumId w:val="28"/>
  </w:num>
  <w:num w:numId="23">
    <w:abstractNumId w:val="10"/>
  </w:num>
  <w:num w:numId="24">
    <w:abstractNumId w:val="27"/>
  </w:num>
  <w:num w:numId="25">
    <w:abstractNumId w:val="21"/>
  </w:num>
  <w:num w:numId="26">
    <w:abstractNumId w:val="26"/>
  </w:num>
  <w:num w:numId="27">
    <w:abstractNumId w:val="24"/>
  </w:num>
  <w:num w:numId="28">
    <w:abstractNumId w:val="1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97"/>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07EB"/>
    <w:rsid w:val="00001F27"/>
    <w:rsid w:val="00004174"/>
    <w:rsid w:val="00004470"/>
    <w:rsid w:val="00005694"/>
    <w:rsid w:val="000136AF"/>
    <w:rsid w:val="000240EF"/>
    <w:rsid w:val="000258B1"/>
    <w:rsid w:val="00032992"/>
    <w:rsid w:val="00037A04"/>
    <w:rsid w:val="00040A89"/>
    <w:rsid w:val="0004338F"/>
    <w:rsid w:val="000437C1"/>
    <w:rsid w:val="0004455A"/>
    <w:rsid w:val="0004558A"/>
    <w:rsid w:val="000504CE"/>
    <w:rsid w:val="0005365D"/>
    <w:rsid w:val="00053D33"/>
    <w:rsid w:val="000614BF"/>
    <w:rsid w:val="000626C1"/>
    <w:rsid w:val="0006709C"/>
    <w:rsid w:val="00074376"/>
    <w:rsid w:val="00077C5D"/>
    <w:rsid w:val="00080823"/>
    <w:rsid w:val="000872E3"/>
    <w:rsid w:val="000978F5"/>
    <w:rsid w:val="000B0117"/>
    <w:rsid w:val="000B15CD"/>
    <w:rsid w:val="000B35EB"/>
    <w:rsid w:val="000B76EC"/>
    <w:rsid w:val="000C51C5"/>
    <w:rsid w:val="000D05EF"/>
    <w:rsid w:val="000D6817"/>
    <w:rsid w:val="000E05F9"/>
    <w:rsid w:val="000E2261"/>
    <w:rsid w:val="000E5643"/>
    <w:rsid w:val="000E78B7"/>
    <w:rsid w:val="000F21C1"/>
    <w:rsid w:val="001013CE"/>
    <w:rsid w:val="00104CD4"/>
    <w:rsid w:val="0010745C"/>
    <w:rsid w:val="00112410"/>
    <w:rsid w:val="001276AA"/>
    <w:rsid w:val="00131922"/>
    <w:rsid w:val="00132CEB"/>
    <w:rsid w:val="001339B0"/>
    <w:rsid w:val="00142B62"/>
    <w:rsid w:val="00142F4D"/>
    <w:rsid w:val="001441B7"/>
    <w:rsid w:val="00147040"/>
    <w:rsid w:val="001515A1"/>
    <w:rsid w:val="001516CB"/>
    <w:rsid w:val="00152336"/>
    <w:rsid w:val="00157B8B"/>
    <w:rsid w:val="00163E2A"/>
    <w:rsid w:val="00166C2F"/>
    <w:rsid w:val="0017256F"/>
    <w:rsid w:val="00174430"/>
    <w:rsid w:val="001809D7"/>
    <w:rsid w:val="001939E1"/>
    <w:rsid w:val="00194C3E"/>
    <w:rsid w:val="00195382"/>
    <w:rsid w:val="001A0AC6"/>
    <w:rsid w:val="001A6039"/>
    <w:rsid w:val="001B0AFF"/>
    <w:rsid w:val="001B2CB6"/>
    <w:rsid w:val="001C52B2"/>
    <w:rsid w:val="001C61C5"/>
    <w:rsid w:val="001C69C4"/>
    <w:rsid w:val="001D37EF"/>
    <w:rsid w:val="001D7BE1"/>
    <w:rsid w:val="001E3590"/>
    <w:rsid w:val="001E4239"/>
    <w:rsid w:val="001E4EED"/>
    <w:rsid w:val="001E7407"/>
    <w:rsid w:val="001F5A96"/>
    <w:rsid w:val="001F5D5E"/>
    <w:rsid w:val="001F6219"/>
    <w:rsid w:val="001F6CD4"/>
    <w:rsid w:val="00206C4D"/>
    <w:rsid w:val="002077B1"/>
    <w:rsid w:val="00215AF1"/>
    <w:rsid w:val="002321E8"/>
    <w:rsid w:val="00232984"/>
    <w:rsid w:val="0023331F"/>
    <w:rsid w:val="0024010F"/>
    <w:rsid w:val="00240749"/>
    <w:rsid w:val="0024075A"/>
    <w:rsid w:val="00243018"/>
    <w:rsid w:val="00245CF6"/>
    <w:rsid w:val="002564A4"/>
    <w:rsid w:val="0026365C"/>
    <w:rsid w:val="0026736C"/>
    <w:rsid w:val="0027479B"/>
    <w:rsid w:val="00280E43"/>
    <w:rsid w:val="00281308"/>
    <w:rsid w:val="00283C8F"/>
    <w:rsid w:val="00283E94"/>
    <w:rsid w:val="00284719"/>
    <w:rsid w:val="00285539"/>
    <w:rsid w:val="00287BE8"/>
    <w:rsid w:val="00297ECB"/>
    <w:rsid w:val="002A7BCF"/>
    <w:rsid w:val="002B71B0"/>
    <w:rsid w:val="002C3FD1"/>
    <w:rsid w:val="002D043A"/>
    <w:rsid w:val="002D266B"/>
    <w:rsid w:val="002D6224"/>
    <w:rsid w:val="002F2C02"/>
    <w:rsid w:val="002F2EF1"/>
    <w:rsid w:val="002F640F"/>
    <w:rsid w:val="0030334A"/>
    <w:rsid w:val="00304F8B"/>
    <w:rsid w:val="003257F3"/>
    <w:rsid w:val="003318F5"/>
    <w:rsid w:val="00333B36"/>
    <w:rsid w:val="00335BC6"/>
    <w:rsid w:val="003415D3"/>
    <w:rsid w:val="00344338"/>
    <w:rsid w:val="00344701"/>
    <w:rsid w:val="00347A5B"/>
    <w:rsid w:val="00352B0F"/>
    <w:rsid w:val="00355B22"/>
    <w:rsid w:val="00356EF3"/>
    <w:rsid w:val="00360459"/>
    <w:rsid w:val="003729C1"/>
    <w:rsid w:val="0038049F"/>
    <w:rsid w:val="003820E6"/>
    <w:rsid w:val="00390D21"/>
    <w:rsid w:val="003A1A2C"/>
    <w:rsid w:val="003A3C01"/>
    <w:rsid w:val="003B0A72"/>
    <w:rsid w:val="003B2E07"/>
    <w:rsid w:val="003B742C"/>
    <w:rsid w:val="003C0DE7"/>
    <w:rsid w:val="003C170F"/>
    <w:rsid w:val="003C6231"/>
    <w:rsid w:val="003C63E8"/>
    <w:rsid w:val="003D0BFE"/>
    <w:rsid w:val="003D5700"/>
    <w:rsid w:val="003E2302"/>
    <w:rsid w:val="003E341B"/>
    <w:rsid w:val="003E4D00"/>
    <w:rsid w:val="003E73C0"/>
    <w:rsid w:val="003F0A67"/>
    <w:rsid w:val="003F46F1"/>
    <w:rsid w:val="0040393C"/>
    <w:rsid w:val="004116CD"/>
    <w:rsid w:val="00413D2C"/>
    <w:rsid w:val="004140F2"/>
    <w:rsid w:val="00416285"/>
    <w:rsid w:val="00417EB9"/>
    <w:rsid w:val="00424CA9"/>
    <w:rsid w:val="004276DF"/>
    <w:rsid w:val="00431E9B"/>
    <w:rsid w:val="004379E3"/>
    <w:rsid w:val="0044015E"/>
    <w:rsid w:val="0044231E"/>
    <w:rsid w:val="0044291A"/>
    <w:rsid w:val="00443413"/>
    <w:rsid w:val="0044722E"/>
    <w:rsid w:val="00451B00"/>
    <w:rsid w:val="0045693C"/>
    <w:rsid w:val="00461CE2"/>
    <w:rsid w:val="00467661"/>
    <w:rsid w:val="00472DBE"/>
    <w:rsid w:val="00474A19"/>
    <w:rsid w:val="00477830"/>
    <w:rsid w:val="00481A23"/>
    <w:rsid w:val="00487764"/>
    <w:rsid w:val="004940C4"/>
    <w:rsid w:val="00495AF2"/>
    <w:rsid w:val="00496F97"/>
    <w:rsid w:val="004A438A"/>
    <w:rsid w:val="004B2A0E"/>
    <w:rsid w:val="004B6C48"/>
    <w:rsid w:val="004C4E59"/>
    <w:rsid w:val="004C6809"/>
    <w:rsid w:val="004C7360"/>
    <w:rsid w:val="004E063A"/>
    <w:rsid w:val="004E1231"/>
    <w:rsid w:val="004E1307"/>
    <w:rsid w:val="004E7BEC"/>
    <w:rsid w:val="00504B40"/>
    <w:rsid w:val="00505D3D"/>
    <w:rsid w:val="00506AF6"/>
    <w:rsid w:val="00511E0A"/>
    <w:rsid w:val="00516B8D"/>
    <w:rsid w:val="00516E94"/>
    <w:rsid w:val="005303C8"/>
    <w:rsid w:val="00534749"/>
    <w:rsid w:val="0053631E"/>
    <w:rsid w:val="00537FBC"/>
    <w:rsid w:val="0055289A"/>
    <w:rsid w:val="00554826"/>
    <w:rsid w:val="00562877"/>
    <w:rsid w:val="00564803"/>
    <w:rsid w:val="0056525E"/>
    <w:rsid w:val="00577278"/>
    <w:rsid w:val="00580337"/>
    <w:rsid w:val="00581BF6"/>
    <w:rsid w:val="00584097"/>
    <w:rsid w:val="00584811"/>
    <w:rsid w:val="00585784"/>
    <w:rsid w:val="00586617"/>
    <w:rsid w:val="00592B2A"/>
    <w:rsid w:val="00593AA6"/>
    <w:rsid w:val="00594161"/>
    <w:rsid w:val="00594749"/>
    <w:rsid w:val="005A2B6A"/>
    <w:rsid w:val="005A4B31"/>
    <w:rsid w:val="005A4B62"/>
    <w:rsid w:val="005A65D5"/>
    <w:rsid w:val="005B200C"/>
    <w:rsid w:val="005B3F55"/>
    <w:rsid w:val="005B4067"/>
    <w:rsid w:val="005B53CC"/>
    <w:rsid w:val="005C1468"/>
    <w:rsid w:val="005C3F41"/>
    <w:rsid w:val="005D1D92"/>
    <w:rsid w:val="005D2D09"/>
    <w:rsid w:val="005D6A75"/>
    <w:rsid w:val="005E4F7F"/>
    <w:rsid w:val="005F30B6"/>
    <w:rsid w:val="005F6AF1"/>
    <w:rsid w:val="00600219"/>
    <w:rsid w:val="00604F2A"/>
    <w:rsid w:val="00606F09"/>
    <w:rsid w:val="00611629"/>
    <w:rsid w:val="006152B7"/>
    <w:rsid w:val="00620076"/>
    <w:rsid w:val="006260A7"/>
    <w:rsid w:val="00627E0A"/>
    <w:rsid w:val="00642331"/>
    <w:rsid w:val="00643CB0"/>
    <w:rsid w:val="006443F2"/>
    <w:rsid w:val="006514D9"/>
    <w:rsid w:val="00653711"/>
    <w:rsid w:val="0065488B"/>
    <w:rsid w:val="0066586D"/>
    <w:rsid w:val="00666F88"/>
    <w:rsid w:val="00670EA1"/>
    <w:rsid w:val="00671DFD"/>
    <w:rsid w:val="00673F45"/>
    <w:rsid w:val="00676F2E"/>
    <w:rsid w:val="00677CC2"/>
    <w:rsid w:val="006846C6"/>
    <w:rsid w:val="0068744B"/>
    <w:rsid w:val="006905DE"/>
    <w:rsid w:val="00691600"/>
    <w:rsid w:val="0069207B"/>
    <w:rsid w:val="00693F87"/>
    <w:rsid w:val="006A0839"/>
    <w:rsid w:val="006A154F"/>
    <w:rsid w:val="006A437B"/>
    <w:rsid w:val="006B1337"/>
    <w:rsid w:val="006B5789"/>
    <w:rsid w:val="006C30C5"/>
    <w:rsid w:val="006C41DF"/>
    <w:rsid w:val="006C7F8C"/>
    <w:rsid w:val="006E2E1C"/>
    <w:rsid w:val="006E3641"/>
    <w:rsid w:val="006E4395"/>
    <w:rsid w:val="006E6246"/>
    <w:rsid w:val="006E69C2"/>
    <w:rsid w:val="006E6DCC"/>
    <w:rsid w:val="006F1F31"/>
    <w:rsid w:val="006F318F"/>
    <w:rsid w:val="006F6099"/>
    <w:rsid w:val="006F7B1F"/>
    <w:rsid w:val="0070017E"/>
    <w:rsid w:val="00700B2C"/>
    <w:rsid w:val="007050A2"/>
    <w:rsid w:val="0070716F"/>
    <w:rsid w:val="00712ED0"/>
    <w:rsid w:val="00713084"/>
    <w:rsid w:val="007141BF"/>
    <w:rsid w:val="00714F20"/>
    <w:rsid w:val="0071590F"/>
    <w:rsid w:val="00715914"/>
    <w:rsid w:val="00720EDC"/>
    <w:rsid w:val="0072147A"/>
    <w:rsid w:val="00723791"/>
    <w:rsid w:val="00731E00"/>
    <w:rsid w:val="00737A78"/>
    <w:rsid w:val="007440B7"/>
    <w:rsid w:val="0074502D"/>
    <w:rsid w:val="007500C8"/>
    <w:rsid w:val="00756272"/>
    <w:rsid w:val="00762D38"/>
    <w:rsid w:val="007715C9"/>
    <w:rsid w:val="00771613"/>
    <w:rsid w:val="00774EDD"/>
    <w:rsid w:val="007757EC"/>
    <w:rsid w:val="00783E89"/>
    <w:rsid w:val="00793915"/>
    <w:rsid w:val="007A3386"/>
    <w:rsid w:val="007A33FA"/>
    <w:rsid w:val="007C1D5D"/>
    <w:rsid w:val="007C2253"/>
    <w:rsid w:val="007D0217"/>
    <w:rsid w:val="007D5469"/>
    <w:rsid w:val="007D7911"/>
    <w:rsid w:val="007E163D"/>
    <w:rsid w:val="007E667A"/>
    <w:rsid w:val="007F097E"/>
    <w:rsid w:val="007F28C9"/>
    <w:rsid w:val="007F51B2"/>
    <w:rsid w:val="008040DD"/>
    <w:rsid w:val="00804571"/>
    <w:rsid w:val="008117E9"/>
    <w:rsid w:val="0082443C"/>
    <w:rsid w:val="00824498"/>
    <w:rsid w:val="00826BD1"/>
    <w:rsid w:val="00830173"/>
    <w:rsid w:val="00834387"/>
    <w:rsid w:val="0085251C"/>
    <w:rsid w:val="00854D0B"/>
    <w:rsid w:val="00856A31"/>
    <w:rsid w:val="00860B4E"/>
    <w:rsid w:val="0086399C"/>
    <w:rsid w:val="00867B37"/>
    <w:rsid w:val="0087329B"/>
    <w:rsid w:val="00873CFB"/>
    <w:rsid w:val="00873EC0"/>
    <w:rsid w:val="008754D0"/>
    <w:rsid w:val="00875D13"/>
    <w:rsid w:val="008855C9"/>
    <w:rsid w:val="00886456"/>
    <w:rsid w:val="00894E21"/>
    <w:rsid w:val="00896176"/>
    <w:rsid w:val="008A0953"/>
    <w:rsid w:val="008A1D2A"/>
    <w:rsid w:val="008A46E1"/>
    <w:rsid w:val="008A4F43"/>
    <w:rsid w:val="008A6AAC"/>
    <w:rsid w:val="008B1786"/>
    <w:rsid w:val="008B2706"/>
    <w:rsid w:val="008C2EAC"/>
    <w:rsid w:val="008C3A33"/>
    <w:rsid w:val="008C657B"/>
    <w:rsid w:val="008C71DB"/>
    <w:rsid w:val="008D0EE0"/>
    <w:rsid w:val="008D55F0"/>
    <w:rsid w:val="008E0027"/>
    <w:rsid w:val="008E6067"/>
    <w:rsid w:val="008F54E7"/>
    <w:rsid w:val="00903422"/>
    <w:rsid w:val="009038C2"/>
    <w:rsid w:val="0090563E"/>
    <w:rsid w:val="00914E47"/>
    <w:rsid w:val="009254C3"/>
    <w:rsid w:val="009279EE"/>
    <w:rsid w:val="00932377"/>
    <w:rsid w:val="00936760"/>
    <w:rsid w:val="00941236"/>
    <w:rsid w:val="00943FD5"/>
    <w:rsid w:val="00946E05"/>
    <w:rsid w:val="00947D5A"/>
    <w:rsid w:val="009532A5"/>
    <w:rsid w:val="0095414C"/>
    <w:rsid w:val="009545BD"/>
    <w:rsid w:val="00955945"/>
    <w:rsid w:val="00956CF9"/>
    <w:rsid w:val="009634B6"/>
    <w:rsid w:val="00964CF0"/>
    <w:rsid w:val="0097618D"/>
    <w:rsid w:val="00977806"/>
    <w:rsid w:val="00982242"/>
    <w:rsid w:val="0098256E"/>
    <w:rsid w:val="009841B4"/>
    <w:rsid w:val="009868E9"/>
    <w:rsid w:val="009900A3"/>
    <w:rsid w:val="00993149"/>
    <w:rsid w:val="00995BB8"/>
    <w:rsid w:val="009A2865"/>
    <w:rsid w:val="009A3E0E"/>
    <w:rsid w:val="009A7A62"/>
    <w:rsid w:val="009B618F"/>
    <w:rsid w:val="009B70AC"/>
    <w:rsid w:val="009C1523"/>
    <w:rsid w:val="009C3413"/>
    <w:rsid w:val="009C4F61"/>
    <w:rsid w:val="009D4587"/>
    <w:rsid w:val="009E0752"/>
    <w:rsid w:val="009E5930"/>
    <w:rsid w:val="00A0441E"/>
    <w:rsid w:val="00A06281"/>
    <w:rsid w:val="00A12128"/>
    <w:rsid w:val="00A155FA"/>
    <w:rsid w:val="00A17435"/>
    <w:rsid w:val="00A22C98"/>
    <w:rsid w:val="00A231E2"/>
    <w:rsid w:val="00A234B9"/>
    <w:rsid w:val="00A250FB"/>
    <w:rsid w:val="00A309B2"/>
    <w:rsid w:val="00A30B89"/>
    <w:rsid w:val="00A351CF"/>
    <w:rsid w:val="00A369E3"/>
    <w:rsid w:val="00A42093"/>
    <w:rsid w:val="00A53F71"/>
    <w:rsid w:val="00A57600"/>
    <w:rsid w:val="00A602BD"/>
    <w:rsid w:val="00A606F0"/>
    <w:rsid w:val="00A62EA2"/>
    <w:rsid w:val="00A64912"/>
    <w:rsid w:val="00A67FEB"/>
    <w:rsid w:val="00A70A74"/>
    <w:rsid w:val="00A75FE9"/>
    <w:rsid w:val="00A81078"/>
    <w:rsid w:val="00A850C8"/>
    <w:rsid w:val="00A907E6"/>
    <w:rsid w:val="00A92BC6"/>
    <w:rsid w:val="00A93460"/>
    <w:rsid w:val="00A95F6F"/>
    <w:rsid w:val="00AB1A29"/>
    <w:rsid w:val="00AC710E"/>
    <w:rsid w:val="00AD362C"/>
    <w:rsid w:val="00AD53CC"/>
    <w:rsid w:val="00AD5641"/>
    <w:rsid w:val="00AE6FB9"/>
    <w:rsid w:val="00AE73B5"/>
    <w:rsid w:val="00AF03E7"/>
    <w:rsid w:val="00AF06CF"/>
    <w:rsid w:val="00B07CDB"/>
    <w:rsid w:val="00B16A31"/>
    <w:rsid w:val="00B17DFD"/>
    <w:rsid w:val="00B25306"/>
    <w:rsid w:val="00B27831"/>
    <w:rsid w:val="00B308FE"/>
    <w:rsid w:val="00B33709"/>
    <w:rsid w:val="00B33B3C"/>
    <w:rsid w:val="00B36392"/>
    <w:rsid w:val="00B418CB"/>
    <w:rsid w:val="00B47444"/>
    <w:rsid w:val="00B50ADC"/>
    <w:rsid w:val="00B5190E"/>
    <w:rsid w:val="00B54869"/>
    <w:rsid w:val="00B559FD"/>
    <w:rsid w:val="00B566B1"/>
    <w:rsid w:val="00B5765D"/>
    <w:rsid w:val="00B60B01"/>
    <w:rsid w:val="00B63834"/>
    <w:rsid w:val="00B763B0"/>
    <w:rsid w:val="00B80199"/>
    <w:rsid w:val="00B83204"/>
    <w:rsid w:val="00B856E7"/>
    <w:rsid w:val="00BA220B"/>
    <w:rsid w:val="00BA3A57"/>
    <w:rsid w:val="00BB1533"/>
    <w:rsid w:val="00BB4E1A"/>
    <w:rsid w:val="00BC015E"/>
    <w:rsid w:val="00BC76AC"/>
    <w:rsid w:val="00BD0ECB"/>
    <w:rsid w:val="00BD1F16"/>
    <w:rsid w:val="00BD4186"/>
    <w:rsid w:val="00BD69AB"/>
    <w:rsid w:val="00BE057E"/>
    <w:rsid w:val="00BE2155"/>
    <w:rsid w:val="00BE719A"/>
    <w:rsid w:val="00BE720A"/>
    <w:rsid w:val="00BF0D73"/>
    <w:rsid w:val="00BF237A"/>
    <w:rsid w:val="00BF2465"/>
    <w:rsid w:val="00C02F38"/>
    <w:rsid w:val="00C13736"/>
    <w:rsid w:val="00C16619"/>
    <w:rsid w:val="00C25E7F"/>
    <w:rsid w:val="00C2746F"/>
    <w:rsid w:val="00C31437"/>
    <w:rsid w:val="00C323D6"/>
    <w:rsid w:val="00C324A0"/>
    <w:rsid w:val="00C34C25"/>
    <w:rsid w:val="00C42BF8"/>
    <w:rsid w:val="00C45B87"/>
    <w:rsid w:val="00C50043"/>
    <w:rsid w:val="00C507A9"/>
    <w:rsid w:val="00C53948"/>
    <w:rsid w:val="00C570E1"/>
    <w:rsid w:val="00C571BF"/>
    <w:rsid w:val="00C6549B"/>
    <w:rsid w:val="00C7105E"/>
    <w:rsid w:val="00C7171E"/>
    <w:rsid w:val="00C7573B"/>
    <w:rsid w:val="00C97A54"/>
    <w:rsid w:val="00CA05CF"/>
    <w:rsid w:val="00CA5B23"/>
    <w:rsid w:val="00CB1814"/>
    <w:rsid w:val="00CB5546"/>
    <w:rsid w:val="00CB5965"/>
    <w:rsid w:val="00CB602E"/>
    <w:rsid w:val="00CB7E90"/>
    <w:rsid w:val="00CC110B"/>
    <w:rsid w:val="00CC1D61"/>
    <w:rsid w:val="00CD0E17"/>
    <w:rsid w:val="00CE051D"/>
    <w:rsid w:val="00CE1335"/>
    <w:rsid w:val="00CE493D"/>
    <w:rsid w:val="00CF07FA"/>
    <w:rsid w:val="00CF0BB2"/>
    <w:rsid w:val="00CF0D1B"/>
    <w:rsid w:val="00CF3EE8"/>
    <w:rsid w:val="00CF5B9C"/>
    <w:rsid w:val="00D062B4"/>
    <w:rsid w:val="00D13441"/>
    <w:rsid w:val="00D150E7"/>
    <w:rsid w:val="00D16275"/>
    <w:rsid w:val="00D26508"/>
    <w:rsid w:val="00D47ADC"/>
    <w:rsid w:val="00D50CE7"/>
    <w:rsid w:val="00D50EB1"/>
    <w:rsid w:val="00D52DC2"/>
    <w:rsid w:val="00D53BCC"/>
    <w:rsid w:val="00D54C9E"/>
    <w:rsid w:val="00D63FA2"/>
    <w:rsid w:val="00D6537E"/>
    <w:rsid w:val="00D70DFB"/>
    <w:rsid w:val="00D766DF"/>
    <w:rsid w:val="00D7690B"/>
    <w:rsid w:val="00D8206C"/>
    <w:rsid w:val="00D91F10"/>
    <w:rsid w:val="00DA186E"/>
    <w:rsid w:val="00DA4116"/>
    <w:rsid w:val="00DB14BB"/>
    <w:rsid w:val="00DB251C"/>
    <w:rsid w:val="00DB4630"/>
    <w:rsid w:val="00DB4767"/>
    <w:rsid w:val="00DB6FA3"/>
    <w:rsid w:val="00DC27B9"/>
    <w:rsid w:val="00DC4F88"/>
    <w:rsid w:val="00DD397B"/>
    <w:rsid w:val="00DE107C"/>
    <w:rsid w:val="00DE33D1"/>
    <w:rsid w:val="00DE4EF6"/>
    <w:rsid w:val="00DE524C"/>
    <w:rsid w:val="00DF2388"/>
    <w:rsid w:val="00DF24D8"/>
    <w:rsid w:val="00E025DE"/>
    <w:rsid w:val="00E05704"/>
    <w:rsid w:val="00E11140"/>
    <w:rsid w:val="00E144E9"/>
    <w:rsid w:val="00E31E94"/>
    <w:rsid w:val="00E338EF"/>
    <w:rsid w:val="00E45D8D"/>
    <w:rsid w:val="00E5120C"/>
    <w:rsid w:val="00E517C9"/>
    <w:rsid w:val="00E526EF"/>
    <w:rsid w:val="00E544BB"/>
    <w:rsid w:val="00E617C5"/>
    <w:rsid w:val="00E6283D"/>
    <w:rsid w:val="00E70D71"/>
    <w:rsid w:val="00E72953"/>
    <w:rsid w:val="00E748AB"/>
    <w:rsid w:val="00E74DC7"/>
    <w:rsid w:val="00E77748"/>
    <w:rsid w:val="00E8075A"/>
    <w:rsid w:val="00E8079E"/>
    <w:rsid w:val="00E85D3D"/>
    <w:rsid w:val="00E86028"/>
    <w:rsid w:val="00E87D64"/>
    <w:rsid w:val="00E940D8"/>
    <w:rsid w:val="00E94D5E"/>
    <w:rsid w:val="00EA13DF"/>
    <w:rsid w:val="00EA4AD9"/>
    <w:rsid w:val="00EA7100"/>
    <w:rsid w:val="00EA7F9F"/>
    <w:rsid w:val="00EB1274"/>
    <w:rsid w:val="00EC4014"/>
    <w:rsid w:val="00EC700C"/>
    <w:rsid w:val="00ED0E9E"/>
    <w:rsid w:val="00ED171C"/>
    <w:rsid w:val="00ED2BB6"/>
    <w:rsid w:val="00ED34E1"/>
    <w:rsid w:val="00ED3B8D"/>
    <w:rsid w:val="00ED6535"/>
    <w:rsid w:val="00EE5E36"/>
    <w:rsid w:val="00EE6AD9"/>
    <w:rsid w:val="00EF2E3A"/>
    <w:rsid w:val="00F02C7C"/>
    <w:rsid w:val="00F03A6A"/>
    <w:rsid w:val="00F05206"/>
    <w:rsid w:val="00F06CFC"/>
    <w:rsid w:val="00F072A7"/>
    <w:rsid w:val="00F078DC"/>
    <w:rsid w:val="00F14C4D"/>
    <w:rsid w:val="00F16A4F"/>
    <w:rsid w:val="00F31DC9"/>
    <w:rsid w:val="00F32BA8"/>
    <w:rsid w:val="00F32EE0"/>
    <w:rsid w:val="00F349F1"/>
    <w:rsid w:val="00F361AF"/>
    <w:rsid w:val="00F42D03"/>
    <w:rsid w:val="00F4350D"/>
    <w:rsid w:val="00F444B7"/>
    <w:rsid w:val="00F479C4"/>
    <w:rsid w:val="00F56013"/>
    <w:rsid w:val="00F567F7"/>
    <w:rsid w:val="00F56E03"/>
    <w:rsid w:val="00F61E8A"/>
    <w:rsid w:val="00F6696E"/>
    <w:rsid w:val="00F66C30"/>
    <w:rsid w:val="00F7240C"/>
    <w:rsid w:val="00F73BD6"/>
    <w:rsid w:val="00F7720F"/>
    <w:rsid w:val="00F823E1"/>
    <w:rsid w:val="00F83989"/>
    <w:rsid w:val="00F85099"/>
    <w:rsid w:val="00F9379C"/>
    <w:rsid w:val="00F94B16"/>
    <w:rsid w:val="00F9632C"/>
    <w:rsid w:val="00FA1E52"/>
    <w:rsid w:val="00FB4429"/>
    <w:rsid w:val="00FB5A08"/>
    <w:rsid w:val="00FC6A80"/>
    <w:rsid w:val="00FD60A5"/>
    <w:rsid w:val="00FE4688"/>
    <w:rsid w:val="00FE7510"/>
    <w:rsid w:val="00FF4480"/>
    <w:rsid w:val="00FF50C2"/>
    <w:rsid w:val="00FF527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iPriority w:val="99"/>
    <w:unhideWhenUsed/>
    <w:rsid w:val="00BD4186"/>
    <w:rPr>
      <w:sz w:val="16"/>
      <w:szCs w:val="16"/>
    </w:rPr>
  </w:style>
  <w:style w:type="paragraph" w:styleId="CommentText">
    <w:name w:val="annotation text"/>
    <w:basedOn w:val="Normal"/>
    <w:link w:val="CommentTextChar"/>
    <w:uiPriority w:val="99"/>
    <w:unhideWhenUsed/>
    <w:rsid w:val="00BD4186"/>
    <w:pPr>
      <w:spacing w:line="240" w:lineRule="auto"/>
    </w:pPr>
    <w:rPr>
      <w:sz w:val="20"/>
    </w:rPr>
  </w:style>
  <w:style w:type="character" w:customStyle="1" w:styleId="CommentTextChar">
    <w:name w:val="Comment Text Char"/>
    <w:basedOn w:val="DefaultParagraphFont"/>
    <w:link w:val="CommentText"/>
    <w:uiPriority w:val="99"/>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956CF9"/>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
    <w:basedOn w:val="Normal"/>
    <w:rsid w:val="00C7105E"/>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C7105E"/>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1F5A96"/>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1221">
      <w:bodyDiv w:val="1"/>
      <w:marLeft w:val="0"/>
      <w:marRight w:val="0"/>
      <w:marTop w:val="0"/>
      <w:marBottom w:val="0"/>
      <w:divBdr>
        <w:top w:val="none" w:sz="0" w:space="0" w:color="auto"/>
        <w:left w:val="none" w:sz="0" w:space="0" w:color="auto"/>
        <w:bottom w:val="none" w:sz="0" w:space="0" w:color="auto"/>
        <w:right w:val="none" w:sz="0" w:space="0" w:color="auto"/>
      </w:divBdr>
    </w:div>
    <w:div w:id="382021142">
      <w:bodyDiv w:val="1"/>
      <w:marLeft w:val="0"/>
      <w:marRight w:val="0"/>
      <w:marTop w:val="0"/>
      <w:marBottom w:val="0"/>
      <w:divBdr>
        <w:top w:val="none" w:sz="0" w:space="0" w:color="auto"/>
        <w:left w:val="none" w:sz="0" w:space="0" w:color="auto"/>
        <w:bottom w:val="none" w:sz="0" w:space="0" w:color="auto"/>
        <w:right w:val="none" w:sz="0" w:space="0" w:color="auto"/>
      </w:divBdr>
    </w:div>
    <w:div w:id="437792167">
      <w:bodyDiv w:val="1"/>
      <w:marLeft w:val="0"/>
      <w:marRight w:val="0"/>
      <w:marTop w:val="0"/>
      <w:marBottom w:val="0"/>
      <w:divBdr>
        <w:top w:val="none" w:sz="0" w:space="0" w:color="auto"/>
        <w:left w:val="none" w:sz="0" w:space="0" w:color="auto"/>
        <w:bottom w:val="none" w:sz="0" w:space="0" w:color="auto"/>
        <w:right w:val="none" w:sz="0" w:space="0" w:color="auto"/>
      </w:divBdr>
    </w:div>
    <w:div w:id="452674478">
      <w:bodyDiv w:val="1"/>
      <w:marLeft w:val="0"/>
      <w:marRight w:val="0"/>
      <w:marTop w:val="0"/>
      <w:marBottom w:val="0"/>
      <w:divBdr>
        <w:top w:val="none" w:sz="0" w:space="0" w:color="auto"/>
        <w:left w:val="none" w:sz="0" w:space="0" w:color="auto"/>
        <w:bottom w:val="none" w:sz="0" w:space="0" w:color="auto"/>
        <w:right w:val="none" w:sz="0" w:space="0" w:color="auto"/>
      </w:divBdr>
    </w:div>
    <w:div w:id="469320585">
      <w:bodyDiv w:val="1"/>
      <w:marLeft w:val="0"/>
      <w:marRight w:val="0"/>
      <w:marTop w:val="0"/>
      <w:marBottom w:val="0"/>
      <w:divBdr>
        <w:top w:val="none" w:sz="0" w:space="0" w:color="auto"/>
        <w:left w:val="none" w:sz="0" w:space="0" w:color="auto"/>
        <w:bottom w:val="none" w:sz="0" w:space="0" w:color="auto"/>
        <w:right w:val="none" w:sz="0" w:space="0" w:color="auto"/>
      </w:divBdr>
    </w:div>
    <w:div w:id="572663736">
      <w:bodyDiv w:val="1"/>
      <w:marLeft w:val="0"/>
      <w:marRight w:val="0"/>
      <w:marTop w:val="0"/>
      <w:marBottom w:val="0"/>
      <w:divBdr>
        <w:top w:val="none" w:sz="0" w:space="0" w:color="auto"/>
        <w:left w:val="none" w:sz="0" w:space="0" w:color="auto"/>
        <w:bottom w:val="none" w:sz="0" w:space="0" w:color="auto"/>
        <w:right w:val="none" w:sz="0" w:space="0" w:color="auto"/>
      </w:divBdr>
    </w:div>
    <w:div w:id="646667013">
      <w:bodyDiv w:val="1"/>
      <w:marLeft w:val="0"/>
      <w:marRight w:val="0"/>
      <w:marTop w:val="0"/>
      <w:marBottom w:val="0"/>
      <w:divBdr>
        <w:top w:val="none" w:sz="0" w:space="0" w:color="auto"/>
        <w:left w:val="none" w:sz="0" w:space="0" w:color="auto"/>
        <w:bottom w:val="none" w:sz="0" w:space="0" w:color="auto"/>
        <w:right w:val="none" w:sz="0" w:space="0" w:color="auto"/>
      </w:divBdr>
    </w:div>
    <w:div w:id="864177909">
      <w:bodyDiv w:val="1"/>
      <w:marLeft w:val="0"/>
      <w:marRight w:val="0"/>
      <w:marTop w:val="0"/>
      <w:marBottom w:val="0"/>
      <w:divBdr>
        <w:top w:val="none" w:sz="0" w:space="0" w:color="auto"/>
        <w:left w:val="none" w:sz="0" w:space="0" w:color="auto"/>
        <w:bottom w:val="none" w:sz="0" w:space="0" w:color="auto"/>
        <w:right w:val="none" w:sz="0" w:space="0" w:color="auto"/>
      </w:divBdr>
    </w:div>
    <w:div w:id="1097023144">
      <w:bodyDiv w:val="1"/>
      <w:marLeft w:val="0"/>
      <w:marRight w:val="0"/>
      <w:marTop w:val="0"/>
      <w:marBottom w:val="0"/>
      <w:divBdr>
        <w:top w:val="none" w:sz="0" w:space="0" w:color="auto"/>
        <w:left w:val="none" w:sz="0" w:space="0" w:color="auto"/>
        <w:bottom w:val="none" w:sz="0" w:space="0" w:color="auto"/>
        <w:right w:val="none" w:sz="0" w:space="0" w:color="auto"/>
      </w:divBdr>
    </w:div>
    <w:div w:id="12482694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494179471">
      <w:bodyDiv w:val="1"/>
      <w:marLeft w:val="0"/>
      <w:marRight w:val="0"/>
      <w:marTop w:val="0"/>
      <w:marBottom w:val="0"/>
      <w:divBdr>
        <w:top w:val="none" w:sz="0" w:space="0" w:color="auto"/>
        <w:left w:val="none" w:sz="0" w:space="0" w:color="auto"/>
        <w:bottom w:val="none" w:sz="0" w:space="0" w:color="auto"/>
        <w:right w:val="none" w:sz="0" w:space="0" w:color="auto"/>
      </w:divBdr>
    </w:div>
    <w:div w:id="1536692039">
      <w:bodyDiv w:val="1"/>
      <w:marLeft w:val="0"/>
      <w:marRight w:val="0"/>
      <w:marTop w:val="0"/>
      <w:marBottom w:val="0"/>
      <w:divBdr>
        <w:top w:val="none" w:sz="0" w:space="0" w:color="auto"/>
        <w:left w:val="none" w:sz="0" w:space="0" w:color="auto"/>
        <w:bottom w:val="none" w:sz="0" w:space="0" w:color="auto"/>
        <w:right w:val="none" w:sz="0" w:space="0" w:color="auto"/>
      </w:divBdr>
    </w:div>
    <w:div w:id="1555117933">
      <w:bodyDiv w:val="1"/>
      <w:marLeft w:val="0"/>
      <w:marRight w:val="0"/>
      <w:marTop w:val="0"/>
      <w:marBottom w:val="0"/>
      <w:divBdr>
        <w:top w:val="none" w:sz="0" w:space="0" w:color="auto"/>
        <w:left w:val="none" w:sz="0" w:space="0" w:color="auto"/>
        <w:bottom w:val="none" w:sz="0" w:space="0" w:color="auto"/>
        <w:right w:val="none" w:sz="0" w:space="0" w:color="auto"/>
      </w:divBdr>
    </w:div>
    <w:div w:id="1648315484">
      <w:bodyDiv w:val="1"/>
      <w:marLeft w:val="0"/>
      <w:marRight w:val="0"/>
      <w:marTop w:val="0"/>
      <w:marBottom w:val="0"/>
      <w:divBdr>
        <w:top w:val="none" w:sz="0" w:space="0" w:color="auto"/>
        <w:left w:val="none" w:sz="0" w:space="0" w:color="auto"/>
        <w:bottom w:val="none" w:sz="0" w:space="0" w:color="auto"/>
        <w:right w:val="none" w:sz="0" w:space="0" w:color="auto"/>
      </w:divBdr>
    </w:div>
    <w:div w:id="1742603725">
      <w:bodyDiv w:val="1"/>
      <w:marLeft w:val="0"/>
      <w:marRight w:val="0"/>
      <w:marTop w:val="0"/>
      <w:marBottom w:val="0"/>
      <w:divBdr>
        <w:top w:val="none" w:sz="0" w:space="0" w:color="auto"/>
        <w:left w:val="none" w:sz="0" w:space="0" w:color="auto"/>
        <w:bottom w:val="none" w:sz="0" w:space="0" w:color="auto"/>
        <w:right w:val="none" w:sz="0" w:space="0" w:color="auto"/>
      </w:divBdr>
    </w:div>
    <w:div w:id="1877347951">
      <w:bodyDiv w:val="1"/>
      <w:marLeft w:val="0"/>
      <w:marRight w:val="0"/>
      <w:marTop w:val="0"/>
      <w:marBottom w:val="0"/>
      <w:divBdr>
        <w:top w:val="none" w:sz="0" w:space="0" w:color="auto"/>
        <w:left w:val="none" w:sz="0" w:space="0" w:color="auto"/>
        <w:bottom w:val="none" w:sz="0" w:space="0" w:color="auto"/>
        <w:right w:val="none" w:sz="0" w:space="0" w:color="auto"/>
      </w:divBdr>
    </w:div>
    <w:div w:id="1948853757">
      <w:bodyDiv w:val="1"/>
      <w:marLeft w:val="0"/>
      <w:marRight w:val="0"/>
      <w:marTop w:val="0"/>
      <w:marBottom w:val="0"/>
      <w:divBdr>
        <w:top w:val="none" w:sz="0" w:space="0" w:color="auto"/>
        <w:left w:val="none" w:sz="0" w:space="0" w:color="auto"/>
        <w:bottom w:val="none" w:sz="0" w:space="0" w:color="auto"/>
        <w:right w:val="none" w:sz="0" w:space="0" w:color="auto"/>
      </w:divBdr>
    </w:div>
    <w:div w:id="1962571848">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6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2.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1FA29-B96F-424D-9C83-25B10A2E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494</TotalTime>
  <Pages>14</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84</cp:revision>
  <cp:lastPrinted>2021-06-10T04:18:00Z</cp:lastPrinted>
  <dcterms:created xsi:type="dcterms:W3CDTF">2021-06-08T05:49:00Z</dcterms:created>
  <dcterms:modified xsi:type="dcterms:W3CDTF">2021-06-23T01:48:00Z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