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1ECBA" w14:textId="77777777" w:rsidR="00FB640B" w:rsidRPr="008B24C8" w:rsidRDefault="0057002B" w:rsidP="00BB0CF2">
      <w:pPr>
        <w:pStyle w:val="ESTitleHeader"/>
      </w:pPr>
      <w:bookmarkStart w:id="0" w:name="_GoBack"/>
      <w:bookmarkEnd w:id="0"/>
      <w:r w:rsidRPr="008B24C8">
        <w:t>EXPLANATORY STATEMENT</w:t>
      </w:r>
    </w:p>
    <w:p w14:paraId="3F63533E" w14:textId="77777777" w:rsidR="0057002B" w:rsidRPr="008B24C8" w:rsidRDefault="0057002B" w:rsidP="00BB0CF2">
      <w:pPr>
        <w:pStyle w:val="ESTitleDecisionMaker"/>
      </w:pPr>
      <w:r w:rsidRPr="008B24C8">
        <w:t xml:space="preserve">Issued by authority of the </w:t>
      </w:r>
      <w:r w:rsidR="00E43ED9" w:rsidRPr="00BE3A1C">
        <w:t>Minister for Immigration, Citizenship, Migrant Services and Multicultural Affairs</w:t>
      </w:r>
    </w:p>
    <w:p w14:paraId="607D49CA" w14:textId="77777777" w:rsidR="0057002B" w:rsidRPr="008B24C8" w:rsidRDefault="0057002B" w:rsidP="00915032">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4184A32C" w14:textId="6C515125" w:rsidR="00BB0CF2" w:rsidRPr="00A469EC" w:rsidRDefault="00011842" w:rsidP="00A469EC">
      <w:pPr>
        <w:pStyle w:val="ESTitleInstrumentName"/>
      </w:pPr>
      <w:bookmarkStart w:id="1" w:name="Title"/>
      <w:r w:rsidRPr="00011842">
        <w:rPr>
          <w:bCs/>
        </w:rPr>
        <w:t>Migration (Complying Investments) Amendment Instrument (LIN 21/041) 2021</w:t>
      </w:r>
      <w:bookmarkEnd w:id="1"/>
    </w:p>
    <w:p w14:paraId="1874B231" w14:textId="43034E15" w:rsidR="0057002B" w:rsidRPr="008B24C8" w:rsidRDefault="0057002B" w:rsidP="002D167E">
      <w:pPr>
        <w:pStyle w:val="ESPara"/>
      </w:pPr>
      <w:r w:rsidRPr="008B24C8">
        <w:t>The instrume</w:t>
      </w:r>
      <w:r w:rsidR="004C2F5E">
        <w:t xml:space="preserve">nt, Departmental reference </w:t>
      </w:r>
      <w:r w:rsidR="00927938">
        <w:t>LIN 21/041</w:t>
      </w:r>
      <w:r w:rsidR="007A229C" w:rsidRPr="00927938">
        <w:t xml:space="preserve">, </w:t>
      </w:r>
      <w:r w:rsidR="007A229C">
        <w:t xml:space="preserve">is made under </w:t>
      </w:r>
      <w:proofErr w:type="spellStart"/>
      <w:r w:rsidR="007A229C">
        <w:t>subregulation</w:t>
      </w:r>
      <w:proofErr w:type="spellEnd"/>
      <w:r w:rsidR="007A229C">
        <w:t xml:space="preserve"> 5.19C(6) </w:t>
      </w:r>
      <w:r w:rsidR="007A229C" w:rsidRPr="009464C5">
        <w:t xml:space="preserve">of the </w:t>
      </w:r>
      <w:r w:rsidR="007A229C">
        <w:rPr>
          <w:i/>
        </w:rPr>
        <w:t xml:space="preserve">Migration Regulations 1994 </w:t>
      </w:r>
      <w:r w:rsidR="007A229C" w:rsidRPr="009464C5">
        <w:t xml:space="preserve">(the </w:t>
      </w:r>
      <w:r w:rsidR="007A229C" w:rsidRPr="00852F9A">
        <w:t>Regulations</w:t>
      </w:r>
      <w:r w:rsidR="007A229C" w:rsidRPr="009464C5">
        <w:t>)</w:t>
      </w:r>
      <w:r w:rsidRPr="008B24C8">
        <w:t xml:space="preserve">.  </w:t>
      </w:r>
    </w:p>
    <w:p w14:paraId="4FE4C828" w14:textId="3304CF95" w:rsidR="00CF5981" w:rsidRDefault="00A469EC" w:rsidP="002D167E">
      <w:pPr>
        <w:pStyle w:val="ESPara"/>
      </w:pPr>
      <w:r w:rsidRPr="007E6606">
        <w:t xml:space="preserve">The instrument </w:t>
      </w:r>
      <w:r w:rsidR="00620511">
        <w:t>amends</w:t>
      </w:r>
      <w:r w:rsidRPr="007E6606">
        <w:t xml:space="preserve"> </w:t>
      </w:r>
      <w:r w:rsidR="009959DD" w:rsidRPr="009959DD">
        <w:rPr>
          <w:i/>
        </w:rPr>
        <w:t xml:space="preserve">Migration (IMMI 15/100: Complying Investments) Instrument 2015 </w:t>
      </w:r>
      <w:r w:rsidR="009959DD">
        <w:t>(IMMI </w:t>
      </w:r>
      <w:r w:rsidR="009959DD" w:rsidRPr="009959DD">
        <w:t>15/100</w:t>
      </w:r>
      <w:r w:rsidR="009959DD">
        <w:t xml:space="preserve">) </w:t>
      </w:r>
      <w:r w:rsidR="009959DD" w:rsidRPr="009959DD">
        <w:t>(F2015L01012)</w:t>
      </w:r>
      <w:r w:rsidRPr="009959DD">
        <w:t xml:space="preserve"> </w:t>
      </w:r>
      <w:r w:rsidRPr="007E6606">
        <w:t xml:space="preserve">made under regulations 5.19C and 5.19D of the Regulations, in accordance with subsection 33(3) of the </w:t>
      </w:r>
      <w:r w:rsidRPr="007E6606">
        <w:rPr>
          <w:i/>
        </w:rPr>
        <w:t>Acts Interpretation Act 1901</w:t>
      </w:r>
      <w:r w:rsidRPr="007E6606">
        <w:t>. The effect of that subsection is to include a power in the Regulations to make, amend or repeal an instrument made under the Regulations.</w:t>
      </w:r>
    </w:p>
    <w:p w14:paraId="39B87D05" w14:textId="77777777" w:rsidR="003F26EB" w:rsidRDefault="00A469EC" w:rsidP="00E161B0">
      <w:pPr>
        <w:pStyle w:val="ESPara"/>
      </w:pPr>
      <w:r>
        <w:t>The inst</w:t>
      </w:r>
      <w:r w:rsidR="009E650E">
        <w:t>rument commences on</w:t>
      </w:r>
      <w:r w:rsidR="008F34C7">
        <w:t xml:space="preserve"> </w:t>
      </w:r>
      <w:r w:rsidR="003F26EB">
        <w:t>the later of:</w:t>
      </w:r>
    </w:p>
    <w:p w14:paraId="5BC3DA50" w14:textId="724A9781" w:rsidR="003F26EB" w:rsidRDefault="00E161B0" w:rsidP="00D6196A">
      <w:pPr>
        <w:pStyle w:val="ESPara"/>
        <w:numPr>
          <w:ilvl w:val="0"/>
          <w:numId w:val="7"/>
        </w:numPr>
      </w:pPr>
      <w:r>
        <w:t>1 July 2021</w:t>
      </w:r>
      <w:r w:rsidR="003F26EB">
        <w:t>; and</w:t>
      </w:r>
    </w:p>
    <w:p w14:paraId="4AD97767" w14:textId="4ACCD439" w:rsidR="008F34C7" w:rsidRDefault="003F26EB" w:rsidP="00D6196A">
      <w:pPr>
        <w:pStyle w:val="ESPara"/>
        <w:numPr>
          <w:ilvl w:val="0"/>
          <w:numId w:val="7"/>
        </w:numPr>
      </w:pPr>
      <w:r>
        <w:t>the day after registration on the Federal Register of Legislation.</w:t>
      </w:r>
    </w:p>
    <w:p w14:paraId="1A858912" w14:textId="2DF0C7BF" w:rsidR="00BD598E" w:rsidRPr="008B24C8" w:rsidRDefault="008F34C7" w:rsidP="009E650E">
      <w:pPr>
        <w:pStyle w:val="ESPara"/>
      </w:pPr>
      <w:r>
        <w:t xml:space="preserve">The instrument </w:t>
      </w:r>
      <w:r w:rsidR="00AA4557">
        <w:t>i</w:t>
      </w:r>
      <w:r w:rsidR="00BD598E" w:rsidRPr="008B24C8">
        <w:t xml:space="preserve">s a </w:t>
      </w:r>
      <w:r w:rsidR="00AA4557">
        <w:t>legislative</w:t>
      </w:r>
      <w:r w:rsidR="00BD598E" w:rsidRPr="008B24C8">
        <w:t xml:space="preserve"> instrument for </w:t>
      </w:r>
      <w:r w:rsidR="00B75478">
        <w:t xml:space="preserve">the </w:t>
      </w:r>
      <w:r w:rsidR="00100DFC" w:rsidRPr="009E650E">
        <w:rPr>
          <w:i/>
        </w:rPr>
        <w:t>Legislation Act 2003</w:t>
      </w:r>
      <w:r w:rsidR="00100DFC">
        <w:t xml:space="preserve"> (the</w:t>
      </w:r>
      <w:r w:rsidR="00100DFC" w:rsidRPr="009E650E">
        <w:rPr>
          <w:b/>
          <w:i/>
        </w:rPr>
        <w:t xml:space="preserve"> </w:t>
      </w:r>
      <w:r w:rsidR="00100DFC" w:rsidRPr="00852F9A">
        <w:t>Legislation Act</w:t>
      </w:r>
      <w:r w:rsidR="00100DFC">
        <w:t>)</w:t>
      </w:r>
      <w:r w:rsidR="00BD598E" w:rsidRPr="008B24C8">
        <w:t xml:space="preserve">.  </w:t>
      </w:r>
    </w:p>
    <w:p w14:paraId="0FE83116" w14:textId="77777777" w:rsidR="00EA12C9" w:rsidRPr="002D6A6C" w:rsidRDefault="00BD598E" w:rsidP="00100DFC">
      <w:pPr>
        <w:pStyle w:val="ESHeading"/>
      </w:pPr>
      <w:r w:rsidRPr="008B24C8">
        <w:t>Purpos</w:t>
      </w:r>
      <w:r w:rsidRPr="002D6A6C">
        <w:t>e</w:t>
      </w:r>
      <w:r w:rsidR="00BB0CF2" w:rsidRPr="002D6A6C">
        <w:t xml:space="preserve"> </w:t>
      </w:r>
    </w:p>
    <w:p w14:paraId="59AFDFA6" w14:textId="62CD1286" w:rsidR="009E5934" w:rsidRDefault="0072340A" w:rsidP="005431C4">
      <w:pPr>
        <w:pStyle w:val="ESPara"/>
      </w:pPr>
      <w:r>
        <w:t xml:space="preserve">IMMI 15/100 </w:t>
      </w:r>
      <w:r w:rsidR="003F26EB">
        <w:t>specifies</w:t>
      </w:r>
      <w:r w:rsidR="009959DD" w:rsidRPr="009959DD">
        <w:t xml:space="preserve"> the investments permitted for certain streams </w:t>
      </w:r>
      <w:r w:rsidR="005431C4">
        <w:t>for Subclass 1</w:t>
      </w:r>
      <w:r w:rsidR="005431C4" w:rsidRPr="009959DD">
        <w:t xml:space="preserve">88 </w:t>
      </w:r>
      <w:r w:rsidR="005431C4">
        <w:t>(</w:t>
      </w:r>
      <w:r w:rsidR="005431C4" w:rsidRPr="008A2D90">
        <w:t>Business Innovation and Investment (Provisional)</w:t>
      </w:r>
      <w:r w:rsidR="005431C4">
        <w:t>) visa and Subclass 8</w:t>
      </w:r>
      <w:r w:rsidR="005431C4" w:rsidRPr="009959DD">
        <w:t xml:space="preserve">88 </w:t>
      </w:r>
      <w:r w:rsidR="005431C4">
        <w:t>(</w:t>
      </w:r>
      <w:hyperlink r:id="rId8" w:history="1">
        <w:r w:rsidR="005431C4" w:rsidRPr="008A2D90">
          <w:rPr>
            <w:rStyle w:val="Hyperlink"/>
            <w:bCs/>
            <w:color w:val="auto"/>
            <w:u w:val="none"/>
          </w:rPr>
          <w:t>Business Innovation and Investment (Permanent)</w:t>
        </w:r>
        <w:r w:rsidR="005431C4">
          <w:rPr>
            <w:rStyle w:val="Hyperlink"/>
            <w:bCs/>
            <w:color w:val="auto"/>
            <w:u w:val="none"/>
          </w:rPr>
          <w:t>)</w:t>
        </w:r>
        <w:r w:rsidR="005431C4" w:rsidRPr="008A2D90">
          <w:rPr>
            <w:rStyle w:val="Hyperlink"/>
            <w:bCs/>
            <w:color w:val="auto"/>
            <w:u w:val="none"/>
          </w:rPr>
          <w:t xml:space="preserve"> </w:t>
        </w:r>
      </w:hyperlink>
      <w:r w:rsidR="005431C4">
        <w:t xml:space="preserve">visa </w:t>
      </w:r>
      <w:r w:rsidR="009959DD" w:rsidRPr="009959DD">
        <w:t>under Australia’s Business Innovation a</w:t>
      </w:r>
      <w:r w:rsidR="008A2D90">
        <w:t>n</w:t>
      </w:r>
      <w:r w:rsidR="00EC47D1">
        <w:t xml:space="preserve">d Investment Program (BIIP). </w:t>
      </w:r>
      <w:r w:rsidR="009959DD" w:rsidRPr="009959DD">
        <w:t>One of the prim</w:t>
      </w:r>
      <w:r w:rsidR="000B43CE">
        <w:t>ary criteria for these streams wa</w:t>
      </w:r>
      <w:r w:rsidR="009959DD" w:rsidRPr="009959DD">
        <w:t>s that an applicant has made a complying investment of a minimum total amount</w:t>
      </w:r>
      <w:r w:rsidR="009E5934">
        <w:t>.</w:t>
      </w:r>
      <w:r w:rsidR="00F702F3">
        <w:t xml:space="preserve"> IMMI 15/100 </w:t>
      </w:r>
      <w:r w:rsidR="00A466CD">
        <w:t xml:space="preserve">currently </w:t>
      </w:r>
      <w:r w:rsidR="00F702F3">
        <w:t>set</w:t>
      </w:r>
      <w:r w:rsidR="003F26EB">
        <w:t>s</w:t>
      </w:r>
      <w:r w:rsidR="00F702F3" w:rsidRPr="00F702F3">
        <w:t xml:space="preserve"> out the requirements for complying investmen</w:t>
      </w:r>
      <w:r w:rsidR="005551E1">
        <w:t xml:space="preserve">ts under the streams, known as </w:t>
      </w:r>
      <w:r w:rsidR="00F702F3" w:rsidRPr="005431C4">
        <w:rPr>
          <w:i/>
        </w:rPr>
        <w:t>complying significant investments</w:t>
      </w:r>
      <w:r w:rsidR="00E96FE6">
        <w:t xml:space="preserve"> (see regulation</w:t>
      </w:r>
      <w:r w:rsidR="007608AF">
        <w:t> </w:t>
      </w:r>
      <w:r w:rsidR="00E96FE6" w:rsidRPr="007E6606">
        <w:t>5.19C</w:t>
      </w:r>
      <w:r w:rsidR="00E96FE6">
        <w:t xml:space="preserve"> </w:t>
      </w:r>
      <w:r w:rsidR="00E96FE6" w:rsidRPr="007E6606">
        <w:t>of the Regulations</w:t>
      </w:r>
      <w:r w:rsidR="00E96FE6">
        <w:t>)</w:t>
      </w:r>
      <w:r w:rsidR="00F702F3" w:rsidRPr="00F702F3">
        <w:t xml:space="preserve"> and</w:t>
      </w:r>
      <w:r w:rsidR="005551E1">
        <w:t xml:space="preserve"> </w:t>
      </w:r>
      <w:r w:rsidR="00E96FE6" w:rsidRPr="005431C4">
        <w:rPr>
          <w:i/>
        </w:rPr>
        <w:t>complying premium investments</w:t>
      </w:r>
      <w:r w:rsidR="00E96FE6">
        <w:t xml:space="preserve"> (see regulation</w:t>
      </w:r>
      <w:r w:rsidR="007608AF">
        <w:t> </w:t>
      </w:r>
      <w:r w:rsidR="00E96FE6">
        <w:t>5.19D</w:t>
      </w:r>
      <w:r w:rsidR="00E96FE6" w:rsidRPr="007E6606">
        <w:t xml:space="preserve"> of the Regulations</w:t>
      </w:r>
      <w:r w:rsidR="00E96FE6">
        <w:t>).</w:t>
      </w:r>
    </w:p>
    <w:p w14:paraId="66F4D576" w14:textId="50042408" w:rsidR="00054BDD" w:rsidRDefault="000B43CE" w:rsidP="00A1239A">
      <w:pPr>
        <w:pStyle w:val="ESPara"/>
      </w:pPr>
      <w:r>
        <w:t xml:space="preserve">On </w:t>
      </w:r>
      <w:r w:rsidR="002728CB">
        <w:t>1 July</w:t>
      </w:r>
      <w:r w:rsidRPr="002728CB">
        <w:t xml:space="preserve"> 2021</w:t>
      </w:r>
      <w:r w:rsidR="005F2574" w:rsidRPr="002728CB">
        <w:t>,</w:t>
      </w:r>
      <w:r w:rsidR="005F2574">
        <w:t xml:space="preserve"> </w:t>
      </w:r>
      <w:r>
        <w:t>the R</w:t>
      </w:r>
      <w:r w:rsidR="00701744">
        <w:t xml:space="preserve">egulations </w:t>
      </w:r>
      <w:r w:rsidR="00D6196A">
        <w:t>were</w:t>
      </w:r>
      <w:r>
        <w:t xml:space="preserve"> amended </w:t>
      </w:r>
      <w:r w:rsidR="00A1239A">
        <w:t xml:space="preserve">by the </w:t>
      </w:r>
      <w:r w:rsidR="00A1239A" w:rsidRPr="00A1239A">
        <w:rPr>
          <w:i/>
        </w:rPr>
        <w:t>Home Affairs Legislation Amendment (2021 Measures No. 1) Regulations 2021</w:t>
      </w:r>
      <w:r w:rsidR="00890C4E">
        <w:t xml:space="preserve">. </w:t>
      </w:r>
      <w:r w:rsidR="003B00F1">
        <w:t xml:space="preserve">The BIIP component of the migration program aims to bring to Australia migrants with business, investment and entrepreneurial skills that will benefit the Australian economy. </w:t>
      </w:r>
      <w:r w:rsidR="00890C4E">
        <w:t>The</w:t>
      </w:r>
      <w:r w:rsidR="00054BDD">
        <w:t xml:space="preserve"> amendments will streamline and improve the BIIP to ensure that it is well-placed to support Australia’s post-COVID-19 economic recovery by maximising the impact of high value investors, business owners and entrepreneurs.</w:t>
      </w:r>
    </w:p>
    <w:p w14:paraId="25C7C6BA" w14:textId="280BC3E1" w:rsidR="00E42A32" w:rsidRDefault="008501C9" w:rsidP="00967461">
      <w:pPr>
        <w:pStyle w:val="ESPara"/>
      </w:pPr>
      <w:r>
        <w:t>T</w:t>
      </w:r>
      <w:r w:rsidR="00A01E29">
        <w:t>he amended Regulations</w:t>
      </w:r>
      <w:r w:rsidR="00701744">
        <w:t xml:space="preserve"> will</w:t>
      </w:r>
      <w:r w:rsidR="00A01E29">
        <w:t xml:space="preserve"> </w:t>
      </w:r>
      <w:r w:rsidR="00E42A32" w:rsidRPr="00E42A32">
        <w:t>ch</w:t>
      </w:r>
      <w:r w:rsidR="00A01E29">
        <w:t>ange</w:t>
      </w:r>
      <w:r w:rsidR="00E42A32" w:rsidRPr="00E42A32">
        <w:t xml:space="preserve"> the current </w:t>
      </w:r>
      <w:r w:rsidR="00E42A32" w:rsidRPr="00967461">
        <w:rPr>
          <w:i/>
        </w:rPr>
        <w:t xml:space="preserve">designated investment </w:t>
      </w:r>
      <w:r w:rsidR="00E42A32" w:rsidRPr="00E42A32">
        <w:t xml:space="preserve">requirement </w:t>
      </w:r>
      <w:r w:rsidR="00285E81">
        <w:t>for the Investor stream</w:t>
      </w:r>
      <w:r w:rsidR="00285E81" w:rsidRPr="00E42A32">
        <w:t xml:space="preserve"> </w:t>
      </w:r>
      <w:r w:rsidR="00E42A32" w:rsidRPr="00E42A32">
        <w:t xml:space="preserve">(based on passive investment in State and Territory government security) to a requirement to make a </w:t>
      </w:r>
      <w:r w:rsidR="00E42A32" w:rsidRPr="00967461">
        <w:rPr>
          <w:i/>
        </w:rPr>
        <w:t xml:space="preserve">complying significant investment </w:t>
      </w:r>
      <w:r w:rsidR="00E42A32" w:rsidRPr="00E42A32">
        <w:t>which will be overhauled to direct investments into areas where there is a greater need and greater impact on Australia’s economic growth by directly helping emerging and start-up companies</w:t>
      </w:r>
      <w:r w:rsidR="00A01E29">
        <w:t xml:space="preserve">. </w:t>
      </w:r>
      <w:r w:rsidR="00A01E29" w:rsidRPr="00E42A32">
        <w:t>Subclass 188 and related provisions</w:t>
      </w:r>
      <w:r w:rsidR="00A01E29">
        <w:t xml:space="preserve"> </w:t>
      </w:r>
      <w:r w:rsidR="00B02222">
        <w:t xml:space="preserve">will be amended </w:t>
      </w:r>
      <w:r w:rsidR="00A01E29">
        <w:t>to increase</w:t>
      </w:r>
      <w:r w:rsidR="00E42A32" w:rsidRPr="00E42A32">
        <w:t xml:space="preserve"> the inv</w:t>
      </w:r>
      <w:r w:rsidR="00C2492B">
        <w:t xml:space="preserve">estment required </w:t>
      </w:r>
      <w:r w:rsidR="00285E81">
        <w:t xml:space="preserve">for the Investor stream </w:t>
      </w:r>
      <w:r w:rsidR="00C2492B">
        <w:t xml:space="preserve">from at least </w:t>
      </w:r>
      <w:r w:rsidR="003F26EB">
        <w:t>$</w:t>
      </w:r>
      <w:r w:rsidR="00E42A32" w:rsidRPr="00E42A32">
        <w:t>1,500,000</w:t>
      </w:r>
      <w:r w:rsidR="00C2492B">
        <w:t xml:space="preserve"> to at least </w:t>
      </w:r>
      <w:r w:rsidR="003F26EB">
        <w:t>$</w:t>
      </w:r>
      <w:r w:rsidR="00E42A32" w:rsidRPr="00E42A32">
        <w:t>2,500,00</w:t>
      </w:r>
      <w:r w:rsidR="00C2492B">
        <w:t>0.</w:t>
      </w:r>
    </w:p>
    <w:p w14:paraId="0CE58841" w14:textId="13CCFD7B" w:rsidR="00A62EB2" w:rsidRPr="009E5934" w:rsidRDefault="00D14658" w:rsidP="00690359">
      <w:pPr>
        <w:pStyle w:val="ESPara"/>
      </w:pPr>
      <w:r>
        <w:t>Furthermore, a</w:t>
      </w:r>
      <w:r w:rsidR="00B02222" w:rsidRPr="00E42A32">
        <w:t xml:space="preserve">mendments </w:t>
      </w:r>
      <w:r w:rsidR="00B02222">
        <w:t xml:space="preserve">will also </w:t>
      </w:r>
      <w:r w:rsidR="00690359">
        <w:t xml:space="preserve">be </w:t>
      </w:r>
      <w:r w:rsidR="00B02222">
        <w:t>made</w:t>
      </w:r>
      <w:r w:rsidR="005C1546">
        <w:t xml:space="preserve"> to close three underperforming streams, including the Premium Investor stream (amendments to Subclass 188). As a result of the amendments, </w:t>
      </w:r>
      <w:r w:rsidR="000B43CE">
        <w:t>t</w:t>
      </w:r>
      <w:r w:rsidR="008A2D90" w:rsidRPr="008A2D90">
        <w:t xml:space="preserve">he reference </w:t>
      </w:r>
      <w:r w:rsidR="008A2D90" w:rsidRPr="008A2D90">
        <w:lastRenderedPageBreak/>
        <w:t xml:space="preserve">to </w:t>
      </w:r>
      <w:r w:rsidR="008A2D90" w:rsidRPr="005F2574">
        <w:rPr>
          <w:i/>
        </w:rPr>
        <w:t xml:space="preserve">complying premium investment </w:t>
      </w:r>
      <w:r w:rsidR="00AA6B29">
        <w:t>(regulation 5.19D</w:t>
      </w:r>
      <w:r w:rsidR="00AA6B29" w:rsidRPr="007E6606">
        <w:t xml:space="preserve"> of the Regulations</w:t>
      </w:r>
      <w:r w:rsidR="00AA6B29">
        <w:t xml:space="preserve">) </w:t>
      </w:r>
      <w:r w:rsidR="008A2D90" w:rsidRPr="008A2D90">
        <w:t>will no longer be relevant in Subclass 188 when the Premium Investor stream is closed from 1 Ju</w:t>
      </w:r>
      <w:r w:rsidR="00F25291">
        <w:t>ly 2021 (see amendments to item </w:t>
      </w:r>
      <w:r w:rsidR="008A2D90" w:rsidRPr="008A2D90">
        <w:t>1202B of Schedule 1</w:t>
      </w:r>
      <w:r w:rsidR="000B43CE">
        <w:t xml:space="preserve"> to the Regulations</w:t>
      </w:r>
      <w:r w:rsidR="008A2D90" w:rsidRPr="008A2D90">
        <w:t>).</w:t>
      </w:r>
      <w:r w:rsidR="000B43CE">
        <w:t xml:space="preserve"> However, </w:t>
      </w:r>
      <w:r w:rsidR="008A2D90" w:rsidRPr="008A2D90">
        <w:t xml:space="preserve">the term </w:t>
      </w:r>
      <w:r w:rsidR="008A2D90" w:rsidRPr="000B43CE">
        <w:rPr>
          <w:i/>
        </w:rPr>
        <w:t>complying premium investment</w:t>
      </w:r>
      <w:r w:rsidR="008A2D90" w:rsidRPr="008A2D90">
        <w:t xml:space="preserve"> and regulation 5.19D</w:t>
      </w:r>
      <w:r w:rsidR="000B43CE">
        <w:t xml:space="preserve"> of the Regulations</w:t>
      </w:r>
      <w:r w:rsidR="008A2D90" w:rsidRPr="008A2D90">
        <w:t xml:space="preserve"> will continue to be relevant to applicants for a Subclass 888 visa who hold a Subclass 188 visa in the Premium Investor stream that was </w:t>
      </w:r>
      <w:r w:rsidR="00F25291">
        <w:t>granted or applied for before 1 July </w:t>
      </w:r>
      <w:r w:rsidR="008A2D90" w:rsidRPr="008A2D90">
        <w:t>2021.</w:t>
      </w:r>
      <w:r w:rsidR="00E42A32">
        <w:t xml:space="preserve"> </w:t>
      </w:r>
    </w:p>
    <w:p w14:paraId="01E921E3" w14:textId="0C576851" w:rsidR="00615EB0" w:rsidRPr="00DD7DA5" w:rsidRDefault="00364376" w:rsidP="00615EB0">
      <w:pPr>
        <w:pStyle w:val="ESPara"/>
      </w:pPr>
      <w:proofErr w:type="spellStart"/>
      <w:r>
        <w:t>Subregulation</w:t>
      </w:r>
      <w:proofErr w:type="spellEnd"/>
      <w:r>
        <w:t> </w:t>
      </w:r>
      <w:r w:rsidR="00615EB0" w:rsidRPr="00DD7DA5">
        <w:t xml:space="preserve">5.19C(1) of the Regulations provides that an investment by a person (the investor) is a </w:t>
      </w:r>
      <w:r w:rsidR="00615EB0" w:rsidRPr="00F25291">
        <w:rPr>
          <w:i/>
        </w:rPr>
        <w:t xml:space="preserve">complying significant investment </w:t>
      </w:r>
      <w:r w:rsidR="00615EB0" w:rsidRPr="00DD7DA5">
        <w:t>if all of the requirements in the Regulat</w:t>
      </w:r>
      <w:r w:rsidR="00615EB0">
        <w:t xml:space="preserve">ions are met. </w:t>
      </w:r>
      <w:proofErr w:type="spellStart"/>
      <w:r w:rsidR="00185897">
        <w:t>Subregulation</w:t>
      </w:r>
      <w:proofErr w:type="spellEnd"/>
      <w:r w:rsidR="00185897">
        <w:t> </w:t>
      </w:r>
      <w:r w:rsidR="00615EB0" w:rsidRPr="00DD7DA5">
        <w:t>5.19C(6) of the Regulations provides that the Minister may, by legislative instru</w:t>
      </w:r>
      <w:r w:rsidR="000A4B7C">
        <w:t>ment, specify requirements for</w:t>
      </w:r>
      <w:r w:rsidR="00615EB0" w:rsidRPr="00DD7DA5">
        <w:t xml:space="preserve"> </w:t>
      </w:r>
      <w:proofErr w:type="spellStart"/>
      <w:r w:rsidR="00615EB0" w:rsidRPr="00DD7DA5">
        <w:t>subregulation</w:t>
      </w:r>
      <w:proofErr w:type="spellEnd"/>
      <w:r w:rsidR="00615EB0" w:rsidRPr="00DD7DA5">
        <w:t xml:space="preserve"> 5.19C(5),</w:t>
      </w:r>
      <w:r w:rsidR="00185897">
        <w:t xml:space="preserve"> namely to define the scope of</w:t>
      </w:r>
      <w:r w:rsidR="00F25291">
        <w:t xml:space="preserve"> a</w:t>
      </w:r>
      <w:r w:rsidR="00185897">
        <w:t xml:space="preserve"> </w:t>
      </w:r>
      <w:r w:rsidR="00615EB0" w:rsidRPr="00185897">
        <w:rPr>
          <w:i/>
        </w:rPr>
        <w:t>complying significant investmen</w:t>
      </w:r>
      <w:r w:rsidR="00F25291">
        <w:rPr>
          <w:i/>
        </w:rPr>
        <w:t>t</w:t>
      </w:r>
      <w:r w:rsidR="00615EB0">
        <w:t>.</w:t>
      </w:r>
      <w:r w:rsidR="00615EB0" w:rsidRPr="00DD7DA5">
        <w:t xml:space="preserve"> </w:t>
      </w:r>
    </w:p>
    <w:p w14:paraId="0688815A" w14:textId="3C756FB3" w:rsidR="00683B45" w:rsidRDefault="00A566E2" w:rsidP="00A566E2">
      <w:pPr>
        <w:pStyle w:val="ESPara"/>
      </w:pPr>
      <w:r>
        <w:t xml:space="preserve">The purpose of the instrument is to </w:t>
      </w:r>
      <w:r w:rsidR="00EB18B9">
        <w:t>amend</w:t>
      </w:r>
      <w:r>
        <w:t xml:space="preserve"> IMMI 15/100 to specify the </w:t>
      </w:r>
      <w:r w:rsidR="00107A3A">
        <w:t>sc</w:t>
      </w:r>
      <w:r w:rsidR="00107A3A" w:rsidRPr="009E5934">
        <w:t>ope and requirements of</w:t>
      </w:r>
      <w:r>
        <w:t xml:space="preserve"> complying significant investments </w:t>
      </w:r>
      <w:r w:rsidRPr="00F702F3">
        <w:t>that are required as a result of the</w:t>
      </w:r>
      <w:r>
        <w:t xml:space="preserve"> amendments made to the Regulations.</w:t>
      </w:r>
      <w:r w:rsidR="00A4253A" w:rsidRPr="00A4253A">
        <w:t xml:space="preserve"> </w:t>
      </w:r>
    </w:p>
    <w:p w14:paraId="674FE59F" w14:textId="012BEFF8" w:rsidR="00A566E2" w:rsidRDefault="005551E1" w:rsidP="005551E1">
      <w:pPr>
        <w:pStyle w:val="ESPara"/>
      </w:pPr>
      <w:r>
        <w:t>The instrument</w:t>
      </w:r>
      <w:r w:rsidR="00A4253A">
        <w:t xml:space="preserve"> also </w:t>
      </w:r>
      <w:r w:rsidR="00A4253A" w:rsidRPr="009E5934">
        <w:t>address</w:t>
      </w:r>
      <w:r w:rsidR="00A4253A">
        <w:t>es</w:t>
      </w:r>
      <w:r w:rsidR="00A4253A" w:rsidRPr="009E5934">
        <w:t xml:space="preserve"> feedback identified in a review conducted by the</w:t>
      </w:r>
      <w:r>
        <w:t xml:space="preserve"> </w:t>
      </w:r>
      <w:r w:rsidRPr="005551E1">
        <w:t>Department of Home Affairs in consultation with the</w:t>
      </w:r>
      <w:r w:rsidR="00A4253A" w:rsidRPr="009E5934">
        <w:t xml:space="preserve"> Australian Trade and Investment Commission (Austrade). The items the instrument address </w:t>
      </w:r>
      <w:r w:rsidR="00976D6A">
        <w:t xml:space="preserve">include </w:t>
      </w:r>
      <w:r w:rsidR="00A4253A" w:rsidRPr="009E5934">
        <w:t>several technical issues considered in the review regarding exchange traded funds and the use of derivatives for risk management purposes. The instrument also clarifies the eligibility of venture capital investments via fund of fund structures.</w:t>
      </w:r>
    </w:p>
    <w:p w14:paraId="676FF17F" w14:textId="77777777" w:rsidR="008B24C8" w:rsidRDefault="008B24C8" w:rsidP="00100DFC">
      <w:pPr>
        <w:pStyle w:val="ESHeading"/>
      </w:pPr>
      <w:r w:rsidRPr="008B24C8">
        <w:t>Consultation</w:t>
      </w:r>
    </w:p>
    <w:p w14:paraId="4C9083CE" w14:textId="75D5CE49" w:rsidR="003C0F8B" w:rsidRPr="00807A37" w:rsidRDefault="003C0F8B" w:rsidP="003C0F8B">
      <w:pPr>
        <w:pStyle w:val="ESSubparaHeader"/>
      </w:pPr>
      <w:r>
        <w:t>In preparing the instrument,</w:t>
      </w:r>
      <w:r w:rsidRPr="000347C0">
        <w:t xml:space="preserve"> </w:t>
      </w:r>
      <w:r>
        <w:t>a</w:t>
      </w:r>
      <w:r w:rsidRPr="000347C0">
        <w:t xml:space="preserve"> range of relevant agencies were consulted including </w:t>
      </w:r>
      <w:r>
        <w:t xml:space="preserve">the </w:t>
      </w:r>
      <w:r w:rsidRPr="003C0F8B">
        <w:t>Australian Trade and Investment Commission</w:t>
      </w:r>
      <w:r>
        <w:t xml:space="preserve">, the Australian Securities and Investment Commission, the Department of Foreign Affairs and Trade, the Department of Industry, Science, Energy and Resources, the </w:t>
      </w:r>
      <w:proofErr w:type="spellStart"/>
      <w:r>
        <w:t>AusIndustry</w:t>
      </w:r>
      <w:proofErr w:type="spellEnd"/>
      <w:r>
        <w:t>, and the Treasury.</w:t>
      </w:r>
      <w:r w:rsidRPr="000347C0">
        <w:t xml:space="preserve"> </w:t>
      </w:r>
      <w:r w:rsidR="005551E1">
        <w:t>Austrade</w:t>
      </w:r>
      <w:r w:rsidRPr="00807A37">
        <w:t xml:space="preserve"> agreed with the </w:t>
      </w:r>
      <w:r>
        <w:t>components of complying significant i</w:t>
      </w:r>
      <w:r w:rsidRPr="003C0F8B">
        <w:t>nvestment</w:t>
      </w:r>
      <w:r w:rsidRPr="00807A37">
        <w:t xml:space="preserve"> being specified in the instrument.  </w:t>
      </w:r>
    </w:p>
    <w:p w14:paraId="5F1D5A8A" w14:textId="5241B2EB" w:rsidR="008B24C8" w:rsidRPr="008B24C8" w:rsidRDefault="005A14E0" w:rsidP="002D167E">
      <w:pPr>
        <w:pStyle w:val="ESPara"/>
      </w:pPr>
      <w:r w:rsidRPr="008B24C8">
        <w:t xml:space="preserve">The Office of Best Practice </w:t>
      </w:r>
      <w:r w:rsidRPr="00F2212E">
        <w:t>Regulation (</w:t>
      </w:r>
      <w:r w:rsidRPr="00AE5F50">
        <w:t>OBPR</w:t>
      </w:r>
      <w:r w:rsidRPr="00F2212E">
        <w:t>) was</w:t>
      </w:r>
      <w:r w:rsidRPr="008B24C8">
        <w:t xml:space="preserve"> also consulted and considered that the instrument dealt with m</w:t>
      </w:r>
      <w:r>
        <w:t xml:space="preserve">atters of a minor </w:t>
      </w:r>
      <w:r w:rsidRPr="008B24C8">
        <w:t xml:space="preserve">nature and no regulatory </w:t>
      </w:r>
      <w:r>
        <w:t>impact statement was required. The OBPR reference number is 25905</w:t>
      </w:r>
      <w:r w:rsidRPr="008B24C8">
        <w:t>.</w:t>
      </w:r>
      <w:r>
        <w:t xml:space="preserve"> </w:t>
      </w:r>
    </w:p>
    <w:p w14:paraId="08868979" w14:textId="77777777" w:rsidR="00AA4557" w:rsidRDefault="00464080" w:rsidP="00100DFC">
      <w:pPr>
        <w:pStyle w:val="ESHeading"/>
      </w:pPr>
      <w:r>
        <w:t>Details</w:t>
      </w:r>
      <w:r w:rsidR="00AA4557">
        <w:t xml:space="preserve"> of the instrument</w:t>
      </w:r>
    </w:p>
    <w:p w14:paraId="50EEAC65" w14:textId="77777777" w:rsidR="00390BBA" w:rsidRDefault="00390BBA" w:rsidP="00390BBA">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1 sets out the name of the instrument. </w:t>
      </w:r>
    </w:p>
    <w:p w14:paraId="6F587515" w14:textId="6E76B2A5" w:rsidR="00390BBA" w:rsidRDefault="00390BBA" w:rsidP="00390BBA">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2 sets out the commencement </w:t>
      </w:r>
      <w:r w:rsidR="00EC31A8">
        <w:rPr>
          <w:rFonts w:ascii="Times New Roman" w:hAnsi="Times New Roman" w:cs="Times New Roman"/>
        </w:rPr>
        <w:t xml:space="preserve">date </w:t>
      </w:r>
      <w:r>
        <w:rPr>
          <w:rFonts w:ascii="Times New Roman" w:hAnsi="Times New Roman" w:cs="Times New Roman"/>
        </w:rPr>
        <w:t xml:space="preserve">of the instrument.  </w:t>
      </w:r>
    </w:p>
    <w:p w14:paraId="581890AF" w14:textId="4DEC8CC1" w:rsidR="00390BBA" w:rsidRPr="00F13A2F" w:rsidRDefault="00390BBA" w:rsidP="0043683A">
      <w:pPr>
        <w:pStyle w:val="ESSubparaHeader"/>
      </w:pPr>
      <w:r>
        <w:t>Section 3 provides that IMMI 15/100</w:t>
      </w:r>
      <w:r w:rsidR="0043683A">
        <w:t xml:space="preserve"> (</w:t>
      </w:r>
      <w:r w:rsidR="0043683A" w:rsidRPr="0043683A">
        <w:t>F2015L01012</w:t>
      </w:r>
      <w:r w:rsidR="0043683A">
        <w:t>)</w:t>
      </w:r>
      <w:r>
        <w:t xml:space="preserve"> is amended as set out in Schedule</w:t>
      </w:r>
      <w:r w:rsidR="00233170">
        <w:t xml:space="preserve"> </w:t>
      </w:r>
      <w:r>
        <w:t xml:space="preserve">1 to the instrument. Details on the amendments in Schedule 1 are set out </w:t>
      </w:r>
      <w:r w:rsidRPr="00F13A2F">
        <w:t xml:space="preserve">in </w:t>
      </w:r>
      <w:r w:rsidRPr="00F13A2F">
        <w:rPr>
          <w:b/>
          <w:u w:val="single"/>
        </w:rPr>
        <w:t>Attachment A</w:t>
      </w:r>
      <w:r w:rsidRPr="00F13A2F">
        <w:t xml:space="preserve">  </w:t>
      </w:r>
    </w:p>
    <w:p w14:paraId="05F59B98" w14:textId="77777777" w:rsidR="00AA4557" w:rsidRPr="00AA4557" w:rsidRDefault="00AA4557" w:rsidP="00100DFC">
      <w:pPr>
        <w:pStyle w:val="ESHeading"/>
      </w:pPr>
      <w:r>
        <w:t xml:space="preserve">Parliamentary scrutiny etc.  </w:t>
      </w:r>
    </w:p>
    <w:p w14:paraId="63B40915" w14:textId="3A60C3D0" w:rsidR="00E03DCC" w:rsidRDefault="00E03DCC" w:rsidP="002D167E">
      <w:pPr>
        <w:pStyle w:val="ESPara"/>
      </w:pPr>
      <w:r>
        <w:t>The instrument is exempt from disallowance under sect</w:t>
      </w:r>
      <w:r w:rsidR="00A01242">
        <w:t xml:space="preserve">ion 42 of the Legislation Act. </w:t>
      </w:r>
      <w:r>
        <w:t>This is because</w:t>
      </w:r>
      <w:r w:rsidR="00233170">
        <w:t xml:space="preserve"> it is an instrument made under Part 5 of the Migration Regulations, which is exempt from disallowance under</w:t>
      </w:r>
      <w:r>
        <w:t xml:space="preserve"> </w:t>
      </w:r>
      <w:r w:rsidR="00233170">
        <w:t>paragraph (b) of item</w:t>
      </w:r>
      <w:r w:rsidR="00A01242">
        <w:t> 20</w:t>
      </w:r>
      <w:r w:rsidR="00233170">
        <w:t xml:space="preserve"> in</w:t>
      </w:r>
      <w:r w:rsidR="00A01242">
        <w:t xml:space="preserve"> </w:t>
      </w:r>
      <w:r>
        <w:t xml:space="preserve">section 10 of the </w:t>
      </w:r>
      <w:r>
        <w:rPr>
          <w:i/>
        </w:rPr>
        <w:t>Legislation (Exemptions and Other Matters) Regulation 2015</w:t>
      </w:r>
      <w:r>
        <w:t xml:space="preserve">.  </w:t>
      </w:r>
    </w:p>
    <w:p w14:paraId="0CCD4B71" w14:textId="602D87FB" w:rsidR="00B75478" w:rsidRDefault="00B75478" w:rsidP="002D167E">
      <w:pPr>
        <w:pStyle w:val="ESPara"/>
      </w:pPr>
      <w:r w:rsidRPr="00B75478">
        <w:lastRenderedPageBreak/>
        <w:t xml:space="preserve">The </w:t>
      </w:r>
      <w:r>
        <w:t xml:space="preserve">instrument was made by </w:t>
      </w:r>
      <w:r w:rsidR="00A01242">
        <w:t>the Minister for Immigration, Citizenship, Migrant Services and Multicultural Affairs</w:t>
      </w:r>
      <w:r>
        <w:t xml:space="preserve">, in accordance with </w:t>
      </w:r>
      <w:proofErr w:type="spellStart"/>
      <w:r w:rsidR="00A01242">
        <w:t>subregulation</w:t>
      </w:r>
      <w:proofErr w:type="spellEnd"/>
      <w:r w:rsidR="00A01242">
        <w:t xml:space="preserve"> 5.19C(6) of the Regulations.</w:t>
      </w:r>
    </w:p>
    <w:p w14:paraId="3AD3D53D" w14:textId="77777777" w:rsidR="007E4691" w:rsidRDefault="007E4691" w:rsidP="00915032">
      <w:pPr>
        <w:rPr>
          <w:rFonts w:ascii="Times New Roman" w:hAnsi="Times New Roman" w:cs="Times New Roman"/>
        </w:rPr>
      </w:pPr>
      <w:r>
        <w:rPr>
          <w:rFonts w:ascii="Times New Roman" w:hAnsi="Times New Roman" w:cs="Times New Roman"/>
        </w:rPr>
        <w:br w:type="page"/>
      </w:r>
    </w:p>
    <w:p w14:paraId="354E74CD" w14:textId="532937AB" w:rsidR="004F5CE4" w:rsidRDefault="00E855A2" w:rsidP="00100DFC">
      <w:pPr>
        <w:pStyle w:val="ESAttAttName"/>
      </w:pPr>
      <w:r>
        <w:lastRenderedPageBreak/>
        <w:t>Attachment A</w:t>
      </w:r>
    </w:p>
    <w:p w14:paraId="74EF5BD7" w14:textId="526988F3" w:rsidR="00355207" w:rsidRPr="00077C30" w:rsidRDefault="00121160" w:rsidP="00077C30">
      <w:pPr>
        <w:pStyle w:val="ESAttHeading"/>
      </w:pPr>
      <w:r>
        <w:t xml:space="preserve">Details of Schedule 1 to </w:t>
      </w:r>
      <w:r w:rsidRPr="00121160">
        <w:rPr>
          <w:bCs/>
          <w:i/>
        </w:rPr>
        <w:t>Migration (Complying Investments) Amendment Instrument (LIN 21/041) 2021</w:t>
      </w:r>
    </w:p>
    <w:p w14:paraId="10515AA1" w14:textId="139F7CDA" w:rsidR="00355207" w:rsidRDefault="00EA3061" w:rsidP="00355207">
      <w:pPr>
        <w:keepNext/>
        <w:spacing w:before="240" w:after="240" w:line="276" w:lineRule="auto"/>
        <w:rPr>
          <w:rFonts w:ascii="Times New Roman" w:hAnsi="Times New Roman" w:cs="Times New Roman"/>
          <w:b/>
        </w:rPr>
      </w:pPr>
      <w:r>
        <w:rPr>
          <w:rFonts w:ascii="Times New Roman" w:hAnsi="Times New Roman" w:cs="Times New Roman"/>
          <w:b/>
        </w:rPr>
        <w:t>Item</w:t>
      </w:r>
      <w:r w:rsidR="00355207">
        <w:rPr>
          <w:rFonts w:ascii="Times New Roman" w:hAnsi="Times New Roman" w:cs="Times New Roman"/>
          <w:b/>
        </w:rPr>
        <w:t xml:space="preserve"> 1</w:t>
      </w:r>
      <w:r w:rsidR="00355207">
        <w:rPr>
          <w:rFonts w:ascii="Times New Roman" w:hAnsi="Times New Roman" w:cs="Times New Roman"/>
          <w:b/>
        </w:rPr>
        <w:tab/>
      </w:r>
      <w:r w:rsidR="00355207">
        <w:rPr>
          <w:rFonts w:ascii="Times New Roman" w:hAnsi="Times New Roman" w:cs="Times New Roman"/>
          <w:b/>
        </w:rPr>
        <w:tab/>
        <w:t>Amendments to the heading of Part 1</w:t>
      </w:r>
    </w:p>
    <w:p w14:paraId="1C0E885D" w14:textId="3A5C4466" w:rsidR="00355207" w:rsidRDefault="00E42D17" w:rsidP="00355207">
      <w:pPr>
        <w:spacing w:before="240" w:after="240" w:line="276" w:lineRule="auto"/>
        <w:rPr>
          <w:rFonts w:ascii="Times New Roman" w:hAnsi="Times New Roman" w:cs="Times New Roman"/>
        </w:rPr>
      </w:pPr>
      <w:r>
        <w:rPr>
          <w:rFonts w:ascii="Times New Roman" w:hAnsi="Times New Roman" w:cs="Times New Roman"/>
        </w:rPr>
        <w:t>Item</w:t>
      </w:r>
      <w:r w:rsidR="00355207">
        <w:rPr>
          <w:rFonts w:ascii="Times New Roman" w:hAnsi="Times New Roman" w:cs="Times New Roman"/>
        </w:rPr>
        <w:t xml:space="preserve"> </w:t>
      </w:r>
      <w:r>
        <w:rPr>
          <w:rFonts w:ascii="Times New Roman" w:hAnsi="Times New Roman" w:cs="Times New Roman"/>
        </w:rPr>
        <w:t>1</w:t>
      </w:r>
      <w:r w:rsidR="00355207">
        <w:rPr>
          <w:rFonts w:ascii="Times New Roman" w:hAnsi="Times New Roman" w:cs="Times New Roman"/>
        </w:rPr>
        <w:t xml:space="preserve"> removes </w:t>
      </w:r>
      <w:r w:rsidRPr="00E42D17">
        <w:rPr>
          <w:rFonts w:ascii="Times New Roman" w:hAnsi="Times New Roman" w:cs="Times New Roman"/>
        </w:rPr>
        <w:t>the heading of Part 1</w:t>
      </w:r>
      <w:r>
        <w:rPr>
          <w:rFonts w:ascii="Times New Roman" w:hAnsi="Times New Roman" w:cs="Times New Roman"/>
        </w:rPr>
        <w:t xml:space="preserve">. </w:t>
      </w:r>
      <w:r w:rsidR="00D6662F">
        <w:rPr>
          <w:rFonts w:ascii="Times New Roman" w:hAnsi="Times New Roman" w:cs="Times New Roman"/>
        </w:rPr>
        <w:t xml:space="preserve">Specifically, it removes the heading words ‘Part 1 – Preliminary’. </w:t>
      </w:r>
    </w:p>
    <w:p w14:paraId="6A7AEE01" w14:textId="29701570" w:rsidR="00E42D17" w:rsidRPr="001662AF" w:rsidRDefault="00E42D17" w:rsidP="00E42D17">
      <w:pPr>
        <w:keepNext/>
        <w:spacing w:before="240" w:after="240" w:line="276" w:lineRule="auto"/>
        <w:rPr>
          <w:rFonts w:ascii="Times New Roman" w:hAnsi="Times New Roman" w:cs="Times New Roman"/>
          <w:b/>
        </w:rPr>
      </w:pPr>
      <w:r w:rsidRPr="001662AF">
        <w:rPr>
          <w:rFonts w:ascii="Times New Roman" w:hAnsi="Times New Roman" w:cs="Times New Roman"/>
          <w:b/>
        </w:rPr>
        <w:t>I</w:t>
      </w:r>
      <w:r w:rsidR="00EA3061" w:rsidRPr="001662AF">
        <w:rPr>
          <w:rFonts w:ascii="Times New Roman" w:hAnsi="Times New Roman" w:cs="Times New Roman"/>
          <w:b/>
        </w:rPr>
        <w:t>tem</w:t>
      </w:r>
      <w:r w:rsidRPr="001662AF">
        <w:rPr>
          <w:rFonts w:ascii="Times New Roman" w:hAnsi="Times New Roman" w:cs="Times New Roman"/>
          <w:b/>
        </w:rPr>
        <w:t xml:space="preserve"> 2</w:t>
      </w:r>
      <w:r w:rsidRPr="001662AF">
        <w:rPr>
          <w:rFonts w:ascii="Times New Roman" w:hAnsi="Times New Roman" w:cs="Times New Roman"/>
          <w:b/>
        </w:rPr>
        <w:tab/>
      </w:r>
      <w:r w:rsidRPr="001662AF">
        <w:rPr>
          <w:rFonts w:ascii="Times New Roman" w:hAnsi="Times New Roman" w:cs="Times New Roman"/>
          <w:b/>
        </w:rPr>
        <w:tab/>
        <w:t>Amendments to section 3</w:t>
      </w:r>
    </w:p>
    <w:p w14:paraId="4E7AF2DC" w14:textId="7385344D" w:rsidR="00E42D17" w:rsidRPr="001662AF" w:rsidRDefault="001662AF" w:rsidP="001662AF">
      <w:pPr>
        <w:spacing w:before="240" w:after="240" w:line="276" w:lineRule="auto"/>
        <w:rPr>
          <w:rFonts w:ascii="Times New Roman" w:hAnsi="Times New Roman" w:cs="Times New Roman"/>
        </w:rPr>
      </w:pPr>
      <w:r w:rsidRPr="001662AF">
        <w:rPr>
          <w:rFonts w:ascii="Times New Roman" w:hAnsi="Times New Roman" w:cs="Times New Roman"/>
        </w:rPr>
        <w:t>Item</w:t>
      </w:r>
      <w:r w:rsidR="00E42D17" w:rsidRPr="001662AF">
        <w:rPr>
          <w:rFonts w:ascii="Times New Roman" w:hAnsi="Times New Roman" w:cs="Times New Roman"/>
        </w:rPr>
        <w:t xml:space="preserve"> 2 </w:t>
      </w:r>
      <w:r w:rsidR="00354FB5">
        <w:rPr>
          <w:rFonts w:ascii="Times New Roman" w:hAnsi="Times New Roman" w:cs="Times New Roman"/>
        </w:rPr>
        <w:t>omits the current contents of section 3 relating to the legislative authority and substitutes new text. The effect will be to remove the reference to regulation 5.19D of the Migration Regulations and only refer to regulation 5.19C.</w:t>
      </w:r>
      <w:r w:rsidRPr="001662AF">
        <w:rPr>
          <w:rFonts w:ascii="Times New Roman" w:eastAsiaTheme="minorHAnsi" w:hAnsi="Times New Roman"/>
          <w:szCs w:val="20"/>
        </w:rPr>
        <w:t xml:space="preserve"> </w:t>
      </w:r>
      <w:r w:rsidR="00354FB5">
        <w:rPr>
          <w:rFonts w:ascii="Times New Roman" w:hAnsi="Times New Roman" w:cs="Times New Roman"/>
        </w:rPr>
        <w:t>This is to reflect</w:t>
      </w:r>
      <w:r>
        <w:rPr>
          <w:rFonts w:ascii="Times New Roman" w:hAnsi="Times New Roman" w:cs="Times New Roman"/>
        </w:rPr>
        <w:t xml:space="preserve"> that </w:t>
      </w:r>
      <w:r w:rsidR="001311F6" w:rsidRPr="001662AF">
        <w:rPr>
          <w:rFonts w:ascii="Times New Roman" w:hAnsi="Times New Roman" w:cs="Times New Roman"/>
        </w:rPr>
        <w:t>regulation</w:t>
      </w:r>
      <w:r>
        <w:rPr>
          <w:rFonts w:ascii="Times New Roman" w:hAnsi="Times New Roman" w:cs="Times New Roman"/>
        </w:rPr>
        <w:t xml:space="preserve"> 5.19D</w:t>
      </w:r>
      <w:r w:rsidR="001311F6" w:rsidRPr="001662AF">
        <w:rPr>
          <w:rFonts w:ascii="Times New Roman" w:hAnsi="Times New Roman" w:cs="Times New Roman"/>
        </w:rPr>
        <w:t xml:space="preserve"> </w:t>
      </w:r>
      <w:r>
        <w:rPr>
          <w:rFonts w:ascii="Times New Roman" w:hAnsi="Times New Roman" w:cs="Times New Roman"/>
          <w:iCs/>
        </w:rPr>
        <w:t xml:space="preserve">is no longer </w:t>
      </w:r>
      <w:r w:rsidR="00354FB5">
        <w:rPr>
          <w:rFonts w:ascii="Times New Roman" w:hAnsi="Times New Roman" w:cs="Times New Roman"/>
          <w:iCs/>
        </w:rPr>
        <w:t xml:space="preserve">a </w:t>
      </w:r>
      <w:r>
        <w:rPr>
          <w:rFonts w:ascii="Times New Roman" w:hAnsi="Times New Roman" w:cs="Times New Roman"/>
          <w:iCs/>
        </w:rPr>
        <w:t>head of power to make the instrument</w:t>
      </w:r>
      <w:r w:rsidR="001311F6" w:rsidRPr="001662AF">
        <w:rPr>
          <w:rFonts w:ascii="Times New Roman" w:hAnsi="Times New Roman" w:cs="Times New Roman"/>
        </w:rPr>
        <w:t>.</w:t>
      </w:r>
    </w:p>
    <w:p w14:paraId="4EB6A68E" w14:textId="05D1E0E3" w:rsidR="004F1CBD" w:rsidRPr="000A3C2A" w:rsidRDefault="004F1CBD" w:rsidP="004F1CBD">
      <w:pPr>
        <w:keepNext/>
        <w:spacing w:before="240" w:after="240" w:line="276" w:lineRule="auto"/>
        <w:rPr>
          <w:rFonts w:ascii="Times New Roman" w:hAnsi="Times New Roman" w:cs="Times New Roman"/>
          <w:b/>
        </w:rPr>
      </w:pPr>
      <w:r w:rsidRPr="000A3C2A">
        <w:rPr>
          <w:rFonts w:ascii="Times New Roman" w:hAnsi="Times New Roman" w:cs="Times New Roman"/>
          <w:b/>
        </w:rPr>
        <w:t>I</w:t>
      </w:r>
      <w:r w:rsidR="008F3B45" w:rsidRPr="000A3C2A">
        <w:rPr>
          <w:rFonts w:ascii="Times New Roman" w:hAnsi="Times New Roman" w:cs="Times New Roman"/>
          <w:b/>
        </w:rPr>
        <w:t>tems 3</w:t>
      </w:r>
      <w:r w:rsidRPr="000A3C2A">
        <w:rPr>
          <w:rFonts w:ascii="Times New Roman" w:hAnsi="Times New Roman" w:cs="Times New Roman"/>
          <w:b/>
        </w:rPr>
        <w:t>–</w:t>
      </w:r>
      <w:r w:rsidR="008F3B45" w:rsidRPr="000A3C2A">
        <w:rPr>
          <w:rFonts w:ascii="Times New Roman" w:hAnsi="Times New Roman" w:cs="Times New Roman"/>
          <w:b/>
        </w:rPr>
        <w:t>7</w:t>
      </w:r>
      <w:r w:rsidR="008F3B45" w:rsidRPr="000A3C2A">
        <w:rPr>
          <w:rFonts w:ascii="Times New Roman" w:hAnsi="Times New Roman" w:cs="Times New Roman"/>
          <w:b/>
        </w:rPr>
        <w:tab/>
        <w:t>Amendments to section 4</w:t>
      </w:r>
    </w:p>
    <w:p w14:paraId="602C4B96" w14:textId="757A9E92" w:rsidR="00073C46" w:rsidRDefault="004F1CBD" w:rsidP="004F1CBD">
      <w:pPr>
        <w:spacing w:before="240" w:after="240" w:line="276" w:lineRule="auto"/>
        <w:rPr>
          <w:rFonts w:ascii="Times New Roman" w:hAnsi="Times New Roman" w:cs="Times New Roman"/>
        </w:rPr>
      </w:pPr>
      <w:r w:rsidRPr="000A3C2A">
        <w:rPr>
          <w:rFonts w:ascii="Times New Roman" w:hAnsi="Times New Roman" w:cs="Times New Roman"/>
        </w:rPr>
        <w:t xml:space="preserve">Items </w:t>
      </w:r>
      <w:r w:rsidR="000A3C2A" w:rsidRPr="000A3C2A">
        <w:rPr>
          <w:rFonts w:ascii="Times New Roman" w:hAnsi="Times New Roman" w:cs="Times New Roman"/>
        </w:rPr>
        <w:t>3-7 amend section 4</w:t>
      </w:r>
      <w:r w:rsidR="00D55CA3">
        <w:rPr>
          <w:rFonts w:ascii="Times New Roman" w:hAnsi="Times New Roman" w:cs="Times New Roman"/>
        </w:rPr>
        <w:t xml:space="preserve"> of </w:t>
      </w:r>
      <w:r w:rsidR="00D55CA3" w:rsidRPr="007C49C3">
        <w:rPr>
          <w:rFonts w:ascii="Times New Roman" w:hAnsi="Times New Roman" w:cs="Times New Roman"/>
        </w:rPr>
        <w:t>IMMI 15/100</w:t>
      </w:r>
      <w:r w:rsidR="00305B05">
        <w:rPr>
          <w:rFonts w:ascii="Times New Roman" w:hAnsi="Times New Roman" w:cs="Times New Roman"/>
        </w:rPr>
        <w:t>, which is the definitions section</w:t>
      </w:r>
      <w:r w:rsidR="00073C46">
        <w:rPr>
          <w:rFonts w:ascii="Times New Roman" w:hAnsi="Times New Roman" w:cs="Times New Roman"/>
        </w:rPr>
        <w:t>.</w:t>
      </w:r>
    </w:p>
    <w:p w14:paraId="744AB363" w14:textId="76FCE094" w:rsidR="00DB6A64" w:rsidRDefault="00AA6A8A" w:rsidP="004F1CBD">
      <w:pPr>
        <w:spacing w:before="240" w:after="240" w:line="276" w:lineRule="auto"/>
        <w:rPr>
          <w:rFonts w:ascii="Times New Roman" w:hAnsi="Times New Roman" w:cs="Times New Roman"/>
        </w:rPr>
      </w:pPr>
      <w:r>
        <w:rPr>
          <w:rFonts w:ascii="Times New Roman" w:hAnsi="Times New Roman" w:cs="Times New Roman"/>
        </w:rPr>
        <w:t>Item 3</w:t>
      </w:r>
      <w:r w:rsidR="00354FB5">
        <w:rPr>
          <w:rFonts w:ascii="Times New Roman" w:hAnsi="Times New Roman" w:cs="Times New Roman"/>
        </w:rPr>
        <w:t xml:space="preserve"> amends the note at the beginning of the definitions provision </w:t>
      </w:r>
      <w:r w:rsidR="009534CA">
        <w:rPr>
          <w:rFonts w:ascii="Times New Roman" w:hAnsi="Times New Roman" w:cs="Times New Roman"/>
        </w:rPr>
        <w:t xml:space="preserve">to </w:t>
      </w:r>
      <w:r w:rsidR="0097791B">
        <w:rPr>
          <w:rFonts w:ascii="Times New Roman" w:hAnsi="Times New Roman" w:cs="Times New Roman"/>
        </w:rPr>
        <w:t>remove the</w:t>
      </w:r>
      <w:r w:rsidR="00354FB5">
        <w:rPr>
          <w:rFonts w:ascii="Times New Roman" w:hAnsi="Times New Roman" w:cs="Times New Roman"/>
        </w:rPr>
        <w:t xml:space="preserve"> reference </w:t>
      </w:r>
      <w:r w:rsidR="0097791B">
        <w:rPr>
          <w:rFonts w:ascii="Times New Roman" w:hAnsi="Times New Roman" w:cs="Times New Roman"/>
        </w:rPr>
        <w:t xml:space="preserve">to </w:t>
      </w:r>
      <w:r w:rsidR="00354FB5" w:rsidRPr="0097791B">
        <w:rPr>
          <w:rFonts w:ascii="Times New Roman" w:hAnsi="Times New Roman" w:cs="Times New Roman"/>
          <w:i/>
        </w:rPr>
        <w:t>complying premium investment</w:t>
      </w:r>
      <w:r w:rsidR="00354FB5">
        <w:rPr>
          <w:rFonts w:ascii="Times New Roman" w:hAnsi="Times New Roman" w:cs="Times New Roman"/>
        </w:rPr>
        <w:t>.</w:t>
      </w:r>
    </w:p>
    <w:p w14:paraId="35A96970" w14:textId="6347CA08" w:rsidR="00DB6A64" w:rsidRDefault="00DB6A64" w:rsidP="00DB6A64">
      <w:pPr>
        <w:spacing w:before="240" w:after="240" w:line="276" w:lineRule="auto"/>
        <w:rPr>
          <w:rFonts w:ascii="Times New Roman" w:hAnsi="Times New Roman" w:cs="Times New Roman"/>
        </w:rPr>
      </w:pPr>
      <w:r>
        <w:rPr>
          <w:rFonts w:ascii="Times New Roman" w:hAnsi="Times New Roman" w:cs="Times New Roman"/>
        </w:rPr>
        <w:t xml:space="preserve">Item 4 inserts the definition of </w:t>
      </w:r>
      <w:r w:rsidRPr="00CC1009">
        <w:rPr>
          <w:rFonts w:ascii="Times New Roman" w:hAnsi="Times New Roman" w:cs="Times New Roman"/>
          <w:i/>
        </w:rPr>
        <w:t>fund of funds</w:t>
      </w:r>
      <w:r w:rsidR="00D5487D">
        <w:rPr>
          <w:rFonts w:ascii="Times New Roman" w:hAnsi="Times New Roman" w:cs="Times New Roman"/>
        </w:rPr>
        <w:t xml:space="preserve">, which will mean </w:t>
      </w:r>
      <w:r w:rsidR="00D5487D" w:rsidRPr="00D5487D">
        <w:rPr>
          <w:rFonts w:ascii="Times New Roman" w:hAnsi="Times New Roman" w:cs="Times New Roman"/>
        </w:rPr>
        <w:t>a managed investment fund that invests in other funds</w:t>
      </w:r>
      <w:r>
        <w:rPr>
          <w:rFonts w:ascii="Times New Roman" w:hAnsi="Times New Roman" w:cs="Times New Roman"/>
        </w:rPr>
        <w:t>. This term was referred to in the general requirements under section 11</w:t>
      </w:r>
      <w:r w:rsidR="00D55CA3" w:rsidRPr="00D55CA3">
        <w:rPr>
          <w:rFonts w:ascii="Times New Roman" w:hAnsi="Times New Roman" w:cs="Times New Roman"/>
        </w:rPr>
        <w:t xml:space="preserve"> </w:t>
      </w:r>
      <w:r w:rsidR="00D55CA3">
        <w:rPr>
          <w:rFonts w:ascii="Times New Roman" w:hAnsi="Times New Roman" w:cs="Times New Roman"/>
        </w:rPr>
        <w:t xml:space="preserve">of </w:t>
      </w:r>
      <w:r w:rsidR="00D55CA3" w:rsidRPr="007C49C3">
        <w:rPr>
          <w:rFonts w:ascii="Times New Roman" w:hAnsi="Times New Roman" w:cs="Times New Roman"/>
        </w:rPr>
        <w:t>IMMI 15/100</w:t>
      </w:r>
      <w:r>
        <w:rPr>
          <w:rFonts w:ascii="Times New Roman" w:hAnsi="Times New Roman" w:cs="Times New Roman"/>
        </w:rPr>
        <w:t>, but it was not defined previously.</w:t>
      </w:r>
    </w:p>
    <w:p w14:paraId="27905394" w14:textId="322D2CB0" w:rsidR="00AA6A8A" w:rsidRDefault="00354FB5" w:rsidP="004F1CBD">
      <w:pPr>
        <w:spacing w:before="240" w:after="240" w:line="276" w:lineRule="auto"/>
        <w:rPr>
          <w:rFonts w:ascii="Times New Roman" w:hAnsi="Times New Roman" w:cs="Times New Roman"/>
        </w:rPr>
      </w:pPr>
      <w:r>
        <w:rPr>
          <w:rFonts w:ascii="Times New Roman" w:hAnsi="Times New Roman" w:cs="Times New Roman"/>
        </w:rPr>
        <w:t xml:space="preserve">Item </w:t>
      </w:r>
      <w:r w:rsidR="00AA6A8A">
        <w:rPr>
          <w:rFonts w:ascii="Times New Roman" w:hAnsi="Times New Roman" w:cs="Times New Roman"/>
        </w:rPr>
        <w:t xml:space="preserve">5 </w:t>
      </w:r>
      <w:r w:rsidR="00D55CA3">
        <w:rPr>
          <w:rFonts w:ascii="Times New Roman" w:hAnsi="Times New Roman" w:cs="Times New Roman"/>
        </w:rPr>
        <w:t>removes a reference to regulation 5.19D of the Regulations, which is no longer required.</w:t>
      </w:r>
    </w:p>
    <w:p w14:paraId="26B8216A" w14:textId="767B4C5C" w:rsidR="00D55CA3" w:rsidRPr="0021734A" w:rsidRDefault="00D55CA3" w:rsidP="00073C46">
      <w:pPr>
        <w:spacing w:before="240" w:after="240" w:line="276" w:lineRule="auto"/>
        <w:rPr>
          <w:rFonts w:ascii="Times New Roman" w:hAnsi="Times New Roman" w:cs="Times New Roman"/>
        </w:rPr>
      </w:pPr>
      <w:r>
        <w:rPr>
          <w:rFonts w:ascii="Times New Roman" w:hAnsi="Times New Roman" w:cs="Times New Roman"/>
        </w:rPr>
        <w:t xml:space="preserve">Item 6 </w:t>
      </w:r>
      <w:r w:rsidR="0021734A">
        <w:rPr>
          <w:rFonts w:ascii="Times New Roman" w:hAnsi="Times New Roman" w:cs="Times New Roman"/>
        </w:rPr>
        <w:t xml:space="preserve">omits the reference to </w:t>
      </w:r>
      <w:r w:rsidR="0021734A" w:rsidRPr="0021734A">
        <w:rPr>
          <w:rFonts w:ascii="Times New Roman" w:hAnsi="Times New Roman" w:cs="Times New Roman"/>
          <w:i/>
        </w:rPr>
        <w:t>Premium Investor Stream</w:t>
      </w:r>
      <w:r w:rsidR="0021734A">
        <w:rPr>
          <w:rFonts w:ascii="Times New Roman" w:hAnsi="Times New Roman" w:cs="Times New Roman"/>
        </w:rPr>
        <w:t xml:space="preserve"> in the definition of </w:t>
      </w:r>
      <w:r w:rsidR="0021734A">
        <w:rPr>
          <w:rFonts w:ascii="Times New Roman" w:hAnsi="Times New Roman" w:cs="Times New Roman"/>
          <w:i/>
        </w:rPr>
        <w:t>visa</w:t>
      </w:r>
      <w:r w:rsidR="0021734A">
        <w:rPr>
          <w:rFonts w:ascii="Times New Roman" w:hAnsi="Times New Roman" w:cs="Times New Roman"/>
        </w:rPr>
        <w:t xml:space="preserve"> and substitutes </w:t>
      </w:r>
      <w:r w:rsidR="0021734A">
        <w:rPr>
          <w:rFonts w:ascii="Times New Roman" w:hAnsi="Times New Roman" w:cs="Times New Roman"/>
          <w:i/>
        </w:rPr>
        <w:t>Investor Stream</w:t>
      </w:r>
      <w:r w:rsidR="0021734A">
        <w:rPr>
          <w:rFonts w:ascii="Times New Roman" w:hAnsi="Times New Roman" w:cs="Times New Roman"/>
        </w:rPr>
        <w:t>.</w:t>
      </w:r>
    </w:p>
    <w:p w14:paraId="52339F4B" w14:textId="3AB9F926" w:rsidR="0005297E" w:rsidRDefault="00EA3061" w:rsidP="0005297E">
      <w:pPr>
        <w:keepNext/>
        <w:spacing w:before="240" w:after="240" w:line="276" w:lineRule="auto"/>
        <w:rPr>
          <w:rFonts w:ascii="Times New Roman" w:hAnsi="Times New Roman" w:cs="Times New Roman"/>
          <w:b/>
        </w:rPr>
      </w:pPr>
      <w:r>
        <w:rPr>
          <w:rFonts w:ascii="Times New Roman" w:hAnsi="Times New Roman" w:cs="Times New Roman"/>
          <w:b/>
        </w:rPr>
        <w:t>Item</w:t>
      </w:r>
      <w:r w:rsidR="00D2161B">
        <w:rPr>
          <w:rFonts w:ascii="Times New Roman" w:hAnsi="Times New Roman" w:cs="Times New Roman"/>
          <w:b/>
        </w:rPr>
        <w:t xml:space="preserve"> 7</w:t>
      </w:r>
      <w:r w:rsidR="0005297E">
        <w:rPr>
          <w:rFonts w:ascii="Times New Roman" w:hAnsi="Times New Roman" w:cs="Times New Roman"/>
          <w:b/>
        </w:rPr>
        <w:tab/>
      </w:r>
      <w:r w:rsidR="0005297E">
        <w:rPr>
          <w:rFonts w:ascii="Times New Roman" w:hAnsi="Times New Roman" w:cs="Times New Roman"/>
          <w:b/>
        </w:rPr>
        <w:tab/>
        <w:t>Amendments to the heading of Part 2</w:t>
      </w:r>
    </w:p>
    <w:p w14:paraId="2172D897" w14:textId="3B31B55D" w:rsidR="0005297E" w:rsidRDefault="00D2161B" w:rsidP="0005297E">
      <w:pPr>
        <w:spacing w:before="240" w:after="240" w:line="276" w:lineRule="auto"/>
        <w:rPr>
          <w:rFonts w:ascii="Times New Roman" w:hAnsi="Times New Roman" w:cs="Times New Roman"/>
        </w:rPr>
      </w:pPr>
      <w:r>
        <w:rPr>
          <w:rFonts w:ascii="Times New Roman" w:hAnsi="Times New Roman" w:cs="Times New Roman"/>
        </w:rPr>
        <w:t>Item 7</w:t>
      </w:r>
      <w:r w:rsidR="0005297E">
        <w:rPr>
          <w:rFonts w:ascii="Times New Roman" w:hAnsi="Times New Roman" w:cs="Times New Roman"/>
        </w:rPr>
        <w:t xml:space="preserve"> removes the heading of Part 2.</w:t>
      </w:r>
      <w:r w:rsidR="00305B05">
        <w:rPr>
          <w:rFonts w:ascii="Times New Roman" w:hAnsi="Times New Roman" w:cs="Times New Roman"/>
        </w:rPr>
        <w:t xml:space="preserve"> Specifically, it removes the words ‘Part 2—</w:t>
      </w:r>
      <w:r w:rsidR="00305B05" w:rsidRPr="00305B05">
        <w:rPr>
          <w:rFonts w:ascii="Times New Roman" w:hAnsi="Times New Roman" w:cs="Times New Roman"/>
        </w:rPr>
        <w:t>Complying significant investments</w:t>
      </w:r>
      <w:r w:rsidR="00305B05">
        <w:rPr>
          <w:rFonts w:ascii="Times New Roman" w:hAnsi="Times New Roman" w:cs="Times New Roman"/>
        </w:rPr>
        <w:t>’.</w:t>
      </w:r>
      <w:r w:rsidR="0005297E">
        <w:rPr>
          <w:rFonts w:ascii="Times New Roman" w:hAnsi="Times New Roman" w:cs="Times New Roman"/>
        </w:rPr>
        <w:t xml:space="preserve"> </w:t>
      </w:r>
    </w:p>
    <w:p w14:paraId="54940D56" w14:textId="2B41D763" w:rsidR="008F3B45" w:rsidRPr="00F12DC8" w:rsidRDefault="008F3B45" w:rsidP="008F3B45">
      <w:pPr>
        <w:keepNext/>
        <w:spacing w:before="240" w:after="240" w:line="276" w:lineRule="auto"/>
        <w:rPr>
          <w:rFonts w:ascii="Times New Roman" w:hAnsi="Times New Roman" w:cs="Times New Roman"/>
          <w:b/>
        </w:rPr>
      </w:pPr>
      <w:r w:rsidRPr="00F12DC8">
        <w:rPr>
          <w:rFonts w:ascii="Times New Roman" w:hAnsi="Times New Roman" w:cs="Times New Roman"/>
          <w:b/>
        </w:rPr>
        <w:t>I</w:t>
      </w:r>
      <w:r w:rsidR="00EA3061" w:rsidRPr="00F12DC8">
        <w:rPr>
          <w:rFonts w:ascii="Times New Roman" w:hAnsi="Times New Roman" w:cs="Times New Roman"/>
          <w:b/>
        </w:rPr>
        <w:t>tem</w:t>
      </w:r>
      <w:r w:rsidR="003D6736">
        <w:rPr>
          <w:rFonts w:ascii="Times New Roman" w:hAnsi="Times New Roman" w:cs="Times New Roman"/>
          <w:b/>
        </w:rPr>
        <w:t xml:space="preserve"> 8</w:t>
      </w:r>
      <w:r w:rsidR="00EA3061" w:rsidRPr="00F12DC8">
        <w:rPr>
          <w:rFonts w:ascii="Times New Roman" w:hAnsi="Times New Roman" w:cs="Times New Roman"/>
          <w:b/>
        </w:rPr>
        <w:tab/>
      </w:r>
      <w:r w:rsidR="00EA3061" w:rsidRPr="00F12DC8">
        <w:rPr>
          <w:rFonts w:ascii="Times New Roman" w:hAnsi="Times New Roman" w:cs="Times New Roman"/>
          <w:b/>
        </w:rPr>
        <w:tab/>
      </w:r>
      <w:r w:rsidR="00712C33" w:rsidRPr="00F12DC8">
        <w:rPr>
          <w:rFonts w:ascii="Times New Roman" w:hAnsi="Times New Roman" w:cs="Times New Roman"/>
          <w:b/>
        </w:rPr>
        <w:t>A</w:t>
      </w:r>
      <w:r w:rsidR="00E63A2C">
        <w:rPr>
          <w:rFonts w:ascii="Times New Roman" w:hAnsi="Times New Roman" w:cs="Times New Roman"/>
          <w:b/>
        </w:rPr>
        <w:t>fter</w:t>
      </w:r>
      <w:r w:rsidRPr="00F12DC8">
        <w:rPr>
          <w:rFonts w:ascii="Times New Roman" w:hAnsi="Times New Roman" w:cs="Times New Roman"/>
          <w:b/>
        </w:rPr>
        <w:t xml:space="preserve"> section </w:t>
      </w:r>
      <w:r w:rsidR="004640E6">
        <w:rPr>
          <w:rFonts w:ascii="Times New Roman" w:hAnsi="Times New Roman" w:cs="Times New Roman"/>
          <w:b/>
        </w:rPr>
        <w:t>4</w:t>
      </w:r>
    </w:p>
    <w:p w14:paraId="7BD83B3F" w14:textId="57F55EBD" w:rsidR="003E220E" w:rsidRDefault="00BD1EF7" w:rsidP="008F3B45">
      <w:pPr>
        <w:spacing w:before="240" w:after="240" w:line="276" w:lineRule="auto"/>
        <w:rPr>
          <w:rFonts w:ascii="Times New Roman" w:hAnsi="Times New Roman" w:cs="Times New Roman"/>
        </w:rPr>
      </w:pPr>
      <w:r w:rsidRPr="001662AF">
        <w:rPr>
          <w:rFonts w:ascii="Times New Roman" w:hAnsi="Times New Roman" w:cs="Times New Roman"/>
        </w:rPr>
        <w:t xml:space="preserve">Item </w:t>
      </w:r>
      <w:r w:rsidR="00D2161B">
        <w:rPr>
          <w:rFonts w:ascii="Times New Roman" w:hAnsi="Times New Roman" w:cs="Times New Roman"/>
        </w:rPr>
        <w:t>8</w:t>
      </w:r>
      <w:r w:rsidRPr="001662AF">
        <w:rPr>
          <w:rFonts w:ascii="Times New Roman" w:hAnsi="Times New Roman" w:cs="Times New Roman"/>
        </w:rPr>
        <w:t xml:space="preserve"> </w:t>
      </w:r>
      <w:r w:rsidR="00D2161B">
        <w:rPr>
          <w:rFonts w:ascii="Times New Roman" w:hAnsi="Times New Roman" w:cs="Times New Roman"/>
        </w:rPr>
        <w:t>inserts</w:t>
      </w:r>
      <w:r w:rsidR="00E63A2C">
        <w:rPr>
          <w:rFonts w:ascii="Times New Roman" w:hAnsi="Times New Roman" w:cs="Times New Roman"/>
        </w:rPr>
        <w:t xml:space="preserve"> sectio</w:t>
      </w:r>
      <w:r w:rsidR="004640E6">
        <w:rPr>
          <w:rFonts w:ascii="Times New Roman" w:hAnsi="Times New Roman" w:cs="Times New Roman"/>
        </w:rPr>
        <w:t>n 4</w:t>
      </w:r>
      <w:r w:rsidR="00E63A2C">
        <w:rPr>
          <w:rFonts w:ascii="Times New Roman" w:hAnsi="Times New Roman" w:cs="Times New Roman"/>
        </w:rPr>
        <w:t>A</w:t>
      </w:r>
      <w:r w:rsidR="00D2161B">
        <w:rPr>
          <w:rFonts w:ascii="Times New Roman" w:hAnsi="Times New Roman" w:cs="Times New Roman"/>
        </w:rPr>
        <w:t>, which</w:t>
      </w:r>
      <w:r w:rsidR="00E63A2C">
        <w:rPr>
          <w:rFonts w:ascii="Times New Roman" w:hAnsi="Times New Roman" w:cs="Times New Roman"/>
        </w:rPr>
        <w:t xml:space="preserve"> contains</w:t>
      </w:r>
      <w:r w:rsidR="00D936E6">
        <w:rPr>
          <w:rFonts w:ascii="Times New Roman" w:hAnsi="Times New Roman" w:cs="Times New Roman"/>
        </w:rPr>
        <w:t xml:space="preserve"> </w:t>
      </w:r>
      <w:r w:rsidR="003E220E">
        <w:rPr>
          <w:rFonts w:ascii="Times New Roman" w:hAnsi="Times New Roman" w:cs="Times New Roman"/>
        </w:rPr>
        <w:t>savings and transitional</w:t>
      </w:r>
      <w:r w:rsidR="00D936E6">
        <w:rPr>
          <w:rFonts w:ascii="Times New Roman" w:hAnsi="Times New Roman" w:cs="Times New Roman"/>
        </w:rPr>
        <w:t xml:space="preserve"> provision</w:t>
      </w:r>
      <w:r w:rsidR="003E220E">
        <w:rPr>
          <w:rFonts w:ascii="Times New Roman" w:hAnsi="Times New Roman" w:cs="Times New Roman"/>
        </w:rPr>
        <w:t>s</w:t>
      </w:r>
      <w:r w:rsidR="00D936E6">
        <w:rPr>
          <w:rFonts w:ascii="Times New Roman" w:hAnsi="Times New Roman" w:cs="Times New Roman"/>
        </w:rPr>
        <w:t xml:space="preserve">. </w:t>
      </w:r>
    </w:p>
    <w:p w14:paraId="136978FA" w14:textId="77777777" w:rsidR="00D2161B" w:rsidRDefault="003E220E" w:rsidP="008F3B45">
      <w:pPr>
        <w:spacing w:before="240" w:after="240" w:line="276" w:lineRule="auto"/>
        <w:rPr>
          <w:rFonts w:ascii="Times New Roman" w:hAnsi="Times New Roman" w:cs="Times New Roman"/>
        </w:rPr>
      </w:pPr>
      <w:r>
        <w:rPr>
          <w:rFonts w:ascii="Times New Roman" w:hAnsi="Times New Roman" w:cs="Times New Roman"/>
        </w:rPr>
        <w:t xml:space="preserve">New subsection </w:t>
      </w:r>
      <w:r w:rsidR="004640E6">
        <w:rPr>
          <w:rFonts w:ascii="Times New Roman" w:hAnsi="Times New Roman" w:cs="Times New Roman"/>
        </w:rPr>
        <w:t>4</w:t>
      </w:r>
      <w:r w:rsidR="00E63A2C">
        <w:rPr>
          <w:rFonts w:ascii="Times New Roman" w:hAnsi="Times New Roman" w:cs="Times New Roman"/>
        </w:rPr>
        <w:t>A</w:t>
      </w:r>
      <w:r>
        <w:rPr>
          <w:rFonts w:ascii="Times New Roman" w:hAnsi="Times New Roman" w:cs="Times New Roman"/>
        </w:rPr>
        <w:t>(1) provides</w:t>
      </w:r>
      <w:r w:rsidR="00BD1EF7">
        <w:rPr>
          <w:rFonts w:ascii="Times New Roman" w:hAnsi="Times New Roman" w:cs="Times New Roman"/>
        </w:rPr>
        <w:t xml:space="preserve"> that </w:t>
      </w:r>
      <w:r w:rsidR="00F12DC8">
        <w:rPr>
          <w:rFonts w:ascii="Times New Roman" w:hAnsi="Times New Roman" w:cs="Times New Roman"/>
        </w:rPr>
        <w:t>the a</w:t>
      </w:r>
      <w:r w:rsidR="000D1668" w:rsidRPr="00077C30">
        <w:rPr>
          <w:rFonts w:ascii="Times New Roman" w:hAnsi="Times New Roman" w:cs="Times New Roman"/>
        </w:rPr>
        <w:t xml:space="preserve">mendments </w:t>
      </w:r>
      <w:r w:rsidR="00A8041B">
        <w:rPr>
          <w:rFonts w:ascii="Times New Roman" w:hAnsi="Times New Roman" w:cs="Times New Roman"/>
        </w:rPr>
        <w:t xml:space="preserve">made by </w:t>
      </w:r>
      <w:r w:rsidR="00D936E6">
        <w:rPr>
          <w:rFonts w:ascii="Times New Roman" w:hAnsi="Times New Roman" w:cs="Times New Roman"/>
        </w:rPr>
        <w:t>this instrument</w:t>
      </w:r>
      <w:r w:rsidR="00A8041B">
        <w:rPr>
          <w:rFonts w:ascii="Times New Roman" w:hAnsi="Times New Roman" w:cs="Times New Roman"/>
        </w:rPr>
        <w:t xml:space="preserve"> to IMMI 15/100 </w:t>
      </w:r>
      <w:r w:rsidR="00F12DC8">
        <w:rPr>
          <w:rFonts w:ascii="Times New Roman" w:hAnsi="Times New Roman" w:cs="Times New Roman"/>
        </w:rPr>
        <w:t>only</w:t>
      </w:r>
      <w:r w:rsidR="000D1668" w:rsidRPr="00077C30">
        <w:rPr>
          <w:rFonts w:ascii="Times New Roman" w:hAnsi="Times New Roman" w:cs="Times New Roman"/>
        </w:rPr>
        <w:t xml:space="preserve"> apply to</w:t>
      </w:r>
      <w:r w:rsidR="00D2161B">
        <w:rPr>
          <w:rFonts w:ascii="Times New Roman" w:hAnsi="Times New Roman" w:cs="Times New Roman"/>
        </w:rPr>
        <w:t>:</w:t>
      </w:r>
    </w:p>
    <w:p w14:paraId="34307C2B" w14:textId="7DB59058" w:rsidR="000D1668" w:rsidRDefault="000D1668" w:rsidP="00D2161B">
      <w:pPr>
        <w:pStyle w:val="ListParagraph"/>
        <w:numPr>
          <w:ilvl w:val="0"/>
          <w:numId w:val="11"/>
        </w:numPr>
        <w:spacing w:before="240" w:after="240" w:line="276" w:lineRule="auto"/>
        <w:rPr>
          <w:rFonts w:ascii="Times New Roman" w:hAnsi="Times New Roman" w:cs="Times New Roman"/>
        </w:rPr>
      </w:pPr>
      <w:r w:rsidRPr="00D2161B">
        <w:rPr>
          <w:rFonts w:ascii="Times New Roman" w:hAnsi="Times New Roman" w:cs="Times New Roman"/>
        </w:rPr>
        <w:t>applicants</w:t>
      </w:r>
      <w:r w:rsidR="003D6736">
        <w:rPr>
          <w:rFonts w:ascii="Times New Roman" w:hAnsi="Times New Roman" w:cs="Times New Roman"/>
        </w:rPr>
        <w:t xml:space="preserve"> for a Subclass 188 visa</w:t>
      </w:r>
      <w:r w:rsidRPr="00D2161B">
        <w:rPr>
          <w:rFonts w:ascii="Times New Roman" w:hAnsi="Times New Roman" w:cs="Times New Roman"/>
        </w:rPr>
        <w:t xml:space="preserve"> who are invited to apply for </w:t>
      </w:r>
      <w:r w:rsidR="00F12DC8" w:rsidRPr="00D2161B">
        <w:rPr>
          <w:rFonts w:ascii="Times New Roman" w:hAnsi="Times New Roman" w:cs="Times New Roman"/>
        </w:rPr>
        <w:t xml:space="preserve">a Subclass 188 visa </w:t>
      </w:r>
      <w:r w:rsidR="00D2161B">
        <w:rPr>
          <w:rFonts w:ascii="Times New Roman" w:hAnsi="Times New Roman" w:cs="Times New Roman"/>
        </w:rPr>
        <w:t xml:space="preserve">after </w:t>
      </w:r>
      <w:r w:rsidR="003D6736">
        <w:rPr>
          <w:rFonts w:ascii="Times New Roman" w:hAnsi="Times New Roman" w:cs="Times New Roman"/>
        </w:rPr>
        <w:t xml:space="preserve">30 June </w:t>
      </w:r>
      <w:r w:rsidR="00D2161B">
        <w:rPr>
          <w:rFonts w:ascii="Times New Roman" w:hAnsi="Times New Roman" w:cs="Times New Roman"/>
        </w:rPr>
        <w:t>2021;</w:t>
      </w:r>
      <w:r w:rsidR="003D6736">
        <w:rPr>
          <w:rFonts w:ascii="Times New Roman" w:hAnsi="Times New Roman" w:cs="Times New Roman"/>
        </w:rPr>
        <w:t xml:space="preserve"> </w:t>
      </w:r>
      <w:r w:rsidR="00D2161B">
        <w:rPr>
          <w:rFonts w:ascii="Times New Roman" w:hAnsi="Times New Roman" w:cs="Times New Roman"/>
        </w:rPr>
        <w:t>and</w:t>
      </w:r>
    </w:p>
    <w:p w14:paraId="2D82FE47" w14:textId="1B587B04" w:rsidR="00D2161B" w:rsidRPr="00D2161B" w:rsidRDefault="003D6736" w:rsidP="00D2161B">
      <w:pPr>
        <w:pStyle w:val="ListParagraph"/>
        <w:numPr>
          <w:ilvl w:val="0"/>
          <w:numId w:val="11"/>
        </w:numPr>
        <w:spacing w:before="240" w:after="240" w:line="276" w:lineRule="auto"/>
        <w:rPr>
          <w:rFonts w:ascii="Times New Roman" w:hAnsi="Times New Roman" w:cs="Times New Roman"/>
        </w:rPr>
      </w:pPr>
      <w:r>
        <w:rPr>
          <w:rFonts w:ascii="Times New Roman" w:hAnsi="Times New Roman" w:cs="Times New Roman"/>
        </w:rPr>
        <w:t xml:space="preserve">applicants for a Subclass 888 visa who </w:t>
      </w:r>
      <w:r w:rsidR="00981BD5">
        <w:rPr>
          <w:rFonts w:ascii="Times New Roman" w:hAnsi="Times New Roman" w:cs="Times New Roman"/>
        </w:rPr>
        <w:t>were invited to apply</w:t>
      </w:r>
      <w:r>
        <w:rPr>
          <w:rFonts w:ascii="Times New Roman" w:hAnsi="Times New Roman" w:cs="Times New Roman"/>
        </w:rPr>
        <w:t xml:space="preserve"> for a Subclass 188 visa after 30 June 2021.</w:t>
      </w:r>
    </w:p>
    <w:p w14:paraId="3B7CF06C" w14:textId="4FB506CF" w:rsidR="002847DD" w:rsidRDefault="003E220E" w:rsidP="008F3B45">
      <w:pPr>
        <w:spacing w:before="240" w:after="240" w:line="276" w:lineRule="auto"/>
        <w:rPr>
          <w:rFonts w:ascii="Times New Roman" w:hAnsi="Times New Roman" w:cs="Times New Roman"/>
        </w:rPr>
      </w:pPr>
      <w:r>
        <w:rPr>
          <w:rFonts w:ascii="Times New Roman" w:hAnsi="Times New Roman" w:cs="Times New Roman"/>
        </w:rPr>
        <w:t xml:space="preserve">New subsection </w:t>
      </w:r>
      <w:r w:rsidR="004640E6">
        <w:rPr>
          <w:rFonts w:ascii="Times New Roman" w:hAnsi="Times New Roman" w:cs="Times New Roman"/>
        </w:rPr>
        <w:t>4</w:t>
      </w:r>
      <w:r w:rsidR="00E63A2C">
        <w:rPr>
          <w:rFonts w:ascii="Times New Roman" w:hAnsi="Times New Roman" w:cs="Times New Roman"/>
        </w:rPr>
        <w:t>A</w:t>
      </w:r>
      <w:r>
        <w:rPr>
          <w:rFonts w:ascii="Times New Roman" w:hAnsi="Times New Roman" w:cs="Times New Roman"/>
        </w:rPr>
        <w:t>(2) provides that</w:t>
      </w:r>
      <w:r w:rsidR="00BD1EF7">
        <w:rPr>
          <w:rFonts w:ascii="Times New Roman" w:hAnsi="Times New Roman" w:cs="Times New Roman"/>
        </w:rPr>
        <w:t xml:space="preserve"> </w:t>
      </w:r>
      <w:r w:rsidR="00D0353F">
        <w:rPr>
          <w:rFonts w:ascii="Times New Roman" w:hAnsi="Times New Roman" w:cs="Times New Roman"/>
        </w:rPr>
        <w:t>Part 3</w:t>
      </w:r>
      <w:r w:rsidR="00202BC0">
        <w:rPr>
          <w:rFonts w:ascii="Times New Roman" w:hAnsi="Times New Roman" w:cs="Times New Roman"/>
        </w:rPr>
        <w:t xml:space="preserve"> (which related to c</w:t>
      </w:r>
      <w:r w:rsidR="00202BC0" w:rsidRPr="00202BC0">
        <w:rPr>
          <w:rFonts w:ascii="Times New Roman" w:hAnsi="Times New Roman" w:cs="Times New Roman"/>
        </w:rPr>
        <w:t>omplying premium investments</w:t>
      </w:r>
      <w:r w:rsidR="00202BC0">
        <w:rPr>
          <w:rFonts w:ascii="Times New Roman" w:hAnsi="Times New Roman" w:cs="Times New Roman"/>
        </w:rPr>
        <w:t>)</w:t>
      </w:r>
      <w:r w:rsidR="002847DD">
        <w:rPr>
          <w:rFonts w:ascii="Times New Roman" w:hAnsi="Times New Roman" w:cs="Times New Roman"/>
        </w:rPr>
        <w:t xml:space="preserve"> </w:t>
      </w:r>
      <w:r w:rsidR="00BD1EF7" w:rsidRPr="00BD1EF7">
        <w:rPr>
          <w:rFonts w:ascii="Times New Roman" w:hAnsi="Times New Roman" w:cs="Times New Roman"/>
        </w:rPr>
        <w:t>co</w:t>
      </w:r>
      <w:r w:rsidR="002847DD">
        <w:rPr>
          <w:rFonts w:ascii="Times New Roman" w:hAnsi="Times New Roman" w:cs="Times New Roman"/>
        </w:rPr>
        <w:t>ntinues</w:t>
      </w:r>
      <w:r w:rsidR="00BD1EF7" w:rsidRPr="00BD1EF7">
        <w:rPr>
          <w:rFonts w:ascii="Times New Roman" w:hAnsi="Times New Roman" w:cs="Times New Roman"/>
        </w:rPr>
        <w:t xml:space="preserve"> to apply in relation to an application for a Subclass 888 visa where</w:t>
      </w:r>
      <w:r w:rsidR="008106B6">
        <w:rPr>
          <w:rFonts w:ascii="Times New Roman" w:hAnsi="Times New Roman" w:cs="Times New Roman"/>
        </w:rPr>
        <w:t xml:space="preserve"> the applicant holds a Subclass </w:t>
      </w:r>
      <w:r w:rsidR="00BD1EF7" w:rsidRPr="00BD1EF7">
        <w:rPr>
          <w:rFonts w:ascii="Times New Roman" w:hAnsi="Times New Roman" w:cs="Times New Roman"/>
        </w:rPr>
        <w:t xml:space="preserve">188 visa in the Premium Investor stream that was granted or </w:t>
      </w:r>
      <w:r w:rsidR="002847DD">
        <w:rPr>
          <w:rFonts w:ascii="Times New Roman" w:hAnsi="Times New Roman" w:cs="Times New Roman"/>
        </w:rPr>
        <w:t>applied for before 1 July 2021.</w:t>
      </w:r>
    </w:p>
    <w:p w14:paraId="3AA61FF2" w14:textId="7D1E27EC" w:rsidR="0000497A" w:rsidRPr="007944B1" w:rsidRDefault="003D6736" w:rsidP="0000497A">
      <w:pPr>
        <w:keepNext/>
        <w:spacing w:before="240" w:after="240" w:line="276" w:lineRule="auto"/>
        <w:rPr>
          <w:rFonts w:ascii="Times New Roman" w:hAnsi="Times New Roman" w:cs="Times New Roman"/>
          <w:b/>
        </w:rPr>
      </w:pPr>
      <w:r>
        <w:rPr>
          <w:rFonts w:ascii="Times New Roman" w:hAnsi="Times New Roman" w:cs="Times New Roman"/>
          <w:b/>
        </w:rPr>
        <w:lastRenderedPageBreak/>
        <w:t>Items 9-10</w:t>
      </w:r>
      <w:r w:rsidR="0000497A" w:rsidRPr="007944B1">
        <w:rPr>
          <w:rFonts w:ascii="Times New Roman" w:hAnsi="Times New Roman" w:cs="Times New Roman"/>
          <w:b/>
        </w:rPr>
        <w:tab/>
      </w:r>
      <w:r>
        <w:rPr>
          <w:rFonts w:ascii="Times New Roman" w:hAnsi="Times New Roman" w:cs="Times New Roman"/>
          <w:b/>
        </w:rPr>
        <w:tab/>
        <w:t>Amendments to section 5</w:t>
      </w:r>
    </w:p>
    <w:p w14:paraId="77A00029" w14:textId="71342533" w:rsidR="0000497A" w:rsidRDefault="003D6736" w:rsidP="00712C33">
      <w:pPr>
        <w:keepNext/>
        <w:spacing w:before="240" w:after="240" w:line="276" w:lineRule="auto"/>
        <w:rPr>
          <w:rFonts w:ascii="Times New Roman" w:hAnsi="Times New Roman" w:cs="Times New Roman"/>
        </w:rPr>
      </w:pPr>
      <w:r>
        <w:rPr>
          <w:rFonts w:ascii="Times New Roman" w:hAnsi="Times New Roman" w:cs="Times New Roman"/>
        </w:rPr>
        <w:t>Item 9</w:t>
      </w:r>
      <w:r w:rsidR="0000497A">
        <w:rPr>
          <w:rFonts w:ascii="Times New Roman" w:hAnsi="Times New Roman" w:cs="Times New Roman"/>
        </w:rPr>
        <w:t xml:space="preserve"> removes all references to a ‘Part’ in </w:t>
      </w:r>
      <w:r>
        <w:rPr>
          <w:rFonts w:ascii="Times New Roman" w:hAnsi="Times New Roman" w:cs="Times New Roman"/>
        </w:rPr>
        <w:t>section 5</w:t>
      </w:r>
      <w:r w:rsidR="0000497A">
        <w:rPr>
          <w:rFonts w:ascii="Times New Roman" w:hAnsi="Times New Roman" w:cs="Times New Roman"/>
        </w:rPr>
        <w:t>, as the amended instrument does not have Parts.</w:t>
      </w:r>
      <w:r w:rsidR="00E00E54">
        <w:rPr>
          <w:rFonts w:ascii="Times New Roman" w:hAnsi="Times New Roman" w:cs="Times New Roman"/>
        </w:rPr>
        <w:t xml:space="preserve"> A reference to the instrument will be substituted in its place.</w:t>
      </w:r>
    </w:p>
    <w:p w14:paraId="206633BC" w14:textId="0A460C34" w:rsidR="003D6736" w:rsidRPr="0000497A" w:rsidRDefault="003D6736" w:rsidP="00712C33">
      <w:pPr>
        <w:keepNext/>
        <w:spacing w:before="240" w:after="240" w:line="276" w:lineRule="auto"/>
        <w:rPr>
          <w:rFonts w:ascii="Times New Roman" w:hAnsi="Times New Roman" w:cs="Times New Roman"/>
        </w:rPr>
      </w:pPr>
      <w:r>
        <w:rPr>
          <w:rFonts w:ascii="Times New Roman" w:hAnsi="Times New Roman" w:cs="Times New Roman"/>
        </w:rPr>
        <w:t>Item 10 inserts a new note in section 5 explaining requirements for the Investor stream.</w:t>
      </w:r>
    </w:p>
    <w:p w14:paraId="742C96B7" w14:textId="4976F773" w:rsidR="00712C33" w:rsidRPr="007944B1" w:rsidRDefault="00712C33" w:rsidP="00712C33">
      <w:pPr>
        <w:keepNext/>
        <w:spacing w:before="240" w:after="240" w:line="276" w:lineRule="auto"/>
        <w:rPr>
          <w:rFonts w:ascii="Times New Roman" w:hAnsi="Times New Roman" w:cs="Times New Roman"/>
          <w:b/>
        </w:rPr>
      </w:pPr>
      <w:r w:rsidRPr="007944B1">
        <w:rPr>
          <w:rFonts w:ascii="Times New Roman" w:hAnsi="Times New Roman" w:cs="Times New Roman"/>
          <w:b/>
        </w:rPr>
        <w:t>I</w:t>
      </w:r>
      <w:r w:rsidR="00EA3061" w:rsidRPr="007944B1">
        <w:rPr>
          <w:rFonts w:ascii="Times New Roman" w:hAnsi="Times New Roman" w:cs="Times New Roman"/>
          <w:b/>
        </w:rPr>
        <w:t>tem</w:t>
      </w:r>
      <w:r w:rsidR="0000497A">
        <w:rPr>
          <w:rFonts w:ascii="Times New Roman" w:hAnsi="Times New Roman" w:cs="Times New Roman"/>
          <w:b/>
        </w:rPr>
        <w:t xml:space="preserve"> 11</w:t>
      </w:r>
      <w:r w:rsidR="00EA3061" w:rsidRPr="007944B1">
        <w:rPr>
          <w:rFonts w:ascii="Times New Roman" w:hAnsi="Times New Roman" w:cs="Times New Roman"/>
          <w:b/>
        </w:rPr>
        <w:tab/>
      </w:r>
      <w:r w:rsidRPr="007944B1">
        <w:rPr>
          <w:rFonts w:ascii="Times New Roman" w:hAnsi="Times New Roman" w:cs="Times New Roman"/>
          <w:b/>
        </w:rPr>
        <w:tab/>
        <w:t>Amendments to section 6</w:t>
      </w:r>
    </w:p>
    <w:p w14:paraId="7B4A8516" w14:textId="7377CCEA" w:rsidR="004F5F17" w:rsidRDefault="003D6736" w:rsidP="003A5791">
      <w:pPr>
        <w:spacing w:before="240" w:after="240" w:line="276" w:lineRule="auto"/>
        <w:rPr>
          <w:rFonts w:ascii="Times New Roman" w:hAnsi="Times New Roman" w:cs="Times New Roman"/>
        </w:rPr>
      </w:pPr>
      <w:r>
        <w:rPr>
          <w:rFonts w:ascii="Times New Roman" w:hAnsi="Times New Roman" w:cs="Times New Roman"/>
        </w:rPr>
        <w:t>Item 11</w:t>
      </w:r>
      <w:r w:rsidR="000C05F9">
        <w:rPr>
          <w:rFonts w:ascii="Times New Roman" w:hAnsi="Times New Roman" w:cs="Times New Roman"/>
        </w:rPr>
        <w:t xml:space="preserve"> amends section 6 of </w:t>
      </w:r>
      <w:r w:rsidR="000C05F9" w:rsidRPr="007C49C3">
        <w:rPr>
          <w:rFonts w:ascii="Times New Roman" w:hAnsi="Times New Roman" w:cs="Times New Roman"/>
        </w:rPr>
        <w:t>IMMI 15/100</w:t>
      </w:r>
      <w:r w:rsidR="004F5F17">
        <w:rPr>
          <w:rFonts w:ascii="Times New Roman" w:hAnsi="Times New Roman" w:cs="Times New Roman"/>
        </w:rPr>
        <w:t xml:space="preserve"> to</w:t>
      </w:r>
      <w:r>
        <w:rPr>
          <w:rFonts w:ascii="Times New Roman" w:hAnsi="Times New Roman" w:cs="Times New Roman"/>
        </w:rPr>
        <w:t xml:space="preserve"> set out the requirements for an investment</w:t>
      </w:r>
      <w:r w:rsidR="000C05F9">
        <w:rPr>
          <w:rFonts w:ascii="Times New Roman" w:hAnsi="Times New Roman" w:cs="Times New Roman"/>
        </w:rPr>
        <w:t>.</w:t>
      </w:r>
      <w:r>
        <w:rPr>
          <w:rFonts w:ascii="Times New Roman" w:hAnsi="Times New Roman" w:cs="Times New Roman"/>
        </w:rPr>
        <w:t xml:space="preserve"> The amendments will set out proportions of the investment that must be made </w:t>
      </w:r>
      <w:r w:rsidR="00AA73A0">
        <w:rPr>
          <w:rFonts w:ascii="Times New Roman" w:hAnsi="Times New Roman" w:cs="Times New Roman"/>
        </w:rPr>
        <w:t>in each of the various types set out in sections 8-10 of the instrument. This will replace the previous approach, which set out absolute amounts that had to be applied to each type.</w:t>
      </w:r>
      <w:r w:rsidR="000C05F9">
        <w:rPr>
          <w:rFonts w:ascii="Times New Roman" w:hAnsi="Times New Roman" w:cs="Times New Roman"/>
        </w:rPr>
        <w:t xml:space="preserve"> </w:t>
      </w:r>
    </w:p>
    <w:p w14:paraId="14E3F3C8" w14:textId="3EB4FCB0" w:rsidR="0000497A" w:rsidRDefault="0000497A" w:rsidP="003A5791">
      <w:pPr>
        <w:spacing w:before="240" w:after="240" w:line="276" w:lineRule="auto"/>
        <w:rPr>
          <w:rFonts w:ascii="Times New Roman" w:hAnsi="Times New Roman" w:cs="Times New Roman"/>
        </w:rPr>
      </w:pPr>
      <w:r>
        <w:rPr>
          <w:rFonts w:ascii="Times New Roman" w:hAnsi="Times New Roman" w:cs="Times New Roman"/>
        </w:rPr>
        <w:t xml:space="preserve">The amendments to section 6 will specify the required allocations for </w:t>
      </w:r>
      <w:r w:rsidR="003D6736">
        <w:rPr>
          <w:rFonts w:ascii="Times New Roman" w:hAnsi="Times New Roman" w:cs="Times New Roman"/>
        </w:rPr>
        <w:t>an eligible investment, which will be</w:t>
      </w:r>
      <w:r>
        <w:rPr>
          <w:rFonts w:ascii="Times New Roman" w:hAnsi="Times New Roman" w:cs="Times New Roman"/>
        </w:rPr>
        <w:t>:</w:t>
      </w:r>
    </w:p>
    <w:p w14:paraId="7E24E241" w14:textId="1B4E99EB" w:rsidR="0000497A" w:rsidRPr="0000497A" w:rsidRDefault="0000497A" w:rsidP="0000497A">
      <w:pPr>
        <w:pStyle w:val="ListParagraph"/>
        <w:numPr>
          <w:ilvl w:val="0"/>
          <w:numId w:val="8"/>
        </w:numPr>
        <w:spacing w:before="240" w:after="240" w:line="276" w:lineRule="auto"/>
        <w:rPr>
          <w:rFonts w:ascii="Times New Roman" w:hAnsi="Times New Roman" w:cs="Times New Roman"/>
        </w:rPr>
      </w:pPr>
      <w:r w:rsidRPr="0000497A">
        <w:rPr>
          <w:rFonts w:ascii="Times New Roman" w:hAnsi="Times New Roman" w:cs="Times New Roman"/>
        </w:rPr>
        <w:t>at least 20% of the total investment in 1 or more venture capital funds in accordance with section 8; and</w:t>
      </w:r>
    </w:p>
    <w:p w14:paraId="396D269C" w14:textId="6A82867A" w:rsidR="0000497A" w:rsidRPr="0000497A" w:rsidRDefault="0000497A" w:rsidP="0000497A">
      <w:pPr>
        <w:pStyle w:val="ListParagraph"/>
        <w:numPr>
          <w:ilvl w:val="0"/>
          <w:numId w:val="8"/>
        </w:numPr>
        <w:spacing w:before="240" w:after="240" w:line="276" w:lineRule="auto"/>
        <w:rPr>
          <w:rFonts w:ascii="Times New Roman" w:hAnsi="Times New Roman" w:cs="Times New Roman"/>
        </w:rPr>
      </w:pPr>
      <w:r w:rsidRPr="0000497A">
        <w:rPr>
          <w:rFonts w:ascii="Times New Roman" w:hAnsi="Times New Roman" w:cs="Times New Roman"/>
        </w:rPr>
        <w:t>at least 30% of the total investment in emerging companies investments in accordance with section 9.</w:t>
      </w:r>
    </w:p>
    <w:p w14:paraId="192A6C90" w14:textId="77777777" w:rsidR="0000497A" w:rsidRPr="0000497A" w:rsidRDefault="0000497A" w:rsidP="0000497A">
      <w:pPr>
        <w:spacing w:before="240" w:after="240" w:line="276" w:lineRule="auto"/>
        <w:rPr>
          <w:rFonts w:ascii="Times New Roman" w:hAnsi="Times New Roman" w:cs="Times New Roman"/>
        </w:rPr>
      </w:pPr>
      <w:r w:rsidRPr="0000497A">
        <w:rPr>
          <w:rFonts w:ascii="Times New Roman" w:hAnsi="Times New Roman" w:cs="Times New Roman"/>
        </w:rPr>
        <w:t xml:space="preserve">Any remaining portion of the investment must be invested in any of the following: </w:t>
      </w:r>
    </w:p>
    <w:p w14:paraId="0B93867D" w14:textId="26F79F2E" w:rsidR="0000497A" w:rsidRPr="00BA257E" w:rsidRDefault="0000497A" w:rsidP="00BA257E">
      <w:pPr>
        <w:pStyle w:val="ListParagraph"/>
        <w:numPr>
          <w:ilvl w:val="0"/>
          <w:numId w:val="9"/>
        </w:numPr>
        <w:spacing w:before="240" w:after="240" w:line="276" w:lineRule="auto"/>
        <w:rPr>
          <w:rFonts w:ascii="Times New Roman" w:hAnsi="Times New Roman" w:cs="Times New Roman"/>
        </w:rPr>
      </w:pPr>
      <w:r w:rsidRPr="00BA257E">
        <w:rPr>
          <w:rFonts w:ascii="Times New Roman" w:hAnsi="Times New Roman" w:cs="Times New Roman"/>
        </w:rPr>
        <w:t xml:space="preserve">1 or more venture capital funds in accordance with section 8; </w:t>
      </w:r>
    </w:p>
    <w:p w14:paraId="359B2966" w14:textId="01A1F6E0" w:rsidR="0000497A" w:rsidRPr="00BA257E" w:rsidRDefault="0000497A" w:rsidP="00BA257E">
      <w:pPr>
        <w:pStyle w:val="ListParagraph"/>
        <w:numPr>
          <w:ilvl w:val="0"/>
          <w:numId w:val="9"/>
        </w:numPr>
        <w:spacing w:before="240" w:after="240" w:line="276" w:lineRule="auto"/>
        <w:rPr>
          <w:rFonts w:ascii="Times New Roman" w:hAnsi="Times New Roman" w:cs="Times New Roman"/>
        </w:rPr>
      </w:pPr>
      <w:r w:rsidRPr="00BA257E">
        <w:rPr>
          <w:rFonts w:ascii="Times New Roman" w:hAnsi="Times New Roman" w:cs="Times New Roman"/>
        </w:rPr>
        <w:t>emerging companies investments in accordance with section 9; or</w:t>
      </w:r>
    </w:p>
    <w:p w14:paraId="2D4FA615" w14:textId="7DFAEA73" w:rsidR="0000497A" w:rsidRPr="00BA257E" w:rsidRDefault="0000497A" w:rsidP="00BA257E">
      <w:pPr>
        <w:pStyle w:val="ListParagraph"/>
        <w:numPr>
          <w:ilvl w:val="0"/>
          <w:numId w:val="9"/>
        </w:numPr>
        <w:spacing w:before="240" w:after="240" w:line="276" w:lineRule="auto"/>
        <w:rPr>
          <w:rFonts w:ascii="Times New Roman" w:hAnsi="Times New Roman" w:cs="Times New Roman"/>
        </w:rPr>
      </w:pPr>
      <w:r w:rsidRPr="00BA257E">
        <w:rPr>
          <w:rFonts w:ascii="Times New Roman" w:hAnsi="Times New Roman" w:cs="Times New Roman"/>
        </w:rPr>
        <w:t>1 or more balancing investments in accordance with section 10.</w:t>
      </w:r>
    </w:p>
    <w:p w14:paraId="110B4998" w14:textId="18B2802E" w:rsidR="00BA257E" w:rsidRPr="00443DEF" w:rsidRDefault="00BA257E" w:rsidP="00BA257E">
      <w:pPr>
        <w:keepNext/>
        <w:spacing w:before="240" w:after="240" w:line="276" w:lineRule="auto"/>
        <w:rPr>
          <w:rFonts w:ascii="Times New Roman" w:hAnsi="Times New Roman" w:cs="Times New Roman"/>
          <w:b/>
        </w:rPr>
      </w:pPr>
      <w:r w:rsidRPr="00443DEF">
        <w:rPr>
          <w:rFonts w:ascii="Times New Roman" w:hAnsi="Times New Roman" w:cs="Times New Roman"/>
          <w:b/>
        </w:rPr>
        <w:t>Item</w:t>
      </w:r>
      <w:r>
        <w:rPr>
          <w:rFonts w:ascii="Times New Roman" w:hAnsi="Times New Roman" w:cs="Times New Roman"/>
          <w:b/>
        </w:rPr>
        <w:t xml:space="preserve"> 12</w:t>
      </w:r>
      <w:r w:rsidRPr="00443DEF">
        <w:rPr>
          <w:rFonts w:ascii="Times New Roman" w:hAnsi="Times New Roman" w:cs="Times New Roman"/>
          <w:b/>
        </w:rPr>
        <w:tab/>
      </w:r>
      <w:r w:rsidRPr="00443DEF">
        <w:rPr>
          <w:rFonts w:ascii="Times New Roman" w:hAnsi="Times New Roman" w:cs="Times New Roman"/>
          <w:b/>
        </w:rPr>
        <w:tab/>
        <w:t>Amendments to subsection 8(2)</w:t>
      </w:r>
      <w:r>
        <w:rPr>
          <w:rFonts w:ascii="Times New Roman" w:hAnsi="Times New Roman" w:cs="Times New Roman"/>
          <w:b/>
        </w:rPr>
        <w:t xml:space="preserve"> and 8(3)</w:t>
      </w:r>
    </w:p>
    <w:p w14:paraId="610D7E93" w14:textId="467EE216" w:rsidR="00BA257E" w:rsidRPr="00BA257E" w:rsidRDefault="00BA257E" w:rsidP="00712C33">
      <w:pPr>
        <w:keepNext/>
        <w:spacing w:before="240" w:after="240" w:line="276" w:lineRule="auto"/>
        <w:rPr>
          <w:rFonts w:ascii="Times New Roman" w:hAnsi="Times New Roman" w:cs="Times New Roman"/>
        </w:rPr>
      </w:pPr>
      <w:r>
        <w:rPr>
          <w:rFonts w:ascii="Times New Roman" w:hAnsi="Times New Roman" w:cs="Times New Roman"/>
        </w:rPr>
        <w:t xml:space="preserve">Item 12 </w:t>
      </w:r>
      <w:r w:rsidR="00AA73A0">
        <w:rPr>
          <w:rFonts w:ascii="Times New Roman" w:hAnsi="Times New Roman" w:cs="Times New Roman"/>
        </w:rPr>
        <w:t xml:space="preserve">replaces the references to absolute dollar amounts (AUD 500 000) for an investment with references to a requirement for at least 20% of the investment </w:t>
      </w:r>
      <w:r w:rsidR="00E00E54">
        <w:rPr>
          <w:rFonts w:ascii="Times New Roman" w:hAnsi="Times New Roman" w:cs="Times New Roman"/>
        </w:rPr>
        <w:t>in the specified matter in subsections 8(2) and 8(3)</w:t>
      </w:r>
      <w:r>
        <w:rPr>
          <w:rFonts w:ascii="Times New Roman" w:hAnsi="Times New Roman" w:cs="Times New Roman"/>
        </w:rPr>
        <w:t>.</w:t>
      </w:r>
    </w:p>
    <w:p w14:paraId="21280E69" w14:textId="7CD02778" w:rsidR="00712C33" w:rsidRPr="00443DEF" w:rsidRDefault="00712C33" w:rsidP="00712C33">
      <w:pPr>
        <w:keepNext/>
        <w:spacing w:before="240" w:after="240" w:line="276" w:lineRule="auto"/>
        <w:rPr>
          <w:rFonts w:ascii="Times New Roman" w:hAnsi="Times New Roman" w:cs="Times New Roman"/>
          <w:b/>
        </w:rPr>
      </w:pPr>
      <w:r w:rsidRPr="00443DEF">
        <w:rPr>
          <w:rFonts w:ascii="Times New Roman" w:hAnsi="Times New Roman" w:cs="Times New Roman"/>
          <w:b/>
        </w:rPr>
        <w:t>I</w:t>
      </w:r>
      <w:r w:rsidR="00EA3061" w:rsidRPr="00443DEF">
        <w:rPr>
          <w:rFonts w:ascii="Times New Roman" w:hAnsi="Times New Roman" w:cs="Times New Roman"/>
          <w:b/>
        </w:rPr>
        <w:t>tem</w:t>
      </w:r>
      <w:r w:rsidR="00BA257E">
        <w:rPr>
          <w:rFonts w:ascii="Times New Roman" w:hAnsi="Times New Roman" w:cs="Times New Roman"/>
          <w:b/>
        </w:rPr>
        <w:t xml:space="preserve"> 13</w:t>
      </w:r>
      <w:r w:rsidRPr="00443DEF">
        <w:rPr>
          <w:rFonts w:ascii="Times New Roman" w:hAnsi="Times New Roman" w:cs="Times New Roman"/>
          <w:b/>
        </w:rPr>
        <w:tab/>
      </w:r>
      <w:r w:rsidR="00EA3061" w:rsidRPr="00443DEF">
        <w:rPr>
          <w:rFonts w:ascii="Times New Roman" w:hAnsi="Times New Roman" w:cs="Times New Roman"/>
          <w:b/>
        </w:rPr>
        <w:tab/>
      </w:r>
      <w:r w:rsidRPr="00443DEF">
        <w:rPr>
          <w:rFonts w:ascii="Times New Roman" w:hAnsi="Times New Roman" w:cs="Times New Roman"/>
          <w:b/>
        </w:rPr>
        <w:t>Amendments to subsection 8(2)</w:t>
      </w:r>
    </w:p>
    <w:p w14:paraId="3D25CF1E" w14:textId="777959DC" w:rsidR="00712C33" w:rsidRDefault="00712C33" w:rsidP="00443DEF">
      <w:pPr>
        <w:spacing w:before="240" w:after="240" w:line="276" w:lineRule="auto"/>
        <w:rPr>
          <w:rFonts w:ascii="Times New Roman" w:hAnsi="Times New Roman" w:cs="Times New Roman"/>
        </w:rPr>
      </w:pPr>
      <w:r w:rsidRPr="00443DEF">
        <w:rPr>
          <w:rFonts w:ascii="Times New Roman" w:hAnsi="Times New Roman" w:cs="Times New Roman"/>
        </w:rPr>
        <w:t>Item</w:t>
      </w:r>
      <w:r w:rsidR="00BA257E">
        <w:rPr>
          <w:rFonts w:ascii="Times New Roman" w:hAnsi="Times New Roman" w:cs="Times New Roman"/>
        </w:rPr>
        <w:t xml:space="preserve"> 13</w:t>
      </w:r>
      <w:r w:rsidR="00443DEF" w:rsidRPr="00443DEF">
        <w:rPr>
          <w:rFonts w:ascii="Times New Roman" w:hAnsi="Times New Roman" w:cs="Times New Roman"/>
        </w:rPr>
        <w:t xml:space="preserve"> amends subsection 8(2) to reduce the time</w:t>
      </w:r>
      <w:r w:rsidR="00561A00">
        <w:rPr>
          <w:rFonts w:ascii="Times New Roman" w:hAnsi="Times New Roman" w:cs="Times New Roman"/>
        </w:rPr>
        <w:t xml:space="preserve"> </w:t>
      </w:r>
      <w:r w:rsidR="001311F6">
        <w:rPr>
          <w:rFonts w:ascii="Times New Roman" w:hAnsi="Times New Roman" w:cs="Times New Roman"/>
        </w:rPr>
        <w:t xml:space="preserve">from </w:t>
      </w:r>
      <w:r w:rsidR="001311F6" w:rsidRPr="00443DEF">
        <w:rPr>
          <w:rFonts w:ascii="Times New Roman" w:hAnsi="Times New Roman" w:cs="Times New Roman"/>
        </w:rPr>
        <w:t xml:space="preserve">12 months </w:t>
      </w:r>
      <w:r w:rsidR="001311F6" w:rsidRPr="00561A00">
        <w:rPr>
          <w:rFonts w:ascii="Times New Roman" w:hAnsi="Times New Roman" w:cs="Times New Roman"/>
        </w:rPr>
        <w:t>after the visa is granted to the investor</w:t>
      </w:r>
      <w:r w:rsidR="001311F6" w:rsidRPr="00443DEF">
        <w:rPr>
          <w:rFonts w:ascii="Times New Roman" w:hAnsi="Times New Roman" w:cs="Times New Roman"/>
        </w:rPr>
        <w:t xml:space="preserve"> to 6 months</w:t>
      </w:r>
      <w:r w:rsidR="001311F6">
        <w:rPr>
          <w:rFonts w:ascii="Times New Roman" w:hAnsi="Times New Roman" w:cs="Times New Roman"/>
        </w:rPr>
        <w:t>,</w:t>
      </w:r>
      <w:r w:rsidR="001311F6" w:rsidRPr="00561A00">
        <w:rPr>
          <w:rFonts w:ascii="Times New Roman" w:hAnsi="Times New Roman" w:cs="Times New Roman"/>
        </w:rPr>
        <w:t xml:space="preserve"> </w:t>
      </w:r>
      <w:r w:rsidR="002C505B">
        <w:rPr>
          <w:rFonts w:ascii="Times New Roman" w:hAnsi="Times New Roman" w:cs="Times New Roman"/>
        </w:rPr>
        <w:t>during which</w:t>
      </w:r>
      <w:r w:rsidR="00443DEF" w:rsidRPr="00443DEF">
        <w:rPr>
          <w:rFonts w:ascii="Times New Roman" w:hAnsi="Times New Roman" w:cs="Times New Roman"/>
        </w:rPr>
        <w:t xml:space="preserve"> </w:t>
      </w:r>
      <w:r w:rsidR="0070008C" w:rsidRPr="0070008C">
        <w:rPr>
          <w:rFonts w:ascii="Times New Roman" w:hAnsi="Times New Roman" w:cs="Times New Roman"/>
        </w:rPr>
        <w:t>the investor must enter into an agreement with the general partner of each of one or more venture capital funds</w:t>
      </w:r>
      <w:r w:rsidR="001311F6">
        <w:rPr>
          <w:rFonts w:ascii="Times New Roman" w:hAnsi="Times New Roman" w:cs="Times New Roman"/>
        </w:rPr>
        <w:t>.</w:t>
      </w:r>
    </w:p>
    <w:p w14:paraId="474590A4" w14:textId="187650A7" w:rsidR="00712C33" w:rsidRDefault="00712C33" w:rsidP="00712C33">
      <w:pPr>
        <w:keepNext/>
        <w:spacing w:before="240" w:after="240" w:line="276" w:lineRule="auto"/>
        <w:rPr>
          <w:rFonts w:ascii="Times New Roman" w:hAnsi="Times New Roman" w:cs="Times New Roman"/>
          <w:b/>
        </w:rPr>
      </w:pPr>
      <w:r>
        <w:rPr>
          <w:rFonts w:ascii="Times New Roman" w:hAnsi="Times New Roman" w:cs="Times New Roman"/>
          <w:b/>
        </w:rPr>
        <w:t>I</w:t>
      </w:r>
      <w:r w:rsidR="00EA3061">
        <w:rPr>
          <w:rFonts w:ascii="Times New Roman" w:hAnsi="Times New Roman" w:cs="Times New Roman"/>
          <w:b/>
        </w:rPr>
        <w:t>tem</w:t>
      </w:r>
      <w:r w:rsidR="00BA257E">
        <w:rPr>
          <w:rFonts w:ascii="Times New Roman" w:hAnsi="Times New Roman" w:cs="Times New Roman"/>
          <w:b/>
        </w:rPr>
        <w:t xml:space="preserve"> 14</w:t>
      </w:r>
      <w:r>
        <w:rPr>
          <w:rFonts w:ascii="Times New Roman" w:hAnsi="Times New Roman" w:cs="Times New Roman"/>
          <w:b/>
        </w:rPr>
        <w:tab/>
      </w:r>
      <w:r w:rsidR="00BA257E">
        <w:rPr>
          <w:rFonts w:ascii="Times New Roman" w:hAnsi="Times New Roman" w:cs="Times New Roman"/>
          <w:b/>
        </w:rPr>
        <w:tab/>
      </w:r>
      <w:r>
        <w:rPr>
          <w:rFonts w:ascii="Times New Roman" w:hAnsi="Times New Roman" w:cs="Times New Roman"/>
          <w:b/>
        </w:rPr>
        <w:t>Amendments to subsection 9(5)</w:t>
      </w:r>
    </w:p>
    <w:p w14:paraId="7DB0D816" w14:textId="6EA4E892" w:rsidR="00E879B2" w:rsidRDefault="00BA257E" w:rsidP="00712C33">
      <w:pPr>
        <w:spacing w:before="240" w:after="240" w:line="276" w:lineRule="auto"/>
        <w:rPr>
          <w:rFonts w:ascii="Times New Roman" w:hAnsi="Times New Roman" w:cs="Times New Roman"/>
        </w:rPr>
      </w:pPr>
      <w:r>
        <w:rPr>
          <w:rFonts w:ascii="Times New Roman" w:hAnsi="Times New Roman" w:cs="Times New Roman"/>
        </w:rPr>
        <w:t>Item 14</w:t>
      </w:r>
      <w:r w:rsidR="007C49C3">
        <w:rPr>
          <w:rFonts w:ascii="Times New Roman" w:hAnsi="Times New Roman" w:cs="Times New Roman"/>
        </w:rPr>
        <w:t xml:space="preserve"> </w:t>
      </w:r>
      <w:r w:rsidR="007C49C3" w:rsidRPr="007C49C3">
        <w:rPr>
          <w:rFonts w:ascii="Times New Roman" w:hAnsi="Times New Roman" w:cs="Times New Roman"/>
        </w:rPr>
        <w:t xml:space="preserve">amends </w:t>
      </w:r>
      <w:r>
        <w:rPr>
          <w:rFonts w:ascii="Times New Roman" w:hAnsi="Times New Roman" w:cs="Times New Roman"/>
        </w:rPr>
        <w:t>sub</w:t>
      </w:r>
      <w:r w:rsidR="007C49C3" w:rsidRPr="007C49C3">
        <w:rPr>
          <w:rFonts w:ascii="Times New Roman" w:hAnsi="Times New Roman" w:cs="Times New Roman"/>
        </w:rPr>
        <w:t>section 9</w:t>
      </w:r>
      <w:r>
        <w:rPr>
          <w:rFonts w:ascii="Times New Roman" w:hAnsi="Times New Roman" w:cs="Times New Roman"/>
        </w:rPr>
        <w:t>(5) to</w:t>
      </w:r>
      <w:r w:rsidR="00B84B8E">
        <w:rPr>
          <w:rFonts w:ascii="Times New Roman" w:hAnsi="Times New Roman" w:cs="Times New Roman"/>
        </w:rPr>
        <w:t xml:space="preserve"> insert a new paragraph 9(5)(c) to</w:t>
      </w:r>
      <w:r>
        <w:rPr>
          <w:rFonts w:ascii="Times New Roman" w:hAnsi="Times New Roman" w:cs="Times New Roman"/>
        </w:rPr>
        <w:t xml:space="preserve"> clarify that an emerging company investment must not be made in </w:t>
      </w:r>
      <w:r w:rsidRPr="00BA257E">
        <w:rPr>
          <w:rFonts w:ascii="Times New Roman" w:hAnsi="Times New Roman" w:cs="Times New Roman"/>
        </w:rPr>
        <w:t xml:space="preserve">securities that otherwise meet the requirements </w:t>
      </w:r>
      <w:r>
        <w:rPr>
          <w:rFonts w:ascii="Times New Roman" w:hAnsi="Times New Roman" w:cs="Times New Roman"/>
        </w:rPr>
        <w:t>of section 9</w:t>
      </w:r>
      <w:r w:rsidRPr="00BA257E">
        <w:rPr>
          <w:rFonts w:ascii="Times New Roman" w:hAnsi="Times New Roman" w:cs="Times New Roman"/>
        </w:rPr>
        <w:t xml:space="preserve"> but where the issuer of those securities invests the proceeds of the issue of those securities in securities that do not meet the market capitalisation r</w:t>
      </w:r>
      <w:r>
        <w:rPr>
          <w:rFonts w:ascii="Times New Roman" w:hAnsi="Times New Roman" w:cs="Times New Roman"/>
        </w:rPr>
        <w:t xml:space="preserve">equirements under subsection 9(6). </w:t>
      </w:r>
      <w:r w:rsidR="00E879B2" w:rsidRPr="00E879B2">
        <w:rPr>
          <w:rFonts w:ascii="Times New Roman" w:hAnsi="Times New Roman" w:cs="Times New Roman"/>
        </w:rPr>
        <w:t xml:space="preserve">For example, a small exchange traded fund which invests in the securities of large capitalised companies is excluded under </w:t>
      </w:r>
      <w:r w:rsidR="00E879B2">
        <w:rPr>
          <w:rFonts w:ascii="Times New Roman" w:hAnsi="Times New Roman" w:cs="Times New Roman"/>
        </w:rPr>
        <w:t>new</w:t>
      </w:r>
      <w:r w:rsidR="00E879B2" w:rsidRPr="00E879B2">
        <w:rPr>
          <w:rFonts w:ascii="Times New Roman" w:hAnsi="Times New Roman" w:cs="Times New Roman"/>
        </w:rPr>
        <w:t xml:space="preserve"> paragraph</w:t>
      </w:r>
      <w:r w:rsidR="00E879B2">
        <w:rPr>
          <w:rFonts w:ascii="Times New Roman" w:hAnsi="Times New Roman" w:cs="Times New Roman"/>
        </w:rPr>
        <w:t xml:space="preserve"> 9(5)(c).</w:t>
      </w:r>
    </w:p>
    <w:p w14:paraId="39CC5B8E" w14:textId="19826301" w:rsidR="00E879B2" w:rsidRDefault="00E879B2" w:rsidP="00712C33">
      <w:pPr>
        <w:spacing w:before="240" w:after="240" w:line="276" w:lineRule="auto"/>
        <w:rPr>
          <w:rFonts w:ascii="Times New Roman" w:hAnsi="Times New Roman" w:cs="Times New Roman"/>
        </w:rPr>
      </w:pPr>
      <w:r>
        <w:rPr>
          <w:rFonts w:ascii="Times New Roman" w:hAnsi="Times New Roman" w:cs="Times New Roman"/>
        </w:rPr>
        <w:t>Paragraphs 9(5)(a)-(b) will continue to provide that an emerging company investment must not be made in:</w:t>
      </w:r>
    </w:p>
    <w:p w14:paraId="582C8ACC" w14:textId="3A3EC523" w:rsidR="00E879B2" w:rsidRPr="00E879B2" w:rsidRDefault="00E879B2" w:rsidP="00E879B2">
      <w:pPr>
        <w:pStyle w:val="ListParagraph"/>
        <w:numPr>
          <w:ilvl w:val="0"/>
          <w:numId w:val="10"/>
        </w:numPr>
        <w:spacing w:before="240" w:after="240" w:line="276" w:lineRule="auto"/>
        <w:rPr>
          <w:rFonts w:ascii="Times New Roman" w:hAnsi="Times New Roman" w:cs="Times New Roman"/>
        </w:rPr>
      </w:pPr>
      <w:r w:rsidRPr="00E879B2">
        <w:rPr>
          <w:rFonts w:ascii="Times New Roman" w:hAnsi="Times New Roman" w:cs="Times New Roman"/>
        </w:rPr>
        <w:t>securities issued or proposed to be issued by a government; or</w:t>
      </w:r>
    </w:p>
    <w:p w14:paraId="3A1CDA95" w14:textId="2BBB5F09" w:rsidR="00E879B2" w:rsidRPr="00E879B2" w:rsidRDefault="00E879B2" w:rsidP="00E879B2">
      <w:pPr>
        <w:pStyle w:val="ListParagraph"/>
        <w:numPr>
          <w:ilvl w:val="0"/>
          <w:numId w:val="10"/>
        </w:numPr>
        <w:spacing w:before="240" w:after="240" w:line="276" w:lineRule="auto"/>
        <w:rPr>
          <w:rFonts w:ascii="Times New Roman" w:hAnsi="Times New Roman" w:cs="Times New Roman"/>
        </w:rPr>
      </w:pPr>
      <w:r w:rsidRPr="00E879B2">
        <w:rPr>
          <w:rFonts w:ascii="Times New Roman" w:hAnsi="Times New Roman" w:cs="Times New Roman"/>
        </w:rPr>
        <w:t>debentures.</w:t>
      </w:r>
    </w:p>
    <w:p w14:paraId="2F339D65" w14:textId="26842F9F" w:rsidR="00712C33" w:rsidRPr="00981682" w:rsidRDefault="00BA257E" w:rsidP="00712C33">
      <w:pPr>
        <w:keepNext/>
        <w:spacing w:before="240" w:after="240" w:line="276" w:lineRule="auto"/>
        <w:rPr>
          <w:rFonts w:ascii="Times New Roman" w:hAnsi="Times New Roman" w:cs="Times New Roman"/>
          <w:b/>
        </w:rPr>
      </w:pPr>
      <w:r>
        <w:rPr>
          <w:rFonts w:ascii="Times New Roman" w:hAnsi="Times New Roman" w:cs="Times New Roman"/>
          <w:b/>
        </w:rPr>
        <w:lastRenderedPageBreak/>
        <w:t>I</w:t>
      </w:r>
      <w:r w:rsidR="00AA73A0">
        <w:rPr>
          <w:rFonts w:ascii="Times New Roman" w:hAnsi="Times New Roman" w:cs="Times New Roman"/>
          <w:b/>
        </w:rPr>
        <w:t>tems 15-16</w:t>
      </w:r>
      <w:r w:rsidR="00712C33" w:rsidRPr="00981682">
        <w:rPr>
          <w:rFonts w:ascii="Times New Roman" w:hAnsi="Times New Roman" w:cs="Times New Roman"/>
          <w:b/>
        </w:rPr>
        <w:tab/>
        <w:t>New subsections 9(12) and 10(4)</w:t>
      </w:r>
    </w:p>
    <w:p w14:paraId="57DB22F2" w14:textId="235B5723" w:rsidR="00981682" w:rsidRDefault="008A401B" w:rsidP="00712C33">
      <w:pPr>
        <w:spacing w:before="240" w:after="240" w:line="276" w:lineRule="auto"/>
        <w:rPr>
          <w:rFonts w:ascii="Times New Roman" w:hAnsi="Times New Roman" w:cs="Times New Roman"/>
        </w:rPr>
      </w:pPr>
      <w:r w:rsidRPr="008A401B">
        <w:rPr>
          <w:rFonts w:ascii="Times New Roman" w:hAnsi="Times New Roman" w:cs="Times New Roman"/>
        </w:rPr>
        <w:t>New subsections 9(12)</w:t>
      </w:r>
      <w:r w:rsidR="0026227E">
        <w:rPr>
          <w:rFonts w:ascii="Times New Roman" w:hAnsi="Times New Roman" w:cs="Times New Roman"/>
        </w:rPr>
        <w:t xml:space="preserve"> (item 15)</w:t>
      </w:r>
      <w:r w:rsidRPr="008A401B">
        <w:rPr>
          <w:rFonts w:ascii="Times New Roman" w:hAnsi="Times New Roman" w:cs="Times New Roman"/>
        </w:rPr>
        <w:t xml:space="preserve"> and 10(4)</w:t>
      </w:r>
      <w:r>
        <w:rPr>
          <w:rFonts w:ascii="Times New Roman" w:hAnsi="Times New Roman" w:cs="Times New Roman"/>
        </w:rPr>
        <w:t xml:space="preserve"> </w:t>
      </w:r>
      <w:r w:rsidR="0026227E">
        <w:rPr>
          <w:rFonts w:ascii="Times New Roman" w:hAnsi="Times New Roman" w:cs="Times New Roman"/>
        </w:rPr>
        <w:t xml:space="preserve">(item 16) </w:t>
      </w:r>
      <w:r>
        <w:rPr>
          <w:rFonts w:ascii="Times New Roman" w:hAnsi="Times New Roman" w:cs="Times New Roman"/>
        </w:rPr>
        <w:t>r</w:t>
      </w:r>
      <w:r w:rsidR="00981682" w:rsidRPr="00981682">
        <w:rPr>
          <w:rFonts w:ascii="Times New Roman" w:hAnsi="Times New Roman" w:cs="Times New Roman"/>
        </w:rPr>
        <w:t>equire each fund managed offering pr</w:t>
      </w:r>
      <w:r w:rsidR="00867B59">
        <w:rPr>
          <w:rFonts w:ascii="Times New Roman" w:hAnsi="Times New Roman" w:cs="Times New Roman"/>
        </w:rPr>
        <w:t xml:space="preserve">oducts for the </w:t>
      </w:r>
      <w:r w:rsidR="00867B59" w:rsidRPr="00867B59">
        <w:rPr>
          <w:rFonts w:ascii="Times New Roman" w:hAnsi="Times New Roman" w:cs="Times New Roman"/>
          <w:i/>
        </w:rPr>
        <w:t>emerging c</w:t>
      </w:r>
      <w:r w:rsidR="00981682" w:rsidRPr="00867B59">
        <w:rPr>
          <w:rFonts w:ascii="Times New Roman" w:hAnsi="Times New Roman" w:cs="Times New Roman"/>
          <w:i/>
        </w:rPr>
        <w:t>ompanies</w:t>
      </w:r>
      <w:r w:rsidR="00867B59" w:rsidRPr="00867B59">
        <w:rPr>
          <w:rFonts w:ascii="Times New Roman" w:hAnsi="Times New Roman" w:cs="Times New Roman"/>
          <w:i/>
        </w:rPr>
        <w:t xml:space="preserve"> investments</w:t>
      </w:r>
      <w:r w:rsidR="00867B59">
        <w:rPr>
          <w:rFonts w:ascii="Times New Roman" w:hAnsi="Times New Roman" w:cs="Times New Roman"/>
        </w:rPr>
        <w:t xml:space="preserve"> and/or the </w:t>
      </w:r>
      <w:r w:rsidR="00867B59" w:rsidRPr="00867B59">
        <w:rPr>
          <w:rFonts w:ascii="Times New Roman" w:hAnsi="Times New Roman" w:cs="Times New Roman"/>
          <w:i/>
        </w:rPr>
        <w:t>balancing i</w:t>
      </w:r>
      <w:r w:rsidR="00867B59">
        <w:rPr>
          <w:rFonts w:ascii="Times New Roman" w:hAnsi="Times New Roman" w:cs="Times New Roman"/>
          <w:i/>
        </w:rPr>
        <w:t>nvestments</w:t>
      </w:r>
      <w:r w:rsidR="00981682" w:rsidRPr="00981682">
        <w:rPr>
          <w:rFonts w:ascii="Times New Roman" w:hAnsi="Times New Roman" w:cs="Times New Roman"/>
        </w:rPr>
        <w:t xml:space="preserve"> components of the </w:t>
      </w:r>
      <w:r>
        <w:rPr>
          <w:rFonts w:ascii="Times New Roman" w:hAnsi="Times New Roman" w:cs="Times New Roman"/>
        </w:rPr>
        <w:t>Complying Investment Framework</w:t>
      </w:r>
      <w:r w:rsidR="00981682" w:rsidRPr="00981682">
        <w:rPr>
          <w:rFonts w:ascii="Times New Roman" w:hAnsi="Times New Roman" w:cs="Times New Roman"/>
        </w:rPr>
        <w:t xml:space="preserve"> to be audited annually beginning </w:t>
      </w:r>
      <w:r w:rsidR="00BA257E">
        <w:rPr>
          <w:rFonts w:ascii="Times New Roman" w:hAnsi="Times New Roman" w:cs="Times New Roman"/>
        </w:rPr>
        <w:t>financial</w:t>
      </w:r>
      <w:r w:rsidR="00981682" w:rsidRPr="00981682">
        <w:rPr>
          <w:rFonts w:ascii="Times New Roman" w:hAnsi="Times New Roman" w:cs="Times New Roman"/>
        </w:rPr>
        <w:t xml:space="preserve"> year 2021-22. </w:t>
      </w:r>
    </w:p>
    <w:p w14:paraId="3B14BFB6" w14:textId="0C275355" w:rsidR="00712C33" w:rsidRDefault="00712C33" w:rsidP="00712C33">
      <w:pPr>
        <w:keepNext/>
        <w:spacing w:before="240" w:after="240" w:line="276" w:lineRule="auto"/>
        <w:rPr>
          <w:rFonts w:ascii="Times New Roman" w:hAnsi="Times New Roman" w:cs="Times New Roman"/>
          <w:b/>
        </w:rPr>
      </w:pPr>
      <w:r>
        <w:rPr>
          <w:rFonts w:ascii="Times New Roman" w:hAnsi="Times New Roman" w:cs="Times New Roman"/>
          <w:b/>
        </w:rPr>
        <w:t>I</w:t>
      </w:r>
      <w:r w:rsidR="00EA3061">
        <w:rPr>
          <w:rFonts w:ascii="Times New Roman" w:hAnsi="Times New Roman" w:cs="Times New Roman"/>
          <w:b/>
        </w:rPr>
        <w:t>tem</w:t>
      </w:r>
      <w:r w:rsidR="00AA73A0">
        <w:rPr>
          <w:rFonts w:ascii="Times New Roman" w:hAnsi="Times New Roman" w:cs="Times New Roman"/>
          <w:b/>
        </w:rPr>
        <w:t xml:space="preserve"> 17</w:t>
      </w:r>
      <w:r w:rsidR="003C676A">
        <w:rPr>
          <w:rFonts w:ascii="Times New Roman" w:hAnsi="Times New Roman" w:cs="Times New Roman"/>
          <w:b/>
        </w:rPr>
        <w:tab/>
      </w:r>
      <w:r w:rsidR="00EA3061">
        <w:rPr>
          <w:rFonts w:ascii="Times New Roman" w:hAnsi="Times New Roman" w:cs="Times New Roman"/>
          <w:b/>
        </w:rPr>
        <w:tab/>
      </w:r>
      <w:r>
        <w:rPr>
          <w:rFonts w:ascii="Times New Roman" w:hAnsi="Times New Roman" w:cs="Times New Roman"/>
          <w:b/>
        </w:rPr>
        <w:t>Amendments to subsection 11(9)</w:t>
      </w:r>
    </w:p>
    <w:p w14:paraId="227DC4BF" w14:textId="34895A40" w:rsidR="00712C33" w:rsidRDefault="00EA3061" w:rsidP="00EA3061">
      <w:pPr>
        <w:spacing w:before="240" w:after="240" w:line="276" w:lineRule="auto"/>
        <w:rPr>
          <w:rFonts w:ascii="Times New Roman" w:hAnsi="Times New Roman" w:cs="Times New Roman"/>
        </w:rPr>
      </w:pPr>
      <w:r>
        <w:rPr>
          <w:rFonts w:ascii="Times New Roman" w:hAnsi="Times New Roman" w:cs="Times New Roman"/>
        </w:rPr>
        <w:t>Item</w:t>
      </w:r>
      <w:r w:rsidRPr="00EA3061">
        <w:rPr>
          <w:rFonts w:ascii="Times New Roman" w:hAnsi="Times New Roman" w:cs="Times New Roman"/>
        </w:rPr>
        <w:t xml:space="preserve"> </w:t>
      </w:r>
      <w:r>
        <w:rPr>
          <w:rFonts w:ascii="Times New Roman" w:hAnsi="Times New Roman" w:cs="Times New Roman"/>
        </w:rPr>
        <w:t>1</w:t>
      </w:r>
      <w:r w:rsidR="00B84B8E">
        <w:rPr>
          <w:rFonts w:ascii="Times New Roman" w:hAnsi="Times New Roman" w:cs="Times New Roman"/>
        </w:rPr>
        <w:t>7</w:t>
      </w:r>
      <w:r w:rsidRPr="00EA3061">
        <w:rPr>
          <w:rFonts w:ascii="Times New Roman" w:hAnsi="Times New Roman" w:cs="Times New Roman"/>
        </w:rPr>
        <w:t xml:space="preserve"> amend</w:t>
      </w:r>
      <w:r>
        <w:rPr>
          <w:rFonts w:ascii="Times New Roman" w:hAnsi="Times New Roman" w:cs="Times New Roman"/>
        </w:rPr>
        <w:t>s</w:t>
      </w:r>
      <w:r w:rsidRPr="00EA3061">
        <w:rPr>
          <w:rFonts w:ascii="Times New Roman" w:hAnsi="Times New Roman" w:cs="Times New Roman"/>
        </w:rPr>
        <w:t xml:space="preserve"> </w:t>
      </w:r>
      <w:r>
        <w:rPr>
          <w:rFonts w:ascii="Times New Roman" w:hAnsi="Times New Roman" w:cs="Times New Roman"/>
        </w:rPr>
        <w:t>subsection 11(9</w:t>
      </w:r>
      <w:r w:rsidRPr="00982C1D">
        <w:rPr>
          <w:rFonts w:ascii="Times New Roman" w:hAnsi="Times New Roman" w:cs="Times New Roman"/>
        </w:rPr>
        <w:t>)</w:t>
      </w:r>
      <w:r>
        <w:rPr>
          <w:rFonts w:ascii="Times New Roman" w:hAnsi="Times New Roman" w:cs="Times New Roman"/>
        </w:rPr>
        <w:t xml:space="preserve"> </w:t>
      </w:r>
      <w:r w:rsidRPr="00EA3061">
        <w:rPr>
          <w:rFonts w:ascii="Times New Roman" w:hAnsi="Times New Roman" w:cs="Times New Roman"/>
        </w:rPr>
        <w:t>to include qualifying provisions, ensuring that derivatives cannot</w:t>
      </w:r>
      <w:r w:rsidR="00981BD5">
        <w:rPr>
          <w:rFonts w:ascii="Times New Roman" w:hAnsi="Times New Roman" w:cs="Times New Roman"/>
        </w:rPr>
        <w:t xml:space="preserve"> be used to materially reduce an investor or significant </w:t>
      </w:r>
      <w:r w:rsidRPr="00EA3061">
        <w:rPr>
          <w:rFonts w:ascii="Times New Roman" w:hAnsi="Times New Roman" w:cs="Times New Roman"/>
        </w:rPr>
        <w:t>investor’s exposure to the mar</w:t>
      </w:r>
      <w:r>
        <w:rPr>
          <w:rFonts w:ascii="Times New Roman" w:hAnsi="Times New Roman" w:cs="Times New Roman"/>
        </w:rPr>
        <w:t>ket price of emerging companies’</w:t>
      </w:r>
      <w:r w:rsidRPr="00EA3061">
        <w:rPr>
          <w:rFonts w:ascii="Times New Roman" w:hAnsi="Times New Roman" w:cs="Times New Roman"/>
        </w:rPr>
        <w:t xml:space="preserve"> securities.</w:t>
      </w:r>
      <w:r w:rsidR="00712C33">
        <w:rPr>
          <w:rFonts w:ascii="Times New Roman" w:hAnsi="Times New Roman" w:cs="Times New Roman"/>
        </w:rPr>
        <w:t xml:space="preserve"> </w:t>
      </w:r>
    </w:p>
    <w:p w14:paraId="7DAB67C4" w14:textId="2C1C0972" w:rsidR="00712C33" w:rsidRDefault="00712C33" w:rsidP="00712C33">
      <w:pPr>
        <w:keepNext/>
        <w:spacing w:before="240" w:after="240" w:line="276" w:lineRule="auto"/>
        <w:rPr>
          <w:rFonts w:ascii="Times New Roman" w:hAnsi="Times New Roman" w:cs="Times New Roman"/>
          <w:b/>
        </w:rPr>
      </w:pPr>
      <w:r>
        <w:rPr>
          <w:rFonts w:ascii="Times New Roman" w:hAnsi="Times New Roman" w:cs="Times New Roman"/>
          <w:b/>
        </w:rPr>
        <w:t>I</w:t>
      </w:r>
      <w:r w:rsidR="00EA3061">
        <w:rPr>
          <w:rFonts w:ascii="Times New Roman" w:hAnsi="Times New Roman" w:cs="Times New Roman"/>
          <w:b/>
        </w:rPr>
        <w:t>tem</w:t>
      </w:r>
      <w:r w:rsidR="00AA73A0">
        <w:rPr>
          <w:rFonts w:ascii="Times New Roman" w:hAnsi="Times New Roman" w:cs="Times New Roman"/>
          <w:b/>
        </w:rPr>
        <w:t xml:space="preserve"> 18</w:t>
      </w:r>
      <w:r>
        <w:rPr>
          <w:rFonts w:ascii="Times New Roman" w:hAnsi="Times New Roman" w:cs="Times New Roman"/>
          <w:b/>
        </w:rPr>
        <w:tab/>
      </w:r>
      <w:r w:rsidR="00EA3061">
        <w:rPr>
          <w:rFonts w:ascii="Times New Roman" w:hAnsi="Times New Roman" w:cs="Times New Roman"/>
          <w:b/>
        </w:rPr>
        <w:tab/>
      </w:r>
      <w:r>
        <w:rPr>
          <w:rFonts w:ascii="Times New Roman" w:hAnsi="Times New Roman" w:cs="Times New Roman"/>
          <w:b/>
        </w:rPr>
        <w:t>Amendments to subsection 11(11)</w:t>
      </w:r>
    </w:p>
    <w:p w14:paraId="5000CE92" w14:textId="50BCE7FF" w:rsidR="00712C33" w:rsidRDefault="00982C1D" w:rsidP="00982C1D">
      <w:pPr>
        <w:spacing w:before="240" w:after="240" w:line="276" w:lineRule="auto"/>
        <w:rPr>
          <w:rFonts w:ascii="Times New Roman" w:hAnsi="Times New Roman" w:cs="Times New Roman"/>
        </w:rPr>
      </w:pPr>
      <w:r>
        <w:rPr>
          <w:rFonts w:ascii="Times New Roman" w:hAnsi="Times New Roman" w:cs="Times New Roman"/>
        </w:rPr>
        <w:t>Item</w:t>
      </w:r>
      <w:r w:rsidRPr="00982C1D">
        <w:rPr>
          <w:rFonts w:ascii="Times New Roman" w:hAnsi="Times New Roman" w:cs="Times New Roman"/>
        </w:rPr>
        <w:t xml:space="preserve"> </w:t>
      </w:r>
      <w:r w:rsidR="00B84B8E">
        <w:rPr>
          <w:rFonts w:ascii="Times New Roman" w:hAnsi="Times New Roman" w:cs="Times New Roman"/>
        </w:rPr>
        <w:t>18</w:t>
      </w:r>
      <w:r>
        <w:rPr>
          <w:rFonts w:ascii="Times New Roman" w:hAnsi="Times New Roman" w:cs="Times New Roman"/>
        </w:rPr>
        <w:t xml:space="preserve"> </w:t>
      </w:r>
      <w:r w:rsidRPr="00982C1D">
        <w:rPr>
          <w:rFonts w:ascii="Times New Roman" w:hAnsi="Times New Roman" w:cs="Times New Roman"/>
        </w:rPr>
        <w:t>amend</w:t>
      </w:r>
      <w:r>
        <w:rPr>
          <w:rFonts w:ascii="Times New Roman" w:hAnsi="Times New Roman" w:cs="Times New Roman"/>
        </w:rPr>
        <w:t>s</w:t>
      </w:r>
      <w:r w:rsidRPr="00982C1D">
        <w:rPr>
          <w:rFonts w:ascii="Times New Roman" w:hAnsi="Times New Roman" w:cs="Times New Roman"/>
        </w:rPr>
        <w:t xml:space="preserve"> subsection 11(11) </w:t>
      </w:r>
      <w:r w:rsidR="00AA73A0">
        <w:rPr>
          <w:rFonts w:ascii="Times New Roman" w:hAnsi="Times New Roman" w:cs="Times New Roman"/>
        </w:rPr>
        <w:t>to</w:t>
      </w:r>
      <w:r w:rsidRPr="00982C1D">
        <w:rPr>
          <w:rFonts w:ascii="Times New Roman" w:hAnsi="Times New Roman" w:cs="Times New Roman"/>
        </w:rPr>
        <w:t xml:space="preserve"> clarify that investment of the venture capital component may be made through a fund of funds structure.</w:t>
      </w:r>
      <w:r w:rsidR="00712C33">
        <w:rPr>
          <w:rFonts w:ascii="Times New Roman" w:hAnsi="Times New Roman" w:cs="Times New Roman"/>
        </w:rPr>
        <w:t xml:space="preserve"> </w:t>
      </w:r>
    </w:p>
    <w:p w14:paraId="4BAB167A" w14:textId="6BF42BEC" w:rsidR="00712C33" w:rsidRDefault="00712C33" w:rsidP="00712C33">
      <w:pPr>
        <w:keepNext/>
        <w:spacing w:before="240" w:after="240" w:line="276" w:lineRule="auto"/>
        <w:rPr>
          <w:rFonts w:ascii="Times New Roman" w:hAnsi="Times New Roman" w:cs="Times New Roman"/>
          <w:b/>
        </w:rPr>
      </w:pPr>
      <w:r>
        <w:rPr>
          <w:rFonts w:ascii="Times New Roman" w:hAnsi="Times New Roman" w:cs="Times New Roman"/>
          <w:b/>
        </w:rPr>
        <w:t>I</w:t>
      </w:r>
      <w:r w:rsidR="00EA3061">
        <w:rPr>
          <w:rFonts w:ascii="Times New Roman" w:hAnsi="Times New Roman" w:cs="Times New Roman"/>
          <w:b/>
        </w:rPr>
        <w:t>tem</w:t>
      </w:r>
      <w:r w:rsidR="00B84B8E">
        <w:rPr>
          <w:rFonts w:ascii="Times New Roman" w:hAnsi="Times New Roman" w:cs="Times New Roman"/>
          <w:b/>
        </w:rPr>
        <w:t xml:space="preserve"> 19</w:t>
      </w:r>
      <w:r w:rsidR="00EA3061">
        <w:rPr>
          <w:rFonts w:ascii="Times New Roman" w:hAnsi="Times New Roman" w:cs="Times New Roman"/>
          <w:b/>
        </w:rPr>
        <w:tab/>
      </w:r>
      <w:r>
        <w:rPr>
          <w:rFonts w:ascii="Times New Roman" w:hAnsi="Times New Roman" w:cs="Times New Roman"/>
          <w:b/>
        </w:rPr>
        <w:tab/>
        <w:t>Amendments to Part 3</w:t>
      </w:r>
    </w:p>
    <w:p w14:paraId="7D8A17C4" w14:textId="1E285EFE" w:rsidR="00712C33" w:rsidRDefault="00B84B8E" w:rsidP="00712C33">
      <w:pPr>
        <w:spacing w:before="240" w:after="240" w:line="276" w:lineRule="auto"/>
        <w:rPr>
          <w:rFonts w:ascii="Times New Roman" w:hAnsi="Times New Roman" w:cs="Times New Roman"/>
        </w:rPr>
      </w:pPr>
      <w:r>
        <w:rPr>
          <w:rFonts w:ascii="Times New Roman" w:hAnsi="Times New Roman" w:cs="Times New Roman"/>
        </w:rPr>
        <w:t>Item 19</w:t>
      </w:r>
      <w:r w:rsidR="00712C33">
        <w:rPr>
          <w:rFonts w:ascii="Times New Roman" w:hAnsi="Times New Roman" w:cs="Times New Roman"/>
        </w:rPr>
        <w:t xml:space="preserve"> removes Part 3. </w:t>
      </w:r>
      <w:r w:rsidR="003C676A">
        <w:rPr>
          <w:rFonts w:ascii="Times New Roman" w:hAnsi="Times New Roman" w:cs="Times New Roman"/>
        </w:rPr>
        <w:t xml:space="preserve">This is to remove the provisions relating to </w:t>
      </w:r>
      <w:r w:rsidR="003C676A">
        <w:rPr>
          <w:rFonts w:ascii="Times New Roman" w:hAnsi="Times New Roman" w:cs="Times New Roman"/>
          <w:i/>
        </w:rPr>
        <w:t>complying premium investments</w:t>
      </w:r>
      <w:r w:rsidR="003C676A">
        <w:rPr>
          <w:rFonts w:ascii="Times New Roman" w:hAnsi="Times New Roman" w:cs="Times New Roman"/>
        </w:rPr>
        <w:t>. This is because the</w:t>
      </w:r>
      <w:r w:rsidR="003C676A" w:rsidRPr="003C676A">
        <w:rPr>
          <w:rFonts w:ascii="Times New Roman" w:hAnsi="Times New Roman" w:cs="Times New Roman"/>
        </w:rPr>
        <w:t xml:space="preserve"> reference to </w:t>
      </w:r>
      <w:r w:rsidR="003C676A" w:rsidRPr="003C676A">
        <w:rPr>
          <w:rFonts w:ascii="Times New Roman" w:hAnsi="Times New Roman" w:cs="Times New Roman"/>
          <w:i/>
        </w:rPr>
        <w:t>complying premium investment</w:t>
      </w:r>
      <w:r w:rsidR="003C676A" w:rsidRPr="003C676A">
        <w:rPr>
          <w:rFonts w:ascii="Times New Roman" w:hAnsi="Times New Roman" w:cs="Times New Roman"/>
        </w:rPr>
        <w:t xml:space="preserve"> (regulation 5.19D of the Regulations) will no longer be relevant in Subclass 188 </w:t>
      </w:r>
      <w:r w:rsidR="003C676A">
        <w:rPr>
          <w:rFonts w:ascii="Times New Roman" w:hAnsi="Times New Roman" w:cs="Times New Roman"/>
        </w:rPr>
        <w:t xml:space="preserve">visas </w:t>
      </w:r>
      <w:r w:rsidR="003C676A" w:rsidRPr="003C676A">
        <w:rPr>
          <w:rFonts w:ascii="Times New Roman" w:hAnsi="Times New Roman" w:cs="Times New Roman"/>
        </w:rPr>
        <w:t>when the Premium Investor stream is closed from 1 July 2021</w:t>
      </w:r>
      <w:r w:rsidR="003C676A">
        <w:rPr>
          <w:rFonts w:ascii="Times New Roman" w:hAnsi="Times New Roman" w:cs="Times New Roman"/>
        </w:rPr>
        <w:t>.</w:t>
      </w:r>
    </w:p>
    <w:p w14:paraId="71B86B56" w14:textId="298097AA" w:rsidR="00AA73A0" w:rsidRPr="003C676A" w:rsidRDefault="00AA73A0" w:rsidP="00712C33">
      <w:pPr>
        <w:spacing w:before="240" w:after="240" w:line="276" w:lineRule="auto"/>
        <w:rPr>
          <w:rFonts w:ascii="Times New Roman" w:hAnsi="Times New Roman" w:cs="Times New Roman"/>
        </w:rPr>
      </w:pPr>
      <w:r>
        <w:rPr>
          <w:rFonts w:ascii="Times New Roman" w:hAnsi="Times New Roman" w:cs="Times New Roman"/>
        </w:rPr>
        <w:t>However, under new subsection 4A(2), Part 3</w:t>
      </w:r>
      <w:r w:rsidRPr="00AA73A0">
        <w:rPr>
          <w:rFonts w:ascii="Times New Roman" w:hAnsi="Times New Roman" w:cs="Times New Roman"/>
        </w:rPr>
        <w:t xml:space="preserve"> will continue </w:t>
      </w:r>
      <w:r>
        <w:rPr>
          <w:rFonts w:ascii="Times New Roman" w:hAnsi="Times New Roman" w:cs="Times New Roman"/>
        </w:rPr>
        <w:t>to apply to</w:t>
      </w:r>
      <w:r w:rsidRPr="00AA73A0">
        <w:rPr>
          <w:rFonts w:ascii="Times New Roman" w:hAnsi="Times New Roman" w:cs="Times New Roman"/>
        </w:rPr>
        <w:t xml:space="preserve"> applicants for a Subclass 888 (Business Innovation and Investment (Permanent)) visa who hold a Subclass 188 visa in the Premium Investor stream that was granted or applied for before 1 July 2021</w:t>
      </w:r>
      <w:r>
        <w:rPr>
          <w:rFonts w:ascii="Times New Roman" w:hAnsi="Times New Roman" w:cs="Times New Roman"/>
        </w:rPr>
        <w:t>.</w:t>
      </w:r>
    </w:p>
    <w:p w14:paraId="476DB1F5" w14:textId="0FE0200A" w:rsidR="00915032" w:rsidRPr="00A17D33" w:rsidRDefault="00915032" w:rsidP="00A17D33">
      <w:pPr>
        <w:spacing w:before="240" w:after="240" w:line="276" w:lineRule="auto"/>
        <w:rPr>
          <w:rFonts w:ascii="Times New Roman" w:hAnsi="Times New Roman" w:cs="Times New Roman"/>
        </w:rPr>
      </w:pPr>
    </w:p>
    <w:sectPr w:rsidR="00915032" w:rsidRPr="00A17D33" w:rsidSect="006E2416">
      <w:headerReference w:type="even" r:id="rId9"/>
      <w:headerReference w:type="default" r:id="rId10"/>
      <w:footerReference w:type="default" r:id="rId11"/>
      <w:headerReference w:type="first" r:id="rId12"/>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363A5" w14:textId="77777777" w:rsidR="006E2416" w:rsidRDefault="006E2416" w:rsidP="006E2416">
      <w:pPr>
        <w:spacing w:after="0" w:line="240" w:lineRule="auto"/>
      </w:pPr>
      <w:r>
        <w:separator/>
      </w:r>
    </w:p>
  </w:endnote>
  <w:endnote w:type="continuationSeparator" w:id="0">
    <w:p w14:paraId="3C09FBD9" w14:textId="77777777" w:rsidR="006E2416" w:rsidRDefault="006E2416" w:rsidP="006E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D6A7" w14:textId="517B36C3" w:rsidR="006E2416" w:rsidRPr="006E2416" w:rsidRDefault="003D132B" w:rsidP="006E2416">
    <w:pPr>
      <w:pStyle w:val="Footer"/>
      <w:pBdr>
        <w:top w:val="single" w:sz="4" w:space="1" w:color="auto"/>
      </w:pBdr>
      <w:tabs>
        <w:tab w:val="clear" w:pos="9026"/>
        <w:tab w:val="left" w:pos="7035"/>
        <w:tab w:val="right" w:pos="9746"/>
      </w:tabs>
      <w:rPr>
        <w:rFonts w:ascii="Times New Roman" w:hAnsi="Times New Roman" w:cs="Times New Roman"/>
        <w:sz w:val="16"/>
        <w:szCs w:val="16"/>
      </w:rPr>
    </w:pPr>
    <w:r w:rsidRPr="003D132B">
      <w:rPr>
        <w:rFonts w:ascii="Times New Roman" w:hAnsi="Times New Roman" w:cs="Times New Roman"/>
        <w:bCs/>
        <w:i/>
        <w:sz w:val="18"/>
        <w:szCs w:val="18"/>
      </w:rPr>
      <w:t>Migration (Complying Investments) Amendment Instrument (LIN 21/041) 2021</w:t>
    </w:r>
    <w:r w:rsidR="006E2416" w:rsidRPr="00411FEA">
      <w:rPr>
        <w:rFonts w:ascii="Times New Roman" w:hAnsi="Times New Roman" w:cs="Times New Roman"/>
        <w:sz w:val="16"/>
        <w:szCs w:val="16"/>
      </w:rPr>
      <w:tab/>
    </w:r>
    <w:r w:rsidR="006E2416">
      <w:rPr>
        <w:rFonts w:ascii="Times New Roman" w:hAnsi="Times New Roman" w:cs="Times New Roman"/>
        <w:sz w:val="16"/>
        <w:szCs w:val="16"/>
      </w:rPr>
      <w:tab/>
    </w:r>
    <w:r w:rsidR="006E2416" w:rsidRPr="00411FEA">
      <w:rPr>
        <w:rStyle w:val="PageNumber"/>
        <w:rFonts w:ascii="Times New Roman" w:hAnsi="Times New Roman" w:cs="Times New Roman"/>
        <w:sz w:val="16"/>
        <w:szCs w:val="16"/>
      </w:rPr>
      <w:fldChar w:fldCharType="begin"/>
    </w:r>
    <w:r w:rsidR="006E2416" w:rsidRPr="00411FEA">
      <w:rPr>
        <w:rStyle w:val="PageNumber"/>
        <w:rFonts w:ascii="Times New Roman" w:hAnsi="Times New Roman" w:cs="Times New Roman"/>
        <w:sz w:val="16"/>
        <w:szCs w:val="16"/>
      </w:rPr>
      <w:instrText xml:space="preserve"> PAGE </w:instrText>
    </w:r>
    <w:r w:rsidR="006E2416" w:rsidRPr="00411FEA">
      <w:rPr>
        <w:rStyle w:val="PageNumber"/>
        <w:rFonts w:ascii="Times New Roman" w:hAnsi="Times New Roman" w:cs="Times New Roman"/>
        <w:sz w:val="16"/>
        <w:szCs w:val="16"/>
      </w:rPr>
      <w:fldChar w:fldCharType="separate"/>
    </w:r>
    <w:r w:rsidR="006F4955">
      <w:rPr>
        <w:rStyle w:val="PageNumber"/>
        <w:rFonts w:ascii="Times New Roman" w:hAnsi="Times New Roman" w:cs="Times New Roman"/>
        <w:noProof/>
        <w:sz w:val="16"/>
        <w:szCs w:val="16"/>
      </w:rPr>
      <w:t>6</w:t>
    </w:r>
    <w:r w:rsidR="006E2416" w:rsidRPr="00411FEA">
      <w:rPr>
        <w:rStyle w:val="PageNumbe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A8021" w14:textId="77777777" w:rsidR="006E2416" w:rsidRDefault="006E2416" w:rsidP="006E2416">
      <w:pPr>
        <w:spacing w:after="0" w:line="240" w:lineRule="auto"/>
      </w:pPr>
      <w:r>
        <w:separator/>
      </w:r>
    </w:p>
  </w:footnote>
  <w:footnote w:type="continuationSeparator" w:id="0">
    <w:p w14:paraId="18BF7648" w14:textId="77777777" w:rsidR="006E2416" w:rsidRDefault="006E2416" w:rsidP="006E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992C" w14:textId="1E10FF0F" w:rsidR="00DB0585" w:rsidRDefault="00DB0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F378" w14:textId="0D1594E1" w:rsidR="00DB0585" w:rsidRDefault="00DB0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DC57" w14:textId="6AD59062" w:rsidR="00DB0585" w:rsidRDefault="00DB0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FBB"/>
    <w:multiLevelType w:val="hybridMultilevel"/>
    <w:tmpl w:val="3318916A"/>
    <w:lvl w:ilvl="0" w:tplc="65DAC2A2">
      <w:start w:val="1"/>
      <w:numFmt w:val="lowerLetter"/>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32A235C2"/>
    <w:multiLevelType w:val="hybridMultilevel"/>
    <w:tmpl w:val="B296AF0E"/>
    <w:lvl w:ilvl="0" w:tplc="74F68A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6E2F9D"/>
    <w:multiLevelType w:val="hybridMultilevel"/>
    <w:tmpl w:val="ACE45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000EF9"/>
    <w:multiLevelType w:val="hybridMultilevel"/>
    <w:tmpl w:val="3732E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9A6B1E"/>
    <w:multiLevelType w:val="hybridMultilevel"/>
    <w:tmpl w:val="3EAC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DD0D80"/>
    <w:multiLevelType w:val="hybridMultilevel"/>
    <w:tmpl w:val="BB007462"/>
    <w:lvl w:ilvl="0" w:tplc="61208AC8">
      <w:start w:val="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491897"/>
    <w:multiLevelType w:val="hybridMultilevel"/>
    <w:tmpl w:val="1A3CC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4"/>
  </w:num>
  <w:num w:numId="5">
    <w:abstractNumId w:val="7"/>
  </w:num>
  <w:num w:numId="6">
    <w:abstractNumId w:val="0"/>
  </w:num>
  <w:num w:numId="7">
    <w:abstractNumId w:val="1"/>
  </w:num>
  <w:num w:numId="8">
    <w:abstractNumId w:val="5"/>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0D"/>
    <w:rsid w:val="0000497A"/>
    <w:rsid w:val="00011842"/>
    <w:rsid w:val="0005297E"/>
    <w:rsid w:val="00054BDD"/>
    <w:rsid w:val="00060CB1"/>
    <w:rsid w:val="00073C46"/>
    <w:rsid w:val="00077C30"/>
    <w:rsid w:val="00080EB8"/>
    <w:rsid w:val="00093E68"/>
    <w:rsid w:val="000A3C2A"/>
    <w:rsid w:val="000A4B7C"/>
    <w:rsid w:val="000A5A2E"/>
    <w:rsid w:val="000B43CE"/>
    <w:rsid w:val="000C05F9"/>
    <w:rsid w:val="000C6F34"/>
    <w:rsid w:val="000D014F"/>
    <w:rsid w:val="000D1668"/>
    <w:rsid w:val="000E5B02"/>
    <w:rsid w:val="00100DFC"/>
    <w:rsid w:val="00107A3A"/>
    <w:rsid w:val="00121160"/>
    <w:rsid w:val="001311F6"/>
    <w:rsid w:val="001662AF"/>
    <w:rsid w:val="00185897"/>
    <w:rsid w:val="0019164E"/>
    <w:rsid w:val="001C6352"/>
    <w:rsid w:val="001F50AA"/>
    <w:rsid w:val="002008B2"/>
    <w:rsid w:val="00202BC0"/>
    <w:rsid w:val="0021734A"/>
    <w:rsid w:val="00221464"/>
    <w:rsid w:val="00225CE6"/>
    <w:rsid w:val="00233170"/>
    <w:rsid w:val="002402E0"/>
    <w:rsid w:val="0026214B"/>
    <w:rsid w:val="0026227E"/>
    <w:rsid w:val="002728CB"/>
    <w:rsid w:val="002847DD"/>
    <w:rsid w:val="00285E81"/>
    <w:rsid w:val="002A6F0D"/>
    <w:rsid w:val="002C1789"/>
    <w:rsid w:val="002C505B"/>
    <w:rsid w:val="002D167E"/>
    <w:rsid w:val="002D6A6C"/>
    <w:rsid w:val="002E68CE"/>
    <w:rsid w:val="00305B05"/>
    <w:rsid w:val="00307498"/>
    <w:rsid w:val="00312A35"/>
    <w:rsid w:val="00316C02"/>
    <w:rsid w:val="00354FB5"/>
    <w:rsid w:val="00355207"/>
    <w:rsid w:val="00364376"/>
    <w:rsid w:val="00390BBA"/>
    <w:rsid w:val="003A3C5D"/>
    <w:rsid w:val="003A5791"/>
    <w:rsid w:val="003B00F1"/>
    <w:rsid w:val="003C0F8B"/>
    <w:rsid w:val="003C676A"/>
    <w:rsid w:val="003D132B"/>
    <w:rsid w:val="003D6736"/>
    <w:rsid w:val="003E220E"/>
    <w:rsid w:val="003F26EB"/>
    <w:rsid w:val="003F441D"/>
    <w:rsid w:val="004151DA"/>
    <w:rsid w:val="0043683A"/>
    <w:rsid w:val="00443DEF"/>
    <w:rsid w:val="00457D4A"/>
    <w:rsid w:val="00460CE1"/>
    <w:rsid w:val="00464080"/>
    <w:rsid w:val="004640E6"/>
    <w:rsid w:val="00496198"/>
    <w:rsid w:val="004C2F5E"/>
    <w:rsid w:val="004C3C40"/>
    <w:rsid w:val="004E1A93"/>
    <w:rsid w:val="004F1CBD"/>
    <w:rsid w:val="004F5CE4"/>
    <w:rsid w:val="004F5F17"/>
    <w:rsid w:val="005431C4"/>
    <w:rsid w:val="005551E1"/>
    <w:rsid w:val="00560B24"/>
    <w:rsid w:val="00561A00"/>
    <w:rsid w:val="0057002B"/>
    <w:rsid w:val="005A14E0"/>
    <w:rsid w:val="005C1546"/>
    <w:rsid w:val="005D399B"/>
    <w:rsid w:val="005F2574"/>
    <w:rsid w:val="005F5F27"/>
    <w:rsid w:val="00604E06"/>
    <w:rsid w:val="00615EB0"/>
    <w:rsid w:val="0061715D"/>
    <w:rsid w:val="00620511"/>
    <w:rsid w:val="00660353"/>
    <w:rsid w:val="00683B45"/>
    <w:rsid w:val="00690359"/>
    <w:rsid w:val="006C3D2D"/>
    <w:rsid w:val="006C6B88"/>
    <w:rsid w:val="006D54FC"/>
    <w:rsid w:val="006E0481"/>
    <w:rsid w:val="006E2416"/>
    <w:rsid w:val="006F47C8"/>
    <w:rsid w:val="006F4955"/>
    <w:rsid w:val="0070008C"/>
    <w:rsid w:val="00701744"/>
    <w:rsid w:val="00712C33"/>
    <w:rsid w:val="0072340A"/>
    <w:rsid w:val="007469B3"/>
    <w:rsid w:val="0075623F"/>
    <w:rsid w:val="0075716B"/>
    <w:rsid w:val="007608AF"/>
    <w:rsid w:val="007944B1"/>
    <w:rsid w:val="007A229C"/>
    <w:rsid w:val="007A488E"/>
    <w:rsid w:val="007B37E0"/>
    <w:rsid w:val="007C49C3"/>
    <w:rsid w:val="007E4691"/>
    <w:rsid w:val="008106B6"/>
    <w:rsid w:val="00816590"/>
    <w:rsid w:val="008406A8"/>
    <w:rsid w:val="008501C9"/>
    <w:rsid w:val="00852F9A"/>
    <w:rsid w:val="00867B59"/>
    <w:rsid w:val="0088407D"/>
    <w:rsid w:val="0089021B"/>
    <w:rsid w:val="00890C4E"/>
    <w:rsid w:val="00890CBD"/>
    <w:rsid w:val="00895B9B"/>
    <w:rsid w:val="008A2D90"/>
    <w:rsid w:val="008A401B"/>
    <w:rsid w:val="008A43D8"/>
    <w:rsid w:val="008B24C8"/>
    <w:rsid w:val="008C0C26"/>
    <w:rsid w:val="008D39F4"/>
    <w:rsid w:val="008F34C7"/>
    <w:rsid w:val="008F3B45"/>
    <w:rsid w:val="008F6335"/>
    <w:rsid w:val="0091483A"/>
    <w:rsid w:val="00915032"/>
    <w:rsid w:val="00925911"/>
    <w:rsid w:val="00927938"/>
    <w:rsid w:val="009534CA"/>
    <w:rsid w:val="00956D0B"/>
    <w:rsid w:val="009631DD"/>
    <w:rsid w:val="00967461"/>
    <w:rsid w:val="00976D6A"/>
    <w:rsid w:val="0097791B"/>
    <w:rsid w:val="00981682"/>
    <w:rsid w:val="00981BD5"/>
    <w:rsid w:val="00982C1D"/>
    <w:rsid w:val="009959DD"/>
    <w:rsid w:val="009B53F9"/>
    <w:rsid w:val="009C573B"/>
    <w:rsid w:val="009E25AF"/>
    <w:rsid w:val="009E5934"/>
    <w:rsid w:val="009E650E"/>
    <w:rsid w:val="009F13EA"/>
    <w:rsid w:val="00A01242"/>
    <w:rsid w:val="00A01E29"/>
    <w:rsid w:val="00A1239A"/>
    <w:rsid w:val="00A17D33"/>
    <w:rsid w:val="00A24CA5"/>
    <w:rsid w:val="00A4253A"/>
    <w:rsid w:val="00A466CD"/>
    <w:rsid w:val="00A469EC"/>
    <w:rsid w:val="00A566E2"/>
    <w:rsid w:val="00A5726A"/>
    <w:rsid w:val="00A62EB2"/>
    <w:rsid w:val="00A77350"/>
    <w:rsid w:val="00A8041B"/>
    <w:rsid w:val="00A93173"/>
    <w:rsid w:val="00AA4557"/>
    <w:rsid w:val="00AA6A8A"/>
    <w:rsid w:val="00AA6B29"/>
    <w:rsid w:val="00AA6F32"/>
    <w:rsid w:val="00AA73A0"/>
    <w:rsid w:val="00B0135D"/>
    <w:rsid w:val="00B02222"/>
    <w:rsid w:val="00B03883"/>
    <w:rsid w:val="00B10122"/>
    <w:rsid w:val="00B445D9"/>
    <w:rsid w:val="00B56804"/>
    <w:rsid w:val="00B6472B"/>
    <w:rsid w:val="00B65A06"/>
    <w:rsid w:val="00B75478"/>
    <w:rsid w:val="00B84B8E"/>
    <w:rsid w:val="00B904CF"/>
    <w:rsid w:val="00BA257E"/>
    <w:rsid w:val="00BA59B0"/>
    <w:rsid w:val="00BB0CF2"/>
    <w:rsid w:val="00BD1EF7"/>
    <w:rsid w:val="00BD598E"/>
    <w:rsid w:val="00BE3157"/>
    <w:rsid w:val="00C20153"/>
    <w:rsid w:val="00C2492B"/>
    <w:rsid w:val="00C3085E"/>
    <w:rsid w:val="00C478EF"/>
    <w:rsid w:val="00C533A1"/>
    <w:rsid w:val="00C55AED"/>
    <w:rsid w:val="00C7310B"/>
    <w:rsid w:val="00C75032"/>
    <w:rsid w:val="00C81A5E"/>
    <w:rsid w:val="00C84982"/>
    <w:rsid w:val="00C930F2"/>
    <w:rsid w:val="00CA0B8A"/>
    <w:rsid w:val="00CD7592"/>
    <w:rsid w:val="00CF095A"/>
    <w:rsid w:val="00CF5981"/>
    <w:rsid w:val="00D0353F"/>
    <w:rsid w:val="00D06E0A"/>
    <w:rsid w:val="00D12238"/>
    <w:rsid w:val="00D14658"/>
    <w:rsid w:val="00D2161B"/>
    <w:rsid w:val="00D40E1E"/>
    <w:rsid w:val="00D42DF1"/>
    <w:rsid w:val="00D5487D"/>
    <w:rsid w:val="00D55CA3"/>
    <w:rsid w:val="00D57407"/>
    <w:rsid w:val="00D6196A"/>
    <w:rsid w:val="00D6662F"/>
    <w:rsid w:val="00D936E6"/>
    <w:rsid w:val="00DB0585"/>
    <w:rsid w:val="00DB6A64"/>
    <w:rsid w:val="00DD28A7"/>
    <w:rsid w:val="00DD7DA5"/>
    <w:rsid w:val="00DE4612"/>
    <w:rsid w:val="00DF79A0"/>
    <w:rsid w:val="00E00E54"/>
    <w:rsid w:val="00E03A8A"/>
    <w:rsid w:val="00E03DCC"/>
    <w:rsid w:val="00E161B0"/>
    <w:rsid w:val="00E42A32"/>
    <w:rsid w:val="00E42D17"/>
    <w:rsid w:val="00E43ED9"/>
    <w:rsid w:val="00E45FE2"/>
    <w:rsid w:val="00E525B9"/>
    <w:rsid w:val="00E6136B"/>
    <w:rsid w:val="00E63A2C"/>
    <w:rsid w:val="00E640CA"/>
    <w:rsid w:val="00E644CB"/>
    <w:rsid w:val="00E855A2"/>
    <w:rsid w:val="00E861E8"/>
    <w:rsid w:val="00E879B2"/>
    <w:rsid w:val="00E96FE6"/>
    <w:rsid w:val="00EA12C9"/>
    <w:rsid w:val="00EA3061"/>
    <w:rsid w:val="00EB18B9"/>
    <w:rsid w:val="00EC31A8"/>
    <w:rsid w:val="00EC47D1"/>
    <w:rsid w:val="00F12DC8"/>
    <w:rsid w:val="00F25291"/>
    <w:rsid w:val="00F3027F"/>
    <w:rsid w:val="00F36B21"/>
    <w:rsid w:val="00F702F3"/>
    <w:rsid w:val="00FD5018"/>
    <w:rsid w:val="00FE0FEE"/>
    <w:rsid w:val="00FE2385"/>
    <w:rsid w:val="00FF6910"/>
    <w:rsid w:val="00FF79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9BC99"/>
  <w15:chartTrackingRefBased/>
  <w15:docId w15:val="{C6348152-AE82-40E7-AAAF-AA471431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Header">
    <w:name w:val="header"/>
    <w:basedOn w:val="Normal"/>
    <w:link w:val="HeaderChar"/>
    <w:uiPriority w:val="99"/>
    <w:unhideWhenUsed/>
    <w:rsid w:val="006E2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16"/>
  </w:style>
  <w:style w:type="paragraph" w:styleId="Footer">
    <w:name w:val="footer"/>
    <w:basedOn w:val="Normal"/>
    <w:link w:val="FooterChar"/>
    <w:unhideWhenUsed/>
    <w:rsid w:val="006E2416"/>
    <w:pPr>
      <w:tabs>
        <w:tab w:val="center" w:pos="4513"/>
        <w:tab w:val="right" w:pos="9026"/>
      </w:tabs>
      <w:spacing w:after="0" w:line="240" w:lineRule="auto"/>
    </w:pPr>
  </w:style>
  <w:style w:type="character" w:customStyle="1" w:styleId="FooterChar">
    <w:name w:val="Footer Char"/>
    <w:basedOn w:val="DefaultParagraphFont"/>
    <w:link w:val="Footer"/>
    <w:rsid w:val="006E2416"/>
  </w:style>
  <w:style w:type="character" w:styleId="PageNumber">
    <w:name w:val="page number"/>
    <w:basedOn w:val="DefaultParagraphFont"/>
    <w:rsid w:val="006E2416"/>
  </w:style>
  <w:style w:type="character" w:styleId="CommentReference">
    <w:name w:val="annotation reference"/>
    <w:basedOn w:val="DefaultParagraphFont"/>
    <w:uiPriority w:val="99"/>
    <w:unhideWhenUsed/>
    <w:rsid w:val="0089021B"/>
    <w:rPr>
      <w:sz w:val="16"/>
      <w:szCs w:val="16"/>
    </w:rPr>
  </w:style>
  <w:style w:type="paragraph" w:styleId="CommentText">
    <w:name w:val="annotation text"/>
    <w:basedOn w:val="Normal"/>
    <w:link w:val="CommentTextChar"/>
    <w:uiPriority w:val="99"/>
    <w:unhideWhenUsed/>
    <w:rsid w:val="0089021B"/>
    <w:pPr>
      <w:spacing w:line="240" w:lineRule="auto"/>
    </w:pPr>
    <w:rPr>
      <w:sz w:val="20"/>
      <w:szCs w:val="20"/>
    </w:rPr>
  </w:style>
  <w:style w:type="character" w:customStyle="1" w:styleId="CommentTextChar">
    <w:name w:val="Comment Text Char"/>
    <w:basedOn w:val="DefaultParagraphFont"/>
    <w:link w:val="CommentText"/>
    <w:uiPriority w:val="99"/>
    <w:rsid w:val="0089021B"/>
    <w:rPr>
      <w:sz w:val="20"/>
      <w:szCs w:val="20"/>
    </w:rPr>
  </w:style>
  <w:style w:type="paragraph" w:styleId="CommentSubject">
    <w:name w:val="annotation subject"/>
    <w:basedOn w:val="CommentText"/>
    <w:next w:val="CommentText"/>
    <w:link w:val="CommentSubjectChar"/>
    <w:uiPriority w:val="99"/>
    <w:semiHidden/>
    <w:unhideWhenUsed/>
    <w:rsid w:val="0089021B"/>
    <w:rPr>
      <w:b/>
      <w:bCs/>
    </w:rPr>
  </w:style>
  <w:style w:type="character" w:customStyle="1" w:styleId="CommentSubjectChar">
    <w:name w:val="Comment Subject Char"/>
    <w:basedOn w:val="CommentTextChar"/>
    <w:link w:val="CommentSubject"/>
    <w:uiPriority w:val="99"/>
    <w:semiHidden/>
    <w:rsid w:val="0089021B"/>
    <w:rPr>
      <w:b/>
      <w:bCs/>
      <w:sz w:val="20"/>
      <w:szCs w:val="20"/>
    </w:rPr>
  </w:style>
  <w:style w:type="paragraph" w:styleId="BalloonText">
    <w:name w:val="Balloon Text"/>
    <w:basedOn w:val="Normal"/>
    <w:link w:val="BalloonTextChar"/>
    <w:uiPriority w:val="99"/>
    <w:semiHidden/>
    <w:unhideWhenUsed/>
    <w:rsid w:val="00890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21B"/>
    <w:rPr>
      <w:rFonts w:ascii="Segoe UI" w:hAnsi="Segoe UI" w:cs="Segoe UI"/>
      <w:sz w:val="18"/>
      <w:szCs w:val="18"/>
    </w:rPr>
  </w:style>
  <w:style w:type="character" w:styleId="Hyperlink">
    <w:name w:val="Hyperlink"/>
    <w:basedOn w:val="DefaultParagraphFont"/>
    <w:uiPriority w:val="99"/>
    <w:unhideWhenUsed/>
    <w:rsid w:val="008A2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migration/2017-2020/2020/19-04-2021/regs/Pages/_document00000/_level%20100008/level%20200357.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F9BE-ABCA-441C-A219-8D3B97CB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Template>
  <TotalTime>0</TotalTime>
  <Pages>6</Pages>
  <Words>1838</Words>
  <Characters>10479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Andrew NEWMAN-MARTIN</cp:lastModifiedBy>
  <cp:revision>2</cp:revision>
  <dcterms:created xsi:type="dcterms:W3CDTF">2021-06-29T05:08:00Z</dcterms:created>
  <dcterms:modified xsi:type="dcterms:W3CDTF">2021-06-29T05:08:00Z</dcterms:modified>
</cp:coreProperties>
</file>