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B16E" w14:textId="77777777" w:rsidR="008D011C" w:rsidRPr="00F17CC6" w:rsidRDefault="00CB1323" w:rsidP="008D011C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CDB7F90" wp14:editId="1BB988B0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8EB7" w14:textId="77777777" w:rsidR="008D011C" w:rsidRPr="000A3524" w:rsidRDefault="008D011C" w:rsidP="008D011C">
      <w:pPr>
        <w:pStyle w:val="LDTitle"/>
      </w:pPr>
      <w:bookmarkStart w:id="0" w:name="LIN"/>
      <w:r>
        <w:t>LIN</w:t>
      </w:r>
      <w:r w:rsidR="009C0E73">
        <w:t xml:space="preserve"> 21/041</w:t>
      </w:r>
      <w:bookmarkEnd w:id="0"/>
    </w:p>
    <w:p w14:paraId="722E06CD" w14:textId="319CBBF4" w:rsidR="009228CB" w:rsidRPr="009464C5" w:rsidRDefault="009C0E73" w:rsidP="000B14AD">
      <w:pPr>
        <w:pStyle w:val="LDDescription"/>
      </w:pPr>
      <w:bookmarkStart w:id="1" w:name="Title"/>
      <w:r w:rsidRPr="00FC2109">
        <w:rPr>
          <w:bCs/>
        </w:rPr>
        <w:t>Migration (Complying Investment</w:t>
      </w:r>
      <w:r w:rsidR="002425DE" w:rsidRPr="00FC2109">
        <w:rPr>
          <w:bCs/>
        </w:rPr>
        <w:t>s</w:t>
      </w:r>
      <w:r w:rsidRPr="00FC2109">
        <w:rPr>
          <w:bCs/>
        </w:rPr>
        <w:t>) Amendment Instrument (</w:t>
      </w:r>
      <w:r w:rsidR="002425DE" w:rsidRPr="00FC2109">
        <w:rPr>
          <w:bCs/>
        </w:rPr>
        <w:t>LIN </w:t>
      </w:r>
      <w:r w:rsidRPr="00FC2109">
        <w:rPr>
          <w:bCs/>
        </w:rPr>
        <w:t>21/041)</w:t>
      </w:r>
      <w:r w:rsidR="002425DE" w:rsidRPr="00FC2109">
        <w:rPr>
          <w:bCs/>
        </w:rPr>
        <w:t> </w:t>
      </w:r>
      <w:r w:rsidRPr="00FC2109">
        <w:rPr>
          <w:bCs/>
        </w:rPr>
        <w:t>2021</w:t>
      </w:r>
      <w:bookmarkEnd w:id="1"/>
    </w:p>
    <w:p w14:paraId="6AC7DE48" w14:textId="77777777" w:rsidR="00554826" w:rsidRDefault="00F13501" w:rsidP="00365E41">
      <w:pPr>
        <w:pStyle w:val="LDBodytext"/>
      </w:pPr>
      <w:r w:rsidRPr="006D2ADB">
        <w:t xml:space="preserve">I, Alex Hawke, Minister for Immigration, Citizenship, Migrant Services and Multicultural Affairs, make this instrument under </w:t>
      </w:r>
      <w:proofErr w:type="spellStart"/>
      <w:r w:rsidRPr="006D2ADB">
        <w:t>subregulation</w:t>
      </w:r>
      <w:proofErr w:type="spellEnd"/>
      <w:r w:rsidRPr="006D2ADB">
        <w:t xml:space="preserve"> 5.19C(6) of the </w:t>
      </w:r>
      <w:r w:rsidRPr="006D2ADB">
        <w:rPr>
          <w:i/>
        </w:rPr>
        <w:t xml:space="preserve">Migration Regulations 1994 </w:t>
      </w:r>
      <w:r w:rsidRPr="006D2ADB">
        <w:t xml:space="preserve">(the </w:t>
      </w:r>
      <w:r w:rsidRPr="006D2ADB">
        <w:rPr>
          <w:b/>
          <w:i/>
        </w:rPr>
        <w:t>Regulations</w:t>
      </w:r>
      <w:r w:rsidRPr="006D2ADB">
        <w:t>)</w:t>
      </w:r>
      <w:r w:rsidRPr="006D2ADB">
        <w:rPr>
          <w:i/>
        </w:rPr>
        <w:t>.</w:t>
      </w:r>
    </w:p>
    <w:p w14:paraId="10A75B15" w14:textId="38175336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3C6F55">
        <w:rPr>
          <w:szCs w:val="22"/>
        </w:rPr>
        <w:t xml:space="preserve"> 24 June 2</w:t>
      </w:r>
      <w:r w:rsidR="000858A5">
        <w:rPr>
          <w:szCs w:val="22"/>
        </w:rPr>
        <w:t>021</w:t>
      </w:r>
    </w:p>
    <w:p w14:paraId="7F5DEFE5" w14:textId="065BB819" w:rsidR="003B3646" w:rsidRPr="000858A5" w:rsidRDefault="003B3646" w:rsidP="000E7118">
      <w:pPr>
        <w:pStyle w:val="LDSign"/>
        <w:rPr>
          <w:color w:val="FF0000"/>
        </w:rPr>
      </w:pPr>
    </w:p>
    <w:p w14:paraId="51011F24" w14:textId="349369DB" w:rsidR="003C6F55" w:rsidRDefault="003C6F55" w:rsidP="00365E41">
      <w:pPr>
        <w:pStyle w:val="LDBodytext"/>
      </w:pPr>
      <w:bookmarkStart w:id="2" w:name="_GoBack"/>
      <w:bookmarkEnd w:id="2"/>
      <w:r>
        <w:t>Alex Hawke</w:t>
      </w:r>
    </w:p>
    <w:p w14:paraId="51C91808" w14:textId="703233FB" w:rsidR="00554826" w:rsidRPr="00F17CC6" w:rsidRDefault="000858A5" w:rsidP="00365E41">
      <w:pPr>
        <w:pStyle w:val="LDBodytext"/>
      </w:pPr>
      <w:r w:rsidRPr="006D2ADB">
        <w:t>Minister for Immigration, Citizenship, Migrant Services and Multicultural Affairs</w:t>
      </w:r>
    </w:p>
    <w:p w14:paraId="2AABBDDA" w14:textId="5895C68A" w:rsidR="007235A0" w:rsidRDefault="007235A0" w:rsidP="000B14AD">
      <w:pPr>
        <w:pStyle w:val="LDSecHead"/>
      </w:pPr>
      <w:bookmarkStart w:id="3" w:name="_Toc454512513"/>
      <w:bookmarkStart w:id="4" w:name="_Toc454512517"/>
    </w:p>
    <w:p w14:paraId="04EE7287" w14:textId="77777777" w:rsidR="004F66AE" w:rsidRPr="004F66AE" w:rsidRDefault="004F66AE" w:rsidP="004F66AE">
      <w:pPr>
        <w:pStyle w:val="LDSec1"/>
      </w:pPr>
    </w:p>
    <w:p w14:paraId="199F30F6" w14:textId="19FBBDBB" w:rsidR="003B3646" w:rsidRPr="00F17CC6" w:rsidRDefault="003C6F55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CD0E3B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0B25FBE7" w14:textId="7E735074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CD0E3B" w:rsidRPr="00CD0E3B">
        <w:rPr>
          <w:rStyle w:val="LDItal"/>
        </w:rPr>
        <w:t>Migration (Complying Investments) Amendment Instrument (LIN 21/041) 2021</w:t>
      </w:r>
      <w:r w:rsidRPr="000B14AD">
        <w:rPr>
          <w:rStyle w:val="LDItal"/>
        </w:rPr>
        <w:fldChar w:fldCharType="end"/>
      </w:r>
      <w:r>
        <w:t>.</w:t>
      </w:r>
    </w:p>
    <w:bookmarkStart w:id="6" w:name="_Toc454512514"/>
    <w:p w14:paraId="4B3D78AD" w14:textId="11C531AB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CD0E3B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5F3A1DB8" w14:textId="6E0B0B90" w:rsidR="00213630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>on</w:t>
      </w:r>
      <w:r w:rsidR="00213630">
        <w:t xml:space="preserve"> the later of:</w:t>
      </w:r>
    </w:p>
    <w:p w14:paraId="145C55FD" w14:textId="27FB2CA1" w:rsidR="00213630" w:rsidRDefault="00065D99" w:rsidP="004319C7">
      <w:pPr>
        <w:pStyle w:val="LDP1a"/>
      </w:pPr>
      <w:r>
        <w:t>(a)</w:t>
      </w:r>
      <w:r>
        <w:tab/>
      </w:r>
      <w:r w:rsidR="007C73E1" w:rsidRPr="006D2ADB">
        <w:t>1 July 2021</w:t>
      </w:r>
      <w:r w:rsidR="00213630">
        <w:t>; and</w:t>
      </w:r>
    </w:p>
    <w:p w14:paraId="104B61B0" w14:textId="38C7855B" w:rsidR="003B3646" w:rsidRPr="00F17CC6" w:rsidRDefault="00065D99" w:rsidP="004319C7">
      <w:pPr>
        <w:pStyle w:val="LDP1a"/>
      </w:pPr>
      <w:r>
        <w:t>(b)</w:t>
      </w:r>
      <w:r>
        <w:tab/>
      </w:r>
      <w:proofErr w:type="gramStart"/>
      <w:r w:rsidR="00213630">
        <w:t>the</w:t>
      </w:r>
      <w:proofErr w:type="gramEnd"/>
      <w:r w:rsidR="00213630">
        <w:t xml:space="preserve"> day after registration.</w:t>
      </w:r>
    </w:p>
    <w:bookmarkStart w:id="9" w:name="_Toc454512516"/>
    <w:bookmarkEnd w:id="8"/>
    <w:p w14:paraId="36EF5270" w14:textId="07E54FFF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CD0E3B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7235A0">
        <w:t>Amendment</w:t>
      </w:r>
    </w:p>
    <w:p w14:paraId="163A60B1" w14:textId="606E693B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 xml:space="preserve">Schedule 1 amends </w:t>
      </w:r>
      <w:r w:rsidR="007C73E1" w:rsidRPr="006D2ADB">
        <w:rPr>
          <w:i/>
        </w:rPr>
        <w:t>Migration (IMMI 15/100: Complying Investments) Instrument</w:t>
      </w:r>
      <w:r w:rsidR="00BA2A6F">
        <w:rPr>
          <w:i/>
        </w:rPr>
        <w:t> </w:t>
      </w:r>
      <w:r w:rsidR="007C73E1" w:rsidRPr="006D2ADB">
        <w:rPr>
          <w:i/>
        </w:rPr>
        <w:t>2015</w:t>
      </w:r>
      <w:r w:rsidR="007C73E1" w:rsidRPr="006D2ADB">
        <w:t xml:space="preserve"> (F2015L01012)</w:t>
      </w:r>
      <w:r w:rsidR="007235A0">
        <w:t>.</w:t>
      </w:r>
    </w:p>
    <w:p w14:paraId="589C1D26" w14:textId="77777777" w:rsidR="007235A0" w:rsidRDefault="007235A0" w:rsidP="007235A0">
      <w:pPr>
        <w:pStyle w:val="LDSchedule"/>
      </w:pPr>
      <w:bookmarkStart w:id="11" w:name="_Toc31201296"/>
      <w:bookmarkEnd w:id="4"/>
    </w:p>
    <w:p w14:paraId="78171324" w14:textId="3DA371B2" w:rsidR="00A252F1" w:rsidRDefault="00A252F1" w:rsidP="00DB2016">
      <w:pPr>
        <w:pStyle w:val="LDSchedule"/>
        <w:keepNext/>
      </w:pPr>
      <w:r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CD0E3B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C21F16">
        <w:t>Amendment</w:t>
      </w:r>
    </w:p>
    <w:p w14:paraId="28465234" w14:textId="77777777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2CCC4DC3" w14:textId="4D13089E" w:rsidR="00DC45DB" w:rsidRPr="00376CC2" w:rsidRDefault="00DC45DB" w:rsidP="00DC45DB">
      <w:pPr>
        <w:pStyle w:val="LDAmendHeading"/>
      </w:pPr>
      <w:r w:rsidRPr="00376CC2">
        <w:t>[</w:t>
      </w:r>
      <w:r w:rsidRPr="00376CC2">
        <w:rPr>
          <w:noProof/>
        </w:rPr>
        <w:fldChar w:fldCharType="begin"/>
      </w:r>
      <w:r w:rsidRPr="00376CC2">
        <w:rPr>
          <w:noProof/>
        </w:rPr>
        <w:instrText xml:space="preserve"> SEQ ItemNo \* MERGEFORMAT </w:instrText>
      </w:r>
      <w:r w:rsidRPr="00376CC2">
        <w:rPr>
          <w:noProof/>
        </w:rPr>
        <w:fldChar w:fldCharType="separate"/>
      </w:r>
      <w:r w:rsidR="00CD0E3B">
        <w:rPr>
          <w:noProof/>
        </w:rPr>
        <w:t>1</w:t>
      </w:r>
      <w:r w:rsidRPr="00376CC2">
        <w:rPr>
          <w:noProof/>
        </w:rPr>
        <w:fldChar w:fldCharType="end"/>
      </w:r>
      <w:r w:rsidRPr="00376CC2">
        <w:t>]</w:t>
      </w:r>
      <w:r w:rsidRPr="00376CC2">
        <w:tab/>
      </w:r>
      <w:r w:rsidRPr="00376CC2">
        <w:rPr>
          <w:bCs/>
        </w:rPr>
        <w:t>Part 1</w:t>
      </w:r>
      <w:r w:rsidR="008221DC" w:rsidRPr="00376CC2">
        <w:rPr>
          <w:bCs/>
        </w:rPr>
        <w:t>,</w:t>
      </w:r>
      <w:r w:rsidR="00B60791" w:rsidRPr="00376CC2">
        <w:rPr>
          <w:bCs/>
        </w:rPr>
        <w:t xml:space="preserve"> </w:t>
      </w:r>
      <w:r w:rsidR="00EC6887" w:rsidRPr="00376CC2">
        <w:rPr>
          <w:bCs/>
        </w:rPr>
        <w:t>heading</w:t>
      </w:r>
    </w:p>
    <w:p w14:paraId="34D00683" w14:textId="77777777" w:rsidR="00DC45DB" w:rsidRPr="00376CC2" w:rsidRDefault="00DC45DB" w:rsidP="00DB2016">
      <w:pPr>
        <w:pStyle w:val="LDAmendInstruction"/>
        <w:keepNext w:val="0"/>
      </w:pPr>
      <w:proofErr w:type="gramStart"/>
      <w:r w:rsidRPr="00376CC2">
        <w:t>omit</w:t>
      </w:r>
      <w:proofErr w:type="gramEnd"/>
    </w:p>
    <w:p w14:paraId="2B968CCF" w14:textId="6ABA3A4A" w:rsidR="00DC45DB" w:rsidRPr="00376CC2" w:rsidRDefault="00DC45DB" w:rsidP="00DC45DB">
      <w:pPr>
        <w:pStyle w:val="LDAmendHeading"/>
      </w:pPr>
      <w:r w:rsidRPr="00376CC2">
        <w:lastRenderedPageBreak/>
        <w:t>[</w:t>
      </w:r>
      <w:r w:rsidRPr="00376CC2">
        <w:rPr>
          <w:noProof/>
        </w:rPr>
        <w:fldChar w:fldCharType="begin"/>
      </w:r>
      <w:r w:rsidRPr="00376CC2">
        <w:rPr>
          <w:noProof/>
        </w:rPr>
        <w:instrText xml:space="preserve"> SEQ ItemNo \* MERGEFORMAT </w:instrText>
      </w:r>
      <w:r w:rsidRPr="00376CC2">
        <w:rPr>
          <w:noProof/>
        </w:rPr>
        <w:fldChar w:fldCharType="separate"/>
      </w:r>
      <w:r w:rsidR="00CD0E3B">
        <w:rPr>
          <w:noProof/>
        </w:rPr>
        <w:t>2</w:t>
      </w:r>
      <w:r w:rsidRPr="00376CC2">
        <w:rPr>
          <w:noProof/>
        </w:rPr>
        <w:fldChar w:fldCharType="end"/>
      </w:r>
      <w:r w:rsidRPr="00376CC2">
        <w:t>]</w:t>
      </w:r>
      <w:r w:rsidRPr="00376CC2">
        <w:tab/>
      </w:r>
      <w:r w:rsidR="009156EE" w:rsidRPr="00376CC2">
        <w:t>Section 3</w:t>
      </w:r>
    </w:p>
    <w:p w14:paraId="49A4A409" w14:textId="77777777" w:rsidR="00DC45DB" w:rsidRPr="00376CC2" w:rsidRDefault="009156EE" w:rsidP="00DB2016">
      <w:pPr>
        <w:pStyle w:val="LDAmendInstruction"/>
      </w:pPr>
      <w:proofErr w:type="gramStart"/>
      <w:r w:rsidRPr="00376CC2">
        <w:t>substitute</w:t>
      </w:r>
      <w:proofErr w:type="gramEnd"/>
    </w:p>
    <w:p w14:paraId="4C35C802" w14:textId="77777777" w:rsidR="00B65247" w:rsidRPr="00881A80" w:rsidRDefault="00B65247" w:rsidP="00B65247">
      <w:pPr>
        <w:pStyle w:val="LDSecHead"/>
      </w:pPr>
      <w:r>
        <w:t>3</w:t>
      </w:r>
      <w:r w:rsidRPr="00881A80">
        <w:tab/>
      </w:r>
      <w:r>
        <w:t>Authority</w:t>
      </w:r>
    </w:p>
    <w:p w14:paraId="4646CD4B" w14:textId="77777777" w:rsidR="00DC45DB" w:rsidRDefault="00B65247" w:rsidP="00B65247">
      <w:pPr>
        <w:pStyle w:val="LDSec1"/>
      </w:pPr>
      <w:r>
        <w:tab/>
      </w:r>
      <w:r>
        <w:tab/>
      </w:r>
      <w:r w:rsidR="009156EE" w:rsidRPr="00376CC2">
        <w:t>This inst</w:t>
      </w:r>
      <w:r w:rsidR="00B240BA" w:rsidRPr="00376CC2">
        <w:t>rument is made under regulation</w:t>
      </w:r>
      <w:r w:rsidR="009156EE" w:rsidRPr="00376CC2">
        <w:t xml:space="preserve"> 5.19C of the </w:t>
      </w:r>
      <w:r w:rsidR="009156EE" w:rsidRPr="00376CC2">
        <w:rPr>
          <w:i/>
          <w:iCs/>
        </w:rPr>
        <w:t>Migration Regulations</w:t>
      </w:r>
      <w:r w:rsidR="008221DC" w:rsidRPr="00376CC2">
        <w:rPr>
          <w:i/>
          <w:iCs/>
        </w:rPr>
        <w:t> </w:t>
      </w:r>
      <w:r w:rsidR="009156EE" w:rsidRPr="00376CC2">
        <w:rPr>
          <w:i/>
          <w:iCs/>
        </w:rPr>
        <w:t>1994</w:t>
      </w:r>
      <w:r w:rsidR="009156EE" w:rsidRPr="00376CC2">
        <w:t>.</w:t>
      </w:r>
    </w:p>
    <w:p w14:paraId="253E848C" w14:textId="1258A44B" w:rsidR="00DC45DB" w:rsidRDefault="00DC45DB" w:rsidP="00DC45DB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CD0E3B">
        <w:rPr>
          <w:noProof/>
        </w:rPr>
        <w:t>3</w:t>
      </w:r>
      <w:r>
        <w:rPr>
          <w:noProof/>
        </w:rPr>
        <w:fldChar w:fldCharType="end"/>
      </w:r>
      <w:r>
        <w:t>]</w:t>
      </w:r>
      <w:r>
        <w:tab/>
      </w:r>
      <w:r w:rsidR="004A083C">
        <w:t>Section 4</w:t>
      </w:r>
      <w:r w:rsidR="00EC6887">
        <w:t>, heading, note, paragraph (b)</w:t>
      </w:r>
    </w:p>
    <w:p w14:paraId="6A6FC194" w14:textId="77777777" w:rsidR="004A083C" w:rsidRPr="002D6EEE" w:rsidRDefault="004A083C" w:rsidP="00DB2016">
      <w:pPr>
        <w:pStyle w:val="LDAmendInstruction"/>
        <w:keepNext w:val="0"/>
      </w:pPr>
      <w:proofErr w:type="gramStart"/>
      <w:r w:rsidRPr="002D6EEE">
        <w:t>omit</w:t>
      </w:r>
      <w:proofErr w:type="gramEnd"/>
    </w:p>
    <w:p w14:paraId="5C6238FC" w14:textId="34AEC450" w:rsidR="00DC45DB" w:rsidRPr="00527FB4" w:rsidRDefault="00DC45DB" w:rsidP="004A083C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CD0E3B">
        <w:rPr>
          <w:noProof/>
        </w:rPr>
        <w:t>4</w:t>
      </w:r>
      <w:r>
        <w:rPr>
          <w:noProof/>
        </w:rPr>
        <w:fldChar w:fldCharType="end"/>
      </w:r>
      <w:r>
        <w:t>]</w:t>
      </w:r>
      <w:r>
        <w:tab/>
      </w:r>
      <w:r w:rsidR="00C775AE">
        <w:t>S</w:t>
      </w:r>
      <w:r w:rsidR="00B11040">
        <w:t>e</w:t>
      </w:r>
      <w:r w:rsidR="00B11040" w:rsidRPr="00527FB4">
        <w:t>ction 4</w:t>
      </w:r>
    </w:p>
    <w:p w14:paraId="3F30FCCE" w14:textId="77777777" w:rsidR="00DC45DB" w:rsidRPr="00527FB4" w:rsidRDefault="00C775AE" w:rsidP="00DC45DB">
      <w:pPr>
        <w:pStyle w:val="LDAmendInstruction"/>
      </w:pPr>
      <w:proofErr w:type="gramStart"/>
      <w:r w:rsidRPr="00527FB4">
        <w:t>insert</w:t>
      </w:r>
      <w:proofErr w:type="gramEnd"/>
    </w:p>
    <w:p w14:paraId="555F3BD5" w14:textId="77777777" w:rsidR="00B11040" w:rsidRPr="00C21F16" w:rsidRDefault="00B11040" w:rsidP="00B11040">
      <w:pPr>
        <w:pStyle w:val="LDdefinition"/>
      </w:pPr>
      <w:proofErr w:type="gramStart"/>
      <w:r w:rsidRPr="00527FB4">
        <w:rPr>
          <w:b/>
          <w:i/>
          <w:lang w:val="en-GB"/>
        </w:rPr>
        <w:t>fund</w:t>
      </w:r>
      <w:proofErr w:type="gramEnd"/>
      <w:r w:rsidRPr="00527FB4">
        <w:rPr>
          <w:b/>
          <w:i/>
          <w:lang w:val="en-GB"/>
        </w:rPr>
        <w:t xml:space="preserve"> of funds </w:t>
      </w:r>
      <w:r w:rsidRPr="00527FB4">
        <w:rPr>
          <w:lang w:val="en-GB"/>
        </w:rPr>
        <w:t>means</w:t>
      </w:r>
      <w:r w:rsidRPr="00527FB4">
        <w:t xml:space="preserve"> a managed investment fund that invests in other funds.</w:t>
      </w:r>
    </w:p>
    <w:p w14:paraId="418741C8" w14:textId="06DDF1D0" w:rsidR="00DC45DB" w:rsidRPr="00417133" w:rsidRDefault="00B11040" w:rsidP="00B11040">
      <w:pPr>
        <w:pStyle w:val="LDNote"/>
      </w:pPr>
      <w:r w:rsidRPr="00B11040">
        <w:rPr>
          <w:i/>
        </w:rPr>
        <w:t>Note</w:t>
      </w:r>
      <w:r w:rsidRPr="00B11040">
        <w:rPr>
          <w:i/>
        </w:rPr>
        <w:tab/>
      </w:r>
      <w:r w:rsidRPr="00B11040">
        <w:t xml:space="preserve">An investor </w:t>
      </w:r>
      <w:r w:rsidR="00B25F0C">
        <w:t>can</w:t>
      </w:r>
      <w:r w:rsidRPr="00B11040">
        <w:t xml:space="preserve"> invest in managed investment funds through a fund of funds or investor directed portfolio service </w:t>
      </w:r>
      <w:r w:rsidR="00B25F0C">
        <w:t>if</w:t>
      </w:r>
      <w:r w:rsidR="00B25F0C" w:rsidRPr="00B11040">
        <w:t xml:space="preserve"> </w:t>
      </w:r>
      <w:r w:rsidRPr="00B11040">
        <w:t>the managed investment funds in which the fund of funds or investor directed portfolio service invests compl</w:t>
      </w:r>
      <w:r w:rsidR="00B25F0C">
        <w:t>ies</w:t>
      </w:r>
      <w:r w:rsidRPr="00B11040">
        <w:t xml:space="preserve"> with the other requirements of the complying investment framework.</w:t>
      </w:r>
    </w:p>
    <w:p w14:paraId="7CF3629B" w14:textId="400532B3" w:rsidR="00DC45DB" w:rsidRDefault="00DC45DB" w:rsidP="00DC45DB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CD0E3B">
        <w:rPr>
          <w:noProof/>
        </w:rPr>
        <w:t>5</w:t>
      </w:r>
      <w:r>
        <w:rPr>
          <w:noProof/>
        </w:rPr>
        <w:fldChar w:fldCharType="end"/>
      </w:r>
      <w:r>
        <w:t>]</w:t>
      </w:r>
      <w:r>
        <w:tab/>
      </w:r>
      <w:r w:rsidR="004632D4">
        <w:t>Section 4,</w:t>
      </w:r>
      <w:r w:rsidR="00B11040">
        <w:t xml:space="preserve"> </w:t>
      </w:r>
      <w:r w:rsidR="004632D4">
        <w:t xml:space="preserve">definition </w:t>
      </w:r>
      <w:r w:rsidR="004632D4" w:rsidRPr="00527FB4">
        <w:t xml:space="preserve">of </w:t>
      </w:r>
      <w:r w:rsidR="004632D4" w:rsidRPr="00527FB4">
        <w:rPr>
          <w:i/>
        </w:rPr>
        <w:t>investor</w:t>
      </w:r>
    </w:p>
    <w:p w14:paraId="201AC30E" w14:textId="77777777" w:rsidR="00DC45DB" w:rsidRDefault="004632D4" w:rsidP="00DC45DB">
      <w:pPr>
        <w:pStyle w:val="LDAmendInstruction"/>
      </w:pPr>
      <w:proofErr w:type="gramStart"/>
      <w:r>
        <w:t>omit</w:t>
      </w:r>
      <w:proofErr w:type="gramEnd"/>
    </w:p>
    <w:p w14:paraId="3DB9B58C" w14:textId="4F1D1BE0" w:rsidR="00DC45DB" w:rsidRDefault="004632D4" w:rsidP="00DC45DB">
      <w:pPr>
        <w:pStyle w:val="LDAmendText"/>
      </w:pPr>
      <w:proofErr w:type="gramStart"/>
      <w:r w:rsidRPr="004632D4">
        <w:t>or</w:t>
      </w:r>
      <w:proofErr w:type="gramEnd"/>
      <w:r w:rsidRPr="004632D4">
        <w:t xml:space="preserve"> 5.19D</w:t>
      </w:r>
      <w:r w:rsidR="00B25F0C" w:rsidRPr="00CC744B">
        <w:t xml:space="preserve"> of the Regulations, as the case requires.</w:t>
      </w:r>
    </w:p>
    <w:p w14:paraId="2AC33891" w14:textId="2987D366" w:rsidR="00B25F0C" w:rsidRDefault="00B25F0C" w:rsidP="004319C7">
      <w:pPr>
        <w:pStyle w:val="LDAmendInstruction"/>
      </w:pPr>
      <w:proofErr w:type="gramStart"/>
      <w:r>
        <w:t>insert</w:t>
      </w:r>
      <w:proofErr w:type="gramEnd"/>
    </w:p>
    <w:p w14:paraId="5AC5C625" w14:textId="572B1D5F" w:rsidR="00B25F0C" w:rsidRPr="00B25F0C" w:rsidRDefault="00B25F0C">
      <w:pPr>
        <w:pStyle w:val="LDAmendText"/>
      </w:pPr>
      <w:proofErr w:type="gramStart"/>
      <w:r>
        <w:t>of</w:t>
      </w:r>
      <w:proofErr w:type="gramEnd"/>
      <w:r>
        <w:t xml:space="preserve"> the Regulations.</w:t>
      </w:r>
    </w:p>
    <w:p w14:paraId="251D2661" w14:textId="0406CEA6" w:rsidR="00EC6887" w:rsidRDefault="00EC6887" w:rsidP="00EC6887">
      <w:pPr>
        <w:pStyle w:val="LDAmendHeading"/>
      </w:pPr>
      <w:r>
        <w:t>[</w:t>
      </w:r>
      <w:r w:rsidR="00DF03F8">
        <w:t>6</w:t>
      </w:r>
      <w:r>
        <w:t>]</w:t>
      </w:r>
      <w:r>
        <w:tab/>
        <w:t xml:space="preserve">Section 4, definition </w:t>
      </w:r>
      <w:r w:rsidRPr="00527FB4">
        <w:t xml:space="preserve">of </w:t>
      </w:r>
      <w:r>
        <w:rPr>
          <w:i/>
        </w:rPr>
        <w:t>visa</w:t>
      </w:r>
      <w:r>
        <w:t>, paragraph (c)</w:t>
      </w:r>
    </w:p>
    <w:p w14:paraId="6A5625D6" w14:textId="5762484F" w:rsidR="00EC6887" w:rsidRDefault="00DF03F8" w:rsidP="00EC6887">
      <w:pPr>
        <w:pStyle w:val="LDAmendInstruction"/>
      </w:pPr>
      <w:proofErr w:type="gramStart"/>
      <w:r>
        <w:t>substitute</w:t>
      </w:r>
      <w:proofErr w:type="gramEnd"/>
    </w:p>
    <w:p w14:paraId="438A8DCD" w14:textId="0EA460DC" w:rsidR="008F6872" w:rsidRPr="008F6872" w:rsidRDefault="00DF03F8" w:rsidP="00834865">
      <w:pPr>
        <w:pStyle w:val="LDP1a"/>
      </w:pPr>
      <w:r>
        <w:t>(c)</w:t>
      </w:r>
      <w:r w:rsidR="00BA2A6F">
        <w:tab/>
      </w:r>
      <w:proofErr w:type="gramStart"/>
      <w:r>
        <w:t>the</w:t>
      </w:r>
      <w:proofErr w:type="gramEnd"/>
      <w:r>
        <w:t xml:space="preserve"> Investor Stream.</w:t>
      </w:r>
    </w:p>
    <w:p w14:paraId="05F67157" w14:textId="2FAC7DD4" w:rsidR="00FC2109" w:rsidRPr="00376CC2" w:rsidRDefault="00FC2109" w:rsidP="00FC2109">
      <w:pPr>
        <w:pStyle w:val="LDAmendHeading"/>
      </w:pPr>
      <w:r w:rsidRPr="00376CC2">
        <w:t>[</w:t>
      </w:r>
      <w:r w:rsidR="002B2020">
        <w:rPr>
          <w:noProof/>
        </w:rPr>
        <w:t>7</w:t>
      </w:r>
      <w:r w:rsidRPr="00376CC2">
        <w:t>]</w:t>
      </w:r>
      <w:r w:rsidRPr="00376CC2">
        <w:tab/>
      </w:r>
      <w:r w:rsidRPr="00376CC2">
        <w:rPr>
          <w:bCs/>
        </w:rPr>
        <w:t>Part 2, heading</w:t>
      </w:r>
    </w:p>
    <w:p w14:paraId="5A66CDFA" w14:textId="77777777" w:rsidR="00FC2109" w:rsidRPr="00376CC2" w:rsidRDefault="00FC2109" w:rsidP="00893357">
      <w:pPr>
        <w:pStyle w:val="LDAmendInstruction"/>
        <w:keepNext w:val="0"/>
      </w:pPr>
      <w:proofErr w:type="gramStart"/>
      <w:r w:rsidRPr="00376CC2">
        <w:t>omit</w:t>
      </w:r>
      <w:proofErr w:type="gramEnd"/>
    </w:p>
    <w:p w14:paraId="34F8D294" w14:textId="772DAC1D" w:rsidR="00F2664C" w:rsidRDefault="00F2664C" w:rsidP="00FC2109">
      <w:pPr>
        <w:pStyle w:val="LDAmendHeading"/>
      </w:pPr>
      <w:r>
        <w:t>[</w:t>
      </w:r>
      <w:r w:rsidR="002B2020">
        <w:rPr>
          <w:noProof/>
        </w:rPr>
        <w:t>8</w:t>
      </w:r>
      <w:r>
        <w:t>]</w:t>
      </w:r>
      <w:r>
        <w:tab/>
      </w:r>
      <w:r w:rsidR="006D7D7C">
        <w:t xml:space="preserve">After section </w:t>
      </w:r>
      <w:r w:rsidR="00471048">
        <w:t>4</w:t>
      </w:r>
    </w:p>
    <w:p w14:paraId="48B33AAD" w14:textId="51F2FC01" w:rsidR="00F2664C" w:rsidRDefault="006D7D7C" w:rsidP="00A2755A">
      <w:pPr>
        <w:pStyle w:val="LDAmendInstruction"/>
        <w:keepNext w:val="0"/>
      </w:pPr>
      <w:proofErr w:type="gramStart"/>
      <w:r>
        <w:t>insert</w:t>
      </w:r>
      <w:proofErr w:type="gramEnd"/>
    </w:p>
    <w:p w14:paraId="1EDEE08E" w14:textId="4F1C0649" w:rsidR="00233D5A" w:rsidRPr="00376CC2" w:rsidRDefault="00471048" w:rsidP="00233D5A">
      <w:pPr>
        <w:pStyle w:val="LDSecHead"/>
      </w:pPr>
      <w:bookmarkStart w:id="13" w:name="_Toc63761083"/>
      <w:bookmarkStart w:id="14" w:name="_Toc72166678"/>
      <w:r>
        <w:t>4</w:t>
      </w:r>
      <w:r w:rsidR="006D7D7C">
        <w:t>A</w:t>
      </w:r>
      <w:r w:rsidR="00233D5A" w:rsidRPr="00376CC2">
        <w:tab/>
      </w:r>
      <w:r w:rsidR="00145E92" w:rsidRPr="008C5064">
        <w:rPr>
          <w:rStyle w:val="CharPartText"/>
        </w:rPr>
        <w:t>Application and savings provisions</w:t>
      </w:r>
    </w:p>
    <w:p w14:paraId="7AF36C39" w14:textId="6D57DCD2" w:rsidR="00CB5AC6" w:rsidRDefault="00BA2A6F" w:rsidP="00834865">
      <w:pPr>
        <w:pStyle w:val="LDSec1"/>
      </w:pPr>
      <w:r>
        <w:tab/>
        <w:t>(1)</w:t>
      </w:r>
      <w:r>
        <w:tab/>
      </w:r>
      <w:r w:rsidR="00CB5AC6" w:rsidRPr="00CB5AC6">
        <w:t xml:space="preserve">The amendments of this instrument made by Schedule 1 to the </w:t>
      </w:r>
      <w:r w:rsidR="00CB5AC6" w:rsidRPr="00834865">
        <w:rPr>
          <w:i/>
        </w:rPr>
        <w:t>Migration (Complying Investments) Amendment Instrument (LIN 21/041) 2021</w:t>
      </w:r>
      <w:r w:rsidR="00CB5AC6" w:rsidRPr="00CB5AC6">
        <w:t xml:space="preserve"> apply</w:t>
      </w:r>
      <w:r>
        <w:t xml:space="preserve"> to</w:t>
      </w:r>
      <w:r w:rsidR="00CB5AC6">
        <w:t>:</w:t>
      </w:r>
      <w:r w:rsidR="00CB5AC6" w:rsidRPr="00CB5AC6">
        <w:t xml:space="preserve"> </w:t>
      </w:r>
    </w:p>
    <w:p w14:paraId="3091455E" w14:textId="532486AD" w:rsidR="00CB5AC6" w:rsidRDefault="00B04C81" w:rsidP="00B04C81">
      <w:pPr>
        <w:pStyle w:val="LDP1a"/>
        <w:numPr>
          <w:ilvl w:val="0"/>
          <w:numId w:val="30"/>
        </w:numPr>
      </w:pPr>
      <w:r w:rsidRPr="00B04C81">
        <w:t>an applicant who is invited to apply for a Subclass 188 visa if the invitation is made after 30 June 2021</w:t>
      </w:r>
      <w:r w:rsidR="00CB5AC6" w:rsidRPr="00881A80">
        <w:t>; and</w:t>
      </w:r>
    </w:p>
    <w:p w14:paraId="4E70776B" w14:textId="63CBDB8A" w:rsidR="00CB5AC6" w:rsidRPr="00881A80" w:rsidRDefault="00FE02BE" w:rsidP="00FE02BE">
      <w:pPr>
        <w:pStyle w:val="LDP1a"/>
        <w:numPr>
          <w:ilvl w:val="0"/>
          <w:numId w:val="30"/>
        </w:numPr>
      </w:pPr>
      <w:proofErr w:type="gramStart"/>
      <w:r w:rsidRPr="00FE02BE">
        <w:t>an</w:t>
      </w:r>
      <w:proofErr w:type="gramEnd"/>
      <w:r w:rsidRPr="00FE02BE">
        <w:t xml:space="preserve"> applicant who applies for a Subclass 888 visa where the applicant was invited to apply for a Subclass 188 visa after 30 June 2021</w:t>
      </w:r>
      <w:r w:rsidR="00CB5AC6">
        <w:t>.</w:t>
      </w:r>
    </w:p>
    <w:p w14:paraId="6EF80D94" w14:textId="7F7E2116" w:rsidR="002452CD" w:rsidRDefault="00B83ED4" w:rsidP="00233D5A">
      <w:pPr>
        <w:pStyle w:val="LDSec1"/>
      </w:pPr>
      <w:r>
        <w:tab/>
        <w:t>(2)</w:t>
      </w:r>
      <w:r>
        <w:tab/>
      </w:r>
      <w:r w:rsidR="00233D5A" w:rsidRPr="00376CC2">
        <w:t xml:space="preserve">Part 3 of </w:t>
      </w:r>
      <w:r w:rsidR="00950D6A">
        <w:t>this</w:t>
      </w:r>
      <w:r w:rsidR="00233D5A" w:rsidRPr="00376CC2">
        <w:t xml:space="preserve"> instrument, as in force immedi</w:t>
      </w:r>
      <w:r w:rsidR="00950D6A">
        <w:t xml:space="preserve">ately before </w:t>
      </w:r>
      <w:r w:rsidR="00B25F0C">
        <w:t>the commencement of</w:t>
      </w:r>
      <w:r w:rsidR="00950D6A">
        <w:t xml:space="preserve"> </w:t>
      </w:r>
      <w:r w:rsidR="00950D6A" w:rsidRPr="00BA2A6F">
        <w:rPr>
          <w:i/>
        </w:rPr>
        <w:t>Migration</w:t>
      </w:r>
      <w:r w:rsidR="00950D6A" w:rsidRPr="00BA2A6F">
        <w:rPr>
          <w:bCs/>
          <w:i/>
        </w:rPr>
        <w:t xml:space="preserve"> </w:t>
      </w:r>
      <w:r w:rsidR="00950D6A" w:rsidRPr="00AB1835">
        <w:rPr>
          <w:bCs/>
          <w:i/>
        </w:rPr>
        <w:t>(Complying Investments) Amendment Instrument (LIN 21/041) 2021</w:t>
      </w:r>
      <w:r w:rsidR="00233D5A" w:rsidRPr="00376CC2">
        <w:t xml:space="preserve">, continues to apply to an application for a Subclass 888 visa </w:t>
      </w:r>
      <w:r w:rsidR="00B25F0C">
        <w:t>if</w:t>
      </w:r>
      <w:r w:rsidR="00B25F0C" w:rsidRPr="00376CC2">
        <w:t xml:space="preserve"> </w:t>
      </w:r>
      <w:r w:rsidR="00233D5A" w:rsidRPr="00376CC2">
        <w:t>the applicant holds a Subclass 188 visa in the Premium Investor stream that was granted or applied for before 1 July 2021.</w:t>
      </w:r>
    </w:p>
    <w:p w14:paraId="4DE79BEC" w14:textId="77777777" w:rsidR="002452CD" w:rsidRPr="002452CD" w:rsidRDefault="002452CD" w:rsidP="002452CD"/>
    <w:p w14:paraId="24C84E71" w14:textId="7E6A77D2" w:rsidR="00233D5A" w:rsidRPr="002452CD" w:rsidRDefault="002452CD" w:rsidP="002452CD">
      <w:pPr>
        <w:tabs>
          <w:tab w:val="left" w:pos="4935"/>
        </w:tabs>
      </w:pPr>
      <w:r>
        <w:tab/>
      </w:r>
    </w:p>
    <w:bookmarkEnd w:id="13"/>
    <w:bookmarkEnd w:id="14"/>
    <w:p w14:paraId="19CD3B36" w14:textId="6B76040D" w:rsidR="00B25F0C" w:rsidRDefault="005E74A5" w:rsidP="00233D5A">
      <w:pPr>
        <w:pStyle w:val="LDAmendHeading"/>
      </w:pPr>
      <w:r>
        <w:lastRenderedPageBreak/>
        <w:t>[</w:t>
      </w:r>
      <w:r w:rsidR="002B2020">
        <w:rPr>
          <w:noProof/>
        </w:rPr>
        <w:t>9</w:t>
      </w:r>
      <w:r>
        <w:t>]</w:t>
      </w:r>
      <w:r>
        <w:tab/>
      </w:r>
      <w:r w:rsidR="0065020C">
        <w:t>Section 5</w:t>
      </w:r>
    </w:p>
    <w:p w14:paraId="7E0B0822" w14:textId="342BE554" w:rsidR="00B25F0C" w:rsidRDefault="00B25F0C" w:rsidP="004319C7">
      <w:pPr>
        <w:pStyle w:val="LDAmendInstruction"/>
      </w:pPr>
      <w:proofErr w:type="gramStart"/>
      <w:r>
        <w:t>omit</w:t>
      </w:r>
      <w:proofErr w:type="gramEnd"/>
      <w:r w:rsidR="00BA2A6F">
        <w:t xml:space="preserve"> each occurrence of</w:t>
      </w:r>
    </w:p>
    <w:p w14:paraId="506CECF6" w14:textId="298645E2" w:rsidR="00B25F0C" w:rsidRDefault="00B25F0C" w:rsidP="004319C7">
      <w:pPr>
        <w:pStyle w:val="LDAmendText"/>
      </w:pPr>
      <w:r>
        <w:t>Part</w:t>
      </w:r>
    </w:p>
    <w:p w14:paraId="3BC663CC" w14:textId="4C40E5AE" w:rsidR="00B25F0C" w:rsidRDefault="00B25F0C" w:rsidP="004319C7">
      <w:pPr>
        <w:pStyle w:val="LDAmendInstruction"/>
      </w:pPr>
      <w:proofErr w:type="gramStart"/>
      <w:r>
        <w:t>insert</w:t>
      </w:r>
      <w:proofErr w:type="gramEnd"/>
    </w:p>
    <w:p w14:paraId="70B812A9" w14:textId="677F0B24" w:rsidR="00B25F0C" w:rsidRPr="00B25F0C" w:rsidRDefault="00B25F0C" w:rsidP="004319C7">
      <w:pPr>
        <w:pStyle w:val="LDAmendText"/>
      </w:pPr>
      <w:proofErr w:type="gramStart"/>
      <w:r>
        <w:t>instrument</w:t>
      </w:r>
      <w:proofErr w:type="gramEnd"/>
    </w:p>
    <w:p w14:paraId="0979111A" w14:textId="1F33BCF4" w:rsidR="00441E3A" w:rsidRPr="007235A0" w:rsidRDefault="002B2020" w:rsidP="00441E3A">
      <w:pPr>
        <w:pStyle w:val="LDAmendHeading"/>
      </w:pPr>
      <w:r>
        <w:t>[10</w:t>
      </w:r>
      <w:r w:rsidR="00441E3A">
        <w:t>]</w:t>
      </w:r>
      <w:r w:rsidR="00441E3A">
        <w:tab/>
        <w:t xml:space="preserve">Section 5, after </w:t>
      </w:r>
      <w:r w:rsidR="00BA2A6F">
        <w:t>n</w:t>
      </w:r>
      <w:r w:rsidR="00441E3A">
        <w:t>ote 2</w:t>
      </w:r>
    </w:p>
    <w:p w14:paraId="00256324" w14:textId="5019FE91" w:rsidR="00441E3A" w:rsidRDefault="00441E3A" w:rsidP="00441E3A">
      <w:pPr>
        <w:pStyle w:val="LDAmendInstruction"/>
      </w:pPr>
      <w:proofErr w:type="gramStart"/>
      <w:r>
        <w:t>insert</w:t>
      </w:r>
      <w:proofErr w:type="gramEnd"/>
    </w:p>
    <w:p w14:paraId="1ECE9DFD" w14:textId="15F4CEB1" w:rsidR="00441E3A" w:rsidRDefault="00441E3A" w:rsidP="00834865">
      <w:pPr>
        <w:pStyle w:val="LDNote"/>
        <w:rPr>
          <w:color w:val="000000"/>
          <w:sz w:val="18"/>
          <w:szCs w:val="18"/>
          <w:lang w:val="en-GB" w:eastAsia="en-GB"/>
        </w:rPr>
      </w:pPr>
      <w:r w:rsidRPr="00AA2150">
        <w:rPr>
          <w:i/>
        </w:rPr>
        <w:t>Note 2A</w:t>
      </w:r>
      <w:r w:rsidR="00AA2150">
        <w:tab/>
      </w:r>
      <w:r w:rsidRPr="00441E3A">
        <w:t>The primary criteria for a Subclass 188 (Business Innovation and Investment (Provisional)) visa in the Investor stream include a minimum total amount for the investment that is required to be made on or after the time of application to satisfy the criteria for grant of the visa</w:t>
      </w:r>
      <w:r w:rsidR="00BA2A6F">
        <w:t>—</w:t>
      </w:r>
      <w:r w:rsidRPr="00441E3A">
        <w:t xml:space="preserve">see </w:t>
      </w:r>
      <w:r w:rsidR="00BA2A6F" w:rsidRPr="00441E3A">
        <w:t>Regulations</w:t>
      </w:r>
      <w:r w:rsidR="00BA2A6F">
        <w:t xml:space="preserve">, </w:t>
      </w:r>
      <w:r w:rsidR="00BA2A6F" w:rsidRPr="00441E3A">
        <w:t>Schedule 2</w:t>
      </w:r>
      <w:r w:rsidR="00BA2A6F">
        <w:t xml:space="preserve">, </w:t>
      </w:r>
      <w:r w:rsidRPr="00441E3A">
        <w:t>subclause 188.244(2)(b)(ii).</w:t>
      </w:r>
    </w:p>
    <w:p w14:paraId="3D2DDC54" w14:textId="2356D529" w:rsidR="005E74A5" w:rsidRPr="007235A0" w:rsidRDefault="00441E3A" w:rsidP="00233D5A">
      <w:pPr>
        <w:pStyle w:val="LDAmendHeading"/>
      </w:pPr>
      <w:r>
        <w:t xml:space="preserve"> </w:t>
      </w:r>
      <w:r w:rsidR="00B25F0C">
        <w:t>[</w:t>
      </w:r>
      <w:r w:rsidR="002B2020">
        <w:t>11</w:t>
      </w:r>
      <w:r w:rsidR="00B25F0C">
        <w:t>]</w:t>
      </w:r>
      <w:r w:rsidR="00B25F0C">
        <w:tab/>
      </w:r>
      <w:r w:rsidR="005E74A5">
        <w:t>Section 6</w:t>
      </w:r>
    </w:p>
    <w:p w14:paraId="236A5C35" w14:textId="77777777" w:rsidR="005E74A5" w:rsidRDefault="005E74A5" w:rsidP="00A2755A">
      <w:pPr>
        <w:pStyle w:val="LDAmendInstruction"/>
      </w:pPr>
      <w:proofErr w:type="gramStart"/>
      <w:r>
        <w:t>substitute</w:t>
      </w:r>
      <w:proofErr w:type="gramEnd"/>
    </w:p>
    <w:p w14:paraId="426020FD" w14:textId="77777777" w:rsidR="00EC6887" w:rsidRPr="00881A80" w:rsidRDefault="00EC6887" w:rsidP="00EC6887">
      <w:pPr>
        <w:pStyle w:val="LDSecHead"/>
      </w:pPr>
      <w:r w:rsidRPr="00881A80">
        <w:t>6</w:t>
      </w:r>
      <w:r w:rsidRPr="00881A80">
        <w:tab/>
      </w:r>
      <w:r w:rsidR="00376CC2" w:rsidRPr="00881A80">
        <w:t>Value of required investments</w:t>
      </w:r>
    </w:p>
    <w:p w14:paraId="7BD080F8" w14:textId="5935BA96" w:rsidR="00E53734" w:rsidRPr="00881A80" w:rsidRDefault="00E53734" w:rsidP="00E53734">
      <w:pPr>
        <w:pStyle w:val="LDSec1"/>
      </w:pPr>
      <w:r w:rsidRPr="00881A80">
        <w:tab/>
        <w:t>(1)</w:t>
      </w:r>
      <w:r w:rsidRPr="00881A80">
        <w:tab/>
      </w:r>
      <w:r w:rsidR="003D01CF">
        <w:t>T</w:t>
      </w:r>
      <w:r w:rsidR="005644F9">
        <w:t>he</w:t>
      </w:r>
      <w:r w:rsidR="009C2A18">
        <w:t xml:space="preserve"> </w:t>
      </w:r>
      <w:r w:rsidRPr="00881A80">
        <w:t>investment must include:</w:t>
      </w:r>
    </w:p>
    <w:p w14:paraId="08F0A368" w14:textId="37EC52EB" w:rsidR="00E53734" w:rsidRPr="00881A80" w:rsidRDefault="00E53734" w:rsidP="00E53734">
      <w:pPr>
        <w:pStyle w:val="LDP1a"/>
      </w:pPr>
      <w:r w:rsidRPr="00881A80">
        <w:t>(a)</w:t>
      </w:r>
      <w:r w:rsidRPr="00881A80">
        <w:tab/>
        <w:t>at least 20%</w:t>
      </w:r>
      <w:r w:rsidR="00C14F7D">
        <w:t xml:space="preserve"> of the total investment</w:t>
      </w:r>
      <w:r w:rsidRPr="00881A80">
        <w:t xml:space="preserve"> in </w:t>
      </w:r>
      <w:r w:rsidR="00D92FF5">
        <w:t>1</w:t>
      </w:r>
      <w:r w:rsidR="00D92FF5" w:rsidRPr="00881A80">
        <w:t xml:space="preserve"> </w:t>
      </w:r>
      <w:r w:rsidRPr="00881A80">
        <w:t xml:space="preserve">or more </w:t>
      </w:r>
      <w:r w:rsidR="00046FEF">
        <w:t>venture capital</w:t>
      </w:r>
      <w:r w:rsidRPr="00881A80">
        <w:t xml:space="preserve"> funds</w:t>
      </w:r>
      <w:r w:rsidR="0024116A">
        <w:t xml:space="preserve"> in accordance with section 8</w:t>
      </w:r>
      <w:r w:rsidRPr="00881A80">
        <w:t>; and</w:t>
      </w:r>
    </w:p>
    <w:p w14:paraId="12B98342" w14:textId="4B1DFA84" w:rsidR="00E53734" w:rsidRPr="00881A80" w:rsidRDefault="00E53734" w:rsidP="00E53734">
      <w:pPr>
        <w:pStyle w:val="LDP1a"/>
      </w:pPr>
      <w:r w:rsidRPr="00881A80">
        <w:t>(b)</w:t>
      </w:r>
      <w:r w:rsidRPr="00881A80">
        <w:tab/>
      </w:r>
      <w:proofErr w:type="gramStart"/>
      <w:r w:rsidRPr="00881A80">
        <w:t>at</w:t>
      </w:r>
      <w:proofErr w:type="gramEnd"/>
      <w:r w:rsidRPr="00881A80">
        <w:t xml:space="preserve"> least 30%</w:t>
      </w:r>
      <w:r w:rsidR="00C14F7D">
        <w:t xml:space="preserve"> of the total investment </w:t>
      </w:r>
      <w:r w:rsidRPr="00881A80">
        <w:t>in emerging companies investments</w:t>
      </w:r>
      <w:r w:rsidR="0024116A">
        <w:t xml:space="preserve"> in accordance with section 9</w:t>
      </w:r>
      <w:r w:rsidRPr="00881A80">
        <w:t>.</w:t>
      </w:r>
    </w:p>
    <w:p w14:paraId="24C1C7A3" w14:textId="45F2F18D" w:rsidR="00FB187A" w:rsidRDefault="00E53734" w:rsidP="00E53734">
      <w:pPr>
        <w:pStyle w:val="LDSec1"/>
      </w:pPr>
      <w:r w:rsidRPr="00881A80">
        <w:tab/>
        <w:t>(2)</w:t>
      </w:r>
      <w:r w:rsidRPr="00881A80">
        <w:tab/>
        <w:t>Any remaining portion of the investment</w:t>
      </w:r>
      <w:r w:rsidR="00FB187A">
        <w:t xml:space="preserve"> must be invested in</w:t>
      </w:r>
      <w:r w:rsidR="00D8703C">
        <w:t xml:space="preserve"> any of the following</w:t>
      </w:r>
      <w:r w:rsidR="00FB187A">
        <w:t>:</w:t>
      </w:r>
      <w:r w:rsidRPr="00881A80">
        <w:t xml:space="preserve"> </w:t>
      </w:r>
    </w:p>
    <w:p w14:paraId="6A044464" w14:textId="58208985" w:rsidR="00FB187A" w:rsidRPr="00881A80" w:rsidRDefault="00FB187A" w:rsidP="00FB187A">
      <w:pPr>
        <w:pStyle w:val="LDP1a"/>
      </w:pPr>
      <w:r w:rsidRPr="00881A80">
        <w:t>(a)</w:t>
      </w:r>
      <w:r w:rsidRPr="00881A80">
        <w:tab/>
      </w:r>
      <w:r w:rsidR="00D92FF5">
        <w:t>1</w:t>
      </w:r>
      <w:r>
        <w:t xml:space="preserve"> or more</w:t>
      </w:r>
      <w:r w:rsidRPr="00881A80">
        <w:t xml:space="preserve"> </w:t>
      </w:r>
      <w:r>
        <w:t>venture capital</w:t>
      </w:r>
      <w:r w:rsidRPr="00881A80">
        <w:t xml:space="preserve"> funds</w:t>
      </w:r>
      <w:r>
        <w:t xml:space="preserve"> in accordance with section 8</w:t>
      </w:r>
      <w:r w:rsidRPr="00881A80">
        <w:t xml:space="preserve">; </w:t>
      </w:r>
    </w:p>
    <w:p w14:paraId="2D0270FE" w14:textId="0BEBB439" w:rsidR="00D8703C" w:rsidRDefault="00FB187A" w:rsidP="004319C7">
      <w:pPr>
        <w:pStyle w:val="LDP1a"/>
      </w:pPr>
      <w:r w:rsidRPr="00881A80">
        <w:t>(b)</w:t>
      </w:r>
      <w:r w:rsidRPr="00881A80">
        <w:tab/>
      </w:r>
      <w:proofErr w:type="gramStart"/>
      <w:r w:rsidRPr="00881A80">
        <w:t>emerging</w:t>
      </w:r>
      <w:proofErr w:type="gramEnd"/>
      <w:r w:rsidRPr="00881A80">
        <w:t xml:space="preserve"> companies investments</w:t>
      </w:r>
      <w:r>
        <w:t xml:space="preserve"> in accordance with section 9</w:t>
      </w:r>
      <w:r w:rsidR="00D8703C">
        <w:t>;</w:t>
      </w:r>
    </w:p>
    <w:p w14:paraId="71ED3079" w14:textId="0A805D50" w:rsidR="00E53734" w:rsidRPr="00881A80" w:rsidRDefault="00D8703C" w:rsidP="004319C7">
      <w:pPr>
        <w:pStyle w:val="LDP1a"/>
      </w:pPr>
      <w:r>
        <w:t>(c)</w:t>
      </w:r>
      <w:r>
        <w:tab/>
      </w:r>
      <w:r w:rsidR="00D92FF5">
        <w:t>1</w:t>
      </w:r>
      <w:r w:rsidRPr="00881A80">
        <w:t xml:space="preserve"> or more balancing investments</w:t>
      </w:r>
      <w:r w:rsidRPr="00881A80" w:rsidDel="00FB187A">
        <w:t xml:space="preserve"> </w:t>
      </w:r>
      <w:r>
        <w:t>in accordance with section 10.</w:t>
      </w:r>
    </w:p>
    <w:p w14:paraId="415675D2" w14:textId="2FF69FC7" w:rsidR="00947726" w:rsidRDefault="005644F9" w:rsidP="00947726">
      <w:pPr>
        <w:pStyle w:val="LDAmendHeading"/>
      </w:pPr>
      <w:r>
        <w:t xml:space="preserve"> </w:t>
      </w:r>
      <w:r w:rsidR="00947726">
        <w:t>[</w:t>
      </w:r>
      <w:r w:rsidR="00947726">
        <w:rPr>
          <w:noProof/>
        </w:rPr>
        <w:t>1</w:t>
      </w:r>
      <w:r w:rsidR="002B2020">
        <w:rPr>
          <w:noProof/>
        </w:rPr>
        <w:t>2</w:t>
      </w:r>
      <w:r w:rsidR="00947726">
        <w:t>]</w:t>
      </w:r>
      <w:r w:rsidR="00947726">
        <w:tab/>
        <w:t>Subsections 8(2)</w:t>
      </w:r>
      <w:r w:rsidR="00D92FF5">
        <w:t xml:space="preserve"> and </w:t>
      </w:r>
      <w:r w:rsidR="00947726">
        <w:t>(3)</w:t>
      </w:r>
    </w:p>
    <w:p w14:paraId="22F6C40E" w14:textId="77777777" w:rsidR="00947726" w:rsidRPr="00A56152" w:rsidRDefault="00947726" w:rsidP="00947726">
      <w:pPr>
        <w:pStyle w:val="LDAmendInstruction"/>
      </w:pPr>
      <w:proofErr w:type="gramStart"/>
      <w:r w:rsidRPr="00A56152">
        <w:t>omit</w:t>
      </w:r>
      <w:proofErr w:type="gramEnd"/>
    </w:p>
    <w:p w14:paraId="6FCC0009" w14:textId="4944A6B8" w:rsidR="00947726" w:rsidRPr="00A56152" w:rsidRDefault="004E58E0" w:rsidP="00947726">
      <w:pPr>
        <w:pStyle w:val="LDAmendText"/>
      </w:pPr>
      <w:r w:rsidRPr="004E58E0">
        <w:t>AUD 500 000 in total</w:t>
      </w:r>
    </w:p>
    <w:p w14:paraId="002A46E5" w14:textId="77777777" w:rsidR="00947726" w:rsidRPr="00A56152" w:rsidRDefault="00947726" w:rsidP="00947726">
      <w:pPr>
        <w:pStyle w:val="LDAmendInstruction"/>
      </w:pPr>
      <w:proofErr w:type="gramStart"/>
      <w:r w:rsidRPr="00A56152">
        <w:t>insert</w:t>
      </w:r>
      <w:proofErr w:type="gramEnd"/>
    </w:p>
    <w:p w14:paraId="70EE68C6" w14:textId="66B83520" w:rsidR="00947726" w:rsidRPr="007235A0" w:rsidRDefault="00C85E84" w:rsidP="00947726">
      <w:pPr>
        <w:pStyle w:val="LDAmendText"/>
      </w:pPr>
      <w:r>
        <w:t>20% of the total investment</w:t>
      </w:r>
    </w:p>
    <w:p w14:paraId="15D2CCFD" w14:textId="6277054A" w:rsidR="00BE015C" w:rsidRDefault="00BE015C" w:rsidP="00BE015C">
      <w:pPr>
        <w:pStyle w:val="LDAmendHeading"/>
      </w:pPr>
      <w:r>
        <w:t>[</w:t>
      </w:r>
      <w:r w:rsidR="00D1114F">
        <w:rPr>
          <w:noProof/>
        </w:rPr>
        <w:t>1</w:t>
      </w:r>
      <w:r w:rsidR="002B2020">
        <w:rPr>
          <w:noProof/>
        </w:rPr>
        <w:t>3</w:t>
      </w:r>
      <w:r>
        <w:t>]</w:t>
      </w:r>
      <w:r>
        <w:tab/>
        <w:t>Subsection 8(2)</w:t>
      </w:r>
    </w:p>
    <w:p w14:paraId="530EB2A4" w14:textId="77777777" w:rsidR="00BE015C" w:rsidRPr="00A56152" w:rsidRDefault="00BE015C" w:rsidP="00BE015C">
      <w:pPr>
        <w:pStyle w:val="LDAmendInstruction"/>
      </w:pPr>
      <w:proofErr w:type="gramStart"/>
      <w:r w:rsidRPr="00A56152">
        <w:t>omit</w:t>
      </w:r>
      <w:proofErr w:type="gramEnd"/>
    </w:p>
    <w:p w14:paraId="75E82846" w14:textId="77777777" w:rsidR="00BE015C" w:rsidRPr="00A56152" w:rsidRDefault="00BE015C" w:rsidP="00BE015C">
      <w:pPr>
        <w:pStyle w:val="LDAmendText"/>
      </w:pPr>
      <w:r w:rsidRPr="00A56152">
        <w:t>12 months</w:t>
      </w:r>
    </w:p>
    <w:p w14:paraId="665DF871" w14:textId="77777777" w:rsidR="00BE015C" w:rsidRPr="00A56152" w:rsidRDefault="002D6861" w:rsidP="00BE015C">
      <w:pPr>
        <w:pStyle w:val="LDAmendInstruction"/>
      </w:pPr>
      <w:proofErr w:type="gramStart"/>
      <w:r w:rsidRPr="00A56152">
        <w:t>insert</w:t>
      </w:r>
      <w:proofErr w:type="gramEnd"/>
    </w:p>
    <w:p w14:paraId="3E11005C" w14:textId="77777777" w:rsidR="00BE015C" w:rsidRPr="007235A0" w:rsidRDefault="00BE015C" w:rsidP="00BE015C">
      <w:pPr>
        <w:pStyle w:val="LDAmendText"/>
      </w:pPr>
      <w:r w:rsidRPr="00A56152">
        <w:t>6 months</w:t>
      </w:r>
    </w:p>
    <w:p w14:paraId="2D47A62F" w14:textId="46839EFF" w:rsidR="002734AA" w:rsidRPr="00A56152" w:rsidRDefault="002734AA" w:rsidP="002734AA">
      <w:pPr>
        <w:pStyle w:val="LDAmendHeading"/>
      </w:pPr>
      <w:r w:rsidRPr="00A56152">
        <w:t>[</w:t>
      </w:r>
      <w:r w:rsidR="00233D5A">
        <w:rPr>
          <w:noProof/>
        </w:rPr>
        <w:t>1</w:t>
      </w:r>
      <w:r w:rsidR="002B2020">
        <w:rPr>
          <w:noProof/>
        </w:rPr>
        <w:t>4</w:t>
      </w:r>
      <w:r w:rsidRPr="00A56152">
        <w:t>]</w:t>
      </w:r>
      <w:r w:rsidRPr="00A56152">
        <w:tab/>
        <w:t>Subsection 9(5)</w:t>
      </w:r>
    </w:p>
    <w:p w14:paraId="30BF2DF8" w14:textId="77777777" w:rsidR="002734AA" w:rsidRPr="00A56152" w:rsidRDefault="002734AA" w:rsidP="002734AA">
      <w:pPr>
        <w:pStyle w:val="LDAmendInstruction"/>
      </w:pPr>
      <w:proofErr w:type="gramStart"/>
      <w:r w:rsidRPr="00A56152">
        <w:t>substitute</w:t>
      </w:r>
      <w:proofErr w:type="gramEnd"/>
    </w:p>
    <w:p w14:paraId="31535537" w14:textId="5AF07E3C" w:rsidR="002734AA" w:rsidRPr="00A56152" w:rsidRDefault="002734AA" w:rsidP="002734AA">
      <w:pPr>
        <w:pStyle w:val="LDSec1"/>
      </w:pPr>
      <w:r w:rsidRPr="00A56152">
        <w:tab/>
        <w:t>(5)</w:t>
      </w:r>
      <w:r w:rsidRPr="00A56152">
        <w:tab/>
        <w:t>The investment must not be made in:</w:t>
      </w:r>
    </w:p>
    <w:p w14:paraId="64F8FBD1" w14:textId="77777777" w:rsidR="002734AA" w:rsidRPr="00A56152" w:rsidRDefault="002734AA" w:rsidP="002734AA">
      <w:pPr>
        <w:pStyle w:val="LDP1a"/>
      </w:pPr>
      <w:r w:rsidRPr="00A56152">
        <w:t>(a)</w:t>
      </w:r>
      <w:r w:rsidRPr="00A56152">
        <w:tab/>
      </w:r>
      <w:proofErr w:type="gramStart"/>
      <w:r w:rsidRPr="00A56152">
        <w:t>securities</w:t>
      </w:r>
      <w:proofErr w:type="gramEnd"/>
      <w:r w:rsidRPr="00A56152">
        <w:t xml:space="preserve"> issued or proposed to be issued by a government; or</w:t>
      </w:r>
    </w:p>
    <w:p w14:paraId="3EE15CCA" w14:textId="77777777" w:rsidR="002734AA" w:rsidRPr="00A56152" w:rsidRDefault="002734AA" w:rsidP="002734AA">
      <w:pPr>
        <w:pStyle w:val="LDP1a"/>
      </w:pPr>
      <w:r w:rsidRPr="00A56152">
        <w:t>(b)</w:t>
      </w:r>
      <w:r w:rsidRPr="00A56152">
        <w:tab/>
      </w:r>
      <w:proofErr w:type="gramStart"/>
      <w:r w:rsidRPr="00A56152">
        <w:t>debentures</w:t>
      </w:r>
      <w:proofErr w:type="gramEnd"/>
      <w:r w:rsidRPr="00A56152">
        <w:t>; or</w:t>
      </w:r>
    </w:p>
    <w:p w14:paraId="66B17F62" w14:textId="6C6DB01E" w:rsidR="002734AA" w:rsidRPr="00A56152" w:rsidRDefault="002734AA" w:rsidP="002734AA">
      <w:pPr>
        <w:pStyle w:val="LDP1a"/>
        <w:keepNext/>
      </w:pPr>
      <w:r w:rsidRPr="00A56152">
        <w:lastRenderedPageBreak/>
        <w:t>(c)</w:t>
      </w:r>
      <w:r w:rsidRPr="00A56152">
        <w:tab/>
      </w:r>
      <w:proofErr w:type="gramStart"/>
      <w:r w:rsidRPr="00A56152">
        <w:t>securities</w:t>
      </w:r>
      <w:proofErr w:type="gramEnd"/>
      <w:r w:rsidRPr="00A56152">
        <w:t xml:space="preserve"> that otherwise </w:t>
      </w:r>
      <w:r w:rsidR="00D92FF5">
        <w:t>comply with</w:t>
      </w:r>
      <w:r w:rsidR="00D92FF5" w:rsidRPr="00A56152">
        <w:t xml:space="preserve"> </w:t>
      </w:r>
      <w:r w:rsidRPr="00A56152">
        <w:t>this section but the issuer of the securities invests the proceeds of the issue of those securities in securities that do not meet the market capitalisation requirements under subsection</w:t>
      </w:r>
      <w:r w:rsidR="00F61977">
        <w:t> </w:t>
      </w:r>
      <w:r w:rsidR="00D92FF5">
        <w:t>(6)</w:t>
      </w:r>
      <w:r w:rsidRPr="00A56152">
        <w:t>.</w:t>
      </w:r>
    </w:p>
    <w:p w14:paraId="4270AFD0" w14:textId="3BF6147F" w:rsidR="002734AA" w:rsidRPr="006D2ADB" w:rsidRDefault="00D92FF5" w:rsidP="002734AA">
      <w:pPr>
        <w:pStyle w:val="LDNote"/>
      </w:pPr>
      <w:r>
        <w:rPr>
          <w:i/>
        </w:rPr>
        <w:t>Example</w:t>
      </w:r>
      <w:r w:rsidR="002734AA" w:rsidRPr="00A56152">
        <w:tab/>
      </w:r>
      <w:r>
        <w:t>A</w:t>
      </w:r>
      <w:r w:rsidR="002734AA" w:rsidRPr="00A56152">
        <w:t xml:space="preserve"> small exchange traded fund </w:t>
      </w:r>
      <w:r>
        <w:t>that</w:t>
      </w:r>
      <w:r w:rsidRPr="00A56152">
        <w:t xml:space="preserve"> </w:t>
      </w:r>
      <w:r w:rsidR="002734AA" w:rsidRPr="00A56152">
        <w:t>invests in the securities of large capitalised companies is excluded under this paragraph.</w:t>
      </w:r>
    </w:p>
    <w:p w14:paraId="781596E6" w14:textId="00EC6CBD" w:rsidR="00FA5EBC" w:rsidRPr="007235A0" w:rsidRDefault="00FA5EBC" w:rsidP="00FA5EBC">
      <w:pPr>
        <w:pStyle w:val="LDAmendHeading"/>
      </w:pPr>
      <w:r>
        <w:t>[</w:t>
      </w:r>
      <w:r w:rsidR="00233D5A">
        <w:rPr>
          <w:noProof/>
        </w:rPr>
        <w:t>1</w:t>
      </w:r>
      <w:r w:rsidR="002B2020">
        <w:rPr>
          <w:noProof/>
        </w:rPr>
        <w:t>5</w:t>
      </w:r>
      <w:r w:rsidR="00F0284C">
        <w:t>]</w:t>
      </w:r>
      <w:r w:rsidR="00F0284C">
        <w:tab/>
        <w:t>After subsection 9(11)</w:t>
      </w:r>
    </w:p>
    <w:p w14:paraId="6F4AFBAC" w14:textId="77777777" w:rsidR="00FA5EBC" w:rsidRDefault="00FA5EBC" w:rsidP="00FA5EBC">
      <w:pPr>
        <w:pStyle w:val="LDAmendInstruction"/>
      </w:pPr>
      <w:proofErr w:type="gramStart"/>
      <w:r>
        <w:t>insert</w:t>
      </w:r>
      <w:proofErr w:type="gramEnd"/>
    </w:p>
    <w:p w14:paraId="2AA5FB15" w14:textId="77777777" w:rsidR="00FA5EBC" w:rsidRPr="00A56152" w:rsidRDefault="00FA5EBC" w:rsidP="004319C7">
      <w:pPr>
        <w:pStyle w:val="LDSubsecHead"/>
      </w:pPr>
      <w:r w:rsidRPr="00A56152">
        <w:t>Auditing requirements</w:t>
      </w:r>
    </w:p>
    <w:p w14:paraId="3C9E2960" w14:textId="68EA0B50" w:rsidR="00FA5EBC" w:rsidRPr="006D2ADB" w:rsidRDefault="00FA5EBC" w:rsidP="00FA5EBC">
      <w:pPr>
        <w:pStyle w:val="LDSec1"/>
      </w:pPr>
      <w:r w:rsidRPr="00A56152">
        <w:tab/>
        <w:t>(12)</w:t>
      </w:r>
      <w:r w:rsidRPr="00A56152">
        <w:tab/>
      </w:r>
      <w:r w:rsidR="00FE02BE">
        <w:t>Beginning</w:t>
      </w:r>
      <w:r w:rsidRPr="00A56152">
        <w:t xml:space="preserve"> </w:t>
      </w:r>
      <w:r w:rsidR="00A91515">
        <w:t>financial</w:t>
      </w:r>
      <w:r w:rsidR="00A91515" w:rsidRPr="00A56152">
        <w:t xml:space="preserve"> </w:t>
      </w:r>
      <w:r w:rsidRPr="00A56152">
        <w:t>year 2021</w:t>
      </w:r>
      <w:r w:rsidR="00F0284C" w:rsidRPr="00A56152">
        <w:t>–</w:t>
      </w:r>
      <w:r w:rsidRPr="00A56152">
        <w:t xml:space="preserve">22, </w:t>
      </w:r>
      <w:r w:rsidR="00FE02BE">
        <w:t xml:space="preserve">an </w:t>
      </w:r>
      <w:r w:rsidRPr="00A56152">
        <w:t xml:space="preserve">annual audit is required for the emerging </w:t>
      </w:r>
      <w:proofErr w:type="gramStart"/>
      <w:r w:rsidRPr="00A56152">
        <w:t>companies</w:t>
      </w:r>
      <w:proofErr w:type="gramEnd"/>
      <w:r w:rsidRPr="00A56152">
        <w:t xml:space="preserve"> investment components of the complying investment framework.</w:t>
      </w:r>
    </w:p>
    <w:p w14:paraId="1AA60C10" w14:textId="4A0E88EC" w:rsidR="00F564D6" w:rsidRPr="007235A0" w:rsidRDefault="00F564D6" w:rsidP="00F564D6">
      <w:pPr>
        <w:pStyle w:val="LDAmendHeading"/>
      </w:pPr>
      <w:r>
        <w:t>[</w:t>
      </w:r>
      <w:r w:rsidR="00233D5A">
        <w:rPr>
          <w:noProof/>
        </w:rPr>
        <w:t>1</w:t>
      </w:r>
      <w:r w:rsidR="002B2020">
        <w:rPr>
          <w:noProof/>
        </w:rPr>
        <w:t>6</w:t>
      </w:r>
      <w:r>
        <w:t>]</w:t>
      </w:r>
      <w:r>
        <w:tab/>
      </w:r>
      <w:r w:rsidR="00D35D6C">
        <w:t>After subsection 10(3)</w:t>
      </w:r>
    </w:p>
    <w:p w14:paraId="6F298086" w14:textId="77777777" w:rsidR="00F564D6" w:rsidRDefault="00F564D6" w:rsidP="00F564D6">
      <w:pPr>
        <w:pStyle w:val="LDAmendInstruction"/>
      </w:pPr>
      <w:proofErr w:type="gramStart"/>
      <w:r>
        <w:t>insert</w:t>
      </w:r>
      <w:proofErr w:type="gramEnd"/>
    </w:p>
    <w:p w14:paraId="26349628" w14:textId="77777777" w:rsidR="00F564D6" w:rsidRPr="006D2ADB" w:rsidRDefault="00F564D6" w:rsidP="004319C7">
      <w:pPr>
        <w:pStyle w:val="LDSubsecHead"/>
      </w:pPr>
      <w:r>
        <w:t>Auditing requirements</w:t>
      </w:r>
    </w:p>
    <w:p w14:paraId="4A715193" w14:textId="2D59BA25" w:rsidR="00F564D6" w:rsidRPr="006D2ADB" w:rsidRDefault="00F564D6" w:rsidP="00F564D6">
      <w:pPr>
        <w:pStyle w:val="LDSec1"/>
      </w:pPr>
      <w:r>
        <w:tab/>
        <w:t>(4</w:t>
      </w:r>
      <w:r w:rsidRPr="006D2ADB">
        <w:t>)</w:t>
      </w:r>
      <w:r w:rsidRPr="006D2ADB">
        <w:tab/>
      </w:r>
      <w:r w:rsidR="00FE02BE">
        <w:t>Beginning</w:t>
      </w:r>
      <w:r w:rsidR="00D35D6C">
        <w:t xml:space="preserve"> </w:t>
      </w:r>
      <w:r w:rsidR="00A91515">
        <w:t xml:space="preserve">financial </w:t>
      </w:r>
      <w:r w:rsidR="00D35D6C">
        <w:t>year 2021–</w:t>
      </w:r>
      <w:r>
        <w:t xml:space="preserve">22, </w:t>
      </w:r>
      <w:r w:rsidR="00FE02BE">
        <w:t xml:space="preserve">an </w:t>
      </w:r>
      <w:r>
        <w:t xml:space="preserve">annual audit is required for the balancing investment components </w:t>
      </w:r>
      <w:r w:rsidRPr="006D2ADB">
        <w:t>of the complying investment framework</w:t>
      </w:r>
      <w:r>
        <w:t>.</w:t>
      </w:r>
    </w:p>
    <w:p w14:paraId="78535475" w14:textId="5BA7EDEF" w:rsidR="002B1589" w:rsidRDefault="002B1589" w:rsidP="002B1589">
      <w:pPr>
        <w:pStyle w:val="LDAmendHeading"/>
      </w:pPr>
      <w:r>
        <w:t>[</w:t>
      </w:r>
      <w:r w:rsidR="00233D5A">
        <w:rPr>
          <w:noProof/>
        </w:rPr>
        <w:t>1</w:t>
      </w:r>
      <w:r w:rsidR="002B2020">
        <w:rPr>
          <w:noProof/>
        </w:rPr>
        <w:t>7</w:t>
      </w:r>
      <w:r>
        <w:t>]</w:t>
      </w:r>
      <w:r>
        <w:tab/>
        <w:t>Subsection 11(9)</w:t>
      </w:r>
    </w:p>
    <w:p w14:paraId="2FDC0776" w14:textId="77777777" w:rsidR="002B1589" w:rsidRDefault="002B1589" w:rsidP="002B1589">
      <w:pPr>
        <w:pStyle w:val="LDAmendInstruction"/>
      </w:pPr>
      <w:proofErr w:type="gramStart"/>
      <w:r>
        <w:t>substitute</w:t>
      </w:r>
      <w:proofErr w:type="gramEnd"/>
    </w:p>
    <w:p w14:paraId="2717168E" w14:textId="77777777" w:rsidR="00A2755A" w:rsidRPr="006D2ADB" w:rsidRDefault="00A2755A" w:rsidP="004319C7">
      <w:pPr>
        <w:pStyle w:val="LDSubsecHead"/>
      </w:pPr>
      <w:r>
        <w:t>Derivative</w:t>
      </w:r>
      <w:r w:rsidRPr="006D2ADB">
        <w:t>s</w:t>
      </w:r>
    </w:p>
    <w:p w14:paraId="3BC91383" w14:textId="0050E11C" w:rsidR="002B1589" w:rsidRPr="006D2ADB" w:rsidRDefault="002B1589" w:rsidP="002B1589">
      <w:pPr>
        <w:pStyle w:val="LDSec1"/>
      </w:pPr>
      <w:r>
        <w:tab/>
      </w:r>
      <w:r w:rsidRPr="006D2ADB">
        <w:t>(9)</w:t>
      </w:r>
      <w:r w:rsidRPr="006D2ADB">
        <w:tab/>
        <w:t xml:space="preserve">An investment may be made in a derivative, other than an option mentioned in paragraph (e) of the definition of </w:t>
      </w:r>
      <w:r w:rsidRPr="006D2ADB">
        <w:rPr>
          <w:b/>
          <w:i/>
        </w:rPr>
        <w:t>securities</w:t>
      </w:r>
      <w:r w:rsidRPr="006D2ADB">
        <w:t xml:space="preserve"> in section 3, only if</w:t>
      </w:r>
      <w:r w:rsidR="00F61977" w:rsidRPr="00F61977">
        <w:t xml:space="preserve"> </w:t>
      </w:r>
      <w:r w:rsidR="00F61977" w:rsidRPr="006D2ADB">
        <w:t>the investment</w:t>
      </w:r>
      <w:r w:rsidRPr="006D2ADB">
        <w:t>:</w:t>
      </w:r>
    </w:p>
    <w:p w14:paraId="2BFE5ED5" w14:textId="470A5EB1" w:rsidR="002B1589" w:rsidRPr="006D2ADB" w:rsidRDefault="002B1589" w:rsidP="002B1589">
      <w:pPr>
        <w:pStyle w:val="LDP1a"/>
      </w:pPr>
      <w:r w:rsidRPr="006D2ADB">
        <w:t>(a)</w:t>
      </w:r>
      <w:r w:rsidRPr="006D2ADB">
        <w:tab/>
      </w:r>
      <w:proofErr w:type="gramStart"/>
      <w:r w:rsidRPr="006D2ADB">
        <w:t>is</w:t>
      </w:r>
      <w:proofErr w:type="gramEnd"/>
      <w:r w:rsidRPr="006D2ADB">
        <w:t xml:space="preserve"> made for risk management purposes; </w:t>
      </w:r>
      <w:r w:rsidR="00FF6C58">
        <w:t>and</w:t>
      </w:r>
    </w:p>
    <w:p w14:paraId="5888EDD7" w14:textId="73DF8670" w:rsidR="002B1589" w:rsidRPr="006D2ADB" w:rsidRDefault="002B1589" w:rsidP="002B1589">
      <w:pPr>
        <w:pStyle w:val="LDP1a"/>
      </w:pPr>
      <w:r w:rsidRPr="006D2ADB">
        <w:t>(b)</w:t>
      </w:r>
      <w:r w:rsidRPr="006D2ADB">
        <w:tab/>
      </w:r>
      <w:proofErr w:type="gramStart"/>
      <w:r w:rsidRPr="006D2ADB">
        <w:t>is</w:t>
      </w:r>
      <w:proofErr w:type="gramEnd"/>
      <w:r w:rsidRPr="006D2ADB">
        <w:t xml:space="preserve"> not a speculative investment; and</w:t>
      </w:r>
    </w:p>
    <w:p w14:paraId="1819307E" w14:textId="6135643B" w:rsidR="002B1589" w:rsidRPr="006D2ADB" w:rsidRDefault="002B1589" w:rsidP="002B1589">
      <w:pPr>
        <w:pStyle w:val="LDP1a"/>
        <w:keepNext/>
      </w:pPr>
      <w:r w:rsidRPr="006D2ADB">
        <w:t>(c)</w:t>
      </w:r>
      <w:r w:rsidRPr="006D2ADB">
        <w:tab/>
      </w:r>
      <w:proofErr w:type="gramStart"/>
      <w:r w:rsidRPr="006D2ADB">
        <w:t>is</w:t>
      </w:r>
      <w:proofErr w:type="gramEnd"/>
      <w:r w:rsidRPr="006D2ADB">
        <w:t xml:space="preserve"> not designed to materially reduce or completely eliminate the exposure of an investor to the risk of loss from changes in the market price of an emerging companies investment.</w:t>
      </w:r>
    </w:p>
    <w:p w14:paraId="19660E05" w14:textId="561F0FC4" w:rsidR="002B1589" w:rsidRPr="006D2ADB" w:rsidRDefault="002B1589" w:rsidP="002B1589">
      <w:pPr>
        <w:pStyle w:val="LDNote"/>
      </w:pPr>
      <w:r w:rsidRPr="006D2ADB">
        <w:rPr>
          <w:i/>
        </w:rPr>
        <w:t>Note</w:t>
      </w:r>
      <w:r w:rsidRPr="006D2ADB">
        <w:tab/>
        <w:t xml:space="preserve">Hedging of currency and interest rate risks will be permitted under subsection (9), however capital guarantee products </w:t>
      </w:r>
      <w:r w:rsidR="005048D8">
        <w:t>are not permitted</w:t>
      </w:r>
      <w:r w:rsidRPr="006D2ADB">
        <w:t>.</w:t>
      </w:r>
    </w:p>
    <w:p w14:paraId="7B348ACA" w14:textId="49A2D5B1" w:rsidR="002B1589" w:rsidRDefault="002B1589" w:rsidP="002B1589">
      <w:pPr>
        <w:pStyle w:val="LDAmendHeading"/>
      </w:pPr>
      <w:r>
        <w:t>[</w:t>
      </w:r>
      <w:r w:rsidR="002B2020">
        <w:rPr>
          <w:noProof/>
        </w:rPr>
        <w:t>18</w:t>
      </w:r>
      <w:r>
        <w:t>]</w:t>
      </w:r>
      <w:r>
        <w:tab/>
        <w:t>Subsection 11(11)</w:t>
      </w:r>
    </w:p>
    <w:p w14:paraId="29BD5155" w14:textId="77777777" w:rsidR="002B1589" w:rsidRDefault="002B1589" w:rsidP="001421A4">
      <w:pPr>
        <w:pStyle w:val="LDAmendInstruction"/>
      </w:pPr>
      <w:proofErr w:type="gramStart"/>
      <w:r>
        <w:t>substitute</w:t>
      </w:r>
      <w:proofErr w:type="gramEnd"/>
    </w:p>
    <w:p w14:paraId="5EE5FDB9" w14:textId="77777777" w:rsidR="002B1589" w:rsidRPr="006D2ADB" w:rsidRDefault="002B1589" w:rsidP="004319C7">
      <w:pPr>
        <w:pStyle w:val="LDSubsecHead"/>
      </w:pPr>
      <w:r w:rsidRPr="006D2ADB">
        <w:t>Managed investment fund and venture capital fund investments—fund of funds or investor directed portfolio services</w:t>
      </w:r>
    </w:p>
    <w:p w14:paraId="384385DD" w14:textId="77777777" w:rsidR="002B1589" w:rsidRPr="006D2ADB" w:rsidRDefault="002B1589" w:rsidP="002B1589">
      <w:pPr>
        <w:pStyle w:val="LDSec1"/>
      </w:pPr>
      <w:r w:rsidRPr="006D2ADB">
        <w:tab/>
        <w:t>(11)</w:t>
      </w:r>
      <w:r w:rsidRPr="006D2ADB">
        <w:tab/>
        <w:t>An investment in a managed investment fund or venture capital fund may be:</w:t>
      </w:r>
    </w:p>
    <w:p w14:paraId="11733918" w14:textId="6DCBB5CB" w:rsidR="002B1589" w:rsidRPr="006D2ADB" w:rsidRDefault="002B1589" w:rsidP="002B1589">
      <w:pPr>
        <w:pStyle w:val="LDP1a"/>
      </w:pPr>
      <w:r w:rsidRPr="006D2ADB">
        <w:t>(</w:t>
      </w:r>
      <w:proofErr w:type="gramStart"/>
      <w:r w:rsidRPr="006D2ADB">
        <w:t>a</w:t>
      </w:r>
      <w:proofErr w:type="gramEnd"/>
      <w:r w:rsidRPr="006D2ADB">
        <w:t>)</w:t>
      </w:r>
      <w:r w:rsidRPr="006D2ADB">
        <w:tab/>
        <w:t xml:space="preserve">made through a fund of funds or an investor directed portfolio service, if the investment otherwise </w:t>
      </w:r>
      <w:r w:rsidR="00D92FF5">
        <w:t>complies with</w:t>
      </w:r>
      <w:r w:rsidRPr="006D2ADB">
        <w:t xml:space="preserve"> this </w:t>
      </w:r>
      <w:r w:rsidR="001A1199">
        <w:t>instrument</w:t>
      </w:r>
      <w:r w:rsidRPr="006D2ADB">
        <w:t>; and</w:t>
      </w:r>
    </w:p>
    <w:p w14:paraId="0C61FDFA" w14:textId="77777777" w:rsidR="002B1589" w:rsidRPr="006D2ADB" w:rsidRDefault="002B1589" w:rsidP="002B1589">
      <w:pPr>
        <w:pStyle w:val="LDP1a"/>
      </w:pPr>
      <w:r w:rsidRPr="006D2ADB">
        <w:t>(b)</w:t>
      </w:r>
      <w:r w:rsidRPr="006D2ADB">
        <w:tab/>
      </w:r>
      <w:proofErr w:type="gramStart"/>
      <w:r w:rsidRPr="006D2ADB">
        <w:t>held</w:t>
      </w:r>
      <w:proofErr w:type="gramEnd"/>
      <w:r w:rsidRPr="006D2ADB">
        <w:t xml:space="preserve"> in cash in the fund of funds, or investor directed portfolio service:</w:t>
      </w:r>
    </w:p>
    <w:p w14:paraId="26591266" w14:textId="10CCF3A1" w:rsidR="002B1589" w:rsidRPr="006D2ADB" w:rsidRDefault="002B1589" w:rsidP="002B1589">
      <w:pPr>
        <w:pStyle w:val="LDP2i"/>
      </w:pPr>
      <w:r w:rsidRPr="006D2ADB">
        <w:tab/>
        <w:t>(</w:t>
      </w:r>
      <w:proofErr w:type="spellStart"/>
      <w:r w:rsidRPr="006D2ADB">
        <w:t>i</w:t>
      </w:r>
      <w:proofErr w:type="spellEnd"/>
      <w:r w:rsidRPr="006D2ADB">
        <w:t>)</w:t>
      </w:r>
      <w:r w:rsidRPr="006D2ADB">
        <w:tab/>
      </w:r>
      <w:proofErr w:type="gramStart"/>
      <w:r w:rsidRPr="006D2ADB">
        <w:t>for</w:t>
      </w:r>
      <w:proofErr w:type="gramEnd"/>
      <w:r w:rsidRPr="006D2ADB">
        <w:t xml:space="preserve"> up to 30 days after the funds are first made available for investment; and</w:t>
      </w:r>
    </w:p>
    <w:p w14:paraId="42239DD5" w14:textId="77777777" w:rsidR="002B1589" w:rsidRDefault="002B1589" w:rsidP="002B1589">
      <w:pPr>
        <w:pStyle w:val="LDP2i"/>
      </w:pPr>
      <w:r w:rsidRPr="006D2ADB">
        <w:tab/>
        <w:t>(ii)</w:t>
      </w:r>
      <w:r w:rsidRPr="006D2ADB">
        <w:tab/>
      </w:r>
      <w:proofErr w:type="gramStart"/>
      <w:r w:rsidRPr="006D2ADB">
        <w:t>during</w:t>
      </w:r>
      <w:proofErr w:type="gramEnd"/>
      <w:r w:rsidRPr="006D2ADB">
        <w:t xml:space="preserve"> any switching period mentioned in </w:t>
      </w:r>
      <w:proofErr w:type="spellStart"/>
      <w:r w:rsidRPr="006D2ADB">
        <w:t>subregulation</w:t>
      </w:r>
      <w:proofErr w:type="spellEnd"/>
      <w:r w:rsidRPr="006D2ADB">
        <w:t> 5.19C(7) of the Regulations.</w:t>
      </w:r>
    </w:p>
    <w:p w14:paraId="6B6AD8DB" w14:textId="6652ED21" w:rsidR="0077182B" w:rsidRPr="00A56152" w:rsidRDefault="0077182B" w:rsidP="0077182B">
      <w:pPr>
        <w:pStyle w:val="LDAmendHeading"/>
      </w:pPr>
      <w:r w:rsidRPr="00A56152">
        <w:lastRenderedPageBreak/>
        <w:t>[</w:t>
      </w:r>
      <w:r w:rsidR="002B2020">
        <w:rPr>
          <w:noProof/>
        </w:rPr>
        <w:t>19</w:t>
      </w:r>
      <w:r w:rsidRPr="00A56152">
        <w:t>]</w:t>
      </w:r>
      <w:r w:rsidRPr="00A56152">
        <w:tab/>
      </w:r>
      <w:r w:rsidR="0027677E" w:rsidRPr="00A56152">
        <w:rPr>
          <w:bCs/>
        </w:rPr>
        <w:t>Part 3</w:t>
      </w:r>
    </w:p>
    <w:p w14:paraId="7D0E39A6" w14:textId="77777777" w:rsidR="0077182B" w:rsidRDefault="0027677E" w:rsidP="0077182B">
      <w:pPr>
        <w:pStyle w:val="LDAmendInstruction"/>
      </w:pPr>
      <w:proofErr w:type="gramStart"/>
      <w:r>
        <w:t>omit</w:t>
      </w:r>
      <w:proofErr w:type="gramEnd"/>
    </w:p>
    <w:p w14:paraId="25C68B52" w14:textId="77777777" w:rsidR="00C562C7" w:rsidRDefault="00C562C7" w:rsidP="00C562C7">
      <w:pPr>
        <w:pStyle w:val="LDLine"/>
      </w:pPr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9AFAD" w14:textId="77777777" w:rsidR="00C15751" w:rsidRDefault="00C15751" w:rsidP="00715914">
      <w:pPr>
        <w:spacing w:line="240" w:lineRule="auto"/>
      </w:pPr>
      <w:r>
        <w:separator/>
      </w:r>
    </w:p>
    <w:p w14:paraId="5B2562D4" w14:textId="77777777" w:rsidR="00C15751" w:rsidRDefault="00C15751"/>
    <w:p w14:paraId="444D36D5" w14:textId="77777777" w:rsidR="00C15751" w:rsidRDefault="00C15751"/>
  </w:endnote>
  <w:endnote w:type="continuationSeparator" w:id="0">
    <w:p w14:paraId="0A67B4C7" w14:textId="77777777" w:rsidR="00C15751" w:rsidRDefault="00C15751" w:rsidP="00715914">
      <w:pPr>
        <w:spacing w:line="240" w:lineRule="auto"/>
      </w:pPr>
      <w:r>
        <w:continuationSeparator/>
      </w:r>
    </w:p>
    <w:p w14:paraId="478EFA67" w14:textId="77777777" w:rsidR="00C15751" w:rsidRDefault="00C15751"/>
    <w:p w14:paraId="53291F87" w14:textId="77777777" w:rsidR="00C15751" w:rsidRDefault="00C15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2F98" w14:textId="1D81A5DC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CD0E3B" w:rsidRPr="00CD0E3B">
      <w:rPr>
        <w:rStyle w:val="LDItal"/>
      </w:rPr>
      <w:t>Migration (Complying Investments) Amendment Instrument (LIN 21/041) 2021</w:t>
    </w:r>
    <w:r w:rsidRPr="007C5FDD">
      <w:rPr>
        <w:rStyle w:val="LDItal"/>
      </w:rPr>
      <w:fldChar w:fldCharType="end"/>
    </w:r>
  </w:p>
  <w:p w14:paraId="41F0D15B" w14:textId="68790B66"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CD0E3B">
      <w:t>LIN 21/041</w:t>
    </w:r>
    <w: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3C6F55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FC452" w14:textId="77777777" w:rsidR="00C15751" w:rsidRDefault="00C15751" w:rsidP="00715914">
      <w:pPr>
        <w:spacing w:line="240" w:lineRule="auto"/>
      </w:pPr>
      <w:r>
        <w:separator/>
      </w:r>
    </w:p>
    <w:p w14:paraId="2BBB328A" w14:textId="77777777" w:rsidR="00C15751" w:rsidRDefault="00C15751"/>
    <w:p w14:paraId="478EAD2D" w14:textId="77777777" w:rsidR="00C15751" w:rsidRDefault="00C15751"/>
  </w:footnote>
  <w:footnote w:type="continuationSeparator" w:id="0">
    <w:p w14:paraId="726FA55F" w14:textId="77777777" w:rsidR="00C15751" w:rsidRDefault="00C15751" w:rsidP="00715914">
      <w:pPr>
        <w:spacing w:line="240" w:lineRule="auto"/>
      </w:pPr>
      <w:r>
        <w:continuationSeparator/>
      </w:r>
    </w:p>
    <w:p w14:paraId="4028307D" w14:textId="77777777" w:rsidR="00C15751" w:rsidRDefault="00C15751"/>
    <w:p w14:paraId="60D8F25E" w14:textId="77777777" w:rsidR="00C15751" w:rsidRDefault="00C157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C1927"/>
    <w:multiLevelType w:val="hybridMultilevel"/>
    <w:tmpl w:val="4A2830F0"/>
    <w:lvl w:ilvl="0" w:tplc="2932C656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75E5617"/>
    <w:multiLevelType w:val="hybridMultilevel"/>
    <w:tmpl w:val="7A8E39B4"/>
    <w:lvl w:ilvl="0" w:tplc="413AE1D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AE750E"/>
    <w:multiLevelType w:val="hybridMultilevel"/>
    <w:tmpl w:val="EF6CAFF0"/>
    <w:lvl w:ilvl="0" w:tplc="7E667C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B38A1"/>
    <w:multiLevelType w:val="hybridMultilevel"/>
    <w:tmpl w:val="87F2E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30C3E0D"/>
    <w:multiLevelType w:val="hybridMultilevel"/>
    <w:tmpl w:val="B9686ECE"/>
    <w:lvl w:ilvl="0" w:tplc="5E2E9DE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7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9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25"/>
  </w:num>
  <w:num w:numId="19">
    <w:abstractNumId w:val="10"/>
  </w:num>
  <w:num w:numId="20">
    <w:abstractNumId w:val="29"/>
  </w:num>
  <w:num w:numId="21">
    <w:abstractNumId w:val="18"/>
  </w:num>
  <w:num w:numId="22">
    <w:abstractNumId w:val="24"/>
  </w:num>
  <w:num w:numId="23">
    <w:abstractNumId w:val="27"/>
  </w:num>
  <w:num w:numId="24">
    <w:abstractNumId w:val="28"/>
  </w:num>
  <w:num w:numId="25">
    <w:abstractNumId w:val="13"/>
  </w:num>
  <w:num w:numId="26">
    <w:abstractNumId w:val="23"/>
  </w:num>
  <w:num w:numId="27">
    <w:abstractNumId w:val="22"/>
  </w:num>
  <w:num w:numId="28">
    <w:abstractNumId w:val="12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51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36577"/>
    <w:rsid w:val="000401A2"/>
    <w:rsid w:val="00040A89"/>
    <w:rsid w:val="000437C1"/>
    <w:rsid w:val="0004455A"/>
    <w:rsid w:val="00046FEF"/>
    <w:rsid w:val="0005365D"/>
    <w:rsid w:val="0005691F"/>
    <w:rsid w:val="000614BF"/>
    <w:rsid w:val="00065D99"/>
    <w:rsid w:val="0006709C"/>
    <w:rsid w:val="00074376"/>
    <w:rsid w:val="0007722C"/>
    <w:rsid w:val="000858A5"/>
    <w:rsid w:val="000978F5"/>
    <w:rsid w:val="000A3E46"/>
    <w:rsid w:val="000B14AD"/>
    <w:rsid w:val="000B15CD"/>
    <w:rsid w:val="000B35EB"/>
    <w:rsid w:val="000B3719"/>
    <w:rsid w:val="000B5634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0C70"/>
    <w:rsid w:val="001031F5"/>
    <w:rsid w:val="0010745C"/>
    <w:rsid w:val="0011242F"/>
    <w:rsid w:val="001244DA"/>
    <w:rsid w:val="00132CEB"/>
    <w:rsid w:val="001339B0"/>
    <w:rsid w:val="00134429"/>
    <w:rsid w:val="001421A4"/>
    <w:rsid w:val="00142B62"/>
    <w:rsid w:val="001441B7"/>
    <w:rsid w:val="001446F7"/>
    <w:rsid w:val="00145E92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6A95"/>
    <w:rsid w:val="001979C7"/>
    <w:rsid w:val="001A1199"/>
    <w:rsid w:val="001B2CB6"/>
    <w:rsid w:val="001C1715"/>
    <w:rsid w:val="001C61C5"/>
    <w:rsid w:val="001C6494"/>
    <w:rsid w:val="001C69C4"/>
    <w:rsid w:val="001D37EF"/>
    <w:rsid w:val="001D681A"/>
    <w:rsid w:val="001D729F"/>
    <w:rsid w:val="001E2F06"/>
    <w:rsid w:val="001E3590"/>
    <w:rsid w:val="001E48E3"/>
    <w:rsid w:val="001E7407"/>
    <w:rsid w:val="001F4121"/>
    <w:rsid w:val="001F5B44"/>
    <w:rsid w:val="001F5D5E"/>
    <w:rsid w:val="001F6219"/>
    <w:rsid w:val="001F6CD4"/>
    <w:rsid w:val="002029EE"/>
    <w:rsid w:val="00206C4D"/>
    <w:rsid w:val="00213630"/>
    <w:rsid w:val="00215AF1"/>
    <w:rsid w:val="002200EA"/>
    <w:rsid w:val="00224878"/>
    <w:rsid w:val="002260F2"/>
    <w:rsid w:val="002321E8"/>
    <w:rsid w:val="00232984"/>
    <w:rsid w:val="00233D5A"/>
    <w:rsid w:val="00237C31"/>
    <w:rsid w:val="0024010F"/>
    <w:rsid w:val="00240749"/>
    <w:rsid w:val="0024116A"/>
    <w:rsid w:val="002425DE"/>
    <w:rsid w:val="00243018"/>
    <w:rsid w:val="002452CD"/>
    <w:rsid w:val="002564A4"/>
    <w:rsid w:val="0026736C"/>
    <w:rsid w:val="002707CD"/>
    <w:rsid w:val="0027325B"/>
    <w:rsid w:val="002734AA"/>
    <w:rsid w:val="0027677E"/>
    <w:rsid w:val="00281308"/>
    <w:rsid w:val="00281AEE"/>
    <w:rsid w:val="00284719"/>
    <w:rsid w:val="00284F48"/>
    <w:rsid w:val="00297ECB"/>
    <w:rsid w:val="002A2982"/>
    <w:rsid w:val="002A3DAC"/>
    <w:rsid w:val="002A506E"/>
    <w:rsid w:val="002A7BCF"/>
    <w:rsid w:val="002B1589"/>
    <w:rsid w:val="002B2020"/>
    <w:rsid w:val="002C3FD1"/>
    <w:rsid w:val="002C62C7"/>
    <w:rsid w:val="002D043A"/>
    <w:rsid w:val="002D266B"/>
    <w:rsid w:val="002D43A4"/>
    <w:rsid w:val="002D6224"/>
    <w:rsid w:val="002D67E8"/>
    <w:rsid w:val="002D6861"/>
    <w:rsid w:val="002F0104"/>
    <w:rsid w:val="002F5727"/>
    <w:rsid w:val="003040B2"/>
    <w:rsid w:val="00304F8B"/>
    <w:rsid w:val="003173A6"/>
    <w:rsid w:val="003218F9"/>
    <w:rsid w:val="00335BC6"/>
    <w:rsid w:val="003415D3"/>
    <w:rsid w:val="00343D01"/>
    <w:rsid w:val="00344338"/>
    <w:rsid w:val="00344701"/>
    <w:rsid w:val="00352B0F"/>
    <w:rsid w:val="003534D2"/>
    <w:rsid w:val="003551C7"/>
    <w:rsid w:val="00355410"/>
    <w:rsid w:val="00360459"/>
    <w:rsid w:val="00365E41"/>
    <w:rsid w:val="00376CC2"/>
    <w:rsid w:val="0038049F"/>
    <w:rsid w:val="00384D05"/>
    <w:rsid w:val="003B3646"/>
    <w:rsid w:val="003C12FE"/>
    <w:rsid w:val="003C6231"/>
    <w:rsid w:val="003C6F55"/>
    <w:rsid w:val="003C7F9F"/>
    <w:rsid w:val="003D01CF"/>
    <w:rsid w:val="003D0BFE"/>
    <w:rsid w:val="003D34D7"/>
    <w:rsid w:val="003D4259"/>
    <w:rsid w:val="003D5700"/>
    <w:rsid w:val="003D60B6"/>
    <w:rsid w:val="003E06A8"/>
    <w:rsid w:val="003E183E"/>
    <w:rsid w:val="003E2849"/>
    <w:rsid w:val="003E341B"/>
    <w:rsid w:val="003E4D00"/>
    <w:rsid w:val="003F28BC"/>
    <w:rsid w:val="004116CD"/>
    <w:rsid w:val="00417133"/>
    <w:rsid w:val="00417EB9"/>
    <w:rsid w:val="00424CA9"/>
    <w:rsid w:val="004276DF"/>
    <w:rsid w:val="004319C7"/>
    <w:rsid w:val="00431E9B"/>
    <w:rsid w:val="00436926"/>
    <w:rsid w:val="004379E3"/>
    <w:rsid w:val="00437B2C"/>
    <w:rsid w:val="0044015E"/>
    <w:rsid w:val="00441E3A"/>
    <w:rsid w:val="0044291A"/>
    <w:rsid w:val="00447809"/>
    <w:rsid w:val="00457979"/>
    <w:rsid w:val="00457CCA"/>
    <w:rsid w:val="004632D4"/>
    <w:rsid w:val="00467661"/>
    <w:rsid w:val="00471048"/>
    <w:rsid w:val="00472DBE"/>
    <w:rsid w:val="00474A19"/>
    <w:rsid w:val="00475DE3"/>
    <w:rsid w:val="00477830"/>
    <w:rsid w:val="00480BB0"/>
    <w:rsid w:val="00487575"/>
    <w:rsid w:val="00487764"/>
    <w:rsid w:val="00490D54"/>
    <w:rsid w:val="00493869"/>
    <w:rsid w:val="00494305"/>
    <w:rsid w:val="004951EF"/>
    <w:rsid w:val="004955C1"/>
    <w:rsid w:val="0049638E"/>
    <w:rsid w:val="00496F97"/>
    <w:rsid w:val="004A083C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58E0"/>
    <w:rsid w:val="004E7BEC"/>
    <w:rsid w:val="004F3A8C"/>
    <w:rsid w:val="004F66AE"/>
    <w:rsid w:val="005048D8"/>
    <w:rsid w:val="00505D3D"/>
    <w:rsid w:val="00506AF6"/>
    <w:rsid w:val="0051232F"/>
    <w:rsid w:val="00515C89"/>
    <w:rsid w:val="00516B8D"/>
    <w:rsid w:val="00525780"/>
    <w:rsid w:val="00527FB4"/>
    <w:rsid w:val="005303C8"/>
    <w:rsid w:val="005367F9"/>
    <w:rsid w:val="00537FBC"/>
    <w:rsid w:val="0054167D"/>
    <w:rsid w:val="00541EBC"/>
    <w:rsid w:val="00554826"/>
    <w:rsid w:val="00562877"/>
    <w:rsid w:val="005644F9"/>
    <w:rsid w:val="005734D4"/>
    <w:rsid w:val="005756C1"/>
    <w:rsid w:val="005801D9"/>
    <w:rsid w:val="00580C9B"/>
    <w:rsid w:val="00581C41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14D"/>
    <w:rsid w:val="005A2ACC"/>
    <w:rsid w:val="005A65D5"/>
    <w:rsid w:val="005B4067"/>
    <w:rsid w:val="005C2C89"/>
    <w:rsid w:val="005C2D26"/>
    <w:rsid w:val="005C3F41"/>
    <w:rsid w:val="005C48B1"/>
    <w:rsid w:val="005D1D92"/>
    <w:rsid w:val="005D2523"/>
    <w:rsid w:val="005D2D09"/>
    <w:rsid w:val="005E74A5"/>
    <w:rsid w:val="00600219"/>
    <w:rsid w:val="00604F2A"/>
    <w:rsid w:val="00607C3E"/>
    <w:rsid w:val="00613BBF"/>
    <w:rsid w:val="006161EE"/>
    <w:rsid w:val="00620076"/>
    <w:rsid w:val="006224B1"/>
    <w:rsid w:val="0062438A"/>
    <w:rsid w:val="006273BE"/>
    <w:rsid w:val="00627E0A"/>
    <w:rsid w:val="006303E3"/>
    <w:rsid w:val="00645029"/>
    <w:rsid w:val="0065020C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037"/>
    <w:rsid w:val="006B5789"/>
    <w:rsid w:val="006C30C5"/>
    <w:rsid w:val="006C5CDD"/>
    <w:rsid w:val="006C7F8C"/>
    <w:rsid w:val="006D16ED"/>
    <w:rsid w:val="006D7D7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AF1"/>
    <w:rsid w:val="00745E80"/>
    <w:rsid w:val="007500C8"/>
    <w:rsid w:val="00756272"/>
    <w:rsid w:val="00762D38"/>
    <w:rsid w:val="0077062A"/>
    <w:rsid w:val="007715C9"/>
    <w:rsid w:val="00771613"/>
    <w:rsid w:val="0077182B"/>
    <w:rsid w:val="00774EDD"/>
    <w:rsid w:val="007757EC"/>
    <w:rsid w:val="0078011C"/>
    <w:rsid w:val="00783E89"/>
    <w:rsid w:val="00793263"/>
    <w:rsid w:val="00793915"/>
    <w:rsid w:val="00795181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C73E1"/>
    <w:rsid w:val="007D7671"/>
    <w:rsid w:val="007D7911"/>
    <w:rsid w:val="007E11B9"/>
    <w:rsid w:val="007E163D"/>
    <w:rsid w:val="007E62ED"/>
    <w:rsid w:val="007E667A"/>
    <w:rsid w:val="007F28C9"/>
    <w:rsid w:val="007F51B2"/>
    <w:rsid w:val="0080349D"/>
    <w:rsid w:val="0080359A"/>
    <w:rsid w:val="008040DD"/>
    <w:rsid w:val="00807D62"/>
    <w:rsid w:val="008117E9"/>
    <w:rsid w:val="008221DC"/>
    <w:rsid w:val="00824498"/>
    <w:rsid w:val="00825587"/>
    <w:rsid w:val="00826BD1"/>
    <w:rsid w:val="00832267"/>
    <w:rsid w:val="00834865"/>
    <w:rsid w:val="00841020"/>
    <w:rsid w:val="0084208C"/>
    <w:rsid w:val="00850046"/>
    <w:rsid w:val="00853420"/>
    <w:rsid w:val="00854D0B"/>
    <w:rsid w:val="00856A31"/>
    <w:rsid w:val="00860217"/>
    <w:rsid w:val="00860B4E"/>
    <w:rsid w:val="00867B37"/>
    <w:rsid w:val="008754D0"/>
    <w:rsid w:val="00875D13"/>
    <w:rsid w:val="00881923"/>
    <w:rsid w:val="00881A80"/>
    <w:rsid w:val="008855C9"/>
    <w:rsid w:val="00886456"/>
    <w:rsid w:val="0089029F"/>
    <w:rsid w:val="00893357"/>
    <w:rsid w:val="00896176"/>
    <w:rsid w:val="008A12F5"/>
    <w:rsid w:val="008A1391"/>
    <w:rsid w:val="008A46E1"/>
    <w:rsid w:val="008A4F43"/>
    <w:rsid w:val="008A75B6"/>
    <w:rsid w:val="008B16EF"/>
    <w:rsid w:val="008B2070"/>
    <w:rsid w:val="008B2706"/>
    <w:rsid w:val="008B370D"/>
    <w:rsid w:val="008B4BA0"/>
    <w:rsid w:val="008C25AE"/>
    <w:rsid w:val="008C2EAC"/>
    <w:rsid w:val="008C3379"/>
    <w:rsid w:val="008D011C"/>
    <w:rsid w:val="008D0EE0"/>
    <w:rsid w:val="008D63A4"/>
    <w:rsid w:val="008E0027"/>
    <w:rsid w:val="008E31A1"/>
    <w:rsid w:val="008E6067"/>
    <w:rsid w:val="008F3675"/>
    <w:rsid w:val="008F54E7"/>
    <w:rsid w:val="008F6872"/>
    <w:rsid w:val="00903422"/>
    <w:rsid w:val="00905A44"/>
    <w:rsid w:val="00906CEE"/>
    <w:rsid w:val="009156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30F"/>
    <w:rsid w:val="00947726"/>
    <w:rsid w:val="00947D5A"/>
    <w:rsid w:val="00950D6A"/>
    <w:rsid w:val="009532A5"/>
    <w:rsid w:val="009545BD"/>
    <w:rsid w:val="009563C9"/>
    <w:rsid w:val="00964CF0"/>
    <w:rsid w:val="009713DE"/>
    <w:rsid w:val="00971F85"/>
    <w:rsid w:val="0097385C"/>
    <w:rsid w:val="00973DC6"/>
    <w:rsid w:val="0097731D"/>
    <w:rsid w:val="00977806"/>
    <w:rsid w:val="00982242"/>
    <w:rsid w:val="009868E9"/>
    <w:rsid w:val="009900A3"/>
    <w:rsid w:val="00994EB3"/>
    <w:rsid w:val="00995433"/>
    <w:rsid w:val="009A7C1F"/>
    <w:rsid w:val="009C0E73"/>
    <w:rsid w:val="009C215C"/>
    <w:rsid w:val="009C2A18"/>
    <w:rsid w:val="009C3413"/>
    <w:rsid w:val="009D0C05"/>
    <w:rsid w:val="009E09B1"/>
    <w:rsid w:val="009F13F4"/>
    <w:rsid w:val="009F49B2"/>
    <w:rsid w:val="009F69F1"/>
    <w:rsid w:val="00A0441E"/>
    <w:rsid w:val="00A06CA5"/>
    <w:rsid w:val="00A12128"/>
    <w:rsid w:val="00A127E7"/>
    <w:rsid w:val="00A1625F"/>
    <w:rsid w:val="00A21D8A"/>
    <w:rsid w:val="00A22C98"/>
    <w:rsid w:val="00A231E2"/>
    <w:rsid w:val="00A252F1"/>
    <w:rsid w:val="00A26D46"/>
    <w:rsid w:val="00A2755A"/>
    <w:rsid w:val="00A369E3"/>
    <w:rsid w:val="00A56152"/>
    <w:rsid w:val="00A57600"/>
    <w:rsid w:val="00A64396"/>
    <w:rsid w:val="00A64912"/>
    <w:rsid w:val="00A6498B"/>
    <w:rsid w:val="00A70A74"/>
    <w:rsid w:val="00A72548"/>
    <w:rsid w:val="00A75A0B"/>
    <w:rsid w:val="00A75FE9"/>
    <w:rsid w:val="00A800DE"/>
    <w:rsid w:val="00A8241B"/>
    <w:rsid w:val="00A85748"/>
    <w:rsid w:val="00A91515"/>
    <w:rsid w:val="00A94216"/>
    <w:rsid w:val="00A946BE"/>
    <w:rsid w:val="00AA2150"/>
    <w:rsid w:val="00AA2CB1"/>
    <w:rsid w:val="00AA7A1C"/>
    <w:rsid w:val="00AB0559"/>
    <w:rsid w:val="00AB1835"/>
    <w:rsid w:val="00AD4CCA"/>
    <w:rsid w:val="00AD53CC"/>
    <w:rsid w:val="00AD5641"/>
    <w:rsid w:val="00AD5BFD"/>
    <w:rsid w:val="00AD7A13"/>
    <w:rsid w:val="00AE1AA8"/>
    <w:rsid w:val="00AE2756"/>
    <w:rsid w:val="00AE6A5E"/>
    <w:rsid w:val="00AF06CF"/>
    <w:rsid w:val="00B02230"/>
    <w:rsid w:val="00B04C81"/>
    <w:rsid w:val="00B05E22"/>
    <w:rsid w:val="00B07CDB"/>
    <w:rsid w:val="00B11040"/>
    <w:rsid w:val="00B14A2D"/>
    <w:rsid w:val="00B16A31"/>
    <w:rsid w:val="00B16C72"/>
    <w:rsid w:val="00B17DFD"/>
    <w:rsid w:val="00B21768"/>
    <w:rsid w:val="00B240BA"/>
    <w:rsid w:val="00B25306"/>
    <w:rsid w:val="00B25F0C"/>
    <w:rsid w:val="00B27831"/>
    <w:rsid w:val="00B308FE"/>
    <w:rsid w:val="00B30E64"/>
    <w:rsid w:val="00B33709"/>
    <w:rsid w:val="00B33B3C"/>
    <w:rsid w:val="00B36392"/>
    <w:rsid w:val="00B36F46"/>
    <w:rsid w:val="00B418CB"/>
    <w:rsid w:val="00B4644E"/>
    <w:rsid w:val="00B47444"/>
    <w:rsid w:val="00B50ADC"/>
    <w:rsid w:val="00B528A6"/>
    <w:rsid w:val="00B566B1"/>
    <w:rsid w:val="00B601A4"/>
    <w:rsid w:val="00B60791"/>
    <w:rsid w:val="00B62662"/>
    <w:rsid w:val="00B63834"/>
    <w:rsid w:val="00B65247"/>
    <w:rsid w:val="00B661D6"/>
    <w:rsid w:val="00B714F2"/>
    <w:rsid w:val="00B73647"/>
    <w:rsid w:val="00B80199"/>
    <w:rsid w:val="00B83204"/>
    <w:rsid w:val="00B83ED4"/>
    <w:rsid w:val="00B856E7"/>
    <w:rsid w:val="00B869EF"/>
    <w:rsid w:val="00B937C4"/>
    <w:rsid w:val="00B97BDE"/>
    <w:rsid w:val="00BA220B"/>
    <w:rsid w:val="00BA2A6F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D4D3C"/>
    <w:rsid w:val="00BE015C"/>
    <w:rsid w:val="00BE2155"/>
    <w:rsid w:val="00BE719A"/>
    <w:rsid w:val="00BE720A"/>
    <w:rsid w:val="00BF0361"/>
    <w:rsid w:val="00BF0D73"/>
    <w:rsid w:val="00BF2465"/>
    <w:rsid w:val="00BF2D41"/>
    <w:rsid w:val="00BF71C9"/>
    <w:rsid w:val="00C06526"/>
    <w:rsid w:val="00C06FBA"/>
    <w:rsid w:val="00C14F7D"/>
    <w:rsid w:val="00C15751"/>
    <w:rsid w:val="00C16619"/>
    <w:rsid w:val="00C21F16"/>
    <w:rsid w:val="00C25E7F"/>
    <w:rsid w:val="00C2746F"/>
    <w:rsid w:val="00C323D6"/>
    <w:rsid w:val="00C324A0"/>
    <w:rsid w:val="00C33D6A"/>
    <w:rsid w:val="00C363AC"/>
    <w:rsid w:val="00C405C6"/>
    <w:rsid w:val="00C42BF8"/>
    <w:rsid w:val="00C45613"/>
    <w:rsid w:val="00C50043"/>
    <w:rsid w:val="00C562C7"/>
    <w:rsid w:val="00C711A5"/>
    <w:rsid w:val="00C73B6F"/>
    <w:rsid w:val="00C7573B"/>
    <w:rsid w:val="00C775AE"/>
    <w:rsid w:val="00C835DC"/>
    <w:rsid w:val="00C85E84"/>
    <w:rsid w:val="00C96D4F"/>
    <w:rsid w:val="00C97A54"/>
    <w:rsid w:val="00CA5B23"/>
    <w:rsid w:val="00CB1323"/>
    <w:rsid w:val="00CB5AC6"/>
    <w:rsid w:val="00CB602E"/>
    <w:rsid w:val="00CB7E90"/>
    <w:rsid w:val="00CC58B8"/>
    <w:rsid w:val="00CC6838"/>
    <w:rsid w:val="00CC77B2"/>
    <w:rsid w:val="00CD0A7C"/>
    <w:rsid w:val="00CD0E3B"/>
    <w:rsid w:val="00CD238E"/>
    <w:rsid w:val="00CD3A74"/>
    <w:rsid w:val="00CD66F3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114F"/>
    <w:rsid w:val="00D11DDB"/>
    <w:rsid w:val="00D13441"/>
    <w:rsid w:val="00D150E7"/>
    <w:rsid w:val="00D16FEE"/>
    <w:rsid w:val="00D32EA1"/>
    <w:rsid w:val="00D35115"/>
    <w:rsid w:val="00D35D6C"/>
    <w:rsid w:val="00D52DC2"/>
    <w:rsid w:val="00D53BCC"/>
    <w:rsid w:val="00D54C9E"/>
    <w:rsid w:val="00D56422"/>
    <w:rsid w:val="00D6537E"/>
    <w:rsid w:val="00D706D1"/>
    <w:rsid w:val="00D70DFB"/>
    <w:rsid w:val="00D766DF"/>
    <w:rsid w:val="00D8206C"/>
    <w:rsid w:val="00D8703C"/>
    <w:rsid w:val="00D910DF"/>
    <w:rsid w:val="00D91F10"/>
    <w:rsid w:val="00D92FF5"/>
    <w:rsid w:val="00D93DB7"/>
    <w:rsid w:val="00D979C7"/>
    <w:rsid w:val="00DA186E"/>
    <w:rsid w:val="00DA4116"/>
    <w:rsid w:val="00DA56DD"/>
    <w:rsid w:val="00DB2016"/>
    <w:rsid w:val="00DB251C"/>
    <w:rsid w:val="00DB2569"/>
    <w:rsid w:val="00DB2C9E"/>
    <w:rsid w:val="00DB4630"/>
    <w:rsid w:val="00DC24AC"/>
    <w:rsid w:val="00DC45DB"/>
    <w:rsid w:val="00DC4F88"/>
    <w:rsid w:val="00DC51B5"/>
    <w:rsid w:val="00DD22E6"/>
    <w:rsid w:val="00DD2D35"/>
    <w:rsid w:val="00DD54CD"/>
    <w:rsid w:val="00DD6C3A"/>
    <w:rsid w:val="00DE08BC"/>
    <w:rsid w:val="00DE107C"/>
    <w:rsid w:val="00DF03F8"/>
    <w:rsid w:val="00DF0410"/>
    <w:rsid w:val="00DF2388"/>
    <w:rsid w:val="00E05704"/>
    <w:rsid w:val="00E05CB5"/>
    <w:rsid w:val="00E13901"/>
    <w:rsid w:val="00E14961"/>
    <w:rsid w:val="00E23301"/>
    <w:rsid w:val="00E3143F"/>
    <w:rsid w:val="00E33196"/>
    <w:rsid w:val="00E338EF"/>
    <w:rsid w:val="00E53734"/>
    <w:rsid w:val="00E544BB"/>
    <w:rsid w:val="00E5543F"/>
    <w:rsid w:val="00E5722B"/>
    <w:rsid w:val="00E6260D"/>
    <w:rsid w:val="00E74DC7"/>
    <w:rsid w:val="00E8075A"/>
    <w:rsid w:val="00E8331F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6887"/>
    <w:rsid w:val="00ED2BB6"/>
    <w:rsid w:val="00ED2BFB"/>
    <w:rsid w:val="00ED34E1"/>
    <w:rsid w:val="00ED3B8D"/>
    <w:rsid w:val="00ED5619"/>
    <w:rsid w:val="00EE5E36"/>
    <w:rsid w:val="00EF2E3A"/>
    <w:rsid w:val="00EF5D8B"/>
    <w:rsid w:val="00F0199F"/>
    <w:rsid w:val="00F0284C"/>
    <w:rsid w:val="00F02C7C"/>
    <w:rsid w:val="00F072A7"/>
    <w:rsid w:val="00F078DC"/>
    <w:rsid w:val="00F13501"/>
    <w:rsid w:val="00F16327"/>
    <w:rsid w:val="00F17CC6"/>
    <w:rsid w:val="00F2664C"/>
    <w:rsid w:val="00F27438"/>
    <w:rsid w:val="00F32BA8"/>
    <w:rsid w:val="00F32EE0"/>
    <w:rsid w:val="00F349F1"/>
    <w:rsid w:val="00F4350D"/>
    <w:rsid w:val="00F479C4"/>
    <w:rsid w:val="00F54570"/>
    <w:rsid w:val="00F564D6"/>
    <w:rsid w:val="00F567F7"/>
    <w:rsid w:val="00F602DA"/>
    <w:rsid w:val="00F6197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A2039"/>
    <w:rsid w:val="00FA5EBC"/>
    <w:rsid w:val="00FB187A"/>
    <w:rsid w:val="00FB44F3"/>
    <w:rsid w:val="00FB5A08"/>
    <w:rsid w:val="00FC0830"/>
    <w:rsid w:val="00FC2109"/>
    <w:rsid w:val="00FC3B35"/>
    <w:rsid w:val="00FC6A80"/>
    <w:rsid w:val="00FD227E"/>
    <w:rsid w:val="00FD6B7A"/>
    <w:rsid w:val="00FD7481"/>
    <w:rsid w:val="00FE02BE"/>
    <w:rsid w:val="00FE4688"/>
    <w:rsid w:val="00FF5704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1D4A1B"/>
  <w15:docId w15:val="{2366307F-5C2D-47A9-81E9-CCBA31A4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E53734"/>
    <w:pPr>
      <w:ind w:left="1276" w:hanging="1276"/>
    </w:pPr>
    <w:rPr>
      <w:b/>
      <w:i/>
    </w:rPr>
  </w:style>
  <w:style w:type="paragraph" w:customStyle="1" w:styleId="SubsectionHead">
    <w:name w:val="SubsectionHead"/>
    <w:aliases w:val="ssh"/>
    <w:basedOn w:val="Normal"/>
    <w:next w:val="Normal"/>
    <w:rsid w:val="00E53734"/>
    <w:pPr>
      <w:keepNext/>
      <w:keepLines/>
      <w:spacing w:before="240" w:line="240" w:lineRule="auto"/>
      <w:ind w:left="1134"/>
    </w:pPr>
    <w:rPr>
      <w:rFonts w:eastAsia="Times New Roman" w:cs="Times New Roman"/>
      <w:i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E53734"/>
    <w:pPr>
      <w:spacing w:before="180" w:after="120" w:line="264" w:lineRule="auto"/>
    </w:pPr>
    <w:rPr>
      <w:rFonts w:asciiTheme="minorHAnsi" w:eastAsia="Times New Roman" w:hAnsiTheme="minorHAnsi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E53734"/>
    <w:rPr>
      <w:rFonts w:asciiTheme="minorHAnsi" w:eastAsia="Times New Roman" w:hAnsiTheme="minorHAnsi" w:cs="Times New Roman"/>
      <w:szCs w:val="24"/>
      <w:lang w:eastAsia="en-AU"/>
    </w:rPr>
  </w:style>
  <w:style w:type="character" w:customStyle="1" w:styleId="CharPartText">
    <w:name w:val="CharPartText"/>
    <w:basedOn w:val="DefaultParagraphFont"/>
    <w:uiPriority w:val="1"/>
    <w:qFormat/>
    <w:rsid w:val="00145E92"/>
  </w:style>
  <w:style w:type="paragraph" w:styleId="Revision">
    <w:name w:val="Revision"/>
    <w:hidden/>
    <w:uiPriority w:val="99"/>
    <w:semiHidden/>
    <w:rsid w:val="00E314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72xd\AppData\Local\Hewlett-Packard\HP%20TRIM\TEMP\HPTRIM.9820\ADD2021%202855349%20%20LIN21041%20-%20CIF%20-%20LI%20amendment%20-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B6F6E-7C15-4CB0-8392-E6300328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ADD2021 2855349  LIN21041 - CIF - LI amendment - v1</Template>
  <TotalTime>10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NEWMAN-MARTIN</dc:creator>
  <cp:lastModifiedBy>Andrew NEWMAN-MARTIN</cp:lastModifiedBy>
  <cp:revision>5</cp:revision>
  <cp:lastPrinted>2021-06-15T03:27:00Z</cp:lastPrinted>
  <dcterms:created xsi:type="dcterms:W3CDTF">2021-06-29T05:02:00Z</dcterms:created>
  <dcterms:modified xsi:type="dcterms:W3CDTF">2021-06-29T05:40:00Z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