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9288" w14:textId="77777777" w:rsidR="0048364F" w:rsidRPr="00743DEA" w:rsidRDefault="00193461" w:rsidP="0020300C">
      <w:pPr>
        <w:rPr>
          <w:sz w:val="28"/>
        </w:rPr>
      </w:pPr>
      <w:r w:rsidRPr="00743DEA">
        <w:rPr>
          <w:noProof/>
          <w:lang w:eastAsia="en-AU"/>
        </w:rPr>
        <w:drawing>
          <wp:inline distT="0" distB="0" distL="0" distR="0" wp14:anchorId="43A7D8EA" wp14:editId="19395D8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62EB" w14:textId="77777777" w:rsidR="0048364F" w:rsidRPr="00743DEA" w:rsidRDefault="0048364F" w:rsidP="0048364F">
      <w:pPr>
        <w:rPr>
          <w:sz w:val="19"/>
        </w:rPr>
      </w:pPr>
    </w:p>
    <w:p w14:paraId="6C78A058" w14:textId="77777777" w:rsidR="0048364F" w:rsidRPr="00743DEA" w:rsidRDefault="00835F2A" w:rsidP="0048364F">
      <w:pPr>
        <w:pStyle w:val="ShortT"/>
      </w:pPr>
      <w:r w:rsidRPr="00743DEA">
        <w:t xml:space="preserve">Industrial Chemicals (Fees and Charges) </w:t>
      </w:r>
      <w:r w:rsidR="00FB1881" w:rsidRPr="00743DEA">
        <w:t xml:space="preserve">Legislation </w:t>
      </w:r>
      <w:r w:rsidRPr="00743DEA">
        <w:t xml:space="preserve">Amendment (2021 Measures No. 1) </w:t>
      </w:r>
      <w:r w:rsidR="00743DEA" w:rsidRPr="00743DEA">
        <w:t>Rules 2</w:t>
      </w:r>
      <w:r w:rsidRPr="00743DEA">
        <w:t>021</w:t>
      </w:r>
    </w:p>
    <w:p w14:paraId="6AAC3B0A" w14:textId="77777777" w:rsidR="00835F2A" w:rsidRPr="00743DEA" w:rsidRDefault="00835F2A" w:rsidP="00BE59FE">
      <w:pPr>
        <w:pStyle w:val="SignCoverPageStart"/>
        <w:rPr>
          <w:szCs w:val="22"/>
        </w:rPr>
      </w:pPr>
      <w:r w:rsidRPr="00743DEA">
        <w:rPr>
          <w:szCs w:val="22"/>
        </w:rPr>
        <w:t xml:space="preserve">I, Mark </w:t>
      </w:r>
      <w:proofErr w:type="spellStart"/>
      <w:r w:rsidRPr="00743DEA">
        <w:rPr>
          <w:szCs w:val="22"/>
        </w:rPr>
        <w:t>Coulton</w:t>
      </w:r>
      <w:proofErr w:type="spellEnd"/>
      <w:r w:rsidRPr="00743DEA">
        <w:rPr>
          <w:szCs w:val="22"/>
        </w:rPr>
        <w:t>, Minister for Regional Health, Regional Communications and Local Government, make the following rules.</w:t>
      </w:r>
    </w:p>
    <w:p w14:paraId="6C61DE33" w14:textId="3DB80DB1" w:rsidR="00835F2A" w:rsidRPr="00743DEA" w:rsidRDefault="00835F2A" w:rsidP="00BE59FE">
      <w:pPr>
        <w:keepNext/>
        <w:spacing w:before="300" w:line="240" w:lineRule="atLeast"/>
        <w:ind w:right="397"/>
        <w:jc w:val="both"/>
        <w:rPr>
          <w:szCs w:val="22"/>
        </w:rPr>
      </w:pPr>
      <w:r w:rsidRPr="00743DEA">
        <w:rPr>
          <w:szCs w:val="22"/>
        </w:rPr>
        <w:t>Dated</w:t>
      </w:r>
      <w:bookmarkStart w:id="0" w:name="BKCheck15B_1"/>
      <w:bookmarkEnd w:id="0"/>
      <w:r w:rsidR="00635C11">
        <w:rPr>
          <w:szCs w:val="22"/>
        </w:rPr>
        <w:t xml:space="preserve"> </w:t>
      </w:r>
      <w:bookmarkStart w:id="1" w:name="_GoBack"/>
      <w:bookmarkEnd w:id="1"/>
      <w:r w:rsidRPr="00743DEA">
        <w:rPr>
          <w:szCs w:val="22"/>
        </w:rPr>
        <w:fldChar w:fldCharType="begin"/>
      </w:r>
      <w:r w:rsidRPr="00743DEA">
        <w:rPr>
          <w:szCs w:val="22"/>
        </w:rPr>
        <w:instrText xml:space="preserve"> DOCPROPERTY  DateMade </w:instrText>
      </w:r>
      <w:r w:rsidRPr="00743DEA">
        <w:rPr>
          <w:szCs w:val="22"/>
        </w:rPr>
        <w:fldChar w:fldCharType="separate"/>
      </w:r>
      <w:r w:rsidR="00635C11">
        <w:rPr>
          <w:szCs w:val="22"/>
        </w:rPr>
        <w:t>23 June 2021</w:t>
      </w:r>
      <w:r w:rsidRPr="00743DEA">
        <w:rPr>
          <w:szCs w:val="22"/>
        </w:rPr>
        <w:fldChar w:fldCharType="end"/>
      </w:r>
    </w:p>
    <w:p w14:paraId="01963621" w14:textId="77777777" w:rsidR="00835F2A" w:rsidRPr="00743DEA" w:rsidRDefault="00835F2A" w:rsidP="00BE59F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43DEA">
        <w:rPr>
          <w:szCs w:val="22"/>
        </w:rPr>
        <w:t xml:space="preserve">Mark </w:t>
      </w:r>
      <w:proofErr w:type="spellStart"/>
      <w:r w:rsidRPr="00743DEA">
        <w:rPr>
          <w:szCs w:val="22"/>
        </w:rPr>
        <w:t>Coulton</w:t>
      </w:r>
      <w:proofErr w:type="spellEnd"/>
    </w:p>
    <w:p w14:paraId="7AA73D2B" w14:textId="77777777" w:rsidR="00835F2A" w:rsidRPr="00743DEA" w:rsidRDefault="00835F2A" w:rsidP="00BE59FE">
      <w:pPr>
        <w:pStyle w:val="SignCoverPageEnd"/>
        <w:rPr>
          <w:szCs w:val="22"/>
        </w:rPr>
      </w:pPr>
      <w:r w:rsidRPr="00743DEA">
        <w:rPr>
          <w:szCs w:val="22"/>
        </w:rPr>
        <w:t>Minister for Regional Health, Regional Communications and Local Government</w:t>
      </w:r>
    </w:p>
    <w:p w14:paraId="7CE288C3" w14:textId="77777777" w:rsidR="00835F2A" w:rsidRPr="00743DEA" w:rsidRDefault="00835F2A" w:rsidP="00BE59FE"/>
    <w:p w14:paraId="19A5AD09" w14:textId="77777777" w:rsidR="0048364F" w:rsidRPr="003B7BA8" w:rsidRDefault="0048364F" w:rsidP="0048364F">
      <w:pPr>
        <w:pStyle w:val="Header"/>
        <w:tabs>
          <w:tab w:val="clear" w:pos="4150"/>
          <w:tab w:val="clear" w:pos="8307"/>
        </w:tabs>
      </w:pPr>
      <w:r w:rsidRPr="003B7BA8">
        <w:rPr>
          <w:rStyle w:val="CharAmSchNo"/>
        </w:rPr>
        <w:t xml:space="preserve"> </w:t>
      </w:r>
      <w:r w:rsidRPr="003B7BA8">
        <w:rPr>
          <w:rStyle w:val="CharAmSchText"/>
        </w:rPr>
        <w:t xml:space="preserve"> </w:t>
      </w:r>
    </w:p>
    <w:p w14:paraId="03EBE00E" w14:textId="77777777" w:rsidR="0048364F" w:rsidRPr="003B7BA8" w:rsidRDefault="0048364F" w:rsidP="0048364F">
      <w:pPr>
        <w:pStyle w:val="Header"/>
        <w:tabs>
          <w:tab w:val="clear" w:pos="4150"/>
          <w:tab w:val="clear" w:pos="8307"/>
        </w:tabs>
      </w:pPr>
      <w:r w:rsidRPr="003B7BA8">
        <w:rPr>
          <w:rStyle w:val="CharAmPartNo"/>
        </w:rPr>
        <w:t xml:space="preserve"> </w:t>
      </w:r>
      <w:r w:rsidRPr="003B7BA8">
        <w:rPr>
          <w:rStyle w:val="CharAmPartText"/>
        </w:rPr>
        <w:t xml:space="preserve"> </w:t>
      </w:r>
    </w:p>
    <w:p w14:paraId="0AFF2BE4" w14:textId="77777777" w:rsidR="0048364F" w:rsidRPr="00743DEA" w:rsidRDefault="0048364F" w:rsidP="0048364F">
      <w:pPr>
        <w:sectPr w:rsidR="0048364F" w:rsidRPr="00743DEA" w:rsidSect="002B59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A438325" w14:textId="77777777" w:rsidR="00220A0C" w:rsidRPr="00743DEA" w:rsidRDefault="0048364F" w:rsidP="0048364F">
      <w:pPr>
        <w:outlineLvl w:val="0"/>
        <w:rPr>
          <w:sz w:val="36"/>
        </w:rPr>
      </w:pPr>
      <w:r w:rsidRPr="00743DEA">
        <w:rPr>
          <w:sz w:val="36"/>
        </w:rPr>
        <w:lastRenderedPageBreak/>
        <w:t>Contents</w:t>
      </w:r>
    </w:p>
    <w:bookmarkStart w:id="2" w:name="BKCheck15B_2"/>
    <w:bookmarkEnd w:id="2"/>
    <w:p w14:paraId="0B0B20ED" w14:textId="43C1DC74" w:rsidR="00743DEA" w:rsidRDefault="00743D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3DEA">
        <w:rPr>
          <w:noProof/>
        </w:rPr>
        <w:tab/>
      </w:r>
      <w:r w:rsidRPr="00743DEA">
        <w:rPr>
          <w:noProof/>
        </w:rPr>
        <w:fldChar w:fldCharType="begin"/>
      </w:r>
      <w:r w:rsidRPr="00743DEA">
        <w:rPr>
          <w:noProof/>
        </w:rPr>
        <w:instrText xml:space="preserve"> PAGEREF _Toc74824960 \h </w:instrText>
      </w:r>
      <w:r w:rsidRPr="00743DEA">
        <w:rPr>
          <w:noProof/>
        </w:rPr>
      </w:r>
      <w:r w:rsidRPr="00743DEA">
        <w:rPr>
          <w:noProof/>
        </w:rPr>
        <w:fldChar w:fldCharType="separate"/>
      </w:r>
      <w:r w:rsidR="00635C11">
        <w:rPr>
          <w:noProof/>
        </w:rPr>
        <w:t>1</w:t>
      </w:r>
      <w:r w:rsidRPr="00743DEA">
        <w:rPr>
          <w:noProof/>
        </w:rPr>
        <w:fldChar w:fldCharType="end"/>
      </w:r>
    </w:p>
    <w:p w14:paraId="44FAC896" w14:textId="69EA8A56" w:rsidR="00743DEA" w:rsidRDefault="00743D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3DEA">
        <w:rPr>
          <w:noProof/>
        </w:rPr>
        <w:tab/>
      </w:r>
      <w:r w:rsidRPr="00743DEA">
        <w:rPr>
          <w:noProof/>
        </w:rPr>
        <w:fldChar w:fldCharType="begin"/>
      </w:r>
      <w:r w:rsidRPr="00743DEA">
        <w:rPr>
          <w:noProof/>
        </w:rPr>
        <w:instrText xml:space="preserve"> PAGEREF _Toc74824961 \h </w:instrText>
      </w:r>
      <w:r w:rsidRPr="00743DEA">
        <w:rPr>
          <w:noProof/>
        </w:rPr>
      </w:r>
      <w:r w:rsidRPr="00743DEA">
        <w:rPr>
          <w:noProof/>
        </w:rPr>
        <w:fldChar w:fldCharType="separate"/>
      </w:r>
      <w:r w:rsidR="00635C11">
        <w:rPr>
          <w:noProof/>
        </w:rPr>
        <w:t>1</w:t>
      </w:r>
      <w:r w:rsidRPr="00743DEA">
        <w:rPr>
          <w:noProof/>
        </w:rPr>
        <w:fldChar w:fldCharType="end"/>
      </w:r>
    </w:p>
    <w:p w14:paraId="63EE0DF0" w14:textId="0D157394" w:rsidR="00743DEA" w:rsidRDefault="00743D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3DEA">
        <w:rPr>
          <w:noProof/>
        </w:rPr>
        <w:tab/>
      </w:r>
      <w:r w:rsidRPr="00743DEA">
        <w:rPr>
          <w:noProof/>
        </w:rPr>
        <w:fldChar w:fldCharType="begin"/>
      </w:r>
      <w:r w:rsidRPr="00743DEA">
        <w:rPr>
          <w:noProof/>
        </w:rPr>
        <w:instrText xml:space="preserve"> PAGEREF _Toc74824962 \h </w:instrText>
      </w:r>
      <w:r w:rsidRPr="00743DEA">
        <w:rPr>
          <w:noProof/>
        </w:rPr>
      </w:r>
      <w:r w:rsidRPr="00743DEA">
        <w:rPr>
          <w:noProof/>
        </w:rPr>
        <w:fldChar w:fldCharType="separate"/>
      </w:r>
      <w:r w:rsidR="00635C11">
        <w:rPr>
          <w:noProof/>
        </w:rPr>
        <w:t>1</w:t>
      </w:r>
      <w:r w:rsidRPr="00743DEA">
        <w:rPr>
          <w:noProof/>
        </w:rPr>
        <w:fldChar w:fldCharType="end"/>
      </w:r>
    </w:p>
    <w:p w14:paraId="3E999C29" w14:textId="0F36498F" w:rsidR="00743DEA" w:rsidRDefault="00743D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3DEA">
        <w:rPr>
          <w:noProof/>
        </w:rPr>
        <w:tab/>
      </w:r>
      <w:r w:rsidRPr="00743DEA">
        <w:rPr>
          <w:noProof/>
        </w:rPr>
        <w:fldChar w:fldCharType="begin"/>
      </w:r>
      <w:r w:rsidRPr="00743DEA">
        <w:rPr>
          <w:noProof/>
        </w:rPr>
        <w:instrText xml:space="preserve"> PAGEREF _Toc74824963 \h </w:instrText>
      </w:r>
      <w:r w:rsidRPr="00743DEA">
        <w:rPr>
          <w:noProof/>
        </w:rPr>
      </w:r>
      <w:r w:rsidRPr="00743DEA">
        <w:rPr>
          <w:noProof/>
        </w:rPr>
        <w:fldChar w:fldCharType="separate"/>
      </w:r>
      <w:r w:rsidR="00635C11">
        <w:rPr>
          <w:noProof/>
        </w:rPr>
        <w:t>1</w:t>
      </w:r>
      <w:r w:rsidRPr="00743DEA">
        <w:rPr>
          <w:noProof/>
        </w:rPr>
        <w:fldChar w:fldCharType="end"/>
      </w:r>
    </w:p>
    <w:p w14:paraId="2608A0EB" w14:textId="031E7E96" w:rsidR="00743DEA" w:rsidRDefault="00743D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3DEA">
        <w:rPr>
          <w:b w:val="0"/>
          <w:noProof/>
          <w:sz w:val="18"/>
        </w:rPr>
        <w:tab/>
      </w:r>
      <w:r w:rsidRPr="00743DEA">
        <w:rPr>
          <w:b w:val="0"/>
          <w:noProof/>
          <w:sz w:val="18"/>
        </w:rPr>
        <w:fldChar w:fldCharType="begin"/>
      </w:r>
      <w:r w:rsidRPr="00743DEA">
        <w:rPr>
          <w:b w:val="0"/>
          <w:noProof/>
          <w:sz w:val="18"/>
        </w:rPr>
        <w:instrText xml:space="preserve"> PAGEREF _Toc74824964 \h </w:instrText>
      </w:r>
      <w:r w:rsidRPr="00743DEA">
        <w:rPr>
          <w:b w:val="0"/>
          <w:noProof/>
          <w:sz w:val="18"/>
        </w:rPr>
      </w:r>
      <w:r w:rsidRPr="00743DEA">
        <w:rPr>
          <w:b w:val="0"/>
          <w:noProof/>
          <w:sz w:val="18"/>
        </w:rPr>
        <w:fldChar w:fldCharType="separate"/>
      </w:r>
      <w:r w:rsidR="00635C11">
        <w:rPr>
          <w:b w:val="0"/>
          <w:noProof/>
          <w:sz w:val="18"/>
        </w:rPr>
        <w:t>2</w:t>
      </w:r>
      <w:r w:rsidRPr="00743DEA">
        <w:rPr>
          <w:b w:val="0"/>
          <w:noProof/>
          <w:sz w:val="18"/>
        </w:rPr>
        <w:fldChar w:fldCharType="end"/>
      </w:r>
    </w:p>
    <w:p w14:paraId="341230E9" w14:textId="26061522" w:rsidR="00743DEA" w:rsidRDefault="00743D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743DEA">
        <w:rPr>
          <w:noProof/>
          <w:sz w:val="18"/>
        </w:rPr>
        <w:tab/>
      </w:r>
      <w:r w:rsidRPr="00743DEA">
        <w:rPr>
          <w:noProof/>
          <w:sz w:val="18"/>
        </w:rPr>
        <w:fldChar w:fldCharType="begin"/>
      </w:r>
      <w:r w:rsidRPr="00743DEA">
        <w:rPr>
          <w:noProof/>
          <w:sz w:val="18"/>
        </w:rPr>
        <w:instrText xml:space="preserve"> PAGEREF _Toc74824965 \h </w:instrText>
      </w:r>
      <w:r w:rsidRPr="00743DEA">
        <w:rPr>
          <w:noProof/>
          <w:sz w:val="18"/>
        </w:rPr>
      </w:r>
      <w:r w:rsidRPr="00743DEA">
        <w:rPr>
          <w:noProof/>
          <w:sz w:val="18"/>
        </w:rPr>
        <w:fldChar w:fldCharType="separate"/>
      </w:r>
      <w:r w:rsidR="00635C11">
        <w:rPr>
          <w:noProof/>
          <w:sz w:val="18"/>
        </w:rPr>
        <w:t>2</w:t>
      </w:r>
      <w:r w:rsidRPr="00743DEA">
        <w:rPr>
          <w:noProof/>
          <w:sz w:val="18"/>
        </w:rPr>
        <w:fldChar w:fldCharType="end"/>
      </w:r>
    </w:p>
    <w:p w14:paraId="38EB36CF" w14:textId="1CE3BAF3" w:rsidR="00743DEA" w:rsidRDefault="00743D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(Fees and Charges) Rules 2020</w:t>
      </w:r>
      <w:r w:rsidRPr="00743DEA">
        <w:rPr>
          <w:i w:val="0"/>
          <w:noProof/>
          <w:sz w:val="18"/>
        </w:rPr>
        <w:tab/>
      </w:r>
      <w:r w:rsidRPr="00743DEA">
        <w:rPr>
          <w:i w:val="0"/>
          <w:noProof/>
          <w:sz w:val="18"/>
        </w:rPr>
        <w:fldChar w:fldCharType="begin"/>
      </w:r>
      <w:r w:rsidRPr="00743DEA">
        <w:rPr>
          <w:i w:val="0"/>
          <w:noProof/>
          <w:sz w:val="18"/>
        </w:rPr>
        <w:instrText xml:space="preserve"> PAGEREF _Toc74824966 \h </w:instrText>
      </w:r>
      <w:r w:rsidRPr="00743DEA">
        <w:rPr>
          <w:i w:val="0"/>
          <w:noProof/>
          <w:sz w:val="18"/>
        </w:rPr>
      </w:r>
      <w:r w:rsidRPr="00743DEA">
        <w:rPr>
          <w:i w:val="0"/>
          <w:noProof/>
          <w:sz w:val="18"/>
        </w:rPr>
        <w:fldChar w:fldCharType="separate"/>
      </w:r>
      <w:r w:rsidR="00635C11">
        <w:rPr>
          <w:i w:val="0"/>
          <w:noProof/>
          <w:sz w:val="18"/>
        </w:rPr>
        <w:t>2</w:t>
      </w:r>
      <w:r w:rsidRPr="00743DEA">
        <w:rPr>
          <w:i w:val="0"/>
          <w:noProof/>
          <w:sz w:val="18"/>
        </w:rPr>
        <w:fldChar w:fldCharType="end"/>
      </w:r>
    </w:p>
    <w:p w14:paraId="32A266B6" w14:textId="5F650322" w:rsidR="00743DEA" w:rsidRDefault="00743DE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 provisions</w:t>
      </w:r>
      <w:r w:rsidRPr="00743DEA">
        <w:rPr>
          <w:noProof/>
          <w:sz w:val="18"/>
        </w:rPr>
        <w:tab/>
      </w:r>
      <w:r w:rsidRPr="00743DEA">
        <w:rPr>
          <w:noProof/>
          <w:sz w:val="18"/>
        </w:rPr>
        <w:fldChar w:fldCharType="begin"/>
      </w:r>
      <w:r w:rsidRPr="00743DEA">
        <w:rPr>
          <w:noProof/>
          <w:sz w:val="18"/>
        </w:rPr>
        <w:instrText xml:space="preserve"> PAGEREF _Toc74824969 \h </w:instrText>
      </w:r>
      <w:r w:rsidRPr="00743DEA">
        <w:rPr>
          <w:noProof/>
          <w:sz w:val="18"/>
        </w:rPr>
      </w:r>
      <w:r w:rsidRPr="00743DEA">
        <w:rPr>
          <w:noProof/>
          <w:sz w:val="18"/>
        </w:rPr>
        <w:fldChar w:fldCharType="separate"/>
      </w:r>
      <w:r w:rsidR="00635C11">
        <w:rPr>
          <w:noProof/>
          <w:sz w:val="18"/>
        </w:rPr>
        <w:t>6</w:t>
      </w:r>
      <w:r w:rsidRPr="00743DEA">
        <w:rPr>
          <w:noProof/>
          <w:sz w:val="18"/>
        </w:rPr>
        <w:fldChar w:fldCharType="end"/>
      </w:r>
    </w:p>
    <w:p w14:paraId="1B4B20D9" w14:textId="517009F2" w:rsidR="00743DEA" w:rsidRDefault="00743D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Industrial Chemicals (Consequential Amendments and Transitional Provisions) Rules 2019</w:t>
      </w:r>
      <w:r w:rsidRPr="00743DEA">
        <w:rPr>
          <w:i w:val="0"/>
          <w:noProof/>
          <w:sz w:val="18"/>
        </w:rPr>
        <w:tab/>
      </w:r>
      <w:r w:rsidRPr="00743DEA">
        <w:rPr>
          <w:i w:val="0"/>
          <w:noProof/>
          <w:sz w:val="18"/>
        </w:rPr>
        <w:fldChar w:fldCharType="begin"/>
      </w:r>
      <w:r w:rsidRPr="00743DEA">
        <w:rPr>
          <w:i w:val="0"/>
          <w:noProof/>
          <w:sz w:val="18"/>
        </w:rPr>
        <w:instrText xml:space="preserve"> PAGEREF _Toc74824970 \h </w:instrText>
      </w:r>
      <w:r w:rsidRPr="00743DEA">
        <w:rPr>
          <w:i w:val="0"/>
          <w:noProof/>
          <w:sz w:val="18"/>
        </w:rPr>
      </w:r>
      <w:r w:rsidRPr="00743DEA">
        <w:rPr>
          <w:i w:val="0"/>
          <w:noProof/>
          <w:sz w:val="18"/>
        </w:rPr>
        <w:fldChar w:fldCharType="separate"/>
      </w:r>
      <w:r w:rsidR="00635C11">
        <w:rPr>
          <w:i w:val="0"/>
          <w:noProof/>
          <w:sz w:val="18"/>
        </w:rPr>
        <w:t>6</w:t>
      </w:r>
      <w:r w:rsidRPr="00743DEA">
        <w:rPr>
          <w:i w:val="0"/>
          <w:noProof/>
          <w:sz w:val="18"/>
        </w:rPr>
        <w:fldChar w:fldCharType="end"/>
      </w:r>
    </w:p>
    <w:p w14:paraId="2C37D84F" w14:textId="77777777" w:rsidR="0048364F" w:rsidRPr="00743DEA" w:rsidRDefault="00743DEA" w:rsidP="0048364F">
      <w:r>
        <w:fldChar w:fldCharType="end"/>
      </w:r>
    </w:p>
    <w:p w14:paraId="7572205E" w14:textId="77777777" w:rsidR="0048364F" w:rsidRPr="00743DEA" w:rsidRDefault="0048364F" w:rsidP="0048364F">
      <w:pPr>
        <w:sectPr w:rsidR="0048364F" w:rsidRPr="00743DEA" w:rsidSect="002B59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50B5E7" w14:textId="77777777" w:rsidR="0048364F" w:rsidRPr="00743DEA" w:rsidRDefault="0048364F" w:rsidP="0048364F">
      <w:pPr>
        <w:pStyle w:val="ActHead5"/>
      </w:pPr>
      <w:bookmarkStart w:id="3" w:name="_Toc74824960"/>
      <w:r w:rsidRPr="003B7BA8">
        <w:rPr>
          <w:rStyle w:val="CharSectno"/>
        </w:rPr>
        <w:lastRenderedPageBreak/>
        <w:t>1</w:t>
      </w:r>
      <w:r w:rsidRPr="00743DEA">
        <w:t xml:space="preserve">  </w:t>
      </w:r>
      <w:r w:rsidR="004F676E" w:rsidRPr="00743DEA">
        <w:t>Name</w:t>
      </w:r>
      <w:bookmarkEnd w:id="3"/>
    </w:p>
    <w:p w14:paraId="515F2D38" w14:textId="77777777" w:rsidR="0048364F" w:rsidRPr="00743DEA" w:rsidRDefault="0048364F" w:rsidP="0048364F">
      <w:pPr>
        <w:pStyle w:val="subsection"/>
      </w:pPr>
      <w:r w:rsidRPr="00743DEA">
        <w:tab/>
      </w:r>
      <w:r w:rsidRPr="00743DEA">
        <w:tab/>
      </w:r>
      <w:r w:rsidR="00835F2A" w:rsidRPr="00743DEA">
        <w:t>This instrument is</w:t>
      </w:r>
      <w:r w:rsidRPr="00743DEA">
        <w:t xml:space="preserve"> the </w:t>
      </w:r>
      <w:bookmarkStart w:id="4" w:name="BKCheck15B_3"/>
      <w:bookmarkEnd w:id="4"/>
      <w:r w:rsidR="00743DEA" w:rsidRPr="00743DEA">
        <w:rPr>
          <w:i/>
          <w:noProof/>
        </w:rPr>
        <w:t>Industrial Chemicals (Fees and Charges) Legislation Amendment (2021 Measures No. 1) Rules 2021</w:t>
      </w:r>
      <w:r w:rsidRPr="00743DEA">
        <w:t>.</w:t>
      </w:r>
    </w:p>
    <w:p w14:paraId="4B569010" w14:textId="77777777" w:rsidR="004F676E" w:rsidRPr="00743DEA" w:rsidRDefault="0048364F" w:rsidP="005452CC">
      <w:pPr>
        <w:pStyle w:val="ActHead5"/>
      </w:pPr>
      <w:bookmarkStart w:id="5" w:name="_Toc74824961"/>
      <w:r w:rsidRPr="003B7BA8">
        <w:rPr>
          <w:rStyle w:val="CharSectno"/>
        </w:rPr>
        <w:t>2</w:t>
      </w:r>
      <w:r w:rsidRPr="00743DEA">
        <w:t xml:space="preserve">  Commencement</w:t>
      </w:r>
      <w:bookmarkEnd w:id="5"/>
    </w:p>
    <w:p w14:paraId="52E1A408" w14:textId="77777777" w:rsidR="005452CC" w:rsidRPr="00743DEA" w:rsidRDefault="005452CC" w:rsidP="00BE59FE">
      <w:pPr>
        <w:pStyle w:val="subsection"/>
      </w:pPr>
      <w:r w:rsidRPr="00743DEA">
        <w:tab/>
        <w:t>(1)</w:t>
      </w:r>
      <w:r w:rsidRPr="00743DEA">
        <w:tab/>
        <w:t xml:space="preserve">Each provision of </w:t>
      </w:r>
      <w:r w:rsidR="00835F2A" w:rsidRPr="00743DEA">
        <w:t>this instrument</w:t>
      </w:r>
      <w:r w:rsidRPr="00743DEA">
        <w:t xml:space="preserve"> specified in column 1 of the table commences, or is taken to have commenced, in accordance with column 2 of the table. Any other statement in column 2 has effect according to its terms.</w:t>
      </w:r>
    </w:p>
    <w:p w14:paraId="355EA82A" w14:textId="77777777" w:rsidR="005452CC" w:rsidRPr="00743DEA" w:rsidRDefault="005452CC" w:rsidP="00BE59F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43DEA" w14:paraId="6889B90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662442" w14:textId="77777777" w:rsidR="005452CC" w:rsidRPr="00743DEA" w:rsidRDefault="005452CC" w:rsidP="00BE59FE">
            <w:pPr>
              <w:pStyle w:val="TableHeading"/>
            </w:pPr>
            <w:r w:rsidRPr="00743DEA">
              <w:t>Commencement information</w:t>
            </w:r>
          </w:p>
        </w:tc>
      </w:tr>
      <w:tr w:rsidR="005452CC" w:rsidRPr="00743DEA" w14:paraId="14ED3A3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8B9B69" w14:textId="77777777" w:rsidR="005452CC" w:rsidRPr="00743DEA" w:rsidRDefault="005452CC" w:rsidP="00BE59FE">
            <w:pPr>
              <w:pStyle w:val="TableHeading"/>
            </w:pPr>
            <w:r w:rsidRPr="00743D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D5AD2A" w14:textId="77777777" w:rsidR="005452CC" w:rsidRPr="00743DEA" w:rsidRDefault="005452CC" w:rsidP="00BE59FE">
            <w:pPr>
              <w:pStyle w:val="TableHeading"/>
            </w:pPr>
            <w:r w:rsidRPr="00743D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60E992" w14:textId="77777777" w:rsidR="005452CC" w:rsidRPr="00743DEA" w:rsidRDefault="005452CC" w:rsidP="00BE59FE">
            <w:pPr>
              <w:pStyle w:val="TableHeading"/>
            </w:pPr>
            <w:r w:rsidRPr="00743DEA">
              <w:t>Column 3</w:t>
            </w:r>
          </w:p>
        </w:tc>
      </w:tr>
      <w:tr w:rsidR="005452CC" w:rsidRPr="00743DEA" w14:paraId="3651B1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DE2D75" w14:textId="77777777" w:rsidR="005452CC" w:rsidRPr="00743DEA" w:rsidRDefault="005452CC" w:rsidP="00BE59FE">
            <w:pPr>
              <w:pStyle w:val="TableHeading"/>
            </w:pPr>
            <w:r w:rsidRPr="00743D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82E288" w14:textId="77777777" w:rsidR="005452CC" w:rsidRPr="00743DEA" w:rsidRDefault="005452CC" w:rsidP="00BE59FE">
            <w:pPr>
              <w:pStyle w:val="TableHeading"/>
            </w:pPr>
            <w:r w:rsidRPr="00743D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394D27" w14:textId="77777777" w:rsidR="005452CC" w:rsidRPr="00743DEA" w:rsidRDefault="005452CC" w:rsidP="00BE59FE">
            <w:pPr>
              <w:pStyle w:val="TableHeading"/>
            </w:pPr>
            <w:r w:rsidRPr="00743DEA">
              <w:t>Date/Details</w:t>
            </w:r>
          </w:p>
        </w:tc>
      </w:tr>
      <w:tr w:rsidR="005452CC" w:rsidRPr="00743DEA" w14:paraId="26B7EA6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45225" w14:textId="77777777" w:rsidR="005452CC" w:rsidRPr="00743DEA" w:rsidRDefault="005452CC" w:rsidP="00AD7252">
            <w:pPr>
              <w:pStyle w:val="Tabletext"/>
            </w:pPr>
            <w:r w:rsidRPr="00743DEA">
              <w:t xml:space="preserve">1.  </w:t>
            </w:r>
            <w:r w:rsidR="00AD7252" w:rsidRPr="00743DEA">
              <w:t xml:space="preserve">The whole of </w:t>
            </w:r>
            <w:r w:rsidR="00835F2A" w:rsidRPr="00743D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A047EE" w14:textId="77777777" w:rsidR="005452CC" w:rsidRPr="00743DEA" w:rsidRDefault="00542B85" w:rsidP="005452CC">
            <w:pPr>
              <w:pStyle w:val="Tabletext"/>
            </w:pPr>
            <w:r w:rsidRPr="00743DEA">
              <w:t>1 July</w:t>
            </w:r>
            <w:r w:rsidR="002169F1" w:rsidRPr="00743DEA">
              <w:t xml:space="preserve"> 2021</w:t>
            </w:r>
            <w:r w:rsidR="005452CC" w:rsidRPr="00743D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46447" w14:textId="77777777" w:rsidR="005452CC" w:rsidRPr="00743DEA" w:rsidRDefault="00542B85">
            <w:pPr>
              <w:pStyle w:val="Tabletext"/>
            </w:pPr>
            <w:r w:rsidRPr="00743DEA">
              <w:t>1 July</w:t>
            </w:r>
            <w:r w:rsidR="002169F1" w:rsidRPr="00743DEA">
              <w:t xml:space="preserve"> 2021</w:t>
            </w:r>
          </w:p>
        </w:tc>
      </w:tr>
    </w:tbl>
    <w:p w14:paraId="78A97AB7" w14:textId="77777777" w:rsidR="005452CC" w:rsidRPr="00743DEA" w:rsidRDefault="005452CC" w:rsidP="00BE59FE">
      <w:pPr>
        <w:pStyle w:val="notetext"/>
      </w:pPr>
      <w:r w:rsidRPr="00743DEA">
        <w:rPr>
          <w:snapToGrid w:val="0"/>
          <w:lang w:eastAsia="en-US"/>
        </w:rPr>
        <w:t>Note:</w:t>
      </w:r>
      <w:r w:rsidRPr="00743DEA">
        <w:rPr>
          <w:snapToGrid w:val="0"/>
          <w:lang w:eastAsia="en-US"/>
        </w:rPr>
        <w:tab/>
        <w:t xml:space="preserve">This table relates only to the provisions of </w:t>
      </w:r>
      <w:r w:rsidR="00835F2A" w:rsidRPr="00743DEA">
        <w:rPr>
          <w:snapToGrid w:val="0"/>
          <w:lang w:eastAsia="en-US"/>
        </w:rPr>
        <w:t>this instrument</w:t>
      </w:r>
      <w:r w:rsidRPr="00743DEA">
        <w:t xml:space="preserve"> </w:t>
      </w:r>
      <w:r w:rsidRPr="00743DEA">
        <w:rPr>
          <w:snapToGrid w:val="0"/>
          <w:lang w:eastAsia="en-US"/>
        </w:rPr>
        <w:t xml:space="preserve">as originally made. It will not be amended to deal with any later amendments of </w:t>
      </w:r>
      <w:r w:rsidR="00835F2A" w:rsidRPr="00743DEA">
        <w:rPr>
          <w:snapToGrid w:val="0"/>
          <w:lang w:eastAsia="en-US"/>
        </w:rPr>
        <w:t>this instrument</w:t>
      </w:r>
      <w:r w:rsidRPr="00743DEA">
        <w:rPr>
          <w:snapToGrid w:val="0"/>
          <w:lang w:eastAsia="en-US"/>
        </w:rPr>
        <w:t>.</w:t>
      </w:r>
    </w:p>
    <w:p w14:paraId="18D5A8E2" w14:textId="77777777" w:rsidR="005452CC" w:rsidRPr="00743DEA" w:rsidRDefault="005452CC" w:rsidP="004F676E">
      <w:pPr>
        <w:pStyle w:val="subsection"/>
      </w:pPr>
      <w:r w:rsidRPr="00743DEA">
        <w:tab/>
        <w:t>(2)</w:t>
      </w:r>
      <w:r w:rsidRPr="00743DEA">
        <w:tab/>
        <w:t xml:space="preserve">Any information in column 3 of the table is not part of </w:t>
      </w:r>
      <w:r w:rsidR="00835F2A" w:rsidRPr="00743DEA">
        <w:t>this instrument</w:t>
      </w:r>
      <w:r w:rsidRPr="00743DEA">
        <w:t xml:space="preserve">. Information may be inserted in this column, or information in it may be edited, in any published version of </w:t>
      </w:r>
      <w:r w:rsidR="00835F2A" w:rsidRPr="00743DEA">
        <w:t>this instrument</w:t>
      </w:r>
      <w:r w:rsidRPr="00743DEA">
        <w:t>.</w:t>
      </w:r>
    </w:p>
    <w:p w14:paraId="57BC96E1" w14:textId="77777777" w:rsidR="00BF6650" w:rsidRPr="00743DEA" w:rsidRDefault="00BF6650" w:rsidP="00BF6650">
      <w:pPr>
        <w:pStyle w:val="ActHead5"/>
      </w:pPr>
      <w:bookmarkStart w:id="6" w:name="_Toc74824962"/>
      <w:r w:rsidRPr="003B7BA8">
        <w:rPr>
          <w:rStyle w:val="CharSectno"/>
        </w:rPr>
        <w:t>3</w:t>
      </w:r>
      <w:r w:rsidRPr="00743DEA">
        <w:t xml:space="preserve">  Authority</w:t>
      </w:r>
      <w:bookmarkEnd w:id="6"/>
    </w:p>
    <w:p w14:paraId="78F51917" w14:textId="77777777" w:rsidR="00B7429D" w:rsidRPr="00743DEA" w:rsidRDefault="00BF6650" w:rsidP="00BF6650">
      <w:pPr>
        <w:pStyle w:val="subsection"/>
      </w:pPr>
      <w:r w:rsidRPr="00743DEA">
        <w:tab/>
      </w:r>
      <w:r w:rsidRPr="00743DEA">
        <w:tab/>
      </w:r>
      <w:r w:rsidR="00B7429D" w:rsidRPr="00743DEA">
        <w:t>T</w:t>
      </w:r>
      <w:r w:rsidR="00835F2A" w:rsidRPr="00743DEA">
        <w:t>his instrument is</w:t>
      </w:r>
      <w:r w:rsidRPr="00743DEA">
        <w:t xml:space="preserve"> made under</w:t>
      </w:r>
      <w:r w:rsidR="005666F1" w:rsidRPr="00743DEA">
        <w:t xml:space="preserve"> </w:t>
      </w:r>
      <w:r w:rsidR="00B7429D" w:rsidRPr="00743DEA">
        <w:t>the following:</w:t>
      </w:r>
    </w:p>
    <w:p w14:paraId="6DD08203" w14:textId="77777777" w:rsidR="005666F1" w:rsidRPr="00743DEA" w:rsidRDefault="00B7429D" w:rsidP="00B7429D">
      <w:pPr>
        <w:pStyle w:val="paragraph"/>
      </w:pPr>
      <w:r w:rsidRPr="00743DEA">
        <w:tab/>
        <w:t>(a)</w:t>
      </w:r>
      <w:r w:rsidRPr="00743DEA">
        <w:tab/>
      </w:r>
      <w:r w:rsidR="00025465" w:rsidRPr="00743DEA">
        <w:t xml:space="preserve">the </w:t>
      </w:r>
      <w:r w:rsidR="00025465" w:rsidRPr="00743DEA">
        <w:rPr>
          <w:i/>
        </w:rPr>
        <w:t>Industrial Chemicals Act 2019</w:t>
      </w:r>
      <w:r w:rsidRPr="00743DEA">
        <w:t>;</w:t>
      </w:r>
    </w:p>
    <w:p w14:paraId="73189443" w14:textId="77777777" w:rsidR="005666F1" w:rsidRPr="00743DEA" w:rsidRDefault="00025465" w:rsidP="00B7429D">
      <w:pPr>
        <w:pStyle w:val="paragraph"/>
      </w:pPr>
      <w:r w:rsidRPr="00743DEA">
        <w:tab/>
        <w:t>(</w:t>
      </w:r>
      <w:r w:rsidR="00B7429D" w:rsidRPr="00743DEA">
        <w:t>b</w:t>
      </w:r>
      <w:r w:rsidRPr="00743DEA">
        <w:t>)</w:t>
      </w:r>
      <w:r w:rsidRPr="00743DEA">
        <w:tab/>
      </w:r>
      <w:r w:rsidR="005666F1" w:rsidRPr="00743DEA">
        <w:t xml:space="preserve">the </w:t>
      </w:r>
      <w:r w:rsidR="005666F1" w:rsidRPr="00743DEA">
        <w:rPr>
          <w:i/>
        </w:rPr>
        <w:t>Industrial Chemicals (Consequential Amendments and Transitional Provisions) Act 2019</w:t>
      </w:r>
      <w:r w:rsidR="005666F1" w:rsidRPr="00743DEA">
        <w:t>.</w:t>
      </w:r>
    </w:p>
    <w:p w14:paraId="10FCD331" w14:textId="77777777" w:rsidR="00557C7A" w:rsidRPr="00743DEA" w:rsidRDefault="00BF6650" w:rsidP="00557C7A">
      <w:pPr>
        <w:pStyle w:val="ActHead5"/>
      </w:pPr>
      <w:bookmarkStart w:id="7" w:name="_Toc74824963"/>
      <w:r w:rsidRPr="003B7BA8">
        <w:rPr>
          <w:rStyle w:val="CharSectno"/>
        </w:rPr>
        <w:t>4</w:t>
      </w:r>
      <w:r w:rsidR="00557C7A" w:rsidRPr="00743DEA">
        <w:t xml:space="preserve">  </w:t>
      </w:r>
      <w:r w:rsidR="00083F48" w:rsidRPr="00743DEA">
        <w:t>Schedules</w:t>
      </w:r>
      <w:bookmarkEnd w:id="7"/>
    </w:p>
    <w:p w14:paraId="4E3EB439" w14:textId="77777777" w:rsidR="00557C7A" w:rsidRPr="00743DEA" w:rsidRDefault="00557C7A" w:rsidP="00557C7A">
      <w:pPr>
        <w:pStyle w:val="subsection"/>
      </w:pPr>
      <w:r w:rsidRPr="00743DEA">
        <w:tab/>
      </w:r>
      <w:r w:rsidRPr="00743DEA">
        <w:tab/>
      </w:r>
      <w:r w:rsidR="00083F48" w:rsidRPr="00743DEA">
        <w:t xml:space="preserve">Each </w:t>
      </w:r>
      <w:r w:rsidR="00160BD7" w:rsidRPr="00743DEA">
        <w:t>instrument</w:t>
      </w:r>
      <w:r w:rsidR="00083F48" w:rsidRPr="00743DEA">
        <w:t xml:space="preserve"> that is specified in a Schedule to </w:t>
      </w:r>
      <w:r w:rsidR="00835F2A" w:rsidRPr="00743DEA">
        <w:t>this instrument</w:t>
      </w:r>
      <w:r w:rsidR="00083F48" w:rsidRPr="00743DEA">
        <w:t xml:space="preserve"> is amended or repealed as set out in the applicable items in the Schedule concerned, and any other item in a Schedule to </w:t>
      </w:r>
      <w:r w:rsidR="00835F2A" w:rsidRPr="00743DEA">
        <w:t>this instrument</w:t>
      </w:r>
      <w:r w:rsidR="00083F48" w:rsidRPr="00743DEA">
        <w:t xml:space="preserve"> has effect according to its terms.</w:t>
      </w:r>
    </w:p>
    <w:p w14:paraId="5694DC1A" w14:textId="77777777" w:rsidR="0048364F" w:rsidRPr="00743DEA" w:rsidRDefault="0048364F" w:rsidP="009C5989">
      <w:pPr>
        <w:pStyle w:val="ActHead6"/>
        <w:pageBreakBefore/>
      </w:pPr>
      <w:bookmarkStart w:id="8" w:name="_Toc74824964"/>
      <w:bookmarkStart w:id="9" w:name="opcAmSched"/>
      <w:bookmarkStart w:id="10" w:name="opcCurrentFind"/>
      <w:r w:rsidRPr="003B7BA8">
        <w:rPr>
          <w:rStyle w:val="CharAmSchNo"/>
        </w:rPr>
        <w:lastRenderedPageBreak/>
        <w:t>Schedule 1</w:t>
      </w:r>
      <w:r w:rsidRPr="00743DEA">
        <w:t>—</w:t>
      </w:r>
      <w:r w:rsidR="00460499" w:rsidRPr="003B7BA8">
        <w:rPr>
          <w:rStyle w:val="CharAmSchText"/>
        </w:rPr>
        <w:t>Amendments</w:t>
      </w:r>
      <w:bookmarkEnd w:id="8"/>
    </w:p>
    <w:p w14:paraId="27CCB2C7" w14:textId="77777777" w:rsidR="00515436" w:rsidRPr="00743DEA" w:rsidRDefault="00542B85" w:rsidP="00515436">
      <w:pPr>
        <w:pStyle w:val="ActHead7"/>
      </w:pPr>
      <w:bookmarkStart w:id="11" w:name="_Toc74824965"/>
      <w:bookmarkEnd w:id="9"/>
      <w:bookmarkEnd w:id="10"/>
      <w:r w:rsidRPr="003B7BA8">
        <w:rPr>
          <w:rStyle w:val="CharAmPartNo"/>
        </w:rPr>
        <w:t>Part 1</w:t>
      </w:r>
      <w:r w:rsidR="00515436" w:rsidRPr="00743DEA">
        <w:t>—</w:t>
      </w:r>
      <w:r w:rsidR="00515436" w:rsidRPr="003B7BA8">
        <w:rPr>
          <w:rStyle w:val="CharAmPartText"/>
        </w:rPr>
        <w:t>Main amendments</w:t>
      </w:r>
      <w:bookmarkEnd w:id="11"/>
    </w:p>
    <w:p w14:paraId="72F35442" w14:textId="77777777" w:rsidR="0084172C" w:rsidRPr="00743DEA" w:rsidRDefault="00835F2A" w:rsidP="00EA0D36">
      <w:pPr>
        <w:pStyle w:val="ActHead9"/>
      </w:pPr>
      <w:bookmarkStart w:id="12" w:name="_Toc74824966"/>
      <w:r w:rsidRPr="00743DEA">
        <w:t xml:space="preserve">Industrial Chemicals (Fees and Charges) </w:t>
      </w:r>
      <w:r w:rsidR="00743DEA" w:rsidRPr="00743DEA">
        <w:t>Rules 2</w:t>
      </w:r>
      <w:r w:rsidRPr="00743DEA">
        <w:t>020</w:t>
      </w:r>
      <w:bookmarkEnd w:id="12"/>
    </w:p>
    <w:p w14:paraId="7BF44B41" w14:textId="77777777" w:rsidR="009D4DA0" w:rsidRPr="00743DEA" w:rsidRDefault="009D4DA0" w:rsidP="00835F2A">
      <w:pPr>
        <w:pStyle w:val="ItemHead"/>
      </w:pPr>
      <w:r w:rsidRPr="00743DEA">
        <w:t xml:space="preserve">1  </w:t>
      </w:r>
      <w:r w:rsidR="00542B85" w:rsidRPr="00743DEA">
        <w:t>Section 4</w:t>
      </w:r>
    </w:p>
    <w:p w14:paraId="65F7F060" w14:textId="77777777" w:rsidR="009D4DA0" w:rsidRPr="00743DEA" w:rsidRDefault="009D4DA0" w:rsidP="009D4DA0">
      <w:pPr>
        <w:pStyle w:val="Item"/>
      </w:pPr>
      <w:r w:rsidRPr="00743DEA">
        <w:t>Insert:</w:t>
      </w:r>
    </w:p>
    <w:p w14:paraId="73CD8523" w14:textId="77777777" w:rsidR="009D4DA0" w:rsidRPr="00743DEA" w:rsidRDefault="009D4DA0" w:rsidP="009D4DA0">
      <w:pPr>
        <w:pStyle w:val="Definition"/>
      </w:pPr>
      <w:r w:rsidRPr="00743DEA">
        <w:rPr>
          <w:b/>
          <w:i/>
        </w:rPr>
        <w:t>category C country</w:t>
      </w:r>
      <w:r w:rsidRPr="00743DEA">
        <w:t xml:space="preserve"> means a country that is not a party to the Rotterdam Convention.</w:t>
      </w:r>
    </w:p>
    <w:p w14:paraId="2E798FFE" w14:textId="77777777" w:rsidR="00ED3577" w:rsidRPr="00743DEA" w:rsidRDefault="00FB1881" w:rsidP="00835F2A">
      <w:pPr>
        <w:pStyle w:val="ItemHead"/>
      </w:pPr>
      <w:r w:rsidRPr="00743DEA">
        <w:t>2</w:t>
      </w:r>
      <w:r w:rsidR="00ED3577" w:rsidRPr="00743DEA">
        <w:t xml:space="preserve">  </w:t>
      </w:r>
      <w:r w:rsidR="00542B85" w:rsidRPr="00743DEA">
        <w:t>Section 5</w:t>
      </w:r>
    </w:p>
    <w:p w14:paraId="0895DBEB" w14:textId="77777777" w:rsidR="00ED3577" w:rsidRPr="00743DEA" w:rsidRDefault="00ED3577" w:rsidP="00ED3577">
      <w:pPr>
        <w:pStyle w:val="Item"/>
      </w:pPr>
      <w:r w:rsidRPr="00743DEA">
        <w:t xml:space="preserve">Repeal the </w:t>
      </w:r>
      <w:r w:rsidR="009171EB" w:rsidRPr="00743DEA">
        <w:t>section</w:t>
      </w:r>
      <w:r w:rsidRPr="00743DEA">
        <w:t>, substitute:</w:t>
      </w:r>
    </w:p>
    <w:p w14:paraId="78227546" w14:textId="77777777" w:rsidR="009171EB" w:rsidRPr="00743DEA" w:rsidRDefault="009171EB" w:rsidP="009171EB">
      <w:pPr>
        <w:pStyle w:val="ActHead5"/>
      </w:pPr>
      <w:bookmarkStart w:id="13" w:name="_Toc74824967"/>
      <w:r w:rsidRPr="003B7BA8">
        <w:rPr>
          <w:rStyle w:val="CharSectno"/>
        </w:rPr>
        <w:t>5</w:t>
      </w:r>
      <w:r w:rsidRPr="00743DEA">
        <w:t xml:space="preserve">  Application fees</w:t>
      </w:r>
      <w:bookmarkEnd w:id="13"/>
    </w:p>
    <w:p w14:paraId="5CF9F364" w14:textId="77777777" w:rsidR="009171EB" w:rsidRPr="00743DEA" w:rsidRDefault="009171EB" w:rsidP="009171EB">
      <w:pPr>
        <w:pStyle w:val="SubsectionHead"/>
      </w:pPr>
      <w:r w:rsidRPr="00743DEA">
        <w:t>General</w:t>
      </w:r>
    </w:p>
    <w:p w14:paraId="7BFB31FE" w14:textId="77777777" w:rsidR="009171EB" w:rsidRPr="00743DEA" w:rsidRDefault="009171EB" w:rsidP="009171EB">
      <w:pPr>
        <w:pStyle w:val="subsection"/>
      </w:pPr>
      <w:r w:rsidRPr="00743DEA">
        <w:tab/>
        <w:t>(1)</w:t>
      </w:r>
      <w:r w:rsidRPr="00743DEA">
        <w:tab/>
        <w:t>For the purposes of paragraph 167(1)(f) of the Act, the following table sets out the amount of the fee that is to accompany an application of a kind mentioned in an item in the table.</w:t>
      </w:r>
    </w:p>
    <w:p w14:paraId="6EB9E856" w14:textId="77777777" w:rsidR="00ED3577" w:rsidRPr="00743DEA" w:rsidRDefault="00ED3577" w:rsidP="00ED357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47"/>
      </w:tblGrid>
      <w:tr w:rsidR="00ED3577" w:rsidRPr="00743DEA" w14:paraId="142E7DE3" w14:textId="77777777" w:rsidTr="007D02F2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13303D" w14:textId="77777777" w:rsidR="00ED3577" w:rsidRPr="00743DEA" w:rsidRDefault="00ED3577" w:rsidP="007D02F2">
            <w:pPr>
              <w:pStyle w:val="TableHeading"/>
            </w:pPr>
            <w:r w:rsidRPr="00743DEA">
              <w:t>Application fees</w:t>
            </w:r>
          </w:p>
        </w:tc>
      </w:tr>
      <w:tr w:rsidR="00ED3577" w:rsidRPr="00743DEA" w14:paraId="08FCC722" w14:textId="77777777" w:rsidTr="007D02F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A02C54" w14:textId="77777777" w:rsidR="00ED3577" w:rsidRPr="00743DEA" w:rsidRDefault="00ED3577" w:rsidP="007D02F2">
            <w:pPr>
              <w:pStyle w:val="TableHeading"/>
            </w:pPr>
            <w:r w:rsidRPr="00743DEA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D17B90" w14:textId="77777777" w:rsidR="00ED3577" w:rsidRPr="00743DEA" w:rsidRDefault="00ED3577" w:rsidP="007D02F2">
            <w:pPr>
              <w:pStyle w:val="TableHeading"/>
            </w:pPr>
            <w:r w:rsidRPr="00743DEA">
              <w:t>Kind of application</w:t>
            </w:r>
          </w:p>
        </w:tc>
        <w:tc>
          <w:tcPr>
            <w:tcW w:w="26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7E367A" w14:textId="77777777" w:rsidR="00ED3577" w:rsidRPr="00743DEA" w:rsidRDefault="00ED3577" w:rsidP="007D02F2">
            <w:pPr>
              <w:pStyle w:val="TableHeading"/>
            </w:pPr>
            <w:r w:rsidRPr="00743DEA">
              <w:t>Amount ($)</w:t>
            </w:r>
          </w:p>
        </w:tc>
      </w:tr>
      <w:tr w:rsidR="00ED3577" w:rsidRPr="00743DEA" w14:paraId="020BEC7E" w14:textId="77777777" w:rsidTr="007D02F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4700A8A" w14:textId="77777777" w:rsidR="00ED3577" w:rsidRPr="00743DEA" w:rsidRDefault="00FB1881" w:rsidP="007D02F2">
            <w:pPr>
              <w:pStyle w:val="Tabletext"/>
            </w:pPr>
            <w:r w:rsidRPr="00743DEA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14:paraId="395129E6" w14:textId="77777777" w:rsidR="00ED3577" w:rsidRPr="00743DEA" w:rsidRDefault="00ED3577" w:rsidP="007D02F2">
            <w:pPr>
              <w:pStyle w:val="Tabletext"/>
            </w:pPr>
            <w:r w:rsidRPr="00743DEA">
              <w:t>An application under section 16 of the Act for registration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79C12741" w14:textId="77777777" w:rsidR="00ED3577" w:rsidRPr="00743DEA" w:rsidRDefault="00ED3577" w:rsidP="007D02F2">
            <w:pPr>
              <w:pStyle w:val="Tabletext"/>
            </w:pPr>
            <w:r w:rsidRPr="00743DEA">
              <w:t>75</w:t>
            </w:r>
          </w:p>
        </w:tc>
      </w:tr>
      <w:tr w:rsidR="00ED3577" w:rsidRPr="00743DEA" w14:paraId="799529B4" w14:textId="77777777" w:rsidTr="007D02F2">
        <w:tc>
          <w:tcPr>
            <w:tcW w:w="714" w:type="dxa"/>
            <w:shd w:val="clear" w:color="auto" w:fill="auto"/>
          </w:tcPr>
          <w:p w14:paraId="1E7C4543" w14:textId="77777777" w:rsidR="00ED3577" w:rsidRPr="00743DEA" w:rsidRDefault="00FB1881" w:rsidP="007D02F2">
            <w:pPr>
              <w:pStyle w:val="Tabletext"/>
            </w:pPr>
            <w:r w:rsidRPr="00743DEA">
              <w:t>2</w:t>
            </w:r>
          </w:p>
        </w:tc>
        <w:tc>
          <w:tcPr>
            <w:tcW w:w="4951" w:type="dxa"/>
            <w:shd w:val="clear" w:color="auto" w:fill="auto"/>
          </w:tcPr>
          <w:p w14:paraId="2079EA9E" w14:textId="77777777" w:rsidR="00ED3577" w:rsidRPr="00743DEA" w:rsidRDefault="00ED3577" w:rsidP="007D02F2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section 3</w:t>
            </w:r>
            <w:r w:rsidRPr="00743DEA">
              <w:t>1 of the Act for an assessment certificate for the introduction of an industrial chemical</w:t>
            </w:r>
          </w:p>
        </w:tc>
        <w:tc>
          <w:tcPr>
            <w:tcW w:w="2647" w:type="dxa"/>
            <w:shd w:val="clear" w:color="auto" w:fill="auto"/>
          </w:tcPr>
          <w:p w14:paraId="002A80A0" w14:textId="77777777" w:rsidR="00ED3577" w:rsidRPr="00743DEA" w:rsidRDefault="00ED3577" w:rsidP="007D02F2">
            <w:pPr>
              <w:pStyle w:val="Tabletext"/>
            </w:pPr>
            <w:r w:rsidRPr="00743DEA">
              <w:t xml:space="preserve">the amount worked out under </w:t>
            </w:r>
            <w:r w:rsidR="00DC3B08" w:rsidRPr="00743DEA">
              <w:t>subsection (</w:t>
            </w:r>
            <w:r w:rsidRPr="00743DEA">
              <w:t>2)</w:t>
            </w:r>
            <w:r w:rsidR="004D23CD" w:rsidRPr="00743DEA">
              <w:t>, (3) or (4) (whichever is applicable)</w:t>
            </w:r>
          </w:p>
        </w:tc>
      </w:tr>
      <w:tr w:rsidR="0075372F" w:rsidRPr="00743DEA" w14:paraId="34DB2B3F" w14:textId="77777777" w:rsidTr="007D02F2">
        <w:tc>
          <w:tcPr>
            <w:tcW w:w="714" w:type="dxa"/>
            <w:shd w:val="clear" w:color="auto" w:fill="auto"/>
          </w:tcPr>
          <w:p w14:paraId="6A6DC557" w14:textId="77777777" w:rsidR="0075372F" w:rsidRPr="00743DEA" w:rsidRDefault="00FB1881" w:rsidP="007D02F2">
            <w:pPr>
              <w:pStyle w:val="Tabletext"/>
            </w:pPr>
            <w:r w:rsidRPr="00743DEA">
              <w:t>3</w:t>
            </w:r>
          </w:p>
        </w:tc>
        <w:tc>
          <w:tcPr>
            <w:tcW w:w="4951" w:type="dxa"/>
            <w:shd w:val="clear" w:color="auto" w:fill="auto"/>
          </w:tcPr>
          <w:p w14:paraId="103898DD" w14:textId="77777777" w:rsidR="0075372F" w:rsidRPr="00743DEA" w:rsidRDefault="0075372F" w:rsidP="007D02F2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subsection 4</w:t>
            </w:r>
            <w:r w:rsidRPr="00743DEA">
              <w:t xml:space="preserve">0(1) of the Act </w:t>
            </w:r>
            <w:r w:rsidR="0087365F" w:rsidRPr="00743DEA">
              <w:t xml:space="preserve">for </w:t>
            </w:r>
            <w:r w:rsidRPr="00743DEA">
              <w:t xml:space="preserve">a person </w:t>
            </w:r>
            <w:r w:rsidR="0087365F" w:rsidRPr="00743DEA">
              <w:t xml:space="preserve">to be </w:t>
            </w:r>
            <w:r w:rsidRPr="00743DEA">
              <w:t>covered by a certificate</w:t>
            </w:r>
          </w:p>
        </w:tc>
        <w:tc>
          <w:tcPr>
            <w:tcW w:w="2647" w:type="dxa"/>
            <w:shd w:val="clear" w:color="auto" w:fill="auto"/>
          </w:tcPr>
          <w:p w14:paraId="664D0C3B" w14:textId="77777777" w:rsidR="0075372F" w:rsidRPr="00743DEA" w:rsidRDefault="0075372F" w:rsidP="007D02F2">
            <w:pPr>
              <w:pStyle w:val="Tabletext"/>
            </w:pPr>
            <w:r w:rsidRPr="00743DEA">
              <w:t>1,490</w:t>
            </w:r>
          </w:p>
        </w:tc>
      </w:tr>
      <w:tr w:rsidR="0075372F" w:rsidRPr="00743DEA" w14:paraId="2091D272" w14:textId="77777777" w:rsidTr="007D02F2">
        <w:tc>
          <w:tcPr>
            <w:tcW w:w="714" w:type="dxa"/>
            <w:shd w:val="clear" w:color="auto" w:fill="auto"/>
          </w:tcPr>
          <w:p w14:paraId="5716D45F" w14:textId="77777777" w:rsidR="0075372F" w:rsidRPr="00743DEA" w:rsidRDefault="00FB1881" w:rsidP="007D02F2">
            <w:pPr>
              <w:pStyle w:val="Tabletext"/>
            </w:pPr>
            <w:r w:rsidRPr="00743DEA">
              <w:t>4</w:t>
            </w:r>
          </w:p>
        </w:tc>
        <w:tc>
          <w:tcPr>
            <w:tcW w:w="4951" w:type="dxa"/>
            <w:shd w:val="clear" w:color="auto" w:fill="auto"/>
          </w:tcPr>
          <w:p w14:paraId="21DE1B1A" w14:textId="77777777" w:rsidR="0075372F" w:rsidRPr="00743DEA" w:rsidRDefault="0075372F" w:rsidP="007D02F2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subsection 4</w:t>
            </w:r>
            <w:r w:rsidRPr="00743DEA">
              <w:t xml:space="preserve">0(4) of the Act to </w:t>
            </w:r>
            <w:r w:rsidR="0087365F" w:rsidRPr="00743DEA">
              <w:t xml:space="preserve">be </w:t>
            </w:r>
            <w:r w:rsidRPr="00743DEA">
              <w:t>remove</w:t>
            </w:r>
            <w:r w:rsidR="0087365F" w:rsidRPr="00743DEA">
              <w:t>d</w:t>
            </w:r>
            <w:r w:rsidRPr="00743DEA">
              <w:t xml:space="preserve"> </w:t>
            </w:r>
            <w:r w:rsidR="0087365F" w:rsidRPr="00743DEA">
              <w:t xml:space="preserve">as </w:t>
            </w:r>
            <w:r w:rsidRPr="00743DEA">
              <w:t>a person covered by a certificate</w:t>
            </w:r>
          </w:p>
        </w:tc>
        <w:tc>
          <w:tcPr>
            <w:tcW w:w="2647" w:type="dxa"/>
            <w:shd w:val="clear" w:color="auto" w:fill="auto"/>
          </w:tcPr>
          <w:p w14:paraId="60C27F12" w14:textId="77777777" w:rsidR="0075372F" w:rsidRPr="00743DEA" w:rsidRDefault="0075372F" w:rsidP="007D02F2">
            <w:pPr>
              <w:pStyle w:val="Tabletext"/>
            </w:pPr>
            <w:r w:rsidRPr="00743DEA">
              <w:t>805</w:t>
            </w:r>
          </w:p>
        </w:tc>
      </w:tr>
      <w:tr w:rsidR="0075372F" w:rsidRPr="00743DEA" w14:paraId="277E3C95" w14:textId="77777777" w:rsidTr="007D02F2">
        <w:tc>
          <w:tcPr>
            <w:tcW w:w="714" w:type="dxa"/>
            <w:shd w:val="clear" w:color="auto" w:fill="auto"/>
          </w:tcPr>
          <w:p w14:paraId="15433163" w14:textId="77777777" w:rsidR="0075372F" w:rsidRPr="00743DEA" w:rsidRDefault="00FB1881" w:rsidP="007D02F2">
            <w:pPr>
              <w:pStyle w:val="Tabletext"/>
            </w:pPr>
            <w:r w:rsidRPr="00743DEA">
              <w:t>5</w:t>
            </w:r>
          </w:p>
        </w:tc>
        <w:tc>
          <w:tcPr>
            <w:tcW w:w="4951" w:type="dxa"/>
            <w:shd w:val="clear" w:color="auto" w:fill="auto"/>
          </w:tcPr>
          <w:p w14:paraId="4DCA71DD" w14:textId="77777777" w:rsidR="0075372F" w:rsidRPr="00743DEA" w:rsidRDefault="0075372F" w:rsidP="007D02F2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subsection 4</w:t>
            </w:r>
            <w:r w:rsidRPr="00743DEA">
              <w:t xml:space="preserve">1(1) of the Act to </w:t>
            </w:r>
            <w:r w:rsidR="001F7354" w:rsidRPr="00743DEA">
              <w:t xml:space="preserve">be </w:t>
            </w:r>
            <w:r w:rsidRPr="00743DEA">
              <w:t>add</w:t>
            </w:r>
            <w:r w:rsidR="001F7354" w:rsidRPr="00743DEA">
              <w:t>ed as a holder of</w:t>
            </w:r>
            <w:r w:rsidRPr="00743DEA">
              <w:t xml:space="preserve"> a certificate</w:t>
            </w:r>
          </w:p>
        </w:tc>
        <w:tc>
          <w:tcPr>
            <w:tcW w:w="2647" w:type="dxa"/>
            <w:shd w:val="clear" w:color="auto" w:fill="auto"/>
          </w:tcPr>
          <w:p w14:paraId="6A7F0F63" w14:textId="77777777" w:rsidR="0075372F" w:rsidRPr="00743DEA" w:rsidRDefault="0075372F" w:rsidP="007D02F2">
            <w:pPr>
              <w:pStyle w:val="Tabletext"/>
            </w:pPr>
            <w:r w:rsidRPr="00743DEA">
              <w:t>1,490</w:t>
            </w:r>
          </w:p>
        </w:tc>
      </w:tr>
      <w:tr w:rsidR="0075372F" w:rsidRPr="00743DEA" w14:paraId="173101D1" w14:textId="77777777" w:rsidTr="007D02F2">
        <w:tc>
          <w:tcPr>
            <w:tcW w:w="714" w:type="dxa"/>
            <w:shd w:val="clear" w:color="auto" w:fill="auto"/>
          </w:tcPr>
          <w:p w14:paraId="30E6DE05" w14:textId="77777777" w:rsidR="0075372F" w:rsidRPr="00743DEA" w:rsidRDefault="00FB1881" w:rsidP="007D02F2">
            <w:pPr>
              <w:pStyle w:val="Tabletext"/>
            </w:pPr>
            <w:r w:rsidRPr="00743DEA">
              <w:t>6</w:t>
            </w:r>
          </w:p>
        </w:tc>
        <w:tc>
          <w:tcPr>
            <w:tcW w:w="4951" w:type="dxa"/>
            <w:shd w:val="clear" w:color="auto" w:fill="auto"/>
          </w:tcPr>
          <w:p w14:paraId="23E04102" w14:textId="77777777" w:rsidR="0075372F" w:rsidRPr="00743DEA" w:rsidRDefault="0075372F" w:rsidP="007D02F2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subsection 4</w:t>
            </w:r>
            <w:r w:rsidRPr="00743DEA">
              <w:t xml:space="preserve">1(4) of the Act to </w:t>
            </w:r>
            <w:r w:rsidR="001F7354" w:rsidRPr="00743DEA">
              <w:t xml:space="preserve">be </w:t>
            </w:r>
            <w:r w:rsidRPr="00743DEA">
              <w:t>remove</w:t>
            </w:r>
            <w:r w:rsidR="001F7354" w:rsidRPr="00743DEA">
              <w:t>d as</w:t>
            </w:r>
            <w:r w:rsidRPr="00743DEA">
              <w:t xml:space="preserve"> a </w:t>
            </w:r>
            <w:r w:rsidR="001F7354" w:rsidRPr="00743DEA">
              <w:t xml:space="preserve">holder of a </w:t>
            </w:r>
            <w:r w:rsidRPr="00743DEA">
              <w:t>certificate</w:t>
            </w:r>
          </w:p>
        </w:tc>
        <w:tc>
          <w:tcPr>
            <w:tcW w:w="2647" w:type="dxa"/>
            <w:shd w:val="clear" w:color="auto" w:fill="auto"/>
          </w:tcPr>
          <w:p w14:paraId="6D2A9F5F" w14:textId="77777777" w:rsidR="0075372F" w:rsidRPr="00743DEA" w:rsidRDefault="0075372F" w:rsidP="007D02F2">
            <w:pPr>
              <w:pStyle w:val="Tabletext"/>
            </w:pPr>
            <w:r w:rsidRPr="00743DEA">
              <w:t>805</w:t>
            </w:r>
          </w:p>
        </w:tc>
      </w:tr>
      <w:tr w:rsidR="00ED3577" w:rsidRPr="00743DEA" w14:paraId="7D7B92A2" w14:textId="77777777" w:rsidTr="007D02F2">
        <w:tc>
          <w:tcPr>
            <w:tcW w:w="714" w:type="dxa"/>
            <w:shd w:val="clear" w:color="auto" w:fill="auto"/>
          </w:tcPr>
          <w:p w14:paraId="4E1F5D9B" w14:textId="77777777" w:rsidR="00ED3577" w:rsidRPr="00743DEA" w:rsidRDefault="00FB1881" w:rsidP="00ED3577">
            <w:pPr>
              <w:pStyle w:val="Tabletext"/>
            </w:pPr>
            <w:r w:rsidRPr="00743DEA">
              <w:t>7</w:t>
            </w:r>
          </w:p>
        </w:tc>
        <w:tc>
          <w:tcPr>
            <w:tcW w:w="4951" w:type="dxa"/>
            <w:shd w:val="clear" w:color="auto" w:fill="auto"/>
          </w:tcPr>
          <w:p w14:paraId="2456E35E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43 of the Act to vary a term of an assessment certificate</w:t>
            </w:r>
          </w:p>
        </w:tc>
        <w:tc>
          <w:tcPr>
            <w:tcW w:w="2647" w:type="dxa"/>
            <w:shd w:val="clear" w:color="auto" w:fill="auto"/>
          </w:tcPr>
          <w:p w14:paraId="345D61BE" w14:textId="77777777" w:rsidR="00ED3577" w:rsidRPr="00743DEA" w:rsidRDefault="00ED3577" w:rsidP="00ED3577">
            <w:pPr>
              <w:pStyle w:val="Tabletext"/>
            </w:pPr>
            <w:r w:rsidRPr="00743DEA">
              <w:t>4,735</w:t>
            </w:r>
          </w:p>
        </w:tc>
      </w:tr>
      <w:tr w:rsidR="00ED3577" w:rsidRPr="00743DEA" w14:paraId="4EBC37AB" w14:textId="77777777" w:rsidTr="007D02F2">
        <w:tc>
          <w:tcPr>
            <w:tcW w:w="714" w:type="dxa"/>
            <w:shd w:val="clear" w:color="auto" w:fill="auto"/>
          </w:tcPr>
          <w:p w14:paraId="08B53E2D" w14:textId="77777777" w:rsidR="00ED3577" w:rsidRPr="00743DEA" w:rsidRDefault="00FB1881" w:rsidP="00ED3577">
            <w:pPr>
              <w:pStyle w:val="Tabletext"/>
            </w:pPr>
            <w:r w:rsidRPr="00743DEA">
              <w:t>8</w:t>
            </w:r>
          </w:p>
        </w:tc>
        <w:tc>
          <w:tcPr>
            <w:tcW w:w="4951" w:type="dxa"/>
            <w:shd w:val="clear" w:color="auto" w:fill="auto"/>
          </w:tcPr>
          <w:p w14:paraId="2C1EF86D" w14:textId="77777777" w:rsidR="00ED3577" w:rsidRPr="00743DEA" w:rsidRDefault="00ED3577" w:rsidP="00ED3577">
            <w:pPr>
              <w:pStyle w:val="Tabletext"/>
            </w:pPr>
            <w:r w:rsidRPr="00743DEA">
              <w:t xml:space="preserve">An application under </w:t>
            </w:r>
            <w:r w:rsidR="009C3F26" w:rsidRPr="00743DEA">
              <w:t>section 5</w:t>
            </w:r>
            <w:r w:rsidRPr="00743DEA">
              <w:t>3 of the Act for a commercial evaluation authorisation</w:t>
            </w:r>
          </w:p>
        </w:tc>
        <w:tc>
          <w:tcPr>
            <w:tcW w:w="2647" w:type="dxa"/>
            <w:shd w:val="clear" w:color="auto" w:fill="auto"/>
          </w:tcPr>
          <w:p w14:paraId="3B2D2A4A" w14:textId="77777777" w:rsidR="00ED3577" w:rsidRPr="00743DEA" w:rsidRDefault="00ED3577" w:rsidP="00ED3577">
            <w:pPr>
              <w:pStyle w:val="Tabletext"/>
            </w:pPr>
            <w:r w:rsidRPr="00743DEA">
              <w:t>6,490</w:t>
            </w:r>
          </w:p>
        </w:tc>
      </w:tr>
      <w:tr w:rsidR="0075372F" w:rsidRPr="00743DEA" w14:paraId="6179AD3C" w14:textId="77777777" w:rsidTr="007D02F2">
        <w:tc>
          <w:tcPr>
            <w:tcW w:w="714" w:type="dxa"/>
            <w:shd w:val="clear" w:color="auto" w:fill="auto"/>
          </w:tcPr>
          <w:p w14:paraId="25B06C58" w14:textId="77777777" w:rsidR="0075372F" w:rsidRPr="00743DEA" w:rsidRDefault="00FB1881" w:rsidP="00ED3577">
            <w:pPr>
              <w:pStyle w:val="Tabletext"/>
            </w:pPr>
            <w:r w:rsidRPr="00743DEA">
              <w:t>9</w:t>
            </w:r>
          </w:p>
        </w:tc>
        <w:tc>
          <w:tcPr>
            <w:tcW w:w="4951" w:type="dxa"/>
            <w:shd w:val="clear" w:color="auto" w:fill="auto"/>
          </w:tcPr>
          <w:p w14:paraId="7C3941E8" w14:textId="77777777" w:rsidR="0075372F" w:rsidRPr="00743DEA" w:rsidRDefault="0075372F" w:rsidP="00ED3577">
            <w:pPr>
              <w:pStyle w:val="Tabletext"/>
            </w:pPr>
            <w:r w:rsidRPr="00743DEA">
              <w:t xml:space="preserve">An application under subsection 60(1) of the Act to </w:t>
            </w:r>
            <w:r w:rsidR="001F7354" w:rsidRPr="00743DEA">
              <w:t xml:space="preserve">be </w:t>
            </w:r>
            <w:r w:rsidRPr="00743DEA">
              <w:t>add</w:t>
            </w:r>
            <w:r w:rsidR="001F7354" w:rsidRPr="00743DEA">
              <w:t>ed</w:t>
            </w:r>
            <w:r w:rsidRPr="00743DEA">
              <w:t xml:space="preserve"> </w:t>
            </w:r>
            <w:r w:rsidR="001F7354" w:rsidRPr="00743DEA">
              <w:t xml:space="preserve">as </w:t>
            </w:r>
            <w:r w:rsidRPr="00743DEA">
              <w:t xml:space="preserve">a </w:t>
            </w:r>
            <w:r w:rsidR="001F7354" w:rsidRPr="00743DEA">
              <w:t xml:space="preserve">holder of a </w:t>
            </w:r>
            <w:r w:rsidRPr="00743DEA">
              <w:t>commercial evaluation authorisation</w:t>
            </w:r>
          </w:p>
        </w:tc>
        <w:tc>
          <w:tcPr>
            <w:tcW w:w="2647" w:type="dxa"/>
            <w:shd w:val="clear" w:color="auto" w:fill="auto"/>
          </w:tcPr>
          <w:p w14:paraId="3BA26E99" w14:textId="77777777" w:rsidR="0075372F" w:rsidRPr="00743DEA" w:rsidRDefault="0075372F" w:rsidP="00ED3577">
            <w:pPr>
              <w:pStyle w:val="Tabletext"/>
            </w:pPr>
            <w:r w:rsidRPr="00743DEA">
              <w:t>1,490</w:t>
            </w:r>
          </w:p>
        </w:tc>
      </w:tr>
      <w:tr w:rsidR="0075372F" w:rsidRPr="00743DEA" w14:paraId="1BB8B02B" w14:textId="77777777" w:rsidTr="007D02F2">
        <w:tc>
          <w:tcPr>
            <w:tcW w:w="714" w:type="dxa"/>
            <w:shd w:val="clear" w:color="auto" w:fill="auto"/>
          </w:tcPr>
          <w:p w14:paraId="13F7C5D8" w14:textId="77777777" w:rsidR="0075372F" w:rsidRPr="00743DEA" w:rsidRDefault="00FB1881" w:rsidP="00ED3577">
            <w:pPr>
              <w:pStyle w:val="Tabletext"/>
            </w:pPr>
            <w:r w:rsidRPr="00743DEA">
              <w:t>10</w:t>
            </w:r>
          </w:p>
        </w:tc>
        <w:tc>
          <w:tcPr>
            <w:tcW w:w="4951" w:type="dxa"/>
            <w:shd w:val="clear" w:color="auto" w:fill="auto"/>
          </w:tcPr>
          <w:p w14:paraId="236DAA4A" w14:textId="77777777" w:rsidR="0075372F" w:rsidRPr="00743DEA" w:rsidRDefault="0075372F" w:rsidP="00ED3577">
            <w:pPr>
              <w:pStyle w:val="Tabletext"/>
            </w:pPr>
            <w:r w:rsidRPr="00743DEA">
              <w:t xml:space="preserve">An application under subsection 60(4) of the Act to </w:t>
            </w:r>
            <w:r w:rsidR="001F7354" w:rsidRPr="00743DEA">
              <w:t xml:space="preserve">be </w:t>
            </w:r>
            <w:r w:rsidRPr="00743DEA">
              <w:t>remove</w:t>
            </w:r>
            <w:r w:rsidR="001F7354" w:rsidRPr="00743DEA">
              <w:t>d</w:t>
            </w:r>
            <w:r w:rsidRPr="00743DEA">
              <w:t xml:space="preserve"> </w:t>
            </w:r>
            <w:r w:rsidR="001F7354" w:rsidRPr="00743DEA">
              <w:t xml:space="preserve">as </w:t>
            </w:r>
            <w:r w:rsidRPr="00743DEA">
              <w:t xml:space="preserve">a </w:t>
            </w:r>
            <w:r w:rsidR="001F7354" w:rsidRPr="00743DEA">
              <w:t xml:space="preserve">holder of a </w:t>
            </w:r>
            <w:r w:rsidRPr="00743DEA">
              <w:t>commercial evaluation authorisation</w:t>
            </w:r>
          </w:p>
        </w:tc>
        <w:tc>
          <w:tcPr>
            <w:tcW w:w="2647" w:type="dxa"/>
            <w:shd w:val="clear" w:color="auto" w:fill="auto"/>
          </w:tcPr>
          <w:p w14:paraId="412AA2EA" w14:textId="77777777" w:rsidR="0075372F" w:rsidRPr="00743DEA" w:rsidRDefault="0075372F" w:rsidP="00ED3577">
            <w:pPr>
              <w:pStyle w:val="Tabletext"/>
            </w:pPr>
            <w:r w:rsidRPr="00743DEA">
              <w:t>805</w:t>
            </w:r>
          </w:p>
        </w:tc>
      </w:tr>
      <w:tr w:rsidR="00ED3577" w:rsidRPr="00743DEA" w14:paraId="53982104" w14:textId="77777777" w:rsidTr="007D02F2">
        <w:tc>
          <w:tcPr>
            <w:tcW w:w="714" w:type="dxa"/>
            <w:shd w:val="clear" w:color="auto" w:fill="auto"/>
          </w:tcPr>
          <w:p w14:paraId="174B2E33" w14:textId="77777777" w:rsidR="00ED3577" w:rsidRPr="00743DEA" w:rsidRDefault="00FB1881" w:rsidP="00ED3577">
            <w:pPr>
              <w:pStyle w:val="Tabletext"/>
            </w:pPr>
            <w:r w:rsidRPr="00743DEA">
              <w:t>11</w:t>
            </w:r>
          </w:p>
        </w:tc>
        <w:tc>
          <w:tcPr>
            <w:tcW w:w="4951" w:type="dxa"/>
            <w:shd w:val="clear" w:color="auto" w:fill="auto"/>
          </w:tcPr>
          <w:p w14:paraId="3A38266E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62 of the Act to vary a term of a commercial evaluation authorisation</w:t>
            </w:r>
          </w:p>
        </w:tc>
        <w:tc>
          <w:tcPr>
            <w:tcW w:w="2647" w:type="dxa"/>
            <w:shd w:val="clear" w:color="auto" w:fill="auto"/>
          </w:tcPr>
          <w:p w14:paraId="172723E1" w14:textId="77777777" w:rsidR="00ED3577" w:rsidRPr="00743DEA" w:rsidRDefault="00ED3577" w:rsidP="00ED3577">
            <w:pPr>
              <w:pStyle w:val="Tabletext"/>
            </w:pPr>
            <w:r w:rsidRPr="00743DEA">
              <w:t>2,525</w:t>
            </w:r>
          </w:p>
        </w:tc>
      </w:tr>
      <w:tr w:rsidR="00ED3577" w:rsidRPr="00743DEA" w14:paraId="359EE8B2" w14:textId="77777777" w:rsidTr="007D02F2">
        <w:tc>
          <w:tcPr>
            <w:tcW w:w="714" w:type="dxa"/>
            <w:shd w:val="clear" w:color="auto" w:fill="auto"/>
          </w:tcPr>
          <w:p w14:paraId="0E376BBA" w14:textId="77777777" w:rsidR="00ED3577" w:rsidRPr="00743DEA" w:rsidRDefault="00FB1881" w:rsidP="00ED3577">
            <w:pPr>
              <w:pStyle w:val="Tabletext"/>
            </w:pPr>
            <w:r w:rsidRPr="00743DEA">
              <w:t>12</w:t>
            </w:r>
          </w:p>
        </w:tc>
        <w:tc>
          <w:tcPr>
            <w:tcW w:w="4951" w:type="dxa"/>
            <w:shd w:val="clear" w:color="auto" w:fill="auto"/>
          </w:tcPr>
          <w:p w14:paraId="7F2C66CE" w14:textId="77777777" w:rsidR="00ED3577" w:rsidRPr="00743DEA" w:rsidRDefault="00ED3577" w:rsidP="00ED3577">
            <w:pPr>
              <w:pStyle w:val="Tabletext"/>
            </w:pPr>
            <w:r w:rsidRPr="00743DEA">
              <w:t>An application under sub</w:t>
            </w:r>
            <w:r w:rsidR="00542B85" w:rsidRPr="00743DEA">
              <w:t>section 8</w:t>
            </w:r>
            <w:r w:rsidRPr="00743DEA">
              <w:t xml:space="preserve">3(1) of the Act for an </w:t>
            </w:r>
            <w:r w:rsidRPr="00743DEA">
              <w:lastRenderedPageBreak/>
              <w:t>industrial chemical to be listed on the Inventory</w:t>
            </w:r>
          </w:p>
        </w:tc>
        <w:tc>
          <w:tcPr>
            <w:tcW w:w="2647" w:type="dxa"/>
            <w:shd w:val="clear" w:color="auto" w:fill="auto"/>
          </w:tcPr>
          <w:p w14:paraId="6570DB6E" w14:textId="77777777" w:rsidR="00ED3577" w:rsidRPr="00743DEA" w:rsidRDefault="00ED3577" w:rsidP="00ED3577">
            <w:pPr>
              <w:pStyle w:val="Tabletext"/>
            </w:pPr>
            <w:r w:rsidRPr="00743DEA">
              <w:lastRenderedPageBreak/>
              <w:t>1,490</w:t>
            </w:r>
          </w:p>
        </w:tc>
      </w:tr>
      <w:tr w:rsidR="00ED3577" w:rsidRPr="00743DEA" w14:paraId="65E7543F" w14:textId="77777777" w:rsidTr="007D02F2">
        <w:tc>
          <w:tcPr>
            <w:tcW w:w="714" w:type="dxa"/>
            <w:shd w:val="clear" w:color="auto" w:fill="auto"/>
          </w:tcPr>
          <w:p w14:paraId="2C51D76C" w14:textId="77777777" w:rsidR="00ED3577" w:rsidRPr="00743DEA" w:rsidRDefault="00FB1881" w:rsidP="00ED3577">
            <w:pPr>
              <w:pStyle w:val="Tabletext"/>
            </w:pPr>
            <w:r w:rsidRPr="00743DEA">
              <w:t>13</w:t>
            </w:r>
          </w:p>
        </w:tc>
        <w:tc>
          <w:tcPr>
            <w:tcW w:w="4951" w:type="dxa"/>
            <w:shd w:val="clear" w:color="auto" w:fill="auto"/>
          </w:tcPr>
          <w:p w14:paraId="5AC20D25" w14:textId="77777777" w:rsidR="00ED3577" w:rsidRPr="00743DEA" w:rsidRDefault="00ED3577" w:rsidP="00ED3577">
            <w:pPr>
              <w:pStyle w:val="Tabletext"/>
            </w:pPr>
            <w:r w:rsidRPr="00743DEA">
              <w:t>An application under subparagraph 87(1)(c)(ii) of the Act to vary a term of the Inventory listing for an industrial chemical</w:t>
            </w:r>
          </w:p>
        </w:tc>
        <w:tc>
          <w:tcPr>
            <w:tcW w:w="2647" w:type="dxa"/>
            <w:shd w:val="clear" w:color="auto" w:fill="auto"/>
          </w:tcPr>
          <w:p w14:paraId="617F2625" w14:textId="77777777" w:rsidR="00ED3577" w:rsidRPr="00743DEA" w:rsidRDefault="00ED3577" w:rsidP="00ED3577">
            <w:pPr>
              <w:pStyle w:val="Tabletext"/>
            </w:pPr>
            <w:r w:rsidRPr="00743DEA">
              <w:t>1,490</w:t>
            </w:r>
          </w:p>
        </w:tc>
      </w:tr>
      <w:tr w:rsidR="00ED3577" w:rsidRPr="00743DEA" w14:paraId="092C2EB6" w14:textId="77777777" w:rsidTr="007D02F2">
        <w:tc>
          <w:tcPr>
            <w:tcW w:w="714" w:type="dxa"/>
            <w:shd w:val="clear" w:color="auto" w:fill="auto"/>
          </w:tcPr>
          <w:p w14:paraId="7697E9EC" w14:textId="77777777" w:rsidR="00ED3577" w:rsidRPr="00743DEA" w:rsidRDefault="00FB1881" w:rsidP="00ED3577">
            <w:pPr>
              <w:pStyle w:val="Tabletext"/>
            </w:pPr>
            <w:r w:rsidRPr="00743DEA">
              <w:t>14</w:t>
            </w:r>
          </w:p>
        </w:tc>
        <w:tc>
          <w:tcPr>
            <w:tcW w:w="4951" w:type="dxa"/>
            <w:shd w:val="clear" w:color="auto" w:fill="auto"/>
          </w:tcPr>
          <w:p w14:paraId="3CF5F84C" w14:textId="77777777" w:rsidR="00ED3577" w:rsidRPr="00743DEA" w:rsidRDefault="00ED3577" w:rsidP="00ED3577">
            <w:pPr>
              <w:pStyle w:val="Tabletext"/>
            </w:pPr>
            <w:r w:rsidRPr="00743DEA">
              <w:t xml:space="preserve">An application under </w:t>
            </w:r>
            <w:r w:rsidR="00542B85" w:rsidRPr="00743DEA">
              <w:t>section 8</w:t>
            </w:r>
            <w:r w:rsidRPr="00743DEA">
              <w:t>8 of the Act to vary a term of the Inventory listing for an industrial chemical</w:t>
            </w:r>
          </w:p>
        </w:tc>
        <w:tc>
          <w:tcPr>
            <w:tcW w:w="2647" w:type="dxa"/>
            <w:shd w:val="clear" w:color="auto" w:fill="auto"/>
          </w:tcPr>
          <w:p w14:paraId="4343554C" w14:textId="77777777" w:rsidR="00ED3577" w:rsidRPr="00743DEA" w:rsidRDefault="00ED3577" w:rsidP="00ED3577">
            <w:pPr>
              <w:pStyle w:val="Tabletext"/>
            </w:pPr>
            <w:r w:rsidRPr="00743DEA">
              <w:t>4,735</w:t>
            </w:r>
          </w:p>
        </w:tc>
      </w:tr>
      <w:tr w:rsidR="00ED3577" w:rsidRPr="00743DEA" w14:paraId="4BD5BE66" w14:textId="77777777" w:rsidTr="007D02F2">
        <w:tc>
          <w:tcPr>
            <w:tcW w:w="714" w:type="dxa"/>
            <w:shd w:val="clear" w:color="auto" w:fill="auto"/>
          </w:tcPr>
          <w:p w14:paraId="7F08B762" w14:textId="77777777" w:rsidR="00ED3577" w:rsidRPr="00743DEA" w:rsidRDefault="00FB1881" w:rsidP="00ED3577">
            <w:pPr>
              <w:pStyle w:val="Tabletext"/>
            </w:pPr>
            <w:r w:rsidRPr="00743DEA">
              <w:t>15</w:t>
            </w:r>
          </w:p>
        </w:tc>
        <w:tc>
          <w:tcPr>
            <w:tcW w:w="4951" w:type="dxa"/>
            <w:shd w:val="clear" w:color="auto" w:fill="auto"/>
          </w:tcPr>
          <w:p w14:paraId="0C701E72" w14:textId="77777777" w:rsidR="00ED3577" w:rsidRPr="00743DEA" w:rsidRDefault="00ED3577" w:rsidP="00ED3577">
            <w:pPr>
              <w:pStyle w:val="Tabletext"/>
            </w:pPr>
            <w:r w:rsidRPr="00743DEA">
              <w:t>An application under subsection 105(1) of the Act for the proper name for an industrial chemical to be treated as confidential business information</w:t>
            </w:r>
          </w:p>
        </w:tc>
        <w:tc>
          <w:tcPr>
            <w:tcW w:w="2647" w:type="dxa"/>
            <w:shd w:val="clear" w:color="auto" w:fill="auto"/>
          </w:tcPr>
          <w:p w14:paraId="444CA7FF" w14:textId="77777777" w:rsidR="00ED3577" w:rsidRPr="00743DEA" w:rsidRDefault="00ED3577" w:rsidP="00ED3577">
            <w:pPr>
              <w:pStyle w:val="Tabletext"/>
            </w:pPr>
            <w:r w:rsidRPr="00743DEA">
              <w:t>1,730</w:t>
            </w:r>
          </w:p>
        </w:tc>
      </w:tr>
      <w:tr w:rsidR="00ED3577" w:rsidRPr="00743DEA" w14:paraId="270142B1" w14:textId="77777777" w:rsidTr="007D02F2">
        <w:tc>
          <w:tcPr>
            <w:tcW w:w="714" w:type="dxa"/>
            <w:shd w:val="clear" w:color="auto" w:fill="auto"/>
          </w:tcPr>
          <w:p w14:paraId="61F623F2" w14:textId="77777777" w:rsidR="00ED3577" w:rsidRPr="00743DEA" w:rsidRDefault="00FB1881" w:rsidP="00ED3577">
            <w:pPr>
              <w:pStyle w:val="Tabletext"/>
            </w:pPr>
            <w:r w:rsidRPr="00743DEA">
              <w:t>16</w:t>
            </w:r>
          </w:p>
        </w:tc>
        <w:tc>
          <w:tcPr>
            <w:tcW w:w="4951" w:type="dxa"/>
            <w:shd w:val="clear" w:color="auto" w:fill="auto"/>
          </w:tcPr>
          <w:p w14:paraId="3ACDF366" w14:textId="77777777" w:rsidR="00ED3577" w:rsidRPr="00743DEA" w:rsidRDefault="00ED3577" w:rsidP="00ED3577">
            <w:pPr>
              <w:pStyle w:val="Tabletext"/>
            </w:pPr>
            <w:r w:rsidRPr="00743DEA">
              <w:t xml:space="preserve">An application under subsection 105(2) of the Act for an end use </w:t>
            </w:r>
            <w:r w:rsidR="008F6D60" w:rsidRPr="00743DEA">
              <w:t>for</w:t>
            </w:r>
            <w:r w:rsidRPr="00743DEA">
              <w:t xml:space="preserve"> an industrial chemical to be treated as confidential business information</w:t>
            </w:r>
          </w:p>
        </w:tc>
        <w:tc>
          <w:tcPr>
            <w:tcW w:w="2647" w:type="dxa"/>
            <w:shd w:val="clear" w:color="auto" w:fill="auto"/>
          </w:tcPr>
          <w:p w14:paraId="09FF6CE5" w14:textId="77777777" w:rsidR="00ED3577" w:rsidRPr="00743DEA" w:rsidRDefault="00ED3577" w:rsidP="00ED3577">
            <w:pPr>
              <w:pStyle w:val="Tabletext"/>
            </w:pPr>
            <w:r w:rsidRPr="00743DEA">
              <w:t>605</w:t>
            </w:r>
          </w:p>
        </w:tc>
      </w:tr>
      <w:tr w:rsidR="00ED3577" w:rsidRPr="00743DEA" w14:paraId="1F359E45" w14:textId="77777777" w:rsidTr="007D02F2">
        <w:tc>
          <w:tcPr>
            <w:tcW w:w="714" w:type="dxa"/>
            <w:shd w:val="clear" w:color="auto" w:fill="auto"/>
          </w:tcPr>
          <w:p w14:paraId="76684E4C" w14:textId="77777777" w:rsidR="00ED3577" w:rsidRPr="00743DEA" w:rsidRDefault="00FB1881" w:rsidP="00ED3577">
            <w:pPr>
              <w:pStyle w:val="Tabletext"/>
            </w:pPr>
            <w:r w:rsidRPr="00743DEA">
              <w:t>17</w:t>
            </w:r>
          </w:p>
        </w:tc>
        <w:tc>
          <w:tcPr>
            <w:tcW w:w="4951" w:type="dxa"/>
            <w:shd w:val="clear" w:color="auto" w:fill="auto"/>
          </w:tcPr>
          <w:p w14:paraId="1A90BD30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111 of the Act for the proper name or end use for an industrial chemical to continue to be treated as confidential business information</w:t>
            </w:r>
          </w:p>
        </w:tc>
        <w:tc>
          <w:tcPr>
            <w:tcW w:w="2647" w:type="dxa"/>
            <w:shd w:val="clear" w:color="auto" w:fill="auto"/>
          </w:tcPr>
          <w:p w14:paraId="3DB68C6A" w14:textId="77777777" w:rsidR="00ED3577" w:rsidRPr="00743DEA" w:rsidRDefault="00ED3577" w:rsidP="00ED3577">
            <w:pPr>
              <w:pStyle w:val="Tabletext"/>
            </w:pPr>
            <w:r w:rsidRPr="00743DEA">
              <w:t>4,565</w:t>
            </w:r>
          </w:p>
        </w:tc>
      </w:tr>
      <w:tr w:rsidR="00ED3577" w:rsidRPr="00743DEA" w14:paraId="46A3F482" w14:textId="77777777" w:rsidTr="007D02F2">
        <w:tc>
          <w:tcPr>
            <w:tcW w:w="714" w:type="dxa"/>
            <w:shd w:val="clear" w:color="auto" w:fill="auto"/>
          </w:tcPr>
          <w:p w14:paraId="670575C9" w14:textId="77777777" w:rsidR="00ED3577" w:rsidRPr="00743DEA" w:rsidRDefault="00FB1881" w:rsidP="00ED3577">
            <w:pPr>
              <w:pStyle w:val="Tabletext"/>
            </w:pPr>
            <w:r w:rsidRPr="00743DEA">
              <w:t>18</w:t>
            </w:r>
          </w:p>
        </w:tc>
        <w:tc>
          <w:tcPr>
            <w:tcW w:w="4951" w:type="dxa"/>
            <w:shd w:val="clear" w:color="auto" w:fill="auto"/>
          </w:tcPr>
          <w:p w14:paraId="57848D1D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113 of the Act for information to be treated as confidential business information</w:t>
            </w:r>
          </w:p>
        </w:tc>
        <w:tc>
          <w:tcPr>
            <w:tcW w:w="2647" w:type="dxa"/>
            <w:shd w:val="clear" w:color="auto" w:fill="auto"/>
          </w:tcPr>
          <w:p w14:paraId="13267D5C" w14:textId="77777777" w:rsidR="00ED3577" w:rsidRPr="00743DEA" w:rsidRDefault="00ED3577" w:rsidP="00ED3577">
            <w:pPr>
              <w:pStyle w:val="Tabletext"/>
            </w:pPr>
            <w:r w:rsidRPr="00743DEA">
              <w:t>1,150</w:t>
            </w:r>
          </w:p>
        </w:tc>
      </w:tr>
      <w:tr w:rsidR="00ED3577" w:rsidRPr="00743DEA" w14:paraId="09E6966E" w14:textId="77777777" w:rsidTr="007D02F2">
        <w:tc>
          <w:tcPr>
            <w:tcW w:w="714" w:type="dxa"/>
            <w:shd w:val="clear" w:color="auto" w:fill="auto"/>
          </w:tcPr>
          <w:p w14:paraId="1AE80103" w14:textId="77777777" w:rsidR="00ED3577" w:rsidRPr="00743DEA" w:rsidRDefault="00FB1881" w:rsidP="00ED3577">
            <w:pPr>
              <w:pStyle w:val="Tabletext"/>
            </w:pPr>
            <w:r w:rsidRPr="00743DEA">
              <w:t>19</w:t>
            </w:r>
          </w:p>
        </w:tc>
        <w:tc>
          <w:tcPr>
            <w:tcW w:w="4951" w:type="dxa"/>
            <w:shd w:val="clear" w:color="auto" w:fill="auto"/>
          </w:tcPr>
          <w:p w14:paraId="517B8523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74 of the General Rules for approval to introduce an industrial chemical</w:t>
            </w:r>
          </w:p>
        </w:tc>
        <w:tc>
          <w:tcPr>
            <w:tcW w:w="2647" w:type="dxa"/>
            <w:shd w:val="clear" w:color="auto" w:fill="auto"/>
          </w:tcPr>
          <w:p w14:paraId="0AAF80A3" w14:textId="77777777" w:rsidR="00ED3577" w:rsidRPr="00743DEA" w:rsidRDefault="00ED3577" w:rsidP="00ED3577">
            <w:pPr>
              <w:pStyle w:val="Tabletext"/>
            </w:pPr>
            <w:r w:rsidRPr="00743DEA">
              <w:t>4,780</w:t>
            </w:r>
          </w:p>
        </w:tc>
      </w:tr>
      <w:tr w:rsidR="00ED3577" w:rsidRPr="00743DEA" w14:paraId="2FC2B472" w14:textId="77777777" w:rsidTr="007D02F2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25A9B0" w14:textId="77777777" w:rsidR="00ED3577" w:rsidRPr="00743DEA" w:rsidRDefault="00FB1881" w:rsidP="00ED3577">
            <w:pPr>
              <w:pStyle w:val="Tabletext"/>
            </w:pPr>
            <w:r w:rsidRPr="00743DEA">
              <w:t>20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EBB9D4" w14:textId="77777777" w:rsidR="00ED3577" w:rsidRPr="00743DEA" w:rsidRDefault="00ED3577" w:rsidP="00ED3577">
            <w:pPr>
              <w:pStyle w:val="Tabletext"/>
            </w:pPr>
            <w:r w:rsidRPr="00743DEA">
              <w:t>An application under section 74 of the General Rules for approval to export an industrial chemical</w:t>
            </w:r>
          </w:p>
        </w:tc>
        <w:tc>
          <w:tcPr>
            <w:tcW w:w="26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4BB48" w14:textId="77777777" w:rsidR="00ED3577" w:rsidRPr="00743DEA" w:rsidRDefault="00ED3577" w:rsidP="00ED3577">
            <w:pPr>
              <w:pStyle w:val="Tablea"/>
            </w:pPr>
            <w:r w:rsidRPr="00743DEA">
              <w:t xml:space="preserve">(a) if the export is to a category A country for the industrial chemical—2,395; </w:t>
            </w:r>
            <w:r w:rsidR="00F6467D" w:rsidRPr="00743DEA">
              <w:t>or</w:t>
            </w:r>
          </w:p>
          <w:p w14:paraId="7AD174A5" w14:textId="77777777" w:rsidR="00ED3577" w:rsidRPr="00743DEA" w:rsidRDefault="00ED3577" w:rsidP="00ED3577">
            <w:pPr>
              <w:pStyle w:val="Tablea"/>
            </w:pPr>
            <w:r w:rsidRPr="00743DEA">
              <w:t>(b) if the export is to a category B country for the industrial chemical—4,780</w:t>
            </w:r>
            <w:r w:rsidR="00F6467D" w:rsidRPr="00743DEA">
              <w:t>; or</w:t>
            </w:r>
          </w:p>
          <w:p w14:paraId="5074E6AF" w14:textId="77777777" w:rsidR="00F6467D" w:rsidRPr="00743DEA" w:rsidRDefault="00F6467D" w:rsidP="00F6467D">
            <w:pPr>
              <w:pStyle w:val="Tablea"/>
            </w:pPr>
            <w:r w:rsidRPr="00743DEA">
              <w:t>(c) if the export is to a category C country—2,395</w:t>
            </w:r>
          </w:p>
        </w:tc>
      </w:tr>
      <w:tr w:rsidR="007D02F2" w:rsidRPr="00743DEA" w14:paraId="53016C1C" w14:textId="77777777" w:rsidTr="007D02F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915054" w14:textId="77777777" w:rsidR="007D02F2" w:rsidRPr="00743DEA" w:rsidRDefault="00FB1881" w:rsidP="00ED3577">
            <w:pPr>
              <w:pStyle w:val="Tabletext"/>
            </w:pPr>
            <w:r w:rsidRPr="00743DEA">
              <w:t>21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C39B54" w14:textId="77777777" w:rsidR="007D02F2" w:rsidRPr="00743DEA" w:rsidRDefault="007D02F2" w:rsidP="00ED3577">
            <w:pPr>
              <w:pStyle w:val="Tabletext"/>
            </w:pPr>
            <w:r w:rsidRPr="00743DEA">
              <w:t xml:space="preserve">An application under </w:t>
            </w:r>
            <w:r w:rsidR="00727A60" w:rsidRPr="00743DEA">
              <w:t>subitem 3</w:t>
            </w:r>
            <w:r w:rsidRPr="00743DEA">
              <w:t>6</w:t>
            </w:r>
            <w:r w:rsidR="00B73D40" w:rsidRPr="00743DEA">
              <w:t>(2)</w:t>
            </w:r>
            <w:r w:rsidRPr="00743DEA">
              <w:t xml:space="preserve"> of </w:t>
            </w:r>
            <w:r w:rsidR="00727A60" w:rsidRPr="00743DEA">
              <w:t>Schedule 2</w:t>
            </w:r>
            <w:r w:rsidR="00B7429D" w:rsidRPr="00743DEA">
              <w:t xml:space="preserve"> to </w:t>
            </w:r>
            <w:r w:rsidRPr="00743DEA">
              <w:t xml:space="preserve">the </w:t>
            </w:r>
            <w:r w:rsidRPr="00743DEA">
              <w:rPr>
                <w:i/>
              </w:rPr>
              <w:t>Industrial Chemicals (Consequential Amendments and Transitional Provisions) Act 2019</w:t>
            </w:r>
            <w:r w:rsidRPr="00743DEA">
              <w:t xml:space="preserve"> to be taken to be a confidence holder for a </w:t>
            </w:r>
            <w:r w:rsidR="00B7429D" w:rsidRPr="00743DEA">
              <w:t xml:space="preserve">confidential </w:t>
            </w:r>
            <w:r w:rsidRPr="00743DEA">
              <w:t>Inventory listing for an industrial chemical</w:t>
            </w:r>
          </w:p>
        </w:tc>
        <w:tc>
          <w:tcPr>
            <w:tcW w:w="26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2AC62D" w14:textId="77777777" w:rsidR="007D02F2" w:rsidRPr="00743DEA" w:rsidRDefault="007D02F2" w:rsidP="00ED3577">
            <w:pPr>
              <w:pStyle w:val="Tablea"/>
            </w:pPr>
            <w:r w:rsidRPr="00743DEA">
              <w:t>4,100</w:t>
            </w:r>
          </w:p>
        </w:tc>
      </w:tr>
    </w:tbl>
    <w:p w14:paraId="789D5E1D" w14:textId="77777777" w:rsidR="009171EB" w:rsidRPr="00743DEA" w:rsidRDefault="009171EB" w:rsidP="009171EB">
      <w:pPr>
        <w:pStyle w:val="SubsectionHead"/>
      </w:pPr>
      <w:r w:rsidRPr="00743DEA">
        <w:t xml:space="preserve">Applications under </w:t>
      </w:r>
      <w:r w:rsidR="00542B85" w:rsidRPr="00743DEA">
        <w:t>section 3</w:t>
      </w:r>
      <w:r w:rsidRPr="00743DEA">
        <w:t>1 of the Act</w:t>
      </w:r>
    </w:p>
    <w:p w14:paraId="4830669C" w14:textId="77777777" w:rsidR="009171EB" w:rsidRPr="00743DEA" w:rsidRDefault="009171EB" w:rsidP="009171EB">
      <w:pPr>
        <w:pStyle w:val="subsection"/>
      </w:pPr>
      <w:r w:rsidRPr="00743DEA">
        <w:tab/>
        <w:t>(2)</w:t>
      </w:r>
      <w:r w:rsidRPr="00743DEA">
        <w:tab/>
        <w:t xml:space="preserve">For the purposes of </w:t>
      </w:r>
      <w:r w:rsidR="00542B85" w:rsidRPr="00743DEA">
        <w:t>item 2</w:t>
      </w:r>
      <w:r w:rsidR="005A7824" w:rsidRPr="00743DEA">
        <w:t xml:space="preserve"> of the table in </w:t>
      </w:r>
      <w:r w:rsidR="00DC3B08" w:rsidRPr="00743DEA">
        <w:t>subsection (</w:t>
      </w:r>
      <w:r w:rsidR="005A7824" w:rsidRPr="00743DEA">
        <w:t>1)</w:t>
      </w:r>
      <w:r w:rsidR="00727A60" w:rsidRPr="00743DEA">
        <w:t xml:space="preserve"> and subject to </w:t>
      </w:r>
      <w:r w:rsidR="00DC3B08" w:rsidRPr="00743DEA">
        <w:t>subsection (</w:t>
      </w:r>
      <w:r w:rsidR="003418A4" w:rsidRPr="00743DEA">
        <w:t>6</w:t>
      </w:r>
      <w:r w:rsidR="00727A60" w:rsidRPr="00743DEA">
        <w:t>)</w:t>
      </w:r>
      <w:r w:rsidRPr="00743DEA">
        <w:t xml:space="preserve">, the amount of the fee that is to accompany an application under </w:t>
      </w:r>
      <w:r w:rsidR="00542B85" w:rsidRPr="00743DEA">
        <w:t>section 3</w:t>
      </w:r>
      <w:r w:rsidRPr="00743DEA">
        <w:t>1 of the Act for an assessment certificate for the introduction of an industrial chemical is</w:t>
      </w:r>
      <w:r w:rsidR="0061070A" w:rsidRPr="00743DEA">
        <w:t xml:space="preserve"> as follows:</w:t>
      </w:r>
    </w:p>
    <w:p w14:paraId="03DD540E" w14:textId="77777777" w:rsidR="009171EB" w:rsidRPr="00743DEA" w:rsidRDefault="009171EB" w:rsidP="009171EB">
      <w:pPr>
        <w:pStyle w:val="paragraph"/>
      </w:pPr>
      <w:r w:rsidRPr="00743DEA">
        <w:tab/>
        <w:t>(a)</w:t>
      </w:r>
      <w:r w:rsidRPr="00743DEA">
        <w:tab/>
      </w:r>
      <w:r w:rsidR="00C00714" w:rsidRPr="00743DEA">
        <w:t xml:space="preserve">subject to </w:t>
      </w:r>
      <w:r w:rsidR="003418A4" w:rsidRPr="00743DEA">
        <w:t>subsections (</w:t>
      </w:r>
      <w:r w:rsidR="00C00714" w:rsidRPr="00743DEA">
        <w:t>3) and (4)</w:t>
      </w:r>
      <w:r w:rsidR="008A340E" w:rsidRPr="00743DEA">
        <w:t xml:space="preserve">, </w:t>
      </w:r>
      <w:r w:rsidRPr="00743DEA">
        <w:t>the amount worked out using the table</w:t>
      </w:r>
      <w:r w:rsidR="0061070A" w:rsidRPr="00743DEA">
        <w:t xml:space="preserve"> at the end of this subsection</w:t>
      </w:r>
      <w:r w:rsidRPr="00743DEA">
        <w:t>;</w:t>
      </w:r>
    </w:p>
    <w:p w14:paraId="5CEE4758" w14:textId="77777777" w:rsidR="009171EB" w:rsidRPr="00743DEA" w:rsidRDefault="009171EB" w:rsidP="009171EB">
      <w:pPr>
        <w:pStyle w:val="paragraph"/>
      </w:pPr>
      <w:r w:rsidRPr="00743DEA">
        <w:tab/>
        <w:t>(b)</w:t>
      </w:r>
      <w:r w:rsidRPr="00743DEA">
        <w:tab/>
        <w:t>if the application includes a comparable hazard assessment of the industrial chemical</w:t>
      </w:r>
      <w:r w:rsidR="00DC3B08" w:rsidRPr="00743DEA">
        <w:t xml:space="preserve"> and the application is not covered by subsection (3) or (4)</w:t>
      </w:r>
      <w:r w:rsidRPr="00743DEA">
        <w:t>—$17,515</w:t>
      </w:r>
      <w:r w:rsidR="00C00714" w:rsidRPr="00743DEA">
        <w:t>.</w:t>
      </w:r>
    </w:p>
    <w:p w14:paraId="3C33E5E4" w14:textId="77777777" w:rsidR="009171EB" w:rsidRPr="00743DEA" w:rsidRDefault="009171EB" w:rsidP="009171E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9171EB" w:rsidRPr="00743DEA" w14:paraId="66CAC578" w14:textId="77777777" w:rsidTr="009171EB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073D63" w14:textId="77777777" w:rsidR="009171EB" w:rsidRPr="00743DEA" w:rsidRDefault="009171EB" w:rsidP="009171EB">
            <w:pPr>
              <w:pStyle w:val="TableHeading"/>
            </w:pPr>
            <w:r w:rsidRPr="00743DEA">
              <w:lastRenderedPageBreak/>
              <w:t xml:space="preserve">Applications under </w:t>
            </w:r>
            <w:r w:rsidR="00542B85" w:rsidRPr="00743DEA">
              <w:t>section 3</w:t>
            </w:r>
            <w:r w:rsidRPr="00743DEA">
              <w:t>1 of the Act</w:t>
            </w:r>
            <w:r w:rsidR="0061070A" w:rsidRPr="00743DEA">
              <w:t>—general</w:t>
            </w:r>
          </w:p>
        </w:tc>
      </w:tr>
      <w:tr w:rsidR="009171EB" w:rsidRPr="00743DEA" w14:paraId="31584599" w14:textId="77777777" w:rsidTr="009171E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0689E1" w14:textId="77777777" w:rsidR="009171EB" w:rsidRPr="00743DEA" w:rsidRDefault="009171EB" w:rsidP="009171EB">
            <w:pPr>
              <w:pStyle w:val="TableHeading"/>
            </w:pPr>
            <w:r w:rsidRPr="00743DE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E424D2" w14:textId="77777777" w:rsidR="009171EB" w:rsidRPr="00743DEA" w:rsidRDefault="009171EB" w:rsidP="009171EB">
            <w:pPr>
              <w:pStyle w:val="TableHeading"/>
            </w:pPr>
            <w:r w:rsidRPr="00743DEA">
              <w:t>If the indicative human health risk for the introduction of the industrial chemical …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65934F" w14:textId="77777777" w:rsidR="009171EB" w:rsidRPr="00743DEA" w:rsidRDefault="009171EB" w:rsidP="009171EB">
            <w:pPr>
              <w:pStyle w:val="TableHeading"/>
            </w:pPr>
            <w:r w:rsidRPr="00743DEA">
              <w:t>and the indicative environment risk for the introduction of the industrial chemical …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D123D3" w14:textId="77777777" w:rsidR="009171EB" w:rsidRPr="00743DEA" w:rsidRDefault="009171EB" w:rsidP="009171EB">
            <w:pPr>
              <w:pStyle w:val="TableHeading"/>
            </w:pPr>
            <w:r w:rsidRPr="00743DEA">
              <w:t>then the amount ($) of the fee is …</w:t>
            </w:r>
          </w:p>
        </w:tc>
      </w:tr>
      <w:tr w:rsidR="00552065" w:rsidRPr="00743DEA" w14:paraId="08E43910" w14:textId="77777777" w:rsidTr="009171E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272C04C" w14:textId="77777777" w:rsidR="00552065" w:rsidRPr="00743DEA" w:rsidRDefault="00552065" w:rsidP="00552065">
            <w:pPr>
              <w:pStyle w:val="Tabletext"/>
            </w:pPr>
            <w:r w:rsidRPr="00743DE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747E28D" w14:textId="77777777" w:rsidR="00552065" w:rsidRPr="00743DEA" w:rsidRDefault="00552065" w:rsidP="00552065">
            <w:pPr>
              <w:pStyle w:val="Tablea"/>
            </w:pPr>
            <w:r w:rsidRPr="00743DEA">
              <w:t>(a) is very low; or</w:t>
            </w:r>
          </w:p>
          <w:p w14:paraId="0BCB04E1" w14:textId="77777777" w:rsidR="00552065" w:rsidRPr="00743DEA" w:rsidRDefault="00552065" w:rsidP="00552065">
            <w:pPr>
              <w:pStyle w:val="Tablea"/>
            </w:pPr>
            <w:r w:rsidRPr="00743DEA">
              <w:t>(b) is low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686F46C" w14:textId="77777777" w:rsidR="00552065" w:rsidRPr="00743DEA" w:rsidRDefault="00552065" w:rsidP="00552065">
            <w:pPr>
              <w:pStyle w:val="Tablea"/>
            </w:pPr>
            <w:r w:rsidRPr="00743DEA">
              <w:t>(a) is very low; or</w:t>
            </w:r>
          </w:p>
          <w:p w14:paraId="025B8E0F" w14:textId="77777777" w:rsidR="00552065" w:rsidRPr="00743DEA" w:rsidRDefault="00552065" w:rsidP="00552065">
            <w:pPr>
              <w:pStyle w:val="Tablea"/>
            </w:pPr>
            <w:r w:rsidRPr="00743DEA">
              <w:t>(b) is low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D65791E" w14:textId="77777777" w:rsidR="00552065" w:rsidRPr="00743DEA" w:rsidRDefault="00552065" w:rsidP="00552065">
            <w:pPr>
              <w:pStyle w:val="Tabletext"/>
            </w:pPr>
            <w:r w:rsidRPr="00743DEA">
              <w:t>7,435</w:t>
            </w:r>
          </w:p>
        </w:tc>
      </w:tr>
      <w:tr w:rsidR="00552065" w:rsidRPr="00743DEA" w14:paraId="35B0B57C" w14:textId="77777777" w:rsidTr="009171EB">
        <w:tc>
          <w:tcPr>
            <w:tcW w:w="714" w:type="dxa"/>
            <w:shd w:val="clear" w:color="auto" w:fill="auto"/>
          </w:tcPr>
          <w:p w14:paraId="366DD808" w14:textId="77777777" w:rsidR="00552065" w:rsidRPr="00743DEA" w:rsidRDefault="00552065" w:rsidP="00552065">
            <w:pPr>
              <w:pStyle w:val="Tabletext"/>
            </w:pPr>
            <w:r w:rsidRPr="00743DEA">
              <w:t>2</w:t>
            </w:r>
          </w:p>
        </w:tc>
        <w:tc>
          <w:tcPr>
            <w:tcW w:w="2533" w:type="dxa"/>
            <w:shd w:val="clear" w:color="auto" w:fill="auto"/>
          </w:tcPr>
          <w:p w14:paraId="2F056DBE" w14:textId="77777777" w:rsidR="00552065" w:rsidRPr="00743DEA" w:rsidRDefault="00552065" w:rsidP="00552065">
            <w:pPr>
              <w:pStyle w:val="Tablea"/>
            </w:pPr>
            <w:r w:rsidRPr="00743DEA">
              <w:t>(a) is very low; or</w:t>
            </w:r>
          </w:p>
          <w:p w14:paraId="7E4FECC2" w14:textId="77777777" w:rsidR="00552065" w:rsidRPr="00743DEA" w:rsidRDefault="00552065" w:rsidP="00552065">
            <w:pPr>
              <w:pStyle w:val="Tablea"/>
            </w:pPr>
            <w:r w:rsidRPr="00743DEA">
              <w:t>(b) is low</w:t>
            </w:r>
          </w:p>
        </w:tc>
        <w:tc>
          <w:tcPr>
            <w:tcW w:w="2533" w:type="dxa"/>
            <w:shd w:val="clear" w:color="auto" w:fill="auto"/>
          </w:tcPr>
          <w:p w14:paraId="5B3ACD67" w14:textId="77777777" w:rsidR="00552065" w:rsidRPr="00743DEA" w:rsidRDefault="00552065" w:rsidP="00552065">
            <w:pPr>
              <w:pStyle w:val="Tablea"/>
            </w:pPr>
            <w:r w:rsidRPr="00743DEA">
              <w:t>(a) is medium to high risk; or</w:t>
            </w:r>
          </w:p>
          <w:p w14:paraId="79E6DD3A" w14:textId="77777777" w:rsidR="00552065" w:rsidRPr="00743DEA" w:rsidRDefault="00552065" w:rsidP="00552065">
            <w:pPr>
              <w:pStyle w:val="Tablea"/>
            </w:pPr>
            <w:r w:rsidRPr="00743DEA">
              <w:t>(b) has not been determined at the time the application is made</w:t>
            </w:r>
          </w:p>
        </w:tc>
        <w:tc>
          <w:tcPr>
            <w:tcW w:w="2533" w:type="dxa"/>
            <w:shd w:val="clear" w:color="auto" w:fill="auto"/>
          </w:tcPr>
          <w:p w14:paraId="28C20118" w14:textId="77777777" w:rsidR="00552065" w:rsidRPr="00743DEA" w:rsidRDefault="00552065" w:rsidP="00552065">
            <w:pPr>
              <w:pStyle w:val="Tabletext"/>
            </w:pPr>
            <w:r w:rsidRPr="00743DEA">
              <w:t>23,375</w:t>
            </w:r>
          </w:p>
        </w:tc>
      </w:tr>
      <w:tr w:rsidR="00552065" w:rsidRPr="00743DEA" w14:paraId="76AF43E5" w14:textId="77777777" w:rsidTr="009171E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2F1FA0" w14:textId="77777777" w:rsidR="00552065" w:rsidRPr="00743DEA" w:rsidRDefault="00552065" w:rsidP="00552065">
            <w:pPr>
              <w:pStyle w:val="Tabletext"/>
            </w:pPr>
            <w:r w:rsidRPr="00743DEA">
              <w:t>3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45DD2533" w14:textId="77777777" w:rsidR="00552065" w:rsidRPr="00743DEA" w:rsidRDefault="00552065" w:rsidP="00552065">
            <w:pPr>
              <w:pStyle w:val="Tablea"/>
            </w:pPr>
            <w:r w:rsidRPr="00743DEA">
              <w:t>(a) is medium to high risk; or</w:t>
            </w:r>
          </w:p>
          <w:p w14:paraId="4FE8FAD4" w14:textId="77777777" w:rsidR="00552065" w:rsidRPr="00743DEA" w:rsidRDefault="00552065" w:rsidP="00552065">
            <w:pPr>
              <w:pStyle w:val="Tablea"/>
            </w:pPr>
            <w:r w:rsidRPr="00743DEA">
              <w:t>(b) has not been determined at the time the application is made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37EB8709" w14:textId="77777777" w:rsidR="00552065" w:rsidRPr="00743DEA" w:rsidRDefault="00552065" w:rsidP="00552065">
            <w:pPr>
              <w:pStyle w:val="Tablea"/>
            </w:pPr>
            <w:r w:rsidRPr="00743DEA">
              <w:t>(a) is very low; or</w:t>
            </w:r>
          </w:p>
          <w:p w14:paraId="61A82CF3" w14:textId="77777777" w:rsidR="00552065" w:rsidRPr="00743DEA" w:rsidRDefault="00552065" w:rsidP="00552065">
            <w:pPr>
              <w:pStyle w:val="Tablea"/>
            </w:pPr>
            <w:r w:rsidRPr="00743DEA">
              <w:t>(b) is low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0BD14776" w14:textId="77777777" w:rsidR="00552065" w:rsidRPr="00743DEA" w:rsidRDefault="00552065" w:rsidP="00552065">
            <w:pPr>
              <w:pStyle w:val="Tabletext"/>
            </w:pPr>
            <w:r w:rsidRPr="00743DEA">
              <w:t>23,375</w:t>
            </w:r>
          </w:p>
        </w:tc>
      </w:tr>
      <w:tr w:rsidR="00552065" w:rsidRPr="00743DEA" w14:paraId="7321A262" w14:textId="77777777" w:rsidTr="009171E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CC93B7" w14:textId="77777777" w:rsidR="00552065" w:rsidRPr="00743DEA" w:rsidRDefault="00552065" w:rsidP="00552065">
            <w:pPr>
              <w:pStyle w:val="Tabletext"/>
            </w:pPr>
            <w:r w:rsidRPr="00743DEA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4BA023" w14:textId="77777777" w:rsidR="00552065" w:rsidRPr="00743DEA" w:rsidRDefault="00552065" w:rsidP="00552065">
            <w:pPr>
              <w:pStyle w:val="Tablea"/>
            </w:pPr>
            <w:r w:rsidRPr="00743DEA">
              <w:t>(a) is medium to high risk; or</w:t>
            </w:r>
          </w:p>
          <w:p w14:paraId="634B0B38" w14:textId="77777777" w:rsidR="00552065" w:rsidRPr="00743DEA" w:rsidRDefault="00552065" w:rsidP="00552065">
            <w:pPr>
              <w:pStyle w:val="Tablea"/>
            </w:pPr>
            <w:r w:rsidRPr="00743DEA">
              <w:t>(b) has not been determined at the time the application is made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FA5F80" w14:textId="77777777" w:rsidR="00552065" w:rsidRPr="00743DEA" w:rsidRDefault="00552065" w:rsidP="00552065">
            <w:pPr>
              <w:pStyle w:val="Tabletext"/>
            </w:pPr>
            <w:r w:rsidRPr="00743DEA">
              <w:t>(a) is medium to high risk; or</w:t>
            </w:r>
          </w:p>
          <w:p w14:paraId="302E8A84" w14:textId="77777777" w:rsidR="00552065" w:rsidRPr="00743DEA" w:rsidRDefault="00552065" w:rsidP="00552065">
            <w:pPr>
              <w:pStyle w:val="Tablea"/>
            </w:pPr>
            <w:r w:rsidRPr="00743DEA">
              <w:t>(b) has not been determined at the time the application is made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84BBB4" w14:textId="77777777" w:rsidR="00552065" w:rsidRPr="00743DEA" w:rsidRDefault="00552065" w:rsidP="00552065">
            <w:pPr>
              <w:pStyle w:val="Tabletext"/>
            </w:pPr>
            <w:r w:rsidRPr="00743DEA">
              <w:t>34,965</w:t>
            </w:r>
          </w:p>
        </w:tc>
      </w:tr>
    </w:tbl>
    <w:p w14:paraId="6C5F7A11" w14:textId="77777777" w:rsidR="009171EB" w:rsidRPr="00743DEA" w:rsidRDefault="009171EB" w:rsidP="009171EB">
      <w:pPr>
        <w:pStyle w:val="notetext"/>
      </w:pPr>
      <w:r w:rsidRPr="00743DEA">
        <w:t>Note:</w:t>
      </w:r>
      <w:r w:rsidRPr="00743DEA">
        <w:tab/>
        <w:t>For how to determine the indicative human health risk and the indicative environment risk, see Chapter 2 of the General Rules.</w:t>
      </w:r>
    </w:p>
    <w:p w14:paraId="25DAD0BE" w14:textId="77777777" w:rsidR="00C00714" w:rsidRPr="00743DEA" w:rsidRDefault="00C00714" w:rsidP="00C00714">
      <w:pPr>
        <w:pStyle w:val="subsection"/>
      </w:pPr>
      <w:r w:rsidRPr="00743DEA">
        <w:tab/>
        <w:t>(3)</w:t>
      </w:r>
      <w:r w:rsidRPr="00743DEA">
        <w:tab/>
        <w:t>If:</w:t>
      </w:r>
    </w:p>
    <w:p w14:paraId="5686D885" w14:textId="77777777" w:rsidR="00C00714" w:rsidRPr="00743DEA" w:rsidRDefault="00C00714" w:rsidP="00C00714">
      <w:pPr>
        <w:pStyle w:val="paragraph"/>
      </w:pPr>
      <w:r w:rsidRPr="00743DEA">
        <w:tab/>
        <w:t>(a)</w:t>
      </w:r>
      <w:r w:rsidRPr="00743DEA">
        <w:tab/>
        <w:t xml:space="preserve">an application (the </w:t>
      </w:r>
      <w:r w:rsidRPr="00743DEA">
        <w:rPr>
          <w:b/>
          <w:i/>
        </w:rPr>
        <w:t>first application</w:t>
      </w:r>
      <w:r w:rsidRPr="00743DEA">
        <w:t>) is made by a person under section 31 of the Act for an assessment certificate for the introduction of an industrial chemical; and</w:t>
      </w:r>
    </w:p>
    <w:p w14:paraId="0E2D5BCF" w14:textId="77777777" w:rsidR="00C00714" w:rsidRPr="00743DEA" w:rsidRDefault="00C00714" w:rsidP="00C00714">
      <w:pPr>
        <w:pStyle w:val="paragraph"/>
      </w:pPr>
      <w:r w:rsidRPr="00743DEA">
        <w:tab/>
        <w:t>(b)</w:t>
      </w:r>
      <w:r w:rsidRPr="00743DEA">
        <w:tab/>
        <w:t xml:space="preserve">at the same time as the first application is made, the person makes one or more other applications (a </w:t>
      </w:r>
      <w:r w:rsidRPr="00743DEA">
        <w:rPr>
          <w:b/>
          <w:i/>
        </w:rPr>
        <w:t>related application</w:t>
      </w:r>
      <w:r w:rsidRPr="00743DEA">
        <w:t>) under that section for an assessment certificate for the introduction of another industrial chemical; and</w:t>
      </w:r>
    </w:p>
    <w:p w14:paraId="7D27C07A" w14:textId="77777777" w:rsidR="00C00714" w:rsidRPr="00743DEA" w:rsidRDefault="00C00714" w:rsidP="00C00714">
      <w:pPr>
        <w:pStyle w:val="paragraph"/>
      </w:pPr>
      <w:r w:rsidRPr="00743DEA">
        <w:tab/>
        <w:t>(c)</w:t>
      </w:r>
      <w:r w:rsidRPr="00743DEA">
        <w:tab/>
        <w:t>the industrial chemicals to which the first application and each related application relate are similar and have the same end use;</w:t>
      </w:r>
    </w:p>
    <w:p w14:paraId="791015EE" w14:textId="77777777" w:rsidR="00C00714" w:rsidRPr="00743DEA" w:rsidRDefault="00C00714" w:rsidP="00C00714">
      <w:pPr>
        <w:pStyle w:val="subsection2"/>
      </w:pPr>
      <w:r w:rsidRPr="00743DEA">
        <w:t>then:</w:t>
      </w:r>
    </w:p>
    <w:p w14:paraId="79265759" w14:textId="77777777" w:rsidR="00C00714" w:rsidRPr="00743DEA" w:rsidRDefault="00C00714" w:rsidP="00C00714">
      <w:pPr>
        <w:pStyle w:val="paragraph"/>
      </w:pPr>
      <w:r w:rsidRPr="00743DEA">
        <w:tab/>
        <w:t>(</w:t>
      </w:r>
      <w:r w:rsidR="00DC3B08" w:rsidRPr="00743DEA">
        <w:t>d</w:t>
      </w:r>
      <w:r w:rsidRPr="00743DEA">
        <w:t>)</w:t>
      </w:r>
      <w:r w:rsidRPr="00743DEA">
        <w:tab/>
        <w:t xml:space="preserve">the amount of the fee that is to accompany the first application is an amount worked out using the table in </w:t>
      </w:r>
      <w:r w:rsidR="00DC3B08" w:rsidRPr="00743DEA">
        <w:t>subsection (</w:t>
      </w:r>
      <w:r w:rsidRPr="00743DEA">
        <w:t>2); and</w:t>
      </w:r>
    </w:p>
    <w:p w14:paraId="4EF1F654" w14:textId="77777777" w:rsidR="00C00714" w:rsidRPr="00743DEA" w:rsidRDefault="00C00714" w:rsidP="00C00714">
      <w:pPr>
        <w:pStyle w:val="paragraph"/>
      </w:pPr>
      <w:r w:rsidRPr="00743DEA">
        <w:tab/>
        <w:t>(</w:t>
      </w:r>
      <w:r w:rsidR="00DC3B08" w:rsidRPr="00743DEA">
        <w:t>e</w:t>
      </w:r>
      <w:r w:rsidRPr="00743DEA">
        <w:t>)</w:t>
      </w:r>
      <w:r w:rsidRPr="00743DEA">
        <w:tab/>
        <w:t>the amount of the fee that is to accompany each related application is $7,015.</w:t>
      </w:r>
    </w:p>
    <w:p w14:paraId="3383DE3E" w14:textId="77777777" w:rsidR="00C00714" w:rsidRPr="00743DEA" w:rsidRDefault="00C00714" w:rsidP="00C00714">
      <w:pPr>
        <w:pStyle w:val="subsection"/>
      </w:pPr>
      <w:r w:rsidRPr="00743DEA">
        <w:tab/>
        <w:t>(4)</w:t>
      </w:r>
      <w:r w:rsidRPr="00743DEA">
        <w:tab/>
        <w:t>If:</w:t>
      </w:r>
    </w:p>
    <w:p w14:paraId="64F1AF50" w14:textId="77777777" w:rsidR="00C00714" w:rsidRPr="00743DEA" w:rsidRDefault="00C00714" w:rsidP="00C00714">
      <w:pPr>
        <w:pStyle w:val="paragraph"/>
      </w:pPr>
      <w:r w:rsidRPr="00743DEA">
        <w:tab/>
        <w:t>(a)</w:t>
      </w:r>
      <w:r w:rsidRPr="00743DEA">
        <w:tab/>
        <w:t xml:space="preserve">an application (the </w:t>
      </w:r>
      <w:r w:rsidRPr="00743DEA">
        <w:rPr>
          <w:b/>
          <w:i/>
        </w:rPr>
        <w:t>first application</w:t>
      </w:r>
      <w:r w:rsidRPr="00743DEA">
        <w:t>) is made by a person under section 31 of the Act for an assessment certificate for the introduction of an industrial chemical; and</w:t>
      </w:r>
    </w:p>
    <w:p w14:paraId="26DF7225" w14:textId="77777777" w:rsidR="00C00714" w:rsidRPr="00743DEA" w:rsidRDefault="00C00714" w:rsidP="00C00714">
      <w:pPr>
        <w:pStyle w:val="paragraph"/>
      </w:pPr>
      <w:r w:rsidRPr="00743DEA">
        <w:tab/>
        <w:t>(b)</w:t>
      </w:r>
      <w:r w:rsidRPr="00743DEA">
        <w:tab/>
        <w:t xml:space="preserve">at the same time as the first application is made, the person makes one or more other applications (a </w:t>
      </w:r>
      <w:r w:rsidRPr="00743DEA">
        <w:rPr>
          <w:b/>
          <w:i/>
        </w:rPr>
        <w:t>related application</w:t>
      </w:r>
      <w:r w:rsidRPr="00743DEA">
        <w:t>) under that section for an assessment certificate for the introduction of another industrial chemical; and</w:t>
      </w:r>
    </w:p>
    <w:p w14:paraId="652AC65D" w14:textId="77777777" w:rsidR="00C00714" w:rsidRPr="00743DEA" w:rsidRDefault="00C00714" w:rsidP="00C00714">
      <w:pPr>
        <w:pStyle w:val="paragraph"/>
      </w:pPr>
      <w:r w:rsidRPr="00743DEA">
        <w:lastRenderedPageBreak/>
        <w:tab/>
        <w:t>(c)</w:t>
      </w:r>
      <w:r w:rsidRPr="00743DEA">
        <w:tab/>
        <w:t>the industrial chemicals to which the first application and each related application relate are intended to be part of the same multi</w:t>
      </w:r>
      <w:r w:rsidR="00743DEA">
        <w:noBreakHyphen/>
      </w:r>
      <w:r w:rsidRPr="00743DEA">
        <w:t>component introductions;</w:t>
      </w:r>
    </w:p>
    <w:p w14:paraId="3508BE38" w14:textId="77777777" w:rsidR="00C00714" w:rsidRPr="00743DEA" w:rsidRDefault="00C00714" w:rsidP="00C00714">
      <w:pPr>
        <w:pStyle w:val="subsection2"/>
      </w:pPr>
      <w:r w:rsidRPr="00743DEA">
        <w:t>then:</w:t>
      </w:r>
    </w:p>
    <w:p w14:paraId="2B763B6B" w14:textId="77777777" w:rsidR="00C00714" w:rsidRPr="00743DEA" w:rsidRDefault="00C00714" w:rsidP="00C00714">
      <w:pPr>
        <w:pStyle w:val="paragraph"/>
      </w:pPr>
      <w:r w:rsidRPr="00743DEA">
        <w:tab/>
        <w:t>(</w:t>
      </w:r>
      <w:r w:rsidR="00DC3B08" w:rsidRPr="00743DEA">
        <w:t>d</w:t>
      </w:r>
      <w:r w:rsidRPr="00743DEA">
        <w:t>)</w:t>
      </w:r>
      <w:r w:rsidRPr="00743DEA">
        <w:tab/>
        <w:t xml:space="preserve">the amount of the fee that is to accompany the first application is an amount worked out using the table in </w:t>
      </w:r>
      <w:r w:rsidR="00DC3B08" w:rsidRPr="00743DEA">
        <w:t>subsection (</w:t>
      </w:r>
      <w:r w:rsidRPr="00743DEA">
        <w:t>2); and</w:t>
      </w:r>
    </w:p>
    <w:p w14:paraId="71D23FE0" w14:textId="77777777" w:rsidR="00C00714" w:rsidRPr="00743DEA" w:rsidRDefault="00C00714" w:rsidP="00C00714">
      <w:pPr>
        <w:pStyle w:val="paragraph"/>
      </w:pPr>
      <w:r w:rsidRPr="00743DEA">
        <w:tab/>
        <w:t>(</w:t>
      </w:r>
      <w:r w:rsidR="00DC3B08" w:rsidRPr="00743DEA">
        <w:t>e</w:t>
      </w:r>
      <w:r w:rsidRPr="00743DEA">
        <w:t>)</w:t>
      </w:r>
      <w:r w:rsidRPr="00743DEA">
        <w:tab/>
        <w:t>the amount of the fee that is to accompany each related application is $2,650.</w:t>
      </w:r>
    </w:p>
    <w:p w14:paraId="29E96392" w14:textId="77777777" w:rsidR="00B1561C" w:rsidRPr="00743DEA" w:rsidRDefault="00B1561C" w:rsidP="00B1561C">
      <w:pPr>
        <w:pStyle w:val="SubsectionHead"/>
      </w:pPr>
      <w:r w:rsidRPr="00743DEA">
        <w:t>Multi</w:t>
      </w:r>
      <w:r w:rsidR="00743DEA">
        <w:noBreakHyphen/>
      </w:r>
      <w:r w:rsidRPr="00743DEA">
        <w:t>component introductions</w:t>
      </w:r>
    </w:p>
    <w:p w14:paraId="799DA0CB" w14:textId="77777777" w:rsidR="009171EB" w:rsidRPr="00743DEA" w:rsidRDefault="009171EB" w:rsidP="009171EB">
      <w:pPr>
        <w:pStyle w:val="subsection"/>
      </w:pPr>
      <w:r w:rsidRPr="00743DEA">
        <w:tab/>
        <w:t>(</w:t>
      </w:r>
      <w:r w:rsidR="00C00714" w:rsidRPr="00743DEA">
        <w:t>5</w:t>
      </w:r>
      <w:r w:rsidRPr="00743DEA">
        <w:t>)</w:t>
      </w:r>
      <w:r w:rsidRPr="00743DEA">
        <w:tab/>
        <w:t xml:space="preserve">For the purposes of </w:t>
      </w:r>
      <w:r w:rsidR="00542B85" w:rsidRPr="00743DEA">
        <w:t>paragraph (</w:t>
      </w:r>
      <w:r w:rsidR="00C00714" w:rsidRPr="00743DEA">
        <w:t>4</w:t>
      </w:r>
      <w:r w:rsidRPr="00743DEA">
        <w:t>)(</w:t>
      </w:r>
      <w:r w:rsidR="00C00714" w:rsidRPr="00743DEA">
        <w:t>c</w:t>
      </w:r>
      <w:r w:rsidRPr="00743DEA">
        <w:t xml:space="preserve">), 2 or more industrial chemicals </w:t>
      </w:r>
      <w:r w:rsidR="00413ECA" w:rsidRPr="00743DEA">
        <w:t>(</w:t>
      </w:r>
      <w:r w:rsidR="00413ECA" w:rsidRPr="00743DEA">
        <w:rPr>
          <w:b/>
          <w:i/>
        </w:rPr>
        <w:t>component chemicals</w:t>
      </w:r>
      <w:r w:rsidR="00413ECA" w:rsidRPr="00743DEA">
        <w:t xml:space="preserve">) </w:t>
      </w:r>
      <w:r w:rsidR="00C00714" w:rsidRPr="00743DEA">
        <w:t xml:space="preserve">may be </w:t>
      </w:r>
      <w:r w:rsidR="00413ECA" w:rsidRPr="00743DEA">
        <w:t xml:space="preserve">part of </w:t>
      </w:r>
      <w:r w:rsidRPr="00743DEA">
        <w:t>multi</w:t>
      </w:r>
      <w:r w:rsidR="00743DEA">
        <w:noBreakHyphen/>
      </w:r>
      <w:r w:rsidRPr="00743DEA">
        <w:t>component introductions if:</w:t>
      </w:r>
    </w:p>
    <w:p w14:paraId="2F2E73E6" w14:textId="77777777" w:rsidR="009171EB" w:rsidRPr="00743DEA" w:rsidRDefault="009171EB" w:rsidP="009171EB">
      <w:pPr>
        <w:pStyle w:val="paragraph"/>
      </w:pPr>
      <w:r w:rsidRPr="00743DEA">
        <w:tab/>
        <w:t>(a)</w:t>
      </w:r>
      <w:r w:rsidRPr="00743DEA">
        <w:tab/>
        <w:t xml:space="preserve">each component </w:t>
      </w:r>
      <w:r w:rsidR="00413ECA" w:rsidRPr="00743DEA">
        <w:t xml:space="preserve">chemical </w:t>
      </w:r>
      <w:r w:rsidRPr="00743DEA">
        <w:t>can be uniquely identified; and</w:t>
      </w:r>
    </w:p>
    <w:p w14:paraId="2421049D" w14:textId="77777777" w:rsidR="009171EB" w:rsidRPr="00743DEA" w:rsidRDefault="009171EB" w:rsidP="009171EB">
      <w:pPr>
        <w:pStyle w:val="paragraph"/>
      </w:pPr>
      <w:r w:rsidRPr="00743DEA">
        <w:tab/>
        <w:t>(b)</w:t>
      </w:r>
      <w:r w:rsidRPr="00743DEA">
        <w:tab/>
        <w:t xml:space="preserve">the component </w:t>
      </w:r>
      <w:r w:rsidR="00413ECA" w:rsidRPr="00743DEA">
        <w:t xml:space="preserve">chemicals </w:t>
      </w:r>
      <w:r w:rsidRPr="00743DEA">
        <w:t>are manufactured (whether in Australia or otherwise) together; and</w:t>
      </w:r>
    </w:p>
    <w:p w14:paraId="21BACE82" w14:textId="77777777" w:rsidR="009171EB" w:rsidRPr="00743DEA" w:rsidRDefault="009171EB" w:rsidP="009171EB">
      <w:pPr>
        <w:pStyle w:val="paragraph"/>
      </w:pPr>
      <w:r w:rsidRPr="00743DEA">
        <w:tab/>
        <w:t>(c)</w:t>
      </w:r>
      <w:r w:rsidRPr="00743DEA">
        <w:tab/>
        <w:t xml:space="preserve">the component </w:t>
      </w:r>
      <w:r w:rsidR="00413ECA" w:rsidRPr="00743DEA">
        <w:t xml:space="preserve">chemicals </w:t>
      </w:r>
      <w:r w:rsidRPr="00743DEA">
        <w:t xml:space="preserve">are </w:t>
      </w:r>
      <w:r w:rsidR="006813AF" w:rsidRPr="00743DEA">
        <w:t xml:space="preserve">to be </w:t>
      </w:r>
      <w:r w:rsidRPr="00743DEA">
        <w:t>introduced into, and used in, Australia together (and not separated during introduction or use); and</w:t>
      </w:r>
    </w:p>
    <w:p w14:paraId="1691120B" w14:textId="77777777" w:rsidR="009171EB" w:rsidRPr="00743DEA" w:rsidRDefault="009171EB" w:rsidP="009171EB">
      <w:pPr>
        <w:pStyle w:val="paragraph"/>
      </w:pPr>
      <w:r w:rsidRPr="00743DEA">
        <w:tab/>
        <w:t>(d)</w:t>
      </w:r>
      <w:r w:rsidRPr="00743DEA">
        <w:tab/>
        <w:t xml:space="preserve">there is no </w:t>
      </w:r>
      <w:r w:rsidR="00BF002D" w:rsidRPr="00743DEA">
        <w:t xml:space="preserve">single </w:t>
      </w:r>
      <w:r w:rsidRPr="00743DEA">
        <w:t xml:space="preserve">CAS name that covers </w:t>
      </w:r>
      <w:r w:rsidR="00BF002D" w:rsidRPr="00743DEA">
        <w:t xml:space="preserve">all </w:t>
      </w:r>
      <w:r w:rsidRPr="00743DEA">
        <w:t>the component</w:t>
      </w:r>
      <w:r w:rsidR="00413ECA" w:rsidRPr="00743DEA">
        <w:t xml:space="preserve"> chemicals</w:t>
      </w:r>
      <w:r w:rsidR="00C00714" w:rsidRPr="00743DEA">
        <w:t xml:space="preserve"> </w:t>
      </w:r>
      <w:r w:rsidR="00BF002D" w:rsidRPr="00743DEA">
        <w:t>and only the component chemicals.</w:t>
      </w:r>
    </w:p>
    <w:p w14:paraId="566DE80B" w14:textId="77777777" w:rsidR="009171EB" w:rsidRPr="00743DEA" w:rsidRDefault="009171EB" w:rsidP="009171EB">
      <w:pPr>
        <w:pStyle w:val="SubsectionHead"/>
      </w:pPr>
      <w:r w:rsidRPr="00743DEA">
        <w:t xml:space="preserve">Lower fee applies </w:t>
      </w:r>
      <w:r w:rsidR="00552065" w:rsidRPr="00743DEA">
        <w:t xml:space="preserve">if </w:t>
      </w:r>
      <w:r w:rsidR="00EB4C09" w:rsidRPr="00743DEA">
        <w:t xml:space="preserve">more than one </w:t>
      </w:r>
      <w:r w:rsidRPr="00743DEA">
        <w:t xml:space="preserve">fee </w:t>
      </w:r>
      <w:r w:rsidR="002C73C8" w:rsidRPr="00743DEA">
        <w:t xml:space="preserve">is specified for </w:t>
      </w:r>
      <w:r w:rsidR="00552065" w:rsidRPr="00743DEA">
        <w:t>an application</w:t>
      </w:r>
    </w:p>
    <w:p w14:paraId="516BC2BD" w14:textId="77777777" w:rsidR="00C44F9D" w:rsidRPr="00743DEA" w:rsidRDefault="00C44F9D" w:rsidP="00C44F9D">
      <w:pPr>
        <w:pStyle w:val="subsection"/>
      </w:pPr>
      <w:r w:rsidRPr="00743DEA">
        <w:tab/>
        <w:t>(6)</w:t>
      </w:r>
      <w:r w:rsidRPr="00743DEA">
        <w:tab/>
        <w:t xml:space="preserve">If </w:t>
      </w:r>
      <w:r w:rsidR="002C73C8" w:rsidRPr="00743DEA">
        <w:t xml:space="preserve">paragraphs (2)(a) and (b) both apply in relation to </w:t>
      </w:r>
      <w:r w:rsidRPr="00743DEA">
        <w:t xml:space="preserve">an application, the amount of the fee that is to accompany the application is the </w:t>
      </w:r>
      <w:r w:rsidR="002C73C8" w:rsidRPr="00743DEA">
        <w:t>lower of the applicable amounts</w:t>
      </w:r>
      <w:r w:rsidRPr="00743DEA">
        <w:t>.</w:t>
      </w:r>
    </w:p>
    <w:p w14:paraId="2E1AB736" w14:textId="77777777" w:rsidR="00AA0041" w:rsidRPr="00743DEA" w:rsidRDefault="00FB1881" w:rsidP="00273D60">
      <w:pPr>
        <w:pStyle w:val="ItemHead"/>
      </w:pPr>
      <w:r w:rsidRPr="00743DEA">
        <w:t>3</w:t>
      </w:r>
      <w:r w:rsidR="00AA0041" w:rsidRPr="00743DEA">
        <w:t xml:space="preserve">  </w:t>
      </w:r>
      <w:r w:rsidR="00542B85" w:rsidRPr="00743DEA">
        <w:t>Section 6</w:t>
      </w:r>
    </w:p>
    <w:p w14:paraId="51F35155" w14:textId="77777777" w:rsidR="00346A31" w:rsidRPr="00743DEA" w:rsidRDefault="00346A31" w:rsidP="00346A31">
      <w:pPr>
        <w:pStyle w:val="Item"/>
      </w:pPr>
      <w:r w:rsidRPr="00743DEA">
        <w:t>Repeal the section, substitute:</w:t>
      </w:r>
    </w:p>
    <w:p w14:paraId="7E8404FD" w14:textId="77777777" w:rsidR="00346A31" w:rsidRPr="00743DEA" w:rsidRDefault="00346A31" w:rsidP="00346A31">
      <w:pPr>
        <w:pStyle w:val="ActHead5"/>
      </w:pPr>
      <w:bookmarkStart w:id="14" w:name="_Toc74824968"/>
      <w:r w:rsidRPr="003B7BA8">
        <w:rPr>
          <w:rStyle w:val="CharSectno"/>
        </w:rPr>
        <w:t>6</w:t>
      </w:r>
      <w:r w:rsidRPr="00743DEA">
        <w:t xml:space="preserve">  Refund of overpayments of registration charge</w:t>
      </w:r>
      <w:bookmarkEnd w:id="14"/>
    </w:p>
    <w:p w14:paraId="29C05952" w14:textId="77777777" w:rsidR="00F401A5" w:rsidRPr="00743DEA" w:rsidRDefault="00F401A5" w:rsidP="00F401A5">
      <w:pPr>
        <w:pStyle w:val="subsection"/>
      </w:pPr>
      <w:r w:rsidRPr="00743DEA">
        <w:tab/>
      </w:r>
      <w:r w:rsidRPr="00743DEA">
        <w:tab/>
        <w:t>For the purposes of paragraph 22(b) of the Act, the Executive Director may, on behalf of the Commonwealth, refund an overpayment of registration charge by a person</w:t>
      </w:r>
      <w:r w:rsidR="00CD76DA" w:rsidRPr="00743DEA">
        <w:t xml:space="preserve"> in relation to a registration year</w:t>
      </w:r>
      <w:r w:rsidRPr="00743DEA">
        <w:t>:</w:t>
      </w:r>
    </w:p>
    <w:p w14:paraId="532F588F" w14:textId="77777777" w:rsidR="00F401A5" w:rsidRPr="00743DEA" w:rsidRDefault="00F401A5" w:rsidP="00F401A5">
      <w:pPr>
        <w:pStyle w:val="paragraph"/>
      </w:pPr>
      <w:r w:rsidRPr="00743DEA">
        <w:tab/>
        <w:t>(a)</w:t>
      </w:r>
      <w:r w:rsidRPr="00743DEA">
        <w:tab/>
        <w:t>on the Executive Director’s own initiative, at any time within 3 years after the end of the registration year; or</w:t>
      </w:r>
    </w:p>
    <w:p w14:paraId="5A654183" w14:textId="77777777" w:rsidR="00F401A5" w:rsidRPr="00743DEA" w:rsidRDefault="00F401A5" w:rsidP="00F401A5">
      <w:pPr>
        <w:pStyle w:val="paragraph"/>
      </w:pPr>
      <w:r w:rsidRPr="00743DEA">
        <w:tab/>
        <w:t>(b)</w:t>
      </w:r>
      <w:r w:rsidRPr="00743DEA">
        <w:tab/>
        <w:t>if, within 3 years after the end of the registration year, the person applies to the Executive Director, in writing, for the refund.</w:t>
      </w:r>
    </w:p>
    <w:p w14:paraId="798F1714" w14:textId="77777777" w:rsidR="00515436" w:rsidRPr="00743DEA" w:rsidRDefault="00542B85" w:rsidP="00515436">
      <w:pPr>
        <w:pStyle w:val="ActHead7"/>
        <w:pageBreakBefore/>
      </w:pPr>
      <w:bookmarkStart w:id="15" w:name="_Toc74824969"/>
      <w:r w:rsidRPr="003B7BA8">
        <w:rPr>
          <w:rStyle w:val="CharAmPartNo"/>
        </w:rPr>
        <w:lastRenderedPageBreak/>
        <w:t>Part 2</w:t>
      </w:r>
      <w:r w:rsidR="00515436" w:rsidRPr="00743DEA">
        <w:t>—</w:t>
      </w:r>
      <w:r w:rsidR="00515436" w:rsidRPr="003B7BA8">
        <w:rPr>
          <w:rStyle w:val="CharAmPartText"/>
        </w:rPr>
        <w:t>Transitional provisions</w:t>
      </w:r>
      <w:bookmarkEnd w:id="15"/>
    </w:p>
    <w:p w14:paraId="017547F7" w14:textId="77777777" w:rsidR="00CF047B" w:rsidRPr="00743DEA" w:rsidRDefault="00CF047B" w:rsidP="00CF047B">
      <w:pPr>
        <w:pStyle w:val="ActHead9"/>
      </w:pPr>
      <w:bookmarkStart w:id="16" w:name="_Toc74824970"/>
      <w:r w:rsidRPr="00743DEA">
        <w:t xml:space="preserve">Industrial Chemicals (Consequential Amendments and Transitional Provisions) </w:t>
      </w:r>
      <w:r w:rsidR="00743DEA" w:rsidRPr="00743DEA">
        <w:t>Rules 2</w:t>
      </w:r>
      <w:r w:rsidRPr="00743DEA">
        <w:t>019</w:t>
      </w:r>
      <w:bookmarkEnd w:id="16"/>
    </w:p>
    <w:p w14:paraId="0B567F36" w14:textId="77777777" w:rsidR="00515436" w:rsidRPr="00743DEA" w:rsidRDefault="00FB1881" w:rsidP="00515436">
      <w:pPr>
        <w:pStyle w:val="ItemHead"/>
      </w:pPr>
      <w:r w:rsidRPr="00743DEA">
        <w:t>4</w:t>
      </w:r>
      <w:r w:rsidR="00515436" w:rsidRPr="00743DEA">
        <w:t xml:space="preserve">  </w:t>
      </w:r>
      <w:r w:rsidR="00F6467D" w:rsidRPr="00743DEA">
        <w:t xml:space="preserve">After </w:t>
      </w:r>
      <w:r w:rsidR="00542B85" w:rsidRPr="00743DEA">
        <w:t>Part 1</w:t>
      </w:r>
      <w:r w:rsidR="00F6467D" w:rsidRPr="00743DEA">
        <w:t>4</w:t>
      </w:r>
    </w:p>
    <w:p w14:paraId="105B021A" w14:textId="77777777" w:rsidR="00F6467D" w:rsidRPr="00743DEA" w:rsidRDefault="00F6467D" w:rsidP="00F6467D">
      <w:pPr>
        <w:pStyle w:val="Item"/>
      </w:pPr>
      <w:r w:rsidRPr="00743DEA">
        <w:t>Insert:</w:t>
      </w:r>
    </w:p>
    <w:p w14:paraId="0E6C695E" w14:textId="77777777" w:rsidR="00F6467D" w:rsidRPr="00743DEA" w:rsidRDefault="00542B85" w:rsidP="00F6467D">
      <w:pPr>
        <w:pStyle w:val="ActHead2"/>
      </w:pPr>
      <w:bookmarkStart w:id="17" w:name="f_Check_Lines_above"/>
      <w:bookmarkStart w:id="18" w:name="_Toc74824971"/>
      <w:bookmarkEnd w:id="17"/>
      <w:r w:rsidRPr="003B7BA8">
        <w:rPr>
          <w:rStyle w:val="CharPartNo"/>
        </w:rPr>
        <w:t>Part 1</w:t>
      </w:r>
      <w:r w:rsidR="00F6467D" w:rsidRPr="003B7BA8">
        <w:rPr>
          <w:rStyle w:val="CharPartNo"/>
        </w:rPr>
        <w:t>5</w:t>
      </w:r>
      <w:r w:rsidR="00F6467D" w:rsidRPr="00743DEA">
        <w:t>—</w:t>
      </w:r>
      <w:r w:rsidR="00F6467D" w:rsidRPr="003B7BA8">
        <w:rPr>
          <w:rStyle w:val="CharPartText"/>
        </w:rPr>
        <w:t>Miscellaneous</w:t>
      </w:r>
      <w:bookmarkEnd w:id="18"/>
    </w:p>
    <w:p w14:paraId="7012E2AC" w14:textId="77777777" w:rsidR="009C3F26" w:rsidRPr="003B7BA8" w:rsidRDefault="009C3F26" w:rsidP="009C3F26">
      <w:pPr>
        <w:pStyle w:val="Header"/>
      </w:pPr>
      <w:r w:rsidRPr="003B7BA8">
        <w:rPr>
          <w:rStyle w:val="CharDivNo"/>
        </w:rPr>
        <w:t xml:space="preserve"> </w:t>
      </w:r>
      <w:r w:rsidRPr="003B7BA8">
        <w:rPr>
          <w:rStyle w:val="CharDivText"/>
        </w:rPr>
        <w:t xml:space="preserve"> </w:t>
      </w:r>
    </w:p>
    <w:p w14:paraId="1F8EC66D" w14:textId="77777777" w:rsidR="000039ED" w:rsidRPr="00743DEA" w:rsidRDefault="00F6467D" w:rsidP="000039ED">
      <w:pPr>
        <w:pStyle w:val="ActHead5"/>
      </w:pPr>
      <w:bookmarkStart w:id="19" w:name="_Toc74824972"/>
      <w:r w:rsidRPr="003B7BA8">
        <w:rPr>
          <w:rStyle w:val="CharSectno"/>
        </w:rPr>
        <w:t>84</w:t>
      </w:r>
      <w:r w:rsidR="000039ED" w:rsidRPr="00743DEA">
        <w:t xml:space="preserve">  </w:t>
      </w:r>
      <w:r w:rsidR="005666F1" w:rsidRPr="00743DEA">
        <w:t xml:space="preserve">Refund </w:t>
      </w:r>
      <w:r w:rsidR="000039ED" w:rsidRPr="00743DEA">
        <w:t xml:space="preserve">of </w:t>
      </w:r>
      <w:r w:rsidR="005666F1" w:rsidRPr="00743DEA">
        <w:t xml:space="preserve">overpayments of </w:t>
      </w:r>
      <w:r w:rsidR="000039ED" w:rsidRPr="00743DEA">
        <w:t>registration charge</w:t>
      </w:r>
      <w:r w:rsidR="005666F1" w:rsidRPr="00743DEA">
        <w:t xml:space="preserve"> paid under old Act</w:t>
      </w:r>
      <w:bookmarkEnd w:id="19"/>
    </w:p>
    <w:p w14:paraId="435F0F0D" w14:textId="77777777" w:rsidR="000039ED" w:rsidRPr="00743DEA" w:rsidRDefault="000039ED" w:rsidP="000039ED">
      <w:pPr>
        <w:pStyle w:val="subsection"/>
      </w:pPr>
      <w:r w:rsidRPr="00743DEA">
        <w:tab/>
        <w:t>(1)</w:t>
      </w:r>
      <w:r w:rsidRPr="00743DEA">
        <w:tab/>
        <w:t>This section applies if:</w:t>
      </w:r>
    </w:p>
    <w:p w14:paraId="30D13C31" w14:textId="77777777" w:rsidR="000039ED" w:rsidRPr="00743DEA" w:rsidRDefault="000039ED" w:rsidP="000039ED">
      <w:pPr>
        <w:pStyle w:val="paragraph"/>
      </w:pPr>
      <w:r w:rsidRPr="00743DEA">
        <w:tab/>
        <w:t>(a)</w:t>
      </w:r>
      <w:r w:rsidRPr="00743DEA">
        <w:tab/>
        <w:t>a person has paid an amount as or on account of registration charge</w:t>
      </w:r>
      <w:r w:rsidR="005666F1" w:rsidRPr="00743DEA">
        <w:t xml:space="preserve"> </w:t>
      </w:r>
      <w:r w:rsidRPr="00743DEA">
        <w:t xml:space="preserve">in relation to </w:t>
      </w:r>
      <w:r w:rsidR="005666F1" w:rsidRPr="00743DEA">
        <w:t xml:space="preserve">a </w:t>
      </w:r>
      <w:r w:rsidRPr="00743DEA">
        <w:t>registration year</w:t>
      </w:r>
      <w:r w:rsidR="005666F1" w:rsidRPr="00743DEA">
        <w:t xml:space="preserve">, imposed as referred to in </w:t>
      </w:r>
      <w:r w:rsidR="00542B85" w:rsidRPr="00743DEA">
        <w:t>section 8</w:t>
      </w:r>
      <w:r w:rsidR="005666F1" w:rsidRPr="00743DEA">
        <w:t xml:space="preserve">0S of the </w:t>
      </w:r>
      <w:r w:rsidR="005666F1" w:rsidRPr="00743DEA">
        <w:rPr>
          <w:i/>
        </w:rPr>
        <w:t>Industrial Chemicals (Notification and Assessment) Act 1989</w:t>
      </w:r>
      <w:bookmarkStart w:id="20" w:name="BK_S3P6L12C60"/>
      <w:bookmarkEnd w:id="20"/>
      <w:r w:rsidR="005666F1" w:rsidRPr="00743DEA">
        <w:t xml:space="preserve">, as in force immediately before </w:t>
      </w:r>
      <w:r w:rsidR="00542B85" w:rsidRPr="00743DEA">
        <w:t>1 July</w:t>
      </w:r>
      <w:r w:rsidR="005666F1" w:rsidRPr="00743DEA">
        <w:t xml:space="preserve"> 2020</w:t>
      </w:r>
      <w:r w:rsidRPr="00743DEA">
        <w:t>; and</w:t>
      </w:r>
    </w:p>
    <w:p w14:paraId="65FEEECD" w14:textId="77777777" w:rsidR="000039ED" w:rsidRPr="00743DEA" w:rsidRDefault="000039ED" w:rsidP="000039ED">
      <w:pPr>
        <w:pStyle w:val="paragraph"/>
      </w:pPr>
      <w:r w:rsidRPr="00743DEA">
        <w:tab/>
        <w:t>(b)</w:t>
      </w:r>
      <w:r w:rsidRPr="00743DEA">
        <w:tab/>
        <w:t xml:space="preserve">the amount paid was greater than the amount (if any) the person was liable to pay under </w:t>
      </w:r>
      <w:r w:rsidR="005666F1" w:rsidRPr="00743DEA">
        <w:t xml:space="preserve">that </w:t>
      </w:r>
      <w:r w:rsidRPr="00743DEA">
        <w:t>section</w:t>
      </w:r>
      <w:r w:rsidR="005666F1" w:rsidRPr="00743DEA">
        <w:t xml:space="preserve"> </w:t>
      </w:r>
      <w:r w:rsidRPr="00743DEA">
        <w:t>in relation to the registration year.</w:t>
      </w:r>
    </w:p>
    <w:p w14:paraId="001C27DC" w14:textId="77777777" w:rsidR="000039ED" w:rsidRPr="00743DEA" w:rsidRDefault="000039ED" w:rsidP="000039ED">
      <w:pPr>
        <w:pStyle w:val="subsection"/>
      </w:pPr>
      <w:r w:rsidRPr="00743DEA">
        <w:tab/>
        <w:t>(2)</w:t>
      </w:r>
      <w:r w:rsidRPr="00743DEA">
        <w:tab/>
        <w:t xml:space="preserve">The Executive Director may, on behalf of the Commonwealth, refund </w:t>
      </w:r>
      <w:r w:rsidR="00D25F8A" w:rsidRPr="00743DEA">
        <w:t xml:space="preserve">the </w:t>
      </w:r>
      <w:r w:rsidRPr="00743DEA">
        <w:t xml:space="preserve">overpayment of registration charge by </w:t>
      </w:r>
      <w:r w:rsidR="00D25F8A" w:rsidRPr="00743DEA">
        <w:t>the</w:t>
      </w:r>
      <w:r w:rsidRPr="00743DEA">
        <w:t xml:space="preserve"> person in relation to </w:t>
      </w:r>
      <w:r w:rsidR="00D25F8A" w:rsidRPr="00743DEA">
        <w:t>the</w:t>
      </w:r>
      <w:r w:rsidRPr="00743DEA">
        <w:t xml:space="preserve"> registration year:</w:t>
      </w:r>
    </w:p>
    <w:p w14:paraId="5331E04A" w14:textId="77777777" w:rsidR="000039ED" w:rsidRPr="00743DEA" w:rsidRDefault="000039ED" w:rsidP="000039ED">
      <w:pPr>
        <w:pStyle w:val="paragraph"/>
      </w:pPr>
      <w:r w:rsidRPr="00743DEA">
        <w:tab/>
        <w:t>(a)</w:t>
      </w:r>
      <w:r w:rsidRPr="00743DEA">
        <w:tab/>
        <w:t xml:space="preserve">on the Executive Director’s own initiative, at any time </w:t>
      </w:r>
      <w:r w:rsidR="00D25F8A" w:rsidRPr="00743DEA">
        <w:t>within 3 years after the end of the registration year</w:t>
      </w:r>
      <w:r w:rsidRPr="00743DEA">
        <w:t>; or</w:t>
      </w:r>
    </w:p>
    <w:p w14:paraId="3B7647A8" w14:textId="77777777" w:rsidR="00D25F8A" w:rsidRPr="00743DEA" w:rsidRDefault="000039ED" w:rsidP="00D25F8A">
      <w:pPr>
        <w:pStyle w:val="paragraph"/>
      </w:pPr>
      <w:r w:rsidRPr="00743DEA">
        <w:tab/>
        <w:t>(b)</w:t>
      </w:r>
      <w:r w:rsidRPr="00743DEA">
        <w:tab/>
        <w:t xml:space="preserve">if, within 3 </w:t>
      </w:r>
      <w:bookmarkStart w:id="21" w:name="opcCurrentPosition"/>
      <w:bookmarkEnd w:id="21"/>
      <w:r w:rsidRPr="00743DEA">
        <w:t>years after the end of the registration year, the person applies to the Executive Director, in writing, for the refund.</w:t>
      </w:r>
    </w:p>
    <w:sectPr w:rsidR="00D25F8A" w:rsidRPr="00743DEA" w:rsidSect="002B59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1849" w14:textId="77777777" w:rsidR="008A340E" w:rsidRDefault="008A340E" w:rsidP="0048364F">
      <w:pPr>
        <w:spacing w:line="240" w:lineRule="auto"/>
      </w:pPr>
      <w:r>
        <w:separator/>
      </w:r>
    </w:p>
  </w:endnote>
  <w:endnote w:type="continuationSeparator" w:id="0">
    <w:p w14:paraId="369C07CA" w14:textId="77777777" w:rsidR="008A340E" w:rsidRDefault="008A34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FEE9" w14:textId="77777777" w:rsidR="008A340E" w:rsidRPr="002B59EC" w:rsidRDefault="002B59EC" w:rsidP="002B5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59EC">
      <w:rPr>
        <w:i/>
        <w:sz w:val="18"/>
      </w:rPr>
      <w:t>OPC65215 -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DB15" w14:textId="77777777" w:rsidR="008A340E" w:rsidRDefault="008A340E" w:rsidP="00E97334"/>
  <w:p w14:paraId="768897C2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EC13" w14:textId="77777777" w:rsidR="008A340E" w:rsidRPr="002B59EC" w:rsidRDefault="002B59EC" w:rsidP="002B5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59EC">
      <w:rPr>
        <w:i/>
        <w:sz w:val="18"/>
      </w:rPr>
      <w:t>OPC65215 -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BD27" w14:textId="77777777" w:rsidR="008A340E" w:rsidRPr="00E33C1C" w:rsidRDefault="008A34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340E" w14:paraId="29FC6435" w14:textId="77777777" w:rsidTr="003B7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E33517" w14:textId="77777777" w:rsidR="008A340E" w:rsidRDefault="008A340E" w:rsidP="00BE59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78AED8" w14:textId="251C5484" w:rsidR="008A340E" w:rsidRDefault="008A340E" w:rsidP="00BE59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11">
            <w:rPr>
              <w:i/>
              <w:sz w:val="18"/>
            </w:rPr>
            <w:t>Industrial Chemicals (Fees and Charges) Legislation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D845D8" w14:textId="77777777" w:rsidR="008A340E" w:rsidRDefault="008A340E" w:rsidP="00BE59FE">
          <w:pPr>
            <w:spacing w:line="0" w:lineRule="atLeast"/>
            <w:jc w:val="right"/>
            <w:rPr>
              <w:sz w:val="18"/>
            </w:rPr>
          </w:pPr>
        </w:p>
      </w:tc>
    </w:tr>
  </w:tbl>
  <w:p w14:paraId="529D1EF1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DAF1" w14:textId="77777777" w:rsidR="008A340E" w:rsidRPr="00E33C1C" w:rsidRDefault="008A34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A340E" w14:paraId="3CC40DA4" w14:textId="77777777" w:rsidTr="003B7B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B8F6BC" w14:textId="77777777" w:rsidR="008A340E" w:rsidRDefault="008A340E" w:rsidP="00BE59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DE8A6C" w14:textId="05A6C003" w:rsidR="008A340E" w:rsidRDefault="008A340E" w:rsidP="00BE59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11">
            <w:rPr>
              <w:i/>
              <w:sz w:val="18"/>
            </w:rPr>
            <w:t>Industrial Chemicals (Fees and Charges) Legislation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3714DD7" w14:textId="77777777" w:rsidR="008A340E" w:rsidRDefault="008A340E" w:rsidP="00BE59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4C32EE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7CB1" w14:textId="77777777" w:rsidR="008A340E" w:rsidRPr="00E33C1C" w:rsidRDefault="008A34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340E" w14:paraId="2B6DA131" w14:textId="77777777" w:rsidTr="003B7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C79DA" w14:textId="77777777" w:rsidR="008A340E" w:rsidRDefault="008A340E" w:rsidP="00BE59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B7B3C" w14:textId="4F373748" w:rsidR="008A340E" w:rsidRDefault="008A340E" w:rsidP="00BE59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11">
            <w:rPr>
              <w:i/>
              <w:sz w:val="18"/>
            </w:rPr>
            <w:t>Industrial Chemicals (Fees and Charges) Legislation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37ADF" w14:textId="77777777" w:rsidR="008A340E" w:rsidRDefault="008A340E" w:rsidP="00BE59FE">
          <w:pPr>
            <w:spacing w:line="0" w:lineRule="atLeast"/>
            <w:jc w:val="right"/>
            <w:rPr>
              <w:sz w:val="18"/>
            </w:rPr>
          </w:pPr>
        </w:p>
      </w:tc>
    </w:tr>
  </w:tbl>
  <w:p w14:paraId="27CDA906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CB9D8" w14:textId="77777777" w:rsidR="008A340E" w:rsidRPr="00E33C1C" w:rsidRDefault="008A34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340E" w14:paraId="08EE0AC1" w14:textId="77777777" w:rsidTr="00BE59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24598" w14:textId="77777777" w:rsidR="008A340E" w:rsidRDefault="008A340E" w:rsidP="00BE59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4C5E9" w14:textId="77154A18" w:rsidR="008A340E" w:rsidRDefault="008A340E" w:rsidP="00BE59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11">
            <w:rPr>
              <w:i/>
              <w:sz w:val="18"/>
            </w:rPr>
            <w:t>Industrial Chemicals (Fees and Charges) Legislation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978D9" w14:textId="77777777" w:rsidR="008A340E" w:rsidRDefault="008A340E" w:rsidP="00BE59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1F5380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5AD2B" w14:textId="77777777" w:rsidR="008A340E" w:rsidRPr="00E33C1C" w:rsidRDefault="008A34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340E" w14:paraId="48B94E5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91086F" w14:textId="77777777" w:rsidR="008A340E" w:rsidRDefault="008A340E" w:rsidP="00BE59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D84E8" w14:textId="539C476E" w:rsidR="008A340E" w:rsidRDefault="008A340E" w:rsidP="00BE59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C11">
            <w:rPr>
              <w:i/>
              <w:sz w:val="18"/>
            </w:rPr>
            <w:t>Industrial Chemicals (Fees and Charges) Legislation Amendment (2021 Measures No. 1)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E0AF7D" w14:textId="77777777" w:rsidR="008A340E" w:rsidRDefault="008A340E" w:rsidP="00BE59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FE2F4E" w14:textId="77777777" w:rsidR="008A340E" w:rsidRPr="002B59EC" w:rsidRDefault="002B59EC" w:rsidP="002B59EC">
    <w:pPr>
      <w:rPr>
        <w:rFonts w:cs="Times New Roman"/>
        <w:i/>
        <w:sz w:val="18"/>
      </w:rPr>
    </w:pPr>
    <w:r w:rsidRPr="002B59EC">
      <w:rPr>
        <w:rFonts w:cs="Times New Roman"/>
        <w:i/>
        <w:sz w:val="18"/>
      </w:rPr>
      <w:t>OPC65215 -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A39C" w14:textId="77777777" w:rsidR="008A340E" w:rsidRDefault="008A340E" w:rsidP="0048364F">
      <w:pPr>
        <w:spacing w:line="240" w:lineRule="auto"/>
      </w:pPr>
      <w:r>
        <w:separator/>
      </w:r>
    </w:p>
  </w:footnote>
  <w:footnote w:type="continuationSeparator" w:id="0">
    <w:p w14:paraId="20BF9F3F" w14:textId="77777777" w:rsidR="008A340E" w:rsidRDefault="008A34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97A8" w14:textId="77777777" w:rsidR="008A340E" w:rsidRPr="005F1388" w:rsidRDefault="008A34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6141" w14:textId="77777777" w:rsidR="008A340E" w:rsidRPr="005F1388" w:rsidRDefault="008A340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4BAF" w14:textId="77777777" w:rsidR="008A340E" w:rsidRPr="005F1388" w:rsidRDefault="008A34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43CE" w14:textId="77777777" w:rsidR="008A340E" w:rsidRPr="00ED79B6" w:rsidRDefault="008A34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5072" w14:textId="77777777" w:rsidR="008A340E" w:rsidRPr="00ED79B6" w:rsidRDefault="008A34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C9A1" w14:textId="77777777" w:rsidR="008A340E" w:rsidRPr="00ED79B6" w:rsidRDefault="008A34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37AE" w14:textId="52437EFD" w:rsidR="008A340E" w:rsidRPr="00A961C4" w:rsidRDefault="008A34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35C11">
      <w:rPr>
        <w:b/>
        <w:sz w:val="20"/>
      </w:rPr>
      <w:fldChar w:fldCharType="separate"/>
    </w:r>
    <w:r w:rsidR="00635C1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35C11">
      <w:rPr>
        <w:sz w:val="20"/>
      </w:rPr>
      <w:fldChar w:fldCharType="separate"/>
    </w:r>
    <w:r w:rsidR="00635C11">
      <w:rPr>
        <w:noProof/>
        <w:sz w:val="20"/>
      </w:rPr>
      <w:t>Amendments</w:t>
    </w:r>
    <w:r>
      <w:rPr>
        <w:sz w:val="20"/>
      </w:rPr>
      <w:fldChar w:fldCharType="end"/>
    </w:r>
  </w:p>
  <w:p w14:paraId="3A81D671" w14:textId="08E74D25" w:rsidR="008A340E" w:rsidRPr="00A961C4" w:rsidRDefault="008A34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35C11">
      <w:rPr>
        <w:b/>
        <w:sz w:val="20"/>
      </w:rPr>
      <w:fldChar w:fldCharType="separate"/>
    </w:r>
    <w:r w:rsidR="00635C1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35C11">
      <w:rPr>
        <w:sz w:val="20"/>
      </w:rPr>
      <w:fldChar w:fldCharType="separate"/>
    </w:r>
    <w:r w:rsidR="00635C11">
      <w:rPr>
        <w:noProof/>
        <w:sz w:val="20"/>
      </w:rPr>
      <w:t>Transitional provisions</w:t>
    </w:r>
    <w:r>
      <w:rPr>
        <w:sz w:val="20"/>
      </w:rPr>
      <w:fldChar w:fldCharType="end"/>
    </w:r>
  </w:p>
  <w:p w14:paraId="220C8ACA" w14:textId="77777777" w:rsidR="008A340E" w:rsidRPr="00A961C4" w:rsidRDefault="008A34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4C34" w14:textId="6D9F9462" w:rsidR="008A340E" w:rsidRPr="00A961C4" w:rsidRDefault="008A340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35C11">
      <w:rPr>
        <w:sz w:val="20"/>
      </w:rPr>
      <w:fldChar w:fldCharType="separate"/>
    </w:r>
    <w:r w:rsidR="00635C1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35C11">
      <w:rPr>
        <w:b/>
        <w:sz w:val="20"/>
      </w:rPr>
      <w:fldChar w:fldCharType="separate"/>
    </w:r>
    <w:r w:rsidR="00635C1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3A4899" w14:textId="5D3BA795" w:rsidR="008A340E" w:rsidRPr="00A961C4" w:rsidRDefault="008A34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35C11">
      <w:rPr>
        <w:sz w:val="20"/>
      </w:rPr>
      <w:fldChar w:fldCharType="separate"/>
    </w:r>
    <w:r w:rsidR="00635C11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35C11">
      <w:rPr>
        <w:b/>
        <w:sz w:val="20"/>
      </w:rPr>
      <w:fldChar w:fldCharType="separate"/>
    </w:r>
    <w:r w:rsidR="00635C11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DFFEA06" w14:textId="77777777" w:rsidR="008A340E" w:rsidRPr="00A961C4" w:rsidRDefault="008A34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634D" w14:textId="77777777" w:rsidR="008A340E" w:rsidRPr="00A961C4" w:rsidRDefault="008A340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5D5D5D"/>
    <w:multiLevelType w:val="hybridMultilevel"/>
    <w:tmpl w:val="0432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55C3A"/>
    <w:multiLevelType w:val="hybridMultilevel"/>
    <w:tmpl w:val="AD8EB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783A2D52"/>
    <w:multiLevelType w:val="hybridMultilevel"/>
    <w:tmpl w:val="CDF8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5F2A"/>
    <w:rsid w:val="00000263"/>
    <w:rsid w:val="000039ED"/>
    <w:rsid w:val="000113BC"/>
    <w:rsid w:val="000136AF"/>
    <w:rsid w:val="00013CE6"/>
    <w:rsid w:val="00016F9B"/>
    <w:rsid w:val="00025465"/>
    <w:rsid w:val="00025E98"/>
    <w:rsid w:val="0004044E"/>
    <w:rsid w:val="00046F47"/>
    <w:rsid w:val="0005120E"/>
    <w:rsid w:val="00053B7F"/>
    <w:rsid w:val="00054577"/>
    <w:rsid w:val="000614BF"/>
    <w:rsid w:val="0007169C"/>
    <w:rsid w:val="00075EC3"/>
    <w:rsid w:val="00077593"/>
    <w:rsid w:val="00083F48"/>
    <w:rsid w:val="00096B66"/>
    <w:rsid w:val="000A7DF9"/>
    <w:rsid w:val="000B5784"/>
    <w:rsid w:val="000D05EF"/>
    <w:rsid w:val="000D5485"/>
    <w:rsid w:val="000F21C1"/>
    <w:rsid w:val="00105D72"/>
    <w:rsid w:val="0010745C"/>
    <w:rsid w:val="0011300E"/>
    <w:rsid w:val="00117277"/>
    <w:rsid w:val="00160BD7"/>
    <w:rsid w:val="001643C9"/>
    <w:rsid w:val="00165568"/>
    <w:rsid w:val="00166082"/>
    <w:rsid w:val="00166C2F"/>
    <w:rsid w:val="001716C9"/>
    <w:rsid w:val="0018282A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12F4"/>
    <w:rsid w:val="001C69C4"/>
    <w:rsid w:val="001E0A8D"/>
    <w:rsid w:val="001E3590"/>
    <w:rsid w:val="001E7407"/>
    <w:rsid w:val="001F7354"/>
    <w:rsid w:val="00201D27"/>
    <w:rsid w:val="0020300C"/>
    <w:rsid w:val="00207F6C"/>
    <w:rsid w:val="002169F1"/>
    <w:rsid w:val="00220A0C"/>
    <w:rsid w:val="00223E4A"/>
    <w:rsid w:val="00223E7F"/>
    <w:rsid w:val="002302EA"/>
    <w:rsid w:val="00240749"/>
    <w:rsid w:val="002468D7"/>
    <w:rsid w:val="00263C25"/>
    <w:rsid w:val="00273D60"/>
    <w:rsid w:val="00285CDD"/>
    <w:rsid w:val="00291167"/>
    <w:rsid w:val="00297ECB"/>
    <w:rsid w:val="002B59EC"/>
    <w:rsid w:val="002C152A"/>
    <w:rsid w:val="002C73C8"/>
    <w:rsid w:val="002D043A"/>
    <w:rsid w:val="0031713F"/>
    <w:rsid w:val="00321913"/>
    <w:rsid w:val="00324EE6"/>
    <w:rsid w:val="003254EB"/>
    <w:rsid w:val="003316DC"/>
    <w:rsid w:val="00332E0D"/>
    <w:rsid w:val="003415D3"/>
    <w:rsid w:val="003418A4"/>
    <w:rsid w:val="00346335"/>
    <w:rsid w:val="00346A31"/>
    <w:rsid w:val="00352B0F"/>
    <w:rsid w:val="003561B0"/>
    <w:rsid w:val="00367960"/>
    <w:rsid w:val="00382446"/>
    <w:rsid w:val="003A15AC"/>
    <w:rsid w:val="003A56EB"/>
    <w:rsid w:val="003B0627"/>
    <w:rsid w:val="003B7BA8"/>
    <w:rsid w:val="003C5F2B"/>
    <w:rsid w:val="003D0BFE"/>
    <w:rsid w:val="003D0F4B"/>
    <w:rsid w:val="003D5700"/>
    <w:rsid w:val="003F0F5A"/>
    <w:rsid w:val="00400A30"/>
    <w:rsid w:val="004022CA"/>
    <w:rsid w:val="004116CD"/>
    <w:rsid w:val="00413ECA"/>
    <w:rsid w:val="00414ADE"/>
    <w:rsid w:val="00420B23"/>
    <w:rsid w:val="00420EF0"/>
    <w:rsid w:val="00424CA9"/>
    <w:rsid w:val="004257BB"/>
    <w:rsid w:val="004261D9"/>
    <w:rsid w:val="0044291A"/>
    <w:rsid w:val="00460499"/>
    <w:rsid w:val="00463B14"/>
    <w:rsid w:val="00474835"/>
    <w:rsid w:val="004819C7"/>
    <w:rsid w:val="0048364F"/>
    <w:rsid w:val="00490F2E"/>
    <w:rsid w:val="00496DB3"/>
    <w:rsid w:val="00496F97"/>
    <w:rsid w:val="004A53EA"/>
    <w:rsid w:val="004C78F2"/>
    <w:rsid w:val="004D23CD"/>
    <w:rsid w:val="004D7E38"/>
    <w:rsid w:val="004F1FAC"/>
    <w:rsid w:val="004F676E"/>
    <w:rsid w:val="00501DF7"/>
    <w:rsid w:val="00515436"/>
    <w:rsid w:val="00516B8D"/>
    <w:rsid w:val="0052686F"/>
    <w:rsid w:val="0052756C"/>
    <w:rsid w:val="00530230"/>
    <w:rsid w:val="00530CC9"/>
    <w:rsid w:val="00537FBC"/>
    <w:rsid w:val="00541D73"/>
    <w:rsid w:val="00542B85"/>
    <w:rsid w:val="00543469"/>
    <w:rsid w:val="005452CC"/>
    <w:rsid w:val="00546FA3"/>
    <w:rsid w:val="00552065"/>
    <w:rsid w:val="005535E3"/>
    <w:rsid w:val="00554243"/>
    <w:rsid w:val="00557C7A"/>
    <w:rsid w:val="00562A58"/>
    <w:rsid w:val="005666F1"/>
    <w:rsid w:val="00580528"/>
    <w:rsid w:val="00581211"/>
    <w:rsid w:val="00584811"/>
    <w:rsid w:val="00593AA6"/>
    <w:rsid w:val="00594161"/>
    <w:rsid w:val="00594512"/>
    <w:rsid w:val="00594749"/>
    <w:rsid w:val="005A482B"/>
    <w:rsid w:val="005A7824"/>
    <w:rsid w:val="005B4067"/>
    <w:rsid w:val="005B65B8"/>
    <w:rsid w:val="005C36E0"/>
    <w:rsid w:val="005C3F41"/>
    <w:rsid w:val="005D168D"/>
    <w:rsid w:val="005D5EA1"/>
    <w:rsid w:val="005E61D3"/>
    <w:rsid w:val="005F7738"/>
    <w:rsid w:val="00600219"/>
    <w:rsid w:val="0061070A"/>
    <w:rsid w:val="00613EAD"/>
    <w:rsid w:val="006158AC"/>
    <w:rsid w:val="00635C11"/>
    <w:rsid w:val="00640402"/>
    <w:rsid w:val="00640F78"/>
    <w:rsid w:val="00646E7B"/>
    <w:rsid w:val="00655D6A"/>
    <w:rsid w:val="00656DE9"/>
    <w:rsid w:val="00677CC2"/>
    <w:rsid w:val="006813AF"/>
    <w:rsid w:val="00685F42"/>
    <w:rsid w:val="006866A1"/>
    <w:rsid w:val="0069207B"/>
    <w:rsid w:val="00692E7C"/>
    <w:rsid w:val="006A4309"/>
    <w:rsid w:val="006B0E55"/>
    <w:rsid w:val="006B7006"/>
    <w:rsid w:val="006C2D16"/>
    <w:rsid w:val="006C3D96"/>
    <w:rsid w:val="006C7F8C"/>
    <w:rsid w:val="006D7AB9"/>
    <w:rsid w:val="006F3657"/>
    <w:rsid w:val="00700B2C"/>
    <w:rsid w:val="0071069D"/>
    <w:rsid w:val="00713084"/>
    <w:rsid w:val="00720FC2"/>
    <w:rsid w:val="00721A5B"/>
    <w:rsid w:val="00727A60"/>
    <w:rsid w:val="00731E00"/>
    <w:rsid w:val="00732E9D"/>
    <w:rsid w:val="0073491A"/>
    <w:rsid w:val="00743DEA"/>
    <w:rsid w:val="007440B7"/>
    <w:rsid w:val="00747993"/>
    <w:rsid w:val="0075372F"/>
    <w:rsid w:val="007634AD"/>
    <w:rsid w:val="0077136F"/>
    <w:rsid w:val="007715C9"/>
    <w:rsid w:val="00774EDD"/>
    <w:rsid w:val="007757EC"/>
    <w:rsid w:val="007A115D"/>
    <w:rsid w:val="007A35E6"/>
    <w:rsid w:val="007A6863"/>
    <w:rsid w:val="007D02F2"/>
    <w:rsid w:val="007D1866"/>
    <w:rsid w:val="007D45C1"/>
    <w:rsid w:val="007E7D4A"/>
    <w:rsid w:val="007F48ED"/>
    <w:rsid w:val="007F7947"/>
    <w:rsid w:val="00812F45"/>
    <w:rsid w:val="00823137"/>
    <w:rsid w:val="00823B55"/>
    <w:rsid w:val="00835F2A"/>
    <w:rsid w:val="0084172C"/>
    <w:rsid w:val="00856A31"/>
    <w:rsid w:val="0086035E"/>
    <w:rsid w:val="0087365F"/>
    <w:rsid w:val="008754D0"/>
    <w:rsid w:val="00877D48"/>
    <w:rsid w:val="008816F0"/>
    <w:rsid w:val="0088345B"/>
    <w:rsid w:val="00885749"/>
    <w:rsid w:val="008A16A5"/>
    <w:rsid w:val="008A340E"/>
    <w:rsid w:val="008B51AE"/>
    <w:rsid w:val="008B5D42"/>
    <w:rsid w:val="008C2B5D"/>
    <w:rsid w:val="008C4894"/>
    <w:rsid w:val="008D0EE0"/>
    <w:rsid w:val="008D5B99"/>
    <w:rsid w:val="008D7A27"/>
    <w:rsid w:val="008E4702"/>
    <w:rsid w:val="008E69AA"/>
    <w:rsid w:val="008F4F1C"/>
    <w:rsid w:val="008F6D60"/>
    <w:rsid w:val="00904174"/>
    <w:rsid w:val="0091557A"/>
    <w:rsid w:val="009171EB"/>
    <w:rsid w:val="00922764"/>
    <w:rsid w:val="00932377"/>
    <w:rsid w:val="009408EA"/>
    <w:rsid w:val="00943102"/>
    <w:rsid w:val="0094523D"/>
    <w:rsid w:val="009559E6"/>
    <w:rsid w:val="00960E0B"/>
    <w:rsid w:val="00976A63"/>
    <w:rsid w:val="00982E7E"/>
    <w:rsid w:val="00983419"/>
    <w:rsid w:val="00994821"/>
    <w:rsid w:val="009C3431"/>
    <w:rsid w:val="009C3F26"/>
    <w:rsid w:val="009C5989"/>
    <w:rsid w:val="009D08DA"/>
    <w:rsid w:val="009D4DA0"/>
    <w:rsid w:val="00A06860"/>
    <w:rsid w:val="00A136F5"/>
    <w:rsid w:val="00A231E2"/>
    <w:rsid w:val="00A2550D"/>
    <w:rsid w:val="00A317A3"/>
    <w:rsid w:val="00A4169B"/>
    <w:rsid w:val="00A445F2"/>
    <w:rsid w:val="00A50D55"/>
    <w:rsid w:val="00A5165B"/>
    <w:rsid w:val="00A52FDA"/>
    <w:rsid w:val="00A55698"/>
    <w:rsid w:val="00A55BFD"/>
    <w:rsid w:val="00A64912"/>
    <w:rsid w:val="00A70A74"/>
    <w:rsid w:val="00A90EA8"/>
    <w:rsid w:val="00AA0041"/>
    <w:rsid w:val="00AA0343"/>
    <w:rsid w:val="00AA2A5C"/>
    <w:rsid w:val="00AB78E9"/>
    <w:rsid w:val="00AD253A"/>
    <w:rsid w:val="00AD3467"/>
    <w:rsid w:val="00AD5641"/>
    <w:rsid w:val="00AD7252"/>
    <w:rsid w:val="00AE0F9B"/>
    <w:rsid w:val="00AF55FF"/>
    <w:rsid w:val="00B032D8"/>
    <w:rsid w:val="00B1561C"/>
    <w:rsid w:val="00B312D5"/>
    <w:rsid w:val="00B33B3C"/>
    <w:rsid w:val="00B405DE"/>
    <w:rsid w:val="00B40D74"/>
    <w:rsid w:val="00B52663"/>
    <w:rsid w:val="00B56DCB"/>
    <w:rsid w:val="00B73D40"/>
    <w:rsid w:val="00B7429D"/>
    <w:rsid w:val="00B770D2"/>
    <w:rsid w:val="00B87152"/>
    <w:rsid w:val="00B94F68"/>
    <w:rsid w:val="00BA47A3"/>
    <w:rsid w:val="00BA5026"/>
    <w:rsid w:val="00BB6E79"/>
    <w:rsid w:val="00BE3B31"/>
    <w:rsid w:val="00BE59FE"/>
    <w:rsid w:val="00BE719A"/>
    <w:rsid w:val="00BE720A"/>
    <w:rsid w:val="00BF002D"/>
    <w:rsid w:val="00BF6650"/>
    <w:rsid w:val="00C00714"/>
    <w:rsid w:val="00C067E5"/>
    <w:rsid w:val="00C13922"/>
    <w:rsid w:val="00C164CA"/>
    <w:rsid w:val="00C42BF8"/>
    <w:rsid w:val="00C44F9D"/>
    <w:rsid w:val="00C455AE"/>
    <w:rsid w:val="00C460AE"/>
    <w:rsid w:val="00C50043"/>
    <w:rsid w:val="00C50A0F"/>
    <w:rsid w:val="00C74FA0"/>
    <w:rsid w:val="00C7573B"/>
    <w:rsid w:val="00C76CF3"/>
    <w:rsid w:val="00C80461"/>
    <w:rsid w:val="00CA7844"/>
    <w:rsid w:val="00CB58EF"/>
    <w:rsid w:val="00CD76DA"/>
    <w:rsid w:val="00CE7D64"/>
    <w:rsid w:val="00CF047B"/>
    <w:rsid w:val="00CF0BB2"/>
    <w:rsid w:val="00D13441"/>
    <w:rsid w:val="00D20665"/>
    <w:rsid w:val="00D243A3"/>
    <w:rsid w:val="00D25F8A"/>
    <w:rsid w:val="00D3200B"/>
    <w:rsid w:val="00D33440"/>
    <w:rsid w:val="00D45031"/>
    <w:rsid w:val="00D52EFE"/>
    <w:rsid w:val="00D56A0D"/>
    <w:rsid w:val="00D570D9"/>
    <w:rsid w:val="00D5767F"/>
    <w:rsid w:val="00D57D57"/>
    <w:rsid w:val="00D63EF6"/>
    <w:rsid w:val="00D66518"/>
    <w:rsid w:val="00D70DFB"/>
    <w:rsid w:val="00D71EEA"/>
    <w:rsid w:val="00D735CD"/>
    <w:rsid w:val="00D766DF"/>
    <w:rsid w:val="00D95891"/>
    <w:rsid w:val="00DB5CB4"/>
    <w:rsid w:val="00DC3B08"/>
    <w:rsid w:val="00DC6F64"/>
    <w:rsid w:val="00DE149E"/>
    <w:rsid w:val="00E05704"/>
    <w:rsid w:val="00E12D39"/>
    <w:rsid w:val="00E12F1A"/>
    <w:rsid w:val="00E15561"/>
    <w:rsid w:val="00E21CFB"/>
    <w:rsid w:val="00E22935"/>
    <w:rsid w:val="00E47AB8"/>
    <w:rsid w:val="00E517D8"/>
    <w:rsid w:val="00E54292"/>
    <w:rsid w:val="00E60191"/>
    <w:rsid w:val="00E74DC7"/>
    <w:rsid w:val="00E87699"/>
    <w:rsid w:val="00E92E27"/>
    <w:rsid w:val="00E9586B"/>
    <w:rsid w:val="00E97334"/>
    <w:rsid w:val="00EA0D36"/>
    <w:rsid w:val="00EB4C09"/>
    <w:rsid w:val="00ED357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E6C"/>
    <w:rsid w:val="00F401A5"/>
    <w:rsid w:val="00F6467D"/>
    <w:rsid w:val="00F6709F"/>
    <w:rsid w:val="00F677A9"/>
    <w:rsid w:val="00F723BD"/>
    <w:rsid w:val="00F732EA"/>
    <w:rsid w:val="00F84CF5"/>
    <w:rsid w:val="00F8612E"/>
    <w:rsid w:val="00FA420B"/>
    <w:rsid w:val="00FB1881"/>
    <w:rsid w:val="00FC5DB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3A4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43D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D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D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D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D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D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3D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3D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3DEA"/>
  </w:style>
  <w:style w:type="paragraph" w:customStyle="1" w:styleId="OPCParaBase">
    <w:name w:val="OPCParaBase"/>
    <w:qFormat/>
    <w:rsid w:val="00743D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3D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3D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3D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3D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3D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43D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3D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3D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3D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3D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3DEA"/>
  </w:style>
  <w:style w:type="paragraph" w:customStyle="1" w:styleId="Blocks">
    <w:name w:val="Blocks"/>
    <w:aliases w:val="bb"/>
    <w:basedOn w:val="OPCParaBase"/>
    <w:qFormat/>
    <w:rsid w:val="00743D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3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3D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3DEA"/>
    <w:rPr>
      <w:i/>
    </w:rPr>
  </w:style>
  <w:style w:type="paragraph" w:customStyle="1" w:styleId="BoxList">
    <w:name w:val="BoxList"/>
    <w:aliases w:val="bl"/>
    <w:basedOn w:val="BoxText"/>
    <w:qFormat/>
    <w:rsid w:val="00743D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3D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3D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3DEA"/>
    <w:pPr>
      <w:ind w:left="1985" w:hanging="851"/>
    </w:pPr>
  </w:style>
  <w:style w:type="character" w:customStyle="1" w:styleId="CharAmPartNo">
    <w:name w:val="CharAmPartNo"/>
    <w:basedOn w:val="OPCCharBase"/>
    <w:qFormat/>
    <w:rsid w:val="00743DEA"/>
  </w:style>
  <w:style w:type="character" w:customStyle="1" w:styleId="CharAmPartText">
    <w:name w:val="CharAmPartText"/>
    <w:basedOn w:val="OPCCharBase"/>
    <w:qFormat/>
    <w:rsid w:val="00743DEA"/>
  </w:style>
  <w:style w:type="character" w:customStyle="1" w:styleId="CharAmSchNo">
    <w:name w:val="CharAmSchNo"/>
    <w:basedOn w:val="OPCCharBase"/>
    <w:qFormat/>
    <w:rsid w:val="00743DEA"/>
  </w:style>
  <w:style w:type="character" w:customStyle="1" w:styleId="CharAmSchText">
    <w:name w:val="CharAmSchText"/>
    <w:basedOn w:val="OPCCharBase"/>
    <w:qFormat/>
    <w:rsid w:val="00743DEA"/>
  </w:style>
  <w:style w:type="character" w:customStyle="1" w:styleId="CharBoldItalic">
    <w:name w:val="CharBoldItalic"/>
    <w:basedOn w:val="OPCCharBase"/>
    <w:uiPriority w:val="1"/>
    <w:qFormat/>
    <w:rsid w:val="00743D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3DEA"/>
  </w:style>
  <w:style w:type="character" w:customStyle="1" w:styleId="CharChapText">
    <w:name w:val="CharChapText"/>
    <w:basedOn w:val="OPCCharBase"/>
    <w:uiPriority w:val="1"/>
    <w:qFormat/>
    <w:rsid w:val="00743DEA"/>
  </w:style>
  <w:style w:type="character" w:customStyle="1" w:styleId="CharDivNo">
    <w:name w:val="CharDivNo"/>
    <w:basedOn w:val="OPCCharBase"/>
    <w:uiPriority w:val="1"/>
    <w:qFormat/>
    <w:rsid w:val="00743DEA"/>
  </w:style>
  <w:style w:type="character" w:customStyle="1" w:styleId="CharDivText">
    <w:name w:val="CharDivText"/>
    <w:basedOn w:val="OPCCharBase"/>
    <w:uiPriority w:val="1"/>
    <w:qFormat/>
    <w:rsid w:val="00743DEA"/>
  </w:style>
  <w:style w:type="character" w:customStyle="1" w:styleId="CharItalic">
    <w:name w:val="CharItalic"/>
    <w:basedOn w:val="OPCCharBase"/>
    <w:uiPriority w:val="1"/>
    <w:qFormat/>
    <w:rsid w:val="00743DEA"/>
    <w:rPr>
      <w:i/>
    </w:rPr>
  </w:style>
  <w:style w:type="character" w:customStyle="1" w:styleId="CharPartNo">
    <w:name w:val="CharPartNo"/>
    <w:basedOn w:val="OPCCharBase"/>
    <w:uiPriority w:val="1"/>
    <w:qFormat/>
    <w:rsid w:val="00743DEA"/>
  </w:style>
  <w:style w:type="character" w:customStyle="1" w:styleId="CharPartText">
    <w:name w:val="CharPartText"/>
    <w:basedOn w:val="OPCCharBase"/>
    <w:uiPriority w:val="1"/>
    <w:qFormat/>
    <w:rsid w:val="00743DEA"/>
  </w:style>
  <w:style w:type="character" w:customStyle="1" w:styleId="CharSectno">
    <w:name w:val="CharSectno"/>
    <w:basedOn w:val="OPCCharBase"/>
    <w:qFormat/>
    <w:rsid w:val="00743DEA"/>
  </w:style>
  <w:style w:type="character" w:customStyle="1" w:styleId="CharSubdNo">
    <w:name w:val="CharSubdNo"/>
    <w:basedOn w:val="OPCCharBase"/>
    <w:uiPriority w:val="1"/>
    <w:qFormat/>
    <w:rsid w:val="00743DEA"/>
  </w:style>
  <w:style w:type="character" w:customStyle="1" w:styleId="CharSubdText">
    <w:name w:val="CharSubdText"/>
    <w:basedOn w:val="OPCCharBase"/>
    <w:uiPriority w:val="1"/>
    <w:qFormat/>
    <w:rsid w:val="00743DEA"/>
  </w:style>
  <w:style w:type="paragraph" w:customStyle="1" w:styleId="CTA--">
    <w:name w:val="CTA --"/>
    <w:basedOn w:val="OPCParaBase"/>
    <w:next w:val="Normal"/>
    <w:rsid w:val="00743D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3D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3D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3D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3D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3D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3D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3D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3D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3D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3D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3D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3D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3D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3D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3D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3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3D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3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3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3D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3D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3D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3D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3D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3D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3D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3D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3D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3D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3D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3D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3D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3D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3D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3D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3D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3D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3D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3D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3D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3D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3D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3D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3D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3D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3D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3D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3D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3D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3D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3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3D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3D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3D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43D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43D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43D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43D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43D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43D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43D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43D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43D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43D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3D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3D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3D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3D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3D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3D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3D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43DEA"/>
    <w:rPr>
      <w:sz w:val="16"/>
    </w:rPr>
  </w:style>
  <w:style w:type="table" w:customStyle="1" w:styleId="CFlag">
    <w:name w:val="CFlag"/>
    <w:basedOn w:val="TableNormal"/>
    <w:uiPriority w:val="99"/>
    <w:rsid w:val="00743D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43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3D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43D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3D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3D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3D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3D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3D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43DEA"/>
    <w:pPr>
      <w:spacing w:before="120"/>
    </w:pPr>
  </w:style>
  <w:style w:type="paragraph" w:customStyle="1" w:styleId="CompiledActNo">
    <w:name w:val="CompiledActNo"/>
    <w:basedOn w:val="OPCParaBase"/>
    <w:next w:val="Normal"/>
    <w:rsid w:val="00743D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3D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3D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43D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3D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3D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3D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43D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3D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3D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3D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3D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3D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3D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3D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43D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3D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43DEA"/>
  </w:style>
  <w:style w:type="character" w:customStyle="1" w:styleId="CharSubPartNoCASA">
    <w:name w:val="CharSubPartNo(CASA)"/>
    <w:basedOn w:val="OPCCharBase"/>
    <w:uiPriority w:val="1"/>
    <w:rsid w:val="00743DEA"/>
  </w:style>
  <w:style w:type="paragraph" w:customStyle="1" w:styleId="ENoteTTIndentHeadingSub">
    <w:name w:val="ENoteTTIndentHeadingSub"/>
    <w:aliases w:val="enTTHis"/>
    <w:basedOn w:val="OPCParaBase"/>
    <w:rsid w:val="00743D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3D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3D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3D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43D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3D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3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3DEA"/>
    <w:rPr>
      <w:sz w:val="22"/>
    </w:rPr>
  </w:style>
  <w:style w:type="paragraph" w:customStyle="1" w:styleId="SOTextNote">
    <w:name w:val="SO TextNote"/>
    <w:aliases w:val="sont"/>
    <w:basedOn w:val="SOText"/>
    <w:qFormat/>
    <w:rsid w:val="00743D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3D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3DEA"/>
    <w:rPr>
      <w:sz w:val="22"/>
    </w:rPr>
  </w:style>
  <w:style w:type="paragraph" w:customStyle="1" w:styleId="FileName">
    <w:name w:val="FileName"/>
    <w:basedOn w:val="Normal"/>
    <w:rsid w:val="00743DEA"/>
  </w:style>
  <w:style w:type="paragraph" w:customStyle="1" w:styleId="TableHeading">
    <w:name w:val="TableHeading"/>
    <w:aliases w:val="th"/>
    <w:basedOn w:val="OPCParaBase"/>
    <w:next w:val="Tabletext"/>
    <w:rsid w:val="00743D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3D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3D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3D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3D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3D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3D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3D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3D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3D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3D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43D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3D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43D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4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3D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43D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3D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43D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43D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43D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43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43DEA"/>
  </w:style>
  <w:style w:type="character" w:customStyle="1" w:styleId="charlegsubtitle1">
    <w:name w:val="charlegsubtitle1"/>
    <w:basedOn w:val="DefaultParagraphFont"/>
    <w:rsid w:val="00743D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43DEA"/>
    <w:pPr>
      <w:ind w:left="240" w:hanging="240"/>
    </w:pPr>
  </w:style>
  <w:style w:type="paragraph" w:styleId="Index2">
    <w:name w:val="index 2"/>
    <w:basedOn w:val="Normal"/>
    <w:next w:val="Normal"/>
    <w:autoRedefine/>
    <w:rsid w:val="00743DEA"/>
    <w:pPr>
      <w:ind w:left="480" w:hanging="240"/>
    </w:pPr>
  </w:style>
  <w:style w:type="paragraph" w:styleId="Index3">
    <w:name w:val="index 3"/>
    <w:basedOn w:val="Normal"/>
    <w:next w:val="Normal"/>
    <w:autoRedefine/>
    <w:rsid w:val="00743DEA"/>
    <w:pPr>
      <w:ind w:left="720" w:hanging="240"/>
    </w:pPr>
  </w:style>
  <w:style w:type="paragraph" w:styleId="Index4">
    <w:name w:val="index 4"/>
    <w:basedOn w:val="Normal"/>
    <w:next w:val="Normal"/>
    <w:autoRedefine/>
    <w:rsid w:val="00743DEA"/>
    <w:pPr>
      <w:ind w:left="960" w:hanging="240"/>
    </w:pPr>
  </w:style>
  <w:style w:type="paragraph" w:styleId="Index5">
    <w:name w:val="index 5"/>
    <w:basedOn w:val="Normal"/>
    <w:next w:val="Normal"/>
    <w:autoRedefine/>
    <w:rsid w:val="00743DEA"/>
    <w:pPr>
      <w:ind w:left="1200" w:hanging="240"/>
    </w:pPr>
  </w:style>
  <w:style w:type="paragraph" w:styleId="Index6">
    <w:name w:val="index 6"/>
    <w:basedOn w:val="Normal"/>
    <w:next w:val="Normal"/>
    <w:autoRedefine/>
    <w:rsid w:val="00743DEA"/>
    <w:pPr>
      <w:ind w:left="1440" w:hanging="240"/>
    </w:pPr>
  </w:style>
  <w:style w:type="paragraph" w:styleId="Index7">
    <w:name w:val="index 7"/>
    <w:basedOn w:val="Normal"/>
    <w:next w:val="Normal"/>
    <w:autoRedefine/>
    <w:rsid w:val="00743DEA"/>
    <w:pPr>
      <w:ind w:left="1680" w:hanging="240"/>
    </w:pPr>
  </w:style>
  <w:style w:type="paragraph" w:styleId="Index8">
    <w:name w:val="index 8"/>
    <w:basedOn w:val="Normal"/>
    <w:next w:val="Normal"/>
    <w:autoRedefine/>
    <w:rsid w:val="00743DEA"/>
    <w:pPr>
      <w:ind w:left="1920" w:hanging="240"/>
    </w:pPr>
  </w:style>
  <w:style w:type="paragraph" w:styleId="Index9">
    <w:name w:val="index 9"/>
    <w:basedOn w:val="Normal"/>
    <w:next w:val="Normal"/>
    <w:autoRedefine/>
    <w:rsid w:val="00743DEA"/>
    <w:pPr>
      <w:ind w:left="2160" w:hanging="240"/>
    </w:pPr>
  </w:style>
  <w:style w:type="paragraph" w:styleId="NormalIndent">
    <w:name w:val="Normal Indent"/>
    <w:basedOn w:val="Normal"/>
    <w:rsid w:val="00743DEA"/>
    <w:pPr>
      <w:ind w:left="720"/>
    </w:pPr>
  </w:style>
  <w:style w:type="paragraph" w:styleId="FootnoteText">
    <w:name w:val="footnote text"/>
    <w:basedOn w:val="Normal"/>
    <w:link w:val="FootnoteTextChar"/>
    <w:rsid w:val="00743D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3DEA"/>
  </w:style>
  <w:style w:type="paragraph" w:styleId="CommentText">
    <w:name w:val="annotation text"/>
    <w:basedOn w:val="Normal"/>
    <w:link w:val="CommentTextChar"/>
    <w:rsid w:val="00743D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3DEA"/>
  </w:style>
  <w:style w:type="paragraph" w:styleId="IndexHeading">
    <w:name w:val="index heading"/>
    <w:basedOn w:val="Normal"/>
    <w:next w:val="Index1"/>
    <w:rsid w:val="00743D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43D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43DEA"/>
    <w:pPr>
      <w:ind w:left="480" w:hanging="480"/>
    </w:pPr>
  </w:style>
  <w:style w:type="paragraph" w:styleId="EnvelopeAddress">
    <w:name w:val="envelope address"/>
    <w:basedOn w:val="Normal"/>
    <w:rsid w:val="00743D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43D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43D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43DEA"/>
    <w:rPr>
      <w:sz w:val="16"/>
      <w:szCs w:val="16"/>
    </w:rPr>
  </w:style>
  <w:style w:type="character" w:styleId="PageNumber">
    <w:name w:val="page number"/>
    <w:basedOn w:val="DefaultParagraphFont"/>
    <w:rsid w:val="00743DEA"/>
  </w:style>
  <w:style w:type="character" w:styleId="EndnoteReference">
    <w:name w:val="endnote reference"/>
    <w:basedOn w:val="DefaultParagraphFont"/>
    <w:rsid w:val="00743DEA"/>
    <w:rPr>
      <w:vertAlign w:val="superscript"/>
    </w:rPr>
  </w:style>
  <w:style w:type="paragraph" w:styleId="EndnoteText">
    <w:name w:val="endnote text"/>
    <w:basedOn w:val="Normal"/>
    <w:link w:val="EndnoteTextChar"/>
    <w:rsid w:val="00743D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43DEA"/>
  </w:style>
  <w:style w:type="paragraph" w:styleId="TableofAuthorities">
    <w:name w:val="table of authorities"/>
    <w:basedOn w:val="Normal"/>
    <w:next w:val="Normal"/>
    <w:rsid w:val="00743DEA"/>
    <w:pPr>
      <w:ind w:left="240" w:hanging="240"/>
    </w:pPr>
  </w:style>
  <w:style w:type="paragraph" w:styleId="MacroText">
    <w:name w:val="macro"/>
    <w:link w:val="MacroTextChar"/>
    <w:rsid w:val="00743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43D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43D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43DEA"/>
    <w:pPr>
      <w:ind w:left="283" w:hanging="283"/>
    </w:pPr>
  </w:style>
  <w:style w:type="paragraph" w:styleId="ListBullet">
    <w:name w:val="List Bullet"/>
    <w:basedOn w:val="Normal"/>
    <w:autoRedefine/>
    <w:rsid w:val="00743D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43D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43DEA"/>
    <w:pPr>
      <w:ind w:left="566" w:hanging="283"/>
    </w:pPr>
  </w:style>
  <w:style w:type="paragraph" w:styleId="List3">
    <w:name w:val="List 3"/>
    <w:basedOn w:val="Normal"/>
    <w:rsid w:val="00743DEA"/>
    <w:pPr>
      <w:ind w:left="849" w:hanging="283"/>
    </w:pPr>
  </w:style>
  <w:style w:type="paragraph" w:styleId="List4">
    <w:name w:val="List 4"/>
    <w:basedOn w:val="Normal"/>
    <w:rsid w:val="00743DEA"/>
    <w:pPr>
      <w:ind w:left="1132" w:hanging="283"/>
    </w:pPr>
  </w:style>
  <w:style w:type="paragraph" w:styleId="List5">
    <w:name w:val="List 5"/>
    <w:basedOn w:val="Normal"/>
    <w:rsid w:val="00743DEA"/>
    <w:pPr>
      <w:ind w:left="1415" w:hanging="283"/>
    </w:pPr>
  </w:style>
  <w:style w:type="paragraph" w:styleId="ListBullet2">
    <w:name w:val="List Bullet 2"/>
    <w:basedOn w:val="Normal"/>
    <w:autoRedefine/>
    <w:rsid w:val="00743D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43D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43D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43D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43D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43D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43D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43D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43D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43D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43DEA"/>
    <w:pPr>
      <w:ind w:left="4252"/>
    </w:pPr>
  </w:style>
  <w:style w:type="character" w:customStyle="1" w:styleId="ClosingChar">
    <w:name w:val="Closing Char"/>
    <w:basedOn w:val="DefaultParagraphFont"/>
    <w:link w:val="Closing"/>
    <w:rsid w:val="00743DEA"/>
    <w:rPr>
      <w:sz w:val="22"/>
    </w:rPr>
  </w:style>
  <w:style w:type="paragraph" w:styleId="Signature">
    <w:name w:val="Signature"/>
    <w:basedOn w:val="Normal"/>
    <w:link w:val="SignatureChar"/>
    <w:rsid w:val="00743D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43DEA"/>
    <w:rPr>
      <w:sz w:val="22"/>
    </w:rPr>
  </w:style>
  <w:style w:type="paragraph" w:styleId="BodyText">
    <w:name w:val="Body Text"/>
    <w:basedOn w:val="Normal"/>
    <w:link w:val="BodyTextChar"/>
    <w:rsid w:val="00743D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DEA"/>
    <w:rPr>
      <w:sz w:val="22"/>
    </w:rPr>
  </w:style>
  <w:style w:type="paragraph" w:styleId="BodyTextIndent">
    <w:name w:val="Body Text Indent"/>
    <w:basedOn w:val="Normal"/>
    <w:link w:val="BodyTextIndentChar"/>
    <w:rsid w:val="00743D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3DEA"/>
    <w:rPr>
      <w:sz w:val="22"/>
    </w:rPr>
  </w:style>
  <w:style w:type="paragraph" w:styleId="ListContinue">
    <w:name w:val="List Continue"/>
    <w:basedOn w:val="Normal"/>
    <w:rsid w:val="00743DEA"/>
    <w:pPr>
      <w:spacing w:after="120"/>
      <w:ind w:left="283"/>
    </w:pPr>
  </w:style>
  <w:style w:type="paragraph" w:styleId="ListContinue2">
    <w:name w:val="List Continue 2"/>
    <w:basedOn w:val="Normal"/>
    <w:rsid w:val="00743DEA"/>
    <w:pPr>
      <w:spacing w:after="120"/>
      <w:ind w:left="566"/>
    </w:pPr>
  </w:style>
  <w:style w:type="paragraph" w:styleId="ListContinue3">
    <w:name w:val="List Continue 3"/>
    <w:basedOn w:val="Normal"/>
    <w:rsid w:val="00743DEA"/>
    <w:pPr>
      <w:spacing w:after="120"/>
      <w:ind w:left="849"/>
    </w:pPr>
  </w:style>
  <w:style w:type="paragraph" w:styleId="ListContinue4">
    <w:name w:val="List Continue 4"/>
    <w:basedOn w:val="Normal"/>
    <w:rsid w:val="00743DEA"/>
    <w:pPr>
      <w:spacing w:after="120"/>
      <w:ind w:left="1132"/>
    </w:pPr>
  </w:style>
  <w:style w:type="paragraph" w:styleId="ListContinue5">
    <w:name w:val="List Continue 5"/>
    <w:basedOn w:val="Normal"/>
    <w:rsid w:val="00743D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43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43D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43D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43D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43DEA"/>
  </w:style>
  <w:style w:type="character" w:customStyle="1" w:styleId="SalutationChar">
    <w:name w:val="Salutation Char"/>
    <w:basedOn w:val="DefaultParagraphFont"/>
    <w:link w:val="Salutation"/>
    <w:rsid w:val="00743DEA"/>
    <w:rPr>
      <w:sz w:val="22"/>
    </w:rPr>
  </w:style>
  <w:style w:type="paragraph" w:styleId="Date">
    <w:name w:val="Date"/>
    <w:basedOn w:val="Normal"/>
    <w:next w:val="Normal"/>
    <w:link w:val="DateChar"/>
    <w:rsid w:val="00743DEA"/>
  </w:style>
  <w:style w:type="character" w:customStyle="1" w:styleId="DateChar">
    <w:name w:val="Date Char"/>
    <w:basedOn w:val="DefaultParagraphFont"/>
    <w:link w:val="Date"/>
    <w:rsid w:val="00743DEA"/>
    <w:rPr>
      <w:sz w:val="22"/>
    </w:rPr>
  </w:style>
  <w:style w:type="paragraph" w:styleId="BodyTextFirstIndent">
    <w:name w:val="Body Text First Indent"/>
    <w:basedOn w:val="BodyText"/>
    <w:link w:val="BodyTextFirstIndentChar"/>
    <w:rsid w:val="00743D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3D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43D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3DEA"/>
    <w:rPr>
      <w:sz w:val="22"/>
    </w:rPr>
  </w:style>
  <w:style w:type="paragraph" w:styleId="BodyText2">
    <w:name w:val="Body Text 2"/>
    <w:basedOn w:val="Normal"/>
    <w:link w:val="BodyText2Char"/>
    <w:rsid w:val="00743D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43DEA"/>
    <w:rPr>
      <w:sz w:val="22"/>
    </w:rPr>
  </w:style>
  <w:style w:type="paragraph" w:styleId="BodyText3">
    <w:name w:val="Body Text 3"/>
    <w:basedOn w:val="Normal"/>
    <w:link w:val="BodyText3Char"/>
    <w:rsid w:val="00743D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3D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43D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43DEA"/>
    <w:rPr>
      <w:sz w:val="22"/>
    </w:rPr>
  </w:style>
  <w:style w:type="paragraph" w:styleId="BodyTextIndent3">
    <w:name w:val="Body Text Indent 3"/>
    <w:basedOn w:val="Normal"/>
    <w:link w:val="BodyTextIndent3Char"/>
    <w:rsid w:val="00743D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3DEA"/>
    <w:rPr>
      <w:sz w:val="16"/>
      <w:szCs w:val="16"/>
    </w:rPr>
  </w:style>
  <w:style w:type="paragraph" w:styleId="BlockText">
    <w:name w:val="Block Text"/>
    <w:basedOn w:val="Normal"/>
    <w:rsid w:val="00743DEA"/>
    <w:pPr>
      <w:spacing w:after="120"/>
      <w:ind w:left="1440" w:right="1440"/>
    </w:pPr>
  </w:style>
  <w:style w:type="character" w:styleId="Hyperlink">
    <w:name w:val="Hyperlink"/>
    <w:basedOn w:val="DefaultParagraphFont"/>
    <w:rsid w:val="00743DEA"/>
    <w:rPr>
      <w:color w:val="0000FF"/>
      <w:u w:val="single"/>
    </w:rPr>
  </w:style>
  <w:style w:type="character" w:styleId="FollowedHyperlink">
    <w:name w:val="FollowedHyperlink"/>
    <w:basedOn w:val="DefaultParagraphFont"/>
    <w:rsid w:val="00743DEA"/>
    <w:rPr>
      <w:color w:val="800080"/>
      <w:u w:val="single"/>
    </w:rPr>
  </w:style>
  <w:style w:type="character" w:styleId="Strong">
    <w:name w:val="Strong"/>
    <w:basedOn w:val="DefaultParagraphFont"/>
    <w:qFormat/>
    <w:rsid w:val="00743DEA"/>
    <w:rPr>
      <w:b/>
      <w:bCs/>
    </w:rPr>
  </w:style>
  <w:style w:type="character" w:styleId="Emphasis">
    <w:name w:val="Emphasis"/>
    <w:basedOn w:val="DefaultParagraphFont"/>
    <w:qFormat/>
    <w:rsid w:val="00743DEA"/>
    <w:rPr>
      <w:i/>
      <w:iCs/>
    </w:rPr>
  </w:style>
  <w:style w:type="paragraph" w:styleId="DocumentMap">
    <w:name w:val="Document Map"/>
    <w:basedOn w:val="Normal"/>
    <w:link w:val="DocumentMapChar"/>
    <w:rsid w:val="00743D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43D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43D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43D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43DEA"/>
  </w:style>
  <w:style w:type="character" w:customStyle="1" w:styleId="E-mailSignatureChar">
    <w:name w:val="E-mail Signature Char"/>
    <w:basedOn w:val="DefaultParagraphFont"/>
    <w:link w:val="E-mailSignature"/>
    <w:rsid w:val="00743DEA"/>
    <w:rPr>
      <w:sz w:val="22"/>
    </w:rPr>
  </w:style>
  <w:style w:type="paragraph" w:styleId="NormalWeb">
    <w:name w:val="Normal (Web)"/>
    <w:basedOn w:val="Normal"/>
    <w:rsid w:val="00743DEA"/>
  </w:style>
  <w:style w:type="character" w:styleId="HTMLAcronym">
    <w:name w:val="HTML Acronym"/>
    <w:basedOn w:val="DefaultParagraphFont"/>
    <w:rsid w:val="00743DEA"/>
  </w:style>
  <w:style w:type="paragraph" w:styleId="HTMLAddress">
    <w:name w:val="HTML Address"/>
    <w:basedOn w:val="Normal"/>
    <w:link w:val="HTMLAddressChar"/>
    <w:rsid w:val="00743D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43DEA"/>
    <w:rPr>
      <w:i/>
      <w:iCs/>
      <w:sz w:val="22"/>
    </w:rPr>
  </w:style>
  <w:style w:type="character" w:styleId="HTMLCite">
    <w:name w:val="HTML Cite"/>
    <w:basedOn w:val="DefaultParagraphFont"/>
    <w:rsid w:val="00743DEA"/>
    <w:rPr>
      <w:i/>
      <w:iCs/>
    </w:rPr>
  </w:style>
  <w:style w:type="character" w:styleId="HTMLCode">
    <w:name w:val="HTML Code"/>
    <w:basedOn w:val="DefaultParagraphFont"/>
    <w:rsid w:val="00743D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43DEA"/>
    <w:rPr>
      <w:i/>
      <w:iCs/>
    </w:rPr>
  </w:style>
  <w:style w:type="character" w:styleId="HTMLKeyboard">
    <w:name w:val="HTML Keyboard"/>
    <w:basedOn w:val="DefaultParagraphFont"/>
    <w:rsid w:val="00743D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3D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43D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743D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43D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43D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4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DEA"/>
    <w:rPr>
      <w:b/>
      <w:bCs/>
    </w:rPr>
  </w:style>
  <w:style w:type="numbering" w:styleId="1ai">
    <w:name w:val="Outline List 1"/>
    <w:basedOn w:val="NoList"/>
    <w:rsid w:val="00743DEA"/>
    <w:pPr>
      <w:numPr>
        <w:numId w:val="14"/>
      </w:numPr>
    </w:pPr>
  </w:style>
  <w:style w:type="numbering" w:styleId="111111">
    <w:name w:val="Outline List 2"/>
    <w:basedOn w:val="NoList"/>
    <w:rsid w:val="00743DEA"/>
    <w:pPr>
      <w:numPr>
        <w:numId w:val="15"/>
      </w:numPr>
    </w:pPr>
  </w:style>
  <w:style w:type="numbering" w:styleId="ArticleSection">
    <w:name w:val="Outline List 3"/>
    <w:basedOn w:val="NoList"/>
    <w:rsid w:val="00743DEA"/>
    <w:pPr>
      <w:numPr>
        <w:numId w:val="17"/>
      </w:numPr>
    </w:pPr>
  </w:style>
  <w:style w:type="table" w:styleId="TableSimple1">
    <w:name w:val="Table Simple 1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43D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43D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43D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43D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43D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43D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43D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43D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43D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43D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43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43D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43D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3D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43D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43D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43D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43D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43D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43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43D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43D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43D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43D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3D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3D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3D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43D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43D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43D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43D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43D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43D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43D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43D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43D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1905</Words>
  <Characters>9336</Characters>
  <Application>Microsoft Office Word</Application>
  <DocSecurity>0</DocSecurity>
  <PresentationFormat/>
  <Lines>345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2021-06-04T01:59:00Z</cp:lastPrinted>
  <dcterms:created xsi:type="dcterms:W3CDTF">2021-06-29T05:33:00Z</dcterms:created>
  <dcterms:modified xsi:type="dcterms:W3CDTF">2021-06-29T05:34:00Z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(Fees and Charges) Legislation Amendment (2021 Measures No. 1)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OPC65215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23 June 2021</vt:lpwstr>
  </property>
</Properties>
</file>