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ABAE" w14:textId="74A79AAE" w:rsidR="000F7230" w:rsidRPr="00E74CD5" w:rsidRDefault="000F7230" w:rsidP="00287C3E">
      <w:pPr>
        <w:spacing w:line="240" w:lineRule="auto"/>
        <w:rPr>
          <w:rFonts w:cs="Times New Roman"/>
          <w:b/>
          <w:sz w:val="40"/>
          <w:szCs w:val="40"/>
        </w:rPr>
      </w:pPr>
      <w:bookmarkStart w:id="0" w:name="_GoBack"/>
      <w:bookmarkEnd w:id="0"/>
      <w:r w:rsidRPr="00E74CD5">
        <w:rPr>
          <w:noProof/>
          <w:lang w:eastAsia="en-AU"/>
        </w:rPr>
        <w:drawing>
          <wp:inline distT="0" distB="0" distL="0" distR="0" wp14:anchorId="15C00C3D" wp14:editId="03A24D6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47C47C7" w14:textId="77777777" w:rsidR="000117D4" w:rsidRPr="00E74CD5" w:rsidRDefault="000117D4" w:rsidP="000117D4">
      <w:pPr>
        <w:pStyle w:val="ShortT"/>
      </w:pPr>
    </w:p>
    <w:p w14:paraId="04F32553" w14:textId="479C3862" w:rsidR="00287C3E" w:rsidRPr="00E74CD5" w:rsidRDefault="00287C3E" w:rsidP="000117D4">
      <w:pPr>
        <w:pStyle w:val="ShortT"/>
      </w:pPr>
      <w:r w:rsidRPr="00E74CD5">
        <w:t xml:space="preserve">Northern Australia Infrastructure Facility Investment Mandate Direction </w:t>
      </w:r>
      <w:r w:rsidR="007F71AD" w:rsidRPr="00E74CD5">
        <w:t>202</w:t>
      </w:r>
      <w:r w:rsidR="009B7FD9" w:rsidRPr="00E74CD5">
        <w:t>1</w:t>
      </w:r>
    </w:p>
    <w:p w14:paraId="7EEB9214" w14:textId="4F2BD42D" w:rsidR="00287C3E" w:rsidRPr="00E74CD5" w:rsidRDefault="00A37A13" w:rsidP="00E66C6B">
      <w:pPr>
        <w:pBdr>
          <w:top w:val="single" w:sz="4" w:space="1" w:color="auto"/>
        </w:pBdr>
        <w:spacing w:before="240"/>
        <w:ind w:right="397"/>
        <w:jc w:val="both"/>
        <w:rPr>
          <w:rFonts w:cs="Times New Roman"/>
          <w:sz w:val="24"/>
          <w:szCs w:val="24"/>
        </w:rPr>
      </w:pPr>
      <w:r w:rsidRPr="00E74CD5">
        <w:rPr>
          <w:rFonts w:cs="Times New Roman"/>
          <w:sz w:val="24"/>
          <w:szCs w:val="24"/>
        </w:rPr>
        <w:t>We</w:t>
      </w:r>
      <w:r w:rsidR="00287C3E" w:rsidRPr="00E74CD5">
        <w:rPr>
          <w:rFonts w:cs="Times New Roman"/>
          <w:sz w:val="24"/>
          <w:szCs w:val="24"/>
        </w:rPr>
        <w:t>,</w:t>
      </w:r>
      <w:r w:rsidRPr="00E74CD5">
        <w:rPr>
          <w:rFonts w:cs="Times New Roman"/>
          <w:sz w:val="24"/>
          <w:szCs w:val="24"/>
        </w:rPr>
        <w:t xml:space="preserve"> KEITH PITT,</w:t>
      </w:r>
      <w:r w:rsidR="00287C3E" w:rsidRPr="00E74CD5">
        <w:rPr>
          <w:rFonts w:cs="Times New Roman"/>
          <w:sz w:val="24"/>
          <w:szCs w:val="24"/>
        </w:rPr>
        <w:t xml:space="preserve"> Minister for Resources</w:t>
      </w:r>
      <w:bookmarkStart w:id="1" w:name="_Hlk34910430"/>
      <w:r w:rsidR="004A5718" w:rsidRPr="00E74CD5">
        <w:rPr>
          <w:rFonts w:cs="Times New Roman"/>
          <w:sz w:val="24"/>
          <w:szCs w:val="24"/>
        </w:rPr>
        <w:t>, Water</w:t>
      </w:r>
      <w:r w:rsidR="00287C3E" w:rsidRPr="00E74CD5">
        <w:rPr>
          <w:rFonts w:cs="Times New Roman"/>
          <w:sz w:val="24"/>
          <w:szCs w:val="24"/>
        </w:rPr>
        <w:t xml:space="preserve"> </w:t>
      </w:r>
      <w:bookmarkEnd w:id="1"/>
      <w:r w:rsidR="00287C3E" w:rsidRPr="00E74CD5">
        <w:rPr>
          <w:rFonts w:cs="Times New Roman"/>
          <w:sz w:val="24"/>
          <w:szCs w:val="24"/>
        </w:rPr>
        <w:t>and Northern Australia</w:t>
      </w:r>
      <w:r w:rsidRPr="00E74CD5">
        <w:rPr>
          <w:rFonts w:cs="Times New Roman"/>
          <w:sz w:val="24"/>
          <w:szCs w:val="24"/>
        </w:rPr>
        <w:t xml:space="preserve">, and </w:t>
      </w:r>
      <w:r w:rsidR="00114912" w:rsidRPr="00E74CD5">
        <w:rPr>
          <w:rFonts w:cs="Times New Roman"/>
          <w:sz w:val="24"/>
          <w:szCs w:val="24"/>
        </w:rPr>
        <w:t>SIMON BIRMINGHAM</w:t>
      </w:r>
      <w:r w:rsidRPr="00E74CD5">
        <w:rPr>
          <w:rFonts w:cs="Times New Roman"/>
          <w:sz w:val="24"/>
          <w:szCs w:val="24"/>
        </w:rPr>
        <w:t>, Minister for Finance,</w:t>
      </w:r>
      <w:r w:rsidR="00287C3E" w:rsidRPr="00E74CD5">
        <w:rPr>
          <w:rFonts w:cs="Times New Roman"/>
          <w:sz w:val="24"/>
          <w:szCs w:val="24"/>
        </w:rPr>
        <w:t xml:space="preserve"> give the following Direction under subsection 9(1) of the </w:t>
      </w:r>
      <w:r w:rsidR="00287C3E" w:rsidRPr="00E74CD5">
        <w:rPr>
          <w:rFonts w:cs="Times New Roman"/>
          <w:i/>
          <w:sz w:val="24"/>
          <w:szCs w:val="24"/>
        </w:rPr>
        <w:t>Northern Australia Infrastructure Facility Act 2016</w:t>
      </w:r>
      <w:r w:rsidR="00287C3E" w:rsidRPr="00E74CD5">
        <w:rPr>
          <w:rFonts w:cs="Times New Roman"/>
          <w:sz w:val="24"/>
          <w:szCs w:val="24"/>
        </w:rPr>
        <w:t>.</w:t>
      </w:r>
    </w:p>
    <w:p w14:paraId="2E4FFA8F" w14:textId="542A90DB" w:rsidR="00287C3E" w:rsidRPr="00E74CD5" w:rsidRDefault="00B12223" w:rsidP="00B12223">
      <w:pPr>
        <w:spacing w:before="720" w:line="240" w:lineRule="atLeast"/>
        <w:ind w:right="-46"/>
        <w:rPr>
          <w:rFonts w:cs="Times New Roman"/>
          <w:sz w:val="24"/>
          <w:szCs w:val="24"/>
        </w:rPr>
      </w:pPr>
      <w:r>
        <w:rPr>
          <w:rFonts w:cs="Times New Roman"/>
          <w:sz w:val="24"/>
          <w:szCs w:val="24"/>
        </w:rPr>
        <w:t>Dated: 30 June 2021</w:t>
      </w:r>
      <w:r>
        <w:rPr>
          <w:rFonts w:cs="Times New Roman"/>
          <w:sz w:val="24"/>
          <w:szCs w:val="24"/>
        </w:rPr>
        <w:tab/>
      </w:r>
      <w:r>
        <w:rPr>
          <w:rFonts w:cs="Times New Roman"/>
          <w:sz w:val="24"/>
          <w:szCs w:val="24"/>
        </w:rPr>
        <w:tab/>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
    <w:p w14:paraId="4D4C0C00" w14:textId="54308D50" w:rsidR="00287C3E" w:rsidRPr="00E74CD5" w:rsidRDefault="00A37A13" w:rsidP="00287C3E">
      <w:pPr>
        <w:spacing w:before="1080" w:line="300" w:lineRule="atLeast"/>
        <w:jc w:val="both"/>
        <w:rPr>
          <w:rFonts w:cs="Times New Roman"/>
          <w:sz w:val="24"/>
          <w:szCs w:val="24"/>
        </w:rPr>
      </w:pPr>
      <w:r w:rsidRPr="00E74CD5">
        <w:rPr>
          <w:rFonts w:cs="Times New Roman"/>
          <w:sz w:val="24"/>
          <w:szCs w:val="24"/>
        </w:rPr>
        <w:t xml:space="preserve">KEITH PITT </w:t>
      </w:r>
      <w:r w:rsidRPr="00E74CD5">
        <w:rPr>
          <w:rFonts w:cs="Times New Roman"/>
          <w:sz w:val="24"/>
          <w:szCs w:val="24"/>
        </w:rPr>
        <w:tab/>
      </w:r>
      <w:r w:rsidRPr="00E74CD5">
        <w:rPr>
          <w:rFonts w:cs="Times New Roman"/>
          <w:sz w:val="24"/>
          <w:szCs w:val="24"/>
        </w:rPr>
        <w:tab/>
      </w:r>
      <w:r w:rsidRPr="00E74CD5">
        <w:rPr>
          <w:rFonts w:cs="Times New Roman"/>
          <w:sz w:val="24"/>
          <w:szCs w:val="24"/>
        </w:rPr>
        <w:tab/>
      </w:r>
      <w:r w:rsidRPr="00E74CD5">
        <w:rPr>
          <w:rFonts w:cs="Times New Roman"/>
          <w:sz w:val="24"/>
          <w:szCs w:val="24"/>
        </w:rPr>
        <w:tab/>
      </w:r>
      <w:r w:rsidRPr="00E74CD5">
        <w:rPr>
          <w:rFonts w:cs="Times New Roman"/>
          <w:sz w:val="24"/>
          <w:szCs w:val="24"/>
        </w:rPr>
        <w:tab/>
        <w:t xml:space="preserve">           </w:t>
      </w:r>
      <w:r w:rsidR="00114912" w:rsidRPr="00E74CD5">
        <w:rPr>
          <w:rFonts w:cs="Times New Roman"/>
          <w:sz w:val="24"/>
          <w:szCs w:val="24"/>
        </w:rPr>
        <w:t xml:space="preserve">                           SIMON BIRMINGHAM</w:t>
      </w:r>
    </w:p>
    <w:p w14:paraId="797543D9" w14:textId="16D2F787" w:rsidR="00287C3E" w:rsidRPr="00E74CD5" w:rsidRDefault="00287C3E" w:rsidP="00287C3E">
      <w:pPr>
        <w:spacing w:line="300" w:lineRule="atLeast"/>
        <w:jc w:val="both"/>
        <w:rPr>
          <w:rFonts w:cs="Times New Roman"/>
          <w:sz w:val="24"/>
          <w:szCs w:val="24"/>
        </w:rPr>
      </w:pPr>
      <w:r w:rsidRPr="00E74CD5">
        <w:rPr>
          <w:rFonts w:cs="Times New Roman"/>
          <w:sz w:val="24"/>
          <w:szCs w:val="24"/>
        </w:rPr>
        <w:t>Minister for Resources</w:t>
      </w:r>
      <w:r w:rsidR="004A5718" w:rsidRPr="00E74CD5">
        <w:rPr>
          <w:rFonts w:cs="Times New Roman"/>
          <w:sz w:val="24"/>
          <w:szCs w:val="24"/>
        </w:rPr>
        <w:t>, Water</w:t>
      </w:r>
      <w:r w:rsidRPr="00E74CD5">
        <w:rPr>
          <w:rFonts w:cs="Times New Roman"/>
          <w:sz w:val="24"/>
          <w:szCs w:val="24"/>
        </w:rPr>
        <w:t xml:space="preserve"> and Northern Australia</w:t>
      </w:r>
      <w:r w:rsidR="00A37A13" w:rsidRPr="00E74CD5">
        <w:rPr>
          <w:rFonts w:cs="Times New Roman"/>
          <w:sz w:val="24"/>
          <w:szCs w:val="24"/>
        </w:rPr>
        <w:t xml:space="preserve"> </w:t>
      </w:r>
      <w:r w:rsidR="00A37A13" w:rsidRPr="00E74CD5">
        <w:rPr>
          <w:rFonts w:cs="Times New Roman"/>
          <w:sz w:val="24"/>
          <w:szCs w:val="24"/>
        </w:rPr>
        <w:tab/>
      </w:r>
      <w:r w:rsidR="00A37A13" w:rsidRPr="00E74CD5">
        <w:rPr>
          <w:rFonts w:cs="Times New Roman"/>
          <w:sz w:val="24"/>
          <w:szCs w:val="24"/>
        </w:rPr>
        <w:tab/>
        <w:t xml:space="preserve">          Minister for Finance</w:t>
      </w:r>
    </w:p>
    <w:p w14:paraId="22B8D298" w14:textId="77777777" w:rsidR="00287C3E" w:rsidRPr="00E74CD5" w:rsidRDefault="00287C3E" w:rsidP="00E66C6B">
      <w:pPr>
        <w:pBdr>
          <w:top w:val="single" w:sz="4" w:space="1" w:color="auto"/>
        </w:pBdr>
        <w:rPr>
          <w:rFonts w:cs="Times New Roman"/>
          <w:sz w:val="24"/>
          <w:szCs w:val="24"/>
        </w:rPr>
      </w:pPr>
    </w:p>
    <w:p w14:paraId="2773E750" w14:textId="77777777" w:rsidR="00287C3E" w:rsidRPr="00E74CD5" w:rsidRDefault="00287C3E">
      <w:pPr>
        <w:rPr>
          <w:rFonts w:cs="Times New Roman"/>
          <w:sz w:val="24"/>
          <w:szCs w:val="24"/>
        </w:rPr>
      </w:pPr>
      <w:r w:rsidRPr="00E74CD5">
        <w:rPr>
          <w:rFonts w:cs="Times New Roman"/>
          <w:sz w:val="24"/>
          <w:szCs w:val="24"/>
        </w:rPr>
        <w:br w:type="page"/>
      </w:r>
    </w:p>
    <w:p w14:paraId="247DB697" w14:textId="56A22192" w:rsidR="00287C3E" w:rsidRPr="00E74CD5" w:rsidRDefault="00287C3E" w:rsidP="00287C3E">
      <w:pPr>
        <w:spacing w:before="100" w:beforeAutospacing="1" w:after="100" w:afterAutospacing="1" w:line="240" w:lineRule="auto"/>
        <w:rPr>
          <w:rFonts w:cs="Times New Roman"/>
          <w:b/>
          <w:sz w:val="36"/>
          <w:szCs w:val="36"/>
        </w:rPr>
      </w:pPr>
      <w:r w:rsidRPr="00E74CD5">
        <w:rPr>
          <w:rFonts w:cs="Times New Roman"/>
          <w:b/>
          <w:sz w:val="36"/>
          <w:szCs w:val="36"/>
        </w:rPr>
        <w:lastRenderedPageBreak/>
        <w:t>PART 1 – PRELIMINARY</w:t>
      </w:r>
    </w:p>
    <w:p w14:paraId="05D2801F" w14:textId="77777777" w:rsidR="00287C3E" w:rsidRPr="00E74CD5" w:rsidRDefault="00287C3E" w:rsidP="000117D4">
      <w:pPr>
        <w:pStyle w:val="ActHead4"/>
      </w:pPr>
      <w:r w:rsidRPr="00E74CD5">
        <w:t>1.</w:t>
      </w:r>
      <w:r w:rsidRPr="00E74CD5">
        <w:tab/>
        <w:t>Name</w:t>
      </w:r>
    </w:p>
    <w:p w14:paraId="7789E0C0" w14:textId="7E8876EA" w:rsidR="00287C3E" w:rsidRPr="00E74CD5" w:rsidRDefault="00287C3E" w:rsidP="00A74799">
      <w:pPr>
        <w:spacing w:before="120"/>
        <w:ind w:left="709" w:right="284"/>
        <w:rPr>
          <w:rFonts w:cs="Times New Roman"/>
          <w:sz w:val="24"/>
          <w:szCs w:val="24"/>
        </w:rPr>
      </w:pPr>
      <w:r w:rsidRPr="00E74CD5">
        <w:rPr>
          <w:rStyle w:val="CharChapNo"/>
        </w:rPr>
        <w:t>This</w:t>
      </w:r>
      <w:r w:rsidRPr="00E74CD5">
        <w:rPr>
          <w:rFonts w:cs="Times New Roman"/>
          <w:sz w:val="24"/>
          <w:szCs w:val="24"/>
        </w:rPr>
        <w:t xml:space="preserve"> </w:t>
      </w:r>
      <w:r w:rsidRPr="00E74CD5">
        <w:rPr>
          <w:rStyle w:val="CharChapNo"/>
        </w:rPr>
        <w:t>Direction</w:t>
      </w:r>
      <w:r w:rsidRPr="00E74CD5">
        <w:rPr>
          <w:rFonts w:cs="Times New Roman"/>
          <w:sz w:val="24"/>
          <w:szCs w:val="24"/>
        </w:rPr>
        <w:t xml:space="preserve"> is the </w:t>
      </w:r>
      <w:r w:rsidRPr="00E74CD5">
        <w:rPr>
          <w:rFonts w:cs="Times New Roman"/>
          <w:i/>
          <w:sz w:val="24"/>
          <w:szCs w:val="24"/>
        </w:rPr>
        <w:t>Northern Australia Infrastructure Facility Investment Mandate Direction 20</w:t>
      </w:r>
      <w:r w:rsidR="00114912" w:rsidRPr="00E74CD5">
        <w:rPr>
          <w:rFonts w:cs="Times New Roman"/>
          <w:i/>
          <w:sz w:val="24"/>
          <w:szCs w:val="24"/>
        </w:rPr>
        <w:t>2</w:t>
      </w:r>
      <w:r w:rsidR="009B7FD9" w:rsidRPr="00E74CD5">
        <w:rPr>
          <w:rFonts w:cs="Times New Roman"/>
          <w:i/>
          <w:sz w:val="24"/>
          <w:szCs w:val="24"/>
        </w:rPr>
        <w:t>1</w:t>
      </w:r>
      <w:r w:rsidRPr="00E74CD5">
        <w:rPr>
          <w:rFonts w:cs="Times New Roman"/>
          <w:sz w:val="24"/>
          <w:szCs w:val="24"/>
        </w:rPr>
        <w:t>.</w:t>
      </w:r>
    </w:p>
    <w:p w14:paraId="7F802E7E" w14:textId="77777777" w:rsidR="00287C3E" w:rsidRPr="00E74CD5" w:rsidRDefault="00287C3E" w:rsidP="000117D4">
      <w:pPr>
        <w:pStyle w:val="ActHead4"/>
      </w:pPr>
      <w:r w:rsidRPr="00E74CD5">
        <w:t>2.</w:t>
      </w:r>
      <w:r w:rsidRPr="00E74CD5">
        <w:tab/>
        <w:t xml:space="preserve">Commencement </w:t>
      </w:r>
    </w:p>
    <w:p w14:paraId="738484A4" w14:textId="0528CDCC" w:rsidR="00287C3E" w:rsidRPr="00E74CD5" w:rsidRDefault="00287C3E" w:rsidP="0052576F">
      <w:pPr>
        <w:spacing w:before="120"/>
        <w:ind w:left="709" w:right="284"/>
        <w:rPr>
          <w:rFonts w:cs="Times New Roman"/>
          <w:sz w:val="24"/>
          <w:szCs w:val="24"/>
        </w:rPr>
      </w:pPr>
      <w:r w:rsidRPr="00E74CD5">
        <w:rPr>
          <w:rStyle w:val="CharChapNo"/>
        </w:rPr>
        <w:t>This</w:t>
      </w:r>
      <w:r w:rsidRPr="00E74CD5">
        <w:rPr>
          <w:rFonts w:cs="Times New Roman"/>
          <w:sz w:val="24"/>
          <w:szCs w:val="24"/>
        </w:rPr>
        <w:t xml:space="preserve"> </w:t>
      </w:r>
      <w:r w:rsidRPr="00E74CD5">
        <w:rPr>
          <w:rStyle w:val="CharChapNo"/>
        </w:rPr>
        <w:t>Direction</w:t>
      </w:r>
      <w:r w:rsidRPr="00E74CD5">
        <w:rPr>
          <w:rFonts w:cs="Times New Roman"/>
          <w:sz w:val="24"/>
          <w:szCs w:val="24"/>
        </w:rPr>
        <w:t xml:space="preserve"> commences the day after </w:t>
      </w:r>
      <w:r w:rsidR="00A516B2" w:rsidRPr="00E74CD5">
        <w:rPr>
          <w:rFonts w:cs="Times New Roman"/>
          <w:sz w:val="24"/>
          <w:szCs w:val="24"/>
        </w:rPr>
        <w:t>it is registered</w:t>
      </w:r>
      <w:r w:rsidR="004150EB" w:rsidRPr="00E74CD5">
        <w:rPr>
          <w:rFonts w:cs="Times New Roman"/>
          <w:sz w:val="24"/>
          <w:szCs w:val="24"/>
        </w:rPr>
        <w:t>.</w:t>
      </w:r>
    </w:p>
    <w:p w14:paraId="3DE184EF" w14:textId="6505ED79" w:rsidR="00287C3E" w:rsidRPr="00E74CD5" w:rsidRDefault="00287C3E" w:rsidP="0052576F">
      <w:pPr>
        <w:spacing w:before="120"/>
        <w:ind w:left="709" w:right="284"/>
        <w:rPr>
          <w:rFonts w:cs="Times New Roman"/>
          <w:sz w:val="20"/>
        </w:rPr>
      </w:pPr>
      <w:r w:rsidRPr="00E74CD5">
        <w:rPr>
          <w:rFonts w:cs="Times New Roman"/>
          <w:sz w:val="20"/>
        </w:rPr>
        <w:t xml:space="preserve">Note:      Section 42 of the </w:t>
      </w:r>
      <w:r w:rsidRPr="00E74CD5">
        <w:rPr>
          <w:rFonts w:cs="Times New Roman"/>
          <w:i/>
          <w:sz w:val="20"/>
        </w:rPr>
        <w:t>Legislation Act 2003</w:t>
      </w:r>
      <w:r w:rsidRPr="00E74CD5">
        <w:rPr>
          <w:rFonts w:cs="Times New Roman"/>
          <w:sz w:val="20"/>
        </w:rPr>
        <w:t xml:space="preserve"> (which deals with the disallowance of legislative instruments) does not apply to this Direction: see </w:t>
      </w:r>
      <w:r w:rsidR="00A516B2" w:rsidRPr="00E74CD5">
        <w:rPr>
          <w:rFonts w:cs="Times New Roman"/>
          <w:sz w:val="20"/>
        </w:rPr>
        <w:t>regulations made for the purposes of paragraph 44(2)(b) of that Act</w:t>
      </w:r>
      <w:r w:rsidR="004150EB" w:rsidRPr="00E74CD5">
        <w:rPr>
          <w:rFonts w:cs="Times New Roman"/>
          <w:sz w:val="20"/>
        </w:rPr>
        <w:t>.</w:t>
      </w:r>
    </w:p>
    <w:p w14:paraId="0FB59A52" w14:textId="77777777" w:rsidR="00287C3E" w:rsidRPr="00E74CD5" w:rsidRDefault="00287C3E" w:rsidP="000117D4">
      <w:pPr>
        <w:pStyle w:val="ActHead4"/>
      </w:pPr>
      <w:r w:rsidRPr="00E74CD5">
        <w:t>3.</w:t>
      </w:r>
      <w:r w:rsidRPr="00E74CD5">
        <w:tab/>
        <w:t>Authority</w:t>
      </w:r>
    </w:p>
    <w:p w14:paraId="44EDF8EE" w14:textId="2B51CF12" w:rsidR="00287C3E" w:rsidRPr="00E74CD5" w:rsidRDefault="00287C3E" w:rsidP="00A74799">
      <w:pPr>
        <w:spacing w:before="120"/>
        <w:ind w:left="709" w:right="284"/>
        <w:rPr>
          <w:rFonts w:cs="Times New Roman"/>
          <w:sz w:val="24"/>
          <w:szCs w:val="24"/>
        </w:rPr>
      </w:pPr>
      <w:r w:rsidRPr="00E74CD5">
        <w:rPr>
          <w:rStyle w:val="CharChapNo"/>
        </w:rPr>
        <w:t>This</w:t>
      </w:r>
      <w:r w:rsidRPr="00E74CD5">
        <w:rPr>
          <w:rFonts w:cs="Times New Roman"/>
          <w:sz w:val="24"/>
          <w:szCs w:val="24"/>
        </w:rPr>
        <w:t xml:space="preserve"> </w:t>
      </w:r>
      <w:r w:rsidRPr="00E74CD5">
        <w:rPr>
          <w:rStyle w:val="CharChapNo"/>
        </w:rPr>
        <w:t>Direction</w:t>
      </w:r>
      <w:r w:rsidRPr="00E74CD5">
        <w:rPr>
          <w:rFonts w:cs="Times New Roman"/>
          <w:sz w:val="24"/>
          <w:szCs w:val="24"/>
        </w:rPr>
        <w:t xml:space="preserve"> is made under subsection 9(1) of the </w:t>
      </w:r>
      <w:r w:rsidRPr="00E74CD5">
        <w:rPr>
          <w:rFonts w:cs="Times New Roman"/>
          <w:i/>
          <w:sz w:val="24"/>
          <w:szCs w:val="24"/>
        </w:rPr>
        <w:t>Northern Australia Infrastructure Facility Act 20</w:t>
      </w:r>
      <w:r w:rsidR="00F7098E" w:rsidRPr="00E74CD5">
        <w:rPr>
          <w:rFonts w:cs="Times New Roman"/>
          <w:i/>
          <w:sz w:val="24"/>
          <w:szCs w:val="24"/>
        </w:rPr>
        <w:t>16</w:t>
      </w:r>
      <w:r w:rsidRPr="00E74CD5">
        <w:rPr>
          <w:rFonts w:cs="Times New Roman"/>
          <w:sz w:val="24"/>
          <w:szCs w:val="24"/>
        </w:rPr>
        <w:t>.</w:t>
      </w:r>
    </w:p>
    <w:p w14:paraId="7873A4B0" w14:textId="77777777" w:rsidR="00287C3E" w:rsidRPr="00E74CD5" w:rsidRDefault="00287C3E" w:rsidP="000117D4">
      <w:pPr>
        <w:pStyle w:val="ActHead4"/>
      </w:pPr>
      <w:r w:rsidRPr="00E74CD5">
        <w:t>4.</w:t>
      </w:r>
      <w:r w:rsidRPr="00E74CD5">
        <w:tab/>
        <w:t xml:space="preserve">Definitions </w:t>
      </w:r>
    </w:p>
    <w:p w14:paraId="19C6D979" w14:textId="77777777" w:rsidR="00A516B2" w:rsidRPr="00E74CD5" w:rsidRDefault="00A516B2" w:rsidP="00A516B2">
      <w:pPr>
        <w:pStyle w:val="notepara"/>
        <w:ind w:left="1560" w:hanging="851"/>
      </w:pPr>
      <w:r w:rsidRPr="00E74CD5">
        <w:t>Note:</w:t>
      </w:r>
      <w:r w:rsidRPr="00E74CD5">
        <w:tab/>
        <w:t>A number of expressions used in this Direction are defined in the Act, including the following:</w:t>
      </w:r>
    </w:p>
    <w:p w14:paraId="7C91BCC9" w14:textId="77777777" w:rsidR="00A516B2" w:rsidRPr="00E74CD5" w:rsidRDefault="00A516B2" w:rsidP="00A516B2">
      <w:pPr>
        <w:pStyle w:val="notepara"/>
        <w:ind w:left="1940"/>
      </w:pPr>
      <w:r w:rsidRPr="00E74CD5">
        <w:t>(a)</w:t>
      </w:r>
      <w:r w:rsidRPr="00E74CD5">
        <w:tab/>
        <w:t>Board;</w:t>
      </w:r>
    </w:p>
    <w:p w14:paraId="7E04764F" w14:textId="5BE70B09" w:rsidR="00A516B2" w:rsidRPr="00E74CD5" w:rsidRDefault="00A516B2" w:rsidP="00A516B2">
      <w:pPr>
        <w:pStyle w:val="notepara"/>
        <w:ind w:left="1940"/>
      </w:pPr>
      <w:r w:rsidRPr="00E74CD5">
        <w:t>(b)</w:t>
      </w:r>
      <w:r w:rsidRPr="00E74CD5">
        <w:tab/>
        <w:t>Facility;</w:t>
      </w:r>
    </w:p>
    <w:p w14:paraId="3DF78646" w14:textId="1676E56C" w:rsidR="0052581D" w:rsidRPr="00E74CD5" w:rsidRDefault="0052581D" w:rsidP="00A516B2">
      <w:pPr>
        <w:pStyle w:val="notepara"/>
        <w:ind w:left="1940"/>
      </w:pPr>
      <w:r w:rsidRPr="00E74CD5">
        <w:t>(c)</w:t>
      </w:r>
      <w:r w:rsidRPr="00E74CD5">
        <w:tab/>
      </w:r>
      <w:r w:rsidR="004150EB" w:rsidRPr="00E74CD5">
        <w:t>f</w:t>
      </w:r>
      <w:r w:rsidRPr="00E74CD5">
        <w:t>i</w:t>
      </w:r>
      <w:r w:rsidR="004150EB" w:rsidRPr="00E74CD5">
        <w:t>nancial a</w:t>
      </w:r>
      <w:r w:rsidRPr="00E74CD5">
        <w:t>ssistance</w:t>
      </w:r>
    </w:p>
    <w:p w14:paraId="0C3BA851" w14:textId="09ACB758" w:rsidR="00A516B2" w:rsidRPr="00E74CD5" w:rsidRDefault="00A516B2" w:rsidP="00A516B2">
      <w:pPr>
        <w:pStyle w:val="notepara"/>
        <w:ind w:left="1940"/>
      </w:pPr>
      <w:r w:rsidRPr="00E74CD5">
        <w:t>(</w:t>
      </w:r>
      <w:r w:rsidR="0052581D" w:rsidRPr="00E74CD5">
        <w:t>d</w:t>
      </w:r>
      <w:r w:rsidRPr="00E74CD5">
        <w:t>)</w:t>
      </w:r>
      <w:r w:rsidRPr="00E74CD5">
        <w:tab/>
        <w:t>Northern Australia;</w:t>
      </w:r>
    </w:p>
    <w:p w14:paraId="6CD81F73" w14:textId="77777777" w:rsidR="00162817" w:rsidRPr="00E74CD5" w:rsidRDefault="00A516B2" w:rsidP="00A516B2">
      <w:pPr>
        <w:pStyle w:val="notepara"/>
        <w:ind w:left="1940"/>
      </w:pPr>
      <w:r w:rsidRPr="00E74CD5">
        <w:t>(</w:t>
      </w:r>
      <w:r w:rsidR="0052581D" w:rsidRPr="00E74CD5">
        <w:t>e</w:t>
      </w:r>
      <w:r w:rsidRPr="00E74CD5">
        <w:t>)</w:t>
      </w:r>
      <w:r w:rsidRPr="00E74CD5">
        <w:tab/>
        <w:t>Northern Australia economic infrastructure</w:t>
      </w:r>
      <w:r w:rsidR="00162817" w:rsidRPr="00E74CD5">
        <w:t>;</w:t>
      </w:r>
    </w:p>
    <w:p w14:paraId="67B4E964" w14:textId="1FA0DFD2" w:rsidR="00A516B2" w:rsidRPr="00E74CD5" w:rsidRDefault="00162817" w:rsidP="00A516B2">
      <w:pPr>
        <w:pStyle w:val="notepara"/>
        <w:ind w:left="1940"/>
      </w:pPr>
      <w:r w:rsidRPr="00E74CD5">
        <w:t>(f)</w:t>
      </w:r>
      <w:r w:rsidRPr="00E74CD5">
        <w:tab/>
        <w:t>responsible Ministers</w:t>
      </w:r>
      <w:r w:rsidR="00A516B2" w:rsidRPr="00E74CD5">
        <w:t>.</w:t>
      </w:r>
    </w:p>
    <w:p w14:paraId="0781F92A" w14:textId="77777777" w:rsidR="00287C3E" w:rsidRPr="00E74CD5" w:rsidRDefault="00287C3E" w:rsidP="0052576F">
      <w:pPr>
        <w:spacing w:before="120"/>
        <w:ind w:left="709" w:right="284"/>
        <w:rPr>
          <w:rFonts w:cs="Times New Roman"/>
          <w:sz w:val="24"/>
          <w:szCs w:val="24"/>
        </w:rPr>
      </w:pPr>
      <w:r w:rsidRPr="00E74CD5">
        <w:rPr>
          <w:rFonts w:cs="Times New Roman"/>
          <w:sz w:val="24"/>
          <w:szCs w:val="24"/>
        </w:rPr>
        <w:t>In this Direction:</w:t>
      </w:r>
    </w:p>
    <w:p w14:paraId="7DE5095A" w14:textId="51105DEB" w:rsidR="00435625" w:rsidRPr="00E74CD5" w:rsidRDefault="00435625" w:rsidP="0052576F">
      <w:pPr>
        <w:spacing w:before="120"/>
        <w:ind w:left="709" w:right="284"/>
        <w:rPr>
          <w:rFonts w:cs="Times New Roman"/>
          <w:b/>
          <w:i/>
          <w:sz w:val="24"/>
          <w:szCs w:val="24"/>
        </w:rPr>
      </w:pPr>
      <w:r w:rsidRPr="00E74CD5">
        <w:rPr>
          <w:rFonts w:cs="Times New Roman"/>
          <w:b/>
          <w:i/>
          <w:sz w:val="24"/>
          <w:szCs w:val="24"/>
        </w:rPr>
        <w:t>Alternative Financing Mechanism</w:t>
      </w:r>
      <w:r w:rsidRPr="00E74CD5">
        <w:rPr>
          <w:rFonts w:cs="Times New Roman"/>
          <w:sz w:val="24"/>
          <w:szCs w:val="24"/>
        </w:rPr>
        <w:t xml:space="preserve"> means debt and debt-like instruments such as guarantees, letters of credit, the purchase of primary-issue bonds, and equity and equity-like instruments such as ordinary shares, units in trusts, interests in joint ventures, convertible notes and preference shares. </w:t>
      </w:r>
    </w:p>
    <w:p w14:paraId="25A4F1AC" w14:textId="236099D7" w:rsidR="00287C3E" w:rsidRPr="00E74CD5" w:rsidRDefault="00287C3E" w:rsidP="0052576F">
      <w:pPr>
        <w:spacing w:before="120"/>
        <w:ind w:left="709" w:right="284"/>
        <w:rPr>
          <w:rFonts w:cs="Times New Roman"/>
          <w:sz w:val="24"/>
          <w:szCs w:val="24"/>
        </w:rPr>
      </w:pPr>
      <w:r w:rsidRPr="00E74CD5">
        <w:rPr>
          <w:rFonts w:cs="Times New Roman"/>
          <w:b/>
          <w:i/>
          <w:sz w:val="24"/>
          <w:szCs w:val="24"/>
        </w:rPr>
        <w:t>Commercial Financier</w:t>
      </w:r>
      <w:r w:rsidRPr="00E74CD5">
        <w:rPr>
          <w:rFonts w:cs="Times New Roman"/>
          <w:sz w:val="24"/>
          <w:szCs w:val="24"/>
        </w:rPr>
        <w:t xml:space="preserve"> means a private sector body that provides finance or investment into </w:t>
      </w:r>
      <w:r w:rsidR="00700B3B" w:rsidRPr="00E74CD5">
        <w:rPr>
          <w:rFonts w:cs="Times New Roman"/>
          <w:sz w:val="24"/>
          <w:szCs w:val="24"/>
        </w:rPr>
        <w:t xml:space="preserve">economic </w:t>
      </w:r>
      <w:r w:rsidRPr="00E74CD5">
        <w:rPr>
          <w:rFonts w:cs="Times New Roman"/>
          <w:sz w:val="24"/>
          <w:szCs w:val="24"/>
        </w:rPr>
        <w:t>infrastructure projects.</w:t>
      </w:r>
    </w:p>
    <w:p w14:paraId="54729BCD" w14:textId="3634997D" w:rsidR="00287C3E" w:rsidRPr="00E74CD5" w:rsidRDefault="00287C3E" w:rsidP="0052576F">
      <w:pPr>
        <w:spacing w:before="120"/>
        <w:ind w:left="709" w:right="284"/>
        <w:rPr>
          <w:rFonts w:cs="Times New Roman"/>
          <w:sz w:val="24"/>
          <w:szCs w:val="24"/>
        </w:rPr>
      </w:pPr>
      <w:r w:rsidRPr="00E74CD5">
        <w:rPr>
          <w:rFonts w:cs="Times New Roman"/>
          <w:b/>
          <w:i/>
          <w:sz w:val="24"/>
          <w:szCs w:val="24"/>
        </w:rPr>
        <w:t>Financing Mechanism</w:t>
      </w:r>
      <w:r w:rsidRPr="00E74CD5">
        <w:rPr>
          <w:rFonts w:cs="Times New Roman"/>
          <w:sz w:val="24"/>
          <w:szCs w:val="24"/>
        </w:rPr>
        <w:t xml:space="preserve"> means a </w:t>
      </w:r>
      <w:r w:rsidR="0052581D" w:rsidRPr="00E74CD5">
        <w:rPr>
          <w:rFonts w:cs="Times New Roman"/>
          <w:sz w:val="24"/>
          <w:szCs w:val="24"/>
        </w:rPr>
        <w:t>form of</w:t>
      </w:r>
      <w:r w:rsidRPr="00E74CD5">
        <w:rPr>
          <w:rFonts w:cs="Times New Roman"/>
          <w:sz w:val="24"/>
          <w:szCs w:val="24"/>
        </w:rPr>
        <w:t xml:space="preserve"> financial assistance as determined by the </w:t>
      </w:r>
      <w:r w:rsidR="00725B59" w:rsidRPr="00E74CD5">
        <w:rPr>
          <w:rFonts w:cs="Times New Roman"/>
          <w:sz w:val="24"/>
          <w:szCs w:val="24"/>
        </w:rPr>
        <w:t>Facility</w:t>
      </w:r>
      <w:r w:rsidRPr="00E74CD5">
        <w:rPr>
          <w:rFonts w:cs="Times New Roman"/>
          <w:sz w:val="24"/>
          <w:szCs w:val="24"/>
        </w:rPr>
        <w:t xml:space="preserve"> in accordance with section</w:t>
      </w:r>
      <w:r w:rsidR="008E4241" w:rsidRPr="00E74CD5">
        <w:rPr>
          <w:rFonts w:cs="Times New Roman"/>
          <w:sz w:val="24"/>
          <w:szCs w:val="24"/>
        </w:rPr>
        <w:t xml:space="preserve">s 10, </w:t>
      </w:r>
      <w:r w:rsidRPr="00E74CD5">
        <w:rPr>
          <w:rFonts w:cs="Times New Roman"/>
          <w:sz w:val="24"/>
          <w:szCs w:val="24"/>
        </w:rPr>
        <w:t xml:space="preserve">11 </w:t>
      </w:r>
      <w:r w:rsidR="008E4241" w:rsidRPr="00E74CD5">
        <w:rPr>
          <w:rFonts w:cs="Times New Roman"/>
          <w:sz w:val="24"/>
          <w:szCs w:val="24"/>
        </w:rPr>
        <w:t xml:space="preserve">and 12 </w:t>
      </w:r>
      <w:r w:rsidRPr="00E74CD5">
        <w:rPr>
          <w:rFonts w:cs="Times New Roman"/>
          <w:sz w:val="24"/>
          <w:szCs w:val="24"/>
        </w:rPr>
        <w:t>of this Direction.</w:t>
      </w:r>
    </w:p>
    <w:p w14:paraId="4BCFEFEC" w14:textId="75DC961D" w:rsidR="00287C3E" w:rsidRPr="00E74CD5" w:rsidRDefault="00287C3E" w:rsidP="0052576F">
      <w:pPr>
        <w:spacing w:before="120"/>
        <w:ind w:left="709" w:right="284"/>
        <w:rPr>
          <w:rFonts w:cs="Times New Roman"/>
          <w:sz w:val="24"/>
          <w:szCs w:val="24"/>
        </w:rPr>
      </w:pPr>
      <w:r w:rsidRPr="00E74CD5">
        <w:rPr>
          <w:rFonts w:cs="Times New Roman"/>
          <w:b/>
          <w:i/>
          <w:sz w:val="24"/>
          <w:szCs w:val="24"/>
        </w:rPr>
        <w:t>Infrastructure Australia</w:t>
      </w:r>
      <w:r w:rsidRPr="00E74CD5">
        <w:rPr>
          <w:rFonts w:cs="Times New Roman"/>
          <w:sz w:val="24"/>
          <w:szCs w:val="24"/>
        </w:rPr>
        <w:t xml:space="preserve"> </w:t>
      </w:r>
      <w:r w:rsidR="00A516B2" w:rsidRPr="00E74CD5">
        <w:rPr>
          <w:rFonts w:cs="Times New Roman"/>
          <w:sz w:val="24"/>
          <w:szCs w:val="24"/>
        </w:rPr>
        <w:t>has the same meaning as in the</w:t>
      </w:r>
      <w:r w:rsidRPr="00E74CD5">
        <w:rPr>
          <w:rFonts w:cs="Times New Roman"/>
          <w:sz w:val="24"/>
          <w:szCs w:val="24"/>
        </w:rPr>
        <w:t xml:space="preserve"> </w:t>
      </w:r>
      <w:r w:rsidRPr="00E74CD5">
        <w:rPr>
          <w:rFonts w:cs="Times New Roman"/>
          <w:i/>
          <w:sz w:val="24"/>
          <w:szCs w:val="24"/>
        </w:rPr>
        <w:t>Infrastructure Australia Act 2008</w:t>
      </w:r>
      <w:r w:rsidRPr="00E74CD5">
        <w:rPr>
          <w:rFonts w:cs="Times New Roman"/>
          <w:sz w:val="24"/>
          <w:szCs w:val="24"/>
        </w:rPr>
        <w:t>.</w:t>
      </w:r>
    </w:p>
    <w:p w14:paraId="4407A0F2" w14:textId="7906EC42" w:rsidR="00254060" w:rsidRPr="00E74CD5" w:rsidRDefault="00287C3E" w:rsidP="0052576F">
      <w:pPr>
        <w:spacing w:before="120"/>
        <w:ind w:left="709" w:right="284"/>
        <w:rPr>
          <w:rFonts w:cs="Times New Roman"/>
          <w:sz w:val="24"/>
          <w:szCs w:val="24"/>
        </w:rPr>
      </w:pPr>
      <w:r w:rsidRPr="00E74CD5">
        <w:rPr>
          <w:rFonts w:cs="Times New Roman"/>
          <w:b/>
          <w:i/>
          <w:sz w:val="24"/>
          <w:szCs w:val="24"/>
        </w:rPr>
        <w:t>Investment Decision</w:t>
      </w:r>
      <w:r w:rsidRPr="00E74CD5">
        <w:rPr>
          <w:rFonts w:cs="Times New Roman"/>
          <w:sz w:val="24"/>
          <w:szCs w:val="24"/>
        </w:rPr>
        <w:t xml:space="preserve"> means a decision by the </w:t>
      </w:r>
      <w:r w:rsidR="00942D61" w:rsidRPr="00E74CD5">
        <w:rPr>
          <w:rFonts w:cs="Times New Roman"/>
          <w:sz w:val="24"/>
          <w:szCs w:val="24"/>
        </w:rPr>
        <w:t xml:space="preserve">Facility </w:t>
      </w:r>
      <w:r w:rsidRPr="00E74CD5">
        <w:rPr>
          <w:rFonts w:cs="Times New Roman"/>
          <w:sz w:val="24"/>
          <w:szCs w:val="24"/>
        </w:rPr>
        <w:t xml:space="preserve">to offer, or not to offer, </w:t>
      </w:r>
      <w:r w:rsidR="00A516B2" w:rsidRPr="00E74CD5">
        <w:rPr>
          <w:rFonts w:cs="Times New Roman"/>
          <w:sz w:val="24"/>
          <w:szCs w:val="24"/>
        </w:rPr>
        <w:t>financial assistance in the form of a particular</w:t>
      </w:r>
      <w:r w:rsidRPr="00E74CD5">
        <w:rPr>
          <w:rFonts w:cs="Times New Roman"/>
          <w:sz w:val="24"/>
          <w:szCs w:val="24"/>
        </w:rPr>
        <w:t xml:space="preserve"> Financing Mechanism</w:t>
      </w:r>
      <w:r w:rsidR="00475C17" w:rsidRPr="00E74CD5">
        <w:rPr>
          <w:rFonts w:cs="Times New Roman"/>
          <w:sz w:val="24"/>
          <w:szCs w:val="24"/>
        </w:rPr>
        <w:t>, which may be conditional on the negotiation and execution of the legal documentation, and on the satisfaction of conditions precedent to funding</w:t>
      </w:r>
      <w:r w:rsidR="001B0B2E" w:rsidRPr="00E74CD5">
        <w:rPr>
          <w:rFonts w:cs="Times New Roman"/>
          <w:sz w:val="24"/>
          <w:szCs w:val="24"/>
        </w:rPr>
        <w:t xml:space="preserve">. </w:t>
      </w:r>
    </w:p>
    <w:p w14:paraId="7FB72D5D" w14:textId="29DFFB61" w:rsidR="00287C3E" w:rsidRPr="00E74CD5" w:rsidRDefault="00287C3E" w:rsidP="0052576F">
      <w:pPr>
        <w:spacing w:before="120"/>
        <w:ind w:left="709" w:right="284"/>
        <w:rPr>
          <w:rFonts w:cs="Times New Roman"/>
          <w:sz w:val="24"/>
          <w:szCs w:val="24"/>
        </w:rPr>
      </w:pPr>
      <w:r w:rsidRPr="00E74CD5">
        <w:rPr>
          <w:rFonts w:cs="Times New Roman"/>
          <w:b/>
          <w:i/>
          <w:sz w:val="24"/>
          <w:szCs w:val="24"/>
        </w:rPr>
        <w:t>Investment Proposal</w:t>
      </w:r>
      <w:r w:rsidRPr="00E74CD5">
        <w:rPr>
          <w:rFonts w:cs="Times New Roman"/>
          <w:sz w:val="24"/>
          <w:szCs w:val="24"/>
        </w:rPr>
        <w:t xml:space="preserve"> means the application submitted by a Project Proponent.</w:t>
      </w:r>
      <w:r w:rsidR="007049E7" w:rsidRPr="00E74CD5">
        <w:rPr>
          <w:rFonts w:cs="Times New Roman"/>
          <w:sz w:val="24"/>
          <w:szCs w:val="24"/>
        </w:rPr>
        <w:t xml:space="preserve"> </w:t>
      </w:r>
    </w:p>
    <w:p w14:paraId="53FDBB1F" w14:textId="50445DB1" w:rsidR="00287C3E" w:rsidRPr="00E74CD5" w:rsidRDefault="00287C3E" w:rsidP="0052576F">
      <w:pPr>
        <w:spacing w:before="120"/>
        <w:ind w:left="709" w:right="284"/>
        <w:rPr>
          <w:rFonts w:cs="Times New Roman"/>
          <w:sz w:val="24"/>
          <w:szCs w:val="24"/>
        </w:rPr>
      </w:pPr>
      <w:r w:rsidRPr="00E74CD5">
        <w:rPr>
          <w:rFonts w:cs="Times New Roman"/>
          <w:b/>
          <w:i/>
          <w:sz w:val="24"/>
          <w:szCs w:val="24"/>
        </w:rPr>
        <w:t>Project</w:t>
      </w:r>
      <w:r w:rsidRPr="00E74CD5">
        <w:rPr>
          <w:rFonts w:cs="Times New Roman"/>
          <w:sz w:val="24"/>
          <w:szCs w:val="24"/>
        </w:rPr>
        <w:t xml:space="preserve"> means the subject of the Project Proponent’s Investment Proposal</w:t>
      </w:r>
      <w:r w:rsidR="00BE14B9" w:rsidRPr="00E74CD5">
        <w:rPr>
          <w:rFonts w:cs="Times New Roman"/>
          <w:sz w:val="24"/>
          <w:szCs w:val="24"/>
        </w:rPr>
        <w:t xml:space="preserve"> </w:t>
      </w:r>
      <w:r w:rsidRPr="00E74CD5">
        <w:rPr>
          <w:rFonts w:cs="Times New Roman"/>
          <w:sz w:val="24"/>
          <w:szCs w:val="24"/>
        </w:rPr>
        <w:t>which</w:t>
      </w:r>
      <w:r w:rsidR="00211159" w:rsidRPr="00E74CD5">
        <w:rPr>
          <w:rFonts w:cs="Times New Roman"/>
          <w:sz w:val="24"/>
          <w:szCs w:val="24"/>
        </w:rPr>
        <w:t xml:space="preserve"> relates to</w:t>
      </w:r>
      <w:r w:rsidRPr="00E74CD5">
        <w:rPr>
          <w:rFonts w:cs="Times New Roman"/>
          <w:sz w:val="24"/>
          <w:szCs w:val="24"/>
        </w:rPr>
        <w:t xml:space="preserve"> </w:t>
      </w:r>
      <w:r w:rsidR="00211159" w:rsidRPr="00E74CD5">
        <w:rPr>
          <w:rFonts w:cs="Times New Roman"/>
          <w:sz w:val="24"/>
          <w:szCs w:val="24"/>
        </w:rPr>
        <w:t xml:space="preserve">supporting the development of </w:t>
      </w:r>
      <w:r w:rsidRPr="00E74CD5">
        <w:rPr>
          <w:rFonts w:cs="Times New Roman"/>
          <w:sz w:val="24"/>
          <w:szCs w:val="24"/>
        </w:rPr>
        <w:t>Northern Australia economic infrastructure.</w:t>
      </w:r>
      <w:r w:rsidR="007049E7" w:rsidRPr="00E74CD5">
        <w:rPr>
          <w:rFonts w:cs="Times New Roman"/>
          <w:sz w:val="24"/>
          <w:szCs w:val="24"/>
        </w:rPr>
        <w:t xml:space="preserve"> </w:t>
      </w:r>
    </w:p>
    <w:p w14:paraId="4800639C" w14:textId="36B73500" w:rsidR="00287C3E" w:rsidRPr="00E74CD5" w:rsidRDefault="00A37A13" w:rsidP="0052576F">
      <w:pPr>
        <w:spacing w:before="120"/>
        <w:ind w:left="709" w:right="284"/>
        <w:rPr>
          <w:rFonts w:cs="Times New Roman"/>
          <w:sz w:val="24"/>
          <w:szCs w:val="24"/>
        </w:rPr>
      </w:pPr>
      <w:r w:rsidRPr="00E74CD5">
        <w:rPr>
          <w:rFonts w:cs="Times New Roman"/>
          <w:b/>
          <w:i/>
          <w:sz w:val="24"/>
          <w:szCs w:val="24"/>
        </w:rPr>
        <w:t xml:space="preserve">Project </w:t>
      </w:r>
      <w:r w:rsidR="00287C3E" w:rsidRPr="00E74CD5">
        <w:rPr>
          <w:rFonts w:cs="Times New Roman"/>
          <w:b/>
          <w:i/>
          <w:sz w:val="24"/>
          <w:szCs w:val="24"/>
        </w:rPr>
        <w:t>Proponent</w:t>
      </w:r>
      <w:r w:rsidR="00287C3E" w:rsidRPr="00E74CD5">
        <w:rPr>
          <w:rFonts w:cs="Times New Roman"/>
          <w:sz w:val="24"/>
          <w:szCs w:val="24"/>
        </w:rPr>
        <w:t xml:space="preserve"> means the entity responsible for</w:t>
      </w:r>
      <w:r w:rsidRPr="00E74CD5">
        <w:rPr>
          <w:rFonts w:cs="Times New Roman"/>
          <w:sz w:val="24"/>
          <w:szCs w:val="24"/>
        </w:rPr>
        <w:t xml:space="preserve"> </w:t>
      </w:r>
      <w:r w:rsidR="00287C3E" w:rsidRPr="00E74CD5">
        <w:rPr>
          <w:rFonts w:cs="Times New Roman"/>
          <w:sz w:val="24"/>
          <w:szCs w:val="24"/>
        </w:rPr>
        <w:t>a Project</w:t>
      </w:r>
      <w:r w:rsidRPr="00E74CD5">
        <w:rPr>
          <w:rFonts w:cs="Times New Roman"/>
          <w:sz w:val="24"/>
          <w:szCs w:val="24"/>
        </w:rPr>
        <w:t>.</w:t>
      </w:r>
    </w:p>
    <w:p w14:paraId="51FA3F39" w14:textId="77777777" w:rsidR="00287C3E" w:rsidRPr="00E74CD5" w:rsidRDefault="00287C3E" w:rsidP="0052576F">
      <w:pPr>
        <w:spacing w:before="120"/>
        <w:ind w:left="709" w:right="284"/>
        <w:rPr>
          <w:rFonts w:cs="Times New Roman"/>
          <w:sz w:val="24"/>
          <w:szCs w:val="24"/>
        </w:rPr>
      </w:pPr>
      <w:r w:rsidRPr="00E74CD5">
        <w:rPr>
          <w:rFonts w:cs="Times New Roman"/>
          <w:b/>
          <w:i/>
          <w:sz w:val="24"/>
          <w:szCs w:val="24"/>
        </w:rPr>
        <w:lastRenderedPageBreak/>
        <w:t>Risk Appetite Statement</w:t>
      </w:r>
      <w:r w:rsidRPr="00E74CD5">
        <w:rPr>
          <w:rFonts w:cs="Times New Roman"/>
          <w:sz w:val="24"/>
          <w:szCs w:val="24"/>
        </w:rPr>
        <w:t xml:space="preserve"> means the statement approved by the Board outlining the risk strategy that will guide the Facility’s Investment Decisions. </w:t>
      </w:r>
    </w:p>
    <w:p w14:paraId="08584899" w14:textId="3C11FDB8" w:rsidR="00287C3E" w:rsidRPr="00E74CD5" w:rsidRDefault="00287C3E" w:rsidP="000117D4">
      <w:pPr>
        <w:pStyle w:val="ActHead4"/>
      </w:pPr>
      <w:r w:rsidRPr="00E74CD5">
        <w:t>5.</w:t>
      </w:r>
      <w:r w:rsidRPr="00E74CD5">
        <w:tab/>
        <w:t>Purpose</w:t>
      </w:r>
    </w:p>
    <w:p w14:paraId="3DE5D5B9" w14:textId="31694217" w:rsidR="00287C3E" w:rsidRPr="00E74CD5" w:rsidRDefault="00287C3E" w:rsidP="00A74799">
      <w:pPr>
        <w:spacing w:before="120"/>
        <w:ind w:left="709" w:right="284"/>
        <w:rPr>
          <w:rStyle w:val="CharChapNo"/>
        </w:rPr>
      </w:pPr>
      <w:r w:rsidRPr="00E74CD5">
        <w:rPr>
          <w:rStyle w:val="CharChapNo"/>
        </w:rPr>
        <w:t xml:space="preserve">The purpose of this Direction is to direct the </w:t>
      </w:r>
      <w:r w:rsidR="00E929F4" w:rsidRPr="00E74CD5">
        <w:rPr>
          <w:rStyle w:val="CharChapNo"/>
        </w:rPr>
        <w:t xml:space="preserve">Board </w:t>
      </w:r>
      <w:r w:rsidRPr="00E74CD5">
        <w:rPr>
          <w:rStyle w:val="CharChapNo"/>
        </w:rPr>
        <w:t xml:space="preserve">in relation to the performance of the functions of the Facility. </w:t>
      </w:r>
    </w:p>
    <w:p w14:paraId="3544E044" w14:textId="77777777" w:rsidR="00287C3E" w:rsidRPr="00E74CD5" w:rsidRDefault="00287C3E" w:rsidP="00742C83">
      <w:pPr>
        <w:spacing w:before="100" w:beforeAutospacing="1" w:after="280" w:line="240" w:lineRule="auto"/>
        <w:ind w:right="284"/>
        <w:outlineLvl w:val="1"/>
        <w:rPr>
          <w:rFonts w:cs="Times New Roman"/>
          <w:b/>
          <w:sz w:val="36"/>
          <w:szCs w:val="36"/>
        </w:rPr>
      </w:pPr>
      <w:r w:rsidRPr="00E74CD5">
        <w:rPr>
          <w:rFonts w:cs="Times New Roman"/>
          <w:b/>
          <w:sz w:val="36"/>
          <w:szCs w:val="36"/>
        </w:rPr>
        <w:t>PART 2 – DIRECTIONS</w:t>
      </w:r>
    </w:p>
    <w:p w14:paraId="2E5C642D" w14:textId="77777777" w:rsidR="00287C3E" w:rsidRPr="00E74CD5" w:rsidRDefault="00287C3E" w:rsidP="000117D4">
      <w:pPr>
        <w:pStyle w:val="ActHead4"/>
      </w:pPr>
      <w:r w:rsidRPr="00E74CD5">
        <w:t>6.</w:t>
      </w:r>
      <w:r w:rsidRPr="00E74CD5">
        <w:tab/>
        <w:t>Making Investment Decisions</w:t>
      </w:r>
    </w:p>
    <w:p w14:paraId="291C3142" w14:textId="5593D3DB" w:rsidR="000117D4" w:rsidRPr="00E74CD5" w:rsidRDefault="00287C3E" w:rsidP="008B32BA">
      <w:pPr>
        <w:pStyle w:val="ActHead8"/>
      </w:pPr>
      <w:r w:rsidRPr="00E74CD5">
        <w:t xml:space="preserve">The </w:t>
      </w:r>
      <w:r w:rsidR="001B3F80" w:rsidRPr="00E74CD5">
        <w:t>Facility</w:t>
      </w:r>
      <w:r w:rsidR="001B3F80" w:rsidRPr="00E74CD5" w:rsidDel="00582AC2">
        <w:t xml:space="preserve"> </w:t>
      </w:r>
      <w:r w:rsidR="00A37A13" w:rsidRPr="00E74CD5">
        <w:t xml:space="preserve">has responsibility </w:t>
      </w:r>
      <w:r w:rsidR="002A44F8" w:rsidRPr="00E74CD5">
        <w:t xml:space="preserve">for </w:t>
      </w:r>
      <w:r w:rsidR="00416403" w:rsidRPr="00E74CD5">
        <w:t xml:space="preserve">project origination and </w:t>
      </w:r>
      <w:r w:rsidR="002A44F8" w:rsidRPr="00E74CD5">
        <w:t>making</w:t>
      </w:r>
      <w:r w:rsidRPr="00E74CD5">
        <w:t xml:space="preserve"> Investment Decisions</w:t>
      </w:r>
      <w:r w:rsidR="002A44F8" w:rsidRPr="00E74CD5">
        <w:t>.</w:t>
      </w:r>
    </w:p>
    <w:p w14:paraId="247DD156" w14:textId="40049BC0" w:rsidR="00EB39EC" w:rsidRPr="00E74CD5" w:rsidRDefault="00A37A13" w:rsidP="008B32BA">
      <w:pPr>
        <w:pStyle w:val="ActHead8"/>
      </w:pPr>
      <w:r w:rsidRPr="00E74CD5">
        <w:t xml:space="preserve">When the </w:t>
      </w:r>
      <w:r w:rsidR="00942D61" w:rsidRPr="00E74CD5">
        <w:t>Facility</w:t>
      </w:r>
      <w:r w:rsidR="00942D61" w:rsidRPr="00E74CD5" w:rsidDel="00582AC2">
        <w:t xml:space="preserve"> </w:t>
      </w:r>
      <w:r w:rsidRPr="00E74CD5">
        <w:t xml:space="preserve">makes an Investment Decision, </w:t>
      </w:r>
      <w:r w:rsidR="00942D61" w:rsidRPr="00E74CD5">
        <w:t>it</w:t>
      </w:r>
      <w:r w:rsidRPr="00E74CD5">
        <w:t xml:space="preserve"> must notify the Project Proponent whether or not the Project will</w:t>
      </w:r>
      <w:r w:rsidR="00582AC2" w:rsidRPr="00E74CD5">
        <w:t xml:space="preserve"> be offered</w:t>
      </w:r>
      <w:r w:rsidRPr="00E74CD5">
        <w:t xml:space="preserve"> financial assistance</w:t>
      </w:r>
      <w:r w:rsidR="00582AC2" w:rsidRPr="00E74CD5">
        <w:t>, in the form of a particular Financing Mechanism</w:t>
      </w:r>
      <w:r w:rsidRPr="00E74CD5">
        <w:t xml:space="preserve"> as soon as practicable after an Investment Decision has been made.</w:t>
      </w:r>
    </w:p>
    <w:p w14:paraId="2D724715" w14:textId="77777777" w:rsidR="00287C3E" w:rsidRPr="00E74CD5" w:rsidRDefault="00287C3E" w:rsidP="000117D4">
      <w:pPr>
        <w:pStyle w:val="ActHead4"/>
      </w:pPr>
      <w:r w:rsidRPr="00E74CD5">
        <w:t>7.</w:t>
      </w:r>
      <w:r w:rsidRPr="00E74CD5">
        <w:tab/>
        <w:t>Matters to be considered when making Investment Decisions</w:t>
      </w:r>
    </w:p>
    <w:p w14:paraId="3D9CB8D5" w14:textId="0D506185" w:rsidR="008B32BA" w:rsidRPr="00E74CD5" w:rsidRDefault="00287C3E" w:rsidP="008B32BA">
      <w:pPr>
        <w:pStyle w:val="ActHead8"/>
        <w:numPr>
          <w:ilvl w:val="0"/>
          <w:numId w:val="14"/>
        </w:numPr>
      </w:pPr>
      <w:r w:rsidRPr="00E74CD5">
        <w:t xml:space="preserve">Before making an Investment Decision to offer a Financing Mechanism, the </w:t>
      </w:r>
      <w:r w:rsidR="00942D61" w:rsidRPr="00E74CD5">
        <w:t xml:space="preserve">Facility </w:t>
      </w:r>
      <w:r w:rsidRPr="00E74CD5">
        <w:t>must be satisfied:</w:t>
      </w:r>
    </w:p>
    <w:p w14:paraId="3A965CD1" w14:textId="31009E85" w:rsidR="00494C34" w:rsidRPr="00E74CD5" w:rsidRDefault="00287C3E" w:rsidP="008B32BA">
      <w:pPr>
        <w:pStyle w:val="ListParagraph"/>
      </w:pPr>
      <w:r w:rsidRPr="00E74CD5">
        <w:t xml:space="preserve">the Investment Proposal has met all </w:t>
      </w:r>
      <w:r w:rsidR="00EC1F04" w:rsidRPr="00E74CD5">
        <w:t xml:space="preserve">relevant </w:t>
      </w:r>
      <w:r w:rsidR="00B738F1" w:rsidRPr="00E74CD5">
        <w:t>M</w:t>
      </w:r>
      <w:r w:rsidRPr="00E74CD5">
        <w:t>a</w:t>
      </w:r>
      <w:r w:rsidR="00B738F1" w:rsidRPr="00E74CD5">
        <w:t>ndatory C</w:t>
      </w:r>
      <w:r w:rsidRPr="00E74CD5">
        <w:t xml:space="preserve">riteria in Schedule 1 to this Direction; </w:t>
      </w:r>
      <w:r w:rsidR="00494C34" w:rsidRPr="00E74CD5">
        <w:t>and</w:t>
      </w:r>
    </w:p>
    <w:p w14:paraId="09BD92B2" w14:textId="6B37B99E" w:rsidR="00287C3E" w:rsidRPr="00E74CD5" w:rsidRDefault="00287C3E" w:rsidP="008B32BA">
      <w:pPr>
        <w:pStyle w:val="ListParagraph"/>
      </w:pPr>
      <w:r w:rsidRPr="00E74CD5">
        <w:t xml:space="preserve">any return </w:t>
      </w:r>
      <w:r w:rsidR="00E929F4" w:rsidRPr="00E74CD5">
        <w:t xml:space="preserve">is likely to </w:t>
      </w:r>
      <w:r w:rsidRPr="00E74CD5">
        <w:t>cover at least the Facility’s administrative costs</w:t>
      </w:r>
      <w:r w:rsidR="00B738F1" w:rsidRPr="00E74CD5">
        <w:t xml:space="preserve"> a</w:t>
      </w:r>
      <w:r w:rsidR="00DD79AE" w:rsidRPr="00E74CD5">
        <w:t xml:space="preserve">nd </w:t>
      </w:r>
      <w:r w:rsidRPr="00E74CD5">
        <w:t>the Commonwealth’s cost of borrowing.</w:t>
      </w:r>
    </w:p>
    <w:p w14:paraId="48B16558" w14:textId="33663295" w:rsidR="00287C3E" w:rsidRPr="00E74CD5" w:rsidRDefault="00287C3E" w:rsidP="008B32BA">
      <w:pPr>
        <w:pStyle w:val="ActHead8"/>
      </w:pPr>
      <w:r w:rsidRPr="00E74CD5">
        <w:t xml:space="preserve">In making an Investment Decision, the </w:t>
      </w:r>
      <w:r w:rsidR="001B3F80" w:rsidRPr="00E74CD5">
        <w:t>Facility</w:t>
      </w:r>
      <w:r w:rsidR="001B3F80" w:rsidRPr="00E74CD5" w:rsidDel="00582AC2">
        <w:t xml:space="preserve"> </w:t>
      </w:r>
      <w:r w:rsidRPr="00E74CD5">
        <w:t>must have regard to</w:t>
      </w:r>
      <w:r w:rsidR="00145D01" w:rsidRPr="00E74CD5">
        <w:t xml:space="preserve"> the</w:t>
      </w:r>
      <w:r w:rsidRPr="00E74CD5">
        <w:t xml:space="preserve">: </w:t>
      </w:r>
    </w:p>
    <w:p w14:paraId="5889C107" w14:textId="51FB5AF9" w:rsidR="00287C3E" w:rsidRPr="00E74CD5" w:rsidRDefault="00287C3E" w:rsidP="008B32BA">
      <w:pPr>
        <w:pStyle w:val="ListParagraph"/>
        <w:numPr>
          <w:ilvl w:val="0"/>
          <w:numId w:val="18"/>
        </w:numPr>
      </w:pPr>
      <w:r w:rsidRPr="00E74CD5">
        <w:t xml:space="preserve">extent of any concession that may be offered to a Project Proponent, in accordance with section 9 of this Direction; </w:t>
      </w:r>
    </w:p>
    <w:p w14:paraId="319DC484" w14:textId="6297C6A6" w:rsidR="00176093" w:rsidRPr="00E74CD5" w:rsidRDefault="00DD79AE" w:rsidP="008B32BA">
      <w:pPr>
        <w:pStyle w:val="ListParagraph"/>
      </w:pPr>
      <w:r w:rsidRPr="00E74CD5">
        <w:t xml:space="preserve">appropriate </w:t>
      </w:r>
      <w:r w:rsidR="00176093" w:rsidRPr="00E74CD5">
        <w:t>interest rate</w:t>
      </w:r>
      <w:r w:rsidR="008E4241" w:rsidRPr="00E74CD5">
        <w:t xml:space="preserve"> or target rate of return</w:t>
      </w:r>
      <w:r w:rsidR="00B738F1" w:rsidRPr="00E74CD5">
        <w:t xml:space="preserve"> </w:t>
      </w:r>
      <w:r w:rsidR="00176093" w:rsidRPr="00E74CD5">
        <w:t xml:space="preserve">for the Financing Mechanism used; </w:t>
      </w:r>
    </w:p>
    <w:p w14:paraId="005E0E21" w14:textId="06C6055A" w:rsidR="00DD79AE" w:rsidRPr="00E74CD5" w:rsidRDefault="00B738F1" w:rsidP="008B32BA">
      <w:pPr>
        <w:pStyle w:val="ListParagraph"/>
      </w:pPr>
      <w:r w:rsidRPr="00E74CD5">
        <w:t>i</w:t>
      </w:r>
      <w:r w:rsidR="00DD79AE" w:rsidRPr="00E74CD5">
        <w:t xml:space="preserve">nherent risk of the underlying Project and its capital structure; </w:t>
      </w:r>
    </w:p>
    <w:p w14:paraId="37BEFE23" w14:textId="75C7F8ED" w:rsidR="00287C3E" w:rsidRPr="00E74CD5" w:rsidRDefault="00287C3E" w:rsidP="008B32BA">
      <w:pPr>
        <w:pStyle w:val="ListParagraph"/>
      </w:pPr>
      <w:r w:rsidRPr="00E74CD5">
        <w:t xml:space="preserve">potential effect of the Project on other </w:t>
      </w:r>
      <w:r w:rsidR="00700B3B" w:rsidRPr="00E74CD5">
        <w:t xml:space="preserve">economic </w:t>
      </w:r>
      <w:r w:rsidRPr="00E74CD5">
        <w:t xml:space="preserve">infrastructure; </w:t>
      </w:r>
    </w:p>
    <w:p w14:paraId="35286154" w14:textId="3F4B2A3C" w:rsidR="00287C3E" w:rsidRPr="00E74CD5" w:rsidRDefault="00287C3E" w:rsidP="008B32BA">
      <w:pPr>
        <w:pStyle w:val="ListParagraph"/>
      </w:pPr>
      <w:r w:rsidRPr="00E74CD5">
        <w:t>potential effect of the Financing Mechanism on the Australian infrastructure financing market; and</w:t>
      </w:r>
    </w:p>
    <w:p w14:paraId="692A9A78" w14:textId="5EF3E7BF" w:rsidR="00287C3E" w:rsidRPr="00E74CD5" w:rsidRDefault="00287C3E" w:rsidP="008B32BA">
      <w:pPr>
        <w:pStyle w:val="ListParagraph"/>
      </w:pPr>
      <w:r w:rsidRPr="00E74CD5">
        <w:t>potential of the investment to encourage private sector participation in financing a Project.</w:t>
      </w:r>
    </w:p>
    <w:p w14:paraId="2274EE53" w14:textId="3FC721CE" w:rsidR="00287C3E" w:rsidRPr="00E74CD5" w:rsidRDefault="004150EB" w:rsidP="008B32BA">
      <w:pPr>
        <w:pStyle w:val="ActHead8"/>
      </w:pPr>
      <w:r w:rsidRPr="00E74CD5">
        <w:t xml:space="preserve">In making an Investment Decision, the Facility </w:t>
      </w:r>
      <w:r w:rsidR="00287C3E" w:rsidRPr="00E74CD5">
        <w:t>must consider a preference for:</w:t>
      </w:r>
    </w:p>
    <w:p w14:paraId="7AE79BDF" w14:textId="22901C73" w:rsidR="00287C3E" w:rsidRPr="00E74CD5" w:rsidRDefault="00287C3E" w:rsidP="008B32BA">
      <w:pPr>
        <w:pStyle w:val="ListParagraph"/>
        <w:numPr>
          <w:ilvl w:val="0"/>
          <w:numId w:val="19"/>
        </w:numPr>
      </w:pPr>
      <w:r w:rsidRPr="00E74CD5">
        <w:lastRenderedPageBreak/>
        <w:t>a diversified portfolio, incl</w:t>
      </w:r>
      <w:r w:rsidR="00F33494" w:rsidRPr="00E74CD5">
        <w:t>uding with respect to industry</w:t>
      </w:r>
      <w:r w:rsidRPr="00E74CD5">
        <w:t xml:space="preserve"> and geographic spread across the States and Territory that comprise Northern Australia; </w:t>
      </w:r>
    </w:p>
    <w:p w14:paraId="2BF77E52" w14:textId="2714483D" w:rsidR="005F48D1" w:rsidRPr="00E74CD5" w:rsidRDefault="003539FF" w:rsidP="008B32BA">
      <w:pPr>
        <w:pStyle w:val="ListParagraph"/>
      </w:pPr>
      <w:r w:rsidRPr="00E74CD5">
        <w:t>p</w:t>
      </w:r>
      <w:r w:rsidR="00287C3E" w:rsidRPr="00E74CD5">
        <w:t xml:space="preserve">rojects that address an </w:t>
      </w:r>
      <w:r w:rsidR="00AA136F" w:rsidRPr="00E74CD5">
        <w:t xml:space="preserve">economic </w:t>
      </w:r>
      <w:r w:rsidR="00287C3E" w:rsidRPr="00E74CD5">
        <w:t>infrastructure need identified through a Commonwealth, State or Territory assessment proc</w:t>
      </w:r>
      <w:r w:rsidRPr="00E74CD5">
        <w:t>ess, pipeline, or priority list; and</w:t>
      </w:r>
    </w:p>
    <w:p w14:paraId="0BBF436C" w14:textId="108B92B7" w:rsidR="003539FF" w:rsidRPr="00E74CD5" w:rsidRDefault="003539FF" w:rsidP="008B32BA">
      <w:pPr>
        <w:pStyle w:val="ListParagraph"/>
      </w:pPr>
      <w:r w:rsidRPr="00E74CD5">
        <w:t>projects that materially improve the infrastructure of a region</w:t>
      </w:r>
      <w:r w:rsidR="00C43EF6" w:rsidRPr="00E74CD5">
        <w:t>, or provide public benefit of sufficient scale</w:t>
      </w:r>
      <w:r w:rsidRPr="00E74CD5">
        <w:t>.</w:t>
      </w:r>
    </w:p>
    <w:p w14:paraId="02777202" w14:textId="31B77FBB" w:rsidR="00287C3E" w:rsidRPr="00E74CD5" w:rsidRDefault="005D69A0" w:rsidP="000117D4">
      <w:pPr>
        <w:pStyle w:val="ActHead4"/>
      </w:pPr>
      <w:r w:rsidRPr="00E74CD5">
        <w:rPr>
          <w:sz w:val="24"/>
          <w:szCs w:val="24"/>
        </w:rPr>
        <w:t xml:space="preserve"> </w:t>
      </w:r>
      <w:r w:rsidR="005F48D1" w:rsidRPr="00E74CD5">
        <w:t xml:space="preserve"> </w:t>
      </w:r>
      <w:r w:rsidR="00287C3E" w:rsidRPr="00E74CD5">
        <w:t>8.</w:t>
      </w:r>
      <w:r w:rsidR="00287C3E" w:rsidRPr="00E74CD5">
        <w:tab/>
        <w:t>Discretion</w:t>
      </w:r>
    </w:p>
    <w:p w14:paraId="3B5D69D4" w14:textId="22A44F95" w:rsidR="00287C3E" w:rsidRPr="00E74CD5" w:rsidRDefault="00287C3E" w:rsidP="00A74799">
      <w:pPr>
        <w:spacing w:before="120"/>
        <w:ind w:left="709" w:right="238"/>
        <w:rPr>
          <w:rStyle w:val="CharChapNo"/>
        </w:rPr>
      </w:pPr>
      <w:r w:rsidRPr="00E74CD5">
        <w:rPr>
          <w:rStyle w:val="CharChapNo"/>
        </w:rPr>
        <w:t xml:space="preserve">The </w:t>
      </w:r>
      <w:r w:rsidR="001B3F80" w:rsidRPr="00E74CD5">
        <w:rPr>
          <w:rStyle w:val="CharChapNo"/>
        </w:rPr>
        <w:t>Facility</w:t>
      </w:r>
      <w:r w:rsidR="001B3F80" w:rsidRPr="00E74CD5" w:rsidDel="00582AC2">
        <w:rPr>
          <w:rStyle w:val="CharChapNo"/>
        </w:rPr>
        <w:t xml:space="preserve"> </w:t>
      </w:r>
      <w:r w:rsidRPr="00E74CD5">
        <w:rPr>
          <w:rStyle w:val="CharChapNo"/>
        </w:rPr>
        <w:t xml:space="preserve">maintains the discretion to decline to offer a Financing Mechanism for an Investment Proposal. </w:t>
      </w:r>
    </w:p>
    <w:p w14:paraId="09B1BF37" w14:textId="68064D2B" w:rsidR="00287C3E" w:rsidRPr="00E74CD5" w:rsidRDefault="004150EB" w:rsidP="000117D4">
      <w:pPr>
        <w:pStyle w:val="ActHead4"/>
      </w:pPr>
      <w:r w:rsidRPr="00E74CD5">
        <w:t xml:space="preserve">  </w:t>
      </w:r>
      <w:r w:rsidR="00287C3E" w:rsidRPr="00E74CD5">
        <w:t>9.</w:t>
      </w:r>
      <w:r w:rsidR="00287C3E" w:rsidRPr="00E74CD5">
        <w:tab/>
        <w:t xml:space="preserve">Determining </w:t>
      </w:r>
      <w:r w:rsidR="00700B3B" w:rsidRPr="00E74CD5">
        <w:t xml:space="preserve">loan </w:t>
      </w:r>
      <w:r w:rsidR="00287C3E" w:rsidRPr="00E74CD5">
        <w:t>concessions</w:t>
      </w:r>
    </w:p>
    <w:p w14:paraId="0B1FB6BF" w14:textId="13A594E3" w:rsidR="00287C3E" w:rsidRPr="00E74CD5" w:rsidRDefault="007A3FC3" w:rsidP="008B32BA">
      <w:pPr>
        <w:pStyle w:val="ActHead8"/>
        <w:numPr>
          <w:ilvl w:val="0"/>
          <w:numId w:val="5"/>
        </w:numPr>
      </w:pPr>
      <w:r w:rsidRPr="00E74CD5">
        <w:t xml:space="preserve">The Facility maintains the discretion to offer non-concessional financial assistance where appropriate. </w:t>
      </w:r>
      <w:r w:rsidR="00933851" w:rsidRPr="00E74CD5">
        <w:t>The Facility</w:t>
      </w:r>
      <w:r w:rsidR="00933851" w:rsidRPr="00E74CD5" w:rsidDel="00582AC2">
        <w:t xml:space="preserve"> </w:t>
      </w:r>
      <w:r w:rsidR="00933851" w:rsidRPr="00E74CD5">
        <w:t xml:space="preserve">must limit </w:t>
      </w:r>
      <w:r w:rsidR="00416403" w:rsidRPr="00E74CD5">
        <w:t xml:space="preserve">any </w:t>
      </w:r>
      <w:r w:rsidR="00933851" w:rsidRPr="00E74CD5">
        <w:t>concessions offered to the minimum concessions the Facility</w:t>
      </w:r>
      <w:r w:rsidR="00933851" w:rsidRPr="00E74CD5" w:rsidDel="005912E8">
        <w:t xml:space="preserve"> </w:t>
      </w:r>
      <w:r w:rsidR="00933851" w:rsidRPr="00E74CD5">
        <w:t>considers necessary for an Investment Propo</w:t>
      </w:r>
      <w:r w:rsidR="006B6BE5" w:rsidRPr="00E74CD5">
        <w:t xml:space="preserve">sal to proceed. </w:t>
      </w:r>
    </w:p>
    <w:p w14:paraId="15E2F4D9" w14:textId="3923CE50" w:rsidR="00933851" w:rsidRPr="00E74CD5" w:rsidRDefault="00933851" w:rsidP="00A74799">
      <w:pPr>
        <w:pStyle w:val="ActHead8"/>
        <w:ind w:left="1417" w:hanging="737"/>
      </w:pPr>
      <w:r w:rsidRPr="00E74CD5">
        <w:t>In determining any concession to be granted in an Investment Decision, the Facility</w:t>
      </w:r>
      <w:r w:rsidRPr="00E74CD5" w:rsidDel="0005360D">
        <w:t xml:space="preserve"> </w:t>
      </w:r>
      <w:r w:rsidRPr="00E74CD5">
        <w:t>must have regard to</w:t>
      </w:r>
      <w:r w:rsidR="00B738F1" w:rsidRPr="00E74CD5">
        <w:t xml:space="preserve"> the</w:t>
      </w:r>
      <w:r w:rsidRPr="00E74CD5">
        <w:t>:</w:t>
      </w:r>
    </w:p>
    <w:p w14:paraId="3ED7E620" w14:textId="56E71165" w:rsidR="00933851" w:rsidRPr="00E74CD5" w:rsidRDefault="00933851" w:rsidP="008B32BA">
      <w:pPr>
        <w:pStyle w:val="ListParagraph"/>
        <w:numPr>
          <w:ilvl w:val="0"/>
          <w:numId w:val="20"/>
        </w:numPr>
      </w:pPr>
      <w:r w:rsidRPr="00E74CD5">
        <w:t>extent and mix of all concessions necessary for the Investment Proposal to proceed; and</w:t>
      </w:r>
    </w:p>
    <w:p w14:paraId="5AB26DDD" w14:textId="7BBC7100" w:rsidR="00287C3E" w:rsidRPr="00E74CD5" w:rsidRDefault="00933851" w:rsidP="008B32BA">
      <w:pPr>
        <w:pStyle w:val="ListParagraph"/>
      </w:pPr>
      <w:r w:rsidRPr="00E74CD5">
        <w:t>extent of the Project’s public benefit</w:t>
      </w:r>
      <w:r w:rsidR="007A3FC3" w:rsidRPr="00E74CD5">
        <w:t>, that should be greater than the value of any concession</w:t>
      </w:r>
      <w:r w:rsidR="00416403" w:rsidRPr="00E74CD5">
        <w:t>s</w:t>
      </w:r>
      <w:r w:rsidRPr="00E74CD5">
        <w:t>.</w:t>
      </w:r>
    </w:p>
    <w:p w14:paraId="0A2DA522" w14:textId="62224684" w:rsidR="00287C3E" w:rsidRPr="00E74CD5" w:rsidRDefault="00287C3E" w:rsidP="008B32BA">
      <w:pPr>
        <w:pStyle w:val="ActHead8"/>
      </w:pPr>
      <w:r w:rsidRPr="00E74CD5">
        <w:t xml:space="preserve">The </w:t>
      </w:r>
      <w:r w:rsidR="001B3F80" w:rsidRPr="00E74CD5">
        <w:t>Facility</w:t>
      </w:r>
      <w:r w:rsidR="001B3F80" w:rsidRPr="00E74CD5" w:rsidDel="00582AC2">
        <w:t xml:space="preserve"> </w:t>
      </w:r>
      <w:r w:rsidRPr="00E74CD5">
        <w:t>may propose</w:t>
      </w:r>
      <w:r w:rsidR="008E4241" w:rsidRPr="00E74CD5">
        <w:t xml:space="preserve"> and utilise</w:t>
      </w:r>
      <w:r w:rsidR="00933851" w:rsidRPr="00E74CD5">
        <w:t xml:space="preserve"> contract terms </w:t>
      </w:r>
      <w:r w:rsidR="00416403" w:rsidRPr="00E74CD5">
        <w:t xml:space="preserve">or conditions </w:t>
      </w:r>
      <w:r w:rsidR="00933851" w:rsidRPr="00E74CD5">
        <w:t xml:space="preserve">which </w:t>
      </w:r>
      <w:r w:rsidRPr="00E74CD5">
        <w:t>reduce</w:t>
      </w:r>
      <w:r w:rsidR="00416403" w:rsidRPr="00E74CD5">
        <w:t xml:space="preserve"> or remove</w:t>
      </w:r>
      <w:r w:rsidRPr="00E74CD5">
        <w:t xml:space="preserve"> the concessions over time</w:t>
      </w:r>
      <w:r w:rsidR="00416403" w:rsidRPr="00E74CD5">
        <w:t xml:space="preserve"> where a Project becomes viable on non-concessional terms</w:t>
      </w:r>
      <w:r w:rsidRPr="00E74CD5">
        <w:t>. This may include, but is not limited to:</w:t>
      </w:r>
    </w:p>
    <w:p w14:paraId="1424C7C5" w14:textId="4A6880F6" w:rsidR="00287C3E" w:rsidRPr="00E74CD5" w:rsidRDefault="00287C3E" w:rsidP="008B32BA">
      <w:pPr>
        <w:pStyle w:val="ListParagraph"/>
        <w:numPr>
          <w:ilvl w:val="0"/>
          <w:numId w:val="21"/>
        </w:numPr>
      </w:pPr>
      <w:r w:rsidRPr="00E74CD5">
        <w:t>removing or relaxing concessions provided;</w:t>
      </w:r>
      <w:r w:rsidR="002E424C" w:rsidRPr="00E74CD5">
        <w:t xml:space="preserve"> </w:t>
      </w:r>
      <w:r w:rsidR="00B738F1" w:rsidRPr="00E74CD5">
        <w:t>or</w:t>
      </w:r>
    </w:p>
    <w:p w14:paraId="62108FCE" w14:textId="701EEC8D" w:rsidR="00287C3E" w:rsidRPr="00E74CD5" w:rsidRDefault="00287C3E" w:rsidP="008B32BA">
      <w:pPr>
        <w:pStyle w:val="ListParagraph"/>
      </w:pPr>
      <w:r w:rsidRPr="00E74CD5">
        <w:t>having the ability to seek early exit from an investment.</w:t>
      </w:r>
    </w:p>
    <w:p w14:paraId="3069B75D" w14:textId="6ABA0679" w:rsidR="00287C3E" w:rsidRPr="00E74CD5" w:rsidRDefault="00287C3E" w:rsidP="000117D4">
      <w:pPr>
        <w:pStyle w:val="ActHead4"/>
      </w:pPr>
      <w:r w:rsidRPr="00E74CD5">
        <w:t>10.</w:t>
      </w:r>
      <w:r w:rsidRPr="00E74CD5">
        <w:tab/>
        <w:t>Loan conditions</w:t>
      </w:r>
    </w:p>
    <w:p w14:paraId="62AC4958" w14:textId="0214222D" w:rsidR="00287C3E" w:rsidRPr="00E74CD5" w:rsidRDefault="00287C3E" w:rsidP="008B32BA">
      <w:pPr>
        <w:pStyle w:val="ActHead8"/>
        <w:numPr>
          <w:ilvl w:val="0"/>
          <w:numId w:val="6"/>
        </w:numPr>
      </w:pPr>
      <w:r w:rsidRPr="00E74CD5">
        <w:t>Loans</w:t>
      </w:r>
      <w:r w:rsidR="00965FBE" w:rsidRPr="00E74CD5">
        <w:t xml:space="preserve"> </w:t>
      </w:r>
      <w:r w:rsidRPr="00E74CD5">
        <w:t xml:space="preserve">will </w:t>
      </w:r>
      <w:r w:rsidRPr="00E74CD5" w:rsidDel="00F55090">
        <w:t>be</w:t>
      </w:r>
      <w:r w:rsidRPr="00E74CD5">
        <w:t xml:space="preserve"> the </w:t>
      </w:r>
      <w:r w:rsidR="00FD7B4C" w:rsidRPr="00E74CD5">
        <w:t>primary</w:t>
      </w:r>
      <w:r w:rsidRPr="00E74CD5">
        <w:t xml:space="preserve"> Financing </w:t>
      </w:r>
      <w:r w:rsidRPr="00E74CD5" w:rsidDel="00F55090">
        <w:t>Mechanism</w:t>
      </w:r>
      <w:r w:rsidRPr="00E74CD5">
        <w:t xml:space="preserve"> considered</w:t>
      </w:r>
      <w:r w:rsidR="00475C17" w:rsidRPr="00E74CD5">
        <w:t xml:space="preserve"> by the </w:t>
      </w:r>
      <w:r w:rsidR="00AB6AA3" w:rsidRPr="00E74CD5">
        <w:t>Facility</w:t>
      </w:r>
      <w:r w:rsidRPr="00E74CD5">
        <w:t xml:space="preserve"> for all Investment Proposals.</w:t>
      </w:r>
    </w:p>
    <w:p w14:paraId="068697A7" w14:textId="0E4792C7" w:rsidR="00287C3E" w:rsidRPr="00E74CD5" w:rsidRDefault="00287C3E" w:rsidP="008B32BA">
      <w:pPr>
        <w:pStyle w:val="ActHead8"/>
      </w:pPr>
      <w:r w:rsidRPr="00E74CD5">
        <w:t xml:space="preserve">The </w:t>
      </w:r>
      <w:r w:rsidR="00AB6AA3" w:rsidRPr="00E74CD5">
        <w:t>Facility</w:t>
      </w:r>
      <w:r w:rsidR="00E929F4" w:rsidRPr="00E74CD5">
        <w:t xml:space="preserve"> </w:t>
      </w:r>
      <w:r w:rsidRPr="00E74CD5">
        <w:t>may propose loan concessions</w:t>
      </w:r>
      <w:r w:rsidR="0005360D" w:rsidRPr="00E74CD5">
        <w:t>, including the following</w:t>
      </w:r>
      <w:r w:rsidRPr="00E74CD5">
        <w:t>:</w:t>
      </w:r>
    </w:p>
    <w:p w14:paraId="74749D9C" w14:textId="109C22EA" w:rsidR="00287C3E" w:rsidRPr="00E74CD5" w:rsidRDefault="00287C3E" w:rsidP="008B32BA">
      <w:pPr>
        <w:pStyle w:val="ListParagraph"/>
        <w:numPr>
          <w:ilvl w:val="0"/>
          <w:numId w:val="22"/>
        </w:numPr>
      </w:pPr>
      <w:r w:rsidRPr="00E74CD5">
        <w:t xml:space="preserve">longer loan tenor than offered by Commercial Financiers, not exceeding the longest term of Commonwealth borrowings; </w:t>
      </w:r>
    </w:p>
    <w:p w14:paraId="38CF4F80" w14:textId="722453E6" w:rsidR="00287C3E" w:rsidRPr="00E74CD5" w:rsidRDefault="00287C3E" w:rsidP="008B32BA">
      <w:pPr>
        <w:pStyle w:val="ListParagraph"/>
      </w:pPr>
      <w:r w:rsidRPr="00E74CD5">
        <w:lastRenderedPageBreak/>
        <w:t xml:space="preserve">lower interest rates than offered by Commercial Financiers, which must not be lower than the rate at which the Commonwealth borrows; </w:t>
      </w:r>
    </w:p>
    <w:p w14:paraId="0429B5A6" w14:textId="701B7270" w:rsidR="00287C3E" w:rsidRPr="00E74CD5" w:rsidRDefault="00287C3E" w:rsidP="008B32BA">
      <w:pPr>
        <w:pStyle w:val="ListParagraph"/>
      </w:pPr>
      <w:r w:rsidRPr="00E74CD5">
        <w:t xml:space="preserve">extended periods of capitalisation of interest beyond construction completion; </w:t>
      </w:r>
    </w:p>
    <w:p w14:paraId="5BC9CF46" w14:textId="12FD42FF" w:rsidR="00742C83" w:rsidRPr="00E74CD5" w:rsidRDefault="00287C3E" w:rsidP="008B32BA">
      <w:pPr>
        <w:pStyle w:val="ListParagraph"/>
      </w:pPr>
      <w:r w:rsidRPr="00E74CD5">
        <w:t xml:space="preserve">deferral of loan repayments or other types of tailored loan repayment schedules; </w:t>
      </w:r>
    </w:p>
    <w:p w14:paraId="25E96F7E" w14:textId="67372366" w:rsidR="00287C3E" w:rsidRPr="00E74CD5" w:rsidRDefault="00287C3E" w:rsidP="008B32BA">
      <w:pPr>
        <w:pStyle w:val="ListParagraph"/>
      </w:pPr>
      <w:r w:rsidRPr="00E74CD5">
        <w:t>lower or different fee structures than those of</w:t>
      </w:r>
      <w:r w:rsidR="00B738F1" w:rsidRPr="00E74CD5">
        <w:t>fered by Commercial Financiers;</w:t>
      </w:r>
      <w:r w:rsidR="00416403" w:rsidRPr="00E74CD5">
        <w:t xml:space="preserve"> and/or</w:t>
      </w:r>
    </w:p>
    <w:p w14:paraId="7BE41872" w14:textId="1A6B69B1" w:rsidR="00CB07FC" w:rsidRPr="00E74CD5" w:rsidRDefault="00974497" w:rsidP="008B32BA">
      <w:pPr>
        <w:pStyle w:val="ListParagraph"/>
      </w:pPr>
      <w:r w:rsidRPr="00E74CD5">
        <w:t>subordination to</w:t>
      </w:r>
      <w:r w:rsidR="00287C3E" w:rsidRPr="00E74CD5">
        <w:t xml:space="preserve"> Commercial Financiers.</w:t>
      </w:r>
    </w:p>
    <w:p w14:paraId="489EB10B" w14:textId="37B63382" w:rsidR="00EC1F04" w:rsidRPr="00E74CD5" w:rsidRDefault="00EC1F04" w:rsidP="008B32BA">
      <w:pPr>
        <w:pStyle w:val="ActHead8"/>
      </w:pPr>
      <w:r w:rsidRPr="00E74CD5">
        <w:t>Mandatory Criteria 6 in Schedule 1 of this Direction does not apply to loans.</w:t>
      </w:r>
    </w:p>
    <w:p w14:paraId="176651AF" w14:textId="02206C61" w:rsidR="00287C3E" w:rsidRPr="00E74CD5" w:rsidRDefault="007578B5" w:rsidP="000117D4">
      <w:pPr>
        <w:pStyle w:val="ActHead4"/>
      </w:pPr>
      <w:r w:rsidRPr="00E74CD5">
        <w:t>11.</w:t>
      </w:r>
      <w:r w:rsidR="00287C3E" w:rsidRPr="00E74CD5">
        <w:tab/>
        <w:t>Alternative Financing Mechanisms</w:t>
      </w:r>
    </w:p>
    <w:p w14:paraId="4B586BA8" w14:textId="51E26519" w:rsidR="00287C3E" w:rsidRPr="00E74CD5" w:rsidRDefault="00287C3E" w:rsidP="008B32BA">
      <w:pPr>
        <w:pStyle w:val="ActHead8"/>
        <w:numPr>
          <w:ilvl w:val="0"/>
          <w:numId w:val="7"/>
        </w:numPr>
      </w:pPr>
      <w:r w:rsidRPr="00E74CD5">
        <w:t xml:space="preserve">The </w:t>
      </w:r>
      <w:r w:rsidR="00AB6AA3" w:rsidRPr="00E74CD5">
        <w:t xml:space="preserve">Facility </w:t>
      </w:r>
      <w:r w:rsidRPr="00E74CD5">
        <w:t xml:space="preserve">may consider using </w:t>
      </w:r>
      <w:r w:rsidR="00344712" w:rsidRPr="00E74CD5">
        <w:t>A</w:t>
      </w:r>
      <w:r w:rsidR="00F87F2D" w:rsidRPr="00E74CD5">
        <w:t xml:space="preserve">lternative </w:t>
      </w:r>
      <w:r w:rsidRPr="00E74CD5">
        <w:t>Financing Mechanisms</w:t>
      </w:r>
      <w:r w:rsidR="00475C17" w:rsidRPr="00E74CD5">
        <w:t xml:space="preserve"> as an alternative or in addition</w:t>
      </w:r>
      <w:r w:rsidRPr="00E74CD5">
        <w:t xml:space="preserve"> to a loan where</w:t>
      </w:r>
      <w:r w:rsidR="004150EB" w:rsidRPr="00E74CD5">
        <w:t xml:space="preserve"> it</w:t>
      </w:r>
      <w:r w:rsidRPr="00E74CD5">
        <w:t>:</w:t>
      </w:r>
    </w:p>
    <w:p w14:paraId="1A26F801" w14:textId="1D7B6E66" w:rsidR="00287C3E" w:rsidRPr="00E74CD5" w:rsidRDefault="00287C3E" w:rsidP="008B32BA">
      <w:pPr>
        <w:pStyle w:val="ListParagraph"/>
        <w:numPr>
          <w:ilvl w:val="0"/>
          <w:numId w:val="23"/>
        </w:numPr>
      </w:pPr>
      <w:r w:rsidRPr="00E74CD5">
        <w:t>may be more appropriate for a specific Project</w:t>
      </w:r>
      <w:r w:rsidR="0063391E" w:rsidRPr="00E74CD5">
        <w:t xml:space="preserve"> Proposal</w:t>
      </w:r>
      <w:r w:rsidRPr="00E74CD5">
        <w:t xml:space="preserve">; or </w:t>
      </w:r>
    </w:p>
    <w:p w14:paraId="64050E63" w14:textId="33ADAC0B" w:rsidR="00287C3E" w:rsidRPr="00E74CD5" w:rsidRDefault="00287C3E" w:rsidP="008B32BA">
      <w:pPr>
        <w:pStyle w:val="ListParagraph"/>
      </w:pPr>
      <w:r w:rsidRPr="00E74CD5">
        <w:t xml:space="preserve">is necessary to encourage private sector participation in financing a Project. </w:t>
      </w:r>
    </w:p>
    <w:p w14:paraId="4576C206" w14:textId="2CBD725E" w:rsidR="00287C3E" w:rsidRPr="00E74CD5" w:rsidRDefault="00287C3E" w:rsidP="008B32BA">
      <w:pPr>
        <w:pStyle w:val="ActHead8"/>
      </w:pPr>
      <w:r w:rsidRPr="00E74CD5">
        <w:t xml:space="preserve">Where the </w:t>
      </w:r>
      <w:r w:rsidR="00AB6AA3" w:rsidRPr="00E74CD5">
        <w:t xml:space="preserve">Facility </w:t>
      </w:r>
      <w:r w:rsidR="00344712" w:rsidRPr="00E74CD5">
        <w:t>considers that an A</w:t>
      </w:r>
      <w:r w:rsidRPr="00E74CD5">
        <w:t xml:space="preserve">lternative Financing Mechanism is preferable to a loan, </w:t>
      </w:r>
      <w:r w:rsidR="00942D61" w:rsidRPr="00E74CD5">
        <w:t>it</w:t>
      </w:r>
      <w:r w:rsidRPr="00E74CD5">
        <w:t xml:space="preserve"> must</w:t>
      </w:r>
      <w:r w:rsidR="00482FDC" w:rsidRPr="00E74CD5">
        <w:t xml:space="preserve"> include in the proposal notice required under </w:t>
      </w:r>
      <w:r w:rsidR="004150EB" w:rsidRPr="00E74CD5">
        <w:t>s</w:t>
      </w:r>
      <w:r w:rsidR="00482FDC" w:rsidRPr="00E74CD5">
        <w:t xml:space="preserve">11(2) of the Act the following: </w:t>
      </w:r>
      <w:r w:rsidRPr="00E74CD5">
        <w:t xml:space="preserve"> </w:t>
      </w:r>
    </w:p>
    <w:p w14:paraId="77FE4A0D" w14:textId="3A7BF516" w:rsidR="00287C3E" w:rsidRPr="00E74CD5" w:rsidRDefault="00287C3E" w:rsidP="008B32BA">
      <w:pPr>
        <w:pStyle w:val="ListParagraph"/>
        <w:numPr>
          <w:ilvl w:val="0"/>
          <w:numId w:val="24"/>
        </w:numPr>
      </w:pPr>
      <w:r w:rsidRPr="00E74CD5">
        <w:t xml:space="preserve">why the </w:t>
      </w:r>
      <w:r w:rsidR="00344712" w:rsidRPr="00E74CD5">
        <w:t>A</w:t>
      </w:r>
      <w:r w:rsidRPr="00E74CD5">
        <w:t>lternative</w:t>
      </w:r>
      <w:r w:rsidR="00482FDC" w:rsidRPr="00E74CD5">
        <w:t xml:space="preserve"> </w:t>
      </w:r>
      <w:r w:rsidRPr="00E74CD5">
        <w:t xml:space="preserve">Financing Mechanism is preferable; </w:t>
      </w:r>
    </w:p>
    <w:p w14:paraId="716BC7CF" w14:textId="4BBEDA4E" w:rsidR="00287C3E" w:rsidRPr="00E74CD5" w:rsidRDefault="00287C3E" w:rsidP="008B32BA">
      <w:pPr>
        <w:pStyle w:val="ListParagraph"/>
      </w:pPr>
      <w:r w:rsidRPr="00E74CD5">
        <w:t xml:space="preserve">the estimated commercial value of any concession proposed with the </w:t>
      </w:r>
      <w:r w:rsidR="00344712" w:rsidRPr="00E74CD5">
        <w:t>A</w:t>
      </w:r>
      <w:r w:rsidRPr="00E74CD5">
        <w:t xml:space="preserve">lternative Financing Mechanism; </w:t>
      </w:r>
    </w:p>
    <w:p w14:paraId="26D51052" w14:textId="46608C2D" w:rsidR="00C82135" w:rsidRPr="00E74CD5" w:rsidRDefault="00287C3E" w:rsidP="008B32BA">
      <w:pPr>
        <w:pStyle w:val="ListParagraph"/>
      </w:pPr>
      <w:r w:rsidRPr="00E74CD5">
        <w:t xml:space="preserve">the </w:t>
      </w:r>
      <w:r w:rsidR="002B5C6F" w:rsidRPr="00E74CD5">
        <w:t xml:space="preserve">alignment between </w:t>
      </w:r>
      <w:r w:rsidR="00344712" w:rsidRPr="00E74CD5">
        <w:t>the A</w:t>
      </w:r>
      <w:r w:rsidRPr="00E74CD5">
        <w:t>lternative</w:t>
      </w:r>
      <w:r w:rsidR="00482FDC" w:rsidRPr="00E74CD5">
        <w:t xml:space="preserve"> </w:t>
      </w:r>
      <w:r w:rsidRPr="00E74CD5">
        <w:t xml:space="preserve">Financing Mechanism </w:t>
      </w:r>
      <w:r w:rsidR="002B5C6F" w:rsidRPr="00E74CD5">
        <w:t>and</w:t>
      </w:r>
      <w:r w:rsidRPr="00E74CD5">
        <w:t xml:space="preserve"> the Risk Appetite Statement (see section </w:t>
      </w:r>
      <w:r w:rsidR="001B0B2E" w:rsidRPr="00E74CD5">
        <w:t>13</w:t>
      </w:r>
      <w:r w:rsidRPr="00E74CD5">
        <w:t xml:space="preserve"> of this Direction)</w:t>
      </w:r>
      <w:r w:rsidR="00C82135" w:rsidRPr="00E74CD5">
        <w:t>;</w:t>
      </w:r>
    </w:p>
    <w:p w14:paraId="4EDD5067" w14:textId="0B463C5E" w:rsidR="00287C3E" w:rsidRPr="00E74CD5" w:rsidRDefault="002B5C6F" w:rsidP="008B32BA">
      <w:pPr>
        <w:pStyle w:val="ListParagraph"/>
      </w:pPr>
      <w:r w:rsidRPr="00E74CD5">
        <w:t>any impacts</w:t>
      </w:r>
      <w:r w:rsidR="00287C3E" w:rsidRPr="00E74CD5">
        <w:t xml:space="preserve"> on the Facility’s appropriation</w:t>
      </w:r>
      <w:r w:rsidR="007F707D" w:rsidRPr="00E74CD5">
        <w:t>; and</w:t>
      </w:r>
    </w:p>
    <w:p w14:paraId="63FABE2E" w14:textId="1E1BA8B3" w:rsidR="007F707D" w:rsidRPr="00E74CD5" w:rsidRDefault="007F707D" w:rsidP="008B32BA">
      <w:pPr>
        <w:pStyle w:val="ListParagraph"/>
      </w:pPr>
      <w:r w:rsidRPr="00E74CD5">
        <w:t xml:space="preserve">the proposed exit strategy for the </w:t>
      </w:r>
      <w:r w:rsidR="002B5C6F" w:rsidRPr="00E74CD5">
        <w:t>Financing Mechanism</w:t>
      </w:r>
      <w:r w:rsidRPr="00E74CD5">
        <w:t>.</w:t>
      </w:r>
    </w:p>
    <w:p w14:paraId="1E03FA69" w14:textId="4EB61604" w:rsidR="008A7D92" w:rsidRPr="00E74CD5" w:rsidRDefault="008A7D92" w:rsidP="008B32BA">
      <w:pPr>
        <w:pStyle w:val="ActHead8"/>
      </w:pPr>
      <w:r w:rsidRPr="00E74CD5">
        <w:t xml:space="preserve">At no time may the total potential liability under outstanding guarantees exceed the amount of the uncommitted balance of the </w:t>
      </w:r>
      <w:r w:rsidR="00787FB3" w:rsidRPr="00E74CD5">
        <w:t>Facility’s</w:t>
      </w:r>
      <w:r w:rsidRPr="00E74CD5">
        <w:t xml:space="preserve"> appropriation.</w:t>
      </w:r>
    </w:p>
    <w:p w14:paraId="49B546B9" w14:textId="6C8BA856" w:rsidR="00EC1F04" w:rsidRPr="00E74CD5" w:rsidRDefault="00B738F1" w:rsidP="008B32BA">
      <w:pPr>
        <w:pStyle w:val="ActHead8"/>
      </w:pPr>
      <w:r w:rsidRPr="00E74CD5">
        <w:t xml:space="preserve">Mandatory Criteria 6 in </w:t>
      </w:r>
      <w:r w:rsidR="00EC1F04" w:rsidRPr="00E74CD5">
        <w:t xml:space="preserve">Schedule 1 of this </w:t>
      </w:r>
      <w:r w:rsidRPr="00E74CD5">
        <w:t>D</w:t>
      </w:r>
      <w:r w:rsidR="00EC1F04" w:rsidRPr="00E74CD5">
        <w:t xml:space="preserve">irection </w:t>
      </w:r>
      <w:r w:rsidR="00475C17" w:rsidRPr="00E74CD5">
        <w:t>applies only where the proposed</w:t>
      </w:r>
      <w:r w:rsidRPr="00E74CD5">
        <w:t xml:space="preserve"> Alternative</w:t>
      </w:r>
      <w:r w:rsidR="00475C17" w:rsidRPr="00E74CD5">
        <w:t xml:space="preserve"> Financing Mechanism includes an equity</w:t>
      </w:r>
      <w:r w:rsidRPr="00E74CD5">
        <w:t xml:space="preserve"> or equity</w:t>
      </w:r>
      <w:r w:rsidR="00702311" w:rsidRPr="00E74CD5">
        <w:noBreakHyphen/>
      </w:r>
      <w:r w:rsidRPr="00E74CD5">
        <w:t>like</w:t>
      </w:r>
      <w:r w:rsidR="00475C17" w:rsidRPr="00E74CD5">
        <w:t xml:space="preserve"> investment.</w:t>
      </w:r>
    </w:p>
    <w:p w14:paraId="64FFE5B2" w14:textId="550D0C0D" w:rsidR="00EC1F04" w:rsidRPr="00E74CD5" w:rsidRDefault="00C94A0D" w:rsidP="008B32BA">
      <w:pPr>
        <w:pStyle w:val="ActHead8"/>
      </w:pPr>
      <w:r w:rsidRPr="00E74CD5" w:rsidDel="00F365BA">
        <w:lastRenderedPageBreak/>
        <w:t>In offering a</w:t>
      </w:r>
      <w:r w:rsidR="00862B9F" w:rsidRPr="00E74CD5" w:rsidDel="00F365BA">
        <w:t>n</w:t>
      </w:r>
      <w:r w:rsidR="00862B9F" w:rsidRPr="00E74CD5">
        <w:t xml:space="preserve"> </w:t>
      </w:r>
      <w:r w:rsidR="004627B1" w:rsidRPr="00E74CD5">
        <w:t xml:space="preserve">Alternative </w:t>
      </w:r>
      <w:r w:rsidR="00EC1F04" w:rsidRPr="00E74CD5">
        <w:t xml:space="preserve">Financing Mechanism in the form of an equity </w:t>
      </w:r>
      <w:r w:rsidR="00563F08" w:rsidRPr="00E74CD5">
        <w:t xml:space="preserve">or equity-like </w:t>
      </w:r>
      <w:r w:rsidR="00EC1F04" w:rsidRPr="00E74CD5">
        <w:t xml:space="preserve">investment, </w:t>
      </w:r>
      <w:r w:rsidRPr="00E74CD5">
        <w:t>the Facility must</w:t>
      </w:r>
      <w:r w:rsidR="00EC1F04" w:rsidRPr="00E74CD5">
        <w:t>:</w:t>
      </w:r>
    </w:p>
    <w:p w14:paraId="29F43FB0" w14:textId="3B89F9C2" w:rsidR="00475C17" w:rsidRPr="00E74CD5" w:rsidRDefault="00C94A0D" w:rsidP="008B32BA">
      <w:pPr>
        <w:pStyle w:val="ListParagraph"/>
        <w:numPr>
          <w:ilvl w:val="0"/>
          <w:numId w:val="25"/>
        </w:numPr>
      </w:pPr>
      <w:r w:rsidRPr="00E74CD5">
        <w:t xml:space="preserve">target </w:t>
      </w:r>
      <w:r w:rsidR="00475C17" w:rsidRPr="00E74CD5">
        <w:t>a portfolio return for the Facility’s equity</w:t>
      </w:r>
      <w:r w:rsidR="004627B1" w:rsidRPr="00E74CD5">
        <w:t xml:space="preserve"> or equity-like</w:t>
      </w:r>
      <w:r w:rsidR="00475C17" w:rsidRPr="00E74CD5">
        <w:t xml:space="preserve"> investments</w:t>
      </w:r>
      <w:r w:rsidR="00EF7AF3" w:rsidRPr="00E74CD5">
        <w:t xml:space="preserve"> before </w:t>
      </w:r>
      <w:r w:rsidR="00416403" w:rsidRPr="00E74CD5">
        <w:t xml:space="preserve">Facility </w:t>
      </w:r>
      <w:r w:rsidR="00EF7AF3" w:rsidRPr="00E74CD5">
        <w:t>operating expenses</w:t>
      </w:r>
      <w:r w:rsidR="00475C17" w:rsidRPr="00E74CD5">
        <w:t>, over the medium to long term, being at least the five-year Australia</w:t>
      </w:r>
      <w:r w:rsidR="00E929F4" w:rsidRPr="00E74CD5">
        <w:t>n</w:t>
      </w:r>
      <w:r w:rsidR="00475C17" w:rsidRPr="00E74CD5">
        <w:t xml:space="preserve"> Government bond rate plus a premium of </w:t>
      </w:r>
      <w:r w:rsidR="00C0417B" w:rsidRPr="00E74CD5">
        <w:t>3</w:t>
      </w:r>
      <w:r w:rsidR="00475C17" w:rsidRPr="00E74CD5">
        <w:t xml:space="preserve"> per cent per annum</w:t>
      </w:r>
      <w:r w:rsidR="009354DF" w:rsidRPr="00E74CD5">
        <w:t>;</w:t>
      </w:r>
    </w:p>
    <w:p w14:paraId="6C9DCDB4" w14:textId="08C77690" w:rsidR="00494C34" w:rsidRPr="00E74CD5" w:rsidRDefault="00C94A0D" w:rsidP="00494C34">
      <w:pPr>
        <w:pStyle w:val="ListParagraph"/>
      </w:pPr>
      <w:r w:rsidRPr="00E74CD5">
        <w:t>not make an Investment Decision that would result in the Facility allocating more than $500 million to equity</w:t>
      </w:r>
      <w:r w:rsidR="004627B1" w:rsidRPr="00E74CD5">
        <w:t xml:space="preserve"> or equity-like</w:t>
      </w:r>
      <w:r w:rsidR="009354DF" w:rsidRPr="00E74CD5">
        <w:t xml:space="preserve"> investments;</w:t>
      </w:r>
      <w:r w:rsidR="00494C34" w:rsidRPr="00E74CD5">
        <w:t xml:space="preserve"> </w:t>
      </w:r>
    </w:p>
    <w:p w14:paraId="76F60BAC" w14:textId="2687289F" w:rsidR="00037E61" w:rsidRPr="00E74CD5" w:rsidRDefault="00037E61" w:rsidP="00162817">
      <w:pPr>
        <w:pStyle w:val="ListParagraph"/>
      </w:pPr>
      <w:r w:rsidRPr="00E74CD5">
        <w:t>not make an Investment De</w:t>
      </w:r>
      <w:r w:rsidR="00D93C21" w:rsidRPr="00E74CD5">
        <w:t xml:space="preserve">cision allocating </w:t>
      </w:r>
      <w:r w:rsidR="00494C34" w:rsidRPr="00E74CD5">
        <w:t xml:space="preserve">less than $5 million or </w:t>
      </w:r>
      <w:r w:rsidR="00D93C21" w:rsidRPr="00E74CD5">
        <w:t xml:space="preserve">more than $50 million in equity </w:t>
      </w:r>
      <w:r w:rsidR="004627B1" w:rsidRPr="00E74CD5">
        <w:t xml:space="preserve">or equity-like </w:t>
      </w:r>
      <w:r w:rsidR="00D93C21" w:rsidRPr="00E74CD5">
        <w:t>investment</w:t>
      </w:r>
      <w:r w:rsidRPr="00E74CD5">
        <w:t xml:space="preserve"> to a particular </w:t>
      </w:r>
      <w:r w:rsidR="00EF7AF3" w:rsidRPr="00E74CD5">
        <w:t>P</w:t>
      </w:r>
      <w:r w:rsidR="009354DF" w:rsidRPr="00E74CD5">
        <w:t>roject;</w:t>
      </w:r>
    </w:p>
    <w:p w14:paraId="45F82D42" w14:textId="3E7D31FA" w:rsidR="00DB7CF5" w:rsidRPr="00E74CD5" w:rsidRDefault="008E4241" w:rsidP="008B32BA">
      <w:pPr>
        <w:pStyle w:val="ListParagraph"/>
      </w:pPr>
      <w:r w:rsidRPr="00E74CD5">
        <w:t>not make</w:t>
      </w:r>
      <w:r w:rsidR="00DB7CF5" w:rsidRPr="00E74CD5">
        <w:t xml:space="preserve"> an Investment </w:t>
      </w:r>
      <w:r w:rsidR="00BE70A9" w:rsidRPr="00E74CD5">
        <w:t>D</w:t>
      </w:r>
      <w:r w:rsidR="00DB7CF5" w:rsidRPr="00E74CD5">
        <w:t xml:space="preserve">ecision that would result in the Commonwealth </w:t>
      </w:r>
      <w:r w:rsidRPr="00E74CD5">
        <w:t xml:space="preserve">directly </w:t>
      </w:r>
      <w:r w:rsidR="00DB7CF5" w:rsidRPr="00E74CD5">
        <w:t xml:space="preserve">taking a </w:t>
      </w:r>
      <w:r w:rsidR="00E929F4" w:rsidRPr="00E74CD5">
        <w:t xml:space="preserve">majority </w:t>
      </w:r>
      <w:r w:rsidR="000E4E8B" w:rsidRPr="00E74CD5">
        <w:t xml:space="preserve">or controlling </w:t>
      </w:r>
      <w:r w:rsidR="00E929F4" w:rsidRPr="00E74CD5">
        <w:t xml:space="preserve">equity </w:t>
      </w:r>
      <w:r w:rsidR="004627B1" w:rsidRPr="00E74CD5">
        <w:t xml:space="preserve">or equity-like </w:t>
      </w:r>
      <w:r w:rsidR="00E929F4" w:rsidRPr="00E74CD5">
        <w:t>interest</w:t>
      </w:r>
      <w:r w:rsidR="00DB7CF5" w:rsidRPr="00E74CD5">
        <w:t xml:space="preserve"> in a particular </w:t>
      </w:r>
      <w:r w:rsidR="009E57A6" w:rsidRPr="00E74CD5">
        <w:t>P</w:t>
      </w:r>
      <w:r w:rsidR="009354DF" w:rsidRPr="00E74CD5">
        <w:t>roject;</w:t>
      </w:r>
    </w:p>
    <w:p w14:paraId="6E79F03D" w14:textId="77777777" w:rsidR="00A83ABA" w:rsidRPr="00E74CD5" w:rsidRDefault="00EB6C5E" w:rsidP="008B32BA">
      <w:pPr>
        <w:pStyle w:val="ListParagraph"/>
      </w:pPr>
      <w:r w:rsidRPr="00E74CD5">
        <w:t>not make an Investment</w:t>
      </w:r>
      <w:r w:rsidR="009354DF" w:rsidRPr="00E74CD5">
        <w:t xml:space="preserve"> Decision on concessional terms; and</w:t>
      </w:r>
      <w:r w:rsidR="00A83ABA" w:rsidRPr="00E74CD5">
        <w:t xml:space="preserve"> </w:t>
      </w:r>
    </w:p>
    <w:p w14:paraId="420F25BD" w14:textId="3390F022" w:rsidR="00EB6C5E" w:rsidRPr="00E74CD5" w:rsidRDefault="00A83ABA" w:rsidP="00A83ABA">
      <w:pPr>
        <w:pStyle w:val="ListParagraph"/>
      </w:pPr>
      <w:r w:rsidRPr="00E74CD5">
        <w:t>apply all Mandatory Criteria in Schedule 1 of this Direction except for Mandatory Criteria 4.</w:t>
      </w:r>
      <w:r w:rsidR="00EB6C5E" w:rsidRPr="00E74CD5">
        <w:t xml:space="preserve"> </w:t>
      </w:r>
    </w:p>
    <w:p w14:paraId="051BC583" w14:textId="16A5D22A" w:rsidR="00494C34" w:rsidRPr="00E74CD5" w:rsidRDefault="00A83ABA" w:rsidP="00A83ABA">
      <w:pPr>
        <w:pStyle w:val="ActHead8"/>
      </w:pPr>
      <w:r w:rsidRPr="00E74CD5">
        <w:t>T</w:t>
      </w:r>
      <w:r w:rsidR="00494C34" w:rsidRPr="00E74CD5">
        <w:t>he Facility c</w:t>
      </w:r>
      <w:r w:rsidRPr="00E74CD5">
        <w:t xml:space="preserve">an be exempted from the limitations in </w:t>
      </w:r>
      <w:r w:rsidR="00494C34" w:rsidRPr="00E74CD5">
        <w:t>11(5)(c)</w:t>
      </w:r>
      <w:r w:rsidRPr="00E74CD5">
        <w:t xml:space="preserve"> by written agreement of the </w:t>
      </w:r>
      <w:r w:rsidR="00645DC4" w:rsidRPr="00E74CD5">
        <w:t>responsible Ministers</w:t>
      </w:r>
      <w:r w:rsidRPr="00E74CD5">
        <w:t xml:space="preserve">. </w:t>
      </w:r>
    </w:p>
    <w:p w14:paraId="3C1CB77A" w14:textId="45B5EF21" w:rsidR="00722216" w:rsidRPr="00E74CD5" w:rsidRDefault="001B0B2E" w:rsidP="000117D4">
      <w:pPr>
        <w:pStyle w:val="ActHead4"/>
      </w:pPr>
      <w:r w:rsidRPr="00E74CD5">
        <w:t>12</w:t>
      </w:r>
      <w:r w:rsidR="00722216" w:rsidRPr="00E74CD5">
        <w:t xml:space="preserve">. </w:t>
      </w:r>
      <w:r w:rsidR="00722216" w:rsidRPr="00E74CD5">
        <w:tab/>
        <w:t xml:space="preserve">Direct funding </w:t>
      </w:r>
    </w:p>
    <w:p w14:paraId="17F906FB" w14:textId="6CA7BE70" w:rsidR="00C94A0D" w:rsidRPr="00E74CD5" w:rsidRDefault="00C94A0D" w:rsidP="008B32BA">
      <w:pPr>
        <w:pStyle w:val="ActHead8"/>
        <w:numPr>
          <w:ilvl w:val="0"/>
          <w:numId w:val="8"/>
        </w:numPr>
      </w:pPr>
      <w:r w:rsidRPr="00E74CD5">
        <w:t>The Facility will primarily seek to provide financial assistance through grants of financial assistance to a State or Territory.</w:t>
      </w:r>
    </w:p>
    <w:p w14:paraId="478D7E36" w14:textId="7613329D" w:rsidR="00C94A0D" w:rsidRPr="00E74CD5" w:rsidRDefault="00C94A0D" w:rsidP="008B32BA">
      <w:pPr>
        <w:pStyle w:val="ActHead8"/>
      </w:pPr>
      <w:r w:rsidRPr="00E74CD5">
        <w:t xml:space="preserve">However, the </w:t>
      </w:r>
      <w:r w:rsidR="00AB6AA3" w:rsidRPr="00E74CD5">
        <w:t>Facility</w:t>
      </w:r>
      <w:r w:rsidRPr="00E74CD5">
        <w:t xml:space="preserve"> may, at any point prior to contractual close of a Financing Mechanism, decide to provide financial assistance via a particular Financing Mechanism directly to </w:t>
      </w:r>
      <w:r w:rsidR="00BD0F26" w:rsidRPr="00E74CD5">
        <w:t>other</w:t>
      </w:r>
      <w:r w:rsidRPr="00E74CD5">
        <w:t xml:space="preserve"> entit</w:t>
      </w:r>
      <w:r w:rsidR="00BD0F26" w:rsidRPr="00E74CD5">
        <w:t>ies</w:t>
      </w:r>
      <w:r w:rsidR="002B5C6F" w:rsidRPr="00E74CD5">
        <w:t xml:space="preserve"> in accordance with section 7(1A) of the Act</w:t>
      </w:r>
      <w:r w:rsidRPr="00E74CD5">
        <w:t>.</w:t>
      </w:r>
    </w:p>
    <w:p w14:paraId="01D5EDED" w14:textId="2D09433C" w:rsidR="00722216" w:rsidRPr="00E74CD5" w:rsidRDefault="00722216" w:rsidP="008B32BA">
      <w:pPr>
        <w:pStyle w:val="ActHead8"/>
      </w:pPr>
      <w:r w:rsidRPr="00E74CD5">
        <w:t xml:space="preserve">The </w:t>
      </w:r>
      <w:r w:rsidR="00C94A0D" w:rsidRPr="00E74CD5">
        <w:t>Facility</w:t>
      </w:r>
      <w:r w:rsidRPr="00E74CD5">
        <w:t xml:space="preserve"> must </w:t>
      </w:r>
      <w:r w:rsidR="003D2036" w:rsidRPr="00E74CD5">
        <w:t>obtain advice from</w:t>
      </w:r>
      <w:r w:rsidRPr="00E74CD5">
        <w:t xml:space="preserve"> relevant </w:t>
      </w:r>
      <w:r w:rsidR="003D2036" w:rsidRPr="00E74CD5">
        <w:t xml:space="preserve">Commonwealth </w:t>
      </w:r>
      <w:r w:rsidR="00B738F1" w:rsidRPr="00E74CD5">
        <w:t>Go</w:t>
      </w:r>
      <w:r w:rsidRPr="00E74CD5">
        <w:t xml:space="preserve">vernment </w:t>
      </w:r>
      <w:r w:rsidR="00C94A0D" w:rsidRPr="00E74CD5">
        <w:t>agencies</w:t>
      </w:r>
      <w:r w:rsidRPr="00E74CD5">
        <w:t xml:space="preserve"> prior to </w:t>
      </w:r>
      <w:r w:rsidR="00C94A0D" w:rsidRPr="00E74CD5">
        <w:t>making a decision under subsection (2)</w:t>
      </w:r>
      <w:r w:rsidR="00FC50E3" w:rsidRPr="00E74CD5">
        <w:t>.</w:t>
      </w:r>
    </w:p>
    <w:p w14:paraId="07154D35" w14:textId="69761481" w:rsidR="00722216" w:rsidRPr="00E74CD5" w:rsidRDefault="00722216" w:rsidP="008B32BA">
      <w:pPr>
        <w:pStyle w:val="ActHead8"/>
      </w:pPr>
      <w:r w:rsidRPr="00E74CD5">
        <w:t xml:space="preserve">Once the </w:t>
      </w:r>
      <w:r w:rsidR="00AB6AA3" w:rsidRPr="00E74CD5">
        <w:t>Facility</w:t>
      </w:r>
      <w:r w:rsidRPr="00E74CD5">
        <w:t xml:space="preserve"> has made a decision </w:t>
      </w:r>
      <w:r w:rsidR="00C94A0D" w:rsidRPr="00E74CD5">
        <w:t>under subsection (2)</w:t>
      </w:r>
      <w:r w:rsidRPr="00E74CD5">
        <w:t xml:space="preserve">, </w:t>
      </w:r>
      <w:r w:rsidR="00C94A0D" w:rsidRPr="00E74CD5">
        <w:t>it</w:t>
      </w:r>
      <w:r w:rsidRPr="00E74CD5">
        <w:t xml:space="preserve"> must notify the Minister for Northern Australia in writing within five business days.</w:t>
      </w:r>
    </w:p>
    <w:p w14:paraId="71365330" w14:textId="448AD085" w:rsidR="00EE1849" w:rsidRPr="00E74CD5" w:rsidRDefault="00EE1849" w:rsidP="008B32BA">
      <w:pPr>
        <w:pStyle w:val="ActHead8"/>
      </w:pPr>
      <w:r w:rsidRPr="00E74CD5">
        <w:t>Subsections 1</w:t>
      </w:r>
      <w:r w:rsidR="001413C7" w:rsidRPr="00E74CD5">
        <w:t>4</w:t>
      </w:r>
      <w:r w:rsidRPr="00E74CD5">
        <w:t>(4) and 1</w:t>
      </w:r>
      <w:r w:rsidR="001413C7" w:rsidRPr="00E74CD5">
        <w:t>4</w:t>
      </w:r>
      <w:r w:rsidRPr="00E74CD5">
        <w:t xml:space="preserve">(5) of this </w:t>
      </w:r>
      <w:r w:rsidR="00B738F1" w:rsidRPr="00E74CD5">
        <w:t>D</w:t>
      </w:r>
      <w:r w:rsidRPr="00E74CD5">
        <w:t xml:space="preserve">irection do not apply to an </w:t>
      </w:r>
      <w:r w:rsidR="00FC50E3" w:rsidRPr="00E74CD5">
        <w:t>I</w:t>
      </w:r>
      <w:r w:rsidRPr="00E74CD5">
        <w:t xml:space="preserve">nvestment </w:t>
      </w:r>
      <w:r w:rsidR="00FC50E3" w:rsidRPr="00E74CD5">
        <w:t>D</w:t>
      </w:r>
      <w:r w:rsidRPr="00E74CD5">
        <w:t xml:space="preserve">ecision that will be made directly to a </w:t>
      </w:r>
      <w:r w:rsidR="00787FB3" w:rsidRPr="00E74CD5">
        <w:t>P</w:t>
      </w:r>
      <w:r w:rsidRPr="00E74CD5">
        <w:t xml:space="preserve">roject </w:t>
      </w:r>
      <w:r w:rsidR="00787FB3" w:rsidRPr="00E74CD5">
        <w:t>P</w:t>
      </w:r>
      <w:r w:rsidRPr="00E74CD5">
        <w:t>roponent</w:t>
      </w:r>
      <w:r w:rsidR="00CA65B7" w:rsidRPr="00E74CD5">
        <w:t>.</w:t>
      </w:r>
    </w:p>
    <w:p w14:paraId="6B0DE62B" w14:textId="7D6E783C" w:rsidR="00287C3E" w:rsidRPr="00E74CD5" w:rsidRDefault="00287C3E" w:rsidP="000117D4">
      <w:pPr>
        <w:pStyle w:val="ActHead4"/>
      </w:pPr>
      <w:r w:rsidRPr="00E74CD5">
        <w:t>1</w:t>
      </w:r>
      <w:r w:rsidR="008F21D2" w:rsidRPr="00E74CD5">
        <w:t>3</w:t>
      </w:r>
      <w:r w:rsidRPr="00E74CD5">
        <w:t>.</w:t>
      </w:r>
      <w:r w:rsidRPr="00E74CD5">
        <w:tab/>
        <w:t>Investment risk</w:t>
      </w:r>
    </w:p>
    <w:p w14:paraId="7A08B3FD" w14:textId="7B968F5F" w:rsidR="00287C3E" w:rsidRPr="00E74CD5" w:rsidRDefault="004627B1" w:rsidP="008B32BA">
      <w:pPr>
        <w:pStyle w:val="ActHead8"/>
        <w:numPr>
          <w:ilvl w:val="0"/>
          <w:numId w:val="9"/>
        </w:numPr>
      </w:pPr>
      <w:r w:rsidRPr="00E74CD5">
        <w:t>Before making an Investment Decision, t</w:t>
      </w:r>
      <w:r w:rsidR="00287C3E" w:rsidRPr="00E74CD5">
        <w:t xml:space="preserve">he </w:t>
      </w:r>
      <w:r w:rsidR="00AB6AA3" w:rsidRPr="00E74CD5">
        <w:t xml:space="preserve">Facility </w:t>
      </w:r>
      <w:r w:rsidR="00287C3E" w:rsidRPr="00E74CD5">
        <w:t>must satisfy itself that:</w:t>
      </w:r>
    </w:p>
    <w:p w14:paraId="3AEDDFBB" w14:textId="218D3BFA" w:rsidR="00287C3E" w:rsidRPr="00E74CD5" w:rsidRDefault="00287C3E" w:rsidP="008B32BA">
      <w:pPr>
        <w:pStyle w:val="ListParagraph"/>
        <w:numPr>
          <w:ilvl w:val="0"/>
          <w:numId w:val="26"/>
        </w:numPr>
      </w:pPr>
      <w:r w:rsidRPr="00E74CD5">
        <w:lastRenderedPageBreak/>
        <w:t>the Facility is not the sole holder of financial risk in</w:t>
      </w:r>
      <w:r w:rsidR="004150EB" w:rsidRPr="00E74CD5">
        <w:t xml:space="preserve"> the</w:t>
      </w:r>
      <w:r w:rsidRPr="00E74CD5">
        <w:t xml:space="preserve"> Project; and</w:t>
      </w:r>
    </w:p>
    <w:p w14:paraId="7D5CDBE8" w14:textId="23962042" w:rsidR="00A00896" w:rsidRPr="00E74CD5" w:rsidRDefault="00287C3E" w:rsidP="008B32BA">
      <w:pPr>
        <w:pStyle w:val="ListParagraph"/>
      </w:pPr>
      <w:r w:rsidRPr="00E74CD5">
        <w:t xml:space="preserve">there is a reasonable allocation of risk for </w:t>
      </w:r>
      <w:r w:rsidR="004150EB" w:rsidRPr="00E74CD5">
        <w:t>the</w:t>
      </w:r>
      <w:r w:rsidRPr="00E74CD5">
        <w:t xml:space="preserve"> Project between the Facility and other sources of finance for the Project; and</w:t>
      </w:r>
    </w:p>
    <w:p w14:paraId="4B7F2EE1" w14:textId="58555B6F" w:rsidR="00287C3E" w:rsidRPr="00E74CD5" w:rsidRDefault="00287C3E" w:rsidP="008B32BA">
      <w:pPr>
        <w:pStyle w:val="ListParagraph"/>
      </w:pPr>
      <w:r w:rsidRPr="00E74CD5">
        <w:t xml:space="preserve">it can appropriately manage the Facility’s risk exposure to </w:t>
      </w:r>
      <w:r w:rsidR="004150EB" w:rsidRPr="00E74CD5">
        <w:t xml:space="preserve">the </w:t>
      </w:r>
      <w:r w:rsidRPr="00E74CD5">
        <w:t>Project</w:t>
      </w:r>
      <w:r w:rsidR="00CD43B7" w:rsidRPr="00E74CD5">
        <w:t xml:space="preserve"> including via </w:t>
      </w:r>
      <w:r w:rsidR="004627B1" w:rsidRPr="00E74CD5">
        <w:t xml:space="preserve">methods such as </w:t>
      </w:r>
      <w:r w:rsidR="00CD43B7" w:rsidRPr="00E74CD5">
        <w:t>covenants</w:t>
      </w:r>
      <w:r w:rsidR="004627B1" w:rsidRPr="00E74CD5">
        <w:t xml:space="preserve"> or</w:t>
      </w:r>
      <w:r w:rsidR="00CD43B7" w:rsidRPr="00E74CD5">
        <w:t xml:space="preserve"> reporting mechanisms</w:t>
      </w:r>
      <w:r w:rsidRPr="00E74CD5">
        <w:t>; and</w:t>
      </w:r>
    </w:p>
    <w:p w14:paraId="69365403" w14:textId="22860530" w:rsidR="00287C3E" w:rsidRPr="00E74CD5" w:rsidRDefault="00287C3E" w:rsidP="008B32BA">
      <w:pPr>
        <w:pStyle w:val="ListParagraph"/>
      </w:pPr>
      <w:r w:rsidRPr="00E74CD5">
        <w:t>its due diligence identifies th</w:t>
      </w:r>
      <w:r w:rsidR="00300575" w:rsidRPr="00E74CD5">
        <w:t xml:space="preserve">at the </w:t>
      </w:r>
      <w:r w:rsidR="00C94A0D" w:rsidRPr="00E74CD5">
        <w:t>Facility’s</w:t>
      </w:r>
      <w:r w:rsidR="00300575" w:rsidRPr="00E74CD5">
        <w:t xml:space="preserve"> </w:t>
      </w:r>
      <w:r w:rsidR="00C849C4" w:rsidRPr="00E74CD5">
        <w:t xml:space="preserve">exposure amounts </w:t>
      </w:r>
      <w:r w:rsidR="00300575" w:rsidRPr="00E74CD5">
        <w:t xml:space="preserve">to an acceptable but not excessive level of risk </w:t>
      </w:r>
      <w:r w:rsidRPr="00E74CD5">
        <w:t xml:space="preserve">in </w:t>
      </w:r>
      <w:r w:rsidR="004150EB" w:rsidRPr="00E74CD5">
        <w:t>the</w:t>
      </w:r>
      <w:r w:rsidRPr="00E74CD5">
        <w:t xml:space="preserve"> </w:t>
      </w:r>
      <w:r w:rsidR="00C94A0D" w:rsidRPr="00E74CD5">
        <w:t>P</w:t>
      </w:r>
      <w:r w:rsidRPr="00E74CD5">
        <w:t>roject</w:t>
      </w:r>
      <w:r w:rsidR="008E4241" w:rsidRPr="00E74CD5">
        <w:t>.</w:t>
      </w:r>
      <w:r w:rsidR="008837BA" w:rsidRPr="00E74CD5">
        <w:t xml:space="preserve"> </w:t>
      </w:r>
    </w:p>
    <w:p w14:paraId="33C18543" w14:textId="1D440BEB" w:rsidR="00B02A20" w:rsidRPr="00E74CD5" w:rsidRDefault="00287C3E" w:rsidP="008B32BA">
      <w:pPr>
        <w:pStyle w:val="ActHead8"/>
      </w:pPr>
      <w:r w:rsidRPr="00E74CD5">
        <w:t>The Facility will develop a Risk Appetite Statement to guide its Investment Decisions, in consultation with the responsible Minister</w:t>
      </w:r>
      <w:r w:rsidR="00482FDC" w:rsidRPr="00E74CD5">
        <w:t>s</w:t>
      </w:r>
      <w:r w:rsidR="006E4D11" w:rsidRPr="00E74CD5">
        <w:t xml:space="preserve">, which must: </w:t>
      </w:r>
    </w:p>
    <w:p w14:paraId="0E3DECF1" w14:textId="06CA9EDE" w:rsidR="00B02A20" w:rsidRPr="00E74CD5" w:rsidRDefault="00287C3E" w:rsidP="008B32BA">
      <w:pPr>
        <w:pStyle w:val="ListParagraph"/>
        <w:numPr>
          <w:ilvl w:val="0"/>
          <w:numId w:val="27"/>
        </w:numPr>
      </w:pPr>
      <w:r w:rsidRPr="00E74CD5">
        <w:t>have regard to a preference for a diversified portfolio, including industry and geographic spread across the States and Territory that comprise Northern Australia</w:t>
      </w:r>
      <w:r w:rsidR="000339A0" w:rsidRPr="00E74CD5">
        <w:t>;</w:t>
      </w:r>
      <w:r w:rsidR="00286130" w:rsidRPr="00E74CD5">
        <w:t xml:space="preserve"> </w:t>
      </w:r>
    </w:p>
    <w:p w14:paraId="6B661EAC" w14:textId="4B476C70" w:rsidR="001B0B2E" w:rsidRPr="00E74CD5" w:rsidRDefault="00287C3E" w:rsidP="008B32BA">
      <w:pPr>
        <w:pStyle w:val="ListParagraph"/>
      </w:pPr>
      <w:r w:rsidRPr="00E74CD5">
        <w:t>have a high risk tolerance in relation to factors that are unique to investing in Northern Australia economic infrastructure, including</w:t>
      </w:r>
      <w:r w:rsidR="00F33494" w:rsidRPr="00E74CD5">
        <w:t xml:space="preserve"> </w:t>
      </w:r>
      <w:r w:rsidRPr="00E74CD5">
        <w:t>Northern Australia’s</w:t>
      </w:r>
      <w:r w:rsidR="000F6982" w:rsidRPr="00E74CD5">
        <w:t xml:space="preserve"> </w:t>
      </w:r>
      <w:r w:rsidRPr="00E74CD5">
        <w:t>distance</w:t>
      </w:r>
      <w:r w:rsidR="000F6982" w:rsidRPr="00E74CD5">
        <w:t>, r</w:t>
      </w:r>
      <w:r w:rsidRPr="00E74CD5">
        <w:t>emoteness</w:t>
      </w:r>
      <w:r w:rsidR="000339A0" w:rsidRPr="00E74CD5">
        <w:t>,</w:t>
      </w:r>
      <w:r w:rsidRPr="00E74CD5">
        <w:t xml:space="preserve"> and climate</w:t>
      </w:r>
      <w:r w:rsidR="003B6D46" w:rsidRPr="00E74CD5">
        <w:t>;</w:t>
      </w:r>
      <w:r w:rsidR="00286130" w:rsidRPr="00E74CD5">
        <w:t xml:space="preserve"> </w:t>
      </w:r>
      <w:r w:rsidR="00F33494" w:rsidRPr="00E74CD5">
        <w:t>and</w:t>
      </w:r>
    </w:p>
    <w:p w14:paraId="1ACAF761" w14:textId="4D728D01" w:rsidR="000339A0" w:rsidRPr="00E74CD5" w:rsidRDefault="000339A0" w:rsidP="008B32BA">
      <w:pPr>
        <w:pStyle w:val="ListParagraph"/>
      </w:pPr>
      <w:r w:rsidRPr="00E74CD5">
        <w:t xml:space="preserve">be </w:t>
      </w:r>
      <w:r w:rsidR="000567F1" w:rsidRPr="00E74CD5">
        <w:t>review</w:t>
      </w:r>
      <w:r w:rsidRPr="00E74CD5">
        <w:t>ed</w:t>
      </w:r>
      <w:r w:rsidR="004150EB" w:rsidRPr="00E74CD5">
        <w:t xml:space="preserve"> at least</w:t>
      </w:r>
      <w:r w:rsidRPr="00E74CD5">
        <w:t xml:space="preserve"> </w:t>
      </w:r>
      <w:r w:rsidR="00287C3E" w:rsidRPr="00E74CD5">
        <w:t>annually to address emerging risks, changes to existing risks, and changes to Government policy.</w:t>
      </w:r>
    </w:p>
    <w:p w14:paraId="431D3701" w14:textId="5EC160A8" w:rsidR="00404E2D" w:rsidRPr="00E74CD5" w:rsidRDefault="00EF7AF3" w:rsidP="008B32BA">
      <w:pPr>
        <w:pStyle w:val="ActHead8"/>
      </w:pPr>
      <w:r w:rsidRPr="00E74CD5">
        <w:t xml:space="preserve">The Facility </w:t>
      </w:r>
      <w:r w:rsidR="00727BFF" w:rsidRPr="00E74CD5">
        <w:t xml:space="preserve">must </w:t>
      </w:r>
      <w:r w:rsidR="00D221D5" w:rsidRPr="00E74CD5">
        <w:t>actively manage loans performance</w:t>
      </w:r>
      <w:r w:rsidRPr="00E74CD5">
        <w:t xml:space="preserve">, </w:t>
      </w:r>
      <w:r w:rsidR="00404E2D" w:rsidRPr="00E74CD5">
        <w:t>including:</w:t>
      </w:r>
    </w:p>
    <w:p w14:paraId="797C8F1D" w14:textId="3ABB69B3" w:rsidR="00404E2D" w:rsidRPr="00E74CD5" w:rsidRDefault="008E4241" w:rsidP="008B32BA">
      <w:pPr>
        <w:pStyle w:val="ListParagraph"/>
        <w:numPr>
          <w:ilvl w:val="0"/>
          <w:numId w:val="28"/>
        </w:numPr>
      </w:pPr>
      <w:r w:rsidRPr="00E74CD5">
        <w:t>develop</w:t>
      </w:r>
      <w:r w:rsidR="00404E2D" w:rsidRPr="00E74CD5">
        <w:t>ing</w:t>
      </w:r>
      <w:r w:rsidR="00307501" w:rsidRPr="00E74CD5">
        <w:t xml:space="preserve"> management plan</w:t>
      </w:r>
      <w:r w:rsidRPr="00E74CD5">
        <w:t>s for impaired or troubled exposures</w:t>
      </w:r>
      <w:r w:rsidR="00404E2D" w:rsidRPr="00E74CD5">
        <w:t>; and</w:t>
      </w:r>
    </w:p>
    <w:p w14:paraId="59D47AAA" w14:textId="5EA024D6" w:rsidR="00EF7AF3" w:rsidRPr="00E74CD5" w:rsidRDefault="00404E2D" w:rsidP="008B32BA">
      <w:pPr>
        <w:pStyle w:val="ListParagraph"/>
      </w:pPr>
      <w:r w:rsidRPr="00E74CD5">
        <w:t>providing</w:t>
      </w:r>
      <w:r w:rsidR="00727BFF" w:rsidRPr="00E74CD5">
        <w:t xml:space="preserve"> a </w:t>
      </w:r>
      <w:r w:rsidR="00EF7AF3" w:rsidRPr="00E74CD5">
        <w:t xml:space="preserve">report on these to the </w:t>
      </w:r>
      <w:r w:rsidR="00645DC4" w:rsidRPr="00E74CD5">
        <w:t xml:space="preserve">responsible </w:t>
      </w:r>
      <w:r w:rsidR="00EF7AF3" w:rsidRPr="00E74CD5">
        <w:t>Ministers</w:t>
      </w:r>
      <w:r w:rsidR="00307501" w:rsidRPr="00E74CD5">
        <w:t xml:space="preserve"> by 30</w:t>
      </w:r>
      <w:r w:rsidR="00C05BBA" w:rsidRPr="00E74CD5">
        <w:t> </w:t>
      </w:r>
      <w:r w:rsidR="00307501" w:rsidRPr="00E74CD5">
        <w:t>September</w:t>
      </w:r>
      <w:r w:rsidR="00EF7AF3" w:rsidRPr="00E74CD5">
        <w:t xml:space="preserve"> </w:t>
      </w:r>
      <w:r w:rsidR="00307501" w:rsidRPr="00E74CD5">
        <w:t>of each year.</w:t>
      </w:r>
      <w:r w:rsidR="00EF7AF3" w:rsidRPr="00E74CD5">
        <w:t xml:space="preserve"> </w:t>
      </w:r>
    </w:p>
    <w:p w14:paraId="3E5A627C" w14:textId="173A1E71" w:rsidR="007A3FC3" w:rsidRPr="00E74CD5" w:rsidRDefault="007A3FC3" w:rsidP="008B32BA">
      <w:pPr>
        <w:pStyle w:val="ActHead8"/>
      </w:pPr>
      <w:r w:rsidRPr="00E74CD5">
        <w:t xml:space="preserve">The Facility must only </w:t>
      </w:r>
      <w:r w:rsidR="00227614" w:rsidRPr="00E74CD5">
        <w:t xml:space="preserve">enter into </w:t>
      </w:r>
      <w:r w:rsidR="00176093" w:rsidRPr="00E74CD5">
        <w:t>a derivative</w:t>
      </w:r>
      <w:r w:rsidR="00227614" w:rsidRPr="00E74CD5">
        <w:t xml:space="preserve"> contract</w:t>
      </w:r>
      <w:r w:rsidR="00176093" w:rsidRPr="00E74CD5">
        <w:t xml:space="preserve"> for the purpose</w:t>
      </w:r>
      <w:r w:rsidRPr="00E74CD5">
        <w:t xml:space="preserve"> of</w:t>
      </w:r>
      <w:r w:rsidR="00176093" w:rsidRPr="00E74CD5">
        <w:t xml:space="preserve"> providing an effective hedge and not for the purpose of speculation or leverage.</w:t>
      </w:r>
    </w:p>
    <w:p w14:paraId="43EBDC8D" w14:textId="65840900" w:rsidR="007A3FC3" w:rsidRPr="00E74CD5" w:rsidRDefault="007A3FC3" w:rsidP="008B32BA">
      <w:pPr>
        <w:pStyle w:val="ActHead8"/>
      </w:pPr>
      <w:r w:rsidRPr="00E74CD5">
        <w:t xml:space="preserve">The Facility may only </w:t>
      </w:r>
      <w:r w:rsidR="00416403" w:rsidRPr="00E74CD5">
        <w:t xml:space="preserve">enter into </w:t>
      </w:r>
      <w:r w:rsidRPr="00E74CD5">
        <w:t xml:space="preserve">a derivative </w:t>
      </w:r>
      <w:r w:rsidR="00416403" w:rsidRPr="00E74CD5">
        <w:t xml:space="preserve">contract </w:t>
      </w:r>
      <w:r w:rsidRPr="00E74CD5">
        <w:t>where:</w:t>
      </w:r>
    </w:p>
    <w:p w14:paraId="1D8CA83C" w14:textId="155A38EB" w:rsidR="007A3FC3" w:rsidRPr="00E74CD5" w:rsidRDefault="007A3FC3" w:rsidP="008B32BA">
      <w:pPr>
        <w:pStyle w:val="ListParagraph"/>
        <w:numPr>
          <w:ilvl w:val="0"/>
          <w:numId w:val="29"/>
        </w:numPr>
      </w:pPr>
      <w:r w:rsidRPr="00E74CD5">
        <w:t>it is</w:t>
      </w:r>
      <w:r w:rsidR="00176093" w:rsidRPr="00E74CD5">
        <w:t xml:space="preserve"> a</w:t>
      </w:r>
      <w:r w:rsidRPr="00E74CD5">
        <w:t xml:space="preserve"> more effective </w:t>
      </w:r>
      <w:r w:rsidR="00176093" w:rsidRPr="00E74CD5">
        <w:t>means of achieving an effective hedge than less complex</w:t>
      </w:r>
      <w:r w:rsidRPr="00E74CD5">
        <w:t xml:space="preserve"> mechanisms;</w:t>
      </w:r>
      <w:r w:rsidR="004A6E3F" w:rsidRPr="00E74CD5">
        <w:t xml:space="preserve"> </w:t>
      </w:r>
    </w:p>
    <w:p w14:paraId="37C2F0B7" w14:textId="65936265" w:rsidR="00416403" w:rsidRPr="00E74CD5" w:rsidRDefault="00227614" w:rsidP="00416403">
      <w:pPr>
        <w:pStyle w:val="ListParagraph"/>
        <w:numPr>
          <w:ilvl w:val="0"/>
          <w:numId w:val="29"/>
        </w:numPr>
      </w:pPr>
      <w:r w:rsidRPr="00E74CD5">
        <w:t>t</w:t>
      </w:r>
      <w:r w:rsidR="00416403" w:rsidRPr="00E74CD5">
        <w:t xml:space="preserve">he costs of derivative risk is considered and priced into the Financing </w:t>
      </w:r>
      <w:r w:rsidR="00416403" w:rsidRPr="00E74CD5" w:rsidDel="00F55090">
        <w:t>Mechanism</w:t>
      </w:r>
      <w:r w:rsidR="00416403" w:rsidRPr="00E74CD5">
        <w:t xml:space="preserve">; </w:t>
      </w:r>
    </w:p>
    <w:p w14:paraId="4C99677C" w14:textId="7E93FFC1" w:rsidR="00416403" w:rsidRPr="00E74CD5" w:rsidRDefault="00227614" w:rsidP="00416403">
      <w:pPr>
        <w:pStyle w:val="ListParagraph"/>
        <w:numPr>
          <w:ilvl w:val="0"/>
          <w:numId w:val="29"/>
        </w:numPr>
      </w:pPr>
      <w:r w:rsidRPr="00E74CD5">
        <w:t>t</w:t>
      </w:r>
      <w:r w:rsidR="00416403" w:rsidRPr="00E74CD5">
        <w:t>he counter-party’s credit profile is considered appropriate;  and</w:t>
      </w:r>
    </w:p>
    <w:p w14:paraId="30186D87" w14:textId="77777777" w:rsidR="00416403" w:rsidRPr="00E74CD5" w:rsidRDefault="00416403" w:rsidP="00416403">
      <w:pPr>
        <w:ind w:left="1418"/>
      </w:pPr>
    </w:p>
    <w:p w14:paraId="381EC03E" w14:textId="414020EA" w:rsidR="007A3FC3" w:rsidRPr="00E74CD5" w:rsidRDefault="007A3FC3" w:rsidP="008B32BA">
      <w:pPr>
        <w:pStyle w:val="ListParagraph"/>
      </w:pPr>
      <w:r w:rsidRPr="00E74CD5">
        <w:lastRenderedPageBreak/>
        <w:t>the expected benefits</w:t>
      </w:r>
      <w:r w:rsidR="00F33494" w:rsidRPr="00E74CD5">
        <w:t>,</w:t>
      </w:r>
      <w:r w:rsidRPr="00E74CD5">
        <w:t xml:space="preserve"> financial or otherwise, are sufficient to outweigh the level of risk and associated costs of acquiring a derivative</w:t>
      </w:r>
      <w:r w:rsidR="004A6E3F" w:rsidRPr="00E74CD5">
        <w:t>.</w:t>
      </w:r>
      <w:r w:rsidRPr="00E74CD5">
        <w:t xml:space="preserve"> </w:t>
      </w:r>
    </w:p>
    <w:p w14:paraId="1222F82A" w14:textId="149AE36A" w:rsidR="007A3FC3" w:rsidRPr="00E74CD5" w:rsidRDefault="007A3FC3" w:rsidP="008B32BA">
      <w:pPr>
        <w:pStyle w:val="ActHead8"/>
      </w:pPr>
      <w:r w:rsidRPr="00E74CD5">
        <w:t xml:space="preserve">The Facility must actively monitor and manage the risks associated with the use of derivatives including through ensuring: </w:t>
      </w:r>
    </w:p>
    <w:p w14:paraId="6297311B" w14:textId="576F0D29" w:rsidR="007A3FC3" w:rsidRPr="00E74CD5" w:rsidRDefault="007A3FC3" w:rsidP="008B32BA">
      <w:pPr>
        <w:pStyle w:val="ListParagraph"/>
        <w:numPr>
          <w:ilvl w:val="0"/>
          <w:numId w:val="30"/>
        </w:numPr>
      </w:pPr>
      <w:r w:rsidRPr="00E74CD5">
        <w:t>that a derivatives risk policy is in place and is reviewed annually;</w:t>
      </w:r>
    </w:p>
    <w:p w14:paraId="5D43CE72" w14:textId="54C96711" w:rsidR="007A3FC3" w:rsidRPr="00E74CD5" w:rsidRDefault="007A3FC3" w:rsidP="008B32BA">
      <w:pPr>
        <w:pStyle w:val="ListParagraph"/>
      </w:pPr>
      <w:r w:rsidRPr="00E74CD5">
        <w:t>appropriate contracts must exist between the Facility and counterparties;</w:t>
      </w:r>
    </w:p>
    <w:p w14:paraId="0D53CC00" w14:textId="45CDA1C8" w:rsidR="007A3FC3" w:rsidRPr="00E74CD5" w:rsidRDefault="00227614" w:rsidP="00CE7607">
      <w:pPr>
        <w:pStyle w:val="ListParagraph"/>
      </w:pPr>
      <w:r w:rsidRPr="00E74CD5">
        <w:t>a derivative exposure and risk management report must be included in regular reporting; and</w:t>
      </w:r>
    </w:p>
    <w:p w14:paraId="62C5D4A5" w14:textId="5027C4EA" w:rsidR="007A3FC3" w:rsidRPr="00E74CD5" w:rsidRDefault="007A3FC3" w:rsidP="008B32BA">
      <w:pPr>
        <w:pStyle w:val="ListParagraph"/>
      </w:pPr>
      <w:r w:rsidRPr="00E74CD5">
        <w:t xml:space="preserve">at no time may the </w:t>
      </w:r>
      <w:r w:rsidR="00416403" w:rsidRPr="00E74CD5">
        <w:t xml:space="preserve">net </w:t>
      </w:r>
      <w:r w:rsidRPr="00E74CD5">
        <w:t xml:space="preserve">liabilities under derivatives arrangements exceed the amount of the uncommitted balance of the Facility’s appropriation. </w:t>
      </w:r>
    </w:p>
    <w:p w14:paraId="0043AB19" w14:textId="4C646272" w:rsidR="00287C3E" w:rsidRPr="00E74CD5" w:rsidRDefault="00287C3E" w:rsidP="000117D4">
      <w:pPr>
        <w:pStyle w:val="ActHead4"/>
      </w:pPr>
      <w:r w:rsidRPr="00E74CD5">
        <w:t>1</w:t>
      </w:r>
      <w:r w:rsidR="00DD4519" w:rsidRPr="00E74CD5">
        <w:t>4</w:t>
      </w:r>
      <w:r w:rsidRPr="00E74CD5">
        <w:t>.</w:t>
      </w:r>
      <w:r w:rsidRPr="00E74CD5">
        <w:tab/>
        <w:t>Consultation</w:t>
      </w:r>
    </w:p>
    <w:p w14:paraId="3F077E9A" w14:textId="05790799" w:rsidR="00287C3E" w:rsidRPr="00E74CD5" w:rsidRDefault="00287C3E" w:rsidP="008B32BA">
      <w:pPr>
        <w:pStyle w:val="ActHead8"/>
        <w:numPr>
          <w:ilvl w:val="0"/>
          <w:numId w:val="10"/>
        </w:numPr>
      </w:pPr>
      <w:r w:rsidRPr="00E74CD5">
        <w:t>The Facility must commence consultation with the relevant jurisdiction as soon as practicable after receiving an Investment Proposal.</w:t>
      </w:r>
    </w:p>
    <w:p w14:paraId="1D90AD58" w14:textId="6D95FFD6" w:rsidR="00287C3E" w:rsidRPr="00E74CD5" w:rsidRDefault="00287C3E" w:rsidP="008B32BA">
      <w:pPr>
        <w:pStyle w:val="ActHead8"/>
      </w:pPr>
      <w:r w:rsidRPr="00E74CD5">
        <w:t>The relevant jurisdiction is:</w:t>
      </w:r>
    </w:p>
    <w:p w14:paraId="5256D133" w14:textId="3FCE56A6" w:rsidR="00287C3E" w:rsidRPr="00E74CD5" w:rsidRDefault="00287C3E" w:rsidP="008B32BA">
      <w:pPr>
        <w:pStyle w:val="ListParagraph"/>
        <w:numPr>
          <w:ilvl w:val="0"/>
          <w:numId w:val="31"/>
        </w:numPr>
      </w:pPr>
      <w:r w:rsidRPr="00E74CD5">
        <w:t>the State or Territory the Project is located in for single jurisdiction Investment Proposals; or</w:t>
      </w:r>
    </w:p>
    <w:p w14:paraId="67A46F43" w14:textId="5BF41BA5" w:rsidR="00287C3E" w:rsidRPr="00E74CD5" w:rsidRDefault="00287C3E" w:rsidP="008B32BA">
      <w:pPr>
        <w:pStyle w:val="ListParagraph"/>
      </w:pPr>
      <w:r w:rsidRPr="00E74CD5">
        <w:t xml:space="preserve">for Investment Proposals that </w:t>
      </w:r>
      <w:r w:rsidR="000567F1" w:rsidRPr="00E74CD5">
        <w:t>impact multiple</w:t>
      </w:r>
      <w:r w:rsidRPr="00E74CD5">
        <w:t xml:space="preserve"> jurisdictions, it is all jurisdictions where the Project takes place. </w:t>
      </w:r>
    </w:p>
    <w:p w14:paraId="70A0C1FE" w14:textId="01354276" w:rsidR="00287C3E" w:rsidRPr="00E74CD5" w:rsidRDefault="00287C3E" w:rsidP="008B32BA">
      <w:pPr>
        <w:pStyle w:val="ActHead8"/>
      </w:pPr>
      <w:r w:rsidRPr="00E74CD5">
        <w:t xml:space="preserve">Consultation with the relevant jurisdiction is to commence by providing them with a notification of assessment (‘assessment </w:t>
      </w:r>
      <w:r w:rsidR="00293902" w:rsidRPr="00E74CD5">
        <w:t>notification’</w:t>
      </w:r>
      <w:r w:rsidRPr="00E74CD5">
        <w:t>), which includes</w:t>
      </w:r>
      <w:r w:rsidR="00CA65B7" w:rsidRPr="00E74CD5">
        <w:t xml:space="preserve"> a</w:t>
      </w:r>
      <w:r w:rsidRPr="00E74CD5">
        <w:t>n outline of the details of the Project</w:t>
      </w:r>
      <w:r w:rsidR="0063391E" w:rsidRPr="00E74CD5">
        <w:t xml:space="preserve"> </w:t>
      </w:r>
      <w:r w:rsidR="00404E2D" w:rsidRPr="00E74CD5">
        <w:t>and/</w:t>
      </w:r>
      <w:r w:rsidR="0063391E" w:rsidRPr="00E74CD5">
        <w:t>or of the characteristics and criteria which the Project must satisfy</w:t>
      </w:r>
      <w:r w:rsidR="00BE36F0" w:rsidRPr="00E74CD5">
        <w:t>.</w:t>
      </w:r>
    </w:p>
    <w:p w14:paraId="282E87A1" w14:textId="213CD510" w:rsidR="00287C3E" w:rsidRPr="00E74CD5" w:rsidRDefault="00287C3E" w:rsidP="008B32BA">
      <w:pPr>
        <w:pStyle w:val="ActHead8"/>
      </w:pPr>
      <w:r w:rsidRPr="00E74CD5">
        <w:t xml:space="preserve">The Facility must not make an Investment Decision </w:t>
      </w:r>
      <w:r w:rsidR="00EA609C" w:rsidRPr="00E74CD5">
        <w:t xml:space="preserve">utilising a grant of financial assistance to a </w:t>
      </w:r>
      <w:r w:rsidR="00CA65B7" w:rsidRPr="00E74CD5">
        <w:t>S</w:t>
      </w:r>
      <w:r w:rsidR="00EA609C" w:rsidRPr="00E74CD5">
        <w:t xml:space="preserve">tate or </w:t>
      </w:r>
      <w:r w:rsidR="00CA65B7" w:rsidRPr="00E74CD5">
        <w:t>T</w:t>
      </w:r>
      <w:r w:rsidR="00EA609C" w:rsidRPr="00E74CD5">
        <w:t xml:space="preserve">erritory jurisdiction </w:t>
      </w:r>
      <w:r w:rsidRPr="00E74CD5">
        <w:t>if at any time the relevant jurisdiction provides written notification that financial assistance</w:t>
      </w:r>
      <w:r w:rsidR="000567F1" w:rsidRPr="00E74CD5">
        <w:t xml:space="preserve">, </w:t>
      </w:r>
      <w:r w:rsidRPr="00E74CD5">
        <w:t>should not be provided</w:t>
      </w:r>
      <w:r w:rsidR="000567F1" w:rsidRPr="00E74CD5">
        <w:t xml:space="preserve"> for</w:t>
      </w:r>
      <w:r w:rsidRPr="00E74CD5">
        <w:t xml:space="preserve"> a Project. </w:t>
      </w:r>
    </w:p>
    <w:p w14:paraId="1C15FA2A" w14:textId="4BDDDF2B" w:rsidR="00287C3E" w:rsidRPr="00E74CD5" w:rsidRDefault="00287C3E" w:rsidP="008B32BA">
      <w:pPr>
        <w:pStyle w:val="ActHead8"/>
      </w:pPr>
      <w:r w:rsidRPr="00E74CD5">
        <w:t>The Project Proponent will be informed of a decision not to progress an Investment Proposal within five business days of the Facility receiving written notification</w:t>
      </w:r>
      <w:r w:rsidR="00EA609C" w:rsidRPr="00E74CD5">
        <w:t xml:space="preserve"> from the relevant jurisdiction</w:t>
      </w:r>
      <w:r w:rsidR="007F24EC" w:rsidRPr="00E74CD5">
        <w:t>.</w:t>
      </w:r>
    </w:p>
    <w:p w14:paraId="122AEC76" w14:textId="39648346" w:rsidR="00287C3E" w:rsidRPr="00E74CD5" w:rsidRDefault="00425625" w:rsidP="000117D4">
      <w:pPr>
        <w:pStyle w:val="ActHead4"/>
      </w:pPr>
      <w:r w:rsidRPr="00E74CD5">
        <w:lastRenderedPageBreak/>
        <w:t>1</w:t>
      </w:r>
      <w:r w:rsidR="00DD4519" w:rsidRPr="00E74CD5">
        <w:t>5</w:t>
      </w:r>
      <w:r w:rsidRPr="00E74CD5">
        <w:t>.</w:t>
      </w:r>
      <w:r w:rsidRPr="00E74CD5">
        <w:tab/>
      </w:r>
      <w:r w:rsidR="00F6219A" w:rsidRPr="00E74CD5">
        <w:t xml:space="preserve"> </w:t>
      </w:r>
      <w:r w:rsidR="00287C3E" w:rsidRPr="00E74CD5">
        <w:t>Relationship with other Government entities</w:t>
      </w:r>
    </w:p>
    <w:p w14:paraId="13BE1E1F" w14:textId="2FB6011A" w:rsidR="00287C3E" w:rsidRPr="00E74CD5" w:rsidRDefault="00404E2D" w:rsidP="008B32BA">
      <w:pPr>
        <w:pStyle w:val="ActHead8"/>
        <w:numPr>
          <w:ilvl w:val="0"/>
          <w:numId w:val="11"/>
        </w:numPr>
      </w:pPr>
      <w:r w:rsidRPr="00E74CD5">
        <w:t xml:space="preserve">Where an Investment Decision </w:t>
      </w:r>
      <w:r w:rsidR="002663A7" w:rsidRPr="00E74CD5">
        <w:t xml:space="preserve">would </w:t>
      </w:r>
      <w:r w:rsidRPr="00E74CD5">
        <w:t>provide financial assistance</w:t>
      </w:r>
      <w:r w:rsidR="00287C3E" w:rsidRPr="00E74CD5">
        <w:t xml:space="preserve"> greater than $</w:t>
      </w:r>
      <w:r w:rsidR="00C0417B" w:rsidRPr="00E74CD5">
        <w:t xml:space="preserve">250 </w:t>
      </w:r>
      <w:r w:rsidR="00287C3E" w:rsidRPr="00E74CD5">
        <w:t>million</w:t>
      </w:r>
      <w:r w:rsidR="007A3FC3" w:rsidRPr="00E74CD5">
        <w:t xml:space="preserve"> in aggregate</w:t>
      </w:r>
      <w:r w:rsidR="00287C3E" w:rsidRPr="00E74CD5">
        <w:t>, the Facility must consult Infrastructure Australia</w:t>
      </w:r>
      <w:r w:rsidR="0069389E" w:rsidRPr="00E74CD5">
        <w:t xml:space="preserve"> in relation to the public </w:t>
      </w:r>
      <w:r w:rsidR="00BE36F0" w:rsidRPr="00E74CD5">
        <w:t>benefit analysis of the Project</w:t>
      </w:r>
      <w:r w:rsidR="00287C3E" w:rsidRPr="00E74CD5">
        <w:t>.</w:t>
      </w:r>
    </w:p>
    <w:p w14:paraId="7F964806" w14:textId="69A47F43" w:rsidR="00287C3E" w:rsidRPr="00E74CD5" w:rsidRDefault="00287C3E" w:rsidP="008B32BA">
      <w:pPr>
        <w:pStyle w:val="ActHead8"/>
        <w:numPr>
          <w:ilvl w:val="0"/>
          <w:numId w:val="11"/>
        </w:numPr>
      </w:pPr>
      <w:r w:rsidRPr="00E74CD5">
        <w:t xml:space="preserve">As appropriate, the Facility </w:t>
      </w:r>
      <w:r w:rsidR="00E51F90" w:rsidRPr="00E74CD5">
        <w:t xml:space="preserve">must </w:t>
      </w:r>
      <w:r w:rsidRPr="00E74CD5">
        <w:t xml:space="preserve">consult with relevant government stakeholders including Commonwealth departments. </w:t>
      </w:r>
    </w:p>
    <w:p w14:paraId="43561A4C" w14:textId="0B594D84" w:rsidR="00287C3E" w:rsidRPr="00E74CD5" w:rsidRDefault="00287C3E" w:rsidP="000117D4">
      <w:pPr>
        <w:pStyle w:val="ActHead4"/>
      </w:pPr>
      <w:r w:rsidRPr="00E74CD5">
        <w:t>1</w:t>
      </w:r>
      <w:r w:rsidR="00DD4519" w:rsidRPr="00E74CD5">
        <w:t>6</w:t>
      </w:r>
      <w:r w:rsidRPr="00E74CD5">
        <w:t>.</w:t>
      </w:r>
      <w:r w:rsidRPr="00E74CD5">
        <w:tab/>
        <w:t>Regulatory and environmental approvals</w:t>
      </w:r>
    </w:p>
    <w:p w14:paraId="593BA2DC" w14:textId="2BB03515" w:rsidR="00287C3E" w:rsidRPr="00E74CD5" w:rsidRDefault="00287C3E" w:rsidP="008B32BA">
      <w:pPr>
        <w:pStyle w:val="ActHead8"/>
        <w:numPr>
          <w:ilvl w:val="0"/>
          <w:numId w:val="12"/>
        </w:numPr>
      </w:pPr>
      <w:r w:rsidRPr="00E74CD5">
        <w:t>The Facility may make Investment Decisions conditional upon the Project Proponent obtaining all relevant regulatory, environmental and Native Title approvals and arrangements as required by the relevant jurisdiction.</w:t>
      </w:r>
    </w:p>
    <w:p w14:paraId="5FE3B62D" w14:textId="7096EADE" w:rsidR="00287C3E" w:rsidRPr="00E74CD5" w:rsidRDefault="00287C3E" w:rsidP="008B32BA">
      <w:pPr>
        <w:pStyle w:val="ActHead8"/>
        <w:numPr>
          <w:ilvl w:val="0"/>
          <w:numId w:val="12"/>
        </w:numPr>
      </w:pPr>
      <w:r w:rsidRPr="00E74CD5">
        <w:t xml:space="preserve">The Facility must not provide </w:t>
      </w:r>
      <w:r w:rsidR="000567F1" w:rsidRPr="00E74CD5">
        <w:t>a Financing Mechanism for</w:t>
      </w:r>
      <w:r w:rsidRPr="00E74CD5">
        <w:t xml:space="preserve"> </w:t>
      </w:r>
      <w:r w:rsidR="000567F1" w:rsidRPr="00E74CD5">
        <w:t>a</w:t>
      </w:r>
      <w:r w:rsidRPr="00E74CD5">
        <w:t xml:space="preserve"> Project that ha</w:t>
      </w:r>
      <w:r w:rsidR="000567F1" w:rsidRPr="00E74CD5">
        <w:t>s</w:t>
      </w:r>
      <w:r w:rsidRPr="00E74CD5">
        <w:t xml:space="preserve"> not received all relevant regulatory, environmental and Native Title approvals</w:t>
      </w:r>
      <w:r w:rsidR="00F33494" w:rsidRPr="00E74CD5">
        <w:t xml:space="preserve"> and arrangements</w:t>
      </w:r>
      <w:r w:rsidR="00740E03" w:rsidRPr="00E74CD5">
        <w:t xml:space="preserve">, </w:t>
      </w:r>
      <w:r w:rsidR="00BD0F26" w:rsidRPr="00E74CD5">
        <w:t>either before an Investment Decision or as a condition of the Investment Decision</w:t>
      </w:r>
      <w:r w:rsidR="00740E03" w:rsidRPr="00E74CD5">
        <w:t>.</w:t>
      </w:r>
    </w:p>
    <w:p w14:paraId="3DD0B789" w14:textId="41CE1D6E" w:rsidR="00287C3E" w:rsidRPr="00E74CD5" w:rsidRDefault="00287C3E" w:rsidP="000117D4">
      <w:pPr>
        <w:pStyle w:val="ActHead4"/>
      </w:pPr>
      <w:r w:rsidRPr="00E74CD5">
        <w:t>1</w:t>
      </w:r>
      <w:r w:rsidR="00DD4519" w:rsidRPr="00E74CD5">
        <w:t>7</w:t>
      </w:r>
      <w:r w:rsidRPr="00E74CD5">
        <w:t>.</w:t>
      </w:r>
      <w:r w:rsidRPr="00E74CD5">
        <w:tab/>
        <w:t>Reputation</w:t>
      </w:r>
    </w:p>
    <w:p w14:paraId="0B1DDEC9" w14:textId="6FBB5C15" w:rsidR="00287C3E" w:rsidRPr="00E74CD5" w:rsidRDefault="00287C3E" w:rsidP="00A74799">
      <w:pPr>
        <w:spacing w:before="120"/>
        <w:ind w:left="709" w:right="-45"/>
        <w:rPr>
          <w:rFonts w:cs="Times New Roman"/>
          <w:sz w:val="24"/>
          <w:szCs w:val="24"/>
        </w:rPr>
      </w:pPr>
      <w:r w:rsidRPr="00E74CD5">
        <w:rPr>
          <w:rFonts w:cs="Times New Roman"/>
          <w:sz w:val="24"/>
          <w:szCs w:val="24"/>
        </w:rPr>
        <w:t xml:space="preserve">The Facility must not act in a way that is likely to cause damage to the Commonwealth Government’s reputation, or </w:t>
      </w:r>
      <w:r w:rsidR="000567F1" w:rsidRPr="00E74CD5">
        <w:rPr>
          <w:rFonts w:cs="Times New Roman"/>
          <w:sz w:val="24"/>
          <w:szCs w:val="24"/>
        </w:rPr>
        <w:t xml:space="preserve">where </w:t>
      </w:r>
      <w:r w:rsidRPr="00E74CD5">
        <w:rPr>
          <w:rFonts w:cs="Times New Roman"/>
          <w:sz w:val="24"/>
          <w:szCs w:val="24"/>
        </w:rPr>
        <w:t>a State or Territory government</w:t>
      </w:r>
      <w:r w:rsidR="000567F1" w:rsidRPr="00E74CD5">
        <w:rPr>
          <w:rFonts w:cs="Times New Roman"/>
          <w:sz w:val="24"/>
          <w:szCs w:val="24"/>
        </w:rPr>
        <w:t xml:space="preserve"> is participating in a Project, that Government’s reputation.</w:t>
      </w:r>
    </w:p>
    <w:p w14:paraId="13F87A99" w14:textId="234075FB" w:rsidR="00287C3E" w:rsidRPr="00E74CD5" w:rsidRDefault="00287C3E" w:rsidP="000117D4">
      <w:pPr>
        <w:pStyle w:val="ActHead4"/>
      </w:pPr>
      <w:r w:rsidRPr="00E74CD5">
        <w:t>1</w:t>
      </w:r>
      <w:r w:rsidR="00DD4519" w:rsidRPr="00E74CD5">
        <w:t>8</w:t>
      </w:r>
      <w:r w:rsidRPr="00E74CD5">
        <w:t>.</w:t>
      </w:r>
      <w:r w:rsidRPr="00E74CD5">
        <w:tab/>
        <w:t>Corporate governance</w:t>
      </w:r>
    </w:p>
    <w:p w14:paraId="3E83EE30" w14:textId="720E3D9B" w:rsidR="00287C3E" w:rsidRPr="00E74CD5" w:rsidRDefault="00287C3E" w:rsidP="008B32BA">
      <w:pPr>
        <w:pStyle w:val="ActHead8"/>
        <w:numPr>
          <w:ilvl w:val="0"/>
          <w:numId w:val="13"/>
        </w:numPr>
      </w:pPr>
      <w:r w:rsidRPr="00E74CD5">
        <w:t xml:space="preserve">The Facility must have regard to Australian best practice government governance principles, and </w:t>
      </w:r>
      <w:r w:rsidR="00BE36F0" w:rsidRPr="00E74CD5">
        <w:t xml:space="preserve">relevant </w:t>
      </w:r>
      <w:r w:rsidRPr="00E74CD5">
        <w:t>Australian best practice corporate governance for Commercial Financiers, when performing its functions, including developing and annually reviewing policies with regard to:</w:t>
      </w:r>
    </w:p>
    <w:p w14:paraId="66558086" w14:textId="1DBF13E1" w:rsidR="00287C3E" w:rsidRPr="00E74CD5" w:rsidRDefault="00287C3E" w:rsidP="00F61B76">
      <w:pPr>
        <w:pStyle w:val="ListParagraph"/>
        <w:numPr>
          <w:ilvl w:val="0"/>
          <w:numId w:val="33"/>
        </w:numPr>
      </w:pPr>
      <w:r w:rsidRPr="00E74CD5">
        <w:t>environmental issues; and</w:t>
      </w:r>
    </w:p>
    <w:p w14:paraId="793093C1" w14:textId="7C9C62DE" w:rsidR="00287C3E" w:rsidRPr="00E74CD5" w:rsidRDefault="00287C3E" w:rsidP="00F61B76">
      <w:pPr>
        <w:pStyle w:val="ListParagraph"/>
      </w:pPr>
      <w:r w:rsidRPr="00E74CD5">
        <w:t>social issues; and</w:t>
      </w:r>
    </w:p>
    <w:p w14:paraId="57A155B6" w14:textId="24DF5C8A" w:rsidR="00287C3E" w:rsidRPr="00E74CD5" w:rsidRDefault="00287C3E" w:rsidP="00F61B76">
      <w:pPr>
        <w:pStyle w:val="ListParagraph"/>
      </w:pPr>
      <w:r w:rsidRPr="00E74CD5">
        <w:t>governance issues.</w:t>
      </w:r>
    </w:p>
    <w:p w14:paraId="63621808" w14:textId="2E73DDCD" w:rsidR="00F6219A" w:rsidRPr="00E74CD5" w:rsidRDefault="00287C3E" w:rsidP="008B32BA">
      <w:pPr>
        <w:pStyle w:val="ActHead8"/>
      </w:pPr>
      <w:r w:rsidRPr="00E74CD5">
        <w:t xml:space="preserve">Within </w:t>
      </w:r>
      <w:r w:rsidR="006E5DBF" w:rsidRPr="00E74CD5">
        <w:t>15</w:t>
      </w:r>
      <w:r w:rsidRPr="00E74CD5">
        <w:t xml:space="preserve"> business days </w:t>
      </w:r>
      <w:r w:rsidR="006E5DBF" w:rsidRPr="00E74CD5">
        <w:t>of the conclusion of the Minister’s consideration period under section 11 of the Act</w:t>
      </w:r>
      <w:r w:rsidRPr="00E74CD5">
        <w:t>, the Facility must publish information regarding the Investment Decision on its website, subject to commercial confidentiality, including</w:t>
      </w:r>
      <w:r w:rsidR="007A3FC3" w:rsidRPr="00E74CD5">
        <w:t xml:space="preserve"> the</w:t>
      </w:r>
      <w:r w:rsidRPr="00E74CD5">
        <w:t>:</w:t>
      </w:r>
    </w:p>
    <w:p w14:paraId="4540E0D8" w14:textId="0284B748" w:rsidR="00287C3E" w:rsidRPr="00E74CD5" w:rsidRDefault="00287C3E" w:rsidP="00F61B76">
      <w:pPr>
        <w:pStyle w:val="ListParagraph"/>
        <w:numPr>
          <w:ilvl w:val="0"/>
          <w:numId w:val="34"/>
        </w:numPr>
      </w:pPr>
      <w:r w:rsidRPr="00E74CD5">
        <w:t>na</w:t>
      </w:r>
      <w:r w:rsidR="007A3FC3" w:rsidRPr="00E74CD5">
        <w:t xml:space="preserve">me of the Project Proponent; </w:t>
      </w:r>
    </w:p>
    <w:p w14:paraId="64FE948F" w14:textId="0785C05A" w:rsidR="00287C3E" w:rsidRPr="00E74CD5" w:rsidRDefault="00CE7607" w:rsidP="00F61B76">
      <w:pPr>
        <w:pStyle w:val="ListParagraph"/>
      </w:pPr>
      <w:r w:rsidRPr="00E74CD5">
        <w:t>nature of investment</w:t>
      </w:r>
      <w:r w:rsidR="007A3FC3" w:rsidRPr="00E74CD5">
        <w:t>;</w:t>
      </w:r>
    </w:p>
    <w:p w14:paraId="159626D7" w14:textId="67FC07D0" w:rsidR="00287C3E" w:rsidRPr="00E74CD5" w:rsidRDefault="000567F1" w:rsidP="00F61B76">
      <w:pPr>
        <w:pStyle w:val="ListParagraph"/>
      </w:pPr>
      <w:r w:rsidRPr="00E74CD5">
        <w:t xml:space="preserve">Project’s </w:t>
      </w:r>
      <w:r w:rsidR="007A3FC3" w:rsidRPr="00E74CD5">
        <w:t>location;</w:t>
      </w:r>
    </w:p>
    <w:p w14:paraId="3C5CC75E" w14:textId="13F90B65" w:rsidR="00287C3E" w:rsidRPr="00E74CD5" w:rsidRDefault="00287C3E" w:rsidP="00F61B76">
      <w:pPr>
        <w:pStyle w:val="ListParagraph"/>
      </w:pPr>
      <w:r w:rsidRPr="00E74CD5">
        <w:t>t</w:t>
      </w:r>
      <w:r w:rsidR="007A3FC3" w:rsidRPr="00E74CD5">
        <w:t xml:space="preserve">ype of Financing Mechanism; </w:t>
      </w:r>
    </w:p>
    <w:p w14:paraId="4E594301" w14:textId="5436E8B9" w:rsidR="00287C3E" w:rsidRPr="00E74CD5" w:rsidRDefault="00287C3E" w:rsidP="00F61B76">
      <w:pPr>
        <w:pStyle w:val="ListParagraph"/>
      </w:pPr>
      <w:r w:rsidRPr="00E74CD5">
        <w:lastRenderedPageBreak/>
        <w:t>amount of the Financing Mechanism</w:t>
      </w:r>
      <w:r w:rsidR="00416403" w:rsidRPr="00E74CD5">
        <w:t>; and</w:t>
      </w:r>
    </w:p>
    <w:p w14:paraId="59F9D655" w14:textId="34517C7E" w:rsidR="00416403" w:rsidRPr="00E74CD5" w:rsidRDefault="00416403" w:rsidP="00F61B76">
      <w:pPr>
        <w:pStyle w:val="ListParagraph"/>
      </w:pPr>
      <w:r w:rsidRPr="00E74CD5">
        <w:t>description of the public benefit.</w:t>
      </w:r>
    </w:p>
    <w:p w14:paraId="516C5FBE" w14:textId="713EBC2B" w:rsidR="00287C3E" w:rsidRPr="00E74CD5" w:rsidRDefault="00287C3E" w:rsidP="008B32BA">
      <w:pPr>
        <w:pStyle w:val="ActHead8"/>
      </w:pPr>
      <w:r w:rsidRPr="00E74CD5">
        <w:t>The Facility must publish guidance on its website on:</w:t>
      </w:r>
    </w:p>
    <w:p w14:paraId="45A1E8D2" w14:textId="18ED5A5B" w:rsidR="00287C3E" w:rsidRPr="00E74CD5" w:rsidRDefault="00287C3E" w:rsidP="007500A8">
      <w:pPr>
        <w:pStyle w:val="ListParagraph"/>
        <w:numPr>
          <w:ilvl w:val="0"/>
          <w:numId w:val="35"/>
        </w:numPr>
      </w:pPr>
      <w:r w:rsidRPr="00E74CD5">
        <w:t>the forma</w:t>
      </w:r>
      <w:r w:rsidR="007A3FC3" w:rsidRPr="00E74CD5">
        <w:t xml:space="preserve">t of an Investment Proposal; </w:t>
      </w:r>
    </w:p>
    <w:p w14:paraId="6F6D903C" w14:textId="6D692FE8" w:rsidR="00287C3E" w:rsidRPr="00E74CD5" w:rsidRDefault="00287C3E" w:rsidP="007500A8">
      <w:pPr>
        <w:pStyle w:val="ListParagraph"/>
      </w:pPr>
      <w:r w:rsidRPr="00E74CD5">
        <w:t>Investment Decision processes; and</w:t>
      </w:r>
    </w:p>
    <w:p w14:paraId="0221A17F" w14:textId="6653E057" w:rsidR="00513CEE" w:rsidRPr="00E74CD5" w:rsidRDefault="00287C3E" w:rsidP="007500A8">
      <w:pPr>
        <w:pStyle w:val="ListParagraph"/>
      </w:pPr>
      <w:r w:rsidRPr="00E74CD5">
        <w:t xml:space="preserve">any other matters it considers necessary. </w:t>
      </w:r>
    </w:p>
    <w:p w14:paraId="1F6FB061" w14:textId="44D56633" w:rsidR="00037E61" w:rsidRPr="00E74CD5" w:rsidRDefault="00037E61" w:rsidP="000117D4">
      <w:pPr>
        <w:pStyle w:val="ActHead4"/>
      </w:pPr>
      <w:r w:rsidRPr="00E74CD5">
        <w:t>19.</w:t>
      </w:r>
      <w:r w:rsidRPr="00E74CD5">
        <w:tab/>
      </w:r>
      <w:r w:rsidR="007C2903" w:rsidRPr="00E74CD5">
        <w:t>Providing information</w:t>
      </w:r>
      <w:r w:rsidRPr="00E74CD5">
        <w:t xml:space="preserve"> to </w:t>
      </w:r>
      <w:r w:rsidR="00BA493F" w:rsidRPr="00E74CD5">
        <w:t>the Minister for Northern Australia</w:t>
      </w:r>
    </w:p>
    <w:p w14:paraId="27783333" w14:textId="0765FB33" w:rsidR="00037E61" w:rsidRPr="00E74CD5" w:rsidRDefault="00037E61" w:rsidP="008B32BA">
      <w:pPr>
        <w:pStyle w:val="ActHead8"/>
        <w:numPr>
          <w:ilvl w:val="0"/>
          <w:numId w:val="15"/>
        </w:numPr>
      </w:pPr>
      <w:r w:rsidRPr="00E74CD5">
        <w:t xml:space="preserve">The </w:t>
      </w:r>
      <w:r w:rsidR="00BA493F" w:rsidRPr="00E74CD5">
        <w:t>Minister for Northern Australia</w:t>
      </w:r>
      <w:r w:rsidRPr="00E74CD5">
        <w:t xml:space="preserve"> may, at any time</w:t>
      </w:r>
      <w:r w:rsidR="002835C0" w:rsidRPr="00E74CD5">
        <w:t xml:space="preserve"> either on </w:t>
      </w:r>
      <w:r w:rsidR="005E489A" w:rsidRPr="00E74CD5">
        <w:t xml:space="preserve">their </w:t>
      </w:r>
      <w:r w:rsidR="002835C0" w:rsidRPr="00E74CD5">
        <w:t>own initiative or as requested by the Minister for Finance</w:t>
      </w:r>
      <w:r w:rsidRPr="00E74CD5">
        <w:t xml:space="preserve">, request information from the Facility regarding </w:t>
      </w:r>
      <w:r w:rsidR="00727580" w:rsidRPr="00E74CD5">
        <w:t xml:space="preserve">its </w:t>
      </w:r>
      <w:r w:rsidR="00CD133F" w:rsidRPr="00E74CD5">
        <w:t>policies</w:t>
      </w:r>
      <w:r w:rsidR="00727580" w:rsidRPr="00E74CD5">
        <w:t xml:space="preserve">, </w:t>
      </w:r>
      <w:r w:rsidR="00F33494" w:rsidRPr="00E74CD5">
        <w:t>I</w:t>
      </w:r>
      <w:r w:rsidR="00727580" w:rsidRPr="00E74CD5">
        <w:t>n</w:t>
      </w:r>
      <w:r w:rsidR="00F33494" w:rsidRPr="00E74CD5">
        <w:t>vestment D</w:t>
      </w:r>
      <w:r w:rsidR="00727580" w:rsidRPr="00E74CD5">
        <w:t>ecisions or the management of its portfolio.</w:t>
      </w:r>
    </w:p>
    <w:p w14:paraId="65890387" w14:textId="6B845C60" w:rsidR="0065771A" w:rsidRPr="00E74CD5" w:rsidRDefault="00DB7CF5" w:rsidP="008B32BA">
      <w:pPr>
        <w:pStyle w:val="ActHead8"/>
        <w:rPr>
          <w:b/>
          <w:sz w:val="27"/>
          <w:szCs w:val="27"/>
        </w:rPr>
      </w:pPr>
      <w:r w:rsidRPr="00E74CD5">
        <w:t xml:space="preserve">The Facility must respond to a request for information from </w:t>
      </w:r>
      <w:r w:rsidR="00C33C3F" w:rsidRPr="00E74CD5">
        <w:t>the</w:t>
      </w:r>
      <w:r w:rsidRPr="00E74CD5">
        <w:t xml:space="preserve"> </w:t>
      </w:r>
      <w:r w:rsidR="005D7E15" w:rsidRPr="00E74CD5">
        <w:t>Minister for Northern Australia</w:t>
      </w:r>
      <w:r w:rsidRPr="00E74CD5">
        <w:t xml:space="preserve"> within 30 days</w:t>
      </w:r>
      <w:r w:rsidR="002835C0" w:rsidRPr="00E74CD5">
        <w:t xml:space="preserve"> a</w:t>
      </w:r>
      <w:r w:rsidR="00F33494" w:rsidRPr="00E74CD5">
        <w:t xml:space="preserve">nd provide its response to both </w:t>
      </w:r>
      <w:r w:rsidR="002835C0" w:rsidRPr="00E74CD5">
        <w:t>the Minister for Northern Australia and the Minister for Finance</w:t>
      </w:r>
      <w:r w:rsidRPr="00E74CD5">
        <w:t>.</w:t>
      </w:r>
    </w:p>
    <w:p w14:paraId="04FD545F" w14:textId="6A3C6994" w:rsidR="00287C3E" w:rsidRPr="00E74CD5" w:rsidRDefault="00727580" w:rsidP="000117D4">
      <w:pPr>
        <w:pStyle w:val="ActHead4"/>
      </w:pPr>
      <w:r w:rsidRPr="00E74CD5">
        <w:t>20</w:t>
      </w:r>
      <w:r w:rsidR="00287C3E" w:rsidRPr="00E74CD5">
        <w:t>.</w:t>
      </w:r>
      <w:r w:rsidR="00287C3E" w:rsidRPr="00E74CD5">
        <w:tab/>
        <w:t>Application of Australian Industry Participation (AIP) Plans</w:t>
      </w:r>
    </w:p>
    <w:p w14:paraId="0DBB7024" w14:textId="3048A989" w:rsidR="005D7E15" w:rsidRPr="00E74CD5" w:rsidRDefault="00C33C3F" w:rsidP="00A74799">
      <w:pPr>
        <w:spacing w:before="120"/>
        <w:ind w:left="720"/>
        <w:rPr>
          <w:rFonts w:cs="Times New Roman"/>
          <w:sz w:val="24"/>
          <w:szCs w:val="24"/>
        </w:rPr>
      </w:pPr>
      <w:r w:rsidRPr="00E74CD5">
        <w:rPr>
          <w:rFonts w:cs="Times New Roman"/>
          <w:sz w:val="24"/>
          <w:szCs w:val="24"/>
        </w:rPr>
        <w:t xml:space="preserve">The Project must comply with the Commonwealth’s Australian Industry Participation Plan policy and legislation where applicable, </w:t>
      </w:r>
      <w:r w:rsidR="00373954" w:rsidRPr="00E74CD5">
        <w:rPr>
          <w:rFonts w:cs="Times New Roman"/>
          <w:sz w:val="24"/>
          <w:szCs w:val="24"/>
        </w:rPr>
        <w:t>either before an Investment Decision or as a condition of the Investment Decision.</w:t>
      </w:r>
    </w:p>
    <w:p w14:paraId="101031B7" w14:textId="62F36352" w:rsidR="00287C3E" w:rsidRPr="00E74CD5" w:rsidRDefault="00722216" w:rsidP="000117D4">
      <w:pPr>
        <w:pStyle w:val="ActHead4"/>
      </w:pPr>
      <w:r w:rsidRPr="00E74CD5">
        <w:t>2</w:t>
      </w:r>
      <w:r w:rsidR="00727580" w:rsidRPr="00E74CD5">
        <w:t>1</w:t>
      </w:r>
      <w:r w:rsidR="00287C3E" w:rsidRPr="00E74CD5">
        <w:t>.</w:t>
      </w:r>
      <w:r w:rsidR="00287C3E" w:rsidRPr="00E74CD5">
        <w:tab/>
        <w:t>Repeal of previous Direction</w:t>
      </w:r>
    </w:p>
    <w:p w14:paraId="1736B33D" w14:textId="7E713775" w:rsidR="00A4144B" w:rsidRPr="00E74CD5" w:rsidRDefault="00287C3E" w:rsidP="007500A8">
      <w:pPr>
        <w:spacing w:before="120" w:after="200" w:line="276" w:lineRule="auto"/>
        <w:ind w:left="720" w:right="284"/>
        <w:rPr>
          <w:rFonts w:cs="Times New Roman"/>
          <w:sz w:val="24"/>
          <w:szCs w:val="24"/>
        </w:rPr>
      </w:pPr>
      <w:r w:rsidRPr="00E74CD5">
        <w:rPr>
          <w:rFonts w:cs="Times New Roman"/>
          <w:sz w:val="24"/>
          <w:szCs w:val="24"/>
        </w:rPr>
        <w:t xml:space="preserve">The </w:t>
      </w:r>
      <w:r w:rsidRPr="00E74CD5">
        <w:rPr>
          <w:rFonts w:cs="Times New Roman"/>
          <w:i/>
          <w:sz w:val="24"/>
          <w:szCs w:val="24"/>
        </w:rPr>
        <w:t xml:space="preserve">Northern Australia Infrastructure Facility Investment Mandate Direction </w:t>
      </w:r>
      <w:r w:rsidR="006454CB" w:rsidRPr="00E74CD5">
        <w:rPr>
          <w:rFonts w:cs="Times New Roman"/>
          <w:i/>
          <w:sz w:val="24"/>
          <w:szCs w:val="24"/>
        </w:rPr>
        <w:t>2018</w:t>
      </w:r>
      <w:r w:rsidR="006454CB" w:rsidRPr="00E74CD5">
        <w:rPr>
          <w:rFonts w:cs="Times New Roman"/>
          <w:sz w:val="24"/>
          <w:szCs w:val="24"/>
        </w:rPr>
        <w:t xml:space="preserve"> </w:t>
      </w:r>
      <w:r w:rsidRPr="00E74CD5">
        <w:rPr>
          <w:rFonts w:cs="Times New Roman"/>
          <w:sz w:val="24"/>
          <w:szCs w:val="24"/>
        </w:rPr>
        <w:t xml:space="preserve">made on </w:t>
      </w:r>
      <w:r w:rsidR="006454CB" w:rsidRPr="00E74CD5">
        <w:rPr>
          <w:rFonts w:cs="Times New Roman"/>
          <w:sz w:val="24"/>
          <w:szCs w:val="24"/>
        </w:rPr>
        <w:t>2</w:t>
      </w:r>
      <w:r w:rsidRPr="00E74CD5">
        <w:rPr>
          <w:rFonts w:cs="Times New Roman"/>
          <w:sz w:val="24"/>
          <w:szCs w:val="24"/>
        </w:rPr>
        <w:t xml:space="preserve">4 </w:t>
      </w:r>
      <w:r w:rsidR="006454CB" w:rsidRPr="00E74CD5">
        <w:rPr>
          <w:rFonts w:cs="Times New Roman"/>
          <w:sz w:val="24"/>
          <w:szCs w:val="24"/>
        </w:rPr>
        <w:t xml:space="preserve">April 2018 </w:t>
      </w:r>
      <w:r w:rsidRPr="00E74CD5">
        <w:rPr>
          <w:rFonts w:cs="Times New Roman"/>
          <w:sz w:val="24"/>
          <w:szCs w:val="24"/>
        </w:rPr>
        <w:t>is repealed.</w:t>
      </w:r>
    </w:p>
    <w:p w14:paraId="10757FD2" w14:textId="3E42795D" w:rsidR="00950BBE" w:rsidRPr="00E74CD5" w:rsidRDefault="00950BBE" w:rsidP="0053389E">
      <w:pPr>
        <w:spacing w:before="120" w:after="200" w:line="276" w:lineRule="auto"/>
        <w:ind w:left="709" w:right="284"/>
        <w:rPr>
          <w:rFonts w:cs="Times New Roman"/>
          <w:sz w:val="24"/>
          <w:szCs w:val="24"/>
        </w:rPr>
      </w:pPr>
      <w:r w:rsidRPr="00E74CD5">
        <w:rPr>
          <w:rFonts w:cs="Times New Roman"/>
          <w:sz w:val="24"/>
          <w:szCs w:val="24"/>
        </w:rPr>
        <w:br w:type="page"/>
      </w:r>
    </w:p>
    <w:p w14:paraId="76C08E2C" w14:textId="3AEE4B38" w:rsidR="00287C3E" w:rsidRPr="00E74CD5" w:rsidRDefault="00287C3E" w:rsidP="00950BBE">
      <w:pPr>
        <w:spacing w:before="100" w:beforeAutospacing="1" w:after="100" w:afterAutospacing="1" w:line="240" w:lineRule="auto"/>
        <w:outlineLvl w:val="1"/>
        <w:rPr>
          <w:rFonts w:cs="Times New Roman"/>
          <w:b/>
          <w:sz w:val="36"/>
          <w:szCs w:val="36"/>
        </w:rPr>
      </w:pPr>
      <w:r w:rsidRPr="00E74CD5">
        <w:rPr>
          <w:rFonts w:cs="Times New Roman"/>
          <w:b/>
          <w:sz w:val="36"/>
          <w:szCs w:val="36"/>
        </w:rPr>
        <w:lastRenderedPageBreak/>
        <w:t xml:space="preserve">SCHEDULE 1 </w:t>
      </w:r>
      <w:r w:rsidR="00294615" w:rsidRPr="00E74CD5">
        <w:rPr>
          <w:rFonts w:cs="Times New Roman"/>
          <w:b/>
          <w:sz w:val="36"/>
          <w:szCs w:val="36"/>
        </w:rPr>
        <w:t xml:space="preserve">– </w:t>
      </w:r>
      <w:r w:rsidRPr="00E74CD5">
        <w:rPr>
          <w:rFonts w:cs="Times New Roman"/>
          <w:b/>
          <w:sz w:val="36"/>
          <w:szCs w:val="36"/>
        </w:rPr>
        <w:t>ELIGIBILITY CRITERIA FOR FINANCIAL ASSISTANCE – MANDATORY CRITERIA</w:t>
      </w:r>
    </w:p>
    <w:p w14:paraId="541B19E1" w14:textId="3FDA403B" w:rsidR="00287C3E" w:rsidRPr="00E74CD5" w:rsidRDefault="00287C3E" w:rsidP="00FF7418">
      <w:pPr>
        <w:spacing w:before="120" w:after="240" w:line="252" w:lineRule="auto"/>
        <w:rPr>
          <w:rFonts w:cs="Times New Roman"/>
          <w:sz w:val="24"/>
          <w:szCs w:val="24"/>
        </w:rPr>
      </w:pPr>
      <w:r w:rsidRPr="00E74CD5">
        <w:rPr>
          <w:rFonts w:cs="Times New Roman"/>
          <w:sz w:val="24"/>
          <w:szCs w:val="24"/>
        </w:rPr>
        <w:t xml:space="preserve">To be eligible for financial assistance, the </w:t>
      </w:r>
      <w:r w:rsidR="008424F2" w:rsidRPr="00E74CD5">
        <w:rPr>
          <w:rFonts w:cs="Times New Roman"/>
          <w:sz w:val="24"/>
          <w:szCs w:val="24"/>
        </w:rPr>
        <w:t xml:space="preserve">Facility </w:t>
      </w:r>
      <w:r w:rsidRPr="00E74CD5">
        <w:rPr>
          <w:rFonts w:cs="Times New Roman"/>
          <w:sz w:val="24"/>
          <w:szCs w:val="24"/>
        </w:rPr>
        <w:t xml:space="preserve">must be satisfied that the Investment Proposal meets all </w:t>
      </w:r>
      <w:r w:rsidR="00EC1F04" w:rsidRPr="00E74CD5">
        <w:rPr>
          <w:rFonts w:cs="Times New Roman"/>
          <w:sz w:val="24"/>
          <w:szCs w:val="24"/>
        </w:rPr>
        <w:t>relevant</w:t>
      </w:r>
      <w:r w:rsidRPr="00E74CD5">
        <w:rPr>
          <w:rFonts w:cs="Times New Roman"/>
          <w:sz w:val="24"/>
          <w:szCs w:val="24"/>
        </w:rPr>
        <w:t xml:space="preserve"> </w:t>
      </w:r>
      <w:r w:rsidR="00294615" w:rsidRPr="00E74CD5">
        <w:rPr>
          <w:rFonts w:cs="Times New Roman"/>
          <w:sz w:val="24"/>
          <w:szCs w:val="24"/>
        </w:rPr>
        <w:t>M</w:t>
      </w:r>
      <w:r w:rsidRPr="00E74CD5">
        <w:rPr>
          <w:rFonts w:cs="Times New Roman"/>
          <w:sz w:val="24"/>
          <w:szCs w:val="24"/>
        </w:rPr>
        <w:t xml:space="preserve">andatory </w:t>
      </w:r>
      <w:r w:rsidR="00294615" w:rsidRPr="00E74CD5">
        <w:rPr>
          <w:rFonts w:cs="Times New Roman"/>
          <w:sz w:val="24"/>
          <w:szCs w:val="24"/>
        </w:rPr>
        <w:t>C</w:t>
      </w:r>
      <w:r w:rsidRPr="00E74CD5">
        <w:rPr>
          <w:rFonts w:cs="Times New Roman"/>
          <w:sz w:val="24"/>
          <w:szCs w:val="24"/>
        </w:rPr>
        <w:t>riteria:</w:t>
      </w:r>
    </w:p>
    <w:tbl>
      <w:tblPr>
        <w:tblStyle w:val="TableGrid"/>
        <w:tblW w:w="90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03"/>
        <w:gridCol w:w="5864"/>
      </w:tblGrid>
      <w:tr w:rsidR="00B843F2" w:rsidRPr="00E74CD5" w14:paraId="7FD1A3F6" w14:textId="77777777" w:rsidTr="002B71DF">
        <w:trPr>
          <w:trHeight w:val="501"/>
        </w:trPr>
        <w:tc>
          <w:tcPr>
            <w:tcW w:w="3203" w:type="dxa"/>
            <w:tcBorders>
              <w:top w:val="nil"/>
              <w:bottom w:val="single" w:sz="8" w:space="0" w:color="auto"/>
            </w:tcBorders>
            <w:shd w:val="clear" w:color="auto" w:fill="005677"/>
            <w:vAlign w:val="center"/>
          </w:tcPr>
          <w:p w14:paraId="4C5B00B3" w14:textId="7A547356" w:rsidR="00B843F2" w:rsidRPr="00E74CD5" w:rsidRDefault="00B843F2" w:rsidP="00294615">
            <w:pPr>
              <w:spacing w:line="252" w:lineRule="auto"/>
              <w:ind w:right="284"/>
              <w:rPr>
                <w:rFonts w:eastAsia="Times New Roman" w:cs="Times New Roman"/>
                <w:b/>
                <w:bCs/>
                <w:color w:val="FFFFFF"/>
                <w:sz w:val="24"/>
                <w:szCs w:val="24"/>
                <w:lang w:eastAsia="en-AU"/>
              </w:rPr>
            </w:pPr>
            <w:r w:rsidRPr="00E74CD5">
              <w:rPr>
                <w:rFonts w:eastAsia="Times New Roman" w:cs="Times New Roman"/>
                <w:b/>
                <w:bCs/>
                <w:color w:val="FFFFFF"/>
                <w:sz w:val="24"/>
                <w:szCs w:val="24"/>
                <w:lang w:eastAsia="en-AU"/>
              </w:rPr>
              <w:t xml:space="preserve">Mandatory </w:t>
            </w:r>
            <w:r w:rsidR="00294615" w:rsidRPr="00E74CD5">
              <w:rPr>
                <w:rFonts w:eastAsia="Times New Roman" w:cs="Times New Roman"/>
                <w:b/>
                <w:bCs/>
                <w:color w:val="FFFFFF"/>
                <w:sz w:val="24"/>
                <w:szCs w:val="24"/>
                <w:lang w:eastAsia="en-AU"/>
              </w:rPr>
              <w:t>Cr</w:t>
            </w:r>
            <w:r w:rsidRPr="00E74CD5">
              <w:rPr>
                <w:rFonts w:eastAsia="Times New Roman" w:cs="Times New Roman"/>
                <w:b/>
                <w:bCs/>
                <w:color w:val="FFFFFF"/>
                <w:sz w:val="24"/>
                <w:szCs w:val="24"/>
                <w:lang w:eastAsia="en-AU"/>
              </w:rPr>
              <w:t>iteria</w:t>
            </w:r>
          </w:p>
        </w:tc>
        <w:tc>
          <w:tcPr>
            <w:tcW w:w="5864" w:type="dxa"/>
            <w:tcBorders>
              <w:top w:val="nil"/>
              <w:bottom w:val="single" w:sz="8" w:space="0" w:color="auto"/>
            </w:tcBorders>
            <w:shd w:val="clear" w:color="auto" w:fill="005677"/>
            <w:vAlign w:val="center"/>
          </w:tcPr>
          <w:p w14:paraId="5A36B52F" w14:textId="645D0D51" w:rsidR="00B843F2" w:rsidRPr="00E74CD5" w:rsidRDefault="00B843F2" w:rsidP="0082311D">
            <w:pPr>
              <w:spacing w:line="252" w:lineRule="auto"/>
              <w:ind w:right="284"/>
              <w:rPr>
                <w:rFonts w:cs="Times New Roman"/>
                <w:sz w:val="24"/>
                <w:szCs w:val="24"/>
              </w:rPr>
            </w:pPr>
            <w:r w:rsidRPr="00E74CD5">
              <w:rPr>
                <w:rFonts w:eastAsia="Times New Roman" w:cs="Times New Roman"/>
                <w:b/>
                <w:bCs/>
                <w:color w:val="FFFFFF"/>
                <w:sz w:val="24"/>
                <w:szCs w:val="24"/>
                <w:lang w:eastAsia="en-AU"/>
              </w:rPr>
              <w:t>Description</w:t>
            </w:r>
          </w:p>
        </w:tc>
      </w:tr>
      <w:tr w:rsidR="00B843F2" w:rsidRPr="00E74CD5" w14:paraId="010223E7" w14:textId="77777777" w:rsidTr="00684385">
        <w:tc>
          <w:tcPr>
            <w:tcW w:w="3203" w:type="dxa"/>
            <w:tcBorders>
              <w:top w:val="single" w:sz="8" w:space="0" w:color="auto"/>
              <w:bottom w:val="single" w:sz="12" w:space="0" w:color="auto"/>
            </w:tcBorders>
          </w:tcPr>
          <w:p w14:paraId="288C170B" w14:textId="4CE39E82" w:rsidR="00B843F2" w:rsidRPr="00E74CD5" w:rsidRDefault="00B843F2" w:rsidP="008B32BA">
            <w:pPr>
              <w:pStyle w:val="ListParagraph"/>
              <w:numPr>
                <w:ilvl w:val="0"/>
                <w:numId w:val="2"/>
              </w:numPr>
            </w:pPr>
            <w:r w:rsidRPr="00E74CD5">
              <w:t xml:space="preserve">The proposed Project involves </w:t>
            </w:r>
            <w:r w:rsidR="00AC12D5" w:rsidRPr="00E74CD5">
              <w:t>development</w:t>
            </w:r>
            <w:r w:rsidR="00AE7DB4" w:rsidRPr="00E74CD5">
              <w:t xml:space="preserve"> </w:t>
            </w:r>
            <w:r w:rsidRPr="00E74CD5">
              <w:t>or enhancement of Northern Australia economic infrastructure.</w:t>
            </w:r>
          </w:p>
        </w:tc>
        <w:tc>
          <w:tcPr>
            <w:tcW w:w="5864" w:type="dxa"/>
            <w:tcBorders>
              <w:top w:val="single" w:sz="8" w:space="0" w:color="auto"/>
              <w:bottom w:val="single" w:sz="12" w:space="0" w:color="auto"/>
            </w:tcBorders>
          </w:tcPr>
          <w:p w14:paraId="7AAE8588" w14:textId="7FDDC7C5" w:rsidR="00B843F2" w:rsidRPr="00E74CD5" w:rsidRDefault="00B843F2" w:rsidP="00684385">
            <w:pPr>
              <w:spacing w:before="120" w:after="120"/>
              <w:rPr>
                <w:rFonts w:cs="Times New Roman"/>
                <w:sz w:val="24"/>
                <w:szCs w:val="24"/>
              </w:rPr>
            </w:pPr>
            <w:r w:rsidRPr="00E74CD5">
              <w:rPr>
                <w:rFonts w:cs="Times New Roman"/>
                <w:sz w:val="24"/>
                <w:szCs w:val="24"/>
              </w:rPr>
              <w:t xml:space="preserve">The </w:t>
            </w:r>
            <w:r w:rsidR="008424F2" w:rsidRPr="00E74CD5">
              <w:rPr>
                <w:rFonts w:cs="Times New Roman"/>
                <w:sz w:val="24"/>
                <w:szCs w:val="24"/>
              </w:rPr>
              <w:t xml:space="preserve">Facility </w:t>
            </w:r>
            <w:r w:rsidRPr="00E74CD5">
              <w:rPr>
                <w:rFonts w:cs="Times New Roman"/>
                <w:sz w:val="24"/>
                <w:szCs w:val="24"/>
              </w:rPr>
              <w:t>must be satisfied that the Project incorporates</w:t>
            </w:r>
            <w:r w:rsidR="00AC12D5" w:rsidRPr="00E74CD5">
              <w:rPr>
                <w:rFonts w:cs="Times New Roman"/>
                <w:sz w:val="24"/>
                <w:szCs w:val="24"/>
              </w:rPr>
              <w:t>, or will incorporate,</w:t>
            </w:r>
            <w:r w:rsidRPr="00E74CD5">
              <w:rPr>
                <w:rFonts w:cs="Times New Roman"/>
                <w:sz w:val="24"/>
                <w:szCs w:val="24"/>
              </w:rPr>
              <w:t xml:space="preserve"> </w:t>
            </w:r>
            <w:r w:rsidR="007F3018" w:rsidRPr="00E74CD5">
              <w:rPr>
                <w:rFonts w:cs="Times New Roman"/>
                <w:sz w:val="24"/>
                <w:szCs w:val="24"/>
              </w:rPr>
              <w:t xml:space="preserve">the </w:t>
            </w:r>
            <w:r w:rsidR="00476C0A" w:rsidRPr="00E74CD5">
              <w:rPr>
                <w:rFonts w:cs="Times New Roman"/>
                <w:sz w:val="24"/>
                <w:szCs w:val="24"/>
              </w:rPr>
              <w:t>development</w:t>
            </w:r>
            <w:r w:rsidRPr="00E74CD5">
              <w:rPr>
                <w:rFonts w:cs="Times New Roman"/>
                <w:sz w:val="24"/>
                <w:szCs w:val="24"/>
              </w:rPr>
              <w:t xml:space="preserve"> or enhancement of physical structures, assets (including moveable assets)</w:t>
            </w:r>
            <w:r w:rsidR="009F279C" w:rsidRPr="00E74CD5">
              <w:rPr>
                <w:rFonts w:cs="Times New Roman"/>
                <w:sz w:val="24"/>
                <w:szCs w:val="24"/>
              </w:rPr>
              <w:t xml:space="preserve">, technology </w:t>
            </w:r>
            <w:r w:rsidRPr="00E74CD5">
              <w:rPr>
                <w:rFonts w:cs="Times New Roman"/>
                <w:sz w:val="24"/>
                <w:szCs w:val="24"/>
              </w:rPr>
              <w:t xml:space="preserve">or facilities which underpin, facilitate or are associated with: </w:t>
            </w:r>
          </w:p>
          <w:p w14:paraId="1445A606" w14:textId="77777777" w:rsidR="00B843F2" w:rsidRPr="00E74CD5" w:rsidRDefault="00B843F2" w:rsidP="00684385">
            <w:pPr>
              <w:spacing w:before="120" w:after="120"/>
              <w:ind w:left="374" w:hanging="374"/>
              <w:rPr>
                <w:rFonts w:cs="Times New Roman"/>
                <w:sz w:val="24"/>
                <w:szCs w:val="24"/>
              </w:rPr>
            </w:pPr>
            <w:r w:rsidRPr="00E74CD5">
              <w:rPr>
                <w:rFonts w:cs="Times New Roman"/>
                <w:sz w:val="24"/>
                <w:szCs w:val="24"/>
              </w:rPr>
              <w:t>(a)</w:t>
            </w:r>
            <w:r w:rsidRPr="00E74CD5">
              <w:rPr>
                <w:rFonts w:cs="Times New Roman"/>
                <w:sz w:val="24"/>
                <w:szCs w:val="24"/>
              </w:rPr>
              <w:tab/>
              <w:t xml:space="preserve">the transport or flow of people, goods, services or information; or </w:t>
            </w:r>
          </w:p>
          <w:p w14:paraId="4EFEF225" w14:textId="77777777" w:rsidR="00B843F2" w:rsidRPr="00E74CD5" w:rsidRDefault="00B843F2" w:rsidP="00684385">
            <w:pPr>
              <w:spacing w:before="120" w:after="120"/>
              <w:ind w:left="374" w:hanging="374"/>
              <w:rPr>
                <w:rFonts w:cs="Times New Roman"/>
                <w:sz w:val="24"/>
                <w:szCs w:val="24"/>
              </w:rPr>
            </w:pPr>
            <w:r w:rsidRPr="00E74CD5">
              <w:rPr>
                <w:rFonts w:cs="Times New Roman"/>
                <w:sz w:val="24"/>
                <w:szCs w:val="24"/>
              </w:rPr>
              <w:t>(b)</w:t>
            </w:r>
            <w:r w:rsidRPr="00E74CD5">
              <w:rPr>
                <w:rFonts w:cs="Times New Roman"/>
                <w:sz w:val="24"/>
                <w:szCs w:val="24"/>
              </w:rPr>
              <w:tab/>
              <w:t xml:space="preserve">the establishment or enhancement of business activity in a region; or </w:t>
            </w:r>
          </w:p>
          <w:p w14:paraId="259C5799" w14:textId="77777777" w:rsidR="00B843F2" w:rsidRPr="00E74CD5" w:rsidRDefault="00B843F2" w:rsidP="00684385">
            <w:pPr>
              <w:spacing w:before="120" w:after="120"/>
              <w:ind w:left="374" w:hanging="374"/>
              <w:rPr>
                <w:rFonts w:cs="Times New Roman"/>
                <w:sz w:val="24"/>
                <w:szCs w:val="24"/>
              </w:rPr>
            </w:pPr>
            <w:r w:rsidRPr="00E74CD5">
              <w:rPr>
                <w:rFonts w:cs="Times New Roman"/>
                <w:sz w:val="24"/>
                <w:szCs w:val="24"/>
              </w:rPr>
              <w:t>(c)</w:t>
            </w:r>
            <w:r w:rsidRPr="00E74CD5">
              <w:rPr>
                <w:rFonts w:cs="Times New Roman"/>
                <w:sz w:val="24"/>
                <w:szCs w:val="24"/>
              </w:rPr>
              <w:tab/>
              <w:t>an increase in economic activity in a region, including efficiency in developing or connecting markets; or</w:t>
            </w:r>
          </w:p>
          <w:p w14:paraId="79D96078" w14:textId="77777777" w:rsidR="00B843F2" w:rsidRPr="00E74CD5" w:rsidRDefault="00B843F2" w:rsidP="00684385">
            <w:pPr>
              <w:spacing w:before="120" w:after="120"/>
              <w:ind w:left="374" w:hanging="374"/>
              <w:rPr>
                <w:rFonts w:cs="Times New Roman"/>
                <w:sz w:val="24"/>
                <w:szCs w:val="24"/>
              </w:rPr>
            </w:pPr>
            <w:r w:rsidRPr="00E74CD5">
              <w:rPr>
                <w:rFonts w:cs="Times New Roman"/>
                <w:sz w:val="24"/>
                <w:szCs w:val="24"/>
              </w:rPr>
              <w:t>(d)</w:t>
            </w:r>
            <w:r w:rsidRPr="00E74CD5">
              <w:rPr>
                <w:rFonts w:cs="Times New Roman"/>
                <w:sz w:val="24"/>
                <w:szCs w:val="24"/>
              </w:rPr>
              <w:tab/>
              <w:t xml:space="preserve">an increase in population. </w:t>
            </w:r>
          </w:p>
          <w:p w14:paraId="2356DE45" w14:textId="7CB9EFD9" w:rsidR="00B843F2" w:rsidRPr="00E74CD5" w:rsidRDefault="00AC4DB3" w:rsidP="00684385">
            <w:pPr>
              <w:spacing w:before="120" w:after="120"/>
              <w:rPr>
                <w:rFonts w:cs="Times New Roman"/>
                <w:sz w:val="24"/>
                <w:szCs w:val="24"/>
              </w:rPr>
            </w:pPr>
            <w:r w:rsidRPr="00E74CD5">
              <w:rPr>
                <w:rFonts w:cs="Times New Roman"/>
                <w:sz w:val="24"/>
                <w:szCs w:val="24"/>
              </w:rPr>
              <w:t>T</w:t>
            </w:r>
            <w:r w:rsidR="00684385" w:rsidRPr="00E74CD5">
              <w:rPr>
                <w:rFonts w:cs="Times New Roman"/>
                <w:sz w:val="24"/>
                <w:szCs w:val="24"/>
              </w:rPr>
              <w:t xml:space="preserve">he </w:t>
            </w:r>
            <w:r w:rsidR="00B843F2" w:rsidRPr="00E74CD5">
              <w:rPr>
                <w:rFonts w:cs="Times New Roman"/>
                <w:sz w:val="24"/>
                <w:szCs w:val="24"/>
              </w:rPr>
              <w:t xml:space="preserve">Project must </w:t>
            </w:r>
            <w:r w:rsidR="00727BFF" w:rsidRPr="00E74CD5">
              <w:rPr>
                <w:rFonts w:cs="Times New Roman"/>
                <w:sz w:val="24"/>
                <w:szCs w:val="24"/>
              </w:rPr>
              <w:t xml:space="preserve">either </w:t>
            </w:r>
            <w:r w:rsidR="00B843F2" w:rsidRPr="00E74CD5">
              <w:rPr>
                <w:rFonts w:cs="Times New Roman"/>
                <w:sz w:val="24"/>
                <w:szCs w:val="24"/>
              </w:rPr>
              <w:t>bring new capacity online</w:t>
            </w:r>
            <w:r w:rsidR="00684385" w:rsidRPr="00E74CD5">
              <w:rPr>
                <w:rFonts w:cs="Times New Roman"/>
                <w:sz w:val="24"/>
                <w:szCs w:val="24"/>
              </w:rPr>
              <w:t xml:space="preserve"> </w:t>
            </w:r>
            <w:r w:rsidRPr="00E74CD5">
              <w:rPr>
                <w:rFonts w:cs="Times New Roman"/>
                <w:sz w:val="24"/>
                <w:szCs w:val="24"/>
              </w:rPr>
              <w:t>or</w:t>
            </w:r>
            <w:r w:rsidR="00684385" w:rsidRPr="00E74CD5">
              <w:rPr>
                <w:rFonts w:cs="Times New Roman"/>
                <w:sz w:val="24"/>
                <w:szCs w:val="24"/>
              </w:rPr>
              <w:t xml:space="preserve"> represent material modernisation</w:t>
            </w:r>
            <w:r w:rsidRPr="00E74CD5">
              <w:rPr>
                <w:rFonts w:cs="Times New Roman"/>
                <w:sz w:val="24"/>
                <w:szCs w:val="24"/>
              </w:rPr>
              <w:t xml:space="preserve"> which enhances or improves</w:t>
            </w:r>
            <w:r w:rsidR="00727BFF" w:rsidRPr="00E74CD5">
              <w:rPr>
                <w:rFonts w:cs="Times New Roman"/>
                <w:sz w:val="24"/>
                <w:szCs w:val="24"/>
              </w:rPr>
              <w:t xml:space="preserve"> </w:t>
            </w:r>
            <w:r w:rsidR="00684385" w:rsidRPr="00E74CD5">
              <w:rPr>
                <w:rFonts w:cs="Times New Roman"/>
                <w:sz w:val="24"/>
                <w:szCs w:val="24"/>
              </w:rPr>
              <w:t>existing capacity</w:t>
            </w:r>
            <w:r w:rsidR="00AC12D5" w:rsidRPr="00E74CD5">
              <w:rPr>
                <w:rFonts w:cs="Times New Roman"/>
                <w:sz w:val="24"/>
                <w:szCs w:val="24"/>
              </w:rPr>
              <w:t>.</w:t>
            </w:r>
            <w:r w:rsidR="00B843F2" w:rsidRPr="00E74CD5">
              <w:rPr>
                <w:rFonts w:cs="Times New Roman"/>
                <w:sz w:val="24"/>
                <w:szCs w:val="24"/>
              </w:rPr>
              <w:t xml:space="preserve"> </w:t>
            </w:r>
          </w:p>
          <w:p w14:paraId="0A769888" w14:textId="30F5155D" w:rsidR="00FD0C3A" w:rsidRPr="00E74CD5" w:rsidRDefault="00496F8F" w:rsidP="00684385">
            <w:pPr>
              <w:spacing w:before="120" w:after="120"/>
              <w:rPr>
                <w:rFonts w:cs="Times New Roman"/>
                <w:sz w:val="24"/>
                <w:szCs w:val="24"/>
              </w:rPr>
            </w:pPr>
            <w:r w:rsidRPr="00E74CD5">
              <w:rPr>
                <w:rFonts w:cs="Times New Roman"/>
                <w:sz w:val="24"/>
                <w:szCs w:val="24"/>
              </w:rPr>
              <w:t>The Project may</w:t>
            </w:r>
            <w:r w:rsidR="00FD0C3A" w:rsidRPr="00E74CD5">
              <w:rPr>
                <w:rFonts w:cs="Times New Roman"/>
                <w:sz w:val="24"/>
                <w:szCs w:val="24"/>
              </w:rPr>
              <w:t xml:space="preserve"> involve the Project Proponent:</w:t>
            </w:r>
          </w:p>
          <w:p w14:paraId="7B78386A" w14:textId="72F2177F" w:rsidR="00FD0C3A" w:rsidRPr="00E74CD5" w:rsidRDefault="00294615" w:rsidP="008B32BA">
            <w:pPr>
              <w:pStyle w:val="ListParagraph"/>
              <w:numPr>
                <w:ilvl w:val="0"/>
                <w:numId w:val="1"/>
              </w:numPr>
            </w:pPr>
            <w:r w:rsidRPr="00E74CD5">
              <w:t>co</w:t>
            </w:r>
            <w:r w:rsidR="00FD0C3A" w:rsidRPr="00E74CD5">
              <w:t xml:space="preserve">nducting a program of works over a specified time involving expenditure or procurement for the development or enhancement of </w:t>
            </w:r>
            <w:r w:rsidR="00F33494" w:rsidRPr="00E74CD5">
              <w:t xml:space="preserve">economic </w:t>
            </w:r>
            <w:r w:rsidR="00FD0C3A" w:rsidRPr="00E74CD5">
              <w:t>infrastructure</w:t>
            </w:r>
            <w:r w:rsidR="007F24EC" w:rsidRPr="00E74CD5">
              <w:t>; or</w:t>
            </w:r>
          </w:p>
          <w:p w14:paraId="0350D0D9" w14:textId="2AC9B33C" w:rsidR="00FD0C3A" w:rsidRPr="00E74CD5" w:rsidRDefault="00FD0C3A" w:rsidP="008B32BA">
            <w:pPr>
              <w:pStyle w:val="ListParagraph"/>
              <w:numPr>
                <w:ilvl w:val="0"/>
                <w:numId w:val="1"/>
              </w:numPr>
            </w:pPr>
            <w:r w:rsidRPr="00E74CD5">
              <w:t xml:space="preserve">providing financing that facilitates the development or enhancement of </w:t>
            </w:r>
            <w:r w:rsidR="007A3FC3" w:rsidRPr="00E74CD5">
              <w:t xml:space="preserve">economic </w:t>
            </w:r>
            <w:r w:rsidRPr="00E74CD5">
              <w:t xml:space="preserve">infrastructure. </w:t>
            </w:r>
          </w:p>
          <w:p w14:paraId="215CD272" w14:textId="67123794" w:rsidR="00B843F2" w:rsidRPr="00E74CD5" w:rsidRDefault="00B843F2" w:rsidP="00684385">
            <w:pPr>
              <w:spacing w:before="120" w:after="120"/>
              <w:rPr>
                <w:rFonts w:cs="Times New Roman"/>
                <w:sz w:val="24"/>
                <w:szCs w:val="24"/>
              </w:rPr>
            </w:pPr>
            <w:r w:rsidRPr="00E74CD5">
              <w:rPr>
                <w:rFonts w:cs="Times New Roman"/>
                <w:sz w:val="24"/>
                <w:szCs w:val="24"/>
              </w:rPr>
              <w:t>The refinancing of existing debt that does not involve the creation of new capacity is ineligible.</w:t>
            </w:r>
          </w:p>
        </w:tc>
      </w:tr>
      <w:tr w:rsidR="00B843F2" w:rsidRPr="00E74CD5" w14:paraId="2890E38C" w14:textId="65FFAECD" w:rsidTr="00684385">
        <w:tc>
          <w:tcPr>
            <w:tcW w:w="3203" w:type="dxa"/>
            <w:tcBorders>
              <w:top w:val="single" w:sz="12" w:space="0" w:color="auto"/>
              <w:bottom w:val="single" w:sz="12" w:space="0" w:color="auto"/>
            </w:tcBorders>
          </w:tcPr>
          <w:p w14:paraId="4A280925" w14:textId="14F1AAFA" w:rsidR="00B843F2" w:rsidRPr="00E74CD5" w:rsidRDefault="00B843F2" w:rsidP="008B32BA">
            <w:pPr>
              <w:pStyle w:val="ListParagraph"/>
              <w:numPr>
                <w:ilvl w:val="0"/>
                <w:numId w:val="2"/>
              </w:numPr>
            </w:pPr>
            <w:r w:rsidRPr="00E74CD5">
              <w:t>The proposed Project will be of public benefit.</w:t>
            </w:r>
          </w:p>
        </w:tc>
        <w:tc>
          <w:tcPr>
            <w:tcW w:w="5864" w:type="dxa"/>
            <w:tcBorders>
              <w:top w:val="single" w:sz="12" w:space="0" w:color="auto"/>
              <w:bottom w:val="single" w:sz="12" w:space="0" w:color="auto"/>
            </w:tcBorders>
          </w:tcPr>
          <w:p w14:paraId="7CF39B11" w14:textId="3954AFA4" w:rsidR="00B843F2" w:rsidRPr="00E74CD5" w:rsidRDefault="00B843F2" w:rsidP="00294615">
            <w:pPr>
              <w:spacing w:before="120" w:after="120"/>
              <w:rPr>
                <w:rFonts w:cs="Times New Roman"/>
                <w:sz w:val="24"/>
                <w:szCs w:val="24"/>
              </w:rPr>
            </w:pPr>
            <w:r w:rsidRPr="00E74CD5">
              <w:rPr>
                <w:rFonts w:cs="Times New Roman"/>
                <w:sz w:val="24"/>
                <w:szCs w:val="24"/>
              </w:rPr>
              <w:t xml:space="preserve">The </w:t>
            </w:r>
            <w:r w:rsidR="008424F2" w:rsidRPr="00E74CD5">
              <w:rPr>
                <w:rFonts w:cs="Times New Roman"/>
                <w:sz w:val="24"/>
                <w:szCs w:val="24"/>
              </w:rPr>
              <w:t xml:space="preserve">Facility </w:t>
            </w:r>
            <w:r w:rsidRPr="00E74CD5">
              <w:rPr>
                <w:rFonts w:cs="Times New Roman"/>
                <w:sz w:val="24"/>
                <w:szCs w:val="24"/>
              </w:rPr>
              <w:t xml:space="preserve">must be satisfied that the Project will produce benefits to the broader economy and community beyond </w:t>
            </w:r>
            <w:r w:rsidR="00B756D6" w:rsidRPr="00E74CD5">
              <w:rPr>
                <w:rFonts w:cs="Times New Roman"/>
                <w:sz w:val="24"/>
                <w:szCs w:val="24"/>
              </w:rPr>
              <w:t>an economic return to the</w:t>
            </w:r>
            <w:r w:rsidRPr="00E74CD5">
              <w:rPr>
                <w:rFonts w:cs="Times New Roman"/>
                <w:sz w:val="24"/>
                <w:szCs w:val="24"/>
              </w:rPr>
              <w:t xml:space="preserve"> Project Proponent</w:t>
            </w:r>
            <w:r w:rsidR="00043268" w:rsidRPr="00E74CD5">
              <w:rPr>
                <w:rFonts w:cs="Times New Roman"/>
                <w:sz w:val="24"/>
                <w:szCs w:val="24"/>
              </w:rPr>
              <w:t>. Such benefit could include</w:t>
            </w:r>
            <w:r w:rsidR="00294615" w:rsidRPr="00E74CD5">
              <w:rPr>
                <w:rFonts w:cs="Times New Roman"/>
                <w:sz w:val="24"/>
                <w:szCs w:val="24"/>
              </w:rPr>
              <w:t>,</w:t>
            </w:r>
            <w:r w:rsidR="00043268" w:rsidRPr="00E74CD5">
              <w:rPr>
                <w:rFonts w:cs="Times New Roman"/>
                <w:sz w:val="24"/>
                <w:szCs w:val="24"/>
              </w:rPr>
              <w:t xml:space="preserve"> but is not limited to</w:t>
            </w:r>
            <w:r w:rsidR="00294615" w:rsidRPr="00E74CD5">
              <w:rPr>
                <w:rFonts w:cs="Times New Roman"/>
                <w:sz w:val="24"/>
                <w:szCs w:val="24"/>
              </w:rPr>
              <w:t>,</w:t>
            </w:r>
            <w:r w:rsidR="00043268" w:rsidRPr="00E74CD5">
              <w:rPr>
                <w:rFonts w:cs="Times New Roman"/>
                <w:sz w:val="24"/>
                <w:szCs w:val="24"/>
              </w:rPr>
              <w:t xml:space="preserve"> </w:t>
            </w:r>
            <w:r w:rsidR="007F3018" w:rsidRPr="00E74CD5">
              <w:rPr>
                <w:rFonts w:cs="Times New Roman"/>
                <w:sz w:val="24"/>
                <w:szCs w:val="24"/>
              </w:rPr>
              <w:t>employment opportunities</w:t>
            </w:r>
            <w:r w:rsidR="00AE7DB4" w:rsidRPr="00E74CD5">
              <w:rPr>
                <w:rFonts w:cs="Times New Roman"/>
                <w:sz w:val="24"/>
                <w:szCs w:val="24"/>
              </w:rPr>
              <w:t xml:space="preserve">, regional income, </w:t>
            </w:r>
            <w:r w:rsidR="007F3018" w:rsidRPr="00E74CD5">
              <w:rPr>
                <w:rFonts w:cs="Times New Roman"/>
                <w:sz w:val="24"/>
                <w:szCs w:val="24"/>
              </w:rPr>
              <w:t xml:space="preserve">business for </w:t>
            </w:r>
            <w:r w:rsidR="00AE7DB4" w:rsidRPr="00E74CD5">
              <w:rPr>
                <w:rFonts w:cs="Times New Roman"/>
                <w:sz w:val="24"/>
                <w:szCs w:val="24"/>
              </w:rPr>
              <w:t xml:space="preserve">local suppliers, and Indigenous </w:t>
            </w:r>
            <w:r w:rsidR="007F3018" w:rsidRPr="00E74CD5">
              <w:rPr>
                <w:rFonts w:cs="Times New Roman"/>
                <w:sz w:val="24"/>
                <w:szCs w:val="24"/>
              </w:rPr>
              <w:t xml:space="preserve">employment </w:t>
            </w:r>
            <w:r w:rsidR="00AE7DB4" w:rsidRPr="00E74CD5">
              <w:rPr>
                <w:rFonts w:cs="Times New Roman"/>
                <w:sz w:val="24"/>
                <w:szCs w:val="24"/>
              </w:rPr>
              <w:t>opportunit</w:t>
            </w:r>
            <w:r w:rsidR="007F3018" w:rsidRPr="00E74CD5">
              <w:rPr>
                <w:rFonts w:cs="Times New Roman"/>
                <w:sz w:val="24"/>
                <w:szCs w:val="24"/>
              </w:rPr>
              <w:t>ies</w:t>
            </w:r>
            <w:r w:rsidRPr="00E74CD5">
              <w:rPr>
                <w:rFonts w:cs="Times New Roman"/>
                <w:sz w:val="24"/>
                <w:szCs w:val="24"/>
              </w:rPr>
              <w:t>.</w:t>
            </w:r>
            <w:r w:rsidR="002469E2" w:rsidRPr="00E74CD5">
              <w:rPr>
                <w:rFonts w:cs="Times New Roman"/>
                <w:sz w:val="24"/>
                <w:szCs w:val="24"/>
              </w:rPr>
              <w:t xml:space="preserve"> </w:t>
            </w:r>
            <w:r w:rsidR="002469E2" w:rsidRPr="00E74CD5">
              <w:rPr>
                <w:rFonts w:cs="Times New Roman"/>
                <w:sz w:val="24"/>
                <w:szCs w:val="24"/>
              </w:rPr>
              <w:lastRenderedPageBreak/>
              <w:t>The</w:t>
            </w:r>
            <w:r w:rsidR="00294615" w:rsidRPr="00E74CD5">
              <w:rPr>
                <w:rFonts w:cs="Times New Roman"/>
                <w:sz w:val="24"/>
                <w:szCs w:val="24"/>
              </w:rPr>
              <w:t> </w:t>
            </w:r>
            <w:r w:rsidR="00EB6C5E" w:rsidRPr="00E74CD5">
              <w:rPr>
                <w:rFonts w:cs="Times New Roman"/>
                <w:sz w:val="24"/>
                <w:szCs w:val="24"/>
              </w:rPr>
              <w:t xml:space="preserve">quantifiable </w:t>
            </w:r>
            <w:r w:rsidR="002469E2" w:rsidRPr="00E74CD5">
              <w:rPr>
                <w:rFonts w:cs="Times New Roman"/>
                <w:sz w:val="24"/>
                <w:szCs w:val="24"/>
              </w:rPr>
              <w:t xml:space="preserve">value of the public benefit </w:t>
            </w:r>
            <w:r w:rsidR="00727BFF" w:rsidRPr="00E74CD5">
              <w:rPr>
                <w:rFonts w:cs="Times New Roman"/>
                <w:sz w:val="24"/>
                <w:szCs w:val="24"/>
              </w:rPr>
              <w:t>must</w:t>
            </w:r>
            <w:r w:rsidR="002469E2" w:rsidRPr="00E74CD5">
              <w:rPr>
                <w:rFonts w:cs="Times New Roman"/>
                <w:sz w:val="24"/>
                <w:szCs w:val="24"/>
              </w:rPr>
              <w:t xml:space="preserve"> exceed the value of any concessions offered. </w:t>
            </w:r>
          </w:p>
        </w:tc>
      </w:tr>
      <w:tr w:rsidR="00B843F2" w:rsidRPr="00E74CD5" w14:paraId="10D67299" w14:textId="77777777" w:rsidTr="00684385">
        <w:tc>
          <w:tcPr>
            <w:tcW w:w="3203" w:type="dxa"/>
            <w:tcBorders>
              <w:top w:val="single" w:sz="12" w:space="0" w:color="auto"/>
              <w:bottom w:val="single" w:sz="8" w:space="0" w:color="auto"/>
            </w:tcBorders>
          </w:tcPr>
          <w:p w14:paraId="59763BD0" w14:textId="1153439B" w:rsidR="00B843F2" w:rsidRPr="00E74CD5" w:rsidRDefault="00B843F2" w:rsidP="008B32BA">
            <w:pPr>
              <w:pStyle w:val="ListParagraph"/>
              <w:numPr>
                <w:ilvl w:val="0"/>
                <w:numId w:val="2"/>
              </w:numPr>
            </w:pPr>
            <w:r w:rsidRPr="00E74CD5">
              <w:lastRenderedPageBreak/>
              <w:t>The Project is located in, or will have a significant benefit for, Northern Australia.</w:t>
            </w:r>
          </w:p>
        </w:tc>
        <w:tc>
          <w:tcPr>
            <w:tcW w:w="5864" w:type="dxa"/>
            <w:tcBorders>
              <w:top w:val="single" w:sz="12" w:space="0" w:color="auto"/>
              <w:bottom w:val="single" w:sz="8" w:space="0" w:color="auto"/>
            </w:tcBorders>
          </w:tcPr>
          <w:p w14:paraId="184813DA" w14:textId="77777777" w:rsidR="0082311D" w:rsidRPr="00E74CD5" w:rsidRDefault="0082311D" w:rsidP="00684385">
            <w:pPr>
              <w:spacing w:before="120" w:after="120"/>
              <w:rPr>
                <w:rFonts w:cs="Times New Roman"/>
                <w:sz w:val="24"/>
                <w:szCs w:val="24"/>
              </w:rPr>
            </w:pPr>
            <w:r w:rsidRPr="00E74CD5">
              <w:rPr>
                <w:rFonts w:cs="Times New Roman"/>
                <w:sz w:val="24"/>
                <w:szCs w:val="24"/>
              </w:rPr>
              <w:t xml:space="preserve">Northern Australia is defined in the Act. It includes all of the Northern Territory, and those parts of Queensland and Western Australia above the Tropic of Capricorn.  </w:t>
            </w:r>
          </w:p>
          <w:p w14:paraId="202E5C60" w14:textId="739CAA9B" w:rsidR="0082311D" w:rsidRPr="00E74CD5" w:rsidRDefault="0082311D" w:rsidP="00684385">
            <w:pPr>
              <w:spacing w:before="120" w:after="120"/>
              <w:rPr>
                <w:rFonts w:cs="Times New Roman"/>
                <w:sz w:val="24"/>
                <w:szCs w:val="24"/>
              </w:rPr>
            </w:pPr>
            <w:r w:rsidRPr="00E74CD5">
              <w:rPr>
                <w:rFonts w:cs="Times New Roman"/>
                <w:sz w:val="24"/>
                <w:szCs w:val="24"/>
              </w:rPr>
              <w:t>It also includes areas which intersect with the Tropic of Capricorn and the regional centres of Gladstone (Queensland), Carnarvon (Western Australia) and Exmouth (Western Australia), as well as the Local Government Areas of Meekatharra</w:t>
            </w:r>
            <w:r w:rsidR="00AC12D5" w:rsidRPr="00E74CD5">
              <w:rPr>
                <w:rFonts w:cs="Times New Roman"/>
                <w:sz w:val="24"/>
                <w:szCs w:val="24"/>
              </w:rPr>
              <w:t>,</w:t>
            </w:r>
            <w:r w:rsidRPr="00E74CD5">
              <w:rPr>
                <w:rFonts w:cs="Times New Roman"/>
                <w:sz w:val="24"/>
                <w:szCs w:val="24"/>
              </w:rPr>
              <w:t xml:space="preserve"> Wiluna</w:t>
            </w:r>
            <w:r w:rsidR="00AC12D5" w:rsidRPr="00E74CD5">
              <w:rPr>
                <w:rFonts w:cs="Times New Roman"/>
                <w:sz w:val="24"/>
                <w:szCs w:val="24"/>
              </w:rPr>
              <w:t xml:space="preserve"> and </w:t>
            </w:r>
            <w:proofErr w:type="spellStart"/>
            <w:r w:rsidR="00AC12D5" w:rsidRPr="00E74CD5">
              <w:rPr>
                <w:rFonts w:cs="Times New Roman"/>
                <w:sz w:val="24"/>
                <w:szCs w:val="24"/>
              </w:rPr>
              <w:t>Ngaanyatjarraku</w:t>
            </w:r>
            <w:proofErr w:type="spellEnd"/>
            <w:r w:rsidRPr="00E74CD5">
              <w:rPr>
                <w:rFonts w:cs="Times New Roman"/>
                <w:sz w:val="24"/>
                <w:szCs w:val="24"/>
              </w:rPr>
              <w:t xml:space="preserve"> which have boundaries that intersect with the Tropic of Capricorn. Territorial seas up to </w:t>
            </w:r>
            <w:r w:rsidR="00294615" w:rsidRPr="00E74CD5">
              <w:rPr>
                <w:rFonts w:cs="Times New Roman"/>
                <w:sz w:val="24"/>
                <w:szCs w:val="24"/>
              </w:rPr>
              <w:t xml:space="preserve">12 </w:t>
            </w:r>
            <w:r w:rsidRPr="00E74CD5">
              <w:rPr>
                <w:rFonts w:cs="Times New Roman"/>
                <w:sz w:val="24"/>
                <w:szCs w:val="24"/>
              </w:rPr>
              <w:t xml:space="preserve">nautical miles offshore adjacent to these areas are also included in the definition. </w:t>
            </w:r>
          </w:p>
          <w:p w14:paraId="27E17F1E" w14:textId="204491CB" w:rsidR="00B843F2" w:rsidRPr="00E74CD5" w:rsidRDefault="0082311D" w:rsidP="00684385">
            <w:pPr>
              <w:spacing w:before="120" w:after="120"/>
              <w:rPr>
                <w:rFonts w:cs="Times New Roman"/>
                <w:sz w:val="24"/>
                <w:szCs w:val="24"/>
              </w:rPr>
            </w:pPr>
            <w:r w:rsidRPr="00E74CD5">
              <w:rPr>
                <w:rFonts w:cs="Times New Roman"/>
                <w:sz w:val="24"/>
                <w:szCs w:val="24"/>
              </w:rPr>
              <w:t>Projects do not need to be entirely within these boundaries if they produce significant benefits to Northern Australia. For example, a Project that enhances north-south connectivity may be eligible.</w:t>
            </w:r>
          </w:p>
        </w:tc>
      </w:tr>
      <w:tr w:rsidR="00B843F2" w:rsidRPr="00E74CD5" w14:paraId="0172158F" w14:textId="77777777" w:rsidTr="006A6841">
        <w:tc>
          <w:tcPr>
            <w:tcW w:w="3203" w:type="dxa"/>
            <w:tcBorders>
              <w:top w:val="single" w:sz="8" w:space="0" w:color="auto"/>
              <w:bottom w:val="single" w:sz="8" w:space="0" w:color="auto"/>
            </w:tcBorders>
          </w:tcPr>
          <w:p w14:paraId="0DF7231D" w14:textId="742C0EE2" w:rsidR="00B843F2" w:rsidRPr="00E74CD5" w:rsidRDefault="0082311D" w:rsidP="008B32BA">
            <w:pPr>
              <w:pStyle w:val="ListParagraph"/>
              <w:numPr>
                <w:ilvl w:val="0"/>
                <w:numId w:val="2"/>
              </w:numPr>
            </w:pPr>
            <w:r w:rsidRPr="00E74CD5">
              <w:t>The loan will be able to be repaid, or refinanced.</w:t>
            </w:r>
          </w:p>
        </w:tc>
        <w:tc>
          <w:tcPr>
            <w:tcW w:w="5864" w:type="dxa"/>
            <w:tcBorders>
              <w:top w:val="single" w:sz="8" w:space="0" w:color="auto"/>
              <w:bottom w:val="single" w:sz="8" w:space="0" w:color="auto"/>
            </w:tcBorders>
          </w:tcPr>
          <w:p w14:paraId="72C999DD" w14:textId="7BCF38C0" w:rsidR="0082311D" w:rsidRPr="00E74CD5" w:rsidRDefault="0082311D" w:rsidP="00684385">
            <w:pPr>
              <w:spacing w:before="120" w:after="120"/>
              <w:rPr>
                <w:rFonts w:cs="Times New Roman"/>
                <w:sz w:val="24"/>
                <w:szCs w:val="24"/>
              </w:rPr>
            </w:pPr>
            <w:r w:rsidRPr="00E74CD5">
              <w:rPr>
                <w:rFonts w:cs="Times New Roman"/>
                <w:sz w:val="24"/>
                <w:szCs w:val="24"/>
              </w:rPr>
              <w:t xml:space="preserve">The Project Proponent must present comprehensive financial modelling to demonstrate the ability of the Project to repay the debt in full and on time, or refinance, based on assumptions acceptable to the </w:t>
            </w:r>
            <w:r w:rsidR="008424F2" w:rsidRPr="00E74CD5">
              <w:rPr>
                <w:rFonts w:cs="Times New Roman"/>
                <w:sz w:val="24"/>
                <w:szCs w:val="24"/>
              </w:rPr>
              <w:t>Facility</w:t>
            </w:r>
            <w:r w:rsidRPr="00E74CD5">
              <w:rPr>
                <w:rFonts w:cs="Times New Roman"/>
                <w:sz w:val="24"/>
                <w:szCs w:val="24"/>
              </w:rPr>
              <w:t xml:space="preserve">. </w:t>
            </w:r>
          </w:p>
          <w:p w14:paraId="5D0AC69B" w14:textId="1DE779A6" w:rsidR="00B843F2" w:rsidRPr="00E74CD5" w:rsidRDefault="0082311D" w:rsidP="00294615">
            <w:pPr>
              <w:spacing w:before="120" w:after="120"/>
              <w:rPr>
                <w:rFonts w:cs="Times New Roman"/>
                <w:sz w:val="24"/>
                <w:szCs w:val="24"/>
              </w:rPr>
            </w:pPr>
            <w:r w:rsidRPr="00E74CD5">
              <w:rPr>
                <w:rFonts w:cs="Times New Roman"/>
                <w:sz w:val="24"/>
                <w:szCs w:val="24"/>
              </w:rPr>
              <w:t xml:space="preserve">A relevant substitute for this criterion should be used for assessing Projects which request </w:t>
            </w:r>
            <w:r w:rsidR="00294615" w:rsidRPr="00E74CD5">
              <w:rPr>
                <w:rFonts w:cs="Times New Roman"/>
                <w:sz w:val="24"/>
                <w:szCs w:val="24"/>
              </w:rPr>
              <w:t>A</w:t>
            </w:r>
            <w:r w:rsidRPr="00E74CD5">
              <w:rPr>
                <w:rFonts w:cs="Times New Roman"/>
                <w:sz w:val="24"/>
                <w:szCs w:val="24"/>
              </w:rPr>
              <w:t xml:space="preserve">lternative Financing Mechanisms, as determined by the </w:t>
            </w:r>
            <w:r w:rsidR="008424F2" w:rsidRPr="00E74CD5">
              <w:rPr>
                <w:rFonts w:cs="Times New Roman"/>
                <w:sz w:val="24"/>
                <w:szCs w:val="24"/>
              </w:rPr>
              <w:t>Facility</w:t>
            </w:r>
            <w:r w:rsidRPr="00E74CD5">
              <w:rPr>
                <w:rFonts w:cs="Times New Roman"/>
                <w:sz w:val="24"/>
                <w:szCs w:val="24"/>
              </w:rPr>
              <w:t>.</w:t>
            </w:r>
          </w:p>
        </w:tc>
      </w:tr>
      <w:tr w:rsidR="00B843F2" w:rsidRPr="00E74CD5" w14:paraId="529C265C" w14:textId="77777777" w:rsidTr="00BA703A">
        <w:tc>
          <w:tcPr>
            <w:tcW w:w="3203" w:type="dxa"/>
            <w:tcBorders>
              <w:top w:val="single" w:sz="8" w:space="0" w:color="auto"/>
              <w:bottom w:val="single" w:sz="8" w:space="0" w:color="auto"/>
            </w:tcBorders>
          </w:tcPr>
          <w:p w14:paraId="10B1BBFC" w14:textId="29914E5E" w:rsidR="00B843F2" w:rsidRPr="00E74CD5" w:rsidRDefault="0082311D" w:rsidP="008B32BA">
            <w:pPr>
              <w:pStyle w:val="ListParagraph"/>
              <w:numPr>
                <w:ilvl w:val="0"/>
                <w:numId w:val="2"/>
              </w:numPr>
            </w:pPr>
            <w:r w:rsidRPr="00E74CD5">
              <w:t>Indigenous engagement strategy.</w:t>
            </w:r>
          </w:p>
        </w:tc>
        <w:tc>
          <w:tcPr>
            <w:tcW w:w="5864" w:type="dxa"/>
            <w:tcBorders>
              <w:top w:val="single" w:sz="8" w:space="0" w:color="auto"/>
              <w:bottom w:val="single" w:sz="8" w:space="0" w:color="auto"/>
            </w:tcBorders>
          </w:tcPr>
          <w:p w14:paraId="0D856C65" w14:textId="2E902370" w:rsidR="00A61C11" w:rsidRPr="00E74CD5" w:rsidRDefault="0082311D" w:rsidP="00684385">
            <w:pPr>
              <w:spacing w:before="120" w:after="120"/>
              <w:rPr>
                <w:rFonts w:cs="Times New Roman"/>
                <w:sz w:val="24"/>
                <w:szCs w:val="24"/>
              </w:rPr>
            </w:pPr>
            <w:r w:rsidRPr="00E74CD5">
              <w:rPr>
                <w:rFonts w:cs="Times New Roman"/>
                <w:sz w:val="24"/>
                <w:szCs w:val="24"/>
              </w:rPr>
              <w:t>The Project Proponent must provide a strategy which sets out objectives for Indigenous participation, procurement and employment that reflect the Indigenous population in the region of the proposed Project.</w:t>
            </w:r>
          </w:p>
        </w:tc>
      </w:tr>
      <w:tr w:rsidR="008C0F2E" w14:paraId="30E28C2B" w14:textId="77777777" w:rsidTr="00BA703A">
        <w:tc>
          <w:tcPr>
            <w:tcW w:w="3203" w:type="dxa"/>
            <w:tcBorders>
              <w:top w:val="single" w:sz="8" w:space="0" w:color="auto"/>
              <w:bottom w:val="single" w:sz="8" w:space="0" w:color="auto"/>
            </w:tcBorders>
          </w:tcPr>
          <w:p w14:paraId="2B14FE5A" w14:textId="757C9099" w:rsidR="008C0F2E" w:rsidRPr="00E74CD5" w:rsidRDefault="008C0F2E" w:rsidP="008B32BA">
            <w:pPr>
              <w:pStyle w:val="ListParagraph"/>
              <w:numPr>
                <w:ilvl w:val="0"/>
                <w:numId w:val="2"/>
              </w:numPr>
            </w:pPr>
            <w:r w:rsidRPr="00E74CD5">
              <w:t>The equity</w:t>
            </w:r>
            <w:r w:rsidR="00EB2955" w:rsidRPr="00E74CD5">
              <w:t xml:space="preserve"> or equity</w:t>
            </w:r>
            <w:r w:rsidR="00294615" w:rsidRPr="00E74CD5">
              <w:noBreakHyphen/>
            </w:r>
            <w:r w:rsidR="00EB2955" w:rsidRPr="00E74CD5">
              <w:t>like</w:t>
            </w:r>
            <w:r w:rsidRPr="00E74CD5">
              <w:t xml:space="preserve"> investment will generate a return</w:t>
            </w:r>
            <w:r w:rsidR="00B93F28" w:rsidRPr="00E74CD5">
              <w:t xml:space="preserve"> to Government</w:t>
            </w:r>
            <w:r w:rsidR="00294615" w:rsidRPr="00E74CD5">
              <w:t>.</w:t>
            </w:r>
          </w:p>
        </w:tc>
        <w:tc>
          <w:tcPr>
            <w:tcW w:w="5864" w:type="dxa"/>
            <w:tcBorders>
              <w:top w:val="single" w:sz="8" w:space="0" w:color="auto"/>
              <w:bottom w:val="single" w:sz="8" w:space="0" w:color="auto"/>
            </w:tcBorders>
          </w:tcPr>
          <w:p w14:paraId="78274F70" w14:textId="4B53130C" w:rsidR="00684385" w:rsidRPr="00E74CD5" w:rsidRDefault="008C0F2E" w:rsidP="00684385">
            <w:pPr>
              <w:spacing w:before="120" w:after="120"/>
              <w:rPr>
                <w:rFonts w:cs="Times New Roman"/>
                <w:sz w:val="24"/>
                <w:szCs w:val="24"/>
              </w:rPr>
            </w:pPr>
            <w:r w:rsidRPr="00E74CD5">
              <w:rPr>
                <w:rFonts w:cs="Times New Roman"/>
                <w:sz w:val="24"/>
                <w:szCs w:val="24"/>
              </w:rPr>
              <w:t xml:space="preserve">The Project Proponent must present comprehensive financial modelling to demonstrate the ability of the Project to </w:t>
            </w:r>
            <w:r w:rsidR="009F279C" w:rsidRPr="00E74CD5">
              <w:rPr>
                <w:rFonts w:cs="Times New Roman"/>
                <w:sz w:val="24"/>
                <w:szCs w:val="24"/>
              </w:rPr>
              <w:t>contribute positively to</w:t>
            </w:r>
            <w:r w:rsidR="00DE43E8" w:rsidRPr="00E74CD5">
              <w:rPr>
                <w:rFonts w:cs="Times New Roman"/>
                <w:sz w:val="24"/>
                <w:szCs w:val="24"/>
              </w:rPr>
              <w:t xml:space="preserve"> the target </w:t>
            </w:r>
            <w:r w:rsidR="009F279C" w:rsidRPr="00E74CD5">
              <w:rPr>
                <w:rFonts w:cs="Times New Roman"/>
                <w:sz w:val="24"/>
                <w:szCs w:val="24"/>
              </w:rPr>
              <w:t xml:space="preserve">portfolio </w:t>
            </w:r>
            <w:r w:rsidR="00DE43E8" w:rsidRPr="00E74CD5">
              <w:rPr>
                <w:rFonts w:cs="Times New Roman"/>
                <w:sz w:val="24"/>
                <w:szCs w:val="24"/>
              </w:rPr>
              <w:t xml:space="preserve">return </w:t>
            </w:r>
            <w:r w:rsidR="00EC1F04" w:rsidRPr="00E74CD5">
              <w:rPr>
                <w:rFonts w:cs="Times New Roman"/>
                <w:sz w:val="24"/>
                <w:szCs w:val="24"/>
              </w:rPr>
              <w:t>in the medium term.</w:t>
            </w:r>
          </w:p>
          <w:p w14:paraId="5F6E98A3" w14:textId="2678B97E" w:rsidR="00DE43E8" w:rsidRPr="00684385" w:rsidRDefault="004627B1" w:rsidP="004627B1">
            <w:pPr>
              <w:spacing w:before="120" w:after="120"/>
              <w:rPr>
                <w:rFonts w:cs="Times New Roman"/>
                <w:sz w:val="24"/>
                <w:szCs w:val="24"/>
              </w:rPr>
            </w:pPr>
            <w:r w:rsidRPr="00E74CD5">
              <w:rPr>
                <w:rFonts w:cs="Times New Roman"/>
                <w:sz w:val="24"/>
                <w:szCs w:val="24"/>
              </w:rPr>
              <w:t>Based on its own assessments and modelling provided by the Project Proponent, t</w:t>
            </w:r>
            <w:r w:rsidR="009635EC" w:rsidRPr="00E74CD5">
              <w:rPr>
                <w:rFonts w:cs="Times New Roman"/>
                <w:sz w:val="24"/>
                <w:szCs w:val="24"/>
              </w:rPr>
              <w:t>he Facility must be satisfied that there will be opportunities or mechanisms for the Facility to exit or monetise the equity investment within the medium term.</w:t>
            </w:r>
          </w:p>
        </w:tc>
      </w:tr>
    </w:tbl>
    <w:p w14:paraId="52963AD0" w14:textId="42E9A618" w:rsidR="008C50BD" w:rsidRPr="0082311D" w:rsidRDefault="008C50BD" w:rsidP="0082311D">
      <w:pPr>
        <w:spacing w:before="240" w:after="240" w:line="252" w:lineRule="auto"/>
        <w:rPr>
          <w:rFonts w:cs="Times New Roman"/>
          <w:sz w:val="24"/>
          <w:szCs w:val="24"/>
        </w:rPr>
      </w:pPr>
    </w:p>
    <w:sectPr w:rsidR="008C50BD" w:rsidRPr="0082311D" w:rsidSect="00BA703A">
      <w:footerReference w:type="default" r:id="rId12"/>
      <w:pgSz w:w="11906" w:h="16838"/>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3F24" w14:textId="77777777" w:rsidR="0080755E" w:rsidRDefault="0080755E" w:rsidP="00A315B2">
      <w:pPr>
        <w:spacing w:line="240" w:lineRule="auto"/>
      </w:pPr>
      <w:r>
        <w:separator/>
      </w:r>
    </w:p>
  </w:endnote>
  <w:endnote w:type="continuationSeparator" w:id="0">
    <w:p w14:paraId="7163ED27" w14:textId="77777777" w:rsidR="0080755E" w:rsidRDefault="0080755E" w:rsidP="00A315B2">
      <w:pPr>
        <w:spacing w:line="240" w:lineRule="auto"/>
      </w:pPr>
      <w:r>
        <w:continuationSeparator/>
      </w:r>
    </w:p>
  </w:endnote>
  <w:endnote w:type="continuationNotice" w:id="1">
    <w:p w14:paraId="5CD94230" w14:textId="77777777" w:rsidR="0080755E" w:rsidRDefault="008075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1FBD" w14:textId="1883FF00" w:rsidR="0080755E" w:rsidRPr="009D39C8" w:rsidRDefault="0080755E" w:rsidP="009D39C8">
    <w:pPr>
      <w:pStyle w:val="Footer"/>
      <w:rPr>
        <w:sz w:val="16"/>
        <w:szCs w:val="16"/>
      </w:rPr>
    </w:pPr>
    <w:r w:rsidRPr="009D39C8">
      <w:rPr>
        <w:i/>
        <w:sz w:val="16"/>
        <w:szCs w:val="16"/>
      </w:rPr>
      <w:t>Northern Australia Infrastructure Facility Investment Mandate Direction 2021</w:t>
    </w:r>
    <w:sdt>
      <w:sdtPr>
        <w:rPr>
          <w:sz w:val="16"/>
          <w:szCs w:val="16"/>
        </w:rPr>
        <w:id w:val="526073001"/>
        <w:docPartObj>
          <w:docPartGallery w:val="Page Numbers (Bottom of Page)"/>
          <w:docPartUnique/>
        </w:docPartObj>
      </w:sdtPr>
      <w:sdtEndPr>
        <w:rPr>
          <w:noProof/>
        </w:rPr>
      </w:sdtEndPr>
      <w:sdtContent>
        <w:r w:rsidRPr="009D39C8">
          <w:rPr>
            <w:sz w:val="16"/>
            <w:szCs w:val="16"/>
          </w:rPr>
          <w:tab/>
        </w:r>
        <w:r w:rsidRPr="009D39C8">
          <w:rPr>
            <w:sz w:val="16"/>
            <w:szCs w:val="16"/>
          </w:rPr>
          <w:tab/>
        </w:r>
        <w:r w:rsidRPr="009D39C8">
          <w:rPr>
            <w:sz w:val="16"/>
            <w:szCs w:val="16"/>
          </w:rPr>
          <w:fldChar w:fldCharType="begin"/>
        </w:r>
        <w:r w:rsidRPr="009D39C8">
          <w:rPr>
            <w:sz w:val="16"/>
            <w:szCs w:val="16"/>
          </w:rPr>
          <w:instrText xml:space="preserve"> PAGE   \* MERGEFORMAT </w:instrText>
        </w:r>
        <w:r w:rsidRPr="009D39C8">
          <w:rPr>
            <w:sz w:val="16"/>
            <w:szCs w:val="16"/>
          </w:rPr>
          <w:fldChar w:fldCharType="separate"/>
        </w:r>
        <w:r w:rsidR="00B615AE">
          <w:rPr>
            <w:noProof/>
            <w:sz w:val="16"/>
            <w:szCs w:val="16"/>
          </w:rPr>
          <w:t>12</w:t>
        </w:r>
        <w:r w:rsidRPr="009D39C8">
          <w:rPr>
            <w:noProof/>
            <w:sz w:val="16"/>
            <w:szCs w:val="16"/>
          </w:rPr>
          <w:fldChar w:fldCharType="end"/>
        </w:r>
      </w:sdtContent>
    </w:sdt>
  </w:p>
  <w:p w14:paraId="2C6C220A" w14:textId="73758BA5" w:rsidR="0080755E" w:rsidRPr="009D39C8" w:rsidRDefault="0080755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13A1E" w14:textId="77777777" w:rsidR="0080755E" w:rsidRDefault="0080755E" w:rsidP="00A315B2">
      <w:pPr>
        <w:spacing w:line="240" w:lineRule="auto"/>
      </w:pPr>
      <w:r>
        <w:separator/>
      </w:r>
    </w:p>
  </w:footnote>
  <w:footnote w:type="continuationSeparator" w:id="0">
    <w:p w14:paraId="06429E3F" w14:textId="77777777" w:rsidR="0080755E" w:rsidRDefault="0080755E" w:rsidP="00A315B2">
      <w:pPr>
        <w:spacing w:line="240" w:lineRule="auto"/>
      </w:pPr>
      <w:r>
        <w:continuationSeparator/>
      </w:r>
    </w:p>
  </w:footnote>
  <w:footnote w:type="continuationNotice" w:id="1">
    <w:p w14:paraId="37C23454" w14:textId="77777777" w:rsidR="0080755E" w:rsidRDefault="0080755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418"/>
    <w:multiLevelType w:val="hybridMultilevel"/>
    <w:tmpl w:val="F7A4FAB2"/>
    <w:lvl w:ilvl="0" w:tplc="49D6019E">
      <w:start w:val="1"/>
      <w:numFmt w:val="decimal"/>
      <w:pStyle w:val="ActHead8"/>
      <w:lvlText w:val="(%1)"/>
      <w:lvlJc w:val="left"/>
      <w:pPr>
        <w:ind w:left="1418" w:hanging="738"/>
      </w:pPr>
      <w:rPr>
        <w:rFonts w:hint="default"/>
        <w:b w:val="0"/>
        <w:sz w:val="24"/>
        <w:szCs w:val="24"/>
      </w:rPr>
    </w:lvl>
    <w:lvl w:ilvl="1" w:tplc="2D94D0D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6110E"/>
    <w:multiLevelType w:val="hybridMultilevel"/>
    <w:tmpl w:val="657CD226"/>
    <w:lvl w:ilvl="0" w:tplc="61149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441102"/>
    <w:multiLevelType w:val="hybridMultilevel"/>
    <w:tmpl w:val="A002125C"/>
    <w:lvl w:ilvl="0" w:tplc="ABCAD68A">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 w15:restartNumberingAfterBreak="0">
    <w:nsid w:val="708A25B7"/>
    <w:multiLevelType w:val="hybridMultilevel"/>
    <w:tmpl w:val="6E88D09C"/>
    <w:lvl w:ilvl="0" w:tplc="A8A41DD4">
      <w:start w:val="1"/>
      <w:numFmt w:val="lowerLetter"/>
      <w:pStyle w:val="ListParagraph"/>
      <w:lvlText w:val="(%1)"/>
      <w:lvlJc w:val="left"/>
      <w:pPr>
        <w:ind w:left="1985" w:hanging="567"/>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15:restartNumberingAfterBreak="0">
    <w:nsid w:val="717E31CD"/>
    <w:multiLevelType w:val="hybridMultilevel"/>
    <w:tmpl w:val="4B9C2D56"/>
    <w:lvl w:ilvl="0" w:tplc="8FFC45A6">
      <w:start w:val="1"/>
      <w:numFmt w:val="lowerLetter"/>
      <w:lvlText w:val="(%1)"/>
      <w:lvlJc w:val="left"/>
      <w:pPr>
        <w:ind w:left="1400" w:hanging="360"/>
      </w:pPr>
      <w:rPr>
        <w:rFonts w:hint="default"/>
      </w:rPr>
    </w:lvl>
    <w:lvl w:ilvl="1" w:tplc="B35442C8">
      <w:start w:val="1"/>
      <w:numFmt w:val="lowerLetter"/>
      <w:pStyle w:val="ActHead7"/>
      <w:lvlText w:val="(%2)"/>
      <w:lvlJc w:val="left"/>
      <w:pPr>
        <w:ind w:left="1985" w:hanging="567"/>
      </w:pPr>
      <w:rPr>
        <w:rFonts w:hint="default"/>
      </w:r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num w:numId="1">
    <w:abstractNumId w:val="1"/>
  </w:num>
  <w:num w:numId="2">
    <w:abstractNumId w:val="3"/>
  </w:num>
  <w:num w:numId="3">
    <w:abstractNumId w:val="2"/>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5"/>
  </w:num>
  <w:num w:numId="17">
    <w:abstractNumId w:val="4"/>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3E"/>
    <w:rsid w:val="000117D4"/>
    <w:rsid w:val="00015965"/>
    <w:rsid w:val="00020281"/>
    <w:rsid w:val="000339A0"/>
    <w:rsid w:val="00037E61"/>
    <w:rsid w:val="00043268"/>
    <w:rsid w:val="0004755B"/>
    <w:rsid w:val="00050AB0"/>
    <w:rsid w:val="0005360D"/>
    <w:rsid w:val="00056332"/>
    <w:rsid w:val="000567F1"/>
    <w:rsid w:val="000616BF"/>
    <w:rsid w:val="00065D29"/>
    <w:rsid w:val="000703B6"/>
    <w:rsid w:val="00073F42"/>
    <w:rsid w:val="00074F8E"/>
    <w:rsid w:val="0008027A"/>
    <w:rsid w:val="0009028D"/>
    <w:rsid w:val="00092DD0"/>
    <w:rsid w:val="00092DED"/>
    <w:rsid w:val="000941F1"/>
    <w:rsid w:val="0009554E"/>
    <w:rsid w:val="000A0341"/>
    <w:rsid w:val="000B10A4"/>
    <w:rsid w:val="000C4BCA"/>
    <w:rsid w:val="000C6B45"/>
    <w:rsid w:val="000D1EC0"/>
    <w:rsid w:val="000E13AE"/>
    <w:rsid w:val="000E4E8B"/>
    <w:rsid w:val="000E58CB"/>
    <w:rsid w:val="000E66FD"/>
    <w:rsid w:val="000F6982"/>
    <w:rsid w:val="000F7230"/>
    <w:rsid w:val="0010210B"/>
    <w:rsid w:val="001028B2"/>
    <w:rsid w:val="00114912"/>
    <w:rsid w:val="00122311"/>
    <w:rsid w:val="00125F79"/>
    <w:rsid w:val="00126983"/>
    <w:rsid w:val="001335BE"/>
    <w:rsid w:val="00134C9A"/>
    <w:rsid w:val="00134CA7"/>
    <w:rsid w:val="0013605A"/>
    <w:rsid w:val="001413C7"/>
    <w:rsid w:val="001420BD"/>
    <w:rsid w:val="00144FE4"/>
    <w:rsid w:val="00145D01"/>
    <w:rsid w:val="001605DC"/>
    <w:rsid w:val="0016098F"/>
    <w:rsid w:val="001618A0"/>
    <w:rsid w:val="00161F6F"/>
    <w:rsid w:val="00162817"/>
    <w:rsid w:val="00165C11"/>
    <w:rsid w:val="00173109"/>
    <w:rsid w:val="00176093"/>
    <w:rsid w:val="001840E0"/>
    <w:rsid w:val="00185B87"/>
    <w:rsid w:val="00190B1C"/>
    <w:rsid w:val="001A2CC5"/>
    <w:rsid w:val="001B0B2E"/>
    <w:rsid w:val="001B0B86"/>
    <w:rsid w:val="001B3F80"/>
    <w:rsid w:val="001C00E1"/>
    <w:rsid w:val="001C4839"/>
    <w:rsid w:val="001C5EEF"/>
    <w:rsid w:val="001D7373"/>
    <w:rsid w:val="001F1A10"/>
    <w:rsid w:val="001F4CC4"/>
    <w:rsid w:val="00207463"/>
    <w:rsid w:val="00211159"/>
    <w:rsid w:val="002174A5"/>
    <w:rsid w:val="002178FC"/>
    <w:rsid w:val="002252C9"/>
    <w:rsid w:val="00226F42"/>
    <w:rsid w:val="00227614"/>
    <w:rsid w:val="00230664"/>
    <w:rsid w:val="002429CE"/>
    <w:rsid w:val="002469E2"/>
    <w:rsid w:val="00253D60"/>
    <w:rsid w:val="00254060"/>
    <w:rsid w:val="0025499D"/>
    <w:rsid w:val="00254B09"/>
    <w:rsid w:val="002574D6"/>
    <w:rsid w:val="002663A7"/>
    <w:rsid w:val="002676D5"/>
    <w:rsid w:val="0027075D"/>
    <w:rsid w:val="002720AC"/>
    <w:rsid w:val="00274D1F"/>
    <w:rsid w:val="002764E4"/>
    <w:rsid w:val="00282BB8"/>
    <w:rsid w:val="002833EA"/>
    <w:rsid w:val="002835C0"/>
    <w:rsid w:val="00286130"/>
    <w:rsid w:val="00287C3E"/>
    <w:rsid w:val="002902B6"/>
    <w:rsid w:val="00293902"/>
    <w:rsid w:val="00293EAB"/>
    <w:rsid w:val="00294615"/>
    <w:rsid w:val="00296F2C"/>
    <w:rsid w:val="002A0F4C"/>
    <w:rsid w:val="002A44F8"/>
    <w:rsid w:val="002B1F8D"/>
    <w:rsid w:val="002B5803"/>
    <w:rsid w:val="002B5C6F"/>
    <w:rsid w:val="002B658D"/>
    <w:rsid w:val="002B71DF"/>
    <w:rsid w:val="002C6172"/>
    <w:rsid w:val="002D218E"/>
    <w:rsid w:val="002D7D33"/>
    <w:rsid w:val="002E13DB"/>
    <w:rsid w:val="002E424C"/>
    <w:rsid w:val="002F240C"/>
    <w:rsid w:val="002F2913"/>
    <w:rsid w:val="002F4DD2"/>
    <w:rsid w:val="00300575"/>
    <w:rsid w:val="00303A35"/>
    <w:rsid w:val="00307501"/>
    <w:rsid w:val="00312EDD"/>
    <w:rsid w:val="003146DE"/>
    <w:rsid w:val="003216BD"/>
    <w:rsid w:val="00321FEE"/>
    <w:rsid w:val="003272C2"/>
    <w:rsid w:val="00332BC4"/>
    <w:rsid w:val="00333A88"/>
    <w:rsid w:val="00334CDF"/>
    <w:rsid w:val="003362C9"/>
    <w:rsid w:val="00344712"/>
    <w:rsid w:val="003539FF"/>
    <w:rsid w:val="00360189"/>
    <w:rsid w:val="0036047D"/>
    <w:rsid w:val="00360691"/>
    <w:rsid w:val="0036195D"/>
    <w:rsid w:val="003636B8"/>
    <w:rsid w:val="0036375B"/>
    <w:rsid w:val="00371569"/>
    <w:rsid w:val="00373954"/>
    <w:rsid w:val="003750A8"/>
    <w:rsid w:val="00375C7D"/>
    <w:rsid w:val="00385B34"/>
    <w:rsid w:val="00387E7A"/>
    <w:rsid w:val="0039069C"/>
    <w:rsid w:val="00395001"/>
    <w:rsid w:val="00396053"/>
    <w:rsid w:val="003A0B4E"/>
    <w:rsid w:val="003A1CD6"/>
    <w:rsid w:val="003A767E"/>
    <w:rsid w:val="003B6D46"/>
    <w:rsid w:val="003B794D"/>
    <w:rsid w:val="003C4502"/>
    <w:rsid w:val="003D2036"/>
    <w:rsid w:val="003D7213"/>
    <w:rsid w:val="003E0EDD"/>
    <w:rsid w:val="003F5CDE"/>
    <w:rsid w:val="0040076C"/>
    <w:rsid w:val="00404E2D"/>
    <w:rsid w:val="004056DC"/>
    <w:rsid w:val="004150EB"/>
    <w:rsid w:val="0041511E"/>
    <w:rsid w:val="00416403"/>
    <w:rsid w:val="00416C31"/>
    <w:rsid w:val="00425625"/>
    <w:rsid w:val="00427588"/>
    <w:rsid w:val="0042775E"/>
    <w:rsid w:val="00431AA4"/>
    <w:rsid w:val="00433C41"/>
    <w:rsid w:val="00435625"/>
    <w:rsid w:val="0043718A"/>
    <w:rsid w:val="00441187"/>
    <w:rsid w:val="00443E11"/>
    <w:rsid w:val="00451706"/>
    <w:rsid w:val="00452A5F"/>
    <w:rsid w:val="00452F02"/>
    <w:rsid w:val="004627B1"/>
    <w:rsid w:val="00466CB5"/>
    <w:rsid w:val="004746BA"/>
    <w:rsid w:val="00475C17"/>
    <w:rsid w:val="00476C0A"/>
    <w:rsid w:val="00477E01"/>
    <w:rsid w:val="004806EE"/>
    <w:rsid w:val="00482FDC"/>
    <w:rsid w:val="004929EA"/>
    <w:rsid w:val="00494C34"/>
    <w:rsid w:val="00496F8F"/>
    <w:rsid w:val="004A5718"/>
    <w:rsid w:val="004A6CE6"/>
    <w:rsid w:val="004A6E3F"/>
    <w:rsid w:val="004B0430"/>
    <w:rsid w:val="004C499E"/>
    <w:rsid w:val="004D173F"/>
    <w:rsid w:val="004D4C7B"/>
    <w:rsid w:val="004E1514"/>
    <w:rsid w:val="004F1819"/>
    <w:rsid w:val="004F2C60"/>
    <w:rsid w:val="004F3C16"/>
    <w:rsid w:val="00502028"/>
    <w:rsid w:val="00507488"/>
    <w:rsid w:val="00511A94"/>
    <w:rsid w:val="00513CEE"/>
    <w:rsid w:val="0052576F"/>
    <w:rsid w:val="0052581D"/>
    <w:rsid w:val="0053389E"/>
    <w:rsid w:val="00534E41"/>
    <w:rsid w:val="00537441"/>
    <w:rsid w:val="00537B21"/>
    <w:rsid w:val="005428CF"/>
    <w:rsid w:val="005612A6"/>
    <w:rsid w:val="00562968"/>
    <w:rsid w:val="005636F9"/>
    <w:rsid w:val="00563F08"/>
    <w:rsid w:val="00564304"/>
    <w:rsid w:val="0057002E"/>
    <w:rsid w:val="00575251"/>
    <w:rsid w:val="00577881"/>
    <w:rsid w:val="005814F1"/>
    <w:rsid w:val="00581635"/>
    <w:rsid w:val="005826EF"/>
    <w:rsid w:val="00582AC2"/>
    <w:rsid w:val="005832F4"/>
    <w:rsid w:val="005912E8"/>
    <w:rsid w:val="005A019E"/>
    <w:rsid w:val="005A19F2"/>
    <w:rsid w:val="005A7300"/>
    <w:rsid w:val="005A7F2A"/>
    <w:rsid w:val="005B097D"/>
    <w:rsid w:val="005B5B9F"/>
    <w:rsid w:val="005D25DD"/>
    <w:rsid w:val="005D6469"/>
    <w:rsid w:val="005D69A0"/>
    <w:rsid w:val="005D7E15"/>
    <w:rsid w:val="005E13B9"/>
    <w:rsid w:val="005E2586"/>
    <w:rsid w:val="005E2EA9"/>
    <w:rsid w:val="005E3833"/>
    <w:rsid w:val="005E489A"/>
    <w:rsid w:val="005F48D1"/>
    <w:rsid w:val="005F49C8"/>
    <w:rsid w:val="00603035"/>
    <w:rsid w:val="0061431E"/>
    <w:rsid w:val="006203D7"/>
    <w:rsid w:val="006234C1"/>
    <w:rsid w:val="0063391E"/>
    <w:rsid w:val="006370FB"/>
    <w:rsid w:val="00641327"/>
    <w:rsid w:val="00641759"/>
    <w:rsid w:val="006418EB"/>
    <w:rsid w:val="006454CB"/>
    <w:rsid w:val="00645DC4"/>
    <w:rsid w:val="00647B53"/>
    <w:rsid w:val="00655C2F"/>
    <w:rsid w:val="00656D40"/>
    <w:rsid w:val="0065771A"/>
    <w:rsid w:val="006676B9"/>
    <w:rsid w:val="00681145"/>
    <w:rsid w:val="00684385"/>
    <w:rsid w:val="00685669"/>
    <w:rsid w:val="0069093A"/>
    <w:rsid w:val="0069389E"/>
    <w:rsid w:val="006A55F6"/>
    <w:rsid w:val="006A6841"/>
    <w:rsid w:val="006B2603"/>
    <w:rsid w:val="006B59B9"/>
    <w:rsid w:val="006B5EEC"/>
    <w:rsid w:val="006B6BE5"/>
    <w:rsid w:val="006C4650"/>
    <w:rsid w:val="006C4979"/>
    <w:rsid w:val="006E2FD0"/>
    <w:rsid w:val="006E4D11"/>
    <w:rsid w:val="006E5DBF"/>
    <w:rsid w:val="006F6099"/>
    <w:rsid w:val="00700B3B"/>
    <w:rsid w:val="00702311"/>
    <w:rsid w:val="00703198"/>
    <w:rsid w:val="007049E7"/>
    <w:rsid w:val="0070695F"/>
    <w:rsid w:val="00712716"/>
    <w:rsid w:val="00722216"/>
    <w:rsid w:val="00722759"/>
    <w:rsid w:val="00725B59"/>
    <w:rsid w:val="00727580"/>
    <w:rsid w:val="00727BFF"/>
    <w:rsid w:val="007401B4"/>
    <w:rsid w:val="00740E03"/>
    <w:rsid w:val="007423E2"/>
    <w:rsid w:val="007427B5"/>
    <w:rsid w:val="00742C83"/>
    <w:rsid w:val="007461DB"/>
    <w:rsid w:val="007500A8"/>
    <w:rsid w:val="00753F56"/>
    <w:rsid w:val="007578B5"/>
    <w:rsid w:val="00764117"/>
    <w:rsid w:val="00776600"/>
    <w:rsid w:val="00776FAD"/>
    <w:rsid w:val="007806F5"/>
    <w:rsid w:val="00780C0D"/>
    <w:rsid w:val="007857F3"/>
    <w:rsid w:val="00787FB3"/>
    <w:rsid w:val="007A3FC3"/>
    <w:rsid w:val="007A5445"/>
    <w:rsid w:val="007B2F27"/>
    <w:rsid w:val="007B34FE"/>
    <w:rsid w:val="007B3777"/>
    <w:rsid w:val="007B3E68"/>
    <w:rsid w:val="007C2903"/>
    <w:rsid w:val="007C44B5"/>
    <w:rsid w:val="007E2AA2"/>
    <w:rsid w:val="007E7CE9"/>
    <w:rsid w:val="007F24EC"/>
    <w:rsid w:val="007F3018"/>
    <w:rsid w:val="007F6413"/>
    <w:rsid w:val="007F707D"/>
    <w:rsid w:val="007F71AD"/>
    <w:rsid w:val="0080755E"/>
    <w:rsid w:val="00813611"/>
    <w:rsid w:val="00813808"/>
    <w:rsid w:val="0081681C"/>
    <w:rsid w:val="008222EC"/>
    <w:rsid w:val="0082311D"/>
    <w:rsid w:val="008274FD"/>
    <w:rsid w:val="00833C13"/>
    <w:rsid w:val="008362F7"/>
    <w:rsid w:val="008408B4"/>
    <w:rsid w:val="008424F2"/>
    <w:rsid w:val="00846E41"/>
    <w:rsid w:val="00852755"/>
    <w:rsid w:val="0085439C"/>
    <w:rsid w:val="00857ACF"/>
    <w:rsid w:val="00862B9F"/>
    <w:rsid w:val="00864369"/>
    <w:rsid w:val="008679CE"/>
    <w:rsid w:val="00870557"/>
    <w:rsid w:val="00870DBF"/>
    <w:rsid w:val="00871820"/>
    <w:rsid w:val="008725CC"/>
    <w:rsid w:val="00872F2C"/>
    <w:rsid w:val="00877E5A"/>
    <w:rsid w:val="0088013F"/>
    <w:rsid w:val="008837BA"/>
    <w:rsid w:val="008849D9"/>
    <w:rsid w:val="008928E9"/>
    <w:rsid w:val="00894A1C"/>
    <w:rsid w:val="00895903"/>
    <w:rsid w:val="00896B79"/>
    <w:rsid w:val="008A7D92"/>
    <w:rsid w:val="008B32BA"/>
    <w:rsid w:val="008B4EE2"/>
    <w:rsid w:val="008C0F2E"/>
    <w:rsid w:val="008C50BD"/>
    <w:rsid w:val="008C7326"/>
    <w:rsid w:val="008D3325"/>
    <w:rsid w:val="008D701E"/>
    <w:rsid w:val="008E27DC"/>
    <w:rsid w:val="008E4241"/>
    <w:rsid w:val="008F21D2"/>
    <w:rsid w:val="009001EF"/>
    <w:rsid w:val="009204E0"/>
    <w:rsid w:val="00933851"/>
    <w:rsid w:val="009354DF"/>
    <w:rsid w:val="00937138"/>
    <w:rsid w:val="00942D61"/>
    <w:rsid w:val="0094353C"/>
    <w:rsid w:val="00950BBE"/>
    <w:rsid w:val="00954F55"/>
    <w:rsid w:val="009635EC"/>
    <w:rsid w:val="00965FBE"/>
    <w:rsid w:val="009743B0"/>
    <w:rsid w:val="00974497"/>
    <w:rsid w:val="009858F4"/>
    <w:rsid w:val="009865AF"/>
    <w:rsid w:val="00986D54"/>
    <w:rsid w:val="00994342"/>
    <w:rsid w:val="009949DA"/>
    <w:rsid w:val="009A4121"/>
    <w:rsid w:val="009A6366"/>
    <w:rsid w:val="009B29FE"/>
    <w:rsid w:val="009B66A0"/>
    <w:rsid w:val="009B676D"/>
    <w:rsid w:val="009B7FD9"/>
    <w:rsid w:val="009C0846"/>
    <w:rsid w:val="009C1E2B"/>
    <w:rsid w:val="009D1A0F"/>
    <w:rsid w:val="009D39C8"/>
    <w:rsid w:val="009D51AC"/>
    <w:rsid w:val="009E0215"/>
    <w:rsid w:val="009E3440"/>
    <w:rsid w:val="009E57A6"/>
    <w:rsid w:val="009F279C"/>
    <w:rsid w:val="00A00896"/>
    <w:rsid w:val="00A02C43"/>
    <w:rsid w:val="00A27292"/>
    <w:rsid w:val="00A315B2"/>
    <w:rsid w:val="00A37A13"/>
    <w:rsid w:val="00A40633"/>
    <w:rsid w:val="00A4144B"/>
    <w:rsid w:val="00A44F03"/>
    <w:rsid w:val="00A516B2"/>
    <w:rsid w:val="00A53DD7"/>
    <w:rsid w:val="00A5546D"/>
    <w:rsid w:val="00A607E2"/>
    <w:rsid w:val="00A61C11"/>
    <w:rsid w:val="00A64F48"/>
    <w:rsid w:val="00A6646A"/>
    <w:rsid w:val="00A74799"/>
    <w:rsid w:val="00A77852"/>
    <w:rsid w:val="00A811D0"/>
    <w:rsid w:val="00A839DB"/>
    <w:rsid w:val="00A83ABA"/>
    <w:rsid w:val="00A84275"/>
    <w:rsid w:val="00AA136F"/>
    <w:rsid w:val="00AA26FE"/>
    <w:rsid w:val="00AA5A8F"/>
    <w:rsid w:val="00AA7DB3"/>
    <w:rsid w:val="00AB1DEF"/>
    <w:rsid w:val="00AB6AA3"/>
    <w:rsid w:val="00AC12D5"/>
    <w:rsid w:val="00AC1A52"/>
    <w:rsid w:val="00AC3CFD"/>
    <w:rsid w:val="00AC4DB3"/>
    <w:rsid w:val="00AE6D17"/>
    <w:rsid w:val="00AE7C6B"/>
    <w:rsid w:val="00AE7DB4"/>
    <w:rsid w:val="00AF2201"/>
    <w:rsid w:val="00AF68ED"/>
    <w:rsid w:val="00B00867"/>
    <w:rsid w:val="00B02A20"/>
    <w:rsid w:val="00B033AB"/>
    <w:rsid w:val="00B046FD"/>
    <w:rsid w:val="00B0560B"/>
    <w:rsid w:val="00B061AE"/>
    <w:rsid w:val="00B12223"/>
    <w:rsid w:val="00B147F3"/>
    <w:rsid w:val="00B26DB9"/>
    <w:rsid w:val="00B277B8"/>
    <w:rsid w:val="00B27D1D"/>
    <w:rsid w:val="00B305BB"/>
    <w:rsid w:val="00B354D9"/>
    <w:rsid w:val="00B36247"/>
    <w:rsid w:val="00B40111"/>
    <w:rsid w:val="00B606E8"/>
    <w:rsid w:val="00B615AE"/>
    <w:rsid w:val="00B64BF1"/>
    <w:rsid w:val="00B64C47"/>
    <w:rsid w:val="00B660AD"/>
    <w:rsid w:val="00B67404"/>
    <w:rsid w:val="00B72AF7"/>
    <w:rsid w:val="00B738F1"/>
    <w:rsid w:val="00B756D6"/>
    <w:rsid w:val="00B80C85"/>
    <w:rsid w:val="00B8399F"/>
    <w:rsid w:val="00B83D44"/>
    <w:rsid w:val="00B843F2"/>
    <w:rsid w:val="00B846BC"/>
    <w:rsid w:val="00B85D7C"/>
    <w:rsid w:val="00B86B00"/>
    <w:rsid w:val="00B93F28"/>
    <w:rsid w:val="00BA493F"/>
    <w:rsid w:val="00BA511C"/>
    <w:rsid w:val="00BA703A"/>
    <w:rsid w:val="00BB7B65"/>
    <w:rsid w:val="00BC1339"/>
    <w:rsid w:val="00BC67CE"/>
    <w:rsid w:val="00BC7FF2"/>
    <w:rsid w:val="00BD0F26"/>
    <w:rsid w:val="00BD61E7"/>
    <w:rsid w:val="00BE14B9"/>
    <w:rsid w:val="00BE36F0"/>
    <w:rsid w:val="00BE3A93"/>
    <w:rsid w:val="00BE70A9"/>
    <w:rsid w:val="00BF39DC"/>
    <w:rsid w:val="00C03007"/>
    <w:rsid w:val="00C0417B"/>
    <w:rsid w:val="00C05BBA"/>
    <w:rsid w:val="00C07500"/>
    <w:rsid w:val="00C12A25"/>
    <w:rsid w:val="00C20C28"/>
    <w:rsid w:val="00C22D58"/>
    <w:rsid w:val="00C312D0"/>
    <w:rsid w:val="00C33C3F"/>
    <w:rsid w:val="00C43451"/>
    <w:rsid w:val="00C43EF6"/>
    <w:rsid w:val="00C55BA5"/>
    <w:rsid w:val="00C57D76"/>
    <w:rsid w:val="00C62288"/>
    <w:rsid w:val="00C62E41"/>
    <w:rsid w:val="00C659E7"/>
    <w:rsid w:val="00C82135"/>
    <w:rsid w:val="00C8263B"/>
    <w:rsid w:val="00C849C4"/>
    <w:rsid w:val="00C86703"/>
    <w:rsid w:val="00C94A0D"/>
    <w:rsid w:val="00CA178C"/>
    <w:rsid w:val="00CA50B8"/>
    <w:rsid w:val="00CA65B7"/>
    <w:rsid w:val="00CB07FC"/>
    <w:rsid w:val="00CB385A"/>
    <w:rsid w:val="00CC3D81"/>
    <w:rsid w:val="00CC6F61"/>
    <w:rsid w:val="00CD133F"/>
    <w:rsid w:val="00CD3D16"/>
    <w:rsid w:val="00CD43B7"/>
    <w:rsid w:val="00CE6C5B"/>
    <w:rsid w:val="00CE7607"/>
    <w:rsid w:val="00CE7C5D"/>
    <w:rsid w:val="00CF7DF8"/>
    <w:rsid w:val="00D01D09"/>
    <w:rsid w:val="00D025F4"/>
    <w:rsid w:val="00D15133"/>
    <w:rsid w:val="00D177C5"/>
    <w:rsid w:val="00D221D5"/>
    <w:rsid w:val="00D351BA"/>
    <w:rsid w:val="00D366A9"/>
    <w:rsid w:val="00D5204F"/>
    <w:rsid w:val="00D54E7D"/>
    <w:rsid w:val="00D55407"/>
    <w:rsid w:val="00D6371B"/>
    <w:rsid w:val="00D77015"/>
    <w:rsid w:val="00D93C21"/>
    <w:rsid w:val="00DA2669"/>
    <w:rsid w:val="00DA5990"/>
    <w:rsid w:val="00DB1B78"/>
    <w:rsid w:val="00DB5C5E"/>
    <w:rsid w:val="00DB7CF5"/>
    <w:rsid w:val="00DC4BD1"/>
    <w:rsid w:val="00DC5125"/>
    <w:rsid w:val="00DD4519"/>
    <w:rsid w:val="00DD4AF8"/>
    <w:rsid w:val="00DD584C"/>
    <w:rsid w:val="00DD68D7"/>
    <w:rsid w:val="00DD69CB"/>
    <w:rsid w:val="00DD79AE"/>
    <w:rsid w:val="00DE43E8"/>
    <w:rsid w:val="00DE4783"/>
    <w:rsid w:val="00DE56C2"/>
    <w:rsid w:val="00E0105B"/>
    <w:rsid w:val="00E1096D"/>
    <w:rsid w:val="00E1180F"/>
    <w:rsid w:val="00E17084"/>
    <w:rsid w:val="00E208CB"/>
    <w:rsid w:val="00E33D35"/>
    <w:rsid w:val="00E51F90"/>
    <w:rsid w:val="00E537E9"/>
    <w:rsid w:val="00E62119"/>
    <w:rsid w:val="00E66C6B"/>
    <w:rsid w:val="00E70A2B"/>
    <w:rsid w:val="00E74CD5"/>
    <w:rsid w:val="00E9016A"/>
    <w:rsid w:val="00E929F4"/>
    <w:rsid w:val="00EA09A6"/>
    <w:rsid w:val="00EA3191"/>
    <w:rsid w:val="00EA609C"/>
    <w:rsid w:val="00EB0A26"/>
    <w:rsid w:val="00EB2955"/>
    <w:rsid w:val="00EB39EC"/>
    <w:rsid w:val="00EB6C5E"/>
    <w:rsid w:val="00EC1F04"/>
    <w:rsid w:val="00ED5960"/>
    <w:rsid w:val="00EE1849"/>
    <w:rsid w:val="00EF0BE8"/>
    <w:rsid w:val="00EF6937"/>
    <w:rsid w:val="00EF7AF3"/>
    <w:rsid w:val="00F00230"/>
    <w:rsid w:val="00F045E8"/>
    <w:rsid w:val="00F056D5"/>
    <w:rsid w:val="00F068AB"/>
    <w:rsid w:val="00F11802"/>
    <w:rsid w:val="00F131A6"/>
    <w:rsid w:val="00F24BAE"/>
    <w:rsid w:val="00F33494"/>
    <w:rsid w:val="00F34956"/>
    <w:rsid w:val="00F35BCB"/>
    <w:rsid w:val="00F365BA"/>
    <w:rsid w:val="00F41813"/>
    <w:rsid w:val="00F44AAF"/>
    <w:rsid w:val="00F5338D"/>
    <w:rsid w:val="00F55090"/>
    <w:rsid w:val="00F569BF"/>
    <w:rsid w:val="00F61B76"/>
    <w:rsid w:val="00F6219A"/>
    <w:rsid w:val="00F7098E"/>
    <w:rsid w:val="00F7672F"/>
    <w:rsid w:val="00F8497E"/>
    <w:rsid w:val="00F852C9"/>
    <w:rsid w:val="00F85CCC"/>
    <w:rsid w:val="00F87F2D"/>
    <w:rsid w:val="00F90581"/>
    <w:rsid w:val="00F93F94"/>
    <w:rsid w:val="00F976D7"/>
    <w:rsid w:val="00FA0880"/>
    <w:rsid w:val="00FA620F"/>
    <w:rsid w:val="00FB20CE"/>
    <w:rsid w:val="00FB5112"/>
    <w:rsid w:val="00FC079D"/>
    <w:rsid w:val="00FC50E3"/>
    <w:rsid w:val="00FD0C3A"/>
    <w:rsid w:val="00FD7B4C"/>
    <w:rsid w:val="00FF7418"/>
    <w:rsid w:val="00FF7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EA31"/>
  <w15:chartTrackingRefBased/>
  <w15:docId w15:val="{B22B686E-BD1B-4990-B487-9C7CA871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7E01"/>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477E0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477E0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77E0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477E01"/>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77E01"/>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77E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7E0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77E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E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77E01"/>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477E01"/>
    <w:rPr>
      <w:rFonts w:ascii="Times New Roman" w:eastAsia="Times New Roman" w:hAnsi="Times New Roman" w:cs="Times New Roman"/>
      <w:sz w:val="16"/>
      <w:szCs w:val="20"/>
      <w:lang w:eastAsia="en-AU"/>
    </w:rPr>
  </w:style>
  <w:style w:type="paragraph" w:styleId="Footer">
    <w:name w:val="footer"/>
    <w:link w:val="FooterChar"/>
    <w:uiPriority w:val="99"/>
    <w:rsid w:val="00477E0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477E01"/>
    <w:rPr>
      <w:rFonts w:ascii="Times New Roman" w:eastAsia="Times New Roman" w:hAnsi="Times New Roman" w:cs="Times New Roman"/>
      <w:szCs w:val="24"/>
      <w:lang w:eastAsia="en-AU"/>
    </w:rPr>
  </w:style>
  <w:style w:type="paragraph" w:styleId="BalloonText">
    <w:name w:val="Balloon Text"/>
    <w:basedOn w:val="Normal"/>
    <w:link w:val="BalloonTextChar"/>
    <w:uiPriority w:val="99"/>
    <w:semiHidden/>
    <w:unhideWhenUsed/>
    <w:rsid w:val="00477E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E01"/>
    <w:rPr>
      <w:rFonts w:ascii="Tahoma" w:hAnsi="Tahoma" w:cs="Tahoma"/>
      <w:sz w:val="16"/>
      <w:szCs w:val="16"/>
    </w:rPr>
  </w:style>
  <w:style w:type="paragraph" w:styleId="ListParagraph">
    <w:name w:val="List Paragraph"/>
    <w:basedOn w:val="Normal"/>
    <w:uiPriority w:val="34"/>
    <w:qFormat/>
    <w:rsid w:val="008B32BA"/>
    <w:pPr>
      <w:numPr>
        <w:numId w:val="17"/>
      </w:numPr>
      <w:spacing w:before="120" w:after="200" w:line="276" w:lineRule="auto"/>
      <w:ind w:right="284"/>
    </w:pPr>
    <w:rPr>
      <w:rFonts w:cs="Times New Roman"/>
      <w:sz w:val="24"/>
      <w:szCs w:val="24"/>
    </w:rPr>
  </w:style>
  <w:style w:type="character" w:styleId="CommentReference">
    <w:name w:val="annotation reference"/>
    <w:basedOn w:val="DefaultParagraphFont"/>
    <w:uiPriority w:val="99"/>
    <w:semiHidden/>
    <w:unhideWhenUsed/>
    <w:rsid w:val="00092DED"/>
    <w:rPr>
      <w:sz w:val="16"/>
      <w:szCs w:val="16"/>
    </w:rPr>
  </w:style>
  <w:style w:type="paragraph" w:styleId="CommentText">
    <w:name w:val="annotation text"/>
    <w:basedOn w:val="Normal"/>
    <w:link w:val="CommentTextChar"/>
    <w:uiPriority w:val="99"/>
    <w:unhideWhenUsed/>
    <w:rsid w:val="00092DED"/>
    <w:pPr>
      <w:spacing w:line="240" w:lineRule="auto"/>
    </w:pPr>
    <w:rPr>
      <w:sz w:val="20"/>
    </w:rPr>
  </w:style>
  <w:style w:type="character" w:customStyle="1" w:styleId="CommentTextChar">
    <w:name w:val="Comment Text Char"/>
    <w:basedOn w:val="DefaultParagraphFont"/>
    <w:link w:val="CommentText"/>
    <w:uiPriority w:val="99"/>
    <w:rsid w:val="00092DED"/>
    <w:rPr>
      <w:sz w:val="20"/>
      <w:szCs w:val="20"/>
    </w:rPr>
  </w:style>
  <w:style w:type="paragraph" w:styleId="CommentSubject">
    <w:name w:val="annotation subject"/>
    <w:basedOn w:val="CommentText"/>
    <w:next w:val="CommentText"/>
    <w:link w:val="CommentSubjectChar"/>
    <w:uiPriority w:val="99"/>
    <w:semiHidden/>
    <w:unhideWhenUsed/>
    <w:rsid w:val="00092DED"/>
    <w:rPr>
      <w:b/>
      <w:bCs/>
    </w:rPr>
  </w:style>
  <w:style w:type="character" w:customStyle="1" w:styleId="CommentSubjectChar">
    <w:name w:val="Comment Subject Char"/>
    <w:basedOn w:val="CommentTextChar"/>
    <w:link w:val="CommentSubject"/>
    <w:uiPriority w:val="99"/>
    <w:semiHidden/>
    <w:rsid w:val="00092DED"/>
    <w:rPr>
      <w:b/>
      <w:bCs/>
      <w:sz w:val="20"/>
      <w:szCs w:val="20"/>
    </w:rPr>
  </w:style>
  <w:style w:type="paragraph" w:styleId="Revision">
    <w:name w:val="Revision"/>
    <w:hidden/>
    <w:uiPriority w:val="99"/>
    <w:semiHidden/>
    <w:rsid w:val="00562968"/>
    <w:pPr>
      <w:spacing w:after="0" w:line="240" w:lineRule="auto"/>
    </w:pPr>
  </w:style>
  <w:style w:type="character" w:styleId="Hyperlink">
    <w:name w:val="Hyperlink"/>
    <w:basedOn w:val="DefaultParagraphFont"/>
    <w:uiPriority w:val="99"/>
    <w:unhideWhenUsed/>
    <w:rsid w:val="007F6413"/>
    <w:rPr>
      <w:strike w:val="0"/>
      <w:dstrike w:val="0"/>
      <w:color w:val="C41130"/>
      <w:u w:val="none"/>
      <w:effect w:val="none"/>
    </w:rPr>
  </w:style>
  <w:style w:type="character" w:styleId="FollowedHyperlink">
    <w:name w:val="FollowedHyperlink"/>
    <w:basedOn w:val="DefaultParagraphFont"/>
    <w:uiPriority w:val="99"/>
    <w:semiHidden/>
    <w:unhideWhenUsed/>
    <w:rsid w:val="007F6413"/>
    <w:rPr>
      <w:color w:val="954F72" w:themeColor="followedHyperlink"/>
      <w:u w:val="single"/>
    </w:rPr>
  </w:style>
  <w:style w:type="paragraph" w:customStyle="1" w:styleId="notepara">
    <w:name w:val="note(para)"/>
    <w:aliases w:val="na"/>
    <w:basedOn w:val="Normal"/>
    <w:rsid w:val="00477E01"/>
    <w:pPr>
      <w:spacing w:before="40" w:line="198" w:lineRule="exact"/>
      <w:ind w:left="2354" w:hanging="369"/>
    </w:pPr>
    <w:rPr>
      <w:rFonts w:eastAsia="Times New Roman" w:cs="Times New Roman"/>
      <w:sz w:val="18"/>
      <w:lang w:eastAsia="en-AU"/>
    </w:rPr>
  </w:style>
  <w:style w:type="paragraph" w:customStyle="1" w:styleId="subsection">
    <w:name w:val="subsection"/>
    <w:aliases w:val="ss,Subsection"/>
    <w:basedOn w:val="OPCParaBase"/>
    <w:link w:val="subsectionChar"/>
    <w:rsid w:val="00477E01"/>
    <w:pPr>
      <w:tabs>
        <w:tab w:val="right" w:pos="1021"/>
      </w:tabs>
      <w:spacing w:before="180" w:line="240" w:lineRule="auto"/>
      <w:ind w:left="1134" w:hanging="1134"/>
    </w:pPr>
  </w:style>
  <w:style w:type="paragraph" w:customStyle="1" w:styleId="paragraph">
    <w:name w:val="paragraph"/>
    <w:aliases w:val="a"/>
    <w:basedOn w:val="OPCParaBase"/>
    <w:rsid w:val="00477E01"/>
    <w:pPr>
      <w:tabs>
        <w:tab w:val="right" w:pos="1531"/>
      </w:tabs>
      <w:spacing w:before="40" w:line="240" w:lineRule="auto"/>
      <w:ind w:left="1644" w:hanging="1644"/>
    </w:pPr>
  </w:style>
  <w:style w:type="paragraph" w:customStyle="1" w:styleId="ActHead1">
    <w:name w:val="ActHead 1"/>
    <w:aliases w:val="c"/>
    <w:basedOn w:val="Normal"/>
    <w:next w:val="Normal"/>
    <w:qFormat/>
    <w:rsid w:val="00477E01"/>
    <w:pPr>
      <w:keepNext/>
      <w:keepLines/>
      <w:spacing w:line="240" w:lineRule="auto"/>
      <w:ind w:left="1134" w:hanging="1134"/>
      <w:outlineLvl w:val="0"/>
    </w:pPr>
    <w:rPr>
      <w:rFonts w:eastAsia="Times New Roman" w:cs="Times New Roman"/>
      <w:b/>
      <w:kern w:val="28"/>
      <w:sz w:val="36"/>
      <w:lang w:eastAsia="en-AU"/>
    </w:rPr>
  </w:style>
  <w:style w:type="paragraph" w:customStyle="1" w:styleId="ActHead2">
    <w:name w:val="ActHead 2"/>
    <w:aliases w:val="p"/>
    <w:basedOn w:val="Normal"/>
    <w:next w:val="Normal"/>
    <w:qFormat/>
    <w:rsid w:val="00477E01"/>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3">
    <w:name w:val="ActHead 3"/>
    <w:aliases w:val="d"/>
    <w:basedOn w:val="Normal"/>
    <w:next w:val="Normal"/>
    <w:qFormat/>
    <w:rsid w:val="00477E01"/>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Normal"/>
    <w:qFormat/>
    <w:rsid w:val="000117D4"/>
    <w:pPr>
      <w:keepNext/>
      <w:keepLines/>
      <w:spacing w:before="220" w:line="240" w:lineRule="auto"/>
      <w:ind w:left="709" w:hanging="709"/>
      <w:outlineLvl w:val="3"/>
    </w:pPr>
    <w:rPr>
      <w:rFonts w:eastAsia="Times New Roman" w:cs="Times New Roman"/>
      <w:b/>
      <w:kern w:val="28"/>
      <w:sz w:val="26"/>
      <w:lang w:eastAsia="en-AU"/>
    </w:rPr>
  </w:style>
  <w:style w:type="paragraph" w:customStyle="1" w:styleId="ActHead5">
    <w:name w:val="ActHead 5"/>
    <w:aliases w:val="s"/>
    <w:basedOn w:val="Normal"/>
    <w:next w:val="subsection"/>
    <w:qFormat/>
    <w:rsid w:val="00477E01"/>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477E01"/>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7">
    <w:name w:val="ActHead 7"/>
    <w:aliases w:val="ap"/>
    <w:basedOn w:val="ListParagraph"/>
    <w:next w:val="Normal"/>
    <w:qFormat/>
    <w:rsid w:val="008B32BA"/>
    <w:pPr>
      <w:numPr>
        <w:ilvl w:val="1"/>
        <w:numId w:val="16"/>
      </w:numPr>
    </w:pPr>
  </w:style>
  <w:style w:type="paragraph" w:customStyle="1" w:styleId="ActHead8">
    <w:name w:val="ActHead 8"/>
    <w:aliases w:val="ad"/>
    <w:basedOn w:val="ListParagraph"/>
    <w:next w:val="Normal"/>
    <w:qFormat/>
    <w:rsid w:val="00702311"/>
    <w:pPr>
      <w:numPr>
        <w:numId w:val="4"/>
      </w:numPr>
    </w:pPr>
  </w:style>
  <w:style w:type="paragraph" w:customStyle="1" w:styleId="ActHead9">
    <w:name w:val="ActHead 9"/>
    <w:aliases w:val="aat"/>
    <w:basedOn w:val="Normal"/>
    <w:next w:val="Normal"/>
    <w:qFormat/>
    <w:rsid w:val="00477E01"/>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Actno">
    <w:name w:val="Actno"/>
    <w:basedOn w:val="Normal"/>
    <w:next w:val="Normal"/>
    <w:qFormat/>
    <w:rsid w:val="00477E01"/>
    <w:pPr>
      <w:spacing w:line="240" w:lineRule="auto"/>
    </w:pPr>
    <w:rPr>
      <w:rFonts w:eastAsia="Times New Roman" w:cs="Times New Roman"/>
      <w:b/>
      <w:sz w:val="40"/>
      <w:lang w:eastAsia="en-AU"/>
    </w:rPr>
  </w:style>
  <w:style w:type="paragraph" w:customStyle="1" w:styleId="Blocks">
    <w:name w:val="Blocks"/>
    <w:aliases w:val="bb"/>
    <w:basedOn w:val="Normal"/>
    <w:qFormat/>
    <w:rsid w:val="00477E01"/>
    <w:pPr>
      <w:spacing w:line="240" w:lineRule="auto"/>
    </w:pPr>
    <w:rPr>
      <w:rFonts w:eastAsia="Times New Roman" w:cs="Times New Roman"/>
      <w:sz w:val="24"/>
      <w:lang w:eastAsia="en-AU"/>
    </w:rPr>
  </w:style>
  <w:style w:type="paragraph" w:customStyle="1" w:styleId="BodyNum">
    <w:name w:val="BodyNum"/>
    <w:aliases w:val="b1"/>
    <w:basedOn w:val="Normal"/>
    <w:rsid w:val="00477E01"/>
    <w:pPr>
      <w:numPr>
        <w:numId w:val="3"/>
      </w:numPr>
      <w:spacing w:before="240" w:line="240" w:lineRule="auto"/>
    </w:pPr>
    <w:rPr>
      <w:rFonts w:eastAsia="Times New Roman" w:cs="Times New Roman"/>
      <w:sz w:val="24"/>
      <w:lang w:eastAsia="en-AU"/>
    </w:rPr>
  </w:style>
  <w:style w:type="paragraph" w:customStyle="1" w:styleId="BodyPara">
    <w:name w:val="BodyPara"/>
    <w:aliases w:val="ba"/>
    <w:basedOn w:val="Normal"/>
    <w:rsid w:val="00477E01"/>
    <w:pPr>
      <w:numPr>
        <w:ilvl w:val="1"/>
        <w:numId w:val="3"/>
      </w:numPr>
      <w:spacing w:before="240" w:line="240" w:lineRule="auto"/>
    </w:pPr>
    <w:rPr>
      <w:rFonts w:eastAsia="Times New Roman" w:cs="Times New Roman"/>
      <w:sz w:val="24"/>
      <w:lang w:eastAsia="en-AU"/>
    </w:rPr>
  </w:style>
  <w:style w:type="paragraph" w:customStyle="1" w:styleId="BoxHeadBold">
    <w:name w:val="BoxHeadBold"/>
    <w:aliases w:val="bhb"/>
    <w:basedOn w:val="Normal"/>
    <w:next w:val="Normal"/>
    <w:qFormat/>
    <w:rsid w:val="00477E01"/>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cs="Times New Roman"/>
      <w:b/>
      <w:lang w:eastAsia="en-AU"/>
    </w:rPr>
  </w:style>
  <w:style w:type="paragraph" w:customStyle="1" w:styleId="BoxHeadItalic">
    <w:name w:val="BoxHeadItalic"/>
    <w:aliases w:val="bhi"/>
    <w:basedOn w:val="Normal"/>
    <w:next w:val="Normal"/>
    <w:qFormat/>
    <w:rsid w:val="00477E01"/>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cs="Times New Roman"/>
      <w:i/>
      <w:lang w:eastAsia="en-AU"/>
    </w:rPr>
  </w:style>
  <w:style w:type="paragraph" w:customStyle="1" w:styleId="BoxList">
    <w:name w:val="BoxList"/>
    <w:aliases w:val="bl"/>
    <w:basedOn w:val="Normal"/>
    <w:qFormat/>
    <w:rsid w:val="00477E01"/>
    <w:pPr>
      <w:pBdr>
        <w:top w:val="single" w:sz="6" w:space="5" w:color="auto"/>
        <w:left w:val="single" w:sz="6" w:space="5" w:color="auto"/>
        <w:bottom w:val="single" w:sz="6" w:space="5" w:color="auto"/>
        <w:right w:val="single" w:sz="6" w:space="5" w:color="auto"/>
      </w:pBdr>
      <w:spacing w:before="240" w:line="240" w:lineRule="auto"/>
      <w:ind w:left="1559" w:hanging="425"/>
    </w:pPr>
    <w:rPr>
      <w:rFonts w:eastAsia="Times New Roman" w:cs="Times New Roman"/>
      <w:lang w:eastAsia="en-AU"/>
    </w:rPr>
  </w:style>
  <w:style w:type="paragraph" w:customStyle="1" w:styleId="BoxNote">
    <w:name w:val="BoxNote"/>
    <w:aliases w:val="bn"/>
    <w:basedOn w:val="Normal"/>
    <w:qFormat/>
    <w:rsid w:val="00477E0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rFonts w:eastAsia="Times New Roman" w:cs="Times New Roman"/>
      <w:sz w:val="18"/>
      <w:lang w:eastAsia="en-AU"/>
    </w:rPr>
  </w:style>
  <w:style w:type="paragraph" w:customStyle="1" w:styleId="BoxPara">
    <w:name w:val="BoxPara"/>
    <w:aliases w:val="bp"/>
    <w:basedOn w:val="Normal"/>
    <w:qFormat/>
    <w:rsid w:val="00477E0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rPr>
      <w:rFonts w:eastAsia="Times New Roman" w:cs="Times New Roman"/>
      <w:lang w:eastAsia="en-AU"/>
    </w:rPr>
  </w:style>
  <w:style w:type="paragraph" w:customStyle="1" w:styleId="BoxStep">
    <w:name w:val="BoxStep"/>
    <w:aliases w:val="bs"/>
    <w:basedOn w:val="Normal"/>
    <w:qFormat/>
    <w:rsid w:val="00477E01"/>
    <w:pPr>
      <w:pBdr>
        <w:top w:val="single" w:sz="6" w:space="5" w:color="auto"/>
        <w:left w:val="single" w:sz="6" w:space="5" w:color="auto"/>
        <w:bottom w:val="single" w:sz="6" w:space="5" w:color="auto"/>
        <w:right w:val="single" w:sz="6" w:space="5" w:color="auto"/>
      </w:pBdr>
      <w:spacing w:before="240" w:line="240" w:lineRule="auto"/>
      <w:ind w:left="1985" w:hanging="851"/>
    </w:pPr>
    <w:rPr>
      <w:rFonts w:eastAsia="Times New Roman" w:cs="Times New Roman"/>
      <w:lang w:eastAsia="en-AU"/>
    </w:rPr>
  </w:style>
  <w:style w:type="paragraph" w:customStyle="1" w:styleId="BoxText">
    <w:name w:val="BoxText"/>
    <w:aliases w:val="bt"/>
    <w:basedOn w:val="Normal"/>
    <w:qFormat/>
    <w:rsid w:val="00477E01"/>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cs="Times New Roman"/>
      <w:lang w:eastAsia="en-AU"/>
    </w:rPr>
  </w:style>
  <w:style w:type="table" w:customStyle="1" w:styleId="CFlag">
    <w:name w:val="CFlag"/>
    <w:basedOn w:val="TableNormal"/>
    <w:uiPriority w:val="99"/>
    <w:rsid w:val="00477E01"/>
    <w:pPr>
      <w:spacing w:after="0" w:line="240" w:lineRule="auto"/>
    </w:pPr>
    <w:rPr>
      <w:rFonts w:ascii="Times New Roman" w:eastAsia="Times New Roman" w:hAnsi="Times New Roman" w:cs="Times New Roman"/>
      <w:sz w:val="20"/>
      <w:szCs w:val="20"/>
      <w:lang w:eastAsia="en-AU"/>
    </w:rPr>
    <w:tblPr/>
  </w:style>
  <w:style w:type="character" w:customStyle="1" w:styleId="CharAmPartNo">
    <w:name w:val="CharAmPartNo"/>
    <w:basedOn w:val="DefaultParagraphFont"/>
    <w:uiPriority w:val="1"/>
    <w:qFormat/>
    <w:rsid w:val="00477E01"/>
  </w:style>
  <w:style w:type="character" w:customStyle="1" w:styleId="CharAmPartText">
    <w:name w:val="CharAmPartText"/>
    <w:basedOn w:val="DefaultParagraphFont"/>
    <w:uiPriority w:val="1"/>
    <w:qFormat/>
    <w:rsid w:val="00477E01"/>
  </w:style>
  <w:style w:type="character" w:customStyle="1" w:styleId="CharAmSchNo">
    <w:name w:val="CharAmSchNo"/>
    <w:basedOn w:val="DefaultParagraphFont"/>
    <w:uiPriority w:val="1"/>
    <w:qFormat/>
    <w:rsid w:val="00477E01"/>
  </w:style>
  <w:style w:type="character" w:customStyle="1" w:styleId="CharAmSchText">
    <w:name w:val="CharAmSchText"/>
    <w:basedOn w:val="DefaultParagraphFont"/>
    <w:uiPriority w:val="1"/>
    <w:qFormat/>
    <w:rsid w:val="00477E01"/>
  </w:style>
  <w:style w:type="character" w:customStyle="1" w:styleId="CharBoldItalic">
    <w:name w:val="CharBoldItalic"/>
    <w:basedOn w:val="DefaultParagraphFont"/>
    <w:uiPriority w:val="1"/>
    <w:qFormat/>
    <w:rsid w:val="00477E01"/>
    <w:rPr>
      <w:b/>
      <w:i/>
    </w:rPr>
  </w:style>
  <w:style w:type="character" w:customStyle="1" w:styleId="CharChapNo">
    <w:name w:val="CharChapNo"/>
    <w:basedOn w:val="DefaultParagraphFont"/>
    <w:qFormat/>
    <w:rsid w:val="00A74799"/>
    <w:rPr>
      <w:sz w:val="24"/>
      <w:szCs w:val="24"/>
    </w:rPr>
  </w:style>
  <w:style w:type="character" w:customStyle="1" w:styleId="CharChapText">
    <w:name w:val="CharChapText"/>
    <w:basedOn w:val="DefaultParagraphFont"/>
    <w:qFormat/>
    <w:rsid w:val="00477E01"/>
  </w:style>
  <w:style w:type="character" w:customStyle="1" w:styleId="CharDivNo">
    <w:name w:val="CharDivNo"/>
    <w:basedOn w:val="DefaultParagraphFont"/>
    <w:qFormat/>
    <w:rsid w:val="00477E01"/>
  </w:style>
  <w:style w:type="character" w:customStyle="1" w:styleId="CharDivText">
    <w:name w:val="CharDivText"/>
    <w:basedOn w:val="DefaultParagraphFont"/>
    <w:qFormat/>
    <w:rsid w:val="00477E01"/>
  </w:style>
  <w:style w:type="character" w:customStyle="1" w:styleId="CharItalic">
    <w:name w:val="CharItalic"/>
    <w:basedOn w:val="DefaultParagraphFont"/>
    <w:uiPriority w:val="1"/>
    <w:qFormat/>
    <w:rsid w:val="00477E01"/>
    <w:rPr>
      <w:i/>
    </w:rPr>
  </w:style>
  <w:style w:type="character" w:customStyle="1" w:styleId="CharPartNo">
    <w:name w:val="CharPartNo"/>
    <w:basedOn w:val="DefaultParagraphFont"/>
    <w:qFormat/>
    <w:rsid w:val="00477E01"/>
  </w:style>
  <w:style w:type="character" w:customStyle="1" w:styleId="CharPartText">
    <w:name w:val="CharPartText"/>
    <w:basedOn w:val="DefaultParagraphFont"/>
    <w:qFormat/>
    <w:rsid w:val="00477E01"/>
  </w:style>
  <w:style w:type="character" w:customStyle="1" w:styleId="CharSectno">
    <w:name w:val="CharSectno"/>
    <w:basedOn w:val="DefaultParagraphFont"/>
    <w:qFormat/>
    <w:rsid w:val="00477E01"/>
  </w:style>
  <w:style w:type="character" w:customStyle="1" w:styleId="CharSubdNo">
    <w:name w:val="CharSubdNo"/>
    <w:basedOn w:val="DefaultParagraphFont"/>
    <w:uiPriority w:val="1"/>
    <w:qFormat/>
    <w:rsid w:val="00477E01"/>
  </w:style>
  <w:style w:type="character" w:customStyle="1" w:styleId="CharSubdText">
    <w:name w:val="CharSubdText"/>
    <w:basedOn w:val="DefaultParagraphFont"/>
    <w:uiPriority w:val="1"/>
    <w:qFormat/>
    <w:rsid w:val="00477E01"/>
  </w:style>
  <w:style w:type="character" w:customStyle="1" w:styleId="CharSubPartNoCASA">
    <w:name w:val="CharSubPartNo(CASA)"/>
    <w:basedOn w:val="DefaultParagraphFont"/>
    <w:uiPriority w:val="1"/>
    <w:rsid w:val="00477E01"/>
  </w:style>
  <w:style w:type="character" w:customStyle="1" w:styleId="CharSubPartTextCASA">
    <w:name w:val="CharSubPartText(CASA)"/>
    <w:basedOn w:val="DefaultParagraphFont"/>
    <w:uiPriority w:val="1"/>
    <w:rsid w:val="00477E01"/>
  </w:style>
  <w:style w:type="paragraph" w:customStyle="1" w:styleId="CompiledActNo">
    <w:name w:val="CompiledActNo"/>
    <w:basedOn w:val="Normal"/>
    <w:next w:val="Normal"/>
    <w:rsid w:val="00477E01"/>
    <w:rPr>
      <w:rFonts w:eastAsia="Times New Roman" w:cs="Times New Roman"/>
      <w:b/>
      <w:sz w:val="24"/>
      <w:szCs w:val="24"/>
      <w:lang w:eastAsia="en-AU"/>
    </w:rPr>
  </w:style>
  <w:style w:type="paragraph" w:customStyle="1" w:styleId="CompiledMadeUnder">
    <w:name w:val="CompiledMadeUnder"/>
    <w:basedOn w:val="Normal"/>
    <w:next w:val="Normal"/>
    <w:rsid w:val="00477E01"/>
    <w:rPr>
      <w:rFonts w:eastAsia="Times New Roman" w:cs="Times New Roman"/>
      <w:i/>
      <w:sz w:val="24"/>
      <w:szCs w:val="24"/>
      <w:lang w:eastAsia="en-AU"/>
    </w:rPr>
  </w:style>
  <w:style w:type="paragraph" w:customStyle="1" w:styleId="CTA-">
    <w:name w:val="CTA -"/>
    <w:basedOn w:val="Normal"/>
    <w:rsid w:val="00477E01"/>
    <w:pPr>
      <w:spacing w:before="60" w:line="240" w:lineRule="atLeast"/>
      <w:ind w:left="85" w:hanging="85"/>
    </w:pPr>
    <w:rPr>
      <w:rFonts w:eastAsia="Times New Roman" w:cs="Times New Roman"/>
      <w:sz w:val="20"/>
      <w:lang w:eastAsia="en-AU"/>
    </w:rPr>
  </w:style>
  <w:style w:type="paragraph" w:customStyle="1" w:styleId="CTA--">
    <w:name w:val="CTA --"/>
    <w:basedOn w:val="Normal"/>
    <w:next w:val="Normal"/>
    <w:rsid w:val="00477E01"/>
    <w:pPr>
      <w:spacing w:before="60" w:line="240" w:lineRule="atLeast"/>
      <w:ind w:left="142" w:hanging="142"/>
    </w:pPr>
    <w:rPr>
      <w:rFonts w:eastAsia="Times New Roman" w:cs="Times New Roman"/>
      <w:sz w:val="20"/>
      <w:lang w:eastAsia="en-AU"/>
    </w:rPr>
  </w:style>
  <w:style w:type="paragraph" w:customStyle="1" w:styleId="CTA---">
    <w:name w:val="CTA ---"/>
    <w:basedOn w:val="Normal"/>
    <w:next w:val="Normal"/>
    <w:rsid w:val="00477E01"/>
    <w:pPr>
      <w:spacing w:before="60" w:line="240" w:lineRule="atLeast"/>
      <w:ind w:left="198" w:hanging="198"/>
    </w:pPr>
    <w:rPr>
      <w:rFonts w:eastAsia="Times New Roman" w:cs="Times New Roman"/>
      <w:sz w:val="20"/>
      <w:lang w:eastAsia="en-AU"/>
    </w:rPr>
  </w:style>
  <w:style w:type="paragraph" w:customStyle="1" w:styleId="CTA----">
    <w:name w:val="CTA ----"/>
    <w:basedOn w:val="Normal"/>
    <w:next w:val="Normal"/>
    <w:rsid w:val="00477E01"/>
    <w:pPr>
      <w:spacing w:before="60" w:line="240" w:lineRule="atLeast"/>
      <w:ind w:left="255" w:hanging="255"/>
    </w:pPr>
    <w:rPr>
      <w:rFonts w:eastAsia="Times New Roman" w:cs="Times New Roman"/>
      <w:sz w:val="20"/>
      <w:lang w:eastAsia="en-AU"/>
    </w:rPr>
  </w:style>
  <w:style w:type="paragraph" w:customStyle="1" w:styleId="CTA1a">
    <w:name w:val="CTA 1(a)"/>
    <w:basedOn w:val="Normal"/>
    <w:rsid w:val="00477E01"/>
    <w:pPr>
      <w:tabs>
        <w:tab w:val="right" w:pos="414"/>
      </w:tabs>
      <w:spacing w:before="40" w:line="240" w:lineRule="atLeast"/>
      <w:ind w:left="675" w:hanging="675"/>
    </w:pPr>
    <w:rPr>
      <w:rFonts w:eastAsia="Times New Roman" w:cs="Times New Roman"/>
      <w:sz w:val="20"/>
      <w:lang w:eastAsia="en-AU"/>
    </w:rPr>
  </w:style>
  <w:style w:type="paragraph" w:customStyle="1" w:styleId="CTA1ai">
    <w:name w:val="CTA 1(a)(i)"/>
    <w:basedOn w:val="Normal"/>
    <w:rsid w:val="00477E01"/>
    <w:pPr>
      <w:tabs>
        <w:tab w:val="right" w:pos="1004"/>
      </w:tabs>
      <w:spacing w:before="40" w:line="240" w:lineRule="atLeast"/>
      <w:ind w:left="1253" w:hanging="1253"/>
    </w:pPr>
    <w:rPr>
      <w:rFonts w:eastAsia="Times New Roman" w:cs="Times New Roman"/>
      <w:sz w:val="20"/>
      <w:lang w:eastAsia="en-AU"/>
    </w:rPr>
  </w:style>
  <w:style w:type="paragraph" w:customStyle="1" w:styleId="CTA2a">
    <w:name w:val="CTA 2(a)"/>
    <w:basedOn w:val="Normal"/>
    <w:rsid w:val="00477E01"/>
    <w:pPr>
      <w:tabs>
        <w:tab w:val="right" w:pos="482"/>
      </w:tabs>
      <w:spacing w:before="40" w:line="240" w:lineRule="atLeast"/>
      <w:ind w:left="748" w:hanging="748"/>
    </w:pPr>
    <w:rPr>
      <w:rFonts w:eastAsia="Times New Roman" w:cs="Times New Roman"/>
      <w:sz w:val="20"/>
      <w:lang w:eastAsia="en-AU"/>
    </w:rPr>
  </w:style>
  <w:style w:type="paragraph" w:customStyle="1" w:styleId="CTA2ai">
    <w:name w:val="CTA 2(a)(i)"/>
    <w:basedOn w:val="Normal"/>
    <w:rsid w:val="00477E01"/>
    <w:pPr>
      <w:tabs>
        <w:tab w:val="right" w:pos="1089"/>
      </w:tabs>
      <w:spacing w:before="40" w:line="240" w:lineRule="atLeast"/>
      <w:ind w:left="1327" w:hanging="1327"/>
    </w:pPr>
    <w:rPr>
      <w:rFonts w:eastAsia="Times New Roman" w:cs="Times New Roman"/>
      <w:sz w:val="20"/>
      <w:lang w:eastAsia="en-AU"/>
    </w:rPr>
  </w:style>
  <w:style w:type="paragraph" w:customStyle="1" w:styleId="CTA3a">
    <w:name w:val="CTA 3(a)"/>
    <w:basedOn w:val="Normal"/>
    <w:rsid w:val="00477E01"/>
    <w:pPr>
      <w:tabs>
        <w:tab w:val="right" w:pos="556"/>
      </w:tabs>
      <w:spacing w:before="40" w:line="240" w:lineRule="atLeast"/>
      <w:ind w:left="805" w:hanging="805"/>
    </w:pPr>
    <w:rPr>
      <w:rFonts w:eastAsia="Times New Roman" w:cs="Times New Roman"/>
      <w:sz w:val="20"/>
      <w:lang w:eastAsia="en-AU"/>
    </w:rPr>
  </w:style>
  <w:style w:type="paragraph" w:customStyle="1" w:styleId="CTA3ai">
    <w:name w:val="CTA 3(a)(i)"/>
    <w:basedOn w:val="Normal"/>
    <w:rsid w:val="00477E01"/>
    <w:pPr>
      <w:tabs>
        <w:tab w:val="right" w:pos="1140"/>
      </w:tabs>
      <w:spacing w:before="40" w:line="240" w:lineRule="atLeast"/>
      <w:ind w:left="1361" w:hanging="1361"/>
    </w:pPr>
    <w:rPr>
      <w:rFonts w:eastAsia="Times New Roman" w:cs="Times New Roman"/>
      <w:sz w:val="20"/>
      <w:lang w:eastAsia="en-AU"/>
    </w:rPr>
  </w:style>
  <w:style w:type="paragraph" w:customStyle="1" w:styleId="CTA4a">
    <w:name w:val="CTA 4(a)"/>
    <w:basedOn w:val="Normal"/>
    <w:rsid w:val="00477E01"/>
    <w:pPr>
      <w:tabs>
        <w:tab w:val="right" w:pos="624"/>
      </w:tabs>
      <w:spacing w:before="40" w:line="240" w:lineRule="atLeast"/>
      <w:ind w:left="873" w:hanging="873"/>
    </w:pPr>
    <w:rPr>
      <w:rFonts w:eastAsia="Times New Roman" w:cs="Times New Roman"/>
      <w:sz w:val="20"/>
      <w:lang w:eastAsia="en-AU"/>
    </w:rPr>
  </w:style>
  <w:style w:type="paragraph" w:customStyle="1" w:styleId="CTA4ai">
    <w:name w:val="CTA 4(a)(i)"/>
    <w:basedOn w:val="Normal"/>
    <w:rsid w:val="00477E01"/>
    <w:pPr>
      <w:tabs>
        <w:tab w:val="right" w:pos="1213"/>
      </w:tabs>
      <w:spacing w:before="40" w:line="240" w:lineRule="atLeast"/>
      <w:ind w:left="1452" w:hanging="1452"/>
    </w:pPr>
    <w:rPr>
      <w:rFonts w:eastAsia="Times New Roman" w:cs="Times New Roman"/>
      <w:sz w:val="20"/>
      <w:lang w:eastAsia="en-AU"/>
    </w:rPr>
  </w:style>
  <w:style w:type="paragraph" w:customStyle="1" w:styleId="CTACAPS">
    <w:name w:val="CTA CAPS"/>
    <w:basedOn w:val="Normal"/>
    <w:rsid w:val="00477E01"/>
    <w:pPr>
      <w:spacing w:before="60" w:line="240" w:lineRule="atLeast"/>
    </w:pPr>
    <w:rPr>
      <w:rFonts w:eastAsia="Times New Roman" w:cs="Times New Roman"/>
      <w:sz w:val="20"/>
      <w:lang w:eastAsia="en-AU"/>
    </w:rPr>
  </w:style>
  <w:style w:type="paragraph" w:customStyle="1" w:styleId="CTAright">
    <w:name w:val="CTA right"/>
    <w:basedOn w:val="Normal"/>
    <w:rsid w:val="00477E01"/>
    <w:pPr>
      <w:spacing w:before="60" w:line="240" w:lineRule="auto"/>
      <w:jc w:val="right"/>
    </w:pPr>
    <w:rPr>
      <w:rFonts w:eastAsia="Times New Roman" w:cs="Times New Roman"/>
      <w:sz w:val="20"/>
      <w:lang w:eastAsia="en-AU"/>
    </w:rPr>
  </w:style>
  <w:style w:type="paragraph" w:customStyle="1" w:styleId="Definition">
    <w:name w:val="Definition"/>
    <w:aliases w:val="dd"/>
    <w:basedOn w:val="Normal"/>
    <w:rsid w:val="00477E01"/>
    <w:pPr>
      <w:spacing w:before="180" w:line="240" w:lineRule="auto"/>
      <w:ind w:left="1134"/>
    </w:pPr>
    <w:rPr>
      <w:rFonts w:eastAsia="Times New Roman" w:cs="Times New Roman"/>
      <w:lang w:eastAsia="en-AU"/>
    </w:rPr>
  </w:style>
  <w:style w:type="paragraph" w:customStyle="1" w:styleId="DivisionMigration">
    <w:name w:val="DivisionMigration"/>
    <w:aliases w:val="dm"/>
    <w:basedOn w:val="Normal"/>
    <w:next w:val="Normal"/>
    <w:rsid w:val="00477E01"/>
    <w:pPr>
      <w:keepNext/>
      <w:keepLines/>
      <w:spacing w:before="240" w:line="240" w:lineRule="auto"/>
      <w:ind w:left="1134" w:hanging="1134"/>
    </w:pPr>
    <w:rPr>
      <w:rFonts w:eastAsia="Times New Roman" w:cs="Times New Roman"/>
      <w:b/>
      <w:sz w:val="28"/>
      <w:lang w:eastAsia="en-AU"/>
    </w:rPr>
  </w:style>
  <w:style w:type="paragraph" w:customStyle="1" w:styleId="EndNotespara">
    <w:name w:val="EndNotes(para)"/>
    <w:aliases w:val="eta"/>
    <w:basedOn w:val="Normal"/>
    <w:next w:val="Normal"/>
    <w:rsid w:val="00477E01"/>
    <w:pPr>
      <w:tabs>
        <w:tab w:val="right" w:pos="1985"/>
      </w:tabs>
      <w:spacing w:before="40" w:line="240" w:lineRule="auto"/>
      <w:ind w:left="828" w:hanging="828"/>
    </w:pPr>
    <w:rPr>
      <w:rFonts w:eastAsia="Times New Roman" w:cs="Times New Roman"/>
      <w:sz w:val="20"/>
      <w:lang w:eastAsia="en-AU"/>
    </w:rPr>
  </w:style>
  <w:style w:type="paragraph" w:customStyle="1" w:styleId="EndNotessubitem">
    <w:name w:val="EndNotes(subitem)"/>
    <w:aliases w:val="ens"/>
    <w:basedOn w:val="Normal"/>
    <w:rsid w:val="00477E01"/>
    <w:pPr>
      <w:tabs>
        <w:tab w:val="right" w:pos="340"/>
      </w:tabs>
      <w:spacing w:before="60" w:line="240" w:lineRule="auto"/>
      <w:ind w:left="454" w:hanging="454"/>
    </w:pPr>
    <w:rPr>
      <w:rFonts w:eastAsia="Times New Roman" w:cs="Times New Roman"/>
      <w:sz w:val="20"/>
      <w:lang w:eastAsia="en-AU"/>
    </w:rPr>
  </w:style>
  <w:style w:type="paragraph" w:customStyle="1" w:styleId="EndNotessubpara">
    <w:name w:val="EndNotes(subpara)"/>
    <w:aliases w:val="Enaa"/>
    <w:basedOn w:val="Normal"/>
    <w:next w:val="Normal"/>
    <w:rsid w:val="00477E01"/>
    <w:pPr>
      <w:tabs>
        <w:tab w:val="right" w:pos="1083"/>
      </w:tabs>
      <w:spacing w:before="60" w:line="240" w:lineRule="auto"/>
      <w:ind w:left="1191" w:hanging="1191"/>
    </w:pPr>
    <w:rPr>
      <w:rFonts w:eastAsia="Times New Roman" w:cs="Times New Roman"/>
      <w:sz w:val="20"/>
      <w:lang w:eastAsia="en-AU"/>
    </w:rPr>
  </w:style>
  <w:style w:type="paragraph" w:customStyle="1" w:styleId="EndNotessubsubpara">
    <w:name w:val="EndNotes(subsubpara)"/>
    <w:aliases w:val="Enaaa"/>
    <w:basedOn w:val="Normal"/>
    <w:rsid w:val="00477E01"/>
    <w:pPr>
      <w:tabs>
        <w:tab w:val="right" w:pos="1412"/>
      </w:tabs>
      <w:spacing w:before="60" w:line="240" w:lineRule="auto"/>
      <w:ind w:left="1525" w:hanging="1525"/>
    </w:pPr>
    <w:rPr>
      <w:rFonts w:eastAsia="Times New Roman" w:cs="Times New Roman"/>
      <w:sz w:val="20"/>
      <w:lang w:eastAsia="en-AU"/>
    </w:rPr>
  </w:style>
  <w:style w:type="paragraph" w:customStyle="1" w:styleId="ENotesHeading1">
    <w:name w:val="ENotesHeading 1"/>
    <w:aliases w:val="Enh1"/>
    <w:basedOn w:val="Normal"/>
    <w:next w:val="Normal"/>
    <w:rsid w:val="00477E01"/>
    <w:pPr>
      <w:spacing w:before="120"/>
      <w:outlineLvl w:val="1"/>
    </w:pPr>
    <w:rPr>
      <w:rFonts w:eastAsia="Times New Roman" w:cs="Times New Roman"/>
      <w:b/>
      <w:sz w:val="28"/>
      <w:szCs w:val="28"/>
      <w:lang w:eastAsia="en-AU"/>
    </w:rPr>
  </w:style>
  <w:style w:type="paragraph" w:customStyle="1" w:styleId="ENotesHeading2">
    <w:name w:val="ENotesHeading 2"/>
    <w:aliases w:val="Enh2"/>
    <w:basedOn w:val="Normal"/>
    <w:next w:val="Normal"/>
    <w:rsid w:val="00477E01"/>
    <w:pPr>
      <w:spacing w:before="120" w:after="120"/>
      <w:outlineLvl w:val="2"/>
    </w:pPr>
    <w:rPr>
      <w:rFonts w:eastAsia="Times New Roman" w:cs="Times New Roman"/>
      <w:b/>
      <w:sz w:val="24"/>
      <w:szCs w:val="28"/>
      <w:lang w:eastAsia="en-AU"/>
    </w:rPr>
  </w:style>
  <w:style w:type="paragraph" w:customStyle="1" w:styleId="ENotesHeading3">
    <w:name w:val="ENotesHeading 3"/>
    <w:aliases w:val="Enh3"/>
    <w:basedOn w:val="Normal"/>
    <w:next w:val="Normal"/>
    <w:rsid w:val="00477E01"/>
    <w:pPr>
      <w:keepNext/>
      <w:spacing w:before="120" w:line="240" w:lineRule="auto"/>
      <w:outlineLvl w:val="4"/>
    </w:pPr>
    <w:rPr>
      <w:rFonts w:eastAsia="Times New Roman" w:cs="Times New Roman"/>
      <w:b/>
      <w:szCs w:val="24"/>
      <w:lang w:eastAsia="en-AU"/>
    </w:rPr>
  </w:style>
  <w:style w:type="paragraph" w:customStyle="1" w:styleId="ENotesText">
    <w:name w:val="ENotesText"/>
    <w:aliases w:val="Ent"/>
    <w:basedOn w:val="Normal"/>
    <w:next w:val="Normal"/>
    <w:rsid w:val="00477E01"/>
    <w:pPr>
      <w:spacing w:before="120"/>
    </w:pPr>
    <w:rPr>
      <w:rFonts w:eastAsia="Times New Roman" w:cs="Times New Roman"/>
      <w:lang w:eastAsia="en-AU"/>
    </w:rPr>
  </w:style>
  <w:style w:type="paragraph" w:customStyle="1" w:styleId="ENoteTableHeading">
    <w:name w:val="ENoteTableHeading"/>
    <w:aliases w:val="enth"/>
    <w:basedOn w:val="Normal"/>
    <w:rsid w:val="00477E01"/>
    <w:pPr>
      <w:keepNext/>
      <w:spacing w:before="60" w:line="240" w:lineRule="atLeast"/>
    </w:pPr>
    <w:rPr>
      <w:rFonts w:ascii="Arial" w:eastAsia="Times New Roman" w:hAnsi="Arial" w:cs="Times New Roman"/>
      <w:b/>
      <w:sz w:val="16"/>
      <w:lang w:eastAsia="en-AU"/>
    </w:rPr>
  </w:style>
  <w:style w:type="paragraph" w:customStyle="1" w:styleId="ENoteTableText">
    <w:name w:val="ENoteTableText"/>
    <w:aliases w:val="entt"/>
    <w:basedOn w:val="Normal"/>
    <w:rsid w:val="00477E01"/>
    <w:pPr>
      <w:spacing w:before="60" w:line="240" w:lineRule="atLeast"/>
    </w:pPr>
    <w:rPr>
      <w:rFonts w:eastAsia="Times New Roman" w:cs="Times New Roman"/>
      <w:sz w:val="16"/>
      <w:lang w:eastAsia="en-AU"/>
    </w:rPr>
  </w:style>
  <w:style w:type="paragraph" w:customStyle="1" w:styleId="ENoteTTi">
    <w:name w:val="ENoteTTi"/>
    <w:aliases w:val="entti"/>
    <w:basedOn w:val="Normal"/>
    <w:rsid w:val="00477E01"/>
    <w:pPr>
      <w:keepNext/>
      <w:spacing w:before="60" w:line="240" w:lineRule="atLeast"/>
      <w:ind w:left="170"/>
    </w:pPr>
    <w:rPr>
      <w:rFonts w:eastAsia="Times New Roman" w:cs="Times New Roman"/>
      <w:sz w:val="16"/>
      <w:lang w:eastAsia="en-AU"/>
    </w:rPr>
  </w:style>
  <w:style w:type="paragraph" w:customStyle="1" w:styleId="ENoteTTIndentHeading">
    <w:name w:val="ENoteTTIndentHeading"/>
    <w:aliases w:val="enTTHi"/>
    <w:basedOn w:val="Normal"/>
    <w:rsid w:val="00477E01"/>
    <w:pPr>
      <w:keepNext/>
      <w:spacing w:before="60" w:line="240" w:lineRule="atLeast"/>
      <w:ind w:left="170"/>
    </w:pPr>
    <w:rPr>
      <w:rFonts w:eastAsia="Times New Roman" w:cs="Arial"/>
      <w:b/>
      <w:sz w:val="16"/>
      <w:szCs w:val="16"/>
      <w:lang w:eastAsia="en-AU"/>
    </w:rPr>
  </w:style>
  <w:style w:type="paragraph" w:customStyle="1" w:styleId="ENoteTTIndentHeadingSub">
    <w:name w:val="ENoteTTIndentHeadingSub"/>
    <w:aliases w:val="enTTHis"/>
    <w:basedOn w:val="Normal"/>
    <w:rsid w:val="00477E01"/>
    <w:pPr>
      <w:keepNext/>
      <w:spacing w:before="60" w:line="240" w:lineRule="atLeast"/>
      <w:ind w:left="340"/>
    </w:pPr>
    <w:rPr>
      <w:rFonts w:eastAsia="Times New Roman" w:cs="Times New Roman"/>
      <w:b/>
      <w:sz w:val="16"/>
      <w:lang w:eastAsia="en-AU"/>
    </w:rPr>
  </w:style>
  <w:style w:type="paragraph" w:customStyle="1" w:styleId="ENoteTTiSub">
    <w:name w:val="ENoteTTiSub"/>
    <w:aliases w:val="enttis"/>
    <w:basedOn w:val="Normal"/>
    <w:rsid w:val="00477E01"/>
    <w:pPr>
      <w:keepNext/>
      <w:spacing w:before="60" w:line="240" w:lineRule="atLeast"/>
      <w:ind w:left="340"/>
    </w:pPr>
    <w:rPr>
      <w:rFonts w:eastAsia="Times New Roman" w:cs="Times New Roman"/>
      <w:sz w:val="16"/>
      <w:lang w:eastAsia="en-AU"/>
    </w:rPr>
  </w:style>
  <w:style w:type="paragraph" w:customStyle="1" w:styleId="FileName">
    <w:name w:val="FileName"/>
    <w:basedOn w:val="Normal"/>
    <w:rsid w:val="00477E01"/>
  </w:style>
  <w:style w:type="paragraph" w:customStyle="1" w:styleId="Formula">
    <w:name w:val="Formula"/>
    <w:basedOn w:val="Normal"/>
    <w:rsid w:val="00477E01"/>
    <w:pPr>
      <w:spacing w:line="240" w:lineRule="auto"/>
      <w:ind w:left="1134"/>
    </w:pPr>
    <w:rPr>
      <w:rFonts w:eastAsia="Times New Roman" w:cs="Times New Roman"/>
      <w:sz w:val="20"/>
      <w:lang w:eastAsia="en-AU"/>
    </w:rPr>
  </w:style>
  <w:style w:type="paragraph" w:customStyle="1" w:styleId="FreeForm">
    <w:name w:val="FreeForm"/>
    <w:rsid w:val="00477E01"/>
    <w:pPr>
      <w:spacing w:after="0" w:line="240" w:lineRule="auto"/>
    </w:pPr>
    <w:rPr>
      <w:rFonts w:ascii="Arial" w:hAnsi="Arial"/>
      <w:szCs w:val="20"/>
    </w:rPr>
  </w:style>
  <w:style w:type="paragraph" w:customStyle="1" w:styleId="Head1">
    <w:name w:val="Head 1"/>
    <w:aliases w:val="1"/>
    <w:basedOn w:val="Normal"/>
    <w:next w:val="BodyNum"/>
    <w:rsid w:val="00477E01"/>
    <w:pPr>
      <w:keepNext/>
      <w:spacing w:before="240" w:after="60" w:line="240" w:lineRule="auto"/>
      <w:outlineLvl w:val="0"/>
    </w:pPr>
    <w:rPr>
      <w:rFonts w:ascii="Arial" w:eastAsia="Times New Roman" w:hAnsi="Arial" w:cs="Times New Roman"/>
      <w:b/>
      <w:kern w:val="28"/>
      <w:sz w:val="36"/>
      <w:lang w:eastAsia="en-AU"/>
    </w:rPr>
  </w:style>
  <w:style w:type="paragraph" w:customStyle="1" w:styleId="Head2">
    <w:name w:val="Head 2"/>
    <w:aliases w:val="2"/>
    <w:basedOn w:val="Normal"/>
    <w:next w:val="BodyNum"/>
    <w:rsid w:val="00477E01"/>
    <w:pPr>
      <w:keepNext/>
      <w:spacing w:before="240" w:after="60" w:line="240" w:lineRule="auto"/>
      <w:outlineLvl w:val="1"/>
    </w:pPr>
    <w:rPr>
      <w:rFonts w:ascii="Arial" w:eastAsia="Times New Roman" w:hAnsi="Arial" w:cs="Times New Roman"/>
      <w:b/>
      <w:kern w:val="28"/>
      <w:sz w:val="28"/>
      <w:lang w:eastAsia="en-AU"/>
    </w:rPr>
  </w:style>
  <w:style w:type="paragraph" w:customStyle="1" w:styleId="Head3">
    <w:name w:val="Head 3"/>
    <w:aliases w:val="3"/>
    <w:basedOn w:val="Normal"/>
    <w:next w:val="BodyNum"/>
    <w:rsid w:val="00477E01"/>
    <w:pPr>
      <w:keepNext/>
      <w:spacing w:before="240" w:after="60" w:line="240" w:lineRule="auto"/>
      <w:outlineLvl w:val="2"/>
    </w:pPr>
    <w:rPr>
      <w:rFonts w:ascii="Arial" w:eastAsia="Times New Roman" w:hAnsi="Arial" w:cs="Times New Roman"/>
      <w:b/>
      <w:i/>
      <w:kern w:val="28"/>
      <w:sz w:val="26"/>
      <w:lang w:eastAsia="en-AU"/>
    </w:rPr>
  </w:style>
  <w:style w:type="character" w:customStyle="1" w:styleId="Heading1Char">
    <w:name w:val="Heading 1 Char"/>
    <w:basedOn w:val="DefaultParagraphFont"/>
    <w:link w:val="Heading1"/>
    <w:uiPriority w:val="9"/>
    <w:rsid w:val="00477E0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477E0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77E01"/>
    <w:rPr>
      <w:rFonts w:asciiTheme="majorHAnsi" w:eastAsiaTheme="majorEastAsia" w:hAnsiTheme="majorHAnsi" w:cstheme="majorBidi"/>
      <w:b/>
      <w:bCs/>
      <w:color w:val="5B9BD5" w:themeColor="accent1"/>
      <w:szCs w:val="20"/>
    </w:rPr>
  </w:style>
  <w:style w:type="character" w:customStyle="1" w:styleId="Heading4Char">
    <w:name w:val="Heading 4 Char"/>
    <w:basedOn w:val="DefaultParagraphFont"/>
    <w:link w:val="Heading4"/>
    <w:uiPriority w:val="9"/>
    <w:semiHidden/>
    <w:rsid w:val="00477E01"/>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uiPriority w:val="9"/>
    <w:semiHidden/>
    <w:rsid w:val="00477E01"/>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477E01"/>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477E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7E01"/>
    <w:rPr>
      <w:rFonts w:asciiTheme="majorHAnsi" w:eastAsiaTheme="majorEastAsia" w:hAnsiTheme="majorHAnsi" w:cstheme="majorBidi"/>
      <w:i/>
      <w:iCs/>
      <w:color w:val="404040" w:themeColor="text1" w:themeTint="BF"/>
      <w:sz w:val="20"/>
      <w:szCs w:val="20"/>
    </w:rPr>
  </w:style>
  <w:style w:type="paragraph" w:customStyle="1" w:styleId="House">
    <w:name w:val="House"/>
    <w:basedOn w:val="Normal"/>
    <w:rsid w:val="00477E01"/>
    <w:pPr>
      <w:spacing w:line="240" w:lineRule="auto"/>
    </w:pPr>
    <w:rPr>
      <w:rFonts w:eastAsia="Times New Roman" w:cs="Times New Roman"/>
      <w:sz w:val="28"/>
      <w:lang w:eastAsia="en-AU"/>
    </w:rPr>
  </w:style>
  <w:style w:type="paragraph" w:customStyle="1" w:styleId="InstNo">
    <w:name w:val="InstNo"/>
    <w:basedOn w:val="Normal"/>
    <w:next w:val="Normal"/>
    <w:rsid w:val="00477E01"/>
    <w:rPr>
      <w:rFonts w:eastAsia="Times New Roman" w:cs="Times New Roman"/>
      <w:b/>
      <w:sz w:val="28"/>
      <w:szCs w:val="32"/>
      <w:lang w:eastAsia="en-AU"/>
    </w:rPr>
  </w:style>
  <w:style w:type="paragraph" w:customStyle="1" w:styleId="Item">
    <w:name w:val="Item"/>
    <w:aliases w:val="i"/>
    <w:basedOn w:val="Normal"/>
    <w:next w:val="Normal"/>
    <w:rsid w:val="00477E01"/>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477E01"/>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LegislationMadeUnder">
    <w:name w:val="LegislationMadeUnder"/>
    <w:basedOn w:val="Normal"/>
    <w:next w:val="Normal"/>
    <w:rsid w:val="00477E01"/>
    <w:rPr>
      <w:rFonts w:eastAsia="Times New Roman" w:cs="Times New Roman"/>
      <w:i/>
      <w:sz w:val="32"/>
      <w:szCs w:val="32"/>
      <w:lang w:eastAsia="en-AU"/>
    </w:rPr>
  </w:style>
  <w:style w:type="character" w:styleId="LineNumber">
    <w:name w:val="line number"/>
    <w:basedOn w:val="DefaultParagraphFont"/>
    <w:uiPriority w:val="99"/>
    <w:semiHidden/>
    <w:unhideWhenUsed/>
    <w:rsid w:val="00477E01"/>
    <w:rPr>
      <w:sz w:val="16"/>
    </w:rPr>
  </w:style>
  <w:style w:type="paragraph" w:customStyle="1" w:styleId="LongT">
    <w:name w:val="LongT"/>
    <w:basedOn w:val="Normal"/>
    <w:rsid w:val="00477E01"/>
    <w:pPr>
      <w:spacing w:line="240" w:lineRule="auto"/>
    </w:pPr>
    <w:rPr>
      <w:rFonts w:eastAsia="Times New Roman" w:cs="Times New Roman"/>
      <w:b/>
      <w:sz w:val="32"/>
      <w:lang w:eastAsia="en-AU"/>
    </w:rPr>
  </w:style>
  <w:style w:type="paragraph" w:customStyle="1" w:styleId="MadeunderText">
    <w:name w:val="MadeunderText"/>
    <w:basedOn w:val="Normal"/>
    <w:next w:val="CompiledMadeUnder"/>
    <w:rsid w:val="00477E01"/>
    <w:pPr>
      <w:spacing w:before="240"/>
    </w:pPr>
    <w:rPr>
      <w:rFonts w:eastAsia="Times New Roman" w:cs="Times New Roman"/>
      <w:sz w:val="24"/>
      <w:szCs w:val="24"/>
      <w:lang w:eastAsia="en-AU"/>
    </w:rPr>
  </w:style>
  <w:style w:type="paragraph" w:customStyle="1" w:styleId="notedraft">
    <w:name w:val="note(draft)"/>
    <w:aliases w:val="nd"/>
    <w:basedOn w:val="Normal"/>
    <w:rsid w:val="00477E01"/>
    <w:pPr>
      <w:spacing w:before="240" w:line="240" w:lineRule="auto"/>
      <w:ind w:left="284" w:hanging="284"/>
    </w:pPr>
    <w:rPr>
      <w:rFonts w:eastAsia="Times New Roman" w:cs="Times New Roman"/>
      <w:i/>
      <w:sz w:val="24"/>
      <w:lang w:eastAsia="en-AU"/>
    </w:rPr>
  </w:style>
  <w:style w:type="paragraph" w:customStyle="1" w:styleId="notemargin">
    <w:name w:val="note(margin)"/>
    <w:aliases w:val="nm"/>
    <w:basedOn w:val="Normal"/>
    <w:rsid w:val="00477E01"/>
    <w:pPr>
      <w:tabs>
        <w:tab w:val="left" w:pos="709"/>
      </w:tabs>
      <w:spacing w:before="122" w:line="198" w:lineRule="exact"/>
      <w:ind w:left="709" w:hanging="709"/>
    </w:pPr>
    <w:rPr>
      <w:rFonts w:eastAsia="Times New Roman" w:cs="Times New Roman"/>
      <w:sz w:val="18"/>
      <w:lang w:eastAsia="en-AU"/>
    </w:rPr>
  </w:style>
  <w:style w:type="paragraph" w:customStyle="1" w:styleId="noteParlAmend">
    <w:name w:val="note(ParlAmend)"/>
    <w:aliases w:val="npp"/>
    <w:basedOn w:val="Normal"/>
    <w:next w:val="Normal"/>
    <w:rsid w:val="00477E01"/>
    <w:pPr>
      <w:spacing w:line="240" w:lineRule="auto"/>
      <w:jc w:val="right"/>
    </w:pPr>
    <w:rPr>
      <w:rFonts w:ascii="Arial" w:eastAsia="Times New Roman" w:hAnsi="Arial" w:cs="Times New Roman"/>
      <w:b/>
      <w:i/>
      <w:lang w:eastAsia="en-AU"/>
    </w:rPr>
  </w:style>
  <w:style w:type="paragraph" w:customStyle="1" w:styleId="notetext">
    <w:name w:val="note(text)"/>
    <w:aliases w:val="n"/>
    <w:basedOn w:val="Normal"/>
    <w:link w:val="notetextChar"/>
    <w:rsid w:val="00477E01"/>
    <w:pPr>
      <w:spacing w:before="122" w:line="198" w:lineRule="exact"/>
      <w:ind w:left="1985" w:hanging="851"/>
    </w:pPr>
    <w:rPr>
      <w:rFonts w:eastAsia="Times New Roman" w:cs="Times New Roman"/>
      <w:sz w:val="18"/>
      <w:lang w:eastAsia="en-AU"/>
    </w:rPr>
  </w:style>
  <w:style w:type="character" w:customStyle="1" w:styleId="notetextChar">
    <w:name w:val="note(text) Char"/>
    <w:aliases w:val="n Char"/>
    <w:basedOn w:val="DefaultParagraphFont"/>
    <w:link w:val="notetext"/>
    <w:rsid w:val="00477E01"/>
    <w:rPr>
      <w:rFonts w:ascii="Times New Roman" w:eastAsia="Times New Roman" w:hAnsi="Times New Roman" w:cs="Times New Roman"/>
      <w:sz w:val="18"/>
      <w:szCs w:val="20"/>
      <w:lang w:eastAsia="en-AU"/>
    </w:rPr>
  </w:style>
  <w:style w:type="paragraph" w:customStyle="1" w:styleId="NotesHeading1">
    <w:name w:val="NotesHeading 1"/>
    <w:basedOn w:val="Normal"/>
    <w:next w:val="Normal"/>
    <w:rsid w:val="00477E01"/>
    <w:pPr>
      <w:outlineLvl w:val="0"/>
    </w:pPr>
    <w:rPr>
      <w:rFonts w:eastAsia="Times New Roman" w:cs="Times New Roman"/>
      <w:b/>
      <w:sz w:val="28"/>
      <w:szCs w:val="28"/>
      <w:lang w:eastAsia="en-AU"/>
    </w:rPr>
  </w:style>
  <w:style w:type="paragraph" w:customStyle="1" w:styleId="NotesHeading2">
    <w:name w:val="NotesHeading 2"/>
    <w:basedOn w:val="Normal"/>
    <w:next w:val="Normal"/>
    <w:rsid w:val="00477E01"/>
    <w:rPr>
      <w:rFonts w:eastAsia="Times New Roman" w:cs="Times New Roman"/>
      <w:b/>
      <w:sz w:val="28"/>
      <w:szCs w:val="28"/>
      <w:lang w:eastAsia="en-AU"/>
    </w:rPr>
  </w:style>
  <w:style w:type="paragraph" w:customStyle="1" w:styleId="noteToPara">
    <w:name w:val="noteToPara"/>
    <w:aliases w:val="ntp"/>
    <w:basedOn w:val="Normal"/>
    <w:rsid w:val="00477E01"/>
    <w:pPr>
      <w:spacing w:before="122" w:line="198" w:lineRule="exact"/>
      <w:ind w:left="2353" w:hanging="709"/>
    </w:pPr>
    <w:rPr>
      <w:rFonts w:eastAsia="Times New Roman" w:cs="Times New Roman"/>
      <w:sz w:val="18"/>
      <w:lang w:eastAsia="en-AU"/>
    </w:rPr>
  </w:style>
  <w:style w:type="paragraph" w:customStyle="1" w:styleId="NoteToSubpara">
    <w:name w:val="NoteToSubpara"/>
    <w:aliases w:val="nts"/>
    <w:basedOn w:val="Normal"/>
    <w:rsid w:val="00477E01"/>
    <w:pPr>
      <w:spacing w:before="40" w:line="198" w:lineRule="exact"/>
      <w:ind w:left="2835" w:hanging="709"/>
    </w:pPr>
    <w:rPr>
      <w:rFonts w:eastAsia="Times New Roman" w:cs="Times New Roman"/>
      <w:sz w:val="18"/>
      <w:lang w:eastAsia="en-AU"/>
    </w:rPr>
  </w:style>
  <w:style w:type="numbering" w:customStyle="1" w:styleId="OPCBodyList">
    <w:name w:val="OPCBodyList"/>
    <w:uiPriority w:val="99"/>
    <w:rsid w:val="00477E01"/>
    <w:pPr>
      <w:numPr>
        <w:numId w:val="3"/>
      </w:numPr>
    </w:pPr>
  </w:style>
  <w:style w:type="character" w:customStyle="1" w:styleId="OPCCharBase">
    <w:name w:val="OPCCharBase"/>
    <w:uiPriority w:val="1"/>
    <w:qFormat/>
    <w:rsid w:val="00477E01"/>
  </w:style>
  <w:style w:type="paragraph" w:customStyle="1" w:styleId="OPCParaBase">
    <w:name w:val="OPCParaBase"/>
    <w:qFormat/>
    <w:rsid w:val="00477E01"/>
    <w:pPr>
      <w:spacing w:after="0" w:line="260" w:lineRule="atLeast"/>
    </w:pPr>
    <w:rPr>
      <w:rFonts w:ascii="Times New Roman" w:eastAsia="Times New Roman" w:hAnsi="Times New Roman" w:cs="Times New Roman"/>
      <w:szCs w:val="20"/>
      <w:lang w:eastAsia="en-AU"/>
    </w:rPr>
  </w:style>
  <w:style w:type="paragraph" w:customStyle="1" w:styleId="Page1">
    <w:name w:val="Page1"/>
    <w:basedOn w:val="OPCParaBase"/>
    <w:rsid w:val="00477E01"/>
    <w:pPr>
      <w:spacing w:before="5600" w:line="240" w:lineRule="auto"/>
    </w:pPr>
    <w:rPr>
      <w:b/>
      <w:sz w:val="32"/>
    </w:rPr>
  </w:style>
  <w:style w:type="paragraph" w:customStyle="1" w:styleId="PageBreak">
    <w:name w:val="PageBreak"/>
    <w:aliases w:val="pb"/>
    <w:basedOn w:val="OPCParaBase"/>
    <w:rsid w:val="00477E01"/>
    <w:pPr>
      <w:spacing w:line="240" w:lineRule="auto"/>
    </w:pPr>
    <w:rPr>
      <w:sz w:val="20"/>
    </w:rPr>
  </w:style>
  <w:style w:type="paragraph" w:customStyle="1" w:styleId="paragraphsub">
    <w:name w:val="paragraph(sub)"/>
    <w:aliases w:val="aa"/>
    <w:basedOn w:val="OPCParaBase"/>
    <w:rsid w:val="00477E01"/>
    <w:pPr>
      <w:tabs>
        <w:tab w:val="right" w:pos="1985"/>
      </w:tabs>
      <w:spacing w:before="40" w:line="240" w:lineRule="auto"/>
      <w:ind w:left="2098" w:hanging="2098"/>
    </w:pPr>
  </w:style>
  <w:style w:type="paragraph" w:customStyle="1" w:styleId="paragraphsub-sub">
    <w:name w:val="paragraph(sub-sub)"/>
    <w:aliases w:val="aaa"/>
    <w:basedOn w:val="OPCParaBase"/>
    <w:rsid w:val="00477E01"/>
    <w:pPr>
      <w:tabs>
        <w:tab w:val="right" w:pos="2722"/>
      </w:tabs>
      <w:spacing w:before="40" w:line="240" w:lineRule="auto"/>
      <w:ind w:left="2835" w:hanging="2835"/>
    </w:pPr>
  </w:style>
  <w:style w:type="paragraph" w:customStyle="1" w:styleId="Paragraphsub-sub-sub">
    <w:name w:val="Paragraph(sub-sub-sub)"/>
    <w:aliases w:val="aaaa"/>
    <w:basedOn w:val="OPCParaBase"/>
    <w:rsid w:val="00477E01"/>
    <w:pPr>
      <w:tabs>
        <w:tab w:val="right" w:pos="3402"/>
      </w:tabs>
      <w:spacing w:before="40" w:line="240" w:lineRule="auto"/>
      <w:ind w:left="3402" w:hanging="3402"/>
    </w:pPr>
  </w:style>
  <w:style w:type="paragraph" w:customStyle="1" w:styleId="ParlAmend">
    <w:name w:val="ParlAmend"/>
    <w:aliases w:val="pp"/>
    <w:basedOn w:val="OPCParaBase"/>
    <w:rsid w:val="00477E01"/>
    <w:pPr>
      <w:spacing w:before="240" w:line="240" w:lineRule="atLeast"/>
      <w:ind w:hanging="567"/>
    </w:pPr>
    <w:rPr>
      <w:sz w:val="24"/>
    </w:rPr>
  </w:style>
  <w:style w:type="paragraph" w:customStyle="1" w:styleId="Penalty">
    <w:name w:val="Penalty"/>
    <w:basedOn w:val="OPCParaBase"/>
    <w:rsid w:val="00477E01"/>
    <w:pPr>
      <w:tabs>
        <w:tab w:val="left" w:pos="2977"/>
      </w:tabs>
      <w:spacing w:before="180" w:line="240" w:lineRule="auto"/>
      <w:ind w:left="1985" w:hanging="851"/>
    </w:pPr>
  </w:style>
  <w:style w:type="paragraph" w:customStyle="1" w:styleId="Portfolio">
    <w:name w:val="Portfolio"/>
    <w:basedOn w:val="OPCParaBase"/>
    <w:rsid w:val="00477E01"/>
    <w:pPr>
      <w:spacing w:line="240" w:lineRule="auto"/>
    </w:pPr>
    <w:rPr>
      <w:i/>
      <w:sz w:val="20"/>
    </w:rPr>
  </w:style>
  <w:style w:type="paragraph" w:customStyle="1" w:styleId="Preamble">
    <w:name w:val="Preamble"/>
    <w:basedOn w:val="OPCParaBase"/>
    <w:next w:val="Normal"/>
    <w:rsid w:val="00477E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7E01"/>
    <w:pPr>
      <w:spacing w:line="240" w:lineRule="auto"/>
    </w:pPr>
    <w:rPr>
      <w:i/>
      <w:sz w:val="20"/>
    </w:rPr>
  </w:style>
  <w:style w:type="paragraph" w:customStyle="1" w:styleId="Session">
    <w:name w:val="Session"/>
    <w:basedOn w:val="OPCParaBase"/>
    <w:rsid w:val="00477E01"/>
    <w:pPr>
      <w:spacing w:line="240" w:lineRule="auto"/>
    </w:pPr>
    <w:rPr>
      <w:sz w:val="28"/>
    </w:rPr>
  </w:style>
  <w:style w:type="paragraph" w:customStyle="1" w:styleId="ShortT">
    <w:name w:val="ShortT"/>
    <w:basedOn w:val="OPCParaBase"/>
    <w:next w:val="Normal"/>
    <w:qFormat/>
    <w:rsid w:val="00477E01"/>
    <w:pPr>
      <w:spacing w:line="240" w:lineRule="auto"/>
    </w:pPr>
    <w:rPr>
      <w:b/>
      <w:sz w:val="40"/>
    </w:rPr>
  </w:style>
  <w:style w:type="paragraph" w:customStyle="1" w:styleId="SignCoverPageEnd">
    <w:name w:val="SignCoverPageEnd"/>
    <w:basedOn w:val="OPCParaBase"/>
    <w:next w:val="Normal"/>
    <w:rsid w:val="00477E0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77E01"/>
    <w:pPr>
      <w:pBdr>
        <w:top w:val="single" w:sz="4" w:space="1" w:color="auto"/>
      </w:pBdr>
      <w:spacing w:before="360"/>
      <w:ind w:right="397"/>
      <w:jc w:val="both"/>
    </w:pPr>
  </w:style>
  <w:style w:type="paragraph" w:customStyle="1" w:styleId="SOBullet">
    <w:name w:val="SO Bullet"/>
    <w:aliases w:val="sotb"/>
    <w:basedOn w:val="Normal"/>
    <w:link w:val="SOBulletChar"/>
    <w:qFormat/>
    <w:rsid w:val="00477E01"/>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77E01"/>
    <w:rPr>
      <w:rFonts w:ascii="Times New Roman" w:hAnsi="Times New Roman"/>
      <w:szCs w:val="20"/>
    </w:rPr>
  </w:style>
  <w:style w:type="paragraph" w:customStyle="1" w:styleId="SOBulletNote">
    <w:name w:val="SO BulletNote"/>
    <w:aliases w:val="sonb"/>
    <w:basedOn w:val="Normal"/>
    <w:link w:val="SOBulletNoteChar"/>
    <w:qFormat/>
    <w:rsid w:val="00477E01"/>
    <w:pPr>
      <w:pBdr>
        <w:top w:val="single" w:sz="6" w:space="5" w:color="auto"/>
        <w:left w:val="single" w:sz="6" w:space="5" w:color="auto"/>
        <w:bottom w:val="single" w:sz="6" w:space="5" w:color="auto"/>
        <w:right w:val="single" w:sz="6" w:space="5" w:color="auto"/>
      </w:pBdr>
      <w:tabs>
        <w:tab w:val="left" w:pos="1560"/>
      </w:tabs>
      <w:spacing w:before="122" w:line="198" w:lineRule="exact"/>
      <w:ind w:left="2268" w:hanging="1134"/>
    </w:pPr>
    <w:rPr>
      <w:sz w:val="18"/>
    </w:rPr>
  </w:style>
  <w:style w:type="character" w:customStyle="1" w:styleId="SOBulletNoteChar">
    <w:name w:val="SO BulletNote Char"/>
    <w:aliases w:val="sonb Char"/>
    <w:basedOn w:val="DefaultParagraphFont"/>
    <w:link w:val="SOBulletNote"/>
    <w:rsid w:val="00477E01"/>
    <w:rPr>
      <w:rFonts w:ascii="Times New Roman" w:hAnsi="Times New Roman"/>
      <w:sz w:val="18"/>
      <w:szCs w:val="20"/>
    </w:rPr>
  </w:style>
  <w:style w:type="paragraph" w:customStyle="1" w:styleId="SOHeadBold">
    <w:name w:val="SO HeadBold"/>
    <w:aliases w:val="sohb"/>
    <w:basedOn w:val="Normal"/>
    <w:next w:val="Normal"/>
    <w:link w:val="SOHeadBoldChar"/>
    <w:qFormat/>
    <w:rsid w:val="00477E0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477E01"/>
    <w:rPr>
      <w:rFonts w:ascii="Times New Roman" w:hAnsi="Times New Roman"/>
      <w:b/>
      <w:szCs w:val="20"/>
    </w:rPr>
  </w:style>
  <w:style w:type="paragraph" w:customStyle="1" w:styleId="SOHeadItalic">
    <w:name w:val="SO HeadItalic"/>
    <w:aliases w:val="sohi"/>
    <w:basedOn w:val="Normal"/>
    <w:next w:val="Normal"/>
    <w:link w:val="SOHeadItalicChar"/>
    <w:qFormat/>
    <w:rsid w:val="00477E0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477E01"/>
    <w:rPr>
      <w:rFonts w:ascii="Times New Roman" w:hAnsi="Times New Roman"/>
      <w:i/>
      <w:szCs w:val="20"/>
    </w:rPr>
  </w:style>
  <w:style w:type="paragraph" w:customStyle="1" w:styleId="SOPara">
    <w:name w:val="SO Para"/>
    <w:aliases w:val="soa"/>
    <w:basedOn w:val="Normal"/>
    <w:link w:val="SOParaChar"/>
    <w:qFormat/>
    <w:rsid w:val="00477E0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477E01"/>
    <w:rPr>
      <w:rFonts w:ascii="Times New Roman" w:hAnsi="Times New Roman"/>
      <w:szCs w:val="20"/>
    </w:rPr>
  </w:style>
  <w:style w:type="paragraph" w:customStyle="1" w:styleId="SOText">
    <w:name w:val="SO Text"/>
    <w:aliases w:val="sot"/>
    <w:link w:val="SOTextChar"/>
    <w:rsid w:val="00477E0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477E01"/>
    <w:rPr>
      <w:rFonts w:ascii="Times New Roman" w:hAnsi="Times New Roman"/>
      <w:szCs w:val="20"/>
    </w:rPr>
  </w:style>
  <w:style w:type="paragraph" w:customStyle="1" w:styleId="SOTextNote">
    <w:name w:val="SO TextNote"/>
    <w:aliases w:val="sont"/>
    <w:basedOn w:val="SOText"/>
    <w:qFormat/>
    <w:rsid w:val="00477E01"/>
    <w:pPr>
      <w:spacing w:before="122" w:line="198" w:lineRule="exact"/>
      <w:ind w:left="1843" w:hanging="709"/>
    </w:pPr>
    <w:rPr>
      <w:sz w:val="18"/>
    </w:rPr>
  </w:style>
  <w:style w:type="paragraph" w:customStyle="1" w:styleId="Sponsor">
    <w:name w:val="Sponsor"/>
    <w:basedOn w:val="OPCParaBase"/>
    <w:rsid w:val="00477E01"/>
    <w:pPr>
      <w:spacing w:line="240" w:lineRule="auto"/>
    </w:pPr>
    <w:rPr>
      <w:i/>
    </w:rPr>
  </w:style>
  <w:style w:type="paragraph" w:customStyle="1" w:styleId="SubDivisionMigration">
    <w:name w:val="SubDivisionMigration"/>
    <w:aliases w:val="sdm"/>
    <w:basedOn w:val="OPCParaBase"/>
    <w:rsid w:val="00477E01"/>
    <w:pPr>
      <w:keepNext/>
      <w:keepLines/>
      <w:spacing w:before="220" w:line="240" w:lineRule="auto"/>
      <w:ind w:left="1134" w:hanging="1134"/>
    </w:pPr>
    <w:rPr>
      <w:b/>
      <w:sz w:val="26"/>
    </w:rPr>
  </w:style>
  <w:style w:type="paragraph" w:customStyle="1" w:styleId="Subitem">
    <w:name w:val="Subitem"/>
    <w:aliases w:val="iss"/>
    <w:basedOn w:val="OPCParaBase"/>
    <w:rsid w:val="00477E01"/>
    <w:pPr>
      <w:spacing w:before="180" w:line="240" w:lineRule="auto"/>
      <w:ind w:left="709" w:hanging="709"/>
    </w:pPr>
  </w:style>
  <w:style w:type="paragraph" w:customStyle="1" w:styleId="SubitemHead">
    <w:name w:val="SubitemHead"/>
    <w:aliases w:val="issh"/>
    <w:basedOn w:val="OPCParaBase"/>
    <w:rsid w:val="00477E01"/>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ActHead3"/>
    <w:rsid w:val="00477E0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77E01"/>
    <w:rPr>
      <w:rFonts w:ascii="Times New Roman" w:eastAsia="Times New Roman" w:hAnsi="Times New Roman" w:cs="Times New Roman"/>
      <w:szCs w:val="20"/>
      <w:lang w:eastAsia="en-AU"/>
    </w:rPr>
  </w:style>
  <w:style w:type="paragraph" w:customStyle="1" w:styleId="subsection2">
    <w:name w:val="subsection2"/>
    <w:aliases w:val="ss2"/>
    <w:basedOn w:val="OPCParaBase"/>
    <w:next w:val="subsection"/>
    <w:rsid w:val="00477E01"/>
    <w:pPr>
      <w:spacing w:before="40" w:line="240" w:lineRule="auto"/>
      <w:ind w:left="1134"/>
    </w:pPr>
  </w:style>
  <w:style w:type="paragraph" w:customStyle="1" w:styleId="SubsectionHead">
    <w:name w:val="SubsectionHead"/>
    <w:aliases w:val="ssh"/>
    <w:basedOn w:val="OPCParaBase"/>
    <w:next w:val="subsection"/>
    <w:rsid w:val="00477E01"/>
    <w:pPr>
      <w:keepNext/>
      <w:keepLines/>
      <w:spacing w:before="240" w:line="240" w:lineRule="auto"/>
      <w:ind w:left="1134"/>
    </w:pPr>
    <w:rPr>
      <w:i/>
    </w:rPr>
  </w:style>
  <w:style w:type="paragraph" w:customStyle="1" w:styleId="Tablea">
    <w:name w:val="Table(a)"/>
    <w:aliases w:val="ta"/>
    <w:basedOn w:val="OPCParaBase"/>
    <w:rsid w:val="00477E01"/>
    <w:pPr>
      <w:spacing w:before="60" w:line="240" w:lineRule="auto"/>
      <w:ind w:left="284" w:hanging="284"/>
    </w:pPr>
    <w:rPr>
      <w:sz w:val="20"/>
    </w:rPr>
  </w:style>
  <w:style w:type="paragraph" w:customStyle="1" w:styleId="TableAA">
    <w:name w:val="Table(AA)"/>
    <w:aliases w:val="taaa"/>
    <w:basedOn w:val="OPCParaBase"/>
    <w:rsid w:val="00477E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7E01"/>
    <w:pPr>
      <w:tabs>
        <w:tab w:val="left" w:pos="-6543"/>
        <w:tab w:val="left" w:pos="-6260"/>
        <w:tab w:val="right" w:pos="970"/>
      </w:tabs>
      <w:spacing w:line="240" w:lineRule="exact"/>
      <w:ind w:left="828" w:hanging="284"/>
    </w:pPr>
    <w:rPr>
      <w:sz w:val="20"/>
    </w:rPr>
  </w:style>
  <w:style w:type="paragraph" w:customStyle="1" w:styleId="TableHeading">
    <w:name w:val="TableHeading"/>
    <w:aliases w:val="th"/>
    <w:basedOn w:val="OPCParaBase"/>
    <w:next w:val="Normal"/>
    <w:rsid w:val="00477E01"/>
    <w:pPr>
      <w:keepNext/>
      <w:spacing w:before="60" w:line="240" w:lineRule="atLeast"/>
    </w:pPr>
    <w:rPr>
      <w:b/>
      <w:sz w:val="20"/>
    </w:rPr>
  </w:style>
  <w:style w:type="paragraph" w:customStyle="1" w:styleId="Tabletext">
    <w:name w:val="Tabletext"/>
    <w:aliases w:val="tt"/>
    <w:basedOn w:val="OPCParaBase"/>
    <w:rsid w:val="00477E01"/>
    <w:pPr>
      <w:spacing w:before="60" w:line="240" w:lineRule="atLeast"/>
    </w:pPr>
    <w:rPr>
      <w:sz w:val="20"/>
    </w:rPr>
  </w:style>
  <w:style w:type="paragraph" w:customStyle="1" w:styleId="TableTextEndNotes">
    <w:name w:val="TableTextEndNotes"/>
    <w:aliases w:val="Tten"/>
    <w:basedOn w:val="Normal"/>
    <w:rsid w:val="00477E01"/>
    <w:pPr>
      <w:spacing w:before="60" w:line="240" w:lineRule="auto"/>
    </w:pPr>
    <w:rPr>
      <w:rFonts w:cs="Arial"/>
      <w:sz w:val="20"/>
      <w:szCs w:val="22"/>
    </w:rPr>
  </w:style>
  <w:style w:type="paragraph" w:customStyle="1" w:styleId="TLPBoxTextnote">
    <w:name w:val="TLPBoxText(note"/>
    <w:aliases w:val="right)"/>
    <w:basedOn w:val="OPCParaBase"/>
    <w:rsid w:val="00477E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7E01"/>
    <w:pPr>
      <w:tabs>
        <w:tab w:val="left" w:pos="357"/>
      </w:tabs>
      <w:spacing w:before="60" w:line="198" w:lineRule="exact"/>
    </w:pPr>
    <w:rPr>
      <w:sz w:val="18"/>
    </w:rPr>
  </w:style>
  <w:style w:type="paragraph" w:customStyle="1" w:styleId="TLPnoteright">
    <w:name w:val="TLPnote(right)"/>
    <w:aliases w:val="nr"/>
    <w:basedOn w:val="OPCParaBase"/>
    <w:rsid w:val="00477E01"/>
    <w:pPr>
      <w:spacing w:before="122" w:line="198" w:lineRule="exact"/>
      <w:ind w:left="1985" w:hanging="851"/>
      <w:jc w:val="right"/>
    </w:pPr>
    <w:rPr>
      <w:sz w:val="18"/>
    </w:rPr>
  </w:style>
  <w:style w:type="paragraph" w:customStyle="1" w:styleId="TLPTableBullet">
    <w:name w:val="TLPTableBullet"/>
    <w:aliases w:val="ttb"/>
    <w:basedOn w:val="OPCParaBase"/>
    <w:rsid w:val="00477E01"/>
    <w:pPr>
      <w:spacing w:line="240" w:lineRule="exact"/>
      <w:ind w:left="284" w:hanging="284"/>
    </w:pPr>
    <w:rPr>
      <w:sz w:val="20"/>
    </w:rPr>
  </w:style>
  <w:style w:type="paragraph" w:styleId="TOC1">
    <w:name w:val="toc 1"/>
    <w:basedOn w:val="OPCParaBase"/>
    <w:next w:val="Normal"/>
    <w:uiPriority w:val="39"/>
    <w:unhideWhenUsed/>
    <w:rsid w:val="00477E0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7E0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77E0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77E0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7E01"/>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477E0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77E0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77E0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77E0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Normal"/>
    <w:rsid w:val="00477E01"/>
    <w:pPr>
      <w:keepLines/>
      <w:spacing w:before="240" w:after="120" w:line="240" w:lineRule="auto"/>
      <w:ind w:left="794"/>
    </w:pPr>
    <w:rPr>
      <w:b/>
      <w:kern w:val="28"/>
      <w:sz w:val="20"/>
    </w:rPr>
  </w:style>
  <w:style w:type="paragraph" w:customStyle="1" w:styleId="TofSectsHeading">
    <w:name w:val="TofSects(Heading)"/>
    <w:basedOn w:val="OPCParaBase"/>
    <w:rsid w:val="00477E01"/>
    <w:pPr>
      <w:spacing w:before="240" w:after="120" w:line="240" w:lineRule="auto"/>
    </w:pPr>
    <w:rPr>
      <w:b/>
      <w:sz w:val="24"/>
    </w:rPr>
  </w:style>
  <w:style w:type="paragraph" w:customStyle="1" w:styleId="TofSectsSection">
    <w:name w:val="TofSects(Section)"/>
    <w:basedOn w:val="OPCParaBase"/>
    <w:rsid w:val="00477E01"/>
    <w:pPr>
      <w:keepLines/>
      <w:spacing w:before="40" w:line="240" w:lineRule="auto"/>
      <w:ind w:left="1588" w:hanging="794"/>
    </w:pPr>
    <w:rPr>
      <w:kern w:val="28"/>
      <w:sz w:val="18"/>
    </w:rPr>
  </w:style>
  <w:style w:type="paragraph" w:customStyle="1" w:styleId="TofSectsSubdiv">
    <w:name w:val="TofSects(Subdiv)"/>
    <w:basedOn w:val="OPCParaBase"/>
    <w:rsid w:val="00477E01"/>
    <w:pPr>
      <w:keepLines/>
      <w:spacing w:before="80" w:line="240" w:lineRule="auto"/>
      <w:ind w:left="1588" w:hanging="794"/>
    </w:pPr>
    <w:rPr>
      <w:kern w:val="28"/>
    </w:rPr>
  </w:style>
  <w:style w:type="paragraph" w:customStyle="1" w:styleId="WRStyle">
    <w:name w:val="WR Style"/>
    <w:aliases w:val="WR"/>
    <w:basedOn w:val="OPCParaBase"/>
    <w:rsid w:val="00477E01"/>
    <w:pPr>
      <w:spacing w:before="240" w:line="240" w:lineRule="auto"/>
      <w:ind w:left="284" w:hanging="284"/>
    </w:pPr>
    <w:rPr>
      <w:b/>
      <w:i/>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84713">
      <w:bodyDiv w:val="1"/>
      <w:marLeft w:val="0"/>
      <w:marRight w:val="0"/>
      <w:marTop w:val="0"/>
      <w:marBottom w:val="0"/>
      <w:divBdr>
        <w:top w:val="none" w:sz="0" w:space="0" w:color="auto"/>
        <w:left w:val="none" w:sz="0" w:space="0" w:color="auto"/>
        <w:bottom w:val="none" w:sz="0" w:space="0" w:color="auto"/>
        <w:right w:val="none" w:sz="0" w:space="0" w:color="auto"/>
      </w:divBdr>
    </w:div>
    <w:div w:id="850291665">
      <w:bodyDiv w:val="1"/>
      <w:marLeft w:val="0"/>
      <w:marRight w:val="0"/>
      <w:marTop w:val="0"/>
      <w:marBottom w:val="0"/>
      <w:divBdr>
        <w:top w:val="none" w:sz="0" w:space="0" w:color="auto"/>
        <w:left w:val="none" w:sz="0" w:space="0" w:color="auto"/>
        <w:bottom w:val="none" w:sz="0" w:space="0" w:color="auto"/>
        <w:right w:val="none" w:sz="0" w:space="0" w:color="auto"/>
      </w:divBdr>
    </w:div>
    <w:div w:id="971011366">
      <w:bodyDiv w:val="1"/>
      <w:marLeft w:val="0"/>
      <w:marRight w:val="0"/>
      <w:marTop w:val="0"/>
      <w:marBottom w:val="0"/>
      <w:divBdr>
        <w:top w:val="none" w:sz="0" w:space="0" w:color="auto"/>
        <w:left w:val="none" w:sz="0" w:space="0" w:color="auto"/>
        <w:bottom w:val="none" w:sz="0" w:space="0" w:color="auto"/>
        <w:right w:val="none" w:sz="0" w:space="0" w:color="auto"/>
      </w:divBdr>
    </w:div>
    <w:div w:id="1610233372">
      <w:bodyDiv w:val="1"/>
      <w:marLeft w:val="0"/>
      <w:marRight w:val="0"/>
      <w:marTop w:val="0"/>
      <w:marBottom w:val="0"/>
      <w:divBdr>
        <w:top w:val="none" w:sz="0" w:space="0" w:color="auto"/>
        <w:left w:val="none" w:sz="0" w:space="0" w:color="auto"/>
        <w:bottom w:val="none" w:sz="0" w:space="0" w:color="auto"/>
        <w:right w:val="none" w:sz="0" w:space="0" w:color="auto"/>
      </w:divBdr>
    </w:div>
    <w:div w:id="16702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3233A0E-050F-44B4-A343-B9945DD0B6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2B392535D8F44483C6F22C16A76F9B" ma:contentTypeVersion="" ma:contentTypeDescription="PDMS Document Site Content Type" ma:contentTypeScope="" ma:versionID="ee5fcaca2ec65e95201495530ef8dea6">
  <xsd:schema xmlns:xsd="http://www.w3.org/2001/XMLSchema" xmlns:xs="http://www.w3.org/2001/XMLSchema" xmlns:p="http://schemas.microsoft.com/office/2006/metadata/properties" xmlns:ns2="F3233A0E-050F-44B4-A343-B9945DD0B643" targetNamespace="http://schemas.microsoft.com/office/2006/metadata/properties" ma:root="true" ma:fieldsID="fb2dd481bda91f65c3f0f933bfd85ace" ns2:_="">
    <xsd:import namespace="F3233A0E-050F-44B4-A343-B9945DD0B6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33A0E-050F-44B4-A343-B9945DD0B6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4E12-4800-4F33-A2C8-F3CD221D646B}">
  <ds:schemaRefs>
    <ds:schemaRef ds:uri="http://schemas.microsoft.com/sharepoint/v3/contenttype/forms"/>
  </ds:schemaRefs>
</ds:datastoreItem>
</file>

<file path=customXml/itemProps2.xml><?xml version="1.0" encoding="utf-8"?>
<ds:datastoreItem xmlns:ds="http://schemas.openxmlformats.org/officeDocument/2006/customXml" ds:itemID="{4588B7C3-0B07-4387-8D0C-2F3653A5C152}">
  <ds:schemaRefs>
    <ds:schemaRef ds:uri="http://purl.org/dc/elements/1.1/"/>
    <ds:schemaRef ds:uri="http://schemas.microsoft.com/office/2006/metadata/properties"/>
    <ds:schemaRef ds:uri="F3233A0E-050F-44B4-A343-B9945DD0B6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8B710AD-99AE-4F63-9E91-0C38885DF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33A0E-050F-44B4-A343-B9945DD0B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7D9E0-DF80-49C0-A06E-4AF086B1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Longstaff, Timothy</dc:creator>
  <cp:keywords/>
  <dc:description/>
  <cp:lastModifiedBy>Miller, Kelli</cp:lastModifiedBy>
  <cp:revision>2</cp:revision>
  <dcterms:created xsi:type="dcterms:W3CDTF">2021-07-01T07:40:00Z</dcterms:created>
  <dcterms:modified xsi:type="dcterms:W3CDTF">2021-07-01T07:40:00Z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0x010100266966F133664895A6EE3632470D45F500DC2B392535D8F44483C6F22C16A76F9B</vt:lpwstr>
  </property>
  <property fmtid="{D5CDD505-2E9C-101B-9397-08002B2CF9AE}" pid="3" name="_dlc_DocIdItemGuid">
    <vt:lpwstr>a6f17c55-2115-44fa-afa5-966755b49b36</vt:lpwstr>
  </property>
  <property fmtid="{D5CDD505-2E9C-101B-9397-08002B2CF9AE}" pid="4" name="DocHub_Year">
    <vt:lpwstr>2156;#2020|6a3660c5-15bd-4052-a0a1-6237663b7600</vt:lpwstr>
  </property>
  <property fmtid="{D5CDD505-2E9C-101B-9397-08002B2CF9AE}" pid="5" name="DocHub_DocumentType">
    <vt:lpwstr>549;#Legislative Instrument|edbe159b-95f5-40e7-bf23-9dfb62f2e7f0</vt:lpwstr>
  </property>
  <property fmtid="{D5CDD505-2E9C-101B-9397-08002B2CF9AE}" pid="6" name="DocHub_SecurityClassification">
    <vt:lpwstr>443;#Legal privilege|803d03d9-f24d-497a-bb88-13a7511ff07a</vt:lpwstr>
  </property>
  <property fmtid="{D5CDD505-2E9C-101B-9397-08002B2CF9AE}" pid="7" name="DocHub_Keywords">
    <vt:lpwstr>87;#Northern Australia Infrastructure Facility|4cbd16d5-639c-4095-9a67-fb8f23ce679a;#2603;#NAIF Statutory Review|ceeac9ac-d019-4015-b68f-024be8540991</vt:lpwstr>
  </property>
  <property fmtid="{D5CDD505-2E9C-101B-9397-08002B2CF9AE}" pid="8" name="DocHub_WorkActivity">
    <vt:lpwstr>337;#Legislation and Regulation|6cbc66f5-f4a2-4565-a58b-d5f2d2ac9bd0</vt:lpwstr>
  </property>
</Properties>
</file>