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B30C" w14:textId="77777777" w:rsidR="00124D48" w:rsidRPr="009B33E7" w:rsidRDefault="00124D48" w:rsidP="00124D48">
      <w:pPr>
        <w:shd w:val="clear" w:color="auto" w:fill="FFFFFF"/>
        <w:spacing w:line="257" w:lineRule="atLeast"/>
        <w:jc w:val="center"/>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EXPLANATORY STATEMENT</w:t>
      </w:r>
    </w:p>
    <w:p w14:paraId="4657A209" w14:textId="78769B91" w:rsidR="00124D48" w:rsidRPr="009B33E7" w:rsidRDefault="00124D48" w:rsidP="00124D48">
      <w:pPr>
        <w:shd w:val="clear" w:color="auto" w:fill="FFFFFF"/>
        <w:spacing w:line="257" w:lineRule="atLeast"/>
        <w:jc w:val="center"/>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Issued by the Authority of the Minister for Health</w:t>
      </w:r>
      <w:r w:rsidR="004E5A6E" w:rsidRPr="009B33E7">
        <w:rPr>
          <w:rFonts w:ascii="Times New Roman" w:eastAsia="Times New Roman" w:hAnsi="Times New Roman" w:cs="Times New Roman"/>
          <w:color w:val="000000"/>
          <w:sz w:val="24"/>
          <w:szCs w:val="24"/>
          <w:lang w:eastAsia="en-AU"/>
        </w:rPr>
        <w:t xml:space="preserve"> and Aged Care</w:t>
      </w:r>
    </w:p>
    <w:p w14:paraId="2AF00278" w14:textId="77777777" w:rsidR="00124D48" w:rsidRPr="009B33E7" w:rsidRDefault="00124D48" w:rsidP="00124D48">
      <w:pPr>
        <w:shd w:val="clear" w:color="auto" w:fill="FFFFFF"/>
        <w:spacing w:line="257" w:lineRule="atLeast"/>
        <w:jc w:val="center"/>
        <w:rPr>
          <w:rFonts w:ascii="Times New Roman" w:eastAsia="Times New Roman" w:hAnsi="Times New Roman" w:cs="Times New Roman"/>
          <w:i/>
          <w:iCs/>
          <w:color w:val="000000"/>
          <w:sz w:val="24"/>
          <w:szCs w:val="24"/>
          <w:lang w:eastAsia="en-AU"/>
        </w:rPr>
      </w:pPr>
      <w:r w:rsidRPr="009B33E7">
        <w:rPr>
          <w:rFonts w:ascii="Times New Roman" w:eastAsia="Times New Roman" w:hAnsi="Times New Roman" w:cs="Times New Roman"/>
          <w:i/>
          <w:iCs/>
          <w:color w:val="000000"/>
          <w:sz w:val="24"/>
          <w:szCs w:val="24"/>
          <w:lang w:eastAsia="en-AU"/>
        </w:rPr>
        <w:t>Medical Indemnity Act 2002</w:t>
      </w:r>
    </w:p>
    <w:p w14:paraId="549B8F35" w14:textId="77777777" w:rsidR="00124D48" w:rsidRPr="009B33E7" w:rsidRDefault="00124D48" w:rsidP="00124D48">
      <w:pPr>
        <w:shd w:val="clear" w:color="auto" w:fill="FFFFFF"/>
        <w:spacing w:line="257" w:lineRule="atLeast"/>
        <w:jc w:val="center"/>
        <w:rPr>
          <w:rFonts w:ascii="Times New Roman" w:eastAsia="Times New Roman" w:hAnsi="Times New Roman" w:cs="Times New Roman"/>
          <w:i/>
          <w:iCs/>
          <w:color w:val="000000"/>
          <w:sz w:val="24"/>
          <w:szCs w:val="24"/>
          <w:lang w:eastAsia="en-AU"/>
        </w:rPr>
      </w:pPr>
      <w:r w:rsidRPr="009B33E7">
        <w:rPr>
          <w:rFonts w:ascii="Times New Roman" w:eastAsia="Times New Roman" w:hAnsi="Times New Roman" w:cs="Times New Roman"/>
          <w:i/>
          <w:iCs/>
          <w:color w:val="000000"/>
          <w:sz w:val="24"/>
          <w:szCs w:val="24"/>
          <w:lang w:eastAsia="en-AU"/>
        </w:rPr>
        <w:t>Midwife Professional Indemnity (Commonwealth Contribution) Scheme Act 2010</w:t>
      </w:r>
    </w:p>
    <w:p w14:paraId="6ED1C762" w14:textId="77777777" w:rsidR="00124D48" w:rsidRPr="009B33E7" w:rsidRDefault="00124D48" w:rsidP="00124D48">
      <w:pPr>
        <w:shd w:val="clear" w:color="auto" w:fill="FFFFFF"/>
        <w:spacing w:line="257" w:lineRule="atLeast"/>
        <w:jc w:val="center"/>
        <w:rPr>
          <w:rFonts w:ascii="Times New Roman" w:eastAsia="Times New Roman" w:hAnsi="Times New Roman" w:cs="Times New Roman"/>
          <w:i/>
          <w:iCs/>
          <w:color w:val="000000"/>
          <w:sz w:val="24"/>
          <w:szCs w:val="24"/>
          <w:lang w:eastAsia="en-AU"/>
        </w:rPr>
      </w:pPr>
      <w:r w:rsidRPr="009B33E7">
        <w:rPr>
          <w:rFonts w:ascii="Times New Roman" w:eastAsia="Times New Roman" w:hAnsi="Times New Roman" w:cs="Times New Roman"/>
          <w:i/>
          <w:iCs/>
          <w:color w:val="000000"/>
          <w:sz w:val="24"/>
          <w:szCs w:val="24"/>
          <w:lang w:eastAsia="en-AU"/>
        </w:rPr>
        <w:t>Medical and Midwife Indemnity Legislation Amendment (Run-off Claims) Rules 2021</w:t>
      </w:r>
    </w:p>
    <w:p w14:paraId="00DAE05C"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u w:val="single"/>
          <w:lang w:eastAsia="en-AU"/>
        </w:rPr>
        <w:t>Authority</w:t>
      </w:r>
    </w:p>
    <w:p w14:paraId="67DDD04F" w14:textId="3D2AF61D"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Section 80 of the </w:t>
      </w:r>
      <w:r w:rsidRPr="009B33E7">
        <w:rPr>
          <w:rFonts w:ascii="Times New Roman" w:eastAsia="Times New Roman" w:hAnsi="Times New Roman" w:cs="Times New Roman"/>
          <w:i/>
          <w:iCs/>
          <w:color w:val="000000"/>
          <w:sz w:val="24"/>
          <w:szCs w:val="24"/>
          <w:lang w:eastAsia="en-AU"/>
        </w:rPr>
        <w:t>Medical Indemnity Act 2002</w:t>
      </w:r>
      <w:r w:rsidRPr="009B33E7">
        <w:rPr>
          <w:rFonts w:ascii="Times New Roman" w:eastAsia="Times New Roman" w:hAnsi="Times New Roman" w:cs="Times New Roman"/>
          <w:color w:val="000000"/>
          <w:sz w:val="24"/>
          <w:szCs w:val="24"/>
          <w:lang w:eastAsia="en-AU"/>
        </w:rPr>
        <w:t> (the MI Act) provides that the Minister may make</w:t>
      </w:r>
      <w:bookmarkStart w:id="0" w:name="BK_S3P49L25C55"/>
      <w:bookmarkEnd w:id="0"/>
      <w:r w:rsidRPr="009B33E7">
        <w:rPr>
          <w:rFonts w:ascii="Times New Roman" w:eastAsia="Times New Roman" w:hAnsi="Times New Roman" w:cs="Times New Roman"/>
          <w:color w:val="000000"/>
          <w:sz w:val="24"/>
          <w:szCs w:val="24"/>
          <w:lang w:eastAsia="en-AU"/>
        </w:rPr>
        <w:t> rules prescribing matters, which are required or permitted by the Act to be prescribed by the rules, or which are necessary or convenient to be prescribed for carrying out or giving effect to the MI Act.</w:t>
      </w:r>
    </w:p>
    <w:p w14:paraId="438D4AF4" w14:textId="77777777"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1E81594B" w14:textId="61F2ED51"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Section 90 of the </w:t>
      </w:r>
      <w:r w:rsidRPr="009B33E7">
        <w:rPr>
          <w:rFonts w:ascii="Times New Roman" w:eastAsia="Times New Roman" w:hAnsi="Times New Roman" w:cs="Times New Roman"/>
          <w:i/>
          <w:iCs/>
          <w:color w:val="000000"/>
          <w:sz w:val="24"/>
          <w:szCs w:val="24"/>
          <w:lang w:eastAsia="en-AU"/>
        </w:rPr>
        <w:t>Midwife Professional Indemnity (Commonwealth Contribution) Scheme Act 2010 </w:t>
      </w:r>
      <w:r w:rsidRPr="009B33E7">
        <w:rPr>
          <w:rFonts w:ascii="Times New Roman" w:eastAsia="Times New Roman" w:hAnsi="Times New Roman" w:cs="Times New Roman"/>
          <w:color w:val="000000"/>
          <w:sz w:val="24"/>
          <w:szCs w:val="24"/>
          <w:lang w:eastAsia="en-AU"/>
        </w:rPr>
        <w:t xml:space="preserve">(the MPICCS Act) provides that the Minister may make rules providing for matters required or permitted by the Act to be provided for in the </w:t>
      </w:r>
      <w:r w:rsidR="007F63EC" w:rsidRPr="009B33E7">
        <w:rPr>
          <w:rFonts w:ascii="Times New Roman" w:eastAsia="Times New Roman" w:hAnsi="Times New Roman" w:cs="Times New Roman"/>
          <w:color w:val="000000"/>
          <w:sz w:val="24"/>
          <w:szCs w:val="24"/>
          <w:lang w:eastAsia="en-AU"/>
        </w:rPr>
        <w:t>r</w:t>
      </w:r>
      <w:r w:rsidRPr="009B33E7">
        <w:rPr>
          <w:rFonts w:ascii="Times New Roman" w:eastAsia="Times New Roman" w:hAnsi="Times New Roman" w:cs="Times New Roman"/>
          <w:color w:val="000000"/>
          <w:sz w:val="24"/>
          <w:szCs w:val="24"/>
          <w:lang w:eastAsia="en-AU"/>
        </w:rPr>
        <w:t>ules or necessary or convenient to be provided for in order to carry out or give effect to the MPICCS Act.</w:t>
      </w:r>
    </w:p>
    <w:p w14:paraId="634B663D" w14:textId="77777777"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5E9E23C0" w14:textId="77777777"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Under subsection 33(3) of the </w:t>
      </w:r>
      <w:r w:rsidRPr="009B33E7">
        <w:rPr>
          <w:rFonts w:ascii="Times New Roman" w:eastAsia="Times New Roman" w:hAnsi="Times New Roman" w:cs="Times New Roman"/>
          <w:i/>
          <w:iCs/>
          <w:color w:val="000000"/>
          <w:sz w:val="24"/>
          <w:szCs w:val="24"/>
          <w:lang w:eastAsia="en-AU"/>
        </w:rPr>
        <w:t>Acts Interpretation Act 1901</w:t>
      </w:r>
      <w:r w:rsidRPr="009B33E7">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3CE64AC" w14:textId="77777777" w:rsidR="00124D48" w:rsidRPr="009B33E7" w:rsidRDefault="00124D48" w:rsidP="00124D48">
      <w:pPr>
        <w:shd w:val="clear" w:color="auto" w:fill="FFFFFF"/>
        <w:spacing w:after="0" w:line="240" w:lineRule="auto"/>
        <w:rPr>
          <w:rFonts w:ascii="Times New Roman" w:eastAsia="Times New Roman" w:hAnsi="Times New Roman" w:cs="Times New Roman"/>
          <w:color w:val="000000"/>
          <w:sz w:val="24"/>
          <w:szCs w:val="24"/>
          <w:lang w:eastAsia="en-AU"/>
        </w:rPr>
      </w:pPr>
    </w:p>
    <w:p w14:paraId="4FF91837"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u w:val="single"/>
          <w:lang w:eastAsia="en-AU"/>
        </w:rPr>
        <w:t>Purpose and Operation</w:t>
      </w:r>
    </w:p>
    <w:p w14:paraId="2222C807" w14:textId="0DA6C6DD" w:rsidR="000E64DD" w:rsidRPr="009B33E7" w:rsidRDefault="00976694" w:rsidP="000E64DD">
      <w:pPr>
        <w:shd w:val="clear" w:color="auto" w:fill="FFFFFF"/>
        <w:spacing w:after="0" w:line="240" w:lineRule="auto"/>
        <w:rPr>
          <w:rFonts w:ascii="Times New Roman" w:eastAsia="Times New Roman" w:hAnsi="Times New Roman" w:cs="Times New Roman"/>
          <w:i/>
          <w:iCs/>
          <w:color w:val="000000"/>
          <w:sz w:val="24"/>
          <w:szCs w:val="24"/>
          <w:lang w:eastAsia="en-AU"/>
        </w:rPr>
      </w:pPr>
      <w:r w:rsidRPr="009B33E7">
        <w:rPr>
          <w:rFonts w:ascii="Times New Roman" w:eastAsia="Times New Roman" w:hAnsi="Times New Roman" w:cs="Times New Roman"/>
          <w:color w:val="000000"/>
          <w:sz w:val="24"/>
          <w:szCs w:val="24"/>
          <w:lang w:eastAsia="en-AU"/>
        </w:rPr>
        <w:t>T</w:t>
      </w:r>
      <w:r w:rsidR="000E64DD" w:rsidRPr="009B33E7">
        <w:rPr>
          <w:rFonts w:ascii="Times New Roman" w:eastAsia="Times New Roman" w:hAnsi="Times New Roman" w:cs="Times New Roman"/>
          <w:color w:val="000000"/>
          <w:sz w:val="24"/>
          <w:szCs w:val="24"/>
          <w:lang w:eastAsia="en-AU"/>
        </w:rPr>
        <w:t>he </w:t>
      </w:r>
      <w:r w:rsidR="000E64DD" w:rsidRPr="009B33E7">
        <w:rPr>
          <w:rFonts w:ascii="Times New Roman" w:eastAsia="Times New Roman" w:hAnsi="Times New Roman" w:cs="Times New Roman"/>
          <w:i/>
          <w:iCs/>
          <w:color w:val="000000"/>
          <w:sz w:val="24"/>
          <w:szCs w:val="24"/>
          <w:lang w:eastAsia="en-AU"/>
        </w:rPr>
        <w:t>Medical and Midwife Indemnity Legislation Amendment (Run-off Claims) Rules 2021</w:t>
      </w:r>
      <w:r w:rsidR="000E64DD" w:rsidRPr="009B33E7">
        <w:rPr>
          <w:rFonts w:ascii="Times New Roman" w:eastAsia="Times New Roman" w:hAnsi="Times New Roman" w:cs="Times New Roman"/>
          <w:color w:val="000000"/>
          <w:sz w:val="24"/>
          <w:szCs w:val="24"/>
          <w:lang w:eastAsia="en-AU"/>
        </w:rPr>
        <w:t xml:space="preserve"> (the </w:t>
      </w:r>
      <w:r w:rsidR="007F614E" w:rsidRPr="009B33E7">
        <w:rPr>
          <w:rFonts w:ascii="Times New Roman" w:eastAsia="Times New Roman" w:hAnsi="Times New Roman" w:cs="Times New Roman"/>
          <w:color w:val="000000"/>
          <w:sz w:val="24"/>
          <w:szCs w:val="24"/>
          <w:lang w:eastAsia="en-AU"/>
        </w:rPr>
        <w:t>Amending Rules)</w:t>
      </w:r>
      <w:r w:rsidRPr="009B33E7">
        <w:rPr>
          <w:rFonts w:ascii="Times New Roman" w:eastAsia="Times New Roman" w:hAnsi="Times New Roman" w:cs="Times New Roman"/>
          <w:color w:val="000000"/>
          <w:sz w:val="24"/>
          <w:szCs w:val="24"/>
          <w:lang w:eastAsia="en-AU"/>
        </w:rPr>
        <w:t xml:space="preserve"> amends the </w:t>
      </w:r>
      <w:r w:rsidRPr="009B33E7">
        <w:rPr>
          <w:rFonts w:ascii="Times New Roman" w:eastAsia="Times New Roman" w:hAnsi="Times New Roman" w:cs="Times New Roman"/>
          <w:i/>
          <w:color w:val="000000"/>
          <w:sz w:val="24"/>
          <w:szCs w:val="24"/>
          <w:lang w:eastAsia="en-AU"/>
        </w:rPr>
        <w:t xml:space="preserve">Medical Indemnity Rules 2020 </w:t>
      </w:r>
      <w:r w:rsidRPr="009B33E7">
        <w:rPr>
          <w:rFonts w:ascii="Times New Roman" w:eastAsia="Times New Roman" w:hAnsi="Times New Roman" w:cs="Times New Roman"/>
          <w:color w:val="000000"/>
          <w:sz w:val="24"/>
          <w:szCs w:val="24"/>
          <w:lang w:eastAsia="en-AU"/>
        </w:rPr>
        <w:t xml:space="preserve">and the </w:t>
      </w:r>
      <w:r w:rsidRPr="009B33E7">
        <w:rPr>
          <w:rFonts w:ascii="Times New Roman" w:eastAsia="Times New Roman" w:hAnsi="Times New Roman" w:cs="Times New Roman"/>
          <w:i/>
          <w:color w:val="000000"/>
          <w:sz w:val="24"/>
          <w:szCs w:val="24"/>
          <w:lang w:eastAsia="en-AU"/>
        </w:rPr>
        <w:t>Midwife Professional Indemnity (Commonwealth Contribution) Scheme Rules 202</w:t>
      </w:r>
      <w:r w:rsidR="003F4E9D" w:rsidRPr="009B33E7">
        <w:rPr>
          <w:rFonts w:ascii="Times New Roman" w:eastAsia="Times New Roman" w:hAnsi="Times New Roman" w:cs="Times New Roman"/>
          <w:i/>
          <w:color w:val="000000"/>
          <w:sz w:val="24"/>
          <w:szCs w:val="24"/>
          <w:lang w:eastAsia="en-AU"/>
        </w:rPr>
        <w:t>0</w:t>
      </w:r>
      <w:r w:rsidRPr="009B33E7">
        <w:rPr>
          <w:rFonts w:ascii="Times New Roman" w:eastAsia="Times New Roman" w:hAnsi="Times New Roman" w:cs="Times New Roman"/>
          <w:i/>
          <w:color w:val="000000"/>
          <w:sz w:val="24"/>
          <w:szCs w:val="24"/>
          <w:lang w:eastAsia="en-AU"/>
        </w:rPr>
        <w:t xml:space="preserve">. </w:t>
      </w:r>
      <w:r w:rsidRPr="009B33E7">
        <w:rPr>
          <w:rFonts w:ascii="Times New Roman" w:eastAsia="Times New Roman" w:hAnsi="Times New Roman" w:cs="Times New Roman"/>
          <w:color w:val="000000"/>
          <w:sz w:val="24"/>
          <w:szCs w:val="24"/>
          <w:lang w:eastAsia="en-AU"/>
        </w:rPr>
        <w:t>The purpose of the Amending Rules</w:t>
      </w:r>
      <w:r w:rsidR="007F614E" w:rsidRPr="009B33E7">
        <w:rPr>
          <w:rFonts w:ascii="Times New Roman" w:eastAsia="Times New Roman" w:hAnsi="Times New Roman" w:cs="Times New Roman"/>
          <w:color w:val="000000"/>
          <w:sz w:val="24"/>
          <w:szCs w:val="24"/>
          <w:lang w:eastAsia="en-AU"/>
        </w:rPr>
        <w:t xml:space="preserve"> is </w:t>
      </w:r>
      <w:r w:rsidR="001F18BC" w:rsidRPr="009B33E7">
        <w:rPr>
          <w:rFonts w:ascii="Times New Roman" w:eastAsia="Times New Roman" w:hAnsi="Times New Roman" w:cs="Times New Roman"/>
          <w:color w:val="000000"/>
          <w:sz w:val="24"/>
          <w:szCs w:val="24"/>
          <w:lang w:eastAsia="en-AU"/>
        </w:rPr>
        <w:t xml:space="preserve">to </w:t>
      </w:r>
      <w:r w:rsidR="007F614E" w:rsidRPr="009B33E7">
        <w:rPr>
          <w:rFonts w:ascii="Times New Roman" w:eastAsia="Times New Roman" w:hAnsi="Times New Roman" w:cs="Times New Roman"/>
          <w:color w:val="000000"/>
          <w:sz w:val="24"/>
          <w:szCs w:val="24"/>
          <w:lang w:eastAsia="en-AU"/>
        </w:rPr>
        <w:t>rectify an unintended consequence resulting from legi</w:t>
      </w:r>
      <w:r w:rsidR="00C178E5" w:rsidRPr="009B33E7">
        <w:rPr>
          <w:rFonts w:ascii="Times New Roman" w:eastAsia="Times New Roman" w:hAnsi="Times New Roman" w:cs="Times New Roman"/>
          <w:color w:val="000000"/>
          <w:sz w:val="24"/>
          <w:szCs w:val="24"/>
          <w:lang w:eastAsia="en-AU"/>
        </w:rPr>
        <w:t>slative changes made under the medical i</w:t>
      </w:r>
      <w:r w:rsidR="007F614E" w:rsidRPr="009B33E7">
        <w:rPr>
          <w:rFonts w:ascii="Times New Roman" w:eastAsia="Times New Roman" w:hAnsi="Times New Roman" w:cs="Times New Roman"/>
          <w:color w:val="000000"/>
          <w:sz w:val="24"/>
          <w:szCs w:val="24"/>
          <w:lang w:eastAsia="en-AU"/>
        </w:rPr>
        <w:t xml:space="preserve">ndemnity reform implemented on 1 July 2020.  </w:t>
      </w:r>
    </w:p>
    <w:p w14:paraId="2B608A6A" w14:textId="77777777" w:rsidR="000E64DD" w:rsidRPr="009B33E7" w:rsidRDefault="000E64DD" w:rsidP="000E64DD">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31AABE21" w14:textId="52602C79" w:rsidR="007F614E" w:rsidRPr="009B33E7" w:rsidRDefault="007F614E"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Under the Commonwealth’s Run-off Cover Scheme (ROCS), a charge known as the ‘ROCS support payment’ is imposed on medical indemnity providers</w:t>
      </w:r>
      <w:r w:rsidR="00DC2623" w:rsidRPr="009B33E7">
        <w:rPr>
          <w:rFonts w:ascii="Times New Roman" w:hAnsi="Times New Roman" w:cs="Times New Roman"/>
          <w:sz w:val="24"/>
          <w:szCs w:val="24"/>
        </w:rPr>
        <w:t xml:space="preserve">. In practice, insurers incorporate amounts equal to the support payment </w:t>
      </w:r>
      <w:r w:rsidRPr="009B33E7">
        <w:rPr>
          <w:rFonts w:ascii="Times New Roman" w:hAnsi="Times New Roman" w:cs="Times New Roman"/>
          <w:sz w:val="24"/>
          <w:szCs w:val="24"/>
        </w:rPr>
        <w:t xml:space="preserve">into each medical </w:t>
      </w:r>
      <w:proofErr w:type="spellStart"/>
      <w:r w:rsidRPr="009B33E7">
        <w:rPr>
          <w:rFonts w:ascii="Times New Roman" w:hAnsi="Times New Roman" w:cs="Times New Roman"/>
          <w:sz w:val="24"/>
          <w:szCs w:val="24"/>
        </w:rPr>
        <w:t>practitioner</w:t>
      </w:r>
      <w:r w:rsidR="00663DA0" w:rsidRPr="009B33E7">
        <w:rPr>
          <w:rFonts w:ascii="Times New Roman" w:hAnsi="Times New Roman" w:cs="Times New Roman"/>
          <w:sz w:val="24"/>
          <w:szCs w:val="24"/>
        </w:rPr>
        <w:t>’s</w:t>
      </w:r>
      <w:proofErr w:type="spellEnd"/>
      <w:r w:rsidRPr="009B33E7">
        <w:rPr>
          <w:rFonts w:ascii="Times New Roman" w:hAnsi="Times New Roman" w:cs="Times New Roman"/>
          <w:sz w:val="24"/>
          <w:szCs w:val="24"/>
        </w:rPr>
        <w:t xml:space="preserve"> and eligible midwife’s annual insurance premium during their working life. </w:t>
      </w:r>
      <w:r w:rsidR="001C5175" w:rsidRPr="009B33E7">
        <w:rPr>
          <w:rFonts w:ascii="Times New Roman" w:hAnsi="Times New Roman" w:cs="Times New Roman"/>
          <w:sz w:val="24"/>
          <w:szCs w:val="24"/>
        </w:rPr>
        <w:t xml:space="preserve">The ROCS support payment is used to fund the operation of the ROCS. </w:t>
      </w:r>
      <w:r w:rsidR="00247467" w:rsidRPr="009B33E7">
        <w:rPr>
          <w:rFonts w:ascii="Times New Roman" w:hAnsi="Times New Roman" w:cs="Times New Roman"/>
          <w:sz w:val="24"/>
          <w:szCs w:val="24"/>
        </w:rPr>
        <w:t>For e</w:t>
      </w:r>
      <w:r w:rsidRPr="009B33E7">
        <w:rPr>
          <w:rFonts w:ascii="Times New Roman" w:hAnsi="Times New Roman" w:cs="Times New Roman"/>
          <w:sz w:val="24"/>
          <w:szCs w:val="24"/>
        </w:rPr>
        <w:t xml:space="preserve">ligible practitioners and midwives </w:t>
      </w:r>
      <w:r w:rsidR="00247467" w:rsidRPr="009B33E7">
        <w:rPr>
          <w:rFonts w:ascii="Times New Roman" w:hAnsi="Times New Roman" w:cs="Times New Roman"/>
          <w:sz w:val="24"/>
          <w:szCs w:val="24"/>
        </w:rPr>
        <w:t xml:space="preserve">who </w:t>
      </w:r>
      <w:r w:rsidR="007F27CF" w:rsidRPr="009B33E7">
        <w:rPr>
          <w:rFonts w:ascii="Times New Roman" w:hAnsi="Times New Roman" w:cs="Times New Roman"/>
          <w:sz w:val="24"/>
          <w:szCs w:val="24"/>
        </w:rPr>
        <w:t>are eligible for the ROCS,</w:t>
      </w:r>
      <w:r w:rsidRPr="009B33E7">
        <w:rPr>
          <w:rFonts w:ascii="Times New Roman" w:hAnsi="Times New Roman" w:cs="Times New Roman"/>
          <w:sz w:val="24"/>
          <w:szCs w:val="24"/>
        </w:rPr>
        <w:t xml:space="preserve"> </w:t>
      </w:r>
      <w:r w:rsidR="007F27CF" w:rsidRPr="009B33E7">
        <w:rPr>
          <w:rFonts w:ascii="Times New Roman" w:hAnsi="Times New Roman" w:cs="Times New Roman"/>
          <w:sz w:val="24"/>
          <w:szCs w:val="24"/>
        </w:rPr>
        <w:t xml:space="preserve">the scheme </w:t>
      </w:r>
      <w:r w:rsidRPr="009B33E7">
        <w:rPr>
          <w:rFonts w:ascii="Times New Roman" w:hAnsi="Times New Roman" w:cs="Times New Roman"/>
          <w:sz w:val="24"/>
          <w:szCs w:val="24"/>
        </w:rPr>
        <w:t>will cover the types of claims that a medical practitioner or eligible midwife’s last insurance contract covered without further payment.</w:t>
      </w:r>
    </w:p>
    <w:p w14:paraId="4D6A16BC" w14:textId="576BE771" w:rsidR="00DC2623" w:rsidRPr="009B33E7" w:rsidRDefault="001C5175"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The Government can, with at least 12 months’ notice, terminate the ROCS</w:t>
      </w:r>
      <w:r w:rsidR="00DC2623" w:rsidRPr="009B33E7">
        <w:rPr>
          <w:rFonts w:ascii="Times New Roman" w:hAnsi="Times New Roman" w:cs="Times New Roman"/>
          <w:sz w:val="24"/>
          <w:szCs w:val="24"/>
        </w:rPr>
        <w:t xml:space="preserve"> for medical practitioners or the ROCS for eligible midwives</w:t>
      </w:r>
      <w:r w:rsidRPr="009B33E7">
        <w:rPr>
          <w:rFonts w:ascii="Times New Roman" w:hAnsi="Times New Roman" w:cs="Times New Roman"/>
          <w:sz w:val="24"/>
          <w:szCs w:val="24"/>
        </w:rPr>
        <w:t xml:space="preserve">. </w:t>
      </w:r>
      <w:r w:rsidR="007F63EC" w:rsidRPr="009B33E7">
        <w:rPr>
          <w:rFonts w:ascii="Times New Roman" w:hAnsi="Times New Roman" w:cs="Times New Roman"/>
          <w:sz w:val="24"/>
          <w:szCs w:val="24"/>
        </w:rPr>
        <w:t>In</w:t>
      </w:r>
      <w:r w:rsidR="007F614E" w:rsidRPr="009B33E7">
        <w:rPr>
          <w:rFonts w:ascii="Times New Roman" w:hAnsi="Times New Roman" w:cs="Times New Roman"/>
          <w:sz w:val="24"/>
          <w:szCs w:val="24"/>
        </w:rPr>
        <w:t xml:space="preserve"> the event Government should terminate the ROCS</w:t>
      </w:r>
      <w:r w:rsidR="007F63EC" w:rsidRPr="009B33E7">
        <w:rPr>
          <w:rFonts w:ascii="Times New Roman" w:hAnsi="Times New Roman" w:cs="Times New Roman"/>
          <w:sz w:val="24"/>
          <w:szCs w:val="24"/>
        </w:rPr>
        <w:t xml:space="preserve">, </w:t>
      </w:r>
      <w:r w:rsidR="007F614E" w:rsidRPr="009B33E7">
        <w:rPr>
          <w:rFonts w:ascii="Times New Roman" w:hAnsi="Times New Roman" w:cs="Times New Roman"/>
          <w:sz w:val="24"/>
          <w:szCs w:val="24"/>
        </w:rPr>
        <w:t xml:space="preserve">the Commonwealth </w:t>
      </w:r>
      <w:r w:rsidR="00246460" w:rsidRPr="009B33E7">
        <w:rPr>
          <w:rFonts w:ascii="Times New Roman" w:hAnsi="Times New Roman" w:cs="Times New Roman"/>
          <w:sz w:val="24"/>
          <w:szCs w:val="24"/>
        </w:rPr>
        <w:t>would be</w:t>
      </w:r>
      <w:r w:rsidRPr="009B33E7">
        <w:rPr>
          <w:rFonts w:ascii="Times New Roman" w:hAnsi="Times New Roman" w:cs="Times New Roman"/>
          <w:sz w:val="24"/>
          <w:szCs w:val="24"/>
        </w:rPr>
        <w:t xml:space="preserve"> required to </w:t>
      </w:r>
      <w:r w:rsidR="007F614E" w:rsidRPr="009B33E7">
        <w:rPr>
          <w:rFonts w:ascii="Times New Roman" w:hAnsi="Times New Roman" w:cs="Times New Roman"/>
          <w:sz w:val="24"/>
          <w:szCs w:val="24"/>
        </w:rPr>
        <w:t xml:space="preserve">pay </w:t>
      </w:r>
      <w:r w:rsidR="00DC2623" w:rsidRPr="009B33E7">
        <w:rPr>
          <w:rFonts w:ascii="Times New Roman" w:hAnsi="Times New Roman" w:cs="Times New Roman"/>
          <w:sz w:val="24"/>
          <w:szCs w:val="24"/>
        </w:rPr>
        <w:t xml:space="preserve">a medical practitioner’s or eligible midwife’s insurer, as part of the practitioner’s or midwife’s premium, an amount </w:t>
      </w:r>
      <w:r w:rsidR="00246460" w:rsidRPr="009B33E7">
        <w:rPr>
          <w:rFonts w:ascii="Times New Roman" w:hAnsi="Times New Roman" w:cs="Times New Roman"/>
          <w:sz w:val="24"/>
          <w:szCs w:val="24"/>
        </w:rPr>
        <w:t xml:space="preserve">no more </w:t>
      </w:r>
      <w:r w:rsidR="00DC2623" w:rsidRPr="009B33E7">
        <w:rPr>
          <w:rFonts w:ascii="Times New Roman" w:hAnsi="Times New Roman" w:cs="Times New Roman"/>
          <w:sz w:val="24"/>
          <w:szCs w:val="24"/>
        </w:rPr>
        <w:t xml:space="preserve">than the ‘total run-off cover credit’ of the practitioner or midwife. </w:t>
      </w:r>
    </w:p>
    <w:p w14:paraId="6A16B243" w14:textId="27B3F76E" w:rsidR="00246460" w:rsidRPr="009B33E7" w:rsidRDefault="00DC2623"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 xml:space="preserve">This total run-off cover credit is calculated in accordance with section 34ZS of the MI Act and section </w:t>
      </w:r>
      <w:r w:rsidR="00246460" w:rsidRPr="009B33E7">
        <w:rPr>
          <w:rFonts w:ascii="Times New Roman" w:hAnsi="Times New Roman" w:cs="Times New Roman"/>
          <w:sz w:val="24"/>
          <w:szCs w:val="24"/>
        </w:rPr>
        <w:t>44</w:t>
      </w:r>
      <w:r w:rsidRPr="009B33E7">
        <w:rPr>
          <w:rFonts w:ascii="Times New Roman" w:hAnsi="Times New Roman" w:cs="Times New Roman"/>
          <w:sz w:val="24"/>
          <w:szCs w:val="24"/>
        </w:rPr>
        <w:t xml:space="preserve"> of the MPICCS Act respectively, and is equal </w:t>
      </w:r>
      <w:r w:rsidR="00246460" w:rsidRPr="009B33E7">
        <w:rPr>
          <w:rFonts w:ascii="Times New Roman" w:hAnsi="Times New Roman" w:cs="Times New Roman"/>
          <w:sz w:val="24"/>
          <w:szCs w:val="24"/>
        </w:rPr>
        <w:t>to the sum of past ROCS support payments attributable to the practitioner or midwife plus an interest rate adjustment.</w:t>
      </w:r>
    </w:p>
    <w:p w14:paraId="1CD1ED2F" w14:textId="77777777" w:rsidR="00246460" w:rsidRPr="009B33E7" w:rsidRDefault="00246460" w:rsidP="007F614E">
      <w:pPr>
        <w:spacing w:after="240" w:line="240" w:lineRule="auto"/>
        <w:rPr>
          <w:rFonts w:ascii="Times New Roman" w:hAnsi="Times New Roman" w:cs="Times New Roman"/>
          <w:sz w:val="24"/>
          <w:szCs w:val="24"/>
        </w:rPr>
      </w:pPr>
    </w:p>
    <w:p w14:paraId="7E4CC59C" w14:textId="619AB96F" w:rsidR="007F614E" w:rsidRPr="009B33E7" w:rsidRDefault="00246460"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lastRenderedPageBreak/>
        <w:t>No termination date has been set for either the ROCS for medical practitioners or the ROCS for eligible midwives</w:t>
      </w:r>
      <w:r w:rsidRPr="009B33E7" w:rsidDel="00DC2623">
        <w:rPr>
          <w:rFonts w:ascii="Times New Roman" w:hAnsi="Times New Roman" w:cs="Times New Roman"/>
          <w:sz w:val="24"/>
          <w:szCs w:val="24"/>
        </w:rPr>
        <w:t xml:space="preserve"> </w:t>
      </w:r>
      <w:r w:rsidRPr="009B33E7">
        <w:rPr>
          <w:rFonts w:ascii="Times New Roman" w:hAnsi="Times New Roman" w:cs="Times New Roman"/>
          <w:sz w:val="24"/>
          <w:szCs w:val="24"/>
        </w:rPr>
        <w:t xml:space="preserve">and the Commonwealth does not currently have a liability to make any total run-off cover credits. </w:t>
      </w:r>
    </w:p>
    <w:p w14:paraId="6245F8C4" w14:textId="36275827" w:rsidR="007F614E" w:rsidRPr="009B33E7" w:rsidRDefault="007F614E"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 xml:space="preserve">On 1 July 2020, the applicable interest rate </w:t>
      </w:r>
      <w:r w:rsidR="006D1D86" w:rsidRPr="009B33E7">
        <w:rPr>
          <w:rFonts w:ascii="Times New Roman" w:hAnsi="Times New Roman" w:cs="Times New Roman"/>
          <w:sz w:val="24"/>
          <w:szCs w:val="24"/>
        </w:rPr>
        <w:t xml:space="preserve">adjustment </w:t>
      </w:r>
      <w:r w:rsidRPr="009B33E7">
        <w:rPr>
          <w:rFonts w:ascii="Times New Roman" w:hAnsi="Times New Roman" w:cs="Times New Roman"/>
          <w:sz w:val="24"/>
          <w:szCs w:val="24"/>
        </w:rPr>
        <w:t>for calculating th</w:t>
      </w:r>
      <w:r w:rsidR="006D1D86" w:rsidRPr="009B33E7">
        <w:rPr>
          <w:rFonts w:ascii="Times New Roman" w:hAnsi="Times New Roman" w:cs="Times New Roman"/>
          <w:sz w:val="24"/>
          <w:szCs w:val="24"/>
        </w:rPr>
        <w:t>e</w:t>
      </w:r>
      <w:r w:rsidRPr="009B33E7">
        <w:rPr>
          <w:rFonts w:ascii="Times New Roman" w:hAnsi="Times New Roman" w:cs="Times New Roman"/>
          <w:sz w:val="24"/>
          <w:szCs w:val="24"/>
        </w:rPr>
        <w:t xml:space="preserve"> interest</w:t>
      </w:r>
      <w:r w:rsidR="006D1D86" w:rsidRPr="009B33E7">
        <w:rPr>
          <w:rFonts w:ascii="Times New Roman" w:hAnsi="Times New Roman" w:cs="Times New Roman"/>
          <w:sz w:val="24"/>
          <w:szCs w:val="24"/>
        </w:rPr>
        <w:t xml:space="preserve"> component of the total run-off cover credit </w:t>
      </w:r>
      <w:r w:rsidRPr="009B33E7">
        <w:rPr>
          <w:rFonts w:ascii="Times New Roman" w:hAnsi="Times New Roman" w:cs="Times New Roman"/>
          <w:sz w:val="24"/>
          <w:szCs w:val="24"/>
        </w:rPr>
        <w:t>was changed from the short-term bond rate to the General Interest Charge (GIC)</w:t>
      </w:r>
      <w:r w:rsidR="006D1D86" w:rsidRPr="009B33E7">
        <w:rPr>
          <w:rFonts w:ascii="Times New Roman" w:hAnsi="Times New Roman" w:cs="Times New Roman"/>
          <w:sz w:val="24"/>
          <w:szCs w:val="24"/>
        </w:rPr>
        <w:t xml:space="preserve"> as part of</w:t>
      </w:r>
      <w:r w:rsidRPr="009B33E7">
        <w:rPr>
          <w:rFonts w:ascii="Times New Roman" w:hAnsi="Times New Roman" w:cs="Times New Roman"/>
          <w:sz w:val="24"/>
          <w:szCs w:val="24"/>
        </w:rPr>
        <w:t xml:space="preserve"> the 2019 medical indemnity legislative reform process.</w:t>
      </w:r>
    </w:p>
    <w:p w14:paraId="3165643A" w14:textId="7BEF69CB" w:rsidR="007F614E" w:rsidRPr="009B33E7" w:rsidRDefault="006D1D86" w:rsidP="006D1D86">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 xml:space="preserve">However, it was later identified </w:t>
      </w:r>
      <w:r w:rsidR="004737F8" w:rsidRPr="009B33E7">
        <w:rPr>
          <w:rFonts w:ascii="Times New Roman" w:hAnsi="Times New Roman" w:cs="Times New Roman"/>
          <w:sz w:val="24"/>
          <w:szCs w:val="24"/>
        </w:rPr>
        <w:t xml:space="preserve">by Services Australia </w:t>
      </w:r>
      <w:r w:rsidRPr="009B33E7">
        <w:rPr>
          <w:rFonts w:ascii="Times New Roman" w:hAnsi="Times New Roman" w:cs="Times New Roman"/>
          <w:sz w:val="24"/>
          <w:szCs w:val="24"/>
        </w:rPr>
        <w:t xml:space="preserve">that the interest adjustment rate </w:t>
      </w:r>
      <w:r w:rsidR="007F614E" w:rsidRPr="009B33E7">
        <w:rPr>
          <w:rFonts w:ascii="Times New Roman" w:hAnsi="Times New Roman" w:cs="Times New Roman"/>
          <w:sz w:val="24"/>
          <w:szCs w:val="24"/>
        </w:rPr>
        <w:t>using the GIC</w:t>
      </w:r>
      <w:r w:rsidRPr="009B33E7">
        <w:rPr>
          <w:rFonts w:ascii="Times New Roman" w:hAnsi="Times New Roman" w:cs="Times New Roman"/>
          <w:sz w:val="24"/>
          <w:szCs w:val="24"/>
        </w:rPr>
        <w:t xml:space="preserve"> was significantly higher than</w:t>
      </w:r>
      <w:r w:rsidR="007D60D7" w:rsidRPr="009B33E7">
        <w:rPr>
          <w:rFonts w:ascii="Times New Roman" w:hAnsi="Times New Roman" w:cs="Times New Roman"/>
          <w:sz w:val="24"/>
          <w:szCs w:val="24"/>
        </w:rPr>
        <w:t xml:space="preserve"> expected</w:t>
      </w:r>
      <w:r w:rsidR="007F614E" w:rsidRPr="009B33E7">
        <w:rPr>
          <w:rFonts w:ascii="Times New Roman" w:hAnsi="Times New Roman" w:cs="Times New Roman"/>
          <w:sz w:val="24"/>
          <w:szCs w:val="24"/>
        </w:rPr>
        <w:t xml:space="preserve">. Consequently, if the ROCS was terminated, the Commonwealth would be required to pay </w:t>
      </w:r>
      <w:r w:rsidRPr="009B33E7">
        <w:rPr>
          <w:rFonts w:ascii="Times New Roman" w:hAnsi="Times New Roman" w:cs="Times New Roman"/>
          <w:sz w:val="24"/>
          <w:szCs w:val="24"/>
        </w:rPr>
        <w:t>far more interest</w:t>
      </w:r>
      <w:r w:rsidR="007D60D7" w:rsidRPr="009B33E7">
        <w:rPr>
          <w:rFonts w:ascii="Times New Roman" w:hAnsi="Times New Roman" w:cs="Times New Roman"/>
          <w:sz w:val="24"/>
          <w:szCs w:val="24"/>
        </w:rPr>
        <w:t xml:space="preserve"> than anticipated. For example, in respect of </w:t>
      </w:r>
      <w:r w:rsidR="004419ED" w:rsidRPr="009B33E7">
        <w:rPr>
          <w:rFonts w:ascii="Times New Roman" w:hAnsi="Times New Roman" w:cs="Times New Roman"/>
          <w:sz w:val="24"/>
          <w:szCs w:val="24"/>
        </w:rPr>
        <w:t xml:space="preserve">the </w:t>
      </w:r>
      <w:r w:rsidR="007D60D7" w:rsidRPr="009B33E7">
        <w:rPr>
          <w:rFonts w:ascii="Times New Roman" w:hAnsi="Times New Roman" w:cs="Times New Roman"/>
          <w:sz w:val="24"/>
          <w:szCs w:val="24"/>
        </w:rPr>
        <w:t>ROCS support payments attributable to 2019-20, the Commonwealth would be required to pay a total of approximately</w:t>
      </w:r>
      <w:r w:rsidRPr="009B33E7">
        <w:rPr>
          <w:rFonts w:ascii="Times New Roman" w:hAnsi="Times New Roman" w:cs="Times New Roman"/>
          <w:sz w:val="24"/>
          <w:szCs w:val="24"/>
        </w:rPr>
        <w:t xml:space="preserve"> </w:t>
      </w:r>
      <w:r w:rsidR="00476275" w:rsidRPr="009B33E7">
        <w:rPr>
          <w:rFonts w:ascii="Times New Roman" w:hAnsi="Times New Roman" w:cs="Times New Roman"/>
          <w:sz w:val="24"/>
          <w:szCs w:val="24"/>
        </w:rPr>
        <w:t>$33</w:t>
      </w:r>
      <w:r w:rsidR="007F614E" w:rsidRPr="009B33E7">
        <w:rPr>
          <w:rFonts w:ascii="Times New Roman" w:hAnsi="Times New Roman" w:cs="Times New Roman"/>
          <w:sz w:val="24"/>
          <w:szCs w:val="24"/>
        </w:rPr>
        <w:t xml:space="preserve"> million in interest</w:t>
      </w:r>
      <w:r w:rsidR="007D60D7" w:rsidRPr="009B33E7">
        <w:rPr>
          <w:rFonts w:ascii="Times New Roman" w:hAnsi="Times New Roman" w:cs="Times New Roman"/>
          <w:sz w:val="24"/>
          <w:szCs w:val="24"/>
        </w:rPr>
        <w:t>,</w:t>
      </w:r>
      <w:r w:rsidR="007F614E" w:rsidRPr="009B33E7">
        <w:rPr>
          <w:rFonts w:ascii="Times New Roman" w:hAnsi="Times New Roman" w:cs="Times New Roman"/>
          <w:sz w:val="24"/>
          <w:szCs w:val="24"/>
        </w:rPr>
        <w:t xml:space="preserve"> in contrast with </w:t>
      </w:r>
      <w:r w:rsidR="001463E5" w:rsidRPr="009B33E7">
        <w:rPr>
          <w:rFonts w:ascii="Times New Roman" w:hAnsi="Times New Roman" w:cs="Times New Roman"/>
          <w:sz w:val="24"/>
          <w:szCs w:val="24"/>
        </w:rPr>
        <w:t xml:space="preserve">approximately </w:t>
      </w:r>
      <w:r w:rsidR="007F614E" w:rsidRPr="009B33E7">
        <w:rPr>
          <w:rFonts w:ascii="Times New Roman" w:hAnsi="Times New Roman" w:cs="Times New Roman"/>
          <w:sz w:val="24"/>
          <w:szCs w:val="24"/>
        </w:rPr>
        <w:t xml:space="preserve">$1.4 million </w:t>
      </w:r>
      <w:r w:rsidR="008961CB" w:rsidRPr="009B33E7">
        <w:rPr>
          <w:rFonts w:ascii="Times New Roman" w:hAnsi="Times New Roman" w:cs="Times New Roman"/>
          <w:sz w:val="24"/>
          <w:szCs w:val="24"/>
        </w:rPr>
        <w:t xml:space="preserve">in interest for support payments attributable to </w:t>
      </w:r>
      <w:r w:rsidR="007F614E" w:rsidRPr="009B33E7">
        <w:rPr>
          <w:rFonts w:ascii="Times New Roman" w:hAnsi="Times New Roman" w:cs="Times New Roman"/>
          <w:sz w:val="24"/>
          <w:szCs w:val="24"/>
        </w:rPr>
        <w:t xml:space="preserve">2018-19. </w:t>
      </w:r>
    </w:p>
    <w:p w14:paraId="19C2C390" w14:textId="1BB48A89" w:rsidR="000E64DD" w:rsidRPr="009B33E7" w:rsidRDefault="007F614E" w:rsidP="007F614E">
      <w:pPr>
        <w:shd w:val="clear" w:color="auto" w:fill="FFFFFF"/>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As this was not the Government’s intention</w:t>
      </w:r>
      <w:r w:rsidR="001463E5" w:rsidRPr="009B33E7">
        <w:rPr>
          <w:rFonts w:ascii="Times New Roman" w:hAnsi="Times New Roman" w:cs="Times New Roman"/>
          <w:sz w:val="24"/>
          <w:szCs w:val="24"/>
        </w:rPr>
        <w:t xml:space="preserve"> nor is it appropriate</w:t>
      </w:r>
      <w:r w:rsidRPr="009B33E7">
        <w:rPr>
          <w:rFonts w:ascii="Times New Roman" w:hAnsi="Times New Roman" w:cs="Times New Roman"/>
          <w:sz w:val="24"/>
          <w:szCs w:val="24"/>
        </w:rPr>
        <w:t xml:space="preserve">, an amendment to the </w:t>
      </w:r>
      <w:r w:rsidRPr="009B33E7">
        <w:rPr>
          <w:rFonts w:ascii="Times New Roman" w:hAnsi="Times New Roman" w:cs="Times New Roman"/>
          <w:i/>
          <w:sz w:val="24"/>
          <w:szCs w:val="24"/>
        </w:rPr>
        <w:t>Medical Indemnity Rules 2020</w:t>
      </w:r>
      <w:r w:rsidRPr="009B33E7">
        <w:rPr>
          <w:rFonts w:ascii="Times New Roman" w:hAnsi="Times New Roman" w:cs="Times New Roman"/>
          <w:sz w:val="24"/>
          <w:szCs w:val="24"/>
        </w:rPr>
        <w:t xml:space="preserve"> and the </w:t>
      </w:r>
      <w:r w:rsidRPr="009B33E7">
        <w:rPr>
          <w:rFonts w:ascii="Times New Roman" w:hAnsi="Times New Roman" w:cs="Times New Roman"/>
          <w:i/>
          <w:sz w:val="24"/>
          <w:szCs w:val="24"/>
        </w:rPr>
        <w:t xml:space="preserve">Midwife Professional Indemnity (Commonwealth Contribution) Scheme </w:t>
      </w:r>
      <w:r w:rsidR="00AF66E4" w:rsidRPr="009B33E7">
        <w:rPr>
          <w:rFonts w:ascii="Times New Roman" w:hAnsi="Times New Roman" w:cs="Times New Roman"/>
          <w:i/>
          <w:sz w:val="24"/>
          <w:szCs w:val="24"/>
        </w:rPr>
        <w:t xml:space="preserve">Rules 2020 </w:t>
      </w:r>
      <w:r w:rsidRPr="009B33E7">
        <w:rPr>
          <w:rFonts w:ascii="Times New Roman" w:hAnsi="Times New Roman" w:cs="Times New Roman"/>
          <w:sz w:val="24"/>
          <w:szCs w:val="24"/>
        </w:rPr>
        <w:t xml:space="preserve">is required to replace the existing reference to the GIC rate with </w:t>
      </w:r>
      <w:r w:rsidR="00C578A2" w:rsidRPr="009B33E7">
        <w:rPr>
          <w:rFonts w:ascii="Times New Roman" w:hAnsi="Times New Roman" w:cs="Times New Roman"/>
          <w:sz w:val="24"/>
          <w:szCs w:val="24"/>
        </w:rPr>
        <w:t xml:space="preserve">a rate based on the annual change in </w:t>
      </w:r>
      <w:r w:rsidRPr="009B33E7">
        <w:rPr>
          <w:rFonts w:ascii="Times New Roman" w:hAnsi="Times New Roman" w:cs="Times New Roman"/>
          <w:sz w:val="24"/>
          <w:szCs w:val="24"/>
        </w:rPr>
        <w:t>the C</w:t>
      </w:r>
      <w:r w:rsidR="00C578A2" w:rsidRPr="009B33E7">
        <w:rPr>
          <w:rFonts w:ascii="Times New Roman" w:hAnsi="Times New Roman" w:cs="Times New Roman"/>
          <w:sz w:val="24"/>
          <w:szCs w:val="24"/>
        </w:rPr>
        <w:t xml:space="preserve">onsumer </w:t>
      </w:r>
      <w:r w:rsidRPr="009B33E7">
        <w:rPr>
          <w:rFonts w:ascii="Times New Roman" w:hAnsi="Times New Roman" w:cs="Times New Roman"/>
          <w:sz w:val="24"/>
          <w:szCs w:val="24"/>
        </w:rPr>
        <w:t>Price Index (CPI) rate. (</w:t>
      </w:r>
      <w:r w:rsidRPr="009B33E7">
        <w:rPr>
          <w:rFonts w:ascii="Times New Roman" w:hAnsi="Times New Roman" w:cs="Times New Roman"/>
          <w:i/>
          <w:sz w:val="24"/>
          <w:szCs w:val="24"/>
        </w:rPr>
        <w:t>Note the CPI is currently 1.1%</w:t>
      </w:r>
      <w:r w:rsidR="00976694" w:rsidRPr="009B33E7">
        <w:rPr>
          <w:rFonts w:ascii="Times New Roman" w:hAnsi="Times New Roman" w:cs="Times New Roman"/>
          <w:i/>
          <w:sz w:val="24"/>
          <w:szCs w:val="24"/>
        </w:rPr>
        <w:t xml:space="preserve"> as </w:t>
      </w:r>
      <w:r w:rsidR="00AD0C41" w:rsidRPr="009B33E7">
        <w:rPr>
          <w:rFonts w:ascii="Times New Roman" w:hAnsi="Times New Roman" w:cs="Times New Roman"/>
          <w:i/>
          <w:sz w:val="24"/>
          <w:szCs w:val="24"/>
        </w:rPr>
        <w:t>of March 2021</w:t>
      </w:r>
      <w:r w:rsidRPr="009B33E7">
        <w:rPr>
          <w:rFonts w:ascii="Times New Roman" w:hAnsi="Times New Roman" w:cs="Times New Roman"/>
          <w:sz w:val="24"/>
          <w:szCs w:val="24"/>
        </w:rPr>
        <w:t xml:space="preserve">).  </w:t>
      </w:r>
    </w:p>
    <w:p w14:paraId="5FD53185" w14:textId="77777777" w:rsidR="000E64DD" w:rsidRPr="009B33E7" w:rsidRDefault="000E64DD" w:rsidP="000E64DD">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Details of the Amending Rules are set out in </w:t>
      </w:r>
      <w:r w:rsidRPr="009B33E7">
        <w:rPr>
          <w:rFonts w:ascii="Times New Roman" w:eastAsia="Times New Roman" w:hAnsi="Times New Roman" w:cs="Times New Roman"/>
          <w:color w:val="000000"/>
          <w:sz w:val="24"/>
          <w:szCs w:val="24"/>
          <w:u w:val="single"/>
          <w:lang w:eastAsia="en-AU"/>
        </w:rPr>
        <w:t>Attachment A</w:t>
      </w:r>
      <w:r w:rsidRPr="009B33E7">
        <w:rPr>
          <w:rFonts w:ascii="Times New Roman" w:eastAsia="Times New Roman" w:hAnsi="Times New Roman" w:cs="Times New Roman"/>
          <w:color w:val="000000"/>
          <w:sz w:val="24"/>
          <w:szCs w:val="24"/>
          <w:lang w:eastAsia="en-AU"/>
        </w:rPr>
        <w:t>.</w:t>
      </w:r>
    </w:p>
    <w:p w14:paraId="10D99CBA" w14:textId="77777777" w:rsidR="000E64DD" w:rsidRPr="009B33E7" w:rsidRDefault="000E64DD" w:rsidP="000E64DD">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075E4425" w14:textId="77777777" w:rsidR="000E64DD" w:rsidRPr="009B33E7" w:rsidRDefault="000E64DD" w:rsidP="000E64DD">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The Amending Rules is a legislative instrument for the purposes of the </w:t>
      </w:r>
      <w:r w:rsidRPr="009B33E7">
        <w:rPr>
          <w:rFonts w:ascii="Times New Roman" w:eastAsia="Times New Roman" w:hAnsi="Times New Roman" w:cs="Times New Roman"/>
          <w:i/>
          <w:iCs/>
          <w:color w:val="000000"/>
          <w:sz w:val="24"/>
          <w:szCs w:val="24"/>
          <w:lang w:eastAsia="en-AU"/>
        </w:rPr>
        <w:t>Legislation Act 2003 </w:t>
      </w:r>
      <w:r w:rsidRPr="009B33E7">
        <w:rPr>
          <w:rFonts w:ascii="Times New Roman" w:eastAsia="Times New Roman" w:hAnsi="Times New Roman" w:cs="Times New Roman"/>
          <w:color w:val="000000"/>
          <w:sz w:val="24"/>
          <w:szCs w:val="24"/>
          <w:lang w:eastAsia="en-AU"/>
        </w:rPr>
        <w:t>(Legislation Act).</w:t>
      </w:r>
    </w:p>
    <w:p w14:paraId="4668F83D" w14:textId="77777777" w:rsidR="000E64DD" w:rsidRPr="009B33E7" w:rsidRDefault="000E64DD" w:rsidP="000E64DD">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440809DC" w14:textId="77777777" w:rsidR="000E64DD" w:rsidRPr="009B33E7" w:rsidRDefault="000E64DD" w:rsidP="000E64DD">
      <w:pPr>
        <w:shd w:val="clear" w:color="auto" w:fill="FFFFFF"/>
        <w:spacing w:after="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The Amending Rules commence on the day after registration.</w:t>
      </w:r>
    </w:p>
    <w:p w14:paraId="036F24A0" w14:textId="77777777" w:rsidR="00895EB8" w:rsidRPr="009B33E7" w:rsidRDefault="00895EB8" w:rsidP="00895EB8">
      <w:pPr>
        <w:shd w:val="clear" w:color="auto" w:fill="FFFFFF"/>
        <w:spacing w:after="0" w:line="240" w:lineRule="auto"/>
        <w:rPr>
          <w:rFonts w:ascii="Times New Roman" w:eastAsia="Times New Roman" w:hAnsi="Times New Roman" w:cs="Times New Roman"/>
          <w:color w:val="000000"/>
          <w:sz w:val="24"/>
          <w:szCs w:val="24"/>
          <w:lang w:eastAsia="en-AU"/>
        </w:rPr>
      </w:pPr>
    </w:p>
    <w:p w14:paraId="59DCD096"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u w:val="single"/>
          <w:lang w:eastAsia="en-AU"/>
        </w:rPr>
        <w:t>Consultation</w:t>
      </w:r>
    </w:p>
    <w:p w14:paraId="073AE8C1" w14:textId="51F04C09" w:rsidR="00124D48" w:rsidRPr="009B33E7" w:rsidRDefault="007F614E" w:rsidP="007F614E">
      <w:pPr>
        <w:spacing w:after="240" w:line="240" w:lineRule="auto"/>
        <w:rPr>
          <w:rFonts w:ascii="Times New Roman" w:hAnsi="Times New Roman" w:cs="Times New Roman"/>
          <w:sz w:val="24"/>
          <w:szCs w:val="24"/>
        </w:rPr>
      </w:pPr>
      <w:r w:rsidRPr="009B33E7">
        <w:rPr>
          <w:rFonts w:ascii="Times New Roman" w:hAnsi="Times New Roman" w:cs="Times New Roman"/>
          <w:sz w:val="24"/>
          <w:szCs w:val="24"/>
        </w:rPr>
        <w:t xml:space="preserve">The Government has not consulted </w:t>
      </w:r>
      <w:r w:rsidR="004737F8" w:rsidRPr="009B33E7">
        <w:rPr>
          <w:rFonts w:ascii="Times New Roman" w:hAnsi="Times New Roman" w:cs="Times New Roman"/>
          <w:sz w:val="24"/>
          <w:szCs w:val="24"/>
        </w:rPr>
        <w:t xml:space="preserve">with </w:t>
      </w:r>
      <w:r w:rsidRPr="009B33E7">
        <w:rPr>
          <w:rFonts w:ascii="Times New Roman" w:hAnsi="Times New Roman" w:cs="Times New Roman"/>
          <w:sz w:val="24"/>
          <w:szCs w:val="24"/>
        </w:rPr>
        <w:t xml:space="preserve">the six medical indemnity insurers </w:t>
      </w:r>
      <w:r w:rsidR="00C178E5" w:rsidRPr="009B33E7">
        <w:rPr>
          <w:rFonts w:ascii="Times New Roman" w:hAnsi="Times New Roman" w:cs="Times New Roman"/>
          <w:sz w:val="24"/>
          <w:szCs w:val="24"/>
        </w:rPr>
        <w:t xml:space="preserve">that administer the Run-off Cover Scheme </w:t>
      </w:r>
      <w:r w:rsidRPr="009B33E7">
        <w:rPr>
          <w:rFonts w:ascii="Times New Roman" w:hAnsi="Times New Roman" w:cs="Times New Roman"/>
          <w:sz w:val="24"/>
          <w:szCs w:val="24"/>
        </w:rPr>
        <w:t>on this change as it does not have an impact on their business</w:t>
      </w:r>
      <w:r w:rsidR="00476275" w:rsidRPr="009B33E7">
        <w:rPr>
          <w:rFonts w:ascii="Times New Roman" w:hAnsi="Times New Roman" w:cs="Times New Roman"/>
          <w:sz w:val="24"/>
          <w:szCs w:val="24"/>
        </w:rPr>
        <w:t>, in particular, this change does not affect the amount of</w:t>
      </w:r>
      <w:r w:rsidR="00772975" w:rsidRPr="009B33E7">
        <w:rPr>
          <w:rFonts w:ascii="Times New Roman" w:hAnsi="Times New Roman" w:cs="Times New Roman"/>
          <w:sz w:val="24"/>
          <w:szCs w:val="24"/>
        </w:rPr>
        <w:t xml:space="preserve"> ROCS support payments insurers need to pay each year.</w:t>
      </w:r>
      <w:r w:rsidRPr="009B33E7">
        <w:rPr>
          <w:rFonts w:ascii="Times New Roman" w:hAnsi="Times New Roman" w:cs="Times New Roman"/>
          <w:sz w:val="24"/>
          <w:szCs w:val="24"/>
        </w:rPr>
        <w:t xml:space="preserve"> </w:t>
      </w:r>
    </w:p>
    <w:p w14:paraId="79FFFAEB"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u w:val="single"/>
          <w:lang w:eastAsia="en-AU"/>
        </w:rPr>
        <w:t>Statement of Compatibility with human rights</w:t>
      </w:r>
    </w:p>
    <w:p w14:paraId="6C49FC29"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Subsection 9(1) of the </w:t>
      </w:r>
      <w:r w:rsidRPr="009B33E7">
        <w:rPr>
          <w:rFonts w:ascii="Times New Roman" w:eastAsia="Times New Roman" w:hAnsi="Times New Roman" w:cs="Times New Roman"/>
          <w:i/>
          <w:iCs/>
          <w:color w:val="000000"/>
          <w:sz w:val="24"/>
          <w:szCs w:val="24"/>
          <w:lang w:eastAsia="en-AU"/>
        </w:rPr>
        <w:t>Human Rights (Parliamentary Scrutiny) Act 2011 </w:t>
      </w:r>
      <w:r w:rsidRPr="009B33E7">
        <w:rPr>
          <w:rFonts w:ascii="Times New Roman" w:eastAsia="Times New Roman" w:hAnsi="Times New Roman" w:cs="Times New Roman"/>
          <w:color w:val="000000"/>
          <w:sz w:val="24"/>
          <w:szCs w:val="24"/>
          <w:lang w:eastAsia="en-AU"/>
        </w:rPr>
        <w:t>requires the rule-maker in relation to a legislative instrument to which section 42 (disallowance) of the Legislation Act</w:t>
      </w:r>
      <w:r w:rsidRPr="009B33E7">
        <w:rPr>
          <w:rFonts w:ascii="Times New Roman" w:eastAsia="Times New Roman" w:hAnsi="Times New Roman" w:cs="Times New Roman"/>
          <w:i/>
          <w:iCs/>
          <w:color w:val="000000"/>
          <w:sz w:val="24"/>
          <w:szCs w:val="24"/>
          <w:lang w:eastAsia="en-AU"/>
        </w:rPr>
        <w:t> </w:t>
      </w:r>
      <w:r w:rsidRPr="009B33E7">
        <w:rPr>
          <w:rFonts w:ascii="Times New Roman" w:eastAsia="Times New Roman" w:hAnsi="Times New Roman" w:cs="Times New Roman"/>
          <w:color w:val="000000"/>
          <w:sz w:val="24"/>
          <w:szCs w:val="24"/>
          <w:lang w:eastAsia="en-AU"/>
        </w:rPr>
        <w:t>applies to cause a statement of compatibility to be prepared in respect of that legislative instrument. The Statement of Compatibility has been prepared to meet that requirement. The Statement of Compatibility is included at </w:t>
      </w:r>
      <w:r w:rsidRPr="009B33E7">
        <w:rPr>
          <w:rFonts w:ascii="Times New Roman" w:eastAsia="Times New Roman" w:hAnsi="Times New Roman" w:cs="Times New Roman"/>
          <w:color w:val="000000"/>
          <w:sz w:val="24"/>
          <w:szCs w:val="24"/>
          <w:u w:val="single"/>
          <w:lang w:eastAsia="en-AU"/>
        </w:rPr>
        <w:t>Attachment B</w:t>
      </w:r>
      <w:r w:rsidRPr="009B33E7">
        <w:rPr>
          <w:rFonts w:ascii="Times New Roman" w:eastAsia="Times New Roman" w:hAnsi="Times New Roman" w:cs="Times New Roman"/>
          <w:color w:val="000000"/>
          <w:sz w:val="24"/>
          <w:szCs w:val="24"/>
          <w:lang w:eastAsia="en-AU"/>
        </w:rPr>
        <w:t>.</w:t>
      </w:r>
    </w:p>
    <w:p w14:paraId="6D5B9539" w14:textId="77777777" w:rsidR="00124D48" w:rsidRPr="009B33E7" w:rsidRDefault="00124D48" w:rsidP="00124D48">
      <w:pPr>
        <w:spacing w:after="0" w:line="240" w:lineRule="auto"/>
        <w:rPr>
          <w:rFonts w:ascii="Times New Roman" w:eastAsia="Times New Roman" w:hAnsi="Times New Roman" w:cs="Times New Roman"/>
          <w:sz w:val="24"/>
          <w:szCs w:val="24"/>
          <w:lang w:eastAsia="en-AU"/>
        </w:rPr>
      </w:pPr>
      <w:r w:rsidRPr="009B33E7">
        <w:rPr>
          <w:rFonts w:ascii="Times New Roman" w:eastAsia="Times New Roman" w:hAnsi="Times New Roman" w:cs="Times New Roman"/>
          <w:color w:val="000000"/>
          <w:sz w:val="24"/>
          <w:szCs w:val="24"/>
          <w:shd w:val="clear" w:color="auto" w:fill="FFFFFF"/>
          <w:lang w:eastAsia="en-AU"/>
        </w:rPr>
        <w:br w:type="textWrapping" w:clear="all"/>
      </w:r>
    </w:p>
    <w:p w14:paraId="6D788DF0"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44EA0F1F" w14:textId="77777777" w:rsidR="00124D48" w:rsidRPr="009B33E7" w:rsidRDefault="00124D48">
      <w:pPr>
        <w:rPr>
          <w:rFonts w:ascii="Times New Roman" w:eastAsia="Times New Roman" w:hAnsi="Times New Roman" w:cs="Times New Roman"/>
          <w:b/>
          <w:bCs/>
          <w:color w:val="000000"/>
          <w:sz w:val="24"/>
          <w:szCs w:val="24"/>
          <w:lang w:eastAsia="en-AU"/>
        </w:rPr>
      </w:pPr>
      <w:r w:rsidRPr="009B33E7">
        <w:rPr>
          <w:rFonts w:ascii="Times New Roman" w:eastAsia="Times New Roman" w:hAnsi="Times New Roman" w:cs="Times New Roman"/>
          <w:b/>
          <w:bCs/>
          <w:color w:val="000000"/>
          <w:sz w:val="24"/>
          <w:szCs w:val="24"/>
          <w:lang w:eastAsia="en-AU"/>
        </w:rPr>
        <w:br w:type="page"/>
      </w:r>
    </w:p>
    <w:p w14:paraId="6252F77E" w14:textId="77777777" w:rsidR="00124D48" w:rsidRPr="009B33E7" w:rsidRDefault="00124D48" w:rsidP="00124D48">
      <w:pPr>
        <w:shd w:val="clear" w:color="auto" w:fill="FFFFFF"/>
        <w:spacing w:line="257" w:lineRule="atLeast"/>
        <w:jc w:val="righ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lastRenderedPageBreak/>
        <w:t>Attachment A</w:t>
      </w:r>
    </w:p>
    <w:p w14:paraId="23ED97CF"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u w:val="single"/>
          <w:lang w:eastAsia="en-AU"/>
        </w:rPr>
        <w:t>Details of the </w:t>
      </w:r>
      <w:r w:rsidR="007F614E" w:rsidRPr="009B33E7">
        <w:rPr>
          <w:rFonts w:ascii="Times New Roman" w:eastAsia="Times New Roman" w:hAnsi="Times New Roman" w:cs="Times New Roman"/>
          <w:b/>
          <w:bCs/>
          <w:i/>
          <w:iCs/>
          <w:color w:val="000000"/>
          <w:sz w:val="24"/>
          <w:szCs w:val="24"/>
          <w:u w:val="single"/>
          <w:lang w:eastAsia="en-AU"/>
        </w:rPr>
        <w:t>Medical and Midwife Indemnity Legislation Amendment (Run-off Claims) Rules 2021</w:t>
      </w:r>
    </w:p>
    <w:p w14:paraId="6CE59D6A"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Section 1 – Name</w:t>
      </w:r>
    </w:p>
    <w:p w14:paraId="3FD4D4B5" w14:textId="08A69B31"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This section provides </w:t>
      </w:r>
      <w:r w:rsidR="007F614E" w:rsidRPr="009B33E7">
        <w:rPr>
          <w:rFonts w:ascii="Times New Roman" w:eastAsia="Times New Roman" w:hAnsi="Times New Roman" w:cs="Times New Roman"/>
          <w:color w:val="000000"/>
          <w:sz w:val="24"/>
          <w:szCs w:val="24"/>
          <w:lang w:eastAsia="en-AU"/>
        </w:rPr>
        <w:t>that</w:t>
      </w:r>
      <w:r w:rsidRPr="009B33E7">
        <w:rPr>
          <w:rFonts w:ascii="Times New Roman" w:eastAsia="Times New Roman" w:hAnsi="Times New Roman" w:cs="Times New Roman"/>
          <w:color w:val="000000"/>
          <w:sz w:val="24"/>
          <w:szCs w:val="24"/>
          <w:lang w:eastAsia="en-AU"/>
        </w:rPr>
        <w:t xml:space="preserve"> the title of the </w:t>
      </w:r>
      <w:r w:rsidR="003868E1" w:rsidRPr="009B33E7">
        <w:rPr>
          <w:rFonts w:ascii="Times New Roman" w:eastAsia="Times New Roman" w:hAnsi="Times New Roman" w:cs="Times New Roman"/>
          <w:color w:val="000000"/>
          <w:sz w:val="24"/>
          <w:szCs w:val="24"/>
          <w:lang w:eastAsia="en-AU"/>
        </w:rPr>
        <w:t>r</w:t>
      </w:r>
      <w:r w:rsidRPr="009B33E7">
        <w:rPr>
          <w:rFonts w:ascii="Times New Roman" w:eastAsia="Times New Roman" w:hAnsi="Times New Roman" w:cs="Times New Roman"/>
          <w:color w:val="000000"/>
          <w:sz w:val="24"/>
          <w:szCs w:val="24"/>
          <w:lang w:eastAsia="en-AU"/>
        </w:rPr>
        <w:t>ules is the </w:t>
      </w:r>
      <w:r w:rsidR="007F614E" w:rsidRPr="009B33E7">
        <w:rPr>
          <w:rFonts w:ascii="Times New Roman" w:eastAsia="Times New Roman" w:hAnsi="Times New Roman" w:cs="Times New Roman"/>
          <w:i/>
          <w:iCs/>
          <w:color w:val="000000"/>
          <w:sz w:val="24"/>
          <w:szCs w:val="24"/>
          <w:lang w:eastAsia="en-AU"/>
        </w:rPr>
        <w:t xml:space="preserve">Medical and Midwife Indemnity Legislation Amendment (Run-off Claims) Rules 2021 </w:t>
      </w:r>
      <w:r w:rsidRPr="009B33E7">
        <w:rPr>
          <w:rFonts w:ascii="Times New Roman" w:eastAsia="Times New Roman" w:hAnsi="Times New Roman" w:cs="Times New Roman"/>
          <w:color w:val="000000"/>
          <w:sz w:val="24"/>
          <w:szCs w:val="24"/>
          <w:lang w:eastAsia="en-AU"/>
        </w:rPr>
        <w:t xml:space="preserve">(the </w:t>
      </w:r>
      <w:r w:rsidR="003868E1" w:rsidRPr="009B33E7">
        <w:rPr>
          <w:rFonts w:ascii="Times New Roman" w:eastAsia="Times New Roman" w:hAnsi="Times New Roman" w:cs="Times New Roman"/>
          <w:color w:val="000000"/>
          <w:sz w:val="24"/>
          <w:szCs w:val="24"/>
          <w:lang w:eastAsia="en-AU"/>
        </w:rPr>
        <w:t xml:space="preserve">Amending </w:t>
      </w:r>
      <w:r w:rsidRPr="009B33E7">
        <w:rPr>
          <w:rFonts w:ascii="Times New Roman" w:eastAsia="Times New Roman" w:hAnsi="Times New Roman" w:cs="Times New Roman"/>
          <w:color w:val="000000"/>
          <w:sz w:val="24"/>
          <w:szCs w:val="24"/>
          <w:lang w:eastAsia="en-AU"/>
        </w:rPr>
        <w:t>Rules).</w:t>
      </w:r>
    </w:p>
    <w:p w14:paraId="62F0FE7E"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Section 2 – Commencement</w:t>
      </w:r>
    </w:p>
    <w:p w14:paraId="52600056" w14:textId="7A9C58B3"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This section provides </w:t>
      </w:r>
      <w:r w:rsidR="007F614E" w:rsidRPr="009B33E7">
        <w:rPr>
          <w:rFonts w:ascii="Times New Roman" w:eastAsia="Times New Roman" w:hAnsi="Times New Roman" w:cs="Times New Roman"/>
          <w:color w:val="000000"/>
          <w:sz w:val="24"/>
          <w:szCs w:val="24"/>
          <w:lang w:eastAsia="en-AU"/>
        </w:rPr>
        <w:t>that the</w:t>
      </w:r>
      <w:r w:rsidR="003868E1" w:rsidRPr="009B33E7">
        <w:rPr>
          <w:rFonts w:ascii="Times New Roman" w:eastAsia="Times New Roman" w:hAnsi="Times New Roman" w:cs="Times New Roman"/>
          <w:color w:val="000000"/>
          <w:sz w:val="24"/>
          <w:szCs w:val="24"/>
          <w:lang w:eastAsia="en-AU"/>
        </w:rPr>
        <w:t xml:space="preserve"> Amending</w:t>
      </w:r>
      <w:r w:rsidR="007F614E" w:rsidRPr="009B33E7">
        <w:rPr>
          <w:rFonts w:ascii="Times New Roman" w:eastAsia="Times New Roman" w:hAnsi="Times New Roman" w:cs="Times New Roman"/>
          <w:color w:val="000000"/>
          <w:sz w:val="24"/>
          <w:szCs w:val="24"/>
          <w:lang w:eastAsia="en-AU"/>
        </w:rPr>
        <w:t xml:space="preserve"> Rules</w:t>
      </w:r>
      <w:r w:rsidRPr="009B33E7">
        <w:rPr>
          <w:rFonts w:ascii="Times New Roman" w:eastAsia="Times New Roman" w:hAnsi="Times New Roman" w:cs="Times New Roman"/>
          <w:color w:val="000000"/>
          <w:sz w:val="24"/>
          <w:szCs w:val="24"/>
          <w:lang w:eastAsia="en-AU"/>
        </w:rPr>
        <w:t xml:space="preserve"> commence on </w:t>
      </w:r>
      <w:r w:rsidR="007F614E" w:rsidRPr="009B33E7">
        <w:rPr>
          <w:rFonts w:ascii="Times New Roman" w:eastAsia="Times New Roman" w:hAnsi="Times New Roman" w:cs="Times New Roman"/>
          <w:color w:val="000000"/>
          <w:sz w:val="24"/>
          <w:szCs w:val="24"/>
          <w:lang w:eastAsia="en-AU"/>
        </w:rPr>
        <w:t>the day after registration</w:t>
      </w:r>
      <w:r w:rsidRPr="009B33E7">
        <w:rPr>
          <w:rFonts w:ascii="Times New Roman" w:eastAsia="Times New Roman" w:hAnsi="Times New Roman" w:cs="Times New Roman"/>
          <w:color w:val="000000"/>
          <w:sz w:val="24"/>
          <w:szCs w:val="24"/>
          <w:lang w:eastAsia="en-AU"/>
        </w:rPr>
        <w:t>.</w:t>
      </w:r>
    </w:p>
    <w:p w14:paraId="47F9D7E8"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Section 3 – Authority</w:t>
      </w:r>
    </w:p>
    <w:p w14:paraId="56DCB200" w14:textId="5B03D5AE" w:rsidR="007F614E" w:rsidRPr="009B33E7" w:rsidRDefault="007F614E" w:rsidP="007F614E">
      <w:pPr>
        <w:shd w:val="clear" w:color="auto" w:fill="FFFFFF"/>
        <w:spacing w:after="120" w:line="240" w:lineRule="auto"/>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This section provides that </w:t>
      </w:r>
      <w:r w:rsidR="00D17AA8" w:rsidRPr="009B33E7">
        <w:rPr>
          <w:rFonts w:ascii="Times New Roman" w:eastAsia="Times New Roman" w:hAnsi="Times New Roman" w:cs="Times New Roman"/>
          <w:color w:val="000000"/>
          <w:sz w:val="24"/>
          <w:szCs w:val="24"/>
          <w:lang w:eastAsia="en-AU"/>
        </w:rPr>
        <w:t xml:space="preserve">the </w:t>
      </w:r>
      <w:r w:rsidR="003868E1" w:rsidRPr="009B33E7">
        <w:rPr>
          <w:rFonts w:ascii="Times New Roman" w:eastAsia="Times New Roman" w:hAnsi="Times New Roman" w:cs="Times New Roman"/>
          <w:color w:val="000000"/>
          <w:sz w:val="24"/>
          <w:szCs w:val="24"/>
          <w:lang w:eastAsia="en-AU"/>
        </w:rPr>
        <w:t xml:space="preserve">Amending </w:t>
      </w:r>
      <w:r w:rsidR="00D17AA8" w:rsidRPr="009B33E7">
        <w:rPr>
          <w:rFonts w:ascii="Times New Roman" w:eastAsia="Times New Roman" w:hAnsi="Times New Roman" w:cs="Times New Roman"/>
          <w:color w:val="000000"/>
          <w:sz w:val="24"/>
          <w:szCs w:val="24"/>
          <w:lang w:eastAsia="en-AU"/>
        </w:rPr>
        <w:t>Rules</w:t>
      </w:r>
      <w:r w:rsidRPr="009B33E7">
        <w:rPr>
          <w:rFonts w:ascii="Times New Roman" w:eastAsia="Times New Roman" w:hAnsi="Times New Roman" w:cs="Times New Roman"/>
          <w:color w:val="000000"/>
          <w:sz w:val="24"/>
          <w:szCs w:val="24"/>
          <w:lang w:eastAsia="en-AU"/>
        </w:rPr>
        <w:t xml:space="preserve"> </w:t>
      </w:r>
      <w:r w:rsidR="003868E1" w:rsidRPr="009B33E7">
        <w:rPr>
          <w:rFonts w:ascii="Times New Roman" w:eastAsia="Times New Roman" w:hAnsi="Times New Roman" w:cs="Times New Roman"/>
          <w:color w:val="000000"/>
          <w:sz w:val="24"/>
          <w:szCs w:val="24"/>
          <w:lang w:eastAsia="en-AU"/>
        </w:rPr>
        <w:t>are</w:t>
      </w:r>
      <w:r w:rsidRPr="009B33E7">
        <w:rPr>
          <w:rFonts w:ascii="Times New Roman" w:eastAsia="Times New Roman" w:hAnsi="Times New Roman" w:cs="Times New Roman"/>
          <w:color w:val="000000"/>
          <w:sz w:val="24"/>
          <w:szCs w:val="24"/>
          <w:lang w:eastAsia="en-AU"/>
        </w:rPr>
        <w:t xml:space="preserve"> made under the following:</w:t>
      </w:r>
    </w:p>
    <w:p w14:paraId="6BA59838" w14:textId="77777777" w:rsidR="007F614E" w:rsidRPr="009B33E7" w:rsidRDefault="007F614E" w:rsidP="00D17AA8">
      <w:pPr>
        <w:pStyle w:val="ListParagraph"/>
        <w:numPr>
          <w:ilvl w:val="0"/>
          <w:numId w:val="5"/>
        </w:numPr>
        <w:shd w:val="clear" w:color="auto" w:fill="FFFFFF"/>
        <w:spacing w:after="0"/>
        <w:ind w:left="567" w:hanging="425"/>
        <w:rPr>
          <w:color w:val="000000"/>
        </w:rPr>
      </w:pPr>
      <w:r w:rsidRPr="009B33E7">
        <w:rPr>
          <w:color w:val="000000"/>
        </w:rPr>
        <w:t>the </w:t>
      </w:r>
      <w:r w:rsidRPr="009B33E7">
        <w:rPr>
          <w:i/>
          <w:iCs/>
          <w:color w:val="000000"/>
        </w:rPr>
        <w:t>Medical Indemnity Act 2002 </w:t>
      </w:r>
      <w:r w:rsidRPr="009B33E7">
        <w:rPr>
          <w:color w:val="000000"/>
        </w:rPr>
        <w:t>(MI Act); and</w:t>
      </w:r>
    </w:p>
    <w:p w14:paraId="4ACD7D9A" w14:textId="77777777" w:rsidR="00D17AA8" w:rsidRPr="009B33E7" w:rsidRDefault="007F614E" w:rsidP="00D17AA8">
      <w:pPr>
        <w:pStyle w:val="ListParagraph"/>
        <w:numPr>
          <w:ilvl w:val="0"/>
          <w:numId w:val="5"/>
        </w:numPr>
        <w:shd w:val="clear" w:color="auto" w:fill="FFFFFF"/>
        <w:spacing w:after="0"/>
        <w:ind w:left="567" w:hanging="425"/>
        <w:rPr>
          <w:color w:val="000000"/>
        </w:rPr>
      </w:pPr>
      <w:r w:rsidRPr="009B33E7">
        <w:rPr>
          <w:color w:val="000000"/>
        </w:rPr>
        <w:t>the </w:t>
      </w:r>
      <w:r w:rsidRPr="009B33E7">
        <w:rPr>
          <w:i/>
          <w:iCs/>
          <w:color w:val="000000"/>
        </w:rPr>
        <w:t>Midwife Professional Indemnity (Commonwealth Contribution) Scheme Act 2010 </w:t>
      </w:r>
      <w:r w:rsidRPr="009B33E7">
        <w:rPr>
          <w:color w:val="000000"/>
        </w:rPr>
        <w:t>(MPICCS Act)</w:t>
      </w:r>
      <w:r w:rsidRPr="009B33E7">
        <w:rPr>
          <w:i/>
          <w:iCs/>
          <w:color w:val="000000"/>
        </w:rPr>
        <w:t>.</w:t>
      </w:r>
    </w:p>
    <w:p w14:paraId="48584E18"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Section 4 – Schedules</w:t>
      </w:r>
    </w:p>
    <w:p w14:paraId="7EB8BDB1" w14:textId="77777777" w:rsidR="00D17AA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This section provides for each instrument that is specified in a Schedule to the Rules is amended or repealed as set out in the applicable items in the Schedule concerned, and any other item in a Schedule to the Rules has effect according to its terms. </w:t>
      </w:r>
    </w:p>
    <w:p w14:paraId="10521A60" w14:textId="77777777" w:rsidR="00124D48" w:rsidRPr="009B33E7" w:rsidRDefault="00124D48" w:rsidP="00124D4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 xml:space="preserve">Schedule 1 – </w:t>
      </w:r>
      <w:r w:rsidR="00D17AA8" w:rsidRPr="009B33E7">
        <w:rPr>
          <w:rFonts w:ascii="Times New Roman" w:eastAsia="Times New Roman" w:hAnsi="Times New Roman" w:cs="Times New Roman"/>
          <w:b/>
          <w:bCs/>
          <w:color w:val="000000"/>
          <w:sz w:val="24"/>
          <w:szCs w:val="24"/>
          <w:lang w:eastAsia="en-AU"/>
        </w:rPr>
        <w:t>Amendments</w:t>
      </w:r>
    </w:p>
    <w:p w14:paraId="38CA9E15" w14:textId="3DE87377" w:rsidR="00124D48" w:rsidRPr="009B33E7" w:rsidRDefault="00BB7F67" w:rsidP="00D17AA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Items 1 and 2 of </w:t>
      </w:r>
      <w:r w:rsidR="00124D48" w:rsidRPr="009B33E7">
        <w:rPr>
          <w:rFonts w:ascii="Times New Roman" w:eastAsia="Times New Roman" w:hAnsi="Times New Roman" w:cs="Times New Roman"/>
          <w:color w:val="000000"/>
          <w:sz w:val="24"/>
          <w:szCs w:val="24"/>
          <w:lang w:eastAsia="en-AU"/>
        </w:rPr>
        <w:t xml:space="preserve">Schedule 1 </w:t>
      </w:r>
      <w:r w:rsidRPr="009B33E7">
        <w:rPr>
          <w:rFonts w:ascii="Times New Roman" w:eastAsia="Times New Roman" w:hAnsi="Times New Roman" w:cs="Times New Roman"/>
          <w:color w:val="000000"/>
          <w:sz w:val="24"/>
          <w:szCs w:val="24"/>
          <w:lang w:eastAsia="en-AU"/>
        </w:rPr>
        <w:t xml:space="preserve">amend section 10 of the </w:t>
      </w:r>
      <w:r w:rsidRPr="009B33E7">
        <w:rPr>
          <w:rFonts w:ascii="Times New Roman" w:eastAsia="Times New Roman" w:hAnsi="Times New Roman" w:cs="Times New Roman"/>
          <w:i/>
          <w:color w:val="000000"/>
          <w:sz w:val="24"/>
          <w:szCs w:val="24"/>
          <w:lang w:eastAsia="en-AU"/>
        </w:rPr>
        <w:t xml:space="preserve">Medical Indemnity Rules 2020 </w:t>
      </w:r>
      <w:r w:rsidRPr="009B33E7">
        <w:rPr>
          <w:rFonts w:ascii="Times New Roman" w:eastAsia="Times New Roman" w:hAnsi="Times New Roman" w:cs="Times New Roman"/>
          <w:color w:val="000000"/>
          <w:sz w:val="24"/>
          <w:szCs w:val="24"/>
          <w:lang w:eastAsia="en-AU"/>
        </w:rPr>
        <w:t xml:space="preserve">and </w:t>
      </w:r>
      <w:r w:rsidRPr="009B33E7">
        <w:rPr>
          <w:rFonts w:ascii="Times New Roman" w:eastAsia="Times New Roman" w:hAnsi="Times New Roman" w:cs="Times New Roman"/>
          <w:i/>
          <w:color w:val="000000"/>
          <w:sz w:val="24"/>
          <w:szCs w:val="24"/>
          <w:lang w:eastAsia="en-AU"/>
        </w:rPr>
        <w:t>Midwife Professional Indemnity (Commonwealth Contribution) Rules 2020</w:t>
      </w:r>
      <w:r w:rsidR="003868E1" w:rsidRPr="009B33E7">
        <w:rPr>
          <w:rFonts w:ascii="Times New Roman" w:eastAsia="Times New Roman" w:hAnsi="Times New Roman" w:cs="Times New Roman"/>
          <w:color w:val="000000"/>
          <w:sz w:val="24"/>
          <w:szCs w:val="24"/>
          <w:lang w:eastAsia="en-AU"/>
        </w:rPr>
        <w:t>, respectively,</w:t>
      </w:r>
      <w:r w:rsidRPr="009B33E7">
        <w:rPr>
          <w:rFonts w:ascii="Times New Roman" w:eastAsia="Times New Roman" w:hAnsi="Times New Roman" w:cs="Times New Roman"/>
          <w:i/>
          <w:color w:val="000000"/>
          <w:sz w:val="24"/>
          <w:szCs w:val="24"/>
          <w:lang w:eastAsia="en-AU"/>
        </w:rPr>
        <w:t xml:space="preserve"> </w:t>
      </w:r>
      <w:r w:rsidRPr="009B33E7">
        <w:rPr>
          <w:rFonts w:ascii="Times New Roman" w:eastAsia="Times New Roman" w:hAnsi="Times New Roman" w:cs="Times New Roman"/>
          <w:color w:val="000000"/>
          <w:sz w:val="24"/>
          <w:szCs w:val="24"/>
          <w:lang w:eastAsia="en-AU"/>
        </w:rPr>
        <w:t xml:space="preserve">by replacing the </w:t>
      </w:r>
      <w:r w:rsidRPr="009B33E7">
        <w:rPr>
          <w:rFonts w:ascii="Times New Roman" w:hAnsi="Times New Roman" w:cs="Times New Roman"/>
          <w:sz w:val="24"/>
          <w:szCs w:val="24"/>
        </w:rPr>
        <w:t>General Interest Charge as the</w:t>
      </w:r>
      <w:r w:rsidRPr="009B33E7">
        <w:rPr>
          <w:rFonts w:ascii="Times New Roman" w:eastAsia="Times New Roman" w:hAnsi="Times New Roman" w:cs="Times New Roman"/>
          <w:color w:val="000000"/>
          <w:sz w:val="24"/>
          <w:szCs w:val="24"/>
          <w:lang w:eastAsia="en-AU"/>
        </w:rPr>
        <w:t xml:space="preserve"> applicable interest rate </w:t>
      </w:r>
      <w:r w:rsidR="003868E1" w:rsidRPr="009B33E7">
        <w:rPr>
          <w:rFonts w:ascii="Times New Roman" w:eastAsia="Times New Roman" w:hAnsi="Times New Roman" w:cs="Times New Roman"/>
          <w:color w:val="000000"/>
          <w:sz w:val="24"/>
          <w:szCs w:val="24"/>
          <w:lang w:eastAsia="en-AU"/>
        </w:rPr>
        <w:t xml:space="preserve">for working out the total run-off cover credit, </w:t>
      </w:r>
      <w:r w:rsidRPr="009B33E7">
        <w:rPr>
          <w:rFonts w:ascii="Times New Roman" w:eastAsia="Times New Roman" w:hAnsi="Times New Roman" w:cs="Times New Roman"/>
          <w:color w:val="000000"/>
          <w:sz w:val="24"/>
          <w:szCs w:val="24"/>
          <w:lang w:eastAsia="en-AU"/>
        </w:rPr>
        <w:t xml:space="preserve">with </w:t>
      </w:r>
      <w:r w:rsidR="00C578A2" w:rsidRPr="009B33E7">
        <w:rPr>
          <w:rFonts w:ascii="Times New Roman" w:eastAsia="Times New Roman" w:hAnsi="Times New Roman" w:cs="Times New Roman"/>
          <w:color w:val="000000"/>
          <w:sz w:val="24"/>
          <w:szCs w:val="24"/>
          <w:lang w:eastAsia="en-AU"/>
        </w:rPr>
        <w:t xml:space="preserve">a rate based on </w:t>
      </w:r>
      <w:r w:rsidR="00A11C3D" w:rsidRPr="009B33E7">
        <w:rPr>
          <w:rFonts w:ascii="Times New Roman" w:eastAsia="Times New Roman" w:hAnsi="Times New Roman" w:cs="Times New Roman"/>
          <w:color w:val="000000"/>
          <w:sz w:val="24"/>
          <w:szCs w:val="24"/>
          <w:lang w:eastAsia="en-AU"/>
        </w:rPr>
        <w:t xml:space="preserve">the annual </w:t>
      </w:r>
      <w:r w:rsidR="00C578A2" w:rsidRPr="009B33E7">
        <w:rPr>
          <w:rFonts w:ascii="Times New Roman" w:eastAsia="Times New Roman" w:hAnsi="Times New Roman" w:cs="Times New Roman"/>
          <w:color w:val="000000"/>
          <w:sz w:val="24"/>
          <w:szCs w:val="24"/>
          <w:lang w:eastAsia="en-AU"/>
        </w:rPr>
        <w:t xml:space="preserve">change to the </w:t>
      </w:r>
      <w:r w:rsidR="00A11C3D" w:rsidRPr="009B33E7">
        <w:rPr>
          <w:rFonts w:ascii="Times New Roman" w:eastAsia="Times New Roman" w:hAnsi="Times New Roman" w:cs="Times New Roman"/>
          <w:color w:val="000000"/>
          <w:sz w:val="24"/>
          <w:szCs w:val="24"/>
          <w:lang w:eastAsia="en-AU"/>
        </w:rPr>
        <w:t xml:space="preserve">March quarter </w:t>
      </w:r>
      <w:r w:rsidR="0084318B" w:rsidRPr="009B33E7">
        <w:rPr>
          <w:rFonts w:ascii="Times New Roman" w:eastAsia="Times New Roman" w:hAnsi="Times New Roman" w:cs="Times New Roman"/>
          <w:color w:val="000000"/>
          <w:sz w:val="24"/>
          <w:szCs w:val="24"/>
          <w:lang w:eastAsia="en-AU"/>
        </w:rPr>
        <w:t xml:space="preserve">All Groups </w:t>
      </w:r>
      <w:r w:rsidRPr="009B33E7">
        <w:rPr>
          <w:rFonts w:ascii="Times New Roman" w:eastAsia="Times New Roman" w:hAnsi="Times New Roman" w:cs="Times New Roman"/>
          <w:color w:val="000000"/>
          <w:sz w:val="24"/>
          <w:szCs w:val="24"/>
          <w:lang w:eastAsia="en-AU"/>
        </w:rPr>
        <w:t>Consumer Price Index</w:t>
      </w:r>
      <w:r w:rsidR="00B514D7" w:rsidRPr="009B33E7">
        <w:rPr>
          <w:rFonts w:ascii="Times New Roman" w:eastAsia="Times New Roman" w:hAnsi="Times New Roman" w:cs="Times New Roman"/>
          <w:color w:val="000000"/>
          <w:sz w:val="24"/>
          <w:szCs w:val="24"/>
          <w:lang w:eastAsia="en-AU"/>
        </w:rPr>
        <w:t xml:space="preserve"> (CPI)</w:t>
      </w:r>
      <w:r w:rsidRPr="009B33E7">
        <w:rPr>
          <w:rFonts w:ascii="Times New Roman" w:eastAsia="Times New Roman" w:hAnsi="Times New Roman" w:cs="Times New Roman"/>
          <w:color w:val="000000"/>
          <w:sz w:val="24"/>
          <w:szCs w:val="24"/>
          <w:lang w:eastAsia="en-AU"/>
        </w:rPr>
        <w:t>.</w:t>
      </w:r>
    </w:p>
    <w:p w14:paraId="3A122CD4" w14:textId="52FB6E24" w:rsidR="00976694" w:rsidRPr="009B33E7" w:rsidRDefault="00976694" w:rsidP="00D17AA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The new subsection</w:t>
      </w:r>
      <w:r w:rsidR="003868E1" w:rsidRPr="009B33E7">
        <w:rPr>
          <w:rFonts w:ascii="Times New Roman" w:eastAsia="Times New Roman" w:hAnsi="Times New Roman" w:cs="Times New Roman"/>
          <w:color w:val="000000"/>
          <w:sz w:val="24"/>
          <w:szCs w:val="24"/>
          <w:lang w:eastAsia="en-AU"/>
        </w:rPr>
        <w:t>s</w:t>
      </w:r>
      <w:r w:rsidRPr="009B33E7">
        <w:rPr>
          <w:rFonts w:ascii="Times New Roman" w:eastAsia="Times New Roman" w:hAnsi="Times New Roman" w:cs="Times New Roman"/>
          <w:color w:val="000000"/>
          <w:sz w:val="24"/>
          <w:szCs w:val="24"/>
          <w:lang w:eastAsia="en-AU"/>
        </w:rPr>
        <w:t xml:space="preserve"> 10(1)</w:t>
      </w:r>
      <w:r w:rsidR="00B514D7" w:rsidRPr="009B33E7">
        <w:rPr>
          <w:rFonts w:ascii="Times New Roman" w:eastAsia="Times New Roman" w:hAnsi="Times New Roman" w:cs="Times New Roman"/>
          <w:color w:val="000000"/>
          <w:sz w:val="24"/>
          <w:szCs w:val="24"/>
          <w:lang w:eastAsia="en-AU"/>
        </w:rPr>
        <w:t xml:space="preserve"> provide for the method of calculating the applicable interest rate for total run-off cover credits </w:t>
      </w:r>
      <w:r w:rsidR="007149FB" w:rsidRPr="009B33E7">
        <w:rPr>
          <w:rFonts w:ascii="Times New Roman" w:eastAsia="Times New Roman" w:hAnsi="Times New Roman" w:cs="Times New Roman"/>
          <w:color w:val="000000"/>
          <w:sz w:val="24"/>
          <w:szCs w:val="24"/>
          <w:lang w:eastAsia="en-AU"/>
        </w:rPr>
        <w:t>for the purpose</w:t>
      </w:r>
      <w:r w:rsidR="000B6D63" w:rsidRPr="009B33E7">
        <w:rPr>
          <w:rFonts w:ascii="Times New Roman" w:eastAsia="Times New Roman" w:hAnsi="Times New Roman" w:cs="Times New Roman"/>
          <w:color w:val="000000"/>
          <w:sz w:val="24"/>
          <w:szCs w:val="24"/>
          <w:lang w:eastAsia="en-AU"/>
        </w:rPr>
        <w:t>s</w:t>
      </w:r>
      <w:r w:rsidR="007149FB" w:rsidRPr="009B33E7">
        <w:rPr>
          <w:rFonts w:ascii="Times New Roman" w:eastAsia="Times New Roman" w:hAnsi="Times New Roman" w:cs="Times New Roman"/>
          <w:color w:val="000000"/>
          <w:sz w:val="24"/>
          <w:szCs w:val="24"/>
          <w:lang w:eastAsia="en-AU"/>
        </w:rPr>
        <w:t xml:space="preserve"> of subsection 34ZS(4) of the MI Act and </w:t>
      </w:r>
      <w:r w:rsidR="007149FB" w:rsidRPr="009B33E7">
        <w:rPr>
          <w:rFonts w:ascii="Times New Roman" w:eastAsia="Times New Roman" w:hAnsi="Times New Roman" w:cs="Times New Roman"/>
          <w:color w:val="000000"/>
          <w:sz w:val="24"/>
          <w:szCs w:val="24"/>
          <w:lang w:eastAsia="en-AU"/>
        </w:rPr>
        <w:br/>
        <w:t xml:space="preserve">subsection 44(4) of the </w:t>
      </w:r>
      <w:r w:rsidR="007149FB" w:rsidRPr="009B33E7">
        <w:rPr>
          <w:rFonts w:ascii="Times New Roman" w:hAnsi="Times New Roman" w:cs="Times New Roman"/>
          <w:color w:val="000000"/>
          <w:sz w:val="24"/>
          <w:szCs w:val="24"/>
        </w:rPr>
        <w:t>MPICCS Act</w:t>
      </w:r>
      <w:r w:rsidR="007149FB" w:rsidRPr="009B33E7">
        <w:rPr>
          <w:rFonts w:ascii="Times New Roman" w:eastAsia="Times New Roman" w:hAnsi="Times New Roman" w:cs="Times New Roman"/>
          <w:color w:val="000000"/>
          <w:sz w:val="24"/>
          <w:szCs w:val="24"/>
          <w:lang w:eastAsia="en-AU"/>
        </w:rPr>
        <w:t xml:space="preserve"> </w:t>
      </w:r>
      <w:r w:rsidR="003868E1" w:rsidRPr="009B33E7">
        <w:rPr>
          <w:rFonts w:ascii="Times New Roman" w:eastAsia="Times New Roman" w:hAnsi="Times New Roman" w:cs="Times New Roman"/>
          <w:color w:val="000000"/>
          <w:sz w:val="24"/>
          <w:szCs w:val="24"/>
          <w:lang w:eastAsia="en-AU"/>
        </w:rPr>
        <w:t xml:space="preserve">based on </w:t>
      </w:r>
      <w:r w:rsidR="00B514D7" w:rsidRPr="009B33E7">
        <w:rPr>
          <w:rFonts w:ascii="Times New Roman" w:eastAsia="Times New Roman" w:hAnsi="Times New Roman" w:cs="Times New Roman"/>
          <w:color w:val="000000"/>
          <w:sz w:val="24"/>
          <w:szCs w:val="24"/>
          <w:lang w:eastAsia="en-AU"/>
        </w:rPr>
        <w:t xml:space="preserve">the </w:t>
      </w:r>
      <w:r w:rsidR="003868E1" w:rsidRPr="009B33E7">
        <w:rPr>
          <w:rFonts w:ascii="Times New Roman" w:eastAsia="Times New Roman" w:hAnsi="Times New Roman" w:cs="Times New Roman"/>
          <w:color w:val="000000"/>
          <w:sz w:val="24"/>
          <w:szCs w:val="24"/>
          <w:lang w:eastAsia="en-AU"/>
        </w:rPr>
        <w:t xml:space="preserve">All Groups CPI </w:t>
      </w:r>
      <w:r w:rsidR="00C578A2" w:rsidRPr="009B33E7">
        <w:rPr>
          <w:rFonts w:ascii="Times New Roman" w:eastAsia="Times New Roman" w:hAnsi="Times New Roman" w:cs="Times New Roman"/>
          <w:color w:val="000000"/>
          <w:sz w:val="24"/>
          <w:szCs w:val="24"/>
          <w:lang w:eastAsia="en-AU"/>
        </w:rPr>
        <w:t xml:space="preserve">index number </w:t>
      </w:r>
      <w:r w:rsidR="003868E1" w:rsidRPr="009B33E7">
        <w:rPr>
          <w:rFonts w:ascii="Times New Roman" w:eastAsia="Times New Roman" w:hAnsi="Times New Roman" w:cs="Times New Roman"/>
          <w:color w:val="000000"/>
          <w:sz w:val="24"/>
          <w:szCs w:val="24"/>
          <w:lang w:eastAsia="en-AU"/>
        </w:rPr>
        <w:t>published by the Australian Statistician</w:t>
      </w:r>
      <w:r w:rsidR="00B514D7" w:rsidRPr="009B33E7">
        <w:rPr>
          <w:rFonts w:ascii="Times New Roman" w:eastAsia="Times New Roman" w:hAnsi="Times New Roman" w:cs="Times New Roman"/>
          <w:color w:val="000000"/>
          <w:sz w:val="24"/>
          <w:szCs w:val="24"/>
          <w:lang w:eastAsia="en-AU"/>
        </w:rPr>
        <w:t>.</w:t>
      </w:r>
      <w:r w:rsidRPr="009B33E7">
        <w:rPr>
          <w:rFonts w:ascii="Times New Roman" w:eastAsia="Times New Roman" w:hAnsi="Times New Roman" w:cs="Times New Roman"/>
          <w:color w:val="000000"/>
          <w:sz w:val="24"/>
          <w:szCs w:val="24"/>
          <w:lang w:eastAsia="en-AU"/>
        </w:rPr>
        <w:t xml:space="preserve"> </w:t>
      </w:r>
    </w:p>
    <w:p w14:paraId="12BD32AC" w14:textId="78A2B81E" w:rsidR="00186252" w:rsidRPr="009B33E7" w:rsidRDefault="00186252" w:rsidP="00D17AA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Should a termination date be set for either the medical practitioner or eligible midwife ROCS, the interest rate in respect of any financial year will be the All Groups CPI for the March quarter immediately before the beginning of that financial year, divided by the All Groups CPI for the previous March quarter. </w:t>
      </w:r>
    </w:p>
    <w:p w14:paraId="371C9708" w14:textId="19BADBCF" w:rsidR="003B451A" w:rsidRPr="009B33E7" w:rsidRDefault="003B451A" w:rsidP="003B451A">
      <w:pPr>
        <w:pStyle w:val="Item"/>
        <w:spacing w:before="0" w:after="240"/>
        <w:ind w:left="0"/>
        <w:rPr>
          <w:sz w:val="24"/>
          <w:szCs w:val="24"/>
        </w:rPr>
      </w:pPr>
      <w:r w:rsidRPr="009B33E7">
        <w:rPr>
          <w:sz w:val="24"/>
          <w:szCs w:val="24"/>
        </w:rPr>
        <w:t>Subsections 10(2) provide that a rate of interest is to be worked out to 3 decimal places.</w:t>
      </w:r>
    </w:p>
    <w:p w14:paraId="11AD8973" w14:textId="1B387536" w:rsidR="003B451A" w:rsidRPr="009B33E7" w:rsidRDefault="003B451A" w:rsidP="003B451A">
      <w:pPr>
        <w:pStyle w:val="Item"/>
        <w:spacing w:before="0" w:after="240"/>
        <w:ind w:left="0"/>
        <w:rPr>
          <w:sz w:val="24"/>
          <w:szCs w:val="24"/>
        </w:rPr>
      </w:pPr>
      <w:r w:rsidRPr="009B33E7">
        <w:rPr>
          <w:sz w:val="24"/>
          <w:szCs w:val="24"/>
        </w:rPr>
        <w:t>Subsections 10(3) provide that if a rate of interest worked out under subsections 10(1) and 10(2) would, if it were worked out to 4 decimal places, end in a number that is greater than 4, the rate is to be increased by 0.001.</w:t>
      </w:r>
    </w:p>
    <w:p w14:paraId="497EABF0" w14:textId="308F4AE6" w:rsidR="003B451A" w:rsidRPr="009B33E7" w:rsidRDefault="003B451A" w:rsidP="003B451A">
      <w:pPr>
        <w:pStyle w:val="Item"/>
        <w:spacing w:before="0" w:after="240"/>
        <w:ind w:left="0"/>
        <w:rPr>
          <w:sz w:val="24"/>
          <w:szCs w:val="24"/>
        </w:rPr>
      </w:pPr>
      <w:r w:rsidRPr="009B33E7">
        <w:rPr>
          <w:sz w:val="24"/>
          <w:szCs w:val="24"/>
        </w:rPr>
        <w:t>Subsections 10(4) provide that if a rate of interest worked out under subsections 10(1), 10(2) and 10(3) would be less than 1, the rate is to be increased to 1.</w:t>
      </w:r>
    </w:p>
    <w:p w14:paraId="1B96E1A5" w14:textId="4268A1E6" w:rsidR="003B451A" w:rsidRPr="009B33E7" w:rsidRDefault="003B451A" w:rsidP="003B451A">
      <w:pPr>
        <w:pStyle w:val="Item"/>
        <w:spacing w:before="0" w:after="240"/>
        <w:ind w:left="0"/>
        <w:rPr>
          <w:sz w:val="24"/>
          <w:szCs w:val="24"/>
        </w:rPr>
      </w:pPr>
      <w:r w:rsidRPr="009B33E7">
        <w:rPr>
          <w:sz w:val="24"/>
          <w:szCs w:val="24"/>
        </w:rPr>
        <w:lastRenderedPageBreak/>
        <w:t>Subsections 10(5) provide that, subject to subsection 10(6), if at any time the Australian Statistician publishes an index number for a quarter in substitution for an index number previously published for that quarter, the publication of the later index number is to be disregarded for the purposes of this section.</w:t>
      </w:r>
      <w:r w:rsidR="00186252" w:rsidRPr="009B33E7">
        <w:rPr>
          <w:sz w:val="24"/>
          <w:szCs w:val="24"/>
        </w:rPr>
        <w:t xml:space="preserve"> This ensures that the index number is fixed at the first published number. </w:t>
      </w:r>
    </w:p>
    <w:p w14:paraId="065B270D" w14:textId="41E955FC" w:rsidR="003B451A" w:rsidRPr="009B33E7" w:rsidRDefault="003B451A" w:rsidP="003B451A">
      <w:pPr>
        <w:pStyle w:val="Item"/>
        <w:spacing w:before="0" w:after="240"/>
        <w:ind w:left="0"/>
        <w:rPr>
          <w:sz w:val="24"/>
          <w:szCs w:val="24"/>
        </w:rPr>
      </w:pPr>
      <w:r w:rsidRPr="009B33E7">
        <w:rPr>
          <w:sz w:val="24"/>
          <w:szCs w:val="24"/>
        </w:rPr>
        <w:t>Subsections 10(6) provide that if at any time the Australian Statistician changes the index reference period for the</w:t>
      </w:r>
      <w:r w:rsidR="00186252" w:rsidRPr="009B33E7">
        <w:rPr>
          <w:sz w:val="24"/>
          <w:szCs w:val="24"/>
        </w:rPr>
        <w:t xml:space="preserve"> CPI</w:t>
      </w:r>
      <w:r w:rsidRPr="009B33E7">
        <w:rPr>
          <w:sz w:val="24"/>
          <w:szCs w:val="24"/>
        </w:rPr>
        <w:t xml:space="preserve">, </w:t>
      </w:r>
      <w:r w:rsidR="00186252" w:rsidRPr="009B33E7">
        <w:rPr>
          <w:sz w:val="24"/>
          <w:szCs w:val="24"/>
        </w:rPr>
        <w:t xml:space="preserve">in </w:t>
      </w:r>
      <w:r w:rsidRPr="009B33E7">
        <w:rPr>
          <w:sz w:val="24"/>
          <w:szCs w:val="24"/>
        </w:rPr>
        <w:t>applying th</w:t>
      </w:r>
      <w:r w:rsidR="00186252" w:rsidRPr="009B33E7">
        <w:rPr>
          <w:sz w:val="24"/>
          <w:szCs w:val="24"/>
        </w:rPr>
        <w:t>e formula after the change takes place</w:t>
      </w:r>
      <w:r w:rsidRPr="009B33E7">
        <w:rPr>
          <w:sz w:val="24"/>
          <w:szCs w:val="24"/>
        </w:rPr>
        <w:t xml:space="preserve">, </w:t>
      </w:r>
      <w:r w:rsidR="00186252" w:rsidRPr="009B33E7">
        <w:rPr>
          <w:sz w:val="24"/>
          <w:szCs w:val="24"/>
        </w:rPr>
        <w:t xml:space="preserve">regard should </w:t>
      </w:r>
      <w:r w:rsidRPr="009B33E7">
        <w:rPr>
          <w:sz w:val="24"/>
          <w:szCs w:val="24"/>
        </w:rPr>
        <w:t xml:space="preserve">only </w:t>
      </w:r>
      <w:r w:rsidR="00186252" w:rsidRPr="009B33E7">
        <w:rPr>
          <w:sz w:val="24"/>
          <w:szCs w:val="24"/>
        </w:rPr>
        <w:t xml:space="preserve">be had </w:t>
      </w:r>
      <w:r w:rsidRPr="009B33E7">
        <w:rPr>
          <w:sz w:val="24"/>
          <w:szCs w:val="24"/>
        </w:rPr>
        <w:t xml:space="preserve">to index numbers published in terms of the new index reference period. </w:t>
      </w:r>
    </w:p>
    <w:p w14:paraId="0349102A" w14:textId="77777777" w:rsidR="00124D48" w:rsidRPr="009B33E7" w:rsidRDefault="00124D48" w:rsidP="00124D48">
      <w:pPr>
        <w:spacing w:after="0" w:line="240" w:lineRule="auto"/>
        <w:rPr>
          <w:rFonts w:ascii="Times New Roman" w:eastAsia="Times New Roman" w:hAnsi="Times New Roman" w:cs="Times New Roman"/>
          <w:sz w:val="24"/>
          <w:szCs w:val="24"/>
          <w:lang w:eastAsia="en-AU"/>
        </w:rPr>
      </w:pPr>
      <w:r w:rsidRPr="009B33E7">
        <w:rPr>
          <w:rFonts w:ascii="Times New Roman" w:eastAsia="Times New Roman" w:hAnsi="Times New Roman" w:cs="Times New Roman"/>
          <w:color w:val="000000"/>
          <w:sz w:val="24"/>
          <w:szCs w:val="24"/>
          <w:shd w:val="clear" w:color="auto" w:fill="FFFFFF"/>
          <w:lang w:eastAsia="en-AU"/>
        </w:rPr>
        <w:br w:type="textWrapping" w:clear="all"/>
      </w:r>
    </w:p>
    <w:p w14:paraId="24FDCF2F" w14:textId="77777777" w:rsidR="00124D48" w:rsidRPr="009B33E7" w:rsidRDefault="00124D48"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w:t>
      </w:r>
    </w:p>
    <w:p w14:paraId="38021332" w14:textId="77777777" w:rsidR="00124D48" w:rsidRPr="009B33E7" w:rsidRDefault="00124D48">
      <w:pPr>
        <w:rPr>
          <w:rFonts w:ascii="Times New Roman" w:eastAsia="Times New Roman" w:hAnsi="Times New Roman" w:cs="Times New Roman"/>
          <w:b/>
          <w:bCs/>
          <w:color w:val="000000"/>
          <w:sz w:val="24"/>
          <w:szCs w:val="24"/>
          <w:lang w:eastAsia="en-AU"/>
        </w:rPr>
      </w:pPr>
      <w:r w:rsidRPr="009B33E7">
        <w:rPr>
          <w:rFonts w:ascii="Times New Roman" w:eastAsia="Times New Roman" w:hAnsi="Times New Roman" w:cs="Times New Roman"/>
          <w:b/>
          <w:bCs/>
          <w:color w:val="000000"/>
          <w:sz w:val="24"/>
          <w:szCs w:val="24"/>
          <w:lang w:eastAsia="en-AU"/>
        </w:rPr>
        <w:br w:type="page"/>
      </w:r>
    </w:p>
    <w:p w14:paraId="42A73CD5" w14:textId="77777777" w:rsidR="00124D48" w:rsidRPr="009B33E7" w:rsidRDefault="00124D48" w:rsidP="00124D48">
      <w:pPr>
        <w:shd w:val="clear" w:color="auto" w:fill="FFFFFF"/>
        <w:spacing w:before="240" w:line="257" w:lineRule="atLeast"/>
        <w:jc w:val="righ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lastRenderedPageBreak/>
        <w:t>Attachment B</w:t>
      </w:r>
    </w:p>
    <w:p w14:paraId="24D57ECA" w14:textId="77777777" w:rsidR="00124D48" w:rsidRPr="009B33E7" w:rsidRDefault="00124D48" w:rsidP="00124D48">
      <w:pPr>
        <w:shd w:val="clear" w:color="auto" w:fill="FFFFFF"/>
        <w:spacing w:before="240" w:line="257" w:lineRule="atLeast"/>
        <w:jc w:val="center"/>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Statement of Compatibility with Human Rights</w:t>
      </w:r>
    </w:p>
    <w:p w14:paraId="2D6DC2D5" w14:textId="77777777" w:rsidR="00124D48" w:rsidRPr="009B33E7" w:rsidRDefault="00124D48" w:rsidP="00124D48">
      <w:pPr>
        <w:shd w:val="clear" w:color="auto" w:fill="FFFFFF"/>
        <w:spacing w:before="240" w:line="257" w:lineRule="atLeast"/>
        <w:jc w:val="center"/>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66D828BD" w14:textId="77777777" w:rsidR="00B514D7" w:rsidRPr="009B33E7" w:rsidRDefault="00B514D7" w:rsidP="00B514D7">
      <w:pPr>
        <w:shd w:val="clear" w:color="auto" w:fill="FFFFFF"/>
        <w:spacing w:before="240" w:line="257" w:lineRule="atLeast"/>
        <w:jc w:val="center"/>
        <w:rPr>
          <w:rFonts w:ascii="Times New Roman" w:eastAsia="Times New Roman" w:hAnsi="Times New Roman" w:cs="Times New Roman"/>
          <w:b/>
          <w:bCs/>
          <w:i/>
          <w:iCs/>
          <w:color w:val="000000"/>
          <w:sz w:val="24"/>
          <w:szCs w:val="24"/>
          <w:lang w:eastAsia="en-AU"/>
        </w:rPr>
      </w:pPr>
      <w:r w:rsidRPr="009B33E7">
        <w:rPr>
          <w:rFonts w:ascii="Times New Roman" w:eastAsia="Times New Roman" w:hAnsi="Times New Roman" w:cs="Times New Roman"/>
          <w:b/>
          <w:bCs/>
          <w:i/>
          <w:iCs/>
          <w:color w:val="000000"/>
          <w:sz w:val="24"/>
          <w:szCs w:val="24"/>
          <w:lang w:eastAsia="en-AU"/>
        </w:rPr>
        <w:t>Medical and Midwife Indemnity Legislation Amendment (Run-off Claims) Rules 2021</w:t>
      </w:r>
    </w:p>
    <w:p w14:paraId="0D9FBFD1" w14:textId="77777777" w:rsidR="00124D48" w:rsidRPr="009B33E7" w:rsidRDefault="00124D48" w:rsidP="00124D4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9B33E7">
        <w:rPr>
          <w:rFonts w:ascii="Times New Roman" w:eastAsia="Times New Roman" w:hAnsi="Times New Roman" w:cs="Times New Roman"/>
          <w:i/>
          <w:iCs/>
          <w:color w:val="000000"/>
          <w:sz w:val="24"/>
          <w:szCs w:val="24"/>
          <w:lang w:eastAsia="en-AU"/>
        </w:rPr>
        <w:t>Human Rights (Parliamentary Scrutiny) Act 2011</w:t>
      </w:r>
      <w:r w:rsidRPr="009B33E7">
        <w:rPr>
          <w:rFonts w:ascii="Times New Roman" w:eastAsia="Times New Roman" w:hAnsi="Times New Roman" w:cs="Times New Roman"/>
          <w:color w:val="000000"/>
          <w:sz w:val="24"/>
          <w:szCs w:val="24"/>
          <w:lang w:eastAsia="en-AU"/>
        </w:rPr>
        <w:t>.</w:t>
      </w:r>
    </w:p>
    <w:p w14:paraId="448E70A5" w14:textId="77777777" w:rsidR="00124D48" w:rsidRPr="009B33E7" w:rsidRDefault="00124D48" w:rsidP="00124D48">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Overview of the Legislative Instrument</w:t>
      </w:r>
    </w:p>
    <w:p w14:paraId="51D74043" w14:textId="5227C7A1"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The Medical and Midwife Indemnity Legislation Amendment (Run-off Claims) Rules 2021 (the Amending Rules) amends the Medical Indemnity Rules 2020 and the Midwife Professional Indemnity (Commonwealth Contribution) Scheme Rules 202</w:t>
      </w:r>
      <w:r w:rsidR="003F4E9D" w:rsidRPr="009B33E7">
        <w:rPr>
          <w:rFonts w:ascii="Times New Roman" w:eastAsia="Times New Roman" w:hAnsi="Times New Roman" w:cs="Times New Roman"/>
          <w:color w:val="000000"/>
          <w:sz w:val="24"/>
          <w:szCs w:val="24"/>
          <w:lang w:eastAsia="en-AU"/>
        </w:rPr>
        <w:t>0</w:t>
      </w:r>
      <w:r w:rsidRPr="009B33E7">
        <w:rPr>
          <w:rFonts w:ascii="Times New Roman" w:eastAsia="Times New Roman" w:hAnsi="Times New Roman" w:cs="Times New Roman"/>
          <w:color w:val="000000"/>
          <w:sz w:val="24"/>
          <w:szCs w:val="24"/>
          <w:lang w:eastAsia="en-AU"/>
        </w:rPr>
        <w:t xml:space="preserve">. The purpose of the Amending Rules is to rectify an unintended consequence resulting from legislative changes made under the medical indemnity reform implemented on 1 July 2020.  </w:t>
      </w:r>
    </w:p>
    <w:p w14:paraId="49C93137" w14:textId="77777777"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Under the Commonwealth’s Run-off Cover Scheme (ROCS), a charge known as the ‘ROCS support payment’ is imposed on medical indemnity providers. In practice, insurers incorporate amounts equal to the support payment into each medical </w:t>
      </w:r>
      <w:proofErr w:type="spellStart"/>
      <w:r w:rsidRPr="009B33E7">
        <w:rPr>
          <w:rFonts w:ascii="Times New Roman" w:eastAsia="Times New Roman" w:hAnsi="Times New Roman" w:cs="Times New Roman"/>
          <w:color w:val="000000"/>
          <w:sz w:val="24"/>
          <w:szCs w:val="24"/>
          <w:lang w:eastAsia="en-AU"/>
        </w:rPr>
        <w:t>practitioner’s</w:t>
      </w:r>
      <w:proofErr w:type="spellEnd"/>
      <w:r w:rsidRPr="009B33E7">
        <w:rPr>
          <w:rFonts w:ascii="Times New Roman" w:eastAsia="Times New Roman" w:hAnsi="Times New Roman" w:cs="Times New Roman"/>
          <w:color w:val="000000"/>
          <w:sz w:val="24"/>
          <w:szCs w:val="24"/>
          <w:lang w:eastAsia="en-AU"/>
        </w:rPr>
        <w:t xml:space="preserve"> and eligible midwife’s annual insurance premium during their working life. The ROCS support payment is used to fund the operation of the ROCS. For eligible practitioners and midwives who are eligible for the ROCS, the scheme will cover the types of claims that a medical practitioner or eligible midwife’s last insurance contract covered without further payment.</w:t>
      </w:r>
    </w:p>
    <w:p w14:paraId="4671F3E1" w14:textId="77777777"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The Government can, with at least 12 months’ notice, terminate the ROCS for medical practitioners or the ROCS for eligible midwives. In the event Government should terminate the ROCS, the Commonwealth would be required to pay a medical practitioner’s or eligible midwife’s insurer, as part of the practitioner’s or midwife’s premium, an amount no more than the ‘total run-off cover credit’ of the practitioner or midwife. </w:t>
      </w:r>
    </w:p>
    <w:p w14:paraId="232763C8" w14:textId="65845AB9"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This total run-off cover credit is calculated in accordance with section 34ZS of the MI Act and section 44 of the MPICCS Act respectively, and is equal to the sum of past ROCS support payments attributable to the practitioner or midwife plus an interest rate adjustment.</w:t>
      </w:r>
    </w:p>
    <w:p w14:paraId="392BBC75" w14:textId="77777777"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No termination date has been set for either the ROCS for medical practitioners or the ROCS for eligible midwives and the Commonwealth does not currently have a liability to make any total run-off cover credits. </w:t>
      </w:r>
    </w:p>
    <w:p w14:paraId="5DE9B54F" w14:textId="77777777"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On 1 July 2020, the applicable interest rate adjustment for calculating the interest component of the total run-off cover credit was changed from the short-term bond rate to the General Interest Charge (GIC) as part of the 2019 medical indemnity legislative reform process.</w:t>
      </w:r>
    </w:p>
    <w:p w14:paraId="69DD8B9C" w14:textId="77777777"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However, it was later identified by Services Australia that the interest adjustment rate using the GIC was significantly higher than expected. Consequently, if the ROCS was terminated, the Commonwealth would be required to pay far more interest than anticipated. For example, in respect of the ROCS support payments attributable to 2019-20, the Commonwealth would be required to pay a total of approximately $33 million in interest, in contrast with approximately $1.4 million in interest for support payments attributable to 2018-19. </w:t>
      </w:r>
    </w:p>
    <w:p w14:paraId="6FC440C3" w14:textId="20098593" w:rsidR="000E0189" w:rsidRPr="009B33E7" w:rsidRDefault="000E0189"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lastRenderedPageBreak/>
        <w:t xml:space="preserve">As this was not the Government’s intention nor is it appropriate, an amendment to the Medical Indemnity Rules 2020 and the Midwife Professional Indemnity (Commonwealth Contribution) Scheme Rules 2020 is required to replace the existing reference to the GIC rate with a rate based on the annual change in the Consumer Price Index (CPI) rate. (Note the CPI is currently 1.1% as of March 2021).  </w:t>
      </w:r>
    </w:p>
    <w:p w14:paraId="706B12F6" w14:textId="4E13FC56" w:rsidR="00124D48" w:rsidRPr="009B33E7" w:rsidRDefault="00124D48" w:rsidP="000E0189">
      <w:pPr>
        <w:shd w:val="clear" w:color="auto" w:fill="FFFFFF"/>
        <w:spacing w:before="240"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Human rights implications</w:t>
      </w:r>
    </w:p>
    <w:p w14:paraId="018D1762" w14:textId="5BCCC6FE" w:rsidR="00476275" w:rsidRPr="009B33E7" w:rsidRDefault="00476275" w:rsidP="00BB7F67">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 xml:space="preserve">The instrument does not engage any of the human rights and freedoms recognised in the seven core international human rights treaties which Australia has ratified. However, the overarching purpose of the medical indemnity legislation is to enable payments to be made to insurers to subsidise the cost of medical indemnity insurance for medical practitioners and eligible midwives such that persons who make legitimate claims against medical practitioners or eligible midwives are able to be compensated for any loss they have suffered. This supports Article 12(2)(d) of the International Covenant on Economic, Social and Cultural Rights such that it creates “conditions which would assure to all medical service and medical attention in the event of sickness”. </w:t>
      </w:r>
    </w:p>
    <w:p w14:paraId="1E5E20C3" w14:textId="54955FE8" w:rsidR="00BB7F67" w:rsidRPr="009B33E7" w:rsidRDefault="00BB7F67" w:rsidP="00BB7F67">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Conclusion</w:t>
      </w:r>
    </w:p>
    <w:p w14:paraId="1C1B9024" w14:textId="77777777" w:rsidR="00124D48" w:rsidRPr="009B33E7" w:rsidRDefault="00BB7F67" w:rsidP="00124D48">
      <w:pPr>
        <w:shd w:val="clear" w:color="auto" w:fill="FFFFFF"/>
        <w:spacing w:line="257" w:lineRule="atLeast"/>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68756A80" w14:textId="372777C7" w:rsidR="00A22261" w:rsidRPr="00B514D7" w:rsidRDefault="00124D48" w:rsidP="00B514D7">
      <w:pPr>
        <w:shd w:val="clear" w:color="auto" w:fill="FFFFFF"/>
        <w:spacing w:line="257" w:lineRule="atLeast"/>
        <w:jc w:val="center"/>
        <w:rPr>
          <w:rFonts w:ascii="Times New Roman" w:eastAsia="Times New Roman" w:hAnsi="Times New Roman" w:cs="Times New Roman"/>
          <w:color w:val="000000"/>
          <w:sz w:val="24"/>
          <w:szCs w:val="24"/>
          <w:lang w:eastAsia="en-AU"/>
        </w:rPr>
      </w:pPr>
      <w:r w:rsidRPr="009B33E7">
        <w:rPr>
          <w:rFonts w:ascii="Times New Roman" w:eastAsia="Times New Roman" w:hAnsi="Times New Roman" w:cs="Times New Roman"/>
          <w:b/>
          <w:bCs/>
          <w:color w:val="000000"/>
          <w:sz w:val="24"/>
          <w:szCs w:val="24"/>
          <w:lang w:eastAsia="en-AU"/>
        </w:rPr>
        <w:t>The Hon Greg Hunt MP, Minister for Health</w:t>
      </w:r>
      <w:r w:rsidR="00423C16" w:rsidRPr="009B33E7">
        <w:rPr>
          <w:rFonts w:ascii="Times New Roman" w:eastAsia="Times New Roman" w:hAnsi="Times New Roman" w:cs="Times New Roman"/>
          <w:b/>
          <w:bCs/>
          <w:color w:val="000000"/>
          <w:sz w:val="24"/>
          <w:szCs w:val="24"/>
          <w:lang w:eastAsia="en-AU"/>
        </w:rPr>
        <w:t xml:space="preserve"> and Aged Care</w:t>
      </w:r>
      <w:bookmarkStart w:id="1" w:name="_GoBack"/>
      <w:bookmarkEnd w:id="1"/>
      <w:r w:rsidR="00423C16">
        <w:rPr>
          <w:rFonts w:ascii="Times New Roman" w:eastAsia="Times New Roman" w:hAnsi="Times New Roman" w:cs="Times New Roman"/>
          <w:b/>
          <w:bCs/>
          <w:color w:val="000000"/>
          <w:sz w:val="24"/>
          <w:szCs w:val="24"/>
          <w:lang w:eastAsia="en-AU"/>
        </w:rPr>
        <w:t xml:space="preserve"> </w:t>
      </w:r>
    </w:p>
    <w:sectPr w:rsidR="00A22261" w:rsidRPr="00B514D7" w:rsidSect="00B514D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745"/>
    <w:multiLevelType w:val="hybridMultilevel"/>
    <w:tmpl w:val="50902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11C4B"/>
    <w:multiLevelType w:val="multilevel"/>
    <w:tmpl w:val="345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1EE"/>
    <w:multiLevelType w:val="hybridMultilevel"/>
    <w:tmpl w:val="24DA30D2"/>
    <w:lvl w:ilvl="0" w:tplc="C22ED61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4104F4"/>
    <w:multiLevelType w:val="hybridMultilevel"/>
    <w:tmpl w:val="E8A6EF16"/>
    <w:lvl w:ilvl="0" w:tplc="640CBA42">
      <w:start w:val="1"/>
      <w:numFmt w:val="lowerLetter"/>
      <w:lvlText w:val="(%1)"/>
      <w:lvlJc w:val="left"/>
      <w:pPr>
        <w:ind w:left="616" w:hanging="54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 w15:restartNumberingAfterBreak="0">
    <w:nsid w:val="4A417404"/>
    <w:multiLevelType w:val="hybridMultilevel"/>
    <w:tmpl w:val="0F4EA48C"/>
    <w:lvl w:ilvl="0" w:tplc="2F563F9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8D4837"/>
    <w:multiLevelType w:val="hybridMultilevel"/>
    <w:tmpl w:val="55ECD6B4"/>
    <w:lvl w:ilvl="0" w:tplc="2A5C5AEC">
      <w:start w:val="1"/>
      <w:numFmt w:val="lowerLetter"/>
      <w:lvlText w:val="(%1)"/>
      <w:lvlJc w:val="left"/>
      <w:pPr>
        <w:ind w:left="796" w:hanging="36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48"/>
    <w:rsid w:val="00025C80"/>
    <w:rsid w:val="000B6D63"/>
    <w:rsid w:val="000E0189"/>
    <w:rsid w:val="000E64DD"/>
    <w:rsid w:val="00124D48"/>
    <w:rsid w:val="001463E5"/>
    <w:rsid w:val="001505CE"/>
    <w:rsid w:val="00186252"/>
    <w:rsid w:val="001C5175"/>
    <w:rsid w:val="001F18BC"/>
    <w:rsid w:val="001F741A"/>
    <w:rsid w:val="00221AD7"/>
    <w:rsid w:val="00246460"/>
    <w:rsid w:val="00247467"/>
    <w:rsid w:val="00285890"/>
    <w:rsid w:val="002C6ABA"/>
    <w:rsid w:val="00315E69"/>
    <w:rsid w:val="003845F2"/>
    <w:rsid w:val="003868E1"/>
    <w:rsid w:val="003B451A"/>
    <w:rsid w:val="003F4E9D"/>
    <w:rsid w:val="00423C16"/>
    <w:rsid w:val="004419ED"/>
    <w:rsid w:val="004737F8"/>
    <w:rsid w:val="00474DF9"/>
    <w:rsid w:val="00476275"/>
    <w:rsid w:val="004C45A2"/>
    <w:rsid w:val="004E5454"/>
    <w:rsid w:val="004E5A6E"/>
    <w:rsid w:val="005757D9"/>
    <w:rsid w:val="005A6439"/>
    <w:rsid w:val="00663DA0"/>
    <w:rsid w:val="00695642"/>
    <w:rsid w:val="006D1D86"/>
    <w:rsid w:val="007149FB"/>
    <w:rsid w:val="00772975"/>
    <w:rsid w:val="007D60D7"/>
    <w:rsid w:val="007E3635"/>
    <w:rsid w:val="007F27CF"/>
    <w:rsid w:val="007F614E"/>
    <w:rsid w:val="007F63EC"/>
    <w:rsid w:val="0084318B"/>
    <w:rsid w:val="00891F67"/>
    <w:rsid w:val="00895EB8"/>
    <w:rsid w:val="008961CB"/>
    <w:rsid w:val="0095009C"/>
    <w:rsid w:val="00976694"/>
    <w:rsid w:val="00985E6D"/>
    <w:rsid w:val="009B33E7"/>
    <w:rsid w:val="00A11C3D"/>
    <w:rsid w:val="00AD0C41"/>
    <w:rsid w:val="00AF66E4"/>
    <w:rsid w:val="00B514D7"/>
    <w:rsid w:val="00BB7F67"/>
    <w:rsid w:val="00C178E5"/>
    <w:rsid w:val="00C578A2"/>
    <w:rsid w:val="00C95F86"/>
    <w:rsid w:val="00D17AA8"/>
    <w:rsid w:val="00D97FBB"/>
    <w:rsid w:val="00DB7F49"/>
    <w:rsid w:val="00DC2623"/>
    <w:rsid w:val="00DD6E89"/>
    <w:rsid w:val="00E94EAC"/>
    <w:rsid w:val="00F45978"/>
    <w:rsid w:val="00F76459"/>
    <w:rsid w:val="00F85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EAA1"/>
  <w15:chartTrackingRefBased/>
  <w15:docId w15:val="{40CDDB14-237A-4F16-8754-ABD65E81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24D48"/>
    <w:rPr>
      <w:color w:val="0000FF"/>
      <w:u w:val="single"/>
    </w:rPr>
  </w:style>
  <w:style w:type="paragraph" w:customStyle="1" w:styleId="notedraft">
    <w:name w:val="notedraft"/>
    <w:basedOn w:val="Normal"/>
    <w:rsid w:val="00124D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124D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124D4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E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35"/>
    <w:rPr>
      <w:rFonts w:ascii="Segoe UI" w:hAnsi="Segoe UI" w:cs="Segoe UI"/>
      <w:sz w:val="18"/>
      <w:szCs w:val="18"/>
    </w:rPr>
  </w:style>
  <w:style w:type="character" w:styleId="CommentReference">
    <w:name w:val="annotation reference"/>
    <w:basedOn w:val="DefaultParagraphFont"/>
    <w:uiPriority w:val="99"/>
    <w:semiHidden/>
    <w:unhideWhenUsed/>
    <w:rsid w:val="00AF66E4"/>
    <w:rPr>
      <w:sz w:val="16"/>
      <w:szCs w:val="16"/>
    </w:rPr>
  </w:style>
  <w:style w:type="paragraph" w:styleId="CommentText">
    <w:name w:val="annotation text"/>
    <w:basedOn w:val="Normal"/>
    <w:link w:val="CommentTextChar"/>
    <w:uiPriority w:val="99"/>
    <w:semiHidden/>
    <w:unhideWhenUsed/>
    <w:rsid w:val="00AF66E4"/>
    <w:pPr>
      <w:spacing w:line="240" w:lineRule="auto"/>
    </w:pPr>
    <w:rPr>
      <w:sz w:val="20"/>
      <w:szCs w:val="20"/>
    </w:rPr>
  </w:style>
  <w:style w:type="character" w:customStyle="1" w:styleId="CommentTextChar">
    <w:name w:val="Comment Text Char"/>
    <w:basedOn w:val="DefaultParagraphFont"/>
    <w:link w:val="CommentText"/>
    <w:uiPriority w:val="99"/>
    <w:semiHidden/>
    <w:rsid w:val="00AF66E4"/>
    <w:rPr>
      <w:sz w:val="20"/>
      <w:szCs w:val="20"/>
    </w:rPr>
  </w:style>
  <w:style w:type="paragraph" w:styleId="CommentSubject">
    <w:name w:val="annotation subject"/>
    <w:basedOn w:val="CommentText"/>
    <w:next w:val="CommentText"/>
    <w:link w:val="CommentSubjectChar"/>
    <w:uiPriority w:val="99"/>
    <w:semiHidden/>
    <w:unhideWhenUsed/>
    <w:rsid w:val="00AF66E4"/>
    <w:rPr>
      <w:b/>
      <w:bCs/>
    </w:rPr>
  </w:style>
  <w:style w:type="character" w:customStyle="1" w:styleId="CommentSubjectChar">
    <w:name w:val="Comment Subject Char"/>
    <w:basedOn w:val="CommentTextChar"/>
    <w:link w:val="CommentSubject"/>
    <w:uiPriority w:val="99"/>
    <w:semiHidden/>
    <w:rsid w:val="00AF66E4"/>
    <w:rPr>
      <w:b/>
      <w:bCs/>
      <w:sz w:val="20"/>
      <w:szCs w:val="20"/>
    </w:rPr>
  </w:style>
  <w:style w:type="paragraph" w:styleId="Revision">
    <w:name w:val="Revision"/>
    <w:hidden/>
    <w:uiPriority w:val="99"/>
    <w:semiHidden/>
    <w:rsid w:val="00DC2623"/>
    <w:pPr>
      <w:spacing w:after="0" w:line="240" w:lineRule="auto"/>
    </w:pPr>
  </w:style>
  <w:style w:type="paragraph" w:customStyle="1" w:styleId="Item">
    <w:name w:val="Item"/>
    <w:aliases w:val="i"/>
    <w:basedOn w:val="Normal"/>
    <w:next w:val="Normal"/>
    <w:rsid w:val="003B451A"/>
    <w:pPr>
      <w:keepLines/>
      <w:spacing w:before="80" w:after="0" w:line="240" w:lineRule="auto"/>
      <w:ind w:left="709"/>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8585">
      <w:bodyDiv w:val="1"/>
      <w:marLeft w:val="0"/>
      <w:marRight w:val="0"/>
      <w:marTop w:val="0"/>
      <w:marBottom w:val="0"/>
      <w:divBdr>
        <w:top w:val="none" w:sz="0" w:space="0" w:color="auto"/>
        <w:left w:val="none" w:sz="0" w:space="0" w:color="auto"/>
        <w:bottom w:val="none" w:sz="0" w:space="0" w:color="auto"/>
        <w:right w:val="none" w:sz="0" w:space="0" w:color="auto"/>
      </w:divBdr>
    </w:div>
    <w:div w:id="822043307">
      <w:bodyDiv w:val="1"/>
      <w:marLeft w:val="0"/>
      <w:marRight w:val="0"/>
      <w:marTop w:val="0"/>
      <w:marBottom w:val="0"/>
      <w:divBdr>
        <w:top w:val="none" w:sz="0" w:space="0" w:color="auto"/>
        <w:left w:val="none" w:sz="0" w:space="0" w:color="auto"/>
        <w:bottom w:val="none" w:sz="0" w:space="0" w:color="auto"/>
        <w:right w:val="none" w:sz="0" w:space="0" w:color="auto"/>
      </w:divBdr>
    </w:div>
    <w:div w:id="1056659912">
      <w:bodyDiv w:val="1"/>
      <w:marLeft w:val="0"/>
      <w:marRight w:val="0"/>
      <w:marTop w:val="0"/>
      <w:marBottom w:val="0"/>
      <w:divBdr>
        <w:top w:val="none" w:sz="0" w:space="0" w:color="auto"/>
        <w:left w:val="none" w:sz="0" w:space="0" w:color="auto"/>
        <w:bottom w:val="none" w:sz="0" w:space="0" w:color="auto"/>
        <w:right w:val="none" w:sz="0" w:space="0" w:color="auto"/>
      </w:divBdr>
    </w:div>
    <w:div w:id="1701392524">
      <w:bodyDiv w:val="1"/>
      <w:marLeft w:val="0"/>
      <w:marRight w:val="0"/>
      <w:marTop w:val="0"/>
      <w:marBottom w:val="0"/>
      <w:divBdr>
        <w:top w:val="none" w:sz="0" w:space="0" w:color="auto"/>
        <w:left w:val="none" w:sz="0" w:space="0" w:color="auto"/>
        <w:bottom w:val="none" w:sz="0" w:space="0" w:color="auto"/>
        <w:right w:val="none" w:sz="0" w:space="0" w:color="auto"/>
      </w:divBdr>
    </w:div>
    <w:div w:id="21348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6F25-3552-4B47-9ABD-A48F6C3F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Pedro</dc:creator>
  <cp:keywords/>
  <dc:description/>
  <cp:lastModifiedBy>NG, Jason</cp:lastModifiedBy>
  <cp:revision>3</cp:revision>
  <cp:lastPrinted>2021-06-08T05:34:00Z</cp:lastPrinted>
  <dcterms:created xsi:type="dcterms:W3CDTF">2021-07-01T06:49:00Z</dcterms:created>
  <dcterms:modified xsi:type="dcterms:W3CDTF">2021-07-02T00:36:00Z</dcterms:modified>
</cp:coreProperties>
</file>