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322" w:type="dxa"/>
        <w:tblLayout w:type="fixed"/>
        <w:tblLook w:val="0000" w:firstRow="0" w:lastRow="0" w:firstColumn="0" w:lastColumn="0" w:noHBand="0" w:noVBand="0"/>
        <w:tblCaption w:val="Cover page header for AASB amending Standard"/>
        <w:tblDescription w:val="Identification that the pronouncement is an AASB Standard, the Standard number, and the month of issue of the AASB amending Standard"/>
      </w:tblPr>
      <w:tblGrid>
        <w:gridCol w:w="4661"/>
        <w:gridCol w:w="4661"/>
      </w:tblGrid>
      <w:tr w:rsidR="00090A6F" w:rsidRPr="00637016" w14:paraId="0E0A59E8" w14:textId="77777777" w:rsidTr="00A22E0D">
        <w:tc>
          <w:tcPr>
            <w:tcW w:w="4661" w:type="dxa"/>
          </w:tcPr>
          <w:p w14:paraId="02586A03" w14:textId="77777777" w:rsidR="00090A6F" w:rsidRPr="00637016" w:rsidRDefault="00364B30">
            <w:pPr>
              <w:pStyle w:val="CoverStandard"/>
            </w:pPr>
            <w:r w:rsidRPr="00637016">
              <w:t>AASB</w:t>
            </w:r>
            <w:r w:rsidR="00831497" w:rsidRPr="00637016">
              <w:t xml:space="preserve"> Standard</w:t>
            </w:r>
          </w:p>
        </w:tc>
        <w:tc>
          <w:tcPr>
            <w:tcW w:w="4661" w:type="dxa"/>
          </w:tcPr>
          <w:p w14:paraId="14E798AF" w14:textId="076FE9AC" w:rsidR="00090A6F" w:rsidRPr="00637016" w:rsidRDefault="00831497">
            <w:pPr>
              <w:pStyle w:val="CoverNumber"/>
            </w:pPr>
            <w:r w:rsidRPr="00637016">
              <w:t>AASB</w:t>
            </w:r>
            <w:r w:rsidR="00090A6F" w:rsidRPr="00637016">
              <w:t xml:space="preserve"> </w:t>
            </w:r>
            <w:bookmarkStart w:id="0" w:name="DocNo"/>
            <w:sdt>
              <w:sdtPr>
                <w:id w:val="-691537303"/>
                <w:lock w:val="contentLocked"/>
                <w:placeholder>
                  <w:docPart w:val="DefaultPlaceholder_-1854013440"/>
                </w:placeholder>
                <w:group/>
              </w:sdtPr>
              <w:sdtEndPr/>
              <w:sdtContent>
                <w:r w:rsidR="00EF7A74" w:rsidRPr="00637016">
                  <w:t>2021-</w:t>
                </w:r>
                <w:r w:rsidR="00EF1035">
                  <w:t>5</w:t>
                </w:r>
                <w:bookmarkEnd w:id="0"/>
              </w:sdtContent>
            </w:sdt>
          </w:p>
          <w:bookmarkStart w:id="1" w:name="DocDate" w:displacedByCustomXml="next"/>
          <w:sdt>
            <w:sdtPr>
              <w:id w:val="1786542950"/>
              <w:lock w:val="contentLocked"/>
              <w:placeholder>
                <w:docPart w:val="DefaultPlaceholder_-1854013440"/>
              </w:placeholder>
              <w:group/>
            </w:sdtPr>
            <w:sdtEndPr/>
            <w:sdtContent>
              <w:p w14:paraId="13D92FC5" w14:textId="4FF997BA" w:rsidR="00090A6F" w:rsidRPr="00637016" w:rsidRDefault="00EF7A74">
                <w:pPr>
                  <w:pStyle w:val="CoverDate"/>
                </w:pPr>
                <w:r w:rsidRPr="00637016">
                  <w:t>June 2021</w:t>
                </w:r>
              </w:p>
              <w:bookmarkEnd w:id="1" w:displacedByCustomXml="next"/>
            </w:sdtContent>
          </w:sdt>
        </w:tc>
      </w:tr>
    </w:tbl>
    <w:bookmarkStart w:id="2" w:name="DocTitle" w:displacedByCustomXml="next"/>
    <w:sdt>
      <w:sdtPr>
        <w:id w:val="-198782738"/>
        <w:lock w:val="contentLocked"/>
        <w:placeholder>
          <w:docPart w:val="DefaultPlaceholder_-1854013440"/>
        </w:placeholder>
        <w:group/>
      </w:sdtPr>
      <w:sdtEndPr/>
      <w:sdtContent>
        <w:p w14:paraId="3E27DBBE" w14:textId="3737FDE4" w:rsidR="00090A6F" w:rsidRPr="00637016" w:rsidRDefault="00EF7A74" w:rsidP="00E73C3C">
          <w:pPr>
            <w:pStyle w:val="CoverTitle"/>
            <w:jc w:val="left"/>
          </w:pPr>
          <w:r w:rsidRPr="00637016">
            <w:t>Amendments to Australian Accounting Standards – Deferred Tax related to Assets and Liabilities arising from a Single Transaction</w:t>
          </w:r>
        </w:p>
        <w:bookmarkEnd w:id="2" w:displacedByCustomXml="next"/>
      </w:sdtContent>
    </w:sdt>
    <w:p w14:paraId="1A25E649" w14:textId="0D101925" w:rsidR="00C5022C" w:rsidRPr="00637016" w:rsidRDefault="002B7803" w:rsidP="00C5022C">
      <w:pPr>
        <w:pStyle w:val="CoverSubtitle"/>
      </w:pPr>
      <w:r w:rsidRPr="00637016">
        <w:t>[</w:t>
      </w:r>
      <w:bookmarkStart w:id="3" w:name="AmendingNos"/>
      <w:r w:rsidR="00EF7A74" w:rsidRPr="00637016">
        <w:t>A</w:t>
      </w:r>
      <w:r w:rsidR="003C2C09" w:rsidRPr="00637016">
        <w:t>ASB 1 &amp; A</w:t>
      </w:r>
      <w:r w:rsidR="00EF7A74" w:rsidRPr="00637016">
        <w:t>ASB 112</w:t>
      </w:r>
      <w:bookmarkEnd w:id="3"/>
      <w:r w:rsidRPr="00637016">
        <w:t>]</w:t>
      </w:r>
    </w:p>
    <w:p w14:paraId="3B004554" w14:textId="77777777" w:rsidR="00737714" w:rsidRPr="00637016" w:rsidRDefault="00737714" w:rsidP="00737714"/>
    <w:p w14:paraId="147073F2" w14:textId="77777777" w:rsidR="00090A6F" w:rsidRPr="00637016" w:rsidRDefault="008B643A">
      <w:pPr>
        <w:sectPr w:rsidR="00090A6F" w:rsidRPr="00637016" w:rsidSect="00D74C6A">
          <w:pgSz w:w="11907" w:h="16840" w:code="9"/>
          <w:pgMar w:top="1418" w:right="1418" w:bottom="1418" w:left="1418" w:header="709" w:footer="709" w:gutter="0"/>
          <w:paperSrc w:first="7" w:other="7"/>
          <w:cols w:space="720"/>
        </w:sectPr>
      </w:pPr>
      <w:r w:rsidRPr="00637016">
        <w:rPr>
          <w:noProof/>
          <w:lang w:eastAsia="en-AU"/>
        </w:rPr>
        <w:drawing>
          <wp:anchor distT="0" distB="0" distL="114300" distR="114300" simplePos="0" relativeHeight="251657728" behindDoc="0" locked="1" layoutInCell="1" allowOverlap="1" wp14:anchorId="15EE0A59" wp14:editId="680FA909">
            <wp:simplePos x="0" y="0"/>
            <wp:positionH relativeFrom="margin">
              <wp:posOffset>0</wp:posOffset>
            </wp:positionH>
            <wp:positionV relativeFrom="margin">
              <wp:align>bottom</wp:align>
            </wp:positionV>
            <wp:extent cx="1677600" cy="1332000"/>
            <wp:effectExtent l="0" t="0" r="0" b="1905"/>
            <wp:wrapNone/>
            <wp:docPr id="5" name="Picture 5" descr="Australian crest, with text naming the Australian Government and the Australian Accounting Standards Board" title="Logo of the Australian Accounting Standards Bo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ASB_stack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77600" cy="1332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91CC8E1" w14:textId="77777777" w:rsidR="00737714" w:rsidRPr="00637016" w:rsidRDefault="00737714" w:rsidP="00F13C5A">
      <w:pPr>
        <w:pStyle w:val="Heading1"/>
      </w:pPr>
      <w:r w:rsidRPr="00637016">
        <w:lastRenderedPageBreak/>
        <w:t xml:space="preserve">Obtaining a </w:t>
      </w:r>
      <w:r w:rsidR="005655CE" w:rsidRPr="00637016">
        <w:t>c</w:t>
      </w:r>
      <w:r w:rsidRPr="00637016">
        <w:t xml:space="preserve">opy of this </w:t>
      </w:r>
      <w:r w:rsidR="00C5022C" w:rsidRPr="00637016">
        <w:t>Accounting Standard</w:t>
      </w:r>
    </w:p>
    <w:p w14:paraId="205341E6" w14:textId="77777777" w:rsidR="00737714" w:rsidRPr="00637016" w:rsidRDefault="00737714" w:rsidP="00895809">
      <w:pPr>
        <w:spacing w:after="200"/>
      </w:pPr>
      <w:r w:rsidRPr="00637016">
        <w:t xml:space="preserve">This </w:t>
      </w:r>
      <w:r w:rsidR="00C5022C" w:rsidRPr="00637016">
        <w:t>Standard</w:t>
      </w:r>
      <w:r w:rsidRPr="00637016">
        <w:t xml:space="preserve"> is available o</w:t>
      </w:r>
      <w:r w:rsidR="00923261" w:rsidRPr="00637016">
        <w:t>n the AASB website: www.aasb.gov</w:t>
      </w:r>
      <w:r w:rsidRPr="00637016">
        <w:t>.au.</w:t>
      </w:r>
    </w:p>
    <w:p w14:paraId="3513C615" w14:textId="77777777" w:rsidR="00895809" w:rsidRPr="00637016" w:rsidRDefault="00895809" w:rsidP="00895809">
      <w:r w:rsidRPr="00637016">
        <w:t>Australian Accounting Standards Board</w:t>
      </w:r>
    </w:p>
    <w:p w14:paraId="52A2EFF1" w14:textId="77777777" w:rsidR="00895809" w:rsidRPr="00637016" w:rsidRDefault="00895809" w:rsidP="00895809">
      <w:r w:rsidRPr="00637016">
        <w:t>PO Box 204</w:t>
      </w:r>
    </w:p>
    <w:p w14:paraId="4FDBC1FF" w14:textId="77777777" w:rsidR="00895809" w:rsidRPr="00637016" w:rsidRDefault="00895809" w:rsidP="00895809">
      <w:r w:rsidRPr="00637016">
        <w:t>Collins Street West</w:t>
      </w:r>
    </w:p>
    <w:p w14:paraId="3CAE3E7C" w14:textId="77777777" w:rsidR="00895809" w:rsidRPr="00637016" w:rsidRDefault="00895809" w:rsidP="00895809">
      <w:r w:rsidRPr="00637016">
        <w:t>Victoria   8007</w:t>
      </w:r>
    </w:p>
    <w:p w14:paraId="039FF5A4" w14:textId="77777777" w:rsidR="00895809" w:rsidRPr="00637016" w:rsidRDefault="00895809" w:rsidP="00895809">
      <w:pPr>
        <w:pStyle w:val="CoverContact"/>
        <w:spacing w:after="200"/>
      </w:pPr>
      <w:r w:rsidRPr="00637016">
        <w:t>AUSTRALIA</w:t>
      </w:r>
    </w:p>
    <w:p w14:paraId="2A9F38D8" w14:textId="77777777" w:rsidR="00737714" w:rsidRPr="00637016" w:rsidRDefault="0034243B" w:rsidP="00B82F15">
      <w:pPr>
        <w:pStyle w:val="CoverContact"/>
      </w:pPr>
      <w:r w:rsidRPr="00637016">
        <w:t>Phone:</w:t>
      </w:r>
      <w:r w:rsidRPr="00637016">
        <w:tab/>
        <w:t>(03) 9617 7600</w:t>
      </w:r>
    </w:p>
    <w:p w14:paraId="39548D03" w14:textId="77777777" w:rsidR="00E96D45" w:rsidRPr="00637016" w:rsidRDefault="00DB00CD" w:rsidP="00DB00CD">
      <w:pPr>
        <w:pStyle w:val="CoverContact"/>
      </w:pPr>
      <w:r w:rsidRPr="00637016">
        <w:t>E-mail:</w:t>
      </w:r>
      <w:r w:rsidRPr="00637016">
        <w:tab/>
      </w:r>
      <w:r w:rsidR="0034243B" w:rsidRPr="00637016">
        <w:t>standard</w:t>
      </w:r>
      <w:r w:rsidRPr="00637016">
        <w:t>@aasb.gov.au</w:t>
      </w:r>
    </w:p>
    <w:p w14:paraId="7BB27E0F" w14:textId="77777777" w:rsidR="00E96D45" w:rsidRPr="00637016" w:rsidRDefault="00DB00CD" w:rsidP="00DB00CD">
      <w:pPr>
        <w:pStyle w:val="CoverContact"/>
        <w:spacing w:after="240"/>
      </w:pPr>
      <w:r w:rsidRPr="00637016">
        <w:t>Website:</w:t>
      </w:r>
      <w:r w:rsidRPr="00637016">
        <w:tab/>
        <w:t>www.aasb.gov.au</w:t>
      </w:r>
    </w:p>
    <w:p w14:paraId="099AFAB7" w14:textId="77777777" w:rsidR="00090A6F" w:rsidRPr="00637016" w:rsidRDefault="00090A6F" w:rsidP="00F13C5A">
      <w:pPr>
        <w:pStyle w:val="Heading1"/>
      </w:pPr>
      <w:r w:rsidRPr="00637016">
        <w:t xml:space="preserve">Other </w:t>
      </w:r>
      <w:r w:rsidR="005655CE" w:rsidRPr="00637016">
        <w:t>enquiries</w:t>
      </w:r>
    </w:p>
    <w:p w14:paraId="1990FC4D" w14:textId="77777777" w:rsidR="00090A6F" w:rsidRPr="00637016" w:rsidRDefault="00090A6F" w:rsidP="00B82F15">
      <w:pPr>
        <w:pStyle w:val="CoverContact"/>
      </w:pPr>
      <w:r w:rsidRPr="00637016">
        <w:t>Phone:</w:t>
      </w:r>
      <w:r w:rsidRPr="00637016">
        <w:tab/>
        <w:t>(03) 9617 7600</w:t>
      </w:r>
    </w:p>
    <w:p w14:paraId="6A2BC3D4" w14:textId="77777777" w:rsidR="00090A6F" w:rsidRPr="00637016" w:rsidRDefault="00923261">
      <w:pPr>
        <w:pStyle w:val="CoverContact"/>
      </w:pPr>
      <w:r w:rsidRPr="00637016">
        <w:t>E-mail:</w:t>
      </w:r>
      <w:r w:rsidRPr="00637016">
        <w:tab/>
        <w:t>standard@aasb.gov</w:t>
      </w:r>
      <w:r w:rsidR="00090A6F" w:rsidRPr="00637016">
        <w:t>.au</w:t>
      </w:r>
    </w:p>
    <w:p w14:paraId="2C047C26" w14:textId="77777777" w:rsidR="00276BC5" w:rsidRPr="00637016" w:rsidRDefault="00276BC5" w:rsidP="00895809">
      <w:pPr>
        <w:pStyle w:val="NoNumPlain1"/>
        <w:spacing w:before="6240"/>
      </w:pPr>
      <w:r w:rsidRPr="00637016">
        <w:t>COPYRIGHT</w:t>
      </w:r>
    </w:p>
    <w:p w14:paraId="431B995E" w14:textId="77777777" w:rsidR="00276BC5" w:rsidRPr="00637016" w:rsidRDefault="00276BC5" w:rsidP="00276BC5">
      <w:pPr>
        <w:pStyle w:val="NoNumPlain1"/>
      </w:pPr>
      <w:r w:rsidRPr="00637016">
        <w:t xml:space="preserve">© Commonwealth of Australia </w:t>
      </w:r>
      <w:bookmarkStart w:id="4" w:name="Year"/>
      <w:r w:rsidR="00EF7A74" w:rsidRPr="00637016">
        <w:t>2021</w:t>
      </w:r>
      <w:bookmarkEnd w:id="4"/>
    </w:p>
    <w:p w14:paraId="14D783A4" w14:textId="77777777" w:rsidR="00276BC5" w:rsidRPr="00637016" w:rsidRDefault="00276BC5" w:rsidP="00276BC5">
      <w:pPr>
        <w:pStyle w:val="NoNumPlain1"/>
      </w:pPr>
      <w:r w:rsidRPr="00637016">
        <w:t>This AASB Standard contains IFRS Foundation copyright material.  Reproduction within Australia in unaltered form (retaining this notice) is permitted for personal and non</w:t>
      </w:r>
      <w:r w:rsidR="00895809" w:rsidRPr="00637016">
        <w:t>-</w:t>
      </w:r>
      <w:r w:rsidRPr="00637016">
        <w:t xml:space="preserve">commercial use subject to the inclusion of an acknowledgment of the source.  Requests and enquiries concerning reproduction and rights for commercial purposes within Australia should be addressed to The </w:t>
      </w:r>
      <w:r w:rsidR="0034243B" w:rsidRPr="00637016">
        <w:t xml:space="preserve">National </w:t>
      </w:r>
      <w:r w:rsidRPr="00637016">
        <w:t xml:space="preserve">Director, Australian Accounting Standards Board, </w:t>
      </w:r>
      <w:r w:rsidR="00895809" w:rsidRPr="00637016">
        <w:t>PO Box </w:t>
      </w:r>
      <w:r w:rsidRPr="00637016">
        <w:t>204, Collins Street West, Victoria 8007.</w:t>
      </w:r>
    </w:p>
    <w:p w14:paraId="2AE1F1E9" w14:textId="77777777" w:rsidR="00276BC5" w:rsidRPr="00637016" w:rsidRDefault="00276BC5" w:rsidP="00895809">
      <w:pPr>
        <w:spacing w:after="200"/>
      </w:pPr>
      <w:r w:rsidRPr="00637016">
        <w:t>All existing rights in this material are reserved outside Australia.</w:t>
      </w:r>
      <w:r w:rsidR="00895809" w:rsidRPr="00637016">
        <w:t xml:space="preserve">  </w:t>
      </w:r>
      <w:r w:rsidRPr="00637016">
        <w:t>Reproduction outside Australia in unaltered form (retaining this notice) is permitted for personal and non-commercial use only.  Further information and requests for authorisation to reproduce for commercial purposes outside Australia should be addressed to the IFRS Foundation at www.ifrs.org.</w:t>
      </w:r>
    </w:p>
    <w:p w14:paraId="390A4E7D" w14:textId="77777777" w:rsidR="007455F0" w:rsidRPr="00637016" w:rsidRDefault="006D4700" w:rsidP="006D4700">
      <w:r w:rsidRPr="00637016">
        <w:t xml:space="preserve">ISSN </w:t>
      </w:r>
      <w:bookmarkStart w:id="5" w:name="ISSN"/>
      <w:r w:rsidR="00EF7A74" w:rsidRPr="00637016">
        <w:t>1036-4803</w:t>
      </w:r>
      <w:bookmarkEnd w:id="5"/>
    </w:p>
    <w:p w14:paraId="5B71D8E4" w14:textId="77777777" w:rsidR="00090A6F" w:rsidRPr="00637016" w:rsidRDefault="00090A6F">
      <w:pPr>
        <w:sectPr w:rsidR="00090A6F" w:rsidRPr="00637016" w:rsidSect="00D74C6A">
          <w:footerReference w:type="default" r:id="rId12"/>
          <w:pgSz w:w="11907" w:h="16840" w:code="9"/>
          <w:pgMar w:top="1418" w:right="1418" w:bottom="1418" w:left="1418" w:header="709" w:footer="709" w:gutter="0"/>
          <w:paperSrc w:first="7" w:other="7"/>
          <w:cols w:space="720"/>
        </w:sectPr>
      </w:pPr>
    </w:p>
    <w:p w14:paraId="399A879B" w14:textId="77777777" w:rsidR="00090A6F" w:rsidRPr="00637016" w:rsidRDefault="005655CE">
      <w:pPr>
        <w:pStyle w:val="Heading1"/>
      </w:pPr>
      <w:r w:rsidRPr="00637016">
        <w:lastRenderedPageBreak/>
        <w:t>Contents</w:t>
      </w:r>
    </w:p>
    <w:p w14:paraId="78512AE9" w14:textId="77777777" w:rsidR="00090A6F" w:rsidRPr="00637016" w:rsidRDefault="00090A6F" w:rsidP="00653C5A">
      <w:pPr>
        <w:pStyle w:val="ContentsCapsPlain"/>
        <w:spacing w:before="400"/>
      </w:pPr>
      <w:r w:rsidRPr="00637016">
        <w:t>Preface</w:t>
      </w:r>
    </w:p>
    <w:p w14:paraId="5CE8122C" w14:textId="77777777" w:rsidR="00090A6F" w:rsidRPr="00637016" w:rsidRDefault="00090A6F">
      <w:pPr>
        <w:pStyle w:val="ContentsCapsBold"/>
      </w:pPr>
      <w:r w:rsidRPr="00637016">
        <w:t>Accounting Standard</w:t>
      </w:r>
    </w:p>
    <w:p w14:paraId="4E0E009E" w14:textId="3A466230" w:rsidR="00090A6F" w:rsidRPr="00637016" w:rsidRDefault="00090A6F">
      <w:pPr>
        <w:pStyle w:val="ContentsCapsBold"/>
        <w:rPr>
          <w:i/>
          <w:iCs/>
        </w:rPr>
      </w:pPr>
      <w:r w:rsidRPr="00637016">
        <w:t xml:space="preserve">AASB </w:t>
      </w:r>
      <w:r w:rsidR="009C2479" w:rsidRPr="00637016">
        <w:rPr>
          <w:iCs/>
        </w:rPr>
        <w:fldChar w:fldCharType="begin" w:fldLock="1"/>
      </w:r>
      <w:r w:rsidR="009C2479" w:rsidRPr="00637016">
        <w:rPr>
          <w:iCs/>
        </w:rPr>
        <w:instrText xml:space="preserve"> REF DocNo \* charformat </w:instrText>
      </w:r>
      <w:r w:rsidR="009C2479" w:rsidRPr="00637016">
        <w:rPr>
          <w:iCs/>
        </w:rPr>
        <w:fldChar w:fldCharType="separate"/>
      </w:r>
      <w:r w:rsidR="007A4E8C" w:rsidRPr="007A4E8C">
        <w:rPr>
          <w:iCs/>
        </w:rPr>
        <w:t>2021-5</w:t>
      </w:r>
      <w:r w:rsidR="009C2479" w:rsidRPr="00637016">
        <w:rPr>
          <w:iCs/>
        </w:rPr>
        <w:fldChar w:fldCharType="end"/>
      </w:r>
      <w:r w:rsidRPr="00637016">
        <w:t xml:space="preserve"> </w:t>
      </w:r>
      <w:r w:rsidR="00CC1DF4" w:rsidRPr="00637016">
        <w:rPr>
          <w:i/>
        </w:rPr>
        <w:fldChar w:fldCharType="begin" w:fldLock="1"/>
      </w:r>
      <w:r w:rsidR="00CC1DF4" w:rsidRPr="00637016">
        <w:rPr>
          <w:i/>
        </w:rPr>
        <w:instrText xml:space="preserve"> REF DocTitle \* charformat </w:instrText>
      </w:r>
      <w:r w:rsidR="00CC1DF4" w:rsidRPr="00637016">
        <w:rPr>
          <w:i/>
        </w:rPr>
        <w:fldChar w:fldCharType="separate"/>
      </w:r>
      <w:r w:rsidR="007A4E8C" w:rsidRPr="007A4E8C">
        <w:rPr>
          <w:i/>
        </w:rPr>
        <w:t>Amendments to Australian Accounting Standards – Deferred Tax related to Assets and Liabilities arising from a Single Transaction</w:t>
      </w:r>
      <w:r w:rsidR="00CC1DF4" w:rsidRPr="00637016">
        <w:rPr>
          <w:i/>
        </w:rPr>
        <w:fldChar w:fldCharType="end"/>
      </w:r>
    </w:p>
    <w:p w14:paraId="0A3A970D" w14:textId="77777777" w:rsidR="002B7803" w:rsidRPr="00637016" w:rsidRDefault="002B7803" w:rsidP="002B7803"/>
    <w:p w14:paraId="04C1858C" w14:textId="77777777" w:rsidR="00090A6F" w:rsidRPr="00637016" w:rsidRDefault="009965BA">
      <w:pPr>
        <w:pStyle w:val="ContentsParaHead"/>
      </w:pPr>
      <w:r w:rsidRPr="00637016">
        <w:t>from page</w:t>
      </w:r>
    </w:p>
    <w:p w14:paraId="0F2D0BB4" w14:textId="269A10E8" w:rsidR="00090A6F" w:rsidRPr="00637016" w:rsidRDefault="00090A6F" w:rsidP="009B6788">
      <w:pPr>
        <w:pStyle w:val="ContentsLevel1"/>
        <w:ind w:right="-1"/>
      </w:pPr>
      <w:bookmarkStart w:id="6" w:name="TOCRange"/>
      <w:r w:rsidRPr="00637016">
        <w:t>Objective</w:t>
      </w:r>
      <w:r w:rsidRPr="00637016">
        <w:tab/>
      </w:r>
      <w:r w:rsidR="00F02B8E">
        <w:t>5</w:t>
      </w:r>
    </w:p>
    <w:p w14:paraId="4E26A293" w14:textId="7F8767BF" w:rsidR="00090A6F" w:rsidRPr="00637016" w:rsidRDefault="00090A6F" w:rsidP="009B6788">
      <w:pPr>
        <w:pStyle w:val="ContentsLevel1"/>
        <w:ind w:right="-1"/>
      </w:pPr>
      <w:r w:rsidRPr="00637016">
        <w:t>Application</w:t>
      </w:r>
      <w:r w:rsidRPr="00637016">
        <w:tab/>
      </w:r>
      <w:r w:rsidR="00F02B8E">
        <w:t>5</w:t>
      </w:r>
    </w:p>
    <w:p w14:paraId="67327B39" w14:textId="3694A054" w:rsidR="0069089A" w:rsidRPr="00637016" w:rsidRDefault="0069089A" w:rsidP="009B6788">
      <w:pPr>
        <w:pStyle w:val="ContentsLevel1"/>
        <w:ind w:right="-1"/>
      </w:pPr>
      <w:r w:rsidRPr="00637016">
        <w:t>Amendments to AASB 1</w:t>
      </w:r>
      <w:r w:rsidR="00EF4CAA">
        <w:tab/>
        <w:t>5</w:t>
      </w:r>
    </w:p>
    <w:p w14:paraId="0DB8D246" w14:textId="2B432D57" w:rsidR="00020C5A" w:rsidRPr="00637016" w:rsidRDefault="00EF7A74" w:rsidP="009B6788">
      <w:pPr>
        <w:pStyle w:val="ContentsLevel1"/>
        <w:ind w:right="-1"/>
      </w:pPr>
      <w:r w:rsidRPr="00637016">
        <w:t>Amendments to AASB 112</w:t>
      </w:r>
      <w:r w:rsidR="00EF4CAA">
        <w:tab/>
        <w:t>6</w:t>
      </w:r>
    </w:p>
    <w:p w14:paraId="3B37C55B" w14:textId="1BD11F23" w:rsidR="00EF7A74" w:rsidRPr="00637016" w:rsidRDefault="00020C5A" w:rsidP="009B6788">
      <w:pPr>
        <w:pStyle w:val="ContentsLevel1"/>
        <w:ind w:right="-1"/>
      </w:pPr>
      <w:r w:rsidRPr="00637016">
        <w:t>Commencement of the legislative instrument</w:t>
      </w:r>
      <w:r w:rsidR="00EF7A74" w:rsidRPr="00637016">
        <w:tab/>
      </w:r>
      <w:r w:rsidR="006D4401">
        <w:t>9</w:t>
      </w:r>
    </w:p>
    <w:p w14:paraId="659B19BC" w14:textId="5E99BDE7" w:rsidR="00090A6F" w:rsidRPr="00637016" w:rsidRDefault="00090A6F">
      <w:bookmarkStart w:id="7" w:name="ContentsMarker"/>
      <w:bookmarkEnd w:id="7"/>
    </w:p>
    <w:bookmarkEnd w:id="6"/>
    <w:p w14:paraId="0A372DCC" w14:textId="77777777" w:rsidR="0034243B" w:rsidRPr="00637016" w:rsidRDefault="0034243B" w:rsidP="009A3137">
      <w:pPr>
        <w:pStyle w:val="ContentsCapsBold"/>
        <w:spacing w:before="400" w:after="60"/>
      </w:pPr>
      <w:r w:rsidRPr="00637016">
        <w:t>aVailable on the AASB website</w:t>
      </w:r>
    </w:p>
    <w:p w14:paraId="01E49F30" w14:textId="72F9671E" w:rsidR="0034243B" w:rsidRPr="00637016" w:rsidRDefault="0034243B" w:rsidP="009A3137">
      <w:pPr>
        <w:pStyle w:val="ContentsCapsBoldPg"/>
        <w:spacing w:after="60"/>
      </w:pPr>
      <w:r w:rsidRPr="00637016">
        <w:t xml:space="preserve">IASB </w:t>
      </w:r>
      <w:r w:rsidR="00E73C3C" w:rsidRPr="00637016">
        <w:t>Basis for</w:t>
      </w:r>
      <w:r w:rsidRPr="00637016">
        <w:t xml:space="preserve"> Conclusions – Amendments</w:t>
      </w:r>
    </w:p>
    <w:p w14:paraId="3ABBB121" w14:textId="77777777" w:rsidR="0034243B" w:rsidRPr="00637016" w:rsidRDefault="0034243B" w:rsidP="0034243B">
      <w:pPr>
        <w:pStyle w:val="ContentsCapsBoldPg"/>
      </w:pPr>
    </w:p>
    <w:p w14:paraId="4D871DC6" w14:textId="28F47207" w:rsidR="00090A6F" w:rsidRPr="00637016" w:rsidRDefault="00090A6F">
      <w:pPr>
        <w:pStyle w:val="ContentsBox"/>
      </w:pPr>
      <w:r w:rsidRPr="00637016">
        <w:t xml:space="preserve">Australian Accounting Standard AASB </w:t>
      </w:r>
      <w:r w:rsidR="00BC0D5D" w:rsidRPr="00637016">
        <w:rPr>
          <w:iCs/>
        </w:rPr>
        <w:fldChar w:fldCharType="begin" w:fldLock="1"/>
      </w:r>
      <w:r w:rsidR="00BC0D5D" w:rsidRPr="00637016">
        <w:rPr>
          <w:iCs/>
        </w:rPr>
        <w:instrText xml:space="preserve"> REF </w:instrText>
      </w:r>
      <w:r w:rsidR="009C2479" w:rsidRPr="00637016">
        <w:rPr>
          <w:iCs/>
        </w:rPr>
        <w:instrText>Doc</w:instrText>
      </w:r>
      <w:r w:rsidR="00BC0D5D" w:rsidRPr="00637016">
        <w:rPr>
          <w:iCs/>
        </w:rPr>
        <w:instrText xml:space="preserve">No \* charformat </w:instrText>
      </w:r>
      <w:r w:rsidR="00BC0D5D" w:rsidRPr="00637016">
        <w:rPr>
          <w:iCs/>
        </w:rPr>
        <w:fldChar w:fldCharType="separate"/>
      </w:r>
      <w:r w:rsidR="007A4E8C" w:rsidRPr="007A4E8C">
        <w:rPr>
          <w:iCs/>
        </w:rPr>
        <w:t>2021-5</w:t>
      </w:r>
      <w:r w:rsidR="00BC0D5D" w:rsidRPr="00637016">
        <w:rPr>
          <w:iCs/>
        </w:rPr>
        <w:fldChar w:fldCharType="end"/>
      </w:r>
      <w:r w:rsidRPr="00637016">
        <w:t xml:space="preserve"> </w:t>
      </w:r>
      <w:r w:rsidR="00CC1DF4" w:rsidRPr="00637016">
        <w:rPr>
          <w:i/>
        </w:rPr>
        <w:fldChar w:fldCharType="begin" w:fldLock="1"/>
      </w:r>
      <w:r w:rsidR="00CC1DF4" w:rsidRPr="00637016">
        <w:rPr>
          <w:i/>
        </w:rPr>
        <w:instrText xml:space="preserve"> REF DocTitle \* charformat </w:instrText>
      </w:r>
      <w:r w:rsidR="00CC1DF4" w:rsidRPr="00637016">
        <w:rPr>
          <w:i/>
        </w:rPr>
        <w:fldChar w:fldCharType="separate"/>
      </w:r>
      <w:r w:rsidR="007A4E8C" w:rsidRPr="007A4E8C">
        <w:rPr>
          <w:i/>
        </w:rPr>
        <w:t>Amendments to Australian Accounting Standards – Deferred Tax related to Assets and Liabilities arising from a Single Transaction</w:t>
      </w:r>
      <w:r w:rsidR="00CC1DF4" w:rsidRPr="00637016">
        <w:rPr>
          <w:i/>
        </w:rPr>
        <w:fldChar w:fldCharType="end"/>
      </w:r>
      <w:r w:rsidRPr="00637016">
        <w:rPr>
          <w:i/>
          <w:iCs/>
        </w:rPr>
        <w:t xml:space="preserve"> </w:t>
      </w:r>
      <w:r w:rsidRPr="00637016">
        <w:t xml:space="preserve">is set out </w:t>
      </w:r>
      <w:r w:rsidR="005655CE" w:rsidRPr="00637016">
        <w:t>o</w:t>
      </w:r>
      <w:r w:rsidRPr="00637016">
        <w:t xml:space="preserve">n </w:t>
      </w:r>
      <w:r w:rsidR="005655CE" w:rsidRPr="00637016">
        <w:t>pages</w:t>
      </w:r>
      <w:r w:rsidRPr="00637016">
        <w:t xml:space="preserve"> </w:t>
      </w:r>
      <w:r w:rsidR="00EF4CAA">
        <w:t xml:space="preserve">5 – </w:t>
      </w:r>
      <w:r w:rsidR="006D4401">
        <w:t>9</w:t>
      </w:r>
      <w:r w:rsidR="00EF4CAA" w:rsidRPr="00637016">
        <w:t xml:space="preserve">. </w:t>
      </w:r>
      <w:r w:rsidRPr="00637016">
        <w:t>All the pa</w:t>
      </w:r>
      <w:r w:rsidR="009C2479" w:rsidRPr="00637016">
        <w:t>ragraphs have equal authority.</w:t>
      </w:r>
    </w:p>
    <w:p w14:paraId="538E1D27" w14:textId="77777777" w:rsidR="00090A6F" w:rsidRPr="00637016" w:rsidRDefault="00090A6F">
      <w:pPr>
        <w:pStyle w:val="ContentsBox"/>
        <w:pBdr>
          <w:top w:val="none" w:sz="0" w:space="0" w:color="auto"/>
          <w:left w:val="none" w:sz="0" w:space="0" w:color="auto"/>
          <w:bottom w:val="none" w:sz="0" w:space="0" w:color="auto"/>
          <w:right w:val="none" w:sz="0" w:space="0" w:color="auto"/>
        </w:pBdr>
      </w:pPr>
    </w:p>
    <w:p w14:paraId="0E015469" w14:textId="77777777" w:rsidR="00090A6F" w:rsidRPr="00637016" w:rsidRDefault="00090A6F">
      <w:pPr>
        <w:sectPr w:rsidR="00090A6F" w:rsidRPr="00637016" w:rsidSect="00D74C6A">
          <w:footerReference w:type="default" r:id="rId13"/>
          <w:pgSz w:w="11907" w:h="16840" w:code="9"/>
          <w:pgMar w:top="1418" w:right="1418" w:bottom="1418" w:left="1418" w:header="709" w:footer="709" w:gutter="0"/>
          <w:paperSrc w:first="7" w:other="7"/>
          <w:cols w:space="720"/>
        </w:sectPr>
      </w:pPr>
    </w:p>
    <w:p w14:paraId="6410018E" w14:textId="77777777" w:rsidR="00090A6F" w:rsidRPr="00637016" w:rsidRDefault="00090A6F">
      <w:pPr>
        <w:pStyle w:val="Heading1"/>
      </w:pPr>
      <w:r w:rsidRPr="00637016">
        <w:lastRenderedPageBreak/>
        <w:t>Preface</w:t>
      </w:r>
    </w:p>
    <w:p w14:paraId="55189461" w14:textId="6FB82795" w:rsidR="000F64CC" w:rsidRPr="00637016" w:rsidRDefault="00CA61C5" w:rsidP="00E4453C">
      <w:pPr>
        <w:pStyle w:val="Heading2"/>
        <w:spacing w:before="400"/>
      </w:pPr>
      <w:r w:rsidRPr="00637016">
        <w:t xml:space="preserve">Standards amended by AASB </w:t>
      </w:r>
      <w:r w:rsidRPr="00637016">
        <w:fldChar w:fldCharType="begin" w:fldLock="1"/>
      </w:r>
      <w:r w:rsidRPr="00637016">
        <w:instrText xml:space="preserve"> REF DocNo \* charformat</w:instrText>
      </w:r>
      <w:r w:rsidRPr="00637016">
        <w:fldChar w:fldCharType="separate"/>
      </w:r>
      <w:r w:rsidR="007A4E8C" w:rsidRPr="00637016">
        <w:t>2021-</w:t>
      </w:r>
      <w:r w:rsidR="007A4E8C">
        <w:t>5</w:t>
      </w:r>
      <w:r w:rsidRPr="00637016">
        <w:fldChar w:fldCharType="end"/>
      </w:r>
    </w:p>
    <w:p w14:paraId="66507B6B" w14:textId="274C7226" w:rsidR="00074133" w:rsidRPr="00637016" w:rsidRDefault="009C2479" w:rsidP="005A2514">
      <w:pPr>
        <w:pStyle w:val="NoNumPlain1"/>
      </w:pPr>
      <w:r w:rsidRPr="00637016">
        <w:t>This Standard makes amendments to</w:t>
      </w:r>
      <w:r w:rsidR="00DC1299" w:rsidRPr="00637016">
        <w:t xml:space="preserve"> AASB 1 </w:t>
      </w:r>
      <w:bookmarkStart w:id="8" w:name="_Hlk73002777"/>
      <w:r w:rsidR="00DC1299" w:rsidRPr="00637016">
        <w:rPr>
          <w:i/>
          <w:iCs/>
        </w:rPr>
        <w:t>First-time Adoption of Australian Accounting</w:t>
      </w:r>
      <w:r w:rsidR="00DC1299" w:rsidRPr="00637016">
        <w:t xml:space="preserve"> </w:t>
      </w:r>
      <w:r w:rsidR="00DC1299" w:rsidRPr="00637016">
        <w:rPr>
          <w:i/>
          <w:iCs/>
        </w:rPr>
        <w:t>Standards</w:t>
      </w:r>
      <w:r w:rsidRPr="00637016">
        <w:t xml:space="preserve"> </w:t>
      </w:r>
      <w:bookmarkEnd w:id="8"/>
      <w:r w:rsidR="00EB68CF" w:rsidRPr="00637016">
        <w:t xml:space="preserve">(July 2015) </w:t>
      </w:r>
      <w:r w:rsidR="00DC1299" w:rsidRPr="00637016">
        <w:t xml:space="preserve">and </w:t>
      </w:r>
      <w:r w:rsidR="000D2C28" w:rsidRPr="00637016">
        <w:t>AASB</w:t>
      </w:r>
      <w:r w:rsidR="002B30AB">
        <w:t> </w:t>
      </w:r>
      <w:r w:rsidR="000D2C28" w:rsidRPr="00637016">
        <w:t xml:space="preserve">112 </w:t>
      </w:r>
      <w:r w:rsidR="000D2C28" w:rsidRPr="00637016">
        <w:rPr>
          <w:i/>
          <w:iCs/>
        </w:rPr>
        <w:t xml:space="preserve">Income Taxes </w:t>
      </w:r>
      <w:r w:rsidR="000D2C28" w:rsidRPr="00637016">
        <w:t>(</w:t>
      </w:r>
      <w:r w:rsidR="00523B85" w:rsidRPr="00637016">
        <w:t>August 2015)</w:t>
      </w:r>
      <w:r w:rsidR="005A2514" w:rsidRPr="00637016">
        <w:t>.</w:t>
      </w:r>
    </w:p>
    <w:p w14:paraId="4667DFCD" w14:textId="631FA21E" w:rsidR="008A16EB" w:rsidRPr="00637016" w:rsidRDefault="00401ECA" w:rsidP="00401ECA">
      <w:pPr>
        <w:pStyle w:val="NoNumPlain1"/>
        <w:rPr>
          <w:i/>
        </w:rPr>
      </w:pPr>
      <w:r w:rsidRPr="00637016">
        <w:t xml:space="preserve">These </w:t>
      </w:r>
      <w:r w:rsidR="00460FBB" w:rsidRPr="00637016">
        <w:t>a</w:t>
      </w:r>
      <w:r w:rsidRPr="00637016">
        <w:t>mendments arise from</w:t>
      </w:r>
      <w:r w:rsidR="00D00FD5" w:rsidRPr="00637016">
        <w:t xml:space="preserve"> the issuance of </w:t>
      </w:r>
      <w:r w:rsidR="008A16EB" w:rsidRPr="00637016">
        <w:t xml:space="preserve">International Financial Reporting Standard </w:t>
      </w:r>
      <w:bookmarkStart w:id="9" w:name="ArisingTitle"/>
      <w:r w:rsidR="00EF7A74" w:rsidRPr="00637016">
        <w:rPr>
          <w:i/>
        </w:rPr>
        <w:t>Deferred Tax related to Assets and Liabilities arising from a Single Transaction</w:t>
      </w:r>
      <w:bookmarkEnd w:id="9"/>
      <w:r w:rsidR="008739F7" w:rsidRPr="00637016">
        <w:rPr>
          <w:iCs/>
        </w:rPr>
        <w:t xml:space="preserve"> (Amendments to IAS 12)</w:t>
      </w:r>
      <w:r w:rsidR="008A16EB" w:rsidRPr="00637016">
        <w:t xml:space="preserve"> by the International Accounting Standards Board (IASB) in </w:t>
      </w:r>
      <w:bookmarkStart w:id="10" w:name="ArisingDate"/>
      <w:r w:rsidR="00EF7A74" w:rsidRPr="00637016">
        <w:t>May 2021</w:t>
      </w:r>
      <w:bookmarkEnd w:id="10"/>
      <w:r w:rsidR="008A16EB" w:rsidRPr="00637016">
        <w:t>.</w:t>
      </w:r>
    </w:p>
    <w:p w14:paraId="4B50DE25" w14:textId="77777777" w:rsidR="00090A6F" w:rsidRPr="00637016" w:rsidRDefault="00F22AF2" w:rsidP="00E4453C">
      <w:pPr>
        <w:pStyle w:val="Heading2"/>
        <w:spacing w:before="400"/>
      </w:pPr>
      <w:r w:rsidRPr="00637016">
        <w:t>Main features of this Standard</w:t>
      </w:r>
    </w:p>
    <w:p w14:paraId="786719D0" w14:textId="77777777" w:rsidR="00F22AF2" w:rsidRPr="00637016" w:rsidRDefault="00F22AF2" w:rsidP="00F22AF2">
      <w:pPr>
        <w:pStyle w:val="Heading2Indent1"/>
      </w:pPr>
      <w:r w:rsidRPr="00637016">
        <w:t>Main requirements</w:t>
      </w:r>
    </w:p>
    <w:p w14:paraId="265641BE" w14:textId="7FAE3415" w:rsidR="00F22AF2" w:rsidRDefault="00C96A84" w:rsidP="00F22AF2">
      <w:pPr>
        <w:pStyle w:val="NoNumPlain1"/>
      </w:pPr>
      <w:r w:rsidRPr="00637016">
        <w:t>This Standard amends</w:t>
      </w:r>
      <w:r w:rsidR="0086497E" w:rsidRPr="00637016">
        <w:t xml:space="preserve"> </w:t>
      </w:r>
      <w:r w:rsidRPr="00637016">
        <w:t xml:space="preserve">AASB 112 to </w:t>
      </w:r>
      <w:r w:rsidR="00F56FBB">
        <w:t xml:space="preserve">clarify the </w:t>
      </w:r>
      <w:r w:rsidR="00B80848" w:rsidRPr="00637016">
        <w:t>account</w:t>
      </w:r>
      <w:r w:rsidR="00F56FBB">
        <w:t>ing</w:t>
      </w:r>
      <w:r w:rsidR="00B80848" w:rsidRPr="00637016">
        <w:t xml:space="preserve"> for deferred tax on transactions</w:t>
      </w:r>
      <w:r w:rsidR="00A5092D">
        <w:t xml:space="preserve"> that, at the time of the transaction, give rise to equal ta</w:t>
      </w:r>
      <w:r w:rsidR="00D32BAE">
        <w:t>xable and deductible temporary differences</w:t>
      </w:r>
      <w:r w:rsidR="00B80848" w:rsidRPr="00637016">
        <w:t>.</w:t>
      </w:r>
      <w:r w:rsidR="00F40D6C" w:rsidRPr="00637016">
        <w:t xml:space="preserve"> In specified circumstances, entities are exempt from recognising deferred tax when they recognise assets or liabilities for the first time.</w:t>
      </w:r>
      <w:r w:rsidR="000713C0" w:rsidRPr="00637016">
        <w:t xml:space="preserve"> The amendments clarify that the exemption does not apply</w:t>
      </w:r>
      <w:r w:rsidR="00624BB0">
        <w:t xml:space="preserve"> </w:t>
      </w:r>
      <w:r w:rsidR="002761A2" w:rsidRPr="00637016">
        <w:t xml:space="preserve">to transactions for which </w:t>
      </w:r>
      <w:r w:rsidR="00A35C0D" w:rsidRPr="00637016">
        <w:t>entities</w:t>
      </w:r>
      <w:r w:rsidR="002761A2" w:rsidRPr="00637016">
        <w:t xml:space="preserve"> recognise both an asset and a liability</w:t>
      </w:r>
      <w:r w:rsidR="00D32BAE">
        <w:t xml:space="preserve"> and</w:t>
      </w:r>
      <w:r w:rsidR="00D32BAE" w:rsidRPr="00D32BAE">
        <w:t xml:space="preserve"> </w:t>
      </w:r>
      <w:r w:rsidR="00D32BAE">
        <w:t xml:space="preserve">that give rise to equal taxable and deductible temporary differences. This may be the case for transactions </w:t>
      </w:r>
      <w:r w:rsidR="00D32BAE" w:rsidRPr="00637016">
        <w:t>such as leases and decommissioning</w:t>
      </w:r>
      <w:r w:rsidR="00271174">
        <w:t>,</w:t>
      </w:r>
      <w:r w:rsidR="00D32BAE" w:rsidRPr="00637016">
        <w:t xml:space="preserve"> </w:t>
      </w:r>
      <w:proofErr w:type="gramStart"/>
      <w:r w:rsidR="00F56FBB">
        <w:t>restoration</w:t>
      </w:r>
      <w:proofErr w:type="gramEnd"/>
      <w:r w:rsidR="00F56FBB">
        <w:t xml:space="preserve"> </w:t>
      </w:r>
      <w:r w:rsidR="00271174">
        <w:t xml:space="preserve">and similar </w:t>
      </w:r>
      <w:r w:rsidR="00D32BAE" w:rsidRPr="00637016">
        <w:t>obligations</w:t>
      </w:r>
      <w:r w:rsidR="002761A2" w:rsidRPr="00637016">
        <w:t>.</w:t>
      </w:r>
      <w:r w:rsidR="00D97FBA">
        <w:t xml:space="preserve"> </w:t>
      </w:r>
      <w:r w:rsidR="006641AE" w:rsidRPr="00637016">
        <w:t xml:space="preserve">Entities are required to </w:t>
      </w:r>
      <w:r w:rsidR="00387791" w:rsidRPr="00637016">
        <w:t>recognise deferred tax on such transactions.</w:t>
      </w:r>
    </w:p>
    <w:p w14:paraId="699EC46D" w14:textId="18CD8D73" w:rsidR="00271174" w:rsidRPr="00637016" w:rsidRDefault="00271174" w:rsidP="00F22AF2">
      <w:pPr>
        <w:pStyle w:val="NoNumPlain1"/>
      </w:pPr>
      <w:r>
        <w:t>The Standard amends AASB 1 to require deferred tax related to leases and decommissioning, restoration and similar obligations to be recognised by first-time adopters at the date of transition to Australian Accounting Standards, despite the exemption set out in AASB 112.</w:t>
      </w:r>
    </w:p>
    <w:p w14:paraId="5624CF31" w14:textId="77777777" w:rsidR="00F22AF2" w:rsidRPr="00637016" w:rsidRDefault="00F22AF2" w:rsidP="00F22AF2">
      <w:pPr>
        <w:pStyle w:val="Heading2Indent1"/>
      </w:pPr>
      <w:r w:rsidRPr="00637016">
        <w:t>Application date</w:t>
      </w:r>
    </w:p>
    <w:p w14:paraId="5D2D7B57" w14:textId="09610CA4" w:rsidR="00F22AF2" w:rsidRPr="00637016" w:rsidRDefault="00B16904" w:rsidP="00F22AF2">
      <w:pPr>
        <w:pStyle w:val="NoNumPlain1"/>
      </w:pPr>
      <w:r w:rsidRPr="00637016">
        <w:t xml:space="preserve">This Standard applies to annual periods </w:t>
      </w:r>
      <w:bookmarkStart w:id="11" w:name="ApplyText"/>
      <w:r w:rsidRPr="00637016">
        <w:t>beginning</w:t>
      </w:r>
      <w:bookmarkEnd w:id="11"/>
      <w:r w:rsidRPr="00637016">
        <w:t xml:space="preserve"> on or after</w:t>
      </w:r>
      <w:r w:rsidR="00867FB0" w:rsidRPr="00637016">
        <w:t xml:space="preserve"> </w:t>
      </w:r>
      <w:bookmarkStart w:id="12" w:name="ApplyDate"/>
      <w:r w:rsidR="00EF7A74" w:rsidRPr="00637016">
        <w:t>1 January 2023</w:t>
      </w:r>
      <w:bookmarkEnd w:id="12"/>
      <w:r w:rsidRPr="00637016">
        <w:t>. Earlier application is permitt</w:t>
      </w:r>
      <w:r w:rsidR="00A03202">
        <w:t>ed.</w:t>
      </w:r>
    </w:p>
    <w:p w14:paraId="34E1B211" w14:textId="77777777" w:rsidR="00F22AF2" w:rsidRPr="00637016" w:rsidRDefault="00F22AF2" w:rsidP="00624BB0">
      <w:pPr>
        <w:spacing w:before="120"/>
      </w:pPr>
    </w:p>
    <w:p w14:paraId="5178FA82" w14:textId="77777777" w:rsidR="00090A6F" w:rsidRPr="00637016" w:rsidRDefault="00090A6F" w:rsidP="00624BB0">
      <w:pPr>
        <w:spacing w:before="120"/>
        <w:sectPr w:rsidR="00090A6F" w:rsidRPr="00637016" w:rsidSect="00D74C6A">
          <w:footerReference w:type="default" r:id="rId14"/>
          <w:pgSz w:w="11907" w:h="16840" w:code="9"/>
          <w:pgMar w:top="1418" w:right="1418" w:bottom="1418" w:left="1418" w:header="709" w:footer="709" w:gutter="0"/>
          <w:paperSrc w:first="7" w:other="7"/>
          <w:cols w:space="720"/>
        </w:sectPr>
      </w:pPr>
    </w:p>
    <w:p w14:paraId="292F403E" w14:textId="61022302" w:rsidR="001662B8" w:rsidRPr="00637016" w:rsidRDefault="00F13C5A" w:rsidP="001662B8">
      <w:pPr>
        <w:pStyle w:val="Heading1"/>
      </w:pPr>
      <w:r w:rsidRPr="00637016">
        <w:lastRenderedPageBreak/>
        <w:t xml:space="preserve">Accounting Standard </w:t>
      </w:r>
      <w:r w:rsidR="001662B8" w:rsidRPr="00637016">
        <w:t xml:space="preserve">AASB </w:t>
      </w:r>
      <w:r w:rsidR="001662B8" w:rsidRPr="00637016">
        <w:rPr>
          <w:iCs/>
        </w:rPr>
        <w:fldChar w:fldCharType="begin" w:fldLock="1"/>
      </w:r>
      <w:r w:rsidR="001662B8" w:rsidRPr="00637016">
        <w:rPr>
          <w:iCs/>
        </w:rPr>
        <w:instrText xml:space="preserve"> REF DocNo \* charformat </w:instrText>
      </w:r>
      <w:r w:rsidR="001662B8" w:rsidRPr="00637016">
        <w:rPr>
          <w:iCs/>
        </w:rPr>
        <w:fldChar w:fldCharType="separate"/>
      </w:r>
      <w:r w:rsidR="007A4E8C" w:rsidRPr="007A4E8C">
        <w:rPr>
          <w:iCs/>
        </w:rPr>
        <w:t>2021-5</w:t>
      </w:r>
      <w:r w:rsidR="001662B8" w:rsidRPr="00637016">
        <w:rPr>
          <w:iCs/>
        </w:rPr>
        <w:fldChar w:fldCharType="end"/>
      </w:r>
    </w:p>
    <w:p w14:paraId="14C05D66" w14:textId="1EAF21EE" w:rsidR="001662B8" w:rsidRPr="00637016" w:rsidRDefault="001662B8" w:rsidP="003E1900">
      <w:pPr>
        <w:pStyle w:val="NoNumPlain1"/>
      </w:pPr>
      <w:r w:rsidRPr="00637016">
        <w:t>The Australian Accounting Standards Board makes Accounting Standard AASB </w:t>
      </w:r>
      <w:r w:rsidR="00C97219">
        <w:fldChar w:fldCharType="begin" w:fldLock="1"/>
      </w:r>
      <w:r w:rsidR="00C97219">
        <w:instrText xml:space="preserve"> REF DocNo  \* charformat </w:instrText>
      </w:r>
      <w:r w:rsidR="00C97219">
        <w:fldChar w:fldCharType="separate"/>
      </w:r>
      <w:r w:rsidR="007A4E8C" w:rsidRPr="00637016">
        <w:t>2021-</w:t>
      </w:r>
      <w:r w:rsidR="007A4E8C">
        <w:t>5</w:t>
      </w:r>
      <w:r w:rsidR="00C97219">
        <w:fldChar w:fldCharType="end"/>
      </w:r>
      <w:r w:rsidRPr="00637016">
        <w:t xml:space="preserve"> </w:t>
      </w:r>
      <w:r w:rsidR="00CC1DF4" w:rsidRPr="00637016">
        <w:rPr>
          <w:i/>
        </w:rPr>
        <w:fldChar w:fldCharType="begin" w:fldLock="1"/>
      </w:r>
      <w:r w:rsidR="00CC1DF4" w:rsidRPr="00637016">
        <w:rPr>
          <w:i/>
        </w:rPr>
        <w:instrText xml:space="preserve"> REF DocTitle \* charformat </w:instrText>
      </w:r>
      <w:r w:rsidR="00CC1DF4" w:rsidRPr="00637016">
        <w:rPr>
          <w:i/>
        </w:rPr>
        <w:fldChar w:fldCharType="separate"/>
      </w:r>
      <w:r w:rsidR="007A4E8C" w:rsidRPr="007A4E8C">
        <w:rPr>
          <w:i/>
        </w:rPr>
        <w:t>Amendments to Australian Accounting Standards – Deferred Tax related to Assets and Liabilities arising from a Single Transaction</w:t>
      </w:r>
      <w:r w:rsidR="00CC1DF4" w:rsidRPr="00637016">
        <w:rPr>
          <w:i/>
        </w:rPr>
        <w:fldChar w:fldCharType="end"/>
      </w:r>
      <w:bookmarkStart w:id="13" w:name="CorpsAct"/>
      <w:r w:rsidR="002B7803" w:rsidRPr="00637016">
        <w:rPr>
          <w:i/>
          <w:iCs/>
        </w:rPr>
        <w:t xml:space="preserve"> </w:t>
      </w:r>
      <w:r w:rsidRPr="00637016">
        <w:t xml:space="preserve">under section 334 of the </w:t>
      </w:r>
      <w:r w:rsidRPr="00637016">
        <w:rPr>
          <w:i/>
          <w:iCs/>
        </w:rPr>
        <w:t>Corporations Act 2001</w:t>
      </w:r>
      <w:bookmarkEnd w:id="13"/>
      <w:r w:rsidRPr="00637016">
        <w:t>.</w:t>
      </w:r>
    </w:p>
    <w:tbl>
      <w:tblPr>
        <w:tblW w:w="9072" w:type="dxa"/>
        <w:tblLook w:val="0000" w:firstRow="0" w:lastRow="0" w:firstColumn="0" w:lastColumn="0" w:noHBand="0" w:noVBand="0"/>
        <w:tblCaption w:val="Authorisation of the statement that the AASB has made the Standard"/>
        <w:tblDescription w:val="Date when the Standard was made by the AASB, the name of the AASB Chair, and the statement of that position"/>
      </w:tblPr>
      <w:tblGrid>
        <w:gridCol w:w="4361"/>
        <w:gridCol w:w="4711"/>
      </w:tblGrid>
      <w:tr w:rsidR="00C03C7B" w:rsidRPr="00637016" w14:paraId="6E45B68F" w14:textId="77777777" w:rsidTr="00F54955">
        <w:tc>
          <w:tcPr>
            <w:tcW w:w="4361" w:type="dxa"/>
          </w:tcPr>
          <w:p w14:paraId="32CBC17C" w14:textId="77777777" w:rsidR="00C03C7B" w:rsidRPr="00637016" w:rsidRDefault="00C03C7B" w:rsidP="0048155F"/>
        </w:tc>
        <w:tc>
          <w:tcPr>
            <w:tcW w:w="4711" w:type="dxa"/>
          </w:tcPr>
          <w:p w14:paraId="4DCA8B10" w14:textId="7FE0897E" w:rsidR="00C03C7B" w:rsidRPr="00637016" w:rsidRDefault="00132CE1" w:rsidP="0048155F">
            <w:pPr>
              <w:jc w:val="right"/>
            </w:pPr>
            <w:r w:rsidRPr="00637016">
              <w:t>Keith Kendall</w:t>
            </w:r>
          </w:p>
        </w:tc>
      </w:tr>
      <w:tr w:rsidR="00C03C7B" w:rsidRPr="00637016" w14:paraId="0DF556B5" w14:textId="77777777" w:rsidTr="00F54955">
        <w:tc>
          <w:tcPr>
            <w:tcW w:w="4361" w:type="dxa"/>
          </w:tcPr>
          <w:p w14:paraId="03796C50" w14:textId="079D102E" w:rsidR="00C03C7B" w:rsidRPr="00637016" w:rsidRDefault="002B30AB" w:rsidP="0048155F">
            <w:r>
              <w:t xml:space="preserve">  </w:t>
            </w:r>
            <w:r w:rsidR="00C03C7B" w:rsidRPr="00637016">
              <w:t xml:space="preserve">Dated </w:t>
            </w:r>
            <w:r w:rsidR="00D16E9F">
              <w:t>22 June 2021</w:t>
            </w:r>
          </w:p>
        </w:tc>
        <w:tc>
          <w:tcPr>
            <w:tcW w:w="4711" w:type="dxa"/>
          </w:tcPr>
          <w:p w14:paraId="643CDCF4" w14:textId="77777777" w:rsidR="00C03C7B" w:rsidRPr="00637016" w:rsidRDefault="00C03C7B" w:rsidP="0048155F">
            <w:pPr>
              <w:jc w:val="right"/>
            </w:pPr>
            <w:r w:rsidRPr="00637016">
              <w:t>Chair – AASB</w:t>
            </w:r>
          </w:p>
        </w:tc>
      </w:tr>
    </w:tbl>
    <w:p w14:paraId="180C1DF8" w14:textId="353EC0B5" w:rsidR="00090A6F" w:rsidRPr="00637016" w:rsidRDefault="00F13C5A" w:rsidP="00867FB0">
      <w:pPr>
        <w:pStyle w:val="Heading1"/>
        <w:spacing w:after="0"/>
      </w:pPr>
      <w:r w:rsidRPr="00637016">
        <w:t xml:space="preserve">Accounting Standard </w:t>
      </w:r>
      <w:r w:rsidR="00090A6F" w:rsidRPr="00637016">
        <w:t xml:space="preserve">AASB </w:t>
      </w:r>
      <w:r w:rsidR="00BC0D5D" w:rsidRPr="00637016">
        <w:rPr>
          <w:iCs/>
        </w:rPr>
        <w:fldChar w:fldCharType="begin" w:fldLock="1"/>
      </w:r>
      <w:r w:rsidR="00BC0D5D" w:rsidRPr="00637016">
        <w:rPr>
          <w:iCs/>
        </w:rPr>
        <w:instrText xml:space="preserve"> REF </w:instrText>
      </w:r>
      <w:r w:rsidR="001662B8" w:rsidRPr="00637016">
        <w:rPr>
          <w:iCs/>
        </w:rPr>
        <w:instrText>Doc</w:instrText>
      </w:r>
      <w:r w:rsidR="00BC0D5D" w:rsidRPr="00637016">
        <w:rPr>
          <w:iCs/>
        </w:rPr>
        <w:instrText xml:space="preserve">No \* charformat </w:instrText>
      </w:r>
      <w:r w:rsidR="00BC0D5D" w:rsidRPr="00637016">
        <w:rPr>
          <w:iCs/>
        </w:rPr>
        <w:fldChar w:fldCharType="separate"/>
      </w:r>
      <w:r w:rsidR="007A4E8C" w:rsidRPr="007A4E8C">
        <w:rPr>
          <w:iCs/>
        </w:rPr>
        <w:t>2021-5</w:t>
      </w:r>
      <w:r w:rsidR="00BC0D5D" w:rsidRPr="00637016">
        <w:rPr>
          <w:iCs/>
        </w:rPr>
        <w:fldChar w:fldCharType="end"/>
      </w:r>
    </w:p>
    <w:p w14:paraId="23E6801F" w14:textId="6374074F" w:rsidR="00090A6F" w:rsidRPr="00637016" w:rsidRDefault="00CC1DF4" w:rsidP="003E1900">
      <w:pPr>
        <w:pStyle w:val="Heading1Italic"/>
        <w:spacing w:before="0"/>
      </w:pPr>
      <w:r w:rsidRPr="00637016">
        <w:fldChar w:fldCharType="begin" w:fldLock="1"/>
      </w:r>
      <w:r w:rsidRPr="00637016">
        <w:instrText xml:space="preserve"> REF DocTitle \* charformat</w:instrText>
      </w:r>
      <w:r w:rsidRPr="00637016">
        <w:fldChar w:fldCharType="separate"/>
      </w:r>
      <w:r w:rsidR="007A4E8C" w:rsidRPr="00637016">
        <w:t>Amendments to Australian Accounting Standards – Deferred Tax related to Assets and Liabilities arising from a Single Transaction</w:t>
      </w:r>
      <w:r w:rsidRPr="00637016">
        <w:fldChar w:fldCharType="end"/>
      </w:r>
    </w:p>
    <w:p w14:paraId="5CCDF49C" w14:textId="77777777" w:rsidR="00090A6F" w:rsidRPr="00637016" w:rsidRDefault="00090A6F" w:rsidP="00E4453C">
      <w:pPr>
        <w:pStyle w:val="Heading2"/>
        <w:spacing w:before="400"/>
      </w:pPr>
      <w:bookmarkStart w:id="14" w:name="TOCStart"/>
      <w:bookmarkEnd w:id="14"/>
      <w:r w:rsidRPr="00637016">
        <w:t>Objective</w:t>
      </w:r>
    </w:p>
    <w:p w14:paraId="066F4145" w14:textId="604AC590" w:rsidR="001662B8" w:rsidRPr="00637016" w:rsidRDefault="00867FB0" w:rsidP="005A6AC7">
      <w:pPr>
        <w:pStyle w:val="NoNumPlain1"/>
      </w:pPr>
      <w:r w:rsidRPr="00637016">
        <w:t>This</w:t>
      </w:r>
      <w:r w:rsidR="001662B8" w:rsidRPr="00637016">
        <w:t xml:space="preserve"> Standard </w:t>
      </w:r>
      <w:r w:rsidRPr="00637016">
        <w:t>amends</w:t>
      </w:r>
      <w:r w:rsidR="00C64B4F" w:rsidRPr="00637016">
        <w:t xml:space="preserve"> </w:t>
      </w:r>
      <w:r w:rsidR="00C73C8B" w:rsidRPr="00637016">
        <w:t xml:space="preserve">AASB 1 </w:t>
      </w:r>
      <w:r w:rsidR="00C73C8B" w:rsidRPr="00637016">
        <w:rPr>
          <w:i/>
          <w:iCs/>
        </w:rPr>
        <w:t>First-time Adoption of Australian Accounting</w:t>
      </w:r>
      <w:r w:rsidR="00C73C8B" w:rsidRPr="00637016">
        <w:t xml:space="preserve"> </w:t>
      </w:r>
      <w:r w:rsidR="00C73C8B" w:rsidRPr="00637016">
        <w:rPr>
          <w:i/>
          <w:iCs/>
        </w:rPr>
        <w:t>Standards</w:t>
      </w:r>
      <w:r w:rsidR="00C73C8B" w:rsidRPr="00637016">
        <w:t xml:space="preserve"> (July 2015) and </w:t>
      </w:r>
      <w:r w:rsidR="00EF7A74" w:rsidRPr="00637016">
        <w:t>AASB</w:t>
      </w:r>
      <w:r w:rsidR="00BB0FDE">
        <w:t> </w:t>
      </w:r>
      <w:r w:rsidR="00EF7A74" w:rsidRPr="00637016">
        <w:t xml:space="preserve">112 </w:t>
      </w:r>
      <w:r w:rsidR="00EF7A74" w:rsidRPr="00637016">
        <w:rPr>
          <w:i/>
        </w:rPr>
        <w:t>Income Taxes</w:t>
      </w:r>
      <w:r w:rsidR="00C64B4F" w:rsidRPr="00637016">
        <w:rPr>
          <w:i/>
        </w:rPr>
        <w:t xml:space="preserve"> </w:t>
      </w:r>
      <w:r w:rsidR="00C64B4F" w:rsidRPr="00637016">
        <w:rPr>
          <w:iCs/>
        </w:rPr>
        <w:t>(August 2015)</w:t>
      </w:r>
      <w:r w:rsidR="00A31570" w:rsidRPr="00637016">
        <w:rPr>
          <w:iCs/>
        </w:rPr>
        <w:t xml:space="preserve"> </w:t>
      </w:r>
      <w:r w:rsidR="001662B8" w:rsidRPr="00637016">
        <w:t>a</w:t>
      </w:r>
      <w:bookmarkStart w:id="15" w:name="StndObj"/>
      <w:bookmarkEnd w:id="15"/>
      <w:r w:rsidR="001662B8" w:rsidRPr="00637016">
        <w:t>s a consequence of the issuance of</w:t>
      </w:r>
      <w:r w:rsidRPr="00637016">
        <w:t xml:space="preserve"> International Financial Reporting Standard</w:t>
      </w:r>
      <w:r w:rsidR="001662B8" w:rsidRPr="00637016">
        <w:t xml:space="preserve"> </w:t>
      </w:r>
      <w:r w:rsidRPr="00637016">
        <w:rPr>
          <w:i/>
        </w:rPr>
        <w:fldChar w:fldCharType="begin" w:fldLock="1"/>
      </w:r>
      <w:r w:rsidRPr="00637016">
        <w:rPr>
          <w:i/>
        </w:rPr>
        <w:instrText xml:space="preserve"> REF ArisingTitle \* charformat</w:instrText>
      </w:r>
      <w:r w:rsidRPr="00637016">
        <w:rPr>
          <w:i/>
        </w:rPr>
        <w:fldChar w:fldCharType="separate"/>
      </w:r>
      <w:r w:rsidR="007A4E8C" w:rsidRPr="00637016">
        <w:rPr>
          <w:i/>
        </w:rPr>
        <w:t>Deferred Tax related to Assets and Liabilities arising from a Single Transaction</w:t>
      </w:r>
      <w:r w:rsidRPr="00637016">
        <w:rPr>
          <w:i/>
        </w:rPr>
        <w:fldChar w:fldCharType="end"/>
      </w:r>
      <w:r w:rsidR="00A31570" w:rsidRPr="00637016">
        <w:rPr>
          <w:i/>
        </w:rPr>
        <w:t xml:space="preserve"> </w:t>
      </w:r>
      <w:r w:rsidR="00A31570" w:rsidRPr="00637016">
        <w:rPr>
          <w:iCs/>
        </w:rPr>
        <w:t xml:space="preserve">(Amendments to IAS 12) </w:t>
      </w:r>
      <w:r w:rsidRPr="00637016">
        <w:t xml:space="preserve">by the International Accounting Standards Board </w:t>
      </w:r>
      <w:r w:rsidR="001662B8" w:rsidRPr="00637016">
        <w:t>in</w:t>
      </w:r>
      <w:r w:rsidR="00742E4B" w:rsidRPr="00637016">
        <w:t xml:space="preserve"> </w:t>
      </w:r>
      <w:r w:rsidRPr="00637016">
        <w:fldChar w:fldCharType="begin" w:fldLock="1"/>
      </w:r>
      <w:r w:rsidRPr="00637016">
        <w:instrText xml:space="preserve"> REF ArisingDate \* charformat</w:instrText>
      </w:r>
      <w:r w:rsidRPr="00637016">
        <w:fldChar w:fldCharType="separate"/>
      </w:r>
      <w:r w:rsidR="007A4E8C" w:rsidRPr="00637016">
        <w:t>May 2021</w:t>
      </w:r>
      <w:r w:rsidRPr="00637016">
        <w:fldChar w:fldCharType="end"/>
      </w:r>
      <w:r w:rsidR="001662B8" w:rsidRPr="00637016">
        <w:t>.</w:t>
      </w:r>
    </w:p>
    <w:p w14:paraId="0C5EFC2A" w14:textId="0207720A" w:rsidR="001C553E" w:rsidRPr="00637016" w:rsidRDefault="00090A6F" w:rsidP="00E4453C">
      <w:pPr>
        <w:pStyle w:val="Heading2"/>
        <w:spacing w:before="400"/>
      </w:pPr>
      <w:r w:rsidRPr="00637016">
        <w:t>Application</w:t>
      </w:r>
    </w:p>
    <w:p w14:paraId="32FC8F61" w14:textId="77E4DFC4" w:rsidR="005A6AC7" w:rsidRPr="00637016" w:rsidRDefault="005A6AC7" w:rsidP="005A6AC7">
      <w:pPr>
        <w:pStyle w:val="NoNumPlain1"/>
        <w:rPr>
          <w:i/>
        </w:rPr>
      </w:pPr>
      <w:r w:rsidRPr="00637016">
        <w:t xml:space="preserve">The amendments set out in this Standard apply to entities and financial statements in accordance with the application of </w:t>
      </w:r>
      <w:r w:rsidR="00F135CE" w:rsidRPr="00637016">
        <w:t xml:space="preserve">AASB 1 and </w:t>
      </w:r>
      <w:r w:rsidR="0004028C" w:rsidRPr="00637016">
        <w:t>AASB 112</w:t>
      </w:r>
      <w:r w:rsidRPr="00637016">
        <w:t xml:space="preserve"> set out in AASB 1057 </w:t>
      </w:r>
      <w:r w:rsidRPr="00637016">
        <w:rPr>
          <w:i/>
        </w:rPr>
        <w:t>Application of Australian Accounting Standards.</w:t>
      </w:r>
    </w:p>
    <w:p w14:paraId="1E1557F4" w14:textId="3CA6671D" w:rsidR="00090A6F" w:rsidRPr="00637016" w:rsidRDefault="00090A6F" w:rsidP="005A6AC7">
      <w:pPr>
        <w:pStyle w:val="NoNumPlain1"/>
      </w:pPr>
      <w:r w:rsidRPr="00637016">
        <w:t xml:space="preserve">This Standard applies to annual periods </w:t>
      </w:r>
      <w:r w:rsidR="005A6AC7" w:rsidRPr="00637016">
        <w:fldChar w:fldCharType="begin" w:fldLock="1"/>
      </w:r>
      <w:r w:rsidR="005A6AC7" w:rsidRPr="00637016">
        <w:instrText xml:space="preserve"> REF ApplyText \* charformat</w:instrText>
      </w:r>
      <w:r w:rsidR="005A6AC7" w:rsidRPr="00637016">
        <w:fldChar w:fldCharType="separate"/>
      </w:r>
      <w:r w:rsidR="007A4E8C" w:rsidRPr="00637016">
        <w:t>beginning</w:t>
      </w:r>
      <w:r w:rsidR="005A6AC7" w:rsidRPr="00637016">
        <w:fldChar w:fldCharType="end"/>
      </w:r>
      <w:r w:rsidRPr="00637016">
        <w:t xml:space="preserve"> on or after </w:t>
      </w:r>
      <w:r w:rsidR="005A6AC7" w:rsidRPr="00637016">
        <w:fldChar w:fldCharType="begin" w:fldLock="1"/>
      </w:r>
      <w:r w:rsidR="005A6AC7" w:rsidRPr="00637016">
        <w:instrText xml:space="preserve"> REF ApplyDate \* charformat</w:instrText>
      </w:r>
      <w:r w:rsidR="005A6AC7" w:rsidRPr="00637016">
        <w:fldChar w:fldCharType="separate"/>
      </w:r>
      <w:r w:rsidR="007A4E8C" w:rsidRPr="00637016">
        <w:t>1 January 2023</w:t>
      </w:r>
      <w:r w:rsidR="005A6AC7" w:rsidRPr="00637016">
        <w:fldChar w:fldCharType="end"/>
      </w:r>
      <w:r w:rsidRPr="00637016">
        <w:t>.</w:t>
      </w:r>
      <w:r w:rsidR="000B792F" w:rsidRPr="00637016">
        <w:t xml:space="preserve"> This Standard may be applied to </w:t>
      </w:r>
      <w:r w:rsidR="00882022" w:rsidRPr="00637016">
        <w:t>annual reporting periods beginning before 1 January 2023.</w:t>
      </w:r>
    </w:p>
    <w:p w14:paraId="16EE3DD9" w14:textId="4B174C50" w:rsidR="00090A6F" w:rsidRPr="00637016" w:rsidRDefault="0048155F" w:rsidP="005A6AC7">
      <w:pPr>
        <w:pStyle w:val="NoNumPlain1"/>
      </w:pPr>
      <w:r w:rsidRPr="00637016">
        <w:t xml:space="preserve">This Standard uses underlining, striking out and other typographical material to identify some of the amendments to </w:t>
      </w:r>
      <w:r w:rsidR="003C2B58" w:rsidRPr="00637016">
        <w:t>a Standard</w:t>
      </w:r>
      <w:r w:rsidRPr="00637016">
        <w:t xml:space="preserve">, </w:t>
      </w:r>
      <w:proofErr w:type="gramStart"/>
      <w:r w:rsidRPr="00637016">
        <w:t>in order to</w:t>
      </w:r>
      <w:proofErr w:type="gramEnd"/>
      <w:r w:rsidRPr="00637016">
        <w:t xml:space="preserve"> make the amendments more understandable.  However, the amendments made by this Standard do not include that underlining, striking out or</w:t>
      </w:r>
      <w:r w:rsidR="003B6633" w:rsidRPr="00637016">
        <w:t xml:space="preserve"> other typographical material.</w:t>
      </w:r>
      <w:r w:rsidR="00254B16" w:rsidRPr="00637016">
        <w:t xml:space="preserve">  Ellipses (…) are used to help provide the context within which amendments are made </w:t>
      </w:r>
      <w:proofErr w:type="gramStart"/>
      <w:r w:rsidR="00254B16" w:rsidRPr="00637016">
        <w:t>and also</w:t>
      </w:r>
      <w:proofErr w:type="gramEnd"/>
      <w:r w:rsidR="00254B16" w:rsidRPr="00637016">
        <w:t xml:space="preserve"> to indicate text that is not amended.</w:t>
      </w:r>
    </w:p>
    <w:p w14:paraId="194D197E" w14:textId="782FB55D" w:rsidR="0065794A" w:rsidRPr="00637016" w:rsidRDefault="003C2B58" w:rsidP="00E4453C">
      <w:pPr>
        <w:pStyle w:val="Heading2"/>
        <w:spacing w:before="400"/>
        <w:rPr>
          <w:i/>
          <w:iCs w:val="0"/>
        </w:rPr>
      </w:pPr>
      <w:r w:rsidRPr="00637016">
        <w:t>Amendments to AASB 1</w:t>
      </w:r>
      <w:r w:rsidR="0065794A" w:rsidRPr="00637016">
        <w:t xml:space="preserve"> </w:t>
      </w:r>
      <w:r w:rsidR="0065794A" w:rsidRPr="00637016">
        <w:rPr>
          <w:i/>
          <w:iCs w:val="0"/>
        </w:rPr>
        <w:t>First-time Adoption of Australian Accounting Standards</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Caption w:val="Amendments to AASB 1"/>
        <w:tblDescription w:val="Marked up text"/>
      </w:tblPr>
      <w:tblGrid>
        <w:gridCol w:w="9061"/>
      </w:tblGrid>
      <w:tr w:rsidR="0000053F" w:rsidRPr="00637016" w14:paraId="408F241D" w14:textId="77777777" w:rsidTr="00396AA1">
        <w:tc>
          <w:tcPr>
            <w:tcW w:w="50" w:type="pct"/>
          </w:tcPr>
          <w:p w14:paraId="7417651E" w14:textId="77777777" w:rsidR="0000053F" w:rsidRPr="00637016" w:rsidRDefault="0000053F" w:rsidP="002221A4">
            <w:pPr>
              <w:pStyle w:val="IASBTableArial"/>
              <w:spacing w:after="120"/>
              <w:rPr>
                <w:lang w:val="en-AU"/>
              </w:rPr>
            </w:pPr>
            <w:r w:rsidRPr="00637016">
              <w:rPr>
                <w:lang w:val="en-AU"/>
              </w:rPr>
              <w:t>Paragraph 39AH is added. In Appendix B, paragraph B1 is amended and paragraph B14 and its heading are added. Deleted text is struck through and new text is underlined.</w:t>
            </w:r>
          </w:p>
        </w:tc>
      </w:tr>
    </w:tbl>
    <w:p w14:paraId="362B34A7" w14:textId="77777777" w:rsidR="0000053F" w:rsidRPr="00637016" w:rsidRDefault="0000053F" w:rsidP="00E4453C">
      <w:pPr>
        <w:pStyle w:val="IASBSectionTitle1NonInd"/>
        <w:rPr>
          <w:lang w:val="en-AU"/>
        </w:rPr>
      </w:pPr>
      <w:r w:rsidRPr="00637016">
        <w:rPr>
          <w:lang w:val="en-AU"/>
        </w:rPr>
        <w:t>Effective date</w:t>
      </w:r>
    </w:p>
    <w:p w14:paraId="328FC58F" w14:textId="77777777" w:rsidR="0000053F" w:rsidRPr="00637016" w:rsidRDefault="0000053F" w:rsidP="0000053F">
      <w:pPr>
        <w:pStyle w:val="IASBNormalnpara"/>
        <w:rPr>
          <w:lang w:val="en-AU"/>
        </w:rPr>
      </w:pPr>
      <w:r w:rsidRPr="00637016">
        <w:rPr>
          <w:lang w:val="en-AU"/>
        </w:rPr>
        <w:tab/>
        <w:t>...</w:t>
      </w:r>
    </w:p>
    <w:p w14:paraId="509ABF16" w14:textId="32EAC7D7" w:rsidR="0000053F" w:rsidRPr="00637016" w:rsidRDefault="0000053F" w:rsidP="0000053F">
      <w:pPr>
        <w:pStyle w:val="IASBNormalnpara"/>
        <w:rPr>
          <w:lang w:val="en-AU"/>
        </w:rPr>
      </w:pPr>
      <w:r w:rsidRPr="00637016">
        <w:rPr>
          <w:u w:val="single"/>
          <w:lang w:val="en-AU"/>
        </w:rPr>
        <w:t>39AH</w:t>
      </w:r>
      <w:r w:rsidRPr="00637016">
        <w:rPr>
          <w:lang w:val="en-AU"/>
        </w:rPr>
        <w:tab/>
      </w:r>
      <w:r w:rsidR="00D91B70">
        <w:rPr>
          <w:u w:val="single"/>
          <w:lang w:val="en-AU"/>
        </w:rPr>
        <w:t>AASB 2021-</w:t>
      </w:r>
      <w:r w:rsidR="00D16E9F">
        <w:rPr>
          <w:u w:val="single"/>
          <w:lang w:val="en-AU"/>
        </w:rPr>
        <w:t>5</w:t>
      </w:r>
      <w:r w:rsidR="00D91B70">
        <w:rPr>
          <w:u w:val="single"/>
          <w:lang w:val="en-AU"/>
        </w:rPr>
        <w:t xml:space="preserve"> </w:t>
      </w:r>
      <w:r w:rsidR="00D91B70">
        <w:rPr>
          <w:i/>
          <w:iCs/>
          <w:u w:val="single"/>
          <w:lang w:val="en-AU"/>
        </w:rPr>
        <w:t xml:space="preserve">Amendments to Australian Accounting Standards – </w:t>
      </w:r>
      <w:r w:rsidRPr="00637016">
        <w:rPr>
          <w:i/>
          <w:u w:val="single"/>
          <w:lang w:val="en-AU"/>
        </w:rPr>
        <w:t>Deferred Tax related to Assets and Liabilities arising from a Single Transaction</w:t>
      </w:r>
      <w:r w:rsidRPr="00637016">
        <w:rPr>
          <w:u w:val="single"/>
          <w:lang w:val="en-AU"/>
        </w:rPr>
        <w:t xml:space="preserve">, issued in </w:t>
      </w:r>
      <w:r w:rsidR="00D91B70">
        <w:rPr>
          <w:u w:val="single"/>
          <w:lang w:val="en-AU"/>
        </w:rPr>
        <w:t>June</w:t>
      </w:r>
      <w:r w:rsidR="00D91B70" w:rsidRPr="00637016">
        <w:rPr>
          <w:u w:val="single"/>
          <w:lang w:val="en-AU"/>
        </w:rPr>
        <w:t xml:space="preserve"> </w:t>
      </w:r>
      <w:r w:rsidRPr="00637016">
        <w:rPr>
          <w:u w:val="single"/>
          <w:lang w:val="en-AU"/>
        </w:rPr>
        <w:t>2021, amended paragraph B1 and added paragraph B14. An entity shall apply these amendments for annual reporting periods beginning on or after 1</w:t>
      </w:r>
      <w:r w:rsidR="00275DB0">
        <w:rPr>
          <w:u w:val="single"/>
          <w:lang w:val="en-AU"/>
        </w:rPr>
        <w:t> </w:t>
      </w:r>
      <w:r w:rsidRPr="00637016">
        <w:rPr>
          <w:u w:val="single"/>
          <w:lang w:val="en-AU"/>
        </w:rPr>
        <w:t>January 2023. Earlier application is permitted. If an entity applies the amendments for an earlier period, it shall disclose that fact.</w:t>
      </w:r>
    </w:p>
    <w:p w14:paraId="5BA19B69" w14:textId="77777777" w:rsidR="0000053F" w:rsidRPr="00637016" w:rsidRDefault="0000053F" w:rsidP="0000053F">
      <w:pPr>
        <w:pStyle w:val="IASBNormalnpara"/>
        <w:rPr>
          <w:lang w:val="en-AU"/>
        </w:rPr>
      </w:pPr>
      <w:r w:rsidRPr="00637016">
        <w:rPr>
          <w:lang w:val="en-AU"/>
        </w:rPr>
        <w:tab/>
        <w:t>...</w:t>
      </w:r>
    </w:p>
    <w:p w14:paraId="20C4638D" w14:textId="4D898BC0" w:rsidR="0086497E" w:rsidRPr="00637016" w:rsidRDefault="0086497E" w:rsidP="0086497E">
      <w:pPr>
        <w:pStyle w:val="IASBSectionTitle1NonInd"/>
        <w:pBdr>
          <w:bottom w:val="none" w:sz="0" w:space="0" w:color="auto"/>
        </w:pBdr>
        <w:rPr>
          <w:lang w:val="en-AU"/>
        </w:rPr>
      </w:pPr>
      <w:r w:rsidRPr="00637016">
        <w:rPr>
          <w:lang w:val="en-AU"/>
        </w:rPr>
        <w:lastRenderedPageBreak/>
        <w:t>Appendix B</w:t>
      </w:r>
      <w:r w:rsidRPr="00637016">
        <w:rPr>
          <w:lang w:val="en-AU"/>
        </w:rPr>
        <w:br/>
        <w:t xml:space="preserve">Exceptions to the retrospective application of other </w:t>
      </w:r>
      <w:r w:rsidR="007671C6">
        <w:rPr>
          <w:lang w:val="en-AU"/>
        </w:rPr>
        <w:t>Australian Accounting Standards</w:t>
      </w:r>
    </w:p>
    <w:p w14:paraId="292BCB1A" w14:textId="30C3112E" w:rsidR="0086497E" w:rsidRPr="00637016" w:rsidRDefault="0086497E" w:rsidP="0086497E">
      <w:pPr>
        <w:pStyle w:val="IASBNormal"/>
        <w:rPr>
          <w:lang w:val="en-AU"/>
        </w:rPr>
      </w:pPr>
      <w:r w:rsidRPr="00637016">
        <w:rPr>
          <w:i/>
          <w:lang w:val="en-AU"/>
        </w:rPr>
        <w:t xml:space="preserve">This appendix is an integral part of the </w:t>
      </w:r>
      <w:r w:rsidR="007671C6">
        <w:rPr>
          <w:i/>
          <w:lang w:val="en-AU"/>
        </w:rPr>
        <w:t>Standard</w:t>
      </w:r>
      <w:r w:rsidRPr="00637016">
        <w:rPr>
          <w:i/>
          <w:lang w:val="en-AU"/>
        </w:rPr>
        <w:t>.</w:t>
      </w:r>
    </w:p>
    <w:p w14:paraId="101B703D" w14:textId="77777777" w:rsidR="0086497E" w:rsidRPr="00637016" w:rsidRDefault="0086497E" w:rsidP="0086497E">
      <w:pPr>
        <w:pStyle w:val="IASBNormalnpara"/>
        <w:rPr>
          <w:lang w:val="en-AU"/>
        </w:rPr>
      </w:pPr>
      <w:r w:rsidRPr="00637016">
        <w:rPr>
          <w:lang w:val="en-AU"/>
        </w:rPr>
        <w:t>B1</w:t>
      </w:r>
      <w:r w:rsidRPr="00637016">
        <w:rPr>
          <w:lang w:val="en-AU"/>
        </w:rPr>
        <w:tab/>
        <w:t>An entity shall apply the following exceptions:</w:t>
      </w:r>
    </w:p>
    <w:p w14:paraId="07AD9072" w14:textId="77777777" w:rsidR="0086497E" w:rsidRPr="00637016" w:rsidRDefault="0086497E" w:rsidP="0086497E">
      <w:pPr>
        <w:pStyle w:val="IASBNormalnparaL1"/>
        <w:rPr>
          <w:lang w:val="en-AU"/>
        </w:rPr>
      </w:pPr>
      <w:r w:rsidRPr="00637016">
        <w:rPr>
          <w:lang w:val="en-AU"/>
        </w:rPr>
        <w:t>...</w:t>
      </w:r>
      <w:r w:rsidRPr="00637016">
        <w:rPr>
          <w:lang w:val="en-AU"/>
        </w:rPr>
        <w:tab/>
      </w:r>
    </w:p>
    <w:p w14:paraId="288B0AB1" w14:textId="77777777" w:rsidR="0086497E" w:rsidRPr="00637016" w:rsidRDefault="0086497E" w:rsidP="0086497E">
      <w:pPr>
        <w:pStyle w:val="IASBNormalnparaL1"/>
        <w:rPr>
          <w:lang w:val="en-AU"/>
        </w:rPr>
      </w:pPr>
      <w:r w:rsidRPr="00637016">
        <w:rPr>
          <w:lang w:val="en-AU"/>
        </w:rPr>
        <w:t>(g)</w:t>
      </w:r>
      <w:r w:rsidRPr="00637016">
        <w:rPr>
          <w:lang w:val="en-AU"/>
        </w:rPr>
        <w:tab/>
        <w:t>government loans (paragraphs B10–B12);</w:t>
      </w:r>
      <w:r w:rsidRPr="00637016">
        <w:rPr>
          <w:strike/>
          <w:lang w:val="en-AU"/>
        </w:rPr>
        <w:t xml:space="preserve"> and</w:t>
      </w:r>
    </w:p>
    <w:p w14:paraId="7925FD01" w14:textId="77777777" w:rsidR="0086497E" w:rsidRPr="00637016" w:rsidRDefault="0086497E" w:rsidP="0086497E">
      <w:pPr>
        <w:pStyle w:val="IASBNormalnparaL1"/>
        <w:rPr>
          <w:lang w:val="en-AU"/>
        </w:rPr>
      </w:pPr>
      <w:r w:rsidRPr="00637016">
        <w:rPr>
          <w:lang w:val="en-AU"/>
        </w:rPr>
        <w:t>(h)</w:t>
      </w:r>
      <w:r w:rsidRPr="00637016">
        <w:rPr>
          <w:lang w:val="en-AU"/>
        </w:rPr>
        <w:tab/>
        <w:t>insurance contracts (paragraph B13)</w:t>
      </w:r>
      <w:r w:rsidRPr="00637016">
        <w:rPr>
          <w:u w:val="single"/>
          <w:lang w:val="en-AU"/>
        </w:rPr>
        <w:t>; and</w:t>
      </w:r>
      <w:r w:rsidRPr="00637016">
        <w:rPr>
          <w:strike/>
          <w:lang w:val="en-AU"/>
        </w:rPr>
        <w:t>.</w:t>
      </w:r>
    </w:p>
    <w:p w14:paraId="4168099C" w14:textId="77777777" w:rsidR="0086497E" w:rsidRPr="00637016" w:rsidRDefault="0086497E" w:rsidP="0086497E">
      <w:pPr>
        <w:pStyle w:val="IASBNormalnparaL1"/>
        <w:rPr>
          <w:lang w:val="en-AU"/>
        </w:rPr>
      </w:pPr>
      <w:r w:rsidRPr="00637016">
        <w:rPr>
          <w:u w:val="single"/>
          <w:lang w:val="en-AU"/>
        </w:rPr>
        <w:t>(</w:t>
      </w:r>
      <w:proofErr w:type="spellStart"/>
      <w:r w:rsidRPr="00637016">
        <w:rPr>
          <w:u w:val="single"/>
          <w:lang w:val="en-AU"/>
        </w:rPr>
        <w:t>i</w:t>
      </w:r>
      <w:proofErr w:type="spellEnd"/>
      <w:r w:rsidRPr="00637016">
        <w:rPr>
          <w:u w:val="single"/>
          <w:lang w:val="en-AU"/>
        </w:rPr>
        <w:t>)</w:t>
      </w:r>
      <w:r w:rsidRPr="00637016">
        <w:rPr>
          <w:lang w:val="en-AU"/>
        </w:rPr>
        <w:tab/>
      </w:r>
      <w:r w:rsidRPr="00637016">
        <w:rPr>
          <w:u w:val="single"/>
          <w:lang w:val="en-AU"/>
        </w:rPr>
        <w:t xml:space="preserve">deferred tax related to leases and decommissioning, </w:t>
      </w:r>
      <w:proofErr w:type="gramStart"/>
      <w:r w:rsidRPr="00637016">
        <w:rPr>
          <w:u w:val="single"/>
          <w:lang w:val="en-AU"/>
        </w:rPr>
        <w:t>restoration</w:t>
      </w:r>
      <w:proofErr w:type="gramEnd"/>
      <w:r w:rsidRPr="00637016">
        <w:rPr>
          <w:u w:val="single"/>
          <w:lang w:val="en-AU"/>
        </w:rPr>
        <w:t xml:space="preserve"> and similar liabilities (paragraph B14).</w:t>
      </w:r>
    </w:p>
    <w:p w14:paraId="4F4579AA" w14:textId="77777777" w:rsidR="0086497E" w:rsidRPr="00637016" w:rsidRDefault="0086497E" w:rsidP="0086497E">
      <w:pPr>
        <w:pStyle w:val="IASBNormalnpara"/>
        <w:rPr>
          <w:lang w:val="en-AU"/>
        </w:rPr>
      </w:pPr>
      <w:r w:rsidRPr="00637016">
        <w:rPr>
          <w:lang w:val="en-AU"/>
        </w:rPr>
        <w:tab/>
        <w:t>...</w:t>
      </w:r>
    </w:p>
    <w:p w14:paraId="3759605A" w14:textId="77777777" w:rsidR="0086497E" w:rsidRPr="00637016" w:rsidRDefault="0086497E" w:rsidP="0086497E">
      <w:pPr>
        <w:pStyle w:val="IASBSectionTitle2Ind"/>
        <w:rPr>
          <w:lang w:val="en-AU"/>
        </w:rPr>
      </w:pPr>
      <w:r w:rsidRPr="00637016">
        <w:rPr>
          <w:u w:val="single"/>
          <w:lang w:val="en-AU"/>
        </w:rPr>
        <w:t xml:space="preserve">Deferred tax related to leases and decommissioning, </w:t>
      </w:r>
      <w:proofErr w:type="gramStart"/>
      <w:r w:rsidRPr="00637016">
        <w:rPr>
          <w:u w:val="single"/>
          <w:lang w:val="en-AU"/>
        </w:rPr>
        <w:t>restoration</w:t>
      </w:r>
      <w:proofErr w:type="gramEnd"/>
      <w:r w:rsidRPr="00637016">
        <w:rPr>
          <w:u w:val="single"/>
          <w:lang w:val="en-AU"/>
        </w:rPr>
        <w:t xml:space="preserve"> and similar liabilities</w:t>
      </w:r>
    </w:p>
    <w:p w14:paraId="7AD21E41" w14:textId="2614C377" w:rsidR="0086497E" w:rsidRPr="00637016" w:rsidRDefault="0086497E" w:rsidP="0086497E">
      <w:pPr>
        <w:pStyle w:val="IASBNormalnpara"/>
        <w:rPr>
          <w:lang w:val="en-AU"/>
        </w:rPr>
      </w:pPr>
      <w:r w:rsidRPr="00637016">
        <w:rPr>
          <w:u w:val="single"/>
          <w:lang w:val="en-AU"/>
        </w:rPr>
        <w:t>B14</w:t>
      </w:r>
      <w:r w:rsidRPr="00637016">
        <w:rPr>
          <w:lang w:val="en-AU"/>
        </w:rPr>
        <w:tab/>
      </w:r>
      <w:r w:rsidRPr="00637016">
        <w:rPr>
          <w:u w:val="single"/>
          <w:lang w:val="en-AU"/>
        </w:rPr>
        <w:t xml:space="preserve">Paragraphs 15 and 24 of </w:t>
      </w:r>
      <w:r w:rsidR="00893843">
        <w:rPr>
          <w:u w:val="single"/>
          <w:lang w:val="en-AU"/>
        </w:rPr>
        <w:t>AASB</w:t>
      </w:r>
      <w:r w:rsidR="00893843" w:rsidRPr="00637016">
        <w:rPr>
          <w:u w:val="single"/>
          <w:lang w:val="en-AU"/>
        </w:rPr>
        <w:t xml:space="preserve"> </w:t>
      </w:r>
      <w:r w:rsidR="00893843">
        <w:rPr>
          <w:u w:val="single"/>
          <w:lang w:val="en-AU"/>
        </w:rPr>
        <w:t>1</w:t>
      </w:r>
      <w:r w:rsidRPr="00637016">
        <w:rPr>
          <w:u w:val="single"/>
          <w:lang w:val="en-AU"/>
        </w:rPr>
        <w:t xml:space="preserve">12 </w:t>
      </w:r>
      <w:r w:rsidRPr="00637016">
        <w:rPr>
          <w:i/>
          <w:u w:val="single"/>
          <w:lang w:val="en-AU"/>
        </w:rPr>
        <w:t>Income Taxes</w:t>
      </w:r>
      <w:r w:rsidRPr="00637016">
        <w:rPr>
          <w:u w:val="single"/>
          <w:lang w:val="en-AU"/>
        </w:rPr>
        <w:t xml:space="preserve"> exempt an entity from recognising a deferred tax asset or liability in particular circumstances. Despite this exemption, at the date of transition to </w:t>
      </w:r>
      <w:r w:rsidR="00893843">
        <w:rPr>
          <w:u w:val="single"/>
          <w:lang w:val="en-AU"/>
        </w:rPr>
        <w:t>Australian Accounting Standards</w:t>
      </w:r>
      <w:r w:rsidRPr="00637016">
        <w:rPr>
          <w:u w:val="single"/>
          <w:lang w:val="en-AU"/>
        </w:rPr>
        <w:t>, a first-time adopter shall recognise a deferred tax asset</w:t>
      </w:r>
      <w:r w:rsidR="00B53A09">
        <w:rPr>
          <w:u w:val="single"/>
          <w:lang w:val="en-AU"/>
        </w:rPr>
        <w:t xml:space="preserve"> – </w:t>
      </w:r>
      <w:r w:rsidRPr="00637016">
        <w:rPr>
          <w:u w:val="single"/>
          <w:lang w:val="en-AU"/>
        </w:rPr>
        <w:t>to the extent that it is probable that taxable profit will be available against which the deductible temporary difference can be utilised</w:t>
      </w:r>
      <w:r w:rsidR="00B53A09">
        <w:rPr>
          <w:u w:val="single"/>
          <w:lang w:val="en-AU"/>
        </w:rPr>
        <w:t xml:space="preserve"> – </w:t>
      </w:r>
      <w:r w:rsidRPr="00637016">
        <w:rPr>
          <w:u w:val="single"/>
          <w:lang w:val="en-AU"/>
        </w:rPr>
        <w:t>and a deferred tax liability for all deductible and taxable temporary differences associated with:</w:t>
      </w:r>
    </w:p>
    <w:p w14:paraId="69DFA157" w14:textId="77777777" w:rsidR="0086497E" w:rsidRPr="00637016" w:rsidRDefault="0086497E" w:rsidP="0086497E">
      <w:pPr>
        <w:pStyle w:val="IASBNormalnparaL1"/>
        <w:rPr>
          <w:lang w:val="en-AU"/>
        </w:rPr>
      </w:pPr>
      <w:r w:rsidRPr="00637016">
        <w:rPr>
          <w:u w:val="single"/>
          <w:lang w:val="en-AU"/>
        </w:rPr>
        <w:t>(a)</w:t>
      </w:r>
      <w:r w:rsidRPr="00637016">
        <w:rPr>
          <w:lang w:val="en-AU"/>
        </w:rPr>
        <w:tab/>
      </w:r>
      <w:r w:rsidRPr="00637016">
        <w:rPr>
          <w:u w:val="single"/>
          <w:lang w:val="en-AU"/>
        </w:rPr>
        <w:t>right-of-use assets and lease liabilities; and</w:t>
      </w:r>
    </w:p>
    <w:p w14:paraId="433D7F04" w14:textId="77777777" w:rsidR="0086497E" w:rsidRPr="00637016" w:rsidRDefault="0086497E" w:rsidP="0086497E">
      <w:pPr>
        <w:pStyle w:val="IASBNormalnparaL1"/>
        <w:rPr>
          <w:lang w:val="en-AU"/>
        </w:rPr>
      </w:pPr>
      <w:r w:rsidRPr="00637016">
        <w:rPr>
          <w:u w:val="single"/>
          <w:lang w:val="en-AU"/>
        </w:rPr>
        <w:t>(b)</w:t>
      </w:r>
      <w:r w:rsidRPr="00637016">
        <w:rPr>
          <w:lang w:val="en-AU"/>
        </w:rPr>
        <w:tab/>
      </w:r>
      <w:r w:rsidRPr="00637016">
        <w:rPr>
          <w:u w:val="single"/>
          <w:lang w:val="en-AU"/>
        </w:rPr>
        <w:t>decommissioning, restoration and similar liabilities and the corresponding amounts recognised as part of the cost of the related asset.</w:t>
      </w:r>
    </w:p>
    <w:p w14:paraId="594D9CC1" w14:textId="77777777" w:rsidR="0065794A" w:rsidRPr="00637016" w:rsidRDefault="0065794A" w:rsidP="0065794A"/>
    <w:p w14:paraId="4607662E" w14:textId="6C8CDE2B" w:rsidR="009010A0" w:rsidRPr="00637016" w:rsidRDefault="00EF7A74" w:rsidP="00E4453C">
      <w:pPr>
        <w:pStyle w:val="Heading2"/>
        <w:spacing w:before="400"/>
        <w:rPr>
          <w:i/>
          <w:iCs w:val="0"/>
        </w:rPr>
      </w:pPr>
      <w:r w:rsidRPr="00637016">
        <w:t xml:space="preserve">Amendments to </w:t>
      </w:r>
      <w:bookmarkStart w:id="16" w:name="StndNo2"/>
      <w:r w:rsidRPr="00637016">
        <w:t>AASB 112</w:t>
      </w:r>
      <w:bookmarkEnd w:id="16"/>
      <w:r w:rsidR="003C2B58" w:rsidRPr="00637016">
        <w:t xml:space="preserve"> </w:t>
      </w:r>
      <w:r w:rsidR="003C2B58" w:rsidRPr="00637016">
        <w:rPr>
          <w:i/>
          <w:iCs w:val="0"/>
        </w:rPr>
        <w:t>Income Taxes</w:t>
      </w:r>
    </w:p>
    <w:tbl>
      <w:tblPr>
        <w:tblW w:w="0" w:type="auto"/>
        <w:tblBorders>
          <w:top w:val="single" w:sz="0" w:space="0" w:color="auto"/>
          <w:left w:val="single" w:sz="0" w:space="0" w:color="auto"/>
          <w:bottom w:val="single" w:sz="0" w:space="0" w:color="auto"/>
          <w:right w:val="single" w:sz="0" w:space="0" w:color="auto"/>
        </w:tblBorders>
        <w:tblLook w:val="04A0" w:firstRow="1" w:lastRow="0" w:firstColumn="1" w:lastColumn="0" w:noHBand="0" w:noVBand="1"/>
        <w:tblCaption w:val="Amendment to AASB 112"/>
        <w:tblDescription w:val="marked up text"/>
      </w:tblPr>
      <w:tblGrid>
        <w:gridCol w:w="9071"/>
      </w:tblGrid>
      <w:tr w:rsidR="009010A0" w:rsidRPr="00637016" w14:paraId="698B46D1" w14:textId="77777777" w:rsidTr="00583B1A">
        <w:tc>
          <w:tcPr>
            <w:tcW w:w="50" w:type="pct"/>
            <w:tcBorders>
              <w:bottom w:val="single" w:sz="0" w:space="0" w:color="auto"/>
              <w:right w:val="single" w:sz="0" w:space="0" w:color="auto"/>
            </w:tcBorders>
          </w:tcPr>
          <w:p w14:paraId="24E7BEB1" w14:textId="77777777" w:rsidR="009010A0" w:rsidRPr="00637016" w:rsidRDefault="009010A0" w:rsidP="001B413F">
            <w:pPr>
              <w:pStyle w:val="IASBTableArial"/>
              <w:spacing w:after="120"/>
              <w:rPr>
                <w:lang w:val="en-AU"/>
              </w:rPr>
            </w:pPr>
            <w:r w:rsidRPr="00637016">
              <w:rPr>
                <w:lang w:val="en-AU"/>
              </w:rPr>
              <w:t>Paragraphs 15, 22 and 24 are amended. Paragraphs 22A and 98J–98L are added. Deleted text is struck through and new text is underlined.</w:t>
            </w:r>
          </w:p>
        </w:tc>
      </w:tr>
    </w:tbl>
    <w:p w14:paraId="78936CD7" w14:textId="77777777" w:rsidR="009010A0" w:rsidRPr="00637016" w:rsidRDefault="009010A0" w:rsidP="009010A0">
      <w:pPr>
        <w:pStyle w:val="IASBSectionTitle1NonInd"/>
        <w:rPr>
          <w:lang w:val="en-AU"/>
        </w:rPr>
      </w:pPr>
      <w:r w:rsidRPr="00637016">
        <w:rPr>
          <w:lang w:val="en-AU"/>
        </w:rPr>
        <w:t>Recognition of deferred tax liabilities and deferred tax assets</w:t>
      </w:r>
    </w:p>
    <w:p w14:paraId="4AC3658C" w14:textId="77777777" w:rsidR="009010A0" w:rsidRPr="00637016" w:rsidRDefault="009010A0" w:rsidP="009010A0">
      <w:pPr>
        <w:pStyle w:val="IASBSectionTitle2Ind"/>
        <w:rPr>
          <w:lang w:val="en-AU"/>
        </w:rPr>
      </w:pPr>
      <w:r w:rsidRPr="00637016">
        <w:rPr>
          <w:lang w:val="en-AU"/>
        </w:rPr>
        <w:t>Taxable temporary differences</w:t>
      </w:r>
    </w:p>
    <w:p w14:paraId="451B8600" w14:textId="4DF41A18" w:rsidR="009010A0" w:rsidRPr="00637016" w:rsidRDefault="009010A0" w:rsidP="009010A0">
      <w:pPr>
        <w:pStyle w:val="IASBNormalnpara"/>
        <w:rPr>
          <w:lang w:val="en-AU"/>
        </w:rPr>
      </w:pPr>
      <w:r w:rsidRPr="00637016">
        <w:rPr>
          <w:b/>
          <w:lang w:val="en-AU"/>
        </w:rPr>
        <w:t>15</w:t>
      </w:r>
      <w:r w:rsidRPr="00637016">
        <w:rPr>
          <w:lang w:val="en-AU"/>
        </w:rPr>
        <w:tab/>
      </w:r>
      <w:r w:rsidRPr="00637016">
        <w:rPr>
          <w:b/>
          <w:lang w:val="en-AU"/>
        </w:rPr>
        <w:t>A</w:t>
      </w:r>
      <w:r w:rsidR="00D97FBA">
        <w:rPr>
          <w:b/>
          <w:lang w:val="en-AU"/>
        </w:rPr>
        <w:t xml:space="preserve"> </w:t>
      </w:r>
      <w:r w:rsidRPr="00637016">
        <w:rPr>
          <w:b/>
          <w:lang w:val="en-AU"/>
        </w:rPr>
        <w:t>deferred tax liability</w:t>
      </w:r>
      <w:r w:rsidR="00D97FBA">
        <w:rPr>
          <w:b/>
          <w:lang w:val="en-AU"/>
        </w:rPr>
        <w:t xml:space="preserve"> </w:t>
      </w:r>
      <w:r w:rsidRPr="00637016">
        <w:rPr>
          <w:b/>
          <w:lang w:val="en-AU"/>
        </w:rPr>
        <w:t>shall be recognised for all</w:t>
      </w:r>
      <w:r w:rsidR="00D97FBA">
        <w:rPr>
          <w:b/>
          <w:lang w:val="en-AU"/>
        </w:rPr>
        <w:t xml:space="preserve"> </w:t>
      </w:r>
      <w:r w:rsidRPr="00637016">
        <w:rPr>
          <w:b/>
          <w:lang w:val="en-AU"/>
        </w:rPr>
        <w:t>taxable temporary differences, except to the extent that the deferred tax liability arises from:</w:t>
      </w:r>
    </w:p>
    <w:p w14:paraId="4BF0752E" w14:textId="77777777" w:rsidR="009010A0" w:rsidRPr="00637016" w:rsidRDefault="009010A0" w:rsidP="009010A0">
      <w:pPr>
        <w:pStyle w:val="IASBNormalnparaL1"/>
        <w:rPr>
          <w:lang w:val="en-AU"/>
        </w:rPr>
      </w:pPr>
      <w:r w:rsidRPr="00637016">
        <w:rPr>
          <w:b/>
          <w:lang w:val="en-AU"/>
        </w:rPr>
        <w:t>(a)</w:t>
      </w:r>
      <w:r w:rsidRPr="00637016">
        <w:rPr>
          <w:lang w:val="en-AU"/>
        </w:rPr>
        <w:tab/>
      </w:r>
      <w:r w:rsidRPr="00637016">
        <w:rPr>
          <w:b/>
          <w:lang w:val="en-AU"/>
        </w:rPr>
        <w:t>the initial recognition of goodwill; or</w:t>
      </w:r>
    </w:p>
    <w:p w14:paraId="62CC54FA" w14:textId="20817068" w:rsidR="009010A0" w:rsidRPr="00637016" w:rsidRDefault="009010A0" w:rsidP="009010A0">
      <w:pPr>
        <w:pStyle w:val="IASBNormalnparaL1"/>
        <w:rPr>
          <w:lang w:val="en-AU"/>
        </w:rPr>
      </w:pPr>
      <w:r w:rsidRPr="00637016">
        <w:rPr>
          <w:b/>
          <w:lang w:val="en-AU"/>
        </w:rPr>
        <w:t>(b)</w:t>
      </w:r>
      <w:r w:rsidRPr="00637016">
        <w:rPr>
          <w:lang w:val="en-AU"/>
        </w:rPr>
        <w:tab/>
      </w:r>
      <w:r w:rsidRPr="00637016">
        <w:rPr>
          <w:b/>
          <w:lang w:val="en-AU"/>
        </w:rPr>
        <w:t>the initial recognition of an asset</w:t>
      </w:r>
      <w:r w:rsidR="00D97FBA">
        <w:rPr>
          <w:b/>
          <w:lang w:val="en-AU"/>
        </w:rPr>
        <w:t xml:space="preserve"> </w:t>
      </w:r>
      <w:r w:rsidRPr="00637016">
        <w:rPr>
          <w:b/>
          <w:lang w:val="en-AU"/>
        </w:rPr>
        <w:t>or liability in a transaction which:</w:t>
      </w:r>
    </w:p>
    <w:p w14:paraId="53E4F0E8" w14:textId="77777777" w:rsidR="009010A0" w:rsidRPr="00637016" w:rsidRDefault="009010A0" w:rsidP="009010A0">
      <w:pPr>
        <w:pStyle w:val="IASBNormalnparaL2"/>
        <w:rPr>
          <w:lang w:val="en-AU"/>
        </w:rPr>
      </w:pPr>
      <w:r w:rsidRPr="00637016">
        <w:rPr>
          <w:b/>
          <w:lang w:val="en-AU"/>
        </w:rPr>
        <w:t>(</w:t>
      </w:r>
      <w:proofErr w:type="spellStart"/>
      <w:r w:rsidRPr="00637016">
        <w:rPr>
          <w:b/>
          <w:lang w:val="en-AU"/>
        </w:rPr>
        <w:t>i</w:t>
      </w:r>
      <w:proofErr w:type="spellEnd"/>
      <w:r w:rsidRPr="00637016">
        <w:rPr>
          <w:b/>
          <w:lang w:val="en-AU"/>
        </w:rPr>
        <w:t>)</w:t>
      </w:r>
      <w:r w:rsidRPr="00637016">
        <w:rPr>
          <w:lang w:val="en-AU"/>
        </w:rPr>
        <w:tab/>
      </w:r>
      <w:r w:rsidRPr="00637016">
        <w:rPr>
          <w:b/>
          <w:lang w:val="en-AU"/>
        </w:rPr>
        <w:t>is not a business combination;</w:t>
      </w:r>
      <w:r w:rsidRPr="00637016">
        <w:rPr>
          <w:b/>
          <w:strike/>
          <w:lang w:val="en-AU"/>
        </w:rPr>
        <w:t xml:space="preserve"> and</w:t>
      </w:r>
    </w:p>
    <w:p w14:paraId="10FAD850" w14:textId="209B73FB" w:rsidR="009010A0" w:rsidRPr="00637016" w:rsidRDefault="009010A0" w:rsidP="009010A0">
      <w:pPr>
        <w:pStyle w:val="IASBNormalnparaL2"/>
        <w:rPr>
          <w:lang w:val="en-AU"/>
        </w:rPr>
      </w:pPr>
      <w:r w:rsidRPr="00637016">
        <w:rPr>
          <w:b/>
          <w:lang w:val="en-AU"/>
        </w:rPr>
        <w:t>(ii)</w:t>
      </w:r>
      <w:r w:rsidRPr="00637016">
        <w:rPr>
          <w:lang w:val="en-AU"/>
        </w:rPr>
        <w:tab/>
      </w:r>
      <w:r w:rsidRPr="00637016">
        <w:rPr>
          <w:b/>
          <w:lang w:val="en-AU"/>
        </w:rPr>
        <w:t>at the time of the transaction, affects neither</w:t>
      </w:r>
      <w:r w:rsidR="00D97FBA">
        <w:rPr>
          <w:b/>
          <w:lang w:val="en-AU"/>
        </w:rPr>
        <w:t xml:space="preserve"> </w:t>
      </w:r>
      <w:r w:rsidRPr="00637016">
        <w:rPr>
          <w:b/>
          <w:lang w:val="en-AU"/>
        </w:rPr>
        <w:t>accounting profit</w:t>
      </w:r>
      <w:r w:rsidR="00D97FBA">
        <w:rPr>
          <w:b/>
          <w:lang w:val="en-AU"/>
        </w:rPr>
        <w:t xml:space="preserve"> </w:t>
      </w:r>
      <w:r w:rsidRPr="00637016">
        <w:rPr>
          <w:b/>
          <w:lang w:val="en-AU"/>
        </w:rPr>
        <w:t>nor</w:t>
      </w:r>
      <w:r w:rsidR="00D97FBA">
        <w:rPr>
          <w:b/>
          <w:lang w:val="en-AU"/>
        </w:rPr>
        <w:t xml:space="preserve"> </w:t>
      </w:r>
      <w:r w:rsidRPr="00637016">
        <w:rPr>
          <w:b/>
          <w:lang w:val="en-AU"/>
        </w:rPr>
        <w:t>taxable profit (tax loss</w:t>
      </w:r>
      <w:proofErr w:type="gramStart"/>
      <w:r w:rsidRPr="00637016">
        <w:rPr>
          <w:b/>
          <w:lang w:val="en-AU"/>
        </w:rPr>
        <w:t>)</w:t>
      </w:r>
      <w:r w:rsidRPr="00637016">
        <w:rPr>
          <w:b/>
          <w:u w:val="single"/>
          <w:lang w:val="en-AU"/>
        </w:rPr>
        <w:t>;</w:t>
      </w:r>
      <w:proofErr w:type="gramEnd"/>
      <w:r w:rsidRPr="00637016">
        <w:rPr>
          <w:b/>
          <w:u w:val="single"/>
          <w:lang w:val="en-AU"/>
        </w:rPr>
        <w:t xml:space="preserve"> and</w:t>
      </w:r>
      <w:r w:rsidRPr="00637016">
        <w:rPr>
          <w:b/>
          <w:strike/>
          <w:lang w:val="en-AU"/>
        </w:rPr>
        <w:t>.</w:t>
      </w:r>
    </w:p>
    <w:p w14:paraId="02493B59" w14:textId="77777777" w:rsidR="009010A0" w:rsidRPr="00637016" w:rsidRDefault="009010A0" w:rsidP="009010A0">
      <w:pPr>
        <w:pStyle w:val="IASBNormalnparaL2"/>
        <w:rPr>
          <w:lang w:val="en-AU"/>
        </w:rPr>
      </w:pPr>
      <w:r w:rsidRPr="00637016">
        <w:rPr>
          <w:b/>
          <w:u w:val="single"/>
          <w:lang w:val="en-AU"/>
        </w:rPr>
        <w:t>(iii)</w:t>
      </w:r>
      <w:r w:rsidRPr="00637016">
        <w:rPr>
          <w:lang w:val="en-AU"/>
        </w:rPr>
        <w:tab/>
      </w:r>
      <w:r w:rsidRPr="00637016">
        <w:rPr>
          <w:b/>
          <w:u w:val="single"/>
          <w:lang w:val="en-AU"/>
        </w:rPr>
        <w:t>at the time of the transaction, does not give rise to equal taxable and deductible temporary differences.</w:t>
      </w:r>
    </w:p>
    <w:p w14:paraId="4E768758" w14:textId="77777777" w:rsidR="009010A0" w:rsidRPr="00637016" w:rsidRDefault="009010A0" w:rsidP="009010A0">
      <w:pPr>
        <w:pStyle w:val="IASBNormalnpara"/>
        <w:rPr>
          <w:lang w:val="en-AU"/>
        </w:rPr>
      </w:pPr>
      <w:r w:rsidRPr="00637016">
        <w:rPr>
          <w:lang w:val="en-AU"/>
        </w:rPr>
        <w:tab/>
        <w:t>...</w:t>
      </w:r>
    </w:p>
    <w:p w14:paraId="343315C9" w14:textId="77777777" w:rsidR="009010A0" w:rsidRPr="00637016" w:rsidRDefault="009010A0" w:rsidP="009010A0">
      <w:pPr>
        <w:pStyle w:val="IASBSectionTitle3Ind"/>
        <w:rPr>
          <w:lang w:val="en-AU"/>
        </w:rPr>
      </w:pPr>
      <w:r w:rsidRPr="00637016">
        <w:rPr>
          <w:lang w:val="en-AU"/>
        </w:rPr>
        <w:t>Initial recognition of an asset or liability</w:t>
      </w:r>
    </w:p>
    <w:p w14:paraId="26D79032" w14:textId="77777777" w:rsidR="009010A0" w:rsidRPr="00637016" w:rsidRDefault="009010A0" w:rsidP="009010A0">
      <w:pPr>
        <w:pStyle w:val="IASBNormalnpara"/>
        <w:rPr>
          <w:lang w:val="en-AU"/>
        </w:rPr>
      </w:pPr>
      <w:r w:rsidRPr="00637016">
        <w:rPr>
          <w:lang w:val="en-AU"/>
        </w:rPr>
        <w:t>22</w:t>
      </w:r>
      <w:r w:rsidRPr="00637016">
        <w:rPr>
          <w:lang w:val="en-AU"/>
        </w:rPr>
        <w:tab/>
        <w:t xml:space="preserve">A temporary difference may arise on initial recognition of an asset or liability, for example if part or </w:t>
      </w:r>
      <w:proofErr w:type="gramStart"/>
      <w:r w:rsidRPr="00637016">
        <w:rPr>
          <w:lang w:val="en-AU"/>
        </w:rPr>
        <w:t>all of</w:t>
      </w:r>
      <w:proofErr w:type="gramEnd"/>
      <w:r w:rsidRPr="00637016">
        <w:rPr>
          <w:lang w:val="en-AU"/>
        </w:rPr>
        <w:t xml:space="preserve"> the cost of an asset will not be deductible for tax purposes. The method of accounting for such a temporary difference depends on the nature of the transaction that led to the initial recognition of the asset or liability: </w:t>
      </w:r>
    </w:p>
    <w:p w14:paraId="36C38F47" w14:textId="77000AEE" w:rsidR="009010A0" w:rsidRPr="00637016" w:rsidRDefault="009010A0" w:rsidP="009010A0">
      <w:pPr>
        <w:pStyle w:val="IASBNormalnparaL1"/>
        <w:rPr>
          <w:lang w:val="en-AU"/>
        </w:rPr>
      </w:pPr>
      <w:r w:rsidRPr="00637016">
        <w:rPr>
          <w:lang w:val="en-AU"/>
        </w:rPr>
        <w:lastRenderedPageBreak/>
        <w:t>(a)</w:t>
      </w:r>
      <w:r w:rsidRPr="00637016">
        <w:rPr>
          <w:lang w:val="en-AU"/>
        </w:rPr>
        <w:tab/>
        <w:t xml:space="preserve">in a business combination, an entity recognises any deferred tax liability or </w:t>
      </w:r>
      <w:proofErr w:type="gramStart"/>
      <w:r w:rsidRPr="00637016">
        <w:rPr>
          <w:lang w:val="en-AU"/>
        </w:rPr>
        <w:t>asset</w:t>
      </w:r>
      <w:proofErr w:type="gramEnd"/>
      <w:r w:rsidRPr="00637016">
        <w:rPr>
          <w:lang w:val="en-AU"/>
        </w:rPr>
        <w:t xml:space="preserve"> and this affects the amount of goodwill or bargain purchase gain it recognises (see</w:t>
      </w:r>
      <w:r w:rsidR="00D97FBA">
        <w:rPr>
          <w:lang w:val="en-AU"/>
        </w:rPr>
        <w:t xml:space="preserve"> </w:t>
      </w:r>
      <w:r w:rsidRPr="00637016">
        <w:rPr>
          <w:lang w:val="en-AU"/>
        </w:rPr>
        <w:t>paragraph 19);</w:t>
      </w:r>
    </w:p>
    <w:p w14:paraId="075C6AB7" w14:textId="1F605F9E" w:rsidR="009010A0" w:rsidRPr="00637016" w:rsidRDefault="009010A0" w:rsidP="009010A0">
      <w:pPr>
        <w:pStyle w:val="IASBNormalnparaL1"/>
        <w:rPr>
          <w:lang w:val="en-AU"/>
        </w:rPr>
      </w:pPr>
      <w:r w:rsidRPr="00637016">
        <w:rPr>
          <w:lang w:val="en-AU"/>
        </w:rPr>
        <w:t>(b)</w:t>
      </w:r>
      <w:r w:rsidRPr="00637016">
        <w:rPr>
          <w:lang w:val="en-AU"/>
        </w:rPr>
        <w:tab/>
        <w:t>if the transaction affects either accounting profit or taxable profit</w:t>
      </w:r>
      <w:r w:rsidRPr="00637016">
        <w:rPr>
          <w:u w:val="single"/>
          <w:lang w:val="en-AU"/>
        </w:rPr>
        <w:t>, or gives rise to equal taxable and deductible temporary differences</w:t>
      </w:r>
      <w:r w:rsidRPr="00637016">
        <w:rPr>
          <w:lang w:val="en-AU"/>
        </w:rPr>
        <w:t>, an entity recognises any deferred tax liability or asset and recognises the resulting deferred tax expense or income in profit or loss (see paragraph</w:t>
      </w:r>
      <w:r w:rsidR="00D97FBA">
        <w:rPr>
          <w:lang w:val="en-AU"/>
        </w:rPr>
        <w:t xml:space="preserve"> </w:t>
      </w:r>
      <w:r w:rsidRPr="00637016">
        <w:rPr>
          <w:lang w:val="en-AU"/>
        </w:rPr>
        <w:t>59);</w:t>
      </w:r>
    </w:p>
    <w:p w14:paraId="7F76B2BD" w14:textId="77777777" w:rsidR="009010A0" w:rsidRPr="00637016" w:rsidRDefault="009010A0" w:rsidP="009010A0">
      <w:pPr>
        <w:pStyle w:val="IASBNormalnparaL1"/>
        <w:rPr>
          <w:lang w:val="en-AU"/>
        </w:rPr>
      </w:pPr>
      <w:r w:rsidRPr="00637016">
        <w:rPr>
          <w:lang w:val="en-AU"/>
        </w:rPr>
        <w:t>(c)</w:t>
      </w:r>
      <w:r w:rsidRPr="00637016">
        <w:rPr>
          <w:lang w:val="en-AU"/>
        </w:rPr>
        <w:tab/>
        <w:t xml:space="preserve">if the transaction is not a business combination, </w:t>
      </w:r>
      <w:r w:rsidRPr="00637016">
        <w:rPr>
          <w:strike/>
          <w:lang w:val="en-AU"/>
        </w:rPr>
        <w:t xml:space="preserve">and </w:t>
      </w:r>
      <w:r w:rsidRPr="00637016">
        <w:rPr>
          <w:lang w:val="en-AU"/>
        </w:rPr>
        <w:t>affects neither accounting profit nor taxable profit</w:t>
      </w:r>
      <w:r w:rsidRPr="00637016">
        <w:rPr>
          <w:u w:val="single"/>
          <w:lang w:val="en-AU"/>
        </w:rPr>
        <w:t xml:space="preserve"> and does not give rise to equal taxable and deductible temporary differences</w:t>
      </w:r>
      <w:r w:rsidRPr="00637016">
        <w:rPr>
          <w:lang w:val="en-AU"/>
        </w:rPr>
        <w:t>, an entity would, in the absence of the exemption provided by paragraphs 15 and 24, recognise the resulting deferred tax liability or asset and adjust the carrying amount of the asset or liability by the same amount. Such adjustments would make the financial statements less transparent. Therefore, this Standard does not permit an entity to recognise the resulting deferred tax liability or asset, either on initial recognition or subsequently (see example below). Furthermore, an entity does not recognise subsequent changes in the unrecognised deferred tax liability or asset as the asset is depreciated.</w:t>
      </w:r>
    </w:p>
    <w:p w14:paraId="07B3E8B6" w14:textId="77777777" w:rsidR="009010A0" w:rsidRPr="00637016" w:rsidRDefault="009010A0" w:rsidP="009010A0">
      <w:pPr>
        <w:pStyle w:val="IASBNormalnpara"/>
        <w:rPr>
          <w:lang w:val="en-AU"/>
        </w:rPr>
      </w:pPr>
      <w:r w:rsidRPr="00637016">
        <w:rPr>
          <w:lang w:val="en-AU"/>
        </w:rPr>
        <w:tab/>
        <w:t>...</w:t>
      </w:r>
    </w:p>
    <w:p w14:paraId="1BF33EE6" w14:textId="77777777" w:rsidR="009010A0" w:rsidRPr="00637016" w:rsidRDefault="009010A0" w:rsidP="009010A0">
      <w:pPr>
        <w:pStyle w:val="IASBNormalnpara"/>
        <w:rPr>
          <w:lang w:val="en-AU"/>
        </w:rPr>
      </w:pPr>
      <w:r w:rsidRPr="00637016">
        <w:rPr>
          <w:u w:val="single"/>
          <w:lang w:val="en-AU"/>
        </w:rPr>
        <w:t>22A</w:t>
      </w:r>
      <w:r w:rsidRPr="00637016">
        <w:rPr>
          <w:lang w:val="en-AU"/>
        </w:rPr>
        <w:tab/>
      </w:r>
      <w:r w:rsidRPr="00637016">
        <w:rPr>
          <w:u w:val="single"/>
          <w:lang w:val="en-AU"/>
        </w:rPr>
        <w:t>A transaction that is not a business combination may lead to the initial recognition of an asset and a liability and, at the time of the transaction, affect neither accounting profit nor taxable profit. For example, at the commencement date of a lease, a lessee typically recognises a lease liability and the corresponding amount as part of the cost of a right-of-use asset. Depending on the applicable tax law, equal taxable and deductible temporary differences may arise on initial recognition of the asset and liability in such a transaction. The exemption provided by paragraphs 15 and 24 does not apply to such temporary differences and an entity recognises any resulting deferred tax liability and asset.</w:t>
      </w:r>
    </w:p>
    <w:p w14:paraId="5DC0BA8B" w14:textId="77777777" w:rsidR="009010A0" w:rsidRPr="00637016" w:rsidRDefault="009010A0" w:rsidP="009010A0">
      <w:pPr>
        <w:pStyle w:val="IASBNormalnpara"/>
        <w:rPr>
          <w:lang w:val="en-AU"/>
        </w:rPr>
      </w:pPr>
      <w:r w:rsidRPr="00637016">
        <w:rPr>
          <w:lang w:val="en-AU"/>
        </w:rPr>
        <w:tab/>
        <w:t>...</w:t>
      </w:r>
    </w:p>
    <w:p w14:paraId="1EDB8993" w14:textId="77777777" w:rsidR="00A93071" w:rsidRPr="00637016" w:rsidRDefault="00A93071" w:rsidP="00A93071">
      <w:pPr>
        <w:pStyle w:val="IASBSectionTitle2Ind"/>
        <w:rPr>
          <w:lang w:val="en-AU"/>
        </w:rPr>
      </w:pPr>
      <w:r w:rsidRPr="00637016">
        <w:rPr>
          <w:lang w:val="en-AU"/>
        </w:rPr>
        <w:t>Deductible temporary differences</w:t>
      </w:r>
    </w:p>
    <w:p w14:paraId="67398BA4" w14:textId="77777777" w:rsidR="00A93071" w:rsidRPr="00637016" w:rsidRDefault="00A93071" w:rsidP="00A93071">
      <w:pPr>
        <w:pStyle w:val="IASBNormalnpara"/>
        <w:rPr>
          <w:lang w:val="en-AU"/>
        </w:rPr>
      </w:pPr>
      <w:r w:rsidRPr="00637016">
        <w:rPr>
          <w:b/>
          <w:lang w:val="en-AU"/>
        </w:rPr>
        <w:t>24</w:t>
      </w:r>
      <w:r w:rsidRPr="00637016">
        <w:rPr>
          <w:lang w:val="en-AU"/>
        </w:rPr>
        <w:tab/>
      </w:r>
      <w:r w:rsidRPr="00637016">
        <w:rPr>
          <w:b/>
          <w:lang w:val="en-AU"/>
        </w:rPr>
        <w:t xml:space="preserve">A deferred tax asset shall be recognised for all deductible temporary differences to the extent that it is probable that taxable profit will be available against which the deductible temporary difference can be utilised, unless the deferred tax asset arises from the initial recognition of an asset or liability in a transaction that: </w:t>
      </w:r>
    </w:p>
    <w:p w14:paraId="25AEF81C" w14:textId="77777777" w:rsidR="00A93071" w:rsidRPr="00637016" w:rsidRDefault="00A93071" w:rsidP="00A93071">
      <w:pPr>
        <w:pStyle w:val="IASBNormalnparaL1"/>
        <w:rPr>
          <w:lang w:val="en-AU"/>
        </w:rPr>
      </w:pPr>
      <w:r w:rsidRPr="00637016">
        <w:rPr>
          <w:b/>
          <w:lang w:val="en-AU"/>
        </w:rPr>
        <w:t>(a)</w:t>
      </w:r>
      <w:r w:rsidRPr="00637016">
        <w:rPr>
          <w:lang w:val="en-AU"/>
        </w:rPr>
        <w:tab/>
      </w:r>
      <w:r w:rsidRPr="00637016">
        <w:rPr>
          <w:b/>
          <w:lang w:val="en-AU"/>
        </w:rPr>
        <w:t>is not a business combination;</w:t>
      </w:r>
      <w:r w:rsidRPr="00637016">
        <w:rPr>
          <w:b/>
          <w:strike/>
          <w:lang w:val="en-AU"/>
        </w:rPr>
        <w:t xml:space="preserve"> and</w:t>
      </w:r>
    </w:p>
    <w:p w14:paraId="4471025E" w14:textId="77777777" w:rsidR="00A93071" w:rsidRPr="00637016" w:rsidRDefault="00A93071" w:rsidP="00A93071">
      <w:pPr>
        <w:pStyle w:val="IASBNormalnparaL1"/>
        <w:rPr>
          <w:lang w:val="en-AU"/>
        </w:rPr>
      </w:pPr>
      <w:r w:rsidRPr="00637016">
        <w:rPr>
          <w:b/>
          <w:lang w:val="en-AU"/>
        </w:rPr>
        <w:t>(b)</w:t>
      </w:r>
      <w:r w:rsidRPr="00637016">
        <w:rPr>
          <w:lang w:val="en-AU"/>
        </w:rPr>
        <w:tab/>
      </w:r>
      <w:r w:rsidRPr="00637016">
        <w:rPr>
          <w:b/>
          <w:lang w:val="en-AU"/>
        </w:rPr>
        <w:t>at the time of the transaction, affects neither accounting profit nor taxable profit (tax loss</w:t>
      </w:r>
      <w:proofErr w:type="gramStart"/>
      <w:r w:rsidRPr="00637016">
        <w:rPr>
          <w:b/>
          <w:lang w:val="en-AU"/>
        </w:rPr>
        <w:t>)</w:t>
      </w:r>
      <w:r w:rsidRPr="00637016">
        <w:rPr>
          <w:b/>
          <w:u w:val="single"/>
          <w:lang w:val="en-AU"/>
        </w:rPr>
        <w:t>;</w:t>
      </w:r>
      <w:proofErr w:type="gramEnd"/>
      <w:r w:rsidRPr="00637016">
        <w:rPr>
          <w:b/>
          <w:u w:val="single"/>
          <w:lang w:val="en-AU"/>
        </w:rPr>
        <w:t xml:space="preserve"> and</w:t>
      </w:r>
      <w:r w:rsidRPr="00637016">
        <w:rPr>
          <w:b/>
          <w:strike/>
          <w:lang w:val="en-AU"/>
        </w:rPr>
        <w:t>.</w:t>
      </w:r>
    </w:p>
    <w:p w14:paraId="3E74B2D4" w14:textId="77777777" w:rsidR="00A93071" w:rsidRPr="00637016" w:rsidRDefault="00A93071" w:rsidP="00A93071">
      <w:pPr>
        <w:pStyle w:val="IASBNormalnparaL1"/>
        <w:rPr>
          <w:lang w:val="en-AU"/>
        </w:rPr>
      </w:pPr>
      <w:r w:rsidRPr="00637016">
        <w:rPr>
          <w:b/>
          <w:u w:val="single"/>
          <w:lang w:val="en-AU"/>
        </w:rPr>
        <w:t>(c)</w:t>
      </w:r>
      <w:r w:rsidRPr="00637016">
        <w:rPr>
          <w:lang w:val="en-AU"/>
        </w:rPr>
        <w:tab/>
      </w:r>
      <w:r w:rsidRPr="00637016">
        <w:rPr>
          <w:b/>
          <w:u w:val="single"/>
          <w:lang w:val="en-AU"/>
        </w:rPr>
        <w:t>at the time of the transaction, does not give rise to equal taxable and deductible temporary differences.</w:t>
      </w:r>
    </w:p>
    <w:p w14:paraId="1DFD5153" w14:textId="77777777" w:rsidR="00A93071" w:rsidRPr="00637016" w:rsidRDefault="00A93071" w:rsidP="00A93071">
      <w:pPr>
        <w:pStyle w:val="IASBNormalnpara"/>
        <w:rPr>
          <w:lang w:val="en-AU"/>
        </w:rPr>
      </w:pPr>
      <w:r w:rsidRPr="00637016">
        <w:rPr>
          <w:lang w:val="en-AU"/>
        </w:rPr>
        <w:tab/>
        <w:t>...</w:t>
      </w:r>
    </w:p>
    <w:p w14:paraId="1A259C9F" w14:textId="77777777" w:rsidR="00A93071" w:rsidRPr="00637016" w:rsidRDefault="00A93071" w:rsidP="004237F1">
      <w:pPr>
        <w:pStyle w:val="IASBSectionTitle1NonInd"/>
        <w:rPr>
          <w:lang w:val="en-AU"/>
        </w:rPr>
      </w:pPr>
      <w:r w:rsidRPr="00637016">
        <w:rPr>
          <w:lang w:val="en-AU"/>
        </w:rPr>
        <w:t>Effective date</w:t>
      </w:r>
    </w:p>
    <w:p w14:paraId="2FF62D78" w14:textId="77777777" w:rsidR="00A93071" w:rsidRPr="00637016" w:rsidRDefault="00A93071" w:rsidP="00A93071">
      <w:pPr>
        <w:pStyle w:val="IASBNormalnpara"/>
        <w:rPr>
          <w:lang w:val="en-AU"/>
        </w:rPr>
      </w:pPr>
      <w:r w:rsidRPr="00637016">
        <w:rPr>
          <w:lang w:val="en-AU"/>
        </w:rPr>
        <w:tab/>
        <w:t>...</w:t>
      </w:r>
    </w:p>
    <w:p w14:paraId="123B26CB" w14:textId="6FE2296A" w:rsidR="00A93071" w:rsidRPr="00637016" w:rsidRDefault="00A93071" w:rsidP="00A93071">
      <w:pPr>
        <w:pStyle w:val="IASBNormalnpara"/>
        <w:rPr>
          <w:lang w:val="en-AU"/>
        </w:rPr>
      </w:pPr>
      <w:r w:rsidRPr="00637016">
        <w:rPr>
          <w:u w:val="single"/>
          <w:lang w:val="en-AU"/>
        </w:rPr>
        <w:t>98J</w:t>
      </w:r>
      <w:r w:rsidRPr="00637016">
        <w:rPr>
          <w:lang w:val="en-AU"/>
        </w:rPr>
        <w:tab/>
      </w:r>
      <w:r w:rsidR="0040621D">
        <w:rPr>
          <w:u w:val="single"/>
          <w:lang w:val="en-AU"/>
        </w:rPr>
        <w:t>AASB 2021-</w:t>
      </w:r>
      <w:r w:rsidR="00D16E9F">
        <w:rPr>
          <w:u w:val="single"/>
          <w:lang w:val="en-AU"/>
        </w:rPr>
        <w:t>5</w:t>
      </w:r>
      <w:r w:rsidR="0040621D">
        <w:rPr>
          <w:u w:val="single"/>
          <w:lang w:val="en-AU"/>
        </w:rPr>
        <w:t xml:space="preserve"> </w:t>
      </w:r>
      <w:r w:rsidR="0040621D">
        <w:rPr>
          <w:i/>
          <w:iCs/>
          <w:u w:val="single"/>
          <w:lang w:val="en-AU"/>
        </w:rPr>
        <w:t xml:space="preserve">Amendments to Australian Accounting Standards – </w:t>
      </w:r>
      <w:r w:rsidRPr="00637016">
        <w:rPr>
          <w:i/>
          <w:u w:val="single"/>
          <w:lang w:val="en-AU"/>
        </w:rPr>
        <w:t>Deferred Tax related to Assets and Liabilities arising from a Single Transaction</w:t>
      </w:r>
      <w:r w:rsidRPr="00637016">
        <w:rPr>
          <w:u w:val="single"/>
          <w:lang w:val="en-AU"/>
        </w:rPr>
        <w:t xml:space="preserve">, issued in </w:t>
      </w:r>
      <w:r w:rsidR="0040621D">
        <w:rPr>
          <w:u w:val="single"/>
          <w:lang w:val="en-AU"/>
        </w:rPr>
        <w:t>June</w:t>
      </w:r>
      <w:r w:rsidR="0040621D" w:rsidRPr="00637016">
        <w:rPr>
          <w:u w:val="single"/>
          <w:lang w:val="en-AU"/>
        </w:rPr>
        <w:t xml:space="preserve"> </w:t>
      </w:r>
      <w:r w:rsidRPr="00637016">
        <w:rPr>
          <w:u w:val="single"/>
          <w:lang w:val="en-AU"/>
        </w:rPr>
        <w:t>2021, amended paragraphs 15, 22 and 24 and added paragraph 22A. An entity shall apply these amendments in accordance with paragraphs 98K–98L for annual reporting periods beginning on or after 1 January 2023. Earlier application is permitted. If an entity applies the amendments for an earlier period, it shall disclose that fact.</w:t>
      </w:r>
    </w:p>
    <w:p w14:paraId="024BF731" w14:textId="267C5DB1" w:rsidR="00A93071" w:rsidRPr="00637016" w:rsidRDefault="00A93071" w:rsidP="00A93071">
      <w:pPr>
        <w:pStyle w:val="IASBNormalnpara"/>
        <w:rPr>
          <w:lang w:val="en-AU"/>
        </w:rPr>
      </w:pPr>
      <w:r w:rsidRPr="00637016">
        <w:rPr>
          <w:u w:val="single"/>
          <w:lang w:val="en-AU"/>
        </w:rPr>
        <w:t>98K</w:t>
      </w:r>
      <w:r w:rsidRPr="00637016">
        <w:rPr>
          <w:lang w:val="en-AU"/>
        </w:rPr>
        <w:tab/>
      </w:r>
      <w:proofErr w:type="gramStart"/>
      <w:r w:rsidRPr="00637016">
        <w:rPr>
          <w:u w:val="single"/>
          <w:lang w:val="en-AU"/>
        </w:rPr>
        <w:t>An</w:t>
      </w:r>
      <w:proofErr w:type="gramEnd"/>
      <w:r w:rsidRPr="00637016">
        <w:rPr>
          <w:u w:val="single"/>
          <w:lang w:val="en-AU"/>
        </w:rPr>
        <w:t xml:space="preserve"> entity shall apply </w:t>
      </w:r>
      <w:r w:rsidR="0040621D">
        <w:rPr>
          <w:u w:val="single"/>
          <w:lang w:val="en-AU"/>
        </w:rPr>
        <w:t>AASB 2021-</w:t>
      </w:r>
      <w:r w:rsidR="00D16E9F">
        <w:rPr>
          <w:u w:val="single"/>
          <w:lang w:val="en-AU"/>
        </w:rPr>
        <w:t>5</w:t>
      </w:r>
      <w:r w:rsidR="0040621D">
        <w:rPr>
          <w:u w:val="single"/>
          <w:lang w:val="en-AU"/>
        </w:rPr>
        <w:t xml:space="preserve"> </w:t>
      </w:r>
      <w:r w:rsidRPr="00637016">
        <w:rPr>
          <w:u w:val="single"/>
          <w:lang w:val="en-AU"/>
        </w:rPr>
        <w:t>to transactions that occur on or after the beginning of the earliest comparative period presented.</w:t>
      </w:r>
    </w:p>
    <w:p w14:paraId="3756C42E" w14:textId="3B334428" w:rsidR="00A93071" w:rsidRPr="00637016" w:rsidRDefault="00A93071" w:rsidP="00A93071">
      <w:pPr>
        <w:pStyle w:val="IASBNormalnpara"/>
        <w:rPr>
          <w:lang w:val="en-AU"/>
        </w:rPr>
      </w:pPr>
      <w:r w:rsidRPr="00637016">
        <w:rPr>
          <w:u w:val="single"/>
          <w:lang w:val="en-AU"/>
        </w:rPr>
        <w:t>98L</w:t>
      </w:r>
      <w:r w:rsidRPr="00637016">
        <w:rPr>
          <w:lang w:val="en-AU"/>
        </w:rPr>
        <w:tab/>
      </w:r>
      <w:proofErr w:type="gramStart"/>
      <w:r w:rsidRPr="00637016">
        <w:rPr>
          <w:u w:val="single"/>
          <w:lang w:val="en-AU"/>
        </w:rPr>
        <w:t>An</w:t>
      </w:r>
      <w:proofErr w:type="gramEnd"/>
      <w:r w:rsidRPr="00637016">
        <w:rPr>
          <w:u w:val="single"/>
          <w:lang w:val="en-AU"/>
        </w:rPr>
        <w:t xml:space="preserve"> entity applying </w:t>
      </w:r>
      <w:r w:rsidR="0040621D">
        <w:rPr>
          <w:u w:val="single"/>
          <w:lang w:val="en-AU"/>
        </w:rPr>
        <w:t>AASB 2021-</w:t>
      </w:r>
      <w:r w:rsidR="00D16E9F">
        <w:rPr>
          <w:u w:val="single"/>
          <w:lang w:val="en-AU"/>
        </w:rPr>
        <w:t>5</w:t>
      </w:r>
      <w:r w:rsidR="0040621D">
        <w:rPr>
          <w:u w:val="single"/>
          <w:lang w:val="en-AU"/>
        </w:rPr>
        <w:t xml:space="preserve"> </w:t>
      </w:r>
      <w:r w:rsidRPr="00637016">
        <w:rPr>
          <w:u w:val="single"/>
          <w:lang w:val="en-AU"/>
        </w:rPr>
        <w:t>shall also, at the beginning of the earliest comparative period presented:</w:t>
      </w:r>
    </w:p>
    <w:p w14:paraId="16B0E717" w14:textId="344685A7" w:rsidR="00A93071" w:rsidRPr="00637016" w:rsidRDefault="00A93071" w:rsidP="00A93071">
      <w:pPr>
        <w:pStyle w:val="IASBNormalnparaL1"/>
        <w:rPr>
          <w:lang w:val="en-AU"/>
        </w:rPr>
      </w:pPr>
      <w:r w:rsidRPr="00637016">
        <w:rPr>
          <w:u w:val="single"/>
          <w:lang w:val="en-AU"/>
        </w:rPr>
        <w:t>(a)</w:t>
      </w:r>
      <w:r w:rsidRPr="00637016">
        <w:rPr>
          <w:lang w:val="en-AU"/>
        </w:rPr>
        <w:tab/>
      </w:r>
      <w:r w:rsidRPr="00637016">
        <w:rPr>
          <w:u w:val="single"/>
          <w:lang w:val="en-AU"/>
        </w:rPr>
        <w:t>recognise a deferred tax asset</w:t>
      </w:r>
      <w:r w:rsidR="00653C5A">
        <w:rPr>
          <w:u w:val="single"/>
          <w:lang w:val="en-AU"/>
        </w:rPr>
        <w:t xml:space="preserve"> – </w:t>
      </w:r>
      <w:r w:rsidRPr="00637016">
        <w:rPr>
          <w:u w:val="single"/>
          <w:lang w:val="en-AU"/>
        </w:rPr>
        <w:t>to the extent that it is probable that taxable profit will be available against which the deductible temporary difference can be utilised</w:t>
      </w:r>
      <w:r w:rsidR="00653C5A">
        <w:rPr>
          <w:u w:val="single"/>
          <w:lang w:val="en-AU"/>
        </w:rPr>
        <w:t xml:space="preserve"> – </w:t>
      </w:r>
      <w:r w:rsidRPr="00637016">
        <w:rPr>
          <w:u w:val="single"/>
          <w:lang w:val="en-AU"/>
        </w:rPr>
        <w:t>and a deferred tax liability for all deductible and taxable temporary differences associated with:</w:t>
      </w:r>
    </w:p>
    <w:p w14:paraId="1B9E27B0" w14:textId="77777777" w:rsidR="00A93071" w:rsidRPr="00637016" w:rsidRDefault="00A93071" w:rsidP="00A93071">
      <w:pPr>
        <w:pStyle w:val="IASBNormalnparaL2"/>
        <w:rPr>
          <w:lang w:val="en-AU"/>
        </w:rPr>
      </w:pPr>
      <w:r w:rsidRPr="00637016">
        <w:rPr>
          <w:u w:val="single"/>
          <w:lang w:val="en-AU"/>
        </w:rPr>
        <w:t>(</w:t>
      </w:r>
      <w:proofErr w:type="spellStart"/>
      <w:r w:rsidRPr="00637016">
        <w:rPr>
          <w:u w:val="single"/>
          <w:lang w:val="en-AU"/>
        </w:rPr>
        <w:t>i</w:t>
      </w:r>
      <w:proofErr w:type="spellEnd"/>
      <w:r w:rsidRPr="00637016">
        <w:rPr>
          <w:u w:val="single"/>
          <w:lang w:val="en-AU"/>
        </w:rPr>
        <w:t>)</w:t>
      </w:r>
      <w:r w:rsidRPr="00637016">
        <w:rPr>
          <w:lang w:val="en-AU"/>
        </w:rPr>
        <w:tab/>
      </w:r>
      <w:r w:rsidRPr="00637016">
        <w:rPr>
          <w:u w:val="single"/>
          <w:lang w:val="en-AU"/>
        </w:rPr>
        <w:t>right-of-use assets and lease liabilities; and</w:t>
      </w:r>
    </w:p>
    <w:p w14:paraId="1D65459C" w14:textId="77777777" w:rsidR="00A93071" w:rsidRPr="00637016" w:rsidRDefault="00A93071" w:rsidP="00A93071">
      <w:pPr>
        <w:pStyle w:val="IASBNormalnparaL2"/>
        <w:rPr>
          <w:lang w:val="en-AU"/>
        </w:rPr>
      </w:pPr>
      <w:r w:rsidRPr="00637016">
        <w:rPr>
          <w:u w:val="single"/>
          <w:lang w:val="en-AU"/>
        </w:rPr>
        <w:t>(ii)</w:t>
      </w:r>
      <w:r w:rsidRPr="00637016">
        <w:rPr>
          <w:lang w:val="en-AU"/>
        </w:rPr>
        <w:tab/>
      </w:r>
      <w:r w:rsidRPr="00637016">
        <w:rPr>
          <w:u w:val="single"/>
          <w:lang w:val="en-AU"/>
        </w:rPr>
        <w:t>decommissioning, restoration and similar liabilities and the corresponding amounts recognised as part of the cost of the related asset; and</w:t>
      </w:r>
    </w:p>
    <w:p w14:paraId="512C2DC3" w14:textId="77777777" w:rsidR="00A93071" w:rsidRPr="00637016" w:rsidRDefault="00A93071" w:rsidP="00D97FBA">
      <w:pPr>
        <w:pStyle w:val="IASBNormalnparaL1"/>
        <w:spacing w:after="360"/>
        <w:rPr>
          <w:lang w:val="en-AU"/>
        </w:rPr>
      </w:pPr>
      <w:r w:rsidRPr="00637016">
        <w:rPr>
          <w:u w:val="single"/>
          <w:lang w:val="en-AU"/>
        </w:rPr>
        <w:t>(b)</w:t>
      </w:r>
      <w:r w:rsidRPr="00637016">
        <w:rPr>
          <w:lang w:val="en-AU"/>
        </w:rPr>
        <w:tab/>
      </w:r>
      <w:r w:rsidRPr="00637016">
        <w:rPr>
          <w:u w:val="single"/>
          <w:lang w:val="en-AU"/>
        </w:rPr>
        <w:t>recognise the cumulative effect of initially applying the amendments as an adjustment to the opening balance of retained earnings (or other component of equity, as appropriate) at that date.</w:t>
      </w:r>
    </w:p>
    <w:tbl>
      <w:tblPr>
        <w:tblW w:w="0" w:type="auto"/>
        <w:tblBorders>
          <w:top w:val="single" w:sz="0" w:space="0" w:color="auto"/>
          <w:left w:val="single" w:sz="0" w:space="0" w:color="auto"/>
          <w:bottom w:val="single" w:sz="0" w:space="0" w:color="auto"/>
          <w:right w:val="single" w:sz="0" w:space="0" w:color="auto"/>
        </w:tblBorders>
        <w:tblLook w:val="04A0" w:firstRow="1" w:lastRow="0" w:firstColumn="1" w:lastColumn="0" w:noHBand="0" w:noVBand="1"/>
        <w:tblCaption w:val="Illustrative examples"/>
        <w:tblDescription w:val="marked up text"/>
      </w:tblPr>
      <w:tblGrid>
        <w:gridCol w:w="9071"/>
      </w:tblGrid>
      <w:tr w:rsidR="00D36516" w14:paraId="13FE3BB0" w14:textId="77777777" w:rsidTr="000E1E93">
        <w:tc>
          <w:tcPr>
            <w:tcW w:w="50" w:type="pct"/>
            <w:tcBorders>
              <w:bottom w:val="single" w:sz="0" w:space="0" w:color="auto"/>
              <w:right w:val="single" w:sz="0" w:space="0" w:color="auto"/>
            </w:tcBorders>
          </w:tcPr>
          <w:p w14:paraId="59AB1980" w14:textId="4683853F" w:rsidR="00D36516" w:rsidRDefault="00D36516" w:rsidP="000E1E93">
            <w:pPr>
              <w:pStyle w:val="IASBTableArial"/>
              <w:spacing w:after="120"/>
            </w:pPr>
            <w:r>
              <w:lastRenderedPageBreak/>
              <w:t>Example 8 is added to the Illustrative examples accompanying AASB 112. For ease of reading, new text has not been underlined.</w:t>
            </w:r>
          </w:p>
        </w:tc>
      </w:tr>
    </w:tbl>
    <w:p w14:paraId="37145484" w14:textId="7609E236" w:rsidR="00B21A02" w:rsidRDefault="00B21A02" w:rsidP="00B21A02">
      <w:pPr>
        <w:pStyle w:val="IASBSectionTitle1NonInd"/>
        <w:pBdr>
          <w:bottom w:val="none" w:sz="0" w:space="0" w:color="auto"/>
        </w:pBdr>
      </w:pPr>
      <w:r>
        <w:t>Illustrative</w:t>
      </w:r>
      <w:r w:rsidR="00D36516">
        <w:t xml:space="preserve"> examples</w:t>
      </w:r>
    </w:p>
    <w:p w14:paraId="21FB2C17" w14:textId="0F7E7AB6" w:rsidR="00B21A02" w:rsidRDefault="00B21A02" w:rsidP="00B21A02">
      <w:pPr>
        <w:pStyle w:val="IASBNote"/>
      </w:pPr>
      <w:r>
        <w:rPr>
          <w:i/>
        </w:rPr>
        <w:t>These illustrative examples accompany, but are not part of, AASB 112.</w:t>
      </w:r>
    </w:p>
    <w:p w14:paraId="3BD7238E" w14:textId="2745B62E" w:rsidR="00B21A02" w:rsidRDefault="00D36516" w:rsidP="00B21A02">
      <w:pPr>
        <w:pStyle w:val="IASBNormalnpara"/>
      </w:pPr>
      <w:r>
        <w:t>…</w:t>
      </w:r>
    </w:p>
    <w:p w14:paraId="3F26FA28" w14:textId="77777777" w:rsidR="00B21A02" w:rsidRDefault="00B21A02" w:rsidP="00B21A02">
      <w:pPr>
        <w:pStyle w:val="IASBSectionTitle2NonInd"/>
      </w:pPr>
      <w:r>
        <w:t>Illustrative computations and presentation</w:t>
      </w:r>
    </w:p>
    <w:p w14:paraId="555795EA" w14:textId="62B87DD3" w:rsidR="00B21A02" w:rsidRDefault="00B21A02" w:rsidP="00B21A02">
      <w:pPr>
        <w:pStyle w:val="IASBNormalnpara"/>
      </w:pPr>
      <w:r>
        <w:t>...</w:t>
      </w:r>
    </w:p>
    <w:p w14:paraId="1C1F137E" w14:textId="1996EAA2" w:rsidR="00B21A02" w:rsidRPr="00676CE0" w:rsidRDefault="00B21A02" w:rsidP="00B21A02">
      <w:pPr>
        <w:pStyle w:val="IASBSectionTitle1NonInd"/>
        <w:rPr>
          <w:lang w:val="en-AU"/>
        </w:rPr>
      </w:pPr>
      <w:r w:rsidRPr="00676CE0">
        <w:rPr>
          <w:lang w:val="en-AU"/>
        </w:rPr>
        <w:t>Example 8</w:t>
      </w:r>
      <w:r w:rsidR="00D36516" w:rsidRPr="00676CE0">
        <w:rPr>
          <w:lang w:val="en-AU"/>
        </w:rPr>
        <w:t xml:space="preserve"> – </w:t>
      </w:r>
      <w:r w:rsidRPr="00676CE0">
        <w:rPr>
          <w:lang w:val="en-AU"/>
        </w:rPr>
        <w:t>Leases</w:t>
      </w:r>
    </w:p>
    <w:p w14:paraId="6F3B884F" w14:textId="77777777" w:rsidR="00B21A02" w:rsidRPr="00676CE0" w:rsidRDefault="00B21A02" w:rsidP="00B21A02">
      <w:pPr>
        <w:pStyle w:val="IASBSectionTitle2NonInd"/>
        <w:rPr>
          <w:lang w:val="en-AU"/>
        </w:rPr>
      </w:pPr>
      <w:r w:rsidRPr="00676CE0">
        <w:rPr>
          <w:lang w:val="en-AU"/>
        </w:rPr>
        <w:t>Lease</w:t>
      </w:r>
    </w:p>
    <w:p w14:paraId="59E94019" w14:textId="77777777" w:rsidR="00B21A02" w:rsidRPr="00676CE0" w:rsidRDefault="00B21A02" w:rsidP="00B21A02">
      <w:pPr>
        <w:pStyle w:val="IASBNormal"/>
        <w:rPr>
          <w:lang w:val="en-AU"/>
        </w:rPr>
      </w:pPr>
      <w:r w:rsidRPr="00676CE0">
        <w:rPr>
          <w:lang w:val="en-AU"/>
        </w:rPr>
        <w:t xml:space="preserve">An entity (Lessee) </w:t>
      </w:r>
      <w:proofErr w:type="gramStart"/>
      <w:r w:rsidRPr="00676CE0">
        <w:rPr>
          <w:lang w:val="en-AU"/>
        </w:rPr>
        <w:t>enters into</w:t>
      </w:r>
      <w:proofErr w:type="gramEnd"/>
      <w:r w:rsidRPr="00676CE0">
        <w:rPr>
          <w:lang w:val="en-AU"/>
        </w:rPr>
        <w:t xml:space="preserve"> a five-year lease of a building. The annual lease payments are CU100 payable at the end of each year. Before the commencement date of the lease, Lessee makes a lease payment of CU15 (advance lease payment) and pays initial direct costs of CU5. The interest rate implicit in the lease cannot be readily determined. Lessee’s incremental borrowing rate is 5% per year.</w:t>
      </w:r>
    </w:p>
    <w:p w14:paraId="644CF398" w14:textId="250A684E" w:rsidR="00B21A02" w:rsidRPr="00676CE0" w:rsidRDefault="00B21A02" w:rsidP="00B21A02">
      <w:pPr>
        <w:pStyle w:val="IASBNormal"/>
        <w:rPr>
          <w:lang w:val="en-AU"/>
        </w:rPr>
      </w:pPr>
      <w:r w:rsidRPr="00676CE0">
        <w:rPr>
          <w:lang w:val="en-AU"/>
        </w:rPr>
        <w:t xml:space="preserve">At the commencement date, applying </w:t>
      </w:r>
      <w:r w:rsidR="00844657" w:rsidRPr="00676CE0">
        <w:rPr>
          <w:lang w:val="en-AU"/>
        </w:rPr>
        <w:t>AASB</w:t>
      </w:r>
      <w:r w:rsidRPr="00676CE0">
        <w:rPr>
          <w:lang w:val="en-AU"/>
        </w:rPr>
        <w:t xml:space="preserve"> 16 </w:t>
      </w:r>
      <w:r w:rsidRPr="00676CE0">
        <w:rPr>
          <w:i/>
          <w:lang w:val="en-AU"/>
        </w:rPr>
        <w:t>Leases</w:t>
      </w:r>
      <w:r w:rsidRPr="00676CE0">
        <w:rPr>
          <w:lang w:val="en-AU"/>
        </w:rPr>
        <w:t>, Lessee recognises a lease liability of CU435 (measured at the present value of the five lease payments of CU100, discounted at the interest rate of 5% per year). Lessee measures the right-of-use asset (lease asset) at CU455, comprising the initial measurement of the lease liability (CU435), the advance lease payment (CU15) and the initial direct costs (CU5).</w:t>
      </w:r>
    </w:p>
    <w:p w14:paraId="7729F95D" w14:textId="77777777" w:rsidR="00B21A02" w:rsidRPr="00676CE0" w:rsidRDefault="00B21A02" w:rsidP="00B21A02">
      <w:pPr>
        <w:pStyle w:val="IASBSectionTitle2NonInd"/>
        <w:rPr>
          <w:lang w:val="en-AU"/>
        </w:rPr>
      </w:pPr>
      <w:r w:rsidRPr="00676CE0">
        <w:rPr>
          <w:lang w:val="en-AU"/>
        </w:rPr>
        <w:t>Tax law</w:t>
      </w:r>
    </w:p>
    <w:p w14:paraId="20505B40" w14:textId="77777777" w:rsidR="00B21A02" w:rsidRPr="00676CE0" w:rsidRDefault="00B21A02" w:rsidP="00B21A02">
      <w:pPr>
        <w:pStyle w:val="IASBNormal"/>
        <w:rPr>
          <w:lang w:val="en-AU"/>
        </w:rPr>
      </w:pPr>
      <w:r w:rsidRPr="00676CE0">
        <w:rPr>
          <w:lang w:val="en-AU"/>
        </w:rPr>
        <w:t>The tax law allows tax deductions for lease payments (including those made before the commencement date) and initial direct costs when an entity makes those payments. Economic benefits that will flow to Lessee when it recovers the carrying amount of the lease asset will be taxable.</w:t>
      </w:r>
    </w:p>
    <w:p w14:paraId="45C96078" w14:textId="77777777" w:rsidR="00B21A02" w:rsidRPr="00676CE0" w:rsidRDefault="00B21A02" w:rsidP="00B21A02">
      <w:pPr>
        <w:pStyle w:val="IASBNormal"/>
        <w:rPr>
          <w:lang w:val="en-AU"/>
        </w:rPr>
      </w:pPr>
      <w:r w:rsidRPr="00676CE0">
        <w:rPr>
          <w:lang w:val="en-AU"/>
        </w:rPr>
        <w:t>A tax rate of 20% is expected to apply to the period(s) when Lessee will recover the carrying amount of the lease asset and will settle the lease liability.</w:t>
      </w:r>
    </w:p>
    <w:p w14:paraId="5986BA9A" w14:textId="6EE28FBD" w:rsidR="00B21A02" w:rsidRPr="00676CE0" w:rsidRDefault="00B21A02" w:rsidP="00B21A02">
      <w:pPr>
        <w:pStyle w:val="IASBNormal"/>
        <w:rPr>
          <w:lang w:val="en-AU"/>
        </w:rPr>
      </w:pPr>
      <w:r w:rsidRPr="00676CE0">
        <w:rPr>
          <w:lang w:val="en-AU"/>
        </w:rPr>
        <w:t xml:space="preserve">After considering the applicable tax law, Lessee concludes that the tax deductions it will receive for lease payments relate to the repayment of the lease </w:t>
      </w:r>
      <w:r w:rsidRPr="00676CE0">
        <w:rPr>
          <w:szCs w:val="19"/>
          <w:lang w:val="en-AU"/>
        </w:rPr>
        <w:t>liability.</w:t>
      </w:r>
      <w:r w:rsidR="00F56940" w:rsidRPr="00676CE0">
        <w:rPr>
          <w:rStyle w:val="FootnoteReference"/>
          <w:szCs w:val="19"/>
          <w:lang w:val="en-AU"/>
        </w:rPr>
        <w:footnoteReference w:id="1"/>
      </w:r>
    </w:p>
    <w:p w14:paraId="20B18C13" w14:textId="77777777" w:rsidR="00B21A02" w:rsidRPr="00676CE0" w:rsidRDefault="00B21A02" w:rsidP="00B21A02">
      <w:pPr>
        <w:pStyle w:val="IASBSectionTitle2NonInd"/>
        <w:rPr>
          <w:lang w:val="en-AU"/>
        </w:rPr>
      </w:pPr>
      <w:r w:rsidRPr="00676CE0">
        <w:rPr>
          <w:lang w:val="en-AU"/>
        </w:rPr>
        <w:t>Deferred tax on the advance lease payment and initial direct costs</w:t>
      </w:r>
    </w:p>
    <w:p w14:paraId="56577E7B" w14:textId="77777777" w:rsidR="00B21A02" w:rsidRPr="00676CE0" w:rsidRDefault="00B21A02" w:rsidP="00B21A02">
      <w:pPr>
        <w:pStyle w:val="IASBNormal"/>
        <w:rPr>
          <w:lang w:val="en-AU"/>
        </w:rPr>
      </w:pPr>
      <w:r w:rsidRPr="00676CE0">
        <w:rPr>
          <w:lang w:val="en-AU"/>
        </w:rPr>
        <w:t>Lessee recognises the advance lease payment (CU15) and initial direct costs (CU5) as components of the lease asset’s cost. The tax base of these components is nil because Lessee already received tax deductions for the advance lease payment and initial direct costs when it made those payments. The difference between the tax base (nil) and the carrying amount of each component results in taxable temporary differences of CU15 (related to the advance lease payment) and CU5 (related to the initial direct costs).</w:t>
      </w:r>
    </w:p>
    <w:p w14:paraId="759C1CC2" w14:textId="77777777" w:rsidR="00B21A02" w:rsidRPr="00676CE0" w:rsidRDefault="00B21A02" w:rsidP="00B21A02">
      <w:pPr>
        <w:pStyle w:val="IASBNormal"/>
        <w:rPr>
          <w:lang w:val="en-AU"/>
        </w:rPr>
      </w:pPr>
      <w:r w:rsidRPr="00676CE0">
        <w:rPr>
          <w:lang w:val="en-AU"/>
        </w:rPr>
        <w:t>The exemption from recognising a deferred tax liability in paragraph 15 does not apply because the temporary differences arise from transactions that, at the time of the transactions, affect Lessee’s taxable profit (that is, the tax deductions Lessee received when it made the advance lease payment and paid initial direct costs reduced its taxable profit). Accordingly, Lessee recognises a deferred tax liability of CU3 (CU15 × 20%) and CU1 (CU5 × 20%) for the taxable temporary differences related to the advance lease payment and initial direct costs, respectively.</w:t>
      </w:r>
    </w:p>
    <w:p w14:paraId="010823C9" w14:textId="77777777" w:rsidR="00B21A02" w:rsidRPr="00676CE0" w:rsidRDefault="00B21A02" w:rsidP="00B21A02">
      <w:pPr>
        <w:pStyle w:val="IASBSectionTitle2NonInd"/>
        <w:rPr>
          <w:lang w:val="en-AU"/>
        </w:rPr>
      </w:pPr>
      <w:r w:rsidRPr="00676CE0">
        <w:rPr>
          <w:lang w:val="en-AU"/>
        </w:rPr>
        <w:lastRenderedPageBreak/>
        <w:t>Deferred tax on the lease liability and related component of the lease asset’s cost</w:t>
      </w:r>
    </w:p>
    <w:p w14:paraId="30517950" w14:textId="77777777" w:rsidR="00B21A02" w:rsidRPr="00676CE0" w:rsidRDefault="00B21A02" w:rsidP="00B21A02">
      <w:pPr>
        <w:pStyle w:val="IASBNormal"/>
        <w:rPr>
          <w:lang w:val="en-AU"/>
        </w:rPr>
      </w:pPr>
      <w:r w:rsidRPr="00676CE0">
        <w:rPr>
          <w:lang w:val="en-AU"/>
        </w:rPr>
        <w:t>At the commencement date, the tax base of the lease liability is nil because Lessee will receive tax deductions equal to the carrying amount of the lease liability (CU435). The tax base of the related component of the lease asset’s cost is also nil because Lessee will receive no tax deductions from recovering the carrying amount of that component of the lease asset’s cost (CU435).</w:t>
      </w:r>
    </w:p>
    <w:p w14:paraId="40A7BABF" w14:textId="77777777" w:rsidR="00B21A02" w:rsidRPr="00676CE0" w:rsidRDefault="00B21A02" w:rsidP="00B21A02">
      <w:pPr>
        <w:pStyle w:val="IASBNormal"/>
        <w:rPr>
          <w:lang w:val="en-AU"/>
        </w:rPr>
      </w:pPr>
      <w:r w:rsidRPr="00676CE0">
        <w:rPr>
          <w:lang w:val="en-AU"/>
        </w:rPr>
        <w:t>The differences between the carrying amounts of the lease liability and the related component of the lease asset’s cost (CU435) and their tax bases of nil result in the following temporary differences at the commencement date:</w:t>
      </w:r>
    </w:p>
    <w:p w14:paraId="7DB3F7B4" w14:textId="77777777" w:rsidR="00B21A02" w:rsidRPr="00676CE0" w:rsidRDefault="00B21A02" w:rsidP="00B21A02">
      <w:pPr>
        <w:pStyle w:val="IASBNormalL1"/>
        <w:rPr>
          <w:lang w:val="en-AU"/>
        </w:rPr>
      </w:pPr>
      <w:r w:rsidRPr="00676CE0">
        <w:rPr>
          <w:lang w:val="en-AU"/>
        </w:rPr>
        <w:t>(a)</w:t>
      </w:r>
      <w:r w:rsidRPr="00676CE0">
        <w:rPr>
          <w:lang w:val="en-AU"/>
        </w:rPr>
        <w:tab/>
        <w:t>a taxable temporary difference of CU435 associated with the lease asset; and</w:t>
      </w:r>
    </w:p>
    <w:p w14:paraId="7C32B377" w14:textId="77777777" w:rsidR="00B21A02" w:rsidRPr="00676CE0" w:rsidRDefault="00B21A02" w:rsidP="00B21A02">
      <w:pPr>
        <w:pStyle w:val="IASBNormalL1"/>
        <w:rPr>
          <w:lang w:val="en-AU"/>
        </w:rPr>
      </w:pPr>
      <w:r w:rsidRPr="00676CE0">
        <w:rPr>
          <w:lang w:val="en-AU"/>
        </w:rPr>
        <w:t>(b)</w:t>
      </w:r>
      <w:r w:rsidRPr="00676CE0">
        <w:rPr>
          <w:lang w:val="en-AU"/>
        </w:rPr>
        <w:tab/>
        <w:t>a deductible temporary difference of CU435 associated with the lease liability.</w:t>
      </w:r>
    </w:p>
    <w:p w14:paraId="401BDED5" w14:textId="77777777" w:rsidR="00B21A02" w:rsidRPr="00676CE0" w:rsidRDefault="00B21A02" w:rsidP="00B21A02">
      <w:pPr>
        <w:pStyle w:val="IASBNormal"/>
        <w:rPr>
          <w:lang w:val="en-AU"/>
        </w:rPr>
      </w:pPr>
      <w:r w:rsidRPr="00676CE0">
        <w:rPr>
          <w:lang w:val="en-AU"/>
        </w:rPr>
        <w:t>The exemption from recognising a deferred tax asset and liability in paragraphs 15 and 24 does not apply because the transaction gives rise to equal taxable and deductible temporary differences. Lessee concludes that it is probable that taxable profit will be available against which the deductible temporary difference can be utilised. Accordingly, Lessee recognises a deferred tax asset and a deferred tax liability, each of CU87 (CU435 × 20%), for the deductible and taxable temporary differences.</w:t>
      </w:r>
    </w:p>
    <w:p w14:paraId="08405BF0" w14:textId="77777777" w:rsidR="00B21A02" w:rsidRPr="00676CE0" w:rsidRDefault="00B21A02" w:rsidP="00B21A02">
      <w:pPr>
        <w:pStyle w:val="IASBSectionTitle2NonInd"/>
        <w:rPr>
          <w:lang w:val="en-AU"/>
        </w:rPr>
      </w:pPr>
      <w:r w:rsidRPr="00676CE0">
        <w:rPr>
          <w:lang w:val="en-AU"/>
        </w:rPr>
        <w:t>Summary of recognised deferred tax</w:t>
      </w:r>
    </w:p>
    <w:p w14:paraId="2813AF66" w14:textId="77777777" w:rsidR="00B21A02" w:rsidRPr="00676CE0" w:rsidRDefault="00B21A02" w:rsidP="00B21A02">
      <w:pPr>
        <w:pStyle w:val="IASBNormal"/>
        <w:rPr>
          <w:lang w:val="en-AU"/>
        </w:rPr>
      </w:pPr>
      <w:r w:rsidRPr="00676CE0">
        <w:rPr>
          <w:lang w:val="en-AU"/>
        </w:rPr>
        <w:t>The table below summarises the deferred tax that Lessee recognises on initial recognition of the lease (including the advance lease payment and initial direct costs):</w:t>
      </w:r>
    </w:p>
    <w:p w14:paraId="163CB226" w14:textId="77777777" w:rsidR="00B21A02" w:rsidRPr="00676CE0" w:rsidRDefault="00B21A02" w:rsidP="00B21A02">
      <w:pPr>
        <w:pStyle w:val="IASBNormalnpara"/>
        <w:rPr>
          <w:lang w:val="en-AU"/>
        </w:rPr>
      </w:pPr>
    </w:p>
    <w:tbl>
      <w:tblPr>
        <w:tblW w:w="0" w:type="auto"/>
        <w:tblBorders>
          <w:top w:val="none" w:sz="8" w:space="0" w:color="auto"/>
          <w:left w:val="none" w:sz="8" w:space="0" w:color="auto"/>
          <w:bottom w:val="none" w:sz="8" w:space="0" w:color="auto"/>
          <w:right w:val="none" w:sz="8" w:space="0" w:color="auto"/>
        </w:tblBorders>
        <w:tblLook w:val="04A0" w:firstRow="1" w:lastRow="0" w:firstColumn="1" w:lastColumn="0" w:noHBand="0" w:noVBand="1"/>
        <w:tblCaption w:val="summary of recognised deferred tax"/>
        <w:tblDescription w:val="example"/>
      </w:tblPr>
      <w:tblGrid>
        <w:gridCol w:w="317"/>
        <w:gridCol w:w="2121"/>
        <w:gridCol w:w="1491"/>
        <w:gridCol w:w="222"/>
        <w:gridCol w:w="1492"/>
        <w:gridCol w:w="222"/>
        <w:gridCol w:w="1492"/>
        <w:gridCol w:w="222"/>
        <w:gridCol w:w="1492"/>
      </w:tblGrid>
      <w:tr w:rsidR="00B21A02" w:rsidRPr="00676CE0" w14:paraId="4E6C2DB9" w14:textId="77777777" w:rsidTr="00704FF1">
        <w:trPr>
          <w:tblHeader/>
        </w:trPr>
        <w:tc>
          <w:tcPr>
            <w:tcW w:w="1400" w:type="pct"/>
            <w:gridSpan w:val="2"/>
          </w:tcPr>
          <w:p w14:paraId="318B2A55" w14:textId="77777777" w:rsidR="00B21A02" w:rsidRPr="00676CE0" w:rsidRDefault="00B21A02" w:rsidP="00704FF1">
            <w:pPr>
              <w:pStyle w:val="IASBTableHeaderArial"/>
              <w:rPr>
                <w:lang w:val="en-AU"/>
              </w:rPr>
            </w:pPr>
          </w:p>
        </w:tc>
        <w:tc>
          <w:tcPr>
            <w:tcW w:w="850" w:type="pct"/>
            <w:vAlign w:val="bottom"/>
          </w:tcPr>
          <w:p w14:paraId="42E3C024" w14:textId="77777777" w:rsidR="00B21A02" w:rsidRPr="00676CE0" w:rsidRDefault="00B21A02" w:rsidP="00704FF1">
            <w:pPr>
              <w:pStyle w:val="IASBTableHeaderArial"/>
              <w:jc w:val="right"/>
              <w:rPr>
                <w:lang w:val="en-AU"/>
              </w:rPr>
            </w:pPr>
            <w:r w:rsidRPr="00676CE0">
              <w:rPr>
                <w:lang w:val="en-AU"/>
              </w:rPr>
              <w:t>Carrying amount</w:t>
            </w:r>
          </w:p>
        </w:tc>
        <w:tc>
          <w:tcPr>
            <w:tcW w:w="50" w:type="pct"/>
          </w:tcPr>
          <w:p w14:paraId="364F06EF" w14:textId="77777777" w:rsidR="00B21A02" w:rsidRPr="00676CE0" w:rsidRDefault="00B21A02" w:rsidP="00704FF1">
            <w:pPr>
              <w:pStyle w:val="IASBTableHeaderArial"/>
              <w:rPr>
                <w:lang w:val="en-AU"/>
              </w:rPr>
            </w:pPr>
          </w:p>
        </w:tc>
        <w:tc>
          <w:tcPr>
            <w:tcW w:w="850" w:type="pct"/>
            <w:vAlign w:val="bottom"/>
          </w:tcPr>
          <w:p w14:paraId="10C9E135" w14:textId="77777777" w:rsidR="00B21A02" w:rsidRPr="00676CE0" w:rsidRDefault="00B21A02" w:rsidP="00704FF1">
            <w:pPr>
              <w:pStyle w:val="IASBTableHeaderArial"/>
              <w:jc w:val="right"/>
              <w:rPr>
                <w:lang w:val="en-AU"/>
              </w:rPr>
            </w:pPr>
            <w:r w:rsidRPr="00676CE0">
              <w:rPr>
                <w:lang w:val="en-AU"/>
              </w:rPr>
              <w:t>Tax base</w:t>
            </w:r>
          </w:p>
        </w:tc>
        <w:tc>
          <w:tcPr>
            <w:tcW w:w="100" w:type="pct"/>
          </w:tcPr>
          <w:p w14:paraId="2BD174B0" w14:textId="77777777" w:rsidR="00B21A02" w:rsidRPr="00676CE0" w:rsidRDefault="00B21A02" w:rsidP="00704FF1">
            <w:pPr>
              <w:pStyle w:val="IASBTableHeaderArial"/>
              <w:rPr>
                <w:lang w:val="en-AU"/>
              </w:rPr>
            </w:pPr>
          </w:p>
        </w:tc>
        <w:tc>
          <w:tcPr>
            <w:tcW w:w="850" w:type="pct"/>
            <w:vAlign w:val="bottom"/>
          </w:tcPr>
          <w:p w14:paraId="1D7653E3" w14:textId="77777777" w:rsidR="00B21A02" w:rsidRPr="00676CE0" w:rsidRDefault="00B21A02" w:rsidP="00704FF1">
            <w:pPr>
              <w:pStyle w:val="IASBTableHeaderArial"/>
              <w:jc w:val="right"/>
              <w:rPr>
                <w:lang w:val="en-AU"/>
              </w:rPr>
            </w:pPr>
            <w:r w:rsidRPr="00676CE0">
              <w:rPr>
                <w:lang w:val="en-AU"/>
              </w:rPr>
              <w:t>Deductible / (taxable) temporary difference</w:t>
            </w:r>
          </w:p>
        </w:tc>
        <w:tc>
          <w:tcPr>
            <w:tcW w:w="50" w:type="pct"/>
          </w:tcPr>
          <w:p w14:paraId="5F7CFE09" w14:textId="77777777" w:rsidR="00B21A02" w:rsidRPr="00676CE0" w:rsidRDefault="00B21A02" w:rsidP="00704FF1">
            <w:pPr>
              <w:pStyle w:val="IASBTableHeaderArial"/>
              <w:rPr>
                <w:lang w:val="en-AU"/>
              </w:rPr>
            </w:pPr>
          </w:p>
        </w:tc>
        <w:tc>
          <w:tcPr>
            <w:tcW w:w="850" w:type="pct"/>
            <w:vAlign w:val="bottom"/>
          </w:tcPr>
          <w:p w14:paraId="592A7F8D" w14:textId="77777777" w:rsidR="00B21A02" w:rsidRPr="00676CE0" w:rsidRDefault="00B21A02" w:rsidP="00704FF1">
            <w:pPr>
              <w:pStyle w:val="IASBTableHeaderArial"/>
              <w:jc w:val="right"/>
              <w:rPr>
                <w:lang w:val="en-AU"/>
              </w:rPr>
            </w:pPr>
            <w:r w:rsidRPr="00676CE0">
              <w:rPr>
                <w:lang w:val="en-AU"/>
              </w:rPr>
              <w:t>Deferred tax asset /</w:t>
            </w:r>
            <w:r w:rsidRPr="00676CE0">
              <w:rPr>
                <w:lang w:val="en-AU"/>
              </w:rPr>
              <w:br/>
              <w:t>(liability)</w:t>
            </w:r>
          </w:p>
        </w:tc>
      </w:tr>
      <w:tr w:rsidR="00B21A02" w:rsidRPr="00676CE0" w14:paraId="1DF740CC" w14:textId="77777777" w:rsidTr="00704FF1">
        <w:tc>
          <w:tcPr>
            <w:tcW w:w="1400" w:type="pct"/>
            <w:gridSpan w:val="2"/>
          </w:tcPr>
          <w:p w14:paraId="2722E275" w14:textId="77777777" w:rsidR="00B21A02" w:rsidRPr="00676CE0" w:rsidRDefault="00B21A02" w:rsidP="00704FF1">
            <w:pPr>
              <w:pStyle w:val="IASBTableArial"/>
              <w:rPr>
                <w:lang w:val="en-AU"/>
              </w:rPr>
            </w:pPr>
            <w:r w:rsidRPr="00676CE0">
              <w:rPr>
                <w:lang w:val="en-AU"/>
              </w:rPr>
              <w:t>Lease asset</w:t>
            </w:r>
          </w:p>
        </w:tc>
        <w:tc>
          <w:tcPr>
            <w:tcW w:w="850" w:type="pct"/>
          </w:tcPr>
          <w:p w14:paraId="00566A97" w14:textId="77777777" w:rsidR="00B21A02" w:rsidRPr="00676CE0" w:rsidRDefault="00B21A02" w:rsidP="00704FF1">
            <w:pPr>
              <w:pStyle w:val="IASBTableArial"/>
              <w:jc w:val="right"/>
              <w:rPr>
                <w:lang w:val="en-AU"/>
              </w:rPr>
            </w:pPr>
          </w:p>
        </w:tc>
        <w:tc>
          <w:tcPr>
            <w:tcW w:w="50" w:type="pct"/>
          </w:tcPr>
          <w:p w14:paraId="0E43CC4B" w14:textId="77777777" w:rsidR="00B21A02" w:rsidRPr="00676CE0" w:rsidRDefault="00B21A02" w:rsidP="00704FF1">
            <w:pPr>
              <w:pStyle w:val="IASBTableArial"/>
              <w:rPr>
                <w:lang w:val="en-AU"/>
              </w:rPr>
            </w:pPr>
          </w:p>
        </w:tc>
        <w:tc>
          <w:tcPr>
            <w:tcW w:w="850" w:type="pct"/>
          </w:tcPr>
          <w:p w14:paraId="5A011DE1" w14:textId="77777777" w:rsidR="00B21A02" w:rsidRPr="00676CE0" w:rsidRDefault="00B21A02" w:rsidP="00704FF1">
            <w:pPr>
              <w:pStyle w:val="IASBTableArial"/>
              <w:jc w:val="right"/>
              <w:rPr>
                <w:lang w:val="en-AU"/>
              </w:rPr>
            </w:pPr>
          </w:p>
        </w:tc>
        <w:tc>
          <w:tcPr>
            <w:tcW w:w="100" w:type="pct"/>
          </w:tcPr>
          <w:p w14:paraId="77E437A1" w14:textId="77777777" w:rsidR="00B21A02" w:rsidRPr="00676CE0" w:rsidRDefault="00B21A02" w:rsidP="00704FF1">
            <w:pPr>
              <w:pStyle w:val="IASBTableArial"/>
              <w:rPr>
                <w:lang w:val="en-AU"/>
              </w:rPr>
            </w:pPr>
          </w:p>
        </w:tc>
        <w:tc>
          <w:tcPr>
            <w:tcW w:w="850" w:type="pct"/>
          </w:tcPr>
          <w:p w14:paraId="09370750" w14:textId="77777777" w:rsidR="00B21A02" w:rsidRPr="00676CE0" w:rsidRDefault="00B21A02" w:rsidP="00704FF1">
            <w:pPr>
              <w:pStyle w:val="IASBTableArial"/>
              <w:jc w:val="right"/>
              <w:rPr>
                <w:lang w:val="en-AU"/>
              </w:rPr>
            </w:pPr>
          </w:p>
        </w:tc>
        <w:tc>
          <w:tcPr>
            <w:tcW w:w="50" w:type="pct"/>
          </w:tcPr>
          <w:p w14:paraId="1F204A3A" w14:textId="77777777" w:rsidR="00B21A02" w:rsidRPr="00676CE0" w:rsidRDefault="00B21A02" w:rsidP="00704FF1">
            <w:pPr>
              <w:pStyle w:val="IASBTableArial"/>
              <w:rPr>
                <w:lang w:val="en-AU"/>
              </w:rPr>
            </w:pPr>
          </w:p>
        </w:tc>
        <w:tc>
          <w:tcPr>
            <w:tcW w:w="850" w:type="pct"/>
          </w:tcPr>
          <w:p w14:paraId="34CC5575" w14:textId="77777777" w:rsidR="00B21A02" w:rsidRPr="00676CE0" w:rsidRDefault="00B21A02" w:rsidP="00704FF1">
            <w:pPr>
              <w:pStyle w:val="IASBTableArial"/>
              <w:jc w:val="right"/>
              <w:rPr>
                <w:lang w:val="en-AU"/>
              </w:rPr>
            </w:pPr>
          </w:p>
        </w:tc>
      </w:tr>
      <w:tr w:rsidR="00B21A02" w:rsidRPr="00676CE0" w14:paraId="0B689FBA" w14:textId="77777777" w:rsidTr="00704FF1">
        <w:tc>
          <w:tcPr>
            <w:tcW w:w="200" w:type="pct"/>
          </w:tcPr>
          <w:p w14:paraId="317D9D0A" w14:textId="77777777" w:rsidR="00B21A02" w:rsidRPr="00676CE0" w:rsidRDefault="00B21A02" w:rsidP="00704FF1">
            <w:pPr>
              <w:pStyle w:val="IASBTableArial"/>
              <w:jc w:val="right"/>
              <w:rPr>
                <w:lang w:val="en-AU"/>
              </w:rPr>
            </w:pPr>
            <w:r w:rsidRPr="00676CE0">
              <w:rPr>
                <w:lang w:val="en-AU"/>
              </w:rPr>
              <w:t>–</w:t>
            </w:r>
          </w:p>
        </w:tc>
        <w:tc>
          <w:tcPr>
            <w:tcW w:w="1200" w:type="pct"/>
          </w:tcPr>
          <w:p w14:paraId="3AFE54B0" w14:textId="77777777" w:rsidR="00B21A02" w:rsidRPr="00676CE0" w:rsidRDefault="00B21A02" w:rsidP="00704FF1">
            <w:pPr>
              <w:pStyle w:val="IASBTableArial"/>
              <w:rPr>
                <w:lang w:val="en-AU"/>
              </w:rPr>
            </w:pPr>
            <w:r w:rsidRPr="00676CE0">
              <w:rPr>
                <w:lang w:val="en-AU"/>
              </w:rPr>
              <w:t>advance lease payment</w:t>
            </w:r>
          </w:p>
        </w:tc>
        <w:tc>
          <w:tcPr>
            <w:tcW w:w="850" w:type="pct"/>
          </w:tcPr>
          <w:p w14:paraId="4A03A56D" w14:textId="77777777" w:rsidR="00B21A02" w:rsidRPr="00676CE0" w:rsidRDefault="00B21A02" w:rsidP="00704FF1">
            <w:pPr>
              <w:pStyle w:val="IASBTableArial"/>
              <w:jc w:val="right"/>
              <w:rPr>
                <w:lang w:val="en-AU"/>
              </w:rPr>
            </w:pPr>
            <w:r w:rsidRPr="00676CE0">
              <w:rPr>
                <w:lang w:val="en-AU"/>
              </w:rPr>
              <w:t>15</w:t>
            </w:r>
          </w:p>
        </w:tc>
        <w:tc>
          <w:tcPr>
            <w:tcW w:w="50" w:type="pct"/>
          </w:tcPr>
          <w:p w14:paraId="08EE1700" w14:textId="77777777" w:rsidR="00B21A02" w:rsidRPr="00676CE0" w:rsidRDefault="00B21A02" w:rsidP="00704FF1">
            <w:pPr>
              <w:pStyle w:val="IASBTableArial"/>
              <w:rPr>
                <w:lang w:val="en-AU"/>
              </w:rPr>
            </w:pPr>
          </w:p>
        </w:tc>
        <w:tc>
          <w:tcPr>
            <w:tcW w:w="850" w:type="pct"/>
          </w:tcPr>
          <w:p w14:paraId="30F50AA8" w14:textId="77777777" w:rsidR="00B21A02" w:rsidRPr="00676CE0" w:rsidRDefault="00B21A02" w:rsidP="00704FF1">
            <w:pPr>
              <w:pStyle w:val="IASBTableArial"/>
              <w:jc w:val="right"/>
              <w:rPr>
                <w:lang w:val="en-AU"/>
              </w:rPr>
            </w:pPr>
            <w:r w:rsidRPr="00676CE0">
              <w:rPr>
                <w:lang w:val="en-AU"/>
              </w:rPr>
              <w:t>—</w:t>
            </w:r>
          </w:p>
        </w:tc>
        <w:tc>
          <w:tcPr>
            <w:tcW w:w="100" w:type="pct"/>
          </w:tcPr>
          <w:p w14:paraId="43A69696" w14:textId="77777777" w:rsidR="00B21A02" w:rsidRPr="00676CE0" w:rsidRDefault="00B21A02" w:rsidP="00704FF1">
            <w:pPr>
              <w:pStyle w:val="IASBTableArial"/>
              <w:rPr>
                <w:lang w:val="en-AU"/>
              </w:rPr>
            </w:pPr>
          </w:p>
        </w:tc>
        <w:tc>
          <w:tcPr>
            <w:tcW w:w="850" w:type="pct"/>
          </w:tcPr>
          <w:p w14:paraId="68EBE43D" w14:textId="77777777" w:rsidR="00B21A02" w:rsidRPr="00676CE0" w:rsidRDefault="00B21A02" w:rsidP="00704FF1">
            <w:pPr>
              <w:pStyle w:val="IASBTableArial"/>
              <w:jc w:val="right"/>
              <w:rPr>
                <w:lang w:val="en-AU"/>
              </w:rPr>
            </w:pPr>
            <w:r w:rsidRPr="00676CE0">
              <w:rPr>
                <w:lang w:val="en-AU"/>
              </w:rPr>
              <w:t>(15)</w:t>
            </w:r>
          </w:p>
        </w:tc>
        <w:tc>
          <w:tcPr>
            <w:tcW w:w="50" w:type="pct"/>
          </w:tcPr>
          <w:p w14:paraId="3C9FD9A4" w14:textId="77777777" w:rsidR="00B21A02" w:rsidRPr="00676CE0" w:rsidRDefault="00B21A02" w:rsidP="00704FF1">
            <w:pPr>
              <w:pStyle w:val="IASBTableArial"/>
              <w:rPr>
                <w:lang w:val="en-AU"/>
              </w:rPr>
            </w:pPr>
          </w:p>
        </w:tc>
        <w:tc>
          <w:tcPr>
            <w:tcW w:w="850" w:type="pct"/>
          </w:tcPr>
          <w:p w14:paraId="5B6D4E7B" w14:textId="77777777" w:rsidR="00B21A02" w:rsidRPr="00676CE0" w:rsidRDefault="00B21A02" w:rsidP="00704FF1">
            <w:pPr>
              <w:pStyle w:val="IASBTableArial"/>
              <w:jc w:val="right"/>
              <w:rPr>
                <w:lang w:val="en-AU"/>
              </w:rPr>
            </w:pPr>
            <w:r w:rsidRPr="00676CE0">
              <w:rPr>
                <w:lang w:val="en-AU"/>
              </w:rPr>
              <w:t>(3)</w:t>
            </w:r>
          </w:p>
        </w:tc>
      </w:tr>
      <w:tr w:rsidR="00B21A02" w:rsidRPr="00676CE0" w14:paraId="7E3154CC" w14:textId="77777777" w:rsidTr="00704FF1">
        <w:tc>
          <w:tcPr>
            <w:tcW w:w="200" w:type="pct"/>
          </w:tcPr>
          <w:p w14:paraId="47C44A48" w14:textId="77777777" w:rsidR="00B21A02" w:rsidRPr="00676CE0" w:rsidRDefault="00B21A02" w:rsidP="00704FF1">
            <w:pPr>
              <w:pStyle w:val="IASBTableArial"/>
              <w:jc w:val="right"/>
              <w:rPr>
                <w:lang w:val="en-AU"/>
              </w:rPr>
            </w:pPr>
            <w:r w:rsidRPr="00676CE0">
              <w:rPr>
                <w:lang w:val="en-AU"/>
              </w:rPr>
              <w:t>–</w:t>
            </w:r>
          </w:p>
        </w:tc>
        <w:tc>
          <w:tcPr>
            <w:tcW w:w="1200" w:type="pct"/>
          </w:tcPr>
          <w:p w14:paraId="50629056" w14:textId="77777777" w:rsidR="00B21A02" w:rsidRPr="00676CE0" w:rsidRDefault="00B21A02" w:rsidP="00704FF1">
            <w:pPr>
              <w:pStyle w:val="IASBTableArial"/>
              <w:rPr>
                <w:lang w:val="en-AU"/>
              </w:rPr>
            </w:pPr>
            <w:r w:rsidRPr="00676CE0">
              <w:rPr>
                <w:lang w:val="en-AU"/>
              </w:rPr>
              <w:t>initial direct costs</w:t>
            </w:r>
          </w:p>
        </w:tc>
        <w:tc>
          <w:tcPr>
            <w:tcW w:w="850" w:type="pct"/>
          </w:tcPr>
          <w:p w14:paraId="70480775" w14:textId="77777777" w:rsidR="00B21A02" w:rsidRPr="00676CE0" w:rsidRDefault="00B21A02" w:rsidP="00704FF1">
            <w:pPr>
              <w:pStyle w:val="IASBTableArial"/>
              <w:jc w:val="right"/>
              <w:rPr>
                <w:lang w:val="en-AU"/>
              </w:rPr>
            </w:pPr>
            <w:r w:rsidRPr="00676CE0">
              <w:rPr>
                <w:lang w:val="en-AU"/>
              </w:rPr>
              <w:t>5</w:t>
            </w:r>
          </w:p>
        </w:tc>
        <w:tc>
          <w:tcPr>
            <w:tcW w:w="50" w:type="pct"/>
          </w:tcPr>
          <w:p w14:paraId="16531A01" w14:textId="77777777" w:rsidR="00B21A02" w:rsidRPr="00676CE0" w:rsidRDefault="00B21A02" w:rsidP="00704FF1">
            <w:pPr>
              <w:pStyle w:val="IASBTableArial"/>
              <w:rPr>
                <w:lang w:val="en-AU"/>
              </w:rPr>
            </w:pPr>
          </w:p>
        </w:tc>
        <w:tc>
          <w:tcPr>
            <w:tcW w:w="850" w:type="pct"/>
          </w:tcPr>
          <w:p w14:paraId="0D194DA4" w14:textId="77777777" w:rsidR="00B21A02" w:rsidRPr="00676CE0" w:rsidRDefault="00B21A02" w:rsidP="00704FF1">
            <w:pPr>
              <w:pStyle w:val="IASBTableArial"/>
              <w:jc w:val="right"/>
              <w:rPr>
                <w:lang w:val="en-AU"/>
              </w:rPr>
            </w:pPr>
            <w:r w:rsidRPr="00676CE0">
              <w:rPr>
                <w:lang w:val="en-AU"/>
              </w:rPr>
              <w:t>—</w:t>
            </w:r>
          </w:p>
        </w:tc>
        <w:tc>
          <w:tcPr>
            <w:tcW w:w="100" w:type="pct"/>
          </w:tcPr>
          <w:p w14:paraId="1EC445AD" w14:textId="77777777" w:rsidR="00B21A02" w:rsidRPr="00676CE0" w:rsidRDefault="00B21A02" w:rsidP="00704FF1">
            <w:pPr>
              <w:pStyle w:val="IASBTableArial"/>
              <w:rPr>
                <w:lang w:val="en-AU"/>
              </w:rPr>
            </w:pPr>
          </w:p>
        </w:tc>
        <w:tc>
          <w:tcPr>
            <w:tcW w:w="850" w:type="pct"/>
          </w:tcPr>
          <w:p w14:paraId="6AB1C10E" w14:textId="77777777" w:rsidR="00B21A02" w:rsidRPr="00676CE0" w:rsidRDefault="00B21A02" w:rsidP="00704FF1">
            <w:pPr>
              <w:pStyle w:val="IASBTableArial"/>
              <w:jc w:val="right"/>
              <w:rPr>
                <w:lang w:val="en-AU"/>
              </w:rPr>
            </w:pPr>
            <w:r w:rsidRPr="00676CE0">
              <w:rPr>
                <w:lang w:val="en-AU"/>
              </w:rPr>
              <w:t>(5)</w:t>
            </w:r>
          </w:p>
        </w:tc>
        <w:tc>
          <w:tcPr>
            <w:tcW w:w="50" w:type="pct"/>
          </w:tcPr>
          <w:p w14:paraId="404833AB" w14:textId="77777777" w:rsidR="00B21A02" w:rsidRPr="00676CE0" w:rsidRDefault="00B21A02" w:rsidP="00704FF1">
            <w:pPr>
              <w:pStyle w:val="IASBTableArial"/>
              <w:rPr>
                <w:lang w:val="en-AU"/>
              </w:rPr>
            </w:pPr>
          </w:p>
        </w:tc>
        <w:tc>
          <w:tcPr>
            <w:tcW w:w="850" w:type="pct"/>
          </w:tcPr>
          <w:p w14:paraId="2CF2EB15" w14:textId="77777777" w:rsidR="00B21A02" w:rsidRPr="00676CE0" w:rsidRDefault="00B21A02" w:rsidP="00704FF1">
            <w:pPr>
              <w:pStyle w:val="IASBTableArial"/>
              <w:jc w:val="right"/>
              <w:rPr>
                <w:lang w:val="en-AU"/>
              </w:rPr>
            </w:pPr>
            <w:r w:rsidRPr="00676CE0">
              <w:rPr>
                <w:lang w:val="en-AU"/>
              </w:rPr>
              <w:t>(1)</w:t>
            </w:r>
          </w:p>
        </w:tc>
      </w:tr>
      <w:tr w:rsidR="00B21A02" w:rsidRPr="00676CE0" w14:paraId="324BFE10" w14:textId="77777777" w:rsidTr="00704FF1">
        <w:tc>
          <w:tcPr>
            <w:tcW w:w="200" w:type="pct"/>
          </w:tcPr>
          <w:p w14:paraId="458F23F3" w14:textId="77777777" w:rsidR="00B21A02" w:rsidRPr="00676CE0" w:rsidRDefault="00B21A02" w:rsidP="00704FF1">
            <w:pPr>
              <w:pStyle w:val="IASBTableArial"/>
              <w:jc w:val="right"/>
              <w:rPr>
                <w:lang w:val="en-AU"/>
              </w:rPr>
            </w:pPr>
            <w:r w:rsidRPr="00676CE0">
              <w:rPr>
                <w:lang w:val="en-AU"/>
              </w:rPr>
              <w:t>–</w:t>
            </w:r>
          </w:p>
        </w:tc>
        <w:tc>
          <w:tcPr>
            <w:tcW w:w="1200" w:type="pct"/>
          </w:tcPr>
          <w:p w14:paraId="1F62F546" w14:textId="77777777" w:rsidR="00B21A02" w:rsidRPr="00676CE0" w:rsidRDefault="00B21A02" w:rsidP="00704FF1">
            <w:pPr>
              <w:pStyle w:val="IASBTableArial"/>
              <w:rPr>
                <w:lang w:val="en-AU"/>
              </w:rPr>
            </w:pPr>
            <w:r w:rsidRPr="00676CE0">
              <w:rPr>
                <w:lang w:val="en-AU"/>
              </w:rPr>
              <w:t>the amount of the initial measurement of the lease liability</w:t>
            </w:r>
          </w:p>
        </w:tc>
        <w:tc>
          <w:tcPr>
            <w:tcW w:w="850" w:type="pct"/>
          </w:tcPr>
          <w:p w14:paraId="326849A9" w14:textId="77777777" w:rsidR="00B21A02" w:rsidRPr="00676CE0" w:rsidRDefault="00B21A02" w:rsidP="00704FF1">
            <w:pPr>
              <w:pStyle w:val="IASBTableArial"/>
              <w:jc w:val="right"/>
              <w:rPr>
                <w:lang w:val="en-AU"/>
              </w:rPr>
            </w:pPr>
            <w:r w:rsidRPr="00676CE0">
              <w:rPr>
                <w:lang w:val="en-AU"/>
              </w:rPr>
              <w:t>435</w:t>
            </w:r>
          </w:p>
        </w:tc>
        <w:tc>
          <w:tcPr>
            <w:tcW w:w="50" w:type="pct"/>
          </w:tcPr>
          <w:p w14:paraId="65DE99F4" w14:textId="77777777" w:rsidR="00B21A02" w:rsidRPr="00676CE0" w:rsidRDefault="00B21A02" w:rsidP="00704FF1">
            <w:pPr>
              <w:pStyle w:val="IASBTableArial"/>
              <w:rPr>
                <w:lang w:val="en-AU"/>
              </w:rPr>
            </w:pPr>
          </w:p>
        </w:tc>
        <w:tc>
          <w:tcPr>
            <w:tcW w:w="850" w:type="pct"/>
          </w:tcPr>
          <w:p w14:paraId="27C5235F" w14:textId="77777777" w:rsidR="00B21A02" w:rsidRPr="00676CE0" w:rsidRDefault="00B21A02" w:rsidP="00704FF1">
            <w:pPr>
              <w:pStyle w:val="IASBTableArial"/>
              <w:jc w:val="right"/>
              <w:rPr>
                <w:lang w:val="en-AU"/>
              </w:rPr>
            </w:pPr>
            <w:r w:rsidRPr="00676CE0">
              <w:rPr>
                <w:lang w:val="en-AU"/>
              </w:rPr>
              <w:t>—</w:t>
            </w:r>
          </w:p>
        </w:tc>
        <w:tc>
          <w:tcPr>
            <w:tcW w:w="100" w:type="pct"/>
          </w:tcPr>
          <w:p w14:paraId="50EAC568" w14:textId="77777777" w:rsidR="00B21A02" w:rsidRPr="00676CE0" w:rsidRDefault="00B21A02" w:rsidP="00704FF1">
            <w:pPr>
              <w:pStyle w:val="IASBTableArial"/>
              <w:rPr>
                <w:lang w:val="en-AU"/>
              </w:rPr>
            </w:pPr>
          </w:p>
        </w:tc>
        <w:tc>
          <w:tcPr>
            <w:tcW w:w="850" w:type="pct"/>
          </w:tcPr>
          <w:p w14:paraId="59A41513" w14:textId="77777777" w:rsidR="00B21A02" w:rsidRPr="00676CE0" w:rsidRDefault="00B21A02" w:rsidP="00704FF1">
            <w:pPr>
              <w:pStyle w:val="IASBTableArial"/>
              <w:jc w:val="right"/>
              <w:rPr>
                <w:lang w:val="en-AU"/>
              </w:rPr>
            </w:pPr>
            <w:r w:rsidRPr="00676CE0">
              <w:rPr>
                <w:lang w:val="en-AU"/>
              </w:rPr>
              <w:t>(435)</w:t>
            </w:r>
          </w:p>
        </w:tc>
        <w:tc>
          <w:tcPr>
            <w:tcW w:w="50" w:type="pct"/>
          </w:tcPr>
          <w:p w14:paraId="06C96222" w14:textId="77777777" w:rsidR="00B21A02" w:rsidRPr="00676CE0" w:rsidRDefault="00B21A02" w:rsidP="00704FF1">
            <w:pPr>
              <w:pStyle w:val="IASBTableArial"/>
              <w:rPr>
                <w:lang w:val="en-AU"/>
              </w:rPr>
            </w:pPr>
          </w:p>
        </w:tc>
        <w:tc>
          <w:tcPr>
            <w:tcW w:w="850" w:type="pct"/>
          </w:tcPr>
          <w:p w14:paraId="76C658DD" w14:textId="77777777" w:rsidR="00B21A02" w:rsidRPr="00676CE0" w:rsidRDefault="00B21A02" w:rsidP="00704FF1">
            <w:pPr>
              <w:pStyle w:val="IASBTableArial"/>
              <w:jc w:val="right"/>
              <w:rPr>
                <w:lang w:val="en-AU"/>
              </w:rPr>
            </w:pPr>
            <w:r w:rsidRPr="00676CE0">
              <w:rPr>
                <w:lang w:val="en-AU"/>
              </w:rPr>
              <w:t>(87)</w:t>
            </w:r>
          </w:p>
        </w:tc>
      </w:tr>
      <w:tr w:rsidR="00B21A02" w:rsidRPr="00676CE0" w14:paraId="03350A87" w14:textId="77777777" w:rsidTr="00704FF1">
        <w:tc>
          <w:tcPr>
            <w:tcW w:w="1400" w:type="pct"/>
            <w:gridSpan w:val="2"/>
          </w:tcPr>
          <w:p w14:paraId="285E7552" w14:textId="77777777" w:rsidR="00B21A02" w:rsidRPr="00676CE0" w:rsidRDefault="00B21A02" w:rsidP="00704FF1">
            <w:pPr>
              <w:pStyle w:val="IASBTableArial"/>
              <w:rPr>
                <w:lang w:val="en-AU"/>
              </w:rPr>
            </w:pPr>
          </w:p>
        </w:tc>
        <w:tc>
          <w:tcPr>
            <w:tcW w:w="850" w:type="pct"/>
          </w:tcPr>
          <w:p w14:paraId="4AC78588" w14:textId="77777777" w:rsidR="00B21A02" w:rsidRPr="00676CE0" w:rsidRDefault="00B21A02" w:rsidP="00704FF1">
            <w:pPr>
              <w:pStyle w:val="IASBTableArial"/>
              <w:jc w:val="right"/>
              <w:rPr>
                <w:lang w:val="en-AU"/>
              </w:rPr>
            </w:pPr>
          </w:p>
        </w:tc>
        <w:tc>
          <w:tcPr>
            <w:tcW w:w="50" w:type="pct"/>
          </w:tcPr>
          <w:p w14:paraId="635A9BD4" w14:textId="77777777" w:rsidR="00B21A02" w:rsidRPr="00676CE0" w:rsidRDefault="00B21A02" w:rsidP="00704FF1">
            <w:pPr>
              <w:pStyle w:val="IASBTableArial"/>
              <w:rPr>
                <w:lang w:val="en-AU"/>
              </w:rPr>
            </w:pPr>
          </w:p>
        </w:tc>
        <w:tc>
          <w:tcPr>
            <w:tcW w:w="850" w:type="pct"/>
          </w:tcPr>
          <w:p w14:paraId="261903A9" w14:textId="77777777" w:rsidR="00B21A02" w:rsidRPr="00676CE0" w:rsidRDefault="00B21A02" w:rsidP="00704FF1">
            <w:pPr>
              <w:pStyle w:val="IASBTableArial"/>
              <w:jc w:val="right"/>
              <w:rPr>
                <w:lang w:val="en-AU"/>
              </w:rPr>
            </w:pPr>
          </w:p>
        </w:tc>
        <w:tc>
          <w:tcPr>
            <w:tcW w:w="100" w:type="pct"/>
          </w:tcPr>
          <w:p w14:paraId="28AE3699" w14:textId="77777777" w:rsidR="00B21A02" w:rsidRPr="00676CE0" w:rsidRDefault="00B21A02" w:rsidP="00704FF1">
            <w:pPr>
              <w:pStyle w:val="IASBTableArial"/>
              <w:rPr>
                <w:lang w:val="en-AU"/>
              </w:rPr>
            </w:pPr>
          </w:p>
        </w:tc>
        <w:tc>
          <w:tcPr>
            <w:tcW w:w="850" w:type="pct"/>
          </w:tcPr>
          <w:p w14:paraId="3E715B02" w14:textId="77777777" w:rsidR="00B21A02" w:rsidRPr="00676CE0" w:rsidRDefault="00B21A02" w:rsidP="00704FF1">
            <w:pPr>
              <w:pStyle w:val="IASBTableArial"/>
              <w:jc w:val="right"/>
              <w:rPr>
                <w:lang w:val="en-AU"/>
              </w:rPr>
            </w:pPr>
          </w:p>
        </w:tc>
        <w:tc>
          <w:tcPr>
            <w:tcW w:w="50" w:type="pct"/>
          </w:tcPr>
          <w:p w14:paraId="1DBD23E3" w14:textId="77777777" w:rsidR="00B21A02" w:rsidRPr="00676CE0" w:rsidRDefault="00B21A02" w:rsidP="00704FF1">
            <w:pPr>
              <w:pStyle w:val="IASBTableArial"/>
              <w:rPr>
                <w:lang w:val="en-AU"/>
              </w:rPr>
            </w:pPr>
          </w:p>
        </w:tc>
        <w:tc>
          <w:tcPr>
            <w:tcW w:w="850" w:type="pct"/>
          </w:tcPr>
          <w:p w14:paraId="7C166BDD" w14:textId="77777777" w:rsidR="00B21A02" w:rsidRPr="00676CE0" w:rsidRDefault="00B21A02" w:rsidP="00704FF1">
            <w:pPr>
              <w:pStyle w:val="IASBTableArial"/>
              <w:jc w:val="right"/>
              <w:rPr>
                <w:lang w:val="en-AU"/>
              </w:rPr>
            </w:pPr>
          </w:p>
        </w:tc>
      </w:tr>
      <w:tr w:rsidR="00B21A02" w:rsidRPr="00676CE0" w14:paraId="2F102876" w14:textId="77777777" w:rsidTr="00704FF1">
        <w:tc>
          <w:tcPr>
            <w:tcW w:w="1400" w:type="pct"/>
            <w:gridSpan w:val="2"/>
          </w:tcPr>
          <w:p w14:paraId="24E19FA8" w14:textId="77777777" w:rsidR="00B21A02" w:rsidRPr="00676CE0" w:rsidRDefault="00B21A02" w:rsidP="00704FF1">
            <w:pPr>
              <w:pStyle w:val="IASBTableArial"/>
              <w:rPr>
                <w:lang w:val="en-AU"/>
              </w:rPr>
            </w:pPr>
            <w:r w:rsidRPr="00676CE0">
              <w:rPr>
                <w:lang w:val="en-AU"/>
              </w:rPr>
              <w:t>Lease liability</w:t>
            </w:r>
          </w:p>
        </w:tc>
        <w:tc>
          <w:tcPr>
            <w:tcW w:w="850" w:type="pct"/>
          </w:tcPr>
          <w:p w14:paraId="7EB6B5DD" w14:textId="77777777" w:rsidR="00B21A02" w:rsidRPr="00676CE0" w:rsidRDefault="00B21A02" w:rsidP="00704FF1">
            <w:pPr>
              <w:pStyle w:val="IASBTableArial"/>
              <w:jc w:val="right"/>
              <w:rPr>
                <w:lang w:val="en-AU"/>
              </w:rPr>
            </w:pPr>
            <w:r w:rsidRPr="00676CE0">
              <w:rPr>
                <w:lang w:val="en-AU"/>
              </w:rPr>
              <w:t>435</w:t>
            </w:r>
          </w:p>
        </w:tc>
        <w:tc>
          <w:tcPr>
            <w:tcW w:w="50" w:type="pct"/>
          </w:tcPr>
          <w:p w14:paraId="426BDB37" w14:textId="77777777" w:rsidR="00B21A02" w:rsidRPr="00676CE0" w:rsidRDefault="00B21A02" w:rsidP="00704FF1">
            <w:pPr>
              <w:pStyle w:val="IASBTableArial"/>
              <w:rPr>
                <w:lang w:val="en-AU"/>
              </w:rPr>
            </w:pPr>
          </w:p>
        </w:tc>
        <w:tc>
          <w:tcPr>
            <w:tcW w:w="850" w:type="pct"/>
          </w:tcPr>
          <w:p w14:paraId="3EC5B79B" w14:textId="77777777" w:rsidR="00B21A02" w:rsidRPr="00676CE0" w:rsidRDefault="00B21A02" w:rsidP="00704FF1">
            <w:pPr>
              <w:pStyle w:val="IASBTableArial"/>
              <w:jc w:val="right"/>
              <w:rPr>
                <w:lang w:val="en-AU"/>
              </w:rPr>
            </w:pPr>
            <w:r w:rsidRPr="00676CE0">
              <w:rPr>
                <w:lang w:val="en-AU"/>
              </w:rPr>
              <w:t>—</w:t>
            </w:r>
          </w:p>
        </w:tc>
        <w:tc>
          <w:tcPr>
            <w:tcW w:w="100" w:type="pct"/>
          </w:tcPr>
          <w:p w14:paraId="42217AFE" w14:textId="77777777" w:rsidR="00B21A02" w:rsidRPr="00676CE0" w:rsidRDefault="00B21A02" w:rsidP="00704FF1">
            <w:pPr>
              <w:pStyle w:val="IASBTableArial"/>
              <w:rPr>
                <w:lang w:val="en-AU"/>
              </w:rPr>
            </w:pPr>
          </w:p>
        </w:tc>
        <w:tc>
          <w:tcPr>
            <w:tcW w:w="850" w:type="pct"/>
          </w:tcPr>
          <w:p w14:paraId="19783945" w14:textId="77777777" w:rsidR="00B21A02" w:rsidRPr="00676CE0" w:rsidRDefault="00B21A02" w:rsidP="00704FF1">
            <w:pPr>
              <w:pStyle w:val="IASBTableArial"/>
              <w:jc w:val="right"/>
              <w:rPr>
                <w:lang w:val="en-AU"/>
              </w:rPr>
            </w:pPr>
            <w:r w:rsidRPr="00676CE0">
              <w:rPr>
                <w:lang w:val="en-AU"/>
              </w:rPr>
              <w:t>435</w:t>
            </w:r>
          </w:p>
        </w:tc>
        <w:tc>
          <w:tcPr>
            <w:tcW w:w="50" w:type="pct"/>
          </w:tcPr>
          <w:p w14:paraId="3439BB1F" w14:textId="77777777" w:rsidR="00B21A02" w:rsidRPr="00676CE0" w:rsidRDefault="00B21A02" w:rsidP="00704FF1">
            <w:pPr>
              <w:pStyle w:val="IASBTableArial"/>
              <w:rPr>
                <w:lang w:val="en-AU"/>
              </w:rPr>
            </w:pPr>
          </w:p>
        </w:tc>
        <w:tc>
          <w:tcPr>
            <w:tcW w:w="850" w:type="pct"/>
          </w:tcPr>
          <w:p w14:paraId="25CC70CD" w14:textId="77777777" w:rsidR="00B21A02" w:rsidRPr="00676CE0" w:rsidRDefault="00B21A02" w:rsidP="00704FF1">
            <w:pPr>
              <w:pStyle w:val="IASBTableArial"/>
              <w:jc w:val="right"/>
              <w:rPr>
                <w:lang w:val="en-AU"/>
              </w:rPr>
            </w:pPr>
            <w:r w:rsidRPr="00676CE0">
              <w:rPr>
                <w:lang w:val="en-AU"/>
              </w:rPr>
              <w:t>87</w:t>
            </w:r>
          </w:p>
        </w:tc>
      </w:tr>
    </w:tbl>
    <w:p w14:paraId="19ED155B" w14:textId="77777777" w:rsidR="00B21A02" w:rsidRPr="00676CE0" w:rsidRDefault="00B21A02" w:rsidP="009725F9">
      <w:pPr>
        <w:pStyle w:val="IASBNormalnpara"/>
        <w:spacing w:before="0"/>
        <w:rPr>
          <w:lang w:val="en-AU"/>
        </w:rPr>
      </w:pPr>
    </w:p>
    <w:p w14:paraId="0D28DDCC" w14:textId="184A70EE" w:rsidR="005A2DC2" w:rsidRPr="00676CE0" w:rsidRDefault="00B21A02" w:rsidP="0078148C">
      <w:pPr>
        <w:pStyle w:val="IASBNormal"/>
        <w:rPr>
          <w:lang w:val="en-AU"/>
        </w:rPr>
      </w:pPr>
      <w:r w:rsidRPr="00676CE0">
        <w:rPr>
          <w:lang w:val="en-AU"/>
        </w:rPr>
        <w:t xml:space="preserve">Applying paragraph 22(b) of </w:t>
      </w:r>
      <w:r w:rsidR="006D4401" w:rsidRPr="00676CE0">
        <w:rPr>
          <w:lang w:val="en-AU"/>
        </w:rPr>
        <w:t>AASB</w:t>
      </w:r>
      <w:r w:rsidRPr="00676CE0">
        <w:rPr>
          <w:lang w:val="en-AU"/>
        </w:rPr>
        <w:t xml:space="preserve"> </w:t>
      </w:r>
      <w:r w:rsidR="006D4401" w:rsidRPr="00676CE0">
        <w:rPr>
          <w:lang w:val="en-AU"/>
        </w:rPr>
        <w:t>1</w:t>
      </w:r>
      <w:r w:rsidRPr="00676CE0">
        <w:rPr>
          <w:lang w:val="en-AU"/>
        </w:rPr>
        <w:t>12, Lessee recognises deferred tax assets and liabilities as illustrated in this example and recognises the resulting deferred tax income or expense in profit or loss.</w:t>
      </w:r>
    </w:p>
    <w:p w14:paraId="09E7DE2F" w14:textId="77777777" w:rsidR="00EF7A74" w:rsidRPr="00676CE0" w:rsidRDefault="00EF7A74" w:rsidP="004237F1">
      <w:pPr>
        <w:pStyle w:val="Heading2"/>
        <w:spacing w:before="400"/>
      </w:pPr>
      <w:r w:rsidRPr="00676CE0">
        <w:t>Commencement of the legislative instrument</w:t>
      </w:r>
    </w:p>
    <w:p w14:paraId="79C84C1F" w14:textId="439B8DD1" w:rsidR="00EF7A74" w:rsidRPr="00676CE0" w:rsidRDefault="00EF7A74" w:rsidP="005A6AC7">
      <w:pPr>
        <w:pStyle w:val="NoNumPlain1"/>
      </w:pPr>
      <w:r w:rsidRPr="00676CE0">
        <w:t xml:space="preserve">For legal purposes, this legislative instrument commences on </w:t>
      </w:r>
      <w:bookmarkStart w:id="17" w:name="CommenceDate"/>
      <w:r w:rsidRPr="00676CE0">
        <w:t>31 December 2022</w:t>
      </w:r>
      <w:bookmarkEnd w:id="17"/>
      <w:r w:rsidRPr="00676CE0">
        <w:t>.</w:t>
      </w:r>
    </w:p>
    <w:sectPr w:rsidR="00EF7A74" w:rsidRPr="00676CE0" w:rsidSect="00D74C6A">
      <w:footerReference w:type="default" r:id="rId15"/>
      <w:headerReference w:type="first" r:id="rId16"/>
      <w:footerReference w:type="first" r:id="rId17"/>
      <w:footnotePr>
        <w:numStart w:val="2"/>
      </w:footnotePr>
      <w:pgSz w:w="11907" w:h="16840" w:code="9"/>
      <w:pgMar w:top="1418" w:right="1418" w:bottom="1418" w:left="1418" w:header="709" w:footer="709" w:gutter="0"/>
      <w:paperSrc w:first="7" w:other="7"/>
      <w:cols w:space="720"/>
      <w:docGrid w:linePitch="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48A5F9" w14:textId="77777777" w:rsidR="00800291" w:rsidRDefault="00800291">
      <w:r>
        <w:separator/>
      </w:r>
    </w:p>
  </w:endnote>
  <w:endnote w:type="continuationSeparator" w:id="0">
    <w:p w14:paraId="0F515C57" w14:textId="77777777" w:rsidR="00800291" w:rsidRDefault="008002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B25BE1" w14:textId="198D5F85" w:rsidR="007B1EE0" w:rsidRPr="002A765F" w:rsidRDefault="00A96702" w:rsidP="002A765F">
    <w:pPr>
      <w:pStyle w:val="Footer"/>
      <w:rPr>
        <w:b/>
      </w:rPr>
    </w:pPr>
    <w:r>
      <w:rPr>
        <w:b/>
      </w:rPr>
      <w:t xml:space="preserve">AASB </w:t>
    </w:r>
    <w:r>
      <w:rPr>
        <w:b/>
      </w:rPr>
      <w:fldChar w:fldCharType="begin" w:fldLock="1"/>
    </w:r>
    <w:r>
      <w:rPr>
        <w:b/>
      </w:rPr>
      <w:instrText xml:space="preserve"> REF DocNo  \* charformat </w:instrText>
    </w:r>
    <w:r>
      <w:rPr>
        <w:b/>
      </w:rPr>
      <w:fldChar w:fldCharType="separate"/>
    </w:r>
    <w:r w:rsidR="007A4E8C" w:rsidRPr="007A4E8C">
      <w:rPr>
        <w:b/>
      </w:rPr>
      <w:t>2021-5</w:t>
    </w:r>
    <w:r>
      <w:rPr>
        <w:b/>
      </w:rPr>
      <w:fldChar w:fldCharType="end"/>
    </w:r>
    <w:r>
      <w:rPr>
        <w:b/>
      </w:rPr>
      <w:tab/>
    </w:r>
    <w:r>
      <w:fldChar w:fldCharType="begin"/>
    </w:r>
    <w:r>
      <w:instrText>PAGE</w:instrText>
    </w:r>
    <w:r>
      <w:fldChar w:fldCharType="separate"/>
    </w:r>
    <w:r w:rsidR="001C553E">
      <w:rPr>
        <w:noProof/>
      </w:rPr>
      <w:t>2</w:t>
    </w:r>
    <w:r>
      <w:fldChar w:fldCharType="end"/>
    </w:r>
    <w:r>
      <w:tab/>
    </w:r>
    <w:r>
      <w:rPr>
        <w:b/>
        <w:bCs/>
      </w:rPr>
      <w:t>COPYRIGHT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6D8EC7" w14:textId="38E5D899" w:rsidR="00A96702" w:rsidRDefault="00A96702">
    <w:pPr>
      <w:pStyle w:val="Footer"/>
      <w:rPr>
        <w:b/>
      </w:rPr>
    </w:pPr>
    <w:r>
      <w:rPr>
        <w:b/>
      </w:rPr>
      <w:t xml:space="preserve">AASB </w:t>
    </w:r>
    <w:r>
      <w:rPr>
        <w:b/>
      </w:rPr>
      <w:fldChar w:fldCharType="begin" w:fldLock="1"/>
    </w:r>
    <w:r>
      <w:rPr>
        <w:b/>
      </w:rPr>
      <w:instrText xml:space="preserve"> REF DocNo  \* charformat </w:instrText>
    </w:r>
    <w:r>
      <w:rPr>
        <w:b/>
      </w:rPr>
      <w:fldChar w:fldCharType="separate"/>
    </w:r>
    <w:r w:rsidR="007A4E8C" w:rsidRPr="007A4E8C">
      <w:rPr>
        <w:b/>
      </w:rPr>
      <w:t>2021-5</w:t>
    </w:r>
    <w:r>
      <w:rPr>
        <w:b/>
      </w:rPr>
      <w:fldChar w:fldCharType="end"/>
    </w:r>
    <w:r>
      <w:rPr>
        <w:b/>
      </w:rPr>
      <w:tab/>
    </w:r>
    <w:r>
      <w:fldChar w:fldCharType="begin"/>
    </w:r>
    <w:r>
      <w:instrText>PAGE</w:instrText>
    </w:r>
    <w:r>
      <w:fldChar w:fldCharType="separate"/>
    </w:r>
    <w:r w:rsidR="001C553E">
      <w:rPr>
        <w:noProof/>
      </w:rPr>
      <w:t>3</w:t>
    </w:r>
    <w:r>
      <w:fldChar w:fldCharType="end"/>
    </w:r>
    <w:r>
      <w:tab/>
    </w:r>
    <w:r>
      <w:rPr>
        <w:b/>
        <w:bCs/>
      </w:rPr>
      <w:t>CONTENTS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57792E" w14:textId="6D3C68D4" w:rsidR="00A96702" w:rsidRDefault="00A96702">
    <w:pPr>
      <w:pStyle w:val="Footer"/>
      <w:rPr>
        <w:b/>
      </w:rPr>
    </w:pPr>
    <w:r>
      <w:rPr>
        <w:b/>
      </w:rPr>
      <w:t xml:space="preserve">AASB </w:t>
    </w:r>
    <w:r>
      <w:rPr>
        <w:b/>
      </w:rPr>
      <w:fldChar w:fldCharType="begin" w:fldLock="1"/>
    </w:r>
    <w:r>
      <w:rPr>
        <w:b/>
      </w:rPr>
      <w:instrText xml:space="preserve"> REF DocNo  \* charformat </w:instrText>
    </w:r>
    <w:r>
      <w:rPr>
        <w:b/>
      </w:rPr>
      <w:fldChar w:fldCharType="separate"/>
    </w:r>
    <w:r w:rsidR="007A4E8C" w:rsidRPr="007A4E8C">
      <w:rPr>
        <w:b/>
      </w:rPr>
      <w:t>2021-5</w:t>
    </w:r>
    <w:r>
      <w:rPr>
        <w:b/>
      </w:rPr>
      <w:fldChar w:fldCharType="end"/>
    </w:r>
    <w:r>
      <w:rPr>
        <w:b/>
      </w:rPr>
      <w:tab/>
    </w:r>
    <w:r>
      <w:fldChar w:fldCharType="begin"/>
    </w:r>
    <w:r>
      <w:instrText>PAGE</w:instrText>
    </w:r>
    <w:r>
      <w:fldChar w:fldCharType="separate"/>
    </w:r>
    <w:r w:rsidR="001C553E">
      <w:rPr>
        <w:noProof/>
      </w:rPr>
      <w:t>4</w:t>
    </w:r>
    <w:r>
      <w:fldChar w:fldCharType="end"/>
    </w:r>
    <w:r>
      <w:tab/>
    </w:r>
    <w:r>
      <w:rPr>
        <w:b/>
        <w:bCs/>
      </w:rPr>
      <w:t>PREFACE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47BBEF" w14:textId="4D37B39C" w:rsidR="00A96702" w:rsidRDefault="00A96702">
    <w:pPr>
      <w:pStyle w:val="Footer"/>
      <w:rPr>
        <w:b/>
      </w:rPr>
    </w:pPr>
    <w:r>
      <w:rPr>
        <w:b/>
      </w:rPr>
      <w:t xml:space="preserve">AASB </w:t>
    </w:r>
    <w:r>
      <w:rPr>
        <w:b/>
      </w:rPr>
      <w:fldChar w:fldCharType="begin" w:fldLock="1"/>
    </w:r>
    <w:r>
      <w:rPr>
        <w:b/>
      </w:rPr>
      <w:instrText xml:space="preserve"> REF DocNo  \* charformat </w:instrText>
    </w:r>
    <w:r>
      <w:rPr>
        <w:b/>
      </w:rPr>
      <w:fldChar w:fldCharType="separate"/>
    </w:r>
    <w:r w:rsidR="007A4E8C" w:rsidRPr="007A4E8C">
      <w:rPr>
        <w:b/>
      </w:rPr>
      <w:t>2021-5</w:t>
    </w:r>
    <w:r>
      <w:rPr>
        <w:b/>
      </w:rPr>
      <w:fldChar w:fldCharType="end"/>
    </w:r>
    <w:r>
      <w:rPr>
        <w:b/>
      </w:rPr>
      <w:tab/>
    </w:r>
    <w:r>
      <w:fldChar w:fldCharType="begin"/>
    </w:r>
    <w:r>
      <w:instrText>PAGE</w:instrText>
    </w:r>
    <w:r>
      <w:fldChar w:fldCharType="separate"/>
    </w:r>
    <w:r w:rsidR="001C553E">
      <w:rPr>
        <w:noProof/>
      </w:rPr>
      <w:t>5</w:t>
    </w:r>
    <w:r>
      <w:fldChar w:fldCharType="end"/>
    </w:r>
    <w:r>
      <w:tab/>
    </w:r>
    <w:r>
      <w:rPr>
        <w:b/>
        <w:bCs/>
      </w:rPr>
      <w:t>STANDARD</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4897D4" w14:textId="77777777" w:rsidR="00A96702" w:rsidRDefault="00A967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676A28" w14:textId="77777777" w:rsidR="00800291" w:rsidRDefault="00800291">
      <w:r>
        <w:separator/>
      </w:r>
    </w:p>
  </w:footnote>
  <w:footnote w:type="continuationSeparator" w:id="0">
    <w:p w14:paraId="3C7EC780" w14:textId="77777777" w:rsidR="00800291" w:rsidRDefault="00800291">
      <w:r>
        <w:continuationSeparator/>
      </w:r>
    </w:p>
  </w:footnote>
  <w:footnote w:id="1">
    <w:p w14:paraId="04B148A4" w14:textId="71532736" w:rsidR="00F56940" w:rsidRDefault="00F56940" w:rsidP="004934C2">
      <w:pPr>
        <w:pStyle w:val="FootnoteText"/>
        <w:ind w:left="284" w:hanging="284"/>
      </w:pPr>
      <w:r w:rsidRPr="005204AF">
        <w:rPr>
          <w:rStyle w:val="FootnoteReference"/>
          <w:vertAlign w:val="baseline"/>
        </w:rPr>
        <w:footnoteRef/>
      </w:r>
      <w:r w:rsidRPr="005204AF">
        <w:t xml:space="preserve"> </w:t>
      </w:r>
      <w:r w:rsidR="005204AF">
        <w:tab/>
      </w:r>
      <w:r w:rsidR="00AF295E">
        <w:t>Depending on the applicable tax law, an entity might alternatively conclude that the tax deductions it will receive for lease payments relate to the lease asset, in which case temporary differences would not arise on initial recognition of the lease liability and the related component of the lease asset’s cost. Accordingly, the entity would not recognise deferred tax on initial recognition but would do so if and when temporary differences arise after initial recognition.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1D58AB" w14:textId="77777777" w:rsidR="00A96702" w:rsidRDefault="00A967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A67DE"/>
    <w:multiLevelType w:val="multilevel"/>
    <w:tmpl w:val="8DC64E64"/>
    <w:styleLink w:val="AASBSubNumbersBold"/>
    <w:lvl w:ilvl="0">
      <w:start w:val="1"/>
      <w:numFmt w:val="none"/>
      <w:pStyle w:val="SubNumBold1"/>
      <w:suff w:val="nothing"/>
      <w:lvlText w:val="%1"/>
      <w:lvlJc w:val="left"/>
      <w:pPr>
        <w:ind w:left="1021" w:hanging="511"/>
      </w:pPr>
      <w:rPr>
        <w:rFonts w:hint="default"/>
      </w:rPr>
    </w:lvl>
    <w:lvl w:ilvl="1">
      <w:start w:val="1"/>
      <w:numFmt w:val="lowerLetter"/>
      <w:pStyle w:val="SubNumBold2"/>
      <w:lvlText w:val="(%2)"/>
      <w:lvlJc w:val="left"/>
      <w:pPr>
        <w:tabs>
          <w:tab w:val="num" w:pos="1020"/>
        </w:tabs>
        <w:ind w:left="1531" w:hanging="511"/>
      </w:pPr>
      <w:rPr>
        <w:rFonts w:hint="default"/>
      </w:rPr>
    </w:lvl>
    <w:lvl w:ilvl="2">
      <w:start w:val="1"/>
      <w:numFmt w:val="lowerRoman"/>
      <w:pStyle w:val="SubNumBold3"/>
      <w:lvlText w:val="(%3)"/>
      <w:lvlJc w:val="left"/>
      <w:pPr>
        <w:tabs>
          <w:tab w:val="num" w:pos="1530"/>
        </w:tabs>
        <w:ind w:left="2041" w:hanging="511"/>
      </w:pPr>
      <w:rPr>
        <w:rFonts w:hint="default"/>
      </w:rPr>
    </w:lvl>
    <w:lvl w:ilvl="3">
      <w:start w:val="1"/>
      <w:numFmt w:val="upperLetter"/>
      <w:pStyle w:val="SubNumBold4"/>
      <w:lvlText w:val="(%4)"/>
      <w:lvlJc w:val="left"/>
      <w:pPr>
        <w:tabs>
          <w:tab w:val="num" w:pos="2040"/>
        </w:tabs>
        <w:ind w:left="2551" w:hanging="511"/>
      </w:pPr>
      <w:rPr>
        <w:rFonts w:hint="default"/>
      </w:rPr>
    </w:lvl>
    <w:lvl w:ilvl="4">
      <w:start w:val="1"/>
      <w:numFmt w:val="lowerLetter"/>
      <w:lvlText w:val="(%5)"/>
      <w:lvlJc w:val="left"/>
      <w:pPr>
        <w:tabs>
          <w:tab w:val="num" w:pos="2550"/>
        </w:tabs>
        <w:ind w:left="3061" w:hanging="511"/>
      </w:pPr>
      <w:rPr>
        <w:rFonts w:hint="default"/>
      </w:rPr>
    </w:lvl>
    <w:lvl w:ilvl="5">
      <w:start w:val="1"/>
      <w:numFmt w:val="lowerRoman"/>
      <w:lvlText w:val="(%6)"/>
      <w:lvlJc w:val="left"/>
      <w:pPr>
        <w:tabs>
          <w:tab w:val="num" w:pos="3060"/>
        </w:tabs>
        <w:ind w:left="3571" w:hanging="511"/>
      </w:pPr>
      <w:rPr>
        <w:rFonts w:hint="default"/>
      </w:rPr>
    </w:lvl>
    <w:lvl w:ilvl="6">
      <w:start w:val="1"/>
      <w:numFmt w:val="decimal"/>
      <w:lvlText w:val="%7."/>
      <w:lvlJc w:val="left"/>
      <w:pPr>
        <w:tabs>
          <w:tab w:val="num" w:pos="3570"/>
        </w:tabs>
        <w:ind w:left="4081" w:hanging="511"/>
      </w:pPr>
      <w:rPr>
        <w:rFonts w:hint="default"/>
      </w:rPr>
    </w:lvl>
    <w:lvl w:ilvl="7">
      <w:start w:val="1"/>
      <w:numFmt w:val="lowerLetter"/>
      <w:lvlText w:val="%8."/>
      <w:lvlJc w:val="left"/>
      <w:pPr>
        <w:tabs>
          <w:tab w:val="num" w:pos="4080"/>
        </w:tabs>
        <w:ind w:left="4591" w:hanging="511"/>
      </w:pPr>
      <w:rPr>
        <w:rFonts w:hint="default"/>
      </w:rPr>
    </w:lvl>
    <w:lvl w:ilvl="8">
      <w:start w:val="1"/>
      <w:numFmt w:val="lowerRoman"/>
      <w:lvlText w:val="%9."/>
      <w:lvlJc w:val="left"/>
      <w:pPr>
        <w:tabs>
          <w:tab w:val="num" w:pos="4590"/>
        </w:tabs>
        <w:ind w:left="5101" w:hanging="511"/>
      </w:pPr>
      <w:rPr>
        <w:rFonts w:hint="default"/>
      </w:rPr>
    </w:lvl>
  </w:abstractNum>
  <w:abstractNum w:abstractNumId="1" w15:restartNumberingAfterBreak="0">
    <w:nsid w:val="03F92581"/>
    <w:multiLevelType w:val="multilevel"/>
    <w:tmpl w:val="AD5ABFF2"/>
    <w:numStyleLink w:val="AASBSubNumbers"/>
  </w:abstractNum>
  <w:abstractNum w:abstractNumId="2" w15:restartNumberingAfterBreak="0">
    <w:nsid w:val="13E035C2"/>
    <w:multiLevelType w:val="multilevel"/>
    <w:tmpl w:val="95A2D1B2"/>
    <w:lvl w:ilvl="0">
      <w:start w:val="1"/>
      <w:numFmt w:val="decimal"/>
      <w:pStyle w:val="NumBC1"/>
      <w:lvlText w:val="BC%1"/>
      <w:lvlJc w:val="left"/>
      <w:pPr>
        <w:tabs>
          <w:tab w:val="num" w:pos="624"/>
        </w:tabs>
        <w:ind w:left="624" w:hanging="624"/>
      </w:pPr>
      <w:rPr>
        <w:rFonts w:hint="default"/>
        <w:b w:val="0"/>
        <w:bCs w:val="0"/>
        <w:u w:val="none"/>
      </w:rPr>
    </w:lvl>
    <w:lvl w:ilvl="1">
      <w:start w:val="1"/>
      <w:numFmt w:val="lowerLetter"/>
      <w:pStyle w:val="NumBC2"/>
      <w:lvlText w:val="(%2)"/>
      <w:lvlJc w:val="left"/>
      <w:pPr>
        <w:tabs>
          <w:tab w:val="num" w:pos="1247"/>
        </w:tabs>
        <w:ind w:left="1247" w:hanging="623"/>
      </w:pPr>
      <w:rPr>
        <w:rFonts w:hint="default"/>
        <w:b w:val="0"/>
        <w:bCs w:val="0"/>
        <w:u w:val="none"/>
      </w:rPr>
    </w:lvl>
    <w:lvl w:ilvl="2">
      <w:start w:val="1"/>
      <w:numFmt w:val="lowerRoman"/>
      <w:pStyle w:val="NumBC3"/>
      <w:lvlText w:val="(%3)"/>
      <w:lvlJc w:val="left"/>
      <w:pPr>
        <w:tabs>
          <w:tab w:val="num" w:pos="1871"/>
        </w:tabs>
        <w:ind w:left="1871" w:hanging="624"/>
      </w:pPr>
      <w:rPr>
        <w:rFonts w:hint="default"/>
        <w:b w:val="0"/>
        <w:bCs w:val="0"/>
        <w:u w:val="none"/>
      </w:rPr>
    </w:lvl>
    <w:lvl w:ilvl="3">
      <w:start w:val="1"/>
      <w:numFmt w:val="upperLetter"/>
      <w:pStyle w:val="NumBC4"/>
      <w:lvlText w:val="(%4)"/>
      <w:lvlJc w:val="left"/>
      <w:pPr>
        <w:tabs>
          <w:tab w:val="num" w:pos="2495"/>
        </w:tabs>
        <w:ind w:left="2495" w:hanging="624"/>
      </w:pPr>
      <w:rPr>
        <w:rFonts w:hint="default"/>
        <w:b w:val="0"/>
        <w:bCs w:val="0"/>
        <w:u w:val="none"/>
      </w:rPr>
    </w:lvl>
    <w:lvl w:ilvl="4">
      <w:start w:val="1"/>
      <w:numFmt w:val="upperRoman"/>
      <w:lvlText w:val="%5"/>
      <w:lvlJc w:val="left"/>
      <w:pPr>
        <w:tabs>
          <w:tab w:val="num" w:pos="3543"/>
        </w:tabs>
        <w:ind w:left="3543" w:hanging="708"/>
      </w:pPr>
      <w:rPr>
        <w:rFonts w:hint="default"/>
        <w:b w:val="0"/>
        <w:bCs w:val="0"/>
        <w:u w:val="none"/>
      </w:rPr>
    </w:lvl>
    <w:lvl w:ilvl="5">
      <w:start w:val="1"/>
      <w:numFmt w:val="decimal"/>
      <w:lvlText w:val="%6"/>
      <w:lvlJc w:val="left"/>
      <w:pPr>
        <w:tabs>
          <w:tab w:val="num" w:pos="4253"/>
        </w:tabs>
        <w:ind w:left="4253" w:hanging="709"/>
      </w:pPr>
      <w:rPr>
        <w:rFonts w:hint="default"/>
      </w:rPr>
    </w:lvl>
    <w:lvl w:ilvl="6">
      <w:start w:val="1"/>
      <w:numFmt w:val="lowerLetter"/>
      <w:lvlText w:val="%7)"/>
      <w:lvlJc w:val="left"/>
      <w:pPr>
        <w:tabs>
          <w:tab w:val="num" w:pos="4961"/>
        </w:tabs>
        <w:ind w:left="4961" w:hanging="708"/>
      </w:pPr>
      <w:rPr>
        <w:rFonts w:hint="default"/>
      </w:rPr>
    </w:lvl>
    <w:lvl w:ilvl="7">
      <w:start w:val="1"/>
      <w:numFmt w:val="lowerRoman"/>
      <w:lvlText w:val="%8)"/>
      <w:lvlJc w:val="left"/>
      <w:pPr>
        <w:tabs>
          <w:tab w:val="num" w:pos="5670"/>
        </w:tabs>
        <w:ind w:left="5670" w:hanging="709"/>
      </w:pPr>
      <w:rPr>
        <w:rFonts w:hint="default"/>
      </w:rPr>
    </w:lvl>
    <w:lvl w:ilvl="8">
      <w:start w:val="1"/>
      <w:numFmt w:val="lowerRoman"/>
      <w:lvlText w:val="%9)"/>
      <w:lvlJc w:val="left"/>
      <w:pPr>
        <w:tabs>
          <w:tab w:val="num" w:pos="6379"/>
        </w:tabs>
        <w:ind w:left="6379" w:hanging="709"/>
      </w:pPr>
      <w:rPr>
        <w:rFonts w:hint="default"/>
      </w:rPr>
    </w:lvl>
  </w:abstractNum>
  <w:abstractNum w:abstractNumId="3" w15:restartNumberingAfterBreak="0">
    <w:nsid w:val="22217511"/>
    <w:multiLevelType w:val="multilevel"/>
    <w:tmpl w:val="017AF28C"/>
    <w:styleLink w:val="Bullets"/>
    <w:lvl w:ilvl="0">
      <w:start w:val="1"/>
      <w:numFmt w:val="bullet"/>
      <w:lvlText w:val=""/>
      <w:lvlJc w:val="left"/>
      <w:pPr>
        <w:ind w:left="504" w:hanging="504"/>
      </w:pPr>
      <w:rPr>
        <w:rFonts w:ascii="Symbol" w:hAnsi="Symbol" w:hint="default"/>
        <w:color w:val="auto"/>
      </w:rPr>
    </w:lvl>
    <w:lvl w:ilvl="1">
      <w:start w:val="1"/>
      <w:numFmt w:val="bullet"/>
      <w:lvlText w:val=""/>
      <w:lvlJc w:val="left"/>
      <w:pPr>
        <w:ind w:left="1008" w:hanging="504"/>
      </w:pPr>
      <w:rPr>
        <w:rFonts w:ascii="Symbol" w:hAnsi="Symbol" w:hint="default"/>
        <w:color w:val="auto"/>
      </w:rPr>
    </w:lvl>
    <w:lvl w:ilvl="2">
      <w:start w:val="1"/>
      <w:numFmt w:val="bullet"/>
      <w:lvlText w:val=""/>
      <w:lvlJc w:val="left"/>
      <w:pPr>
        <w:ind w:left="1512" w:hanging="504"/>
      </w:pPr>
      <w:rPr>
        <w:rFonts w:ascii="Symbol" w:hAnsi="Symbol" w:hint="default"/>
        <w:color w:val="auto"/>
      </w:rPr>
    </w:lvl>
    <w:lvl w:ilvl="3">
      <w:start w:val="1"/>
      <w:numFmt w:val="bullet"/>
      <w:lvlText w:val=""/>
      <w:lvlJc w:val="left"/>
      <w:pPr>
        <w:ind w:left="2016" w:hanging="504"/>
      </w:pPr>
      <w:rPr>
        <w:rFonts w:ascii="Symbol" w:hAnsi="Symbol" w:hint="default"/>
        <w:color w:val="auto"/>
      </w:rPr>
    </w:lvl>
    <w:lvl w:ilvl="4">
      <w:start w:val="1"/>
      <w:numFmt w:val="none"/>
      <w:lvlText w:val=""/>
      <w:lvlJc w:val="left"/>
      <w:pPr>
        <w:ind w:left="2520" w:hanging="504"/>
      </w:pPr>
      <w:rPr>
        <w:rFonts w:hint="default"/>
      </w:rPr>
    </w:lvl>
    <w:lvl w:ilvl="5">
      <w:start w:val="1"/>
      <w:numFmt w:val="none"/>
      <w:lvlText w:val=""/>
      <w:lvlJc w:val="left"/>
      <w:pPr>
        <w:ind w:left="3024" w:hanging="504"/>
      </w:pPr>
      <w:rPr>
        <w:rFonts w:hint="default"/>
      </w:rPr>
    </w:lvl>
    <w:lvl w:ilvl="6">
      <w:start w:val="1"/>
      <w:numFmt w:val="none"/>
      <w:lvlText w:val=""/>
      <w:lvlJc w:val="left"/>
      <w:pPr>
        <w:ind w:left="3528" w:hanging="504"/>
      </w:pPr>
      <w:rPr>
        <w:rFonts w:hint="default"/>
      </w:rPr>
    </w:lvl>
    <w:lvl w:ilvl="7">
      <w:start w:val="1"/>
      <w:numFmt w:val="none"/>
      <w:lvlText w:val=""/>
      <w:lvlJc w:val="left"/>
      <w:pPr>
        <w:ind w:left="4032" w:hanging="504"/>
      </w:pPr>
      <w:rPr>
        <w:rFonts w:hint="default"/>
      </w:rPr>
    </w:lvl>
    <w:lvl w:ilvl="8">
      <w:start w:val="1"/>
      <w:numFmt w:val="none"/>
      <w:lvlText w:val=""/>
      <w:lvlJc w:val="left"/>
      <w:pPr>
        <w:ind w:left="4536" w:hanging="504"/>
      </w:pPr>
      <w:rPr>
        <w:rFonts w:hint="default"/>
      </w:rPr>
    </w:lvl>
  </w:abstractNum>
  <w:abstractNum w:abstractNumId="4" w15:restartNumberingAfterBreak="0">
    <w:nsid w:val="2576465B"/>
    <w:multiLevelType w:val="multilevel"/>
    <w:tmpl w:val="D9F888A8"/>
    <w:lvl w:ilvl="0">
      <w:start w:val="1"/>
      <w:numFmt w:val="lowerLetter"/>
      <w:pStyle w:val="NumPlainA"/>
      <w:lvlText w:val="(%1)"/>
      <w:lvlJc w:val="left"/>
      <w:pPr>
        <w:tabs>
          <w:tab w:val="num" w:pos="510"/>
        </w:tabs>
        <w:ind w:left="510" w:hanging="510"/>
      </w:pPr>
      <w:rPr>
        <w:rFonts w:hint="default"/>
      </w:rPr>
    </w:lvl>
    <w:lvl w:ilvl="1">
      <w:start w:val="1"/>
      <w:numFmt w:val="lowerRoman"/>
      <w:pStyle w:val="NumPlainA2"/>
      <w:lvlText w:val="(%2)"/>
      <w:lvlJc w:val="left"/>
      <w:pPr>
        <w:tabs>
          <w:tab w:val="num" w:pos="1021"/>
        </w:tabs>
        <w:ind w:left="1021" w:hanging="511"/>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 w15:restartNumberingAfterBreak="0">
    <w:nsid w:val="2A7A35E2"/>
    <w:multiLevelType w:val="multilevel"/>
    <w:tmpl w:val="AD5ABFF2"/>
    <w:styleLink w:val="AASBSubNumbers"/>
    <w:lvl w:ilvl="0">
      <w:start w:val="1"/>
      <w:numFmt w:val="none"/>
      <w:pStyle w:val="SubNumPlain1"/>
      <w:suff w:val="nothing"/>
      <w:lvlText w:val="%1"/>
      <w:lvlJc w:val="left"/>
      <w:pPr>
        <w:ind w:left="1021" w:hanging="511"/>
      </w:pPr>
      <w:rPr>
        <w:rFonts w:hint="default"/>
      </w:rPr>
    </w:lvl>
    <w:lvl w:ilvl="1">
      <w:start w:val="1"/>
      <w:numFmt w:val="lowerLetter"/>
      <w:pStyle w:val="SubNumPlain2"/>
      <w:lvlText w:val="(%2)"/>
      <w:lvlJc w:val="left"/>
      <w:pPr>
        <w:ind w:left="1531" w:hanging="511"/>
      </w:pPr>
      <w:rPr>
        <w:rFonts w:hint="default"/>
      </w:rPr>
    </w:lvl>
    <w:lvl w:ilvl="2">
      <w:start w:val="1"/>
      <w:numFmt w:val="lowerRoman"/>
      <w:pStyle w:val="SubNumPlain3"/>
      <w:lvlText w:val="(%3)"/>
      <w:lvlJc w:val="left"/>
      <w:pPr>
        <w:ind w:left="2041" w:hanging="511"/>
      </w:pPr>
      <w:rPr>
        <w:rFonts w:hint="default"/>
      </w:rPr>
    </w:lvl>
    <w:lvl w:ilvl="3">
      <w:start w:val="1"/>
      <w:numFmt w:val="upperLetter"/>
      <w:pStyle w:val="SubNumPlain4"/>
      <w:lvlText w:val="(%4)"/>
      <w:lvlJc w:val="left"/>
      <w:pPr>
        <w:ind w:left="2551" w:hanging="511"/>
      </w:pPr>
      <w:rPr>
        <w:rFonts w:hint="default"/>
      </w:rPr>
    </w:lvl>
    <w:lvl w:ilvl="4">
      <w:start w:val="1"/>
      <w:numFmt w:val="lowerLetter"/>
      <w:lvlText w:val="(%5)"/>
      <w:lvlJc w:val="left"/>
      <w:pPr>
        <w:ind w:left="3061" w:hanging="511"/>
      </w:pPr>
      <w:rPr>
        <w:rFonts w:hint="default"/>
      </w:rPr>
    </w:lvl>
    <w:lvl w:ilvl="5">
      <w:start w:val="1"/>
      <w:numFmt w:val="lowerRoman"/>
      <w:lvlText w:val="(%6)"/>
      <w:lvlJc w:val="left"/>
      <w:pPr>
        <w:ind w:left="3571" w:hanging="511"/>
      </w:pPr>
      <w:rPr>
        <w:rFonts w:hint="default"/>
      </w:rPr>
    </w:lvl>
    <w:lvl w:ilvl="6">
      <w:start w:val="1"/>
      <w:numFmt w:val="decimal"/>
      <w:lvlText w:val="%7."/>
      <w:lvlJc w:val="left"/>
      <w:pPr>
        <w:ind w:left="4081" w:hanging="511"/>
      </w:pPr>
      <w:rPr>
        <w:rFonts w:hint="default"/>
      </w:rPr>
    </w:lvl>
    <w:lvl w:ilvl="7">
      <w:start w:val="1"/>
      <w:numFmt w:val="lowerLetter"/>
      <w:lvlText w:val="%8."/>
      <w:lvlJc w:val="left"/>
      <w:pPr>
        <w:ind w:left="4591" w:hanging="511"/>
      </w:pPr>
      <w:rPr>
        <w:rFonts w:hint="default"/>
      </w:rPr>
    </w:lvl>
    <w:lvl w:ilvl="8">
      <w:start w:val="1"/>
      <w:numFmt w:val="lowerRoman"/>
      <w:lvlText w:val="%9."/>
      <w:lvlJc w:val="left"/>
      <w:pPr>
        <w:ind w:left="5101" w:hanging="511"/>
      </w:pPr>
      <w:rPr>
        <w:rFonts w:hint="default"/>
      </w:rPr>
    </w:lvl>
  </w:abstractNum>
  <w:abstractNum w:abstractNumId="6" w15:restartNumberingAfterBreak="0">
    <w:nsid w:val="55A5555F"/>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61542243"/>
    <w:multiLevelType w:val="multilevel"/>
    <w:tmpl w:val="BDF015A6"/>
    <w:lvl w:ilvl="0">
      <w:start w:val="1"/>
      <w:numFmt w:val="decimal"/>
      <w:pStyle w:val="NumPlain1"/>
      <w:lvlText w:val="%1"/>
      <w:lvlJc w:val="left"/>
      <w:pPr>
        <w:tabs>
          <w:tab w:val="num" w:pos="510"/>
        </w:tabs>
        <w:ind w:left="510" w:hanging="510"/>
      </w:pPr>
      <w:rPr>
        <w:rFonts w:hint="default"/>
      </w:rPr>
    </w:lvl>
    <w:lvl w:ilvl="1">
      <w:start w:val="1"/>
      <w:numFmt w:val="lowerLetter"/>
      <w:pStyle w:val="NumPlain2"/>
      <w:lvlText w:val="(%2)"/>
      <w:lvlJc w:val="left"/>
      <w:pPr>
        <w:tabs>
          <w:tab w:val="num" w:pos="1021"/>
        </w:tabs>
        <w:ind w:left="1021" w:hanging="511"/>
      </w:pPr>
      <w:rPr>
        <w:rFonts w:hint="default"/>
      </w:rPr>
    </w:lvl>
    <w:lvl w:ilvl="2">
      <w:start w:val="1"/>
      <w:numFmt w:val="lowerRoman"/>
      <w:pStyle w:val="NumPlain3"/>
      <w:lvlText w:val="(%3)"/>
      <w:lvlJc w:val="left"/>
      <w:pPr>
        <w:tabs>
          <w:tab w:val="num" w:pos="1531"/>
        </w:tabs>
        <w:ind w:left="1531" w:hanging="510"/>
      </w:pPr>
      <w:rPr>
        <w:rFonts w:hint="default"/>
      </w:rPr>
    </w:lvl>
    <w:lvl w:ilvl="3">
      <w:start w:val="1"/>
      <w:numFmt w:val="upperLetter"/>
      <w:pStyle w:val="NumPlain4"/>
      <w:lvlText w:val="(%4)"/>
      <w:lvlJc w:val="left"/>
      <w:pPr>
        <w:tabs>
          <w:tab w:val="num" w:pos="2041"/>
        </w:tabs>
        <w:ind w:left="2041" w:hanging="510"/>
      </w:pPr>
      <w:rPr>
        <w:rFonts w:hint="default"/>
      </w:rPr>
    </w:lvl>
    <w:lvl w:ilvl="4">
      <w:start w:val="1"/>
      <w:numFmt w:val="lowerLetter"/>
      <w:lvlText w:val="(%5)"/>
      <w:lvlJc w:val="left"/>
      <w:pPr>
        <w:tabs>
          <w:tab w:val="num" w:pos="2651"/>
        </w:tabs>
        <w:ind w:left="2651" w:hanging="360"/>
      </w:pPr>
      <w:rPr>
        <w:rFonts w:hint="default"/>
      </w:rPr>
    </w:lvl>
    <w:lvl w:ilvl="5">
      <w:start w:val="1"/>
      <w:numFmt w:val="lowerRoman"/>
      <w:lvlText w:val="(%6)"/>
      <w:lvlJc w:val="left"/>
      <w:pPr>
        <w:tabs>
          <w:tab w:val="num" w:pos="3011"/>
        </w:tabs>
        <w:ind w:left="3011" w:hanging="360"/>
      </w:pPr>
      <w:rPr>
        <w:rFonts w:hint="default"/>
      </w:rPr>
    </w:lvl>
    <w:lvl w:ilvl="6">
      <w:start w:val="1"/>
      <w:numFmt w:val="decimal"/>
      <w:lvlText w:val="%7."/>
      <w:lvlJc w:val="left"/>
      <w:pPr>
        <w:tabs>
          <w:tab w:val="num" w:pos="3371"/>
        </w:tabs>
        <w:ind w:left="3371" w:hanging="360"/>
      </w:pPr>
      <w:rPr>
        <w:rFonts w:hint="default"/>
      </w:rPr>
    </w:lvl>
    <w:lvl w:ilvl="7">
      <w:start w:val="1"/>
      <w:numFmt w:val="lowerLetter"/>
      <w:lvlText w:val="%8."/>
      <w:lvlJc w:val="left"/>
      <w:pPr>
        <w:tabs>
          <w:tab w:val="num" w:pos="3731"/>
        </w:tabs>
        <w:ind w:left="3731" w:hanging="360"/>
      </w:pPr>
      <w:rPr>
        <w:rFonts w:hint="default"/>
      </w:rPr>
    </w:lvl>
    <w:lvl w:ilvl="8">
      <w:start w:val="1"/>
      <w:numFmt w:val="lowerRoman"/>
      <w:lvlText w:val="%9."/>
      <w:lvlJc w:val="left"/>
      <w:pPr>
        <w:tabs>
          <w:tab w:val="num" w:pos="4091"/>
        </w:tabs>
        <w:ind w:left="4091" w:hanging="360"/>
      </w:pPr>
      <w:rPr>
        <w:rFonts w:hint="default"/>
      </w:rPr>
    </w:lvl>
  </w:abstractNum>
  <w:abstractNum w:abstractNumId="8" w15:restartNumberingAfterBreak="0">
    <w:nsid w:val="6D2B46A3"/>
    <w:multiLevelType w:val="multilevel"/>
    <w:tmpl w:val="A80ECEA6"/>
    <w:lvl w:ilvl="0">
      <w:start w:val="1"/>
      <w:numFmt w:val="bullet"/>
      <w:pStyle w:val="Bullet1"/>
      <w:lvlText w:val=""/>
      <w:lvlJc w:val="left"/>
      <w:pPr>
        <w:ind w:left="504" w:hanging="504"/>
      </w:pPr>
      <w:rPr>
        <w:rFonts w:ascii="Symbol" w:hAnsi="Symbol" w:hint="default"/>
        <w:color w:val="auto"/>
      </w:rPr>
    </w:lvl>
    <w:lvl w:ilvl="1">
      <w:start w:val="1"/>
      <w:numFmt w:val="bullet"/>
      <w:pStyle w:val="Bullet2"/>
      <w:lvlText w:val=""/>
      <w:lvlJc w:val="left"/>
      <w:pPr>
        <w:ind w:left="1008" w:hanging="504"/>
      </w:pPr>
      <w:rPr>
        <w:rFonts w:ascii="Symbol" w:hAnsi="Symbol" w:hint="default"/>
        <w:color w:val="auto"/>
      </w:rPr>
    </w:lvl>
    <w:lvl w:ilvl="2">
      <w:start w:val="1"/>
      <w:numFmt w:val="bullet"/>
      <w:pStyle w:val="Bullet3"/>
      <w:lvlText w:val=""/>
      <w:lvlJc w:val="left"/>
      <w:pPr>
        <w:ind w:left="1512" w:hanging="504"/>
      </w:pPr>
      <w:rPr>
        <w:rFonts w:ascii="Symbol" w:hAnsi="Symbol" w:hint="default"/>
        <w:color w:val="auto"/>
      </w:rPr>
    </w:lvl>
    <w:lvl w:ilvl="3">
      <w:start w:val="1"/>
      <w:numFmt w:val="bullet"/>
      <w:pStyle w:val="Bullet4"/>
      <w:lvlText w:val=""/>
      <w:lvlJc w:val="left"/>
      <w:pPr>
        <w:ind w:left="2016" w:hanging="504"/>
      </w:pPr>
      <w:rPr>
        <w:rFonts w:ascii="Symbol" w:hAnsi="Symbol" w:hint="default"/>
        <w:color w:val="auto"/>
      </w:rPr>
    </w:lvl>
    <w:lvl w:ilvl="4">
      <w:start w:val="1"/>
      <w:numFmt w:val="none"/>
      <w:lvlText w:val=""/>
      <w:lvlJc w:val="left"/>
      <w:pPr>
        <w:ind w:left="2520" w:hanging="504"/>
      </w:pPr>
      <w:rPr>
        <w:rFonts w:hint="default"/>
      </w:rPr>
    </w:lvl>
    <w:lvl w:ilvl="5">
      <w:start w:val="1"/>
      <w:numFmt w:val="none"/>
      <w:lvlText w:val=""/>
      <w:lvlJc w:val="left"/>
      <w:pPr>
        <w:ind w:left="3024" w:hanging="504"/>
      </w:pPr>
      <w:rPr>
        <w:rFonts w:hint="default"/>
      </w:rPr>
    </w:lvl>
    <w:lvl w:ilvl="6">
      <w:start w:val="1"/>
      <w:numFmt w:val="none"/>
      <w:lvlText w:val=""/>
      <w:lvlJc w:val="left"/>
      <w:pPr>
        <w:ind w:left="3528" w:hanging="504"/>
      </w:pPr>
      <w:rPr>
        <w:rFonts w:hint="default"/>
      </w:rPr>
    </w:lvl>
    <w:lvl w:ilvl="7">
      <w:start w:val="1"/>
      <w:numFmt w:val="none"/>
      <w:lvlText w:val=""/>
      <w:lvlJc w:val="left"/>
      <w:pPr>
        <w:ind w:left="4032" w:hanging="504"/>
      </w:pPr>
      <w:rPr>
        <w:rFonts w:hint="default"/>
      </w:rPr>
    </w:lvl>
    <w:lvl w:ilvl="8">
      <w:start w:val="1"/>
      <w:numFmt w:val="none"/>
      <w:lvlText w:val=""/>
      <w:lvlJc w:val="left"/>
      <w:pPr>
        <w:ind w:left="4536" w:hanging="504"/>
      </w:pPr>
      <w:rPr>
        <w:rFonts w:hint="default"/>
      </w:rPr>
    </w:lvl>
  </w:abstractNum>
  <w:abstractNum w:abstractNumId="9" w15:restartNumberingAfterBreak="0">
    <w:nsid w:val="7034512C"/>
    <w:multiLevelType w:val="hybridMultilevel"/>
    <w:tmpl w:val="87A659DC"/>
    <w:lvl w:ilvl="0" w:tplc="0D1C2E8A">
      <w:start w:val="1"/>
      <w:numFmt w:val="decimal"/>
      <w:lvlRestart w:val="0"/>
      <w:pStyle w:val="NumberedList"/>
      <w:lvlText w:val="%1."/>
      <w:lvlJc w:val="left"/>
      <w:pPr>
        <w:tabs>
          <w:tab w:val="num" w:pos="510"/>
        </w:tabs>
        <w:ind w:left="510" w:hanging="51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2"/>
  </w:num>
  <w:num w:numId="5">
    <w:abstractNumId w:val="3"/>
  </w:num>
  <w:num w:numId="6">
    <w:abstractNumId w:val="8"/>
  </w:num>
  <w:num w:numId="7">
    <w:abstractNumId w:val="4"/>
  </w:num>
  <w:num w:numId="8">
    <w:abstractNumId w:val="5"/>
  </w:num>
  <w:num w:numId="9">
    <w:abstractNumId w:val="1"/>
  </w:num>
  <w:num w:numId="10">
    <w:abstractNumId w:val="0"/>
  </w:num>
  <w:num w:numId="11">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en-GB" w:vendorID="64" w:dllVersion="0" w:nlCheck="1" w:checkStyle="0"/>
  <w:activeWritingStyle w:appName="MSWord" w:lang="en-US"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rawingGridHorizontalSpacing w:val="24"/>
  <w:displayHorizontalDrawingGridEvery w:val="0"/>
  <w:displayVerticalDrawingGridEvery w:val="0"/>
  <w:doNotShadeFormData/>
  <w:noPunctuationKerning/>
  <w:characterSpacingControl w:val="doNotCompress"/>
  <w:hdrShapeDefaults>
    <o:shapedefaults v:ext="edit" spidmax="6145">
      <o:colormru v:ext="edit" colors="#ddd,silver,#eaeae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A74"/>
    <w:rsid w:val="0000053F"/>
    <w:rsid w:val="0000292B"/>
    <w:rsid w:val="00020C5A"/>
    <w:rsid w:val="00027E8B"/>
    <w:rsid w:val="0004028C"/>
    <w:rsid w:val="0004455B"/>
    <w:rsid w:val="000625F2"/>
    <w:rsid w:val="000713C0"/>
    <w:rsid w:val="00074133"/>
    <w:rsid w:val="000812F8"/>
    <w:rsid w:val="00090A6F"/>
    <w:rsid w:val="00096027"/>
    <w:rsid w:val="000B4B53"/>
    <w:rsid w:val="000B733C"/>
    <w:rsid w:val="000B792F"/>
    <w:rsid w:val="000C3EB0"/>
    <w:rsid w:val="000C659C"/>
    <w:rsid w:val="000D2C28"/>
    <w:rsid w:val="000D7B40"/>
    <w:rsid w:val="000F64CC"/>
    <w:rsid w:val="00110B96"/>
    <w:rsid w:val="001162C5"/>
    <w:rsid w:val="001206CF"/>
    <w:rsid w:val="001225BB"/>
    <w:rsid w:val="00132CE1"/>
    <w:rsid w:val="001662B8"/>
    <w:rsid w:val="00171F51"/>
    <w:rsid w:val="001761C6"/>
    <w:rsid w:val="001864D4"/>
    <w:rsid w:val="0019286F"/>
    <w:rsid w:val="0019491A"/>
    <w:rsid w:val="001A0C8F"/>
    <w:rsid w:val="001B33A5"/>
    <w:rsid w:val="001B413F"/>
    <w:rsid w:val="001C00E5"/>
    <w:rsid w:val="001C225F"/>
    <w:rsid w:val="001C553E"/>
    <w:rsid w:val="001F78DF"/>
    <w:rsid w:val="00210B01"/>
    <w:rsid w:val="0022022E"/>
    <w:rsid w:val="002221A4"/>
    <w:rsid w:val="00254B16"/>
    <w:rsid w:val="00271174"/>
    <w:rsid w:val="00275DB0"/>
    <w:rsid w:val="002761A2"/>
    <w:rsid w:val="00276BC5"/>
    <w:rsid w:val="0028086D"/>
    <w:rsid w:val="00283482"/>
    <w:rsid w:val="0029647E"/>
    <w:rsid w:val="002A201D"/>
    <w:rsid w:val="002A765F"/>
    <w:rsid w:val="002B30AB"/>
    <w:rsid w:val="002B7803"/>
    <w:rsid w:val="002C2FAA"/>
    <w:rsid w:val="002F1CD0"/>
    <w:rsid w:val="00305A1E"/>
    <w:rsid w:val="00307F26"/>
    <w:rsid w:val="003251D8"/>
    <w:rsid w:val="00332DF6"/>
    <w:rsid w:val="0033581C"/>
    <w:rsid w:val="0034243B"/>
    <w:rsid w:val="00354084"/>
    <w:rsid w:val="00364B30"/>
    <w:rsid w:val="00367DC9"/>
    <w:rsid w:val="00377B8D"/>
    <w:rsid w:val="00382796"/>
    <w:rsid w:val="00387791"/>
    <w:rsid w:val="0039009E"/>
    <w:rsid w:val="00396AA1"/>
    <w:rsid w:val="003A2016"/>
    <w:rsid w:val="003A488F"/>
    <w:rsid w:val="003B0CAA"/>
    <w:rsid w:val="003B0E71"/>
    <w:rsid w:val="003B6633"/>
    <w:rsid w:val="003C2B58"/>
    <w:rsid w:val="003C2C09"/>
    <w:rsid w:val="003D1DD4"/>
    <w:rsid w:val="003E0A68"/>
    <w:rsid w:val="003E1900"/>
    <w:rsid w:val="00401ECA"/>
    <w:rsid w:val="0040621D"/>
    <w:rsid w:val="004150BD"/>
    <w:rsid w:val="00422E4D"/>
    <w:rsid w:val="004237F1"/>
    <w:rsid w:val="00426876"/>
    <w:rsid w:val="00434D86"/>
    <w:rsid w:val="00436A2D"/>
    <w:rsid w:val="0044702C"/>
    <w:rsid w:val="00460FBB"/>
    <w:rsid w:val="00464827"/>
    <w:rsid w:val="00470CE9"/>
    <w:rsid w:val="0047683E"/>
    <w:rsid w:val="0048155F"/>
    <w:rsid w:val="00487B8D"/>
    <w:rsid w:val="00487CF6"/>
    <w:rsid w:val="004934C2"/>
    <w:rsid w:val="004961F8"/>
    <w:rsid w:val="004A2ED0"/>
    <w:rsid w:val="004A417F"/>
    <w:rsid w:val="004B038C"/>
    <w:rsid w:val="004B736C"/>
    <w:rsid w:val="004C1FD8"/>
    <w:rsid w:val="004C5BDE"/>
    <w:rsid w:val="004D3809"/>
    <w:rsid w:val="004D4D1C"/>
    <w:rsid w:val="004E12D9"/>
    <w:rsid w:val="004F3660"/>
    <w:rsid w:val="004F55FE"/>
    <w:rsid w:val="00500E80"/>
    <w:rsid w:val="00511C34"/>
    <w:rsid w:val="005166B2"/>
    <w:rsid w:val="005204AF"/>
    <w:rsid w:val="00523B85"/>
    <w:rsid w:val="0053452C"/>
    <w:rsid w:val="00535EC5"/>
    <w:rsid w:val="0056274D"/>
    <w:rsid w:val="005655CE"/>
    <w:rsid w:val="00577065"/>
    <w:rsid w:val="0058004D"/>
    <w:rsid w:val="00580BC4"/>
    <w:rsid w:val="00590051"/>
    <w:rsid w:val="005A2514"/>
    <w:rsid w:val="005A2DC2"/>
    <w:rsid w:val="005A6AC7"/>
    <w:rsid w:val="005B146F"/>
    <w:rsid w:val="005E16D3"/>
    <w:rsid w:val="005E6BE4"/>
    <w:rsid w:val="00602261"/>
    <w:rsid w:val="00622D1C"/>
    <w:rsid w:val="00624BB0"/>
    <w:rsid w:val="00625A6C"/>
    <w:rsid w:val="00637016"/>
    <w:rsid w:val="00641282"/>
    <w:rsid w:val="00652DF8"/>
    <w:rsid w:val="00653C5A"/>
    <w:rsid w:val="0065794A"/>
    <w:rsid w:val="006641AE"/>
    <w:rsid w:val="006757AC"/>
    <w:rsid w:val="00676CE0"/>
    <w:rsid w:val="0069089A"/>
    <w:rsid w:val="006A3AE9"/>
    <w:rsid w:val="006A40E5"/>
    <w:rsid w:val="006B0CD6"/>
    <w:rsid w:val="006C2E37"/>
    <w:rsid w:val="006D055E"/>
    <w:rsid w:val="006D134A"/>
    <w:rsid w:val="006D4401"/>
    <w:rsid w:val="006D4700"/>
    <w:rsid w:val="006D7679"/>
    <w:rsid w:val="006E2C39"/>
    <w:rsid w:val="006E6F6B"/>
    <w:rsid w:val="00714340"/>
    <w:rsid w:val="007219F7"/>
    <w:rsid w:val="0073236D"/>
    <w:rsid w:val="007333C2"/>
    <w:rsid w:val="00737714"/>
    <w:rsid w:val="00742E4B"/>
    <w:rsid w:val="007455F0"/>
    <w:rsid w:val="007504C3"/>
    <w:rsid w:val="00751F6A"/>
    <w:rsid w:val="007554ED"/>
    <w:rsid w:val="00755E40"/>
    <w:rsid w:val="00756FF6"/>
    <w:rsid w:val="007600A6"/>
    <w:rsid w:val="0076127E"/>
    <w:rsid w:val="007671C6"/>
    <w:rsid w:val="007730A7"/>
    <w:rsid w:val="0078116B"/>
    <w:rsid w:val="0078148C"/>
    <w:rsid w:val="007A298C"/>
    <w:rsid w:val="007A4E8C"/>
    <w:rsid w:val="007A6BC3"/>
    <w:rsid w:val="007B1EE0"/>
    <w:rsid w:val="007D7A64"/>
    <w:rsid w:val="007F1D3D"/>
    <w:rsid w:val="00800291"/>
    <w:rsid w:val="00812637"/>
    <w:rsid w:val="00813227"/>
    <w:rsid w:val="00820794"/>
    <w:rsid w:val="00831497"/>
    <w:rsid w:val="00844657"/>
    <w:rsid w:val="008459E8"/>
    <w:rsid w:val="008622B9"/>
    <w:rsid w:val="0086497E"/>
    <w:rsid w:val="00864ADE"/>
    <w:rsid w:val="00867FB0"/>
    <w:rsid w:val="00871A12"/>
    <w:rsid w:val="008739F7"/>
    <w:rsid w:val="00881BBE"/>
    <w:rsid w:val="00882022"/>
    <w:rsid w:val="00893843"/>
    <w:rsid w:val="00895809"/>
    <w:rsid w:val="008A16EB"/>
    <w:rsid w:val="008A6182"/>
    <w:rsid w:val="008B1D94"/>
    <w:rsid w:val="008B4C8D"/>
    <w:rsid w:val="008B643A"/>
    <w:rsid w:val="008C1C4A"/>
    <w:rsid w:val="008C60B1"/>
    <w:rsid w:val="008C6BD0"/>
    <w:rsid w:val="008D2EBD"/>
    <w:rsid w:val="008F0A81"/>
    <w:rsid w:val="008F3EBA"/>
    <w:rsid w:val="008F4AC5"/>
    <w:rsid w:val="008F5963"/>
    <w:rsid w:val="009010A0"/>
    <w:rsid w:val="009107CD"/>
    <w:rsid w:val="00923261"/>
    <w:rsid w:val="009256B7"/>
    <w:rsid w:val="0094207F"/>
    <w:rsid w:val="009601AD"/>
    <w:rsid w:val="00970C7A"/>
    <w:rsid w:val="009721DB"/>
    <w:rsid w:val="009725F9"/>
    <w:rsid w:val="00972BFA"/>
    <w:rsid w:val="00987561"/>
    <w:rsid w:val="009965BA"/>
    <w:rsid w:val="009A3137"/>
    <w:rsid w:val="009A6346"/>
    <w:rsid w:val="009B6535"/>
    <w:rsid w:val="009B6788"/>
    <w:rsid w:val="009C2479"/>
    <w:rsid w:val="009D06F8"/>
    <w:rsid w:val="009D73F1"/>
    <w:rsid w:val="00A02BD5"/>
    <w:rsid w:val="00A03202"/>
    <w:rsid w:val="00A0482B"/>
    <w:rsid w:val="00A05041"/>
    <w:rsid w:val="00A13F82"/>
    <w:rsid w:val="00A16664"/>
    <w:rsid w:val="00A22E0D"/>
    <w:rsid w:val="00A31570"/>
    <w:rsid w:val="00A35C0D"/>
    <w:rsid w:val="00A41ED3"/>
    <w:rsid w:val="00A43557"/>
    <w:rsid w:val="00A47FA2"/>
    <w:rsid w:val="00A5092D"/>
    <w:rsid w:val="00A51A7E"/>
    <w:rsid w:val="00A55F4F"/>
    <w:rsid w:val="00A6237D"/>
    <w:rsid w:val="00A748BA"/>
    <w:rsid w:val="00A83862"/>
    <w:rsid w:val="00A8486C"/>
    <w:rsid w:val="00A93071"/>
    <w:rsid w:val="00A96702"/>
    <w:rsid w:val="00A97EB2"/>
    <w:rsid w:val="00AA14A9"/>
    <w:rsid w:val="00AB780A"/>
    <w:rsid w:val="00AC4315"/>
    <w:rsid w:val="00AC5E3C"/>
    <w:rsid w:val="00AD3233"/>
    <w:rsid w:val="00AD42DA"/>
    <w:rsid w:val="00AE276F"/>
    <w:rsid w:val="00AF295E"/>
    <w:rsid w:val="00AF61B8"/>
    <w:rsid w:val="00B03292"/>
    <w:rsid w:val="00B110AD"/>
    <w:rsid w:val="00B16904"/>
    <w:rsid w:val="00B21A02"/>
    <w:rsid w:val="00B23FE3"/>
    <w:rsid w:val="00B271BA"/>
    <w:rsid w:val="00B3429E"/>
    <w:rsid w:val="00B53A09"/>
    <w:rsid w:val="00B74237"/>
    <w:rsid w:val="00B80848"/>
    <w:rsid w:val="00B82F15"/>
    <w:rsid w:val="00BA3AB4"/>
    <w:rsid w:val="00BA4622"/>
    <w:rsid w:val="00BB0FDE"/>
    <w:rsid w:val="00BB4C9F"/>
    <w:rsid w:val="00BB658A"/>
    <w:rsid w:val="00BC0794"/>
    <w:rsid w:val="00BC0D5D"/>
    <w:rsid w:val="00BE2F68"/>
    <w:rsid w:val="00BE38FC"/>
    <w:rsid w:val="00C03C7B"/>
    <w:rsid w:val="00C3493B"/>
    <w:rsid w:val="00C37458"/>
    <w:rsid w:val="00C438DD"/>
    <w:rsid w:val="00C43CD1"/>
    <w:rsid w:val="00C45020"/>
    <w:rsid w:val="00C5022C"/>
    <w:rsid w:val="00C552FD"/>
    <w:rsid w:val="00C63573"/>
    <w:rsid w:val="00C64B4F"/>
    <w:rsid w:val="00C73C8B"/>
    <w:rsid w:val="00C95D8A"/>
    <w:rsid w:val="00C96A84"/>
    <w:rsid w:val="00C97219"/>
    <w:rsid w:val="00CA2BED"/>
    <w:rsid w:val="00CA61C5"/>
    <w:rsid w:val="00CB719A"/>
    <w:rsid w:val="00CC1DF4"/>
    <w:rsid w:val="00CC41D8"/>
    <w:rsid w:val="00CC6FCD"/>
    <w:rsid w:val="00CD5D1C"/>
    <w:rsid w:val="00CE2F8C"/>
    <w:rsid w:val="00CF75CA"/>
    <w:rsid w:val="00CF7B67"/>
    <w:rsid w:val="00D00FD5"/>
    <w:rsid w:val="00D058B0"/>
    <w:rsid w:val="00D16E9F"/>
    <w:rsid w:val="00D32BAE"/>
    <w:rsid w:val="00D36516"/>
    <w:rsid w:val="00D52086"/>
    <w:rsid w:val="00D54F5C"/>
    <w:rsid w:val="00D67336"/>
    <w:rsid w:val="00D74038"/>
    <w:rsid w:val="00D74C6A"/>
    <w:rsid w:val="00D80C29"/>
    <w:rsid w:val="00D91B70"/>
    <w:rsid w:val="00D942EB"/>
    <w:rsid w:val="00D96A64"/>
    <w:rsid w:val="00D97FBA"/>
    <w:rsid w:val="00DA2A7B"/>
    <w:rsid w:val="00DA39A1"/>
    <w:rsid w:val="00DB00CD"/>
    <w:rsid w:val="00DC1299"/>
    <w:rsid w:val="00DC7E1B"/>
    <w:rsid w:val="00DD1DDC"/>
    <w:rsid w:val="00DD3718"/>
    <w:rsid w:val="00DD7E7A"/>
    <w:rsid w:val="00DF39E3"/>
    <w:rsid w:val="00E033B7"/>
    <w:rsid w:val="00E06C2F"/>
    <w:rsid w:val="00E24399"/>
    <w:rsid w:val="00E274C6"/>
    <w:rsid w:val="00E36410"/>
    <w:rsid w:val="00E41399"/>
    <w:rsid w:val="00E4453C"/>
    <w:rsid w:val="00E63279"/>
    <w:rsid w:val="00E677D1"/>
    <w:rsid w:val="00E7347A"/>
    <w:rsid w:val="00E73C3C"/>
    <w:rsid w:val="00E7448F"/>
    <w:rsid w:val="00E74BD5"/>
    <w:rsid w:val="00E7592A"/>
    <w:rsid w:val="00E800BD"/>
    <w:rsid w:val="00E81897"/>
    <w:rsid w:val="00E839DA"/>
    <w:rsid w:val="00E90B4F"/>
    <w:rsid w:val="00E915E3"/>
    <w:rsid w:val="00E9325C"/>
    <w:rsid w:val="00E94DA2"/>
    <w:rsid w:val="00E96D45"/>
    <w:rsid w:val="00E97B4B"/>
    <w:rsid w:val="00EB4197"/>
    <w:rsid w:val="00EB4756"/>
    <w:rsid w:val="00EB68CF"/>
    <w:rsid w:val="00EC10BD"/>
    <w:rsid w:val="00EC4AFD"/>
    <w:rsid w:val="00ED0067"/>
    <w:rsid w:val="00ED06E4"/>
    <w:rsid w:val="00EE2509"/>
    <w:rsid w:val="00EE2A59"/>
    <w:rsid w:val="00EE3D03"/>
    <w:rsid w:val="00EE740D"/>
    <w:rsid w:val="00EF1035"/>
    <w:rsid w:val="00EF4CAA"/>
    <w:rsid w:val="00EF7A74"/>
    <w:rsid w:val="00F02B8E"/>
    <w:rsid w:val="00F135CE"/>
    <w:rsid w:val="00F13C5A"/>
    <w:rsid w:val="00F14BDB"/>
    <w:rsid w:val="00F22AF2"/>
    <w:rsid w:val="00F24836"/>
    <w:rsid w:val="00F2677A"/>
    <w:rsid w:val="00F27D29"/>
    <w:rsid w:val="00F40D6C"/>
    <w:rsid w:val="00F424C9"/>
    <w:rsid w:val="00F54955"/>
    <w:rsid w:val="00F56940"/>
    <w:rsid w:val="00F56FBB"/>
    <w:rsid w:val="00F66B41"/>
    <w:rsid w:val="00F70811"/>
    <w:rsid w:val="00F82A0E"/>
    <w:rsid w:val="00F91574"/>
    <w:rsid w:val="00F91992"/>
    <w:rsid w:val="00F970FB"/>
    <w:rsid w:val="00FB39CB"/>
    <w:rsid w:val="00FC2254"/>
    <w:rsid w:val="00FC30DA"/>
    <w:rsid w:val="00FC64E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colormru v:ext="edit" colors="#ddd,silver,#eaeaea"/>
    </o:shapedefaults>
    <o:shapelayout v:ext="edit">
      <o:idmap v:ext="edit" data="1"/>
    </o:shapelayout>
  </w:shapeDefaults>
  <w:decimalSymbol w:val="."/>
  <w:listSeparator w:val=","/>
  <w14:docId w14:val="76481D16"/>
  <w15:docId w15:val="{86398E3D-124C-4699-8F7E-3E085480E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725F9"/>
    <w:pPr>
      <w:jc w:val="both"/>
    </w:pPr>
    <w:rPr>
      <w:sz w:val="19"/>
      <w:lang w:eastAsia="en-US"/>
    </w:rPr>
  </w:style>
  <w:style w:type="paragraph" w:styleId="Heading1">
    <w:name w:val="heading 1"/>
    <w:basedOn w:val="Normal"/>
    <w:next w:val="Normal"/>
    <w:qFormat/>
    <w:rsid w:val="003E1900"/>
    <w:pPr>
      <w:keepNext/>
      <w:spacing w:before="400" w:after="200"/>
      <w:jc w:val="left"/>
      <w:outlineLvl w:val="0"/>
    </w:pPr>
    <w:rPr>
      <w:rFonts w:ascii="Arial" w:hAnsi="Arial" w:cs="Arial"/>
      <w:b/>
      <w:bCs/>
      <w:sz w:val="26"/>
      <w:szCs w:val="32"/>
    </w:rPr>
  </w:style>
  <w:style w:type="paragraph" w:styleId="Heading2">
    <w:name w:val="heading 2"/>
    <w:basedOn w:val="Heading1"/>
    <w:next w:val="Normal"/>
    <w:qFormat/>
    <w:rsid w:val="00F13C5A"/>
    <w:pPr>
      <w:pBdr>
        <w:bottom w:val="single" w:sz="4" w:space="1" w:color="auto"/>
      </w:pBdr>
      <w:spacing w:before="600"/>
      <w:outlineLvl w:val="1"/>
    </w:pPr>
    <w:rPr>
      <w:bCs w:val="0"/>
      <w:iCs/>
      <w:szCs w:val="28"/>
    </w:rPr>
  </w:style>
  <w:style w:type="paragraph" w:styleId="Heading3">
    <w:name w:val="heading 3"/>
    <w:basedOn w:val="Heading2"/>
    <w:next w:val="Normal"/>
    <w:qFormat/>
    <w:rsid w:val="001C553E"/>
    <w:pPr>
      <w:spacing w:before="400"/>
      <w:outlineLvl w:val="2"/>
    </w:pPr>
    <w:rPr>
      <w:bCs/>
      <w:szCs w:val="26"/>
    </w:rPr>
  </w:style>
  <w:style w:type="paragraph" w:styleId="Heading4">
    <w:name w:val="heading 4"/>
    <w:basedOn w:val="Heading3"/>
    <w:next w:val="Normal"/>
    <w:qFormat/>
    <w:rsid w:val="001C553E"/>
    <w:pPr>
      <w:pBdr>
        <w:bottom w:val="none" w:sz="0" w:space="0" w:color="auto"/>
      </w:pBdr>
      <w:spacing w:before="100"/>
      <w:ind w:left="782"/>
      <w:outlineLvl w:val="3"/>
    </w:pPr>
    <w:rPr>
      <w:bCs w:val="0"/>
      <w:szCs w:val="28"/>
    </w:rPr>
  </w:style>
  <w:style w:type="paragraph" w:styleId="Heading5">
    <w:name w:val="heading 5"/>
    <w:basedOn w:val="Heading4"/>
    <w:next w:val="Normal"/>
    <w:qFormat/>
    <w:rsid w:val="001C553E"/>
    <w:pPr>
      <w:outlineLvl w:val="4"/>
    </w:pPr>
    <w:rPr>
      <w:bCs/>
      <w:i/>
      <w:iCs w:val="0"/>
      <w:sz w:val="18"/>
      <w:szCs w:val="26"/>
    </w:rPr>
  </w:style>
  <w:style w:type="paragraph" w:styleId="Heading6">
    <w:name w:val="heading 6"/>
    <w:basedOn w:val="Heading5"/>
    <w:next w:val="Normal"/>
    <w:qFormat/>
    <w:pPr>
      <w:outlineLvl w:val="5"/>
    </w:pPr>
    <w:rPr>
      <w:b w:val="0"/>
      <w:bCs w:val="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uiPriority w:val="99"/>
    <w:pPr>
      <w:spacing w:line="160" w:lineRule="exact"/>
      <w:ind w:left="340" w:hanging="340"/>
    </w:pPr>
    <w:rPr>
      <w:sz w:val="16"/>
    </w:rPr>
  </w:style>
  <w:style w:type="paragraph" w:customStyle="1" w:styleId="Heading1Italic">
    <w:name w:val="Heading 1 Italic"/>
    <w:basedOn w:val="Heading1"/>
    <w:next w:val="Normal"/>
    <w:rsid w:val="00580BC4"/>
    <w:pPr>
      <w:spacing w:before="240"/>
    </w:pPr>
    <w:rPr>
      <w:i/>
    </w:rPr>
  </w:style>
  <w:style w:type="paragraph" w:customStyle="1" w:styleId="Heading2Indent1">
    <w:name w:val="Heading 2 Indent1"/>
    <w:basedOn w:val="Heading2"/>
    <w:next w:val="Normal"/>
    <w:rsid w:val="00580BC4"/>
    <w:pPr>
      <w:pBdr>
        <w:bottom w:val="none" w:sz="0" w:space="0" w:color="auto"/>
      </w:pBdr>
      <w:spacing w:before="240"/>
      <w:ind w:left="510"/>
    </w:pPr>
  </w:style>
  <w:style w:type="paragraph" w:customStyle="1" w:styleId="Heading3Indent1">
    <w:name w:val="Heading 3 Indent1"/>
    <w:basedOn w:val="Heading3"/>
    <w:next w:val="Normal"/>
    <w:rsid w:val="00580BC4"/>
    <w:pPr>
      <w:pBdr>
        <w:bottom w:val="none" w:sz="0" w:space="0" w:color="auto"/>
      </w:pBdr>
      <w:ind w:left="510"/>
    </w:pPr>
  </w:style>
  <w:style w:type="paragraph" w:customStyle="1" w:styleId="Heading4Indent1">
    <w:name w:val="Heading 4 Indent1"/>
    <w:basedOn w:val="Heading4"/>
    <w:next w:val="Normal"/>
    <w:rsid w:val="001C553E"/>
    <w:pPr>
      <w:ind w:left="1293"/>
    </w:pPr>
  </w:style>
  <w:style w:type="paragraph" w:customStyle="1" w:styleId="Heading5Indent1">
    <w:name w:val="Heading 5 Indent1"/>
    <w:basedOn w:val="Heading5"/>
    <w:next w:val="Normal"/>
    <w:rsid w:val="001C553E"/>
    <w:pPr>
      <w:ind w:left="1293"/>
    </w:pPr>
  </w:style>
  <w:style w:type="paragraph" w:customStyle="1" w:styleId="Heading6Indent1">
    <w:name w:val="Heading 6 Indent1"/>
    <w:basedOn w:val="Heading6"/>
    <w:next w:val="Normal"/>
    <w:rsid w:val="001C553E"/>
    <w:pPr>
      <w:ind w:left="1293"/>
    </w:pPr>
  </w:style>
  <w:style w:type="paragraph" w:styleId="Header">
    <w:name w:val="header"/>
    <w:basedOn w:val="Normal"/>
    <w:link w:val="HeaderChar"/>
    <w:uiPriority w:val="99"/>
    <w:rsid w:val="00D74C6A"/>
    <w:pPr>
      <w:tabs>
        <w:tab w:val="center" w:pos="4536"/>
        <w:tab w:val="right" w:pos="9072"/>
      </w:tabs>
    </w:pPr>
  </w:style>
  <w:style w:type="paragraph" w:styleId="Footer">
    <w:name w:val="footer"/>
    <w:basedOn w:val="Normal"/>
    <w:rsid w:val="00D74C6A"/>
    <w:pPr>
      <w:tabs>
        <w:tab w:val="center" w:pos="4536"/>
        <w:tab w:val="right" w:pos="9072"/>
      </w:tabs>
    </w:pPr>
  </w:style>
  <w:style w:type="paragraph" w:customStyle="1" w:styleId="CoverStandard">
    <w:name w:val="Cover Standard"/>
    <w:basedOn w:val="Normal"/>
    <w:next w:val="Normal"/>
    <w:pPr>
      <w:spacing w:line="280" w:lineRule="exact"/>
    </w:pPr>
    <w:rPr>
      <w:b/>
      <w:sz w:val="28"/>
    </w:rPr>
  </w:style>
  <w:style w:type="paragraph" w:customStyle="1" w:styleId="CoverNumber">
    <w:name w:val="Cover Number"/>
    <w:basedOn w:val="Normal"/>
    <w:next w:val="Normal"/>
    <w:pPr>
      <w:spacing w:line="320" w:lineRule="exact"/>
      <w:jc w:val="right"/>
    </w:pPr>
    <w:rPr>
      <w:b/>
      <w:caps/>
      <w:sz w:val="32"/>
    </w:rPr>
  </w:style>
  <w:style w:type="paragraph" w:customStyle="1" w:styleId="CoverRelease">
    <w:name w:val="Cover Release"/>
    <w:basedOn w:val="Normal"/>
    <w:next w:val="Normal"/>
    <w:pPr>
      <w:spacing w:line="240" w:lineRule="exact"/>
    </w:pPr>
    <w:rPr>
      <w:sz w:val="24"/>
    </w:rPr>
  </w:style>
  <w:style w:type="paragraph" w:customStyle="1" w:styleId="CoverDate">
    <w:name w:val="Cover Date"/>
    <w:basedOn w:val="Normal"/>
    <w:next w:val="Normal"/>
    <w:pPr>
      <w:spacing w:line="240" w:lineRule="exact"/>
      <w:jc w:val="right"/>
    </w:pPr>
    <w:rPr>
      <w:sz w:val="24"/>
    </w:rPr>
  </w:style>
  <w:style w:type="paragraph" w:customStyle="1" w:styleId="CoverTitle">
    <w:name w:val="Cover Title"/>
    <w:basedOn w:val="Normal"/>
    <w:rsid w:val="00500E80"/>
    <w:pPr>
      <w:spacing w:before="800" w:after="500" w:line="500" w:lineRule="exact"/>
    </w:pPr>
    <w:rPr>
      <w:b/>
      <w:sz w:val="50"/>
    </w:rPr>
  </w:style>
  <w:style w:type="paragraph" w:customStyle="1" w:styleId="CoverBox">
    <w:name w:val="Cover Box"/>
    <w:basedOn w:val="Normal"/>
    <w:pPr>
      <w:pBdr>
        <w:top w:val="double" w:sz="4" w:space="1" w:color="auto"/>
        <w:left w:val="double" w:sz="4" w:space="4" w:color="auto"/>
        <w:bottom w:val="double" w:sz="4" w:space="1" w:color="auto"/>
        <w:right w:val="double" w:sz="4" w:space="4" w:color="auto"/>
      </w:pBdr>
    </w:pPr>
  </w:style>
  <w:style w:type="paragraph" w:customStyle="1" w:styleId="CoverContact">
    <w:name w:val="Cover Contact"/>
    <w:basedOn w:val="Normal"/>
    <w:next w:val="Normal"/>
    <w:rsid w:val="00B82F15"/>
    <w:pPr>
      <w:tabs>
        <w:tab w:val="left" w:pos="907"/>
      </w:tabs>
    </w:pPr>
  </w:style>
  <w:style w:type="paragraph" w:customStyle="1" w:styleId="CoverLeadPara">
    <w:name w:val="Cover LeadPara"/>
    <w:basedOn w:val="Normal"/>
    <w:next w:val="Normal"/>
    <w:rsid w:val="00F13C5A"/>
    <w:pPr>
      <w:spacing w:after="100"/>
    </w:pPr>
  </w:style>
  <w:style w:type="paragraph" w:customStyle="1" w:styleId="ContentsCapsPlainPg">
    <w:name w:val="Contents CapsPlainPg"/>
    <w:basedOn w:val="Normal"/>
    <w:next w:val="ContentsLevel1"/>
    <w:rsid w:val="00F13C5A"/>
    <w:pPr>
      <w:tabs>
        <w:tab w:val="right" w:pos="6237"/>
      </w:tabs>
      <w:spacing w:after="200"/>
      <w:ind w:left="170" w:right="1134" w:hanging="170"/>
    </w:pPr>
  </w:style>
  <w:style w:type="paragraph" w:customStyle="1" w:styleId="ContentsLevel1">
    <w:name w:val="Contents Level1"/>
    <w:basedOn w:val="Normal"/>
    <w:rsid w:val="001A0C8F"/>
    <w:pPr>
      <w:tabs>
        <w:tab w:val="right" w:pos="9072"/>
      </w:tabs>
      <w:spacing w:after="60"/>
      <w:ind w:left="170" w:right="1134" w:hanging="170"/>
      <w:jc w:val="left"/>
    </w:pPr>
    <w:rPr>
      <w:b/>
      <w:caps/>
    </w:rPr>
  </w:style>
  <w:style w:type="paragraph" w:customStyle="1" w:styleId="ContentsCapsBoldPg">
    <w:name w:val="Contents CapsBoldPg"/>
    <w:basedOn w:val="ContentsCapsPlainPg"/>
    <w:next w:val="ContentsLevel1"/>
    <w:rsid w:val="00F13C5A"/>
    <w:rPr>
      <w:b/>
    </w:rPr>
  </w:style>
  <w:style w:type="paragraph" w:customStyle="1" w:styleId="ContentsLevel2">
    <w:name w:val="Contents Level2"/>
    <w:basedOn w:val="ContentsLevel1"/>
    <w:rsid w:val="001A0C8F"/>
    <w:pPr>
      <w:ind w:left="510"/>
    </w:pPr>
    <w:rPr>
      <w:b w:val="0"/>
      <w:caps w:val="0"/>
    </w:rPr>
  </w:style>
  <w:style w:type="paragraph" w:customStyle="1" w:styleId="ContentsLevel3">
    <w:name w:val="Contents Level3"/>
    <w:basedOn w:val="ContentsLevel2"/>
    <w:pPr>
      <w:ind w:left="850"/>
    </w:pPr>
  </w:style>
  <w:style w:type="paragraph" w:customStyle="1" w:styleId="ContentsLevel4">
    <w:name w:val="Contents Level4"/>
    <w:basedOn w:val="ContentsLevel3"/>
    <w:pPr>
      <w:ind w:left="1191"/>
    </w:pPr>
  </w:style>
  <w:style w:type="paragraph" w:customStyle="1" w:styleId="ContentsBox">
    <w:name w:val="Contents Box"/>
    <w:basedOn w:val="Normal"/>
    <w:rsid w:val="00972BFA"/>
    <w:pPr>
      <w:pBdr>
        <w:top w:val="single" w:sz="4" w:space="1" w:color="auto"/>
        <w:left w:val="single" w:sz="4" w:space="4" w:color="auto"/>
        <w:bottom w:val="single" w:sz="4" w:space="1" w:color="auto"/>
        <w:right w:val="single" w:sz="4" w:space="4" w:color="auto"/>
      </w:pBdr>
      <w:spacing w:after="100"/>
    </w:pPr>
  </w:style>
  <w:style w:type="paragraph" w:styleId="TOC1">
    <w:name w:val="toc 1"/>
    <w:basedOn w:val="Normal"/>
    <w:next w:val="Normal"/>
    <w:autoRedefine/>
    <w:semiHidden/>
    <w:rsid w:val="00AC4315"/>
  </w:style>
  <w:style w:type="character" w:styleId="Hyperlink">
    <w:name w:val="Hyperlink"/>
    <w:basedOn w:val="DefaultParagraphFont"/>
    <w:rsid w:val="00737714"/>
    <w:rPr>
      <w:color w:val="0000FF"/>
      <w:u w:val="single"/>
    </w:rPr>
  </w:style>
  <w:style w:type="paragraph" w:customStyle="1" w:styleId="NumPlainA">
    <w:name w:val="Num PlainA"/>
    <w:basedOn w:val="Normal"/>
    <w:qFormat/>
    <w:rsid w:val="00580BC4"/>
    <w:pPr>
      <w:numPr>
        <w:numId w:val="7"/>
      </w:numPr>
      <w:spacing w:before="100" w:after="100"/>
    </w:pPr>
  </w:style>
  <w:style w:type="paragraph" w:customStyle="1" w:styleId="NoNumPlain1">
    <w:name w:val="NoNum Plain1"/>
    <w:basedOn w:val="Normal"/>
    <w:qFormat/>
    <w:rsid w:val="00580BC4"/>
    <w:pPr>
      <w:spacing w:before="100" w:after="100"/>
    </w:pPr>
  </w:style>
  <w:style w:type="paragraph" w:customStyle="1" w:styleId="NoNumPlain2">
    <w:name w:val="NoNum Plain2"/>
    <w:basedOn w:val="NoNumPlain1"/>
    <w:pPr>
      <w:ind w:left="510"/>
    </w:pPr>
  </w:style>
  <w:style w:type="paragraph" w:customStyle="1" w:styleId="NoNumPlain3">
    <w:name w:val="NoNum Plain3"/>
    <w:basedOn w:val="NoNumPlain2"/>
    <w:pPr>
      <w:ind w:left="1021"/>
    </w:pPr>
  </w:style>
  <w:style w:type="paragraph" w:customStyle="1" w:styleId="NoNumPlain4">
    <w:name w:val="NoNum Plain4"/>
    <w:basedOn w:val="NoNumPlain3"/>
    <w:pPr>
      <w:ind w:left="1531"/>
    </w:pPr>
  </w:style>
  <w:style w:type="paragraph" w:customStyle="1" w:styleId="NoNumBold1">
    <w:name w:val="NoNum Bold1"/>
    <w:basedOn w:val="Normal"/>
    <w:qFormat/>
    <w:rsid w:val="00580BC4"/>
    <w:pPr>
      <w:spacing w:before="100" w:after="100"/>
    </w:pPr>
    <w:rPr>
      <w:b/>
    </w:rPr>
  </w:style>
  <w:style w:type="paragraph" w:customStyle="1" w:styleId="NoNumBold2">
    <w:name w:val="NoNum Bold2"/>
    <w:basedOn w:val="NoNumBold1"/>
    <w:pPr>
      <w:ind w:left="510"/>
    </w:pPr>
  </w:style>
  <w:style w:type="paragraph" w:customStyle="1" w:styleId="NoNumBold3">
    <w:name w:val="NoNum Bold3"/>
    <w:basedOn w:val="NoNumBold2"/>
    <w:pPr>
      <w:ind w:left="1021"/>
    </w:pPr>
  </w:style>
  <w:style w:type="paragraph" w:customStyle="1" w:styleId="NoNumBold4">
    <w:name w:val="NoNum Bold4"/>
    <w:basedOn w:val="NoNumBold3"/>
    <w:pPr>
      <w:ind w:left="1531"/>
    </w:pPr>
  </w:style>
  <w:style w:type="paragraph" w:customStyle="1" w:styleId="NumPlain1">
    <w:name w:val="Num Plain1"/>
    <w:basedOn w:val="Normal"/>
    <w:link w:val="NumPlain1Char"/>
    <w:qFormat/>
    <w:rsid w:val="00580BC4"/>
    <w:pPr>
      <w:numPr>
        <w:numId w:val="1"/>
      </w:numPr>
      <w:spacing w:before="100" w:after="100"/>
    </w:pPr>
  </w:style>
  <w:style w:type="paragraph" w:customStyle="1" w:styleId="NumPlain2">
    <w:name w:val="Num Plain2"/>
    <w:basedOn w:val="NumPlain1"/>
    <w:rsid w:val="00426876"/>
    <w:pPr>
      <w:numPr>
        <w:ilvl w:val="1"/>
      </w:numPr>
    </w:pPr>
  </w:style>
  <w:style w:type="paragraph" w:customStyle="1" w:styleId="NumPlain3">
    <w:name w:val="Num Plain3"/>
    <w:basedOn w:val="NumPlain2"/>
    <w:rsid w:val="00426876"/>
    <w:pPr>
      <w:numPr>
        <w:ilvl w:val="2"/>
      </w:numPr>
    </w:pPr>
  </w:style>
  <w:style w:type="paragraph" w:customStyle="1" w:styleId="NumPlain4">
    <w:name w:val="Num Plain4"/>
    <w:basedOn w:val="NumPlain3"/>
    <w:rsid w:val="00426876"/>
    <w:pPr>
      <w:numPr>
        <w:ilvl w:val="3"/>
      </w:numPr>
    </w:pPr>
  </w:style>
  <w:style w:type="paragraph" w:customStyle="1" w:styleId="Bullet1">
    <w:name w:val="Bullet1"/>
    <w:basedOn w:val="Normal"/>
    <w:qFormat/>
    <w:rsid w:val="00580BC4"/>
    <w:pPr>
      <w:numPr>
        <w:numId w:val="6"/>
      </w:numPr>
      <w:spacing w:before="100" w:after="100"/>
      <w:ind w:left="505" w:hanging="505"/>
    </w:pPr>
  </w:style>
  <w:style w:type="paragraph" w:customStyle="1" w:styleId="Bullet2">
    <w:name w:val="Bullet2"/>
    <w:basedOn w:val="Normal"/>
    <w:rsid w:val="00972BFA"/>
    <w:pPr>
      <w:numPr>
        <w:ilvl w:val="1"/>
        <w:numId w:val="6"/>
      </w:numPr>
      <w:spacing w:after="200"/>
      <w:ind w:left="1010" w:hanging="505"/>
    </w:pPr>
  </w:style>
  <w:style w:type="paragraph" w:customStyle="1" w:styleId="Bullet3">
    <w:name w:val="Bullet3"/>
    <w:basedOn w:val="Normal"/>
    <w:rsid w:val="00972BFA"/>
    <w:pPr>
      <w:numPr>
        <w:ilvl w:val="2"/>
        <w:numId w:val="6"/>
      </w:numPr>
      <w:spacing w:after="200"/>
      <w:ind w:left="1514" w:hanging="505"/>
    </w:pPr>
  </w:style>
  <w:style w:type="paragraph" w:customStyle="1" w:styleId="CommentsPage">
    <w:name w:val="CommentsPage"/>
    <w:basedOn w:val="Normal"/>
    <w:next w:val="Normal"/>
  </w:style>
  <w:style w:type="paragraph" w:customStyle="1" w:styleId="Bullet4">
    <w:name w:val="Bullet4"/>
    <w:basedOn w:val="Normal"/>
    <w:rsid w:val="00972BFA"/>
    <w:pPr>
      <w:numPr>
        <w:ilvl w:val="3"/>
        <w:numId w:val="6"/>
      </w:numPr>
      <w:spacing w:after="200"/>
      <w:ind w:left="2019" w:hanging="505"/>
    </w:pPr>
  </w:style>
  <w:style w:type="paragraph" w:customStyle="1" w:styleId="ContentsCapsPlain">
    <w:name w:val="Contents CapsPlain"/>
    <w:basedOn w:val="Normal"/>
    <w:next w:val="ContentsLevel1"/>
    <w:rsid w:val="0034243B"/>
    <w:pPr>
      <w:spacing w:after="200"/>
    </w:pPr>
    <w:rPr>
      <w:caps/>
    </w:rPr>
  </w:style>
  <w:style w:type="paragraph" w:customStyle="1" w:styleId="ContentsCapsBold">
    <w:name w:val="Contents CapsBold"/>
    <w:basedOn w:val="ContentsCapsPlain"/>
    <w:next w:val="ContentsLevel1"/>
    <w:rsid w:val="00F13C5A"/>
    <w:pPr>
      <w:spacing w:after="0"/>
    </w:pPr>
    <w:rPr>
      <w:b/>
    </w:rPr>
  </w:style>
  <w:style w:type="paragraph" w:customStyle="1" w:styleId="ContentsParaHead">
    <w:name w:val="Contents ParaHead"/>
    <w:basedOn w:val="Normal"/>
    <w:next w:val="Normal"/>
    <w:pPr>
      <w:spacing w:after="60"/>
      <w:jc w:val="right"/>
    </w:pPr>
    <w:rPr>
      <w:i/>
    </w:rPr>
  </w:style>
  <w:style w:type="paragraph" w:styleId="DocumentMap">
    <w:name w:val="Document Map"/>
    <w:basedOn w:val="Normal"/>
    <w:semiHidden/>
    <w:pPr>
      <w:shd w:val="clear" w:color="auto" w:fill="000080"/>
    </w:pPr>
    <w:rPr>
      <w:rFonts w:ascii="Tahoma" w:hAnsi="Tahoma" w:cs="Tahoma"/>
    </w:rPr>
  </w:style>
  <w:style w:type="paragraph" w:customStyle="1" w:styleId="ContentsLevel1NoIndent">
    <w:name w:val="Contents Level1 NoIndent"/>
    <w:basedOn w:val="ContentsLevel1"/>
    <w:pPr>
      <w:ind w:left="0" w:firstLine="0"/>
    </w:pPr>
  </w:style>
  <w:style w:type="paragraph" w:customStyle="1" w:styleId="AppendixNo">
    <w:name w:val="AppendixNo"/>
    <w:basedOn w:val="Normal"/>
    <w:next w:val="Normal"/>
    <w:rsid w:val="000625F2"/>
    <w:pPr>
      <w:keepNext/>
      <w:spacing w:after="200"/>
      <w:jc w:val="left"/>
      <w:outlineLvl w:val="0"/>
    </w:pPr>
    <w:rPr>
      <w:rFonts w:ascii="Arial" w:hAnsi="Arial"/>
      <w:b/>
      <w:sz w:val="26"/>
      <w:szCs w:val="28"/>
    </w:rPr>
  </w:style>
  <w:style w:type="paragraph" w:customStyle="1" w:styleId="BCHanging0">
    <w:name w:val="BC Hanging0"/>
    <w:basedOn w:val="NoNumPlain1"/>
    <w:qFormat/>
    <w:rsid w:val="0058004D"/>
    <w:pPr>
      <w:ind w:left="624" w:hanging="624"/>
    </w:pPr>
  </w:style>
  <w:style w:type="paragraph" w:customStyle="1" w:styleId="AppendixNote">
    <w:name w:val="AppendixNote"/>
    <w:basedOn w:val="Normal"/>
    <w:next w:val="Normal"/>
    <w:rsid w:val="00972BFA"/>
    <w:pPr>
      <w:spacing w:after="200"/>
    </w:pPr>
    <w:rPr>
      <w:i/>
      <w:iCs/>
    </w:rPr>
  </w:style>
  <w:style w:type="paragraph" w:customStyle="1" w:styleId="AppendixText">
    <w:name w:val="AppendixText"/>
    <w:basedOn w:val="Normal"/>
    <w:rsid w:val="00580BC4"/>
    <w:pPr>
      <w:spacing w:before="100" w:after="100"/>
    </w:pPr>
  </w:style>
  <w:style w:type="paragraph" w:customStyle="1" w:styleId="AppendixTitle">
    <w:name w:val="AppendixTitle"/>
    <w:basedOn w:val="Normal"/>
    <w:next w:val="AppendixNote"/>
    <w:rsid w:val="000625F2"/>
    <w:pPr>
      <w:keepNext/>
      <w:spacing w:after="200"/>
      <w:jc w:val="left"/>
      <w:outlineLvl w:val="0"/>
    </w:pPr>
    <w:rPr>
      <w:rFonts w:ascii="Arial" w:hAnsi="Arial"/>
      <w:b/>
      <w:sz w:val="26"/>
      <w:szCs w:val="28"/>
    </w:rPr>
  </w:style>
  <w:style w:type="paragraph" w:customStyle="1" w:styleId="NoNumBC2">
    <w:name w:val="NoNum BC2"/>
    <w:basedOn w:val="NoNumPlain1"/>
    <w:rsid w:val="0058004D"/>
    <w:pPr>
      <w:ind w:left="624"/>
    </w:pPr>
  </w:style>
  <w:style w:type="paragraph" w:customStyle="1" w:styleId="BCHanging1">
    <w:name w:val="BC Hanging1"/>
    <w:basedOn w:val="NoNumBC2"/>
    <w:rsid w:val="0058004D"/>
    <w:pPr>
      <w:ind w:left="1248" w:hanging="624"/>
    </w:pPr>
  </w:style>
  <w:style w:type="paragraph" w:customStyle="1" w:styleId="BCHanging2">
    <w:name w:val="BC Hanging2"/>
    <w:basedOn w:val="BCHanging1"/>
    <w:rsid w:val="0058004D"/>
    <w:pPr>
      <w:ind w:left="1871"/>
    </w:pPr>
  </w:style>
  <w:style w:type="paragraph" w:customStyle="1" w:styleId="BCHanging3">
    <w:name w:val="BC Hanging3"/>
    <w:basedOn w:val="BCHanging1"/>
    <w:rsid w:val="0058004D"/>
    <w:pPr>
      <w:ind w:left="2495"/>
    </w:pPr>
  </w:style>
  <w:style w:type="paragraph" w:customStyle="1" w:styleId="CoverSubtitle">
    <w:name w:val="Cover Subtitle"/>
    <w:basedOn w:val="CoverTitle"/>
    <w:rsid w:val="00500E80"/>
    <w:pPr>
      <w:spacing w:before="0" w:after="0"/>
    </w:pPr>
    <w:rPr>
      <w:sz w:val="40"/>
      <w:szCs w:val="40"/>
    </w:rPr>
  </w:style>
  <w:style w:type="paragraph" w:customStyle="1" w:styleId="NumberedList">
    <w:name w:val="NumberedList"/>
    <w:basedOn w:val="Normal"/>
    <w:qFormat/>
    <w:rsid w:val="00580BC4"/>
    <w:pPr>
      <w:numPr>
        <w:numId w:val="3"/>
      </w:numPr>
      <w:spacing w:before="100" w:after="100"/>
    </w:pPr>
  </w:style>
  <w:style w:type="paragraph" w:customStyle="1" w:styleId="NumBold1">
    <w:name w:val="Num Bold1"/>
    <w:basedOn w:val="NumPlain1"/>
    <w:qFormat/>
    <w:rsid w:val="00027E8B"/>
    <w:rPr>
      <w:b/>
    </w:rPr>
  </w:style>
  <w:style w:type="paragraph" w:customStyle="1" w:styleId="NumBold2">
    <w:name w:val="Num Bold2"/>
    <w:basedOn w:val="NumPlain2"/>
    <w:rsid w:val="00027E8B"/>
    <w:rPr>
      <w:b/>
    </w:rPr>
  </w:style>
  <w:style w:type="paragraph" w:customStyle="1" w:styleId="NumBold3">
    <w:name w:val="Num Bold3"/>
    <w:basedOn w:val="NumPlain3"/>
    <w:rsid w:val="00027E8B"/>
    <w:rPr>
      <w:b/>
    </w:rPr>
  </w:style>
  <w:style w:type="paragraph" w:customStyle="1" w:styleId="NumBold4">
    <w:name w:val="Num Bold4"/>
    <w:basedOn w:val="NumPlain4"/>
    <w:rsid w:val="00027E8B"/>
    <w:rPr>
      <w:b/>
    </w:rPr>
  </w:style>
  <w:style w:type="paragraph" w:customStyle="1" w:styleId="PlainHanging1">
    <w:name w:val="Plain Hanging1"/>
    <w:basedOn w:val="NoNumPlain2"/>
    <w:rsid w:val="0039009E"/>
    <w:pPr>
      <w:ind w:left="1020" w:hanging="510"/>
    </w:pPr>
  </w:style>
  <w:style w:type="paragraph" w:customStyle="1" w:styleId="PlainHanging2">
    <w:name w:val="Plain Hanging2"/>
    <w:basedOn w:val="PlainHanging1"/>
    <w:rsid w:val="0039009E"/>
    <w:pPr>
      <w:ind w:left="1531"/>
    </w:pPr>
  </w:style>
  <w:style w:type="paragraph" w:customStyle="1" w:styleId="PlainHanging3">
    <w:name w:val="Plain Hanging3"/>
    <w:basedOn w:val="PlainHanging1"/>
    <w:rsid w:val="0039009E"/>
    <w:pPr>
      <w:ind w:left="2041"/>
    </w:pPr>
  </w:style>
  <w:style w:type="paragraph" w:customStyle="1" w:styleId="PlainHanging4">
    <w:name w:val="Plain Hanging4"/>
    <w:basedOn w:val="PlainHanging1"/>
    <w:rsid w:val="0039009E"/>
    <w:pPr>
      <w:ind w:left="2551"/>
    </w:pPr>
  </w:style>
  <w:style w:type="paragraph" w:customStyle="1" w:styleId="BoldHanging1">
    <w:name w:val="Bold Hanging1"/>
    <w:basedOn w:val="PlainHanging1"/>
    <w:rsid w:val="0039009E"/>
    <w:rPr>
      <w:b/>
    </w:rPr>
  </w:style>
  <w:style w:type="paragraph" w:customStyle="1" w:styleId="BoldHanging2">
    <w:name w:val="Bold Hanging2"/>
    <w:basedOn w:val="PlainHanging2"/>
    <w:rsid w:val="0039009E"/>
    <w:rPr>
      <w:b/>
    </w:rPr>
  </w:style>
  <w:style w:type="paragraph" w:customStyle="1" w:styleId="BoldHanging3">
    <w:name w:val="Bold Hanging3"/>
    <w:basedOn w:val="PlainHanging3"/>
    <w:rsid w:val="0039009E"/>
    <w:rPr>
      <w:b/>
    </w:rPr>
  </w:style>
  <w:style w:type="paragraph" w:customStyle="1" w:styleId="BoldHanging4">
    <w:name w:val="Bold Hanging4"/>
    <w:basedOn w:val="PlainHanging4"/>
    <w:rsid w:val="0039009E"/>
    <w:rPr>
      <w:b/>
    </w:rPr>
  </w:style>
  <w:style w:type="paragraph" w:customStyle="1" w:styleId="PlainHanging0">
    <w:name w:val="Plain Hanging0"/>
    <w:basedOn w:val="PlainHanging1"/>
    <w:qFormat/>
    <w:rsid w:val="003A488F"/>
    <w:pPr>
      <w:ind w:left="510"/>
    </w:pPr>
  </w:style>
  <w:style w:type="paragraph" w:customStyle="1" w:styleId="BoldHanging0">
    <w:name w:val="Bold Hanging0"/>
    <w:basedOn w:val="PlainHanging0"/>
    <w:qFormat/>
    <w:rsid w:val="003A488F"/>
    <w:rPr>
      <w:b/>
    </w:rPr>
  </w:style>
  <w:style w:type="paragraph" w:customStyle="1" w:styleId="BCHanging4">
    <w:name w:val="BC Hanging4"/>
    <w:basedOn w:val="BCHanging1"/>
    <w:rsid w:val="0058004D"/>
    <w:pPr>
      <w:ind w:left="3119"/>
    </w:pPr>
  </w:style>
  <w:style w:type="paragraph" w:customStyle="1" w:styleId="NoNumBC3">
    <w:name w:val="NoNum BC3"/>
    <w:basedOn w:val="NoNumBC2"/>
    <w:rsid w:val="0058004D"/>
    <w:pPr>
      <w:ind w:left="1247"/>
    </w:pPr>
  </w:style>
  <w:style w:type="paragraph" w:customStyle="1" w:styleId="NoNumBC4">
    <w:name w:val="NoNum BC4"/>
    <w:basedOn w:val="NoNumBC3"/>
    <w:rsid w:val="0058004D"/>
    <w:pPr>
      <w:ind w:left="1871"/>
    </w:pPr>
  </w:style>
  <w:style w:type="paragraph" w:customStyle="1" w:styleId="NumBC1">
    <w:name w:val="Num BC1"/>
    <w:basedOn w:val="Normal"/>
    <w:qFormat/>
    <w:rsid w:val="00580BC4"/>
    <w:pPr>
      <w:numPr>
        <w:numId w:val="4"/>
      </w:numPr>
      <w:spacing w:before="100" w:after="100"/>
    </w:pPr>
  </w:style>
  <w:style w:type="paragraph" w:customStyle="1" w:styleId="NumBC2">
    <w:name w:val="Num BC2"/>
    <w:basedOn w:val="NumBC1"/>
    <w:rsid w:val="00426876"/>
    <w:pPr>
      <w:numPr>
        <w:ilvl w:val="1"/>
      </w:numPr>
    </w:pPr>
  </w:style>
  <w:style w:type="paragraph" w:customStyle="1" w:styleId="NumBC3">
    <w:name w:val="Num BC3"/>
    <w:basedOn w:val="NumBC2"/>
    <w:rsid w:val="00426876"/>
    <w:pPr>
      <w:numPr>
        <w:ilvl w:val="2"/>
      </w:numPr>
    </w:pPr>
  </w:style>
  <w:style w:type="paragraph" w:customStyle="1" w:styleId="NumBC4">
    <w:name w:val="Num BC4"/>
    <w:basedOn w:val="NumBC3"/>
    <w:rsid w:val="00426876"/>
    <w:pPr>
      <w:numPr>
        <w:ilvl w:val="3"/>
      </w:numPr>
    </w:pPr>
  </w:style>
  <w:style w:type="numbering" w:customStyle="1" w:styleId="Bullets">
    <w:name w:val="Bullets"/>
    <w:uiPriority w:val="99"/>
    <w:rsid w:val="00F27D29"/>
    <w:pPr>
      <w:numPr>
        <w:numId w:val="5"/>
      </w:numPr>
    </w:pPr>
  </w:style>
  <w:style w:type="paragraph" w:customStyle="1" w:styleId="NumPlainA2">
    <w:name w:val="Num PlainA2"/>
    <w:basedOn w:val="NumPlainA"/>
    <w:rsid w:val="00171F51"/>
    <w:pPr>
      <w:numPr>
        <w:ilvl w:val="1"/>
      </w:numPr>
      <w:outlineLvl w:val="1"/>
    </w:pPr>
  </w:style>
  <w:style w:type="table" w:styleId="TableGrid">
    <w:name w:val="Table Grid"/>
    <w:basedOn w:val="TableNormal"/>
    <w:rsid w:val="00C03C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NumPlain1">
    <w:name w:val="SubNum Plain1"/>
    <w:basedOn w:val="PlainHanging1"/>
    <w:qFormat/>
    <w:rsid w:val="00A96702"/>
    <w:pPr>
      <w:numPr>
        <w:numId w:val="9"/>
      </w:numPr>
    </w:pPr>
  </w:style>
  <w:style w:type="paragraph" w:customStyle="1" w:styleId="SubNumPlain2">
    <w:name w:val="SubNum Plain2"/>
    <w:basedOn w:val="PlainHanging2"/>
    <w:qFormat/>
    <w:rsid w:val="00A96702"/>
    <w:pPr>
      <w:numPr>
        <w:ilvl w:val="1"/>
        <w:numId w:val="9"/>
      </w:numPr>
    </w:pPr>
  </w:style>
  <w:style w:type="paragraph" w:customStyle="1" w:styleId="SubNumPlain3">
    <w:name w:val="SubNum Plain3"/>
    <w:basedOn w:val="PlainHanging3"/>
    <w:qFormat/>
    <w:rsid w:val="00A96702"/>
    <w:pPr>
      <w:numPr>
        <w:ilvl w:val="2"/>
        <w:numId w:val="9"/>
      </w:numPr>
    </w:pPr>
  </w:style>
  <w:style w:type="paragraph" w:customStyle="1" w:styleId="SubNumPlain4">
    <w:name w:val="SubNum Plain4"/>
    <w:basedOn w:val="PlainHanging4"/>
    <w:qFormat/>
    <w:rsid w:val="00A96702"/>
    <w:pPr>
      <w:numPr>
        <w:ilvl w:val="3"/>
        <w:numId w:val="9"/>
      </w:numPr>
    </w:pPr>
  </w:style>
  <w:style w:type="paragraph" w:customStyle="1" w:styleId="SubNumBold1">
    <w:name w:val="SubNum Bold1"/>
    <w:basedOn w:val="BoldHanging1"/>
    <w:qFormat/>
    <w:rsid w:val="00A96702"/>
    <w:pPr>
      <w:numPr>
        <w:numId w:val="10"/>
      </w:numPr>
    </w:pPr>
  </w:style>
  <w:style w:type="paragraph" w:customStyle="1" w:styleId="SubNumBold2">
    <w:name w:val="SubNum Bold2"/>
    <w:basedOn w:val="BoldHanging2"/>
    <w:qFormat/>
    <w:rsid w:val="00A96702"/>
    <w:pPr>
      <w:numPr>
        <w:ilvl w:val="1"/>
        <w:numId w:val="10"/>
      </w:numPr>
    </w:pPr>
  </w:style>
  <w:style w:type="paragraph" w:customStyle="1" w:styleId="SubNumBold3">
    <w:name w:val="SubNum Bold3"/>
    <w:basedOn w:val="BoldHanging3"/>
    <w:qFormat/>
    <w:rsid w:val="00A96702"/>
    <w:pPr>
      <w:numPr>
        <w:ilvl w:val="2"/>
        <w:numId w:val="10"/>
      </w:numPr>
    </w:pPr>
  </w:style>
  <w:style w:type="paragraph" w:customStyle="1" w:styleId="SubNumBold4">
    <w:name w:val="SubNum Bold4"/>
    <w:basedOn w:val="BoldHanging4"/>
    <w:qFormat/>
    <w:rsid w:val="00A96702"/>
    <w:pPr>
      <w:numPr>
        <w:ilvl w:val="3"/>
        <w:numId w:val="10"/>
      </w:numPr>
    </w:pPr>
  </w:style>
  <w:style w:type="numbering" w:customStyle="1" w:styleId="AASBSubNumbers">
    <w:name w:val="AASB SubNumbers"/>
    <w:uiPriority w:val="99"/>
    <w:rsid w:val="00A96702"/>
    <w:pPr>
      <w:numPr>
        <w:numId w:val="8"/>
      </w:numPr>
    </w:pPr>
  </w:style>
  <w:style w:type="numbering" w:customStyle="1" w:styleId="AASBSubNumbersBold">
    <w:name w:val="AASB SubNumbers Bold"/>
    <w:uiPriority w:val="99"/>
    <w:rsid w:val="00A96702"/>
    <w:pPr>
      <w:numPr>
        <w:numId w:val="10"/>
      </w:numPr>
    </w:pPr>
  </w:style>
  <w:style w:type="character" w:customStyle="1" w:styleId="NumPlain1Char">
    <w:name w:val="Num Plain1 Char"/>
    <w:basedOn w:val="DefaultParagraphFont"/>
    <w:link w:val="NumPlain1"/>
    <w:rsid w:val="000812F8"/>
    <w:rPr>
      <w:sz w:val="19"/>
      <w:lang w:eastAsia="en-US"/>
    </w:rPr>
  </w:style>
  <w:style w:type="paragraph" w:styleId="BalloonText">
    <w:name w:val="Balloon Text"/>
    <w:basedOn w:val="Normal"/>
    <w:link w:val="BalloonTextChar"/>
    <w:semiHidden/>
    <w:unhideWhenUsed/>
    <w:rsid w:val="001A0C8F"/>
    <w:rPr>
      <w:rFonts w:ascii="Segoe UI" w:hAnsi="Segoe UI" w:cs="Segoe UI"/>
      <w:sz w:val="18"/>
      <w:szCs w:val="18"/>
    </w:rPr>
  </w:style>
  <w:style w:type="character" w:customStyle="1" w:styleId="BalloonTextChar">
    <w:name w:val="Balloon Text Char"/>
    <w:basedOn w:val="DefaultParagraphFont"/>
    <w:link w:val="BalloonText"/>
    <w:semiHidden/>
    <w:rsid w:val="001A0C8F"/>
    <w:rPr>
      <w:rFonts w:ascii="Segoe UI" w:hAnsi="Segoe UI" w:cs="Segoe UI"/>
      <w:sz w:val="18"/>
      <w:szCs w:val="18"/>
      <w:lang w:eastAsia="en-US"/>
    </w:rPr>
  </w:style>
  <w:style w:type="character" w:customStyle="1" w:styleId="HeaderChar">
    <w:name w:val="Header Char"/>
    <w:basedOn w:val="DefaultParagraphFont"/>
    <w:link w:val="Header"/>
    <w:uiPriority w:val="99"/>
    <w:rsid w:val="000C659C"/>
    <w:rPr>
      <w:sz w:val="19"/>
      <w:lang w:eastAsia="en-US"/>
    </w:rPr>
  </w:style>
  <w:style w:type="paragraph" w:customStyle="1" w:styleId="IASBNormalnpara">
    <w:name w:val="IASB Normal npara"/>
    <w:basedOn w:val="Normal"/>
    <w:rsid w:val="009010A0"/>
    <w:pPr>
      <w:spacing w:before="100"/>
      <w:ind w:left="782" w:hanging="782"/>
    </w:pPr>
    <w:rPr>
      <w:lang w:val="en-US"/>
    </w:rPr>
  </w:style>
  <w:style w:type="paragraph" w:customStyle="1" w:styleId="IASBSectionTitle1NonInd">
    <w:name w:val="IASB Section Title 1 NonInd"/>
    <w:basedOn w:val="Normal"/>
    <w:rsid w:val="009010A0"/>
    <w:pPr>
      <w:keepNext/>
      <w:keepLines/>
      <w:pBdr>
        <w:bottom w:val="single" w:sz="4" w:space="0" w:color="auto"/>
      </w:pBdr>
      <w:spacing w:before="400" w:after="200"/>
      <w:jc w:val="left"/>
    </w:pPr>
    <w:rPr>
      <w:rFonts w:ascii="Arial" w:hAnsi="Arial" w:cs="Arial"/>
      <w:b/>
      <w:sz w:val="26"/>
      <w:lang w:val="en-US"/>
    </w:rPr>
  </w:style>
  <w:style w:type="paragraph" w:customStyle="1" w:styleId="IASBSectionTitle2Ind">
    <w:name w:val="IASB Section Title 2 Ind"/>
    <w:basedOn w:val="Normal"/>
    <w:rsid w:val="009010A0"/>
    <w:pPr>
      <w:keepNext/>
      <w:keepLines/>
      <w:spacing w:before="240" w:after="200"/>
      <w:ind w:left="782"/>
      <w:jc w:val="left"/>
    </w:pPr>
    <w:rPr>
      <w:rFonts w:ascii="Arial" w:hAnsi="Arial" w:cs="Arial"/>
      <w:b/>
      <w:sz w:val="26"/>
      <w:lang w:val="en-US"/>
    </w:rPr>
  </w:style>
  <w:style w:type="paragraph" w:customStyle="1" w:styleId="IASBSectionTitle3Ind">
    <w:name w:val="IASB Section Title 3 Ind"/>
    <w:basedOn w:val="Normal"/>
    <w:rsid w:val="009010A0"/>
    <w:pPr>
      <w:keepNext/>
      <w:keepLines/>
      <w:spacing w:before="240" w:after="200"/>
      <w:ind w:left="782"/>
      <w:jc w:val="left"/>
    </w:pPr>
    <w:rPr>
      <w:rFonts w:ascii="Arial" w:hAnsi="Arial" w:cs="Arial"/>
      <w:b/>
      <w:sz w:val="22"/>
      <w:lang w:val="en-US"/>
    </w:rPr>
  </w:style>
  <w:style w:type="paragraph" w:customStyle="1" w:styleId="IASBNormalnparaL1">
    <w:name w:val="IASB Normal nparaL1"/>
    <w:basedOn w:val="IASBNormalnpara"/>
    <w:rsid w:val="009010A0"/>
    <w:pPr>
      <w:ind w:left="1564"/>
    </w:pPr>
  </w:style>
  <w:style w:type="paragraph" w:customStyle="1" w:styleId="IASBNormalnparaL2">
    <w:name w:val="IASB Normal nparaL2"/>
    <w:basedOn w:val="IASBNormalnparaL1"/>
    <w:rsid w:val="009010A0"/>
    <w:pPr>
      <w:ind w:left="2347"/>
    </w:pPr>
  </w:style>
  <w:style w:type="paragraph" w:customStyle="1" w:styleId="IASBTableArial">
    <w:name w:val="IASB Table Arial"/>
    <w:basedOn w:val="Normal"/>
    <w:rsid w:val="009010A0"/>
    <w:pPr>
      <w:spacing w:before="120"/>
      <w:jc w:val="left"/>
    </w:pPr>
    <w:rPr>
      <w:rFonts w:ascii="Arial" w:hAnsi="Arial"/>
      <w:sz w:val="18"/>
      <w:lang w:val="en-GB" w:eastAsia="en-GB"/>
    </w:rPr>
  </w:style>
  <w:style w:type="paragraph" w:customStyle="1" w:styleId="IASBNormal">
    <w:name w:val="IASB Normal"/>
    <w:rsid w:val="0086497E"/>
    <w:pPr>
      <w:tabs>
        <w:tab w:val="left" w:pos="4253"/>
      </w:tabs>
      <w:spacing w:before="100" w:after="100"/>
      <w:jc w:val="both"/>
    </w:pPr>
    <w:rPr>
      <w:sz w:val="19"/>
      <w:lang w:val="en-US" w:eastAsia="en-US"/>
    </w:rPr>
  </w:style>
  <w:style w:type="character" w:styleId="CommentReference">
    <w:name w:val="annotation reference"/>
    <w:basedOn w:val="DefaultParagraphFont"/>
    <w:semiHidden/>
    <w:unhideWhenUsed/>
    <w:rsid w:val="009B6788"/>
    <w:rPr>
      <w:sz w:val="16"/>
      <w:szCs w:val="16"/>
    </w:rPr>
  </w:style>
  <w:style w:type="paragraph" w:styleId="CommentText">
    <w:name w:val="annotation text"/>
    <w:basedOn w:val="Normal"/>
    <w:link w:val="CommentTextChar"/>
    <w:semiHidden/>
    <w:unhideWhenUsed/>
    <w:rsid w:val="009B6788"/>
    <w:rPr>
      <w:sz w:val="20"/>
    </w:rPr>
  </w:style>
  <w:style w:type="character" w:customStyle="1" w:styleId="CommentTextChar">
    <w:name w:val="Comment Text Char"/>
    <w:basedOn w:val="DefaultParagraphFont"/>
    <w:link w:val="CommentText"/>
    <w:semiHidden/>
    <w:rsid w:val="009B6788"/>
    <w:rPr>
      <w:lang w:eastAsia="en-US"/>
    </w:rPr>
  </w:style>
  <w:style w:type="paragraph" w:styleId="CommentSubject">
    <w:name w:val="annotation subject"/>
    <w:basedOn w:val="CommentText"/>
    <w:next w:val="CommentText"/>
    <w:link w:val="CommentSubjectChar"/>
    <w:semiHidden/>
    <w:unhideWhenUsed/>
    <w:rsid w:val="009B6788"/>
    <w:rPr>
      <w:b/>
      <w:bCs/>
    </w:rPr>
  </w:style>
  <w:style w:type="character" w:customStyle="1" w:styleId="CommentSubjectChar">
    <w:name w:val="Comment Subject Char"/>
    <w:basedOn w:val="CommentTextChar"/>
    <w:link w:val="CommentSubject"/>
    <w:semiHidden/>
    <w:rsid w:val="009B6788"/>
    <w:rPr>
      <w:b/>
      <w:bCs/>
      <w:lang w:eastAsia="en-US"/>
    </w:rPr>
  </w:style>
  <w:style w:type="paragraph" w:customStyle="1" w:styleId="IASBSectionTitle2NonInd">
    <w:name w:val="IASB Section Title 2 NonInd"/>
    <w:basedOn w:val="Normal"/>
    <w:rsid w:val="00B21A02"/>
    <w:pPr>
      <w:keepNext/>
      <w:keepLines/>
      <w:spacing w:before="300" w:after="200"/>
      <w:jc w:val="left"/>
    </w:pPr>
    <w:rPr>
      <w:rFonts w:ascii="Arial" w:hAnsi="Arial" w:cs="Arial"/>
      <w:b/>
      <w:sz w:val="26"/>
      <w:lang w:val="en-US"/>
    </w:rPr>
  </w:style>
  <w:style w:type="paragraph" w:customStyle="1" w:styleId="IASBNote">
    <w:name w:val="IASB Note"/>
    <w:basedOn w:val="IASBNormal"/>
    <w:rsid w:val="00B21A02"/>
  </w:style>
  <w:style w:type="character" w:styleId="FootnoteReference">
    <w:name w:val="footnote reference"/>
    <w:basedOn w:val="DefaultParagraphFont"/>
    <w:uiPriority w:val="99"/>
    <w:semiHidden/>
    <w:unhideWhenUsed/>
    <w:rsid w:val="00B21A02"/>
    <w:rPr>
      <w:rFonts w:cs="Times New Roman"/>
      <w:vertAlign w:val="superscript"/>
    </w:rPr>
  </w:style>
  <w:style w:type="paragraph" w:customStyle="1" w:styleId="IASBNormalL1">
    <w:name w:val="IASB Normal L1"/>
    <w:basedOn w:val="IASBNormalnpara"/>
    <w:rsid w:val="00B21A02"/>
  </w:style>
  <w:style w:type="paragraph" w:customStyle="1" w:styleId="IASBTableHeaderArial">
    <w:name w:val="IASB Table Header Arial"/>
    <w:basedOn w:val="IASBTableArial"/>
    <w:qFormat/>
    <w:rsid w:val="00B21A02"/>
    <w:pPr>
      <w:keepNext/>
      <w:spacing w:after="100"/>
    </w:pPr>
    <w:rPr>
      <w:b/>
    </w:rPr>
  </w:style>
  <w:style w:type="character" w:styleId="PlaceholderText">
    <w:name w:val="Placeholder Text"/>
    <w:basedOn w:val="DefaultParagraphFont"/>
    <w:uiPriority w:val="99"/>
    <w:semiHidden/>
    <w:rsid w:val="001C00E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86851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tomich\AUSTRALIAN%20ACCOUNTING%20STANDARDS%20-%20AUDITING%20AND%20ASSURANCE%20STANDARDS%20BOARD\OfficeTemplates%20-%20Documents\Templates\AmendingIFR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854013440"/>
        <w:category>
          <w:name w:val="General"/>
          <w:gallery w:val="placeholder"/>
        </w:category>
        <w:types>
          <w:type w:val="bbPlcHdr"/>
        </w:types>
        <w:behaviors>
          <w:behavior w:val="content"/>
        </w:behaviors>
        <w:guid w:val="{E96DC0CA-82B4-47A4-9DB1-C46B5DFB04AE}"/>
      </w:docPartPr>
      <w:docPartBody>
        <w:p w:rsidR="0060380D" w:rsidRDefault="00377986">
          <w:r w:rsidRPr="00BF725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986"/>
    <w:rsid w:val="00377986"/>
    <w:rsid w:val="005C565F"/>
    <w:rsid w:val="0060380D"/>
    <w:rsid w:val="00EA70F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77986"/>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235365B3F33648BC5906CA8169449B" ma:contentTypeVersion="2" ma:contentTypeDescription="Create a new document." ma:contentTypeScope="" ma:versionID="1af8892b87a24bd1894bfe8ab8be90cd">
  <xsd:schema xmlns:xsd="http://www.w3.org/2001/XMLSchema" xmlns:xs="http://www.w3.org/2001/XMLSchema" xmlns:p="http://schemas.microsoft.com/office/2006/metadata/properties" xmlns:ns2="4e2d1ddd-4ff2-4144-ad72-d941cc701c35" targetNamespace="http://schemas.microsoft.com/office/2006/metadata/properties" ma:root="true" ma:fieldsID="2885e049d223e860e3d7cee3cf39b381" ns2:_="">
    <xsd:import namespace="4e2d1ddd-4ff2-4144-ad72-d941cc701c35"/>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2d1ddd-4ff2-4144-ad72-d941cc701c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0DE2E35-0955-47ED-B855-2960DFA819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2d1ddd-4ff2-4144-ad72-d941cc701c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7A1AF4B-4629-41B3-A265-8B4B6027C38B}">
  <ds:schemaRefs>
    <ds:schemaRef ds:uri="http://schemas.openxmlformats.org/officeDocument/2006/bibliography"/>
  </ds:schemaRefs>
</ds:datastoreItem>
</file>

<file path=customXml/itemProps3.xml><?xml version="1.0" encoding="utf-8"?>
<ds:datastoreItem xmlns:ds="http://schemas.openxmlformats.org/officeDocument/2006/customXml" ds:itemID="{D1660860-9CE2-4828-8B89-E5C48DFB63AE}">
  <ds:schemaRefs>
    <ds:schemaRef ds:uri="http://schemas.microsoft.com/sharepoint/v3/contenttype/forms"/>
  </ds:schemaRefs>
</ds:datastoreItem>
</file>

<file path=customXml/itemProps4.xml><?xml version="1.0" encoding="utf-8"?>
<ds:datastoreItem xmlns:ds="http://schemas.openxmlformats.org/officeDocument/2006/customXml" ds:itemID="{C6F821C3-00EA-46A5-8D5F-F5FD41216991}">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4e2d1ddd-4ff2-4144-ad72-d941cc701c35"/>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AmendingIFRS</Template>
  <TotalTime>1426</TotalTime>
  <Pages>9</Pages>
  <Words>2696</Words>
  <Characters>15404</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AASB 2021-5</vt:lpstr>
    </vt:vector>
  </TitlesOfParts>
  <Company>Australian Accounting Standards Board</Company>
  <LinksUpToDate>false</LinksUpToDate>
  <CharactersWithSpaces>18064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AASB 2021-5</dc:title>
  <dc:subject/>
  <dc:creator>.</dc:creator>
  <cp:lastModifiedBy>Andrew Tomich</cp:lastModifiedBy>
  <cp:revision>110</cp:revision>
  <cp:lastPrinted>2021-06-05T01:56:00Z</cp:lastPrinted>
  <dcterms:created xsi:type="dcterms:W3CDTF">2021-05-26T23:24:00Z</dcterms:created>
  <dcterms:modified xsi:type="dcterms:W3CDTF">2021-07-02T01:53:00Z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0x0101003B235365B3F33648BC5906CA8169449B</vt:lpwstr>
  </property>
</Properties>
</file>