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57A3E" w14:textId="77777777" w:rsidR="00D603B2" w:rsidRPr="00007A20" w:rsidRDefault="00D603B2" w:rsidP="00007A20">
      <w:pPr>
        <w:pStyle w:val="NormalExplanatorystatement"/>
        <w:jc w:val="center"/>
        <w:rPr>
          <w:b/>
          <w:u w:val="single"/>
        </w:rPr>
      </w:pPr>
      <w:bookmarkStart w:id="0" w:name="_GoBack"/>
      <w:bookmarkEnd w:id="0"/>
      <w:r w:rsidRPr="00007A20">
        <w:rPr>
          <w:b/>
          <w:u w:val="single"/>
        </w:rPr>
        <w:t>EXPLANATORY STATEMENT</w:t>
      </w:r>
    </w:p>
    <w:p w14:paraId="7E2F67E6" w14:textId="77777777" w:rsidR="00D603B2" w:rsidRDefault="00D603B2" w:rsidP="00007A20">
      <w:pPr>
        <w:pStyle w:val="NormalExplanatorystatement"/>
      </w:pPr>
      <w:r>
        <w:t>Issued by the authority of the</w:t>
      </w:r>
      <w:r w:rsidR="003B7E41">
        <w:t xml:space="preserve"> </w:t>
      </w:r>
      <w:r w:rsidR="003B7E41" w:rsidRPr="006C4678">
        <w:t>Minister</w:t>
      </w:r>
      <w:r w:rsidR="003B7E41">
        <w:t xml:space="preserve"> </w:t>
      </w:r>
      <w:r w:rsidR="003B7E41" w:rsidRPr="006C4678">
        <w:t xml:space="preserve">for </w:t>
      </w:r>
      <w:r w:rsidR="003B7E41">
        <w:t>Decentralisation and Regional Education</w:t>
      </w:r>
    </w:p>
    <w:p w14:paraId="7BB1D86A" w14:textId="77777777" w:rsidR="00D603B2" w:rsidRPr="00E02162" w:rsidRDefault="00D603B2" w:rsidP="00007A20">
      <w:pPr>
        <w:pStyle w:val="NormalExplanatorystatement"/>
        <w:jc w:val="center"/>
        <w:rPr>
          <w:i/>
        </w:rPr>
      </w:pPr>
      <w:r w:rsidRPr="00E02162">
        <w:rPr>
          <w:i/>
        </w:rPr>
        <w:t>Industry Research and Development Act 1986</w:t>
      </w:r>
    </w:p>
    <w:p w14:paraId="70C85011" w14:textId="77777777" w:rsidR="00D603B2" w:rsidRPr="00007A20" w:rsidRDefault="00B25E1B" w:rsidP="00007A20">
      <w:pPr>
        <w:pStyle w:val="NormalExplanatorystatement"/>
        <w:jc w:val="center"/>
        <w:rPr>
          <w:i/>
          <w:u w:val="single"/>
        </w:rPr>
      </w:pPr>
      <w:r w:rsidRPr="00B25E1B">
        <w:rPr>
          <w:i/>
          <w:u w:val="single"/>
        </w:rPr>
        <w:t xml:space="preserve">Industry Research and Development (Regional Decentralisation Agenda – Securing Raw Materials Program) </w:t>
      </w:r>
      <w:r w:rsidR="00CF24B4">
        <w:rPr>
          <w:i/>
          <w:u w:val="single"/>
        </w:rPr>
        <w:t>– Instrument 2021</w:t>
      </w:r>
    </w:p>
    <w:p w14:paraId="4FB49C3A" w14:textId="77777777" w:rsidR="00D603B2" w:rsidRPr="00007A20" w:rsidRDefault="00D603B2" w:rsidP="00007A20">
      <w:pPr>
        <w:pStyle w:val="NormalExplanatorystatement"/>
        <w:rPr>
          <w:b/>
          <w:u w:val="single"/>
        </w:rPr>
      </w:pPr>
      <w:r w:rsidRPr="00007A20">
        <w:rPr>
          <w:b/>
          <w:u w:val="single"/>
        </w:rPr>
        <w:t>Purpose and Operation</w:t>
      </w:r>
    </w:p>
    <w:p w14:paraId="5EDA473E" w14:textId="77777777" w:rsidR="00D603B2" w:rsidRDefault="00D603B2" w:rsidP="00007A20">
      <w:pPr>
        <w:pStyle w:val="NormalExplanatorystatement"/>
      </w:pPr>
      <w:r>
        <w:t xml:space="preserve">Section 33 of the </w:t>
      </w:r>
      <w:r>
        <w:rPr>
          <w:i/>
        </w:rPr>
        <w:t>Industry Research and Development Act 1986</w:t>
      </w:r>
      <w:r w:rsidRPr="00A14F0C">
        <w:t xml:space="preserve"> (the IR&amp;D </w:t>
      </w:r>
      <w:r>
        <w:t>Act) provides a mechanism for the Minister to prescribe programs, by disallowable legislative instrument, in relation to</w:t>
      </w:r>
      <w:r w:rsidRPr="00A14F0C">
        <w:t xml:space="preserve"> industry</w:t>
      </w:r>
      <w:r>
        <w:t>, innovation, science or</w:t>
      </w:r>
      <w:r w:rsidRPr="00A14F0C">
        <w:t xml:space="preserve"> research</w:t>
      </w:r>
      <w:r>
        <w:t>, including in relation to the expenditure of Commonwealth money under such programs</w:t>
      </w:r>
      <w:r w:rsidRPr="00A14F0C">
        <w:t>.</w:t>
      </w:r>
      <w:r>
        <w:t xml:space="preserve"> </w:t>
      </w:r>
    </w:p>
    <w:p w14:paraId="76EBFE1F" w14:textId="77777777" w:rsidR="00D603B2" w:rsidRDefault="00D603B2" w:rsidP="00007A20">
      <w:pPr>
        <w:pStyle w:val="NormalExplanatorystatement"/>
      </w:pPr>
      <w:r>
        <w:t xml:space="preserve">The statutory framework provided by s33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5680DAFB" w14:textId="77777777" w:rsidR="00D603B2" w:rsidRDefault="00D603B2" w:rsidP="00007A20">
      <w:pPr>
        <w:pStyle w:val="NormalExplanatorystatement"/>
      </w:pPr>
      <w:r>
        <w:t xml:space="preserve">Once a program is prescribed by the Minister under s33,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s36). </w:t>
      </w:r>
    </w:p>
    <w:p w14:paraId="285DA26E" w14:textId="0326C1B3" w:rsidR="000336E5" w:rsidRDefault="00D603B2" w:rsidP="00007A20">
      <w:pPr>
        <w:pStyle w:val="NormalExplanatorystatement"/>
      </w:pPr>
      <w:r>
        <w:t xml:space="preserve">The purpose of the </w:t>
      </w:r>
      <w:r w:rsidR="00B25E1B" w:rsidRPr="00B25E1B">
        <w:t>Industry Research and Development (Regional Decentralisation Agenda – Securing Raw Materials Program)</w:t>
      </w:r>
      <w:r w:rsidR="0053159C">
        <w:t xml:space="preserve"> Instrument 2021</w:t>
      </w:r>
      <w:r w:rsidR="00C13272">
        <w:t xml:space="preserve"> </w:t>
      </w:r>
      <w:r>
        <w:t xml:space="preserve">(the Legislative Instrument) is to prescribe the </w:t>
      </w:r>
      <w:r w:rsidR="00756A89" w:rsidRPr="00756A89">
        <w:t xml:space="preserve">Regional Decentralisation Agenda – Securing Raw Materials Program </w:t>
      </w:r>
      <w:r>
        <w:t xml:space="preserve">(the Program). The funding for the Program </w:t>
      </w:r>
      <w:r w:rsidR="000336E5">
        <w:t xml:space="preserve">was provided in the 2020-21 Budget and appropriated to the </w:t>
      </w:r>
      <w:r w:rsidR="00756A89" w:rsidRPr="00756A89">
        <w:t>Department of Infrastructure, Transport, Regional Development and Communications</w:t>
      </w:r>
      <w:r>
        <w:t xml:space="preserve">. The Program </w:t>
      </w:r>
      <w:r w:rsidR="000336E5">
        <w:t xml:space="preserve">forms part of the Australian Government’s </w:t>
      </w:r>
      <w:r w:rsidR="00E4512B">
        <w:t xml:space="preserve">Regional </w:t>
      </w:r>
      <w:r w:rsidR="000336E5">
        <w:t xml:space="preserve">Decentralisation Agenda, and will support </w:t>
      </w:r>
      <w:r w:rsidR="00756A89">
        <w:t>t</w:t>
      </w:r>
      <w:r w:rsidR="00756A89" w:rsidRPr="00756A89">
        <w:t>he long-term economic prosperity of Australia’s region</w:t>
      </w:r>
      <w:r w:rsidR="000336E5">
        <w:t>s</w:t>
      </w:r>
      <w:r w:rsidR="00756A89" w:rsidRPr="00756A89">
        <w:t xml:space="preserve"> by promoting jobs growth, boosting investment, and building sustainable businesses and competitive regional industries. </w:t>
      </w:r>
    </w:p>
    <w:p w14:paraId="5336648F" w14:textId="77777777" w:rsidR="0047549C" w:rsidRDefault="0047549C">
      <w:pPr>
        <w:spacing w:before="0" w:after="160" w:line="259" w:lineRule="auto"/>
        <w:rPr>
          <w:rFonts w:ascii="Times New Roman" w:hAnsi="Times New Roman" w:cs="Times New Roman"/>
          <w:szCs w:val="24"/>
        </w:rPr>
      </w:pPr>
      <w:r>
        <w:br w:type="page"/>
      </w:r>
    </w:p>
    <w:p w14:paraId="17E55977" w14:textId="77777777" w:rsidR="00435101" w:rsidRDefault="00435101" w:rsidP="00435101">
      <w:pPr>
        <w:pStyle w:val="NormalExplanatorystatement"/>
      </w:pPr>
      <w:r>
        <w:lastRenderedPageBreak/>
        <w:t>The program provides funding for businesses to do one or more of the following activities:</w:t>
      </w:r>
    </w:p>
    <w:p w14:paraId="54A5F622" w14:textId="77777777" w:rsidR="00435101" w:rsidRDefault="00435101" w:rsidP="00435101">
      <w:pPr>
        <w:pStyle w:val="NormalExplanatorystatement"/>
        <w:numPr>
          <w:ilvl w:val="0"/>
          <w:numId w:val="42"/>
        </w:numPr>
      </w:pPr>
      <w:r>
        <w:t>relocate to regional areas;</w:t>
      </w:r>
    </w:p>
    <w:p w14:paraId="7DE05043" w14:textId="77777777" w:rsidR="00435101" w:rsidRDefault="00435101" w:rsidP="00435101">
      <w:pPr>
        <w:pStyle w:val="NormalExplanatorystatement"/>
        <w:numPr>
          <w:ilvl w:val="0"/>
          <w:numId w:val="42"/>
        </w:numPr>
      </w:pPr>
      <w:r>
        <w:t>establish new operations, branches or outposts in regional areas;</w:t>
      </w:r>
    </w:p>
    <w:p w14:paraId="21741958" w14:textId="77777777" w:rsidR="00435101" w:rsidRDefault="00435101" w:rsidP="00435101">
      <w:pPr>
        <w:pStyle w:val="NormalExplanatorystatement"/>
        <w:numPr>
          <w:ilvl w:val="0"/>
          <w:numId w:val="42"/>
        </w:numPr>
      </w:pPr>
      <w:r>
        <w:t>partner with regional universities or research organisations to conduct research and development in relation to locally sourced raw materials;</w:t>
      </w:r>
    </w:p>
    <w:p w14:paraId="7DFD1A4F" w14:textId="77777777" w:rsidR="00435101" w:rsidRDefault="00435101" w:rsidP="00435101">
      <w:pPr>
        <w:pStyle w:val="NormalExplanatorystatement"/>
        <w:numPr>
          <w:ilvl w:val="0"/>
          <w:numId w:val="42"/>
        </w:numPr>
      </w:pPr>
      <w:r>
        <w:t>commercialise the outcomes of that research and development;</w:t>
      </w:r>
    </w:p>
    <w:p w14:paraId="647905CC" w14:textId="01EA1A0B" w:rsidR="00435101" w:rsidRDefault="00435101" w:rsidP="00435101">
      <w:pPr>
        <w:pStyle w:val="NormalExplanatorystatement"/>
        <w:numPr>
          <w:ilvl w:val="0"/>
          <w:numId w:val="42"/>
        </w:numPr>
      </w:pPr>
      <w:r>
        <w:t>establish new facilities in regional areas to extract, process, use or otherwise add value to locally sourced raw materials.</w:t>
      </w:r>
    </w:p>
    <w:p w14:paraId="7E6D4A34" w14:textId="3F82256D" w:rsidR="004712EC" w:rsidRDefault="00D76A90" w:rsidP="004712EC">
      <w:pPr>
        <w:pStyle w:val="NormalExplanatorystatement"/>
      </w:pPr>
      <w:r w:rsidRPr="006465CB">
        <w:t xml:space="preserve">The Program will provide $35 million </w:t>
      </w:r>
      <w:r w:rsidR="00BD5CAD">
        <w:t>from 2021</w:t>
      </w:r>
      <w:r w:rsidR="00BD5CAD">
        <w:noBreakHyphen/>
        <w:t>22</w:t>
      </w:r>
      <w:r w:rsidRPr="006465CB">
        <w:t xml:space="preserve"> for matched investments of up to </w:t>
      </w:r>
      <w:r w:rsidR="00BD5CAD">
        <w:t xml:space="preserve">         </w:t>
      </w:r>
      <w:r w:rsidRPr="006465CB">
        <w:t xml:space="preserve">$5 million. </w:t>
      </w:r>
    </w:p>
    <w:p w14:paraId="41C4A6E0" w14:textId="3EC7778D" w:rsidR="00D603B2" w:rsidRDefault="004712EC" w:rsidP="004712EC">
      <w:pPr>
        <w:pStyle w:val="NormalExplanatorystatement"/>
      </w:pPr>
      <w:r>
        <w:t>E</w:t>
      </w:r>
      <w:r w:rsidR="004D2B2A">
        <w:t xml:space="preserve">ligible </w:t>
      </w:r>
      <w:r w:rsidR="006465CB">
        <w:t>activities</w:t>
      </w:r>
      <w:r w:rsidR="004D2B2A">
        <w:t xml:space="preserve"> </w:t>
      </w:r>
      <w:r>
        <w:t xml:space="preserve">within the projects </w:t>
      </w:r>
      <w:r w:rsidR="00A515C8">
        <w:t xml:space="preserve">include </w:t>
      </w:r>
      <w:r w:rsidR="00B25E1B">
        <w:t>research into, and development of, new or improved raw materials, methods of processing raw materials, technologies to produce raw materials or methods of growing raw materials, or new uses for existing raw materials</w:t>
      </w:r>
      <w:r>
        <w:t>. They can also be</w:t>
      </w:r>
      <w:r w:rsidR="004D2B2A">
        <w:t xml:space="preserve"> </w:t>
      </w:r>
      <w:r w:rsidR="00B25E1B">
        <w:t>proof of concept of the outcomes of research</w:t>
      </w:r>
      <w:r w:rsidR="00B03AB9">
        <w:t xml:space="preserve"> or</w:t>
      </w:r>
      <w:r w:rsidR="004D2B2A">
        <w:t xml:space="preserve"> </w:t>
      </w:r>
      <w:r w:rsidR="00B25E1B">
        <w:t>commercialising the outcomes of research</w:t>
      </w:r>
      <w:r w:rsidR="00B03AB9">
        <w:t>.</w:t>
      </w:r>
    </w:p>
    <w:p w14:paraId="3042AE20" w14:textId="29EFB672" w:rsidR="00D603B2" w:rsidRDefault="00D603B2" w:rsidP="00007A20">
      <w:pPr>
        <w:pStyle w:val="NormalExplanatorystatement"/>
      </w:pPr>
      <w:r>
        <w:t xml:space="preserve">Funding authorised by this Legislative Instrument comes from Program </w:t>
      </w:r>
      <w:r w:rsidR="000E3AAD">
        <w:t>3.1 of the</w:t>
      </w:r>
      <w:r w:rsidR="000336E5">
        <w:t xml:space="preserve"> </w:t>
      </w:r>
      <w:r w:rsidRPr="000E3AAD">
        <w:t>Portfolio Budget Statements (PBS)</w:t>
      </w:r>
      <w:r>
        <w:t xml:space="preserve">, Outcome </w:t>
      </w:r>
      <w:r w:rsidR="00236E40">
        <w:t>3: Strengthening the sustainability, capacity, and diversity of our cities and regional economies</w:t>
      </w:r>
      <w:r>
        <w:t xml:space="preserve">, as set out in the </w:t>
      </w:r>
      <w:r>
        <w:rPr>
          <w:i/>
        </w:rPr>
        <w:t xml:space="preserve">Portfolio Budget Statements </w:t>
      </w:r>
      <w:r w:rsidR="000E3AAD">
        <w:rPr>
          <w:i/>
        </w:rPr>
        <w:t>2020-21</w:t>
      </w:r>
      <w:r>
        <w:rPr>
          <w:i/>
        </w:rPr>
        <w:t xml:space="preserve">, Budget Related Paper No. </w:t>
      </w:r>
      <w:r w:rsidR="000E3AAD">
        <w:rPr>
          <w:i/>
        </w:rPr>
        <w:t>1.10</w:t>
      </w:r>
      <w:r>
        <w:rPr>
          <w:i/>
        </w:rPr>
        <w:t xml:space="preserve">, </w:t>
      </w:r>
      <w:hyperlink r:id="rId11" w:history="1">
        <w:r w:rsidR="000E3AAD" w:rsidRPr="000E3AAD">
          <w:rPr>
            <w:rStyle w:val="Hyperlink"/>
            <w:i/>
          </w:rPr>
          <w:t>Infrastructure, Transport, Regional Development and Communications Portfolio</w:t>
        </w:r>
      </w:hyperlink>
      <w:r>
        <w:rPr>
          <w:i/>
        </w:rPr>
        <w:t xml:space="preserve"> </w:t>
      </w:r>
      <w:r w:rsidRPr="00DB0463">
        <w:t xml:space="preserve">at page </w:t>
      </w:r>
      <w:r w:rsidR="000E3AAD">
        <w:t>56</w:t>
      </w:r>
      <w:r w:rsidRPr="00283BDB">
        <w:t>.</w:t>
      </w:r>
    </w:p>
    <w:p w14:paraId="091ED7CC" w14:textId="77777777" w:rsidR="00D603B2" w:rsidRDefault="00D603B2" w:rsidP="00007A20">
      <w:pPr>
        <w:pStyle w:val="NormalExplanatorystatement"/>
      </w:pPr>
      <w:r w:rsidRPr="00A441A0">
        <w:t xml:space="preserve">The Program will be delivered by the </w:t>
      </w:r>
      <w:r w:rsidRPr="006544AB">
        <w:t>Department</w:t>
      </w:r>
      <w:r w:rsidR="00756A89" w:rsidRPr="006544AB">
        <w:t xml:space="preserve"> of </w:t>
      </w:r>
      <w:r w:rsidR="00756A89" w:rsidRPr="00A441A0">
        <w:t>Industry, Science, Energy and Resources</w:t>
      </w:r>
      <w:r w:rsidRPr="006544AB">
        <w:t xml:space="preserve">’ </w:t>
      </w:r>
      <w:r w:rsidR="009F47B0">
        <w:t xml:space="preserve">(the Department) </w:t>
      </w:r>
      <w:r w:rsidRPr="006544AB">
        <w:t>Business Grants Hub, which is a specialised design, management and delivery body with extensive expertise and capability in delivering similar programs</w:t>
      </w:r>
      <w:r w:rsidRPr="00A441A0">
        <w:t>.</w:t>
      </w:r>
      <w:r>
        <w:t xml:space="preserve"> </w:t>
      </w:r>
    </w:p>
    <w:p w14:paraId="7F495C3C" w14:textId="27215BCE" w:rsidR="00D603B2" w:rsidRDefault="00D603B2" w:rsidP="00007A20">
      <w:pPr>
        <w:pStyle w:val="NormalExplanatorystatement"/>
      </w:pPr>
      <w:r w:rsidRPr="000D135A">
        <w:t xml:space="preserve">The Program is a </w:t>
      </w:r>
      <w:r w:rsidRPr="006544AB">
        <w:t>competitive, merit based grants program</w:t>
      </w:r>
      <w:r w:rsidR="00756A89" w:rsidRPr="006544AB">
        <w:t xml:space="preserve">. </w:t>
      </w:r>
      <w:r w:rsidRPr="006544AB">
        <w:t xml:space="preserve">The Program is administered by the Department in accordance with the </w:t>
      </w:r>
      <w:r w:rsidRPr="0047549C">
        <w:t>Commonwealth Grant Rules and Guidelines 2017</w:t>
      </w:r>
      <w:r w:rsidRPr="006544AB">
        <w:rPr>
          <w:i/>
        </w:rPr>
        <w:t xml:space="preserve"> </w:t>
      </w:r>
      <w:r w:rsidRPr="006544AB">
        <w:t>(</w:t>
      </w:r>
      <w:r w:rsidR="00B5276F" w:rsidRPr="00B5276F">
        <w:rPr>
          <w:rStyle w:val="Hyperlink"/>
          <w:i/>
        </w:rPr>
        <w:t>https://www.finance.gov.au/government/commonwealth-grants/commonwealth-grants-rules-and-guidelines</w:t>
      </w:r>
      <w:r w:rsidRPr="006544AB">
        <w:t>)</w:t>
      </w:r>
      <w:r w:rsidR="000D135A" w:rsidRPr="006544AB">
        <w:t xml:space="preserve">. </w:t>
      </w:r>
      <w:r w:rsidRPr="006544AB">
        <w:t xml:space="preserve">Eligibility and merit criteria </w:t>
      </w:r>
      <w:r w:rsidR="003B089A">
        <w:t xml:space="preserve">will be </w:t>
      </w:r>
      <w:r w:rsidRPr="006544AB">
        <w:t>outlined in the Program guidelines</w:t>
      </w:r>
      <w:r w:rsidR="003B089A">
        <w:t xml:space="preserve"> that will be made </w:t>
      </w:r>
      <w:r w:rsidR="006934A9">
        <w:t xml:space="preserve">publicly </w:t>
      </w:r>
      <w:r w:rsidR="003B089A">
        <w:t>availab</w:t>
      </w:r>
      <w:r w:rsidR="0053159C">
        <w:t>le on business.gov.au and Grant</w:t>
      </w:r>
      <w:r w:rsidR="003B089A">
        <w:t>Connect.</w:t>
      </w:r>
    </w:p>
    <w:p w14:paraId="3C6473AA" w14:textId="1978BE88" w:rsidR="00D603B2" w:rsidRDefault="00D603B2" w:rsidP="00007A20">
      <w:pPr>
        <w:pStyle w:val="NormalExplanatorystatement"/>
      </w:pPr>
      <w:r w:rsidRPr="003B089A">
        <w:t xml:space="preserve">Spending decisions will be made by the </w:t>
      </w:r>
      <w:r w:rsidR="008F2615">
        <w:t>delegate</w:t>
      </w:r>
      <w:r w:rsidRPr="00E45D79">
        <w:t xml:space="preserve">, taking into account the recommendations of </w:t>
      </w:r>
      <w:r w:rsidR="009D2CEE">
        <w:t xml:space="preserve">an independent </w:t>
      </w:r>
      <w:r w:rsidR="00B158D7">
        <w:t>assessment committee</w:t>
      </w:r>
      <w:r w:rsidRPr="003B089A">
        <w:t>.</w:t>
      </w:r>
      <w:r>
        <w:t xml:space="preserve"> </w:t>
      </w:r>
    </w:p>
    <w:p w14:paraId="74B622FC" w14:textId="77777777" w:rsidR="00D603B2" w:rsidRDefault="00D603B2" w:rsidP="00007A20">
      <w:pPr>
        <w:pStyle w:val="NormalExplanatorystatement"/>
      </w:pPr>
      <w:r w:rsidRPr="006544AB">
        <w:t>Grants will be a minimum of $</w:t>
      </w:r>
      <w:r w:rsidR="00A32653" w:rsidRPr="009F47B0">
        <w:t xml:space="preserve">250,000 </w:t>
      </w:r>
      <w:r w:rsidRPr="006544AB">
        <w:t>up to a maximum of $</w:t>
      </w:r>
      <w:r w:rsidR="00A32653" w:rsidRPr="009F47B0">
        <w:t>5 million</w:t>
      </w:r>
      <w:r w:rsidRPr="009F47B0">
        <w:t xml:space="preserve">. </w:t>
      </w:r>
      <w:r w:rsidRPr="006544AB">
        <w:t xml:space="preserve">The grant amount may be up to </w:t>
      </w:r>
      <w:r w:rsidR="00A32653" w:rsidRPr="009F47B0">
        <w:t xml:space="preserve">50 per cent </w:t>
      </w:r>
      <w:r w:rsidRPr="006544AB">
        <w:t xml:space="preserve">of eligible project costs. </w:t>
      </w:r>
    </w:p>
    <w:p w14:paraId="0A6922C6" w14:textId="058C57A4" w:rsidR="00D603B2" w:rsidRDefault="00D603B2" w:rsidP="00007A20">
      <w:pPr>
        <w:pStyle w:val="NormalExplanatorystatement"/>
      </w:pPr>
      <w:r w:rsidRPr="006544AB">
        <w:lastRenderedPageBreak/>
        <w:t xml:space="preserve">The Program involves the allocation of finite resources between competing applicants. In addition, there </w:t>
      </w:r>
      <w:r w:rsidR="00012EAA">
        <w:t>will be</w:t>
      </w:r>
      <w:r w:rsidR="00012EAA" w:rsidRPr="006544AB">
        <w:t xml:space="preserve"> </w:t>
      </w:r>
      <w:r w:rsidRPr="006544AB">
        <w:t>a robust assessment process, an enquiry and feedback process, and a</w:t>
      </w:r>
      <w:r w:rsidR="00012EAA">
        <w:t xml:space="preserve"> </w:t>
      </w:r>
      <w:r w:rsidRPr="006544AB">
        <w:t>complaints mechanism for affected applicants. Therefore, external merit</w:t>
      </w:r>
      <w:r w:rsidR="00012EAA">
        <w:t>s</w:t>
      </w:r>
      <w:r w:rsidRPr="006544AB">
        <w:t xml:space="preserve"> review </w:t>
      </w:r>
      <w:r w:rsidR="00012EAA">
        <w:t>will</w:t>
      </w:r>
      <w:r w:rsidR="00012EAA" w:rsidRPr="006544AB">
        <w:t xml:space="preserve"> </w:t>
      </w:r>
      <w:r w:rsidRPr="006544AB">
        <w:t>not apply to decisions about the provision of grants under the Program.</w:t>
      </w:r>
      <w:r w:rsidRPr="009F47B0">
        <w:t xml:space="preserve"> </w:t>
      </w:r>
    </w:p>
    <w:p w14:paraId="7E67B7E7" w14:textId="77777777" w:rsidR="00D603B2" w:rsidRPr="006544AB" w:rsidRDefault="00D603B2" w:rsidP="00007A20">
      <w:pPr>
        <w:pStyle w:val="NormalExplanatorystatement"/>
      </w:pPr>
      <w:r w:rsidRPr="006544AB">
        <w:t xml:space="preserve">Applications will be assessed against the eligibility criteria and merit criteria set out in the Program guidelines in two stages. </w:t>
      </w:r>
      <w:r w:rsidR="00103AB5">
        <w:t>In the</w:t>
      </w:r>
      <w:r w:rsidR="00103AB5" w:rsidRPr="006544AB">
        <w:t xml:space="preserve"> </w:t>
      </w:r>
      <w:r w:rsidRPr="006544AB">
        <w:t xml:space="preserve">first instance, applications will be assessed by </w:t>
      </w:r>
      <w:r w:rsidR="00E926A7" w:rsidRPr="006544AB">
        <w:t xml:space="preserve">the Department </w:t>
      </w:r>
      <w:r w:rsidRPr="006544AB">
        <w:t xml:space="preserve">against the eligibility criteria. An independent assessment committee will then consider eligible applications against the merit criteria. This will include comparing the applications and scoring each application out of 100. The committee may comprise representatives from </w:t>
      </w:r>
      <w:r w:rsidR="00E926A7" w:rsidRPr="00E926A7">
        <w:t>the Australian university, research and business sectors</w:t>
      </w:r>
      <w:r w:rsidRPr="006544AB">
        <w:t>. The independent assessment committee may seek input from independent experts to inform their assessments.</w:t>
      </w:r>
    </w:p>
    <w:p w14:paraId="6C071F0A" w14:textId="77777777" w:rsidR="00D603B2" w:rsidRDefault="00D603B2" w:rsidP="00007A20">
      <w:pPr>
        <w:pStyle w:val="NormalExplanatorystatement"/>
      </w:pPr>
      <w:r w:rsidRPr="006544AB">
        <w:t>Applications must address the eligibility and merit criteria, and provide relevant supporting information. The amount of detail and supporting evidence should be relative to the project size, complexity and funding amount requested. Larger and more complex projects should include more detailed evidence. To be competitive, applications must score highly against each merit criterion.</w:t>
      </w:r>
    </w:p>
    <w:p w14:paraId="683EA1DD" w14:textId="1AB69F1D" w:rsidR="00D603B2" w:rsidRDefault="00D603B2" w:rsidP="00007A20">
      <w:pPr>
        <w:pStyle w:val="NormalExplanatorystatement"/>
      </w:pPr>
      <w:r w:rsidRPr="006544AB">
        <w:t xml:space="preserve">After considering the applications, the independent assessment committee will make recommendations to the </w:t>
      </w:r>
      <w:r w:rsidR="008F2615">
        <w:t>delegate</w:t>
      </w:r>
      <w:r w:rsidR="008F2615" w:rsidRPr="006544AB">
        <w:t xml:space="preserve"> </w:t>
      </w:r>
      <w:r w:rsidRPr="006544AB">
        <w:t xml:space="preserve">regarding applications suitable for funding. The </w:t>
      </w:r>
      <w:r w:rsidR="008F2615">
        <w:t>delegate</w:t>
      </w:r>
      <w:r w:rsidR="008F2615" w:rsidRPr="006544AB">
        <w:t xml:space="preserve"> </w:t>
      </w:r>
      <w:r w:rsidRPr="006544AB">
        <w:t xml:space="preserve">will make the final decision about which grants to approve, taking into consideration the independent assessment committee’s recommendations and the availability of grant funds. </w:t>
      </w:r>
    </w:p>
    <w:p w14:paraId="45D49664" w14:textId="77777777" w:rsidR="00D603B2" w:rsidRDefault="00D603B2" w:rsidP="00007A20">
      <w:pPr>
        <w:pStyle w:val="NormalExplanatorystatement"/>
      </w:pPr>
      <w:r w:rsidRPr="006544AB">
        <w:t xml:space="preserve">Both successful and unsuccessful applicants will be informed </w:t>
      </w:r>
      <w:r w:rsidR="00DA42CE">
        <w:t xml:space="preserve">of the outcome of their application </w:t>
      </w:r>
      <w:r w:rsidRPr="006544AB">
        <w:t>in writing. Unsuccessful applicants</w:t>
      </w:r>
      <w:r w:rsidR="00DA42CE">
        <w:t xml:space="preserve"> will be given the </w:t>
      </w:r>
      <w:r w:rsidRPr="006544AB">
        <w:t>opportunity to discuss the outcome with the Department</w:t>
      </w:r>
      <w:r w:rsidR="00E926A7" w:rsidRPr="006544AB">
        <w:t>.</w:t>
      </w:r>
    </w:p>
    <w:p w14:paraId="708F9F40" w14:textId="3A7B9192" w:rsidR="00D562E9" w:rsidRDefault="00D603B2" w:rsidP="00007A20">
      <w:pPr>
        <w:pStyle w:val="NormalExplanatorystatement"/>
      </w:pPr>
      <w:r w:rsidRPr="00D24DFD">
        <w:t>Persons who are otherwise affected by decisions or</w:t>
      </w:r>
      <w:r>
        <w:t xml:space="preserve"> who have complaints about the P</w:t>
      </w:r>
      <w:r w:rsidRPr="00D24DFD">
        <w:t xml:space="preserve">rogram </w:t>
      </w:r>
      <w:r>
        <w:t xml:space="preserve">will </w:t>
      </w:r>
      <w:r w:rsidRPr="00D24DFD">
        <w:t xml:space="preserve">also have recourse to the </w:t>
      </w:r>
      <w:r>
        <w:t>D</w:t>
      </w:r>
      <w:r w:rsidRPr="00D24DFD">
        <w:t xml:space="preserve">epartment. The </w:t>
      </w:r>
      <w:r>
        <w:t>D</w:t>
      </w:r>
      <w:r w:rsidRPr="00D24DFD">
        <w:t xml:space="preserve">epartment </w:t>
      </w:r>
      <w:r w:rsidR="00012EAA">
        <w:t xml:space="preserve">will </w:t>
      </w:r>
      <w:r w:rsidRPr="00D24DFD">
        <w:t>invest</w:t>
      </w:r>
      <w:r>
        <w:t>igate any complaints about the P</w:t>
      </w:r>
      <w:r w:rsidRPr="00D24DFD">
        <w:t xml:space="preserve">rogram in accordance with its complaints policy and procedures. If a person is not satisfied with the way </w:t>
      </w:r>
      <w:r>
        <w:t>the D</w:t>
      </w:r>
      <w:r w:rsidRPr="00D24DFD">
        <w:t>epartment handles the complaint</w:t>
      </w:r>
      <w:r>
        <w:t>,</w:t>
      </w:r>
      <w:r w:rsidRPr="00D24DFD">
        <w:t xml:space="preserve"> they may lodge a complaint with the Commonwealth Ombudsman.</w:t>
      </w:r>
    </w:p>
    <w:p w14:paraId="562BEE2A" w14:textId="12A5BCDD" w:rsidR="00D603B2" w:rsidRPr="00007A20" w:rsidRDefault="00D603B2" w:rsidP="00007A20">
      <w:pPr>
        <w:pStyle w:val="NormalExplanatorystatement"/>
        <w:rPr>
          <w:b/>
          <w:u w:val="single"/>
        </w:rPr>
      </w:pPr>
      <w:r w:rsidRPr="006465CB">
        <w:rPr>
          <w:b/>
          <w:u w:val="single"/>
        </w:rPr>
        <w:t>Corporations power</w:t>
      </w:r>
    </w:p>
    <w:p w14:paraId="6E5C9CD1" w14:textId="52522C02" w:rsidR="00A440AA" w:rsidRDefault="00D603B2" w:rsidP="006465CB">
      <w:pPr>
        <w:pStyle w:val="NormalExplanatorystatement"/>
      </w:pPr>
      <w:r w:rsidRPr="006465CB">
        <w:t xml:space="preserve">The Legislative Instrument specifies that the legislative power in respect of which the instrument is made is the power of the Parliament </w:t>
      </w:r>
      <w:r w:rsidR="006F492F">
        <w:t xml:space="preserve">under section 51(xx) of the Constitution </w:t>
      </w:r>
      <w:r w:rsidRPr="006465CB">
        <w:t>to make laws with respect to foreign corporations, and trading or financial corporations formed within the limits of the Commonwealth.</w:t>
      </w:r>
    </w:p>
    <w:p w14:paraId="638DE8E2" w14:textId="77777777" w:rsidR="00144D4C" w:rsidRDefault="006F492F" w:rsidP="006465CB">
      <w:pPr>
        <w:pStyle w:val="NormalExplanatorystatement"/>
      </w:pPr>
      <w:r w:rsidRPr="006465CB">
        <w:t xml:space="preserve">Eligibility to receive funding under the Program is limited to </w:t>
      </w:r>
      <w:r>
        <w:t>entities</w:t>
      </w:r>
      <w:r w:rsidRPr="006465CB">
        <w:t xml:space="preserve"> which are trading corporations to which s</w:t>
      </w:r>
      <w:r w:rsidR="00A440AA">
        <w:t>ection</w:t>
      </w:r>
      <w:r>
        <w:t xml:space="preserve"> </w:t>
      </w:r>
      <w:r w:rsidRPr="006465CB">
        <w:t>51(xx) applies.</w:t>
      </w:r>
    </w:p>
    <w:p w14:paraId="71F8FCC7" w14:textId="2202E167" w:rsidR="00D603B2" w:rsidRDefault="00F20405" w:rsidP="006465CB">
      <w:pPr>
        <w:pStyle w:val="NormalExplanatorystatement"/>
      </w:pPr>
      <w:r>
        <w:lastRenderedPageBreak/>
        <w:t>T</w:t>
      </w:r>
      <w:r w:rsidR="00D603B2" w:rsidRPr="006465CB">
        <w:t xml:space="preserve">erms and conditions </w:t>
      </w:r>
      <w:r w:rsidR="00A440AA">
        <w:t xml:space="preserve">with which grantees must comply to receive funding under the Program will be </w:t>
      </w:r>
      <w:r w:rsidR="00012EAA">
        <w:t>set out in</w:t>
      </w:r>
      <w:r w:rsidR="00D603B2" w:rsidRPr="006465CB">
        <w:t xml:space="preserve"> grant agreements in accordance with s</w:t>
      </w:r>
      <w:r w:rsidR="00A440AA">
        <w:t>ection</w:t>
      </w:r>
      <w:r>
        <w:t xml:space="preserve"> </w:t>
      </w:r>
      <w:r w:rsidR="00D603B2" w:rsidRPr="006465CB">
        <w:t>35 of the Act</w:t>
      </w:r>
      <w:r w:rsidR="003B57B8">
        <w:t>.</w:t>
      </w:r>
    </w:p>
    <w:p w14:paraId="78064C0F" w14:textId="77777777" w:rsidR="00D603B2" w:rsidRPr="00007A20" w:rsidRDefault="00D603B2" w:rsidP="006465CB">
      <w:pPr>
        <w:pStyle w:val="NormalExplanatorystatement"/>
        <w:rPr>
          <w:b/>
          <w:u w:val="single"/>
        </w:rPr>
      </w:pPr>
      <w:r w:rsidRPr="006465CB">
        <w:rPr>
          <w:b/>
          <w:u w:val="single"/>
        </w:rPr>
        <w:t>Background</w:t>
      </w:r>
    </w:p>
    <w:p w14:paraId="24A0DFB3" w14:textId="77777777" w:rsidR="00DA42CE" w:rsidRPr="006465CB" w:rsidRDefault="00DA42CE" w:rsidP="006465CB">
      <w:pPr>
        <w:spacing w:before="0" w:after="0" w:line="276" w:lineRule="auto"/>
        <w:rPr>
          <w:rFonts w:ascii="Times New Roman" w:hAnsi="Times New Roman" w:cs="Times New Roman"/>
        </w:rPr>
      </w:pPr>
      <w:r w:rsidRPr="006465CB">
        <w:rPr>
          <w:rFonts w:ascii="Times New Roman" w:hAnsi="Times New Roman" w:cs="Times New Roman"/>
        </w:rPr>
        <w:t xml:space="preserve">The Regional Decentralisation Agenda is a key element of the Australian Government’s commitment to build strong and vibrant regional communities and economies, create jobs, and encourage growth. </w:t>
      </w:r>
      <w:r w:rsidR="00666946" w:rsidRPr="006465CB">
        <w:rPr>
          <w:rFonts w:ascii="Times New Roman" w:hAnsi="Times New Roman" w:cs="Times New Roman"/>
        </w:rPr>
        <w:t>The Government announced, i</w:t>
      </w:r>
      <w:r w:rsidRPr="006465CB">
        <w:rPr>
          <w:rFonts w:ascii="Times New Roman" w:hAnsi="Times New Roman" w:cs="Times New Roman"/>
        </w:rPr>
        <w:t xml:space="preserve">n the 2020-21 Budget, $41 million </w:t>
      </w:r>
      <w:r w:rsidR="00666946" w:rsidRPr="006465CB">
        <w:rPr>
          <w:rFonts w:ascii="Times New Roman" w:hAnsi="Times New Roman" w:cs="Times New Roman"/>
        </w:rPr>
        <w:t>for two new r</w:t>
      </w:r>
      <w:r w:rsidRPr="006465CB">
        <w:rPr>
          <w:rFonts w:ascii="Times New Roman" w:hAnsi="Times New Roman" w:cs="Times New Roman"/>
        </w:rPr>
        <w:t>esearch and development programs to support regional economies. The initiatives, which are part of the Regional Decentralisation Agenda, are:</w:t>
      </w:r>
    </w:p>
    <w:p w14:paraId="4AB2A06E" w14:textId="132A942A" w:rsidR="00666946" w:rsidRPr="006465CB" w:rsidRDefault="00DA42CE" w:rsidP="006465CB">
      <w:pPr>
        <w:pStyle w:val="ListParagraph"/>
        <w:numPr>
          <w:ilvl w:val="0"/>
          <w:numId w:val="40"/>
        </w:numPr>
        <w:spacing w:before="0" w:after="0" w:line="276" w:lineRule="auto"/>
        <w:ind w:left="851" w:hanging="284"/>
        <w:contextualSpacing w:val="0"/>
        <w:rPr>
          <w:rFonts w:ascii="Times New Roman" w:hAnsi="Times New Roman" w:cs="Times New Roman"/>
        </w:rPr>
      </w:pPr>
      <w:r w:rsidRPr="006465CB">
        <w:rPr>
          <w:rFonts w:ascii="Times New Roman" w:hAnsi="Times New Roman" w:cs="Times New Roman"/>
        </w:rPr>
        <w:t>$35 million for the Securing Raw Materials Program</w:t>
      </w:r>
      <w:r w:rsidR="00666946" w:rsidRPr="006465CB">
        <w:rPr>
          <w:rFonts w:ascii="Times New Roman" w:hAnsi="Times New Roman" w:cs="Times New Roman"/>
        </w:rPr>
        <w:t>; and</w:t>
      </w:r>
    </w:p>
    <w:p w14:paraId="41C183F6" w14:textId="7AB40B3D" w:rsidR="00666946" w:rsidRPr="006465CB" w:rsidRDefault="00DA42CE" w:rsidP="006465CB">
      <w:pPr>
        <w:pStyle w:val="ListParagraph"/>
        <w:numPr>
          <w:ilvl w:val="0"/>
          <w:numId w:val="40"/>
        </w:numPr>
        <w:spacing w:before="0" w:after="0" w:line="276" w:lineRule="auto"/>
        <w:ind w:left="851" w:hanging="284"/>
        <w:contextualSpacing w:val="0"/>
        <w:rPr>
          <w:rFonts w:ascii="Times New Roman" w:hAnsi="Times New Roman" w:cs="Times New Roman"/>
        </w:rPr>
      </w:pPr>
      <w:r w:rsidRPr="006465CB">
        <w:rPr>
          <w:rFonts w:ascii="Times New Roman" w:hAnsi="Times New Roman" w:cs="Times New Roman"/>
        </w:rPr>
        <w:t>$6 million for the Regional Cooperative Research Centre Projects program.</w:t>
      </w:r>
    </w:p>
    <w:p w14:paraId="664AE6ED" w14:textId="77777777" w:rsidR="00D603B2" w:rsidRPr="00007A20" w:rsidRDefault="00D603B2" w:rsidP="00007A20">
      <w:pPr>
        <w:pStyle w:val="NormalExplanatorystatement"/>
        <w:rPr>
          <w:b/>
          <w:u w:val="single"/>
        </w:rPr>
      </w:pPr>
      <w:r w:rsidRPr="00007A20">
        <w:rPr>
          <w:b/>
          <w:u w:val="single"/>
        </w:rPr>
        <w:t>Authority</w:t>
      </w:r>
    </w:p>
    <w:p w14:paraId="6289F6CD" w14:textId="77777777" w:rsidR="00D603B2" w:rsidRPr="00267825" w:rsidRDefault="00D603B2" w:rsidP="00007A20">
      <w:pPr>
        <w:pStyle w:val="NormalExplanatorystatement"/>
      </w:pPr>
      <w:r w:rsidRPr="002633ED">
        <w:t xml:space="preserve">Section 33 of </w:t>
      </w:r>
      <w:r>
        <w:t xml:space="preserve">the </w:t>
      </w:r>
      <w:r>
        <w:rPr>
          <w:i/>
        </w:rPr>
        <w:t>Industry Research and Development Act 1986</w:t>
      </w:r>
      <w:r>
        <w:t xml:space="preserve"> provides authority for the Legislative Instrument. </w:t>
      </w:r>
    </w:p>
    <w:p w14:paraId="61CDF51B" w14:textId="77777777" w:rsidR="00D603B2" w:rsidRPr="00007A20" w:rsidRDefault="00D603B2" w:rsidP="00007A20">
      <w:pPr>
        <w:pStyle w:val="NormalExplanatorystatement"/>
        <w:rPr>
          <w:b/>
          <w:u w:val="single"/>
        </w:rPr>
      </w:pPr>
      <w:r w:rsidRPr="00007A20">
        <w:rPr>
          <w:b/>
          <w:u w:val="single"/>
        </w:rPr>
        <w:t>Consultation</w:t>
      </w:r>
    </w:p>
    <w:p w14:paraId="6D48F140" w14:textId="77777777" w:rsidR="003E105A" w:rsidRDefault="00D603B2" w:rsidP="00007A20">
      <w:pPr>
        <w:pStyle w:val="NormalExplanatorystatement"/>
      </w:pPr>
      <w:r>
        <w:t xml:space="preserve">In accordance with section 17 of the </w:t>
      </w:r>
      <w:r w:rsidRPr="00686250">
        <w:rPr>
          <w:i/>
        </w:rPr>
        <w:t>Legislation Act 2003</w:t>
      </w:r>
      <w:r w:rsidRPr="00241F39">
        <w:t>, the Attorney-General’s Department has been consulted on this Legislative Instrument.</w:t>
      </w:r>
    </w:p>
    <w:p w14:paraId="3540F675" w14:textId="54A834D5" w:rsidR="00D603B2" w:rsidRDefault="00241F39" w:rsidP="00007A20">
      <w:pPr>
        <w:pStyle w:val="NormalExplanatorystatement"/>
      </w:pPr>
      <w:r w:rsidRPr="00241F39">
        <w:t>Regional Development Australia (RDA) Committees were consulted in the development of the Program</w:t>
      </w:r>
      <w:r w:rsidR="008F2615">
        <w:t xml:space="preserve"> </w:t>
      </w:r>
      <w:r w:rsidRPr="00241F39">
        <w:t>via two teleconferences, and communications directly to the Department.</w:t>
      </w:r>
    </w:p>
    <w:p w14:paraId="69F448D4" w14:textId="4626F875" w:rsidR="0087169A" w:rsidRDefault="00510A05" w:rsidP="00144D4C">
      <w:pPr>
        <w:pStyle w:val="NormalExplanatorystatement"/>
        <w:rPr>
          <w:b/>
          <w:u w:val="single"/>
        </w:rPr>
      </w:pPr>
      <w:r w:rsidRPr="00510A05">
        <w:t xml:space="preserve">The Program, and its underpinning policy objective, was discussed at </w:t>
      </w:r>
      <w:r w:rsidR="00C90F3F">
        <w:t>meeting</w:t>
      </w:r>
      <w:r w:rsidR="006E5425">
        <w:t>s</w:t>
      </w:r>
      <w:r w:rsidRPr="00510A05">
        <w:t xml:space="preserve"> hosted by the Hon Andrew Gee MP, Minister for Decentralisation and Regional Education, on 3 November 2020. Business representatives at the </w:t>
      </w:r>
      <w:r w:rsidR="00C90F3F">
        <w:t>meetings</w:t>
      </w:r>
      <w:r w:rsidRPr="00510A05">
        <w:t xml:space="preserve"> noted that collaboration between businesses and research institutions is important and can deliver outcomes. </w:t>
      </w:r>
      <w:r w:rsidR="00C90F3F">
        <w:t>Feedback</w:t>
      </w:r>
      <w:r w:rsidRPr="00510A05">
        <w:t xml:space="preserve"> from the education </w:t>
      </w:r>
      <w:r w:rsidR="00C90F3F">
        <w:t>representatives in attendance</w:t>
      </w:r>
      <w:r w:rsidR="00C90F3F" w:rsidRPr="00510A05">
        <w:t xml:space="preserve"> </w:t>
      </w:r>
      <w:r w:rsidRPr="00510A05">
        <w:t>highlighted the importance of, and need to encourage, collaboration betwee</w:t>
      </w:r>
      <w:r w:rsidR="0047549C">
        <w:t xml:space="preserve">n universities and businesses. </w:t>
      </w:r>
      <w:r w:rsidRPr="00510A05">
        <w:t xml:space="preserve">Participants also noted that </w:t>
      </w:r>
      <w:r w:rsidR="00C90F3F">
        <w:t xml:space="preserve">extra </w:t>
      </w:r>
      <w:r w:rsidRPr="00510A05">
        <w:t xml:space="preserve">value could be gained </w:t>
      </w:r>
      <w:r w:rsidR="00C90F3F">
        <w:t>for businesses by being located in</w:t>
      </w:r>
      <w:r w:rsidRPr="00510A05">
        <w:t xml:space="preserve"> close proximity to the resource, and that stronger linkages between universities and businesses in the regions </w:t>
      </w:r>
      <w:r w:rsidR="00C90F3F">
        <w:t>would</w:t>
      </w:r>
      <w:r w:rsidR="00C90F3F" w:rsidRPr="00510A05">
        <w:t xml:space="preserve"> </w:t>
      </w:r>
      <w:r w:rsidRPr="00510A05">
        <w:t>support expansion and growth.</w:t>
      </w:r>
    </w:p>
    <w:p w14:paraId="183BC4B1" w14:textId="39B4D8F7" w:rsidR="00D603B2" w:rsidRPr="0047549C" w:rsidRDefault="00D603B2" w:rsidP="00007A20">
      <w:pPr>
        <w:pStyle w:val="NormalExplanatorystatement"/>
        <w:rPr>
          <w:b/>
          <w:u w:val="single"/>
        </w:rPr>
      </w:pPr>
      <w:r w:rsidRPr="0047549C">
        <w:rPr>
          <w:b/>
          <w:u w:val="single"/>
        </w:rPr>
        <w:t>Regulatory Impact</w:t>
      </w:r>
    </w:p>
    <w:p w14:paraId="47F57A24" w14:textId="21BFFB69" w:rsidR="00D603B2" w:rsidRDefault="00D603B2" w:rsidP="00007A20">
      <w:pPr>
        <w:pStyle w:val="NormalExplanatorystatement"/>
      </w:pPr>
      <w:r>
        <w:t xml:space="preserve">It is estimated that the regulatory burden is likely to </w:t>
      </w:r>
      <w:r w:rsidR="00C90F3F">
        <w:t xml:space="preserve">have a </w:t>
      </w:r>
      <w:r w:rsidR="00AC40A4">
        <w:t>nil to minor</w:t>
      </w:r>
      <w:r>
        <w:t xml:space="preserve"> </w:t>
      </w:r>
      <w:r w:rsidR="00C90F3F">
        <w:t xml:space="preserve">impact on applicants </w:t>
      </w:r>
      <w:r>
        <w:t xml:space="preserve">(OBPR reference number </w:t>
      </w:r>
      <w:r w:rsidR="00AC40A4">
        <w:t>42971</w:t>
      </w:r>
      <w:r>
        <w:t xml:space="preserve">). </w:t>
      </w:r>
    </w:p>
    <w:p w14:paraId="2F5B87A1" w14:textId="77777777" w:rsidR="00D603B2" w:rsidRDefault="00D603B2" w:rsidP="00007A20">
      <w:pPr>
        <w:pStyle w:val="NormalExplanatorystatement"/>
        <w:sectPr w:rsidR="00D603B2" w:rsidSect="00D603B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pPr>
    </w:p>
    <w:p w14:paraId="656EE914" w14:textId="77777777" w:rsidR="00D603B2" w:rsidRPr="00007A20" w:rsidRDefault="00D603B2" w:rsidP="00007A20">
      <w:pPr>
        <w:pStyle w:val="NormalExplanatorystatement"/>
        <w:rPr>
          <w:b/>
          <w:u w:val="single"/>
        </w:rPr>
      </w:pPr>
      <w:r w:rsidRPr="00007A20">
        <w:rPr>
          <w:b/>
          <w:u w:val="single"/>
        </w:rPr>
        <w:lastRenderedPageBreak/>
        <w:t xml:space="preserve">Details of the </w:t>
      </w:r>
      <w:r w:rsidR="00AF4E09" w:rsidRPr="00AF4E09">
        <w:rPr>
          <w:b/>
          <w:i/>
          <w:u w:val="single"/>
        </w:rPr>
        <w:t>Industry Research and Development (Regional Decentralisation Agenda – Securing Raw Materials Program)</w:t>
      </w:r>
      <w:r w:rsidR="0053159C">
        <w:rPr>
          <w:b/>
          <w:i/>
          <w:u w:val="single"/>
        </w:rPr>
        <w:t xml:space="preserve"> – Instrument 2021</w:t>
      </w:r>
    </w:p>
    <w:p w14:paraId="6AF089F1" w14:textId="77777777" w:rsidR="00D603B2" w:rsidRPr="00007A20" w:rsidRDefault="00D603B2" w:rsidP="00007A20">
      <w:pPr>
        <w:pStyle w:val="NormalExplanatorystatement"/>
        <w:rPr>
          <w:b/>
        </w:rPr>
      </w:pPr>
      <w:r w:rsidRPr="00007A20">
        <w:rPr>
          <w:b/>
        </w:rPr>
        <w:t>PART 1 – PRELIMINARY</w:t>
      </w:r>
    </w:p>
    <w:p w14:paraId="28E8CF0C" w14:textId="77777777" w:rsidR="00D603B2" w:rsidRPr="00007A20" w:rsidRDefault="00D603B2" w:rsidP="00007A20">
      <w:pPr>
        <w:pStyle w:val="NormalExplanatorystatement"/>
        <w:rPr>
          <w:b/>
        </w:rPr>
      </w:pPr>
      <w:r w:rsidRPr="00007A20">
        <w:rPr>
          <w:b/>
        </w:rPr>
        <w:t>Section 1 – Name of Instrument</w:t>
      </w:r>
    </w:p>
    <w:p w14:paraId="065BD9CD" w14:textId="77777777" w:rsidR="00D603B2" w:rsidRPr="006745C3" w:rsidRDefault="00D603B2" w:rsidP="00007A20">
      <w:pPr>
        <w:pStyle w:val="NormalExplanatorystatement"/>
      </w:pPr>
      <w:r w:rsidRPr="006745C3">
        <w:t xml:space="preserve">This </w:t>
      </w:r>
      <w:r>
        <w:t xml:space="preserve">section </w:t>
      </w:r>
      <w:r w:rsidRPr="006745C3">
        <w:t>specifies the name of the</w:t>
      </w:r>
      <w:r>
        <w:t xml:space="preserve"> Legislative Instrument </w:t>
      </w:r>
      <w:r w:rsidRPr="006745C3">
        <w:t xml:space="preserve">as the </w:t>
      </w:r>
      <w:r w:rsidR="00AF4E09" w:rsidRPr="00AF4E09">
        <w:rPr>
          <w:i/>
        </w:rPr>
        <w:t>Industry Research and Development (Regional Decentralisation Agenda – Securing Raw Materials Program)</w:t>
      </w:r>
      <w:r w:rsidR="0053159C">
        <w:rPr>
          <w:i/>
        </w:rPr>
        <w:t xml:space="preserve"> – Instrument 2021</w:t>
      </w:r>
      <w:r w:rsidR="00AF4E09">
        <w:rPr>
          <w:i/>
        </w:rPr>
        <w:t>.</w:t>
      </w:r>
    </w:p>
    <w:p w14:paraId="0CBF4A2B" w14:textId="77777777" w:rsidR="00D603B2" w:rsidRPr="00007A20" w:rsidRDefault="00D603B2" w:rsidP="00007A20">
      <w:pPr>
        <w:pStyle w:val="NormalExplanatorystatement"/>
        <w:rPr>
          <w:b/>
        </w:rPr>
      </w:pPr>
      <w:r w:rsidRPr="00007A20">
        <w:rPr>
          <w:b/>
        </w:rPr>
        <w:t>Section 2 – Commencement</w:t>
      </w:r>
    </w:p>
    <w:p w14:paraId="218D0C0B" w14:textId="4B1FF29E" w:rsidR="00D603B2" w:rsidRPr="006745C3" w:rsidRDefault="00D603B2" w:rsidP="00007A20">
      <w:pPr>
        <w:pStyle w:val="NormalExplanatorystatement"/>
      </w:pPr>
      <w:r w:rsidRPr="006745C3">
        <w:t xml:space="preserve">This </w:t>
      </w:r>
      <w:r>
        <w:t xml:space="preserve">section </w:t>
      </w:r>
      <w:r w:rsidRPr="006745C3">
        <w:t>provides that the</w:t>
      </w:r>
      <w:r>
        <w:t xml:space="preserve"> Legislative Instrument commences </w:t>
      </w:r>
      <w:r w:rsidRPr="00A1583A">
        <w:t>on the day after registration on the Federal Register of Legislation.</w:t>
      </w:r>
    </w:p>
    <w:p w14:paraId="3B13D338" w14:textId="77777777" w:rsidR="00D603B2" w:rsidRPr="00007A20" w:rsidRDefault="00D603B2" w:rsidP="00007A20">
      <w:pPr>
        <w:pStyle w:val="NormalExplanatorystatement"/>
        <w:rPr>
          <w:b/>
        </w:rPr>
      </w:pPr>
      <w:r w:rsidRPr="00007A20">
        <w:rPr>
          <w:b/>
        </w:rPr>
        <w:t>Section 3 – Authority</w:t>
      </w:r>
    </w:p>
    <w:p w14:paraId="029AE14A" w14:textId="77777777" w:rsidR="00D603B2" w:rsidRDefault="00D603B2" w:rsidP="00007A20">
      <w:pPr>
        <w:pStyle w:val="NormalExplanatorystatement"/>
      </w:pPr>
      <w:r w:rsidRPr="006745C3">
        <w:t>This s</w:t>
      </w:r>
      <w:r>
        <w:t xml:space="preserve">ection specifies the provision of the </w:t>
      </w:r>
      <w:r w:rsidRPr="00377D69">
        <w:rPr>
          <w:i/>
        </w:rPr>
        <w:t>Industry, Research and Development Act 1986</w:t>
      </w:r>
      <w:r>
        <w:t xml:space="preserve"> (the Act) under which the Legislative Instrument is made. </w:t>
      </w:r>
    </w:p>
    <w:p w14:paraId="0AC19479" w14:textId="77777777" w:rsidR="00D603B2" w:rsidRPr="00007A20" w:rsidRDefault="00D603B2" w:rsidP="00007A20">
      <w:pPr>
        <w:pStyle w:val="NormalExplanatorystatement"/>
        <w:rPr>
          <w:b/>
        </w:rPr>
      </w:pPr>
      <w:r w:rsidRPr="00007A20">
        <w:rPr>
          <w:b/>
        </w:rPr>
        <w:t>Section 4 – Definitions</w:t>
      </w:r>
    </w:p>
    <w:p w14:paraId="3F69AF77" w14:textId="77777777" w:rsidR="00D603B2" w:rsidRDefault="00D603B2" w:rsidP="00007A20">
      <w:pPr>
        <w:pStyle w:val="NormalExplanatorystatement"/>
      </w:pPr>
      <w:r w:rsidRPr="006745C3">
        <w:t>This item provides for definitions of terms used in the</w:t>
      </w:r>
      <w:r>
        <w:t xml:space="preserve"> Legislative Instrument.</w:t>
      </w:r>
    </w:p>
    <w:p w14:paraId="547D39F8" w14:textId="77777777" w:rsidR="00D603B2" w:rsidRPr="00007A20" w:rsidRDefault="00D603B2" w:rsidP="00007A20">
      <w:pPr>
        <w:pStyle w:val="NormalExplanatorystatement"/>
        <w:rPr>
          <w:b/>
        </w:rPr>
      </w:pPr>
      <w:r w:rsidRPr="00A1583A">
        <w:rPr>
          <w:b/>
        </w:rPr>
        <w:t>Section 5 – Prescribed Program</w:t>
      </w:r>
    </w:p>
    <w:p w14:paraId="6325B02A" w14:textId="52FF23B0" w:rsidR="00D603B2" w:rsidRDefault="00D603B2" w:rsidP="00007A20">
      <w:pPr>
        <w:pStyle w:val="NormalExplanatorystatement"/>
      </w:pPr>
      <w:r>
        <w:t xml:space="preserve">This section prescribes the </w:t>
      </w:r>
      <w:r w:rsidR="00AF4E09" w:rsidRPr="00AF4E09">
        <w:t>Regional Decentralisation Agenda –</w:t>
      </w:r>
      <w:r w:rsidR="00AF4E09">
        <w:t xml:space="preserve"> Securing Raw Materials Program</w:t>
      </w:r>
      <w:r w:rsidR="00AF4E09" w:rsidRPr="00AF4E09">
        <w:t xml:space="preserve"> </w:t>
      </w:r>
      <w:r>
        <w:t>(the Program) for the purposes of s</w:t>
      </w:r>
      <w:r w:rsidR="003E105A">
        <w:t>ection</w:t>
      </w:r>
      <w:r>
        <w:t xml:space="preserve"> 33 of the Act. </w:t>
      </w:r>
    </w:p>
    <w:p w14:paraId="3BE4D113" w14:textId="2E59DA8F" w:rsidR="00C1383B" w:rsidRDefault="00C1383B" w:rsidP="00C1383B">
      <w:pPr>
        <w:pStyle w:val="NormalExplanatorystatement"/>
      </w:pPr>
      <w:r w:rsidRPr="00C1383B">
        <w:t xml:space="preserve"> </w:t>
      </w:r>
      <w:r>
        <w:t>The program provides funding for businesses to do one or more of the following activities:</w:t>
      </w:r>
    </w:p>
    <w:p w14:paraId="54359267" w14:textId="77777777" w:rsidR="00C1383B" w:rsidRDefault="00C1383B" w:rsidP="00C1383B">
      <w:pPr>
        <w:pStyle w:val="NormalExplanatorystatement"/>
        <w:numPr>
          <w:ilvl w:val="0"/>
          <w:numId w:val="44"/>
        </w:numPr>
      </w:pPr>
      <w:r>
        <w:t>relocate to regional areas;</w:t>
      </w:r>
    </w:p>
    <w:p w14:paraId="263E64B8" w14:textId="77777777" w:rsidR="00C1383B" w:rsidRDefault="00C1383B" w:rsidP="00C1383B">
      <w:pPr>
        <w:pStyle w:val="NormalExplanatorystatement"/>
        <w:numPr>
          <w:ilvl w:val="0"/>
          <w:numId w:val="44"/>
        </w:numPr>
      </w:pPr>
      <w:r>
        <w:t>establish new operations, branches or outposts in regional areas;</w:t>
      </w:r>
    </w:p>
    <w:p w14:paraId="42AA9E84" w14:textId="77777777" w:rsidR="00C1383B" w:rsidRDefault="00C1383B" w:rsidP="00C1383B">
      <w:pPr>
        <w:pStyle w:val="NormalExplanatorystatement"/>
        <w:numPr>
          <w:ilvl w:val="0"/>
          <w:numId w:val="44"/>
        </w:numPr>
      </w:pPr>
      <w:r>
        <w:t>partner with regional universities or research organisations to conduct research and development in relation to locally sourced raw materials;</w:t>
      </w:r>
    </w:p>
    <w:p w14:paraId="26900638" w14:textId="77777777" w:rsidR="00C1383B" w:rsidRDefault="00C1383B" w:rsidP="00C1383B">
      <w:pPr>
        <w:pStyle w:val="NormalExplanatorystatement"/>
        <w:numPr>
          <w:ilvl w:val="0"/>
          <w:numId w:val="44"/>
        </w:numPr>
      </w:pPr>
      <w:r>
        <w:t>commercialise the outcomes of that research and development;</w:t>
      </w:r>
    </w:p>
    <w:p w14:paraId="7E4B6B21" w14:textId="77777777" w:rsidR="00C1383B" w:rsidRDefault="00C1383B" w:rsidP="00C1383B">
      <w:pPr>
        <w:pStyle w:val="NormalExplanatorystatement"/>
        <w:numPr>
          <w:ilvl w:val="0"/>
          <w:numId w:val="44"/>
        </w:numPr>
      </w:pPr>
      <w:r>
        <w:t>establish new facilities in regional areas to extract, process, use or otherwise add value to locally sourced raw materials.</w:t>
      </w:r>
    </w:p>
    <w:p w14:paraId="37E429A1" w14:textId="5B35768A" w:rsidR="00D603B2" w:rsidRDefault="002C61FB" w:rsidP="00007A20">
      <w:pPr>
        <w:pStyle w:val="NormalExplanatorystatement"/>
      </w:pPr>
      <w:r>
        <w:t>The P</w:t>
      </w:r>
      <w:r w:rsidR="00AF4E09" w:rsidRPr="00AF4E09">
        <w:t>rogram recognises that establishing or securing a supply of raw materials is a cruc</w:t>
      </w:r>
      <w:r w:rsidR="001641FF">
        <w:t xml:space="preserve">ial element of business success and </w:t>
      </w:r>
      <w:r w:rsidR="001641FF" w:rsidRPr="00AF1B3C">
        <w:rPr>
          <w:rFonts w:cs="Arial"/>
          <w:szCs w:val="20"/>
        </w:rPr>
        <w:t xml:space="preserve">supports the long-term economic prosperity of Australia’s regional communities by promoting jobs growth, boosting investment, and building </w:t>
      </w:r>
      <w:r w:rsidR="001641FF" w:rsidRPr="00AF1B3C">
        <w:rPr>
          <w:rFonts w:cs="Arial"/>
          <w:szCs w:val="20"/>
        </w:rPr>
        <w:lastRenderedPageBreak/>
        <w:t>sustainable businesses and competitive regional industries. It delivers benefits to regional communities by encouraging businesses to relocate to regional Australia.</w:t>
      </w:r>
    </w:p>
    <w:p w14:paraId="471DCE52" w14:textId="015D89F0" w:rsidR="00D603B2" w:rsidRPr="00007A20" w:rsidRDefault="00D603B2" w:rsidP="00007A20">
      <w:pPr>
        <w:pStyle w:val="NormalExplanatorystatement"/>
        <w:rPr>
          <w:b/>
        </w:rPr>
      </w:pPr>
      <w:r w:rsidRPr="006465CB">
        <w:rPr>
          <w:b/>
        </w:rPr>
        <w:t>Section 6 – Specified Legislative Power</w:t>
      </w:r>
    </w:p>
    <w:p w14:paraId="356604A6" w14:textId="24D95169" w:rsidR="004E58FE" w:rsidRDefault="00D603B2" w:rsidP="009D31BF">
      <w:pPr>
        <w:pStyle w:val="NormalExplanatorystatement"/>
        <w:rPr>
          <w:b/>
        </w:rPr>
      </w:pPr>
      <w:r w:rsidRPr="006465CB">
        <w:t xml:space="preserve">This section specifies that the legislative power in respect of which the Legislative Instrument is made is the power of the Parliament to make laws with respect to </w:t>
      </w:r>
      <w:r w:rsidR="00250B8F">
        <w:t xml:space="preserve">corporations </w:t>
      </w:r>
      <w:r w:rsidRPr="006465CB">
        <w:t>(s51(xx) of the Constitution).</w:t>
      </w:r>
    </w:p>
    <w:p w14:paraId="25CD1A37" w14:textId="77777777" w:rsidR="00D603B2" w:rsidRPr="00007A20" w:rsidRDefault="00D603B2" w:rsidP="00007A20">
      <w:pPr>
        <w:pStyle w:val="NormalExplanatorystatement"/>
        <w:rPr>
          <w:b/>
        </w:rPr>
      </w:pPr>
      <w:r w:rsidRPr="00007A20">
        <w:rPr>
          <w:b/>
        </w:rPr>
        <w:t xml:space="preserve">Section 7 – </w:t>
      </w:r>
      <w:r w:rsidRPr="00167833">
        <w:rPr>
          <w:b/>
        </w:rPr>
        <w:t>Eligibility Criteria</w:t>
      </w:r>
    </w:p>
    <w:p w14:paraId="48737584" w14:textId="37960AE5" w:rsidR="00D603B2" w:rsidRDefault="00D603B2" w:rsidP="00007A20">
      <w:pPr>
        <w:pStyle w:val="NormalExplanatorystatement"/>
      </w:pPr>
      <w:r w:rsidRPr="00167833">
        <w:t xml:space="preserve">This section sets out </w:t>
      </w:r>
      <w:r w:rsidR="006E6605">
        <w:t xml:space="preserve">an </w:t>
      </w:r>
      <w:r w:rsidRPr="00167833">
        <w:t>eligibility criteri</w:t>
      </w:r>
      <w:r w:rsidR="006E6605">
        <w:t>on</w:t>
      </w:r>
      <w:r w:rsidRPr="00167833">
        <w:t xml:space="preserve"> relating to the Program for the purposes of subsection 33(4) of the Act. </w:t>
      </w:r>
      <w:r w:rsidR="006E6605">
        <w:t>It provides that t</w:t>
      </w:r>
      <w:r w:rsidRPr="00167833">
        <w:t>he eligibility criteri</w:t>
      </w:r>
      <w:r w:rsidR="001421BA">
        <w:t>on</w:t>
      </w:r>
      <w:r w:rsidRPr="00167833">
        <w:t xml:space="preserve"> </w:t>
      </w:r>
      <w:r w:rsidR="006B0563">
        <w:t xml:space="preserve">will </w:t>
      </w:r>
      <w:r w:rsidRPr="00167833">
        <w:t>include that applicants must be trading</w:t>
      </w:r>
      <w:r w:rsidR="00BD3D75">
        <w:t xml:space="preserve"> corporations</w:t>
      </w:r>
      <w:r w:rsidRPr="00167833">
        <w:t xml:space="preserve"> to which </w:t>
      </w:r>
      <w:r w:rsidR="00F54AC8">
        <w:t xml:space="preserve">paragraph </w:t>
      </w:r>
      <w:r w:rsidRPr="00167833">
        <w:t>51(xx) of the Constitution applies</w:t>
      </w:r>
      <w:r w:rsidR="00A1583A" w:rsidRPr="00167833">
        <w:t>.</w:t>
      </w:r>
    </w:p>
    <w:p w14:paraId="10701203" w14:textId="77777777" w:rsidR="00D603B2" w:rsidRDefault="00D603B2" w:rsidP="00007A20">
      <w:pPr>
        <w:pStyle w:val="NormalExplanatorystatement"/>
        <w:sectPr w:rsidR="00D603B2">
          <w:pgSz w:w="11906" w:h="16838"/>
          <w:pgMar w:top="1440" w:right="1440" w:bottom="1440" w:left="1440" w:header="708" w:footer="708" w:gutter="0"/>
          <w:cols w:space="708"/>
          <w:docGrid w:linePitch="360"/>
        </w:sectPr>
      </w:pPr>
    </w:p>
    <w:p w14:paraId="366FB463" w14:textId="77777777" w:rsidR="00D603B2" w:rsidRPr="00007A20" w:rsidRDefault="00D603B2" w:rsidP="00007A20">
      <w:pPr>
        <w:pStyle w:val="NormalExplanatorystatement"/>
        <w:jc w:val="center"/>
        <w:rPr>
          <w:b/>
          <w:sz w:val="28"/>
          <w:szCs w:val="28"/>
        </w:rPr>
      </w:pPr>
      <w:r w:rsidRPr="00007A20">
        <w:rPr>
          <w:b/>
          <w:sz w:val="28"/>
          <w:szCs w:val="28"/>
        </w:rPr>
        <w:lastRenderedPageBreak/>
        <w:t>Statement of Compatibility with Human Rights</w:t>
      </w:r>
    </w:p>
    <w:p w14:paraId="766815C0" w14:textId="77777777" w:rsidR="00D603B2" w:rsidRPr="00547F8D" w:rsidRDefault="00D603B2" w:rsidP="00007A20">
      <w:pPr>
        <w:pStyle w:val="NormalExplanatorystatement"/>
        <w:jc w:val="center"/>
      </w:pPr>
      <w:r w:rsidRPr="00547F8D">
        <w:rPr>
          <w:i/>
        </w:rPr>
        <w:t>Prepared in accordance with Part 3 of the Human Rights (Parliamentary Scrutiny) Act 2011</w:t>
      </w:r>
    </w:p>
    <w:p w14:paraId="12175426" w14:textId="34DD1294" w:rsidR="00D603B2" w:rsidRPr="00547F8D" w:rsidRDefault="00FA686E" w:rsidP="00FA686E">
      <w:pPr>
        <w:pStyle w:val="NormalExplanatorystatement"/>
        <w:jc w:val="center"/>
        <w:rPr>
          <w:i/>
        </w:rPr>
      </w:pPr>
      <w:r w:rsidRPr="00FA686E">
        <w:rPr>
          <w:i/>
        </w:rPr>
        <w:t>Industry Research and Development (Regional Decentralisation Agenda – Securing Raw Materials Program)</w:t>
      </w:r>
      <w:r w:rsidR="0053159C">
        <w:rPr>
          <w:i/>
        </w:rPr>
        <w:t xml:space="preserve"> Instrument 2021</w:t>
      </w:r>
    </w:p>
    <w:p w14:paraId="2403F0C6" w14:textId="77777777" w:rsidR="00D603B2" w:rsidRPr="00547F8D" w:rsidRDefault="00D603B2" w:rsidP="00007A20">
      <w:pPr>
        <w:pStyle w:val="NormalExplanatorystatement"/>
        <w:jc w:val="center"/>
      </w:pPr>
      <w:r w:rsidRPr="00547F8D">
        <w:t xml:space="preserve">This </w:t>
      </w:r>
      <w:r>
        <w:t xml:space="preserve">Legislative Instrument </w:t>
      </w:r>
      <w:r w:rsidRPr="00547F8D">
        <w:t xml:space="preserve">is compatible with the human rights and freedoms recognised or declared in the international instruments listed in section 3 of the </w:t>
      </w:r>
      <w:r w:rsidRPr="00547F8D">
        <w:rPr>
          <w:i/>
        </w:rPr>
        <w:t>Human Rights (Parliamentary Scrutiny) Act 2011</w:t>
      </w:r>
      <w:r w:rsidRPr="00547F8D">
        <w:t>.</w:t>
      </w:r>
    </w:p>
    <w:p w14:paraId="4638B3E5" w14:textId="77777777" w:rsidR="00D603B2" w:rsidRPr="00007A20" w:rsidRDefault="00D603B2" w:rsidP="00007A20">
      <w:pPr>
        <w:pStyle w:val="NormalExplanatorystatement"/>
        <w:rPr>
          <w:b/>
        </w:rPr>
      </w:pPr>
      <w:r w:rsidRPr="00007A20">
        <w:rPr>
          <w:b/>
        </w:rPr>
        <w:t>Overview of the Legislative Instrument</w:t>
      </w:r>
    </w:p>
    <w:p w14:paraId="085A3B7A" w14:textId="293BA990" w:rsidR="00B10A74" w:rsidRDefault="00B10A74" w:rsidP="00B10A74">
      <w:pPr>
        <w:pStyle w:val="NormalExplanatorystatement"/>
      </w:pPr>
      <w:r>
        <w:t>The purpose of the Industry Research and Development (Regional Decentralisation Agenda – Securing Raw Materials Program)</w:t>
      </w:r>
      <w:r w:rsidR="0053159C">
        <w:t xml:space="preserve"> Instrument 2021</w:t>
      </w:r>
      <w:r w:rsidR="00103AB5">
        <w:t xml:space="preserve"> </w:t>
      </w:r>
      <w:r>
        <w:t xml:space="preserve">(the Legislative Instrument) is to prescribe the Regional Decentralisation Agenda – Securing Raw Materials Program (the Program). The funding for the Program was provided in the 2020-21 Budget and appropriated to the Department of Infrastructure, Transport, Regional Development and Communications. The Program forms part of the Australian Government’s </w:t>
      </w:r>
      <w:r w:rsidR="009C7393">
        <w:t xml:space="preserve">Regional </w:t>
      </w:r>
      <w:r>
        <w:t xml:space="preserve">Decentralisation Agenda, and will support the long-term economic prosperity of Australia’s regions by promoting jobs growth, boosting investment, and building sustainable businesses and competitive regional industries. </w:t>
      </w:r>
    </w:p>
    <w:p w14:paraId="6EC97006" w14:textId="1C008ECC" w:rsidR="00C1383B" w:rsidRDefault="00C1383B" w:rsidP="00C1383B">
      <w:pPr>
        <w:pStyle w:val="NormalExplanatorystatement"/>
      </w:pPr>
      <w:r>
        <w:t>The program provides funding for businesses to do one or more of the following activities:</w:t>
      </w:r>
    </w:p>
    <w:p w14:paraId="40DB9B67" w14:textId="77777777" w:rsidR="00C1383B" w:rsidRDefault="00C1383B" w:rsidP="00C1383B">
      <w:pPr>
        <w:pStyle w:val="NormalExplanatorystatement"/>
        <w:numPr>
          <w:ilvl w:val="0"/>
          <w:numId w:val="45"/>
        </w:numPr>
      </w:pPr>
      <w:r>
        <w:t>relocate to regional areas;</w:t>
      </w:r>
    </w:p>
    <w:p w14:paraId="43E596C2" w14:textId="77777777" w:rsidR="00C1383B" w:rsidRDefault="00C1383B" w:rsidP="00C1383B">
      <w:pPr>
        <w:pStyle w:val="NormalExplanatorystatement"/>
        <w:numPr>
          <w:ilvl w:val="0"/>
          <w:numId w:val="45"/>
        </w:numPr>
      </w:pPr>
      <w:r>
        <w:t>establish new operations, branches or outposts in regional areas;</w:t>
      </w:r>
    </w:p>
    <w:p w14:paraId="59D5703C" w14:textId="77777777" w:rsidR="00C1383B" w:rsidRDefault="00C1383B" w:rsidP="00C1383B">
      <w:pPr>
        <w:pStyle w:val="NormalExplanatorystatement"/>
        <w:numPr>
          <w:ilvl w:val="0"/>
          <w:numId w:val="45"/>
        </w:numPr>
      </w:pPr>
      <w:r>
        <w:t>partner with regional universities or research organisations to conduct research and development in relation to locally sourced raw materials;</w:t>
      </w:r>
    </w:p>
    <w:p w14:paraId="6C3F8CE1" w14:textId="77777777" w:rsidR="00C1383B" w:rsidRDefault="00C1383B" w:rsidP="00C1383B">
      <w:pPr>
        <w:pStyle w:val="NormalExplanatorystatement"/>
        <w:numPr>
          <w:ilvl w:val="0"/>
          <w:numId w:val="45"/>
        </w:numPr>
      </w:pPr>
      <w:r>
        <w:t>commercialise the outcomes of that research and development;</w:t>
      </w:r>
    </w:p>
    <w:p w14:paraId="5D0C80D5" w14:textId="77777777" w:rsidR="00C1383B" w:rsidRDefault="00C1383B" w:rsidP="00C1383B">
      <w:pPr>
        <w:pStyle w:val="NormalExplanatorystatement"/>
        <w:numPr>
          <w:ilvl w:val="0"/>
          <w:numId w:val="45"/>
        </w:numPr>
      </w:pPr>
      <w:r>
        <w:t>establish new facilities in regional areas to extract, process, use or otherwise add value to locally sourced raw materials.</w:t>
      </w:r>
    </w:p>
    <w:p w14:paraId="08A85E49" w14:textId="5EF3C6C5" w:rsidR="004E58FE" w:rsidRDefault="002C61FB" w:rsidP="00007A20">
      <w:pPr>
        <w:pStyle w:val="NormalExplanatorystatement"/>
      </w:pPr>
      <w:r>
        <w:t>The P</w:t>
      </w:r>
      <w:r w:rsidR="00B10A74">
        <w:t>rogram recognises that establishing or securing a supply of raw materials is a crucial element of business success. It also delivers benefits to regional communities by encouraging businesses to relocate to regional Australia. $35 million in grant funding</w:t>
      </w:r>
      <w:r w:rsidR="004E58FE">
        <w:t xml:space="preserve"> will be provided</w:t>
      </w:r>
      <w:r w:rsidR="004A02CD">
        <w:t xml:space="preserve"> </w:t>
      </w:r>
      <w:r w:rsidR="005C1942">
        <w:t>from 2021-22</w:t>
      </w:r>
      <w:r w:rsidR="004E58FE">
        <w:t>.</w:t>
      </w:r>
    </w:p>
    <w:p w14:paraId="3E35DB61" w14:textId="77777777" w:rsidR="00D603B2" w:rsidRPr="00007A20" w:rsidRDefault="00D603B2" w:rsidP="00007A20">
      <w:pPr>
        <w:pStyle w:val="NormalExplanatorystatement"/>
        <w:rPr>
          <w:b/>
        </w:rPr>
      </w:pPr>
      <w:r w:rsidRPr="00007A20">
        <w:rPr>
          <w:b/>
        </w:rPr>
        <w:t>Human rights implications</w:t>
      </w:r>
    </w:p>
    <w:p w14:paraId="332DEF4E" w14:textId="77777777" w:rsidR="00D603B2" w:rsidRPr="008B7851" w:rsidRDefault="00D603B2" w:rsidP="00007A20">
      <w:pPr>
        <w:pStyle w:val="NormalExplanatorystatement"/>
      </w:pPr>
      <w:r w:rsidRPr="00666946">
        <w:t>This Legislative Instrument does not engage any of the applicable rights or freedoms</w:t>
      </w:r>
      <w:r w:rsidR="00666946" w:rsidRPr="00666946">
        <w:t>.</w:t>
      </w:r>
      <w:r w:rsidRPr="008B7851">
        <w:t xml:space="preserve"> </w:t>
      </w:r>
    </w:p>
    <w:p w14:paraId="5104CBBF" w14:textId="77777777" w:rsidR="0047549C" w:rsidRDefault="0047549C">
      <w:pPr>
        <w:spacing w:before="0" w:after="160" w:line="259" w:lineRule="auto"/>
        <w:rPr>
          <w:rFonts w:ascii="Times New Roman" w:hAnsi="Times New Roman" w:cs="Times New Roman"/>
          <w:b/>
          <w:szCs w:val="24"/>
        </w:rPr>
      </w:pPr>
      <w:r>
        <w:rPr>
          <w:b/>
        </w:rPr>
        <w:br w:type="page"/>
      </w:r>
    </w:p>
    <w:p w14:paraId="04425FBA" w14:textId="3F12D867" w:rsidR="00D603B2" w:rsidRPr="00007A20" w:rsidRDefault="00D603B2" w:rsidP="00007A20">
      <w:pPr>
        <w:pStyle w:val="NormalExplanatorystatement"/>
        <w:rPr>
          <w:b/>
        </w:rPr>
      </w:pPr>
      <w:r w:rsidRPr="00007A20">
        <w:rPr>
          <w:b/>
        </w:rPr>
        <w:lastRenderedPageBreak/>
        <w:t>Conclusion</w:t>
      </w:r>
    </w:p>
    <w:p w14:paraId="015F14A0" w14:textId="77777777" w:rsidR="00D603B2" w:rsidRPr="00547F8D" w:rsidRDefault="00D603B2" w:rsidP="00007A20">
      <w:pPr>
        <w:pStyle w:val="NormalExplanatorystatement"/>
      </w:pPr>
      <w:r w:rsidRPr="00547F8D">
        <w:t xml:space="preserve">This </w:t>
      </w:r>
      <w:r w:rsidRPr="00DB0463">
        <w:t>Legislative Instrument</w:t>
      </w:r>
      <w:r w:rsidRPr="00547F8D">
        <w:t xml:space="preserve"> is compatible with human rights </w:t>
      </w:r>
      <w:r w:rsidRPr="00666946">
        <w:t>as it does not raise any human rights issues.</w:t>
      </w:r>
    </w:p>
    <w:p w14:paraId="37A6FE7D" w14:textId="77777777" w:rsidR="00D603B2" w:rsidRPr="00547F8D" w:rsidRDefault="00D603B2" w:rsidP="00007A20">
      <w:pPr>
        <w:pStyle w:val="NormalExplanatorystatement"/>
        <w:jc w:val="center"/>
      </w:pPr>
    </w:p>
    <w:p w14:paraId="1C7DDC60" w14:textId="7AC751BC" w:rsidR="00D603B2" w:rsidRPr="00007A20" w:rsidRDefault="004A02CD" w:rsidP="00FA686E">
      <w:pPr>
        <w:pStyle w:val="NormalExplanatorystatement"/>
        <w:jc w:val="center"/>
        <w:rPr>
          <w:b/>
        </w:rPr>
      </w:pPr>
      <w:r>
        <w:rPr>
          <w:b/>
        </w:rPr>
        <w:t xml:space="preserve">The </w:t>
      </w:r>
      <w:r w:rsidR="00FA686E">
        <w:rPr>
          <w:b/>
        </w:rPr>
        <w:t xml:space="preserve">Hon Andrew Gee MP </w:t>
      </w:r>
    </w:p>
    <w:p w14:paraId="237C2173" w14:textId="0A4069E9" w:rsidR="00D603B2" w:rsidRPr="00D603B2" w:rsidRDefault="00FA686E" w:rsidP="00FA686E">
      <w:pPr>
        <w:pStyle w:val="NormalExplanatorystatement"/>
        <w:jc w:val="center"/>
      </w:pPr>
      <w:r w:rsidRPr="00FA686E">
        <w:rPr>
          <w:b/>
        </w:rPr>
        <w:t>Minister for Decentralisation and Regional Education</w:t>
      </w:r>
      <w:r w:rsidRPr="00FA686E" w:rsidDel="00FA686E">
        <w:rPr>
          <w:b/>
        </w:rPr>
        <w:t xml:space="preserve"> </w:t>
      </w:r>
    </w:p>
    <w:sectPr w:rsidR="00D603B2" w:rsidRPr="00D603B2" w:rsidSect="00D603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5DA79" w14:textId="77777777" w:rsidR="00AD3D0C" w:rsidRDefault="00AD3D0C" w:rsidP="007240FE">
      <w:pPr>
        <w:spacing w:before="0" w:after="0" w:line="240" w:lineRule="auto"/>
      </w:pPr>
      <w:r>
        <w:separator/>
      </w:r>
    </w:p>
  </w:endnote>
  <w:endnote w:type="continuationSeparator" w:id="0">
    <w:p w14:paraId="2B301105" w14:textId="77777777" w:rsidR="00AD3D0C" w:rsidRDefault="00AD3D0C" w:rsidP="007240FE">
      <w:pPr>
        <w:spacing w:before="0" w:after="0" w:line="240" w:lineRule="auto"/>
      </w:pPr>
      <w:r>
        <w:continuationSeparator/>
      </w:r>
    </w:p>
  </w:endnote>
  <w:endnote w:type="continuationNotice" w:id="1">
    <w:p w14:paraId="04093B65" w14:textId="77777777" w:rsidR="00AD3D0C" w:rsidRDefault="00AD3D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DEA2" w14:textId="77777777" w:rsidR="00A23B9C" w:rsidRDefault="00A23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DBAC" w14:textId="2D42E31C" w:rsidR="00D603B2" w:rsidRDefault="00561078" w:rsidP="0004626E">
    <w:pPr>
      <w:pStyle w:val="Footer"/>
      <w:tabs>
        <w:tab w:val="clear" w:pos="4513"/>
        <w:tab w:val="center" w:pos="6804"/>
      </w:tabs>
      <w:jc w:val="right"/>
      <w:rPr>
        <w:noProof/>
      </w:rPr>
    </w:pPr>
    <w:sdt>
      <w:sdtPr>
        <w:id w:val="1490128851"/>
        <w:docPartObj>
          <w:docPartGallery w:val="Page Numbers (Bottom of Page)"/>
          <w:docPartUnique/>
        </w:docPartObj>
      </w:sdtPr>
      <w:sdtEndPr>
        <w:rPr>
          <w:noProof/>
        </w:rPr>
      </w:sdtEndPr>
      <w:sdtContent>
        <w:r w:rsidR="00D603B2">
          <w:fldChar w:fldCharType="begin"/>
        </w:r>
        <w:r w:rsidR="00D603B2">
          <w:instrText xml:space="preserve"> PAGE  \* Arabic  \* MERGEFORMAT </w:instrText>
        </w:r>
        <w:r w:rsidR="00D603B2">
          <w:fldChar w:fldCharType="separate"/>
        </w:r>
        <w:r>
          <w:rPr>
            <w:noProof/>
          </w:rPr>
          <w:t>1</w:t>
        </w:r>
        <w:r w:rsidR="00D603B2">
          <w:fldChar w:fldCharType="end"/>
        </w:r>
      </w:sdtContent>
    </w:sdt>
  </w:p>
  <w:p w14:paraId="14C3A6C9" w14:textId="3050E1B5" w:rsidR="00AF43C3" w:rsidRPr="00AF43C3" w:rsidRDefault="00AF43C3" w:rsidP="00AF43C3">
    <w:pPr>
      <w:pStyle w:val="Footer"/>
      <w:rPr>
        <w:sz w:val="16"/>
      </w:rPr>
    </w:pPr>
    <w:r>
      <w:rPr>
        <w:sz w:val="16"/>
      </w:rPr>
      <w:fldChar w:fldCharType="begin"/>
    </w:r>
    <w:r>
      <w:rPr>
        <w:sz w:val="16"/>
      </w:rPr>
      <w:instrText xml:space="preserve"> DOCPROPERTY  WSFooter  \* MERGEFORMAT </w:instrText>
    </w:r>
    <w:r>
      <w:rPr>
        <w:sz w:val="16"/>
      </w:rPr>
      <w:fldChar w:fldCharType="separate"/>
    </w:r>
    <w:r w:rsidR="00561078">
      <w:rPr>
        <w:sz w:val="16"/>
      </w:rPr>
      <w:t>40951074</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75185" w14:textId="77777777" w:rsidR="00A23B9C" w:rsidRDefault="00A23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B9B6B" w14:textId="77777777" w:rsidR="00AD3D0C" w:rsidRDefault="00AD3D0C" w:rsidP="007240FE">
      <w:pPr>
        <w:spacing w:before="0" w:after="0" w:line="240" w:lineRule="auto"/>
      </w:pPr>
      <w:r>
        <w:separator/>
      </w:r>
    </w:p>
  </w:footnote>
  <w:footnote w:type="continuationSeparator" w:id="0">
    <w:p w14:paraId="2B6E6752" w14:textId="77777777" w:rsidR="00AD3D0C" w:rsidRDefault="00AD3D0C" w:rsidP="007240FE">
      <w:pPr>
        <w:spacing w:before="0" w:after="0" w:line="240" w:lineRule="auto"/>
      </w:pPr>
      <w:r>
        <w:continuationSeparator/>
      </w:r>
    </w:p>
  </w:footnote>
  <w:footnote w:type="continuationNotice" w:id="1">
    <w:p w14:paraId="214CBE05" w14:textId="77777777" w:rsidR="00AD3D0C" w:rsidRDefault="00AD3D0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3340" w14:textId="77777777" w:rsidR="00A23B9C" w:rsidRDefault="00A23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978FF" w14:textId="77777777" w:rsidR="00A23B9C" w:rsidRDefault="00A23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FB41" w14:textId="77777777" w:rsidR="00A23B9C" w:rsidRDefault="00A23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1278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A06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3AE5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52F1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404C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A050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BC14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803066"/>
    <w:lvl w:ilvl="0">
      <w:start w:val="1"/>
      <w:numFmt w:val="bullet"/>
      <w:lvlText w:val="-"/>
      <w:lvlJc w:val="left"/>
      <w:pPr>
        <w:ind w:left="643" w:hanging="360"/>
      </w:pPr>
      <w:rPr>
        <w:rFonts w:ascii="Courier New" w:hAnsi="Courier New" w:hint="default"/>
        <w:color w:val="005677" w:themeColor="accent1"/>
      </w:rPr>
    </w:lvl>
  </w:abstractNum>
  <w:abstractNum w:abstractNumId="8" w15:restartNumberingAfterBreak="0">
    <w:nsid w:val="FFFFFF88"/>
    <w:multiLevelType w:val="singleLevel"/>
    <w:tmpl w:val="85082DC6"/>
    <w:lvl w:ilvl="0">
      <w:start w:val="1"/>
      <w:numFmt w:val="decimal"/>
      <w:lvlText w:val="%1."/>
      <w:lvlJc w:val="left"/>
      <w:pPr>
        <w:ind w:left="360" w:hanging="360"/>
      </w:pPr>
    </w:lvl>
  </w:abstractNum>
  <w:abstractNum w:abstractNumId="9" w15:restartNumberingAfterBreak="0">
    <w:nsid w:val="FFFFFF89"/>
    <w:multiLevelType w:val="singleLevel"/>
    <w:tmpl w:val="C894719A"/>
    <w:lvl w:ilvl="0">
      <w:start w:val="1"/>
      <w:numFmt w:val="bullet"/>
      <w:lvlText w:val=""/>
      <w:lvlJc w:val="left"/>
      <w:pPr>
        <w:ind w:left="360" w:hanging="360"/>
      </w:pPr>
      <w:rPr>
        <w:rFonts w:ascii="Symbol" w:hAnsi="Symbol" w:hint="default"/>
        <w:color w:val="005677" w:themeColor="accent1"/>
      </w:rPr>
    </w:lvl>
  </w:abstractNum>
  <w:abstractNum w:abstractNumId="10"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DC02CA"/>
    <w:multiLevelType w:val="hybridMultilevel"/>
    <w:tmpl w:val="7BE463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AE5EA8"/>
    <w:multiLevelType w:val="hybridMultilevel"/>
    <w:tmpl w:val="F61AF97E"/>
    <w:lvl w:ilvl="0" w:tplc="F5D44CDA">
      <w:start w:val="1"/>
      <w:numFmt w:val="bullet"/>
      <w:lvlText w:val=""/>
      <w:lvlJc w:val="left"/>
      <w:pPr>
        <w:ind w:left="360" w:hanging="360"/>
      </w:pPr>
      <w:rPr>
        <w:rFonts w:ascii="Wingdings" w:hAnsi="Wingdings" w:hint="default"/>
        <w:color w:val="005677"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4F1DDD"/>
    <w:multiLevelType w:val="hybridMultilevel"/>
    <w:tmpl w:val="32EE5AD6"/>
    <w:lvl w:ilvl="0" w:tplc="80E07CDA">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970465"/>
    <w:multiLevelType w:val="hybridMultilevel"/>
    <w:tmpl w:val="597436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14567C"/>
    <w:multiLevelType w:val="hybridMultilevel"/>
    <w:tmpl w:val="38BCCE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354F93"/>
    <w:multiLevelType w:val="hybridMultilevel"/>
    <w:tmpl w:val="8BFCA4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EA1D29"/>
    <w:multiLevelType w:val="hybridMultilevel"/>
    <w:tmpl w:val="8BFCA4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4E2756"/>
    <w:multiLevelType w:val="multilevel"/>
    <w:tmpl w:val="31B8B072"/>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4BA2DAB"/>
    <w:multiLevelType w:val="multilevel"/>
    <w:tmpl w:val="407089D0"/>
    <w:lvl w:ilvl="0">
      <w:start w:val="1"/>
      <w:numFmt w:val="bullet"/>
      <w:pStyle w:val="ListBullet"/>
      <w:lvlText w:val=""/>
      <w:lvlJc w:val="left"/>
      <w:pPr>
        <w:ind w:left="360" w:hanging="360"/>
      </w:pPr>
      <w:rPr>
        <w:rFonts w:ascii="Wingdings" w:hAnsi="Wingdings" w:hint="default"/>
        <w:color w:val="005677" w:themeColor="accent1"/>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DE65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B9810A7"/>
    <w:multiLevelType w:val="hybridMultilevel"/>
    <w:tmpl w:val="2A6A8DB6"/>
    <w:lvl w:ilvl="0" w:tplc="F5D44CDA">
      <w:start w:val="1"/>
      <w:numFmt w:val="bullet"/>
      <w:lvlText w:val=""/>
      <w:lvlJc w:val="left"/>
      <w:pPr>
        <w:ind w:left="360" w:hanging="360"/>
      </w:pPr>
      <w:rPr>
        <w:rFonts w:ascii="Wingdings" w:hAnsi="Wingdings" w:hint="default"/>
        <w:color w:val="005677"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F1C1266"/>
    <w:multiLevelType w:val="hybridMultilevel"/>
    <w:tmpl w:val="270AFF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5238F7"/>
    <w:multiLevelType w:val="hybridMultilevel"/>
    <w:tmpl w:val="59A468DE"/>
    <w:lvl w:ilvl="0" w:tplc="0F4897F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6A465C"/>
    <w:multiLevelType w:val="multilevel"/>
    <w:tmpl w:val="547A46C0"/>
    <w:lvl w:ilvl="0">
      <w:start w:val="1"/>
      <w:numFmt w:val="decimal"/>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3CA1337A"/>
    <w:multiLevelType w:val="hybridMultilevel"/>
    <w:tmpl w:val="224C1F88"/>
    <w:lvl w:ilvl="0" w:tplc="D270B3B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6E5EC6"/>
    <w:multiLevelType w:val="hybridMultilevel"/>
    <w:tmpl w:val="30D8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E827E8"/>
    <w:multiLevelType w:val="hybridMultilevel"/>
    <w:tmpl w:val="A6A48140"/>
    <w:lvl w:ilvl="0" w:tplc="BB90371A">
      <w:start w:val="1"/>
      <w:numFmt w:val="bullet"/>
      <w:lvlText w:val="o"/>
      <w:lvlJc w:val="left"/>
      <w:pPr>
        <w:ind w:left="707" w:hanging="360"/>
      </w:pPr>
      <w:rPr>
        <w:rFonts w:ascii="Courier New" w:hAnsi="Courier New" w:cs="Courier New" w:hint="default"/>
        <w:color w:val="000000" w:themeColor="text1"/>
      </w:rPr>
    </w:lvl>
    <w:lvl w:ilvl="1" w:tplc="29AE71EE">
      <w:start w:val="1"/>
      <w:numFmt w:val="bullet"/>
      <w:lvlText w:val="o"/>
      <w:lvlJc w:val="left"/>
      <w:pPr>
        <w:ind w:left="1427" w:hanging="360"/>
      </w:pPr>
      <w:rPr>
        <w:rFonts w:ascii="Courier New" w:hAnsi="Courier New" w:cs="Courier New" w:hint="default"/>
      </w:rPr>
    </w:lvl>
    <w:lvl w:ilvl="2" w:tplc="2F5EB6EE">
      <w:start w:val="1"/>
      <w:numFmt w:val="bullet"/>
      <w:lvlText w:val=""/>
      <w:lvlJc w:val="left"/>
      <w:pPr>
        <w:ind w:left="2147" w:hanging="360"/>
      </w:pPr>
      <w:rPr>
        <w:rFonts w:ascii="Wingdings" w:hAnsi="Wingdings" w:hint="default"/>
      </w:rPr>
    </w:lvl>
    <w:lvl w:ilvl="3" w:tplc="818093D4">
      <w:start w:val="1"/>
      <w:numFmt w:val="bullet"/>
      <w:lvlText w:val=""/>
      <w:lvlJc w:val="left"/>
      <w:pPr>
        <w:ind w:left="2867" w:hanging="360"/>
      </w:pPr>
      <w:rPr>
        <w:rFonts w:ascii="Symbol" w:hAnsi="Symbol" w:hint="default"/>
      </w:rPr>
    </w:lvl>
    <w:lvl w:ilvl="4" w:tplc="AB80C5AC">
      <w:start w:val="1"/>
      <w:numFmt w:val="bullet"/>
      <w:lvlText w:val="o"/>
      <w:lvlJc w:val="left"/>
      <w:pPr>
        <w:ind w:left="3587" w:hanging="360"/>
      </w:pPr>
      <w:rPr>
        <w:rFonts w:ascii="Courier New" w:hAnsi="Courier New" w:cs="Courier New" w:hint="default"/>
      </w:rPr>
    </w:lvl>
    <w:lvl w:ilvl="5" w:tplc="FEEE78B2">
      <w:start w:val="1"/>
      <w:numFmt w:val="bullet"/>
      <w:lvlText w:val=""/>
      <w:lvlJc w:val="left"/>
      <w:pPr>
        <w:ind w:left="4307" w:hanging="360"/>
      </w:pPr>
      <w:rPr>
        <w:rFonts w:ascii="Wingdings" w:hAnsi="Wingdings" w:hint="default"/>
      </w:rPr>
    </w:lvl>
    <w:lvl w:ilvl="6" w:tplc="E62CC070">
      <w:start w:val="1"/>
      <w:numFmt w:val="bullet"/>
      <w:lvlText w:val=""/>
      <w:lvlJc w:val="left"/>
      <w:pPr>
        <w:ind w:left="5027" w:hanging="360"/>
      </w:pPr>
      <w:rPr>
        <w:rFonts w:ascii="Symbol" w:hAnsi="Symbol" w:hint="default"/>
      </w:rPr>
    </w:lvl>
    <w:lvl w:ilvl="7" w:tplc="2806C7AA">
      <w:start w:val="1"/>
      <w:numFmt w:val="bullet"/>
      <w:lvlText w:val="o"/>
      <w:lvlJc w:val="left"/>
      <w:pPr>
        <w:ind w:left="5747" w:hanging="360"/>
      </w:pPr>
      <w:rPr>
        <w:rFonts w:ascii="Courier New" w:hAnsi="Courier New" w:cs="Courier New" w:hint="default"/>
      </w:rPr>
    </w:lvl>
    <w:lvl w:ilvl="8" w:tplc="53D8F184">
      <w:start w:val="1"/>
      <w:numFmt w:val="bullet"/>
      <w:lvlText w:val=""/>
      <w:lvlJc w:val="left"/>
      <w:pPr>
        <w:ind w:left="6467" w:hanging="360"/>
      </w:pPr>
      <w:rPr>
        <w:rFonts w:ascii="Wingdings" w:hAnsi="Wingdings" w:hint="default"/>
      </w:rPr>
    </w:lvl>
  </w:abstractNum>
  <w:abstractNum w:abstractNumId="29" w15:restartNumberingAfterBreak="0">
    <w:nsid w:val="3E6E4236"/>
    <w:multiLevelType w:val="hybridMultilevel"/>
    <w:tmpl w:val="8BFCA4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B66B98"/>
    <w:multiLevelType w:val="hybridMultilevel"/>
    <w:tmpl w:val="8BFCA4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6BB2E92"/>
    <w:multiLevelType w:val="hybridMultilevel"/>
    <w:tmpl w:val="A0AEB60E"/>
    <w:lvl w:ilvl="0" w:tplc="D768652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EF482A"/>
    <w:multiLevelType w:val="hybridMultilevel"/>
    <w:tmpl w:val="48F410AA"/>
    <w:lvl w:ilvl="0" w:tplc="C9E4EB90">
      <w:start w:val="1"/>
      <w:numFmt w:val="decimal"/>
      <w:pStyle w:val="Table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405EEF"/>
    <w:multiLevelType w:val="hybridMultilevel"/>
    <w:tmpl w:val="8BFCA4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003F08"/>
    <w:multiLevelType w:val="hybridMultilevel"/>
    <w:tmpl w:val="8D6E56C6"/>
    <w:lvl w:ilvl="0" w:tplc="19BE00BE">
      <w:start w:val="1"/>
      <w:numFmt w:val="bullet"/>
      <w:pStyle w:val="ListParagraph"/>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9D5D1F"/>
    <w:multiLevelType w:val="hybridMultilevel"/>
    <w:tmpl w:val="7E1C9164"/>
    <w:lvl w:ilvl="0" w:tplc="5C4AE6F4">
      <w:start w:val="1"/>
      <w:numFmt w:val="bullet"/>
      <w:pStyle w:val="ListBullet2"/>
      <w:lvlText w:val=""/>
      <w:lvlJc w:val="left"/>
      <w:pPr>
        <w:ind w:left="720" w:hanging="360"/>
      </w:pPr>
      <w:rPr>
        <w:rFonts w:ascii="Wingdings" w:hAnsi="Wingdings" w:hint="default"/>
        <w:color w:val="00567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EE53CB"/>
    <w:multiLevelType w:val="hybridMultilevel"/>
    <w:tmpl w:val="C16CC1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99C49BA"/>
    <w:multiLevelType w:val="hybridMultilevel"/>
    <w:tmpl w:val="55CE2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2448DE"/>
    <w:multiLevelType w:val="hybridMultilevel"/>
    <w:tmpl w:val="7E9232FE"/>
    <w:lvl w:ilvl="0" w:tplc="1D92EBBA">
      <w:start w:val="1"/>
      <w:numFmt w:val="bullet"/>
      <w:lvlText w:val=""/>
      <w:lvlJc w:val="left"/>
      <w:pPr>
        <w:ind w:left="360" w:hanging="360"/>
      </w:pPr>
      <w:rPr>
        <w:rFonts w:ascii="Symbol" w:hAnsi="Symbol" w:hint="default"/>
      </w:rPr>
    </w:lvl>
    <w:lvl w:ilvl="1" w:tplc="BB90371A">
      <w:start w:val="1"/>
      <w:numFmt w:val="bullet"/>
      <w:lvlText w:val="o"/>
      <w:lvlJc w:val="left"/>
      <w:pPr>
        <w:ind w:left="1080" w:hanging="360"/>
      </w:pPr>
      <w:rPr>
        <w:rFonts w:ascii="Courier New" w:hAnsi="Courier New" w:cs="Courier New" w:hint="default"/>
      </w:rPr>
    </w:lvl>
    <w:lvl w:ilvl="2" w:tplc="5814598E" w:tentative="1">
      <w:start w:val="1"/>
      <w:numFmt w:val="bullet"/>
      <w:lvlText w:val=""/>
      <w:lvlJc w:val="left"/>
      <w:pPr>
        <w:ind w:left="1800" w:hanging="360"/>
      </w:pPr>
      <w:rPr>
        <w:rFonts w:ascii="Wingdings" w:hAnsi="Wingdings" w:hint="default"/>
      </w:rPr>
    </w:lvl>
    <w:lvl w:ilvl="3" w:tplc="13842C04" w:tentative="1">
      <w:start w:val="1"/>
      <w:numFmt w:val="bullet"/>
      <w:lvlText w:val=""/>
      <w:lvlJc w:val="left"/>
      <w:pPr>
        <w:ind w:left="2520" w:hanging="360"/>
      </w:pPr>
      <w:rPr>
        <w:rFonts w:ascii="Symbol" w:hAnsi="Symbol" w:hint="default"/>
      </w:rPr>
    </w:lvl>
    <w:lvl w:ilvl="4" w:tplc="E50CAC32" w:tentative="1">
      <w:start w:val="1"/>
      <w:numFmt w:val="bullet"/>
      <w:lvlText w:val="o"/>
      <w:lvlJc w:val="left"/>
      <w:pPr>
        <w:ind w:left="3240" w:hanging="360"/>
      </w:pPr>
      <w:rPr>
        <w:rFonts w:ascii="Courier New" w:hAnsi="Courier New" w:cs="Courier New" w:hint="default"/>
      </w:rPr>
    </w:lvl>
    <w:lvl w:ilvl="5" w:tplc="97C283BA" w:tentative="1">
      <w:start w:val="1"/>
      <w:numFmt w:val="bullet"/>
      <w:lvlText w:val=""/>
      <w:lvlJc w:val="left"/>
      <w:pPr>
        <w:ind w:left="3960" w:hanging="360"/>
      </w:pPr>
      <w:rPr>
        <w:rFonts w:ascii="Wingdings" w:hAnsi="Wingdings" w:hint="default"/>
      </w:rPr>
    </w:lvl>
    <w:lvl w:ilvl="6" w:tplc="07F6BA12" w:tentative="1">
      <w:start w:val="1"/>
      <w:numFmt w:val="bullet"/>
      <w:lvlText w:val=""/>
      <w:lvlJc w:val="left"/>
      <w:pPr>
        <w:ind w:left="4680" w:hanging="360"/>
      </w:pPr>
      <w:rPr>
        <w:rFonts w:ascii="Symbol" w:hAnsi="Symbol" w:hint="default"/>
      </w:rPr>
    </w:lvl>
    <w:lvl w:ilvl="7" w:tplc="ECAE76EC" w:tentative="1">
      <w:start w:val="1"/>
      <w:numFmt w:val="bullet"/>
      <w:lvlText w:val="o"/>
      <w:lvlJc w:val="left"/>
      <w:pPr>
        <w:ind w:left="5400" w:hanging="360"/>
      </w:pPr>
      <w:rPr>
        <w:rFonts w:ascii="Courier New" w:hAnsi="Courier New" w:cs="Courier New" w:hint="default"/>
      </w:rPr>
    </w:lvl>
    <w:lvl w:ilvl="8" w:tplc="CE286994" w:tentative="1">
      <w:start w:val="1"/>
      <w:numFmt w:val="bullet"/>
      <w:lvlText w:val=""/>
      <w:lvlJc w:val="left"/>
      <w:pPr>
        <w:ind w:left="6120" w:hanging="360"/>
      </w:pPr>
      <w:rPr>
        <w:rFonts w:ascii="Wingdings" w:hAnsi="Wingdings" w:hint="default"/>
      </w:rPr>
    </w:lvl>
  </w:abstractNum>
  <w:abstractNum w:abstractNumId="40" w15:restartNumberingAfterBreak="0">
    <w:nsid w:val="735F5606"/>
    <w:multiLevelType w:val="hybridMultilevel"/>
    <w:tmpl w:val="CA5A8F7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ABB303F"/>
    <w:multiLevelType w:val="hybridMultilevel"/>
    <w:tmpl w:val="48125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18"/>
  </w:num>
  <w:num w:numId="16">
    <w:abstractNumId w:val="24"/>
  </w:num>
  <w:num w:numId="17">
    <w:abstractNumId w:val="32"/>
  </w:num>
  <w:num w:numId="18">
    <w:abstractNumId w:val="40"/>
  </w:num>
  <w:num w:numId="19">
    <w:abstractNumId w:val="37"/>
  </w:num>
  <w:num w:numId="20">
    <w:abstractNumId w:val="22"/>
  </w:num>
  <w:num w:numId="21">
    <w:abstractNumId w:val="12"/>
  </w:num>
  <w:num w:numId="22">
    <w:abstractNumId w:val="26"/>
  </w:num>
  <w:num w:numId="23">
    <w:abstractNumId w:val="4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3"/>
  </w:num>
  <w:num w:numId="27">
    <w:abstractNumId w:val="15"/>
  </w:num>
  <w:num w:numId="28">
    <w:abstractNumId w:val="19"/>
  </w:num>
  <w:num w:numId="29">
    <w:abstractNumId w:val="34"/>
  </w:num>
  <w:num w:numId="30">
    <w:abstractNumId w:val="25"/>
  </w:num>
  <w:num w:numId="31">
    <w:abstractNumId w:val="36"/>
  </w:num>
  <w:num w:numId="32">
    <w:abstractNumId w:val="31"/>
  </w:num>
  <w:num w:numId="33">
    <w:abstractNumId w:val="13"/>
  </w:num>
  <w:num w:numId="34">
    <w:abstractNumId w:val="20"/>
  </w:num>
  <w:num w:numId="35">
    <w:abstractNumId w:val="35"/>
  </w:num>
  <w:num w:numId="36">
    <w:abstractNumId w:val="10"/>
  </w:num>
  <w:num w:numId="37">
    <w:abstractNumId w:val="27"/>
  </w:num>
  <w:num w:numId="38">
    <w:abstractNumId w:val="14"/>
  </w:num>
  <w:num w:numId="39">
    <w:abstractNumId w:val="39"/>
  </w:num>
  <w:num w:numId="40">
    <w:abstractNumId w:val="28"/>
  </w:num>
  <w:num w:numId="41">
    <w:abstractNumId w:val="29"/>
  </w:num>
  <w:num w:numId="42">
    <w:abstractNumId w:val="33"/>
  </w:num>
  <w:num w:numId="43">
    <w:abstractNumId w:val="16"/>
  </w:num>
  <w:num w:numId="44">
    <w:abstractNumId w:val="1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0szQzsrAwMDY0MjVT0lEKTi0uzszPAykwrQUA1x0kxSwAAAA="/>
  </w:docVars>
  <w:rsids>
    <w:rsidRoot w:val="00BA4498"/>
    <w:rsid w:val="00000453"/>
    <w:rsid w:val="00002009"/>
    <w:rsid w:val="00007A20"/>
    <w:rsid w:val="00010E36"/>
    <w:rsid w:val="00012EAA"/>
    <w:rsid w:val="00016849"/>
    <w:rsid w:val="000168AA"/>
    <w:rsid w:val="000208BD"/>
    <w:rsid w:val="0002584D"/>
    <w:rsid w:val="00027442"/>
    <w:rsid w:val="000336E5"/>
    <w:rsid w:val="00040232"/>
    <w:rsid w:val="0004626E"/>
    <w:rsid w:val="00060A6F"/>
    <w:rsid w:val="0007119F"/>
    <w:rsid w:val="0007766A"/>
    <w:rsid w:val="00083880"/>
    <w:rsid w:val="00084622"/>
    <w:rsid w:val="00090FA5"/>
    <w:rsid w:val="000A0233"/>
    <w:rsid w:val="000A768B"/>
    <w:rsid w:val="000B0B5A"/>
    <w:rsid w:val="000C75FA"/>
    <w:rsid w:val="000D135A"/>
    <w:rsid w:val="000D3AD0"/>
    <w:rsid w:val="000D4CA4"/>
    <w:rsid w:val="000E201E"/>
    <w:rsid w:val="000E3AAD"/>
    <w:rsid w:val="000F17F0"/>
    <w:rsid w:val="000F2BA1"/>
    <w:rsid w:val="000F5108"/>
    <w:rsid w:val="00103AB5"/>
    <w:rsid w:val="0011159F"/>
    <w:rsid w:val="00121AFE"/>
    <w:rsid w:val="00131AFB"/>
    <w:rsid w:val="001421BA"/>
    <w:rsid w:val="001433BF"/>
    <w:rsid w:val="00143A4C"/>
    <w:rsid w:val="00144D4C"/>
    <w:rsid w:val="001523DC"/>
    <w:rsid w:val="0015501A"/>
    <w:rsid w:val="00157609"/>
    <w:rsid w:val="001641FF"/>
    <w:rsid w:val="00167833"/>
    <w:rsid w:val="001768A9"/>
    <w:rsid w:val="00182EED"/>
    <w:rsid w:val="00183D4F"/>
    <w:rsid w:val="001905EB"/>
    <w:rsid w:val="00191A86"/>
    <w:rsid w:val="00191BA6"/>
    <w:rsid w:val="001A09CA"/>
    <w:rsid w:val="001B0F02"/>
    <w:rsid w:val="001B7151"/>
    <w:rsid w:val="001C37B7"/>
    <w:rsid w:val="001C6FC3"/>
    <w:rsid w:val="001D0226"/>
    <w:rsid w:val="001D1526"/>
    <w:rsid w:val="001D5292"/>
    <w:rsid w:val="001E7798"/>
    <w:rsid w:val="001F1248"/>
    <w:rsid w:val="001F23CA"/>
    <w:rsid w:val="001F47EC"/>
    <w:rsid w:val="001F58C9"/>
    <w:rsid w:val="00203A88"/>
    <w:rsid w:val="00210F63"/>
    <w:rsid w:val="0021248F"/>
    <w:rsid w:val="00214F5E"/>
    <w:rsid w:val="00223022"/>
    <w:rsid w:val="0023020C"/>
    <w:rsid w:val="0023355A"/>
    <w:rsid w:val="00236E40"/>
    <w:rsid w:val="00241F39"/>
    <w:rsid w:val="00245AFC"/>
    <w:rsid w:val="00250B8F"/>
    <w:rsid w:val="002856C7"/>
    <w:rsid w:val="00287B7A"/>
    <w:rsid w:val="0029166A"/>
    <w:rsid w:val="002A1308"/>
    <w:rsid w:val="002A4F96"/>
    <w:rsid w:val="002A5012"/>
    <w:rsid w:val="002A779C"/>
    <w:rsid w:val="002B1E1B"/>
    <w:rsid w:val="002B642B"/>
    <w:rsid w:val="002C61FB"/>
    <w:rsid w:val="002C71B3"/>
    <w:rsid w:val="002D2FD6"/>
    <w:rsid w:val="002E1B81"/>
    <w:rsid w:val="002F2F5F"/>
    <w:rsid w:val="00303E00"/>
    <w:rsid w:val="00304B6B"/>
    <w:rsid w:val="003123D6"/>
    <w:rsid w:val="003147EB"/>
    <w:rsid w:val="00316FBD"/>
    <w:rsid w:val="0032271B"/>
    <w:rsid w:val="00341C72"/>
    <w:rsid w:val="00342D97"/>
    <w:rsid w:val="00351E19"/>
    <w:rsid w:val="0035464E"/>
    <w:rsid w:val="00363597"/>
    <w:rsid w:val="00364C95"/>
    <w:rsid w:val="00365047"/>
    <w:rsid w:val="00371F56"/>
    <w:rsid w:val="00376F42"/>
    <w:rsid w:val="003808AD"/>
    <w:rsid w:val="003809BA"/>
    <w:rsid w:val="003860DC"/>
    <w:rsid w:val="003949D8"/>
    <w:rsid w:val="003960B7"/>
    <w:rsid w:val="003B089A"/>
    <w:rsid w:val="003B57B8"/>
    <w:rsid w:val="003B7E41"/>
    <w:rsid w:val="003D0F07"/>
    <w:rsid w:val="003D1310"/>
    <w:rsid w:val="003D7E05"/>
    <w:rsid w:val="003E105A"/>
    <w:rsid w:val="003E33FA"/>
    <w:rsid w:val="003E65DB"/>
    <w:rsid w:val="003F6AD9"/>
    <w:rsid w:val="003F6DA5"/>
    <w:rsid w:val="0040074A"/>
    <w:rsid w:val="00407208"/>
    <w:rsid w:val="004164DF"/>
    <w:rsid w:val="004211E6"/>
    <w:rsid w:val="00423879"/>
    <w:rsid w:val="00426C1E"/>
    <w:rsid w:val="004346B2"/>
    <w:rsid w:val="00435101"/>
    <w:rsid w:val="00437258"/>
    <w:rsid w:val="00441084"/>
    <w:rsid w:val="00446863"/>
    <w:rsid w:val="00454EA7"/>
    <w:rsid w:val="00464F1E"/>
    <w:rsid w:val="004712EC"/>
    <w:rsid w:val="00473007"/>
    <w:rsid w:val="0047549C"/>
    <w:rsid w:val="00477DE2"/>
    <w:rsid w:val="004953D7"/>
    <w:rsid w:val="004A02CD"/>
    <w:rsid w:val="004C1E01"/>
    <w:rsid w:val="004C3712"/>
    <w:rsid w:val="004C6042"/>
    <w:rsid w:val="004D2B2A"/>
    <w:rsid w:val="004E13B2"/>
    <w:rsid w:val="004E2060"/>
    <w:rsid w:val="004E58FE"/>
    <w:rsid w:val="004F6B05"/>
    <w:rsid w:val="005005DE"/>
    <w:rsid w:val="005032E1"/>
    <w:rsid w:val="00503EF0"/>
    <w:rsid w:val="00510A05"/>
    <w:rsid w:val="00517C9E"/>
    <w:rsid w:val="00521FA3"/>
    <w:rsid w:val="00527E00"/>
    <w:rsid w:val="00530BC0"/>
    <w:rsid w:val="0053159C"/>
    <w:rsid w:val="00540939"/>
    <w:rsid w:val="0054126A"/>
    <w:rsid w:val="00542D2B"/>
    <w:rsid w:val="00550CA6"/>
    <w:rsid w:val="00551DC0"/>
    <w:rsid w:val="005544C0"/>
    <w:rsid w:val="00557497"/>
    <w:rsid w:val="00561078"/>
    <w:rsid w:val="00564FD6"/>
    <w:rsid w:val="00567516"/>
    <w:rsid w:val="00567552"/>
    <w:rsid w:val="00577CF5"/>
    <w:rsid w:val="005947B3"/>
    <w:rsid w:val="005C1032"/>
    <w:rsid w:val="005C1942"/>
    <w:rsid w:val="005C2356"/>
    <w:rsid w:val="005F7480"/>
    <w:rsid w:val="0061068E"/>
    <w:rsid w:val="006112BA"/>
    <w:rsid w:val="00611FE1"/>
    <w:rsid w:val="00625373"/>
    <w:rsid w:val="006302E4"/>
    <w:rsid w:val="006465CB"/>
    <w:rsid w:val="006544AB"/>
    <w:rsid w:val="00654790"/>
    <w:rsid w:val="00666946"/>
    <w:rsid w:val="00685A1C"/>
    <w:rsid w:val="006934A9"/>
    <w:rsid w:val="006B0563"/>
    <w:rsid w:val="006B57D3"/>
    <w:rsid w:val="006D3F76"/>
    <w:rsid w:val="006D678E"/>
    <w:rsid w:val="006E4F05"/>
    <w:rsid w:val="006E5425"/>
    <w:rsid w:val="006E6605"/>
    <w:rsid w:val="006F31AD"/>
    <w:rsid w:val="006F3F33"/>
    <w:rsid w:val="006F428F"/>
    <w:rsid w:val="006F492F"/>
    <w:rsid w:val="007230AC"/>
    <w:rsid w:val="00723F3F"/>
    <w:rsid w:val="007240FE"/>
    <w:rsid w:val="00743271"/>
    <w:rsid w:val="007501B7"/>
    <w:rsid w:val="00756A89"/>
    <w:rsid w:val="007610DD"/>
    <w:rsid w:val="00761E91"/>
    <w:rsid w:val="00767E5B"/>
    <w:rsid w:val="007734F9"/>
    <w:rsid w:val="00783D86"/>
    <w:rsid w:val="007948B3"/>
    <w:rsid w:val="00795881"/>
    <w:rsid w:val="007B0DB6"/>
    <w:rsid w:val="007B0FD6"/>
    <w:rsid w:val="007B36E4"/>
    <w:rsid w:val="007B7064"/>
    <w:rsid w:val="007C24DF"/>
    <w:rsid w:val="007C4AC7"/>
    <w:rsid w:val="007C6905"/>
    <w:rsid w:val="007D0D6C"/>
    <w:rsid w:val="007D13AC"/>
    <w:rsid w:val="007E1E88"/>
    <w:rsid w:val="008003AF"/>
    <w:rsid w:val="00802870"/>
    <w:rsid w:val="00803A89"/>
    <w:rsid w:val="008159D1"/>
    <w:rsid w:val="00822C2E"/>
    <w:rsid w:val="0083735F"/>
    <w:rsid w:val="00840E26"/>
    <w:rsid w:val="00860A87"/>
    <w:rsid w:val="00867161"/>
    <w:rsid w:val="0087169A"/>
    <w:rsid w:val="008762F8"/>
    <w:rsid w:val="00876DCE"/>
    <w:rsid w:val="00884849"/>
    <w:rsid w:val="00893414"/>
    <w:rsid w:val="008B0D46"/>
    <w:rsid w:val="008C6711"/>
    <w:rsid w:val="008D2B6F"/>
    <w:rsid w:val="008F1E64"/>
    <w:rsid w:val="008F2615"/>
    <w:rsid w:val="00901678"/>
    <w:rsid w:val="009117AE"/>
    <w:rsid w:val="00917BBA"/>
    <w:rsid w:val="00931E3A"/>
    <w:rsid w:val="00941607"/>
    <w:rsid w:val="00943233"/>
    <w:rsid w:val="009468B0"/>
    <w:rsid w:val="0095531D"/>
    <w:rsid w:val="009562A7"/>
    <w:rsid w:val="00956609"/>
    <w:rsid w:val="00957FD3"/>
    <w:rsid w:val="0096456E"/>
    <w:rsid w:val="00972795"/>
    <w:rsid w:val="00982394"/>
    <w:rsid w:val="00990265"/>
    <w:rsid w:val="00990914"/>
    <w:rsid w:val="009914B9"/>
    <w:rsid w:val="0099221C"/>
    <w:rsid w:val="00993B20"/>
    <w:rsid w:val="009945FF"/>
    <w:rsid w:val="009968C6"/>
    <w:rsid w:val="009969DD"/>
    <w:rsid w:val="009A11D6"/>
    <w:rsid w:val="009A7B79"/>
    <w:rsid w:val="009B413B"/>
    <w:rsid w:val="009C7393"/>
    <w:rsid w:val="009D081E"/>
    <w:rsid w:val="009D0AFD"/>
    <w:rsid w:val="009D2CEE"/>
    <w:rsid w:val="009D31BF"/>
    <w:rsid w:val="009D66A1"/>
    <w:rsid w:val="009E1ACA"/>
    <w:rsid w:val="009E55DF"/>
    <w:rsid w:val="009F362C"/>
    <w:rsid w:val="009F3D2D"/>
    <w:rsid w:val="009F47B0"/>
    <w:rsid w:val="009F6384"/>
    <w:rsid w:val="00A04798"/>
    <w:rsid w:val="00A1583A"/>
    <w:rsid w:val="00A21120"/>
    <w:rsid w:val="00A23B9C"/>
    <w:rsid w:val="00A24FE8"/>
    <w:rsid w:val="00A32653"/>
    <w:rsid w:val="00A37B01"/>
    <w:rsid w:val="00A440AA"/>
    <w:rsid w:val="00A441A0"/>
    <w:rsid w:val="00A45211"/>
    <w:rsid w:val="00A515C8"/>
    <w:rsid w:val="00A552FB"/>
    <w:rsid w:val="00A61ED7"/>
    <w:rsid w:val="00A62C76"/>
    <w:rsid w:val="00A63293"/>
    <w:rsid w:val="00A67254"/>
    <w:rsid w:val="00A74E57"/>
    <w:rsid w:val="00A76EF0"/>
    <w:rsid w:val="00A77A52"/>
    <w:rsid w:val="00A91AC1"/>
    <w:rsid w:val="00A935EC"/>
    <w:rsid w:val="00AA6A43"/>
    <w:rsid w:val="00AA6EE3"/>
    <w:rsid w:val="00AA77D9"/>
    <w:rsid w:val="00AB0DED"/>
    <w:rsid w:val="00AB2F85"/>
    <w:rsid w:val="00AB3A23"/>
    <w:rsid w:val="00AB74C0"/>
    <w:rsid w:val="00AC2E90"/>
    <w:rsid w:val="00AC40A4"/>
    <w:rsid w:val="00AC603A"/>
    <w:rsid w:val="00AC68E6"/>
    <w:rsid w:val="00AD3D0C"/>
    <w:rsid w:val="00AE46DA"/>
    <w:rsid w:val="00AE4CAE"/>
    <w:rsid w:val="00AF0FEA"/>
    <w:rsid w:val="00AF3517"/>
    <w:rsid w:val="00AF43C3"/>
    <w:rsid w:val="00AF4808"/>
    <w:rsid w:val="00AF4E09"/>
    <w:rsid w:val="00B03AB9"/>
    <w:rsid w:val="00B03B27"/>
    <w:rsid w:val="00B07610"/>
    <w:rsid w:val="00B07787"/>
    <w:rsid w:val="00B10A74"/>
    <w:rsid w:val="00B158D7"/>
    <w:rsid w:val="00B203BA"/>
    <w:rsid w:val="00B25E1B"/>
    <w:rsid w:val="00B26A5F"/>
    <w:rsid w:val="00B26C19"/>
    <w:rsid w:val="00B32E71"/>
    <w:rsid w:val="00B40051"/>
    <w:rsid w:val="00B46DBD"/>
    <w:rsid w:val="00B5276F"/>
    <w:rsid w:val="00B561CC"/>
    <w:rsid w:val="00B61102"/>
    <w:rsid w:val="00B660D6"/>
    <w:rsid w:val="00B9167F"/>
    <w:rsid w:val="00B940F7"/>
    <w:rsid w:val="00B94142"/>
    <w:rsid w:val="00B97459"/>
    <w:rsid w:val="00BA10DB"/>
    <w:rsid w:val="00BA4498"/>
    <w:rsid w:val="00BB3305"/>
    <w:rsid w:val="00BB6EB1"/>
    <w:rsid w:val="00BB7088"/>
    <w:rsid w:val="00BC02EC"/>
    <w:rsid w:val="00BC18D7"/>
    <w:rsid w:val="00BC240C"/>
    <w:rsid w:val="00BD3D75"/>
    <w:rsid w:val="00BD5CAD"/>
    <w:rsid w:val="00BE6542"/>
    <w:rsid w:val="00BF2B33"/>
    <w:rsid w:val="00BF6603"/>
    <w:rsid w:val="00C01E7C"/>
    <w:rsid w:val="00C027E7"/>
    <w:rsid w:val="00C0420A"/>
    <w:rsid w:val="00C04997"/>
    <w:rsid w:val="00C11461"/>
    <w:rsid w:val="00C13272"/>
    <w:rsid w:val="00C1383B"/>
    <w:rsid w:val="00C171D8"/>
    <w:rsid w:val="00C27728"/>
    <w:rsid w:val="00C30D28"/>
    <w:rsid w:val="00C403AC"/>
    <w:rsid w:val="00C40E01"/>
    <w:rsid w:val="00C42F0A"/>
    <w:rsid w:val="00C43635"/>
    <w:rsid w:val="00C520EE"/>
    <w:rsid w:val="00C5349C"/>
    <w:rsid w:val="00C66D57"/>
    <w:rsid w:val="00C6703E"/>
    <w:rsid w:val="00C676C3"/>
    <w:rsid w:val="00C719CA"/>
    <w:rsid w:val="00C73642"/>
    <w:rsid w:val="00C77FFB"/>
    <w:rsid w:val="00C80C73"/>
    <w:rsid w:val="00C82D77"/>
    <w:rsid w:val="00C90B40"/>
    <w:rsid w:val="00C90F3F"/>
    <w:rsid w:val="00C929F7"/>
    <w:rsid w:val="00C9583C"/>
    <w:rsid w:val="00CA7AA7"/>
    <w:rsid w:val="00CB7934"/>
    <w:rsid w:val="00CC59C7"/>
    <w:rsid w:val="00CC7EB3"/>
    <w:rsid w:val="00CD13FF"/>
    <w:rsid w:val="00CD3A06"/>
    <w:rsid w:val="00CE7963"/>
    <w:rsid w:val="00CF24B4"/>
    <w:rsid w:val="00CF436A"/>
    <w:rsid w:val="00CF5194"/>
    <w:rsid w:val="00CF6719"/>
    <w:rsid w:val="00D05FDF"/>
    <w:rsid w:val="00D06705"/>
    <w:rsid w:val="00D223A7"/>
    <w:rsid w:val="00D41770"/>
    <w:rsid w:val="00D466C7"/>
    <w:rsid w:val="00D51FF8"/>
    <w:rsid w:val="00D554C9"/>
    <w:rsid w:val="00D562E9"/>
    <w:rsid w:val="00D603B2"/>
    <w:rsid w:val="00D67187"/>
    <w:rsid w:val="00D769F8"/>
    <w:rsid w:val="00D76A90"/>
    <w:rsid w:val="00D93DC7"/>
    <w:rsid w:val="00DA42CE"/>
    <w:rsid w:val="00DB4E4B"/>
    <w:rsid w:val="00DB547C"/>
    <w:rsid w:val="00DC7D2F"/>
    <w:rsid w:val="00DE1A4D"/>
    <w:rsid w:val="00DE3D00"/>
    <w:rsid w:val="00E009CF"/>
    <w:rsid w:val="00E06578"/>
    <w:rsid w:val="00E118E8"/>
    <w:rsid w:val="00E1559A"/>
    <w:rsid w:val="00E1610D"/>
    <w:rsid w:val="00E31159"/>
    <w:rsid w:val="00E416DF"/>
    <w:rsid w:val="00E4512B"/>
    <w:rsid w:val="00E45D79"/>
    <w:rsid w:val="00E4776B"/>
    <w:rsid w:val="00E5747D"/>
    <w:rsid w:val="00E733FE"/>
    <w:rsid w:val="00E75915"/>
    <w:rsid w:val="00E75D85"/>
    <w:rsid w:val="00E76BF9"/>
    <w:rsid w:val="00E926A7"/>
    <w:rsid w:val="00E967FB"/>
    <w:rsid w:val="00E97C27"/>
    <w:rsid w:val="00EA783D"/>
    <w:rsid w:val="00EA78FC"/>
    <w:rsid w:val="00EB015C"/>
    <w:rsid w:val="00ED7E89"/>
    <w:rsid w:val="00EE368A"/>
    <w:rsid w:val="00EE6C16"/>
    <w:rsid w:val="00EF11A3"/>
    <w:rsid w:val="00EF6E4F"/>
    <w:rsid w:val="00F027F1"/>
    <w:rsid w:val="00F13E3A"/>
    <w:rsid w:val="00F16E70"/>
    <w:rsid w:val="00F20405"/>
    <w:rsid w:val="00F21874"/>
    <w:rsid w:val="00F222C7"/>
    <w:rsid w:val="00F25445"/>
    <w:rsid w:val="00F310B3"/>
    <w:rsid w:val="00F366C5"/>
    <w:rsid w:val="00F458DC"/>
    <w:rsid w:val="00F527E6"/>
    <w:rsid w:val="00F5466C"/>
    <w:rsid w:val="00F54AC8"/>
    <w:rsid w:val="00F64396"/>
    <w:rsid w:val="00F64FB4"/>
    <w:rsid w:val="00F8049E"/>
    <w:rsid w:val="00F80D74"/>
    <w:rsid w:val="00F9360C"/>
    <w:rsid w:val="00FA2F1F"/>
    <w:rsid w:val="00FA686E"/>
    <w:rsid w:val="00FB192E"/>
    <w:rsid w:val="00FB3843"/>
    <w:rsid w:val="00FC4AFA"/>
    <w:rsid w:val="00FC5B30"/>
    <w:rsid w:val="00FE09DE"/>
    <w:rsid w:val="00FE3F78"/>
    <w:rsid w:val="00FE7F14"/>
    <w:rsid w:val="00FF6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BEAEB5"/>
  <w15:chartTrackingRefBased/>
  <w15:docId w15:val="{6116D7D6-9344-4A08-9C3F-B167D0EF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94"/>
    <w:pPr>
      <w:spacing w:before="40" w:after="120" w:line="280" w:lineRule="atLeast"/>
    </w:pPr>
    <w:rPr>
      <w:rFonts w:ascii="Calibri" w:hAnsi="Calibri"/>
      <w:sz w:val="24"/>
    </w:rPr>
  </w:style>
  <w:style w:type="paragraph" w:styleId="Heading1">
    <w:name w:val="heading 1"/>
    <w:basedOn w:val="Normal"/>
    <w:next w:val="Normal"/>
    <w:link w:val="Heading1Char"/>
    <w:uiPriority w:val="9"/>
    <w:qFormat/>
    <w:rsid w:val="009D66A1"/>
    <w:pPr>
      <w:keepNext/>
      <w:keepLines/>
      <w:numPr>
        <w:numId w:val="32"/>
      </w:numPr>
      <w:spacing w:before="240"/>
      <w:ind w:hanging="720"/>
      <w:outlineLvl w:val="0"/>
    </w:pPr>
    <w:rPr>
      <w:rFonts w:eastAsiaTheme="majorEastAsia" w:cstheme="majorBidi"/>
      <w:color w:val="005677" w:themeColor="accent1"/>
      <w:sz w:val="28"/>
      <w:szCs w:val="32"/>
    </w:rPr>
  </w:style>
  <w:style w:type="paragraph" w:styleId="Heading2">
    <w:name w:val="heading 2"/>
    <w:basedOn w:val="Normal"/>
    <w:next w:val="Normal"/>
    <w:link w:val="Heading2Char"/>
    <w:uiPriority w:val="9"/>
    <w:unhideWhenUsed/>
    <w:qFormat/>
    <w:rsid w:val="00CF5194"/>
    <w:pPr>
      <w:keepNext/>
      <w:keepLines/>
      <w:numPr>
        <w:ilvl w:val="1"/>
        <w:numId w:val="30"/>
      </w:numPr>
      <w:spacing w:before="240" w:after="240"/>
      <w:outlineLvl w:val="1"/>
    </w:pPr>
    <w:rPr>
      <w:rFonts w:eastAsiaTheme="majorEastAsia" w:cstheme="majorBidi"/>
      <w:color w:val="005677" w:themeColor="accent1"/>
      <w:sz w:val="36"/>
      <w:szCs w:val="26"/>
    </w:rPr>
  </w:style>
  <w:style w:type="paragraph" w:styleId="Heading3">
    <w:name w:val="heading 3"/>
    <w:basedOn w:val="Normal"/>
    <w:next w:val="Normal"/>
    <w:link w:val="Heading3Char"/>
    <w:uiPriority w:val="9"/>
    <w:unhideWhenUsed/>
    <w:qFormat/>
    <w:rsid w:val="008B0D46"/>
    <w:pPr>
      <w:keepNext/>
      <w:keepLines/>
      <w:numPr>
        <w:ilvl w:val="2"/>
        <w:numId w:val="30"/>
      </w:numPr>
      <w:spacing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numPr>
        <w:ilvl w:val="3"/>
        <w:numId w:val="30"/>
      </w:numPr>
      <w:spacing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numPr>
        <w:ilvl w:val="4"/>
        <w:numId w:val="30"/>
      </w:numPr>
      <w:spacing w:after="0"/>
      <w:outlineLvl w:val="4"/>
    </w:pPr>
    <w:rPr>
      <w:rFonts w:eastAsiaTheme="majorEastAsia" w:cstheme="majorBidi"/>
      <w:b/>
      <w:color w:val="00283E"/>
    </w:rPr>
  </w:style>
  <w:style w:type="paragraph" w:styleId="Heading6">
    <w:name w:val="heading 6"/>
    <w:basedOn w:val="Normal"/>
    <w:next w:val="Normal"/>
    <w:link w:val="Heading6Char"/>
    <w:uiPriority w:val="9"/>
    <w:semiHidden/>
    <w:unhideWhenUsed/>
    <w:rsid w:val="00CF5194"/>
    <w:pPr>
      <w:keepNext/>
      <w:keepLines/>
      <w:numPr>
        <w:ilvl w:val="5"/>
        <w:numId w:val="30"/>
      </w:numPr>
      <w:spacing w:after="0"/>
      <w:outlineLvl w:val="5"/>
    </w:pPr>
    <w:rPr>
      <w:rFonts w:asciiTheme="majorHAnsi" w:eastAsiaTheme="majorEastAsia" w:hAnsiTheme="majorHAnsi" w:cstheme="majorBidi"/>
      <w:color w:val="002A3B" w:themeColor="accent1" w:themeShade="7F"/>
    </w:rPr>
  </w:style>
  <w:style w:type="paragraph" w:styleId="Heading7">
    <w:name w:val="heading 7"/>
    <w:basedOn w:val="Normal"/>
    <w:next w:val="Normal"/>
    <w:link w:val="Heading7Char"/>
    <w:uiPriority w:val="9"/>
    <w:semiHidden/>
    <w:unhideWhenUsed/>
    <w:qFormat/>
    <w:rsid w:val="00CF5194"/>
    <w:pPr>
      <w:keepNext/>
      <w:keepLines/>
      <w:numPr>
        <w:ilvl w:val="6"/>
        <w:numId w:val="30"/>
      </w:numPr>
      <w:spacing w:after="0"/>
      <w:outlineLvl w:val="6"/>
    </w:pPr>
    <w:rPr>
      <w:rFonts w:asciiTheme="majorHAnsi" w:eastAsiaTheme="majorEastAsia" w:hAnsiTheme="majorHAnsi" w:cstheme="majorBidi"/>
      <w:i/>
      <w:iCs/>
      <w:color w:val="002A3B" w:themeColor="accent1" w:themeShade="7F"/>
    </w:rPr>
  </w:style>
  <w:style w:type="paragraph" w:styleId="Heading8">
    <w:name w:val="heading 8"/>
    <w:basedOn w:val="Normal"/>
    <w:next w:val="Normal"/>
    <w:link w:val="Heading8Char"/>
    <w:uiPriority w:val="9"/>
    <w:semiHidden/>
    <w:unhideWhenUsed/>
    <w:qFormat/>
    <w:rsid w:val="00CF5194"/>
    <w:pPr>
      <w:keepNext/>
      <w:keepLines/>
      <w:numPr>
        <w:ilvl w:val="7"/>
        <w:numId w:val="30"/>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194"/>
    <w:pPr>
      <w:keepNext/>
      <w:keepLines/>
      <w:numPr>
        <w:ilvl w:val="8"/>
        <w:numId w:val="30"/>
      </w:numPr>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A24FE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A24FE8"/>
    <w:rPr>
      <w:rFonts w:ascii="Calibri" w:hAnsi="Calibri"/>
      <w:sz w:val="20"/>
    </w:rPr>
  </w:style>
  <w:style w:type="paragraph" w:styleId="Title">
    <w:name w:val="Title"/>
    <w:basedOn w:val="Normal"/>
    <w:next w:val="Normal"/>
    <w:link w:val="TitleChar"/>
    <w:uiPriority w:val="10"/>
    <w:qFormat/>
    <w:rsid w:val="00F13E3A"/>
    <w:pPr>
      <w:pBdr>
        <w:bottom w:val="single" w:sz="8" w:space="1" w:color="005677" w:themeColor="accent1"/>
      </w:pBdr>
      <w:spacing w:before="240" w:after="240"/>
      <w:contextualSpacing/>
    </w:pPr>
    <w:rPr>
      <w:rFonts w:eastAsiaTheme="majorEastAsia" w:cstheme="majorBidi"/>
      <w:color w:val="005677"/>
      <w:spacing w:val="-10"/>
      <w:kern w:val="28"/>
      <w:sz w:val="44"/>
      <w:szCs w:val="56"/>
    </w:rPr>
  </w:style>
  <w:style w:type="character" w:customStyle="1" w:styleId="TitleChar">
    <w:name w:val="Title Char"/>
    <w:basedOn w:val="DefaultParagraphFont"/>
    <w:link w:val="Title"/>
    <w:uiPriority w:val="10"/>
    <w:rsid w:val="00F13E3A"/>
    <w:rPr>
      <w:rFonts w:ascii="Calibri" w:eastAsiaTheme="majorEastAsia" w:hAnsi="Calibri" w:cstheme="majorBidi"/>
      <w:color w:val="005677"/>
      <w:spacing w:val="-10"/>
      <w:kern w:val="28"/>
      <w:sz w:val="44"/>
      <w:szCs w:val="56"/>
    </w:rPr>
  </w:style>
  <w:style w:type="character" w:customStyle="1" w:styleId="Heading1Char">
    <w:name w:val="Heading 1 Char"/>
    <w:basedOn w:val="DefaultParagraphFont"/>
    <w:link w:val="Heading1"/>
    <w:uiPriority w:val="9"/>
    <w:rsid w:val="009D66A1"/>
    <w:rPr>
      <w:rFonts w:ascii="Calibri" w:eastAsiaTheme="majorEastAsia" w:hAnsi="Calibri" w:cstheme="majorBidi"/>
      <w:color w:val="005677" w:themeColor="accent1"/>
      <w:sz w:val="28"/>
      <w:szCs w:val="32"/>
    </w:rPr>
  </w:style>
  <w:style w:type="character" w:customStyle="1" w:styleId="Heading2Char">
    <w:name w:val="Heading 2 Char"/>
    <w:basedOn w:val="DefaultParagraphFont"/>
    <w:link w:val="Heading2"/>
    <w:uiPriority w:val="9"/>
    <w:rsid w:val="00CF5194"/>
    <w:rPr>
      <w:rFonts w:ascii="Calibri" w:eastAsiaTheme="majorEastAsia" w:hAnsi="Calibri" w:cstheme="majorBidi"/>
      <w:color w:val="005677" w:themeColor="accent1"/>
      <w:sz w:val="36"/>
      <w:szCs w:val="26"/>
    </w:rPr>
  </w:style>
  <w:style w:type="character" w:customStyle="1" w:styleId="Heading3Char">
    <w:name w:val="Heading 3 Char"/>
    <w:basedOn w:val="DefaultParagraphFont"/>
    <w:link w:val="Heading3"/>
    <w:uiPriority w:val="9"/>
    <w:rsid w:val="008B0D46"/>
    <w:rPr>
      <w:rFonts w:ascii="Calibri" w:eastAsiaTheme="majorEastAsia" w:hAnsi="Calibri"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27E00"/>
    <w:pPr>
      <w:numPr>
        <w:numId w:val="1"/>
      </w:numPr>
      <w:contextualSpacing/>
    </w:pPr>
  </w:style>
  <w:style w:type="paragraph" w:styleId="ListBullet">
    <w:name w:val="List Bullet"/>
    <w:basedOn w:val="ListParagraph"/>
    <w:uiPriority w:val="99"/>
    <w:unhideWhenUsed/>
    <w:rsid w:val="00CF5194"/>
    <w:pPr>
      <w:numPr>
        <w:numId w:val="14"/>
      </w:numPr>
      <w:spacing w:before="60" w:after="60"/>
      <w:ind w:left="357" w:hanging="357"/>
      <w:contextualSpacing w:val="0"/>
    </w:pPr>
  </w:style>
  <w:style w:type="paragraph" w:styleId="ListBullet2">
    <w:name w:val="List Bullet 2"/>
    <w:basedOn w:val="ListBullet"/>
    <w:uiPriority w:val="99"/>
    <w:unhideWhenUsed/>
    <w:rsid w:val="00CF5194"/>
    <w:pPr>
      <w:numPr>
        <w:numId w:val="31"/>
      </w:numPr>
      <w:spacing w:before="40" w:after="40"/>
      <w:ind w:left="357" w:hanging="357"/>
    </w:pPr>
  </w:style>
  <w:style w:type="paragraph" w:styleId="ListNumber">
    <w:name w:val="List Number"/>
    <w:basedOn w:val="ListParagraph"/>
    <w:uiPriority w:val="99"/>
    <w:unhideWhenUsed/>
    <w:rsid w:val="00F13E3A"/>
    <w:pPr>
      <w:numPr>
        <w:numId w:val="15"/>
      </w:numPr>
      <w:spacing w:before="60" w:after="60"/>
      <w:contextualSpacing w:val="0"/>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3808AD"/>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paragraph" w:styleId="TOCHeading">
    <w:name w:val="TOC Heading"/>
    <w:basedOn w:val="Heading2"/>
    <w:next w:val="Normal"/>
    <w:uiPriority w:val="39"/>
    <w:unhideWhenUsed/>
    <w:qFormat/>
    <w:rsid w:val="00EE6C16"/>
  </w:style>
  <w:style w:type="paragraph" w:styleId="TOC1">
    <w:name w:val="toc 1"/>
    <w:basedOn w:val="Normal"/>
    <w:next w:val="Normal"/>
    <w:autoRedefine/>
    <w:uiPriority w:val="39"/>
    <w:unhideWhenUsed/>
    <w:rsid w:val="00EE6C16"/>
    <w:pPr>
      <w:spacing w:after="100"/>
    </w:pPr>
  </w:style>
  <w:style w:type="paragraph" w:styleId="TOC2">
    <w:name w:val="toc 2"/>
    <w:basedOn w:val="Normal"/>
    <w:next w:val="Normal"/>
    <w:autoRedefine/>
    <w:uiPriority w:val="39"/>
    <w:unhideWhenUsed/>
    <w:rsid w:val="00EE6C16"/>
    <w:pPr>
      <w:spacing w:after="100"/>
      <w:ind w:left="220"/>
    </w:pPr>
  </w:style>
  <w:style w:type="paragraph" w:styleId="TOC3">
    <w:name w:val="toc 3"/>
    <w:basedOn w:val="Normal"/>
    <w:next w:val="Normal"/>
    <w:autoRedefine/>
    <w:uiPriority w:val="39"/>
    <w:unhideWhenUsed/>
    <w:rsid w:val="00EE6C16"/>
    <w:pPr>
      <w:spacing w:after="100"/>
      <w:ind w:left="440"/>
    </w:pPr>
  </w:style>
  <w:style w:type="paragraph" w:styleId="Subtitle">
    <w:name w:val="Subtitle"/>
    <w:basedOn w:val="Title"/>
    <w:next w:val="Normal"/>
    <w:link w:val="SubtitleChar"/>
    <w:uiPriority w:val="11"/>
    <w:qFormat/>
    <w:rsid w:val="00EE6C16"/>
    <w:pPr>
      <w:contextualSpacing w:val="0"/>
    </w:pPr>
    <w:rPr>
      <w:color w:val="7F7F7F" w:themeColor="text1" w:themeTint="80"/>
      <w:sz w:val="40"/>
    </w:rPr>
  </w:style>
  <w:style w:type="character" w:customStyle="1" w:styleId="SubtitleChar">
    <w:name w:val="Subtitle Char"/>
    <w:basedOn w:val="DefaultParagraphFont"/>
    <w:link w:val="Subtitle"/>
    <w:uiPriority w:val="11"/>
    <w:rsid w:val="00EE6C16"/>
    <w:rPr>
      <w:rFonts w:ascii="Arial" w:eastAsiaTheme="majorEastAsia" w:hAnsi="Arial" w:cstheme="majorBidi"/>
      <w:color w:val="7F7F7F" w:themeColor="text1" w:themeTint="80"/>
      <w:spacing w:val="-10"/>
      <w:kern w:val="28"/>
      <w:sz w:val="40"/>
      <w:szCs w:val="56"/>
    </w:rPr>
  </w:style>
  <w:style w:type="paragraph" w:customStyle="1" w:styleId="Normalinstructions">
    <w:name w:val="Normal + instructions"/>
    <w:basedOn w:val="Normal"/>
    <w:qFormat/>
    <w:rsid w:val="00C719CA"/>
    <w:pPr>
      <w:shd w:val="clear" w:color="auto" w:fill="DFF3F3" w:themeFill="accent4" w:themeFillTint="33"/>
    </w:pPr>
    <w:rPr>
      <w:rFonts w:eastAsia="Times New Roman" w:cs="Times New Roman"/>
    </w:rPr>
  </w:style>
  <w:style w:type="paragraph" w:customStyle="1" w:styleId="TableHeading">
    <w:name w:val="Table Heading"/>
    <w:basedOn w:val="Normal"/>
    <w:link w:val="TableHeadingChar"/>
    <w:qFormat/>
    <w:rsid w:val="00AF3517"/>
    <w:pPr>
      <w:jc w:val="center"/>
    </w:pPr>
    <w:rPr>
      <w:bCs/>
      <w:color w:val="FFFFFF" w:themeColor="background1"/>
    </w:rPr>
  </w:style>
  <w:style w:type="paragraph" w:customStyle="1" w:styleId="TableSideheading">
    <w:name w:val="Table Side heading"/>
    <w:basedOn w:val="Normal"/>
    <w:qFormat/>
    <w:rsid w:val="00AF3517"/>
    <w:rPr>
      <w:bCs/>
      <w:color w:val="FFFFFF" w:themeColor="background1"/>
    </w:rPr>
  </w:style>
  <w:style w:type="paragraph" w:customStyle="1" w:styleId="TableBody">
    <w:name w:val="Table Body"/>
    <w:basedOn w:val="Normal"/>
    <w:qFormat/>
    <w:rsid w:val="00AF3517"/>
    <w:pPr>
      <w:jc w:val="center"/>
    </w:pPr>
  </w:style>
  <w:style w:type="paragraph" w:customStyle="1" w:styleId="Tablebullet">
    <w:name w:val="Table bullet"/>
    <w:basedOn w:val="TableBody"/>
    <w:qFormat/>
    <w:rsid w:val="00AF3517"/>
    <w:pPr>
      <w:numPr>
        <w:numId w:val="16"/>
      </w:numPr>
      <w:ind w:left="284" w:hanging="284"/>
    </w:pPr>
  </w:style>
  <w:style w:type="paragraph" w:customStyle="1" w:styleId="TableNumber">
    <w:name w:val="Table Number"/>
    <w:basedOn w:val="TableBody"/>
    <w:qFormat/>
    <w:rsid w:val="00AF3517"/>
    <w:pPr>
      <w:numPr>
        <w:numId w:val="17"/>
      </w:numPr>
      <w:ind w:left="284" w:hanging="284"/>
    </w:pPr>
  </w:style>
  <w:style w:type="character" w:customStyle="1" w:styleId="TableHeadingChar">
    <w:name w:val="Table Heading Char"/>
    <w:basedOn w:val="DefaultParagraphFont"/>
    <w:link w:val="TableHeading"/>
    <w:rsid w:val="00AF3517"/>
    <w:rPr>
      <w:rFonts w:ascii="Arial" w:hAnsi="Arial"/>
      <w:bCs/>
      <w:color w:val="FFFFFF" w:themeColor="background1"/>
    </w:rPr>
  </w:style>
  <w:style w:type="paragraph" w:styleId="BalloonText">
    <w:name w:val="Balloon Text"/>
    <w:basedOn w:val="Normal"/>
    <w:link w:val="BalloonTextChar"/>
    <w:uiPriority w:val="99"/>
    <w:semiHidden/>
    <w:unhideWhenUsed/>
    <w:rsid w:val="00AF35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517"/>
    <w:rPr>
      <w:rFonts w:ascii="Segoe UI" w:hAnsi="Segoe UI" w:cs="Segoe UI"/>
      <w:sz w:val="18"/>
      <w:szCs w:val="18"/>
    </w:rPr>
  </w:style>
  <w:style w:type="table" w:customStyle="1" w:styleId="Style1">
    <w:name w:val="Style1"/>
    <w:basedOn w:val="TableList1"/>
    <w:uiPriority w:val="99"/>
    <w:rsid w:val="003E33FA"/>
    <w:pPr>
      <w:spacing w:before="120" w:after="0" w:line="240" w:lineRule="auto"/>
    </w:p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FFFFFF" w:themeFill="background1"/>
    </w:tcPr>
    <w:tblStylePr w:type="firstRow">
      <w:rPr>
        <w:rFonts w:ascii="Arial" w:hAnsi="Arial"/>
        <w:b/>
        <w:bCs/>
        <w:i w:val="0"/>
        <w:iCs/>
        <w:color w:val="FFFFFF" w:themeColor="background1"/>
        <w:sz w:val="22"/>
      </w:rPr>
      <w:tblPr/>
      <w:tcPr>
        <w:tcBorders>
          <w:bottom w:val="single" w:sz="6" w:space="0" w:color="000000"/>
          <w:tl2br w:val="none" w:sz="0" w:space="0" w:color="auto"/>
          <w:tr2bl w:val="none" w:sz="0" w:space="0" w:color="auto"/>
        </w:tcBorders>
        <w:shd w:val="clear" w:color="auto" w:fill="005677"/>
      </w:tcPr>
    </w:tblStylePr>
    <w:tblStylePr w:type="lastRow">
      <w:tblPr/>
      <w:tcPr>
        <w:tcBorders>
          <w:top w:val="single" w:sz="6" w:space="0" w:color="000000"/>
          <w:tl2br w:val="none" w:sz="0" w:space="0" w:color="auto"/>
          <w:tr2bl w:val="none" w:sz="0" w:space="0" w:color="auto"/>
        </w:tcBorders>
      </w:tcPr>
    </w:tblStylePr>
    <w:tblStylePr w:type="band1Horz">
      <w:rPr>
        <w:rFonts w:ascii="Arial" w:hAnsi="Arial"/>
        <w:color w:val="auto"/>
        <w:sz w:val="22"/>
      </w:rPr>
      <w:tblPr/>
      <w:tcPr>
        <w:tcBorders>
          <w:tl2br w:val="none" w:sz="0" w:space="0" w:color="auto"/>
          <w:tr2bl w:val="none" w:sz="0" w:space="0" w:color="auto"/>
        </w:tcBorders>
        <w:shd w:val="clear" w:color="auto" w:fill="FFFFFF" w:themeFill="background1"/>
      </w:tcPr>
    </w:tblStylePr>
    <w:tblStylePr w:type="band2Horz">
      <w:rPr>
        <w:rFonts w:ascii="Arial" w:hAnsi="Arial"/>
        <w:color w:val="auto"/>
        <w:sz w:val="22"/>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D2FD6"/>
    <w:pPr>
      <w:spacing w:before="240" w:after="240"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TableGrid1"/>
    <w:uiPriority w:val="99"/>
    <w:rsid w:val="007C6905"/>
    <w:pPr>
      <w:spacing w:after="0" w:line="240" w:lineRule="auto"/>
    </w:pPr>
    <w:rPr>
      <w:rFonts w:ascii="Arial" w:hAnsi="Arial"/>
      <w:sz w:val="20"/>
      <w:szCs w:val="20"/>
      <w:lang w:val="en-GB" w:eastAsia="en-AU"/>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left w:w="57" w:type="dxa"/>
      </w:tblCellMar>
    </w:tblPr>
    <w:tcPr>
      <w:shd w:val="clear" w:color="auto" w:fill="auto"/>
    </w:tcPr>
    <w:tblStylePr w:type="firstRow">
      <w:rPr>
        <w:b/>
        <w:color w:val="FFFFFF" w:themeColor="background1"/>
      </w:rPr>
      <w:tblPr/>
      <w:tcPr>
        <w:shd w:val="clear" w:color="auto" w:fill="005677"/>
      </w:tcPr>
    </w:tblStylePr>
    <w:tblStylePr w:type="lastRow">
      <w:rPr>
        <w:i/>
        <w:iCs/>
      </w:rPr>
      <w:tblPr/>
      <w:tcPr>
        <w:tcBorders>
          <w:tl2br w:val="none" w:sz="0" w:space="0" w:color="auto"/>
          <w:tr2bl w:val="none" w:sz="0" w:space="0" w:color="auto"/>
        </w:tcBorders>
      </w:tcPr>
    </w:tblStylePr>
    <w:tblStylePr w:type="firstCol">
      <w:pPr>
        <w:jc w:val="left"/>
      </w:pPr>
      <w:rPr>
        <w:b/>
        <w:color w:val="FFFFFF" w:themeColor="background1"/>
      </w:rPr>
      <w:tblPr/>
      <w:tcPr>
        <w:shd w:val="clear" w:color="auto" w:fill="005677"/>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D2FD6"/>
    <w:pPr>
      <w:spacing w:before="240" w:after="24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
    <w:name w:val="Style3"/>
    <w:basedOn w:val="TableNormal"/>
    <w:uiPriority w:val="99"/>
    <w:rsid w:val="003808AD"/>
    <w:pPr>
      <w:spacing w:after="0" w:line="240" w:lineRule="auto"/>
    </w:pPr>
    <w:rPr>
      <w:rFonts w:ascii="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Col">
      <w:rPr>
        <w:color w:val="FFFFFF" w:themeColor="background1"/>
      </w:rPr>
      <w:tblPr/>
      <w:tcPr>
        <w:shd w:val="clear" w:color="auto" w:fill="005677"/>
      </w:tcPr>
    </w:tblStylePr>
  </w:style>
  <w:style w:type="table" w:customStyle="1" w:styleId="Style4">
    <w:name w:val="Style4"/>
    <w:basedOn w:val="TableGrid1"/>
    <w:uiPriority w:val="99"/>
    <w:rsid w:val="003808AD"/>
    <w:pPr>
      <w:spacing w:after="0" w:line="240" w:lineRule="auto"/>
    </w:pPr>
    <w:rPr>
      <w:rFonts w:ascii="Arial" w:hAnsi="Aria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hemeFill="background1"/>
    </w:tcPr>
    <w:tblStylePr w:type="firstRow">
      <w:rPr>
        <w:color w:val="auto"/>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color w:val="auto"/>
      </w:rPr>
      <w:tblPr/>
      <w:tcPr>
        <w:shd w:val="clear" w:color="auto" w:fill="D9D9D9"/>
      </w:tcPr>
    </w:tblStylePr>
    <w:tblStylePr w:type="lastCol">
      <w:rPr>
        <w:i/>
        <w:iCs/>
      </w:rPr>
      <w:tblPr/>
      <w:tcPr>
        <w:tcBorders>
          <w:tl2br w:val="none" w:sz="0" w:space="0" w:color="auto"/>
          <w:tr2bl w:val="none" w:sz="0" w:space="0" w:color="auto"/>
        </w:tcBorders>
      </w:tcPr>
    </w:tblStylePr>
  </w:style>
  <w:style w:type="table" w:customStyle="1" w:styleId="Style5">
    <w:name w:val="Style5"/>
    <w:basedOn w:val="TableNormal"/>
    <w:uiPriority w:val="99"/>
    <w:rsid w:val="003808A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rPr>
        <w:cantSplit/>
      </w:trPr>
      <w:tcPr>
        <w:shd w:val="clear" w:color="auto" w:fill="D9D9D9"/>
      </w:tcPr>
    </w:tblStylePr>
  </w:style>
  <w:style w:type="table" w:customStyle="1" w:styleId="Style6">
    <w:name w:val="Style6"/>
    <w:basedOn w:val="TableNormal"/>
    <w:uiPriority w:val="99"/>
    <w:rsid w:val="0007766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rPr>
      <w:tblPr/>
      <w:trPr>
        <w:cantSplit/>
      </w:trPr>
      <w:tcPr>
        <w:shd w:val="clear" w:color="auto" w:fill="D9D9D9"/>
      </w:tcPr>
    </w:tblStylePr>
  </w:style>
  <w:style w:type="character" w:customStyle="1" w:styleId="UnresolvedMention">
    <w:name w:val="Unresolved Mention"/>
    <w:basedOn w:val="DefaultParagraphFont"/>
    <w:uiPriority w:val="99"/>
    <w:semiHidden/>
    <w:unhideWhenUsed/>
    <w:rsid w:val="00C520EE"/>
    <w:rPr>
      <w:color w:val="808080"/>
      <w:shd w:val="clear" w:color="auto" w:fill="E6E6E6"/>
    </w:rPr>
  </w:style>
  <w:style w:type="paragraph" w:styleId="CommentText">
    <w:name w:val="annotation text"/>
    <w:basedOn w:val="Normal"/>
    <w:link w:val="CommentTextChar"/>
    <w:uiPriority w:val="99"/>
    <w:semiHidden/>
    <w:unhideWhenUsed/>
    <w:rsid w:val="00C520EE"/>
    <w:pPr>
      <w:spacing w:line="240" w:lineRule="auto"/>
    </w:pPr>
    <w:rPr>
      <w:sz w:val="20"/>
      <w:szCs w:val="20"/>
    </w:rPr>
  </w:style>
  <w:style w:type="character" w:customStyle="1" w:styleId="CommentTextChar">
    <w:name w:val="Comment Text Char"/>
    <w:basedOn w:val="DefaultParagraphFont"/>
    <w:link w:val="CommentText"/>
    <w:uiPriority w:val="99"/>
    <w:semiHidden/>
    <w:rsid w:val="00C520EE"/>
    <w:rPr>
      <w:rFonts w:ascii="Arial" w:hAnsi="Arial"/>
      <w:sz w:val="20"/>
      <w:szCs w:val="20"/>
    </w:rPr>
  </w:style>
  <w:style w:type="character" w:styleId="CommentReference">
    <w:name w:val="annotation reference"/>
    <w:basedOn w:val="DefaultParagraphFont"/>
    <w:rsid w:val="00C520EE"/>
    <w:rPr>
      <w:sz w:val="16"/>
      <w:szCs w:val="16"/>
    </w:rPr>
  </w:style>
  <w:style w:type="paragraph" w:styleId="CommentSubject">
    <w:name w:val="annotation subject"/>
    <w:basedOn w:val="CommentText"/>
    <w:next w:val="CommentText"/>
    <w:link w:val="CommentSubjectChar"/>
    <w:uiPriority w:val="99"/>
    <w:semiHidden/>
    <w:unhideWhenUsed/>
    <w:rsid w:val="003E33FA"/>
    <w:rPr>
      <w:b/>
      <w:bCs/>
    </w:rPr>
  </w:style>
  <w:style w:type="character" w:customStyle="1" w:styleId="CommentSubjectChar">
    <w:name w:val="Comment Subject Char"/>
    <w:basedOn w:val="CommentTextChar"/>
    <w:link w:val="CommentSubject"/>
    <w:uiPriority w:val="99"/>
    <w:semiHidden/>
    <w:rsid w:val="003E33FA"/>
    <w:rPr>
      <w:rFonts w:ascii="Arial" w:hAnsi="Arial"/>
      <w:b/>
      <w:bCs/>
      <w:sz w:val="20"/>
      <w:szCs w:val="20"/>
    </w:rPr>
  </w:style>
  <w:style w:type="character" w:styleId="FollowedHyperlink">
    <w:name w:val="FollowedHyperlink"/>
    <w:basedOn w:val="DefaultParagraphFont"/>
    <w:uiPriority w:val="99"/>
    <w:semiHidden/>
    <w:unhideWhenUsed/>
    <w:rsid w:val="00C43635"/>
    <w:rPr>
      <w:color w:val="7030A0" w:themeColor="followedHyperlink"/>
      <w:u w:val="single"/>
    </w:rPr>
  </w:style>
  <w:style w:type="paragraph" w:customStyle="1" w:styleId="NormalHeaderrow">
    <w:name w:val="Normal + Header row"/>
    <w:basedOn w:val="Normal"/>
    <w:qFormat/>
    <w:rsid w:val="009E55DF"/>
    <w:rPr>
      <w:rFonts w:asciiTheme="minorHAnsi" w:eastAsiaTheme="minorEastAsia" w:hAnsiTheme="minorHAnsi"/>
      <w:color w:val="FFFFFF" w:themeColor="background1"/>
      <w:szCs w:val="24"/>
    </w:rPr>
  </w:style>
  <w:style w:type="paragraph" w:styleId="Revision">
    <w:name w:val="Revision"/>
    <w:hidden/>
    <w:uiPriority w:val="99"/>
    <w:semiHidden/>
    <w:rsid w:val="00803A89"/>
    <w:pPr>
      <w:spacing w:after="0" w:line="240" w:lineRule="auto"/>
    </w:pPr>
    <w:rPr>
      <w:rFonts w:ascii="Calibri" w:hAnsi="Calibri"/>
      <w:sz w:val="24"/>
    </w:rPr>
  </w:style>
  <w:style w:type="character" w:customStyle="1" w:styleId="Heading6Char">
    <w:name w:val="Heading 6 Char"/>
    <w:basedOn w:val="DefaultParagraphFont"/>
    <w:link w:val="Heading6"/>
    <w:uiPriority w:val="9"/>
    <w:semiHidden/>
    <w:rsid w:val="00CF5194"/>
    <w:rPr>
      <w:rFonts w:asciiTheme="majorHAnsi" w:eastAsiaTheme="majorEastAsia" w:hAnsiTheme="majorHAnsi" w:cstheme="majorBidi"/>
      <w:color w:val="002A3B" w:themeColor="accent1" w:themeShade="7F"/>
      <w:sz w:val="24"/>
    </w:rPr>
  </w:style>
  <w:style w:type="character" w:customStyle="1" w:styleId="Heading7Char">
    <w:name w:val="Heading 7 Char"/>
    <w:basedOn w:val="DefaultParagraphFont"/>
    <w:link w:val="Heading7"/>
    <w:uiPriority w:val="9"/>
    <w:semiHidden/>
    <w:rsid w:val="00CF5194"/>
    <w:rPr>
      <w:rFonts w:asciiTheme="majorHAnsi" w:eastAsiaTheme="majorEastAsia" w:hAnsiTheme="majorHAnsi" w:cstheme="majorBidi"/>
      <w:i/>
      <w:iCs/>
      <w:color w:val="002A3B" w:themeColor="accent1" w:themeShade="7F"/>
      <w:sz w:val="24"/>
    </w:rPr>
  </w:style>
  <w:style w:type="character" w:customStyle="1" w:styleId="Heading8Char">
    <w:name w:val="Heading 8 Char"/>
    <w:basedOn w:val="DefaultParagraphFont"/>
    <w:link w:val="Heading8"/>
    <w:uiPriority w:val="9"/>
    <w:semiHidden/>
    <w:rsid w:val="00CF51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5194"/>
    <w:rPr>
      <w:rFonts w:asciiTheme="majorHAnsi" w:eastAsiaTheme="majorEastAsia" w:hAnsiTheme="majorHAnsi" w:cstheme="majorBidi"/>
      <w:i/>
      <w:iCs/>
      <w:color w:val="272727" w:themeColor="text1" w:themeTint="D8"/>
      <w:sz w:val="21"/>
      <w:szCs w:val="21"/>
    </w:rPr>
  </w:style>
  <w:style w:type="table" w:styleId="TableGridLight">
    <w:name w:val="Grid Table Light"/>
    <w:basedOn w:val="TableNormal"/>
    <w:uiPriority w:val="40"/>
    <w:rsid w:val="00C719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04626E"/>
    <w:rPr>
      <w:color w:val="808080"/>
    </w:rPr>
  </w:style>
  <w:style w:type="paragraph" w:customStyle="1" w:styleId="Body">
    <w:name w:val="Body"/>
    <w:rsid w:val="00D603B2"/>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customStyle="1" w:styleId="NormalExplanatorystatement">
    <w:name w:val="Normal + Explanatory statement"/>
    <w:basedOn w:val="Normal"/>
    <w:qFormat/>
    <w:rsid w:val="00007A20"/>
    <w:pPr>
      <w:spacing w:before="240" w:after="240" w:line="276" w:lineRule="auto"/>
    </w:pPr>
    <w:rPr>
      <w:rFonts w:ascii="Times New Roman" w:hAnsi="Times New Roman" w:cs="Times New Roman"/>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A42CE"/>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9740">
      <w:bodyDiv w:val="1"/>
      <w:marLeft w:val="0"/>
      <w:marRight w:val="0"/>
      <w:marTop w:val="0"/>
      <w:marBottom w:val="0"/>
      <w:divBdr>
        <w:top w:val="none" w:sz="0" w:space="0" w:color="auto"/>
        <w:left w:val="none" w:sz="0" w:space="0" w:color="auto"/>
        <w:bottom w:val="none" w:sz="0" w:space="0" w:color="auto"/>
        <w:right w:val="none" w:sz="0" w:space="0" w:color="auto"/>
      </w:divBdr>
    </w:div>
    <w:div w:id="192311429">
      <w:bodyDiv w:val="1"/>
      <w:marLeft w:val="0"/>
      <w:marRight w:val="0"/>
      <w:marTop w:val="0"/>
      <w:marBottom w:val="0"/>
      <w:divBdr>
        <w:top w:val="none" w:sz="0" w:space="0" w:color="auto"/>
        <w:left w:val="none" w:sz="0" w:space="0" w:color="auto"/>
        <w:bottom w:val="none" w:sz="0" w:space="0" w:color="auto"/>
        <w:right w:val="none" w:sz="0" w:space="0" w:color="auto"/>
      </w:divBdr>
    </w:div>
    <w:div w:id="506485939">
      <w:bodyDiv w:val="1"/>
      <w:marLeft w:val="0"/>
      <w:marRight w:val="0"/>
      <w:marTop w:val="0"/>
      <w:marBottom w:val="0"/>
      <w:divBdr>
        <w:top w:val="none" w:sz="0" w:space="0" w:color="auto"/>
        <w:left w:val="none" w:sz="0" w:space="0" w:color="auto"/>
        <w:bottom w:val="none" w:sz="0" w:space="0" w:color="auto"/>
        <w:right w:val="none" w:sz="0" w:space="0" w:color="auto"/>
      </w:divBdr>
    </w:div>
    <w:div w:id="11486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gov.au/department/statements/2020_2021/budget/files/2020-21_Infra_PBS_00_ITRDC.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76EDFAA9DFD0A40B567A67FD14B486D" ma:contentTypeVersion="" ma:contentTypeDescription="PDMS Document Site Content Type" ma:contentTypeScope="" ma:versionID="0b7e2116f3641f098b82e216c6b96aef">
  <xsd:schema xmlns:xsd="http://www.w3.org/2001/XMLSchema" xmlns:xs="http://www.w3.org/2001/XMLSchema" xmlns:p="http://schemas.microsoft.com/office/2006/metadata/properties" xmlns:ns2="59CC09A4-22BB-4256-B2CB-DD5B676BDC44" targetNamespace="http://schemas.microsoft.com/office/2006/metadata/properties" ma:root="true" ma:fieldsID="3a4729dc7c773cbb660e33b475caacc6" ns2:_="">
    <xsd:import namespace="59CC09A4-22BB-4256-B2CB-DD5B676BDC4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09A4-22BB-4256-B2CB-DD5B676BDC4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9CC09A4-22BB-4256-B2CB-DD5B676BDC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6E092-1507-4A9A-BAFF-9F12D1086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C09A4-22BB-4256-B2CB-DD5B676BD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95965-B73E-4D46-BC4B-CEE7FB9FDDE5}">
  <ds:schemaRefs>
    <ds:schemaRef ds:uri="http://schemas.microsoft.com/sharepoint/v3/contenttype/forms"/>
  </ds:schemaRefs>
</ds:datastoreItem>
</file>

<file path=customXml/itemProps3.xml><?xml version="1.0" encoding="utf-8"?>
<ds:datastoreItem xmlns:ds="http://schemas.openxmlformats.org/officeDocument/2006/customXml" ds:itemID="{EFBF768A-BAD9-4239-BAF3-2DC780053EE6}">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59CC09A4-22BB-4256-B2CB-DD5B676BDC44"/>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5ED0AA8-3684-41BA-A82E-75060138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Drafting instructions - Legislative Instrument s 33 of IRD</vt:lpstr>
    </vt:vector>
  </TitlesOfParts>
  <Company>Department of Industry, Innovation and Science</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instructions - Legislative Instrument s 33 of IRD</dc:title>
  <dc:subject/>
  <dc:creator>Industry</dc:creator>
  <cp:keywords/>
  <dc:description/>
  <cp:lastModifiedBy>DEMOOR Peter</cp:lastModifiedBy>
  <cp:revision>2</cp:revision>
  <cp:lastPrinted>2021-05-27T00:34:00Z</cp:lastPrinted>
  <dcterms:created xsi:type="dcterms:W3CDTF">2021-05-27T00:37:00Z</dcterms:created>
  <dcterms:modified xsi:type="dcterms:W3CDTF">2021-05-27T00:37:00Z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23385;#2020-21|fc8bd51e-588a-4169-a977-a72f113edbe3</vt:lpwstr>
  </property>
  <property fmtid="{D5CDD505-2E9C-101B-9397-08002B2CF9AE}" pid="3" name="DocHub_DocumentType">
    <vt:lpwstr>82;#Template|9b48ba34-650a-488d-9fe8-e5181e10b797</vt:lpwstr>
  </property>
  <property fmtid="{D5CDD505-2E9C-101B-9397-08002B2CF9AE}" pid="4" name="DocHub_SecurityClassification">
    <vt:lpwstr>3;#OFFICIAL|6106d03b-a1a0-4e30-9d91-d5e9fb4314f9</vt:lpwstr>
  </property>
  <property fmtid="{D5CDD505-2E9C-101B-9397-08002B2CF9AE}" pid="5" name="ContentTypeId">
    <vt:lpwstr>0x010100266966F133664895A6EE3632470D45F500E76EDFAA9DFD0A40B567A67FD14B486D</vt:lpwstr>
  </property>
  <property fmtid="{D5CDD505-2E9C-101B-9397-08002B2CF9AE}" pid="6" name="DocHub_Keywords">
    <vt:lpwstr>38838;#Securing Raw Materials|8b72ed14-910e-4ce3-9975-24cc26781156</vt:lpwstr>
  </property>
  <property fmtid="{D5CDD505-2E9C-101B-9397-08002B2CF9AE}" pid="7" name="DocHub_WorkActivity">
    <vt:lpwstr>1874;#Legislation and Regulation|6cbc66f5-f4a2-4565-a58b-d5f2d2ac9bd0</vt:lpwstr>
  </property>
  <property fmtid="{D5CDD505-2E9C-101B-9397-08002B2CF9AE}" pid="8" name="_dlc_DocIdItemGuid">
    <vt:lpwstr>b8324aad-c934-4dfe-88de-06a6571fb767</vt:lpwstr>
  </property>
  <property fmtid="{D5CDD505-2E9C-101B-9397-08002B2CF9AE}" pid="9" name="DocHub_BGHProgramLifecyclePhase">
    <vt:lpwstr>20144;#2 - Design|76e3e0c9-05a6-427f-83fa-9e397d0131c3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
  </property>
  <property fmtid="{D5CDD505-2E9C-101B-9397-08002B2CF9AE}" pid="12" name="DocHub_BGHProgramLifecycleTask">
    <vt:lpwstr>28785;#Task 1 - Program Design|7c304e06-24a9-4180-8b77-0f4513b26fa8</vt:lpwstr>
  </property>
  <property fmtid="{D5CDD505-2E9C-101B-9397-08002B2CF9AE}" pid="13" name="checkforsharepointfields">
    <vt:lpwstr>True</vt:lpwstr>
  </property>
  <property fmtid="{D5CDD505-2E9C-101B-9397-08002B2CF9AE}" pid="14" name="Template Filename">
    <vt:lpwstr/>
  </property>
  <property fmtid="{D5CDD505-2E9C-101B-9397-08002B2CF9AE}" pid="15" name="ObjectiveRef">
    <vt:lpwstr>Removed</vt:lpwstr>
  </property>
  <property fmtid="{D5CDD505-2E9C-101B-9397-08002B2CF9AE}" pid="16" name="LeadingLawyers">
    <vt:lpwstr>Removed</vt:lpwstr>
  </property>
  <property fmtid="{D5CDD505-2E9C-101B-9397-08002B2CF9AE}" pid="17" name="WSFooter">
    <vt:lpwstr>40951074</vt:lpwstr>
  </property>
</Properties>
</file>