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63" w:rsidRPr="00DD2453" w:rsidRDefault="00B71663" w:rsidP="00B71663">
      <w:pPr>
        <w:rPr>
          <w:sz w:val="28"/>
        </w:rPr>
      </w:pPr>
      <w:bookmarkStart w:id="0" w:name="_Toc406161780"/>
      <w:r w:rsidRPr="00DD2453">
        <w:rPr>
          <w:noProof/>
          <w:lang w:eastAsia="en-AU"/>
        </w:rPr>
        <w:drawing>
          <wp:inline distT="0" distB="0" distL="0" distR="0" wp14:anchorId="493C2FA8" wp14:editId="493C2FA9">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B71663" w:rsidRPr="00DD2453" w:rsidRDefault="00B71663" w:rsidP="00B71663">
      <w:pPr>
        <w:rPr>
          <w:sz w:val="19"/>
        </w:rPr>
      </w:pPr>
    </w:p>
    <w:p w:rsidR="00B71663" w:rsidRPr="00DD2453" w:rsidRDefault="00B71663" w:rsidP="00B71663">
      <w:pPr>
        <w:pStyle w:val="ShortT"/>
        <w:keepNext/>
        <w:keepLines/>
      </w:pPr>
      <w:r w:rsidRPr="00DD2453">
        <w:t>National Greenhouse and Energy Reporting (Safeguard Mechanism) Amendment (Prescribed</w:t>
      </w:r>
      <w:r w:rsidR="007047EB">
        <w:t xml:space="preserve"> Production Variables Update) Rule 2021</w:t>
      </w:r>
    </w:p>
    <w:p w:rsidR="00B71663" w:rsidRPr="00DD2453" w:rsidRDefault="00B71663" w:rsidP="00B71663">
      <w:pPr>
        <w:pStyle w:val="SignCoverPageStart"/>
        <w:rPr>
          <w:szCs w:val="22"/>
        </w:rPr>
      </w:pPr>
      <w:r w:rsidRPr="00DD2453">
        <w:rPr>
          <w:szCs w:val="22"/>
        </w:rPr>
        <w:t>I, Angus Taylor, Minister for Energy and Emissions Reduction, make the following instrument.</w:t>
      </w:r>
    </w:p>
    <w:p w:rsidR="00B71663" w:rsidRPr="00DD2453" w:rsidRDefault="00B71663" w:rsidP="00B71663">
      <w:pPr>
        <w:keepNext/>
        <w:spacing w:before="300" w:line="240" w:lineRule="atLeast"/>
        <w:ind w:right="397"/>
        <w:jc w:val="both"/>
        <w:rPr>
          <w:szCs w:val="22"/>
        </w:rPr>
      </w:pPr>
      <w:r w:rsidRPr="00DD2453">
        <w:rPr>
          <w:szCs w:val="22"/>
        </w:rPr>
        <w:t>Dated</w:t>
      </w:r>
      <w:r w:rsidR="00F90F77">
        <w:rPr>
          <w:szCs w:val="22"/>
        </w:rPr>
        <w:t>: 13 July 2021</w:t>
      </w:r>
      <w:r w:rsidRPr="00DD2453">
        <w:rPr>
          <w:szCs w:val="22"/>
        </w:rPr>
        <w:tab/>
      </w:r>
      <w:r w:rsidRPr="00DD2453">
        <w:rPr>
          <w:szCs w:val="22"/>
        </w:rPr>
        <w:tab/>
      </w:r>
    </w:p>
    <w:p w:rsidR="00B71663" w:rsidRPr="00DD2453" w:rsidRDefault="00B71663" w:rsidP="00B71663">
      <w:pPr>
        <w:keepNext/>
        <w:tabs>
          <w:tab w:val="left" w:pos="3402"/>
        </w:tabs>
        <w:spacing w:before="1440" w:line="300" w:lineRule="atLeast"/>
        <w:ind w:right="397"/>
        <w:rPr>
          <w:b/>
          <w:i/>
          <w:szCs w:val="22"/>
        </w:rPr>
      </w:pPr>
      <w:r w:rsidRPr="00DD2453">
        <w:rPr>
          <w:szCs w:val="22"/>
        </w:rPr>
        <w:t xml:space="preserve">Angus Taylor </w:t>
      </w:r>
      <w:bookmarkStart w:id="1" w:name="_GoBack"/>
      <w:bookmarkEnd w:id="1"/>
    </w:p>
    <w:p w:rsidR="00B71663" w:rsidRPr="00DD2453" w:rsidRDefault="00B71663" w:rsidP="00B71663">
      <w:pPr>
        <w:pStyle w:val="SignCoverPageEnd"/>
        <w:rPr>
          <w:szCs w:val="22"/>
        </w:rPr>
      </w:pPr>
      <w:r w:rsidRPr="00DD2453">
        <w:rPr>
          <w:szCs w:val="22"/>
        </w:rPr>
        <w:t xml:space="preserve">Minister for Energy and Emissions Reduction </w:t>
      </w:r>
    </w:p>
    <w:p w:rsidR="00B71663" w:rsidRPr="00DD2453" w:rsidRDefault="00B71663" w:rsidP="00B71663"/>
    <w:p w:rsidR="00B71663" w:rsidRPr="00DD2453" w:rsidRDefault="00B71663" w:rsidP="00B71663"/>
    <w:p w:rsidR="00B71663" w:rsidRPr="00DD2453" w:rsidRDefault="00B71663" w:rsidP="00B71663"/>
    <w:p w:rsidR="00B71663" w:rsidRPr="00DD2453" w:rsidRDefault="00B71663" w:rsidP="00B71663">
      <w:pPr>
        <w:pStyle w:val="Header"/>
        <w:tabs>
          <w:tab w:val="clear" w:pos="4150"/>
          <w:tab w:val="clear" w:pos="8307"/>
        </w:tabs>
      </w:pPr>
      <w:r w:rsidRPr="00DD2453">
        <w:rPr>
          <w:rStyle w:val="CharAmSchNo"/>
        </w:rPr>
        <w:t xml:space="preserve"> </w:t>
      </w:r>
      <w:r w:rsidRPr="00DD2453">
        <w:rPr>
          <w:rStyle w:val="CharAmSchText"/>
        </w:rPr>
        <w:t xml:space="preserve"> </w:t>
      </w:r>
    </w:p>
    <w:p w:rsidR="00B71663" w:rsidRPr="00DD2453" w:rsidRDefault="00B71663" w:rsidP="00B71663">
      <w:pPr>
        <w:sectPr w:rsidR="00B71663" w:rsidRPr="00DD2453" w:rsidSect="00B71663">
          <w:pgSz w:w="11907" w:h="16839"/>
          <w:pgMar w:top="1440" w:right="1797" w:bottom="1440" w:left="1797" w:header="720" w:footer="709" w:gutter="0"/>
          <w:cols w:space="708"/>
          <w:docGrid w:linePitch="360"/>
        </w:sectPr>
      </w:pPr>
    </w:p>
    <w:p w:rsidR="00B71663" w:rsidRPr="00DD2453" w:rsidRDefault="00B71663" w:rsidP="00B71663">
      <w:pPr>
        <w:rPr>
          <w:sz w:val="36"/>
        </w:rPr>
      </w:pPr>
      <w:r w:rsidRPr="00DD2453">
        <w:rPr>
          <w:sz w:val="36"/>
        </w:rPr>
        <w:lastRenderedPageBreak/>
        <w:t>Contents</w:t>
      </w:r>
    </w:p>
    <w:p w:rsidR="00B71663" w:rsidRPr="00DD2453" w:rsidRDefault="00B71663" w:rsidP="00B71663">
      <w:pPr>
        <w:pStyle w:val="TOC5"/>
        <w:rPr>
          <w:rFonts w:ascii="Calibri" w:hAnsi="Calibri"/>
          <w:noProof/>
          <w:kern w:val="0"/>
          <w:sz w:val="22"/>
          <w:szCs w:val="22"/>
        </w:rPr>
      </w:pPr>
      <w:r w:rsidRPr="00DD2453">
        <w:rPr>
          <w:noProof/>
        </w:rPr>
        <w:t>1  Name</w:t>
      </w:r>
      <w:r w:rsidRPr="00DD2453">
        <w:rPr>
          <w:noProof/>
        </w:rPr>
        <w:tab/>
      </w:r>
      <w:r w:rsidRPr="00DD2453">
        <w:rPr>
          <w:noProof/>
        </w:rPr>
        <w:tab/>
      </w:r>
      <w:r w:rsidR="00E219B7">
        <w:rPr>
          <w:noProof/>
        </w:rPr>
        <w:t>2</w:t>
      </w:r>
    </w:p>
    <w:p w:rsidR="00B71663" w:rsidRPr="00DD2453" w:rsidRDefault="00B71663" w:rsidP="00B71663">
      <w:pPr>
        <w:pStyle w:val="TOC5"/>
        <w:rPr>
          <w:rFonts w:ascii="Calibri" w:hAnsi="Calibri"/>
          <w:noProof/>
          <w:kern w:val="0"/>
          <w:sz w:val="22"/>
          <w:szCs w:val="22"/>
        </w:rPr>
      </w:pPr>
      <w:r w:rsidRPr="00DD2453">
        <w:rPr>
          <w:noProof/>
        </w:rPr>
        <w:t>2  Commencement</w:t>
      </w:r>
      <w:r w:rsidRPr="00DD2453">
        <w:rPr>
          <w:noProof/>
        </w:rPr>
        <w:tab/>
      </w:r>
      <w:r w:rsidR="00E219B7">
        <w:rPr>
          <w:noProof/>
        </w:rPr>
        <w:t>2</w:t>
      </w:r>
    </w:p>
    <w:p w:rsidR="00B71663" w:rsidRPr="00DD2453" w:rsidRDefault="00B71663" w:rsidP="00B71663">
      <w:pPr>
        <w:pStyle w:val="TOC5"/>
        <w:rPr>
          <w:rFonts w:ascii="Calibri" w:hAnsi="Calibri"/>
          <w:noProof/>
          <w:kern w:val="0"/>
          <w:sz w:val="22"/>
          <w:szCs w:val="22"/>
        </w:rPr>
      </w:pPr>
      <w:r w:rsidRPr="00DD2453">
        <w:rPr>
          <w:noProof/>
        </w:rPr>
        <w:t>3  Authority</w:t>
      </w:r>
      <w:r w:rsidRPr="00DD2453">
        <w:rPr>
          <w:noProof/>
        </w:rPr>
        <w:tab/>
      </w:r>
      <w:r w:rsidR="00E219B7">
        <w:rPr>
          <w:noProof/>
        </w:rPr>
        <w:t>2</w:t>
      </w:r>
    </w:p>
    <w:p w:rsidR="00B71663" w:rsidRPr="00DD2453" w:rsidRDefault="00B71663" w:rsidP="00B71663">
      <w:pPr>
        <w:pStyle w:val="TOC5"/>
        <w:rPr>
          <w:rFonts w:ascii="Calibri" w:hAnsi="Calibri"/>
          <w:noProof/>
          <w:kern w:val="0"/>
          <w:sz w:val="22"/>
          <w:szCs w:val="22"/>
        </w:rPr>
      </w:pPr>
      <w:r w:rsidRPr="00DD2453">
        <w:rPr>
          <w:noProof/>
        </w:rPr>
        <w:t>4  Schedules</w:t>
      </w:r>
      <w:r w:rsidRPr="00DD2453">
        <w:rPr>
          <w:noProof/>
        </w:rPr>
        <w:tab/>
      </w:r>
      <w:r w:rsidR="00E219B7">
        <w:rPr>
          <w:noProof/>
        </w:rPr>
        <w:t>2</w:t>
      </w:r>
    </w:p>
    <w:p w:rsidR="00B71663" w:rsidRDefault="00B71663" w:rsidP="00B71663">
      <w:pPr>
        <w:pStyle w:val="TOC6"/>
        <w:rPr>
          <w:noProof/>
        </w:rPr>
      </w:pPr>
      <w:r w:rsidRPr="00DD2453">
        <w:rPr>
          <w:noProof/>
        </w:rPr>
        <w:t>Schedule 1—Amendments</w:t>
      </w:r>
      <w:r w:rsidRPr="00DD2453">
        <w:rPr>
          <w:noProof/>
        </w:rPr>
        <w:tab/>
      </w:r>
      <w:r w:rsidR="00E219B7">
        <w:rPr>
          <w:noProof/>
        </w:rPr>
        <w:t>3</w:t>
      </w:r>
    </w:p>
    <w:p w:rsidR="00ED35E8" w:rsidRPr="00ED35E8" w:rsidRDefault="00ED35E8" w:rsidP="00ED35E8">
      <w:pPr>
        <w:rPr>
          <w:lang w:eastAsia="en-AU"/>
        </w:rPr>
      </w:pPr>
    </w:p>
    <w:p w:rsidR="00B71663" w:rsidRPr="00DD2453" w:rsidRDefault="00B71663" w:rsidP="00B71663"/>
    <w:p w:rsidR="00B71663" w:rsidRPr="00DD2453" w:rsidRDefault="00B71663" w:rsidP="00B71663">
      <w:pPr>
        <w:sectPr w:rsidR="00B71663" w:rsidRPr="00DD2453" w:rsidSect="00B71663">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fmt="lowerRoman" w:start="1"/>
          <w:cols w:space="708"/>
          <w:docGrid w:linePitch="360"/>
        </w:sectPr>
      </w:pPr>
    </w:p>
    <w:p w:rsidR="00B71663" w:rsidRPr="00DD2453" w:rsidRDefault="00B71663" w:rsidP="00B71663">
      <w:pPr>
        <w:pStyle w:val="h5Section"/>
      </w:pPr>
      <w:bookmarkStart w:id="2" w:name="_Toc527384078"/>
      <w:proofErr w:type="gramStart"/>
      <w:r w:rsidRPr="00DD2453">
        <w:rPr>
          <w:rStyle w:val="CharSectno"/>
        </w:rPr>
        <w:lastRenderedPageBreak/>
        <w:t>1</w:t>
      </w:r>
      <w:r w:rsidRPr="00DD2453">
        <w:t xml:space="preserve">  Name</w:t>
      </w:r>
      <w:bookmarkEnd w:id="2"/>
      <w:proofErr w:type="gramEnd"/>
    </w:p>
    <w:p w:rsidR="00B71663" w:rsidRPr="00DD2453" w:rsidRDefault="00B71663" w:rsidP="00B71663">
      <w:pPr>
        <w:pStyle w:val="tMain"/>
      </w:pPr>
      <w:r w:rsidRPr="00DD2453">
        <w:tab/>
      </w:r>
      <w:r w:rsidRPr="00DD2453">
        <w:tab/>
        <w:t xml:space="preserve">This instrument is the </w:t>
      </w:r>
      <w:r w:rsidRPr="00DD2453">
        <w:rPr>
          <w:i/>
        </w:rPr>
        <w:t>National Greenhouse and Energy Reporting (Safeguard Mechanism) Amendment (Prescribed Production Variables</w:t>
      </w:r>
      <w:r w:rsidR="007047EB">
        <w:rPr>
          <w:i/>
        </w:rPr>
        <w:t xml:space="preserve"> Update</w:t>
      </w:r>
      <w:r w:rsidRPr="00DD2453">
        <w:rPr>
          <w:i/>
        </w:rPr>
        <w:t>) Rule 202</w:t>
      </w:r>
      <w:r w:rsidR="007047EB">
        <w:rPr>
          <w:i/>
        </w:rPr>
        <w:t>1</w:t>
      </w:r>
      <w:r w:rsidRPr="00DD2453">
        <w:t>.</w:t>
      </w:r>
    </w:p>
    <w:p w:rsidR="00B71663" w:rsidRPr="00DD2453" w:rsidRDefault="00B71663" w:rsidP="00B71663">
      <w:pPr>
        <w:pStyle w:val="h5Section"/>
      </w:pPr>
      <w:bookmarkStart w:id="3" w:name="_Toc527384079"/>
      <w:proofErr w:type="gramStart"/>
      <w:r w:rsidRPr="00DD2453">
        <w:rPr>
          <w:rStyle w:val="CharSectno"/>
        </w:rPr>
        <w:t>2</w:t>
      </w:r>
      <w:r w:rsidRPr="00DD2453">
        <w:t xml:space="preserve">  Commencement</w:t>
      </w:r>
      <w:bookmarkEnd w:id="3"/>
      <w:proofErr w:type="gramEnd"/>
    </w:p>
    <w:p w:rsidR="007047EB" w:rsidRPr="00DD2453" w:rsidRDefault="00B71663" w:rsidP="007047EB">
      <w:pPr>
        <w:pStyle w:val="tMain"/>
      </w:pPr>
      <w:r w:rsidRPr="00DD2453">
        <w:tab/>
        <w:t>(1)</w:t>
      </w:r>
      <w:r w:rsidRPr="00DD2453">
        <w:tab/>
        <w:t>Each provision of this instrument specified in column 1 of the table commences, or is taken to have commenced, in accordance with column 2 of the table. Any other statement in column 2 has effect according to its terms.</w:t>
      </w:r>
      <w:r w:rsidR="007047EB" w:rsidRPr="007047EB">
        <w:t xml:space="preserve"> </w:t>
      </w:r>
    </w:p>
    <w:p w:rsidR="007047EB" w:rsidRPr="00DD2453" w:rsidRDefault="007047EB" w:rsidP="007047E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7047EB" w:rsidRPr="00DD2453" w:rsidTr="007047EB">
        <w:trPr>
          <w:tblHeader/>
        </w:trPr>
        <w:tc>
          <w:tcPr>
            <w:tcW w:w="8222" w:type="dxa"/>
            <w:gridSpan w:val="3"/>
            <w:tcBorders>
              <w:top w:val="single" w:sz="12" w:space="0" w:color="auto"/>
              <w:bottom w:val="single" w:sz="2" w:space="0" w:color="auto"/>
            </w:tcBorders>
            <w:shd w:val="clear" w:color="auto" w:fill="auto"/>
            <w:hideMark/>
          </w:tcPr>
          <w:p w:rsidR="007047EB" w:rsidRPr="00DD2453" w:rsidRDefault="007047EB" w:rsidP="007047EB">
            <w:pPr>
              <w:pStyle w:val="TableHeading"/>
            </w:pPr>
            <w:r w:rsidRPr="00DD2453">
              <w:t>Commencement information</w:t>
            </w:r>
          </w:p>
        </w:tc>
      </w:tr>
      <w:tr w:rsidR="007047EB" w:rsidRPr="00DD2453" w:rsidTr="007047EB">
        <w:trPr>
          <w:tblHeader/>
        </w:trPr>
        <w:tc>
          <w:tcPr>
            <w:tcW w:w="1701" w:type="dxa"/>
            <w:tcBorders>
              <w:top w:val="single" w:sz="2" w:space="0" w:color="auto"/>
              <w:bottom w:val="single" w:sz="2" w:space="0" w:color="auto"/>
            </w:tcBorders>
            <w:shd w:val="clear" w:color="auto" w:fill="auto"/>
            <w:hideMark/>
          </w:tcPr>
          <w:p w:rsidR="007047EB" w:rsidRPr="00DD2453" w:rsidRDefault="007047EB" w:rsidP="007047EB">
            <w:pPr>
              <w:pStyle w:val="TableHeading"/>
            </w:pPr>
            <w:r w:rsidRPr="00DD2453">
              <w:t>Column 1</w:t>
            </w:r>
          </w:p>
        </w:tc>
        <w:tc>
          <w:tcPr>
            <w:tcW w:w="3828" w:type="dxa"/>
            <w:tcBorders>
              <w:top w:val="single" w:sz="2" w:space="0" w:color="auto"/>
              <w:bottom w:val="single" w:sz="2" w:space="0" w:color="auto"/>
            </w:tcBorders>
            <w:shd w:val="clear" w:color="auto" w:fill="auto"/>
            <w:hideMark/>
          </w:tcPr>
          <w:p w:rsidR="007047EB" w:rsidRPr="00DD2453" w:rsidRDefault="007047EB" w:rsidP="007047EB">
            <w:pPr>
              <w:pStyle w:val="TableHeading"/>
            </w:pPr>
            <w:r w:rsidRPr="00DD2453">
              <w:t>Column 2</w:t>
            </w:r>
          </w:p>
        </w:tc>
        <w:tc>
          <w:tcPr>
            <w:tcW w:w="2693" w:type="dxa"/>
            <w:tcBorders>
              <w:top w:val="single" w:sz="2" w:space="0" w:color="auto"/>
              <w:bottom w:val="single" w:sz="2" w:space="0" w:color="auto"/>
            </w:tcBorders>
            <w:shd w:val="clear" w:color="auto" w:fill="auto"/>
            <w:hideMark/>
          </w:tcPr>
          <w:p w:rsidR="007047EB" w:rsidRPr="00DD2453" w:rsidRDefault="007047EB" w:rsidP="007047EB">
            <w:pPr>
              <w:pStyle w:val="TableHeading"/>
            </w:pPr>
            <w:r w:rsidRPr="00DD2453">
              <w:t>Column 3</w:t>
            </w:r>
          </w:p>
        </w:tc>
      </w:tr>
      <w:tr w:rsidR="007047EB" w:rsidRPr="00DD2453" w:rsidTr="007047EB">
        <w:trPr>
          <w:tblHeader/>
        </w:trPr>
        <w:tc>
          <w:tcPr>
            <w:tcW w:w="1701" w:type="dxa"/>
            <w:tcBorders>
              <w:top w:val="single" w:sz="2" w:space="0" w:color="auto"/>
              <w:bottom w:val="single" w:sz="12" w:space="0" w:color="auto"/>
            </w:tcBorders>
            <w:shd w:val="clear" w:color="auto" w:fill="auto"/>
            <w:hideMark/>
          </w:tcPr>
          <w:p w:rsidR="007047EB" w:rsidRPr="00DD2453" w:rsidRDefault="007047EB" w:rsidP="007047EB">
            <w:pPr>
              <w:pStyle w:val="TableHeading"/>
            </w:pPr>
            <w:r w:rsidRPr="00DD2453">
              <w:t>Provisions</w:t>
            </w:r>
          </w:p>
        </w:tc>
        <w:tc>
          <w:tcPr>
            <w:tcW w:w="3828" w:type="dxa"/>
            <w:tcBorders>
              <w:top w:val="single" w:sz="2" w:space="0" w:color="auto"/>
              <w:bottom w:val="single" w:sz="12" w:space="0" w:color="auto"/>
            </w:tcBorders>
            <w:shd w:val="clear" w:color="auto" w:fill="auto"/>
            <w:hideMark/>
          </w:tcPr>
          <w:p w:rsidR="007047EB" w:rsidRPr="00DD2453" w:rsidRDefault="007047EB" w:rsidP="007047EB">
            <w:pPr>
              <w:pStyle w:val="TableHeading"/>
            </w:pPr>
            <w:r w:rsidRPr="00DD2453">
              <w:t>Commencement</w:t>
            </w:r>
          </w:p>
        </w:tc>
        <w:tc>
          <w:tcPr>
            <w:tcW w:w="2693" w:type="dxa"/>
            <w:tcBorders>
              <w:top w:val="single" w:sz="2" w:space="0" w:color="auto"/>
              <w:bottom w:val="single" w:sz="12" w:space="0" w:color="auto"/>
            </w:tcBorders>
            <w:shd w:val="clear" w:color="auto" w:fill="auto"/>
            <w:hideMark/>
          </w:tcPr>
          <w:p w:rsidR="007047EB" w:rsidRPr="00DD2453" w:rsidRDefault="007047EB" w:rsidP="007047EB">
            <w:pPr>
              <w:pStyle w:val="TableHeading"/>
            </w:pPr>
            <w:r w:rsidRPr="00DD2453">
              <w:t>Date/Details</w:t>
            </w:r>
          </w:p>
        </w:tc>
      </w:tr>
      <w:tr w:rsidR="007047EB" w:rsidRPr="00DD2453" w:rsidTr="007047EB">
        <w:tc>
          <w:tcPr>
            <w:tcW w:w="1701" w:type="dxa"/>
            <w:tcBorders>
              <w:top w:val="single" w:sz="12" w:space="0" w:color="auto"/>
              <w:bottom w:val="single" w:sz="12" w:space="0" w:color="auto"/>
            </w:tcBorders>
            <w:shd w:val="clear" w:color="auto" w:fill="auto"/>
            <w:hideMark/>
          </w:tcPr>
          <w:p w:rsidR="007047EB" w:rsidRPr="00DD2453" w:rsidRDefault="007047EB" w:rsidP="007047EB">
            <w:pPr>
              <w:pStyle w:val="Tabletext"/>
            </w:pPr>
            <w:r w:rsidRPr="00DD2453">
              <w:t>1.  The whole of this instrument</w:t>
            </w:r>
          </w:p>
        </w:tc>
        <w:tc>
          <w:tcPr>
            <w:tcW w:w="3828" w:type="dxa"/>
            <w:tcBorders>
              <w:top w:val="single" w:sz="12" w:space="0" w:color="auto"/>
              <w:bottom w:val="single" w:sz="12" w:space="0" w:color="auto"/>
            </w:tcBorders>
            <w:shd w:val="clear" w:color="auto" w:fill="auto"/>
            <w:hideMark/>
          </w:tcPr>
          <w:p w:rsidR="007047EB" w:rsidRPr="00DD2453" w:rsidRDefault="007047EB" w:rsidP="007047EB">
            <w:pPr>
              <w:pStyle w:val="Tabletext"/>
            </w:pPr>
            <w:r w:rsidRPr="00DD2453">
              <w:t>The day after this instrument is registered.</w:t>
            </w:r>
          </w:p>
        </w:tc>
        <w:tc>
          <w:tcPr>
            <w:tcW w:w="2693" w:type="dxa"/>
            <w:tcBorders>
              <w:top w:val="single" w:sz="12" w:space="0" w:color="auto"/>
              <w:bottom w:val="single" w:sz="12" w:space="0" w:color="auto"/>
            </w:tcBorders>
            <w:shd w:val="clear" w:color="auto" w:fill="auto"/>
          </w:tcPr>
          <w:p w:rsidR="007047EB" w:rsidRPr="00DD2453" w:rsidRDefault="007047EB" w:rsidP="007047EB">
            <w:pPr>
              <w:pStyle w:val="Tabletext"/>
            </w:pPr>
          </w:p>
        </w:tc>
      </w:tr>
    </w:tbl>
    <w:p w:rsidR="007047EB" w:rsidRPr="00DD2453" w:rsidRDefault="007047EB" w:rsidP="007047EB">
      <w:pPr>
        <w:pStyle w:val="nMain"/>
      </w:pPr>
      <w:r w:rsidRPr="00DD2453">
        <w:rPr>
          <w:snapToGrid w:val="0"/>
          <w:lang w:eastAsia="en-US"/>
        </w:rPr>
        <w:t>Note:</w:t>
      </w:r>
      <w:r w:rsidRPr="00DD2453">
        <w:rPr>
          <w:snapToGrid w:val="0"/>
          <w:lang w:eastAsia="en-US"/>
        </w:rPr>
        <w:tab/>
        <w:t>This table relates only to the provisions of this instrument as originally made. It will not be amended to deal with any later amendments of this instrument.</w:t>
      </w:r>
    </w:p>
    <w:p w:rsidR="00B71663" w:rsidRPr="00DD2453" w:rsidRDefault="00B71663" w:rsidP="007047EB">
      <w:pPr>
        <w:pStyle w:val="tMain"/>
      </w:pPr>
      <w:r w:rsidRPr="00DD2453">
        <w:tab/>
        <w:t>(2)</w:t>
      </w:r>
      <w:r w:rsidRPr="00DD2453">
        <w:tab/>
        <w:t>Any information in column 3 of the table is not part of this instrument. Information may be inserted in this column, or information in it may be edited, in any published version of this instrument.</w:t>
      </w:r>
    </w:p>
    <w:p w:rsidR="00B71663" w:rsidRPr="00DD2453" w:rsidRDefault="00B71663" w:rsidP="00B71663">
      <w:pPr>
        <w:pStyle w:val="h5Section"/>
      </w:pPr>
      <w:bookmarkStart w:id="4" w:name="_Toc527384080"/>
      <w:proofErr w:type="gramStart"/>
      <w:r w:rsidRPr="00DD2453">
        <w:rPr>
          <w:rStyle w:val="CharSectno"/>
        </w:rPr>
        <w:t>3</w:t>
      </w:r>
      <w:r w:rsidRPr="00DD2453">
        <w:t xml:space="preserve">  Authority</w:t>
      </w:r>
      <w:bookmarkEnd w:id="4"/>
      <w:proofErr w:type="gramEnd"/>
    </w:p>
    <w:p w:rsidR="00B71663" w:rsidRPr="00DD2453" w:rsidRDefault="00B71663" w:rsidP="00B71663">
      <w:pPr>
        <w:pStyle w:val="tMain"/>
      </w:pPr>
      <w:r w:rsidRPr="00DD2453">
        <w:tab/>
      </w:r>
      <w:r w:rsidRPr="00DD2453">
        <w:tab/>
        <w:t>This instrument is made under subsection </w:t>
      </w:r>
      <w:proofErr w:type="gramStart"/>
      <w:r w:rsidRPr="00DD2453">
        <w:t>22XS(</w:t>
      </w:r>
      <w:proofErr w:type="gramEnd"/>
      <w:r w:rsidRPr="00DD2453">
        <w:t xml:space="preserve">1) of the </w:t>
      </w:r>
      <w:r w:rsidRPr="00DD2453">
        <w:rPr>
          <w:i/>
        </w:rPr>
        <w:t>National Greenhouse and Energy Reporting Act 2007</w:t>
      </w:r>
      <w:r w:rsidRPr="00DD2453">
        <w:t>.</w:t>
      </w:r>
    </w:p>
    <w:p w:rsidR="00B71663" w:rsidRPr="00DD2453" w:rsidRDefault="00B71663" w:rsidP="00B71663">
      <w:pPr>
        <w:pStyle w:val="h5Section"/>
      </w:pPr>
      <w:bookmarkStart w:id="5" w:name="_Toc527384081"/>
      <w:proofErr w:type="gramStart"/>
      <w:r w:rsidRPr="00DD2453">
        <w:rPr>
          <w:rStyle w:val="CharSectno"/>
        </w:rPr>
        <w:t>4</w:t>
      </w:r>
      <w:r w:rsidRPr="00DD2453">
        <w:t xml:space="preserve">  Schedules</w:t>
      </w:r>
      <w:bookmarkEnd w:id="5"/>
      <w:proofErr w:type="gramEnd"/>
    </w:p>
    <w:p w:rsidR="00B71663" w:rsidRPr="00DD2453" w:rsidRDefault="00B71663" w:rsidP="00B71663">
      <w:pPr>
        <w:pStyle w:val="tMain"/>
      </w:pPr>
      <w:r w:rsidRPr="00DD2453">
        <w:tab/>
      </w:r>
      <w:r w:rsidRPr="00DD2453">
        <w:tab/>
        <w:t>Each instrument that is specified in a Schedule to this instrument is amended or repealed as set out in the applicable items in the Schedule concerned, and any other item in a Schedule to this instrument has effect according to its terms.</w:t>
      </w:r>
    </w:p>
    <w:p w:rsidR="00B71663" w:rsidRPr="00DD2453" w:rsidRDefault="00B71663" w:rsidP="00B71663">
      <w:pPr>
        <w:pStyle w:val="ActHead6"/>
        <w:pageBreakBefore/>
      </w:pPr>
      <w:bookmarkStart w:id="6" w:name="opcAmSched"/>
      <w:bookmarkStart w:id="7" w:name="_Toc527384082"/>
      <w:r w:rsidRPr="00DD2453">
        <w:rPr>
          <w:rStyle w:val="CharAmSchNo"/>
        </w:rPr>
        <w:lastRenderedPageBreak/>
        <w:t>Schedule 1</w:t>
      </w:r>
      <w:r w:rsidRPr="00DD2453">
        <w:t>—</w:t>
      </w:r>
      <w:r w:rsidRPr="00DD2453">
        <w:rPr>
          <w:rStyle w:val="CharAmSchText"/>
        </w:rPr>
        <w:t>A</w:t>
      </w:r>
      <w:bookmarkEnd w:id="6"/>
      <w:bookmarkEnd w:id="7"/>
      <w:r w:rsidR="007047EB">
        <w:rPr>
          <w:rStyle w:val="CharAmSchText"/>
        </w:rPr>
        <w:t>mendments</w:t>
      </w:r>
    </w:p>
    <w:p w:rsidR="00B71663" w:rsidRPr="00DD2453" w:rsidRDefault="00B71663" w:rsidP="00B71663">
      <w:pPr>
        <w:pStyle w:val="ActHead9"/>
      </w:pPr>
      <w:bookmarkStart w:id="8" w:name="_Toc527384083"/>
      <w:r w:rsidRPr="00DD2453">
        <w:t>National Greenhouse and Energy Reporting (Safeguard Mechanism) Rule 2015</w:t>
      </w:r>
      <w:bookmarkEnd w:id="8"/>
      <w:r w:rsidRPr="00DD2453">
        <w:t xml:space="preserve"> </w:t>
      </w:r>
    </w:p>
    <w:p w:rsidR="003F5C6E" w:rsidRPr="00DD2453" w:rsidRDefault="003F5C6E" w:rsidP="003F5C6E">
      <w:pPr>
        <w:pStyle w:val="ItemHead"/>
      </w:pPr>
      <w:proofErr w:type="gramStart"/>
      <w:r w:rsidRPr="00DD2453">
        <w:t xml:space="preserve">1  </w:t>
      </w:r>
      <w:r w:rsidR="00347C4B">
        <w:t>Section</w:t>
      </w:r>
      <w:proofErr w:type="gramEnd"/>
      <w:r w:rsidR="00347C4B">
        <w:t xml:space="preserve"> 4 (definition of </w:t>
      </w:r>
      <w:r w:rsidR="00347C4B" w:rsidRPr="00347C4B">
        <w:rPr>
          <w:i/>
        </w:rPr>
        <w:t>Safeguard Mechanism document</w:t>
      </w:r>
      <w:r w:rsidR="00347C4B">
        <w:t>)</w:t>
      </w:r>
    </w:p>
    <w:p w:rsidR="003F5C6E" w:rsidRPr="00DD2453" w:rsidRDefault="00347C4B" w:rsidP="003F5C6E">
      <w:pPr>
        <w:pStyle w:val="Item"/>
      </w:pPr>
      <w:r>
        <w:t>Repeal the definition, substitute:</w:t>
      </w:r>
    </w:p>
    <w:p w:rsidR="003F5C6E" w:rsidRPr="00DD2453" w:rsidRDefault="003F5C6E" w:rsidP="003F5C6E">
      <w:pPr>
        <w:pStyle w:val="tDefn"/>
      </w:pPr>
      <w:r w:rsidRPr="00DD2453">
        <w:rPr>
          <w:b/>
          <w:bCs/>
          <w:i/>
          <w:iCs/>
        </w:rPr>
        <w:t xml:space="preserve">Safeguard Mechanism document </w:t>
      </w:r>
      <w:r w:rsidRPr="00DD2453">
        <w:t xml:space="preserve">means the document entitled “Safeguard Mechanism: Prescribed production variables and default emissions intensities” published by the Department and as </w:t>
      </w:r>
      <w:r w:rsidR="00100C79" w:rsidRPr="00DD2453">
        <w:t xml:space="preserve">in force on the commencement of the </w:t>
      </w:r>
      <w:r w:rsidR="00100C79" w:rsidRPr="00DD2453">
        <w:rPr>
          <w:i/>
        </w:rPr>
        <w:t>National Greenhouse and Energy Reporting (Safeguard Mechanism) Amendment (Prescribed Production Variables</w:t>
      </w:r>
      <w:r w:rsidR="007047EB">
        <w:rPr>
          <w:i/>
        </w:rPr>
        <w:t xml:space="preserve"> Update</w:t>
      </w:r>
      <w:r w:rsidR="00100C79" w:rsidRPr="00DD2453">
        <w:rPr>
          <w:i/>
        </w:rPr>
        <w:t>) Rule 202</w:t>
      </w:r>
      <w:r w:rsidR="007047EB">
        <w:rPr>
          <w:i/>
        </w:rPr>
        <w:t>1</w:t>
      </w:r>
      <w:r w:rsidRPr="00DD2453">
        <w:t>.</w:t>
      </w:r>
    </w:p>
    <w:p w:rsidR="009F6CCC" w:rsidRDefault="00BE3641" w:rsidP="00BE3641">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5E138B" w:rsidRPr="00BE3641">
        <w:rPr>
          <w:rFonts w:eastAsia="Calibri" w:cs="Arial"/>
          <w:iCs/>
          <w:sz w:val="20"/>
          <w:szCs w:val="22"/>
          <w:lang w:eastAsia="en-US"/>
        </w:rPr>
        <w:t>Note:</w:t>
      </w:r>
      <w:r>
        <w:rPr>
          <w:rFonts w:eastAsia="Calibri" w:cs="Arial"/>
          <w:iCs/>
          <w:sz w:val="20"/>
          <w:szCs w:val="22"/>
          <w:lang w:eastAsia="en-US"/>
        </w:rPr>
        <w:tab/>
      </w:r>
      <w:r w:rsidR="005E138B" w:rsidRPr="00BE3641">
        <w:rPr>
          <w:rFonts w:eastAsia="Calibri" w:cs="Arial"/>
          <w:iCs/>
          <w:sz w:val="20"/>
          <w:szCs w:val="22"/>
          <w:lang w:eastAsia="en-US"/>
        </w:rPr>
        <w:t>In 202</w:t>
      </w:r>
      <w:r w:rsidR="007047EB">
        <w:rPr>
          <w:rFonts w:eastAsia="Calibri" w:cs="Arial"/>
          <w:iCs/>
          <w:sz w:val="20"/>
          <w:szCs w:val="22"/>
          <w:lang w:eastAsia="en-US"/>
        </w:rPr>
        <w:t>1</w:t>
      </w:r>
      <w:r w:rsidR="003F5C6E" w:rsidRPr="00BE3641">
        <w:rPr>
          <w:rFonts w:eastAsia="Calibri" w:cs="Arial"/>
          <w:iCs/>
          <w:sz w:val="20"/>
          <w:szCs w:val="22"/>
          <w:lang w:eastAsia="en-US"/>
        </w:rPr>
        <w:t>, the document could be acce</w:t>
      </w:r>
      <w:r w:rsidR="005E138B" w:rsidRPr="00BE3641">
        <w:rPr>
          <w:rFonts w:eastAsia="Calibri" w:cs="Arial"/>
          <w:iCs/>
          <w:sz w:val="20"/>
          <w:szCs w:val="22"/>
          <w:lang w:eastAsia="en-US"/>
        </w:rPr>
        <w:t>ssed from http://www.industry</w:t>
      </w:r>
      <w:r w:rsidR="00100C79" w:rsidRPr="00BE3641">
        <w:rPr>
          <w:rFonts w:eastAsia="Calibri" w:cs="Arial"/>
          <w:iCs/>
          <w:sz w:val="20"/>
          <w:szCs w:val="22"/>
          <w:lang w:eastAsia="en-US"/>
        </w:rPr>
        <w:t xml:space="preserve">.gov.au and is included in the explanatory statement for the </w:t>
      </w:r>
      <w:r w:rsidR="00100C79" w:rsidRPr="00BE3641">
        <w:rPr>
          <w:rFonts w:eastAsia="Calibri" w:cs="Arial"/>
          <w:i/>
          <w:iCs/>
          <w:sz w:val="20"/>
          <w:szCs w:val="22"/>
          <w:lang w:eastAsia="en-US"/>
        </w:rPr>
        <w:t>National Greenhouse and Energy Reporting (Safeguard Mechanism) Amendment (Prescribed Production Variables</w:t>
      </w:r>
      <w:r w:rsidR="007047EB">
        <w:rPr>
          <w:rFonts w:eastAsia="Calibri" w:cs="Arial"/>
          <w:i/>
          <w:iCs/>
          <w:sz w:val="20"/>
          <w:szCs w:val="22"/>
          <w:lang w:eastAsia="en-US"/>
        </w:rPr>
        <w:t xml:space="preserve"> Update</w:t>
      </w:r>
      <w:r w:rsidR="00100C79" w:rsidRPr="00BE3641">
        <w:rPr>
          <w:rFonts w:eastAsia="Calibri" w:cs="Arial"/>
          <w:i/>
          <w:iCs/>
          <w:sz w:val="20"/>
          <w:szCs w:val="22"/>
          <w:lang w:eastAsia="en-US"/>
        </w:rPr>
        <w:t>) Rule 202</w:t>
      </w:r>
      <w:r w:rsidR="007047EB">
        <w:rPr>
          <w:rFonts w:eastAsia="Calibri" w:cs="Arial"/>
          <w:i/>
          <w:iCs/>
          <w:sz w:val="20"/>
          <w:szCs w:val="22"/>
          <w:lang w:eastAsia="en-US"/>
        </w:rPr>
        <w:t>1</w:t>
      </w:r>
      <w:r w:rsidR="00100C79" w:rsidRPr="00BE3641">
        <w:rPr>
          <w:rFonts w:eastAsia="Calibri" w:cs="Arial"/>
          <w:iCs/>
          <w:sz w:val="20"/>
          <w:szCs w:val="22"/>
          <w:lang w:eastAsia="en-US"/>
        </w:rPr>
        <w:t>.</w:t>
      </w:r>
    </w:p>
    <w:p w:rsidR="0037505C" w:rsidRPr="0037505C" w:rsidRDefault="0037505C" w:rsidP="0037505C">
      <w:pPr>
        <w:pStyle w:val="ItemHead"/>
      </w:pPr>
      <w:proofErr w:type="gramStart"/>
      <w:r>
        <w:t>2  At</w:t>
      </w:r>
      <w:proofErr w:type="gramEnd"/>
      <w:r>
        <w:t xml:space="preserve"> the end of paragraph 44(3C)(b)</w:t>
      </w:r>
    </w:p>
    <w:p w:rsidR="0037505C" w:rsidRDefault="0037505C" w:rsidP="0037505C">
      <w:pPr>
        <w:pStyle w:val="Item"/>
      </w:pPr>
      <w:r>
        <w:t>Add “</w:t>
      </w:r>
      <w:r w:rsidRPr="0037505C">
        <w:t>(taking into account any amendments to that determination or other updates under this instrument)</w:t>
      </w:r>
      <w:r>
        <w:t>”</w:t>
      </w:r>
      <w:r w:rsidRPr="0037505C">
        <w:t>.</w:t>
      </w:r>
    </w:p>
    <w:p w:rsidR="00053450" w:rsidRPr="0037505C" w:rsidRDefault="00213284" w:rsidP="00053450">
      <w:pPr>
        <w:pStyle w:val="ItemHead"/>
      </w:pPr>
      <w:proofErr w:type="gramStart"/>
      <w:r>
        <w:t>3</w:t>
      </w:r>
      <w:r w:rsidR="00053450">
        <w:t xml:space="preserve">  At</w:t>
      </w:r>
      <w:proofErr w:type="gramEnd"/>
      <w:r w:rsidR="00053450">
        <w:t xml:space="preserve"> the end of Part 4</w:t>
      </w:r>
    </w:p>
    <w:p w:rsidR="00053450" w:rsidRPr="0037505C" w:rsidRDefault="00213284" w:rsidP="00053450">
      <w:pPr>
        <w:pStyle w:val="Item"/>
      </w:pPr>
      <w:r>
        <w:t>Add:</w:t>
      </w:r>
    </w:p>
    <w:p w:rsidR="00053450" w:rsidRPr="00447854" w:rsidRDefault="00053450" w:rsidP="00053450">
      <w:pPr>
        <w:pStyle w:val="h3Div"/>
      </w:pPr>
      <w:r>
        <w:t>Division 4</w:t>
      </w:r>
      <w:r w:rsidRPr="0063657F">
        <w:t>—</w:t>
      </w:r>
      <w:r>
        <w:t>Excess surrender situations</w:t>
      </w:r>
      <w:r>
        <w:rPr>
          <w:i/>
        </w:rPr>
        <w:t xml:space="preserve"> </w:t>
      </w:r>
    </w:p>
    <w:p w:rsidR="00053450" w:rsidRPr="0063657F" w:rsidRDefault="00053450" w:rsidP="00053450">
      <w:pPr>
        <w:pStyle w:val="h5Section"/>
      </w:pPr>
      <w:r>
        <w:t>72</w:t>
      </w:r>
      <w:r w:rsidR="000C201C">
        <w:t>A Carry forward of excess surrender</w:t>
      </w:r>
      <w:r w:rsidR="00AA7543">
        <w:t>s</w:t>
      </w:r>
    </w:p>
    <w:p w:rsidR="000C201C" w:rsidRDefault="00053450" w:rsidP="000C201C">
      <w:pPr>
        <w:pStyle w:val="tMain"/>
      </w:pPr>
      <w:r w:rsidRPr="0063657F">
        <w:tab/>
      </w:r>
      <w:r>
        <w:t>(1)</w:t>
      </w:r>
      <w:r w:rsidRPr="0063657F">
        <w:tab/>
      </w:r>
      <w:r>
        <w:t xml:space="preserve">For </w:t>
      </w:r>
      <w:r w:rsidR="000C201C">
        <w:t>sub</w:t>
      </w:r>
      <w:r w:rsidR="005F73FE">
        <w:t xml:space="preserve">paragraph </w:t>
      </w:r>
      <w:proofErr w:type="gramStart"/>
      <w:r w:rsidR="005F73FE">
        <w:t>22XK(</w:t>
      </w:r>
      <w:proofErr w:type="gramEnd"/>
      <w:r w:rsidR="005F73FE">
        <w:t>3</w:t>
      </w:r>
      <w:r>
        <w:t>)(b)</w:t>
      </w:r>
      <w:r w:rsidR="000C201C">
        <w:t>(</w:t>
      </w:r>
      <w:proofErr w:type="spellStart"/>
      <w:r w:rsidR="000C201C">
        <w:t>i</w:t>
      </w:r>
      <w:proofErr w:type="spellEnd"/>
      <w:r w:rsidR="000C201C">
        <w:t>)</w:t>
      </w:r>
      <w:r w:rsidR="00AA7543">
        <w:t xml:space="preserve"> of the Act</w:t>
      </w:r>
      <w:r>
        <w:t xml:space="preserve">, an excess </w:t>
      </w:r>
      <w:r w:rsidR="005F73FE">
        <w:t>surrender</w:t>
      </w:r>
      <w:r>
        <w:t xml:space="preserve"> situatio</w:t>
      </w:r>
      <w:r w:rsidR="000C201C">
        <w:t>n exists for a person in relation to a facility for a period if:</w:t>
      </w:r>
      <w:r>
        <w:t xml:space="preserve"> </w:t>
      </w:r>
    </w:p>
    <w:p w:rsidR="000C201C" w:rsidRDefault="000C201C" w:rsidP="000C201C">
      <w:pPr>
        <w:pStyle w:val="tPara"/>
      </w:pPr>
      <w:r>
        <w:tab/>
        <w:t>(a)</w:t>
      </w:r>
      <w:r>
        <w:tab/>
      </w:r>
      <w:proofErr w:type="gramStart"/>
      <w:r>
        <w:t>the</w:t>
      </w:r>
      <w:proofErr w:type="gramEnd"/>
      <w:r>
        <w:t xml:space="preserve"> person surrendered Australian carbon credit units on the basis that the facility would, without the surrender, be in an excess emissions situation for the period; and</w:t>
      </w:r>
    </w:p>
    <w:p w:rsidR="000C201C" w:rsidRDefault="000C201C" w:rsidP="000C201C">
      <w:pPr>
        <w:pStyle w:val="tPara"/>
      </w:pPr>
      <w:r>
        <w:tab/>
        <w:t>(b)</w:t>
      </w:r>
      <w:r>
        <w:tab/>
      </w:r>
      <w:proofErr w:type="gramStart"/>
      <w:r>
        <w:t>after</w:t>
      </w:r>
      <w:proofErr w:type="gramEnd"/>
      <w:r>
        <w:t xml:space="preserve"> the surrender more Australian carbon credit units were surrendered than necessary to avoid an excess emission situation for the period. </w:t>
      </w:r>
    </w:p>
    <w:p w:rsidR="000C201C" w:rsidRDefault="000C201C" w:rsidP="000C201C">
      <w:pPr>
        <w:pStyle w:val="tMain"/>
      </w:pPr>
      <w:r w:rsidRPr="0063657F">
        <w:tab/>
      </w:r>
      <w:r>
        <w:t>(2)</w:t>
      </w:r>
      <w:r w:rsidRPr="0063657F">
        <w:tab/>
      </w:r>
      <w:r w:rsidR="005F73FE">
        <w:t xml:space="preserve">For subparagraph </w:t>
      </w:r>
      <w:proofErr w:type="gramStart"/>
      <w:r w:rsidR="005F73FE">
        <w:t>22XK(</w:t>
      </w:r>
      <w:proofErr w:type="gramEnd"/>
      <w:r w:rsidR="005F73FE">
        <w:t>3</w:t>
      </w:r>
      <w:r>
        <w:t>)(b)(ii)</w:t>
      </w:r>
      <w:r w:rsidR="00AA7543">
        <w:t xml:space="preserve"> of the Act</w:t>
      </w:r>
      <w:r>
        <w:t xml:space="preserve">, any units above the amount necessary to avoid an excess emissions situation for the period are covered by the excess </w:t>
      </w:r>
      <w:r w:rsidR="005F73FE">
        <w:t>surrender</w:t>
      </w:r>
      <w:r>
        <w:t xml:space="preserve"> situation.</w:t>
      </w:r>
    </w:p>
    <w:p w:rsidR="000C201C" w:rsidRDefault="000C201C" w:rsidP="000C201C">
      <w:pPr>
        <w:pStyle w:val="tMain"/>
      </w:pPr>
      <w:r w:rsidRPr="0063657F">
        <w:tab/>
      </w:r>
      <w:r>
        <w:t>(3)</w:t>
      </w:r>
      <w:r w:rsidRPr="0063657F">
        <w:tab/>
      </w:r>
      <w:r w:rsidR="005F73FE">
        <w:t xml:space="preserve">For paragraph </w:t>
      </w:r>
      <w:proofErr w:type="gramStart"/>
      <w:r w:rsidR="005F73FE">
        <w:t>22XK(</w:t>
      </w:r>
      <w:proofErr w:type="gramEnd"/>
      <w:r w:rsidR="005F73FE">
        <w:t>3</w:t>
      </w:r>
      <w:r>
        <w:t>)(c)</w:t>
      </w:r>
      <w:r w:rsidR="00AA7543">
        <w:t xml:space="preserve"> of the Act</w:t>
      </w:r>
      <w:r>
        <w:t>, the units covered by subsection (2) are taken n</w:t>
      </w:r>
      <w:r w:rsidR="00213284">
        <w:t xml:space="preserve">ot </w:t>
      </w:r>
      <w:r w:rsidR="005F73FE">
        <w:t xml:space="preserve">to </w:t>
      </w:r>
      <w:r w:rsidR="00213284">
        <w:t xml:space="preserve">be surrendered for the </w:t>
      </w:r>
      <w:r>
        <w:t>period</w:t>
      </w:r>
      <w:r w:rsidR="00213284">
        <w:t xml:space="preserve"> mentioned in subsection (1)</w:t>
      </w:r>
      <w:r>
        <w:t>.</w:t>
      </w:r>
    </w:p>
    <w:p w:rsidR="000C201C" w:rsidRDefault="000C201C" w:rsidP="000C201C">
      <w:pPr>
        <w:pStyle w:val="tMain"/>
      </w:pPr>
      <w:r w:rsidRPr="0063657F">
        <w:tab/>
      </w:r>
      <w:r>
        <w:t>(4)</w:t>
      </w:r>
      <w:r w:rsidRPr="0063657F">
        <w:tab/>
      </w:r>
      <w:r>
        <w:t>For pa</w:t>
      </w:r>
      <w:r w:rsidR="005F73FE">
        <w:t xml:space="preserve">ragraph </w:t>
      </w:r>
      <w:proofErr w:type="gramStart"/>
      <w:r w:rsidR="005F73FE">
        <w:t>22XK(</w:t>
      </w:r>
      <w:proofErr w:type="gramEnd"/>
      <w:r w:rsidR="005F73FE">
        <w:t>3</w:t>
      </w:r>
      <w:r>
        <w:t>)(d)</w:t>
      </w:r>
      <w:r w:rsidR="00AA7543">
        <w:t xml:space="preserve"> of the Act</w:t>
      </w:r>
      <w:r>
        <w:t>, the person may nominate</w:t>
      </w:r>
      <w:r w:rsidR="00AA7543">
        <w:t>,</w:t>
      </w:r>
      <w:r>
        <w:t xml:space="preserve"> by written notice to the Regulator</w:t>
      </w:r>
      <w:r w:rsidR="00AA7543">
        <w:t>,</w:t>
      </w:r>
      <w:r>
        <w:t xml:space="preserve"> that some or all of the units covered by the excess emissions situation are taken to be surrendered for the purpose of reducing the net emissions number for the facility for a later period</w:t>
      </w:r>
      <w:r w:rsidR="00213284">
        <w:t xml:space="preserve"> specified in the nomination and </w:t>
      </w:r>
      <w:r>
        <w:t>ending no later than 30 June 2030.</w:t>
      </w:r>
    </w:p>
    <w:p w:rsidR="00213284" w:rsidRDefault="00213284" w:rsidP="00213284">
      <w:pPr>
        <w:pStyle w:val="tMain"/>
      </w:pPr>
      <w:r w:rsidRPr="0063657F">
        <w:tab/>
      </w:r>
      <w:r>
        <w:t>(5)</w:t>
      </w:r>
      <w:r w:rsidRPr="0063657F">
        <w:tab/>
      </w:r>
      <w:r>
        <w:t>Nominations under subsection (4) may be made for different periods, but the total number of units for all nominations must not exceed the number of units covered by subsection (2).</w:t>
      </w:r>
    </w:p>
    <w:p w:rsidR="00213284" w:rsidRDefault="00213284" w:rsidP="000C201C">
      <w:pPr>
        <w:pStyle w:val="tMain"/>
      </w:pPr>
    </w:p>
    <w:p w:rsidR="000C201C" w:rsidRDefault="000C201C" w:rsidP="000C201C">
      <w:pPr>
        <w:pStyle w:val="tMain"/>
      </w:pPr>
    </w:p>
    <w:p w:rsidR="000C201C" w:rsidRDefault="000C201C" w:rsidP="000C201C">
      <w:pPr>
        <w:pStyle w:val="tMain"/>
      </w:pPr>
    </w:p>
    <w:p w:rsidR="00442041" w:rsidRDefault="00213284" w:rsidP="00442041">
      <w:pPr>
        <w:pStyle w:val="ItemHead"/>
      </w:pPr>
      <w:proofErr w:type="gramStart"/>
      <w:r>
        <w:t>4</w:t>
      </w:r>
      <w:r w:rsidR="00442041">
        <w:t xml:space="preserve">  At</w:t>
      </w:r>
      <w:proofErr w:type="gramEnd"/>
      <w:r w:rsidR="00442041">
        <w:t xml:space="preserve"> the end of Part 6</w:t>
      </w:r>
    </w:p>
    <w:p w:rsidR="00442041" w:rsidRDefault="00442041" w:rsidP="00442041">
      <w:pPr>
        <w:pStyle w:val="Item"/>
      </w:pPr>
      <w:r>
        <w:t>Add:</w:t>
      </w:r>
    </w:p>
    <w:p w:rsidR="00442041" w:rsidRPr="00447854" w:rsidRDefault="00442041" w:rsidP="00442041">
      <w:pPr>
        <w:pStyle w:val="h3Div"/>
      </w:pPr>
      <w:r>
        <w:t>Division 4</w:t>
      </w:r>
      <w:r w:rsidRPr="0063657F">
        <w:t>—</w:t>
      </w:r>
      <w:r>
        <w:t xml:space="preserve">Application and transitional provisions relating to the </w:t>
      </w:r>
      <w:r w:rsidRPr="00DD2453">
        <w:rPr>
          <w:i/>
        </w:rPr>
        <w:t>National Greenhouse and Energy Reporting (Safeguard Mechanism) Amendment (</w:t>
      </w:r>
      <w:r>
        <w:rPr>
          <w:i/>
        </w:rPr>
        <w:t>Prescribed Production Variables Update</w:t>
      </w:r>
      <w:r w:rsidRPr="00DD2453">
        <w:rPr>
          <w:i/>
        </w:rPr>
        <w:t>) Rule 202</w:t>
      </w:r>
      <w:r>
        <w:rPr>
          <w:i/>
        </w:rPr>
        <w:t xml:space="preserve">1 </w:t>
      </w:r>
    </w:p>
    <w:p w:rsidR="00442041" w:rsidRPr="0063657F" w:rsidRDefault="00442041" w:rsidP="00442041">
      <w:pPr>
        <w:pStyle w:val="h5Section"/>
      </w:pPr>
      <w:r>
        <w:t>85 Determination of estimated emission intensity and production variable</w:t>
      </w:r>
    </w:p>
    <w:p w:rsidR="00442041" w:rsidRDefault="00442041" w:rsidP="00442041">
      <w:pPr>
        <w:pStyle w:val="tMain"/>
        <w:rPr>
          <w:snapToGrid w:val="0"/>
          <w:lang w:eastAsia="en-US"/>
        </w:rPr>
      </w:pPr>
      <w:r w:rsidRPr="0063657F">
        <w:tab/>
      </w:r>
      <w:r>
        <w:t>(1)</w:t>
      </w:r>
      <w:r w:rsidRPr="0063657F">
        <w:tab/>
      </w:r>
      <w:r>
        <w:t xml:space="preserve">If a calculated-emissions baseline determination for a facility is made using one or more estimated emissions intensities for one or more production variables, the responsible emitter for the facility may apply to the Regulator to determine the equivalent estimated emissions-intensities and prescribed (annually adjusted) production variables from Schedule 2 for the facility. </w:t>
      </w:r>
    </w:p>
    <w:p w:rsidR="00442041" w:rsidRDefault="00442041" w:rsidP="00442041">
      <w:pPr>
        <w:pStyle w:val="tMain"/>
      </w:pPr>
      <w:r>
        <w:tab/>
        <w:t>(2)</w:t>
      </w:r>
      <w:r>
        <w:tab/>
        <w:t>After considering an application under subsection (1), the Regulator may make a determination of the equivalent estimated emissions-intensities and prescribed (annually adjusted) production variables from Schedule 2 for the facility if it is practicable to do so.</w:t>
      </w:r>
    </w:p>
    <w:p w:rsidR="00442041" w:rsidRDefault="00442041" w:rsidP="00442041">
      <w:pPr>
        <w:pStyle w:val="tMain"/>
      </w:pPr>
      <w:r>
        <w:tab/>
        <w:t>(3)</w:t>
      </w:r>
      <w:r>
        <w:tab/>
        <w:t xml:space="preserve">If the Regulator makes a determination under subsection (2): </w:t>
      </w:r>
    </w:p>
    <w:p w:rsidR="00442041" w:rsidRDefault="00442041" w:rsidP="00442041">
      <w:pPr>
        <w:pStyle w:val="tPara"/>
      </w:pPr>
      <w:r>
        <w:tab/>
        <w:t>(a)</w:t>
      </w:r>
      <w:r>
        <w:tab/>
      </w:r>
      <w:proofErr w:type="gramStart"/>
      <w:r>
        <w:t>that</w:t>
      </w:r>
      <w:proofErr w:type="gramEnd"/>
      <w:r>
        <w:t xml:space="preserve"> estimated emissions-intensity and prescribed (annually adjusted) production variable must be used in place of the original estimated emissions-intensity and production variable in making a production-adjusted baseline determination;</w:t>
      </w:r>
    </w:p>
    <w:p w:rsidR="00442041" w:rsidRDefault="00442041" w:rsidP="00442041">
      <w:pPr>
        <w:pStyle w:val="tPara"/>
      </w:pPr>
      <w:r>
        <w:tab/>
        <w:t>(b)</w:t>
      </w:r>
      <w:r>
        <w:tab/>
      </w:r>
      <w:proofErr w:type="gramStart"/>
      <w:r>
        <w:t>if</w:t>
      </w:r>
      <w:proofErr w:type="gramEnd"/>
      <w:r>
        <w:t xml:space="preserve"> a production-adjusted baseline determination has already been made at the time of the determination under subsection (2), update that determination to reflect the new estimated emissions-intensity and prescribed (annually adjusted) production variable with effect from the start of the financial year during which the determination under subsection (2) is made. </w:t>
      </w:r>
    </w:p>
    <w:p w:rsidR="00442041" w:rsidRDefault="00442041" w:rsidP="00442041">
      <w:pPr>
        <w:pStyle w:val="tMain"/>
      </w:pPr>
      <w:r>
        <w:tab/>
        <w:t>(4)</w:t>
      </w:r>
      <w:r w:rsidRPr="0063657F">
        <w:tab/>
        <w:t>An applic</w:t>
      </w:r>
      <w:r>
        <w:t xml:space="preserve">ation under subsection (1) must </w:t>
      </w:r>
      <w:r w:rsidRPr="0063657F">
        <w:t>be</w:t>
      </w:r>
      <w:r>
        <w:t>:</w:t>
      </w:r>
      <w:r w:rsidRPr="0063657F">
        <w:t xml:space="preserve"> </w:t>
      </w:r>
    </w:p>
    <w:p w:rsidR="00442041" w:rsidRDefault="00442041" w:rsidP="00442041">
      <w:pPr>
        <w:pStyle w:val="tPara"/>
      </w:pPr>
      <w:r>
        <w:tab/>
        <w:t>(a)</w:t>
      </w:r>
      <w:r>
        <w:tab/>
      </w:r>
      <w:proofErr w:type="gramStart"/>
      <w:r w:rsidRPr="0063657F">
        <w:t>given</w:t>
      </w:r>
      <w:proofErr w:type="gramEnd"/>
      <w:r w:rsidRPr="0063657F">
        <w:t xml:space="preserve"> in a manner and form approved, in writing, by the Regulator</w:t>
      </w:r>
      <w:r>
        <w:t>; and</w:t>
      </w:r>
    </w:p>
    <w:p w:rsidR="00442041" w:rsidRDefault="00442041" w:rsidP="00442041">
      <w:pPr>
        <w:pStyle w:val="tPara"/>
      </w:pPr>
      <w:r>
        <w:tab/>
        <w:t>(b)</w:t>
      </w:r>
      <w:r>
        <w:tab/>
      </w:r>
      <w:proofErr w:type="gramStart"/>
      <w:r>
        <w:t>made</w:t>
      </w:r>
      <w:proofErr w:type="gramEnd"/>
      <w:r>
        <w:t xml:space="preserve"> before 1 July 2024.</w:t>
      </w:r>
    </w:p>
    <w:p w:rsidR="00442041" w:rsidRPr="0063657F" w:rsidRDefault="00442041" w:rsidP="00442041">
      <w:pPr>
        <w:pStyle w:val="tMain"/>
      </w:pPr>
      <w:r w:rsidRPr="0063657F">
        <w:tab/>
      </w:r>
      <w:r>
        <w:t>(5)</w:t>
      </w:r>
      <w:r w:rsidRPr="0063657F">
        <w:tab/>
        <w:t xml:space="preserve">As soon as practicable after </w:t>
      </w:r>
      <w:r>
        <w:t>making a determination or amending a determination under paragraph (3</w:t>
      </w:r>
      <w:proofErr w:type="gramStart"/>
      <w:r>
        <w:t>)(</w:t>
      </w:r>
      <w:proofErr w:type="gramEnd"/>
      <w:r>
        <w:t>b)</w:t>
      </w:r>
      <w:r w:rsidRPr="0063657F">
        <w:t>, the Regulator must:</w:t>
      </w:r>
    </w:p>
    <w:p w:rsidR="00442041" w:rsidRPr="0063657F" w:rsidRDefault="00442041" w:rsidP="00442041">
      <w:pPr>
        <w:pStyle w:val="tPara"/>
      </w:pPr>
      <w:r w:rsidRPr="0063657F">
        <w:tab/>
      </w:r>
      <w:r>
        <w:t>(a)</w:t>
      </w:r>
      <w:r w:rsidRPr="0063657F">
        <w:tab/>
      </w:r>
      <w:proofErr w:type="gramStart"/>
      <w:r w:rsidRPr="0063657F">
        <w:t>provide</w:t>
      </w:r>
      <w:proofErr w:type="gramEnd"/>
      <w:r w:rsidRPr="0063657F">
        <w:t xml:space="preserve"> written notice of the decision to the responsible emitter for the facility </w:t>
      </w:r>
      <w:r>
        <w:t>of the determination</w:t>
      </w:r>
      <w:r w:rsidRPr="0063657F">
        <w:t>; and</w:t>
      </w:r>
    </w:p>
    <w:p w:rsidR="00442041" w:rsidRPr="0063657F" w:rsidRDefault="00442041" w:rsidP="00442041">
      <w:pPr>
        <w:pStyle w:val="tPara"/>
      </w:pPr>
      <w:r w:rsidRPr="0063657F">
        <w:tab/>
      </w:r>
      <w:r>
        <w:t>(b)</w:t>
      </w:r>
      <w:r w:rsidRPr="0063657F">
        <w:tab/>
      </w:r>
      <w:proofErr w:type="gramStart"/>
      <w:r w:rsidRPr="0063657F">
        <w:t>publish</w:t>
      </w:r>
      <w:proofErr w:type="gramEnd"/>
      <w:r w:rsidRPr="0063657F">
        <w:t xml:space="preserve"> the details of the </w:t>
      </w:r>
      <w:r>
        <w:t>determination</w:t>
      </w:r>
      <w:r w:rsidRPr="0063657F">
        <w:t xml:space="preserve"> on its website.</w:t>
      </w:r>
    </w:p>
    <w:p w:rsidR="00442041" w:rsidRDefault="00442041" w:rsidP="00442041">
      <w:pPr>
        <w:pStyle w:val="tMain"/>
      </w:pPr>
      <w:r w:rsidRPr="0063657F">
        <w:tab/>
      </w:r>
      <w:r>
        <w:t>(6)</w:t>
      </w:r>
      <w:r w:rsidRPr="0063657F">
        <w:tab/>
        <w:t xml:space="preserve">If the Regulator decides not to </w:t>
      </w:r>
      <w:r>
        <w:t>make a determination under subsection (2)</w:t>
      </w:r>
      <w:r w:rsidRPr="0063657F">
        <w:t>, the Regulator must give written notice of th</w:t>
      </w:r>
      <w:r>
        <w:t>e decision to the applicant.</w:t>
      </w:r>
    </w:p>
    <w:p w:rsidR="00442041" w:rsidRPr="0063657F" w:rsidRDefault="00442041" w:rsidP="00442041">
      <w:pPr>
        <w:pStyle w:val="tMain"/>
      </w:pPr>
      <w:r>
        <w:tab/>
        <w:t>(7)</w:t>
      </w:r>
      <w:r>
        <w:tab/>
        <w:t>A decision to make, or refuse to make, a determination</w:t>
      </w:r>
      <w:r w:rsidRPr="0063657F">
        <w:t xml:space="preserve"> under this section is a reviewable decision under section 56 of the Act.</w:t>
      </w:r>
    </w:p>
    <w:p w:rsidR="00442041" w:rsidRPr="0063657F" w:rsidRDefault="00442041" w:rsidP="00442041">
      <w:pPr>
        <w:pStyle w:val="h5Section"/>
      </w:pPr>
      <w:r>
        <w:lastRenderedPageBreak/>
        <w:t>86 Updated emissions intensity for certain changes to NGER (Measurement) Determination</w:t>
      </w:r>
    </w:p>
    <w:p w:rsidR="00442041" w:rsidRDefault="00442041" w:rsidP="00442041">
      <w:pPr>
        <w:pStyle w:val="tMain"/>
      </w:pPr>
      <w:r w:rsidRPr="0063657F">
        <w:tab/>
      </w:r>
      <w:r>
        <w:t>(1)</w:t>
      </w:r>
      <w:r w:rsidRPr="0063657F">
        <w:tab/>
      </w:r>
      <w:r>
        <w:t>This section applies to a calculated-emissions baseline determination or production-adjusted baseline determination for a facility that:</w:t>
      </w:r>
    </w:p>
    <w:p w:rsidR="00442041" w:rsidRDefault="00442041" w:rsidP="00442041">
      <w:pPr>
        <w:pStyle w:val="tPara"/>
      </w:pPr>
      <w:r>
        <w:tab/>
        <w:t>(a)</w:t>
      </w:r>
      <w:r>
        <w:tab/>
      </w:r>
      <w:proofErr w:type="gramStart"/>
      <w:r>
        <w:t>is</w:t>
      </w:r>
      <w:proofErr w:type="gramEnd"/>
      <w:r>
        <w:t xml:space="preserve"> made using one or more estimated emissions intensities for one or more production variables; and</w:t>
      </w:r>
    </w:p>
    <w:p w:rsidR="00442041" w:rsidRDefault="00442041" w:rsidP="00442041">
      <w:pPr>
        <w:pStyle w:val="tPara"/>
      </w:pPr>
      <w:r>
        <w:tab/>
        <w:t>(b)</w:t>
      </w:r>
      <w:r>
        <w:tab/>
        <w:t>the estimated emissions-intensities take into account emissions reported, or to be reported, under Division 3.3 of the NGER (Measurement) Determination as in force before 1 July 2021; and</w:t>
      </w:r>
    </w:p>
    <w:p w:rsidR="00442041" w:rsidRDefault="00442041" w:rsidP="00442041">
      <w:pPr>
        <w:pStyle w:val="tPara"/>
        <w:rPr>
          <w:snapToGrid w:val="0"/>
          <w:lang w:eastAsia="en-US"/>
        </w:rPr>
      </w:pPr>
      <w:r>
        <w:tab/>
        <w:t>(c)</w:t>
      </w:r>
      <w:r>
        <w:tab/>
      </w:r>
      <w:proofErr w:type="gramStart"/>
      <w:r>
        <w:t>the</w:t>
      </w:r>
      <w:proofErr w:type="gramEnd"/>
      <w:r>
        <w:t xml:space="preserve"> Regulator considers that amendments made by </w:t>
      </w:r>
      <w:r w:rsidRPr="00BD5EF7">
        <w:t>the</w:t>
      </w:r>
      <w:r w:rsidRPr="00BD5EF7">
        <w:rPr>
          <w:i/>
        </w:rPr>
        <w:t xml:space="preserve"> National Greenhouse and Energy Reporting (2021 Update) Determination 2021</w:t>
      </w:r>
      <w:r>
        <w:t xml:space="preserve"> impact the estimated emissions intensity by more than 1%.</w:t>
      </w:r>
    </w:p>
    <w:p w:rsidR="00442041" w:rsidRDefault="00442041" w:rsidP="00442041">
      <w:pPr>
        <w:pStyle w:val="tMain"/>
      </w:pPr>
      <w:r>
        <w:tab/>
        <w:t>(2)</w:t>
      </w:r>
      <w:r>
        <w:tab/>
        <w:t xml:space="preserve">After consulting with the responsible emitter for the facility to which a determination covered by this section applies, the Regulator must amend the determination to take account of the </w:t>
      </w:r>
      <w:r w:rsidRPr="00BD5EF7">
        <w:rPr>
          <w:i/>
        </w:rPr>
        <w:t xml:space="preserve">National Greenhouse and Energy </w:t>
      </w:r>
      <w:proofErr w:type="gramStart"/>
      <w:r w:rsidRPr="00BD5EF7">
        <w:rPr>
          <w:i/>
        </w:rPr>
        <w:t>Reporting</w:t>
      </w:r>
      <w:proofErr w:type="gramEnd"/>
      <w:r w:rsidRPr="00BD5EF7">
        <w:rPr>
          <w:i/>
        </w:rPr>
        <w:t xml:space="preserve"> (2021 Update) Determination 2021</w:t>
      </w:r>
      <w:r>
        <w:t xml:space="preserve"> (with effect from no earlier than 1 July 2021).</w:t>
      </w:r>
    </w:p>
    <w:p w:rsidR="0037505C" w:rsidRDefault="0037505C" w:rsidP="0037505C">
      <w:pPr>
        <w:pStyle w:val="tMain"/>
      </w:pPr>
      <w:r w:rsidRPr="0063657F">
        <w:tab/>
      </w:r>
      <w:r>
        <w:t>(3)</w:t>
      </w:r>
      <w:r w:rsidRPr="0063657F">
        <w:tab/>
      </w:r>
      <w:r>
        <w:t xml:space="preserve">For subsection (2), the Regulator must take into account the use of method 2 under subsection 2.27 if satisfied that method will be used on an ongoing basis to report emissions from the facility. </w:t>
      </w:r>
    </w:p>
    <w:p w:rsidR="00442041" w:rsidRPr="0063657F" w:rsidRDefault="00442041" w:rsidP="00442041">
      <w:pPr>
        <w:pStyle w:val="tMain"/>
      </w:pPr>
      <w:r w:rsidRPr="0063657F">
        <w:tab/>
      </w:r>
      <w:r w:rsidR="0037505C">
        <w:t>(4</w:t>
      </w:r>
      <w:r>
        <w:t>)</w:t>
      </w:r>
      <w:r w:rsidRPr="0063657F">
        <w:tab/>
      </w:r>
      <w:proofErr w:type="gramStart"/>
      <w:r w:rsidRPr="0063657F">
        <w:t>As</w:t>
      </w:r>
      <w:proofErr w:type="gramEnd"/>
      <w:r w:rsidRPr="0063657F">
        <w:t xml:space="preserve"> soon as practicable after </w:t>
      </w:r>
      <w:r>
        <w:t>amending a determination</w:t>
      </w:r>
      <w:r w:rsidRPr="0063657F">
        <w:t>, the Regulator must:</w:t>
      </w:r>
    </w:p>
    <w:p w:rsidR="00442041" w:rsidRPr="0063657F" w:rsidRDefault="00442041" w:rsidP="00442041">
      <w:pPr>
        <w:pStyle w:val="tPara"/>
      </w:pPr>
      <w:r w:rsidRPr="0063657F">
        <w:tab/>
      </w:r>
      <w:r>
        <w:t>(a)</w:t>
      </w:r>
      <w:r w:rsidRPr="0063657F">
        <w:tab/>
      </w:r>
      <w:proofErr w:type="gramStart"/>
      <w:r w:rsidRPr="0063657F">
        <w:t>provide</w:t>
      </w:r>
      <w:proofErr w:type="gramEnd"/>
      <w:r w:rsidRPr="0063657F">
        <w:t xml:space="preserve"> written notice of the decision to the responsible emitter for the facility </w:t>
      </w:r>
      <w:r>
        <w:t>of the determination</w:t>
      </w:r>
      <w:r w:rsidRPr="0063657F">
        <w:t>; and</w:t>
      </w:r>
    </w:p>
    <w:p w:rsidR="00442041" w:rsidRPr="0063657F" w:rsidRDefault="00442041" w:rsidP="00442041">
      <w:pPr>
        <w:pStyle w:val="tPara"/>
      </w:pPr>
      <w:r w:rsidRPr="0063657F">
        <w:tab/>
      </w:r>
      <w:r>
        <w:t>(b)</w:t>
      </w:r>
      <w:r w:rsidRPr="0063657F">
        <w:tab/>
      </w:r>
      <w:proofErr w:type="gramStart"/>
      <w:r w:rsidRPr="0063657F">
        <w:t>publish</w:t>
      </w:r>
      <w:proofErr w:type="gramEnd"/>
      <w:r w:rsidRPr="0063657F">
        <w:t xml:space="preserve"> the details of the </w:t>
      </w:r>
      <w:r>
        <w:t>determination</w:t>
      </w:r>
      <w:r w:rsidRPr="0063657F">
        <w:t xml:space="preserve"> on its website.</w:t>
      </w:r>
    </w:p>
    <w:p w:rsidR="00442041" w:rsidRPr="00442041" w:rsidRDefault="00442041" w:rsidP="00442041">
      <w:pPr>
        <w:rPr>
          <w:lang w:eastAsia="en-AU"/>
        </w:rPr>
      </w:pPr>
    </w:p>
    <w:p w:rsidR="00442041" w:rsidRPr="00DD2453" w:rsidRDefault="00213284" w:rsidP="00442041">
      <w:pPr>
        <w:pStyle w:val="ItemHead"/>
      </w:pPr>
      <w:proofErr w:type="gramStart"/>
      <w:r>
        <w:t>5</w:t>
      </w:r>
      <w:r w:rsidR="00442041" w:rsidRPr="00DD2453">
        <w:t xml:space="preserve">  </w:t>
      </w:r>
      <w:r w:rsidR="00442041">
        <w:t>Note</w:t>
      </w:r>
      <w:proofErr w:type="gramEnd"/>
      <w:r w:rsidR="00442041">
        <w:t xml:space="preserve"> after subsection 13(3) of Schedule 2</w:t>
      </w:r>
    </w:p>
    <w:p w:rsidR="00442041" w:rsidRDefault="00442041" w:rsidP="00442041">
      <w:pPr>
        <w:pStyle w:val="Item"/>
        <w:ind w:firstLine="141"/>
      </w:pPr>
      <w:r>
        <w:t>Repeal the note, substitute:</w:t>
      </w:r>
    </w:p>
    <w:p w:rsidR="00442041" w:rsidRPr="00442041" w:rsidRDefault="00442041" w:rsidP="00442041">
      <w:pPr>
        <w:pStyle w:val="tMain"/>
      </w:pPr>
      <w:r w:rsidRPr="00DD2453">
        <w:tab/>
      </w:r>
      <w:r w:rsidR="00067A9B">
        <w:t>(4</w:t>
      </w:r>
      <w:r>
        <w:t>)</w:t>
      </w:r>
      <w:r w:rsidRPr="00DD2453">
        <w:tab/>
        <w:t xml:space="preserve">The default emissions intensity is </w:t>
      </w:r>
      <w:r>
        <w:rPr>
          <w:rFonts w:eastAsiaTheme="minorHAnsi"/>
          <w:szCs w:val="22"/>
          <w:lang w:eastAsia="en-US"/>
        </w:rPr>
        <w:t>0.899 t CO</w:t>
      </w:r>
      <w:r>
        <w:rPr>
          <w:rFonts w:eastAsiaTheme="minorHAnsi"/>
          <w:szCs w:val="22"/>
          <w:vertAlign w:val="subscript"/>
          <w:lang w:eastAsia="en-US"/>
        </w:rPr>
        <w:t>2</w:t>
      </w:r>
      <w:r>
        <w:rPr>
          <w:rFonts w:eastAsiaTheme="minorHAnsi"/>
          <w:szCs w:val="22"/>
          <w:lang w:eastAsia="en-US"/>
        </w:rPr>
        <w:t>-e per tonne of 100% equivalent sodium cyanide.</w:t>
      </w:r>
    </w:p>
    <w:p w:rsidR="004C59F8" w:rsidRPr="00DD2453" w:rsidRDefault="00213284" w:rsidP="004C59F8">
      <w:pPr>
        <w:pStyle w:val="ItemHead"/>
      </w:pPr>
      <w:proofErr w:type="gramStart"/>
      <w:r>
        <w:t>6</w:t>
      </w:r>
      <w:r w:rsidR="004C59F8" w:rsidRPr="00DD2453">
        <w:t xml:space="preserve">  </w:t>
      </w:r>
      <w:r w:rsidR="007047EB">
        <w:t>Paragraph</w:t>
      </w:r>
      <w:proofErr w:type="gramEnd"/>
      <w:r w:rsidR="007047EB">
        <w:t xml:space="preserve"> 15(1)(b) of</w:t>
      </w:r>
      <w:r w:rsidR="004C59F8">
        <w:t xml:space="preserve"> Schedule 2</w:t>
      </w:r>
    </w:p>
    <w:p w:rsidR="004C59F8" w:rsidRDefault="007047EB" w:rsidP="004C59F8">
      <w:pPr>
        <w:pStyle w:val="Item"/>
        <w:ind w:firstLine="141"/>
      </w:pPr>
      <w:r>
        <w:t>Omit “greater than</w:t>
      </w:r>
      <w:r w:rsidR="004C59F8" w:rsidRPr="004C59F8">
        <w:t>”</w:t>
      </w:r>
      <w:r>
        <w:t>, substitute “less than or equal to”</w:t>
      </w:r>
      <w:r w:rsidR="004C59F8" w:rsidRPr="004C59F8">
        <w:t>.</w:t>
      </w:r>
    </w:p>
    <w:p w:rsidR="00E251AD" w:rsidRPr="00DD2453" w:rsidRDefault="00213284" w:rsidP="00E251AD">
      <w:pPr>
        <w:pStyle w:val="ItemHead"/>
      </w:pPr>
      <w:proofErr w:type="gramStart"/>
      <w:r>
        <w:t>7</w:t>
      </w:r>
      <w:r w:rsidR="00E251AD" w:rsidRPr="00DD2453">
        <w:t xml:space="preserve">  </w:t>
      </w:r>
      <w:r w:rsidR="00E251AD">
        <w:t>Note</w:t>
      </w:r>
      <w:proofErr w:type="gramEnd"/>
      <w:r w:rsidR="00E251AD">
        <w:t xml:space="preserve"> after subsection 28(4) of Schedule 2</w:t>
      </w:r>
    </w:p>
    <w:p w:rsidR="00E251AD" w:rsidRDefault="00E251AD" w:rsidP="00E251AD">
      <w:pPr>
        <w:pStyle w:val="Item"/>
        <w:ind w:firstLine="141"/>
      </w:pPr>
      <w:r>
        <w:t>Repeal the note, substitute:</w:t>
      </w:r>
    </w:p>
    <w:p w:rsidR="00E251AD" w:rsidRDefault="00E251AD" w:rsidP="00E251AD">
      <w:pPr>
        <w:pStyle w:val="tMain"/>
      </w:pPr>
      <w:r w:rsidRPr="00DD2453">
        <w:tab/>
      </w:r>
      <w:r>
        <w:t>(5)</w:t>
      </w:r>
      <w:r w:rsidRPr="00DD2453">
        <w:tab/>
        <w:t xml:space="preserve">The default emissions intensity is </w:t>
      </w:r>
      <w:r w:rsidR="00E25C20">
        <w:t>0.00384</w:t>
      </w:r>
      <w:r>
        <w:t xml:space="preserve"> </w:t>
      </w:r>
      <w:r w:rsidRPr="00DD2453">
        <w:t>t CO</w:t>
      </w:r>
      <w:r w:rsidRPr="00DD2453">
        <w:rPr>
          <w:vertAlign w:val="subscript"/>
        </w:rPr>
        <w:t>2</w:t>
      </w:r>
      <w:r w:rsidRPr="00DD2453">
        <w:t xml:space="preserve">-e per </w:t>
      </w:r>
      <w:r>
        <w:t>gigajoule of crude oil</w:t>
      </w:r>
      <w:r w:rsidRPr="00DD2453">
        <w:t>.</w:t>
      </w:r>
    </w:p>
    <w:p w:rsidR="00E251AD" w:rsidRPr="00DD2453" w:rsidRDefault="00213284" w:rsidP="00E251AD">
      <w:pPr>
        <w:pStyle w:val="ItemHead"/>
      </w:pPr>
      <w:proofErr w:type="gramStart"/>
      <w:r>
        <w:t>8</w:t>
      </w:r>
      <w:r w:rsidR="00E251AD" w:rsidRPr="00DD2453">
        <w:t xml:space="preserve">  </w:t>
      </w:r>
      <w:r w:rsidR="00E251AD">
        <w:t>Note</w:t>
      </w:r>
      <w:proofErr w:type="gramEnd"/>
      <w:r w:rsidR="00E251AD">
        <w:t xml:space="preserve"> after subsection 32(3) of Schedule 2</w:t>
      </w:r>
    </w:p>
    <w:p w:rsidR="00E251AD" w:rsidRDefault="00E251AD" w:rsidP="00E251AD">
      <w:pPr>
        <w:pStyle w:val="Item"/>
        <w:ind w:firstLine="141"/>
      </w:pPr>
      <w:r>
        <w:t>Repeal the note, substitute:</w:t>
      </w:r>
    </w:p>
    <w:p w:rsidR="00E251AD" w:rsidRDefault="00E251AD" w:rsidP="00E251AD">
      <w:pPr>
        <w:pStyle w:val="tMain"/>
      </w:pPr>
      <w:r w:rsidRPr="00DD2453">
        <w:tab/>
      </w:r>
      <w:r>
        <w:t>(4)</w:t>
      </w:r>
      <w:r w:rsidRPr="00DD2453">
        <w:tab/>
        <w:t xml:space="preserve">The default emissions intensity is </w:t>
      </w:r>
      <w:r>
        <w:t xml:space="preserve">0.00401 </w:t>
      </w:r>
      <w:r w:rsidRPr="00DD2453">
        <w:t>t CO</w:t>
      </w:r>
      <w:r w:rsidRPr="00DD2453">
        <w:rPr>
          <w:vertAlign w:val="subscript"/>
        </w:rPr>
        <w:t>2</w:t>
      </w:r>
      <w:r w:rsidRPr="00DD2453">
        <w:t xml:space="preserve">-e per </w:t>
      </w:r>
      <w:r>
        <w:t>gigajoule of liquefied natural gas</w:t>
      </w:r>
      <w:r w:rsidRPr="00DD2453">
        <w:t>.</w:t>
      </w:r>
    </w:p>
    <w:p w:rsidR="00EB0823" w:rsidRPr="00DD2453" w:rsidRDefault="00213284" w:rsidP="00EB0823">
      <w:pPr>
        <w:pStyle w:val="ItemHead"/>
      </w:pPr>
      <w:proofErr w:type="gramStart"/>
      <w:r>
        <w:t>9</w:t>
      </w:r>
      <w:r w:rsidR="00EB0823" w:rsidRPr="00DD2453">
        <w:t xml:space="preserve">  </w:t>
      </w:r>
      <w:r w:rsidR="00EB0823">
        <w:t>After</w:t>
      </w:r>
      <w:proofErr w:type="gramEnd"/>
      <w:r w:rsidR="00EB0823">
        <w:t xml:space="preserve"> section 47</w:t>
      </w:r>
    </w:p>
    <w:p w:rsidR="00EB0823" w:rsidRDefault="00EB0823" w:rsidP="00EB0823">
      <w:pPr>
        <w:pStyle w:val="Item"/>
        <w:ind w:firstLine="141"/>
      </w:pPr>
      <w:r>
        <w:t>Insert:</w:t>
      </w:r>
    </w:p>
    <w:p w:rsidR="00EB0823" w:rsidRDefault="00EB0823" w:rsidP="00EB0823">
      <w:pPr>
        <w:pStyle w:val="h3Div"/>
      </w:pPr>
      <w:r>
        <w:rPr>
          <w:rStyle w:val="CharDivNo"/>
        </w:rPr>
        <w:lastRenderedPageBreak/>
        <w:t>Division 13</w:t>
      </w:r>
      <w:r w:rsidRPr="00DD2453">
        <w:t>—</w:t>
      </w:r>
      <w:proofErr w:type="gramStart"/>
      <w:r>
        <w:t>Treated</w:t>
      </w:r>
      <w:proofErr w:type="gramEnd"/>
      <w:r>
        <w:t xml:space="preserve"> steel flat products</w:t>
      </w:r>
    </w:p>
    <w:p w:rsidR="00EB0823" w:rsidRPr="00DD2453" w:rsidRDefault="00EB0823" w:rsidP="00EB0823">
      <w:pPr>
        <w:pStyle w:val="h5Section"/>
      </w:pPr>
      <w:proofErr w:type="gramStart"/>
      <w:r>
        <w:t>47A  Treated</w:t>
      </w:r>
      <w:proofErr w:type="gramEnd"/>
      <w:r>
        <w:t xml:space="preserve"> steel flat products</w:t>
      </w:r>
    </w:p>
    <w:p w:rsidR="00EB0823" w:rsidRPr="00591395" w:rsidRDefault="00EB0823" w:rsidP="00EB0823">
      <w:pPr>
        <w:pStyle w:val="tMain"/>
      </w:pPr>
      <w:r>
        <w:tab/>
        <w:t>(1)</w:t>
      </w:r>
      <w:r>
        <w:tab/>
      </w:r>
      <w:r w:rsidRPr="00591395">
        <w:t xml:space="preserve">Tonnes of </w:t>
      </w:r>
      <w:r>
        <w:t>treated</w:t>
      </w:r>
      <w:r w:rsidRPr="00591395">
        <w:t xml:space="preserve"> steel flat products that:</w:t>
      </w:r>
    </w:p>
    <w:p w:rsidR="00EB0823" w:rsidRPr="00591395" w:rsidRDefault="00EB0823" w:rsidP="00EB0823">
      <w:pPr>
        <w:pStyle w:val="tPara"/>
      </w:pPr>
      <w:r>
        <w:tab/>
        <w:t>(a)</w:t>
      </w:r>
      <w:r>
        <w:tab/>
      </w:r>
      <w:proofErr w:type="gramStart"/>
      <w:r w:rsidRPr="00591395">
        <w:t>are</w:t>
      </w:r>
      <w:proofErr w:type="gramEnd"/>
      <w:r w:rsidRPr="00591395">
        <w:t xml:space="preserve"> produced as part of carrying on the </w:t>
      </w:r>
      <w:r>
        <w:t>treated</w:t>
      </w:r>
      <w:r w:rsidRPr="00591395">
        <w:t xml:space="preserve"> steel flat products activity at the facility; and</w:t>
      </w:r>
    </w:p>
    <w:p w:rsidR="00EB0823" w:rsidRPr="00591395" w:rsidRDefault="00EB0823" w:rsidP="00EB0823">
      <w:pPr>
        <w:pStyle w:val="tPara"/>
      </w:pPr>
      <w:r>
        <w:tab/>
        <w:t>(b)</w:t>
      </w:r>
      <w:r>
        <w:tab/>
      </w:r>
      <w:proofErr w:type="gramStart"/>
      <w:r w:rsidRPr="00591395">
        <w:t>are</w:t>
      </w:r>
      <w:proofErr w:type="gramEnd"/>
      <w:r w:rsidRPr="00591395">
        <w:t xml:space="preserve"> flat in profile, such as plate and coil; and</w:t>
      </w:r>
    </w:p>
    <w:p w:rsidR="00EB0823" w:rsidRDefault="00EB0823" w:rsidP="00EB0823">
      <w:pPr>
        <w:pStyle w:val="tPara"/>
      </w:pPr>
      <w:r>
        <w:tab/>
        <w:t>(c)</w:t>
      </w:r>
      <w:r>
        <w:tab/>
      </w:r>
      <w:proofErr w:type="gramStart"/>
      <w:r w:rsidRPr="00EB0823">
        <w:t>have</w:t>
      </w:r>
      <w:proofErr w:type="gramEnd"/>
      <w:r w:rsidRPr="00EB0823">
        <w:t xml:space="preserve"> not previously been included as a tonne of treated steel flat products under this section</w:t>
      </w:r>
      <w:r>
        <w:t>; and</w:t>
      </w:r>
    </w:p>
    <w:p w:rsidR="00233988" w:rsidRDefault="00233988" w:rsidP="00233988">
      <w:pPr>
        <w:pStyle w:val="tPara"/>
      </w:pPr>
      <w:r>
        <w:tab/>
        <w:t>(d)</w:t>
      </w:r>
      <w:r>
        <w:tab/>
      </w:r>
      <w:proofErr w:type="gramStart"/>
      <w:r>
        <w:t>have</w:t>
      </w:r>
      <w:proofErr w:type="gramEnd"/>
      <w:r>
        <w:t xml:space="preserve"> involved the pickling and cold-rolling of hot-rolled steel coil; and </w:t>
      </w:r>
    </w:p>
    <w:p w:rsidR="00233988" w:rsidRDefault="00233988" w:rsidP="00233988">
      <w:pPr>
        <w:pStyle w:val="tPara"/>
      </w:pPr>
      <w:r>
        <w:tab/>
        <w:t>(e)</w:t>
      </w:r>
      <w:r>
        <w:tab/>
      </w:r>
      <w:proofErr w:type="gramStart"/>
      <w:r>
        <w:t>have</w:t>
      </w:r>
      <w:proofErr w:type="gramEnd"/>
      <w:r>
        <w:t xml:space="preserve"> been treated with one or a combination of the following processes:</w:t>
      </w:r>
    </w:p>
    <w:p w:rsidR="00233988" w:rsidRDefault="00233988" w:rsidP="00233988">
      <w:pPr>
        <w:pStyle w:val="tSubpara"/>
      </w:pPr>
      <w:r>
        <w:tab/>
        <w:t>(</w:t>
      </w:r>
      <w:proofErr w:type="spellStart"/>
      <w:r>
        <w:t>i</w:t>
      </w:r>
      <w:proofErr w:type="spellEnd"/>
      <w:r>
        <w:t>)</w:t>
      </w:r>
      <w:r>
        <w:tab/>
      </w:r>
      <w:proofErr w:type="gramStart"/>
      <w:r>
        <w:t>annealing</w:t>
      </w:r>
      <w:proofErr w:type="gramEnd"/>
      <w:r>
        <w:t>;</w:t>
      </w:r>
    </w:p>
    <w:p w:rsidR="00233988" w:rsidRDefault="00233988" w:rsidP="00233988">
      <w:pPr>
        <w:pStyle w:val="tSubpara"/>
      </w:pPr>
      <w:r>
        <w:tab/>
        <w:t>(ii)</w:t>
      </w:r>
      <w:r>
        <w:tab/>
      </w:r>
      <w:proofErr w:type="gramStart"/>
      <w:r>
        <w:t>metal</w:t>
      </w:r>
      <w:proofErr w:type="gramEnd"/>
      <w:r>
        <w:t xml:space="preserve"> coating</w:t>
      </w:r>
      <w:r w:rsidRPr="00591395">
        <w:t xml:space="preserve">; </w:t>
      </w:r>
    </w:p>
    <w:p w:rsidR="00233988" w:rsidRPr="00591395" w:rsidRDefault="00233988" w:rsidP="00233988">
      <w:pPr>
        <w:pStyle w:val="tSubpara"/>
      </w:pPr>
      <w:r>
        <w:tab/>
        <w:t>(iii)</w:t>
      </w:r>
      <w:r>
        <w:tab/>
      </w:r>
      <w:proofErr w:type="gramStart"/>
      <w:r>
        <w:t>painting</w:t>
      </w:r>
      <w:proofErr w:type="gramEnd"/>
      <w:r>
        <w:t>; and</w:t>
      </w:r>
    </w:p>
    <w:p w:rsidR="00EB0823" w:rsidRPr="00591395" w:rsidRDefault="00233988" w:rsidP="00EB0823">
      <w:pPr>
        <w:pStyle w:val="tPara"/>
      </w:pPr>
      <w:r>
        <w:tab/>
        <w:t>(f</w:t>
      </w:r>
      <w:r w:rsidR="00EB0823">
        <w:t>)</w:t>
      </w:r>
      <w:r w:rsidR="00EB0823">
        <w:tab/>
      </w:r>
      <w:proofErr w:type="gramStart"/>
      <w:r w:rsidR="00EB0823" w:rsidRPr="00591395">
        <w:t>are</w:t>
      </w:r>
      <w:proofErr w:type="gramEnd"/>
      <w:r w:rsidR="00EB0823" w:rsidRPr="00591395">
        <w:t xml:space="preserve"> of saleable quality. </w:t>
      </w:r>
    </w:p>
    <w:p w:rsidR="00EB0823" w:rsidRDefault="00EB0823" w:rsidP="00EB0823">
      <w:pPr>
        <w:pStyle w:val="tMain"/>
      </w:pPr>
      <w:r>
        <w:tab/>
        <w:t>(2)</w:t>
      </w:r>
      <w:r>
        <w:tab/>
      </w:r>
      <w:r w:rsidRPr="00591395">
        <w:t xml:space="preserve">The metric in subsection (1) is applicable to a facility that conducts the activity of </w:t>
      </w:r>
      <w:r>
        <w:t xml:space="preserve">transforming hot-rolled steel coil, using a combination of physical or chemical processes, </w:t>
      </w:r>
      <w:r w:rsidRPr="00591395">
        <w:t xml:space="preserve">into </w:t>
      </w:r>
      <w:r>
        <w:t>treated steel flat</w:t>
      </w:r>
      <w:r w:rsidRPr="00591395">
        <w:t xml:space="preserve"> products that</w:t>
      </w:r>
      <w:r>
        <w:t>:</w:t>
      </w:r>
      <w:r w:rsidRPr="00591395">
        <w:t xml:space="preserve"> </w:t>
      </w:r>
    </w:p>
    <w:p w:rsidR="00EB0823" w:rsidRPr="00591395" w:rsidRDefault="00EB0823" w:rsidP="00EB0823">
      <w:pPr>
        <w:pStyle w:val="tPara"/>
      </w:pPr>
      <w:r>
        <w:tab/>
        <w:t>(a)</w:t>
      </w:r>
      <w:r>
        <w:tab/>
      </w:r>
      <w:proofErr w:type="gramStart"/>
      <w:r w:rsidRPr="00591395">
        <w:t>are</w:t>
      </w:r>
      <w:proofErr w:type="gramEnd"/>
      <w:r w:rsidRPr="00591395">
        <w:t xml:space="preserve"> flat in profile, such as plate and coil</w:t>
      </w:r>
      <w:r>
        <w:t>; and</w:t>
      </w:r>
    </w:p>
    <w:p w:rsidR="00EB0823" w:rsidRDefault="00EB0823" w:rsidP="00EB0823">
      <w:pPr>
        <w:pStyle w:val="tPara"/>
      </w:pPr>
      <w:r>
        <w:tab/>
        <w:t>(b)</w:t>
      </w:r>
      <w:r>
        <w:tab/>
      </w:r>
      <w:proofErr w:type="gramStart"/>
      <w:r>
        <w:t>have</w:t>
      </w:r>
      <w:proofErr w:type="gramEnd"/>
      <w:r>
        <w:t xml:space="preserve"> involved the pickling and cold-rolling of hot-rolled steel coil; and </w:t>
      </w:r>
    </w:p>
    <w:p w:rsidR="00EB0823" w:rsidRDefault="00EB0823" w:rsidP="00EB0823">
      <w:pPr>
        <w:pStyle w:val="tPara"/>
      </w:pPr>
      <w:r>
        <w:tab/>
        <w:t>(c)</w:t>
      </w:r>
      <w:r>
        <w:tab/>
      </w:r>
      <w:proofErr w:type="gramStart"/>
      <w:r>
        <w:t>have</w:t>
      </w:r>
      <w:proofErr w:type="gramEnd"/>
      <w:r>
        <w:t xml:space="preserve"> been treated with one or a combination of the following processes:</w:t>
      </w:r>
    </w:p>
    <w:p w:rsidR="00EB0823" w:rsidRDefault="00EB0823" w:rsidP="00EB0823">
      <w:pPr>
        <w:pStyle w:val="tSubpara"/>
      </w:pPr>
      <w:r>
        <w:tab/>
        <w:t>(</w:t>
      </w:r>
      <w:proofErr w:type="spellStart"/>
      <w:r>
        <w:t>i</w:t>
      </w:r>
      <w:proofErr w:type="spellEnd"/>
      <w:r>
        <w:t>)</w:t>
      </w:r>
      <w:r>
        <w:tab/>
      </w:r>
      <w:proofErr w:type="gramStart"/>
      <w:r>
        <w:t>annealing</w:t>
      </w:r>
      <w:proofErr w:type="gramEnd"/>
      <w:r>
        <w:t>;</w:t>
      </w:r>
    </w:p>
    <w:p w:rsidR="00EB0823" w:rsidRDefault="00EB0823" w:rsidP="00EB0823">
      <w:pPr>
        <w:pStyle w:val="tSubpara"/>
      </w:pPr>
      <w:r>
        <w:tab/>
        <w:t>(ii)</w:t>
      </w:r>
      <w:r>
        <w:tab/>
      </w:r>
      <w:proofErr w:type="gramStart"/>
      <w:r>
        <w:t>metal</w:t>
      </w:r>
      <w:proofErr w:type="gramEnd"/>
      <w:r>
        <w:t xml:space="preserve"> coating</w:t>
      </w:r>
      <w:r w:rsidRPr="00591395">
        <w:t xml:space="preserve">; </w:t>
      </w:r>
    </w:p>
    <w:p w:rsidR="00EB0823" w:rsidRPr="00591395" w:rsidRDefault="00EB0823" w:rsidP="00EB0823">
      <w:pPr>
        <w:pStyle w:val="tSubpara"/>
      </w:pPr>
      <w:r>
        <w:tab/>
        <w:t>(iii)</w:t>
      </w:r>
      <w:r>
        <w:tab/>
      </w:r>
      <w:proofErr w:type="gramStart"/>
      <w:r>
        <w:t>painting</w:t>
      </w:r>
      <w:proofErr w:type="gramEnd"/>
      <w:r>
        <w:t>.</w:t>
      </w:r>
    </w:p>
    <w:p w:rsidR="00EB0823" w:rsidRDefault="00EB0823" w:rsidP="00EB0823">
      <w:pPr>
        <w:pStyle w:val="tMain"/>
      </w:pPr>
      <w:r>
        <w:tab/>
        <w:t>(3)</w:t>
      </w:r>
      <w:r>
        <w:tab/>
      </w:r>
      <w:r w:rsidRPr="00591395">
        <w:t xml:space="preserve">The activity in subsection (2) is the </w:t>
      </w:r>
      <w:r>
        <w:rPr>
          <w:b/>
          <w:i/>
        </w:rPr>
        <w:t xml:space="preserve">treated </w:t>
      </w:r>
      <w:r w:rsidRPr="00591395">
        <w:rPr>
          <w:b/>
          <w:i/>
        </w:rPr>
        <w:t>steel flat products</w:t>
      </w:r>
      <w:r w:rsidRPr="00591395">
        <w:t xml:space="preserve"> </w:t>
      </w:r>
      <w:r w:rsidRPr="001B2786">
        <w:rPr>
          <w:b/>
          <w:i/>
        </w:rPr>
        <w:t>activity</w:t>
      </w:r>
      <w:r w:rsidRPr="00591395">
        <w:t>.</w:t>
      </w:r>
    </w:p>
    <w:p w:rsidR="00EB0823" w:rsidRDefault="00EB0823" w:rsidP="00EB0823">
      <w:pPr>
        <w:pStyle w:val="tMain"/>
      </w:pPr>
      <w:r>
        <w:tab/>
        <w:t>(4)</w:t>
      </w:r>
      <w:r>
        <w:tab/>
      </w:r>
      <w:r w:rsidRPr="006912B9">
        <w:t>The def</w:t>
      </w:r>
      <w:r>
        <w:t>ault emissions intensity is 0.144</w:t>
      </w:r>
      <w:r w:rsidRPr="006912B9">
        <w:t xml:space="preserve"> t CO</w:t>
      </w:r>
      <w:r w:rsidRPr="004E410A">
        <w:rPr>
          <w:vertAlign w:val="subscript"/>
        </w:rPr>
        <w:t>2</w:t>
      </w:r>
      <w:r w:rsidRPr="006912B9">
        <w:t xml:space="preserve">-e per tonne of </w:t>
      </w:r>
      <w:r>
        <w:t>treated steel flat products</w:t>
      </w:r>
      <w:r w:rsidRPr="006912B9">
        <w:t>.</w:t>
      </w:r>
    </w:p>
    <w:p w:rsidR="00551733" w:rsidRPr="00DD2453" w:rsidRDefault="00213284" w:rsidP="00551733">
      <w:pPr>
        <w:pStyle w:val="ItemHead"/>
      </w:pPr>
      <w:proofErr w:type="gramStart"/>
      <w:r>
        <w:t>10</w:t>
      </w:r>
      <w:r w:rsidR="00551733" w:rsidRPr="00DD2453">
        <w:t xml:space="preserve">  </w:t>
      </w:r>
      <w:r w:rsidR="00993C1F">
        <w:t>After</w:t>
      </w:r>
      <w:proofErr w:type="gramEnd"/>
      <w:r w:rsidR="00993C1F">
        <w:t xml:space="preserve"> section 60</w:t>
      </w:r>
    </w:p>
    <w:p w:rsidR="00551733" w:rsidRDefault="00551733" w:rsidP="00551733">
      <w:pPr>
        <w:pStyle w:val="Item"/>
        <w:ind w:firstLine="141"/>
      </w:pPr>
      <w:r>
        <w:t>Insert:</w:t>
      </w:r>
    </w:p>
    <w:p w:rsidR="00551733" w:rsidRPr="00683848" w:rsidRDefault="00551733" w:rsidP="00551733">
      <w:pPr>
        <w:pStyle w:val="h5Section"/>
      </w:pPr>
      <w:proofErr w:type="gramStart"/>
      <w:r w:rsidRPr="00683848">
        <w:t>6</w:t>
      </w:r>
      <w:r w:rsidR="00993C1F">
        <w:t>1</w:t>
      </w:r>
      <w:r w:rsidRPr="00683848">
        <w:t xml:space="preserve">  Work</w:t>
      </w:r>
      <w:proofErr w:type="gramEnd"/>
      <w:r w:rsidRPr="00683848">
        <w:t xml:space="preserve"> of compression applied to natural gas or plant condensate</w:t>
      </w:r>
    </w:p>
    <w:p w:rsidR="00551733" w:rsidRPr="00683848" w:rsidRDefault="00551733" w:rsidP="00551733">
      <w:pPr>
        <w:pStyle w:val="tMain"/>
      </w:pPr>
      <w:r w:rsidRPr="00683848">
        <w:tab/>
        <w:t>(1)</w:t>
      </w:r>
      <w:r w:rsidRPr="00683848">
        <w:tab/>
        <w:t xml:space="preserve">Work of compression, in </w:t>
      </w:r>
      <w:r>
        <w:t>gigajoules</w:t>
      </w:r>
      <w:r w:rsidRPr="00683848">
        <w:t>,</w:t>
      </w:r>
      <w:r>
        <w:t xml:space="preserve"> from the energy transferred to natural gas or plant concentrate</w:t>
      </w:r>
      <w:r w:rsidRPr="00683848">
        <w:t xml:space="preserve"> </w:t>
      </w:r>
      <w:r>
        <w:t>by compressing it with</w:t>
      </w:r>
      <w:r w:rsidRPr="00683848">
        <w:t xml:space="preserve"> compressors to assist </w:t>
      </w:r>
      <w:r>
        <w:t xml:space="preserve">its </w:t>
      </w:r>
      <w:r w:rsidRPr="00683848">
        <w:t>delivery to customers or distribution networks as part of carrying on the natural gas transmission activity at the facility.</w:t>
      </w:r>
    </w:p>
    <w:p w:rsidR="00551733" w:rsidRPr="00683848" w:rsidRDefault="00551733" w:rsidP="00551733">
      <w:pPr>
        <w:pStyle w:val="nMain"/>
        <w:spacing w:line="276" w:lineRule="auto"/>
      </w:pPr>
      <w:r w:rsidRPr="00683848">
        <w:t>Note:</w:t>
      </w:r>
      <w:r w:rsidRPr="00683848">
        <w:tab/>
        <w:t>Compressors used for other purposes, such as natural gas processing, are not included.</w:t>
      </w:r>
    </w:p>
    <w:p w:rsidR="00551733" w:rsidRPr="00683848" w:rsidRDefault="00551733" w:rsidP="00551733">
      <w:pPr>
        <w:pStyle w:val="tMain"/>
      </w:pPr>
      <w:r w:rsidRPr="00683848">
        <w:tab/>
        <w:t>(2)</w:t>
      </w:r>
      <w:r w:rsidRPr="00683848">
        <w:tab/>
        <w:t>The metric in subsection (1) is applicable to a facility that conducts the natural gas transmission activity and reports emissions under Division 3.3.7 of the NGER (Measurement) Determination.</w:t>
      </w:r>
    </w:p>
    <w:p w:rsidR="00551733" w:rsidRPr="00683848" w:rsidRDefault="00551733" w:rsidP="00551733">
      <w:pPr>
        <w:pStyle w:val="tMain"/>
      </w:pPr>
      <w:r w:rsidRPr="00683848">
        <w:tab/>
        <w:t>(3)</w:t>
      </w:r>
      <w:r w:rsidRPr="00683848">
        <w:tab/>
        <w:t xml:space="preserve">The default emissions intensity is </w:t>
      </w:r>
      <w:r>
        <w:t>0.253</w:t>
      </w:r>
      <w:r w:rsidRPr="00683848">
        <w:t xml:space="preserve"> t CO</w:t>
      </w:r>
      <w:r w:rsidRPr="00683848">
        <w:rPr>
          <w:vertAlign w:val="subscript"/>
        </w:rPr>
        <w:t>2</w:t>
      </w:r>
      <w:r w:rsidRPr="00683848">
        <w:t xml:space="preserve">-e per </w:t>
      </w:r>
      <w:r>
        <w:t>gigajoule</w:t>
      </w:r>
      <w:r w:rsidRPr="00683848">
        <w:t>.</w:t>
      </w:r>
    </w:p>
    <w:p w:rsidR="00551733" w:rsidRPr="00683848" w:rsidRDefault="00551733" w:rsidP="00551733">
      <w:pPr>
        <w:pStyle w:val="tMain"/>
      </w:pPr>
      <w:r w:rsidRPr="00683848">
        <w:tab/>
        <w:t>(4)</w:t>
      </w:r>
      <w:r w:rsidRPr="00683848">
        <w:tab/>
        <w:t xml:space="preserve">For subsection (1) and (3), the work of compression, in megawatt hours, is calculated for each compressor </w:t>
      </w:r>
      <w:r>
        <w:t xml:space="preserve">or compressor station </w:t>
      </w:r>
      <w:r w:rsidRPr="00683848">
        <w:t>(</w:t>
      </w:r>
      <w:proofErr w:type="spellStart"/>
      <w:r w:rsidRPr="00683848">
        <w:t>i</w:t>
      </w:r>
      <w:proofErr w:type="spellEnd"/>
      <w:r w:rsidRPr="00683848">
        <w:t>) over each time increment (h) and summed in accordance with the following equation:</w:t>
      </w:r>
    </w:p>
    <w:p w:rsidR="00551733" w:rsidRPr="00683848" w:rsidRDefault="00551733" w:rsidP="00551733">
      <w:pPr>
        <w:pStyle w:val="ListParagraph"/>
        <w:spacing w:after="120" w:line="254" w:lineRule="auto"/>
        <w:ind w:left="1494"/>
        <w:contextualSpacing w:val="0"/>
        <w:rPr>
          <w:rFonts w:ascii="Arial" w:hAnsi="Arial" w:cs="Arial"/>
        </w:rPr>
      </w:pPr>
      <w:r w:rsidRPr="00683848">
        <w:tab/>
      </w:r>
      <m:oMath>
        <m:nary>
          <m:naryPr>
            <m:chr m:val="∑"/>
            <m:limLoc m:val="subSup"/>
            <m:supHide m:val="1"/>
            <m:ctrlPr>
              <w:rPr>
                <w:rFonts w:ascii="Cambria Math" w:hAnsi="Cambria Math" w:cstheme="minorHAnsi"/>
                <w:sz w:val="18"/>
                <w:szCs w:val="18"/>
              </w:rPr>
            </m:ctrlPr>
          </m:naryPr>
          <m:sub>
            <m:r>
              <m:rPr>
                <m:sty m:val="p"/>
              </m:rPr>
              <w:rPr>
                <w:rFonts w:ascii="Cambria Math" w:hAnsi="Cambria Math" w:cstheme="minorHAnsi"/>
                <w:sz w:val="18"/>
                <w:szCs w:val="18"/>
              </w:rPr>
              <m:t xml:space="preserve">i </m:t>
            </m:r>
          </m:sub>
          <m:sup/>
          <m:e>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Z</m:t>
                    </m:r>
                  </m:e>
                  <m:sub>
                    <m:r>
                      <m:rPr>
                        <m:sty m:val="p"/>
                      </m:rPr>
                      <w:rPr>
                        <w:rFonts w:ascii="Cambria Math" w:hAnsi="Cambria Math" w:cstheme="minorHAnsi"/>
                      </w:rPr>
                      <m:t>av</m:t>
                    </m:r>
                  </m:sub>
                </m:sSub>
                <m:sSub>
                  <m:sSubPr>
                    <m:ctrlPr>
                      <w:rPr>
                        <w:rFonts w:ascii="Cambria Math" w:hAnsi="Cambria Math" w:cstheme="minorHAnsi"/>
                        <w:iCs/>
                      </w:rPr>
                    </m:ctrlPr>
                  </m:sSubPr>
                  <m:e>
                    <m:r>
                      <m:rPr>
                        <m:sty m:val="p"/>
                      </m:rPr>
                      <w:rPr>
                        <w:rFonts w:ascii="Cambria Math" w:hAnsi="Cambria Math" w:cstheme="minorHAnsi"/>
                      </w:rPr>
                      <m:t>R</m:t>
                    </m:r>
                  </m:e>
                  <m:sub>
                    <m:r>
                      <m:rPr>
                        <m:sty m:val="p"/>
                      </m:rPr>
                      <w:rPr>
                        <w:rFonts w:ascii="Cambria Math" w:hAnsi="Cambria Math" w:cstheme="minorHAnsi"/>
                      </w:rPr>
                      <m:t>u</m:t>
                    </m:r>
                  </m:sub>
                </m:sSub>
                <m:sSub>
                  <m:sSubPr>
                    <m:ctrlPr>
                      <w:rPr>
                        <w:rFonts w:ascii="Cambria Math" w:hAnsi="Cambria Math" w:cstheme="minorHAnsi"/>
                        <w:iCs/>
                      </w:rPr>
                    </m:ctrlPr>
                  </m:sSubPr>
                  <m:e>
                    <m:r>
                      <m:rPr>
                        <m:sty m:val="p"/>
                      </m:rPr>
                      <w:rPr>
                        <w:rFonts w:ascii="Cambria Math" w:hAnsi="Cambria Math" w:cstheme="minorHAnsi"/>
                      </w:rPr>
                      <m:t>T</m:t>
                    </m:r>
                  </m:e>
                  <m:sub>
                    <m:r>
                      <m:rPr>
                        <m:sty m:val="p"/>
                      </m:rPr>
                      <w:rPr>
                        <w:rFonts w:ascii="Cambria Math" w:hAnsi="Cambria Math" w:cstheme="minorHAnsi"/>
                      </w:rPr>
                      <m:t>1</m:t>
                    </m:r>
                  </m:sub>
                </m:sSub>
              </m:num>
              <m:den>
                <m:sSub>
                  <m:sSubPr>
                    <m:ctrlPr>
                      <w:rPr>
                        <w:rFonts w:ascii="Cambria Math" w:hAnsi="Cambria Math" w:cstheme="minorHAnsi"/>
                        <w:iCs/>
                      </w:rPr>
                    </m:ctrlPr>
                  </m:sSubPr>
                  <m:e>
                    <m:r>
                      <m:rPr>
                        <m:sty m:val="p"/>
                      </m:rPr>
                      <w:rPr>
                        <w:rFonts w:ascii="Cambria Math" w:hAnsi="Cambria Math" w:cstheme="minorHAnsi"/>
                      </w:rPr>
                      <m:t>M</m:t>
                    </m:r>
                  </m:e>
                  <m:sub>
                    <m:r>
                      <m:rPr>
                        <m:sty m:val="p"/>
                      </m:rPr>
                      <w:rPr>
                        <w:rFonts w:ascii="Cambria Math" w:hAnsi="Cambria Math" w:cstheme="minorHAnsi"/>
                      </w:rPr>
                      <m:t>W</m:t>
                    </m:r>
                  </m:sub>
                </m:sSub>
                <m:r>
                  <m:rPr>
                    <m:sty m:val="p"/>
                  </m:rPr>
                  <w:rPr>
                    <w:rFonts w:ascii="Cambria Math" w:hAnsi="Cambria Math" w:cstheme="minorHAnsi"/>
                  </w:rPr>
                  <m:t>(k-1)/k</m:t>
                </m:r>
              </m:den>
            </m:f>
            <m:r>
              <m:rPr>
                <m:sty m:val="p"/>
              </m:rPr>
              <w:rPr>
                <w:rFonts w:ascii="Cambria Math" w:hAnsi="Cambria Math" w:cstheme="minorHAnsi"/>
              </w:rPr>
              <m:t xml:space="preserve"> </m:t>
            </m:r>
            <m:d>
              <m:dPr>
                <m:ctrlPr>
                  <w:rPr>
                    <w:rFonts w:ascii="Cambria Math" w:hAnsi="Cambria Math" w:cstheme="minorHAnsi"/>
                    <w:iCs/>
                  </w:rPr>
                </m:ctrlPr>
              </m:dPr>
              <m:e>
                <m:sSup>
                  <m:sSupPr>
                    <m:ctrlPr>
                      <w:rPr>
                        <w:rFonts w:ascii="Cambria Math" w:hAnsi="Cambria Math" w:cstheme="minorHAnsi"/>
                        <w:iCs/>
                      </w:rPr>
                    </m:ctrlPr>
                  </m:sSupPr>
                  <m:e>
                    <m:d>
                      <m:dPr>
                        <m:ctrlPr>
                          <w:rPr>
                            <w:rFonts w:ascii="Cambria Math" w:hAnsi="Cambria Math" w:cstheme="minorHAnsi"/>
                            <w:iCs/>
                          </w:rPr>
                        </m:ctrlPr>
                      </m:dPr>
                      <m:e>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P</m:t>
                                </m:r>
                              </m:e>
                              <m:sub>
                                <m:r>
                                  <m:rPr>
                                    <m:sty m:val="p"/>
                                  </m:rPr>
                                  <w:rPr>
                                    <w:rFonts w:ascii="Cambria Math" w:hAnsi="Cambria Math" w:cstheme="minorHAnsi"/>
                                  </w:rPr>
                                  <m:t>2</m:t>
                                </m:r>
                              </m:sub>
                            </m:sSub>
                          </m:num>
                          <m:den>
                            <m:sSub>
                              <m:sSubPr>
                                <m:ctrlPr>
                                  <w:rPr>
                                    <w:rFonts w:ascii="Cambria Math" w:hAnsi="Cambria Math" w:cstheme="minorHAnsi"/>
                                    <w:iCs/>
                                  </w:rPr>
                                </m:ctrlPr>
                              </m:sSubPr>
                              <m:e>
                                <m:r>
                                  <m:rPr>
                                    <m:sty m:val="p"/>
                                  </m:rPr>
                                  <w:rPr>
                                    <w:rFonts w:ascii="Cambria Math" w:hAnsi="Cambria Math" w:cstheme="minorHAnsi"/>
                                  </w:rPr>
                                  <m:t>P</m:t>
                                </m:r>
                              </m:e>
                              <m:sub>
                                <m:r>
                                  <m:rPr>
                                    <m:sty m:val="p"/>
                                  </m:rPr>
                                  <w:rPr>
                                    <w:rFonts w:ascii="Cambria Math" w:hAnsi="Cambria Math" w:cstheme="minorHAnsi"/>
                                  </w:rPr>
                                  <m:t>1</m:t>
                                </m:r>
                              </m:sub>
                            </m:sSub>
                          </m:den>
                        </m:f>
                      </m:e>
                    </m:d>
                  </m:e>
                  <m:sup>
                    <m:f>
                      <m:fPr>
                        <m:ctrlPr>
                          <w:rPr>
                            <w:rFonts w:ascii="Cambria Math" w:hAnsi="Cambria Math" w:cstheme="minorHAnsi"/>
                            <w:iCs/>
                          </w:rPr>
                        </m:ctrlPr>
                      </m:fPr>
                      <m:num>
                        <m:r>
                          <m:rPr>
                            <m:sty m:val="p"/>
                          </m:rPr>
                          <w:rPr>
                            <w:rFonts w:ascii="Cambria Math" w:hAnsi="Cambria Math" w:cstheme="minorHAnsi"/>
                          </w:rPr>
                          <m:t>k-1</m:t>
                        </m:r>
                      </m:num>
                      <m:den>
                        <m:r>
                          <m:rPr>
                            <m:sty m:val="p"/>
                          </m:rPr>
                          <w:rPr>
                            <w:rFonts w:ascii="Cambria Math" w:hAnsi="Cambria Math" w:cstheme="minorHAnsi"/>
                          </w:rPr>
                          <m:t>k</m:t>
                        </m:r>
                      </m:den>
                    </m:f>
                  </m:sup>
                </m:sSup>
                <m:r>
                  <m:rPr>
                    <m:sty m:val="p"/>
                  </m:rPr>
                  <w:rPr>
                    <w:rFonts w:ascii="Cambria Math" w:hAnsi="Cambria Math" w:cstheme="minorHAnsi"/>
                  </w:rPr>
                  <m:t>-1</m:t>
                </m:r>
              </m:e>
            </m:d>
          </m:e>
        </m:nary>
        <m:r>
          <m:rPr>
            <m:sty m:val="p"/>
          </m:rP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m:t>
            </m:r>
          </m:sup>
        </m:sSup>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h</m:t>
            </m:r>
          </m:e>
          <m:sub>
            <m:r>
              <m:rPr>
                <m:sty m:val="p"/>
              </m:rPr>
              <w:rPr>
                <w:rFonts w:ascii="Cambria Math" w:hAnsi="Cambria Math" w:cstheme="minorHAnsi"/>
              </w:rPr>
              <m:t>i</m:t>
            </m:r>
          </m:sub>
        </m:sSub>
        <m:r>
          <m:rPr>
            <m:sty m:val="p"/>
          </m:rPr>
          <w:rPr>
            <w:rFonts w:ascii="Cambria Math" w:hAnsi="Cambria Math" w:cstheme="minorHAnsi"/>
          </w:rPr>
          <m:t xml:space="preserve"> </m:t>
        </m:r>
      </m:oMath>
    </w:p>
    <w:p w:rsidR="00551733" w:rsidRPr="00683848" w:rsidRDefault="00551733" w:rsidP="00551733">
      <w:pPr>
        <w:pStyle w:val="tMain"/>
        <w:rPr>
          <w:bCs/>
          <w:iCs/>
          <w:szCs w:val="22"/>
          <w:shd w:val="clear" w:color="auto" w:fill="FFFFFF"/>
        </w:rPr>
      </w:pPr>
      <w:r w:rsidRPr="00683848">
        <w:rPr>
          <w:bCs/>
          <w:iCs/>
          <w:szCs w:val="22"/>
          <w:shd w:val="clear" w:color="auto" w:fill="FFFFFF"/>
        </w:rPr>
        <w:lastRenderedPageBreak/>
        <w:tab/>
      </w:r>
      <w:r w:rsidRPr="00683848">
        <w:rPr>
          <w:bCs/>
          <w:iCs/>
          <w:szCs w:val="22"/>
          <w:shd w:val="clear" w:color="auto" w:fill="FFFFFF"/>
        </w:rPr>
        <w:tab/>
      </w:r>
      <w:proofErr w:type="gramStart"/>
      <w:r w:rsidRPr="00683848">
        <w:rPr>
          <w:bCs/>
          <w:iCs/>
          <w:szCs w:val="22"/>
          <w:shd w:val="clear" w:color="auto" w:fill="FFFFFF"/>
        </w:rPr>
        <w:t>where</w:t>
      </w:r>
      <w:proofErr w:type="gramEnd"/>
      <w:r w:rsidRPr="00683848">
        <w:rPr>
          <w:bCs/>
          <w:iCs/>
          <w:szCs w:val="22"/>
          <w:shd w:val="clear" w:color="auto" w:fill="FFFFFF"/>
        </w:rPr>
        <w:t>:</w:t>
      </w:r>
    </w:p>
    <w:p w:rsidR="00551733" w:rsidRPr="00683848" w:rsidRDefault="00551733" w:rsidP="00551733">
      <w:pPr>
        <w:pStyle w:val="tMain"/>
        <w:rPr>
          <w:bCs/>
          <w:iCs/>
          <w:szCs w:val="22"/>
          <w:shd w:val="clear" w:color="auto" w:fill="FFFFFF"/>
        </w:rPr>
      </w:pPr>
      <w:r w:rsidRPr="00683848">
        <w:rPr>
          <w:bCs/>
          <w:iCs/>
          <w:szCs w:val="22"/>
          <w:shd w:val="clear" w:color="auto" w:fill="FFFFFF"/>
        </w:rPr>
        <w:tab/>
      </w:r>
      <w:r w:rsidRPr="00683848">
        <w:rPr>
          <w:bCs/>
          <w:iCs/>
          <w:szCs w:val="22"/>
          <w:shd w:val="clear" w:color="auto" w:fill="FFFFFF"/>
        </w:rPr>
        <w:tab/>
      </w:r>
      <w:proofErr w:type="spellStart"/>
      <w:r w:rsidRPr="00683848">
        <w:rPr>
          <w:b/>
          <w:bCs/>
          <w:i/>
          <w:iCs/>
          <w:szCs w:val="22"/>
          <w:shd w:val="clear" w:color="auto" w:fill="FFFFFF"/>
        </w:rPr>
        <w:t>Z</w:t>
      </w:r>
      <w:r w:rsidRPr="00683848">
        <w:rPr>
          <w:b/>
          <w:bCs/>
          <w:i/>
          <w:iCs/>
          <w:szCs w:val="22"/>
          <w:shd w:val="clear" w:color="auto" w:fill="FFFFFF"/>
          <w:vertAlign w:val="subscript"/>
        </w:rPr>
        <w:t>av</w:t>
      </w:r>
      <w:proofErr w:type="spellEnd"/>
      <w:r w:rsidRPr="00683848">
        <w:rPr>
          <w:bCs/>
          <w:iCs/>
          <w:szCs w:val="22"/>
          <w:shd w:val="clear" w:color="auto" w:fill="FFFFFF"/>
        </w:rPr>
        <w:t xml:space="preserve"> is the gas compressibility derived from gas compressibility charts or calculated by computer software, at the inlet and outlet conditions averaged over the time increment h (by dividing inlet and outlet results by 2).</w:t>
      </w:r>
    </w:p>
    <w:p w:rsidR="00551733" w:rsidRPr="00683848" w:rsidRDefault="00551733" w:rsidP="00551733">
      <w:pPr>
        <w:pStyle w:val="tDefn"/>
      </w:pPr>
      <w:r w:rsidRPr="00683848">
        <w:rPr>
          <w:b/>
          <w:i/>
        </w:rPr>
        <w:t>R</w:t>
      </w:r>
      <w:r w:rsidRPr="00683848">
        <w:rPr>
          <w:b/>
          <w:i/>
          <w:vertAlign w:val="subscript"/>
        </w:rPr>
        <w:t>u</w:t>
      </w:r>
      <w:r w:rsidRPr="00683848">
        <w:t xml:space="preserve"> is the universal gas constant equal to 8.314 kJ/</w:t>
      </w:r>
      <w:proofErr w:type="spellStart"/>
      <w:r w:rsidRPr="00683848">
        <w:t>kmol</w:t>
      </w:r>
      <w:r>
        <w:t>·</w:t>
      </w:r>
      <w:r w:rsidRPr="00683848">
        <w:t>K</w:t>
      </w:r>
      <w:proofErr w:type="spellEnd"/>
      <w:r>
        <w:t>.</w:t>
      </w:r>
    </w:p>
    <w:p w:rsidR="00551733" w:rsidRDefault="00551733" w:rsidP="00551733">
      <w:pPr>
        <w:pStyle w:val="tDefn"/>
      </w:pPr>
      <w:r w:rsidRPr="00683848">
        <w:rPr>
          <w:b/>
          <w:i/>
        </w:rPr>
        <w:t>T</w:t>
      </w:r>
      <w:r w:rsidRPr="00683848">
        <w:rPr>
          <w:b/>
          <w:i/>
          <w:vertAlign w:val="subscript"/>
        </w:rPr>
        <w:t>1</w:t>
      </w:r>
      <w:r w:rsidRPr="00683848">
        <w:rPr>
          <w:b/>
          <w:i/>
        </w:rPr>
        <w:t xml:space="preserve"> </w:t>
      </w:r>
      <w:r w:rsidRPr="00683848">
        <w:t>is the temperature of the gas, in degrees Kelvin (K), at the compressor suction flange</w:t>
      </w:r>
      <w:r>
        <w:t xml:space="preserve"> or inlet to the compressor station (as relevant to (</w:t>
      </w:r>
      <w:proofErr w:type="spellStart"/>
      <w:r>
        <w:t>i</w:t>
      </w:r>
      <w:proofErr w:type="spellEnd"/>
      <w:r>
        <w:t>))</w:t>
      </w:r>
      <w:r w:rsidRPr="00683848">
        <w:t>, averaged over the time increment h.</w:t>
      </w:r>
    </w:p>
    <w:p w:rsidR="00551733" w:rsidRPr="00683848" w:rsidRDefault="00551733" w:rsidP="00551733">
      <w:pPr>
        <w:pStyle w:val="tDefn"/>
      </w:pPr>
      <w:r w:rsidRPr="00683848">
        <w:rPr>
          <w:b/>
          <w:i/>
        </w:rPr>
        <w:t>M</w:t>
      </w:r>
      <w:r w:rsidRPr="00683848">
        <w:rPr>
          <w:b/>
          <w:i/>
          <w:vertAlign w:val="subscript"/>
        </w:rPr>
        <w:t>W</w:t>
      </w:r>
      <w:r w:rsidRPr="00683848">
        <w:t xml:space="preserve"> is the gas molecular weight, calculated from the average gas composition over the time increment h.</w:t>
      </w:r>
    </w:p>
    <w:p w:rsidR="00551733" w:rsidRPr="00683848" w:rsidRDefault="00551733" w:rsidP="00551733">
      <w:pPr>
        <w:pStyle w:val="tDefn"/>
      </w:pPr>
      <w:proofErr w:type="gramStart"/>
      <w:r w:rsidRPr="00683848">
        <w:rPr>
          <w:b/>
          <w:i/>
        </w:rPr>
        <w:t>k</w:t>
      </w:r>
      <w:proofErr w:type="gramEnd"/>
      <w:r w:rsidRPr="00683848">
        <w:t xml:space="preserve"> is the heat capacity ratio, derived from gas heat capacity charts or calculated by computer software, for the average gas composition over the time increment h.</w:t>
      </w:r>
    </w:p>
    <w:p w:rsidR="00551733" w:rsidRPr="00551733" w:rsidRDefault="00551733" w:rsidP="00551733">
      <w:pPr>
        <w:pStyle w:val="tDefn"/>
      </w:pPr>
      <w:r w:rsidRPr="00683848">
        <w:rPr>
          <w:b/>
          <w:i/>
        </w:rPr>
        <w:t>P</w:t>
      </w:r>
      <w:r w:rsidRPr="00683848">
        <w:rPr>
          <w:b/>
          <w:i/>
          <w:vertAlign w:val="subscript"/>
        </w:rPr>
        <w:t>1</w:t>
      </w:r>
      <w:r w:rsidRPr="00683848">
        <w:t xml:space="preserve"> is the absolute pressure at the compressor suction flange</w:t>
      </w:r>
      <w:r w:rsidRPr="00CA5783">
        <w:t xml:space="preserve"> </w:t>
      </w:r>
      <w:r>
        <w:t>or inlet to the compressor station (as relevant to (</w:t>
      </w:r>
      <w:proofErr w:type="spellStart"/>
      <w:r>
        <w:t>i</w:t>
      </w:r>
      <w:proofErr w:type="spellEnd"/>
      <w:r>
        <w:t>))</w:t>
      </w:r>
      <w:r w:rsidRPr="00683848">
        <w:t>, measured and averaged over the time increment h, in the same units as P</w:t>
      </w:r>
      <w:r w:rsidRPr="00683848">
        <w:rPr>
          <w:vertAlign w:val="subscript"/>
        </w:rPr>
        <w:t>2</w:t>
      </w:r>
      <w:r>
        <w:t>.</w:t>
      </w:r>
    </w:p>
    <w:p w:rsidR="00551733" w:rsidRPr="00F953F9" w:rsidRDefault="00551733" w:rsidP="00551733">
      <w:pPr>
        <w:pStyle w:val="tDefn"/>
      </w:pPr>
      <w:r w:rsidRPr="00683848">
        <w:rPr>
          <w:b/>
          <w:i/>
        </w:rPr>
        <w:t>P</w:t>
      </w:r>
      <w:r w:rsidRPr="00683848">
        <w:rPr>
          <w:b/>
          <w:i/>
          <w:vertAlign w:val="subscript"/>
        </w:rPr>
        <w:t>2</w:t>
      </w:r>
      <w:r w:rsidRPr="00683848">
        <w:t xml:space="preserve"> is the absolute pressure at the compressor discharge flange</w:t>
      </w:r>
      <w:r>
        <w:t xml:space="preserve"> or outlet to the compressor station (as relevant to (</w:t>
      </w:r>
      <w:proofErr w:type="spellStart"/>
      <w:r>
        <w:t>i</w:t>
      </w:r>
      <w:proofErr w:type="spellEnd"/>
      <w:r>
        <w:t>))</w:t>
      </w:r>
      <w:r w:rsidRPr="00683848">
        <w:t>, measured and averaged over the time increment h, in the same units as P</w:t>
      </w:r>
      <w:r w:rsidRPr="00683848">
        <w:rPr>
          <w:vertAlign w:val="subscript"/>
        </w:rPr>
        <w:t>1</w:t>
      </w:r>
      <w:r w:rsidR="00F953F9">
        <w:t>.</w:t>
      </w:r>
    </w:p>
    <w:p w:rsidR="00551733" w:rsidRPr="00683848" w:rsidRDefault="00551733" w:rsidP="00551733">
      <w:pPr>
        <w:pStyle w:val="tDefn"/>
      </w:pPr>
      <w:proofErr w:type="gramStart"/>
      <w:r w:rsidRPr="00683848">
        <w:rPr>
          <w:b/>
          <w:i/>
        </w:rPr>
        <w:t>m</w:t>
      </w:r>
      <w:proofErr w:type="gramEnd"/>
      <w:r w:rsidRPr="00683848">
        <w:rPr>
          <w:b/>
          <w:i/>
        </w:rPr>
        <w:t>’</w:t>
      </w:r>
      <w:r w:rsidRPr="00683848">
        <w:t xml:space="preserve"> is the average gas mass flowrate, in </w:t>
      </w:r>
      <w:r w:rsidRPr="00B475F2">
        <w:t>units of mass per second,</w:t>
      </w:r>
      <w:r w:rsidRPr="00683848">
        <w:t xml:space="preserve"> as measured for time increment h (or as converted from a volumetric flowrate measurement if required using the average gas composition over the time increment h).</w:t>
      </w:r>
    </w:p>
    <w:p w:rsidR="00551733" w:rsidRPr="00683848" w:rsidRDefault="00551733" w:rsidP="00551733">
      <w:pPr>
        <w:pStyle w:val="tDefn"/>
      </w:pPr>
      <w:r w:rsidRPr="00683848">
        <w:rPr>
          <w:b/>
          <w:i/>
        </w:rPr>
        <w:t>h</w:t>
      </w:r>
      <w:r w:rsidRPr="00683848">
        <w:rPr>
          <w:b/>
          <w:i/>
          <w:vertAlign w:val="subscript"/>
        </w:rPr>
        <w:t>i</w:t>
      </w:r>
      <w:r w:rsidRPr="00683848">
        <w:rPr>
          <w:b/>
        </w:rPr>
        <w:t xml:space="preserve"> </w:t>
      </w:r>
      <w:r w:rsidRPr="00683848">
        <w:t>is the time increment for compressor</w:t>
      </w:r>
      <w:r>
        <w:t xml:space="preserve"> or compressor station</w:t>
      </w:r>
      <w:r w:rsidRPr="00683848">
        <w:t xml:space="preserve"> </w:t>
      </w:r>
      <w:proofErr w:type="spellStart"/>
      <w:r w:rsidRPr="00683848">
        <w:t>i</w:t>
      </w:r>
      <w:proofErr w:type="spellEnd"/>
      <w:r w:rsidRPr="00683848">
        <w:t xml:space="preserve">, selected on the basis of reducing the calculation load while still having sufficient granularity to capture changes in compressor </w:t>
      </w:r>
      <w:r>
        <w:t xml:space="preserve">or compressor station </w:t>
      </w:r>
      <w:r w:rsidRPr="00683848">
        <w:t xml:space="preserve">work as operating conditions change over time. </w:t>
      </w:r>
    </w:p>
    <w:p w:rsidR="00551733" w:rsidRDefault="00551733" w:rsidP="00551733">
      <w:pPr>
        <w:pStyle w:val="nMain"/>
        <w:spacing w:line="276" w:lineRule="auto"/>
      </w:pPr>
      <w:r w:rsidRPr="00683848">
        <w:t>Note:</w:t>
      </w:r>
      <w:r w:rsidRPr="00683848">
        <w:tab/>
        <w:t>An initial time increment of one hour is suggested, to be adjusted with justification based on the variability of the pipeline operating conditions.</w:t>
      </w:r>
    </w:p>
    <w:p w:rsidR="00E251AD" w:rsidRPr="00DD2453" w:rsidRDefault="00213284" w:rsidP="00E251AD">
      <w:pPr>
        <w:pStyle w:val="ItemHead"/>
      </w:pPr>
      <w:proofErr w:type="gramStart"/>
      <w:r>
        <w:t>11</w:t>
      </w:r>
      <w:r w:rsidR="00E251AD" w:rsidRPr="00DD2453">
        <w:t xml:space="preserve">  </w:t>
      </w:r>
      <w:r w:rsidR="00E251AD">
        <w:t>Subsection</w:t>
      </w:r>
      <w:proofErr w:type="gramEnd"/>
      <w:r w:rsidR="00E251AD">
        <w:t xml:space="preserve"> 81(2) of Schedule 2</w:t>
      </w:r>
    </w:p>
    <w:p w:rsidR="00E251AD" w:rsidRDefault="00E251AD" w:rsidP="00F05B31">
      <w:pPr>
        <w:pStyle w:val="Item"/>
        <w:ind w:firstLine="141"/>
      </w:pPr>
      <w:r>
        <w:t>Omit “any or all of wood chips, sawdust, wood pulp and recovered paper</w:t>
      </w:r>
      <w:r w:rsidRPr="004C59F8">
        <w:t>”</w:t>
      </w:r>
      <w:r>
        <w:t>, substitute “pulp”</w:t>
      </w:r>
      <w:r w:rsidRPr="004C59F8">
        <w:t>.</w:t>
      </w:r>
    </w:p>
    <w:p w:rsidR="00E251AD" w:rsidRPr="00DD2453" w:rsidRDefault="00213284" w:rsidP="00E251AD">
      <w:pPr>
        <w:pStyle w:val="ItemHead"/>
      </w:pPr>
      <w:proofErr w:type="gramStart"/>
      <w:r>
        <w:t>12</w:t>
      </w:r>
      <w:r w:rsidR="00E251AD" w:rsidRPr="00DD2453">
        <w:t xml:space="preserve">  </w:t>
      </w:r>
      <w:r w:rsidR="00E251AD">
        <w:t>Note</w:t>
      </w:r>
      <w:proofErr w:type="gramEnd"/>
      <w:r w:rsidR="00E251AD">
        <w:t xml:space="preserve"> after subsection 81(3) of Schedule 2</w:t>
      </w:r>
    </w:p>
    <w:p w:rsidR="00E251AD" w:rsidRDefault="00E251AD" w:rsidP="00E251AD">
      <w:pPr>
        <w:pStyle w:val="Item"/>
        <w:ind w:firstLine="141"/>
      </w:pPr>
      <w:r>
        <w:t>Repeal the note, substitute:</w:t>
      </w:r>
    </w:p>
    <w:p w:rsidR="00E251AD" w:rsidRDefault="00E251AD" w:rsidP="00E251AD">
      <w:pPr>
        <w:pStyle w:val="tMain"/>
      </w:pPr>
      <w:r w:rsidRPr="00DD2453">
        <w:tab/>
      </w:r>
      <w:r>
        <w:t>(4)</w:t>
      </w:r>
      <w:r w:rsidRPr="00DD2453">
        <w:tab/>
        <w:t xml:space="preserve">The default emissions intensity is </w:t>
      </w:r>
      <w:r>
        <w:t xml:space="preserve">0.448 </w:t>
      </w:r>
      <w:r w:rsidRPr="00DD2453">
        <w:t>t CO</w:t>
      </w:r>
      <w:r w:rsidRPr="00DD2453">
        <w:rPr>
          <w:vertAlign w:val="subscript"/>
        </w:rPr>
        <w:t>2</w:t>
      </w:r>
      <w:r w:rsidRPr="00DD2453">
        <w:t xml:space="preserve">-e per </w:t>
      </w:r>
      <w:r>
        <w:t>tonne of rolls of uncoated tissue paper</w:t>
      </w:r>
      <w:r w:rsidRPr="00DD2453">
        <w:t>.</w:t>
      </w:r>
    </w:p>
    <w:p w:rsidR="00F05B31" w:rsidRPr="00DD2453" w:rsidRDefault="00213284" w:rsidP="00F05B31">
      <w:pPr>
        <w:pStyle w:val="ItemHead"/>
      </w:pPr>
      <w:proofErr w:type="gramStart"/>
      <w:r>
        <w:t>13</w:t>
      </w:r>
      <w:r w:rsidR="00F05B31" w:rsidRPr="00DD2453">
        <w:t xml:space="preserve">  </w:t>
      </w:r>
      <w:r w:rsidR="00F05B31">
        <w:t>Subsection</w:t>
      </w:r>
      <w:proofErr w:type="gramEnd"/>
      <w:r w:rsidR="00F05B31">
        <w:t xml:space="preserve"> 82(2) of Schedule 2</w:t>
      </w:r>
    </w:p>
    <w:p w:rsidR="00F05B31" w:rsidRDefault="00F05B31" w:rsidP="00F05B31">
      <w:pPr>
        <w:pStyle w:val="Item"/>
        <w:ind w:firstLine="141"/>
      </w:pPr>
      <w:r>
        <w:t>Omit “any or all of wood chips, sawdust, wood pulp and recovered paper</w:t>
      </w:r>
      <w:r w:rsidRPr="004C59F8">
        <w:t>”</w:t>
      </w:r>
      <w:r>
        <w:t>, substitute “pulp”</w:t>
      </w:r>
      <w:r w:rsidRPr="004C59F8">
        <w:t>.</w:t>
      </w:r>
    </w:p>
    <w:p w:rsidR="00E251AD" w:rsidRPr="00DD2453" w:rsidRDefault="00E251AD" w:rsidP="00E251AD">
      <w:pPr>
        <w:pStyle w:val="ItemHead"/>
      </w:pPr>
      <w:proofErr w:type="gramStart"/>
      <w:r>
        <w:t>1</w:t>
      </w:r>
      <w:r w:rsidR="00213284">
        <w:t>4</w:t>
      </w:r>
      <w:r w:rsidRPr="00DD2453">
        <w:t xml:space="preserve">  </w:t>
      </w:r>
      <w:r>
        <w:t>Note</w:t>
      </w:r>
      <w:proofErr w:type="gramEnd"/>
      <w:r>
        <w:t xml:space="preserve"> after subsection 82(3) of Schedule 2</w:t>
      </w:r>
    </w:p>
    <w:p w:rsidR="00E251AD" w:rsidRDefault="00E251AD" w:rsidP="00E251AD">
      <w:pPr>
        <w:pStyle w:val="Item"/>
        <w:ind w:firstLine="141"/>
      </w:pPr>
      <w:r>
        <w:t>Repeal the note, substitute:</w:t>
      </w:r>
    </w:p>
    <w:p w:rsidR="00E251AD" w:rsidRDefault="00E251AD" w:rsidP="00E251AD">
      <w:pPr>
        <w:pStyle w:val="tMain"/>
      </w:pPr>
      <w:r w:rsidRPr="00DD2453">
        <w:tab/>
      </w:r>
      <w:r>
        <w:t>(4)</w:t>
      </w:r>
      <w:r w:rsidRPr="00DD2453">
        <w:tab/>
        <w:t xml:space="preserve">The default emissions intensity is </w:t>
      </w:r>
      <w:r w:rsidR="00AA12D9">
        <w:t>0.166</w:t>
      </w:r>
      <w:r>
        <w:t xml:space="preserve"> </w:t>
      </w:r>
      <w:r w:rsidRPr="00DD2453">
        <w:t>t CO</w:t>
      </w:r>
      <w:r w:rsidRPr="00DD2453">
        <w:rPr>
          <w:vertAlign w:val="subscript"/>
        </w:rPr>
        <w:t>2</w:t>
      </w:r>
      <w:r w:rsidRPr="00DD2453">
        <w:t xml:space="preserve">-e per </w:t>
      </w:r>
      <w:r>
        <w:t>tonne of rolls of packaging and industrial paper</w:t>
      </w:r>
      <w:r w:rsidRPr="00DD2453">
        <w:t>.</w:t>
      </w:r>
    </w:p>
    <w:p w:rsidR="00F05B31" w:rsidRPr="00DD2453" w:rsidRDefault="00213284" w:rsidP="00F05B31">
      <w:pPr>
        <w:pStyle w:val="ItemHead"/>
      </w:pPr>
      <w:proofErr w:type="gramStart"/>
      <w:r>
        <w:lastRenderedPageBreak/>
        <w:t>15</w:t>
      </w:r>
      <w:r w:rsidR="00F05B31" w:rsidRPr="00DD2453">
        <w:t xml:space="preserve">  </w:t>
      </w:r>
      <w:r w:rsidR="00F05B31">
        <w:t>Subsection</w:t>
      </w:r>
      <w:proofErr w:type="gramEnd"/>
      <w:r w:rsidR="00F05B31">
        <w:t xml:space="preserve"> 83(2) of Schedule 2</w:t>
      </w:r>
    </w:p>
    <w:p w:rsidR="00F05B31" w:rsidRDefault="00F05B31" w:rsidP="00F05B31">
      <w:pPr>
        <w:pStyle w:val="Item"/>
        <w:ind w:firstLine="141"/>
      </w:pPr>
      <w:r>
        <w:t>Omit “any or all of wood chips, sawdust, wood pulp and recovered paper</w:t>
      </w:r>
      <w:r w:rsidRPr="004C59F8">
        <w:t>”</w:t>
      </w:r>
      <w:r>
        <w:t>, substitute “pulp”</w:t>
      </w:r>
      <w:r w:rsidRPr="004C59F8">
        <w:t>.</w:t>
      </w:r>
    </w:p>
    <w:p w:rsidR="00E251AD" w:rsidRPr="00DD2453" w:rsidRDefault="00E251AD" w:rsidP="00E251AD">
      <w:pPr>
        <w:pStyle w:val="ItemHead"/>
      </w:pPr>
      <w:proofErr w:type="gramStart"/>
      <w:r>
        <w:t>1</w:t>
      </w:r>
      <w:r w:rsidR="00213284">
        <w:t>6</w:t>
      </w:r>
      <w:r w:rsidRPr="00DD2453">
        <w:t xml:space="preserve">  </w:t>
      </w:r>
      <w:r>
        <w:t>Note</w:t>
      </w:r>
      <w:proofErr w:type="gramEnd"/>
      <w:r>
        <w:t xml:space="preserve"> after subsection 83(3) of Schedule 2</w:t>
      </w:r>
    </w:p>
    <w:p w:rsidR="00E251AD" w:rsidRDefault="00E251AD" w:rsidP="00E251AD">
      <w:pPr>
        <w:pStyle w:val="Item"/>
        <w:ind w:firstLine="141"/>
      </w:pPr>
      <w:r>
        <w:t>Repeal the note, substitute:</w:t>
      </w:r>
    </w:p>
    <w:p w:rsidR="00E251AD" w:rsidRDefault="00E251AD" w:rsidP="00E251AD">
      <w:pPr>
        <w:pStyle w:val="tMain"/>
      </w:pPr>
      <w:r w:rsidRPr="00DD2453">
        <w:tab/>
      </w:r>
      <w:r>
        <w:t>(4)</w:t>
      </w:r>
      <w:r w:rsidRPr="00DD2453">
        <w:tab/>
        <w:t xml:space="preserve">The default emissions intensity is </w:t>
      </w:r>
      <w:r w:rsidR="00AA12D9">
        <w:t>0.443</w:t>
      </w:r>
      <w:r>
        <w:t xml:space="preserve"> </w:t>
      </w:r>
      <w:r w:rsidRPr="00DD2453">
        <w:t>t CO</w:t>
      </w:r>
      <w:r w:rsidRPr="00DD2453">
        <w:rPr>
          <w:vertAlign w:val="subscript"/>
        </w:rPr>
        <w:t>2</w:t>
      </w:r>
      <w:r w:rsidRPr="00DD2453">
        <w:t xml:space="preserve">-e per </w:t>
      </w:r>
      <w:r>
        <w:t>tonne of rolls of coated or uncoated printing and writing paper</w:t>
      </w:r>
      <w:r w:rsidRPr="00DD2453">
        <w:t>.</w:t>
      </w:r>
    </w:p>
    <w:p w:rsidR="00F05B31" w:rsidRPr="00DD2453" w:rsidRDefault="00213284" w:rsidP="00F05B31">
      <w:pPr>
        <w:pStyle w:val="ItemHead"/>
      </w:pPr>
      <w:proofErr w:type="gramStart"/>
      <w:r>
        <w:t>17</w:t>
      </w:r>
      <w:r w:rsidR="00F05B31" w:rsidRPr="00DD2453">
        <w:t xml:space="preserve">  </w:t>
      </w:r>
      <w:r w:rsidR="00F05B31">
        <w:t>Subsections</w:t>
      </w:r>
      <w:proofErr w:type="gramEnd"/>
      <w:r w:rsidR="00F05B31">
        <w:t xml:space="preserve"> 84(1) and (2) of Schedule 2</w:t>
      </w:r>
    </w:p>
    <w:p w:rsidR="00F05B31" w:rsidRDefault="00F05B31" w:rsidP="00F05B31">
      <w:pPr>
        <w:pStyle w:val="Item"/>
        <w:ind w:firstLine="141"/>
      </w:pPr>
      <w:r>
        <w:t>Before “uncoated newsprint</w:t>
      </w:r>
      <w:r w:rsidRPr="004C59F8">
        <w:t>”</w:t>
      </w:r>
      <w:r>
        <w:t xml:space="preserve"> (wherever appearing), insert “coated or”</w:t>
      </w:r>
      <w:r w:rsidRPr="004C59F8">
        <w:t>.</w:t>
      </w:r>
    </w:p>
    <w:p w:rsidR="00E251AD" w:rsidRPr="00DD2453" w:rsidRDefault="00E251AD" w:rsidP="00E251AD">
      <w:pPr>
        <w:pStyle w:val="ItemHead"/>
      </w:pPr>
      <w:proofErr w:type="gramStart"/>
      <w:r>
        <w:t>1</w:t>
      </w:r>
      <w:r w:rsidR="00213284">
        <w:t>8</w:t>
      </w:r>
      <w:r w:rsidRPr="00DD2453">
        <w:t xml:space="preserve">  </w:t>
      </w:r>
      <w:r>
        <w:t>Note</w:t>
      </w:r>
      <w:proofErr w:type="gramEnd"/>
      <w:r>
        <w:t xml:space="preserve"> after subsection 84(3) of Schedule 2</w:t>
      </w:r>
    </w:p>
    <w:p w:rsidR="00E251AD" w:rsidRDefault="00E251AD" w:rsidP="00E251AD">
      <w:pPr>
        <w:pStyle w:val="Item"/>
        <w:ind w:firstLine="141"/>
      </w:pPr>
      <w:r>
        <w:t>Repeal the note, substitute:</w:t>
      </w:r>
    </w:p>
    <w:p w:rsidR="00F05B31" w:rsidRDefault="00E251AD" w:rsidP="00F05B31">
      <w:pPr>
        <w:pStyle w:val="tMain"/>
      </w:pPr>
      <w:r w:rsidRPr="00DD2453">
        <w:tab/>
      </w:r>
      <w:r>
        <w:t>(4)</w:t>
      </w:r>
      <w:r w:rsidRPr="00DD2453">
        <w:tab/>
        <w:t xml:space="preserve">The default emissions intensity is </w:t>
      </w:r>
      <w:r>
        <w:t xml:space="preserve">0.464 </w:t>
      </w:r>
      <w:r w:rsidRPr="00DD2453">
        <w:t>t CO</w:t>
      </w:r>
      <w:r w:rsidRPr="00DD2453">
        <w:rPr>
          <w:vertAlign w:val="subscript"/>
        </w:rPr>
        <w:t>2</w:t>
      </w:r>
      <w:r w:rsidRPr="00DD2453">
        <w:t xml:space="preserve">-e per </w:t>
      </w:r>
      <w:r>
        <w:t xml:space="preserve">tonne of rolls of </w:t>
      </w:r>
      <w:r w:rsidR="00266A0C">
        <w:t xml:space="preserve">coated or </w:t>
      </w:r>
      <w:r>
        <w:t>uncoated newsprint</w:t>
      </w:r>
      <w:r w:rsidRPr="00DD2453">
        <w:t>.</w:t>
      </w:r>
    </w:p>
    <w:p w:rsidR="00F05B31" w:rsidRPr="00DD2453" w:rsidRDefault="00F05B31" w:rsidP="00F05B31">
      <w:pPr>
        <w:pStyle w:val="ItemHead"/>
      </w:pPr>
      <w:proofErr w:type="gramStart"/>
      <w:r>
        <w:t>1</w:t>
      </w:r>
      <w:r w:rsidR="00213284">
        <w:t>9</w:t>
      </w:r>
      <w:r w:rsidRPr="00DD2453">
        <w:t xml:space="preserve">  </w:t>
      </w:r>
      <w:r>
        <w:t>At</w:t>
      </w:r>
      <w:proofErr w:type="gramEnd"/>
      <w:r>
        <w:t xml:space="preserve"> the end of paragraph 85(1)(d) (before the note)</w:t>
      </w:r>
    </w:p>
    <w:p w:rsidR="00F05B31" w:rsidRDefault="00F05B31" w:rsidP="00F05B31">
      <w:pPr>
        <w:pStyle w:val="Item"/>
        <w:ind w:firstLine="141"/>
      </w:pPr>
      <w:r>
        <w:t>Insert:</w:t>
      </w:r>
    </w:p>
    <w:p w:rsidR="00F05B31" w:rsidRDefault="00F05B31" w:rsidP="00F05B31">
      <w:pPr>
        <w:pStyle w:val="tPara"/>
      </w:pPr>
      <w:r>
        <w:tab/>
        <w:t xml:space="preserve"> </w:t>
      </w:r>
      <w:proofErr w:type="gramStart"/>
      <w:r>
        <w:t>and</w:t>
      </w:r>
      <w:proofErr w:type="gramEnd"/>
      <w:r>
        <w:t>; (e)</w:t>
      </w:r>
      <w:r>
        <w:tab/>
        <w:t>is not used in the newsprint manufacturing activity at the same facility.</w:t>
      </w:r>
    </w:p>
    <w:p w:rsidR="00E251AD" w:rsidRPr="00DD2453" w:rsidRDefault="00213284" w:rsidP="00E251AD">
      <w:pPr>
        <w:pStyle w:val="ItemHead"/>
      </w:pPr>
      <w:proofErr w:type="gramStart"/>
      <w:r>
        <w:t>20</w:t>
      </w:r>
      <w:r w:rsidR="00E251AD" w:rsidRPr="00DD2453">
        <w:t xml:space="preserve">  </w:t>
      </w:r>
      <w:r w:rsidR="00E251AD">
        <w:t>Note</w:t>
      </w:r>
      <w:proofErr w:type="gramEnd"/>
      <w:r w:rsidR="00E251AD">
        <w:t xml:space="preserve"> after subsection 85(3) of Schedule 2</w:t>
      </w:r>
    </w:p>
    <w:p w:rsidR="00E251AD" w:rsidRDefault="00E251AD" w:rsidP="00E251AD">
      <w:pPr>
        <w:pStyle w:val="Item"/>
        <w:ind w:firstLine="141"/>
      </w:pPr>
      <w:r>
        <w:t>Repeal the note, substitute:</w:t>
      </w:r>
    </w:p>
    <w:p w:rsidR="00E251AD" w:rsidRDefault="00E251AD" w:rsidP="00551733">
      <w:pPr>
        <w:pStyle w:val="tMain"/>
      </w:pPr>
      <w:r w:rsidRPr="00DD2453">
        <w:tab/>
      </w:r>
      <w:r>
        <w:t>(4)</w:t>
      </w:r>
      <w:r w:rsidRPr="00DD2453">
        <w:tab/>
        <w:t xml:space="preserve">The default emissions intensity is </w:t>
      </w:r>
      <w:r w:rsidR="00AA12D9">
        <w:t>0.0501</w:t>
      </w:r>
      <w:r>
        <w:t xml:space="preserve"> </w:t>
      </w:r>
      <w:r w:rsidRPr="00DD2453">
        <w:t>t CO</w:t>
      </w:r>
      <w:r w:rsidRPr="00DD2453">
        <w:rPr>
          <w:vertAlign w:val="subscript"/>
        </w:rPr>
        <w:t>2</w:t>
      </w:r>
      <w:r w:rsidRPr="00DD2453">
        <w:t xml:space="preserve">-e per </w:t>
      </w:r>
      <w:r>
        <w:t>tonne wet or dry pulp</w:t>
      </w:r>
      <w:r w:rsidRPr="00DD2453">
        <w:t>.</w:t>
      </w:r>
    </w:p>
    <w:p w:rsidR="00551733" w:rsidRPr="00DD2453" w:rsidRDefault="00213284" w:rsidP="00551733">
      <w:pPr>
        <w:pStyle w:val="ItemHead"/>
      </w:pPr>
      <w:proofErr w:type="gramStart"/>
      <w:r>
        <w:t>21</w:t>
      </w:r>
      <w:r w:rsidR="00551733" w:rsidRPr="00DD2453">
        <w:t xml:space="preserve">  </w:t>
      </w:r>
      <w:r w:rsidR="00551733">
        <w:t>After</w:t>
      </w:r>
      <w:proofErr w:type="gramEnd"/>
      <w:r w:rsidR="00551733">
        <w:t xml:space="preserve"> section 85</w:t>
      </w:r>
    </w:p>
    <w:p w:rsidR="00E251AD" w:rsidRDefault="00551733" w:rsidP="00551733">
      <w:pPr>
        <w:pStyle w:val="Item"/>
        <w:ind w:firstLine="141"/>
      </w:pPr>
      <w:r>
        <w:t>Insert:</w:t>
      </w:r>
    </w:p>
    <w:p w:rsidR="00551733" w:rsidRPr="00E672BD" w:rsidRDefault="00551733" w:rsidP="00551733">
      <w:pPr>
        <w:pStyle w:val="h2Part"/>
      </w:pPr>
      <w:r w:rsidRPr="00E672BD">
        <w:rPr>
          <w:rStyle w:val="CharPartNo"/>
        </w:rPr>
        <w:t xml:space="preserve">Part </w:t>
      </w:r>
      <w:r>
        <w:rPr>
          <w:rStyle w:val="CharPartNo"/>
        </w:rPr>
        <w:t>42</w:t>
      </w:r>
      <w:r w:rsidRPr="00E672BD">
        <w:rPr>
          <w:rStyle w:val="CharPartNo"/>
        </w:rPr>
        <w:t>—</w:t>
      </w:r>
      <w:r w:rsidRPr="00E672BD">
        <w:rPr>
          <w:rStyle w:val="CharPartText"/>
        </w:rPr>
        <w:t>Ethylene and polyethylene production</w:t>
      </w:r>
      <w:r w:rsidRPr="00E672BD">
        <w:rPr>
          <w:rStyle w:val="CharDivNo"/>
        </w:rPr>
        <w:t xml:space="preserve"> </w:t>
      </w:r>
      <w:r w:rsidRPr="00E672BD">
        <w:rPr>
          <w:rStyle w:val="CharDivText"/>
        </w:rPr>
        <w:t xml:space="preserve"> </w:t>
      </w:r>
    </w:p>
    <w:p w:rsidR="00551733" w:rsidRPr="00E672BD" w:rsidRDefault="00DA2A61" w:rsidP="00551733">
      <w:pPr>
        <w:pStyle w:val="h5Section"/>
      </w:pPr>
      <w:bookmarkStart w:id="9" w:name="_Toc34136346"/>
      <w:proofErr w:type="gramStart"/>
      <w:r>
        <w:t>86</w:t>
      </w:r>
      <w:r w:rsidR="00551733" w:rsidRPr="00E672BD">
        <w:t xml:space="preserve">  </w:t>
      </w:r>
      <w:bookmarkEnd w:id="9"/>
      <w:proofErr w:type="spellStart"/>
      <w:r w:rsidR="00551733" w:rsidRPr="00E672BD">
        <w:t>Ethene</w:t>
      </w:r>
      <w:proofErr w:type="spellEnd"/>
      <w:proofErr w:type="gramEnd"/>
      <w:r w:rsidR="00551733" w:rsidRPr="00E672BD">
        <w:t xml:space="preserve"> (ethylene)</w:t>
      </w:r>
    </w:p>
    <w:p w:rsidR="00551733" w:rsidRPr="00E672BD" w:rsidRDefault="00551733" w:rsidP="00551733">
      <w:pPr>
        <w:pStyle w:val="tMain"/>
      </w:pPr>
      <w:r w:rsidRPr="00E672BD">
        <w:tab/>
        <w:t>(1)</w:t>
      </w:r>
      <w:r w:rsidRPr="00E672BD">
        <w:tab/>
        <w:t xml:space="preserve">Tonnes of 100% equivalent </w:t>
      </w:r>
      <w:proofErr w:type="spellStart"/>
      <w:r w:rsidRPr="00E672BD">
        <w:t>ethene</w:t>
      </w:r>
      <w:proofErr w:type="spellEnd"/>
      <w:r w:rsidRPr="00E672BD">
        <w:t xml:space="preserve"> (ethylene (C</w:t>
      </w:r>
      <w:r w:rsidRPr="00E672BD">
        <w:rPr>
          <w:color w:val="000000"/>
          <w:vertAlign w:val="subscript"/>
        </w:rPr>
        <w:t>2</w:t>
      </w:r>
      <w:r w:rsidRPr="00E672BD">
        <w:rPr>
          <w:color w:val="000000"/>
        </w:rPr>
        <w:t>H</w:t>
      </w:r>
      <w:r w:rsidRPr="00E672BD">
        <w:rPr>
          <w:color w:val="000000"/>
          <w:vertAlign w:val="subscript"/>
        </w:rPr>
        <w:t>4</w:t>
      </w:r>
      <w:r w:rsidRPr="00E672BD">
        <w:t xml:space="preserve">)) that is contained within </w:t>
      </w:r>
      <w:proofErr w:type="spellStart"/>
      <w:r w:rsidRPr="00E672BD">
        <w:t>ethene</w:t>
      </w:r>
      <w:proofErr w:type="spellEnd"/>
      <w:r w:rsidRPr="00E672BD">
        <w:t xml:space="preserve"> that:</w:t>
      </w:r>
    </w:p>
    <w:p w:rsidR="00551733" w:rsidRPr="00E672BD" w:rsidRDefault="00551733" w:rsidP="00551733">
      <w:pPr>
        <w:pStyle w:val="tPara"/>
      </w:pPr>
      <w:r w:rsidRPr="00E672BD">
        <w:tab/>
        <w:t>(a)</w:t>
      </w:r>
      <w:r w:rsidRPr="00E672BD">
        <w:tab/>
      </w:r>
      <w:proofErr w:type="gramStart"/>
      <w:r w:rsidRPr="00E672BD">
        <w:t>has</w:t>
      </w:r>
      <w:proofErr w:type="gramEnd"/>
      <w:r w:rsidRPr="00E672BD">
        <w:t xml:space="preserve"> a concentration of </w:t>
      </w:r>
      <w:proofErr w:type="spellStart"/>
      <w:r w:rsidRPr="00E672BD">
        <w:t>ethene</w:t>
      </w:r>
      <w:proofErr w:type="spellEnd"/>
      <w:r w:rsidRPr="00E672BD">
        <w:t xml:space="preserve"> equal to or greater than 99% by mass; and</w:t>
      </w:r>
    </w:p>
    <w:p w:rsidR="00551733" w:rsidRPr="00E672BD" w:rsidRDefault="00551733" w:rsidP="00551733">
      <w:pPr>
        <w:pStyle w:val="tPara"/>
      </w:pPr>
      <w:r w:rsidRPr="00E672BD">
        <w:tab/>
        <w:t>(b)</w:t>
      </w:r>
      <w:r w:rsidRPr="00E672BD">
        <w:tab/>
      </w:r>
      <w:proofErr w:type="gramStart"/>
      <w:r w:rsidRPr="00E672BD">
        <w:t>is</w:t>
      </w:r>
      <w:proofErr w:type="gramEnd"/>
      <w:r w:rsidRPr="00E672BD">
        <w:t xml:space="preserve"> produced as part of carrying on the </w:t>
      </w:r>
      <w:proofErr w:type="spellStart"/>
      <w:r w:rsidRPr="00E672BD">
        <w:t>ethene</w:t>
      </w:r>
      <w:proofErr w:type="spellEnd"/>
      <w:r w:rsidRPr="00E672BD">
        <w:t xml:space="preserve"> production activity at the facility; and</w:t>
      </w:r>
    </w:p>
    <w:p w:rsidR="00551733" w:rsidRPr="00E672BD" w:rsidRDefault="00551733" w:rsidP="00551733">
      <w:pPr>
        <w:pStyle w:val="tPara"/>
      </w:pPr>
      <w:r w:rsidRPr="00E672BD">
        <w:tab/>
        <w:t>(c)</w:t>
      </w:r>
      <w:r w:rsidRPr="00E672BD">
        <w:tab/>
      </w:r>
      <w:proofErr w:type="gramStart"/>
      <w:r w:rsidRPr="00E672BD">
        <w:t>is</w:t>
      </w:r>
      <w:proofErr w:type="gramEnd"/>
      <w:r w:rsidRPr="00E672BD">
        <w:t xml:space="preserve"> of saleable quality.</w:t>
      </w:r>
    </w:p>
    <w:p w:rsidR="00551733" w:rsidRPr="00E672BD" w:rsidRDefault="00551733" w:rsidP="00551733">
      <w:pPr>
        <w:pStyle w:val="tMain"/>
      </w:pPr>
      <w:r w:rsidRPr="00E672BD">
        <w:tab/>
        <w:t>(2)</w:t>
      </w:r>
      <w:r w:rsidRPr="00E672BD">
        <w:tab/>
        <w:t xml:space="preserve">The metric in subsection (1) is applicable to a facility that conducts the activity of producing </w:t>
      </w:r>
      <w:proofErr w:type="spellStart"/>
      <w:r w:rsidRPr="00E672BD">
        <w:t>ethene</w:t>
      </w:r>
      <w:proofErr w:type="spellEnd"/>
      <w:r w:rsidRPr="00E672BD">
        <w:t xml:space="preserve"> (ethylene (C</w:t>
      </w:r>
      <w:r w:rsidRPr="00E672BD">
        <w:rPr>
          <w:color w:val="000000"/>
          <w:vertAlign w:val="subscript"/>
        </w:rPr>
        <w:t>2</w:t>
      </w:r>
      <w:r w:rsidRPr="00E672BD">
        <w:rPr>
          <w:color w:val="000000"/>
        </w:rPr>
        <w:t>H</w:t>
      </w:r>
      <w:r w:rsidRPr="00E672BD">
        <w:rPr>
          <w:color w:val="000000"/>
          <w:vertAlign w:val="subscript"/>
        </w:rPr>
        <w:t>4</w:t>
      </w:r>
      <w:r w:rsidRPr="00E672BD">
        <w:t xml:space="preserve">)) through the chemical transformation of hydrocarbons to produce </w:t>
      </w:r>
      <w:proofErr w:type="spellStart"/>
      <w:r w:rsidRPr="00E672BD">
        <w:t>ethene</w:t>
      </w:r>
      <w:proofErr w:type="spellEnd"/>
      <w:r w:rsidRPr="00E672BD">
        <w:t xml:space="preserve"> that has a concentration of </w:t>
      </w:r>
      <w:proofErr w:type="spellStart"/>
      <w:r w:rsidRPr="00E672BD">
        <w:t>ethene</w:t>
      </w:r>
      <w:proofErr w:type="spellEnd"/>
      <w:r w:rsidRPr="00E672BD">
        <w:t xml:space="preserve"> equal to or greater than 99% by mass (the </w:t>
      </w:r>
      <w:proofErr w:type="spellStart"/>
      <w:r w:rsidRPr="00E672BD">
        <w:rPr>
          <w:b/>
          <w:i/>
        </w:rPr>
        <w:t>ethene</w:t>
      </w:r>
      <w:proofErr w:type="spellEnd"/>
      <w:r w:rsidRPr="00E672BD">
        <w:rPr>
          <w:b/>
          <w:i/>
        </w:rPr>
        <w:t xml:space="preserve"> production activity</w:t>
      </w:r>
      <w:r w:rsidRPr="00E672BD">
        <w:t>).</w:t>
      </w:r>
    </w:p>
    <w:p w:rsidR="00551733" w:rsidRPr="00E672BD" w:rsidRDefault="00551733" w:rsidP="00551733">
      <w:pPr>
        <w:pStyle w:val="tMain"/>
      </w:pPr>
      <w:r w:rsidRPr="00E672BD">
        <w:tab/>
        <w:t>(3)</w:t>
      </w:r>
      <w:r w:rsidRPr="00E672BD">
        <w:tab/>
        <w:t xml:space="preserve">The default emissions intensity is </w:t>
      </w:r>
      <w:r w:rsidR="00EB0823">
        <w:t>1.96</w:t>
      </w:r>
      <w:r w:rsidRPr="00E672BD">
        <w:t xml:space="preserve"> t CO</w:t>
      </w:r>
      <w:r w:rsidRPr="00E672BD">
        <w:rPr>
          <w:vertAlign w:val="subscript"/>
        </w:rPr>
        <w:t>2</w:t>
      </w:r>
      <w:r w:rsidRPr="00E672BD">
        <w:t xml:space="preserve">-e per tonne of 100% equivalent </w:t>
      </w:r>
      <w:proofErr w:type="spellStart"/>
      <w:r w:rsidRPr="00E672BD">
        <w:t>ethene</w:t>
      </w:r>
      <w:proofErr w:type="spellEnd"/>
      <w:r w:rsidRPr="00E672BD">
        <w:t xml:space="preserve">. </w:t>
      </w:r>
    </w:p>
    <w:p w:rsidR="00551733" w:rsidRPr="00E672BD" w:rsidRDefault="00DA2A61" w:rsidP="00551733">
      <w:pPr>
        <w:pStyle w:val="h5Section"/>
      </w:pPr>
      <w:proofErr w:type="gramStart"/>
      <w:r>
        <w:t>87</w:t>
      </w:r>
      <w:r w:rsidR="00551733" w:rsidRPr="00E672BD">
        <w:t xml:space="preserve">  Polyethylene</w:t>
      </w:r>
      <w:proofErr w:type="gramEnd"/>
    </w:p>
    <w:p w:rsidR="00551733" w:rsidRPr="00E672BD" w:rsidRDefault="00551733" w:rsidP="00551733">
      <w:pPr>
        <w:pStyle w:val="tMain"/>
      </w:pPr>
      <w:r w:rsidRPr="00E672BD">
        <w:tab/>
        <w:t>(1)</w:t>
      </w:r>
      <w:r w:rsidRPr="00E672BD">
        <w:tab/>
        <w:t>Tonnes of pelletised polyethylene that:</w:t>
      </w:r>
    </w:p>
    <w:p w:rsidR="00551733" w:rsidRPr="00E672BD" w:rsidRDefault="00551733" w:rsidP="00551733">
      <w:pPr>
        <w:pStyle w:val="tPara"/>
      </w:pPr>
      <w:r w:rsidRPr="00E672BD">
        <w:tab/>
        <w:t>(a)</w:t>
      </w:r>
      <w:r w:rsidRPr="00E672BD">
        <w:tab/>
      </w:r>
      <w:proofErr w:type="gramStart"/>
      <w:r w:rsidRPr="00E672BD">
        <w:t>has</w:t>
      </w:r>
      <w:proofErr w:type="gramEnd"/>
      <w:r w:rsidRPr="00E672BD">
        <w:t xml:space="preserve"> a standard density equal to or greater than </w:t>
      </w:r>
      <w:r w:rsidRPr="00E672BD">
        <w:rPr>
          <w:color w:val="000000"/>
        </w:rPr>
        <w:t xml:space="preserve">0.910 </w:t>
      </w:r>
      <w:r w:rsidRPr="00E672BD">
        <w:rPr>
          <w:bCs/>
        </w:rPr>
        <w:t>g/cm</w:t>
      </w:r>
      <w:r w:rsidRPr="00E672BD">
        <w:rPr>
          <w:bCs/>
          <w:vertAlign w:val="superscript"/>
        </w:rPr>
        <w:t>3</w:t>
      </w:r>
      <w:r w:rsidRPr="00E672BD">
        <w:t>; and</w:t>
      </w:r>
    </w:p>
    <w:p w:rsidR="00551733" w:rsidRPr="00E672BD" w:rsidRDefault="00551733" w:rsidP="00551733">
      <w:pPr>
        <w:pStyle w:val="tPara"/>
      </w:pPr>
      <w:r w:rsidRPr="00E672BD">
        <w:tab/>
        <w:t>(b)</w:t>
      </w:r>
      <w:r w:rsidRPr="00E672BD">
        <w:tab/>
      </w:r>
      <w:proofErr w:type="gramStart"/>
      <w:r w:rsidRPr="00E672BD">
        <w:t>is</w:t>
      </w:r>
      <w:proofErr w:type="gramEnd"/>
      <w:r w:rsidRPr="00E672BD">
        <w:t xml:space="preserve"> produced as part of carrying on the polyethylene production activity at the facility; and</w:t>
      </w:r>
    </w:p>
    <w:p w:rsidR="00551733" w:rsidRPr="00E672BD" w:rsidRDefault="00551733" w:rsidP="00551733">
      <w:pPr>
        <w:pStyle w:val="tPara"/>
      </w:pPr>
      <w:r w:rsidRPr="00E672BD">
        <w:lastRenderedPageBreak/>
        <w:tab/>
        <w:t>(c)</w:t>
      </w:r>
      <w:r w:rsidRPr="00E672BD">
        <w:tab/>
      </w:r>
      <w:proofErr w:type="gramStart"/>
      <w:r w:rsidRPr="00E672BD">
        <w:t>is</w:t>
      </w:r>
      <w:proofErr w:type="gramEnd"/>
      <w:r w:rsidRPr="00E672BD">
        <w:t xml:space="preserve"> of saleable quality.</w:t>
      </w:r>
    </w:p>
    <w:p w:rsidR="00551733" w:rsidRPr="00E672BD" w:rsidRDefault="00551733" w:rsidP="00551733">
      <w:pPr>
        <w:pStyle w:val="tMain"/>
      </w:pPr>
      <w:r w:rsidRPr="00E672BD">
        <w:tab/>
        <w:t>(2)</w:t>
      </w:r>
      <w:r w:rsidRPr="00E672BD">
        <w:tab/>
        <w:t xml:space="preserve">The metric in subsection (1) is applicable to a facility that conducts the activity of producing polyethylene through the chemical transformation </w:t>
      </w:r>
      <w:proofErr w:type="spellStart"/>
      <w:r w:rsidRPr="00E672BD">
        <w:t>ethene</w:t>
      </w:r>
      <w:proofErr w:type="spellEnd"/>
      <w:r w:rsidRPr="00E672BD">
        <w:t xml:space="preserve"> (ethylene (C</w:t>
      </w:r>
      <w:r w:rsidRPr="00E672BD">
        <w:rPr>
          <w:color w:val="000000"/>
          <w:vertAlign w:val="subscript"/>
        </w:rPr>
        <w:t>2</w:t>
      </w:r>
      <w:r w:rsidRPr="00E672BD">
        <w:rPr>
          <w:color w:val="000000"/>
        </w:rPr>
        <w:t>H</w:t>
      </w:r>
      <w:r w:rsidRPr="00E672BD">
        <w:rPr>
          <w:color w:val="000000"/>
          <w:vertAlign w:val="subscript"/>
        </w:rPr>
        <w:t>4</w:t>
      </w:r>
      <w:r w:rsidRPr="00E672BD">
        <w:rPr>
          <w:color w:val="000000"/>
        </w:rPr>
        <w:t xml:space="preserve">)) to produce polyethylene with a standard density equal to or greater than 0.910 </w:t>
      </w:r>
      <w:r w:rsidRPr="00E672BD">
        <w:rPr>
          <w:bCs/>
        </w:rPr>
        <w:t>g/cm</w:t>
      </w:r>
      <w:r w:rsidRPr="00E672BD">
        <w:rPr>
          <w:bCs/>
          <w:vertAlign w:val="superscript"/>
        </w:rPr>
        <w:t>3</w:t>
      </w:r>
      <w:r w:rsidRPr="00E672BD">
        <w:t xml:space="preserve"> (the </w:t>
      </w:r>
      <w:r w:rsidRPr="00E672BD">
        <w:rPr>
          <w:b/>
          <w:i/>
        </w:rPr>
        <w:t>polyethylene production activity</w:t>
      </w:r>
      <w:r w:rsidRPr="00E672BD">
        <w:t>).</w:t>
      </w:r>
    </w:p>
    <w:p w:rsidR="00551733" w:rsidRPr="00E672BD" w:rsidRDefault="00551733" w:rsidP="00551733">
      <w:pPr>
        <w:pStyle w:val="tMain"/>
      </w:pPr>
      <w:r w:rsidRPr="00E672BD">
        <w:tab/>
        <w:t>(3)</w:t>
      </w:r>
      <w:r w:rsidRPr="00E672BD">
        <w:tab/>
        <w:t>The default emissions intensity is 0.13</w:t>
      </w:r>
      <w:r w:rsidR="00EB0823">
        <w:t>6</w:t>
      </w:r>
      <w:r w:rsidRPr="00E672BD">
        <w:t xml:space="preserve"> t CO</w:t>
      </w:r>
      <w:r w:rsidRPr="00E672BD">
        <w:rPr>
          <w:vertAlign w:val="subscript"/>
        </w:rPr>
        <w:t>2</w:t>
      </w:r>
      <w:r w:rsidRPr="00E672BD">
        <w:t>-e per tonne of pelletised polyethylene.</w:t>
      </w:r>
    </w:p>
    <w:p w:rsidR="00551733" w:rsidRPr="00E672BD" w:rsidRDefault="00551733" w:rsidP="00551733">
      <w:pPr>
        <w:pStyle w:val="tMain"/>
      </w:pPr>
      <w:r w:rsidRPr="00E672BD">
        <w:tab/>
        <w:t>(4)</w:t>
      </w:r>
      <w:r w:rsidRPr="00E672BD">
        <w:tab/>
        <w:t>In this section:</w:t>
      </w:r>
    </w:p>
    <w:p w:rsidR="00551733" w:rsidRPr="00E672BD" w:rsidRDefault="00551733" w:rsidP="00551733">
      <w:pPr>
        <w:pStyle w:val="tDefn"/>
      </w:pPr>
      <w:proofErr w:type="gramStart"/>
      <w:r w:rsidRPr="00E672BD">
        <w:rPr>
          <w:b/>
          <w:i/>
        </w:rPr>
        <w:t>standard</w:t>
      </w:r>
      <w:proofErr w:type="gramEnd"/>
      <w:r w:rsidRPr="00E672BD">
        <w:rPr>
          <w:b/>
          <w:i/>
        </w:rPr>
        <w:t xml:space="preserve"> density</w:t>
      </w:r>
      <w:r w:rsidRPr="00E672BD">
        <w:t>, for polyethylene, means the density of polyethylene moulded to a thickness of 1.9 mm using Procedure C of Annex A1 to ASTM D4703-16 (2016).</w:t>
      </w:r>
    </w:p>
    <w:p w:rsidR="00551733" w:rsidRPr="00E672BD" w:rsidRDefault="00551733" w:rsidP="00551733">
      <w:pPr>
        <w:pStyle w:val="nMain"/>
        <w:spacing w:line="276" w:lineRule="auto"/>
      </w:pPr>
      <w:r w:rsidRPr="00E672BD">
        <w:t>Note:</w:t>
      </w:r>
      <w:r w:rsidRPr="00E672BD">
        <w:tab/>
        <w:t>In 202</w:t>
      </w:r>
      <w:r w:rsidR="00EB0823">
        <w:t>1</w:t>
      </w:r>
      <w:r w:rsidRPr="00E672BD">
        <w:t>, the standard could be accessed from http://www.astm.org.</w:t>
      </w:r>
    </w:p>
    <w:p w:rsidR="00551733" w:rsidRDefault="00551733" w:rsidP="00551733">
      <w:pPr>
        <w:pStyle w:val="h2Part"/>
        <w:rPr>
          <w:rStyle w:val="CharDivText"/>
        </w:rPr>
      </w:pPr>
      <w:r>
        <w:rPr>
          <w:rStyle w:val="CharPartNo"/>
        </w:rPr>
        <w:t xml:space="preserve">Part </w:t>
      </w:r>
      <w:r w:rsidR="00EB0823">
        <w:rPr>
          <w:rStyle w:val="CharPartNo"/>
        </w:rPr>
        <w:t>43</w:t>
      </w:r>
      <w:r w:rsidRPr="00DD2453">
        <w:rPr>
          <w:rStyle w:val="CharPartNo"/>
        </w:rPr>
        <w:t>—</w:t>
      </w:r>
      <w:r w:rsidR="00EA1A13">
        <w:rPr>
          <w:rStyle w:val="CharPartText"/>
        </w:rPr>
        <w:t>Wheat based products</w:t>
      </w:r>
      <w:r w:rsidRPr="00DD2453">
        <w:rPr>
          <w:rStyle w:val="CharPartText"/>
        </w:rPr>
        <w:t xml:space="preserve"> </w:t>
      </w:r>
      <w:r w:rsidRPr="00DD2453">
        <w:rPr>
          <w:rStyle w:val="CharDivNo"/>
        </w:rPr>
        <w:t xml:space="preserve"> </w:t>
      </w:r>
      <w:r w:rsidRPr="00DD2453">
        <w:rPr>
          <w:rStyle w:val="CharDivText"/>
        </w:rPr>
        <w:t xml:space="preserve"> </w:t>
      </w:r>
    </w:p>
    <w:p w:rsidR="00EA1A13" w:rsidRPr="00E672BD" w:rsidRDefault="00DA2A61" w:rsidP="00EA1A13">
      <w:pPr>
        <w:pStyle w:val="h5Section"/>
      </w:pPr>
      <w:proofErr w:type="gramStart"/>
      <w:r>
        <w:t>88</w:t>
      </w:r>
      <w:r w:rsidR="00EA1A13" w:rsidRPr="00E672BD">
        <w:t xml:space="preserve">  </w:t>
      </w:r>
      <w:r w:rsidR="00EA1A13">
        <w:t>Wheat</w:t>
      </w:r>
      <w:proofErr w:type="gramEnd"/>
      <w:r w:rsidR="00EA1A13">
        <w:t xml:space="preserve"> protein products (dried gluten)</w:t>
      </w:r>
    </w:p>
    <w:p w:rsidR="00EA1A13" w:rsidRPr="000F7F48" w:rsidRDefault="00EA1A13" w:rsidP="00EA1A13">
      <w:pPr>
        <w:pStyle w:val="tMain"/>
      </w:pPr>
      <w:r>
        <w:tab/>
        <w:t>(1)</w:t>
      </w:r>
      <w:r>
        <w:tab/>
      </w:r>
      <w:r w:rsidRPr="000F7F48">
        <w:t>Tonnes of the following products</w:t>
      </w:r>
      <w:r>
        <w:t xml:space="preserve"> produced as part of carrying on the wheat protein p</w:t>
      </w:r>
      <w:r w:rsidRPr="008326E5">
        <w:t xml:space="preserve">roducts production activity </w:t>
      </w:r>
      <w:r>
        <w:t>at the facility</w:t>
      </w:r>
      <w:r w:rsidRPr="000F7F48">
        <w:t xml:space="preserve"> that meet the requirements of subsection (2):</w:t>
      </w:r>
    </w:p>
    <w:p w:rsidR="00EA1A13" w:rsidRPr="000F7F48" w:rsidRDefault="00EA1A13" w:rsidP="00EA1A13">
      <w:pPr>
        <w:pStyle w:val="tPara"/>
      </w:pPr>
      <w:bookmarkStart w:id="10" w:name="_Hlk61643903"/>
      <w:r>
        <w:tab/>
        <w:t>(a)</w:t>
      </w:r>
      <w:r>
        <w:tab/>
      </w:r>
      <w:proofErr w:type="gramStart"/>
      <w:r>
        <w:t>v</w:t>
      </w:r>
      <w:r w:rsidRPr="000F7F48">
        <w:t>ital</w:t>
      </w:r>
      <w:proofErr w:type="gramEnd"/>
      <w:r w:rsidRPr="000F7F48">
        <w:t xml:space="preserve"> </w:t>
      </w:r>
      <w:r>
        <w:t>w</w:t>
      </w:r>
      <w:r w:rsidRPr="000F7F48">
        <w:t xml:space="preserve">heat </w:t>
      </w:r>
      <w:r>
        <w:t>g</w:t>
      </w:r>
      <w:r w:rsidRPr="000F7F48">
        <w:t>luten</w:t>
      </w:r>
      <w:r w:rsidR="00F953F9">
        <w:t>;</w:t>
      </w:r>
    </w:p>
    <w:p w:rsidR="00EA1A13" w:rsidRPr="000F7F48" w:rsidRDefault="00EA1A13" w:rsidP="00EA1A13">
      <w:pPr>
        <w:pStyle w:val="tPara"/>
      </w:pPr>
      <w:r>
        <w:tab/>
        <w:t>(</w:t>
      </w:r>
      <w:proofErr w:type="gramStart"/>
      <w:r>
        <w:t>b</w:t>
      </w:r>
      <w:proofErr w:type="gramEnd"/>
      <w:r>
        <w:t>)</w:t>
      </w:r>
      <w:r>
        <w:tab/>
        <w:t>d</w:t>
      </w:r>
      <w:r w:rsidRPr="000F7F48">
        <w:t xml:space="preserve">evitalised </w:t>
      </w:r>
      <w:r>
        <w:t>w</w:t>
      </w:r>
      <w:r w:rsidRPr="000F7F48">
        <w:t xml:space="preserve">heat </w:t>
      </w:r>
      <w:r>
        <w:t>g</w:t>
      </w:r>
      <w:r w:rsidRPr="000F7F48">
        <w:t>luten</w:t>
      </w:r>
      <w:r w:rsidR="00F953F9">
        <w:t>;</w:t>
      </w:r>
    </w:p>
    <w:p w:rsidR="00EA1A13" w:rsidRPr="000F7F48" w:rsidRDefault="00EA1A13" w:rsidP="00EA1A13">
      <w:pPr>
        <w:pStyle w:val="tPara"/>
      </w:pPr>
      <w:r>
        <w:tab/>
        <w:t>(c)</w:t>
      </w:r>
      <w:r>
        <w:tab/>
      </w:r>
      <w:proofErr w:type="gramStart"/>
      <w:r>
        <w:t>s</w:t>
      </w:r>
      <w:r w:rsidRPr="000F7F48">
        <w:t>olubilised</w:t>
      </w:r>
      <w:proofErr w:type="gramEnd"/>
      <w:r w:rsidRPr="000F7F48">
        <w:t xml:space="preserve"> </w:t>
      </w:r>
      <w:r>
        <w:t>w</w:t>
      </w:r>
      <w:r w:rsidRPr="000F7F48">
        <w:t xml:space="preserve">heat </w:t>
      </w:r>
      <w:r>
        <w:t>p</w:t>
      </w:r>
      <w:r w:rsidRPr="000F7F48">
        <w:t>roteins</w:t>
      </w:r>
      <w:r w:rsidR="00F953F9">
        <w:t>.</w:t>
      </w:r>
    </w:p>
    <w:bookmarkEnd w:id="10"/>
    <w:p w:rsidR="00EA1A13" w:rsidRPr="000F7F48" w:rsidRDefault="00EA1A13" w:rsidP="00EA1A13">
      <w:pPr>
        <w:pStyle w:val="tMain"/>
      </w:pPr>
      <w:r>
        <w:tab/>
        <w:t>(2)</w:t>
      </w:r>
      <w:r>
        <w:tab/>
      </w:r>
      <w:r w:rsidRPr="000F7F48">
        <w:t>The requirements for products to be included in subsection (1) are that the products:</w:t>
      </w:r>
    </w:p>
    <w:p w:rsidR="00EA1A13" w:rsidRDefault="00EA1A13" w:rsidP="00EA1A13">
      <w:pPr>
        <w:pStyle w:val="tPara"/>
      </w:pPr>
      <w:r>
        <w:tab/>
        <w:t>(a)</w:t>
      </w:r>
      <w:r>
        <w:tab/>
      </w:r>
      <w:proofErr w:type="gramStart"/>
      <w:r>
        <w:t>d</w:t>
      </w:r>
      <w:r w:rsidRPr="000F7F48">
        <w:t>o</w:t>
      </w:r>
      <w:proofErr w:type="gramEnd"/>
      <w:r w:rsidRPr="000F7F48">
        <w:t xml:space="preserve"> not have a moisture content that exceeds 10% (</w:t>
      </w:r>
      <w:r>
        <w:t>as a gravimetric water content</w:t>
      </w:r>
      <w:r w:rsidRPr="000F7F48">
        <w:t>)</w:t>
      </w:r>
      <w:r>
        <w:t>; and</w:t>
      </w:r>
    </w:p>
    <w:p w:rsidR="00EA1A13" w:rsidRPr="000F7F48" w:rsidRDefault="00EA1A13" w:rsidP="00EA1A13">
      <w:pPr>
        <w:pStyle w:val="tPara"/>
      </w:pPr>
      <w:r>
        <w:tab/>
        <w:t>(b)</w:t>
      </w:r>
      <w:r>
        <w:tab/>
      </w:r>
      <w:proofErr w:type="gramStart"/>
      <w:r>
        <w:t>for</w:t>
      </w:r>
      <w:proofErr w:type="gramEnd"/>
      <w:r w:rsidRPr="000F7F48">
        <w:t xml:space="preserve"> </w:t>
      </w:r>
      <w:r>
        <w:t>v</w:t>
      </w:r>
      <w:r w:rsidRPr="000F7F48">
        <w:t xml:space="preserve">ital and </w:t>
      </w:r>
      <w:r>
        <w:t>d</w:t>
      </w:r>
      <w:r w:rsidRPr="000F7F48">
        <w:t xml:space="preserve">evitalised </w:t>
      </w:r>
      <w:r>
        <w:t>w</w:t>
      </w:r>
      <w:r w:rsidRPr="000F7F48">
        <w:t xml:space="preserve">heat </w:t>
      </w:r>
      <w:r>
        <w:t>g</w:t>
      </w:r>
      <w:r w:rsidRPr="000F7F48">
        <w:t>luten, have at least 80% crude protein</w:t>
      </w:r>
      <w:r>
        <w:t xml:space="preserve"> (on a dry solids basis, where nitrogen content is multiplied by 6.25); and</w:t>
      </w:r>
    </w:p>
    <w:p w:rsidR="00EA1A13" w:rsidRPr="000F7F48" w:rsidRDefault="00EA1A13" w:rsidP="00EA1A13">
      <w:pPr>
        <w:pStyle w:val="tPara"/>
      </w:pPr>
      <w:r>
        <w:tab/>
        <w:t>(c)</w:t>
      </w:r>
      <w:r>
        <w:tab/>
      </w:r>
      <w:proofErr w:type="gramStart"/>
      <w:r>
        <w:t>for</w:t>
      </w:r>
      <w:proofErr w:type="gramEnd"/>
      <w:r w:rsidRPr="000F7F48">
        <w:t xml:space="preserve"> </w:t>
      </w:r>
      <w:r>
        <w:t>s</w:t>
      </w:r>
      <w:r w:rsidRPr="000F7F48">
        <w:t xml:space="preserve">olubilised </w:t>
      </w:r>
      <w:r>
        <w:t>w</w:t>
      </w:r>
      <w:r w:rsidRPr="000F7F48">
        <w:t xml:space="preserve">heat </w:t>
      </w:r>
      <w:r>
        <w:t>p</w:t>
      </w:r>
      <w:r w:rsidRPr="000F7F48">
        <w:t xml:space="preserve">roteins, have at least 60% crude protein </w:t>
      </w:r>
      <w:r>
        <w:t>(on a dry solids basis, where nitrogen content is multiplied by 6.25); and</w:t>
      </w:r>
    </w:p>
    <w:p w:rsidR="00EA1A13" w:rsidRPr="000F7F48" w:rsidRDefault="00EA1A13" w:rsidP="00EA1A13">
      <w:pPr>
        <w:pStyle w:val="tPara"/>
      </w:pPr>
      <w:r>
        <w:tab/>
        <w:t>(d)</w:t>
      </w:r>
      <w:r>
        <w:tab/>
      </w:r>
      <w:proofErr w:type="gramStart"/>
      <w:r>
        <w:t>e</w:t>
      </w:r>
      <w:r w:rsidRPr="000F7F48">
        <w:t>xclude</w:t>
      </w:r>
      <w:proofErr w:type="gramEnd"/>
      <w:r w:rsidRPr="000F7F48">
        <w:t xml:space="preserve"> added vitamins, minerals, amino acids and optional ingredients on a dry weight basis</w:t>
      </w:r>
      <w:r>
        <w:t>; and</w:t>
      </w:r>
    </w:p>
    <w:p w:rsidR="00EA1A13" w:rsidRPr="000F7F48" w:rsidRDefault="00EA1A13" w:rsidP="00EA1A13">
      <w:pPr>
        <w:pStyle w:val="tPara"/>
      </w:pPr>
      <w:r>
        <w:tab/>
        <w:t>(e)</w:t>
      </w:r>
      <w:r>
        <w:tab/>
      </w:r>
      <w:proofErr w:type="gramStart"/>
      <w:r>
        <w:t>are</w:t>
      </w:r>
      <w:proofErr w:type="gramEnd"/>
      <w:r w:rsidRPr="000F7F48">
        <w:t xml:space="preserve"> of saleable quality.</w:t>
      </w:r>
    </w:p>
    <w:p w:rsidR="00EA1A13" w:rsidRPr="000F7F48" w:rsidRDefault="00EA1A13" w:rsidP="00EA1A13">
      <w:pPr>
        <w:pStyle w:val="tMain"/>
      </w:pPr>
      <w:r>
        <w:tab/>
        <w:t>(3)</w:t>
      </w:r>
      <w:r>
        <w:tab/>
      </w:r>
      <w:r w:rsidRPr="000F7F48">
        <w:t xml:space="preserve">The metric in subsection (1) is applicable to a facility that conducts the activity of </w:t>
      </w:r>
      <w:r>
        <w:t>producing w</w:t>
      </w:r>
      <w:r w:rsidRPr="000F7F48">
        <w:t xml:space="preserve">heat </w:t>
      </w:r>
      <w:r>
        <w:t>p</w:t>
      </w:r>
      <w:r w:rsidRPr="000F7F48">
        <w:t xml:space="preserve">rotein </w:t>
      </w:r>
      <w:r>
        <w:t>p</w:t>
      </w:r>
      <w:r w:rsidRPr="000F7F48">
        <w:t xml:space="preserve">roducts by </w:t>
      </w:r>
      <w:r>
        <w:t xml:space="preserve">the </w:t>
      </w:r>
      <w:r w:rsidRPr="000F7F48">
        <w:t xml:space="preserve">physical and chemical transformation of wheat into one </w:t>
      </w:r>
      <w:r>
        <w:t xml:space="preserve">or more </w:t>
      </w:r>
      <w:r w:rsidRPr="000F7F48">
        <w:t xml:space="preserve">of the products listed in subsection (1) that meet the </w:t>
      </w:r>
      <w:r>
        <w:t>requirements</w:t>
      </w:r>
      <w:r w:rsidRPr="000F7F48">
        <w:t xml:space="preserve"> in subsection (2).</w:t>
      </w:r>
    </w:p>
    <w:p w:rsidR="00EA1A13" w:rsidRDefault="00EA1A13" w:rsidP="00EA1A13">
      <w:pPr>
        <w:pStyle w:val="tMain"/>
      </w:pPr>
      <w:r>
        <w:tab/>
        <w:t>(4)</w:t>
      </w:r>
      <w:r>
        <w:tab/>
      </w:r>
      <w:r w:rsidRPr="000F7F48">
        <w:t xml:space="preserve">The activity in subsection (3) is the </w:t>
      </w:r>
      <w:r>
        <w:rPr>
          <w:b/>
          <w:i/>
        </w:rPr>
        <w:t>w</w:t>
      </w:r>
      <w:r w:rsidRPr="001B297D">
        <w:rPr>
          <w:b/>
          <w:i/>
        </w:rPr>
        <w:t xml:space="preserve">heat </w:t>
      </w:r>
      <w:r>
        <w:rPr>
          <w:b/>
          <w:i/>
        </w:rPr>
        <w:t>p</w:t>
      </w:r>
      <w:r w:rsidRPr="001B297D">
        <w:rPr>
          <w:b/>
          <w:i/>
        </w:rPr>
        <w:t xml:space="preserve">rotein </w:t>
      </w:r>
      <w:r>
        <w:rPr>
          <w:b/>
          <w:i/>
        </w:rPr>
        <w:t>p</w:t>
      </w:r>
      <w:r w:rsidRPr="001B297D">
        <w:rPr>
          <w:b/>
          <w:i/>
        </w:rPr>
        <w:t>roducts production activity</w:t>
      </w:r>
      <w:r w:rsidRPr="000F7F48">
        <w:t>.</w:t>
      </w:r>
    </w:p>
    <w:p w:rsidR="00EA1A13" w:rsidRDefault="00DA2A61" w:rsidP="00EA1A13">
      <w:pPr>
        <w:pStyle w:val="h5Section"/>
      </w:pPr>
      <w:proofErr w:type="gramStart"/>
      <w:r>
        <w:t>89</w:t>
      </w:r>
      <w:r w:rsidR="00EA1A13" w:rsidRPr="00E672BD">
        <w:t xml:space="preserve">  </w:t>
      </w:r>
      <w:r w:rsidR="00EA1A13">
        <w:t>Dried</w:t>
      </w:r>
      <w:proofErr w:type="gramEnd"/>
      <w:r w:rsidR="00EA1A13">
        <w:t xml:space="preserve"> wheat starch</w:t>
      </w:r>
    </w:p>
    <w:p w:rsidR="00EA1A13" w:rsidRPr="000F7F48" w:rsidRDefault="00EA1A13" w:rsidP="00EA1A13">
      <w:pPr>
        <w:pStyle w:val="tMain"/>
      </w:pPr>
      <w:r>
        <w:tab/>
        <w:t>(1)</w:t>
      </w:r>
      <w:r>
        <w:tab/>
      </w:r>
      <w:r w:rsidRPr="000F7F48">
        <w:t>Tonnes of the following products</w:t>
      </w:r>
      <w:r>
        <w:t xml:space="preserve"> </w:t>
      </w:r>
      <w:r w:rsidRPr="00444B60">
        <w:t xml:space="preserve">produced as part of carrying on the </w:t>
      </w:r>
      <w:r>
        <w:t>dried wheat starch</w:t>
      </w:r>
      <w:r w:rsidRPr="00444B60">
        <w:t xml:space="preserve"> production activity at the facility</w:t>
      </w:r>
      <w:r w:rsidRPr="000F7F48">
        <w:t xml:space="preserve"> that meet the requirements of subsection (2):</w:t>
      </w:r>
    </w:p>
    <w:p w:rsidR="00EA1A13" w:rsidRPr="000F7F48" w:rsidRDefault="00EA1A13" w:rsidP="00EA1A13">
      <w:pPr>
        <w:pStyle w:val="tPara"/>
      </w:pPr>
      <w:r>
        <w:tab/>
        <w:t>(a)</w:t>
      </w:r>
      <w:r>
        <w:tab/>
      </w:r>
      <w:proofErr w:type="gramStart"/>
      <w:r>
        <w:t>d</w:t>
      </w:r>
      <w:r w:rsidRPr="000F7F48">
        <w:t>ried</w:t>
      </w:r>
      <w:proofErr w:type="gramEnd"/>
      <w:r w:rsidRPr="000F7F48">
        <w:t xml:space="preserve"> </w:t>
      </w:r>
      <w:r>
        <w:t>w</w:t>
      </w:r>
      <w:r w:rsidRPr="000F7F48">
        <w:t xml:space="preserve">heat </w:t>
      </w:r>
      <w:r>
        <w:t>s</w:t>
      </w:r>
      <w:r w:rsidRPr="000F7F48">
        <w:t>tarch</w:t>
      </w:r>
      <w:r>
        <w:t xml:space="preserve">; </w:t>
      </w:r>
    </w:p>
    <w:p w:rsidR="00EA1A13" w:rsidRPr="000F7F48" w:rsidRDefault="00EA1A13" w:rsidP="00EA1A13">
      <w:pPr>
        <w:pStyle w:val="tPara"/>
      </w:pPr>
      <w:r>
        <w:tab/>
        <w:t>(b)</w:t>
      </w:r>
      <w:r>
        <w:tab/>
      </w:r>
      <w:proofErr w:type="gramStart"/>
      <w:r>
        <w:t>m</w:t>
      </w:r>
      <w:r w:rsidRPr="000F7F48">
        <w:t>odified</w:t>
      </w:r>
      <w:proofErr w:type="gramEnd"/>
      <w:r w:rsidRPr="000F7F48">
        <w:t xml:space="preserve"> and </w:t>
      </w:r>
      <w:r>
        <w:t>r</w:t>
      </w:r>
      <w:r w:rsidRPr="000F7F48">
        <w:t xml:space="preserve">esistant </w:t>
      </w:r>
      <w:r>
        <w:t>s</w:t>
      </w:r>
      <w:r w:rsidRPr="000F7F48">
        <w:t>tarches</w:t>
      </w:r>
      <w:r>
        <w:t>.</w:t>
      </w:r>
    </w:p>
    <w:p w:rsidR="00EA1A13" w:rsidRPr="000F7F48" w:rsidRDefault="00EA1A13" w:rsidP="00EA1A13">
      <w:pPr>
        <w:pStyle w:val="tMain"/>
      </w:pPr>
      <w:r>
        <w:tab/>
        <w:t>(2)</w:t>
      </w:r>
      <w:r>
        <w:tab/>
      </w:r>
      <w:r w:rsidRPr="000F7F48">
        <w:t>The requirements for products to be included in subsection (1) are that the products:</w:t>
      </w:r>
    </w:p>
    <w:p w:rsidR="00EA1A13" w:rsidRPr="000F7F48" w:rsidRDefault="00EA1A13" w:rsidP="00EA1A13">
      <w:pPr>
        <w:pStyle w:val="tPara"/>
      </w:pPr>
      <w:r>
        <w:tab/>
        <w:t>(a)</w:t>
      </w:r>
      <w:r>
        <w:tab/>
      </w:r>
      <w:proofErr w:type="gramStart"/>
      <w:r>
        <w:t>h</w:t>
      </w:r>
      <w:r w:rsidRPr="000F7F48">
        <w:t>ave</w:t>
      </w:r>
      <w:proofErr w:type="gramEnd"/>
      <w:r w:rsidRPr="000F7F48">
        <w:t xml:space="preserve"> a moisture content of no more than 13% </w:t>
      </w:r>
      <w:r>
        <w:t xml:space="preserve"> </w:t>
      </w:r>
      <w:r w:rsidRPr="000F7F48">
        <w:t>(</w:t>
      </w:r>
      <w:r>
        <w:t>as a gravimetric water content</w:t>
      </w:r>
      <w:r w:rsidRPr="000F7F48">
        <w:t>)</w:t>
      </w:r>
      <w:r>
        <w:t>; and</w:t>
      </w:r>
    </w:p>
    <w:p w:rsidR="00EA1A13" w:rsidRPr="000F7F48" w:rsidRDefault="00EA1A13" w:rsidP="00EA1A13">
      <w:pPr>
        <w:pStyle w:val="tPara"/>
      </w:pPr>
      <w:r>
        <w:tab/>
        <w:t>(b)</w:t>
      </w:r>
      <w:r>
        <w:tab/>
      </w:r>
      <w:proofErr w:type="gramStart"/>
      <w:r>
        <w:t>h</w:t>
      </w:r>
      <w:r w:rsidRPr="000F7F48">
        <w:t>ave</w:t>
      </w:r>
      <w:proofErr w:type="gramEnd"/>
      <w:r w:rsidRPr="000F7F48">
        <w:t xml:space="preserve"> a protein content of no more than 0.35%</w:t>
      </w:r>
      <w:r>
        <w:t xml:space="preserve"> (on a dry solids basis, where nitrogen content is multiplied by 5.7); and</w:t>
      </w:r>
    </w:p>
    <w:p w:rsidR="00EA1A13" w:rsidRPr="00EA1A13" w:rsidRDefault="00EA1A13" w:rsidP="00EA1A13">
      <w:pPr>
        <w:pStyle w:val="tPara"/>
      </w:pPr>
      <w:r>
        <w:lastRenderedPageBreak/>
        <w:tab/>
        <w:t>(c)</w:t>
      </w:r>
      <w:r>
        <w:tab/>
        <w:t>for</w:t>
      </w:r>
      <w:r w:rsidRPr="000F7F48">
        <w:t xml:space="preserve"> </w:t>
      </w:r>
      <w:r>
        <w:t>unmodified d</w:t>
      </w:r>
      <w:r w:rsidRPr="000F7F48">
        <w:t xml:space="preserve">ried </w:t>
      </w:r>
      <w:r>
        <w:t>w</w:t>
      </w:r>
      <w:r w:rsidRPr="000F7F48">
        <w:t xml:space="preserve">heat </w:t>
      </w:r>
      <w:r>
        <w:t>s</w:t>
      </w:r>
      <w:r w:rsidRPr="000F7F48">
        <w:t>tarch</w:t>
      </w:r>
      <w:r>
        <w:t xml:space="preserve"> covered by paragraph (1)(a),</w:t>
      </w:r>
      <w:r w:rsidRPr="000F7F48">
        <w:t xml:space="preserve"> have a </w:t>
      </w:r>
      <w:proofErr w:type="spellStart"/>
      <w:r w:rsidRPr="000F7F48">
        <w:t>Brabender</w:t>
      </w:r>
      <w:proofErr w:type="spellEnd"/>
      <w:r w:rsidRPr="000F7F48">
        <w:t xml:space="preserve"> </w:t>
      </w:r>
      <w:r>
        <w:t>p</w:t>
      </w:r>
      <w:r w:rsidRPr="000F7F48">
        <w:t xml:space="preserve">eak </w:t>
      </w:r>
      <w:r>
        <w:t>v</w:t>
      </w:r>
      <w:r w:rsidRPr="000F7F48">
        <w:t>iscosity of no less than 500</w:t>
      </w:r>
      <w:r w:rsidRPr="00EA1A13">
        <w:t xml:space="preserve"> </w:t>
      </w:r>
      <w:proofErr w:type="spellStart"/>
      <w:r w:rsidRPr="00EA1A13">
        <w:t>Brabender</w:t>
      </w:r>
      <w:proofErr w:type="spellEnd"/>
      <w:r w:rsidRPr="00EA1A13">
        <w:t xml:space="preserve"> units at 8% solids (on a dry solids basis) when measured in accordance with standard industry practices; and</w:t>
      </w:r>
    </w:p>
    <w:p w:rsidR="00EA1A13" w:rsidRPr="000F7F48" w:rsidRDefault="00EA1A13" w:rsidP="00EA1A13">
      <w:pPr>
        <w:pStyle w:val="tPara"/>
      </w:pPr>
      <w:r>
        <w:tab/>
        <w:t>(d)</w:t>
      </w:r>
      <w:r>
        <w:tab/>
      </w:r>
      <w:proofErr w:type="gramStart"/>
      <w:r>
        <w:t>a</w:t>
      </w:r>
      <w:r w:rsidRPr="000F7F48">
        <w:t>re</w:t>
      </w:r>
      <w:proofErr w:type="gramEnd"/>
      <w:r w:rsidRPr="000F7F48">
        <w:t xml:space="preserve"> of saleable quality.</w:t>
      </w:r>
    </w:p>
    <w:p w:rsidR="00EA1A13" w:rsidRPr="000F7F48" w:rsidRDefault="00EA1A13" w:rsidP="00EA1A13">
      <w:pPr>
        <w:pStyle w:val="tMain"/>
      </w:pPr>
      <w:r>
        <w:tab/>
        <w:t>(3)</w:t>
      </w:r>
      <w:r>
        <w:tab/>
      </w:r>
      <w:r w:rsidRPr="000F7F48">
        <w:t>The metric in subsection (1) is applicable to a facility that conducts the activity of</w:t>
      </w:r>
      <w:r>
        <w:t xml:space="preserve"> producing</w:t>
      </w:r>
      <w:r w:rsidRPr="000F7F48">
        <w:t xml:space="preserve"> </w:t>
      </w:r>
      <w:r>
        <w:t>d</w:t>
      </w:r>
      <w:r w:rsidRPr="000F7F48">
        <w:t xml:space="preserve">ried </w:t>
      </w:r>
      <w:r>
        <w:t>w</w:t>
      </w:r>
      <w:r w:rsidRPr="000F7F48">
        <w:t xml:space="preserve">heat </w:t>
      </w:r>
      <w:r>
        <w:t>s</w:t>
      </w:r>
      <w:r w:rsidRPr="000F7F48">
        <w:t xml:space="preserve">tarch through the removal of non-starch fractions of the wheat flour by physical and chemical transformation of wheat into one of the products listed in subsection (1) that meet the </w:t>
      </w:r>
      <w:r>
        <w:t>requirements</w:t>
      </w:r>
      <w:r w:rsidRPr="000F7F48">
        <w:t xml:space="preserve"> in subsection (2)</w:t>
      </w:r>
      <w:r>
        <w:t>.</w:t>
      </w:r>
    </w:p>
    <w:p w:rsidR="00EA1A13" w:rsidRDefault="00EA1A13" w:rsidP="00EA1A13">
      <w:pPr>
        <w:pStyle w:val="tMain"/>
      </w:pPr>
      <w:r>
        <w:tab/>
        <w:t>(4)</w:t>
      </w:r>
      <w:r>
        <w:tab/>
      </w:r>
      <w:r w:rsidRPr="000F7F48">
        <w:t xml:space="preserve">The activity in subsection (3) is the </w:t>
      </w:r>
      <w:r>
        <w:rPr>
          <w:b/>
          <w:i/>
        </w:rPr>
        <w:t>d</w:t>
      </w:r>
      <w:r w:rsidRPr="001B297D">
        <w:rPr>
          <w:b/>
          <w:i/>
        </w:rPr>
        <w:t xml:space="preserve">ried </w:t>
      </w:r>
      <w:r>
        <w:rPr>
          <w:b/>
          <w:i/>
        </w:rPr>
        <w:t>w</w:t>
      </w:r>
      <w:r w:rsidRPr="001B297D">
        <w:rPr>
          <w:b/>
          <w:i/>
        </w:rPr>
        <w:t xml:space="preserve">heat </w:t>
      </w:r>
      <w:r>
        <w:rPr>
          <w:b/>
          <w:i/>
        </w:rPr>
        <w:t>s</w:t>
      </w:r>
      <w:r w:rsidRPr="001B297D">
        <w:rPr>
          <w:b/>
          <w:i/>
        </w:rPr>
        <w:t>tarch production</w:t>
      </w:r>
      <w:r>
        <w:rPr>
          <w:b/>
          <w:i/>
        </w:rPr>
        <w:t xml:space="preserve"> activity</w:t>
      </w:r>
      <w:r w:rsidRPr="000F7F48">
        <w:t>.</w:t>
      </w:r>
    </w:p>
    <w:p w:rsidR="00EA1A13" w:rsidRDefault="00DA2A61" w:rsidP="00DA2A61">
      <w:pPr>
        <w:pStyle w:val="h5Section"/>
      </w:pPr>
      <w:proofErr w:type="gramStart"/>
      <w:r>
        <w:t>90</w:t>
      </w:r>
      <w:r w:rsidR="00EA1A13" w:rsidRPr="00E672BD">
        <w:t xml:space="preserve">  </w:t>
      </w:r>
      <w:r w:rsidR="00EA1A13">
        <w:t>Wheat</w:t>
      </w:r>
      <w:proofErr w:type="gramEnd"/>
      <w:r w:rsidR="00EA1A13">
        <w:t xml:space="preserve"> based glucose</w:t>
      </w:r>
    </w:p>
    <w:p w:rsidR="00EA1A13" w:rsidRPr="000F7F48" w:rsidRDefault="00DA2A61" w:rsidP="00DA2A61">
      <w:pPr>
        <w:pStyle w:val="tMain"/>
      </w:pPr>
      <w:r>
        <w:tab/>
        <w:t>(1)</w:t>
      </w:r>
      <w:r>
        <w:tab/>
      </w:r>
      <w:r w:rsidR="00EA1A13" w:rsidRPr="000F7F48">
        <w:t xml:space="preserve">Tonnes of the following products produced </w:t>
      </w:r>
      <w:r w:rsidR="00EA1A13" w:rsidRPr="00444B60">
        <w:t xml:space="preserve">as part of carrying on the </w:t>
      </w:r>
      <w:r w:rsidR="00EA1A13">
        <w:t>wheat based glucose</w:t>
      </w:r>
      <w:r w:rsidR="00EA1A13" w:rsidRPr="00444B60">
        <w:t xml:space="preserve"> production activity at the facility</w:t>
      </w:r>
      <w:r w:rsidR="00EA1A13" w:rsidRPr="000F7F48">
        <w:t xml:space="preserve"> that meet the requirements of subsection (2):</w:t>
      </w:r>
    </w:p>
    <w:p w:rsidR="00EA1A13" w:rsidRPr="000F7F48" w:rsidRDefault="00DA2A61" w:rsidP="00DA2A61">
      <w:pPr>
        <w:pStyle w:val="tPara"/>
      </w:pPr>
      <w:r>
        <w:tab/>
        <w:t>(a)</w:t>
      </w:r>
      <w:r>
        <w:tab/>
      </w:r>
      <w:proofErr w:type="gramStart"/>
      <w:r w:rsidR="00EA1A13">
        <w:t>w</w:t>
      </w:r>
      <w:r w:rsidR="00EA1A13" w:rsidRPr="000F7F48">
        <w:t>heat</w:t>
      </w:r>
      <w:proofErr w:type="gramEnd"/>
      <w:r w:rsidR="00EA1A13" w:rsidRPr="000F7F48">
        <w:t xml:space="preserve"> </w:t>
      </w:r>
      <w:r w:rsidR="00EA1A13">
        <w:t>b</w:t>
      </w:r>
      <w:r w:rsidR="00EA1A13" w:rsidRPr="000F7F48">
        <w:t xml:space="preserve">ased </w:t>
      </w:r>
      <w:r w:rsidR="00EA1A13">
        <w:t>g</w:t>
      </w:r>
      <w:r w:rsidR="00EA1A13" w:rsidRPr="000F7F48">
        <w:t>lucose syrup</w:t>
      </w:r>
      <w:r w:rsidR="00EA1A13">
        <w:t>;</w:t>
      </w:r>
    </w:p>
    <w:p w:rsidR="00EA1A13" w:rsidRPr="000F7F48" w:rsidRDefault="00DA2A61" w:rsidP="00DA2A61">
      <w:pPr>
        <w:pStyle w:val="tPara"/>
      </w:pPr>
      <w:r>
        <w:tab/>
        <w:t>(b)</w:t>
      </w:r>
      <w:r>
        <w:tab/>
      </w:r>
      <w:proofErr w:type="gramStart"/>
      <w:r w:rsidR="00EA1A13">
        <w:t>m</w:t>
      </w:r>
      <w:r w:rsidR="00EA1A13" w:rsidRPr="000F7F48">
        <w:t>altodextrin</w:t>
      </w:r>
      <w:proofErr w:type="gramEnd"/>
      <w:r w:rsidR="00EA1A13">
        <w:t>.</w:t>
      </w:r>
    </w:p>
    <w:p w:rsidR="00EA1A13" w:rsidRDefault="00DA2A61" w:rsidP="00DA2A61">
      <w:pPr>
        <w:pStyle w:val="tMain"/>
      </w:pPr>
      <w:r>
        <w:tab/>
        <w:t>(2)</w:t>
      </w:r>
      <w:r>
        <w:tab/>
      </w:r>
      <w:r w:rsidR="00EA1A13" w:rsidRPr="000F7F48">
        <w:t>The requirements for products to be included in subsection (1) are that the products:</w:t>
      </w:r>
    </w:p>
    <w:p w:rsidR="00EA1A13" w:rsidRPr="000F7F48" w:rsidRDefault="00DA2A61" w:rsidP="00DA2A61">
      <w:pPr>
        <w:pStyle w:val="tPara"/>
      </w:pPr>
      <w:r>
        <w:tab/>
        <w:t>(a)</w:t>
      </w:r>
      <w:r>
        <w:tab/>
      </w:r>
      <w:proofErr w:type="gramStart"/>
      <w:r w:rsidR="00EA1A13">
        <w:t>for</w:t>
      </w:r>
      <w:proofErr w:type="gramEnd"/>
      <w:r w:rsidR="00EA1A13" w:rsidRPr="000F7F48">
        <w:t xml:space="preserve"> </w:t>
      </w:r>
      <w:r w:rsidR="00EA1A13">
        <w:t>w</w:t>
      </w:r>
      <w:r w:rsidR="00EA1A13" w:rsidRPr="000F7F48">
        <w:t xml:space="preserve">heat </w:t>
      </w:r>
      <w:r w:rsidR="00EA1A13">
        <w:t>b</w:t>
      </w:r>
      <w:r w:rsidR="00EA1A13" w:rsidRPr="000F7F48">
        <w:t xml:space="preserve">ased </w:t>
      </w:r>
      <w:r w:rsidR="00EA1A13">
        <w:t>g</w:t>
      </w:r>
      <w:r w:rsidR="00EA1A13" w:rsidRPr="000F7F48">
        <w:t>lucose syrup</w:t>
      </w:r>
      <w:r w:rsidR="00EA1A13">
        <w:t>,</w:t>
      </w:r>
      <w:r w:rsidR="00EA1A13" w:rsidRPr="000F7F48">
        <w:t xml:space="preserve"> is produced from wheat to a total solids </w:t>
      </w:r>
      <w:r w:rsidR="00EA1A13">
        <w:t>percentage</w:t>
      </w:r>
      <w:r w:rsidR="00EA1A13" w:rsidRPr="000F7F48">
        <w:t xml:space="preserve"> of between </w:t>
      </w:r>
      <w:r w:rsidR="00EA1A13">
        <w:t>67%</w:t>
      </w:r>
      <w:r w:rsidR="00EA1A13" w:rsidRPr="000F7F48">
        <w:t xml:space="preserve"> to 84%</w:t>
      </w:r>
      <w:r w:rsidR="00EA1A13">
        <w:t>; and</w:t>
      </w:r>
    </w:p>
    <w:p w:rsidR="00EA1A13" w:rsidRPr="000F7F48" w:rsidRDefault="00DA2A61" w:rsidP="00DA2A61">
      <w:pPr>
        <w:pStyle w:val="tPara"/>
      </w:pPr>
      <w:r>
        <w:tab/>
        <w:t>(b)</w:t>
      </w:r>
      <w:r>
        <w:tab/>
      </w:r>
      <w:proofErr w:type="gramStart"/>
      <w:r w:rsidR="00EA1A13">
        <w:t>for</w:t>
      </w:r>
      <w:proofErr w:type="gramEnd"/>
      <w:r w:rsidR="00EA1A13" w:rsidRPr="000F7F48">
        <w:t xml:space="preserve"> </w:t>
      </w:r>
      <w:r w:rsidR="00EA1A13">
        <w:t>w</w:t>
      </w:r>
      <w:r w:rsidR="00EA1A13" w:rsidRPr="000F7F48">
        <w:t xml:space="preserve">heat </w:t>
      </w:r>
      <w:r w:rsidR="00EA1A13">
        <w:t>b</w:t>
      </w:r>
      <w:r w:rsidR="00EA1A13" w:rsidRPr="000F7F48">
        <w:t xml:space="preserve">ased </w:t>
      </w:r>
      <w:r w:rsidR="00EA1A13">
        <w:t>g</w:t>
      </w:r>
      <w:r w:rsidR="00EA1A13" w:rsidRPr="000F7F48">
        <w:t xml:space="preserve">lucose </w:t>
      </w:r>
      <w:r w:rsidR="00EA1A13">
        <w:t>s</w:t>
      </w:r>
      <w:r w:rsidR="00EA1A13" w:rsidRPr="000F7F48">
        <w:t>yrup</w:t>
      </w:r>
      <w:r w:rsidR="00EA1A13">
        <w:t>,</w:t>
      </w:r>
      <w:r w:rsidR="00EA1A13" w:rsidRPr="000F7F48">
        <w:t xml:space="preserve"> has a dextrose equivalent content of not less than </w:t>
      </w:r>
      <w:r w:rsidR="00EA1A13">
        <w:t>20% (expressed as D-glucose on a dry weight basis); and</w:t>
      </w:r>
    </w:p>
    <w:p w:rsidR="00EA1A13" w:rsidRDefault="00DA2A61" w:rsidP="00DA2A61">
      <w:pPr>
        <w:pStyle w:val="tPara"/>
      </w:pPr>
      <w:r>
        <w:tab/>
        <w:t>(c)</w:t>
      </w:r>
      <w:r>
        <w:tab/>
      </w:r>
      <w:proofErr w:type="gramStart"/>
      <w:r w:rsidR="00833E0A">
        <w:t>for</w:t>
      </w:r>
      <w:proofErr w:type="gramEnd"/>
      <w:r w:rsidR="00833E0A">
        <w:t xml:space="preserve"> m</w:t>
      </w:r>
      <w:r w:rsidR="00EA1A13">
        <w:t xml:space="preserve">altodextrin: </w:t>
      </w:r>
    </w:p>
    <w:p w:rsidR="00EA1A13" w:rsidRPr="000F7F48" w:rsidRDefault="00DA2A61" w:rsidP="00DA2A61">
      <w:pPr>
        <w:pStyle w:val="tSubpara"/>
      </w:pPr>
      <w:r>
        <w:tab/>
        <w:t>(</w:t>
      </w:r>
      <w:proofErr w:type="spellStart"/>
      <w:r>
        <w:t>i</w:t>
      </w:r>
      <w:proofErr w:type="spellEnd"/>
      <w:r>
        <w:t>)</w:t>
      </w:r>
      <w:r>
        <w:tab/>
      </w:r>
      <w:proofErr w:type="gramStart"/>
      <w:r w:rsidR="00EA1A13">
        <w:t>may</w:t>
      </w:r>
      <w:proofErr w:type="gramEnd"/>
      <w:r w:rsidR="00EA1A13">
        <w:t xml:space="preserve"> be dried to a moisture content that does not exceed 10% </w:t>
      </w:r>
      <w:r w:rsidR="00EA1A13" w:rsidRPr="000F7F48">
        <w:t>(</w:t>
      </w:r>
      <w:r w:rsidR="00EA1A13">
        <w:t>as a gravimetric water content</w:t>
      </w:r>
      <w:r w:rsidR="00EA1A13" w:rsidRPr="000F7F48">
        <w:t>)</w:t>
      </w:r>
      <w:r w:rsidR="00EA1A13">
        <w:t>; and</w:t>
      </w:r>
    </w:p>
    <w:p w:rsidR="00EA1A13" w:rsidRPr="000F7F48" w:rsidRDefault="00DA2A61" w:rsidP="00DA2A61">
      <w:pPr>
        <w:pStyle w:val="tSubpara"/>
      </w:pPr>
      <w:r>
        <w:tab/>
        <w:t>(ii)</w:t>
      </w:r>
      <w:r>
        <w:tab/>
      </w:r>
      <w:proofErr w:type="gramStart"/>
      <w:r w:rsidR="00EA1A13" w:rsidRPr="000F7F48">
        <w:t>has</w:t>
      </w:r>
      <w:proofErr w:type="gramEnd"/>
      <w:r w:rsidR="00EA1A13" w:rsidRPr="000F7F48">
        <w:t xml:space="preserve"> a dextrose equivalent content of between 10% and </w:t>
      </w:r>
      <w:r w:rsidR="00EA1A13">
        <w:t>20% (expressed as D-glucose on a dry weight basis); and</w:t>
      </w:r>
    </w:p>
    <w:p w:rsidR="00EA1A13" w:rsidRPr="000F7F48" w:rsidRDefault="00DA2A61" w:rsidP="00DA2A61">
      <w:pPr>
        <w:pStyle w:val="tPara"/>
      </w:pPr>
      <w:r>
        <w:tab/>
        <w:t>(d)</w:t>
      </w:r>
      <w:r>
        <w:tab/>
      </w:r>
      <w:proofErr w:type="gramStart"/>
      <w:r w:rsidR="00EA1A13">
        <w:t>a</w:t>
      </w:r>
      <w:r w:rsidR="00EA1A13" w:rsidRPr="000F7F48">
        <w:t>re</w:t>
      </w:r>
      <w:proofErr w:type="gramEnd"/>
      <w:r w:rsidR="00EA1A13" w:rsidRPr="000F7F48">
        <w:t xml:space="preserve"> of saleable quality.</w:t>
      </w:r>
    </w:p>
    <w:p w:rsidR="00EA1A13" w:rsidRPr="000F7F48" w:rsidRDefault="00DA2A61" w:rsidP="00DA2A61">
      <w:pPr>
        <w:pStyle w:val="tMain"/>
      </w:pPr>
      <w:r>
        <w:tab/>
        <w:t>(3)</w:t>
      </w:r>
      <w:r>
        <w:tab/>
      </w:r>
      <w:r w:rsidR="00EA1A13" w:rsidRPr="000F7F48">
        <w:t>The metric in subsection (1) is applicable to a facility that conducts the activity of</w:t>
      </w:r>
      <w:r w:rsidR="00EA1A13">
        <w:t xml:space="preserve"> producing</w:t>
      </w:r>
      <w:r w:rsidR="00EA1A13" w:rsidRPr="000F7F48">
        <w:t xml:space="preserve"> </w:t>
      </w:r>
      <w:r w:rsidR="00EA1A13">
        <w:t>w</w:t>
      </w:r>
      <w:r w:rsidR="00EA1A13" w:rsidRPr="000F7F48">
        <w:t xml:space="preserve">heat </w:t>
      </w:r>
      <w:r w:rsidR="00EA1A13">
        <w:t>b</w:t>
      </w:r>
      <w:r w:rsidR="00EA1A13" w:rsidRPr="000F7F48">
        <w:t xml:space="preserve">ased </w:t>
      </w:r>
      <w:r w:rsidR="00EA1A13">
        <w:t>g</w:t>
      </w:r>
      <w:r w:rsidR="00EA1A13" w:rsidRPr="000F7F48">
        <w:t xml:space="preserve">lucose through the physical and chemical transformation of wheat starch into one of the products listed in subsection (1) that meet the </w:t>
      </w:r>
      <w:r w:rsidR="00EA1A13">
        <w:t>requirements</w:t>
      </w:r>
      <w:r w:rsidR="00EA1A13" w:rsidRPr="000F7F48">
        <w:t xml:space="preserve"> in subsection (2). </w:t>
      </w:r>
    </w:p>
    <w:p w:rsidR="00EA1A13" w:rsidRDefault="00DA2A61" w:rsidP="00DA2A61">
      <w:pPr>
        <w:pStyle w:val="tMain"/>
      </w:pPr>
      <w:r>
        <w:tab/>
        <w:t>(4)</w:t>
      </w:r>
      <w:r>
        <w:tab/>
      </w:r>
      <w:r w:rsidR="00EA1A13" w:rsidRPr="000F7F48">
        <w:t xml:space="preserve">The activity in subsection (2) is the </w:t>
      </w:r>
      <w:r w:rsidR="00EA1A13">
        <w:rPr>
          <w:b/>
          <w:i/>
        </w:rPr>
        <w:t>w</w:t>
      </w:r>
      <w:r w:rsidR="00EA1A13" w:rsidRPr="001B297D">
        <w:rPr>
          <w:b/>
          <w:i/>
        </w:rPr>
        <w:t xml:space="preserve">heat </w:t>
      </w:r>
      <w:r w:rsidR="00EA1A13">
        <w:rPr>
          <w:b/>
          <w:i/>
        </w:rPr>
        <w:t>b</w:t>
      </w:r>
      <w:r w:rsidR="00EA1A13" w:rsidRPr="001B297D">
        <w:rPr>
          <w:b/>
          <w:i/>
        </w:rPr>
        <w:t xml:space="preserve">ased </w:t>
      </w:r>
      <w:r w:rsidR="00EA1A13">
        <w:rPr>
          <w:b/>
          <w:i/>
        </w:rPr>
        <w:t>g</w:t>
      </w:r>
      <w:r w:rsidR="00EA1A13" w:rsidRPr="001B297D">
        <w:rPr>
          <w:b/>
          <w:i/>
        </w:rPr>
        <w:t>lucose production</w:t>
      </w:r>
      <w:r w:rsidR="00EA1A13">
        <w:rPr>
          <w:b/>
          <w:i/>
        </w:rPr>
        <w:t xml:space="preserve"> activity</w:t>
      </w:r>
      <w:r w:rsidR="00EA1A13" w:rsidRPr="000F7F48">
        <w:t>.</w:t>
      </w:r>
    </w:p>
    <w:p w:rsidR="00DA2A61" w:rsidRDefault="00DA2A61" w:rsidP="00DA2A61">
      <w:pPr>
        <w:pStyle w:val="h5Section"/>
      </w:pPr>
      <w:proofErr w:type="gramStart"/>
      <w:r>
        <w:t>91</w:t>
      </w:r>
      <w:r w:rsidRPr="00E672BD">
        <w:t xml:space="preserve">  </w:t>
      </w:r>
      <w:r>
        <w:t>Wheat</w:t>
      </w:r>
      <w:proofErr w:type="gramEnd"/>
      <w:r>
        <w:t xml:space="preserve"> based dried distillers grain</w:t>
      </w:r>
    </w:p>
    <w:p w:rsidR="00EA1A13" w:rsidRPr="000F7F48" w:rsidRDefault="00DA2A61" w:rsidP="00DA2A61">
      <w:pPr>
        <w:pStyle w:val="tMain"/>
      </w:pPr>
      <w:r>
        <w:tab/>
        <w:t>(1)</w:t>
      </w:r>
      <w:r>
        <w:tab/>
      </w:r>
      <w:r w:rsidR="00EA1A13" w:rsidRPr="000F7F48">
        <w:t xml:space="preserve">Tonnes of </w:t>
      </w:r>
      <w:r w:rsidR="00EA1A13">
        <w:t>w</w:t>
      </w:r>
      <w:r w:rsidR="00EA1A13" w:rsidRPr="000F7F48">
        <w:t xml:space="preserve">heat </w:t>
      </w:r>
      <w:r w:rsidR="00EA1A13">
        <w:t>b</w:t>
      </w:r>
      <w:r w:rsidR="00EA1A13" w:rsidRPr="000F7F48">
        <w:t xml:space="preserve">ased </w:t>
      </w:r>
      <w:r w:rsidR="00EA1A13">
        <w:t>d</w:t>
      </w:r>
      <w:r w:rsidR="00EA1A13" w:rsidRPr="000F7F48">
        <w:t xml:space="preserve">ried </w:t>
      </w:r>
      <w:r w:rsidR="00EA1A13">
        <w:t>d</w:t>
      </w:r>
      <w:r w:rsidR="00EA1A13" w:rsidRPr="000F7F48">
        <w:t xml:space="preserve">istillers </w:t>
      </w:r>
      <w:r w:rsidR="00EA1A13">
        <w:t>g</w:t>
      </w:r>
      <w:r w:rsidR="00EA1A13" w:rsidRPr="000F7F48">
        <w:t xml:space="preserve">rain that are produced </w:t>
      </w:r>
      <w:r w:rsidR="00EA1A13" w:rsidRPr="00444B60">
        <w:t xml:space="preserve">as part of carrying on the </w:t>
      </w:r>
      <w:r w:rsidR="00EA1A13">
        <w:t>wheat based dried distillers g</w:t>
      </w:r>
      <w:r w:rsidR="00EA1A13" w:rsidRPr="00630BCA">
        <w:t>rain</w:t>
      </w:r>
      <w:r w:rsidR="00EA1A13" w:rsidRPr="00444B60">
        <w:t xml:space="preserve"> production activity at the facility</w:t>
      </w:r>
      <w:r w:rsidR="00EA1A13" w:rsidRPr="000F7F48">
        <w:t xml:space="preserve"> to meet the following </w:t>
      </w:r>
      <w:r w:rsidR="00EA1A13">
        <w:t>requirements</w:t>
      </w:r>
      <w:r w:rsidR="00EA1A13" w:rsidRPr="000F7F48">
        <w:t>:</w:t>
      </w:r>
    </w:p>
    <w:p w:rsidR="00EA1A13" w:rsidRPr="000F7F48" w:rsidRDefault="00DA2A61" w:rsidP="00DA2A61">
      <w:pPr>
        <w:pStyle w:val="tPara"/>
      </w:pPr>
      <w:r>
        <w:tab/>
        <w:t>(a)</w:t>
      </w:r>
      <w:r>
        <w:tab/>
      </w:r>
      <w:proofErr w:type="gramStart"/>
      <w:r w:rsidR="00EA1A13">
        <w:t>a</w:t>
      </w:r>
      <w:r w:rsidR="00EA1A13" w:rsidRPr="000F7F48">
        <w:t>re</w:t>
      </w:r>
      <w:proofErr w:type="gramEnd"/>
      <w:r w:rsidR="00EA1A13" w:rsidRPr="000F7F48">
        <w:t xml:space="preserve"> a minimum of 88% dry matter on a dry </w:t>
      </w:r>
      <w:r w:rsidR="00EA1A13">
        <w:t>solids</w:t>
      </w:r>
      <w:r w:rsidR="00EA1A13" w:rsidRPr="000F7F48">
        <w:t xml:space="preserve"> </w:t>
      </w:r>
      <w:r w:rsidR="00EA1A13">
        <w:t>basis; and</w:t>
      </w:r>
    </w:p>
    <w:p w:rsidR="00EA1A13" w:rsidRPr="000F7F48" w:rsidRDefault="00DA2A61" w:rsidP="00DA2A61">
      <w:pPr>
        <w:pStyle w:val="tPara"/>
      </w:pPr>
      <w:r>
        <w:tab/>
        <w:t>(b)</w:t>
      </w:r>
      <w:r>
        <w:tab/>
      </w:r>
      <w:proofErr w:type="gramStart"/>
      <w:r w:rsidR="00EA1A13">
        <w:t>a</w:t>
      </w:r>
      <w:r w:rsidR="00EA1A13" w:rsidRPr="000F7F48">
        <w:t>re</w:t>
      </w:r>
      <w:proofErr w:type="gramEnd"/>
      <w:r w:rsidR="00EA1A13" w:rsidRPr="000F7F48">
        <w:t xml:space="preserve"> a minimum of 20% crude protein </w:t>
      </w:r>
      <w:r w:rsidR="00EA1A13">
        <w:t>(on a dry solids basis, where nitrogen is multiplied by 6.25); and</w:t>
      </w:r>
    </w:p>
    <w:p w:rsidR="00EA1A13" w:rsidRPr="000F7F48" w:rsidRDefault="00DA2A61" w:rsidP="00DA2A61">
      <w:pPr>
        <w:pStyle w:val="tPara"/>
      </w:pPr>
      <w:r>
        <w:tab/>
        <w:t>(c)</w:t>
      </w:r>
      <w:r>
        <w:tab/>
      </w:r>
      <w:proofErr w:type="gramStart"/>
      <w:r w:rsidR="00EA1A13">
        <w:t>a</w:t>
      </w:r>
      <w:r w:rsidR="00EA1A13" w:rsidRPr="000F7F48">
        <w:t>re</w:t>
      </w:r>
      <w:proofErr w:type="gramEnd"/>
      <w:r w:rsidR="00EA1A13" w:rsidRPr="000F7F48">
        <w:t xml:space="preserve"> of saleable quality.</w:t>
      </w:r>
    </w:p>
    <w:p w:rsidR="00EA1A13" w:rsidRPr="000F7F48" w:rsidRDefault="00DA2A61" w:rsidP="00DA2A61">
      <w:pPr>
        <w:pStyle w:val="tMain"/>
      </w:pPr>
      <w:r>
        <w:tab/>
        <w:t>(2)</w:t>
      </w:r>
      <w:r>
        <w:tab/>
      </w:r>
      <w:r w:rsidR="00EA1A13" w:rsidRPr="000F7F48">
        <w:t xml:space="preserve">The metric in subsection (1) is applicable to a facility that conducts the activity of </w:t>
      </w:r>
      <w:r w:rsidR="00EA1A13">
        <w:t>producing w</w:t>
      </w:r>
      <w:r w:rsidR="00EA1A13" w:rsidRPr="000F7F48">
        <w:t xml:space="preserve">heat </w:t>
      </w:r>
      <w:r w:rsidR="00EA1A13">
        <w:t>b</w:t>
      </w:r>
      <w:r w:rsidR="00EA1A13" w:rsidRPr="000F7F48">
        <w:t xml:space="preserve">ased </w:t>
      </w:r>
      <w:r w:rsidR="00EA1A13">
        <w:t>d</w:t>
      </w:r>
      <w:r w:rsidR="00EA1A13" w:rsidRPr="000F7F48">
        <w:t xml:space="preserve">ried </w:t>
      </w:r>
      <w:r w:rsidR="00EA1A13">
        <w:t>d</w:t>
      </w:r>
      <w:r w:rsidR="00EA1A13" w:rsidRPr="000F7F48">
        <w:t xml:space="preserve">istillers </w:t>
      </w:r>
      <w:r w:rsidR="00EA1A13">
        <w:t>g</w:t>
      </w:r>
      <w:r w:rsidR="00EA1A13" w:rsidRPr="000F7F48">
        <w:t>rain through the physical and chemical transformation of the non-fermentable residues of wheat starch products from the production of ethanol</w:t>
      </w:r>
      <w:r w:rsidR="00EA1A13">
        <w:t>,</w:t>
      </w:r>
      <w:r w:rsidR="00EA1A13" w:rsidRPr="000F7F48">
        <w:t xml:space="preserve"> </w:t>
      </w:r>
      <w:r w:rsidR="00EA1A13">
        <w:t xml:space="preserve">where the residues are </w:t>
      </w:r>
      <w:r w:rsidR="00EA1A13" w:rsidRPr="000F7F48">
        <w:t>dried under heat</w:t>
      </w:r>
      <w:r w:rsidR="00EA1A13">
        <w:t>, into w</w:t>
      </w:r>
      <w:r w:rsidR="00EA1A13" w:rsidRPr="000F7F48">
        <w:t xml:space="preserve">heat </w:t>
      </w:r>
      <w:r w:rsidR="00EA1A13">
        <w:t>b</w:t>
      </w:r>
      <w:r w:rsidR="00EA1A13" w:rsidRPr="000F7F48">
        <w:t xml:space="preserve">ased </w:t>
      </w:r>
      <w:r w:rsidR="00EA1A13">
        <w:t>d</w:t>
      </w:r>
      <w:r w:rsidR="00EA1A13" w:rsidRPr="000F7F48">
        <w:t xml:space="preserve">ried </w:t>
      </w:r>
      <w:r w:rsidR="00EA1A13">
        <w:t>d</w:t>
      </w:r>
      <w:r w:rsidR="00EA1A13" w:rsidRPr="000F7F48">
        <w:t xml:space="preserve">istillers </w:t>
      </w:r>
      <w:r w:rsidR="00EA1A13">
        <w:t>g</w:t>
      </w:r>
      <w:r w:rsidR="00EA1A13" w:rsidRPr="000F7F48">
        <w:t>rain</w:t>
      </w:r>
      <w:r w:rsidR="00EA1A13">
        <w:t>.</w:t>
      </w:r>
      <w:r w:rsidR="00EA1A13" w:rsidRPr="000F7F48">
        <w:t xml:space="preserve"> </w:t>
      </w:r>
    </w:p>
    <w:p w:rsidR="00EA1A13" w:rsidRPr="00EA1A13" w:rsidRDefault="00DA2A61" w:rsidP="000622AC">
      <w:pPr>
        <w:pStyle w:val="tMain"/>
      </w:pPr>
      <w:r>
        <w:lastRenderedPageBreak/>
        <w:tab/>
        <w:t>(3)</w:t>
      </w:r>
      <w:r>
        <w:tab/>
      </w:r>
      <w:r w:rsidR="00EA1A13" w:rsidRPr="000F7F48">
        <w:t xml:space="preserve">The activity in subsection (2) is the </w:t>
      </w:r>
      <w:r w:rsidR="00EA1A13">
        <w:rPr>
          <w:b/>
          <w:i/>
        </w:rPr>
        <w:t>w</w:t>
      </w:r>
      <w:r w:rsidR="00EA1A13" w:rsidRPr="001B297D">
        <w:rPr>
          <w:b/>
          <w:i/>
        </w:rPr>
        <w:t xml:space="preserve">heat </w:t>
      </w:r>
      <w:r w:rsidR="00EA1A13">
        <w:rPr>
          <w:b/>
          <w:i/>
        </w:rPr>
        <w:t>b</w:t>
      </w:r>
      <w:r w:rsidR="00EA1A13" w:rsidRPr="001B297D">
        <w:rPr>
          <w:b/>
          <w:i/>
        </w:rPr>
        <w:t xml:space="preserve">ased </w:t>
      </w:r>
      <w:r w:rsidR="00EA1A13">
        <w:rPr>
          <w:b/>
          <w:i/>
        </w:rPr>
        <w:t>d</w:t>
      </w:r>
      <w:r w:rsidR="00EA1A13" w:rsidRPr="001B297D">
        <w:rPr>
          <w:b/>
          <w:i/>
        </w:rPr>
        <w:t xml:space="preserve">ried </w:t>
      </w:r>
      <w:r w:rsidR="00EA1A13">
        <w:rPr>
          <w:b/>
          <w:i/>
        </w:rPr>
        <w:t>d</w:t>
      </w:r>
      <w:r w:rsidR="00EA1A13" w:rsidRPr="001B297D">
        <w:rPr>
          <w:b/>
          <w:i/>
        </w:rPr>
        <w:t xml:space="preserve">istillers </w:t>
      </w:r>
      <w:r w:rsidR="00EA1A13">
        <w:rPr>
          <w:b/>
          <w:i/>
        </w:rPr>
        <w:t>g</w:t>
      </w:r>
      <w:r w:rsidR="00EA1A13" w:rsidRPr="001B297D">
        <w:rPr>
          <w:b/>
          <w:i/>
        </w:rPr>
        <w:t>rain production</w:t>
      </w:r>
      <w:r w:rsidR="00EA1A13">
        <w:rPr>
          <w:b/>
          <w:i/>
        </w:rPr>
        <w:t xml:space="preserve"> activity</w:t>
      </w:r>
      <w:r w:rsidR="00EA1A13" w:rsidRPr="001B297D">
        <w:rPr>
          <w:b/>
          <w:i/>
        </w:rPr>
        <w:t>.</w:t>
      </w:r>
    </w:p>
    <w:p w:rsidR="00DA2A61" w:rsidRDefault="00DA2A61" w:rsidP="00DA2A61">
      <w:pPr>
        <w:pStyle w:val="h2Part"/>
        <w:rPr>
          <w:rStyle w:val="CharDivText"/>
        </w:rPr>
      </w:pPr>
      <w:r>
        <w:rPr>
          <w:rStyle w:val="CharPartNo"/>
        </w:rPr>
        <w:t>Part 44</w:t>
      </w:r>
      <w:r w:rsidRPr="00DD2453">
        <w:rPr>
          <w:rStyle w:val="CharPartNo"/>
        </w:rPr>
        <w:t>—</w:t>
      </w:r>
      <w:r w:rsidR="003C144D">
        <w:rPr>
          <w:rStyle w:val="CharPartText"/>
        </w:rPr>
        <w:t>Ethanol</w:t>
      </w:r>
    </w:p>
    <w:p w:rsidR="00EA1A13" w:rsidRDefault="000622AC" w:rsidP="00DA2A61">
      <w:pPr>
        <w:pStyle w:val="h5Section"/>
      </w:pPr>
      <w:proofErr w:type="gramStart"/>
      <w:r>
        <w:t>92</w:t>
      </w:r>
      <w:r w:rsidR="00DA2A61" w:rsidRPr="00E672BD">
        <w:t xml:space="preserve">  </w:t>
      </w:r>
      <w:r w:rsidR="00DA2A61">
        <w:t>Ethanol</w:t>
      </w:r>
      <w:proofErr w:type="gramEnd"/>
      <w:r w:rsidR="00DA2A61">
        <w:t>—95</w:t>
      </w:r>
    </w:p>
    <w:p w:rsidR="00DA2A61" w:rsidRDefault="00DA2A61" w:rsidP="00DA2A61">
      <w:pPr>
        <w:pStyle w:val="tMain"/>
        <w:rPr>
          <w:lang w:val="en-US"/>
        </w:rPr>
      </w:pPr>
      <w:r>
        <w:tab/>
        <w:t>(1)</w:t>
      </w:r>
      <w:r>
        <w:tab/>
        <w:t>Kilolitres</w:t>
      </w:r>
      <w:r>
        <w:rPr>
          <w:lang w:val="en-US"/>
        </w:rPr>
        <w:t xml:space="preserve"> of ethanol</w:t>
      </w:r>
      <w:r w:rsidRPr="000F7F48">
        <w:t xml:space="preserve"> produced </w:t>
      </w:r>
      <w:r w:rsidRPr="00444B60">
        <w:t xml:space="preserve">as part of carrying on the </w:t>
      </w:r>
      <w:r>
        <w:t xml:space="preserve">ethanol—95 </w:t>
      </w:r>
      <w:r w:rsidRPr="00444B60">
        <w:t>production activity at the facility</w:t>
      </w:r>
      <w:r>
        <w:rPr>
          <w:lang w:val="en-US"/>
        </w:rPr>
        <w:t xml:space="preserve"> that meet the requirements of subsection (2).</w:t>
      </w:r>
    </w:p>
    <w:p w:rsidR="00DA2A61" w:rsidRDefault="00DA2A61" w:rsidP="00DA2A61">
      <w:pPr>
        <w:pStyle w:val="tMain"/>
        <w:rPr>
          <w:lang w:val="en-US"/>
        </w:rPr>
      </w:pPr>
      <w:r>
        <w:rPr>
          <w:lang w:val="en-US"/>
        </w:rPr>
        <w:tab/>
        <w:t>(2)</w:t>
      </w:r>
      <w:r>
        <w:rPr>
          <w:lang w:val="en-US"/>
        </w:rPr>
        <w:tab/>
        <w:t xml:space="preserve">The requirements for ethanol to be </w:t>
      </w:r>
      <w:r w:rsidRPr="00DA2A61">
        <w:t>included</w:t>
      </w:r>
      <w:r>
        <w:rPr>
          <w:lang w:val="en-US"/>
        </w:rPr>
        <w:t xml:space="preserve"> in subsection (1) are the ethanol:</w:t>
      </w:r>
    </w:p>
    <w:p w:rsidR="00DA2A61" w:rsidRPr="00DA2A61" w:rsidRDefault="00DA2A61" w:rsidP="00DA2A61">
      <w:pPr>
        <w:pStyle w:val="tPara"/>
      </w:pPr>
      <w:r>
        <w:tab/>
        <w:t>(a)</w:t>
      </w:r>
      <w:r>
        <w:tab/>
      </w:r>
      <w:proofErr w:type="gramStart"/>
      <w:r w:rsidRPr="00DA2A61">
        <w:t>is</w:t>
      </w:r>
      <w:proofErr w:type="gramEnd"/>
      <w:r w:rsidRPr="00DA2A61">
        <w:t xml:space="preserve"> produced with a minimum 95% ethanol content by volume; and</w:t>
      </w:r>
    </w:p>
    <w:p w:rsidR="00DA2A61" w:rsidRPr="00DA2A61" w:rsidRDefault="00DA2A61" w:rsidP="00DA2A61">
      <w:pPr>
        <w:pStyle w:val="tPara"/>
      </w:pPr>
      <w:r>
        <w:tab/>
        <w:t>(b)</w:t>
      </w:r>
      <w:r>
        <w:tab/>
      </w:r>
      <w:proofErr w:type="gramStart"/>
      <w:r w:rsidR="000622AC">
        <w:t>is</w:t>
      </w:r>
      <w:proofErr w:type="gramEnd"/>
      <w:r w:rsidR="000622AC">
        <w:t xml:space="preserve"> not further processed into ethanol—absolute or beverage grade ethanol covered by sections 93 and 94</w:t>
      </w:r>
      <w:r w:rsidRPr="00DA2A61">
        <w:t xml:space="preserve"> or otherwise included in those production variables;</w:t>
      </w:r>
      <w:r w:rsidR="00F953F9">
        <w:t xml:space="preserve"> and</w:t>
      </w:r>
    </w:p>
    <w:p w:rsidR="00DA2A61" w:rsidRPr="00DA2A61" w:rsidRDefault="00DA2A61" w:rsidP="00DA2A61">
      <w:pPr>
        <w:pStyle w:val="tPara"/>
      </w:pPr>
      <w:r>
        <w:tab/>
        <w:t>(c)</w:t>
      </w:r>
      <w:r>
        <w:tab/>
      </w:r>
      <w:proofErr w:type="gramStart"/>
      <w:r w:rsidRPr="00DA2A61">
        <w:t>is</w:t>
      </w:r>
      <w:proofErr w:type="gramEnd"/>
      <w:r w:rsidRPr="00DA2A61">
        <w:t xml:space="preserve"> of saleable quality.</w:t>
      </w:r>
    </w:p>
    <w:p w:rsidR="00DA2A61" w:rsidRDefault="00DA2A61" w:rsidP="00DA2A61">
      <w:pPr>
        <w:pStyle w:val="tMain"/>
        <w:rPr>
          <w:lang w:val="en-US"/>
        </w:rPr>
      </w:pPr>
      <w:r>
        <w:rPr>
          <w:lang w:val="en-US"/>
        </w:rPr>
        <w:tab/>
        <w:t>(3)</w:t>
      </w:r>
      <w:r>
        <w:rPr>
          <w:lang w:val="en-US"/>
        </w:rPr>
        <w:tab/>
        <w:t xml:space="preserve">The metric in </w:t>
      </w:r>
      <w:r w:rsidRPr="00DA2A61">
        <w:t>subsection</w:t>
      </w:r>
      <w:r>
        <w:rPr>
          <w:lang w:val="en-US"/>
        </w:rPr>
        <w:t xml:space="preserve"> (1) is applicable to a facility that conducts the activity of producing </w:t>
      </w:r>
      <w:proofErr w:type="gramStart"/>
      <w:r>
        <w:rPr>
          <w:lang w:val="en-US"/>
        </w:rPr>
        <w:t>ethanol  through</w:t>
      </w:r>
      <w:proofErr w:type="gramEnd"/>
      <w:r>
        <w:rPr>
          <w:lang w:val="en-US"/>
        </w:rPr>
        <w:t xml:space="preserve"> the physical and chemical transformation of feedstocks into ethanol that meet the requirements in subsection (2).</w:t>
      </w:r>
    </w:p>
    <w:p w:rsidR="00DA2A61" w:rsidRDefault="00DA2A61" w:rsidP="00DA2A61">
      <w:pPr>
        <w:pStyle w:val="tMain"/>
        <w:rPr>
          <w:lang w:val="en-US"/>
        </w:rPr>
      </w:pPr>
      <w:r>
        <w:rPr>
          <w:lang w:val="en-US"/>
        </w:rPr>
        <w:tab/>
        <w:t>(4)</w:t>
      </w:r>
      <w:r>
        <w:rPr>
          <w:lang w:val="en-US"/>
        </w:rPr>
        <w:tab/>
        <w:t xml:space="preserve">The activity in subsection (3) is the </w:t>
      </w:r>
      <w:r>
        <w:rPr>
          <w:b/>
          <w:i/>
          <w:lang w:val="en-US"/>
        </w:rPr>
        <w:t>ethanol—</w:t>
      </w:r>
      <w:r w:rsidRPr="003C1AD6">
        <w:rPr>
          <w:b/>
          <w:i/>
          <w:lang w:val="en-US"/>
        </w:rPr>
        <w:t>95 production activity</w:t>
      </w:r>
      <w:r>
        <w:rPr>
          <w:lang w:val="en-US"/>
        </w:rPr>
        <w:t>.</w:t>
      </w:r>
    </w:p>
    <w:p w:rsidR="000622AC" w:rsidRPr="000622AC" w:rsidRDefault="000622AC" w:rsidP="000622AC">
      <w:pPr>
        <w:pStyle w:val="h5Section"/>
      </w:pPr>
      <w:proofErr w:type="gramStart"/>
      <w:r>
        <w:t>93</w:t>
      </w:r>
      <w:r w:rsidRPr="00E672BD">
        <w:t xml:space="preserve">  </w:t>
      </w:r>
      <w:r>
        <w:t>Ethanol</w:t>
      </w:r>
      <w:proofErr w:type="gramEnd"/>
      <w:r>
        <w:t>—absolute</w:t>
      </w:r>
    </w:p>
    <w:p w:rsidR="00DA2A61" w:rsidRPr="00BD5B21" w:rsidRDefault="000622AC" w:rsidP="000622AC">
      <w:pPr>
        <w:pStyle w:val="tMain"/>
        <w:rPr>
          <w:lang w:val="en-US"/>
        </w:rPr>
      </w:pPr>
      <w:r>
        <w:tab/>
        <w:t>(1)</w:t>
      </w:r>
      <w:r>
        <w:tab/>
      </w:r>
      <w:r w:rsidR="00DA2A61">
        <w:t>Kilolitres</w:t>
      </w:r>
      <w:r w:rsidR="00DA2A61" w:rsidRPr="00BD5B21">
        <w:rPr>
          <w:lang w:val="en-US"/>
        </w:rPr>
        <w:t xml:space="preserve"> of ethanol </w:t>
      </w:r>
      <w:r w:rsidR="00DA2A61" w:rsidRPr="000622AC">
        <w:rPr>
          <w:lang w:val="en-US"/>
        </w:rPr>
        <w:t>produced</w:t>
      </w:r>
      <w:r w:rsidR="00DA2A61" w:rsidRPr="000F7F48">
        <w:t xml:space="preserve"> </w:t>
      </w:r>
      <w:r w:rsidR="00DA2A61" w:rsidRPr="00444B60">
        <w:t xml:space="preserve">as part of carrying on the </w:t>
      </w:r>
      <w:r w:rsidR="00DA2A61">
        <w:t xml:space="preserve">ethanol—absolute </w:t>
      </w:r>
      <w:r w:rsidR="00DA2A61" w:rsidRPr="00444B60">
        <w:t>production activity at the facility</w:t>
      </w:r>
      <w:r w:rsidR="00DA2A61" w:rsidRPr="00BD5B21">
        <w:rPr>
          <w:lang w:val="en-US"/>
        </w:rPr>
        <w:t xml:space="preserve"> that meet the requirements of subsection (2).</w:t>
      </w:r>
    </w:p>
    <w:p w:rsidR="00DA2A61" w:rsidRDefault="000622AC" w:rsidP="000622AC">
      <w:pPr>
        <w:pStyle w:val="tMain"/>
        <w:rPr>
          <w:lang w:val="en-US"/>
        </w:rPr>
      </w:pPr>
      <w:r>
        <w:rPr>
          <w:lang w:val="en-US"/>
        </w:rPr>
        <w:tab/>
        <w:t>(2)</w:t>
      </w:r>
      <w:r>
        <w:rPr>
          <w:lang w:val="en-US"/>
        </w:rPr>
        <w:tab/>
      </w:r>
      <w:r w:rsidR="00DA2A61">
        <w:rPr>
          <w:lang w:val="en-US"/>
        </w:rPr>
        <w:t>The requirements for ethanol to be included in subsection (1) are that the ethanol:</w:t>
      </w:r>
    </w:p>
    <w:p w:rsidR="00DA2A61" w:rsidRPr="000622AC" w:rsidRDefault="000622AC" w:rsidP="000622AC">
      <w:pPr>
        <w:pStyle w:val="tPara"/>
      </w:pPr>
      <w:r>
        <w:tab/>
        <w:t>(a)</w:t>
      </w:r>
      <w:r>
        <w:tab/>
      </w:r>
      <w:proofErr w:type="gramStart"/>
      <w:r w:rsidR="00DA2A61" w:rsidRPr="000622AC">
        <w:t>is</w:t>
      </w:r>
      <w:proofErr w:type="gramEnd"/>
      <w:r w:rsidR="00DA2A61" w:rsidRPr="000622AC">
        <w:t xml:space="preserve"> produced with a minimum 99% ethanol content by volume; and</w:t>
      </w:r>
    </w:p>
    <w:p w:rsidR="00DA2A61" w:rsidRPr="000622AC" w:rsidRDefault="000622AC" w:rsidP="000622AC">
      <w:pPr>
        <w:pStyle w:val="tPara"/>
      </w:pPr>
      <w:r>
        <w:tab/>
        <w:t>(b)</w:t>
      </w:r>
      <w:r>
        <w:tab/>
      </w:r>
      <w:proofErr w:type="gramStart"/>
      <w:r w:rsidR="00DA2A61" w:rsidRPr="000622AC">
        <w:t>is</w:t>
      </w:r>
      <w:proofErr w:type="gramEnd"/>
      <w:r w:rsidR="00DA2A61" w:rsidRPr="000622AC">
        <w:t xml:space="preserve"> not further processed into beverage grade ethanol covered by section </w:t>
      </w:r>
      <w:r>
        <w:t>94</w:t>
      </w:r>
      <w:r w:rsidR="00DA2A61" w:rsidRPr="000622AC">
        <w:t xml:space="preserve"> or otherwise included in the </w:t>
      </w:r>
      <w:r>
        <w:t xml:space="preserve">ethanol </w:t>
      </w:r>
      <w:r w:rsidR="00DA2A61" w:rsidRPr="000622AC">
        <w:t xml:space="preserve">production variables under sections </w:t>
      </w:r>
      <w:r>
        <w:t>92</w:t>
      </w:r>
      <w:r w:rsidR="00DA2A61" w:rsidRPr="000622AC">
        <w:t xml:space="preserve"> or </w:t>
      </w:r>
      <w:r>
        <w:t>94</w:t>
      </w:r>
      <w:r w:rsidR="00DA2A61" w:rsidRPr="000622AC">
        <w:t>; and</w:t>
      </w:r>
    </w:p>
    <w:p w:rsidR="00DA2A61" w:rsidRPr="000622AC" w:rsidRDefault="000622AC" w:rsidP="000622AC">
      <w:pPr>
        <w:pStyle w:val="tPara"/>
      </w:pPr>
      <w:r>
        <w:tab/>
        <w:t>(c)</w:t>
      </w:r>
      <w:r>
        <w:tab/>
      </w:r>
      <w:proofErr w:type="gramStart"/>
      <w:r w:rsidR="00DA2A61" w:rsidRPr="000622AC">
        <w:t>is</w:t>
      </w:r>
      <w:proofErr w:type="gramEnd"/>
      <w:r w:rsidR="00DA2A61" w:rsidRPr="000622AC">
        <w:t xml:space="preserve"> of saleable quality.</w:t>
      </w:r>
    </w:p>
    <w:p w:rsidR="00DA2A61" w:rsidRDefault="000622AC" w:rsidP="000622AC">
      <w:pPr>
        <w:pStyle w:val="tMain"/>
        <w:rPr>
          <w:lang w:val="en-US"/>
        </w:rPr>
      </w:pPr>
      <w:r>
        <w:rPr>
          <w:lang w:val="en-US"/>
        </w:rPr>
        <w:tab/>
        <w:t>(3)</w:t>
      </w:r>
      <w:r>
        <w:rPr>
          <w:lang w:val="en-US"/>
        </w:rPr>
        <w:tab/>
      </w:r>
      <w:r w:rsidR="00DA2A61">
        <w:rPr>
          <w:lang w:val="en-US"/>
        </w:rPr>
        <w:t>The metric in subsection (1) is applicable to a facility that conducts the activity of producing ethanol through the physical and chemical transformation of feedstocks into ethanol that meet the requirements in subsection (2).</w:t>
      </w:r>
    </w:p>
    <w:p w:rsidR="000622AC" w:rsidRDefault="000622AC" w:rsidP="000622AC">
      <w:pPr>
        <w:pStyle w:val="tMain"/>
        <w:rPr>
          <w:lang w:val="en-US"/>
        </w:rPr>
      </w:pPr>
      <w:r>
        <w:rPr>
          <w:lang w:val="en-US"/>
        </w:rPr>
        <w:tab/>
        <w:t>(4)</w:t>
      </w:r>
      <w:r>
        <w:rPr>
          <w:lang w:val="en-US"/>
        </w:rPr>
        <w:tab/>
      </w:r>
      <w:r w:rsidR="00DA2A61">
        <w:rPr>
          <w:lang w:val="en-US"/>
        </w:rPr>
        <w:t xml:space="preserve">The activity in subsection (3) is the </w:t>
      </w:r>
      <w:r w:rsidR="00DA2A61" w:rsidRPr="003C1AD6">
        <w:rPr>
          <w:b/>
          <w:i/>
          <w:lang w:val="en-US"/>
        </w:rPr>
        <w:t>ethanol—absolute production activity</w:t>
      </w:r>
      <w:r w:rsidR="00DA2A61">
        <w:rPr>
          <w:lang w:val="en-US"/>
        </w:rPr>
        <w:t>.</w:t>
      </w:r>
    </w:p>
    <w:p w:rsidR="000622AC" w:rsidRPr="000622AC" w:rsidRDefault="000622AC" w:rsidP="000622AC">
      <w:pPr>
        <w:pStyle w:val="h5Section"/>
      </w:pPr>
      <w:proofErr w:type="gramStart"/>
      <w:r>
        <w:t>94</w:t>
      </w:r>
      <w:r w:rsidRPr="00E672BD">
        <w:t xml:space="preserve">  </w:t>
      </w:r>
      <w:r>
        <w:t>Beverage</w:t>
      </w:r>
      <w:proofErr w:type="gramEnd"/>
      <w:r>
        <w:t xml:space="preserve"> grade ethanol</w:t>
      </w:r>
    </w:p>
    <w:p w:rsidR="00DA2A61" w:rsidRPr="00BD5B21" w:rsidRDefault="000622AC" w:rsidP="000622AC">
      <w:pPr>
        <w:pStyle w:val="tMain"/>
        <w:rPr>
          <w:lang w:val="en-US"/>
        </w:rPr>
      </w:pPr>
      <w:r>
        <w:tab/>
        <w:t>(1)</w:t>
      </w:r>
      <w:r>
        <w:tab/>
      </w:r>
      <w:r w:rsidR="00DA2A61">
        <w:t>Kilolitres</w:t>
      </w:r>
      <w:r w:rsidR="00DA2A61" w:rsidRPr="00BD5B21">
        <w:rPr>
          <w:lang w:val="en-US"/>
        </w:rPr>
        <w:t xml:space="preserve"> of ethanol </w:t>
      </w:r>
      <w:r w:rsidR="00DA2A61" w:rsidRPr="000F7F48">
        <w:t xml:space="preserve">produced </w:t>
      </w:r>
      <w:r w:rsidR="00DA2A61" w:rsidRPr="00444B60">
        <w:t xml:space="preserve">as part of carrying on the </w:t>
      </w:r>
      <w:r w:rsidR="00DA2A61">
        <w:t>beverage grade ethanol</w:t>
      </w:r>
      <w:r w:rsidR="00DA2A61" w:rsidRPr="00444B60">
        <w:t xml:space="preserve"> production activity at the facility</w:t>
      </w:r>
      <w:r w:rsidR="00DA2A61" w:rsidRPr="00BD5B21">
        <w:rPr>
          <w:lang w:val="en-US"/>
        </w:rPr>
        <w:t xml:space="preserve"> that meet the requirements of subsection (2).</w:t>
      </w:r>
    </w:p>
    <w:p w:rsidR="00DA2A61" w:rsidRDefault="000622AC" w:rsidP="000622AC">
      <w:pPr>
        <w:pStyle w:val="tMain"/>
        <w:rPr>
          <w:lang w:val="en-US"/>
        </w:rPr>
      </w:pPr>
      <w:r>
        <w:rPr>
          <w:lang w:val="en-US"/>
        </w:rPr>
        <w:tab/>
        <w:t>(2)</w:t>
      </w:r>
      <w:r>
        <w:rPr>
          <w:lang w:val="en-US"/>
        </w:rPr>
        <w:tab/>
      </w:r>
      <w:r w:rsidR="00DA2A61">
        <w:rPr>
          <w:lang w:val="en-US"/>
        </w:rPr>
        <w:t xml:space="preserve">The requirements for ethanol </w:t>
      </w:r>
      <w:r w:rsidR="00DA2A61" w:rsidRPr="000622AC">
        <w:t>to</w:t>
      </w:r>
      <w:r w:rsidR="00DA2A61">
        <w:rPr>
          <w:lang w:val="en-US"/>
        </w:rPr>
        <w:t xml:space="preserve"> be included in subsection (1) are that the ethanol:</w:t>
      </w:r>
    </w:p>
    <w:p w:rsidR="00DA2A61" w:rsidRPr="000622AC" w:rsidRDefault="000622AC" w:rsidP="000622AC">
      <w:pPr>
        <w:pStyle w:val="tPara"/>
      </w:pPr>
      <w:r>
        <w:tab/>
        <w:t>(a)</w:t>
      </w:r>
      <w:r>
        <w:tab/>
      </w:r>
      <w:proofErr w:type="gramStart"/>
      <w:r w:rsidR="00DA2A61" w:rsidRPr="000622AC">
        <w:t>would</w:t>
      </w:r>
      <w:proofErr w:type="gramEnd"/>
      <w:r w:rsidR="00DA2A61" w:rsidRPr="000622AC">
        <w:t xml:space="preserve"> otherwise be eligible as ethanol—95 or ethanol—absolute, but is not included in the tonnes of those products under section </w:t>
      </w:r>
      <w:r>
        <w:t>92</w:t>
      </w:r>
      <w:r w:rsidR="00DA2A61" w:rsidRPr="000622AC">
        <w:t xml:space="preserve"> </w:t>
      </w:r>
      <w:r>
        <w:t>or 93</w:t>
      </w:r>
      <w:r w:rsidR="00DA2A61" w:rsidRPr="000622AC">
        <w:t>; and</w:t>
      </w:r>
    </w:p>
    <w:p w:rsidR="00DA2A61" w:rsidRPr="000622AC" w:rsidRDefault="000622AC" w:rsidP="000622AC">
      <w:pPr>
        <w:pStyle w:val="tPara"/>
      </w:pPr>
      <w:r>
        <w:tab/>
        <w:t>(b)</w:t>
      </w:r>
      <w:r>
        <w:tab/>
      </w:r>
      <w:proofErr w:type="gramStart"/>
      <w:r w:rsidR="00DA2A61" w:rsidRPr="000622AC">
        <w:t>has</w:t>
      </w:r>
      <w:proofErr w:type="gramEnd"/>
      <w:r w:rsidR="00DA2A61" w:rsidRPr="000622AC">
        <w:t xml:space="preserve"> been processed to a higher degree of purity than ordinarily required for ethanol—95 or ethanol—absolute, to a standard for use in beverages and other forms of human consumption; and</w:t>
      </w:r>
    </w:p>
    <w:p w:rsidR="00DA2A61" w:rsidRPr="000622AC" w:rsidRDefault="000622AC" w:rsidP="000622AC">
      <w:pPr>
        <w:pStyle w:val="tPara"/>
      </w:pPr>
      <w:r>
        <w:tab/>
        <w:t>(c)</w:t>
      </w:r>
      <w:r>
        <w:tab/>
      </w:r>
      <w:proofErr w:type="gramStart"/>
      <w:r w:rsidR="00DA2A61" w:rsidRPr="000622AC">
        <w:t>is</w:t>
      </w:r>
      <w:proofErr w:type="gramEnd"/>
      <w:r w:rsidR="00DA2A61" w:rsidRPr="000622AC">
        <w:t xml:space="preserve"> of saleable quality.</w:t>
      </w:r>
    </w:p>
    <w:p w:rsidR="00DA2A61" w:rsidRDefault="000622AC" w:rsidP="000622AC">
      <w:pPr>
        <w:pStyle w:val="tMain"/>
        <w:rPr>
          <w:lang w:val="en-US"/>
        </w:rPr>
      </w:pPr>
      <w:r>
        <w:rPr>
          <w:lang w:val="en-US"/>
        </w:rPr>
        <w:tab/>
        <w:t>(3)</w:t>
      </w:r>
      <w:r>
        <w:rPr>
          <w:lang w:val="en-US"/>
        </w:rPr>
        <w:tab/>
      </w:r>
      <w:r w:rsidR="00DA2A61">
        <w:rPr>
          <w:lang w:val="en-US"/>
        </w:rPr>
        <w:t xml:space="preserve">The metric in </w:t>
      </w:r>
      <w:r w:rsidR="00DA2A61" w:rsidRPr="000622AC">
        <w:t>subsection</w:t>
      </w:r>
      <w:r w:rsidR="00DA2A61">
        <w:rPr>
          <w:lang w:val="en-US"/>
        </w:rPr>
        <w:t xml:space="preserve"> (1) is applicable to a facility that produces beverage grade ethanol through the physical and chemical transformation of feedstocks into ethanol that meets the requirements in subsection (2).</w:t>
      </w:r>
    </w:p>
    <w:p w:rsidR="00DA2A61" w:rsidRPr="00BD5B21" w:rsidRDefault="000622AC" w:rsidP="00137FFA">
      <w:pPr>
        <w:pStyle w:val="tMain"/>
        <w:rPr>
          <w:lang w:val="en-US"/>
        </w:rPr>
      </w:pPr>
      <w:r>
        <w:rPr>
          <w:lang w:val="en-US"/>
        </w:rPr>
        <w:lastRenderedPageBreak/>
        <w:tab/>
        <w:t>(4)</w:t>
      </w:r>
      <w:r>
        <w:rPr>
          <w:lang w:val="en-US"/>
        </w:rPr>
        <w:tab/>
      </w:r>
      <w:r w:rsidR="00DA2A61">
        <w:rPr>
          <w:lang w:val="en-US"/>
        </w:rPr>
        <w:t xml:space="preserve">The activity in </w:t>
      </w:r>
      <w:r w:rsidR="00DA2A61" w:rsidRPr="000622AC">
        <w:t>subsection</w:t>
      </w:r>
      <w:r w:rsidR="00DA2A61">
        <w:rPr>
          <w:lang w:val="en-US"/>
        </w:rPr>
        <w:t xml:space="preserve"> (3) is the </w:t>
      </w:r>
      <w:r w:rsidR="00DA2A61" w:rsidRPr="001B23EE">
        <w:rPr>
          <w:b/>
          <w:i/>
          <w:lang w:val="en-US"/>
        </w:rPr>
        <w:t>beverage grade ethanol production activity</w:t>
      </w:r>
      <w:r w:rsidR="00137FFA">
        <w:rPr>
          <w:lang w:val="en-US"/>
        </w:rPr>
        <w:t>.</w:t>
      </w:r>
    </w:p>
    <w:p w:rsidR="000622AC" w:rsidRDefault="000622AC" w:rsidP="000622AC">
      <w:pPr>
        <w:pStyle w:val="h2Part"/>
        <w:rPr>
          <w:rStyle w:val="CharDivNo"/>
        </w:rPr>
      </w:pPr>
      <w:r>
        <w:rPr>
          <w:rStyle w:val="CharPartNo"/>
        </w:rPr>
        <w:t>Part 45</w:t>
      </w:r>
      <w:r w:rsidRPr="00DD2453">
        <w:rPr>
          <w:rStyle w:val="CharPartNo"/>
        </w:rPr>
        <w:t>—</w:t>
      </w:r>
      <w:r>
        <w:rPr>
          <w:rStyle w:val="CharPartText"/>
        </w:rPr>
        <w:t>Production variables</w:t>
      </w:r>
      <w:r w:rsidRPr="00DD2453">
        <w:rPr>
          <w:rStyle w:val="CharPartText"/>
        </w:rPr>
        <w:t xml:space="preserve"> </w:t>
      </w:r>
      <w:r>
        <w:rPr>
          <w:rStyle w:val="CharDivNo"/>
        </w:rPr>
        <w:t>related to sugar production</w:t>
      </w:r>
    </w:p>
    <w:p w:rsidR="000622AC" w:rsidRPr="000622AC" w:rsidRDefault="0091538E" w:rsidP="00137FFA">
      <w:pPr>
        <w:pStyle w:val="h5Section"/>
      </w:pPr>
      <w:proofErr w:type="gramStart"/>
      <w:r>
        <w:t>95</w:t>
      </w:r>
      <w:r w:rsidR="000622AC" w:rsidRPr="00E672BD">
        <w:t xml:space="preserve">  </w:t>
      </w:r>
      <w:r w:rsidR="000622AC">
        <w:t>Raw</w:t>
      </w:r>
      <w:proofErr w:type="gramEnd"/>
      <w:r w:rsidR="000622AC">
        <w:t xml:space="preserve"> sugar</w:t>
      </w:r>
    </w:p>
    <w:p w:rsidR="000622AC" w:rsidRPr="007F5142" w:rsidRDefault="000622AC" w:rsidP="000622AC">
      <w:pPr>
        <w:pStyle w:val="tMain"/>
        <w:rPr>
          <w:szCs w:val="22"/>
        </w:rPr>
      </w:pPr>
      <w:r>
        <w:rPr>
          <w:szCs w:val="22"/>
        </w:rPr>
        <w:tab/>
        <w:t>(1)</w:t>
      </w:r>
      <w:r>
        <w:rPr>
          <w:szCs w:val="22"/>
        </w:rPr>
        <w:tab/>
      </w:r>
      <w:r w:rsidRPr="008B3C9D">
        <w:rPr>
          <w:szCs w:val="22"/>
        </w:rPr>
        <w:t xml:space="preserve">Tonnes of </w:t>
      </w:r>
      <w:r w:rsidRPr="000622AC">
        <w:t>raw</w:t>
      </w:r>
      <w:r>
        <w:rPr>
          <w:szCs w:val="22"/>
        </w:rPr>
        <w:t xml:space="preserve"> sugar</w:t>
      </w:r>
      <w:r w:rsidRPr="008B3C9D">
        <w:rPr>
          <w:szCs w:val="22"/>
        </w:rPr>
        <w:t xml:space="preserve"> that:</w:t>
      </w:r>
    </w:p>
    <w:p w:rsidR="000622AC" w:rsidRPr="003C1AD6" w:rsidRDefault="00137FFA" w:rsidP="00137FFA">
      <w:pPr>
        <w:pStyle w:val="tPara"/>
      </w:pPr>
      <w:r>
        <w:tab/>
        <w:t>(a)</w:t>
      </w:r>
      <w:r>
        <w:tab/>
      </w:r>
      <w:proofErr w:type="gramStart"/>
      <w:r w:rsidR="000622AC">
        <w:t>is</w:t>
      </w:r>
      <w:proofErr w:type="gramEnd"/>
      <w:r w:rsidR="000622AC">
        <w:t xml:space="preserve"> </w:t>
      </w:r>
      <w:r w:rsidR="000622AC" w:rsidRPr="00137FFA">
        <w:t>produced as part of carrying on the raw sugar manufacturing activity at the facility; and</w:t>
      </w:r>
    </w:p>
    <w:p w:rsidR="000622AC" w:rsidRPr="008B3C9D" w:rsidRDefault="00137FFA" w:rsidP="00137FFA">
      <w:pPr>
        <w:pStyle w:val="tPara"/>
      </w:pPr>
      <w:r>
        <w:tab/>
        <w:t>(</w:t>
      </w:r>
      <w:proofErr w:type="gramStart"/>
      <w:r>
        <w:t>b</w:t>
      </w:r>
      <w:proofErr w:type="gramEnd"/>
      <w:r>
        <w:t>)</w:t>
      </w:r>
      <w:r>
        <w:tab/>
      </w:r>
      <w:r w:rsidR="000622AC">
        <w:t>is</w:t>
      </w:r>
      <w:r w:rsidR="000622AC" w:rsidRPr="0003330C">
        <w:t xml:space="preserve"> generally useable in </w:t>
      </w:r>
      <w:r w:rsidR="000622AC">
        <w:t>sugar refining activities; and</w:t>
      </w:r>
    </w:p>
    <w:p w:rsidR="000622AC" w:rsidRPr="00137FFA" w:rsidRDefault="00137FFA" w:rsidP="00137FFA">
      <w:pPr>
        <w:pStyle w:val="tPara"/>
      </w:pPr>
      <w:r>
        <w:tab/>
        <w:t>(c)</w:t>
      </w:r>
      <w:r>
        <w:tab/>
      </w:r>
      <w:proofErr w:type="gramStart"/>
      <w:r w:rsidR="000622AC">
        <w:t>is</w:t>
      </w:r>
      <w:proofErr w:type="gramEnd"/>
      <w:r w:rsidR="000622AC">
        <w:t xml:space="preserve"> of saleable quality.</w:t>
      </w:r>
    </w:p>
    <w:p w:rsidR="000622AC" w:rsidRPr="00A672D8" w:rsidRDefault="000622AC" w:rsidP="000622AC">
      <w:pPr>
        <w:pStyle w:val="tMain"/>
        <w:rPr>
          <w:szCs w:val="22"/>
        </w:rPr>
      </w:pPr>
      <w:r>
        <w:rPr>
          <w:szCs w:val="22"/>
        </w:rPr>
        <w:tab/>
        <w:t>(2)</w:t>
      </w:r>
      <w:r>
        <w:rPr>
          <w:szCs w:val="22"/>
        </w:rPr>
        <w:tab/>
      </w:r>
      <w:r w:rsidRPr="008B3C9D">
        <w:rPr>
          <w:szCs w:val="22"/>
        </w:rPr>
        <w:t xml:space="preserve">The metric in subsection (1) is </w:t>
      </w:r>
      <w:r w:rsidRPr="000622AC">
        <w:t>applicable</w:t>
      </w:r>
      <w:r w:rsidRPr="008B3C9D">
        <w:rPr>
          <w:szCs w:val="22"/>
        </w:rPr>
        <w:t xml:space="preserve"> to a facility that conducts the activity of </w:t>
      </w:r>
      <w:r>
        <w:rPr>
          <w:szCs w:val="22"/>
        </w:rPr>
        <w:t>manufacturing raw sugar</w:t>
      </w:r>
      <w:r w:rsidRPr="008B3C9D">
        <w:rPr>
          <w:szCs w:val="22"/>
        </w:rPr>
        <w:t xml:space="preserve"> through the physical or chemical transformation of</w:t>
      </w:r>
      <w:r>
        <w:rPr>
          <w:szCs w:val="22"/>
        </w:rPr>
        <w:t xml:space="preserve"> sugar cane or other plant matter </w:t>
      </w:r>
      <w:r>
        <w:t>into raw sugar that:</w:t>
      </w:r>
    </w:p>
    <w:p w:rsidR="000622AC" w:rsidRPr="007D048D" w:rsidRDefault="00137FFA" w:rsidP="00137FFA">
      <w:pPr>
        <w:pStyle w:val="tPara"/>
      </w:pPr>
      <w:r>
        <w:tab/>
        <w:t>(</w:t>
      </w:r>
      <w:proofErr w:type="gramStart"/>
      <w:r>
        <w:t>a</w:t>
      </w:r>
      <w:proofErr w:type="gramEnd"/>
      <w:r>
        <w:t>)</w:t>
      </w:r>
      <w:r>
        <w:tab/>
      </w:r>
      <w:r w:rsidR="000622AC">
        <w:t>is</w:t>
      </w:r>
      <w:r w:rsidR="000622AC" w:rsidRPr="0003330C">
        <w:t xml:space="preserve"> generally useable in </w:t>
      </w:r>
      <w:r w:rsidR="000622AC">
        <w:t>sugar refining activities; and</w:t>
      </w:r>
    </w:p>
    <w:p w:rsidR="000622AC" w:rsidRPr="00137FFA" w:rsidRDefault="00137FFA" w:rsidP="00137FFA">
      <w:pPr>
        <w:pStyle w:val="tPara"/>
      </w:pPr>
      <w:r>
        <w:tab/>
        <w:t>(b)</w:t>
      </w:r>
      <w:r>
        <w:tab/>
      </w:r>
      <w:proofErr w:type="gramStart"/>
      <w:r w:rsidR="000622AC">
        <w:t>is</w:t>
      </w:r>
      <w:proofErr w:type="gramEnd"/>
      <w:r w:rsidR="000622AC">
        <w:t xml:space="preserve"> of saleable quality.</w:t>
      </w:r>
    </w:p>
    <w:p w:rsidR="000622AC" w:rsidRPr="00764557" w:rsidRDefault="000622AC" w:rsidP="000622AC">
      <w:pPr>
        <w:pStyle w:val="tMain"/>
        <w:rPr>
          <w:b/>
          <w:i/>
          <w:szCs w:val="22"/>
        </w:rPr>
      </w:pPr>
      <w:r>
        <w:rPr>
          <w:szCs w:val="22"/>
        </w:rPr>
        <w:tab/>
        <w:t>(3)</w:t>
      </w:r>
      <w:r>
        <w:rPr>
          <w:szCs w:val="22"/>
        </w:rPr>
        <w:tab/>
        <w:t xml:space="preserve">The activity in </w:t>
      </w:r>
      <w:r w:rsidRPr="000622AC">
        <w:t>subsection</w:t>
      </w:r>
      <w:r w:rsidRPr="00764557">
        <w:rPr>
          <w:szCs w:val="22"/>
        </w:rPr>
        <w:t xml:space="preserve"> (2) is the </w:t>
      </w:r>
      <w:r w:rsidRPr="00764557">
        <w:rPr>
          <w:b/>
          <w:i/>
          <w:szCs w:val="22"/>
        </w:rPr>
        <w:t>raw sugar manufacturing activity</w:t>
      </w:r>
      <w:r w:rsidRPr="00F953F9">
        <w:rPr>
          <w:szCs w:val="22"/>
        </w:rPr>
        <w:t xml:space="preserve">. </w:t>
      </w:r>
    </w:p>
    <w:p w:rsidR="000622AC" w:rsidRPr="00137FFA" w:rsidRDefault="00137FFA" w:rsidP="00137FFA">
      <w:pPr>
        <w:pStyle w:val="tMain"/>
        <w:rPr>
          <w:szCs w:val="22"/>
        </w:rPr>
      </w:pPr>
      <w:r>
        <w:rPr>
          <w:szCs w:val="22"/>
        </w:rPr>
        <w:tab/>
        <w:t>(4)</w:t>
      </w:r>
      <w:r>
        <w:rPr>
          <w:szCs w:val="22"/>
        </w:rPr>
        <w:tab/>
      </w:r>
      <w:r w:rsidR="000622AC" w:rsidRPr="00764557">
        <w:rPr>
          <w:szCs w:val="22"/>
        </w:rPr>
        <w:t xml:space="preserve">The default </w:t>
      </w:r>
      <w:r w:rsidR="000622AC" w:rsidRPr="000622AC">
        <w:t>emissions</w:t>
      </w:r>
      <w:r w:rsidR="000622AC" w:rsidRPr="00764557">
        <w:rPr>
          <w:szCs w:val="22"/>
        </w:rPr>
        <w:t xml:space="preserve"> intensity is </w:t>
      </w:r>
      <w:r w:rsidR="00A91185">
        <w:rPr>
          <w:szCs w:val="22"/>
        </w:rPr>
        <w:t>0.0311</w:t>
      </w:r>
      <w:r w:rsidR="000622AC" w:rsidRPr="004E410A">
        <w:rPr>
          <w:szCs w:val="22"/>
        </w:rPr>
        <w:t xml:space="preserve"> t</w:t>
      </w:r>
      <w:r w:rsidR="000622AC" w:rsidRPr="00764557">
        <w:rPr>
          <w:szCs w:val="22"/>
        </w:rPr>
        <w:t xml:space="preserve"> CO</w:t>
      </w:r>
      <w:r w:rsidR="000622AC" w:rsidRPr="004E410A">
        <w:rPr>
          <w:szCs w:val="22"/>
          <w:vertAlign w:val="subscript"/>
        </w:rPr>
        <w:t>2</w:t>
      </w:r>
      <w:r w:rsidR="000622AC" w:rsidRPr="000538BF">
        <w:rPr>
          <w:szCs w:val="22"/>
        </w:rPr>
        <w:t xml:space="preserve">-e per tonne of </w:t>
      </w:r>
      <w:r w:rsidR="000622AC">
        <w:rPr>
          <w:szCs w:val="22"/>
        </w:rPr>
        <w:t>raw sugar</w:t>
      </w:r>
      <w:r w:rsidR="000622AC" w:rsidRPr="000538BF">
        <w:rPr>
          <w:szCs w:val="22"/>
        </w:rPr>
        <w:t>.</w:t>
      </w:r>
    </w:p>
    <w:p w:rsidR="000622AC" w:rsidRPr="00137FFA" w:rsidRDefault="0091538E" w:rsidP="00137FFA">
      <w:pPr>
        <w:pStyle w:val="h5Section"/>
      </w:pPr>
      <w:bookmarkStart w:id="11" w:name="_Toc68594009"/>
      <w:proofErr w:type="gramStart"/>
      <w:r>
        <w:t>96</w:t>
      </w:r>
      <w:r w:rsidR="000622AC" w:rsidRPr="00E672BD">
        <w:t xml:space="preserve">  </w:t>
      </w:r>
      <w:r w:rsidR="000622AC">
        <w:t>Exported</w:t>
      </w:r>
      <w:proofErr w:type="gramEnd"/>
      <w:r w:rsidR="000622AC">
        <w:t xml:space="preserve"> steam related to </w:t>
      </w:r>
      <w:r w:rsidR="00137FFA">
        <w:t xml:space="preserve">the </w:t>
      </w:r>
      <w:r w:rsidR="000622AC">
        <w:t>raw sugar manufacturing activity</w:t>
      </w:r>
      <w:bookmarkEnd w:id="11"/>
    </w:p>
    <w:p w:rsidR="000622AC" w:rsidRDefault="00137FFA" w:rsidP="000622AC">
      <w:pPr>
        <w:pStyle w:val="tMain"/>
      </w:pPr>
      <w:r>
        <w:tab/>
        <w:t>(1)</w:t>
      </w:r>
      <w:r>
        <w:tab/>
      </w:r>
      <w:r w:rsidR="000622AC">
        <w:t>Gigajoules of steam that:</w:t>
      </w:r>
    </w:p>
    <w:p w:rsidR="000622AC" w:rsidRDefault="00137FFA" w:rsidP="00137FFA">
      <w:pPr>
        <w:pStyle w:val="tPara"/>
      </w:pPr>
      <w:r>
        <w:tab/>
        <w:t>(a)</w:t>
      </w:r>
      <w:r>
        <w:tab/>
      </w:r>
      <w:proofErr w:type="gramStart"/>
      <w:r w:rsidR="000622AC">
        <w:t>is</w:t>
      </w:r>
      <w:proofErr w:type="gramEnd"/>
      <w:r w:rsidR="000622AC">
        <w:t xml:space="preserve"> generated at a sugar mill by heating water; and</w:t>
      </w:r>
    </w:p>
    <w:p w:rsidR="000622AC" w:rsidRPr="003D5A9C" w:rsidRDefault="00137FFA" w:rsidP="00137FFA">
      <w:pPr>
        <w:pStyle w:val="tPara"/>
      </w:pPr>
      <w:r>
        <w:tab/>
        <w:t>(b)</w:t>
      </w:r>
      <w:r>
        <w:tab/>
      </w:r>
      <w:proofErr w:type="gramStart"/>
      <w:r w:rsidR="000622AC" w:rsidRPr="003D5A9C">
        <w:t>is</w:t>
      </w:r>
      <w:proofErr w:type="gramEnd"/>
      <w:r w:rsidR="000622AC" w:rsidRPr="003D5A9C">
        <w:t xml:space="preserve"> transferred or exported to another facility </w:t>
      </w:r>
      <w:r w:rsidR="000622AC" w:rsidRPr="002455E6">
        <w:t>for use at that facility.</w:t>
      </w:r>
    </w:p>
    <w:p w:rsidR="000622AC" w:rsidRPr="003D5A9C" w:rsidRDefault="00137FFA" w:rsidP="000622AC">
      <w:pPr>
        <w:pStyle w:val="tMain"/>
      </w:pPr>
      <w:r>
        <w:tab/>
        <w:t>(2)</w:t>
      </w:r>
      <w:r>
        <w:tab/>
      </w:r>
      <w:r w:rsidR="000622AC" w:rsidRPr="003D5A9C">
        <w:t xml:space="preserve">The metric in subsection (1) is applicable to a facility that: </w:t>
      </w:r>
    </w:p>
    <w:p w:rsidR="000622AC" w:rsidRPr="003D5A9C" w:rsidRDefault="00137FFA" w:rsidP="00137FFA">
      <w:pPr>
        <w:pStyle w:val="tPara"/>
      </w:pPr>
      <w:r>
        <w:tab/>
        <w:t>(a)</w:t>
      </w:r>
      <w:r>
        <w:tab/>
      </w:r>
      <w:proofErr w:type="gramStart"/>
      <w:r w:rsidR="000622AC" w:rsidRPr="003D5A9C">
        <w:t>conducts</w:t>
      </w:r>
      <w:proofErr w:type="gramEnd"/>
      <w:r w:rsidR="000622AC" w:rsidRPr="003D5A9C">
        <w:t xml:space="preserve"> the raw sugar manufacturing activity; and</w:t>
      </w:r>
    </w:p>
    <w:p w:rsidR="000622AC" w:rsidRPr="003D5A9C" w:rsidRDefault="00137FFA" w:rsidP="00137FFA">
      <w:pPr>
        <w:pStyle w:val="tPara"/>
      </w:pPr>
      <w:r>
        <w:tab/>
        <w:t>(b)</w:t>
      </w:r>
      <w:r>
        <w:tab/>
      </w:r>
      <w:r w:rsidR="000622AC" w:rsidRPr="003D5A9C">
        <w:t>is structured such that energy (including steam and with or without the export of electricity) is intended to be the only output from the facility for a portion of the year under ordinary operating conditions, such as a facility with a seasonal output which exports energy year-round.</w:t>
      </w:r>
      <w:r w:rsidR="000622AC" w:rsidRPr="003D5A9C" w:rsidDel="009A4FE8">
        <w:t xml:space="preserve"> </w:t>
      </w:r>
    </w:p>
    <w:p w:rsidR="000622AC" w:rsidRPr="003D5A9C" w:rsidRDefault="00137FFA" w:rsidP="000622AC">
      <w:pPr>
        <w:pStyle w:val="tMain"/>
      </w:pPr>
      <w:r>
        <w:tab/>
        <w:t>(3)</w:t>
      </w:r>
      <w:r>
        <w:tab/>
        <w:t>The gigajoules</w:t>
      </w:r>
      <w:r w:rsidR="000622AC" w:rsidRPr="003D5A9C">
        <w:t xml:space="preserve"> of steam exported must be:</w:t>
      </w:r>
    </w:p>
    <w:p w:rsidR="000622AC" w:rsidRPr="003D5A9C" w:rsidRDefault="00137FFA" w:rsidP="00137FFA">
      <w:pPr>
        <w:pStyle w:val="tPara"/>
      </w:pPr>
      <w:r>
        <w:tab/>
        <w:t>(a)</w:t>
      </w:r>
      <w:r>
        <w:tab/>
      </w:r>
      <w:proofErr w:type="gramStart"/>
      <w:r w:rsidR="000622AC" w:rsidRPr="003D5A9C">
        <w:t>measured</w:t>
      </w:r>
      <w:proofErr w:type="gramEnd"/>
      <w:r w:rsidR="000622AC" w:rsidRPr="003D5A9C">
        <w:t xml:space="preserve"> consistently with the NGER (Measurement) Determination, including the principles in section 1.13 and </w:t>
      </w:r>
      <w:r w:rsidR="000622AC" w:rsidRPr="003C1AD6">
        <w:t xml:space="preserve">reporting requirements under the </w:t>
      </w:r>
      <w:r w:rsidR="000622AC" w:rsidRPr="003D5A9C">
        <w:t>NGER Regulations; and</w:t>
      </w:r>
    </w:p>
    <w:p w:rsidR="000622AC" w:rsidRPr="003D5A9C" w:rsidRDefault="00137FFA" w:rsidP="00137FFA">
      <w:pPr>
        <w:pStyle w:val="tPara"/>
      </w:pPr>
      <w:r>
        <w:tab/>
        <w:t>(b)</w:t>
      </w:r>
      <w:r>
        <w:tab/>
      </w:r>
      <w:proofErr w:type="gramStart"/>
      <w:r w:rsidR="000622AC" w:rsidRPr="003D5A9C">
        <w:t>calculated</w:t>
      </w:r>
      <w:proofErr w:type="gramEnd"/>
      <w:r w:rsidR="000622AC" w:rsidRPr="003D5A9C">
        <w:t xml:space="preserve"> as total steam exported for a reporting period;</w:t>
      </w:r>
      <w:r w:rsidR="00F953F9">
        <w:t xml:space="preserve"> and</w:t>
      </w:r>
    </w:p>
    <w:p w:rsidR="000622AC" w:rsidRPr="003D5A9C" w:rsidRDefault="00137FFA" w:rsidP="00137FFA">
      <w:pPr>
        <w:pStyle w:val="tPara"/>
      </w:pPr>
      <w:r>
        <w:tab/>
        <w:t>(c)</w:t>
      </w:r>
      <w:r>
        <w:tab/>
      </w:r>
      <w:proofErr w:type="gramStart"/>
      <w:r w:rsidR="000622AC" w:rsidRPr="003D5A9C">
        <w:t>unless</w:t>
      </w:r>
      <w:proofErr w:type="gramEnd"/>
      <w:r w:rsidR="000622AC" w:rsidRPr="003D5A9C">
        <w:t xml:space="preserve"> in conflict with paragraph (a), measured consistently at the facility over time</w:t>
      </w:r>
      <w:r w:rsidR="000622AC" w:rsidRPr="003C1AD6">
        <w:t>.</w:t>
      </w:r>
    </w:p>
    <w:p w:rsidR="000622AC" w:rsidRPr="006912B9" w:rsidRDefault="00137FFA" w:rsidP="000622AC">
      <w:pPr>
        <w:pStyle w:val="tMain"/>
      </w:pPr>
      <w:r>
        <w:tab/>
        <w:t>(4)</w:t>
      </w:r>
      <w:r>
        <w:tab/>
      </w:r>
      <w:r w:rsidR="000622AC" w:rsidRPr="006912B9">
        <w:t>The de</w:t>
      </w:r>
      <w:r w:rsidR="000622AC">
        <w:t xml:space="preserve">fault emissions </w:t>
      </w:r>
      <w:r w:rsidR="000622AC" w:rsidRPr="00764557">
        <w:t xml:space="preserve">intensity </w:t>
      </w:r>
      <w:r w:rsidR="000622AC" w:rsidRPr="004E410A">
        <w:t xml:space="preserve">is </w:t>
      </w:r>
      <w:r w:rsidR="000622AC">
        <w:t>0.0</w:t>
      </w:r>
      <w:r w:rsidR="00A91185">
        <w:t>490</w:t>
      </w:r>
      <w:r w:rsidR="000622AC" w:rsidRPr="004E410A">
        <w:t xml:space="preserve"> t CO</w:t>
      </w:r>
      <w:r w:rsidR="000622AC" w:rsidRPr="004D1F51">
        <w:rPr>
          <w:vertAlign w:val="subscript"/>
        </w:rPr>
        <w:t>2</w:t>
      </w:r>
      <w:r w:rsidR="000622AC" w:rsidRPr="00764557">
        <w:t>-e per gigajoule</w:t>
      </w:r>
      <w:r w:rsidR="000622AC">
        <w:t xml:space="preserve"> of steam</w:t>
      </w:r>
      <w:r w:rsidR="000622AC" w:rsidRPr="006912B9">
        <w:t>.</w:t>
      </w:r>
    </w:p>
    <w:p w:rsidR="000622AC" w:rsidRDefault="000622AC" w:rsidP="000622AC">
      <w:pPr>
        <w:pStyle w:val="ListBullet"/>
        <w:widowControl w:val="0"/>
        <w:ind w:left="360" w:hanging="360"/>
      </w:pPr>
    </w:p>
    <w:p w:rsidR="00EA1A13" w:rsidRDefault="00EA1A13" w:rsidP="00E251AD">
      <w:pPr>
        <w:pStyle w:val="tMain"/>
      </w:pPr>
    </w:p>
    <w:p w:rsidR="00EA1A13" w:rsidRDefault="00EA1A13" w:rsidP="00E251AD">
      <w:pPr>
        <w:pStyle w:val="tMain"/>
      </w:pPr>
    </w:p>
    <w:bookmarkEnd w:id="0"/>
    <w:p w:rsidR="00E5206D" w:rsidRPr="00DD2453" w:rsidRDefault="00E5206D" w:rsidP="00AA7165">
      <w:pPr>
        <w:pStyle w:val="ttExplainTemplate"/>
        <w:rPr>
          <w:color w:val="auto"/>
        </w:rPr>
      </w:pPr>
    </w:p>
    <w:sectPr w:rsidR="00E5206D" w:rsidRPr="00DD2453" w:rsidSect="00B1356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8A" w:rsidRDefault="00AA608A">
      <w:r>
        <w:separator/>
      </w:r>
    </w:p>
  </w:endnote>
  <w:endnote w:type="continuationSeparator" w:id="0">
    <w:p w:rsidR="00AA608A" w:rsidRDefault="00AA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Pr="00E33C1C" w:rsidRDefault="00DA2A61"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6432" behindDoc="1" locked="0" layoutInCell="1" allowOverlap="1" wp14:anchorId="493C2FD1" wp14:editId="493C2FD2">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DA2A61" w:rsidRPr="00581211" w:rsidRDefault="00DA2A61"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D1" id="_x0000_t202" coordsize="21600,21600" o:spt="202" path="m,l,21600r21600,l21600,xe">
              <v:stroke joinstyle="miter"/>
              <v:path gradientshapeok="t" o:connecttype="rect"/>
            </v:shapetype>
            <v:shape id="Text Box 23" o:spid="_x0000_s1028" type="#_x0000_t202" style="position:absolute;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Bh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77HQhRBs9TlA9rJalQzesIZ&#10;Pm8QzII5f80sJhCUmKr+CkslNUpFbyVKam2/v6YPeKQKp6gtTDSU7bc1s6g0+VlhZIyzPA8jMG7y&#10;0dEQG/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T3EGEHAwAAygYAAA4AAAAAAAAAAAAAAAAALgIAAGRycy9lMm9Eb2Mu&#10;eG1sUEsBAi0AFAAGAAgAAAAhADwCUpLfAAAACgEAAA8AAAAAAAAAAAAAAAAAYQUAAGRycy9kb3du&#10;cmV2LnhtbFBLBQYAAAAABAAEAPMAAABtBgAAAAA=&#10;" stroked="f">
              <v:stroke joinstyle="round"/>
              <v:path arrowok="t"/>
              <v:textbox>
                <w:txbxContent>
                  <w:p w:rsidR="00DA2A61" w:rsidRPr="00581211" w:rsidRDefault="00DA2A61"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DA2A61" w:rsidRPr="006A2E3F" w:rsidTr="00B71663">
      <w:tc>
        <w:tcPr>
          <w:tcW w:w="709" w:type="dxa"/>
          <w:tcBorders>
            <w:top w:val="nil"/>
            <w:left w:val="nil"/>
            <w:bottom w:val="nil"/>
            <w:right w:val="nil"/>
          </w:tcBorders>
          <w:shd w:val="clear" w:color="auto" w:fill="auto"/>
        </w:tcPr>
        <w:p w:rsidR="00DA2A61" w:rsidRPr="006A2E3F" w:rsidRDefault="00DA2A61" w:rsidP="00B71663">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rsidR="00DA2A61" w:rsidRPr="006A2E3F" w:rsidRDefault="00DA2A61" w:rsidP="00B71663">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1383" w:type="dxa"/>
          <w:tcBorders>
            <w:top w:val="nil"/>
            <w:left w:val="nil"/>
            <w:bottom w:val="nil"/>
            <w:right w:val="nil"/>
          </w:tcBorders>
          <w:shd w:val="clear" w:color="auto" w:fill="auto"/>
        </w:tcPr>
        <w:p w:rsidR="00DA2A61" w:rsidRPr="006A2E3F" w:rsidRDefault="00DA2A61" w:rsidP="00B71663">
          <w:pPr>
            <w:spacing w:line="0" w:lineRule="atLeast"/>
            <w:jc w:val="right"/>
            <w:rPr>
              <w:sz w:val="18"/>
            </w:rPr>
          </w:pPr>
        </w:p>
      </w:tc>
    </w:tr>
    <w:tr w:rsidR="00DA2A61" w:rsidRPr="006A2E3F" w:rsidTr="00B71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A2A61" w:rsidRPr="006A2E3F" w:rsidRDefault="00DA2A61" w:rsidP="00B71663">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rsidR="00DA2A61" w:rsidRPr="00ED79B6" w:rsidRDefault="00DA2A61" w:rsidP="00B7166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Pr="00E33C1C" w:rsidRDefault="00DA2A61"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5408" behindDoc="1" locked="0" layoutInCell="1" allowOverlap="1" wp14:anchorId="493C2FD3" wp14:editId="493C2FD4">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DA2A61" w:rsidRPr="00581211" w:rsidRDefault="00DA2A61"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D3" id="_x0000_t202" coordsize="21600,21600" o:spt="202" path="m,l,21600r21600,l21600,xe">
              <v:stroke joinstyle="miter"/>
              <v:path gradientshapeok="t" o:connecttype="rect"/>
            </v:shapetype>
            <v:shape id="Text Box 22" o:spid="_x0000_s1029"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1y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GQEsVa5OhWdJ6c645ABX42xk0AuzEA+g565DnG6sxC868OkOQJpr/ggA58dJVtwxeRElxE&#10;Ch72tAc3HMo8z9L0aEQJx1mepuko5iV5vG2s85+EbkkQCmqR1vgCdr9wPvhnkx0kOHNaNuW8kTJu&#10;7Gp5IS25ZyiBefyFqHDlGUwqsinoeDQM72CoxEoyD7E14MapFSVMrlDi3NvoWungAIZ61zPm6t5F&#10;tNrXldVrVUZILVj5UZXEPxgQrNAKNLhrRUmJFDAbpIj0rJFvQeL9UgXvIlZ5zwN2nYcY9WA3VuCP&#10;cTbM0/PheDA/PD4a5PN8NBgfpceDNBufjw/TfJzP5j9DUFk+qZuyFGrRKLHrhix/W7Vt+7Kv49gP&#10;f0bos2yEbO6TtpSMf30tZwH1H4h/RlOsJLC++0b2Yz/0LRA6w3fLLvbYhxBF0Cx1+YB2shrVjJ5w&#10;hs8bBLNgzl8ziwkEJaaqv8JSSY1S0VuJklrb76/pAx6pwilqCxMNZfttzSwqTX5WGBnjLM/DCIyb&#10;fHQ0xMY+PVk+PVHr9kKjY7L4uigGvJc7sbK6vcPwnQavOGKKw3dB0TS9eOH7OYvhzcV0GkEYeob5&#10;hboxfDdFQhJvuztmzba7Pdi81LvZxyYvmrzHhgpXerr2umriBHhkFZkIGwzMmJPtcA8T+ek+oh7/&#10;gk5/AQ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fA81yCAMAAMoGAAAOAAAAAAAAAAAAAAAAAC4CAABkcnMvZTJvRG9j&#10;LnhtbFBLAQItABQABgAIAAAAIQA8AlKS3wAAAAoBAAAPAAAAAAAAAAAAAAAAAGIFAABkcnMvZG93&#10;bnJldi54bWxQSwUGAAAAAAQABADzAAAAbgYAAAAA&#10;" stroked="f">
              <v:stroke joinstyle="round"/>
              <v:path arrowok="t"/>
              <v:textbox>
                <w:txbxContent>
                  <w:p w:rsidR="00DA2A61" w:rsidRPr="00581211" w:rsidRDefault="00DA2A61" w:rsidP="00B71663">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DA2A61" w:rsidRPr="006A2E3F" w:rsidTr="00B71663">
      <w:tc>
        <w:tcPr>
          <w:tcW w:w="1383" w:type="dxa"/>
          <w:tcBorders>
            <w:top w:val="nil"/>
            <w:left w:val="nil"/>
            <w:bottom w:val="nil"/>
            <w:right w:val="nil"/>
          </w:tcBorders>
          <w:shd w:val="clear" w:color="auto" w:fill="auto"/>
        </w:tcPr>
        <w:p w:rsidR="00DA2A61" w:rsidRPr="006A2E3F" w:rsidRDefault="00DA2A61" w:rsidP="00B71663">
          <w:pPr>
            <w:spacing w:line="0" w:lineRule="atLeast"/>
            <w:rPr>
              <w:sz w:val="18"/>
            </w:rPr>
          </w:pPr>
        </w:p>
      </w:tc>
      <w:tc>
        <w:tcPr>
          <w:tcW w:w="6379" w:type="dxa"/>
          <w:tcBorders>
            <w:top w:val="nil"/>
            <w:left w:val="nil"/>
            <w:bottom w:val="nil"/>
            <w:right w:val="nil"/>
          </w:tcBorders>
          <w:shd w:val="clear" w:color="auto" w:fill="auto"/>
        </w:tcPr>
        <w:p w:rsidR="00DA2A61" w:rsidRPr="00E265CF" w:rsidRDefault="00DA2A61" w:rsidP="00B71663">
          <w:pPr>
            <w:spacing w:line="0" w:lineRule="atLeast"/>
            <w:jc w:val="center"/>
            <w:rPr>
              <w:i/>
              <w:sz w:val="18"/>
            </w:rPr>
          </w:pPr>
          <w:r w:rsidRPr="002970DB">
            <w:rPr>
              <w:i/>
              <w:sz w:val="18"/>
            </w:rPr>
            <w:t>National Greenhouse and Energy Reporting (Safeguard Mechanism) Amendment (Prescribed Production Variables</w:t>
          </w:r>
          <w:r w:rsidR="00137FFA">
            <w:rPr>
              <w:i/>
              <w:sz w:val="18"/>
            </w:rPr>
            <w:t xml:space="preserve"> Update</w:t>
          </w:r>
          <w:r w:rsidRPr="002970DB">
            <w:rPr>
              <w:i/>
              <w:sz w:val="18"/>
            </w:rPr>
            <w:t>) Rule 202</w:t>
          </w:r>
          <w:r w:rsidR="00137FFA">
            <w:rPr>
              <w:i/>
              <w:sz w:val="18"/>
            </w:rPr>
            <w:t>1</w:t>
          </w:r>
        </w:p>
      </w:tc>
      <w:tc>
        <w:tcPr>
          <w:tcW w:w="710" w:type="dxa"/>
          <w:tcBorders>
            <w:top w:val="nil"/>
            <w:left w:val="nil"/>
            <w:bottom w:val="nil"/>
            <w:right w:val="nil"/>
          </w:tcBorders>
          <w:shd w:val="clear" w:color="auto" w:fill="auto"/>
        </w:tcPr>
        <w:p w:rsidR="00DA2A61" w:rsidRPr="006A2E3F" w:rsidRDefault="00DA2A61"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F90F77">
            <w:rPr>
              <w:i/>
              <w:noProof/>
              <w:sz w:val="18"/>
            </w:rPr>
            <w:t>i</w:t>
          </w:r>
          <w:r w:rsidRPr="006A2E3F">
            <w:rPr>
              <w:i/>
              <w:sz w:val="18"/>
            </w:rPr>
            <w:fldChar w:fldCharType="end"/>
          </w:r>
        </w:p>
      </w:tc>
    </w:tr>
  </w:tbl>
  <w:p w:rsidR="00DA2A61" w:rsidRPr="00ED79B6" w:rsidRDefault="00DA2A61" w:rsidP="00B71663">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Default="00DA2A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DA2A61" w:rsidRPr="006A2E3F" w:rsidTr="00B71663">
      <w:tc>
        <w:tcPr>
          <w:tcW w:w="1383" w:type="dxa"/>
          <w:tcBorders>
            <w:top w:val="nil"/>
            <w:left w:val="nil"/>
            <w:bottom w:val="nil"/>
            <w:right w:val="nil"/>
          </w:tcBorders>
          <w:shd w:val="clear" w:color="auto" w:fill="auto"/>
        </w:tcPr>
        <w:p w:rsidR="00DA2A61" w:rsidRPr="006A2E3F" w:rsidRDefault="00DA2A61" w:rsidP="00B71663">
          <w:pPr>
            <w:spacing w:line="0" w:lineRule="atLeast"/>
            <w:rPr>
              <w:sz w:val="18"/>
            </w:rPr>
          </w:pPr>
        </w:p>
      </w:tc>
      <w:tc>
        <w:tcPr>
          <w:tcW w:w="6379" w:type="dxa"/>
          <w:tcBorders>
            <w:top w:val="nil"/>
            <w:left w:val="nil"/>
            <w:bottom w:val="nil"/>
            <w:right w:val="nil"/>
          </w:tcBorders>
          <w:shd w:val="clear" w:color="auto" w:fill="auto"/>
        </w:tcPr>
        <w:p w:rsidR="00DA2A61" w:rsidRPr="00E265CF" w:rsidRDefault="00DA2A61" w:rsidP="00B71663">
          <w:pPr>
            <w:spacing w:line="0" w:lineRule="atLeast"/>
            <w:jc w:val="center"/>
            <w:rPr>
              <w:i/>
              <w:sz w:val="18"/>
            </w:rPr>
          </w:pPr>
          <w:r w:rsidRPr="002970DB">
            <w:rPr>
              <w:i/>
              <w:sz w:val="18"/>
            </w:rPr>
            <w:t>National Greenhouse and Energy Reporting (Safeguard Mechanism) Amendment (Prescribed Production Variables</w:t>
          </w:r>
          <w:r w:rsidR="00137FFA">
            <w:rPr>
              <w:i/>
              <w:sz w:val="18"/>
            </w:rPr>
            <w:t xml:space="preserve"> Update</w:t>
          </w:r>
          <w:r w:rsidRPr="002970DB">
            <w:rPr>
              <w:i/>
              <w:sz w:val="18"/>
            </w:rPr>
            <w:t>) Rule 202</w:t>
          </w:r>
          <w:r w:rsidR="00137FFA">
            <w:rPr>
              <w:i/>
              <w:sz w:val="18"/>
            </w:rPr>
            <w:t>1</w:t>
          </w:r>
        </w:p>
      </w:tc>
      <w:tc>
        <w:tcPr>
          <w:tcW w:w="710" w:type="dxa"/>
          <w:tcBorders>
            <w:top w:val="nil"/>
            <w:left w:val="nil"/>
            <w:bottom w:val="nil"/>
            <w:right w:val="nil"/>
          </w:tcBorders>
          <w:shd w:val="clear" w:color="auto" w:fill="auto"/>
        </w:tcPr>
        <w:p w:rsidR="00DA2A61" w:rsidRPr="006A2E3F" w:rsidRDefault="00DA2A61"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F90F77">
            <w:rPr>
              <w:i/>
              <w:noProof/>
              <w:sz w:val="18"/>
            </w:rPr>
            <w:t>12</w:t>
          </w:r>
          <w:r w:rsidRPr="006A2E3F">
            <w:rPr>
              <w:i/>
              <w:sz w:val="18"/>
            </w:rPr>
            <w:fldChar w:fldCharType="end"/>
          </w:r>
        </w:p>
      </w:tc>
    </w:tr>
  </w:tbl>
  <w:p w:rsidR="00DA2A61" w:rsidRPr="00B71663" w:rsidRDefault="00DA2A61" w:rsidP="00B716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DA2A61" w:rsidRPr="006A2E3F" w:rsidTr="00B71663">
      <w:tc>
        <w:tcPr>
          <w:tcW w:w="1383" w:type="dxa"/>
          <w:tcBorders>
            <w:top w:val="nil"/>
            <w:left w:val="nil"/>
            <w:bottom w:val="nil"/>
            <w:right w:val="nil"/>
          </w:tcBorders>
          <w:shd w:val="clear" w:color="auto" w:fill="auto"/>
        </w:tcPr>
        <w:p w:rsidR="00DA2A61" w:rsidRPr="006A2E3F" w:rsidRDefault="00DA2A61" w:rsidP="00B71663">
          <w:pPr>
            <w:spacing w:line="0" w:lineRule="atLeast"/>
            <w:rPr>
              <w:sz w:val="18"/>
            </w:rPr>
          </w:pPr>
        </w:p>
      </w:tc>
      <w:tc>
        <w:tcPr>
          <w:tcW w:w="6379" w:type="dxa"/>
          <w:tcBorders>
            <w:top w:val="nil"/>
            <w:left w:val="nil"/>
            <w:bottom w:val="nil"/>
            <w:right w:val="nil"/>
          </w:tcBorders>
          <w:shd w:val="clear" w:color="auto" w:fill="auto"/>
        </w:tcPr>
        <w:p w:rsidR="00DA2A61" w:rsidRPr="00E265CF" w:rsidRDefault="00DA2A61" w:rsidP="00B71663">
          <w:pPr>
            <w:spacing w:line="0" w:lineRule="atLeast"/>
            <w:jc w:val="center"/>
            <w:rPr>
              <w:i/>
              <w:sz w:val="18"/>
            </w:rPr>
          </w:pPr>
          <w:r w:rsidRPr="002970DB">
            <w:rPr>
              <w:i/>
              <w:sz w:val="18"/>
            </w:rPr>
            <w:t>National Greenhouse and Energy Reporting (Safeguard Mechanism) Amendment (Prescribed Production Variables</w:t>
          </w:r>
          <w:r w:rsidR="00137FFA">
            <w:rPr>
              <w:i/>
              <w:sz w:val="18"/>
            </w:rPr>
            <w:t xml:space="preserve"> Update</w:t>
          </w:r>
          <w:r w:rsidRPr="002970DB">
            <w:rPr>
              <w:i/>
              <w:sz w:val="18"/>
            </w:rPr>
            <w:t>) Rule 202</w:t>
          </w:r>
          <w:r w:rsidR="00137FFA">
            <w:rPr>
              <w:i/>
              <w:sz w:val="18"/>
            </w:rPr>
            <w:t>1</w:t>
          </w:r>
        </w:p>
      </w:tc>
      <w:tc>
        <w:tcPr>
          <w:tcW w:w="710" w:type="dxa"/>
          <w:tcBorders>
            <w:top w:val="nil"/>
            <w:left w:val="nil"/>
            <w:bottom w:val="nil"/>
            <w:right w:val="nil"/>
          </w:tcBorders>
          <w:shd w:val="clear" w:color="auto" w:fill="auto"/>
        </w:tcPr>
        <w:p w:rsidR="00DA2A61" w:rsidRPr="006A2E3F" w:rsidRDefault="00DA2A61"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F90F77">
            <w:rPr>
              <w:i/>
              <w:noProof/>
              <w:sz w:val="18"/>
            </w:rPr>
            <w:t>2</w:t>
          </w:r>
          <w:r w:rsidRPr="006A2E3F">
            <w:rPr>
              <w:i/>
              <w:sz w:val="18"/>
            </w:rPr>
            <w:fldChar w:fldCharType="end"/>
          </w:r>
        </w:p>
      </w:tc>
    </w:tr>
  </w:tbl>
  <w:p w:rsidR="00DA2A61" w:rsidRDefault="00DA2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8A" w:rsidRDefault="00AA608A">
      <w:r>
        <w:separator/>
      </w:r>
    </w:p>
  </w:footnote>
  <w:footnote w:type="continuationSeparator" w:id="0">
    <w:p w:rsidR="00AA608A" w:rsidRDefault="00AA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Pr="00ED79B6" w:rsidRDefault="00DA2A61" w:rsidP="00B71663">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14:anchorId="493C2FCD" wp14:editId="493C2FCE">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DA2A61" w:rsidRPr="00581211" w:rsidRDefault="00DA2A61"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CD" id="_x0000_t202" coordsize="21600,21600" o:spt="202" path="m,l,21600r21600,l21600,xe">
              <v:stroke joinstyle="miter"/>
              <v:path gradientshapeok="t" o:connecttype="rect"/>
            </v:shapetype>
            <v:shape id="Text Box 17"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rsidR="00DA2A61" w:rsidRPr="00581211" w:rsidRDefault="00DA2A61"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Pr="00ED35E8" w:rsidRDefault="00DA2A61" w:rsidP="00ED35E8">
    <w:pPr>
      <w:pStyle w:val="Header"/>
      <w:rPr>
        <w:sz w:val="32"/>
        <w:szCs w:val="32"/>
      </w:rPr>
    </w:pPr>
    <w:r>
      <w:rPr>
        <w:noProof/>
      </w:rPr>
      <mc:AlternateContent>
        <mc:Choice Requires="wps">
          <w:drawing>
            <wp:anchor distT="0" distB="0" distL="114300" distR="114300" simplePos="0" relativeHeight="251661312" behindDoc="1" locked="0" layoutInCell="1" allowOverlap="1" wp14:anchorId="493C2FCF" wp14:editId="493C2FD0">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DA2A61" w:rsidRPr="00581211" w:rsidRDefault="00DA2A61"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CF" id="_x0000_t202" coordsize="21600,21600" o:spt="202" path="m,l,21600r21600,l21600,xe">
              <v:stroke joinstyle="miter"/>
              <v:path gradientshapeok="t" o:connecttype="rect"/>
            </v:shapetype>
            <v:shape id="Text Box 16" o:spid="_x0000_s1027" type="#_x0000_t202" style="position:absolute;left:0;text-align:left;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fq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qux0IUQbPQxRbtZDWqGT3hDJ/V&#10;CGbOnL9lFhMISkxVf4OllBqloncSJZW239/SBzxShVPUFiYayvbbillUmvyiMDLGWZ6HERg3+WDU&#10;x8Y+P1k8P1Gr5lKjY7L4uigGvJd7sbS6ecDwPQ9eccQUh+8pRdN04qXv5iyGNxfn5xGEoWeYn6s7&#10;w/dTJCTxvn1g1uy624PNa72ffWzyqsk7bKhwpc9XXpd1nABPrCITYYOBGXOyG+5hIj/fR9TTX9Dp&#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C+7H6gYDAADKBgAADgAAAAAAAAAAAAAAAAAuAgAAZHJzL2Uyb0RvYy54bWxQ&#10;SwECLQAUAAYACAAAACEA5grfutwAAAAGAQAADwAAAAAAAAAAAAAAAABgBQAAZHJzL2Rvd25yZXYu&#10;eG1sUEsFBgAAAAAEAAQA8wAAAGkGAAAAAA==&#10;" stroked="f">
              <v:stroke joinstyle="round"/>
              <v:path arrowok="t"/>
              <v:textbox>
                <w:txbxContent>
                  <w:p w:rsidR="00DA2A61" w:rsidRPr="00581211" w:rsidRDefault="00DA2A61" w:rsidP="00B71663">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Pr="00ED79B6" w:rsidRDefault="00DA2A61" w:rsidP="00B716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Default="00DA2A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Default="00DA2A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1" w:rsidRPr="009341A7" w:rsidRDefault="00DA2A61">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 w15:restartNumberingAfterBreak="0">
    <w:nsid w:val="04D767D4"/>
    <w:multiLevelType w:val="multilevel"/>
    <w:tmpl w:val="4A749204"/>
    <w:lvl w:ilvl="0">
      <w:start w:val="1"/>
      <w:numFmt w:val="decimal"/>
      <w:lvlText w:val="%1."/>
      <w:lvlJc w:val="left"/>
      <w:pPr>
        <w:ind w:left="1080" w:hanging="360"/>
      </w:pPr>
      <w:rPr>
        <w:rFonts w:hint="default"/>
        <w:b w:val="0"/>
        <w:i w:val="0"/>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0224C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 w15:restartNumberingAfterBreak="0">
    <w:nsid w:val="0EA032D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1384C67"/>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 w15:restartNumberingAfterBreak="0">
    <w:nsid w:val="13933421"/>
    <w:multiLevelType w:val="hybridMultilevel"/>
    <w:tmpl w:val="0F3E0256"/>
    <w:lvl w:ilvl="0" w:tplc="1B747CA4">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15A759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7C534A"/>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E16FF"/>
    <w:multiLevelType w:val="hybridMultilevel"/>
    <w:tmpl w:val="7A9088C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1BE0134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 w15:restartNumberingAfterBreak="0">
    <w:nsid w:val="1EAB42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64389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27DC55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7D42F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2DD749BA"/>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 w15:restartNumberingAfterBreak="0">
    <w:nsid w:val="2E5E7FE6"/>
    <w:multiLevelType w:val="hybridMultilevel"/>
    <w:tmpl w:val="8124D1C0"/>
    <w:lvl w:ilvl="0" w:tplc="EB027456">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0"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42266120"/>
    <w:multiLevelType w:val="hybridMultilevel"/>
    <w:tmpl w:val="8D603CCE"/>
    <w:lvl w:ilvl="0" w:tplc="95402366">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446B03E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 w15:restartNumberingAfterBreak="0">
    <w:nsid w:val="466250A7"/>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E60155"/>
    <w:multiLevelType w:val="hybridMultilevel"/>
    <w:tmpl w:val="0F3E0256"/>
    <w:lvl w:ilvl="0" w:tplc="1B747CA4">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3" w15:restartNumberingAfterBreak="0">
    <w:nsid w:val="54BD12BC"/>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54463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8381BB8"/>
    <w:multiLevelType w:val="multilevel"/>
    <w:tmpl w:val="C8444FD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36D12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9430E9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69A82534"/>
    <w:multiLevelType w:val="hybridMultilevel"/>
    <w:tmpl w:val="5A2A50C2"/>
    <w:lvl w:ilvl="0" w:tplc="DCCACC04">
      <w:start w:val="1"/>
      <w:numFmt w:val="decimal"/>
      <w:lvlText w:val="%1."/>
      <w:lvlJc w:val="left"/>
      <w:pPr>
        <w:tabs>
          <w:tab w:val="num" w:pos="360"/>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11A3F1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738A41A9"/>
    <w:multiLevelType w:val="hybridMultilevel"/>
    <w:tmpl w:val="7A9088C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9" w15:restartNumberingAfterBreak="0">
    <w:nsid w:val="76E4676E"/>
    <w:multiLevelType w:val="hybridMultilevel"/>
    <w:tmpl w:val="0F3E0256"/>
    <w:lvl w:ilvl="0" w:tplc="1B747CA4">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0"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1" w15:restartNumberingAfterBreak="0">
    <w:nsid w:val="7CE93E7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2" w15:restartNumberingAfterBreak="0">
    <w:nsid w:val="7D481777"/>
    <w:multiLevelType w:val="hybridMultilevel"/>
    <w:tmpl w:val="7A9088C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3" w15:restartNumberingAfterBreak="0">
    <w:nsid w:val="7D6B41E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F26D65"/>
    <w:multiLevelType w:val="hybridMultilevel"/>
    <w:tmpl w:val="22162DD6"/>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C2025EDA">
      <w:start w:val="1"/>
      <w:numFmt w:val="decimal"/>
      <w:lvlText w:val="(%3)"/>
      <w:lvlJc w:val="left"/>
      <w:pPr>
        <w:ind w:left="3321" w:hanging="360"/>
      </w:pPr>
      <w:rPr>
        <w:rFonts w:hint="default"/>
      </w:r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num w:numId="1">
    <w:abstractNumId w:val="2"/>
  </w:num>
  <w:num w:numId="2">
    <w:abstractNumId w:val="10"/>
  </w:num>
  <w:num w:numId="3">
    <w:abstractNumId w:val="30"/>
  </w:num>
  <w:num w:numId="4">
    <w:abstractNumId w:val="14"/>
  </w:num>
  <w:num w:numId="5">
    <w:abstractNumId w:val="29"/>
  </w:num>
  <w:num w:numId="6">
    <w:abstractNumId w:val="50"/>
  </w:num>
  <w:num w:numId="7">
    <w:abstractNumId w:val="26"/>
  </w:num>
  <w:num w:numId="8">
    <w:abstractNumId w:val="2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2"/>
  </w:num>
  <w:num w:numId="12">
    <w:abstractNumId w:val="8"/>
  </w:num>
  <w:num w:numId="13">
    <w:abstractNumId w:val="16"/>
  </w:num>
  <w:num w:numId="14">
    <w:abstractNumId w:val="53"/>
  </w:num>
  <w:num w:numId="15">
    <w:abstractNumId w:val="35"/>
  </w:num>
  <w:num w:numId="16">
    <w:abstractNumId w:val="24"/>
  </w:num>
  <w:num w:numId="17">
    <w:abstractNumId w:val="54"/>
  </w:num>
  <w:num w:numId="18">
    <w:abstractNumId w:val="5"/>
  </w:num>
  <w:num w:numId="19">
    <w:abstractNumId w:val="27"/>
  </w:num>
  <w:num w:numId="20">
    <w:abstractNumId w:val="47"/>
  </w:num>
  <w:num w:numId="21">
    <w:abstractNumId w:val="17"/>
  </w:num>
  <w:num w:numId="22">
    <w:abstractNumId w:val="6"/>
  </w:num>
  <w:num w:numId="23">
    <w:abstractNumId w:val="33"/>
  </w:num>
  <w:num w:numId="24">
    <w:abstractNumId w:val="9"/>
  </w:num>
  <w:num w:numId="25">
    <w:abstractNumId w:val="4"/>
  </w:num>
  <w:num w:numId="26">
    <w:abstractNumId w:val="15"/>
  </w:num>
  <w:num w:numId="27">
    <w:abstractNumId w:val="44"/>
  </w:num>
  <w:num w:numId="28">
    <w:abstractNumId w:val="12"/>
  </w:num>
  <w:num w:numId="29">
    <w:abstractNumId w:val="51"/>
  </w:num>
  <w:num w:numId="30">
    <w:abstractNumId w:val="13"/>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num>
  <w:num w:numId="37">
    <w:abstractNumId w:val="49"/>
  </w:num>
  <w:num w:numId="38">
    <w:abstractNumId w:val="3"/>
  </w:num>
  <w:num w:numId="39">
    <w:abstractNumId w:val="28"/>
  </w:num>
  <w:num w:numId="40">
    <w:abstractNumId w:val="18"/>
  </w:num>
  <w:num w:numId="41">
    <w:abstractNumId w:val="11"/>
  </w:num>
  <w:num w:numId="42">
    <w:abstractNumId w:val="37"/>
  </w:num>
  <w:num w:numId="43">
    <w:abstractNumId w:val="48"/>
  </w:num>
  <w:num w:numId="44">
    <w:abstractNumId w:val="5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1AFE"/>
    <w:rsid w:val="00002024"/>
    <w:rsid w:val="00002F4F"/>
    <w:rsid w:val="000039D7"/>
    <w:rsid w:val="00005E43"/>
    <w:rsid w:val="000116E4"/>
    <w:rsid w:val="00012088"/>
    <w:rsid w:val="00012B72"/>
    <w:rsid w:val="00014257"/>
    <w:rsid w:val="00023B7A"/>
    <w:rsid w:val="000248C7"/>
    <w:rsid w:val="00024D88"/>
    <w:rsid w:val="000258A0"/>
    <w:rsid w:val="00030526"/>
    <w:rsid w:val="00031189"/>
    <w:rsid w:val="000320F2"/>
    <w:rsid w:val="00034714"/>
    <w:rsid w:val="00036779"/>
    <w:rsid w:val="00036984"/>
    <w:rsid w:val="0003757F"/>
    <w:rsid w:val="0003764D"/>
    <w:rsid w:val="00041037"/>
    <w:rsid w:val="00041E62"/>
    <w:rsid w:val="000421F4"/>
    <w:rsid w:val="000428FB"/>
    <w:rsid w:val="0004373B"/>
    <w:rsid w:val="0004479F"/>
    <w:rsid w:val="00044C87"/>
    <w:rsid w:val="00044D8C"/>
    <w:rsid w:val="000453D0"/>
    <w:rsid w:val="00046216"/>
    <w:rsid w:val="00050664"/>
    <w:rsid w:val="00051826"/>
    <w:rsid w:val="00051EA8"/>
    <w:rsid w:val="00053450"/>
    <w:rsid w:val="0005423E"/>
    <w:rsid w:val="00056020"/>
    <w:rsid w:val="0005626C"/>
    <w:rsid w:val="00057DAD"/>
    <w:rsid w:val="00060287"/>
    <w:rsid w:val="000622AC"/>
    <w:rsid w:val="00063C97"/>
    <w:rsid w:val="00064F51"/>
    <w:rsid w:val="00066A91"/>
    <w:rsid w:val="00067A9B"/>
    <w:rsid w:val="000731B2"/>
    <w:rsid w:val="00074AB4"/>
    <w:rsid w:val="000813F8"/>
    <w:rsid w:val="00082BCD"/>
    <w:rsid w:val="000870BE"/>
    <w:rsid w:val="0008712C"/>
    <w:rsid w:val="00090D8B"/>
    <w:rsid w:val="00093D64"/>
    <w:rsid w:val="000967FA"/>
    <w:rsid w:val="00097203"/>
    <w:rsid w:val="000974E1"/>
    <w:rsid w:val="000978C5"/>
    <w:rsid w:val="000A0DD5"/>
    <w:rsid w:val="000A25C2"/>
    <w:rsid w:val="000A4314"/>
    <w:rsid w:val="000A71D4"/>
    <w:rsid w:val="000A7903"/>
    <w:rsid w:val="000B042A"/>
    <w:rsid w:val="000B081B"/>
    <w:rsid w:val="000B177D"/>
    <w:rsid w:val="000B2B15"/>
    <w:rsid w:val="000B3D6F"/>
    <w:rsid w:val="000B4DA5"/>
    <w:rsid w:val="000B5DCB"/>
    <w:rsid w:val="000C0F32"/>
    <w:rsid w:val="000C11C3"/>
    <w:rsid w:val="000C1C3E"/>
    <w:rsid w:val="000C201C"/>
    <w:rsid w:val="000C2287"/>
    <w:rsid w:val="000C2440"/>
    <w:rsid w:val="000C2AAC"/>
    <w:rsid w:val="000C3687"/>
    <w:rsid w:val="000C47B3"/>
    <w:rsid w:val="000C61CF"/>
    <w:rsid w:val="000D08EB"/>
    <w:rsid w:val="000D2D22"/>
    <w:rsid w:val="000D2F5D"/>
    <w:rsid w:val="000D2FFA"/>
    <w:rsid w:val="000D40E2"/>
    <w:rsid w:val="000D5C7F"/>
    <w:rsid w:val="000D5F02"/>
    <w:rsid w:val="000D628D"/>
    <w:rsid w:val="000D7125"/>
    <w:rsid w:val="000D7205"/>
    <w:rsid w:val="000E2406"/>
    <w:rsid w:val="000E2AF3"/>
    <w:rsid w:val="000E2E9E"/>
    <w:rsid w:val="000E409F"/>
    <w:rsid w:val="000E4D39"/>
    <w:rsid w:val="000E750C"/>
    <w:rsid w:val="000F0319"/>
    <w:rsid w:val="000F081D"/>
    <w:rsid w:val="000F2EBE"/>
    <w:rsid w:val="000F31F8"/>
    <w:rsid w:val="000F34EC"/>
    <w:rsid w:val="000F39FE"/>
    <w:rsid w:val="000F4353"/>
    <w:rsid w:val="000F4EBB"/>
    <w:rsid w:val="00100C79"/>
    <w:rsid w:val="00101FC3"/>
    <w:rsid w:val="00102896"/>
    <w:rsid w:val="00107E81"/>
    <w:rsid w:val="00107FE7"/>
    <w:rsid w:val="001104D5"/>
    <w:rsid w:val="0011193D"/>
    <w:rsid w:val="0011343D"/>
    <w:rsid w:val="001217A0"/>
    <w:rsid w:val="00121A23"/>
    <w:rsid w:val="00123118"/>
    <w:rsid w:val="001243FC"/>
    <w:rsid w:val="00124559"/>
    <w:rsid w:val="001245D0"/>
    <w:rsid w:val="00126B55"/>
    <w:rsid w:val="001300B0"/>
    <w:rsid w:val="001369B9"/>
    <w:rsid w:val="00137A06"/>
    <w:rsid w:val="00137FFA"/>
    <w:rsid w:val="0014047A"/>
    <w:rsid w:val="00140EBC"/>
    <w:rsid w:val="00141D94"/>
    <w:rsid w:val="00142EC4"/>
    <w:rsid w:val="0014387D"/>
    <w:rsid w:val="001443B4"/>
    <w:rsid w:val="00144E82"/>
    <w:rsid w:val="00145180"/>
    <w:rsid w:val="00145B47"/>
    <w:rsid w:val="001476F6"/>
    <w:rsid w:val="001532D6"/>
    <w:rsid w:val="00154AA1"/>
    <w:rsid w:val="00160FE5"/>
    <w:rsid w:val="00163697"/>
    <w:rsid w:val="001667E6"/>
    <w:rsid w:val="00166E32"/>
    <w:rsid w:val="00170675"/>
    <w:rsid w:val="00172839"/>
    <w:rsid w:val="00174847"/>
    <w:rsid w:val="0017505D"/>
    <w:rsid w:val="001776B2"/>
    <w:rsid w:val="0018156B"/>
    <w:rsid w:val="00182E3C"/>
    <w:rsid w:val="00182E6C"/>
    <w:rsid w:val="00184268"/>
    <w:rsid w:val="00184B5E"/>
    <w:rsid w:val="0019023B"/>
    <w:rsid w:val="00190AB5"/>
    <w:rsid w:val="001923BC"/>
    <w:rsid w:val="00194039"/>
    <w:rsid w:val="00195069"/>
    <w:rsid w:val="00196C16"/>
    <w:rsid w:val="00196DA5"/>
    <w:rsid w:val="001979DC"/>
    <w:rsid w:val="001A15AC"/>
    <w:rsid w:val="001A34B5"/>
    <w:rsid w:val="001A562A"/>
    <w:rsid w:val="001A5CB2"/>
    <w:rsid w:val="001B0571"/>
    <w:rsid w:val="001B0B41"/>
    <w:rsid w:val="001B2D72"/>
    <w:rsid w:val="001B4173"/>
    <w:rsid w:val="001B644D"/>
    <w:rsid w:val="001B7250"/>
    <w:rsid w:val="001B7C15"/>
    <w:rsid w:val="001C0768"/>
    <w:rsid w:val="001C1A73"/>
    <w:rsid w:val="001C1E6C"/>
    <w:rsid w:val="001C3392"/>
    <w:rsid w:val="001C3788"/>
    <w:rsid w:val="001C5C04"/>
    <w:rsid w:val="001C5CD2"/>
    <w:rsid w:val="001C6AD2"/>
    <w:rsid w:val="001D07AE"/>
    <w:rsid w:val="001D3573"/>
    <w:rsid w:val="001D63C1"/>
    <w:rsid w:val="001E0960"/>
    <w:rsid w:val="001E1B02"/>
    <w:rsid w:val="001E4824"/>
    <w:rsid w:val="001E647F"/>
    <w:rsid w:val="001F373E"/>
    <w:rsid w:val="001F43D4"/>
    <w:rsid w:val="001F50EC"/>
    <w:rsid w:val="001F5AF2"/>
    <w:rsid w:val="001F6BD1"/>
    <w:rsid w:val="00201A33"/>
    <w:rsid w:val="00207589"/>
    <w:rsid w:val="00210328"/>
    <w:rsid w:val="00210C28"/>
    <w:rsid w:val="0021145F"/>
    <w:rsid w:val="00211CC7"/>
    <w:rsid w:val="002131D1"/>
    <w:rsid w:val="00213284"/>
    <w:rsid w:val="002133A9"/>
    <w:rsid w:val="00213788"/>
    <w:rsid w:val="002146BA"/>
    <w:rsid w:val="0021764C"/>
    <w:rsid w:val="00217A90"/>
    <w:rsid w:val="00217C89"/>
    <w:rsid w:val="00220F1C"/>
    <w:rsid w:val="002221BC"/>
    <w:rsid w:val="00223A01"/>
    <w:rsid w:val="00225D68"/>
    <w:rsid w:val="0022621E"/>
    <w:rsid w:val="002274CF"/>
    <w:rsid w:val="002309B3"/>
    <w:rsid w:val="00232329"/>
    <w:rsid w:val="00233988"/>
    <w:rsid w:val="00233BC0"/>
    <w:rsid w:val="00234173"/>
    <w:rsid w:val="00235E1E"/>
    <w:rsid w:val="00240E9E"/>
    <w:rsid w:val="0024155A"/>
    <w:rsid w:val="00241798"/>
    <w:rsid w:val="002432A9"/>
    <w:rsid w:val="00243924"/>
    <w:rsid w:val="00245513"/>
    <w:rsid w:val="00246A83"/>
    <w:rsid w:val="00246C4C"/>
    <w:rsid w:val="002472BC"/>
    <w:rsid w:val="00254817"/>
    <w:rsid w:val="00255070"/>
    <w:rsid w:val="00257896"/>
    <w:rsid w:val="00264064"/>
    <w:rsid w:val="00265192"/>
    <w:rsid w:val="00266A0C"/>
    <w:rsid w:val="00266DC8"/>
    <w:rsid w:val="00271C30"/>
    <w:rsid w:val="00274E2B"/>
    <w:rsid w:val="0028069B"/>
    <w:rsid w:val="00280B8E"/>
    <w:rsid w:val="0028237F"/>
    <w:rsid w:val="002832F4"/>
    <w:rsid w:val="0028502C"/>
    <w:rsid w:val="002851EC"/>
    <w:rsid w:val="002863D0"/>
    <w:rsid w:val="00293143"/>
    <w:rsid w:val="00293320"/>
    <w:rsid w:val="00294058"/>
    <w:rsid w:val="00294245"/>
    <w:rsid w:val="00294DE8"/>
    <w:rsid w:val="00295E3A"/>
    <w:rsid w:val="00295E90"/>
    <w:rsid w:val="002A0596"/>
    <w:rsid w:val="002A0C97"/>
    <w:rsid w:val="002A18C9"/>
    <w:rsid w:val="002A289D"/>
    <w:rsid w:val="002A3283"/>
    <w:rsid w:val="002A5322"/>
    <w:rsid w:val="002A5817"/>
    <w:rsid w:val="002A6992"/>
    <w:rsid w:val="002A7A88"/>
    <w:rsid w:val="002A7E6F"/>
    <w:rsid w:val="002B0EAC"/>
    <w:rsid w:val="002B3521"/>
    <w:rsid w:val="002B3F5C"/>
    <w:rsid w:val="002B72B0"/>
    <w:rsid w:val="002C3465"/>
    <w:rsid w:val="002C34C7"/>
    <w:rsid w:val="002C3A65"/>
    <w:rsid w:val="002D2AD4"/>
    <w:rsid w:val="002E2E64"/>
    <w:rsid w:val="002E39E0"/>
    <w:rsid w:val="002E5013"/>
    <w:rsid w:val="002E7EE0"/>
    <w:rsid w:val="002F0C47"/>
    <w:rsid w:val="002F242B"/>
    <w:rsid w:val="002F31A3"/>
    <w:rsid w:val="002F4A68"/>
    <w:rsid w:val="002F4BFA"/>
    <w:rsid w:val="002F664A"/>
    <w:rsid w:val="00301367"/>
    <w:rsid w:val="00301C22"/>
    <w:rsid w:val="00306EFA"/>
    <w:rsid w:val="0031117B"/>
    <w:rsid w:val="003127F8"/>
    <w:rsid w:val="00314007"/>
    <w:rsid w:val="00321884"/>
    <w:rsid w:val="00322CCD"/>
    <w:rsid w:val="003257CA"/>
    <w:rsid w:val="0032598E"/>
    <w:rsid w:val="00326353"/>
    <w:rsid w:val="00327822"/>
    <w:rsid w:val="00331757"/>
    <w:rsid w:val="00331763"/>
    <w:rsid w:val="0033258A"/>
    <w:rsid w:val="00332C68"/>
    <w:rsid w:val="00333A4F"/>
    <w:rsid w:val="00334707"/>
    <w:rsid w:val="0033550A"/>
    <w:rsid w:val="00335540"/>
    <w:rsid w:val="00340AA4"/>
    <w:rsid w:val="0034447C"/>
    <w:rsid w:val="0034760F"/>
    <w:rsid w:val="00347C4B"/>
    <w:rsid w:val="00350078"/>
    <w:rsid w:val="0035186D"/>
    <w:rsid w:val="00352B83"/>
    <w:rsid w:val="00354E4F"/>
    <w:rsid w:val="0035531A"/>
    <w:rsid w:val="00355890"/>
    <w:rsid w:val="00360344"/>
    <w:rsid w:val="0036095D"/>
    <w:rsid w:val="00364922"/>
    <w:rsid w:val="00366331"/>
    <w:rsid w:val="00367F1E"/>
    <w:rsid w:val="00370563"/>
    <w:rsid w:val="00371E2D"/>
    <w:rsid w:val="0037505C"/>
    <w:rsid w:val="00377DAC"/>
    <w:rsid w:val="00380FB2"/>
    <w:rsid w:val="00382276"/>
    <w:rsid w:val="0038492C"/>
    <w:rsid w:val="0039016F"/>
    <w:rsid w:val="00390A97"/>
    <w:rsid w:val="00390B03"/>
    <w:rsid w:val="00391F24"/>
    <w:rsid w:val="0039367F"/>
    <w:rsid w:val="003939A2"/>
    <w:rsid w:val="0039749E"/>
    <w:rsid w:val="003A080E"/>
    <w:rsid w:val="003A34AE"/>
    <w:rsid w:val="003A4CFF"/>
    <w:rsid w:val="003A6158"/>
    <w:rsid w:val="003A644D"/>
    <w:rsid w:val="003A72A8"/>
    <w:rsid w:val="003B01A1"/>
    <w:rsid w:val="003B114C"/>
    <w:rsid w:val="003B3DB9"/>
    <w:rsid w:val="003B3E94"/>
    <w:rsid w:val="003B4E23"/>
    <w:rsid w:val="003B4F0A"/>
    <w:rsid w:val="003B6D48"/>
    <w:rsid w:val="003B7386"/>
    <w:rsid w:val="003B777A"/>
    <w:rsid w:val="003C03A1"/>
    <w:rsid w:val="003C144D"/>
    <w:rsid w:val="003C1E61"/>
    <w:rsid w:val="003C22E1"/>
    <w:rsid w:val="003C25AF"/>
    <w:rsid w:val="003C32EE"/>
    <w:rsid w:val="003C452F"/>
    <w:rsid w:val="003D1B6D"/>
    <w:rsid w:val="003D1FE2"/>
    <w:rsid w:val="003D6899"/>
    <w:rsid w:val="003D7C75"/>
    <w:rsid w:val="003E070E"/>
    <w:rsid w:val="003E0AF3"/>
    <w:rsid w:val="003E1765"/>
    <w:rsid w:val="003E21B2"/>
    <w:rsid w:val="003E2DCB"/>
    <w:rsid w:val="003E3108"/>
    <w:rsid w:val="003E352A"/>
    <w:rsid w:val="003E49CC"/>
    <w:rsid w:val="003E5FBD"/>
    <w:rsid w:val="003E6641"/>
    <w:rsid w:val="003E7BF9"/>
    <w:rsid w:val="003F58A1"/>
    <w:rsid w:val="003F5C6E"/>
    <w:rsid w:val="003F61C0"/>
    <w:rsid w:val="003F7EF1"/>
    <w:rsid w:val="00400862"/>
    <w:rsid w:val="0040186F"/>
    <w:rsid w:val="00401B59"/>
    <w:rsid w:val="00402812"/>
    <w:rsid w:val="004040B2"/>
    <w:rsid w:val="00404E41"/>
    <w:rsid w:val="0040665C"/>
    <w:rsid w:val="00406C4A"/>
    <w:rsid w:val="004077A2"/>
    <w:rsid w:val="00407A73"/>
    <w:rsid w:val="00407C26"/>
    <w:rsid w:val="00412EE5"/>
    <w:rsid w:val="00416635"/>
    <w:rsid w:val="004209C2"/>
    <w:rsid w:val="00423DA5"/>
    <w:rsid w:val="00424D74"/>
    <w:rsid w:val="00425E7D"/>
    <w:rsid w:val="00426469"/>
    <w:rsid w:val="00426D83"/>
    <w:rsid w:val="0043083F"/>
    <w:rsid w:val="00430D5F"/>
    <w:rsid w:val="00431919"/>
    <w:rsid w:val="004327A6"/>
    <w:rsid w:val="00433AE2"/>
    <w:rsid w:val="00435726"/>
    <w:rsid w:val="00435DA0"/>
    <w:rsid w:val="00436098"/>
    <w:rsid w:val="00436219"/>
    <w:rsid w:val="00436C5C"/>
    <w:rsid w:val="004411EA"/>
    <w:rsid w:val="00441379"/>
    <w:rsid w:val="00442041"/>
    <w:rsid w:val="00442227"/>
    <w:rsid w:val="004428F7"/>
    <w:rsid w:val="00442D45"/>
    <w:rsid w:val="00443AB1"/>
    <w:rsid w:val="00444507"/>
    <w:rsid w:val="00444584"/>
    <w:rsid w:val="0044481F"/>
    <w:rsid w:val="004503EC"/>
    <w:rsid w:val="00452C13"/>
    <w:rsid w:val="00457DA7"/>
    <w:rsid w:val="00462B0B"/>
    <w:rsid w:val="00463E97"/>
    <w:rsid w:val="004652C0"/>
    <w:rsid w:val="00475CF2"/>
    <w:rsid w:val="00475FC0"/>
    <w:rsid w:val="00476141"/>
    <w:rsid w:val="0047656B"/>
    <w:rsid w:val="00476C74"/>
    <w:rsid w:val="00477BB5"/>
    <w:rsid w:val="004803D4"/>
    <w:rsid w:val="00487B34"/>
    <w:rsid w:val="00487CB7"/>
    <w:rsid w:val="00490FF2"/>
    <w:rsid w:val="00491433"/>
    <w:rsid w:val="004938A3"/>
    <w:rsid w:val="004971E4"/>
    <w:rsid w:val="004A37E5"/>
    <w:rsid w:val="004A495E"/>
    <w:rsid w:val="004B2125"/>
    <w:rsid w:val="004B421C"/>
    <w:rsid w:val="004B4EA7"/>
    <w:rsid w:val="004B52CE"/>
    <w:rsid w:val="004B5B4A"/>
    <w:rsid w:val="004B644E"/>
    <w:rsid w:val="004C1309"/>
    <w:rsid w:val="004C144E"/>
    <w:rsid w:val="004C1A87"/>
    <w:rsid w:val="004C59F8"/>
    <w:rsid w:val="004C5AFE"/>
    <w:rsid w:val="004C6902"/>
    <w:rsid w:val="004D12C4"/>
    <w:rsid w:val="004D256F"/>
    <w:rsid w:val="004E1067"/>
    <w:rsid w:val="004F0122"/>
    <w:rsid w:val="004F17F7"/>
    <w:rsid w:val="004F2436"/>
    <w:rsid w:val="004F2FAE"/>
    <w:rsid w:val="004F516D"/>
    <w:rsid w:val="004F5362"/>
    <w:rsid w:val="004F6E2A"/>
    <w:rsid w:val="004F7DC4"/>
    <w:rsid w:val="00500012"/>
    <w:rsid w:val="005001B6"/>
    <w:rsid w:val="00502DD0"/>
    <w:rsid w:val="0050462C"/>
    <w:rsid w:val="00505FCA"/>
    <w:rsid w:val="00507791"/>
    <w:rsid w:val="00511EAF"/>
    <w:rsid w:val="00516BAD"/>
    <w:rsid w:val="00516F8E"/>
    <w:rsid w:val="00517E97"/>
    <w:rsid w:val="005207D6"/>
    <w:rsid w:val="00520CFD"/>
    <w:rsid w:val="00520D89"/>
    <w:rsid w:val="00521933"/>
    <w:rsid w:val="00522D4B"/>
    <w:rsid w:val="005276E4"/>
    <w:rsid w:val="00531C0C"/>
    <w:rsid w:val="00532C21"/>
    <w:rsid w:val="00532D74"/>
    <w:rsid w:val="005352DD"/>
    <w:rsid w:val="00535D4B"/>
    <w:rsid w:val="00536929"/>
    <w:rsid w:val="00537B4E"/>
    <w:rsid w:val="00540465"/>
    <w:rsid w:val="00547C80"/>
    <w:rsid w:val="00547E30"/>
    <w:rsid w:val="00551733"/>
    <w:rsid w:val="00552D24"/>
    <w:rsid w:val="0055370A"/>
    <w:rsid w:val="00554B06"/>
    <w:rsid w:val="005556A2"/>
    <w:rsid w:val="00561037"/>
    <w:rsid w:val="0056196C"/>
    <w:rsid w:val="00562634"/>
    <w:rsid w:val="005667F0"/>
    <w:rsid w:val="00567B06"/>
    <w:rsid w:val="00571ACA"/>
    <w:rsid w:val="00571E68"/>
    <w:rsid w:val="00574D2B"/>
    <w:rsid w:val="0057505D"/>
    <w:rsid w:val="00581C0E"/>
    <w:rsid w:val="00582C28"/>
    <w:rsid w:val="00582F11"/>
    <w:rsid w:val="00583629"/>
    <w:rsid w:val="0058479C"/>
    <w:rsid w:val="00584F3F"/>
    <w:rsid w:val="0058653A"/>
    <w:rsid w:val="00586C23"/>
    <w:rsid w:val="00591AD6"/>
    <w:rsid w:val="00592607"/>
    <w:rsid w:val="00594537"/>
    <w:rsid w:val="00595849"/>
    <w:rsid w:val="00596D38"/>
    <w:rsid w:val="005A0240"/>
    <w:rsid w:val="005A0814"/>
    <w:rsid w:val="005A0EF1"/>
    <w:rsid w:val="005A6272"/>
    <w:rsid w:val="005A6EA9"/>
    <w:rsid w:val="005B15E4"/>
    <w:rsid w:val="005B29AD"/>
    <w:rsid w:val="005B42FE"/>
    <w:rsid w:val="005B5048"/>
    <w:rsid w:val="005B52E3"/>
    <w:rsid w:val="005B5536"/>
    <w:rsid w:val="005B56BF"/>
    <w:rsid w:val="005B63B2"/>
    <w:rsid w:val="005B7033"/>
    <w:rsid w:val="005C1148"/>
    <w:rsid w:val="005D1FCA"/>
    <w:rsid w:val="005D4CA5"/>
    <w:rsid w:val="005D7C25"/>
    <w:rsid w:val="005E017E"/>
    <w:rsid w:val="005E0910"/>
    <w:rsid w:val="005E138B"/>
    <w:rsid w:val="005E4601"/>
    <w:rsid w:val="005E736A"/>
    <w:rsid w:val="005F1DF4"/>
    <w:rsid w:val="005F253E"/>
    <w:rsid w:val="005F27EF"/>
    <w:rsid w:val="005F5E3B"/>
    <w:rsid w:val="005F60DB"/>
    <w:rsid w:val="005F73FE"/>
    <w:rsid w:val="006006CF"/>
    <w:rsid w:val="00602E88"/>
    <w:rsid w:val="00603EA5"/>
    <w:rsid w:val="00604125"/>
    <w:rsid w:val="00605ADC"/>
    <w:rsid w:val="00606ADD"/>
    <w:rsid w:val="00610DA3"/>
    <w:rsid w:val="006122E1"/>
    <w:rsid w:val="006147BE"/>
    <w:rsid w:val="006161F8"/>
    <w:rsid w:val="00616491"/>
    <w:rsid w:val="00621256"/>
    <w:rsid w:val="00623FA5"/>
    <w:rsid w:val="0062440A"/>
    <w:rsid w:val="0062512C"/>
    <w:rsid w:val="0062551D"/>
    <w:rsid w:val="00630E07"/>
    <w:rsid w:val="0063445A"/>
    <w:rsid w:val="00635A53"/>
    <w:rsid w:val="00636348"/>
    <w:rsid w:val="006376CC"/>
    <w:rsid w:val="0064072C"/>
    <w:rsid w:val="00640E0B"/>
    <w:rsid w:val="00641007"/>
    <w:rsid w:val="00642695"/>
    <w:rsid w:val="00642C1E"/>
    <w:rsid w:val="006448E4"/>
    <w:rsid w:val="00645F37"/>
    <w:rsid w:val="0064647A"/>
    <w:rsid w:val="0064667D"/>
    <w:rsid w:val="00646D73"/>
    <w:rsid w:val="00647E87"/>
    <w:rsid w:val="0065130D"/>
    <w:rsid w:val="00652BBE"/>
    <w:rsid w:val="0065413D"/>
    <w:rsid w:val="00654FF7"/>
    <w:rsid w:val="006574AB"/>
    <w:rsid w:val="006617ED"/>
    <w:rsid w:val="00662B72"/>
    <w:rsid w:val="006638A9"/>
    <w:rsid w:val="00663ADA"/>
    <w:rsid w:val="00665AEC"/>
    <w:rsid w:val="00666AB2"/>
    <w:rsid w:val="0066733F"/>
    <w:rsid w:val="006738A8"/>
    <w:rsid w:val="006775C7"/>
    <w:rsid w:val="006800C1"/>
    <w:rsid w:val="006805E2"/>
    <w:rsid w:val="0068239C"/>
    <w:rsid w:val="006829B7"/>
    <w:rsid w:val="006838D2"/>
    <w:rsid w:val="0068442B"/>
    <w:rsid w:val="00685DC9"/>
    <w:rsid w:val="0068754D"/>
    <w:rsid w:val="00692892"/>
    <w:rsid w:val="006948D4"/>
    <w:rsid w:val="006961BC"/>
    <w:rsid w:val="006A0323"/>
    <w:rsid w:val="006A0D8C"/>
    <w:rsid w:val="006A0E83"/>
    <w:rsid w:val="006A1924"/>
    <w:rsid w:val="006A37A5"/>
    <w:rsid w:val="006A44B5"/>
    <w:rsid w:val="006A45FF"/>
    <w:rsid w:val="006A6C6E"/>
    <w:rsid w:val="006B07F9"/>
    <w:rsid w:val="006B17DB"/>
    <w:rsid w:val="006B3141"/>
    <w:rsid w:val="006B3A1B"/>
    <w:rsid w:val="006B404D"/>
    <w:rsid w:val="006B4B86"/>
    <w:rsid w:val="006B7B5E"/>
    <w:rsid w:val="006C030F"/>
    <w:rsid w:val="006C1EA8"/>
    <w:rsid w:val="006C2838"/>
    <w:rsid w:val="006C40AF"/>
    <w:rsid w:val="006C4A30"/>
    <w:rsid w:val="006C577C"/>
    <w:rsid w:val="006C7992"/>
    <w:rsid w:val="006C7EEA"/>
    <w:rsid w:val="006D0A68"/>
    <w:rsid w:val="006D315F"/>
    <w:rsid w:val="006D6000"/>
    <w:rsid w:val="006D7611"/>
    <w:rsid w:val="006E12A9"/>
    <w:rsid w:val="006E1CDF"/>
    <w:rsid w:val="006E2406"/>
    <w:rsid w:val="006E702C"/>
    <w:rsid w:val="006F05FC"/>
    <w:rsid w:val="006F166C"/>
    <w:rsid w:val="006F1BB4"/>
    <w:rsid w:val="006F335D"/>
    <w:rsid w:val="006F39FC"/>
    <w:rsid w:val="006F3F95"/>
    <w:rsid w:val="006F45B5"/>
    <w:rsid w:val="006F59B9"/>
    <w:rsid w:val="006F6CBF"/>
    <w:rsid w:val="006F711B"/>
    <w:rsid w:val="006F7EF6"/>
    <w:rsid w:val="00700043"/>
    <w:rsid w:val="00701FD7"/>
    <w:rsid w:val="007042B4"/>
    <w:rsid w:val="007047EB"/>
    <w:rsid w:val="00711DAC"/>
    <w:rsid w:val="00713995"/>
    <w:rsid w:val="007166C5"/>
    <w:rsid w:val="00720B8F"/>
    <w:rsid w:val="00722E06"/>
    <w:rsid w:val="00723CD9"/>
    <w:rsid w:val="0072459D"/>
    <w:rsid w:val="007249E6"/>
    <w:rsid w:val="00725D73"/>
    <w:rsid w:val="0072656B"/>
    <w:rsid w:val="007275FE"/>
    <w:rsid w:val="0073065D"/>
    <w:rsid w:val="00730DC0"/>
    <w:rsid w:val="007330A3"/>
    <w:rsid w:val="007351F3"/>
    <w:rsid w:val="00736AF2"/>
    <w:rsid w:val="00736F58"/>
    <w:rsid w:val="00741738"/>
    <w:rsid w:val="0074675F"/>
    <w:rsid w:val="00746DC8"/>
    <w:rsid w:val="00747AD3"/>
    <w:rsid w:val="00754E6A"/>
    <w:rsid w:val="007551B7"/>
    <w:rsid w:val="007557A9"/>
    <w:rsid w:val="007560A6"/>
    <w:rsid w:val="00757A8F"/>
    <w:rsid w:val="00757BFF"/>
    <w:rsid w:val="007629C6"/>
    <w:rsid w:val="007661CD"/>
    <w:rsid w:val="00767F90"/>
    <w:rsid w:val="007701BF"/>
    <w:rsid w:val="0077116C"/>
    <w:rsid w:val="0077308C"/>
    <w:rsid w:val="00774156"/>
    <w:rsid w:val="0077541E"/>
    <w:rsid w:val="007759F5"/>
    <w:rsid w:val="00775C14"/>
    <w:rsid w:val="007760FD"/>
    <w:rsid w:val="0077667F"/>
    <w:rsid w:val="00777BB6"/>
    <w:rsid w:val="00784B48"/>
    <w:rsid w:val="00785341"/>
    <w:rsid w:val="007856B2"/>
    <w:rsid w:val="0079328C"/>
    <w:rsid w:val="007934F1"/>
    <w:rsid w:val="00793902"/>
    <w:rsid w:val="007963EC"/>
    <w:rsid w:val="00797355"/>
    <w:rsid w:val="007A15D9"/>
    <w:rsid w:val="007A2B63"/>
    <w:rsid w:val="007A337B"/>
    <w:rsid w:val="007A4C5E"/>
    <w:rsid w:val="007A5A4C"/>
    <w:rsid w:val="007A5EC6"/>
    <w:rsid w:val="007A6FD4"/>
    <w:rsid w:val="007B0407"/>
    <w:rsid w:val="007B1945"/>
    <w:rsid w:val="007B1C64"/>
    <w:rsid w:val="007B5D87"/>
    <w:rsid w:val="007C1C1D"/>
    <w:rsid w:val="007C302E"/>
    <w:rsid w:val="007C31EF"/>
    <w:rsid w:val="007C5D94"/>
    <w:rsid w:val="007C6401"/>
    <w:rsid w:val="007C6E3D"/>
    <w:rsid w:val="007D1AAE"/>
    <w:rsid w:val="007D330F"/>
    <w:rsid w:val="007D6E07"/>
    <w:rsid w:val="007D7127"/>
    <w:rsid w:val="007D7184"/>
    <w:rsid w:val="007D729A"/>
    <w:rsid w:val="007D74B0"/>
    <w:rsid w:val="007D798D"/>
    <w:rsid w:val="007E238A"/>
    <w:rsid w:val="007E2D1A"/>
    <w:rsid w:val="007E5313"/>
    <w:rsid w:val="007E5CFA"/>
    <w:rsid w:val="007E6966"/>
    <w:rsid w:val="007E6C92"/>
    <w:rsid w:val="007E753F"/>
    <w:rsid w:val="007F096A"/>
    <w:rsid w:val="007F11B3"/>
    <w:rsid w:val="007F310C"/>
    <w:rsid w:val="007F4157"/>
    <w:rsid w:val="007F434A"/>
    <w:rsid w:val="007F62BB"/>
    <w:rsid w:val="007F75FE"/>
    <w:rsid w:val="0080020C"/>
    <w:rsid w:val="008013C4"/>
    <w:rsid w:val="008017F8"/>
    <w:rsid w:val="00805150"/>
    <w:rsid w:val="0080541C"/>
    <w:rsid w:val="00806905"/>
    <w:rsid w:val="008077BA"/>
    <w:rsid w:val="00810255"/>
    <w:rsid w:val="00811B4F"/>
    <w:rsid w:val="00812F65"/>
    <w:rsid w:val="00813F1A"/>
    <w:rsid w:val="008145A8"/>
    <w:rsid w:val="0081483E"/>
    <w:rsid w:val="00814DB1"/>
    <w:rsid w:val="0081779B"/>
    <w:rsid w:val="008205BA"/>
    <w:rsid w:val="00821543"/>
    <w:rsid w:val="0082171E"/>
    <w:rsid w:val="00821AA9"/>
    <w:rsid w:val="00822056"/>
    <w:rsid w:val="00824B62"/>
    <w:rsid w:val="00831894"/>
    <w:rsid w:val="00831BAE"/>
    <w:rsid w:val="0083235A"/>
    <w:rsid w:val="008327E4"/>
    <w:rsid w:val="00832BF7"/>
    <w:rsid w:val="00833E0A"/>
    <w:rsid w:val="00834DF6"/>
    <w:rsid w:val="0084663A"/>
    <w:rsid w:val="008473D0"/>
    <w:rsid w:val="008511E4"/>
    <w:rsid w:val="00851E2D"/>
    <w:rsid w:val="00852453"/>
    <w:rsid w:val="00852794"/>
    <w:rsid w:val="00853F99"/>
    <w:rsid w:val="00855DE5"/>
    <w:rsid w:val="00856141"/>
    <w:rsid w:val="00856E2A"/>
    <w:rsid w:val="00857B4E"/>
    <w:rsid w:val="00862F94"/>
    <w:rsid w:val="00863979"/>
    <w:rsid w:val="00866271"/>
    <w:rsid w:val="008671B1"/>
    <w:rsid w:val="008678EB"/>
    <w:rsid w:val="00870824"/>
    <w:rsid w:val="00871F03"/>
    <w:rsid w:val="00872A40"/>
    <w:rsid w:val="00873E84"/>
    <w:rsid w:val="00876AE2"/>
    <w:rsid w:val="008802A3"/>
    <w:rsid w:val="00880AB9"/>
    <w:rsid w:val="00882123"/>
    <w:rsid w:val="008858BF"/>
    <w:rsid w:val="00886D9E"/>
    <w:rsid w:val="008920B1"/>
    <w:rsid w:val="00894B53"/>
    <w:rsid w:val="00895A75"/>
    <w:rsid w:val="008A1585"/>
    <w:rsid w:val="008A17E3"/>
    <w:rsid w:val="008A28B4"/>
    <w:rsid w:val="008A32B9"/>
    <w:rsid w:val="008A4262"/>
    <w:rsid w:val="008A7C58"/>
    <w:rsid w:val="008B23EF"/>
    <w:rsid w:val="008B3176"/>
    <w:rsid w:val="008B3541"/>
    <w:rsid w:val="008B3830"/>
    <w:rsid w:val="008B3BA5"/>
    <w:rsid w:val="008B5D95"/>
    <w:rsid w:val="008C0D14"/>
    <w:rsid w:val="008C1C74"/>
    <w:rsid w:val="008C341B"/>
    <w:rsid w:val="008C60B3"/>
    <w:rsid w:val="008C6C78"/>
    <w:rsid w:val="008C7668"/>
    <w:rsid w:val="008D1AA7"/>
    <w:rsid w:val="008D3B2B"/>
    <w:rsid w:val="008D3DC2"/>
    <w:rsid w:val="008D4E5F"/>
    <w:rsid w:val="008D6654"/>
    <w:rsid w:val="008D6A9D"/>
    <w:rsid w:val="008E1C73"/>
    <w:rsid w:val="008E24DA"/>
    <w:rsid w:val="008E38D7"/>
    <w:rsid w:val="008E5B5E"/>
    <w:rsid w:val="008F20FB"/>
    <w:rsid w:val="008F3A94"/>
    <w:rsid w:val="008F4AF1"/>
    <w:rsid w:val="008F54B7"/>
    <w:rsid w:val="008F58D2"/>
    <w:rsid w:val="008F5E93"/>
    <w:rsid w:val="00902A2B"/>
    <w:rsid w:val="00903370"/>
    <w:rsid w:val="00904115"/>
    <w:rsid w:val="0090466A"/>
    <w:rsid w:val="00905441"/>
    <w:rsid w:val="00910CDE"/>
    <w:rsid w:val="009121A5"/>
    <w:rsid w:val="00912F84"/>
    <w:rsid w:val="00913D7D"/>
    <w:rsid w:val="0091538E"/>
    <w:rsid w:val="00915D39"/>
    <w:rsid w:val="0091668E"/>
    <w:rsid w:val="0091674D"/>
    <w:rsid w:val="00917469"/>
    <w:rsid w:val="0091774C"/>
    <w:rsid w:val="009218BA"/>
    <w:rsid w:val="00923573"/>
    <w:rsid w:val="0092464E"/>
    <w:rsid w:val="009249F0"/>
    <w:rsid w:val="00924F49"/>
    <w:rsid w:val="00927383"/>
    <w:rsid w:val="00927FDF"/>
    <w:rsid w:val="00931772"/>
    <w:rsid w:val="009317A2"/>
    <w:rsid w:val="0093199E"/>
    <w:rsid w:val="009319D5"/>
    <w:rsid w:val="00933869"/>
    <w:rsid w:val="009341A7"/>
    <w:rsid w:val="0093569B"/>
    <w:rsid w:val="009359F9"/>
    <w:rsid w:val="009422EA"/>
    <w:rsid w:val="009439FD"/>
    <w:rsid w:val="00945645"/>
    <w:rsid w:val="00950AE5"/>
    <w:rsid w:val="00952109"/>
    <w:rsid w:val="0095384A"/>
    <w:rsid w:val="00953ABB"/>
    <w:rsid w:val="00953DDA"/>
    <w:rsid w:val="00962A76"/>
    <w:rsid w:val="00963690"/>
    <w:rsid w:val="009646BA"/>
    <w:rsid w:val="00964948"/>
    <w:rsid w:val="00967043"/>
    <w:rsid w:val="009676EF"/>
    <w:rsid w:val="009679CE"/>
    <w:rsid w:val="00970AA8"/>
    <w:rsid w:val="00971434"/>
    <w:rsid w:val="009745FC"/>
    <w:rsid w:val="00974EE4"/>
    <w:rsid w:val="009768DD"/>
    <w:rsid w:val="0097758B"/>
    <w:rsid w:val="009778BB"/>
    <w:rsid w:val="00980EA3"/>
    <w:rsid w:val="009817E2"/>
    <w:rsid w:val="009818F6"/>
    <w:rsid w:val="00981B44"/>
    <w:rsid w:val="00982D68"/>
    <w:rsid w:val="0098596B"/>
    <w:rsid w:val="009907E1"/>
    <w:rsid w:val="009917F3"/>
    <w:rsid w:val="00993854"/>
    <w:rsid w:val="00993C1F"/>
    <w:rsid w:val="009940A5"/>
    <w:rsid w:val="00996158"/>
    <w:rsid w:val="009A0F10"/>
    <w:rsid w:val="009A25D3"/>
    <w:rsid w:val="009A274B"/>
    <w:rsid w:val="009A3392"/>
    <w:rsid w:val="009A3C6D"/>
    <w:rsid w:val="009B0BA1"/>
    <w:rsid w:val="009B1D56"/>
    <w:rsid w:val="009B36F4"/>
    <w:rsid w:val="009B4188"/>
    <w:rsid w:val="009B758E"/>
    <w:rsid w:val="009C0069"/>
    <w:rsid w:val="009C2745"/>
    <w:rsid w:val="009C6F1A"/>
    <w:rsid w:val="009D02F2"/>
    <w:rsid w:val="009D0428"/>
    <w:rsid w:val="009D07FA"/>
    <w:rsid w:val="009D3E1A"/>
    <w:rsid w:val="009D4F99"/>
    <w:rsid w:val="009D5A21"/>
    <w:rsid w:val="009D7DF2"/>
    <w:rsid w:val="009E012E"/>
    <w:rsid w:val="009E0309"/>
    <w:rsid w:val="009E1396"/>
    <w:rsid w:val="009E5AE6"/>
    <w:rsid w:val="009E5F58"/>
    <w:rsid w:val="009E7EF5"/>
    <w:rsid w:val="009F02DE"/>
    <w:rsid w:val="009F3A92"/>
    <w:rsid w:val="009F6098"/>
    <w:rsid w:val="009F6BF2"/>
    <w:rsid w:val="009F6CCC"/>
    <w:rsid w:val="009F75F7"/>
    <w:rsid w:val="00A0120A"/>
    <w:rsid w:val="00A01E95"/>
    <w:rsid w:val="00A01F70"/>
    <w:rsid w:val="00A0391F"/>
    <w:rsid w:val="00A03D2A"/>
    <w:rsid w:val="00A1077C"/>
    <w:rsid w:val="00A11B2F"/>
    <w:rsid w:val="00A11EA3"/>
    <w:rsid w:val="00A14C78"/>
    <w:rsid w:val="00A170DC"/>
    <w:rsid w:val="00A17D95"/>
    <w:rsid w:val="00A20C49"/>
    <w:rsid w:val="00A2263A"/>
    <w:rsid w:val="00A22771"/>
    <w:rsid w:val="00A22C2F"/>
    <w:rsid w:val="00A2382C"/>
    <w:rsid w:val="00A24756"/>
    <w:rsid w:val="00A252F3"/>
    <w:rsid w:val="00A265A4"/>
    <w:rsid w:val="00A31916"/>
    <w:rsid w:val="00A3509A"/>
    <w:rsid w:val="00A362C4"/>
    <w:rsid w:val="00A3639A"/>
    <w:rsid w:val="00A36816"/>
    <w:rsid w:val="00A41D37"/>
    <w:rsid w:val="00A42666"/>
    <w:rsid w:val="00A42F93"/>
    <w:rsid w:val="00A44801"/>
    <w:rsid w:val="00A44F49"/>
    <w:rsid w:val="00A45265"/>
    <w:rsid w:val="00A45FFB"/>
    <w:rsid w:val="00A46D59"/>
    <w:rsid w:val="00A50D23"/>
    <w:rsid w:val="00A511D4"/>
    <w:rsid w:val="00A5656D"/>
    <w:rsid w:val="00A56B83"/>
    <w:rsid w:val="00A607E1"/>
    <w:rsid w:val="00A60A98"/>
    <w:rsid w:val="00A60F5B"/>
    <w:rsid w:val="00A66511"/>
    <w:rsid w:val="00A67FE0"/>
    <w:rsid w:val="00A7333B"/>
    <w:rsid w:val="00A7572D"/>
    <w:rsid w:val="00A77A5B"/>
    <w:rsid w:val="00A80659"/>
    <w:rsid w:val="00A810C3"/>
    <w:rsid w:val="00A81153"/>
    <w:rsid w:val="00A81275"/>
    <w:rsid w:val="00A81445"/>
    <w:rsid w:val="00A81C2C"/>
    <w:rsid w:val="00A82DA0"/>
    <w:rsid w:val="00A8320B"/>
    <w:rsid w:val="00A853AC"/>
    <w:rsid w:val="00A8563B"/>
    <w:rsid w:val="00A87458"/>
    <w:rsid w:val="00A874C1"/>
    <w:rsid w:val="00A91185"/>
    <w:rsid w:val="00A941B0"/>
    <w:rsid w:val="00A9421A"/>
    <w:rsid w:val="00A97217"/>
    <w:rsid w:val="00AA1056"/>
    <w:rsid w:val="00AA12D9"/>
    <w:rsid w:val="00AA1B9A"/>
    <w:rsid w:val="00AA27E9"/>
    <w:rsid w:val="00AA608A"/>
    <w:rsid w:val="00AA7165"/>
    <w:rsid w:val="00AA7543"/>
    <w:rsid w:val="00AA795C"/>
    <w:rsid w:val="00AB20E2"/>
    <w:rsid w:val="00AB24D7"/>
    <w:rsid w:val="00AB3A76"/>
    <w:rsid w:val="00AB55B1"/>
    <w:rsid w:val="00AB6123"/>
    <w:rsid w:val="00AB78A7"/>
    <w:rsid w:val="00AC1273"/>
    <w:rsid w:val="00AC386C"/>
    <w:rsid w:val="00AC4663"/>
    <w:rsid w:val="00AC5CE2"/>
    <w:rsid w:val="00AC7BFF"/>
    <w:rsid w:val="00AD012D"/>
    <w:rsid w:val="00AD2D6F"/>
    <w:rsid w:val="00AD2EFF"/>
    <w:rsid w:val="00AD69C3"/>
    <w:rsid w:val="00AD6B86"/>
    <w:rsid w:val="00AD7BE4"/>
    <w:rsid w:val="00AD7C65"/>
    <w:rsid w:val="00AE0494"/>
    <w:rsid w:val="00AE0499"/>
    <w:rsid w:val="00AE4A1A"/>
    <w:rsid w:val="00AE5361"/>
    <w:rsid w:val="00AF0943"/>
    <w:rsid w:val="00AF1FE5"/>
    <w:rsid w:val="00AF2EE9"/>
    <w:rsid w:val="00AF61A3"/>
    <w:rsid w:val="00B009EF"/>
    <w:rsid w:val="00B0289B"/>
    <w:rsid w:val="00B035A6"/>
    <w:rsid w:val="00B035DD"/>
    <w:rsid w:val="00B03609"/>
    <w:rsid w:val="00B041FA"/>
    <w:rsid w:val="00B0477A"/>
    <w:rsid w:val="00B0631F"/>
    <w:rsid w:val="00B07066"/>
    <w:rsid w:val="00B11161"/>
    <w:rsid w:val="00B11DFD"/>
    <w:rsid w:val="00B1217F"/>
    <w:rsid w:val="00B12B69"/>
    <w:rsid w:val="00B131A2"/>
    <w:rsid w:val="00B13564"/>
    <w:rsid w:val="00B14C0F"/>
    <w:rsid w:val="00B213B0"/>
    <w:rsid w:val="00B21D84"/>
    <w:rsid w:val="00B242D8"/>
    <w:rsid w:val="00B26513"/>
    <w:rsid w:val="00B31215"/>
    <w:rsid w:val="00B34972"/>
    <w:rsid w:val="00B34B31"/>
    <w:rsid w:val="00B34EBB"/>
    <w:rsid w:val="00B3769C"/>
    <w:rsid w:val="00B37798"/>
    <w:rsid w:val="00B40751"/>
    <w:rsid w:val="00B427F4"/>
    <w:rsid w:val="00B429AE"/>
    <w:rsid w:val="00B435E8"/>
    <w:rsid w:val="00B4554B"/>
    <w:rsid w:val="00B473CB"/>
    <w:rsid w:val="00B47BAC"/>
    <w:rsid w:val="00B50554"/>
    <w:rsid w:val="00B515EC"/>
    <w:rsid w:val="00B52136"/>
    <w:rsid w:val="00B561ED"/>
    <w:rsid w:val="00B56A5E"/>
    <w:rsid w:val="00B57BDA"/>
    <w:rsid w:val="00B609AB"/>
    <w:rsid w:val="00B622FF"/>
    <w:rsid w:val="00B63CFC"/>
    <w:rsid w:val="00B64C24"/>
    <w:rsid w:val="00B65044"/>
    <w:rsid w:val="00B66073"/>
    <w:rsid w:val="00B67AB5"/>
    <w:rsid w:val="00B67F74"/>
    <w:rsid w:val="00B71663"/>
    <w:rsid w:val="00B7460E"/>
    <w:rsid w:val="00B74803"/>
    <w:rsid w:val="00B74C48"/>
    <w:rsid w:val="00B81F73"/>
    <w:rsid w:val="00B83263"/>
    <w:rsid w:val="00B83E51"/>
    <w:rsid w:val="00B85F75"/>
    <w:rsid w:val="00B9319C"/>
    <w:rsid w:val="00B9396B"/>
    <w:rsid w:val="00B949E1"/>
    <w:rsid w:val="00B95097"/>
    <w:rsid w:val="00B9612D"/>
    <w:rsid w:val="00B9645B"/>
    <w:rsid w:val="00B9648D"/>
    <w:rsid w:val="00B97EC5"/>
    <w:rsid w:val="00BA538F"/>
    <w:rsid w:val="00BA624B"/>
    <w:rsid w:val="00BB001E"/>
    <w:rsid w:val="00BB0081"/>
    <w:rsid w:val="00BB66BB"/>
    <w:rsid w:val="00BB6C06"/>
    <w:rsid w:val="00BC08D8"/>
    <w:rsid w:val="00BC1CEF"/>
    <w:rsid w:val="00BC29E9"/>
    <w:rsid w:val="00BC5541"/>
    <w:rsid w:val="00BC5BAD"/>
    <w:rsid w:val="00BD028E"/>
    <w:rsid w:val="00BD1DEF"/>
    <w:rsid w:val="00BD3EFC"/>
    <w:rsid w:val="00BD4771"/>
    <w:rsid w:val="00BE2F59"/>
    <w:rsid w:val="00BE3641"/>
    <w:rsid w:val="00BE3866"/>
    <w:rsid w:val="00BE4B17"/>
    <w:rsid w:val="00BE4D1D"/>
    <w:rsid w:val="00BE5C95"/>
    <w:rsid w:val="00BE5ECB"/>
    <w:rsid w:val="00BE65FE"/>
    <w:rsid w:val="00BF0B49"/>
    <w:rsid w:val="00BF19CA"/>
    <w:rsid w:val="00BF267A"/>
    <w:rsid w:val="00BF2980"/>
    <w:rsid w:val="00BF30A7"/>
    <w:rsid w:val="00BF3138"/>
    <w:rsid w:val="00BF3151"/>
    <w:rsid w:val="00BF5A69"/>
    <w:rsid w:val="00BF650C"/>
    <w:rsid w:val="00C015F9"/>
    <w:rsid w:val="00C0452A"/>
    <w:rsid w:val="00C10D9D"/>
    <w:rsid w:val="00C110A5"/>
    <w:rsid w:val="00C133C3"/>
    <w:rsid w:val="00C14DA2"/>
    <w:rsid w:val="00C15DA4"/>
    <w:rsid w:val="00C15E51"/>
    <w:rsid w:val="00C16F75"/>
    <w:rsid w:val="00C24192"/>
    <w:rsid w:val="00C24200"/>
    <w:rsid w:val="00C24437"/>
    <w:rsid w:val="00C25DDA"/>
    <w:rsid w:val="00C30B6A"/>
    <w:rsid w:val="00C32253"/>
    <w:rsid w:val="00C3317E"/>
    <w:rsid w:val="00C354F5"/>
    <w:rsid w:val="00C4311A"/>
    <w:rsid w:val="00C448DB"/>
    <w:rsid w:val="00C46149"/>
    <w:rsid w:val="00C4706E"/>
    <w:rsid w:val="00C4756B"/>
    <w:rsid w:val="00C47E88"/>
    <w:rsid w:val="00C51861"/>
    <w:rsid w:val="00C53AF7"/>
    <w:rsid w:val="00C5453E"/>
    <w:rsid w:val="00C55764"/>
    <w:rsid w:val="00C557D7"/>
    <w:rsid w:val="00C55AEA"/>
    <w:rsid w:val="00C62EBD"/>
    <w:rsid w:val="00C65A78"/>
    <w:rsid w:val="00C70056"/>
    <w:rsid w:val="00C70695"/>
    <w:rsid w:val="00C70745"/>
    <w:rsid w:val="00C70F97"/>
    <w:rsid w:val="00C7275C"/>
    <w:rsid w:val="00C727F1"/>
    <w:rsid w:val="00C746A5"/>
    <w:rsid w:val="00C75615"/>
    <w:rsid w:val="00C7571B"/>
    <w:rsid w:val="00C75BDA"/>
    <w:rsid w:val="00C760AE"/>
    <w:rsid w:val="00C8007F"/>
    <w:rsid w:val="00C823F0"/>
    <w:rsid w:val="00C84119"/>
    <w:rsid w:val="00C84FA2"/>
    <w:rsid w:val="00C857AB"/>
    <w:rsid w:val="00C94EDE"/>
    <w:rsid w:val="00C9544E"/>
    <w:rsid w:val="00C958CD"/>
    <w:rsid w:val="00CA18FA"/>
    <w:rsid w:val="00CA38F1"/>
    <w:rsid w:val="00CA63C6"/>
    <w:rsid w:val="00CA6694"/>
    <w:rsid w:val="00CA7091"/>
    <w:rsid w:val="00CA72BF"/>
    <w:rsid w:val="00CA74B9"/>
    <w:rsid w:val="00CB0DAA"/>
    <w:rsid w:val="00CB1905"/>
    <w:rsid w:val="00CB5128"/>
    <w:rsid w:val="00CB6981"/>
    <w:rsid w:val="00CB70CA"/>
    <w:rsid w:val="00CC0A47"/>
    <w:rsid w:val="00CC0C7A"/>
    <w:rsid w:val="00CC1713"/>
    <w:rsid w:val="00CC1C01"/>
    <w:rsid w:val="00CC488F"/>
    <w:rsid w:val="00CC4FB2"/>
    <w:rsid w:val="00CC525F"/>
    <w:rsid w:val="00CC62DA"/>
    <w:rsid w:val="00CC66AF"/>
    <w:rsid w:val="00CC7772"/>
    <w:rsid w:val="00CC7A76"/>
    <w:rsid w:val="00CC7D50"/>
    <w:rsid w:val="00CD1FCF"/>
    <w:rsid w:val="00CD3640"/>
    <w:rsid w:val="00CD41FC"/>
    <w:rsid w:val="00CD52AD"/>
    <w:rsid w:val="00CD718B"/>
    <w:rsid w:val="00CD7982"/>
    <w:rsid w:val="00CE0E1B"/>
    <w:rsid w:val="00CE4770"/>
    <w:rsid w:val="00CE53C6"/>
    <w:rsid w:val="00CF0278"/>
    <w:rsid w:val="00CF0D0C"/>
    <w:rsid w:val="00CF1717"/>
    <w:rsid w:val="00CF5959"/>
    <w:rsid w:val="00CF7EF0"/>
    <w:rsid w:val="00D037C8"/>
    <w:rsid w:val="00D0650B"/>
    <w:rsid w:val="00D07184"/>
    <w:rsid w:val="00D11105"/>
    <w:rsid w:val="00D11416"/>
    <w:rsid w:val="00D1186A"/>
    <w:rsid w:val="00D11A96"/>
    <w:rsid w:val="00D130AB"/>
    <w:rsid w:val="00D14715"/>
    <w:rsid w:val="00D14D2D"/>
    <w:rsid w:val="00D15268"/>
    <w:rsid w:val="00D1660C"/>
    <w:rsid w:val="00D17C79"/>
    <w:rsid w:val="00D22A70"/>
    <w:rsid w:val="00D24541"/>
    <w:rsid w:val="00D24F56"/>
    <w:rsid w:val="00D27AE6"/>
    <w:rsid w:val="00D32349"/>
    <w:rsid w:val="00D3242A"/>
    <w:rsid w:val="00D32F3E"/>
    <w:rsid w:val="00D33F88"/>
    <w:rsid w:val="00D34349"/>
    <w:rsid w:val="00D36752"/>
    <w:rsid w:val="00D36E5F"/>
    <w:rsid w:val="00D43EB2"/>
    <w:rsid w:val="00D44FB2"/>
    <w:rsid w:val="00D45207"/>
    <w:rsid w:val="00D45CD7"/>
    <w:rsid w:val="00D47CC9"/>
    <w:rsid w:val="00D518B9"/>
    <w:rsid w:val="00D5358F"/>
    <w:rsid w:val="00D567D9"/>
    <w:rsid w:val="00D57F98"/>
    <w:rsid w:val="00D613F8"/>
    <w:rsid w:val="00D62499"/>
    <w:rsid w:val="00D65D78"/>
    <w:rsid w:val="00D67B29"/>
    <w:rsid w:val="00D71798"/>
    <w:rsid w:val="00D7186D"/>
    <w:rsid w:val="00D74CD2"/>
    <w:rsid w:val="00D76605"/>
    <w:rsid w:val="00D76B53"/>
    <w:rsid w:val="00D77B2A"/>
    <w:rsid w:val="00D80172"/>
    <w:rsid w:val="00D8416D"/>
    <w:rsid w:val="00D84CA3"/>
    <w:rsid w:val="00D84FBC"/>
    <w:rsid w:val="00D868F7"/>
    <w:rsid w:val="00D87FA9"/>
    <w:rsid w:val="00D91AFB"/>
    <w:rsid w:val="00D924D1"/>
    <w:rsid w:val="00D93C72"/>
    <w:rsid w:val="00D95B92"/>
    <w:rsid w:val="00DA0446"/>
    <w:rsid w:val="00DA2A61"/>
    <w:rsid w:val="00DA58CC"/>
    <w:rsid w:val="00DA741B"/>
    <w:rsid w:val="00DB33AC"/>
    <w:rsid w:val="00DB51E8"/>
    <w:rsid w:val="00DB58E8"/>
    <w:rsid w:val="00DB6A32"/>
    <w:rsid w:val="00DC1DD3"/>
    <w:rsid w:val="00DC26AB"/>
    <w:rsid w:val="00DC3573"/>
    <w:rsid w:val="00DC518B"/>
    <w:rsid w:val="00DC51B8"/>
    <w:rsid w:val="00DC5316"/>
    <w:rsid w:val="00DC5391"/>
    <w:rsid w:val="00DC7F39"/>
    <w:rsid w:val="00DD179D"/>
    <w:rsid w:val="00DD1855"/>
    <w:rsid w:val="00DD19B7"/>
    <w:rsid w:val="00DD2247"/>
    <w:rsid w:val="00DD2453"/>
    <w:rsid w:val="00DD320E"/>
    <w:rsid w:val="00DD409F"/>
    <w:rsid w:val="00DD68F4"/>
    <w:rsid w:val="00DD6B5F"/>
    <w:rsid w:val="00DD7FCE"/>
    <w:rsid w:val="00DE0439"/>
    <w:rsid w:val="00DE2A48"/>
    <w:rsid w:val="00DE398E"/>
    <w:rsid w:val="00DE43E6"/>
    <w:rsid w:val="00DE4BCF"/>
    <w:rsid w:val="00DE4D9D"/>
    <w:rsid w:val="00DE54F4"/>
    <w:rsid w:val="00DE65AA"/>
    <w:rsid w:val="00DE6D67"/>
    <w:rsid w:val="00DE781C"/>
    <w:rsid w:val="00DF4B1F"/>
    <w:rsid w:val="00DF4BAC"/>
    <w:rsid w:val="00DF6B41"/>
    <w:rsid w:val="00DF6D02"/>
    <w:rsid w:val="00DF7294"/>
    <w:rsid w:val="00E03555"/>
    <w:rsid w:val="00E05CDC"/>
    <w:rsid w:val="00E062EC"/>
    <w:rsid w:val="00E071E3"/>
    <w:rsid w:val="00E1180C"/>
    <w:rsid w:val="00E126A8"/>
    <w:rsid w:val="00E12B77"/>
    <w:rsid w:val="00E1350C"/>
    <w:rsid w:val="00E1642F"/>
    <w:rsid w:val="00E17D5C"/>
    <w:rsid w:val="00E21569"/>
    <w:rsid w:val="00E219B7"/>
    <w:rsid w:val="00E223E4"/>
    <w:rsid w:val="00E24EB7"/>
    <w:rsid w:val="00E251AD"/>
    <w:rsid w:val="00E2567C"/>
    <w:rsid w:val="00E25C20"/>
    <w:rsid w:val="00E2756B"/>
    <w:rsid w:val="00E27E6C"/>
    <w:rsid w:val="00E3004D"/>
    <w:rsid w:val="00E3018C"/>
    <w:rsid w:val="00E435F1"/>
    <w:rsid w:val="00E4507D"/>
    <w:rsid w:val="00E456B7"/>
    <w:rsid w:val="00E4575A"/>
    <w:rsid w:val="00E4776F"/>
    <w:rsid w:val="00E47DAC"/>
    <w:rsid w:val="00E500A9"/>
    <w:rsid w:val="00E51637"/>
    <w:rsid w:val="00E5206D"/>
    <w:rsid w:val="00E52D53"/>
    <w:rsid w:val="00E61DB3"/>
    <w:rsid w:val="00E66C13"/>
    <w:rsid w:val="00E67D61"/>
    <w:rsid w:val="00E70D20"/>
    <w:rsid w:val="00E71606"/>
    <w:rsid w:val="00E71E7D"/>
    <w:rsid w:val="00E721F7"/>
    <w:rsid w:val="00E751CC"/>
    <w:rsid w:val="00E75C0C"/>
    <w:rsid w:val="00E76371"/>
    <w:rsid w:val="00E77A18"/>
    <w:rsid w:val="00E81D49"/>
    <w:rsid w:val="00E8306F"/>
    <w:rsid w:val="00E85790"/>
    <w:rsid w:val="00E86541"/>
    <w:rsid w:val="00E86BC7"/>
    <w:rsid w:val="00E86D84"/>
    <w:rsid w:val="00E91055"/>
    <w:rsid w:val="00E917D5"/>
    <w:rsid w:val="00E91CA9"/>
    <w:rsid w:val="00E929A7"/>
    <w:rsid w:val="00E95A42"/>
    <w:rsid w:val="00E95AD0"/>
    <w:rsid w:val="00E9774A"/>
    <w:rsid w:val="00E97D00"/>
    <w:rsid w:val="00EA1A13"/>
    <w:rsid w:val="00EA1C89"/>
    <w:rsid w:val="00EA24EF"/>
    <w:rsid w:val="00EA2681"/>
    <w:rsid w:val="00EA561C"/>
    <w:rsid w:val="00EA6EB5"/>
    <w:rsid w:val="00EB0823"/>
    <w:rsid w:val="00EB46A7"/>
    <w:rsid w:val="00EB580C"/>
    <w:rsid w:val="00EB6664"/>
    <w:rsid w:val="00EB69BC"/>
    <w:rsid w:val="00EC0C9D"/>
    <w:rsid w:val="00EC1DDF"/>
    <w:rsid w:val="00EC3426"/>
    <w:rsid w:val="00EC4093"/>
    <w:rsid w:val="00EC4E1C"/>
    <w:rsid w:val="00EC69E0"/>
    <w:rsid w:val="00EC77DD"/>
    <w:rsid w:val="00ED045B"/>
    <w:rsid w:val="00ED30B6"/>
    <w:rsid w:val="00ED35E8"/>
    <w:rsid w:val="00ED3F58"/>
    <w:rsid w:val="00ED5114"/>
    <w:rsid w:val="00ED7A59"/>
    <w:rsid w:val="00EE0535"/>
    <w:rsid w:val="00EE09E8"/>
    <w:rsid w:val="00EE21DA"/>
    <w:rsid w:val="00EE22FE"/>
    <w:rsid w:val="00EE252D"/>
    <w:rsid w:val="00EE2680"/>
    <w:rsid w:val="00EE2814"/>
    <w:rsid w:val="00EE2A83"/>
    <w:rsid w:val="00EE680B"/>
    <w:rsid w:val="00EF158B"/>
    <w:rsid w:val="00EF2A67"/>
    <w:rsid w:val="00EF3ED7"/>
    <w:rsid w:val="00EF577F"/>
    <w:rsid w:val="00F00132"/>
    <w:rsid w:val="00F00AF4"/>
    <w:rsid w:val="00F01417"/>
    <w:rsid w:val="00F02887"/>
    <w:rsid w:val="00F036E7"/>
    <w:rsid w:val="00F05AF8"/>
    <w:rsid w:val="00F05B31"/>
    <w:rsid w:val="00F063D8"/>
    <w:rsid w:val="00F071AA"/>
    <w:rsid w:val="00F07FCE"/>
    <w:rsid w:val="00F1019A"/>
    <w:rsid w:val="00F10AF5"/>
    <w:rsid w:val="00F11AA5"/>
    <w:rsid w:val="00F12A41"/>
    <w:rsid w:val="00F15B1E"/>
    <w:rsid w:val="00F228D4"/>
    <w:rsid w:val="00F23209"/>
    <w:rsid w:val="00F23CDA"/>
    <w:rsid w:val="00F24004"/>
    <w:rsid w:val="00F24565"/>
    <w:rsid w:val="00F258D4"/>
    <w:rsid w:val="00F26D31"/>
    <w:rsid w:val="00F27A4B"/>
    <w:rsid w:val="00F32661"/>
    <w:rsid w:val="00F34012"/>
    <w:rsid w:val="00F363D1"/>
    <w:rsid w:val="00F36BF5"/>
    <w:rsid w:val="00F36BF7"/>
    <w:rsid w:val="00F44F07"/>
    <w:rsid w:val="00F47AAB"/>
    <w:rsid w:val="00F51D71"/>
    <w:rsid w:val="00F53F72"/>
    <w:rsid w:val="00F54777"/>
    <w:rsid w:val="00F55476"/>
    <w:rsid w:val="00F56B03"/>
    <w:rsid w:val="00F57842"/>
    <w:rsid w:val="00F57D56"/>
    <w:rsid w:val="00F65F54"/>
    <w:rsid w:val="00F66427"/>
    <w:rsid w:val="00F67704"/>
    <w:rsid w:val="00F70555"/>
    <w:rsid w:val="00F7166E"/>
    <w:rsid w:val="00F71C56"/>
    <w:rsid w:val="00F72871"/>
    <w:rsid w:val="00F72BBC"/>
    <w:rsid w:val="00F74A75"/>
    <w:rsid w:val="00F75E3A"/>
    <w:rsid w:val="00F76C83"/>
    <w:rsid w:val="00F81A21"/>
    <w:rsid w:val="00F8292D"/>
    <w:rsid w:val="00F82AEF"/>
    <w:rsid w:val="00F8533F"/>
    <w:rsid w:val="00F86579"/>
    <w:rsid w:val="00F86E27"/>
    <w:rsid w:val="00F874F7"/>
    <w:rsid w:val="00F87CFE"/>
    <w:rsid w:val="00F87E5A"/>
    <w:rsid w:val="00F9005A"/>
    <w:rsid w:val="00F90F77"/>
    <w:rsid w:val="00F91213"/>
    <w:rsid w:val="00F91E13"/>
    <w:rsid w:val="00F93426"/>
    <w:rsid w:val="00F953F9"/>
    <w:rsid w:val="00F97067"/>
    <w:rsid w:val="00F9743A"/>
    <w:rsid w:val="00FA019E"/>
    <w:rsid w:val="00FA0339"/>
    <w:rsid w:val="00FA07AA"/>
    <w:rsid w:val="00FA59B5"/>
    <w:rsid w:val="00FA5BB2"/>
    <w:rsid w:val="00FB0858"/>
    <w:rsid w:val="00FB0F73"/>
    <w:rsid w:val="00FB2137"/>
    <w:rsid w:val="00FB3D86"/>
    <w:rsid w:val="00FB4484"/>
    <w:rsid w:val="00FB7A97"/>
    <w:rsid w:val="00FC08C9"/>
    <w:rsid w:val="00FC10AD"/>
    <w:rsid w:val="00FC172D"/>
    <w:rsid w:val="00FC2581"/>
    <w:rsid w:val="00FC289C"/>
    <w:rsid w:val="00FC3534"/>
    <w:rsid w:val="00FC49E8"/>
    <w:rsid w:val="00FC6116"/>
    <w:rsid w:val="00FC633C"/>
    <w:rsid w:val="00FC7871"/>
    <w:rsid w:val="00FD1BA2"/>
    <w:rsid w:val="00FD279E"/>
    <w:rsid w:val="00FD3A91"/>
    <w:rsid w:val="00FD3F90"/>
    <w:rsid w:val="00FD4259"/>
    <w:rsid w:val="00FD5602"/>
    <w:rsid w:val="00FD6428"/>
    <w:rsid w:val="00FD6C39"/>
    <w:rsid w:val="00FD7512"/>
    <w:rsid w:val="00FE005B"/>
    <w:rsid w:val="00FE1423"/>
    <w:rsid w:val="00FE522A"/>
    <w:rsid w:val="00FE63E0"/>
    <w:rsid w:val="00FF11E0"/>
    <w:rsid w:val="00FF167D"/>
    <w:rsid w:val="00FF1EB0"/>
    <w:rsid w:val="00FF25D2"/>
    <w:rsid w:val="00FF6E93"/>
    <w:rsid w:val="00FF7232"/>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aliases w:val="H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Bullet Number"/>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qFormat/>
    <w:rsid w:val="00D67B29"/>
  </w:style>
  <w:style w:type="character" w:customStyle="1" w:styleId="CharAmPartText">
    <w:name w:val="CharAmPartText"/>
    <w:basedOn w:val="OPCCharBase"/>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uiPriority w:val="99"/>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definition">
    <w:name w:val="definition"/>
    <w:basedOn w:val="Normal"/>
    <w:rsid w:val="00264064"/>
    <w:pPr>
      <w:spacing w:before="100" w:beforeAutospacing="1" w:after="100" w:afterAutospacing="1" w:line="240" w:lineRule="auto"/>
    </w:pPr>
    <w:rPr>
      <w:rFonts w:eastAsia="Times New Roman"/>
      <w:sz w:val="24"/>
      <w:szCs w:val="24"/>
      <w:lang w:val="en-GB" w:eastAsia="en-GB"/>
    </w:rPr>
  </w:style>
  <w:style w:type="paragraph" w:customStyle="1" w:styleId="acthead5">
    <w:name w:val="acthead5"/>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charsectno0">
    <w:name w:val="charsectno"/>
    <w:basedOn w:val="DefaultParagraphFont"/>
    <w:rsid w:val="00264064"/>
  </w:style>
  <w:style w:type="paragraph" w:customStyle="1" w:styleId="notetext">
    <w:name w:val="notetext"/>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subsectionChar">
    <w:name w:val="subsection Char"/>
    <w:aliases w:val="ss Char"/>
    <w:basedOn w:val="DefaultParagraphFont"/>
    <w:link w:val="tMain"/>
    <w:locked/>
    <w:rsid w:val="00160FE5"/>
    <w:rPr>
      <w:sz w:val="22"/>
    </w:rPr>
  </w:style>
  <w:style w:type="character" w:customStyle="1" w:styleId="paragraphChar">
    <w:name w:val="paragraph Char"/>
    <w:aliases w:val="a Char"/>
    <w:basedOn w:val="DefaultParagraphFont"/>
    <w:link w:val="tPara"/>
    <w:rsid w:val="00160FE5"/>
    <w:rPr>
      <w:sz w:val="22"/>
    </w:rPr>
  </w:style>
  <w:style w:type="character" w:customStyle="1" w:styleId="notetextChar">
    <w:name w:val="note(text) Char"/>
    <w:aliases w:val="n Char"/>
    <w:basedOn w:val="DefaultParagraphFont"/>
    <w:link w:val="nMain"/>
    <w:rsid w:val="00160FE5"/>
    <w:rPr>
      <w:sz w:val="18"/>
    </w:rPr>
  </w:style>
  <w:style w:type="table" w:styleId="TableContemporary">
    <w:name w:val="Table Contemporary"/>
    <w:basedOn w:val="TableNormal"/>
    <w:rsid w:val="00757A8F"/>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tHead5Char">
    <w:name w:val="ActHead 5 Char"/>
    <w:aliases w:val="s Char"/>
    <w:link w:val="h5Section"/>
    <w:rsid w:val="00757A8F"/>
    <w:rPr>
      <w:b/>
      <w:kern w:val="28"/>
      <w:sz w:val="24"/>
    </w:rPr>
  </w:style>
  <w:style w:type="character" w:customStyle="1" w:styleId="lrzxr">
    <w:name w:val="lrzxr"/>
    <w:basedOn w:val="DefaultParagraphFont"/>
    <w:rsid w:val="00E86541"/>
  </w:style>
  <w:style w:type="paragraph" w:customStyle="1" w:styleId="Body">
    <w:name w:val="Body"/>
    <w:aliases w:val="b"/>
    <w:basedOn w:val="Normal"/>
    <w:link w:val="BodyChar"/>
    <w:rsid w:val="00E12B77"/>
    <w:pPr>
      <w:spacing w:before="60" w:after="120" w:line="280" w:lineRule="atLeast"/>
      <w:ind w:left="567"/>
    </w:pPr>
    <w:rPr>
      <w:rFonts w:ascii="Arial" w:eastAsia="Times New Roman" w:hAnsi="Arial"/>
      <w:sz w:val="20"/>
      <w:szCs w:val="24"/>
    </w:rPr>
  </w:style>
  <w:style w:type="character" w:customStyle="1" w:styleId="BodyChar">
    <w:name w:val="Body Char"/>
    <w:link w:val="Body"/>
    <w:rsid w:val="00E12B77"/>
    <w:rPr>
      <w:rFonts w:ascii="Arial" w:hAnsi="Arial"/>
      <w:szCs w:val="24"/>
      <w:lang w:eastAsia="en-US"/>
    </w:rPr>
  </w:style>
  <w:style w:type="paragraph" w:customStyle="1" w:styleId="paragraphsub">
    <w:name w:val="paragraph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paragraphsub-sub">
    <w:name w:val="paragraphsub-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Outputnumber">
    <w:name w:val="Output number"/>
    <w:basedOn w:val="Normal"/>
    <w:link w:val="OutputnumberChar"/>
    <w:qFormat/>
    <w:rsid w:val="002C3A65"/>
    <w:pPr>
      <w:spacing w:before="180" w:after="100" w:line="280" w:lineRule="atLeast"/>
      <w:ind w:left="1080" w:hanging="360"/>
    </w:pPr>
    <w:rPr>
      <w:rFonts w:asciiTheme="minorHAnsi" w:eastAsia="Times New Roman" w:hAnsiTheme="minorHAnsi"/>
      <w:lang w:eastAsia="en-AU"/>
    </w:rPr>
  </w:style>
  <w:style w:type="character" w:customStyle="1" w:styleId="OutputnumberChar">
    <w:name w:val="Output number Char"/>
    <w:basedOn w:val="DefaultParagraphFont"/>
    <w:link w:val="Outputnumber"/>
    <w:locked/>
    <w:rsid w:val="002C3A65"/>
    <w:rPr>
      <w:rFonts w:asciiTheme="minorHAnsi" w:hAnsiTheme="minorHAnsi"/>
      <w:sz w:val="22"/>
    </w:rPr>
  </w:style>
  <w:style w:type="paragraph" w:customStyle="1" w:styleId="Outputletter">
    <w:name w:val="Output letter"/>
    <w:basedOn w:val="Normal"/>
    <w:link w:val="OutputletterChar"/>
    <w:qFormat/>
    <w:rsid w:val="002C3A65"/>
    <w:pPr>
      <w:numPr>
        <w:numId w:val="1"/>
      </w:numPr>
      <w:tabs>
        <w:tab w:val="right" w:pos="2127"/>
      </w:tabs>
      <w:spacing w:before="40" w:after="100" w:line="280" w:lineRule="atLeast"/>
    </w:pPr>
    <w:rPr>
      <w:rFonts w:asciiTheme="minorHAnsi" w:eastAsia="Times New Roman" w:hAnsiTheme="minorHAnsi"/>
      <w:lang w:eastAsia="en-AU"/>
    </w:rPr>
  </w:style>
  <w:style w:type="character" w:customStyle="1" w:styleId="OutputletterChar">
    <w:name w:val="Output letter Char"/>
    <w:basedOn w:val="DefaultParagraphFont"/>
    <w:link w:val="Outputletter"/>
    <w:rsid w:val="002C3A65"/>
    <w:rPr>
      <w:rFonts w:asciiTheme="minorHAnsi" w:hAnsiTheme="minorHAnsi"/>
      <w:sz w:val="22"/>
    </w:rPr>
  </w:style>
  <w:style w:type="character" w:styleId="CommentReference">
    <w:name w:val="annotation reference"/>
    <w:basedOn w:val="DefaultParagraphFont"/>
    <w:uiPriority w:val="99"/>
    <w:semiHidden/>
    <w:unhideWhenUsed/>
    <w:rsid w:val="008A7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880">
      <w:bodyDiv w:val="1"/>
      <w:marLeft w:val="0"/>
      <w:marRight w:val="0"/>
      <w:marTop w:val="0"/>
      <w:marBottom w:val="0"/>
      <w:divBdr>
        <w:top w:val="none" w:sz="0" w:space="0" w:color="auto"/>
        <w:left w:val="none" w:sz="0" w:space="0" w:color="auto"/>
        <w:bottom w:val="none" w:sz="0" w:space="0" w:color="auto"/>
        <w:right w:val="none" w:sz="0" w:space="0" w:color="auto"/>
      </w:divBdr>
    </w:div>
    <w:div w:id="102191833">
      <w:bodyDiv w:val="1"/>
      <w:marLeft w:val="0"/>
      <w:marRight w:val="0"/>
      <w:marTop w:val="0"/>
      <w:marBottom w:val="0"/>
      <w:divBdr>
        <w:top w:val="none" w:sz="0" w:space="0" w:color="auto"/>
        <w:left w:val="none" w:sz="0" w:space="0" w:color="auto"/>
        <w:bottom w:val="none" w:sz="0" w:space="0" w:color="auto"/>
        <w:right w:val="none" w:sz="0" w:space="0" w:color="auto"/>
      </w:divBdr>
    </w:div>
    <w:div w:id="107235649">
      <w:bodyDiv w:val="1"/>
      <w:marLeft w:val="0"/>
      <w:marRight w:val="0"/>
      <w:marTop w:val="0"/>
      <w:marBottom w:val="0"/>
      <w:divBdr>
        <w:top w:val="none" w:sz="0" w:space="0" w:color="auto"/>
        <w:left w:val="none" w:sz="0" w:space="0" w:color="auto"/>
        <w:bottom w:val="none" w:sz="0" w:space="0" w:color="auto"/>
        <w:right w:val="none" w:sz="0" w:space="0" w:color="auto"/>
      </w:divBdr>
      <w:divsChild>
        <w:div w:id="372005678">
          <w:marLeft w:val="0"/>
          <w:marRight w:val="0"/>
          <w:marTop w:val="0"/>
          <w:marBottom w:val="0"/>
          <w:divBdr>
            <w:top w:val="none" w:sz="0" w:space="0" w:color="auto"/>
            <w:left w:val="none" w:sz="0" w:space="0" w:color="auto"/>
            <w:bottom w:val="none" w:sz="0" w:space="0" w:color="auto"/>
            <w:right w:val="none" w:sz="0" w:space="0" w:color="auto"/>
          </w:divBdr>
          <w:divsChild>
            <w:div w:id="796604270">
              <w:marLeft w:val="0"/>
              <w:marRight w:val="0"/>
              <w:marTop w:val="0"/>
              <w:marBottom w:val="0"/>
              <w:divBdr>
                <w:top w:val="none" w:sz="0" w:space="0" w:color="auto"/>
                <w:left w:val="none" w:sz="0" w:space="0" w:color="auto"/>
                <w:bottom w:val="none" w:sz="0" w:space="0" w:color="auto"/>
                <w:right w:val="none" w:sz="0" w:space="0" w:color="auto"/>
              </w:divBdr>
              <w:divsChild>
                <w:div w:id="1818955414">
                  <w:marLeft w:val="0"/>
                  <w:marRight w:val="0"/>
                  <w:marTop w:val="0"/>
                  <w:marBottom w:val="0"/>
                  <w:divBdr>
                    <w:top w:val="none" w:sz="0" w:space="0" w:color="auto"/>
                    <w:left w:val="none" w:sz="0" w:space="0" w:color="auto"/>
                    <w:bottom w:val="none" w:sz="0" w:space="0" w:color="auto"/>
                    <w:right w:val="none" w:sz="0" w:space="0" w:color="auto"/>
                  </w:divBdr>
                  <w:divsChild>
                    <w:div w:id="739912887">
                      <w:marLeft w:val="0"/>
                      <w:marRight w:val="0"/>
                      <w:marTop w:val="0"/>
                      <w:marBottom w:val="0"/>
                      <w:divBdr>
                        <w:top w:val="none" w:sz="0" w:space="0" w:color="auto"/>
                        <w:left w:val="none" w:sz="0" w:space="0" w:color="auto"/>
                        <w:bottom w:val="none" w:sz="0" w:space="0" w:color="auto"/>
                        <w:right w:val="none" w:sz="0" w:space="0" w:color="auto"/>
                      </w:divBdr>
                      <w:divsChild>
                        <w:div w:id="521283134">
                          <w:marLeft w:val="0"/>
                          <w:marRight w:val="0"/>
                          <w:marTop w:val="0"/>
                          <w:marBottom w:val="0"/>
                          <w:divBdr>
                            <w:top w:val="none" w:sz="0" w:space="0" w:color="auto"/>
                            <w:left w:val="none" w:sz="0" w:space="0" w:color="auto"/>
                            <w:bottom w:val="none" w:sz="0" w:space="0" w:color="auto"/>
                            <w:right w:val="none" w:sz="0" w:space="0" w:color="auto"/>
                          </w:divBdr>
                          <w:divsChild>
                            <w:div w:id="521555057">
                              <w:marLeft w:val="0"/>
                              <w:marRight w:val="0"/>
                              <w:marTop w:val="0"/>
                              <w:marBottom w:val="0"/>
                              <w:divBdr>
                                <w:top w:val="none" w:sz="0" w:space="0" w:color="auto"/>
                                <w:left w:val="none" w:sz="0" w:space="0" w:color="auto"/>
                                <w:bottom w:val="none" w:sz="0" w:space="0" w:color="auto"/>
                                <w:right w:val="none" w:sz="0" w:space="0" w:color="auto"/>
                              </w:divBdr>
                              <w:divsChild>
                                <w:div w:id="1658457767">
                                  <w:marLeft w:val="0"/>
                                  <w:marRight w:val="0"/>
                                  <w:marTop w:val="0"/>
                                  <w:marBottom w:val="0"/>
                                  <w:divBdr>
                                    <w:top w:val="none" w:sz="0" w:space="0" w:color="auto"/>
                                    <w:left w:val="none" w:sz="0" w:space="0" w:color="auto"/>
                                    <w:bottom w:val="none" w:sz="0" w:space="0" w:color="auto"/>
                                    <w:right w:val="none" w:sz="0" w:space="0" w:color="auto"/>
                                  </w:divBdr>
                                  <w:divsChild>
                                    <w:div w:id="1950772324">
                                      <w:marLeft w:val="0"/>
                                      <w:marRight w:val="0"/>
                                      <w:marTop w:val="0"/>
                                      <w:marBottom w:val="0"/>
                                      <w:divBdr>
                                        <w:top w:val="none" w:sz="0" w:space="0" w:color="auto"/>
                                        <w:left w:val="none" w:sz="0" w:space="0" w:color="auto"/>
                                        <w:bottom w:val="none" w:sz="0" w:space="0" w:color="auto"/>
                                        <w:right w:val="none" w:sz="0" w:space="0" w:color="auto"/>
                                      </w:divBdr>
                                      <w:divsChild>
                                        <w:div w:id="2043283983">
                                          <w:marLeft w:val="0"/>
                                          <w:marRight w:val="0"/>
                                          <w:marTop w:val="0"/>
                                          <w:marBottom w:val="0"/>
                                          <w:divBdr>
                                            <w:top w:val="none" w:sz="0" w:space="0" w:color="auto"/>
                                            <w:left w:val="none" w:sz="0" w:space="0" w:color="auto"/>
                                            <w:bottom w:val="none" w:sz="0" w:space="0" w:color="auto"/>
                                            <w:right w:val="none" w:sz="0" w:space="0" w:color="auto"/>
                                          </w:divBdr>
                                          <w:divsChild>
                                            <w:div w:id="852379773">
                                              <w:marLeft w:val="0"/>
                                              <w:marRight w:val="0"/>
                                              <w:marTop w:val="0"/>
                                              <w:marBottom w:val="0"/>
                                              <w:divBdr>
                                                <w:top w:val="none" w:sz="0" w:space="0" w:color="auto"/>
                                                <w:left w:val="none" w:sz="0" w:space="0" w:color="auto"/>
                                                <w:bottom w:val="none" w:sz="0" w:space="0" w:color="auto"/>
                                                <w:right w:val="none" w:sz="0" w:space="0" w:color="auto"/>
                                              </w:divBdr>
                                              <w:divsChild>
                                                <w:div w:id="1184975491">
                                                  <w:marLeft w:val="0"/>
                                                  <w:marRight w:val="0"/>
                                                  <w:marTop w:val="0"/>
                                                  <w:marBottom w:val="0"/>
                                                  <w:divBdr>
                                                    <w:top w:val="none" w:sz="0" w:space="0" w:color="auto"/>
                                                    <w:left w:val="none" w:sz="0" w:space="0" w:color="auto"/>
                                                    <w:bottom w:val="none" w:sz="0" w:space="0" w:color="auto"/>
                                                    <w:right w:val="none" w:sz="0" w:space="0" w:color="auto"/>
                                                  </w:divBdr>
                                                  <w:divsChild>
                                                    <w:div w:id="1417553551">
                                                      <w:marLeft w:val="0"/>
                                                      <w:marRight w:val="0"/>
                                                      <w:marTop w:val="0"/>
                                                      <w:marBottom w:val="0"/>
                                                      <w:divBdr>
                                                        <w:top w:val="none" w:sz="0" w:space="0" w:color="auto"/>
                                                        <w:left w:val="none" w:sz="0" w:space="0" w:color="auto"/>
                                                        <w:bottom w:val="none" w:sz="0" w:space="0" w:color="auto"/>
                                                        <w:right w:val="none" w:sz="0" w:space="0" w:color="auto"/>
                                                      </w:divBdr>
                                                      <w:divsChild>
                                                        <w:div w:id="19377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251896">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26139146">
      <w:bodyDiv w:val="1"/>
      <w:marLeft w:val="0"/>
      <w:marRight w:val="0"/>
      <w:marTop w:val="0"/>
      <w:marBottom w:val="0"/>
      <w:divBdr>
        <w:top w:val="none" w:sz="0" w:space="0" w:color="auto"/>
        <w:left w:val="none" w:sz="0" w:space="0" w:color="auto"/>
        <w:bottom w:val="none" w:sz="0" w:space="0" w:color="auto"/>
        <w:right w:val="none" w:sz="0" w:space="0" w:color="auto"/>
      </w:divBdr>
    </w:div>
    <w:div w:id="888958922">
      <w:bodyDiv w:val="1"/>
      <w:marLeft w:val="0"/>
      <w:marRight w:val="0"/>
      <w:marTop w:val="0"/>
      <w:marBottom w:val="0"/>
      <w:divBdr>
        <w:top w:val="none" w:sz="0" w:space="0" w:color="auto"/>
        <w:left w:val="none" w:sz="0" w:space="0" w:color="auto"/>
        <w:bottom w:val="none" w:sz="0" w:space="0" w:color="auto"/>
        <w:right w:val="none" w:sz="0" w:space="0" w:color="auto"/>
      </w:divBdr>
    </w:div>
    <w:div w:id="907303696">
      <w:bodyDiv w:val="1"/>
      <w:marLeft w:val="0"/>
      <w:marRight w:val="0"/>
      <w:marTop w:val="0"/>
      <w:marBottom w:val="0"/>
      <w:divBdr>
        <w:top w:val="none" w:sz="0" w:space="0" w:color="auto"/>
        <w:left w:val="none" w:sz="0" w:space="0" w:color="auto"/>
        <w:bottom w:val="none" w:sz="0" w:space="0" w:color="auto"/>
        <w:right w:val="none" w:sz="0" w:space="0" w:color="auto"/>
      </w:divBdr>
    </w:div>
    <w:div w:id="950428864">
      <w:bodyDiv w:val="1"/>
      <w:marLeft w:val="0"/>
      <w:marRight w:val="0"/>
      <w:marTop w:val="0"/>
      <w:marBottom w:val="0"/>
      <w:divBdr>
        <w:top w:val="none" w:sz="0" w:space="0" w:color="auto"/>
        <w:left w:val="none" w:sz="0" w:space="0" w:color="auto"/>
        <w:bottom w:val="none" w:sz="0" w:space="0" w:color="auto"/>
        <w:right w:val="none" w:sz="0" w:space="0" w:color="auto"/>
      </w:divBdr>
    </w:div>
    <w:div w:id="964578614">
      <w:bodyDiv w:val="1"/>
      <w:marLeft w:val="0"/>
      <w:marRight w:val="0"/>
      <w:marTop w:val="0"/>
      <w:marBottom w:val="0"/>
      <w:divBdr>
        <w:top w:val="none" w:sz="0" w:space="0" w:color="auto"/>
        <w:left w:val="none" w:sz="0" w:space="0" w:color="auto"/>
        <w:bottom w:val="none" w:sz="0" w:space="0" w:color="auto"/>
        <w:right w:val="none" w:sz="0" w:space="0" w:color="auto"/>
      </w:divBdr>
      <w:divsChild>
        <w:div w:id="18632524">
          <w:marLeft w:val="0"/>
          <w:marRight w:val="0"/>
          <w:marTop w:val="0"/>
          <w:marBottom w:val="0"/>
          <w:divBdr>
            <w:top w:val="none" w:sz="0" w:space="0" w:color="auto"/>
            <w:left w:val="none" w:sz="0" w:space="0" w:color="auto"/>
            <w:bottom w:val="none" w:sz="0" w:space="0" w:color="auto"/>
            <w:right w:val="none" w:sz="0" w:space="0" w:color="auto"/>
          </w:divBdr>
          <w:divsChild>
            <w:div w:id="1336952673">
              <w:marLeft w:val="0"/>
              <w:marRight w:val="0"/>
              <w:marTop w:val="0"/>
              <w:marBottom w:val="0"/>
              <w:divBdr>
                <w:top w:val="none" w:sz="0" w:space="0" w:color="auto"/>
                <w:left w:val="none" w:sz="0" w:space="0" w:color="auto"/>
                <w:bottom w:val="none" w:sz="0" w:space="0" w:color="auto"/>
                <w:right w:val="none" w:sz="0" w:space="0" w:color="auto"/>
              </w:divBdr>
              <w:divsChild>
                <w:div w:id="1216812272">
                  <w:marLeft w:val="0"/>
                  <w:marRight w:val="0"/>
                  <w:marTop w:val="0"/>
                  <w:marBottom w:val="0"/>
                  <w:divBdr>
                    <w:top w:val="none" w:sz="0" w:space="0" w:color="auto"/>
                    <w:left w:val="none" w:sz="0" w:space="0" w:color="auto"/>
                    <w:bottom w:val="none" w:sz="0" w:space="0" w:color="auto"/>
                    <w:right w:val="none" w:sz="0" w:space="0" w:color="auto"/>
                  </w:divBdr>
                  <w:divsChild>
                    <w:div w:id="1038626494">
                      <w:marLeft w:val="0"/>
                      <w:marRight w:val="0"/>
                      <w:marTop w:val="0"/>
                      <w:marBottom w:val="0"/>
                      <w:divBdr>
                        <w:top w:val="none" w:sz="0" w:space="0" w:color="auto"/>
                        <w:left w:val="none" w:sz="0" w:space="0" w:color="auto"/>
                        <w:bottom w:val="none" w:sz="0" w:space="0" w:color="auto"/>
                        <w:right w:val="none" w:sz="0" w:space="0" w:color="auto"/>
                      </w:divBdr>
                      <w:divsChild>
                        <w:div w:id="2067489393">
                          <w:marLeft w:val="0"/>
                          <w:marRight w:val="0"/>
                          <w:marTop w:val="0"/>
                          <w:marBottom w:val="0"/>
                          <w:divBdr>
                            <w:top w:val="none" w:sz="0" w:space="0" w:color="auto"/>
                            <w:left w:val="none" w:sz="0" w:space="0" w:color="auto"/>
                            <w:bottom w:val="none" w:sz="0" w:space="0" w:color="auto"/>
                            <w:right w:val="none" w:sz="0" w:space="0" w:color="auto"/>
                          </w:divBdr>
                          <w:divsChild>
                            <w:div w:id="114369942">
                              <w:marLeft w:val="0"/>
                              <w:marRight w:val="0"/>
                              <w:marTop w:val="0"/>
                              <w:marBottom w:val="0"/>
                              <w:divBdr>
                                <w:top w:val="none" w:sz="0" w:space="0" w:color="auto"/>
                                <w:left w:val="none" w:sz="0" w:space="0" w:color="auto"/>
                                <w:bottom w:val="none" w:sz="0" w:space="0" w:color="auto"/>
                                <w:right w:val="none" w:sz="0" w:space="0" w:color="auto"/>
                              </w:divBdr>
                              <w:divsChild>
                                <w:div w:id="856315260">
                                  <w:marLeft w:val="0"/>
                                  <w:marRight w:val="0"/>
                                  <w:marTop w:val="0"/>
                                  <w:marBottom w:val="0"/>
                                  <w:divBdr>
                                    <w:top w:val="none" w:sz="0" w:space="0" w:color="auto"/>
                                    <w:left w:val="none" w:sz="0" w:space="0" w:color="auto"/>
                                    <w:bottom w:val="none" w:sz="0" w:space="0" w:color="auto"/>
                                    <w:right w:val="none" w:sz="0" w:space="0" w:color="auto"/>
                                  </w:divBdr>
                                  <w:divsChild>
                                    <w:div w:id="337076055">
                                      <w:marLeft w:val="0"/>
                                      <w:marRight w:val="0"/>
                                      <w:marTop w:val="0"/>
                                      <w:marBottom w:val="0"/>
                                      <w:divBdr>
                                        <w:top w:val="none" w:sz="0" w:space="0" w:color="auto"/>
                                        <w:left w:val="none" w:sz="0" w:space="0" w:color="auto"/>
                                        <w:bottom w:val="none" w:sz="0" w:space="0" w:color="auto"/>
                                        <w:right w:val="none" w:sz="0" w:space="0" w:color="auto"/>
                                      </w:divBdr>
                                      <w:divsChild>
                                        <w:div w:id="1648509517">
                                          <w:marLeft w:val="0"/>
                                          <w:marRight w:val="0"/>
                                          <w:marTop w:val="0"/>
                                          <w:marBottom w:val="0"/>
                                          <w:divBdr>
                                            <w:top w:val="none" w:sz="0" w:space="0" w:color="auto"/>
                                            <w:left w:val="none" w:sz="0" w:space="0" w:color="auto"/>
                                            <w:bottom w:val="none" w:sz="0" w:space="0" w:color="auto"/>
                                            <w:right w:val="none" w:sz="0" w:space="0" w:color="auto"/>
                                          </w:divBdr>
                                          <w:divsChild>
                                            <w:div w:id="114643646">
                                              <w:marLeft w:val="0"/>
                                              <w:marRight w:val="0"/>
                                              <w:marTop w:val="0"/>
                                              <w:marBottom w:val="0"/>
                                              <w:divBdr>
                                                <w:top w:val="none" w:sz="0" w:space="0" w:color="auto"/>
                                                <w:left w:val="none" w:sz="0" w:space="0" w:color="auto"/>
                                                <w:bottom w:val="none" w:sz="0" w:space="0" w:color="auto"/>
                                                <w:right w:val="none" w:sz="0" w:space="0" w:color="auto"/>
                                              </w:divBdr>
                                              <w:divsChild>
                                                <w:div w:id="1842236685">
                                                  <w:marLeft w:val="0"/>
                                                  <w:marRight w:val="0"/>
                                                  <w:marTop w:val="0"/>
                                                  <w:marBottom w:val="0"/>
                                                  <w:divBdr>
                                                    <w:top w:val="none" w:sz="0" w:space="0" w:color="auto"/>
                                                    <w:left w:val="none" w:sz="0" w:space="0" w:color="auto"/>
                                                    <w:bottom w:val="none" w:sz="0" w:space="0" w:color="auto"/>
                                                    <w:right w:val="none" w:sz="0" w:space="0" w:color="auto"/>
                                                  </w:divBdr>
                                                  <w:divsChild>
                                                    <w:div w:id="950356590">
                                                      <w:marLeft w:val="0"/>
                                                      <w:marRight w:val="0"/>
                                                      <w:marTop w:val="0"/>
                                                      <w:marBottom w:val="0"/>
                                                      <w:divBdr>
                                                        <w:top w:val="none" w:sz="0" w:space="0" w:color="auto"/>
                                                        <w:left w:val="none" w:sz="0" w:space="0" w:color="auto"/>
                                                        <w:bottom w:val="none" w:sz="0" w:space="0" w:color="auto"/>
                                                        <w:right w:val="none" w:sz="0" w:space="0" w:color="auto"/>
                                                      </w:divBdr>
                                                      <w:divsChild>
                                                        <w:div w:id="5427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748878">
      <w:bodyDiv w:val="1"/>
      <w:marLeft w:val="0"/>
      <w:marRight w:val="0"/>
      <w:marTop w:val="0"/>
      <w:marBottom w:val="0"/>
      <w:divBdr>
        <w:top w:val="none" w:sz="0" w:space="0" w:color="auto"/>
        <w:left w:val="none" w:sz="0" w:space="0" w:color="auto"/>
        <w:bottom w:val="none" w:sz="0" w:space="0" w:color="auto"/>
        <w:right w:val="none" w:sz="0" w:space="0" w:color="auto"/>
      </w:divBdr>
    </w:div>
    <w:div w:id="1069958692">
      <w:bodyDiv w:val="1"/>
      <w:marLeft w:val="0"/>
      <w:marRight w:val="0"/>
      <w:marTop w:val="0"/>
      <w:marBottom w:val="0"/>
      <w:divBdr>
        <w:top w:val="none" w:sz="0" w:space="0" w:color="auto"/>
        <w:left w:val="none" w:sz="0" w:space="0" w:color="auto"/>
        <w:bottom w:val="none" w:sz="0" w:space="0" w:color="auto"/>
        <w:right w:val="none" w:sz="0" w:space="0" w:color="auto"/>
      </w:divBdr>
    </w:div>
    <w:div w:id="1227110109">
      <w:bodyDiv w:val="1"/>
      <w:marLeft w:val="0"/>
      <w:marRight w:val="0"/>
      <w:marTop w:val="0"/>
      <w:marBottom w:val="0"/>
      <w:divBdr>
        <w:top w:val="none" w:sz="0" w:space="0" w:color="auto"/>
        <w:left w:val="none" w:sz="0" w:space="0" w:color="auto"/>
        <w:bottom w:val="none" w:sz="0" w:space="0" w:color="auto"/>
        <w:right w:val="none" w:sz="0" w:space="0" w:color="auto"/>
      </w:divBdr>
      <w:divsChild>
        <w:div w:id="1574270082">
          <w:marLeft w:val="0"/>
          <w:marRight w:val="0"/>
          <w:marTop w:val="0"/>
          <w:marBottom w:val="0"/>
          <w:divBdr>
            <w:top w:val="none" w:sz="0" w:space="0" w:color="auto"/>
            <w:left w:val="none" w:sz="0" w:space="0" w:color="auto"/>
            <w:bottom w:val="none" w:sz="0" w:space="0" w:color="auto"/>
            <w:right w:val="none" w:sz="0" w:space="0" w:color="auto"/>
          </w:divBdr>
          <w:divsChild>
            <w:div w:id="2091150756">
              <w:marLeft w:val="0"/>
              <w:marRight w:val="0"/>
              <w:marTop w:val="0"/>
              <w:marBottom w:val="0"/>
              <w:divBdr>
                <w:top w:val="none" w:sz="0" w:space="0" w:color="auto"/>
                <w:left w:val="none" w:sz="0" w:space="0" w:color="auto"/>
                <w:bottom w:val="none" w:sz="0" w:space="0" w:color="auto"/>
                <w:right w:val="none" w:sz="0" w:space="0" w:color="auto"/>
              </w:divBdr>
              <w:divsChild>
                <w:div w:id="1941838369">
                  <w:marLeft w:val="0"/>
                  <w:marRight w:val="0"/>
                  <w:marTop w:val="0"/>
                  <w:marBottom w:val="0"/>
                  <w:divBdr>
                    <w:top w:val="none" w:sz="0" w:space="0" w:color="auto"/>
                    <w:left w:val="none" w:sz="0" w:space="0" w:color="auto"/>
                    <w:bottom w:val="none" w:sz="0" w:space="0" w:color="auto"/>
                    <w:right w:val="none" w:sz="0" w:space="0" w:color="auto"/>
                  </w:divBdr>
                  <w:divsChild>
                    <w:div w:id="1227688950">
                      <w:marLeft w:val="0"/>
                      <w:marRight w:val="0"/>
                      <w:marTop w:val="0"/>
                      <w:marBottom w:val="0"/>
                      <w:divBdr>
                        <w:top w:val="none" w:sz="0" w:space="0" w:color="auto"/>
                        <w:left w:val="none" w:sz="0" w:space="0" w:color="auto"/>
                        <w:bottom w:val="none" w:sz="0" w:space="0" w:color="auto"/>
                        <w:right w:val="none" w:sz="0" w:space="0" w:color="auto"/>
                      </w:divBdr>
                      <w:divsChild>
                        <w:div w:id="1480804018">
                          <w:marLeft w:val="0"/>
                          <w:marRight w:val="0"/>
                          <w:marTop w:val="0"/>
                          <w:marBottom w:val="0"/>
                          <w:divBdr>
                            <w:top w:val="none" w:sz="0" w:space="0" w:color="auto"/>
                            <w:left w:val="none" w:sz="0" w:space="0" w:color="auto"/>
                            <w:bottom w:val="none" w:sz="0" w:space="0" w:color="auto"/>
                            <w:right w:val="none" w:sz="0" w:space="0" w:color="auto"/>
                          </w:divBdr>
                          <w:divsChild>
                            <w:div w:id="2013487163">
                              <w:marLeft w:val="0"/>
                              <w:marRight w:val="0"/>
                              <w:marTop w:val="0"/>
                              <w:marBottom w:val="0"/>
                              <w:divBdr>
                                <w:top w:val="none" w:sz="0" w:space="0" w:color="auto"/>
                                <w:left w:val="none" w:sz="0" w:space="0" w:color="auto"/>
                                <w:bottom w:val="none" w:sz="0" w:space="0" w:color="auto"/>
                                <w:right w:val="none" w:sz="0" w:space="0" w:color="auto"/>
                              </w:divBdr>
                              <w:divsChild>
                                <w:div w:id="1766224687">
                                  <w:marLeft w:val="0"/>
                                  <w:marRight w:val="0"/>
                                  <w:marTop w:val="0"/>
                                  <w:marBottom w:val="0"/>
                                  <w:divBdr>
                                    <w:top w:val="none" w:sz="0" w:space="0" w:color="auto"/>
                                    <w:left w:val="none" w:sz="0" w:space="0" w:color="auto"/>
                                    <w:bottom w:val="none" w:sz="0" w:space="0" w:color="auto"/>
                                    <w:right w:val="none" w:sz="0" w:space="0" w:color="auto"/>
                                  </w:divBdr>
                                  <w:divsChild>
                                    <w:div w:id="1519393843">
                                      <w:marLeft w:val="0"/>
                                      <w:marRight w:val="0"/>
                                      <w:marTop w:val="0"/>
                                      <w:marBottom w:val="0"/>
                                      <w:divBdr>
                                        <w:top w:val="none" w:sz="0" w:space="0" w:color="auto"/>
                                        <w:left w:val="none" w:sz="0" w:space="0" w:color="auto"/>
                                        <w:bottom w:val="none" w:sz="0" w:space="0" w:color="auto"/>
                                        <w:right w:val="none" w:sz="0" w:space="0" w:color="auto"/>
                                      </w:divBdr>
                                      <w:divsChild>
                                        <w:div w:id="1281035197">
                                          <w:marLeft w:val="0"/>
                                          <w:marRight w:val="0"/>
                                          <w:marTop w:val="0"/>
                                          <w:marBottom w:val="0"/>
                                          <w:divBdr>
                                            <w:top w:val="none" w:sz="0" w:space="0" w:color="auto"/>
                                            <w:left w:val="none" w:sz="0" w:space="0" w:color="auto"/>
                                            <w:bottom w:val="none" w:sz="0" w:space="0" w:color="auto"/>
                                            <w:right w:val="none" w:sz="0" w:space="0" w:color="auto"/>
                                          </w:divBdr>
                                          <w:divsChild>
                                            <w:div w:id="338895066">
                                              <w:marLeft w:val="0"/>
                                              <w:marRight w:val="0"/>
                                              <w:marTop w:val="0"/>
                                              <w:marBottom w:val="0"/>
                                              <w:divBdr>
                                                <w:top w:val="none" w:sz="0" w:space="0" w:color="auto"/>
                                                <w:left w:val="none" w:sz="0" w:space="0" w:color="auto"/>
                                                <w:bottom w:val="none" w:sz="0" w:space="0" w:color="auto"/>
                                                <w:right w:val="none" w:sz="0" w:space="0" w:color="auto"/>
                                              </w:divBdr>
                                              <w:divsChild>
                                                <w:div w:id="1595283348">
                                                  <w:marLeft w:val="0"/>
                                                  <w:marRight w:val="0"/>
                                                  <w:marTop w:val="0"/>
                                                  <w:marBottom w:val="0"/>
                                                  <w:divBdr>
                                                    <w:top w:val="none" w:sz="0" w:space="0" w:color="auto"/>
                                                    <w:left w:val="none" w:sz="0" w:space="0" w:color="auto"/>
                                                    <w:bottom w:val="none" w:sz="0" w:space="0" w:color="auto"/>
                                                    <w:right w:val="none" w:sz="0" w:space="0" w:color="auto"/>
                                                  </w:divBdr>
                                                  <w:divsChild>
                                                    <w:div w:id="758983462">
                                                      <w:marLeft w:val="0"/>
                                                      <w:marRight w:val="0"/>
                                                      <w:marTop w:val="0"/>
                                                      <w:marBottom w:val="0"/>
                                                      <w:divBdr>
                                                        <w:top w:val="none" w:sz="0" w:space="0" w:color="auto"/>
                                                        <w:left w:val="none" w:sz="0" w:space="0" w:color="auto"/>
                                                        <w:bottom w:val="none" w:sz="0" w:space="0" w:color="auto"/>
                                                        <w:right w:val="none" w:sz="0" w:space="0" w:color="auto"/>
                                                      </w:divBdr>
                                                      <w:divsChild>
                                                        <w:div w:id="19996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75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1307854866">
              <w:marLeft w:val="0"/>
              <w:marRight w:val="0"/>
              <w:marTop w:val="0"/>
              <w:marBottom w:val="0"/>
              <w:divBdr>
                <w:top w:val="none" w:sz="0" w:space="0" w:color="auto"/>
                <w:left w:val="none" w:sz="0" w:space="0" w:color="auto"/>
                <w:bottom w:val="none" w:sz="0" w:space="0" w:color="auto"/>
                <w:right w:val="none" w:sz="0" w:space="0" w:color="auto"/>
              </w:divBdr>
              <w:divsChild>
                <w:div w:id="1693338878">
                  <w:marLeft w:val="0"/>
                  <w:marRight w:val="0"/>
                  <w:marTop w:val="0"/>
                  <w:marBottom w:val="0"/>
                  <w:divBdr>
                    <w:top w:val="none" w:sz="0" w:space="0" w:color="auto"/>
                    <w:left w:val="none" w:sz="0" w:space="0" w:color="auto"/>
                    <w:bottom w:val="none" w:sz="0" w:space="0" w:color="auto"/>
                    <w:right w:val="none" w:sz="0" w:space="0" w:color="auto"/>
                  </w:divBdr>
                  <w:divsChild>
                    <w:div w:id="641810629">
                      <w:marLeft w:val="0"/>
                      <w:marRight w:val="0"/>
                      <w:marTop w:val="0"/>
                      <w:marBottom w:val="0"/>
                      <w:divBdr>
                        <w:top w:val="none" w:sz="0" w:space="0" w:color="auto"/>
                        <w:left w:val="none" w:sz="0" w:space="0" w:color="auto"/>
                        <w:bottom w:val="none" w:sz="0" w:space="0" w:color="auto"/>
                        <w:right w:val="none" w:sz="0" w:space="0" w:color="auto"/>
                      </w:divBdr>
                      <w:divsChild>
                        <w:div w:id="404373756">
                          <w:marLeft w:val="0"/>
                          <w:marRight w:val="0"/>
                          <w:marTop w:val="0"/>
                          <w:marBottom w:val="0"/>
                          <w:divBdr>
                            <w:top w:val="none" w:sz="0" w:space="0" w:color="auto"/>
                            <w:left w:val="none" w:sz="0" w:space="0" w:color="auto"/>
                            <w:bottom w:val="none" w:sz="0" w:space="0" w:color="auto"/>
                            <w:right w:val="none" w:sz="0" w:space="0" w:color="auto"/>
                          </w:divBdr>
                          <w:divsChild>
                            <w:div w:id="415634053">
                              <w:marLeft w:val="0"/>
                              <w:marRight w:val="0"/>
                              <w:marTop w:val="0"/>
                              <w:marBottom w:val="0"/>
                              <w:divBdr>
                                <w:top w:val="none" w:sz="0" w:space="0" w:color="auto"/>
                                <w:left w:val="none" w:sz="0" w:space="0" w:color="auto"/>
                                <w:bottom w:val="none" w:sz="0" w:space="0" w:color="auto"/>
                                <w:right w:val="none" w:sz="0" w:space="0" w:color="auto"/>
                              </w:divBdr>
                              <w:divsChild>
                                <w:div w:id="578566329">
                                  <w:marLeft w:val="0"/>
                                  <w:marRight w:val="0"/>
                                  <w:marTop w:val="0"/>
                                  <w:marBottom w:val="0"/>
                                  <w:divBdr>
                                    <w:top w:val="none" w:sz="0" w:space="0" w:color="auto"/>
                                    <w:left w:val="none" w:sz="0" w:space="0" w:color="auto"/>
                                    <w:bottom w:val="none" w:sz="0" w:space="0" w:color="auto"/>
                                    <w:right w:val="none" w:sz="0" w:space="0" w:color="auto"/>
                                  </w:divBdr>
                                  <w:divsChild>
                                    <w:div w:id="472673679">
                                      <w:marLeft w:val="0"/>
                                      <w:marRight w:val="0"/>
                                      <w:marTop w:val="0"/>
                                      <w:marBottom w:val="0"/>
                                      <w:divBdr>
                                        <w:top w:val="none" w:sz="0" w:space="0" w:color="auto"/>
                                        <w:left w:val="none" w:sz="0" w:space="0" w:color="auto"/>
                                        <w:bottom w:val="none" w:sz="0" w:space="0" w:color="auto"/>
                                        <w:right w:val="none" w:sz="0" w:space="0" w:color="auto"/>
                                      </w:divBdr>
                                      <w:divsChild>
                                        <w:div w:id="119149236">
                                          <w:marLeft w:val="0"/>
                                          <w:marRight w:val="0"/>
                                          <w:marTop w:val="0"/>
                                          <w:marBottom w:val="0"/>
                                          <w:divBdr>
                                            <w:top w:val="none" w:sz="0" w:space="0" w:color="auto"/>
                                            <w:left w:val="none" w:sz="0" w:space="0" w:color="auto"/>
                                            <w:bottom w:val="none" w:sz="0" w:space="0" w:color="auto"/>
                                            <w:right w:val="none" w:sz="0" w:space="0" w:color="auto"/>
                                          </w:divBdr>
                                          <w:divsChild>
                                            <w:div w:id="1802765185">
                                              <w:marLeft w:val="0"/>
                                              <w:marRight w:val="0"/>
                                              <w:marTop w:val="0"/>
                                              <w:marBottom w:val="0"/>
                                              <w:divBdr>
                                                <w:top w:val="none" w:sz="0" w:space="0" w:color="auto"/>
                                                <w:left w:val="none" w:sz="0" w:space="0" w:color="auto"/>
                                                <w:bottom w:val="none" w:sz="0" w:space="0" w:color="auto"/>
                                                <w:right w:val="none" w:sz="0" w:space="0" w:color="auto"/>
                                              </w:divBdr>
                                              <w:divsChild>
                                                <w:div w:id="808471573">
                                                  <w:marLeft w:val="0"/>
                                                  <w:marRight w:val="0"/>
                                                  <w:marTop w:val="0"/>
                                                  <w:marBottom w:val="0"/>
                                                  <w:divBdr>
                                                    <w:top w:val="none" w:sz="0" w:space="0" w:color="auto"/>
                                                    <w:left w:val="none" w:sz="0" w:space="0" w:color="auto"/>
                                                    <w:bottom w:val="none" w:sz="0" w:space="0" w:color="auto"/>
                                                    <w:right w:val="none" w:sz="0" w:space="0" w:color="auto"/>
                                                  </w:divBdr>
                                                  <w:divsChild>
                                                    <w:div w:id="1247182461">
                                                      <w:marLeft w:val="0"/>
                                                      <w:marRight w:val="0"/>
                                                      <w:marTop w:val="0"/>
                                                      <w:marBottom w:val="0"/>
                                                      <w:divBdr>
                                                        <w:top w:val="none" w:sz="0" w:space="0" w:color="auto"/>
                                                        <w:left w:val="none" w:sz="0" w:space="0" w:color="auto"/>
                                                        <w:bottom w:val="none" w:sz="0" w:space="0" w:color="auto"/>
                                                        <w:right w:val="none" w:sz="0" w:space="0" w:color="auto"/>
                                                      </w:divBdr>
                                                      <w:divsChild>
                                                        <w:div w:id="1543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393855">
      <w:bodyDiv w:val="1"/>
      <w:marLeft w:val="0"/>
      <w:marRight w:val="0"/>
      <w:marTop w:val="0"/>
      <w:marBottom w:val="0"/>
      <w:divBdr>
        <w:top w:val="none" w:sz="0" w:space="0" w:color="auto"/>
        <w:left w:val="none" w:sz="0" w:space="0" w:color="auto"/>
        <w:bottom w:val="none" w:sz="0" w:space="0" w:color="auto"/>
        <w:right w:val="none" w:sz="0" w:space="0" w:color="auto"/>
      </w:divBdr>
      <w:divsChild>
        <w:div w:id="268852747">
          <w:marLeft w:val="0"/>
          <w:marRight w:val="0"/>
          <w:marTop w:val="0"/>
          <w:marBottom w:val="0"/>
          <w:divBdr>
            <w:top w:val="none" w:sz="0" w:space="0" w:color="auto"/>
            <w:left w:val="none" w:sz="0" w:space="0" w:color="auto"/>
            <w:bottom w:val="none" w:sz="0" w:space="0" w:color="auto"/>
            <w:right w:val="none" w:sz="0" w:space="0" w:color="auto"/>
          </w:divBdr>
          <w:divsChild>
            <w:div w:id="283579721">
              <w:marLeft w:val="0"/>
              <w:marRight w:val="0"/>
              <w:marTop w:val="0"/>
              <w:marBottom w:val="0"/>
              <w:divBdr>
                <w:top w:val="none" w:sz="0" w:space="0" w:color="auto"/>
                <w:left w:val="none" w:sz="0" w:space="0" w:color="auto"/>
                <w:bottom w:val="none" w:sz="0" w:space="0" w:color="auto"/>
                <w:right w:val="none" w:sz="0" w:space="0" w:color="auto"/>
              </w:divBdr>
              <w:divsChild>
                <w:div w:id="1498226427">
                  <w:marLeft w:val="0"/>
                  <w:marRight w:val="0"/>
                  <w:marTop w:val="0"/>
                  <w:marBottom w:val="0"/>
                  <w:divBdr>
                    <w:top w:val="none" w:sz="0" w:space="0" w:color="auto"/>
                    <w:left w:val="none" w:sz="0" w:space="0" w:color="auto"/>
                    <w:bottom w:val="none" w:sz="0" w:space="0" w:color="auto"/>
                    <w:right w:val="none" w:sz="0" w:space="0" w:color="auto"/>
                  </w:divBdr>
                  <w:divsChild>
                    <w:div w:id="850071792">
                      <w:marLeft w:val="0"/>
                      <w:marRight w:val="0"/>
                      <w:marTop w:val="0"/>
                      <w:marBottom w:val="0"/>
                      <w:divBdr>
                        <w:top w:val="none" w:sz="0" w:space="0" w:color="auto"/>
                        <w:left w:val="none" w:sz="0" w:space="0" w:color="auto"/>
                        <w:bottom w:val="none" w:sz="0" w:space="0" w:color="auto"/>
                        <w:right w:val="none" w:sz="0" w:space="0" w:color="auto"/>
                      </w:divBdr>
                      <w:divsChild>
                        <w:div w:id="1759718714">
                          <w:marLeft w:val="0"/>
                          <w:marRight w:val="0"/>
                          <w:marTop w:val="0"/>
                          <w:marBottom w:val="0"/>
                          <w:divBdr>
                            <w:top w:val="none" w:sz="0" w:space="0" w:color="auto"/>
                            <w:left w:val="none" w:sz="0" w:space="0" w:color="auto"/>
                            <w:bottom w:val="none" w:sz="0" w:space="0" w:color="auto"/>
                            <w:right w:val="none" w:sz="0" w:space="0" w:color="auto"/>
                          </w:divBdr>
                          <w:divsChild>
                            <w:div w:id="863902187">
                              <w:marLeft w:val="0"/>
                              <w:marRight w:val="0"/>
                              <w:marTop w:val="0"/>
                              <w:marBottom w:val="0"/>
                              <w:divBdr>
                                <w:top w:val="none" w:sz="0" w:space="0" w:color="auto"/>
                                <w:left w:val="none" w:sz="0" w:space="0" w:color="auto"/>
                                <w:bottom w:val="none" w:sz="0" w:space="0" w:color="auto"/>
                                <w:right w:val="none" w:sz="0" w:space="0" w:color="auto"/>
                              </w:divBdr>
                              <w:divsChild>
                                <w:div w:id="1138643468">
                                  <w:marLeft w:val="0"/>
                                  <w:marRight w:val="0"/>
                                  <w:marTop w:val="0"/>
                                  <w:marBottom w:val="0"/>
                                  <w:divBdr>
                                    <w:top w:val="none" w:sz="0" w:space="0" w:color="auto"/>
                                    <w:left w:val="none" w:sz="0" w:space="0" w:color="auto"/>
                                    <w:bottom w:val="none" w:sz="0" w:space="0" w:color="auto"/>
                                    <w:right w:val="none" w:sz="0" w:space="0" w:color="auto"/>
                                  </w:divBdr>
                                  <w:divsChild>
                                    <w:div w:id="820848978">
                                      <w:marLeft w:val="0"/>
                                      <w:marRight w:val="0"/>
                                      <w:marTop w:val="0"/>
                                      <w:marBottom w:val="0"/>
                                      <w:divBdr>
                                        <w:top w:val="none" w:sz="0" w:space="0" w:color="auto"/>
                                        <w:left w:val="none" w:sz="0" w:space="0" w:color="auto"/>
                                        <w:bottom w:val="none" w:sz="0" w:space="0" w:color="auto"/>
                                        <w:right w:val="none" w:sz="0" w:space="0" w:color="auto"/>
                                      </w:divBdr>
                                      <w:divsChild>
                                        <w:div w:id="690842860">
                                          <w:marLeft w:val="0"/>
                                          <w:marRight w:val="0"/>
                                          <w:marTop w:val="0"/>
                                          <w:marBottom w:val="0"/>
                                          <w:divBdr>
                                            <w:top w:val="none" w:sz="0" w:space="0" w:color="auto"/>
                                            <w:left w:val="none" w:sz="0" w:space="0" w:color="auto"/>
                                            <w:bottom w:val="none" w:sz="0" w:space="0" w:color="auto"/>
                                            <w:right w:val="none" w:sz="0" w:space="0" w:color="auto"/>
                                          </w:divBdr>
                                          <w:divsChild>
                                            <w:div w:id="510098542">
                                              <w:marLeft w:val="0"/>
                                              <w:marRight w:val="0"/>
                                              <w:marTop w:val="0"/>
                                              <w:marBottom w:val="0"/>
                                              <w:divBdr>
                                                <w:top w:val="none" w:sz="0" w:space="0" w:color="auto"/>
                                                <w:left w:val="none" w:sz="0" w:space="0" w:color="auto"/>
                                                <w:bottom w:val="none" w:sz="0" w:space="0" w:color="auto"/>
                                                <w:right w:val="none" w:sz="0" w:space="0" w:color="auto"/>
                                              </w:divBdr>
                                              <w:divsChild>
                                                <w:div w:id="452750001">
                                                  <w:marLeft w:val="0"/>
                                                  <w:marRight w:val="0"/>
                                                  <w:marTop w:val="0"/>
                                                  <w:marBottom w:val="0"/>
                                                  <w:divBdr>
                                                    <w:top w:val="none" w:sz="0" w:space="0" w:color="auto"/>
                                                    <w:left w:val="none" w:sz="0" w:space="0" w:color="auto"/>
                                                    <w:bottom w:val="none" w:sz="0" w:space="0" w:color="auto"/>
                                                    <w:right w:val="none" w:sz="0" w:space="0" w:color="auto"/>
                                                  </w:divBdr>
                                                  <w:divsChild>
                                                    <w:div w:id="229386113">
                                                      <w:marLeft w:val="0"/>
                                                      <w:marRight w:val="0"/>
                                                      <w:marTop w:val="0"/>
                                                      <w:marBottom w:val="0"/>
                                                      <w:divBdr>
                                                        <w:top w:val="none" w:sz="0" w:space="0" w:color="auto"/>
                                                        <w:left w:val="none" w:sz="0" w:space="0" w:color="auto"/>
                                                        <w:bottom w:val="none" w:sz="0" w:space="0" w:color="auto"/>
                                                        <w:right w:val="none" w:sz="0" w:space="0" w:color="auto"/>
                                                      </w:divBdr>
                                                      <w:divsChild>
                                                        <w:div w:id="2096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949869">
      <w:bodyDiv w:val="1"/>
      <w:marLeft w:val="0"/>
      <w:marRight w:val="0"/>
      <w:marTop w:val="0"/>
      <w:marBottom w:val="0"/>
      <w:divBdr>
        <w:top w:val="none" w:sz="0" w:space="0" w:color="auto"/>
        <w:left w:val="none" w:sz="0" w:space="0" w:color="auto"/>
        <w:bottom w:val="none" w:sz="0" w:space="0" w:color="auto"/>
        <w:right w:val="none" w:sz="0" w:space="0" w:color="auto"/>
      </w:divBdr>
    </w:div>
    <w:div w:id="1879584752">
      <w:bodyDiv w:val="1"/>
      <w:marLeft w:val="0"/>
      <w:marRight w:val="0"/>
      <w:marTop w:val="0"/>
      <w:marBottom w:val="0"/>
      <w:divBdr>
        <w:top w:val="none" w:sz="0" w:space="0" w:color="auto"/>
        <w:left w:val="none" w:sz="0" w:space="0" w:color="auto"/>
        <w:bottom w:val="none" w:sz="0" w:space="0" w:color="auto"/>
        <w:right w:val="none" w:sz="0" w:space="0" w:color="auto"/>
      </w:divBdr>
    </w:div>
    <w:div w:id="1919823080">
      <w:bodyDiv w:val="1"/>
      <w:marLeft w:val="0"/>
      <w:marRight w:val="0"/>
      <w:marTop w:val="0"/>
      <w:marBottom w:val="0"/>
      <w:divBdr>
        <w:top w:val="none" w:sz="0" w:space="0" w:color="auto"/>
        <w:left w:val="none" w:sz="0" w:space="0" w:color="auto"/>
        <w:bottom w:val="none" w:sz="0" w:space="0" w:color="auto"/>
        <w:right w:val="none" w:sz="0" w:space="0" w:color="auto"/>
      </w:divBdr>
    </w:div>
    <w:div w:id="1967466932">
      <w:bodyDiv w:val="1"/>
      <w:marLeft w:val="0"/>
      <w:marRight w:val="0"/>
      <w:marTop w:val="0"/>
      <w:marBottom w:val="0"/>
      <w:divBdr>
        <w:top w:val="none" w:sz="0" w:space="0" w:color="auto"/>
        <w:left w:val="none" w:sz="0" w:space="0" w:color="auto"/>
        <w:bottom w:val="none" w:sz="0" w:space="0" w:color="auto"/>
        <w:right w:val="none" w:sz="0" w:space="0" w:color="auto"/>
      </w:divBdr>
      <w:divsChild>
        <w:div w:id="67583947">
          <w:marLeft w:val="0"/>
          <w:marRight w:val="0"/>
          <w:marTop w:val="0"/>
          <w:marBottom w:val="0"/>
          <w:divBdr>
            <w:top w:val="none" w:sz="0" w:space="0" w:color="auto"/>
            <w:left w:val="none" w:sz="0" w:space="0" w:color="auto"/>
            <w:bottom w:val="none" w:sz="0" w:space="0" w:color="auto"/>
            <w:right w:val="none" w:sz="0" w:space="0" w:color="auto"/>
          </w:divBdr>
          <w:divsChild>
            <w:div w:id="7951426">
              <w:marLeft w:val="0"/>
              <w:marRight w:val="0"/>
              <w:marTop w:val="0"/>
              <w:marBottom w:val="0"/>
              <w:divBdr>
                <w:top w:val="none" w:sz="0" w:space="0" w:color="auto"/>
                <w:left w:val="none" w:sz="0" w:space="0" w:color="auto"/>
                <w:bottom w:val="none" w:sz="0" w:space="0" w:color="auto"/>
                <w:right w:val="none" w:sz="0" w:space="0" w:color="auto"/>
              </w:divBdr>
              <w:divsChild>
                <w:div w:id="1181773378">
                  <w:marLeft w:val="0"/>
                  <w:marRight w:val="0"/>
                  <w:marTop w:val="0"/>
                  <w:marBottom w:val="0"/>
                  <w:divBdr>
                    <w:top w:val="none" w:sz="0" w:space="0" w:color="auto"/>
                    <w:left w:val="none" w:sz="0" w:space="0" w:color="auto"/>
                    <w:bottom w:val="none" w:sz="0" w:space="0" w:color="auto"/>
                    <w:right w:val="none" w:sz="0" w:space="0" w:color="auto"/>
                  </w:divBdr>
                  <w:divsChild>
                    <w:div w:id="1404184787">
                      <w:marLeft w:val="0"/>
                      <w:marRight w:val="0"/>
                      <w:marTop w:val="0"/>
                      <w:marBottom w:val="0"/>
                      <w:divBdr>
                        <w:top w:val="none" w:sz="0" w:space="0" w:color="auto"/>
                        <w:left w:val="none" w:sz="0" w:space="0" w:color="auto"/>
                        <w:bottom w:val="none" w:sz="0" w:space="0" w:color="auto"/>
                        <w:right w:val="none" w:sz="0" w:space="0" w:color="auto"/>
                      </w:divBdr>
                      <w:divsChild>
                        <w:div w:id="839155246">
                          <w:marLeft w:val="0"/>
                          <w:marRight w:val="0"/>
                          <w:marTop w:val="0"/>
                          <w:marBottom w:val="0"/>
                          <w:divBdr>
                            <w:top w:val="none" w:sz="0" w:space="0" w:color="auto"/>
                            <w:left w:val="none" w:sz="0" w:space="0" w:color="auto"/>
                            <w:bottom w:val="none" w:sz="0" w:space="0" w:color="auto"/>
                            <w:right w:val="none" w:sz="0" w:space="0" w:color="auto"/>
                          </w:divBdr>
                          <w:divsChild>
                            <w:div w:id="1051534657">
                              <w:marLeft w:val="0"/>
                              <w:marRight w:val="0"/>
                              <w:marTop w:val="0"/>
                              <w:marBottom w:val="0"/>
                              <w:divBdr>
                                <w:top w:val="none" w:sz="0" w:space="0" w:color="auto"/>
                                <w:left w:val="none" w:sz="0" w:space="0" w:color="auto"/>
                                <w:bottom w:val="none" w:sz="0" w:space="0" w:color="auto"/>
                                <w:right w:val="none" w:sz="0" w:space="0" w:color="auto"/>
                              </w:divBdr>
                              <w:divsChild>
                                <w:div w:id="1848783096">
                                  <w:marLeft w:val="0"/>
                                  <w:marRight w:val="0"/>
                                  <w:marTop w:val="0"/>
                                  <w:marBottom w:val="0"/>
                                  <w:divBdr>
                                    <w:top w:val="none" w:sz="0" w:space="0" w:color="auto"/>
                                    <w:left w:val="none" w:sz="0" w:space="0" w:color="auto"/>
                                    <w:bottom w:val="none" w:sz="0" w:space="0" w:color="auto"/>
                                    <w:right w:val="none" w:sz="0" w:space="0" w:color="auto"/>
                                  </w:divBdr>
                                  <w:divsChild>
                                    <w:div w:id="2144694299">
                                      <w:marLeft w:val="0"/>
                                      <w:marRight w:val="0"/>
                                      <w:marTop w:val="0"/>
                                      <w:marBottom w:val="0"/>
                                      <w:divBdr>
                                        <w:top w:val="none" w:sz="0" w:space="0" w:color="auto"/>
                                        <w:left w:val="none" w:sz="0" w:space="0" w:color="auto"/>
                                        <w:bottom w:val="none" w:sz="0" w:space="0" w:color="auto"/>
                                        <w:right w:val="none" w:sz="0" w:space="0" w:color="auto"/>
                                      </w:divBdr>
                                      <w:divsChild>
                                        <w:div w:id="1149519543">
                                          <w:marLeft w:val="0"/>
                                          <w:marRight w:val="0"/>
                                          <w:marTop w:val="0"/>
                                          <w:marBottom w:val="0"/>
                                          <w:divBdr>
                                            <w:top w:val="none" w:sz="0" w:space="0" w:color="auto"/>
                                            <w:left w:val="none" w:sz="0" w:space="0" w:color="auto"/>
                                            <w:bottom w:val="none" w:sz="0" w:space="0" w:color="auto"/>
                                            <w:right w:val="none" w:sz="0" w:space="0" w:color="auto"/>
                                          </w:divBdr>
                                          <w:divsChild>
                                            <w:div w:id="1669551025">
                                              <w:marLeft w:val="0"/>
                                              <w:marRight w:val="0"/>
                                              <w:marTop w:val="0"/>
                                              <w:marBottom w:val="0"/>
                                              <w:divBdr>
                                                <w:top w:val="none" w:sz="0" w:space="0" w:color="auto"/>
                                                <w:left w:val="none" w:sz="0" w:space="0" w:color="auto"/>
                                                <w:bottom w:val="none" w:sz="0" w:space="0" w:color="auto"/>
                                                <w:right w:val="none" w:sz="0" w:space="0" w:color="auto"/>
                                              </w:divBdr>
                                              <w:divsChild>
                                                <w:div w:id="361172111">
                                                  <w:marLeft w:val="0"/>
                                                  <w:marRight w:val="0"/>
                                                  <w:marTop w:val="0"/>
                                                  <w:marBottom w:val="0"/>
                                                  <w:divBdr>
                                                    <w:top w:val="none" w:sz="0" w:space="0" w:color="auto"/>
                                                    <w:left w:val="none" w:sz="0" w:space="0" w:color="auto"/>
                                                    <w:bottom w:val="none" w:sz="0" w:space="0" w:color="auto"/>
                                                    <w:right w:val="none" w:sz="0" w:space="0" w:color="auto"/>
                                                  </w:divBdr>
                                                  <w:divsChild>
                                                    <w:div w:id="1760786094">
                                                      <w:marLeft w:val="0"/>
                                                      <w:marRight w:val="0"/>
                                                      <w:marTop w:val="0"/>
                                                      <w:marBottom w:val="0"/>
                                                      <w:divBdr>
                                                        <w:top w:val="none" w:sz="0" w:space="0" w:color="auto"/>
                                                        <w:left w:val="none" w:sz="0" w:space="0" w:color="auto"/>
                                                        <w:bottom w:val="none" w:sz="0" w:space="0" w:color="auto"/>
                                                        <w:right w:val="none" w:sz="0" w:space="0" w:color="auto"/>
                                                      </w:divBdr>
                                                      <w:divsChild>
                                                        <w:div w:id="343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992917">
      <w:bodyDiv w:val="1"/>
      <w:marLeft w:val="0"/>
      <w:marRight w:val="0"/>
      <w:marTop w:val="0"/>
      <w:marBottom w:val="0"/>
      <w:divBdr>
        <w:top w:val="none" w:sz="0" w:space="0" w:color="auto"/>
        <w:left w:val="none" w:sz="0" w:space="0" w:color="auto"/>
        <w:bottom w:val="none" w:sz="0" w:space="0" w:color="auto"/>
        <w:right w:val="none" w:sz="0" w:space="0" w:color="auto"/>
      </w:divBdr>
      <w:divsChild>
        <w:div w:id="468983640">
          <w:marLeft w:val="0"/>
          <w:marRight w:val="0"/>
          <w:marTop w:val="0"/>
          <w:marBottom w:val="0"/>
          <w:divBdr>
            <w:top w:val="none" w:sz="0" w:space="0" w:color="auto"/>
            <w:left w:val="none" w:sz="0" w:space="0" w:color="auto"/>
            <w:bottom w:val="none" w:sz="0" w:space="0" w:color="auto"/>
            <w:right w:val="none" w:sz="0" w:space="0" w:color="auto"/>
          </w:divBdr>
          <w:divsChild>
            <w:div w:id="614869766">
              <w:marLeft w:val="0"/>
              <w:marRight w:val="0"/>
              <w:marTop w:val="0"/>
              <w:marBottom w:val="0"/>
              <w:divBdr>
                <w:top w:val="none" w:sz="0" w:space="0" w:color="auto"/>
                <w:left w:val="none" w:sz="0" w:space="0" w:color="auto"/>
                <w:bottom w:val="none" w:sz="0" w:space="0" w:color="auto"/>
                <w:right w:val="none" w:sz="0" w:space="0" w:color="auto"/>
              </w:divBdr>
              <w:divsChild>
                <w:div w:id="1819295873">
                  <w:marLeft w:val="0"/>
                  <w:marRight w:val="0"/>
                  <w:marTop w:val="0"/>
                  <w:marBottom w:val="0"/>
                  <w:divBdr>
                    <w:top w:val="none" w:sz="0" w:space="0" w:color="auto"/>
                    <w:left w:val="none" w:sz="0" w:space="0" w:color="auto"/>
                    <w:bottom w:val="none" w:sz="0" w:space="0" w:color="auto"/>
                    <w:right w:val="none" w:sz="0" w:space="0" w:color="auto"/>
                  </w:divBdr>
                  <w:divsChild>
                    <w:div w:id="217589322">
                      <w:marLeft w:val="0"/>
                      <w:marRight w:val="0"/>
                      <w:marTop w:val="0"/>
                      <w:marBottom w:val="0"/>
                      <w:divBdr>
                        <w:top w:val="none" w:sz="0" w:space="0" w:color="auto"/>
                        <w:left w:val="none" w:sz="0" w:space="0" w:color="auto"/>
                        <w:bottom w:val="none" w:sz="0" w:space="0" w:color="auto"/>
                        <w:right w:val="none" w:sz="0" w:space="0" w:color="auto"/>
                      </w:divBdr>
                      <w:divsChild>
                        <w:div w:id="1325284957">
                          <w:marLeft w:val="0"/>
                          <w:marRight w:val="0"/>
                          <w:marTop w:val="0"/>
                          <w:marBottom w:val="0"/>
                          <w:divBdr>
                            <w:top w:val="none" w:sz="0" w:space="0" w:color="auto"/>
                            <w:left w:val="none" w:sz="0" w:space="0" w:color="auto"/>
                            <w:bottom w:val="none" w:sz="0" w:space="0" w:color="auto"/>
                            <w:right w:val="none" w:sz="0" w:space="0" w:color="auto"/>
                          </w:divBdr>
                          <w:divsChild>
                            <w:div w:id="1443651696">
                              <w:marLeft w:val="0"/>
                              <w:marRight w:val="0"/>
                              <w:marTop w:val="0"/>
                              <w:marBottom w:val="0"/>
                              <w:divBdr>
                                <w:top w:val="none" w:sz="0" w:space="0" w:color="auto"/>
                                <w:left w:val="none" w:sz="0" w:space="0" w:color="auto"/>
                                <w:bottom w:val="none" w:sz="0" w:space="0" w:color="auto"/>
                                <w:right w:val="none" w:sz="0" w:space="0" w:color="auto"/>
                              </w:divBdr>
                              <w:divsChild>
                                <w:div w:id="1457018374">
                                  <w:marLeft w:val="0"/>
                                  <w:marRight w:val="0"/>
                                  <w:marTop w:val="0"/>
                                  <w:marBottom w:val="0"/>
                                  <w:divBdr>
                                    <w:top w:val="none" w:sz="0" w:space="0" w:color="auto"/>
                                    <w:left w:val="none" w:sz="0" w:space="0" w:color="auto"/>
                                    <w:bottom w:val="none" w:sz="0" w:space="0" w:color="auto"/>
                                    <w:right w:val="none" w:sz="0" w:space="0" w:color="auto"/>
                                  </w:divBdr>
                                  <w:divsChild>
                                    <w:div w:id="319430040">
                                      <w:marLeft w:val="0"/>
                                      <w:marRight w:val="0"/>
                                      <w:marTop w:val="0"/>
                                      <w:marBottom w:val="0"/>
                                      <w:divBdr>
                                        <w:top w:val="none" w:sz="0" w:space="0" w:color="auto"/>
                                        <w:left w:val="none" w:sz="0" w:space="0" w:color="auto"/>
                                        <w:bottom w:val="none" w:sz="0" w:space="0" w:color="auto"/>
                                        <w:right w:val="none" w:sz="0" w:space="0" w:color="auto"/>
                                      </w:divBdr>
                                      <w:divsChild>
                                        <w:div w:id="757482524">
                                          <w:marLeft w:val="0"/>
                                          <w:marRight w:val="0"/>
                                          <w:marTop w:val="0"/>
                                          <w:marBottom w:val="0"/>
                                          <w:divBdr>
                                            <w:top w:val="none" w:sz="0" w:space="0" w:color="auto"/>
                                            <w:left w:val="none" w:sz="0" w:space="0" w:color="auto"/>
                                            <w:bottom w:val="none" w:sz="0" w:space="0" w:color="auto"/>
                                            <w:right w:val="none" w:sz="0" w:space="0" w:color="auto"/>
                                          </w:divBdr>
                                          <w:divsChild>
                                            <w:div w:id="264775477">
                                              <w:marLeft w:val="0"/>
                                              <w:marRight w:val="0"/>
                                              <w:marTop w:val="0"/>
                                              <w:marBottom w:val="0"/>
                                              <w:divBdr>
                                                <w:top w:val="none" w:sz="0" w:space="0" w:color="auto"/>
                                                <w:left w:val="none" w:sz="0" w:space="0" w:color="auto"/>
                                                <w:bottom w:val="none" w:sz="0" w:space="0" w:color="auto"/>
                                                <w:right w:val="none" w:sz="0" w:space="0" w:color="auto"/>
                                              </w:divBdr>
                                              <w:divsChild>
                                                <w:div w:id="1949465983">
                                                  <w:marLeft w:val="0"/>
                                                  <w:marRight w:val="0"/>
                                                  <w:marTop w:val="0"/>
                                                  <w:marBottom w:val="0"/>
                                                  <w:divBdr>
                                                    <w:top w:val="none" w:sz="0" w:space="0" w:color="auto"/>
                                                    <w:left w:val="none" w:sz="0" w:space="0" w:color="auto"/>
                                                    <w:bottom w:val="none" w:sz="0" w:space="0" w:color="auto"/>
                                                    <w:right w:val="none" w:sz="0" w:space="0" w:color="auto"/>
                                                  </w:divBdr>
                                                  <w:divsChild>
                                                    <w:div w:id="400756236">
                                                      <w:marLeft w:val="0"/>
                                                      <w:marRight w:val="0"/>
                                                      <w:marTop w:val="0"/>
                                                      <w:marBottom w:val="0"/>
                                                      <w:divBdr>
                                                        <w:top w:val="none" w:sz="0" w:space="0" w:color="auto"/>
                                                        <w:left w:val="none" w:sz="0" w:space="0" w:color="auto"/>
                                                        <w:bottom w:val="none" w:sz="0" w:space="0" w:color="auto"/>
                                                        <w:right w:val="none" w:sz="0" w:space="0" w:color="auto"/>
                                                      </w:divBdr>
                                                      <w:divsChild>
                                                        <w:div w:id="65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942650F57D18B46ABDBB17F78763366" ma:contentTypeVersion="" ma:contentTypeDescription="PDMS Document Site Content Type" ma:contentTypeScope="" ma:versionID="0845553be66c72497793347b7800d4fe">
  <xsd:schema xmlns:xsd="http://www.w3.org/2001/XMLSchema" xmlns:xs="http://www.w3.org/2001/XMLSchema" xmlns:p="http://schemas.microsoft.com/office/2006/metadata/properties" xmlns:ns2="FA8864FA-9397-42EF-94D1-91F710615CDD" targetNamespace="http://schemas.microsoft.com/office/2006/metadata/properties" ma:root="true" ma:fieldsID="61dd69cf4cafcd3c3b26dff34eee4003" ns2:_="">
    <xsd:import namespace="FA8864FA-9397-42EF-94D1-91F710615C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64FA-9397-42EF-94D1-91F710615C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8864FA-9397-42EF-94D1-91F710615C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8DF3-CB24-4BCE-AEA3-B646788A6BE4}">
  <ds:schemaRefs>
    <ds:schemaRef ds:uri="http://schemas.microsoft.com/sharepoint/v3/contenttype/forms"/>
  </ds:schemaRefs>
</ds:datastoreItem>
</file>

<file path=customXml/itemProps2.xml><?xml version="1.0" encoding="utf-8"?>
<ds:datastoreItem xmlns:ds="http://schemas.openxmlformats.org/officeDocument/2006/customXml" ds:itemID="{9AFAC86F-D339-4F29-8713-5A01F1A0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64FA-9397-42EF-94D1-91F71061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F4B20-AC7C-4539-A2E8-7E39553F9E5E}">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 ds:uri="FA8864FA-9397-42EF-94D1-91F710615CDD"/>
  </ds:schemaRefs>
</ds:datastoreItem>
</file>

<file path=customXml/itemProps4.xml><?xml version="1.0" encoding="utf-8"?>
<ds:datastoreItem xmlns:ds="http://schemas.openxmlformats.org/officeDocument/2006/customXml" ds:itemID="{49827573-318F-4123-AE02-8D9BAE30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3967</Words>
  <Characters>21189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2021-06-21T04:21:00Z</dcterms:created>
  <dcterms:modified xsi:type="dcterms:W3CDTF">2021-07-15T00:29:00Z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0x010100266966F133664895A6EE3632470D45F5001942650F57D18B46ABDBB17F78763366</vt:lpwstr>
  </property>
  <property fmtid="{D5CDD505-2E9C-101B-9397-08002B2CF9AE}" pid="7" name="_CopySource">
    <vt:lpwstr/>
  </property>
  <property fmtid="{D5CDD505-2E9C-101B-9397-08002B2CF9AE}" pid="8" name="DocHub_Year">
    <vt:lpwstr>18;#2020|6a3660c5-15bd-4052-a0a1-6237663b7600</vt:lpwstr>
  </property>
  <property fmtid="{D5CDD505-2E9C-101B-9397-08002B2CF9AE}" pid="9" name="DocHub_DocumentType">
    <vt:lpwstr>183;#Legislative Instrument|edbe159b-95f5-40e7-bf23-9dfb62f2e7f0</vt:lpwstr>
  </property>
  <property fmtid="{D5CDD505-2E9C-101B-9397-08002B2CF9AE}" pid="10" name="DocHub_SecurityClassification">
    <vt:lpwstr>26;#For Official Use Only|11f6fb0b-52ce-4109-8f7f-521b2a62f692</vt:lpwstr>
  </property>
  <property fmtid="{D5CDD505-2E9C-101B-9397-08002B2CF9AE}" pid="11" name="DocHub_Keywords">
    <vt:lpwstr>234;#Safeguard Mechanism|462066da-c297-4969-b9e8-878ecfcc0dda;#274;#Production Variables|7bc31d71-1043-454c-bc57-d46c1403821d</vt:lpwstr>
  </property>
  <property fmtid="{D5CDD505-2E9C-101B-9397-08002B2CF9AE}" pid="12" name="DocHub_WorkActivity">
    <vt:lpwstr>184;#Legislation and Regulation|6cbc66f5-f4a2-4565-a58b-d5f2d2ac9bd0</vt:lpwstr>
  </property>
</Properties>
</file>