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FF0CE4" w:rsidRDefault="00FA6784" w:rsidP="00FA6784">
      <w:pPr>
        <w:pStyle w:val="H3"/>
        <w:jc w:val="center"/>
        <w:rPr>
          <w:sz w:val="24"/>
          <w:szCs w:val="24"/>
        </w:rPr>
      </w:pPr>
      <w:r w:rsidRPr="00FF0CE4">
        <w:rPr>
          <w:sz w:val="24"/>
          <w:szCs w:val="24"/>
        </w:rPr>
        <w:t>EXPLANATORY STATEMENT</w:t>
      </w:r>
    </w:p>
    <w:p w14:paraId="2412D122" w14:textId="77777777" w:rsidR="00FA6784" w:rsidRPr="00FF0CE4" w:rsidRDefault="00FA6784" w:rsidP="000F74CA">
      <w:pPr>
        <w:rPr>
          <w:i/>
          <w:iCs/>
          <w:sz w:val="20"/>
        </w:rPr>
      </w:pPr>
    </w:p>
    <w:p w14:paraId="2412D123" w14:textId="77777777" w:rsidR="00FA6784" w:rsidRPr="00FF0CE4" w:rsidRDefault="00FA6784" w:rsidP="00FA6784">
      <w:pPr>
        <w:jc w:val="center"/>
        <w:rPr>
          <w:i/>
          <w:iCs/>
        </w:rPr>
      </w:pPr>
      <w:r w:rsidRPr="00FF0CE4">
        <w:rPr>
          <w:i/>
          <w:iCs/>
        </w:rPr>
        <w:t>Health Insurance Act 1973</w:t>
      </w:r>
    </w:p>
    <w:p w14:paraId="2412D124" w14:textId="77777777" w:rsidR="00A1739A" w:rsidRPr="00FF0CE4" w:rsidRDefault="00A1739A" w:rsidP="00A1739A">
      <w:pPr>
        <w:rPr>
          <w:szCs w:val="24"/>
          <w:u w:val="single"/>
        </w:rPr>
      </w:pPr>
    </w:p>
    <w:p w14:paraId="2838A7B4" w14:textId="1253C686" w:rsidR="00FD602D" w:rsidRPr="00FF0CE4" w:rsidRDefault="00751853" w:rsidP="00961795">
      <w:pPr>
        <w:ind w:right="84"/>
        <w:jc w:val="center"/>
        <w:rPr>
          <w:szCs w:val="24"/>
        </w:rPr>
      </w:pPr>
      <w:r w:rsidRPr="00FF0CE4">
        <w:rPr>
          <w:i/>
          <w:iCs/>
        </w:rPr>
        <w:t>Health Insurance (Section 3C General Medical Services – Smoking Cessation Services) Determination 2021</w:t>
      </w:r>
    </w:p>
    <w:p w14:paraId="052E97C1" w14:textId="77777777" w:rsidR="00164A69" w:rsidRPr="00FF0CE4"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4711BD7" w:rsidR="00164A69" w:rsidRPr="00FF0CE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FF0CE4">
        <w:rPr>
          <w:color w:val="000000"/>
          <w:shd w:val="clear" w:color="auto" w:fill="FFFFFF"/>
        </w:rPr>
        <w:t xml:space="preserve">Subsection 3C(1) of the </w:t>
      </w:r>
      <w:r w:rsidRPr="00FF0CE4">
        <w:rPr>
          <w:i/>
          <w:color w:val="000000"/>
          <w:shd w:val="clear" w:color="auto" w:fill="FFFFFF"/>
        </w:rPr>
        <w:t>Health Insurance Act 1973</w:t>
      </w:r>
      <w:r w:rsidRPr="00FF0CE4">
        <w:rPr>
          <w:color w:val="000000"/>
          <w:shd w:val="clear" w:color="auto" w:fill="FFFFFF"/>
        </w:rPr>
        <w:t xml:space="preserve"> (the Act) </w:t>
      </w:r>
      <w:r w:rsidR="00477C74" w:rsidRPr="00FF0CE4">
        <w:rPr>
          <w:color w:val="000000"/>
          <w:shd w:val="clear" w:color="auto" w:fill="FFFFFF"/>
        </w:rPr>
        <w:t>provide</w:t>
      </w:r>
      <w:r w:rsidR="002E5708" w:rsidRPr="00FF0CE4">
        <w:rPr>
          <w:color w:val="000000"/>
          <w:shd w:val="clear" w:color="auto" w:fill="FFFFFF"/>
        </w:rPr>
        <w:t>s</w:t>
      </w:r>
      <w:r w:rsidR="00477C74" w:rsidRPr="00FF0CE4">
        <w:rPr>
          <w:color w:val="000000"/>
          <w:shd w:val="clear" w:color="auto" w:fill="FFFFFF"/>
        </w:rPr>
        <w:t xml:space="preserve"> that</w:t>
      </w:r>
      <w:r w:rsidRPr="00FF0CE4">
        <w:rPr>
          <w:color w:val="000000"/>
          <w:shd w:val="clear" w:color="auto" w:fill="FFFFFF"/>
        </w:rPr>
        <w:t xml:space="preserve"> the Minister </w:t>
      </w:r>
      <w:r w:rsidR="00477C74" w:rsidRPr="00FF0CE4">
        <w:rPr>
          <w:color w:val="000000"/>
          <w:shd w:val="clear" w:color="auto" w:fill="FFFFFF"/>
        </w:rPr>
        <w:t>may</w:t>
      </w:r>
      <w:r w:rsidRPr="00FF0CE4">
        <w:rPr>
          <w:color w:val="000000"/>
          <w:shd w:val="clear" w:color="auto" w:fill="FFFFFF"/>
        </w:rPr>
        <w:t xml:space="preserve">, by legislative instrument, determine that a health service not specified in an item in the </w:t>
      </w:r>
      <w:r w:rsidR="000F74CA" w:rsidRPr="00FF0CE4">
        <w:rPr>
          <w:color w:val="000000"/>
          <w:shd w:val="clear" w:color="auto" w:fill="FFFFFF"/>
        </w:rPr>
        <w:t>general medical services</w:t>
      </w:r>
      <w:r w:rsidRPr="00FF0CE4">
        <w:rPr>
          <w:color w:val="000000"/>
          <w:shd w:val="clear" w:color="auto" w:fill="FFFFFF"/>
        </w:rPr>
        <w:t xml:space="preserve"> </w:t>
      </w:r>
      <w:r w:rsidR="00D01D5A" w:rsidRPr="00FF0CE4">
        <w:rPr>
          <w:color w:val="000000"/>
          <w:shd w:val="clear" w:color="auto" w:fill="FFFFFF"/>
        </w:rPr>
        <w:t xml:space="preserve">(the Table) </w:t>
      </w:r>
      <w:r w:rsidRPr="00FF0CE4">
        <w:rPr>
          <w:color w:val="000000"/>
          <w:shd w:val="clear" w:color="auto" w:fill="FFFFFF"/>
        </w:rPr>
        <w:t xml:space="preserve">shall, in specified circumstances and for specified statutory provisions, be treated as if it were specified in the </w:t>
      </w:r>
      <w:r w:rsidR="00D01D5A" w:rsidRPr="00FF0CE4">
        <w:rPr>
          <w:color w:val="000000"/>
          <w:shd w:val="clear" w:color="auto" w:fill="FFFFFF"/>
        </w:rPr>
        <w:t xml:space="preserve">Table. </w:t>
      </w:r>
      <w:r w:rsidRPr="00FF0CE4">
        <w:rPr>
          <w:color w:val="FF0000"/>
          <w:shd w:val="clear" w:color="auto" w:fill="FFFFFF"/>
        </w:rPr>
        <w:t xml:space="preserve">  </w:t>
      </w:r>
    </w:p>
    <w:p w14:paraId="7DB18649" w14:textId="77777777" w:rsidR="00841EDA" w:rsidRPr="00FF0CE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076AC6FD" w:rsidR="00050623" w:rsidRPr="00FF0CE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F0CE4">
        <w:t xml:space="preserve">The </w:t>
      </w:r>
      <w:r w:rsidR="00D01D5A" w:rsidRPr="00FF0CE4">
        <w:t>Table</w:t>
      </w:r>
      <w:r w:rsidRPr="00FF0CE4">
        <w:t xml:space="preserve"> is set out in the regulations made under subsection 4</w:t>
      </w:r>
      <w:r w:rsidR="000F74CA" w:rsidRPr="00FF0CE4">
        <w:t>(1)</w:t>
      </w:r>
      <w:r w:rsidRPr="00FF0CE4">
        <w:t xml:space="preserve"> of the Act.  The most recent version of the regulations is the </w:t>
      </w:r>
      <w:r w:rsidR="000F74CA" w:rsidRPr="00FF0CE4">
        <w:rPr>
          <w:i/>
          <w:iCs/>
          <w:color w:val="000000"/>
          <w:sz w:val="22"/>
          <w:szCs w:val="22"/>
          <w:shd w:val="clear" w:color="auto" w:fill="FFFFFF"/>
        </w:rPr>
        <w:t>Health Insurance (General Medical Services Table) Regulations 2021</w:t>
      </w:r>
      <w:r w:rsidR="00D01D5A" w:rsidRPr="00FF0CE4">
        <w:rPr>
          <w:color w:val="FF0000"/>
        </w:rPr>
        <w:t>.</w:t>
      </w:r>
      <w:r w:rsidRPr="00FF0CE4">
        <w:rPr>
          <w:color w:val="FF0000"/>
        </w:rPr>
        <w:t xml:space="preserve"> </w:t>
      </w:r>
    </w:p>
    <w:p w14:paraId="2E6FE463" w14:textId="77777777" w:rsidR="00050623" w:rsidRPr="00FF0CE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FF0CE4" w:rsidRDefault="00A1739A" w:rsidP="00BB00BA">
      <w:pPr>
        <w:rPr>
          <w:b/>
          <w:szCs w:val="24"/>
          <w:lang w:val="en-US" w:eastAsia="en-US"/>
        </w:rPr>
      </w:pPr>
      <w:r w:rsidRPr="00FF0CE4">
        <w:rPr>
          <w:b/>
          <w:szCs w:val="24"/>
          <w:lang w:val="en-US" w:eastAsia="en-US"/>
        </w:rPr>
        <w:t>Purpose</w:t>
      </w:r>
    </w:p>
    <w:p w14:paraId="2D707460" w14:textId="7BD897B4" w:rsidR="00E3133A" w:rsidRPr="00FF0CE4" w:rsidRDefault="000F74CA" w:rsidP="000F74CA">
      <w:pPr>
        <w:ind w:right="-483"/>
        <w:rPr>
          <w:szCs w:val="24"/>
        </w:rPr>
      </w:pPr>
      <w:bookmarkStart w:id="0" w:name="_Hlk77766044"/>
      <w:r w:rsidRPr="00FF0CE4">
        <w:rPr>
          <w:szCs w:val="24"/>
        </w:rPr>
        <w:t xml:space="preserve">On 21 December 2020, the Therapeutic Goods Administration (TGA) announced that from 1 October 2021 e-cigarettes containing nicotine </w:t>
      </w:r>
      <w:r w:rsidR="005D5EF4" w:rsidRPr="00FF0CE4">
        <w:rPr>
          <w:szCs w:val="24"/>
        </w:rPr>
        <w:t xml:space="preserve">must </w:t>
      </w:r>
      <w:r w:rsidRPr="00FF0CE4">
        <w:rPr>
          <w:szCs w:val="24"/>
        </w:rPr>
        <w:t>be supplied with a prescription</w:t>
      </w:r>
      <w:r w:rsidR="0017054B" w:rsidRPr="00FF0CE4">
        <w:rPr>
          <w:szCs w:val="24"/>
        </w:rPr>
        <w:t xml:space="preserve"> from a doctor</w:t>
      </w:r>
      <w:r w:rsidRPr="00FF0CE4">
        <w:rPr>
          <w:szCs w:val="24"/>
        </w:rPr>
        <w:t xml:space="preserve"> in specific circumstances, subject to </w:t>
      </w:r>
      <w:r w:rsidR="00C0720F">
        <w:rPr>
          <w:szCs w:val="24"/>
        </w:rPr>
        <w:t>S</w:t>
      </w:r>
      <w:r w:rsidRPr="00FF0CE4">
        <w:rPr>
          <w:szCs w:val="24"/>
        </w:rPr>
        <w:t xml:space="preserve">tate and </w:t>
      </w:r>
      <w:r w:rsidR="00C0720F">
        <w:rPr>
          <w:szCs w:val="24"/>
        </w:rPr>
        <w:t>T</w:t>
      </w:r>
      <w:r w:rsidRPr="00FF0CE4">
        <w:rPr>
          <w:szCs w:val="24"/>
        </w:rPr>
        <w:t>erritory legislation.</w:t>
      </w:r>
      <w:r w:rsidR="005B43EF" w:rsidRPr="00FF0CE4">
        <w:rPr>
          <w:szCs w:val="24"/>
        </w:rPr>
        <w:t xml:space="preserve"> </w:t>
      </w:r>
    </w:p>
    <w:p w14:paraId="3946B34E" w14:textId="77777777" w:rsidR="00E3133A" w:rsidRPr="00FF0CE4" w:rsidRDefault="00E3133A" w:rsidP="000F74CA">
      <w:pPr>
        <w:ind w:right="-483"/>
        <w:rPr>
          <w:szCs w:val="24"/>
        </w:rPr>
      </w:pPr>
    </w:p>
    <w:p w14:paraId="06477197" w14:textId="332E1D89" w:rsidR="007708B3" w:rsidRPr="00FF0CE4" w:rsidRDefault="000F74CA" w:rsidP="000F74CA">
      <w:pPr>
        <w:ind w:right="-483"/>
        <w:rPr>
          <w:szCs w:val="24"/>
        </w:rPr>
      </w:pPr>
      <w:r w:rsidRPr="00FF0CE4">
        <w:rPr>
          <w:szCs w:val="24"/>
        </w:rPr>
        <w:t xml:space="preserve">To support </w:t>
      </w:r>
      <w:r w:rsidR="00E74F10" w:rsidRPr="00FF0CE4">
        <w:rPr>
          <w:szCs w:val="24"/>
        </w:rPr>
        <w:t>the TGA’s</w:t>
      </w:r>
      <w:r w:rsidRPr="00FF0CE4">
        <w:rPr>
          <w:szCs w:val="24"/>
        </w:rPr>
        <w:t xml:space="preserve"> regulatory changes, </w:t>
      </w:r>
      <w:r w:rsidR="00E74F10" w:rsidRPr="00FF0CE4">
        <w:t xml:space="preserve">in the 2021-22 Budget </w:t>
      </w:r>
      <w:r w:rsidR="005D5EF4" w:rsidRPr="00FF0CE4">
        <w:t xml:space="preserve">the </w:t>
      </w:r>
      <w:r w:rsidR="00773ACA" w:rsidRPr="00FF0CE4">
        <w:t>G</w:t>
      </w:r>
      <w:r w:rsidR="00E74F10" w:rsidRPr="00FF0CE4">
        <w:t xml:space="preserve">overnment announced new </w:t>
      </w:r>
      <w:r w:rsidR="00E63C2C" w:rsidRPr="00FF0CE4">
        <w:t xml:space="preserve">temporary </w:t>
      </w:r>
      <w:r w:rsidR="00E74F10" w:rsidRPr="00FF0CE4">
        <w:t>face-to-face, telehealth and phone items</w:t>
      </w:r>
      <w:r w:rsidR="007D794D" w:rsidRPr="00FF0CE4">
        <w:t xml:space="preserve"> to provide patients</w:t>
      </w:r>
      <w:r w:rsidR="00E74F10" w:rsidRPr="00FF0CE4">
        <w:t xml:space="preserve"> </w:t>
      </w:r>
      <w:r w:rsidR="007D794D" w:rsidRPr="00FF0CE4">
        <w:t xml:space="preserve">with </w:t>
      </w:r>
      <w:r w:rsidR="00E74F10" w:rsidRPr="00FF0CE4">
        <w:t>access</w:t>
      </w:r>
      <w:r w:rsidR="007D794D" w:rsidRPr="00FF0CE4">
        <w:t xml:space="preserve"> to</w:t>
      </w:r>
      <w:r w:rsidR="00E74F10" w:rsidRPr="00FF0CE4">
        <w:t xml:space="preserve"> nicotine and smoking cessation </w:t>
      </w:r>
      <w:r w:rsidR="0017054B" w:rsidRPr="00FF0CE4">
        <w:t>counselling</w:t>
      </w:r>
      <w:r w:rsidR="00E74F10" w:rsidRPr="00FF0CE4">
        <w:t>, and if clinically relevant, prescribe liquid nicotine as part of this cessation plan.</w:t>
      </w:r>
      <w:r w:rsidR="005D5EF4" w:rsidRPr="00FF0CE4">
        <w:t xml:space="preserve"> The change was announced as part of the </w:t>
      </w:r>
      <w:r w:rsidR="00C0720F">
        <w:rPr>
          <w:i/>
        </w:rPr>
        <w:t>Guaranteeing Medicare – Strengthening Primary Health Care – MBS Telehealth</w:t>
      </w:r>
      <w:r w:rsidR="005D5EF4" w:rsidRPr="00FF0CE4">
        <w:rPr>
          <w:i/>
        </w:rPr>
        <w:t xml:space="preserve"> </w:t>
      </w:r>
      <w:r w:rsidR="005D5EF4" w:rsidRPr="00FF0CE4">
        <w:t>measure.</w:t>
      </w:r>
    </w:p>
    <w:p w14:paraId="6DBAEDFE" w14:textId="374922BC" w:rsidR="000F74CA" w:rsidRPr="00FF0CE4" w:rsidRDefault="000F74CA" w:rsidP="000F74CA">
      <w:pPr>
        <w:ind w:right="-483"/>
        <w:rPr>
          <w:szCs w:val="24"/>
        </w:rPr>
      </w:pPr>
    </w:p>
    <w:p w14:paraId="035233E8" w14:textId="720FA91F" w:rsidR="00257600" w:rsidRPr="00FF0CE4" w:rsidRDefault="000F74CA" w:rsidP="00BB14F5">
      <w:pPr>
        <w:ind w:right="-483"/>
        <w:rPr>
          <w:szCs w:val="24"/>
        </w:rPr>
      </w:pPr>
      <w:r w:rsidRPr="00FF0CE4">
        <w:rPr>
          <w:szCs w:val="24"/>
        </w:rPr>
        <w:t xml:space="preserve">The purpose of the </w:t>
      </w:r>
      <w:r w:rsidRPr="00FF0CE4">
        <w:rPr>
          <w:i/>
          <w:iCs/>
          <w:szCs w:val="24"/>
        </w:rPr>
        <w:t>Health Insurance (Section 3C General Medical Services – Smoking Cessation Services) Determination 2021</w:t>
      </w:r>
      <w:r w:rsidRPr="00FF0CE4">
        <w:rPr>
          <w:szCs w:val="24"/>
        </w:rPr>
        <w:t xml:space="preserve"> (the Determination) is to list </w:t>
      </w:r>
      <w:r w:rsidR="00E97EAF" w:rsidRPr="00FF0CE4">
        <w:rPr>
          <w:szCs w:val="24"/>
        </w:rPr>
        <w:t>18</w:t>
      </w:r>
      <w:r w:rsidRPr="00FF0CE4">
        <w:rPr>
          <w:szCs w:val="24"/>
        </w:rPr>
        <w:t xml:space="preserve"> new temporary items for</w:t>
      </w:r>
      <w:r w:rsidR="00E3133A" w:rsidRPr="00FF0CE4">
        <w:rPr>
          <w:szCs w:val="24"/>
        </w:rPr>
        <w:t xml:space="preserve"> </w:t>
      </w:r>
      <w:r w:rsidR="00E97EAF" w:rsidRPr="00FF0CE4">
        <w:rPr>
          <w:szCs w:val="24"/>
        </w:rPr>
        <w:t xml:space="preserve">general practitioner (GP) and other medical practitioner (OMP) </w:t>
      </w:r>
      <w:r w:rsidR="0017054B" w:rsidRPr="00FF0CE4">
        <w:rPr>
          <w:szCs w:val="24"/>
        </w:rPr>
        <w:t>services related to nicotine and smoking cessation counselling</w:t>
      </w:r>
      <w:r w:rsidR="00E97EAF" w:rsidRPr="00FF0CE4">
        <w:rPr>
          <w:szCs w:val="24"/>
        </w:rPr>
        <w:t>. These new items include six face-to-face, six telehealth and six phone services</w:t>
      </w:r>
      <w:r w:rsidR="00C0720F">
        <w:rPr>
          <w:szCs w:val="24"/>
        </w:rPr>
        <w:t>. These items are temporary and</w:t>
      </w:r>
      <w:r w:rsidR="004228D7" w:rsidRPr="00FF0CE4">
        <w:rPr>
          <w:szCs w:val="24"/>
        </w:rPr>
        <w:t xml:space="preserve"> will cease on </w:t>
      </w:r>
      <w:r w:rsidR="00BB14F5">
        <w:rPr>
          <w:szCs w:val="24"/>
        </w:rPr>
        <w:br/>
      </w:r>
      <w:r w:rsidR="004228D7" w:rsidRPr="00FF0CE4">
        <w:rPr>
          <w:szCs w:val="24"/>
        </w:rPr>
        <w:t>30 June 2022.</w:t>
      </w:r>
      <w:bookmarkEnd w:id="0"/>
    </w:p>
    <w:p w14:paraId="1E7674C1" w14:textId="58DFBACC" w:rsidR="00E3133A" w:rsidRPr="00FF0CE4" w:rsidRDefault="00A1739A" w:rsidP="007D794D">
      <w:pPr>
        <w:shd w:val="clear" w:color="auto" w:fill="FFFFFF"/>
        <w:spacing w:before="100" w:beforeAutospacing="1"/>
        <w:rPr>
          <w:rFonts w:ascii="Helvetica Neue" w:hAnsi="Helvetica Neue"/>
          <w:szCs w:val="24"/>
          <w:lang w:val="en-US"/>
        </w:rPr>
      </w:pPr>
      <w:r w:rsidRPr="00FF0CE4">
        <w:rPr>
          <w:b/>
        </w:rPr>
        <w:t>Consultation</w:t>
      </w:r>
    </w:p>
    <w:p w14:paraId="02264A85" w14:textId="0989FE3D" w:rsidR="007708B3" w:rsidRPr="00FF0CE4" w:rsidRDefault="000F74CA" w:rsidP="002806A1">
      <w:pPr>
        <w:shd w:val="clear" w:color="auto" w:fill="FFFFFF"/>
        <w:rPr>
          <w:szCs w:val="24"/>
        </w:rPr>
      </w:pPr>
      <w:r w:rsidRPr="00FF0CE4">
        <w:rPr>
          <w:szCs w:val="24"/>
        </w:rPr>
        <w:t>Consultation was undertaken with peak bodies</w:t>
      </w:r>
      <w:r w:rsidR="005B43EF" w:rsidRPr="00FF0CE4">
        <w:rPr>
          <w:szCs w:val="24"/>
        </w:rPr>
        <w:t>, including the Royal Australian College of General Practitioners and the Australian Medical Association,</w:t>
      </w:r>
      <w:r w:rsidRPr="00FF0CE4">
        <w:rPr>
          <w:szCs w:val="24"/>
        </w:rPr>
        <w:t xml:space="preserve"> regarding the introduction of the new nicotine and smoking cessation items.</w:t>
      </w:r>
    </w:p>
    <w:p w14:paraId="1F87B9B7" w14:textId="77777777" w:rsidR="000F74CA" w:rsidRPr="00FF0CE4" w:rsidRDefault="000F74CA" w:rsidP="002806A1">
      <w:pPr>
        <w:shd w:val="clear" w:color="auto" w:fill="FFFFFF"/>
        <w:rPr>
          <w:color w:val="000000"/>
          <w:szCs w:val="24"/>
        </w:rPr>
      </w:pPr>
    </w:p>
    <w:p w14:paraId="2412D134" w14:textId="77777777" w:rsidR="00967E51" w:rsidRPr="00FF0CE4" w:rsidRDefault="00A1739A" w:rsidP="000337CB">
      <w:pPr>
        <w:rPr>
          <w:szCs w:val="24"/>
        </w:rPr>
      </w:pPr>
      <w:r w:rsidRPr="00FF0CE4">
        <w:rPr>
          <w:szCs w:val="24"/>
        </w:rPr>
        <w:t xml:space="preserve">Details of the </w:t>
      </w:r>
      <w:r w:rsidR="00574E71" w:rsidRPr="00FF0CE4">
        <w:rPr>
          <w:szCs w:val="24"/>
        </w:rPr>
        <w:t>Determination</w:t>
      </w:r>
      <w:r w:rsidRPr="00FF0CE4">
        <w:rPr>
          <w:szCs w:val="24"/>
        </w:rPr>
        <w:t xml:space="preserve"> are set out in the </w:t>
      </w:r>
      <w:r w:rsidRPr="00FF0CE4">
        <w:rPr>
          <w:szCs w:val="24"/>
          <w:u w:val="single"/>
        </w:rPr>
        <w:t>Attachment</w:t>
      </w:r>
      <w:r w:rsidRPr="00FF0CE4">
        <w:rPr>
          <w:szCs w:val="24"/>
        </w:rPr>
        <w:t>.</w:t>
      </w:r>
    </w:p>
    <w:p w14:paraId="2412D135" w14:textId="7D3E5D68" w:rsidR="006C138D" w:rsidRPr="00FF0CE4" w:rsidRDefault="00297AD0" w:rsidP="006C138D">
      <w:pPr>
        <w:tabs>
          <w:tab w:val="left" w:pos="567"/>
        </w:tabs>
        <w:spacing w:before="240"/>
        <w:rPr>
          <w:szCs w:val="24"/>
        </w:rPr>
      </w:pPr>
      <w:r w:rsidRPr="00FF0CE4">
        <w:rPr>
          <w:szCs w:val="24"/>
        </w:rPr>
        <w:t xml:space="preserve">The </w:t>
      </w:r>
      <w:r w:rsidR="00967E51" w:rsidRPr="00FF0CE4">
        <w:rPr>
          <w:szCs w:val="24"/>
        </w:rPr>
        <w:t>Determination</w:t>
      </w:r>
      <w:r w:rsidRPr="00FF0CE4">
        <w:rPr>
          <w:szCs w:val="24"/>
        </w:rPr>
        <w:t xml:space="preserve"> </w:t>
      </w:r>
      <w:r w:rsidR="007524B0" w:rsidRPr="00FF0CE4">
        <w:rPr>
          <w:szCs w:val="24"/>
        </w:rPr>
        <w:t xml:space="preserve">commences </w:t>
      </w:r>
      <w:r w:rsidR="00C63FDC" w:rsidRPr="00FF0CE4">
        <w:rPr>
          <w:szCs w:val="24"/>
        </w:rPr>
        <w:t xml:space="preserve">on </w:t>
      </w:r>
      <w:r w:rsidR="00B60831" w:rsidRPr="00FF0CE4">
        <w:rPr>
          <w:szCs w:val="24"/>
        </w:rPr>
        <w:t>21 July 2021</w:t>
      </w:r>
      <w:r w:rsidR="00A1328D" w:rsidRPr="00FF0CE4">
        <w:rPr>
          <w:szCs w:val="24"/>
        </w:rPr>
        <w:t>.</w:t>
      </w:r>
    </w:p>
    <w:p w14:paraId="2412D136" w14:textId="77777777" w:rsidR="00236DF2" w:rsidRPr="00FF0CE4" w:rsidRDefault="00236DF2" w:rsidP="00574E71">
      <w:pPr>
        <w:rPr>
          <w:szCs w:val="24"/>
        </w:rPr>
      </w:pPr>
    </w:p>
    <w:p w14:paraId="2412D138" w14:textId="65B73875" w:rsidR="00574E71" w:rsidRPr="00FF0CE4" w:rsidRDefault="0002728B" w:rsidP="00DE07E4">
      <w:pPr>
        <w:spacing w:after="200" w:line="276" w:lineRule="auto"/>
        <w:rPr>
          <w:szCs w:val="24"/>
        </w:rPr>
      </w:pPr>
      <w:r w:rsidRPr="00FF0CE4">
        <w:rPr>
          <w:szCs w:val="24"/>
        </w:rPr>
        <w:t>T</w:t>
      </w:r>
      <w:r w:rsidR="00574E71" w:rsidRPr="00FF0CE4">
        <w:rPr>
          <w:szCs w:val="24"/>
        </w:rPr>
        <w:t xml:space="preserve">he Determination is </w:t>
      </w:r>
      <w:r w:rsidR="004417A2" w:rsidRPr="00FF0CE4">
        <w:rPr>
          <w:szCs w:val="24"/>
        </w:rPr>
        <w:t xml:space="preserve">a </w:t>
      </w:r>
      <w:r w:rsidR="00574E71" w:rsidRPr="00FF0CE4">
        <w:rPr>
          <w:szCs w:val="24"/>
        </w:rPr>
        <w:t xml:space="preserve">legislative instrument for the purposes of the </w:t>
      </w:r>
      <w:r w:rsidR="00574E71" w:rsidRPr="00FF0CE4">
        <w:rPr>
          <w:i/>
        </w:rPr>
        <w:t>Legislation Act 2003</w:t>
      </w:r>
      <w:r w:rsidR="00574E71" w:rsidRPr="00FF0CE4">
        <w:rPr>
          <w:szCs w:val="24"/>
        </w:rPr>
        <w:t>.</w:t>
      </w:r>
    </w:p>
    <w:p w14:paraId="2412D139" w14:textId="77777777" w:rsidR="00A1739A" w:rsidRPr="00FF0CE4" w:rsidRDefault="00A1739A" w:rsidP="000337CB">
      <w:pPr>
        <w:ind w:left="6663" w:hanging="3119"/>
        <w:rPr>
          <w:szCs w:val="24"/>
        </w:rPr>
      </w:pPr>
      <w:r w:rsidRPr="00FF0CE4">
        <w:rPr>
          <w:szCs w:val="24"/>
        </w:rPr>
        <w:t xml:space="preserve">           </w:t>
      </w:r>
    </w:p>
    <w:p w14:paraId="2412D13A" w14:textId="77777777" w:rsidR="00A1739A" w:rsidRPr="00FF0CE4" w:rsidRDefault="00A1739A" w:rsidP="000337CB">
      <w:pPr>
        <w:ind w:left="6663" w:hanging="3119"/>
        <w:rPr>
          <w:szCs w:val="24"/>
        </w:rPr>
      </w:pPr>
      <w:r w:rsidRPr="00FF0CE4">
        <w:rPr>
          <w:szCs w:val="24"/>
          <w:u w:val="single"/>
        </w:rPr>
        <w:t>Authority</w:t>
      </w:r>
      <w:r w:rsidR="00967E51" w:rsidRPr="00FF0CE4">
        <w:rPr>
          <w:szCs w:val="24"/>
        </w:rPr>
        <w:t xml:space="preserve">:     Subsection </w:t>
      </w:r>
      <w:r w:rsidRPr="00FF0CE4">
        <w:rPr>
          <w:szCs w:val="24"/>
        </w:rPr>
        <w:t>3</w:t>
      </w:r>
      <w:proofErr w:type="gramStart"/>
      <w:r w:rsidR="00967E51" w:rsidRPr="00FF0CE4">
        <w:rPr>
          <w:szCs w:val="24"/>
        </w:rPr>
        <w:t>C</w:t>
      </w:r>
      <w:r w:rsidRPr="00FF0CE4">
        <w:rPr>
          <w:szCs w:val="24"/>
        </w:rPr>
        <w:t>(</w:t>
      </w:r>
      <w:proofErr w:type="gramEnd"/>
      <w:r w:rsidRPr="00FF0CE4">
        <w:rPr>
          <w:szCs w:val="24"/>
        </w:rPr>
        <w:t xml:space="preserve">1) of the </w:t>
      </w:r>
    </w:p>
    <w:p w14:paraId="2412D13B" w14:textId="0596CD30" w:rsidR="00A1739A" w:rsidRPr="00FF0CE4" w:rsidRDefault="00A1739A" w:rsidP="000337CB">
      <w:pPr>
        <w:tabs>
          <w:tab w:val="left" w:pos="4820"/>
        </w:tabs>
        <w:rPr>
          <w:szCs w:val="24"/>
        </w:rPr>
        <w:sectPr w:rsidR="00A1739A" w:rsidRPr="00FF0CE4" w:rsidSect="00235B6C">
          <w:headerReference w:type="default" r:id="rId11"/>
          <w:pgSz w:w="11906" w:h="16838"/>
          <w:pgMar w:top="1440" w:right="1800" w:bottom="1135" w:left="1800" w:header="708" w:footer="708" w:gutter="0"/>
          <w:pgNumType w:start="1"/>
          <w:cols w:space="708"/>
          <w:docGrid w:linePitch="360"/>
        </w:sectPr>
      </w:pPr>
      <w:r w:rsidRPr="00FF0CE4">
        <w:rPr>
          <w:i/>
          <w:szCs w:val="24"/>
        </w:rPr>
        <w:tab/>
        <w:t>Health Insurance Act 1973</w:t>
      </w:r>
    </w:p>
    <w:p w14:paraId="2412D13D" w14:textId="77777777" w:rsidR="006D5816" w:rsidRPr="00FF0CE4" w:rsidRDefault="006D5816" w:rsidP="000337CB">
      <w:pPr>
        <w:pStyle w:val="BodyText"/>
        <w:jc w:val="right"/>
        <w:rPr>
          <w:szCs w:val="24"/>
        </w:rPr>
      </w:pPr>
      <w:r w:rsidRPr="00FF0CE4">
        <w:rPr>
          <w:szCs w:val="24"/>
        </w:rPr>
        <w:lastRenderedPageBreak/>
        <w:t>ATTACHMENT</w:t>
      </w:r>
    </w:p>
    <w:p w14:paraId="2412D13E" w14:textId="77777777" w:rsidR="006D5816" w:rsidRPr="00FF0CE4" w:rsidRDefault="006D5816" w:rsidP="000337CB">
      <w:pPr>
        <w:pStyle w:val="BodyText"/>
        <w:rPr>
          <w:szCs w:val="24"/>
          <w:u w:val="single"/>
        </w:rPr>
      </w:pPr>
    </w:p>
    <w:p w14:paraId="5B0C808A" w14:textId="7A2BFF20" w:rsidR="00215191" w:rsidRPr="00FF0CE4" w:rsidRDefault="00A41364" w:rsidP="00186752">
      <w:pPr>
        <w:pStyle w:val="BodyText"/>
        <w:rPr>
          <w:i/>
          <w:iCs/>
          <w:color w:val="FF0000"/>
        </w:rPr>
      </w:pPr>
      <w:r w:rsidRPr="00FF0CE4">
        <w:rPr>
          <w:szCs w:val="24"/>
        </w:rPr>
        <w:t xml:space="preserve">Details of the </w:t>
      </w:r>
      <w:bookmarkStart w:id="1" w:name="_Hlk77085448"/>
      <w:r w:rsidR="00751853" w:rsidRPr="00FF0CE4">
        <w:rPr>
          <w:i/>
          <w:iCs/>
        </w:rPr>
        <w:t>Health Insurance (Section 3C General Medical Services – Smoking Cessation Services) Determination 2021</w:t>
      </w:r>
      <w:bookmarkEnd w:id="1"/>
    </w:p>
    <w:p w14:paraId="7BBEB147" w14:textId="720F9678" w:rsidR="00E70355" w:rsidRPr="00FF0CE4" w:rsidRDefault="00E70355" w:rsidP="000337CB">
      <w:pPr>
        <w:pStyle w:val="BodyText"/>
        <w:rPr>
          <w:b w:val="0"/>
          <w:i/>
          <w:szCs w:val="24"/>
        </w:rPr>
      </w:pPr>
    </w:p>
    <w:p w14:paraId="2412D141" w14:textId="7C34D5F4" w:rsidR="00FE02C2" w:rsidRPr="00FF0CE4" w:rsidRDefault="001B0111" w:rsidP="000337CB">
      <w:pPr>
        <w:pStyle w:val="BodyText"/>
        <w:rPr>
          <w:b w:val="0"/>
          <w:szCs w:val="24"/>
          <w:u w:val="single"/>
        </w:rPr>
      </w:pPr>
      <w:r w:rsidRPr="00FF0CE4">
        <w:rPr>
          <w:b w:val="0"/>
          <w:szCs w:val="24"/>
          <w:u w:val="single"/>
        </w:rPr>
        <w:t>Section 1 – Name</w:t>
      </w:r>
    </w:p>
    <w:p w14:paraId="2412D142" w14:textId="77777777" w:rsidR="00FE02C2" w:rsidRPr="00FF0CE4" w:rsidRDefault="00FE02C2" w:rsidP="000337CB">
      <w:pPr>
        <w:pStyle w:val="BodyText"/>
        <w:rPr>
          <w:b w:val="0"/>
          <w:szCs w:val="24"/>
          <w:u w:val="single"/>
        </w:rPr>
      </w:pPr>
    </w:p>
    <w:p w14:paraId="2412D144" w14:textId="7DD3293A" w:rsidR="00F83B6F" w:rsidRPr="00FF0CE4" w:rsidRDefault="00BC7397" w:rsidP="00C67BC7">
      <w:pPr>
        <w:pStyle w:val="BodyText"/>
        <w:rPr>
          <w:color w:val="FF0000"/>
        </w:rPr>
      </w:pPr>
      <w:r w:rsidRPr="00FF0CE4">
        <w:rPr>
          <w:b w:val="0"/>
          <w:szCs w:val="24"/>
        </w:rPr>
        <w:t>S</w:t>
      </w:r>
      <w:r w:rsidR="00FE02C2" w:rsidRPr="00FF0CE4">
        <w:rPr>
          <w:b w:val="0"/>
          <w:szCs w:val="24"/>
        </w:rPr>
        <w:t xml:space="preserve">ection </w:t>
      </w:r>
      <w:r w:rsidRPr="00FF0CE4">
        <w:rPr>
          <w:b w:val="0"/>
          <w:szCs w:val="24"/>
        </w:rPr>
        <w:t xml:space="preserve">1 </w:t>
      </w:r>
      <w:r w:rsidR="00FE02C2" w:rsidRPr="00FF0CE4">
        <w:rPr>
          <w:b w:val="0"/>
          <w:szCs w:val="24"/>
        </w:rPr>
        <w:t>provides</w:t>
      </w:r>
      <w:r w:rsidR="008B683E" w:rsidRPr="00FF0CE4">
        <w:rPr>
          <w:b w:val="0"/>
          <w:szCs w:val="24"/>
        </w:rPr>
        <w:t xml:space="preserve"> for the </w:t>
      </w:r>
      <w:r w:rsidR="008B2094" w:rsidRPr="00FF0CE4">
        <w:rPr>
          <w:b w:val="0"/>
          <w:szCs w:val="24"/>
        </w:rPr>
        <w:t>Determination</w:t>
      </w:r>
      <w:r w:rsidR="00FE02C2" w:rsidRPr="00FF0CE4">
        <w:rPr>
          <w:b w:val="0"/>
          <w:szCs w:val="24"/>
        </w:rPr>
        <w:t xml:space="preserve"> to be referred to as the </w:t>
      </w:r>
      <w:r w:rsidR="00CF5F3D" w:rsidRPr="00FF0CE4">
        <w:rPr>
          <w:b w:val="0"/>
          <w:i/>
          <w:iCs/>
          <w:color w:val="000000" w:themeColor="text1"/>
          <w:szCs w:val="24"/>
        </w:rPr>
        <w:t>Health Insurance (Section 3C General Medical Services – Smoking Cessation Services) Determination 2021</w:t>
      </w:r>
      <w:r w:rsidR="00CF5F3D" w:rsidRPr="00FF0CE4">
        <w:rPr>
          <w:b w:val="0"/>
          <w:color w:val="000000" w:themeColor="text1"/>
          <w:szCs w:val="24"/>
        </w:rPr>
        <w:t>.</w:t>
      </w:r>
    </w:p>
    <w:p w14:paraId="68DAA207" w14:textId="77777777" w:rsidR="00FD602D" w:rsidRPr="00FF0CE4" w:rsidRDefault="00FD602D" w:rsidP="00FD602D"/>
    <w:p w14:paraId="49D1E050" w14:textId="77777777" w:rsidR="007A4089" w:rsidRPr="00FF0CE4" w:rsidRDefault="00FE02C2" w:rsidP="000337CB">
      <w:pPr>
        <w:pStyle w:val="BodyText"/>
        <w:rPr>
          <w:b w:val="0"/>
          <w:szCs w:val="24"/>
          <w:u w:val="single"/>
        </w:rPr>
      </w:pPr>
      <w:r w:rsidRPr="00FF0CE4">
        <w:rPr>
          <w:b w:val="0"/>
          <w:szCs w:val="24"/>
          <w:u w:val="single"/>
        </w:rPr>
        <w:t xml:space="preserve">Section 2 – Commencement </w:t>
      </w:r>
    </w:p>
    <w:p w14:paraId="2DCE2ED0" w14:textId="77777777" w:rsidR="007A4089" w:rsidRPr="00FF0CE4" w:rsidRDefault="007A4089" w:rsidP="000337CB">
      <w:pPr>
        <w:pStyle w:val="BodyText"/>
        <w:rPr>
          <w:b w:val="0"/>
          <w:szCs w:val="24"/>
          <w:u w:val="single"/>
        </w:rPr>
      </w:pPr>
    </w:p>
    <w:p w14:paraId="2412D148" w14:textId="5C9261C1" w:rsidR="00510A4F" w:rsidRPr="00FF0CE4" w:rsidRDefault="00510A4F" w:rsidP="000337CB">
      <w:pPr>
        <w:pStyle w:val="BodyText"/>
        <w:rPr>
          <w:b w:val="0"/>
          <w:color w:val="FF0000"/>
          <w:szCs w:val="24"/>
        </w:rPr>
      </w:pPr>
      <w:r w:rsidRPr="00FF0CE4">
        <w:rPr>
          <w:b w:val="0"/>
          <w:szCs w:val="24"/>
        </w:rPr>
        <w:t xml:space="preserve">Section 2 </w:t>
      </w:r>
      <w:r w:rsidR="00404F11" w:rsidRPr="00FF0CE4">
        <w:rPr>
          <w:b w:val="0"/>
          <w:szCs w:val="24"/>
        </w:rPr>
        <w:t xml:space="preserve">provides that the </w:t>
      </w:r>
      <w:r w:rsidR="008B2094" w:rsidRPr="00FF0CE4">
        <w:rPr>
          <w:b w:val="0"/>
          <w:szCs w:val="24"/>
        </w:rPr>
        <w:t xml:space="preserve">Determination </w:t>
      </w:r>
      <w:r w:rsidR="00404F11" w:rsidRPr="00FF0CE4">
        <w:rPr>
          <w:b w:val="0"/>
          <w:szCs w:val="24"/>
        </w:rPr>
        <w:t xml:space="preserve">commences </w:t>
      </w:r>
      <w:r w:rsidR="00C63FDC" w:rsidRPr="00FF0CE4">
        <w:rPr>
          <w:b w:val="0"/>
          <w:szCs w:val="24"/>
        </w:rPr>
        <w:t>on</w:t>
      </w:r>
      <w:r w:rsidR="00C63FDC" w:rsidRPr="00FF0CE4">
        <w:rPr>
          <w:b w:val="0"/>
          <w:color w:val="FF0000"/>
          <w:szCs w:val="24"/>
        </w:rPr>
        <w:t xml:space="preserve"> </w:t>
      </w:r>
      <w:r w:rsidR="00B60831" w:rsidRPr="00FF0CE4">
        <w:rPr>
          <w:b w:val="0"/>
          <w:szCs w:val="24"/>
        </w:rPr>
        <w:t>21 July 2021</w:t>
      </w:r>
      <w:r w:rsidR="00C63FDC" w:rsidRPr="00FF0CE4">
        <w:rPr>
          <w:b w:val="0"/>
          <w:szCs w:val="24"/>
        </w:rPr>
        <w:t xml:space="preserve">. </w:t>
      </w:r>
    </w:p>
    <w:p w14:paraId="16C03200" w14:textId="77777777" w:rsidR="007E0017" w:rsidRPr="00FF0CE4" w:rsidRDefault="007E0017" w:rsidP="000337CB">
      <w:pPr>
        <w:pStyle w:val="BodyText"/>
        <w:rPr>
          <w:b w:val="0"/>
          <w:szCs w:val="24"/>
        </w:rPr>
      </w:pPr>
    </w:p>
    <w:p w14:paraId="005D5660" w14:textId="77777777" w:rsidR="007A4089" w:rsidRPr="00FF0CE4" w:rsidRDefault="00FE02C2" w:rsidP="000337CB">
      <w:pPr>
        <w:pStyle w:val="BodyText"/>
        <w:rPr>
          <w:b w:val="0"/>
          <w:szCs w:val="24"/>
          <w:u w:val="single"/>
        </w:rPr>
      </w:pPr>
      <w:r w:rsidRPr="00FF0CE4">
        <w:rPr>
          <w:b w:val="0"/>
          <w:szCs w:val="24"/>
          <w:u w:val="single"/>
        </w:rPr>
        <w:t xml:space="preserve">Section 3 – </w:t>
      </w:r>
      <w:r w:rsidR="00E5798A" w:rsidRPr="00FF0CE4">
        <w:rPr>
          <w:b w:val="0"/>
          <w:szCs w:val="24"/>
          <w:u w:val="single"/>
        </w:rPr>
        <w:t>Authority</w:t>
      </w:r>
    </w:p>
    <w:p w14:paraId="53BFA098" w14:textId="77777777" w:rsidR="007A4089" w:rsidRPr="00FF0CE4" w:rsidRDefault="007A4089" w:rsidP="000337CB">
      <w:pPr>
        <w:pStyle w:val="BodyText"/>
        <w:rPr>
          <w:b w:val="0"/>
          <w:szCs w:val="24"/>
          <w:u w:val="single"/>
        </w:rPr>
      </w:pPr>
    </w:p>
    <w:p w14:paraId="2412D14B" w14:textId="60EB4E9C" w:rsidR="00FE02C2" w:rsidRPr="00FF0CE4" w:rsidRDefault="00F83B6F" w:rsidP="000337CB">
      <w:pPr>
        <w:pStyle w:val="BodyText"/>
        <w:rPr>
          <w:b w:val="0"/>
        </w:rPr>
      </w:pPr>
      <w:r w:rsidRPr="00FF0CE4">
        <w:rPr>
          <w:b w:val="0"/>
        </w:rPr>
        <w:t xml:space="preserve">Section 3 provides that the </w:t>
      </w:r>
      <w:r w:rsidR="008B2094" w:rsidRPr="00FF0CE4">
        <w:rPr>
          <w:b w:val="0"/>
          <w:szCs w:val="24"/>
        </w:rPr>
        <w:t xml:space="preserve">Determination </w:t>
      </w:r>
      <w:r w:rsidR="00E5798A" w:rsidRPr="00FF0CE4">
        <w:rPr>
          <w:b w:val="0"/>
        </w:rPr>
        <w:t xml:space="preserve">is made under </w:t>
      </w:r>
      <w:r w:rsidR="00367440" w:rsidRPr="00FF0CE4">
        <w:rPr>
          <w:b w:val="0"/>
        </w:rPr>
        <w:t xml:space="preserve">subsection </w:t>
      </w:r>
      <w:r w:rsidR="00E5798A" w:rsidRPr="00FF0CE4">
        <w:rPr>
          <w:b w:val="0"/>
        </w:rPr>
        <w:t>3</w:t>
      </w:r>
      <w:proofErr w:type="gramStart"/>
      <w:r w:rsidR="00E5798A" w:rsidRPr="00FF0CE4">
        <w:rPr>
          <w:b w:val="0"/>
        </w:rPr>
        <w:t>C(</w:t>
      </w:r>
      <w:proofErr w:type="gramEnd"/>
      <w:r w:rsidR="00E5798A" w:rsidRPr="00FF0CE4">
        <w:rPr>
          <w:b w:val="0"/>
        </w:rPr>
        <w:t xml:space="preserve">1) of the </w:t>
      </w:r>
      <w:r w:rsidR="00E5798A" w:rsidRPr="00FF0CE4">
        <w:rPr>
          <w:b w:val="0"/>
          <w:i/>
        </w:rPr>
        <w:t>Health Insurance Act 1973</w:t>
      </w:r>
      <w:r w:rsidR="00E5798A" w:rsidRPr="00FF0CE4">
        <w:rPr>
          <w:b w:val="0"/>
        </w:rPr>
        <w:t>.</w:t>
      </w:r>
    </w:p>
    <w:p w14:paraId="0DBF1241" w14:textId="083BECDA" w:rsidR="00E70355" w:rsidRPr="00FF0CE4" w:rsidRDefault="00E70355" w:rsidP="000337CB">
      <w:pPr>
        <w:pStyle w:val="BodyText"/>
        <w:rPr>
          <w:b w:val="0"/>
        </w:rPr>
      </w:pPr>
    </w:p>
    <w:p w14:paraId="7DFA1127" w14:textId="34F33B51" w:rsidR="00E63C2C" w:rsidRPr="00FF0CE4" w:rsidRDefault="00E63C2C" w:rsidP="000337CB">
      <w:pPr>
        <w:pStyle w:val="BodyText"/>
        <w:rPr>
          <w:b w:val="0"/>
        </w:rPr>
      </w:pPr>
      <w:r w:rsidRPr="00FF0CE4">
        <w:rPr>
          <w:b w:val="0"/>
          <w:u w:val="single"/>
        </w:rPr>
        <w:t>Section 4 – Cessation</w:t>
      </w:r>
    </w:p>
    <w:p w14:paraId="0E923584" w14:textId="723754A9" w:rsidR="00E63C2C" w:rsidRPr="00FF0CE4" w:rsidRDefault="00E63C2C" w:rsidP="000337CB">
      <w:pPr>
        <w:pStyle w:val="BodyText"/>
        <w:rPr>
          <w:b w:val="0"/>
        </w:rPr>
      </w:pPr>
    </w:p>
    <w:p w14:paraId="4FB7C71D" w14:textId="2EDE0935" w:rsidR="00E63C2C" w:rsidRPr="00FF0CE4" w:rsidRDefault="00E63C2C" w:rsidP="000337CB">
      <w:pPr>
        <w:pStyle w:val="BodyText"/>
        <w:rPr>
          <w:b w:val="0"/>
        </w:rPr>
      </w:pPr>
      <w:r w:rsidRPr="00FF0CE4">
        <w:rPr>
          <w:b w:val="0"/>
        </w:rPr>
        <w:t>Section 4 provides that, unless revoked earlier, the Determination will cease on 30 June 2022.</w:t>
      </w:r>
    </w:p>
    <w:p w14:paraId="75BC0E3D" w14:textId="77777777" w:rsidR="00E63C2C" w:rsidRPr="00FF0CE4" w:rsidRDefault="00E63C2C" w:rsidP="000337CB">
      <w:pPr>
        <w:pStyle w:val="BodyText"/>
        <w:rPr>
          <w:b w:val="0"/>
        </w:rPr>
      </w:pPr>
    </w:p>
    <w:p w14:paraId="20CBF84A" w14:textId="56BF742E" w:rsidR="00C63FDC" w:rsidRPr="00FF0CE4" w:rsidRDefault="00C63FDC" w:rsidP="00C63FDC">
      <w:pPr>
        <w:pStyle w:val="BodyText"/>
        <w:rPr>
          <w:b w:val="0"/>
          <w:szCs w:val="24"/>
          <w:u w:val="single"/>
        </w:rPr>
      </w:pPr>
      <w:r w:rsidRPr="00FF0CE4">
        <w:rPr>
          <w:b w:val="0"/>
          <w:szCs w:val="24"/>
          <w:u w:val="single"/>
        </w:rPr>
        <w:t xml:space="preserve">Section </w:t>
      </w:r>
      <w:r w:rsidR="00E63C2C" w:rsidRPr="00FF0CE4">
        <w:rPr>
          <w:b w:val="0"/>
          <w:szCs w:val="24"/>
          <w:u w:val="single"/>
        </w:rPr>
        <w:t>5</w:t>
      </w:r>
      <w:r w:rsidRPr="00FF0CE4">
        <w:rPr>
          <w:b w:val="0"/>
          <w:szCs w:val="24"/>
          <w:u w:val="single"/>
        </w:rPr>
        <w:t xml:space="preserve"> – </w:t>
      </w:r>
      <w:r w:rsidR="00AE2A1A" w:rsidRPr="00FF0CE4">
        <w:rPr>
          <w:b w:val="0"/>
          <w:szCs w:val="24"/>
          <w:u w:val="single"/>
        </w:rPr>
        <w:t>Definitions</w:t>
      </w:r>
    </w:p>
    <w:p w14:paraId="4C010161" w14:textId="77777777" w:rsidR="00C63FDC" w:rsidRPr="00FF0CE4" w:rsidRDefault="00C63FDC" w:rsidP="00C63FDC">
      <w:pPr>
        <w:pStyle w:val="BodyText"/>
        <w:rPr>
          <w:b w:val="0"/>
          <w:szCs w:val="24"/>
          <w:u w:val="single"/>
        </w:rPr>
      </w:pPr>
    </w:p>
    <w:p w14:paraId="5D9EBF8D" w14:textId="0BB1E311" w:rsidR="00C63FDC" w:rsidRPr="00FF0CE4" w:rsidRDefault="00AE2A1A" w:rsidP="00C63FDC">
      <w:pPr>
        <w:pStyle w:val="BodyText"/>
        <w:rPr>
          <w:b w:val="0"/>
          <w:szCs w:val="24"/>
        </w:rPr>
      </w:pPr>
      <w:r w:rsidRPr="00FF0CE4">
        <w:rPr>
          <w:b w:val="0"/>
          <w:szCs w:val="24"/>
        </w:rPr>
        <w:t xml:space="preserve">Section </w:t>
      </w:r>
      <w:r w:rsidR="00E63C2C" w:rsidRPr="00FF0CE4">
        <w:rPr>
          <w:b w:val="0"/>
          <w:szCs w:val="24"/>
        </w:rPr>
        <w:t xml:space="preserve">5 </w:t>
      </w:r>
      <w:r w:rsidRPr="00FF0CE4">
        <w:rPr>
          <w:b w:val="0"/>
          <w:szCs w:val="24"/>
        </w:rPr>
        <w:t>defines terms used in the Determination</w:t>
      </w:r>
      <w:r w:rsidR="00C63FDC" w:rsidRPr="00FF0CE4">
        <w:rPr>
          <w:b w:val="0"/>
          <w:szCs w:val="24"/>
        </w:rPr>
        <w:t>.</w:t>
      </w:r>
    </w:p>
    <w:p w14:paraId="17D2CF69" w14:textId="77777777" w:rsidR="007E0017" w:rsidRPr="00FF0CE4" w:rsidRDefault="007E0017" w:rsidP="00404F11">
      <w:pPr>
        <w:pStyle w:val="BodyText"/>
        <w:rPr>
          <w:b w:val="0"/>
          <w:szCs w:val="24"/>
        </w:rPr>
      </w:pPr>
    </w:p>
    <w:p w14:paraId="18694761" w14:textId="15C739C3" w:rsidR="00AE2A1A" w:rsidRPr="00FF0CE4" w:rsidRDefault="00AE2A1A" w:rsidP="00AE2A1A">
      <w:pPr>
        <w:pStyle w:val="BodyText"/>
        <w:rPr>
          <w:b w:val="0"/>
          <w:szCs w:val="24"/>
          <w:u w:val="single"/>
        </w:rPr>
      </w:pPr>
      <w:r w:rsidRPr="00FF0CE4">
        <w:rPr>
          <w:b w:val="0"/>
          <w:szCs w:val="24"/>
          <w:u w:val="single"/>
        </w:rPr>
        <w:t xml:space="preserve">Section </w:t>
      </w:r>
      <w:r w:rsidR="00E63C2C" w:rsidRPr="00FF0CE4">
        <w:rPr>
          <w:b w:val="0"/>
          <w:szCs w:val="24"/>
          <w:u w:val="single"/>
        </w:rPr>
        <w:t>6</w:t>
      </w:r>
      <w:r w:rsidRPr="00FF0CE4">
        <w:rPr>
          <w:b w:val="0"/>
          <w:szCs w:val="24"/>
          <w:u w:val="single"/>
        </w:rPr>
        <w:t xml:space="preserve"> – Treatment of relevant services</w:t>
      </w:r>
    </w:p>
    <w:p w14:paraId="19E420BE" w14:textId="77777777" w:rsidR="00AE2A1A" w:rsidRPr="00FF0CE4" w:rsidRDefault="00AE2A1A" w:rsidP="00AE2A1A">
      <w:pPr>
        <w:pStyle w:val="BodyText"/>
        <w:shd w:val="clear" w:color="auto" w:fill="FFFFFF"/>
        <w:rPr>
          <w:b w:val="0"/>
          <w:szCs w:val="24"/>
        </w:rPr>
      </w:pPr>
      <w:r w:rsidRPr="00FF0CE4">
        <w:rPr>
          <w:b w:val="0"/>
          <w:szCs w:val="24"/>
        </w:rPr>
        <w:t> </w:t>
      </w:r>
    </w:p>
    <w:p w14:paraId="5FC8DDF5" w14:textId="11BF6BF3" w:rsidR="00AE2A1A" w:rsidRPr="00FF0CE4" w:rsidRDefault="00AE2A1A" w:rsidP="00AE2A1A">
      <w:pPr>
        <w:pStyle w:val="BodyText"/>
        <w:shd w:val="clear" w:color="auto" w:fill="FFFFFF"/>
        <w:rPr>
          <w:b w:val="0"/>
          <w:szCs w:val="24"/>
        </w:rPr>
      </w:pPr>
      <w:r w:rsidRPr="00FF0CE4">
        <w:rPr>
          <w:b w:val="0"/>
          <w:szCs w:val="24"/>
        </w:rPr>
        <w:t xml:space="preserve">Section </w:t>
      </w:r>
      <w:r w:rsidR="00D27095" w:rsidRPr="00FF0CE4">
        <w:rPr>
          <w:b w:val="0"/>
          <w:szCs w:val="24"/>
        </w:rPr>
        <w:t>6</w:t>
      </w:r>
      <w:r w:rsidRPr="00FF0CE4">
        <w:rPr>
          <w:b w:val="0"/>
          <w:szCs w:val="24"/>
        </w:rPr>
        <w:t xml:space="preserve"> provides that a clinically relevant service provided in accordance with the Determination shall be treated, for relevant provisions of the </w:t>
      </w:r>
      <w:r w:rsidRPr="00FF0CE4">
        <w:rPr>
          <w:b w:val="0"/>
          <w:i/>
          <w:iCs/>
          <w:szCs w:val="24"/>
        </w:rPr>
        <w:t>Health Insurance Act 1973</w:t>
      </w:r>
      <w:r w:rsidRPr="00FF0CE4">
        <w:rPr>
          <w:b w:val="0"/>
          <w:szCs w:val="24"/>
        </w:rPr>
        <w:t xml:space="preserve"> and </w:t>
      </w:r>
      <w:r w:rsidRPr="00FF0CE4">
        <w:rPr>
          <w:b w:val="0"/>
          <w:i/>
          <w:iCs/>
          <w:szCs w:val="24"/>
        </w:rPr>
        <w:t>National Health Act 1953</w:t>
      </w:r>
      <w:r w:rsidRPr="00FF0CE4">
        <w:rPr>
          <w:b w:val="0"/>
          <w:szCs w:val="24"/>
        </w:rPr>
        <w:t xml:space="preserve">, and regulations made under those Acts, as if it were both a professional service and a </w:t>
      </w:r>
      <w:r w:rsidR="000C4B93" w:rsidRPr="00FF0CE4">
        <w:rPr>
          <w:b w:val="0"/>
          <w:szCs w:val="24"/>
        </w:rPr>
        <w:t>medical</w:t>
      </w:r>
      <w:r w:rsidRPr="00FF0CE4">
        <w:rPr>
          <w:b w:val="0"/>
          <w:szCs w:val="24"/>
        </w:rPr>
        <w:t xml:space="preserve"> service and as if there were an item specified in the </w:t>
      </w:r>
      <w:r w:rsidR="000C4B93" w:rsidRPr="00FF0CE4">
        <w:rPr>
          <w:b w:val="0"/>
          <w:szCs w:val="24"/>
        </w:rPr>
        <w:t>general medical services table</w:t>
      </w:r>
      <w:r w:rsidRPr="00FF0CE4">
        <w:rPr>
          <w:b w:val="0"/>
          <w:szCs w:val="24"/>
        </w:rPr>
        <w:t xml:space="preserve"> for the service. </w:t>
      </w:r>
    </w:p>
    <w:p w14:paraId="79D9CF31" w14:textId="77777777" w:rsidR="00AE2A1A" w:rsidRPr="00FF0CE4" w:rsidRDefault="00AE2A1A" w:rsidP="00C63FDC">
      <w:pPr>
        <w:pStyle w:val="Header"/>
        <w:tabs>
          <w:tab w:val="num" w:pos="1080"/>
        </w:tabs>
        <w:rPr>
          <w:szCs w:val="24"/>
          <w:u w:val="single"/>
        </w:rPr>
      </w:pPr>
    </w:p>
    <w:p w14:paraId="761E43C9" w14:textId="349DB011" w:rsidR="00AE2A1A" w:rsidRPr="00FF0CE4" w:rsidRDefault="00AE2A1A" w:rsidP="00145754">
      <w:pPr>
        <w:pStyle w:val="Header"/>
        <w:tabs>
          <w:tab w:val="num" w:pos="1080"/>
        </w:tabs>
        <w:rPr>
          <w:szCs w:val="24"/>
          <w:u w:val="single"/>
        </w:rPr>
      </w:pPr>
      <w:r w:rsidRPr="00FF0CE4">
        <w:rPr>
          <w:szCs w:val="24"/>
          <w:u w:val="single"/>
        </w:rPr>
        <w:t xml:space="preserve">Section </w:t>
      </w:r>
      <w:r w:rsidR="00E63C2C" w:rsidRPr="00FF0CE4">
        <w:rPr>
          <w:szCs w:val="24"/>
          <w:u w:val="single"/>
        </w:rPr>
        <w:t>7</w:t>
      </w:r>
      <w:r w:rsidRPr="00FF0CE4">
        <w:rPr>
          <w:szCs w:val="24"/>
          <w:u w:val="single"/>
        </w:rPr>
        <w:t xml:space="preserve"> – Application of provisions of the general medical services table</w:t>
      </w:r>
    </w:p>
    <w:p w14:paraId="4089B73F" w14:textId="77777777" w:rsidR="00AE2A1A" w:rsidRPr="00FF0CE4" w:rsidRDefault="00AE2A1A" w:rsidP="00517CF3">
      <w:pPr>
        <w:pStyle w:val="Header"/>
        <w:tabs>
          <w:tab w:val="num" w:pos="1080"/>
        </w:tabs>
        <w:ind w:left="720"/>
        <w:rPr>
          <w:szCs w:val="24"/>
        </w:rPr>
      </w:pPr>
    </w:p>
    <w:p w14:paraId="6D9ABC4B" w14:textId="3AE704A4" w:rsidR="00AE2A1A" w:rsidRPr="00FF0CE4" w:rsidRDefault="00AE2A1A" w:rsidP="00145754">
      <w:pPr>
        <w:pStyle w:val="Header"/>
        <w:tabs>
          <w:tab w:val="num" w:pos="1080"/>
        </w:tabs>
        <w:rPr>
          <w:szCs w:val="24"/>
        </w:rPr>
      </w:pPr>
      <w:r w:rsidRPr="00FF0CE4">
        <w:rPr>
          <w:szCs w:val="24"/>
        </w:rPr>
        <w:t xml:space="preserve">Section </w:t>
      </w:r>
      <w:r w:rsidR="00145754" w:rsidRPr="00FF0CE4">
        <w:rPr>
          <w:szCs w:val="24"/>
        </w:rPr>
        <w:t>7</w:t>
      </w:r>
      <w:r w:rsidRPr="00FF0CE4">
        <w:rPr>
          <w:szCs w:val="24"/>
        </w:rPr>
        <w:t xml:space="preserve"> specifies provisions of the general medical services table that apply as if </w:t>
      </w:r>
      <w:r w:rsidR="00145754" w:rsidRPr="00FF0CE4">
        <w:rPr>
          <w:szCs w:val="24"/>
        </w:rPr>
        <w:t xml:space="preserve">the relevant </w:t>
      </w:r>
      <w:r w:rsidRPr="00FF0CE4">
        <w:rPr>
          <w:szCs w:val="24"/>
        </w:rPr>
        <w:t>item</w:t>
      </w:r>
      <w:r w:rsidR="00145754" w:rsidRPr="00FF0CE4">
        <w:rPr>
          <w:szCs w:val="24"/>
        </w:rPr>
        <w:t>s</w:t>
      </w:r>
      <w:r w:rsidRPr="00FF0CE4">
        <w:rPr>
          <w:szCs w:val="24"/>
        </w:rPr>
        <w:t xml:space="preserve"> </w:t>
      </w:r>
      <w:r w:rsidR="00145754" w:rsidRPr="00FF0CE4">
        <w:rPr>
          <w:szCs w:val="24"/>
        </w:rPr>
        <w:t>in the Determination</w:t>
      </w:r>
      <w:r w:rsidRPr="00FF0CE4">
        <w:rPr>
          <w:szCs w:val="24"/>
        </w:rPr>
        <w:t xml:space="preserve"> w</w:t>
      </w:r>
      <w:r w:rsidR="00145754" w:rsidRPr="00FF0CE4">
        <w:rPr>
          <w:szCs w:val="24"/>
        </w:rPr>
        <w:t>ere</w:t>
      </w:r>
      <w:r w:rsidRPr="00FF0CE4">
        <w:rPr>
          <w:szCs w:val="24"/>
        </w:rPr>
        <w:t xml:space="preserve"> specified in the relevant provision in the general medical services table</w:t>
      </w:r>
      <w:r w:rsidR="00145754" w:rsidRPr="00FF0CE4">
        <w:rPr>
          <w:szCs w:val="24"/>
        </w:rPr>
        <w:t>.</w:t>
      </w:r>
    </w:p>
    <w:p w14:paraId="6CE8DF8C" w14:textId="4B37BD9B" w:rsidR="00AE2A1A" w:rsidRPr="00FF0CE4" w:rsidRDefault="00AE2A1A" w:rsidP="00517CF3">
      <w:pPr>
        <w:pStyle w:val="Header"/>
        <w:tabs>
          <w:tab w:val="num" w:pos="1080"/>
        </w:tabs>
        <w:ind w:left="720"/>
        <w:rPr>
          <w:szCs w:val="24"/>
        </w:rPr>
      </w:pPr>
    </w:p>
    <w:p w14:paraId="6DA20483" w14:textId="353466F8" w:rsidR="00AE2A1A" w:rsidRPr="00FF0CE4" w:rsidRDefault="00AE2A1A" w:rsidP="00145754">
      <w:pPr>
        <w:pStyle w:val="Header"/>
        <w:tabs>
          <w:tab w:val="num" w:pos="1080"/>
        </w:tabs>
        <w:rPr>
          <w:szCs w:val="24"/>
        </w:rPr>
      </w:pPr>
      <w:r w:rsidRPr="00FF0CE4">
        <w:rPr>
          <w:szCs w:val="24"/>
        </w:rPr>
        <w:t xml:space="preserve">Subsection </w:t>
      </w:r>
      <w:r w:rsidR="00145754" w:rsidRPr="00FF0CE4">
        <w:rPr>
          <w:szCs w:val="24"/>
        </w:rPr>
        <w:t>7</w:t>
      </w:r>
      <w:r w:rsidRPr="00FF0CE4">
        <w:rPr>
          <w:szCs w:val="24"/>
        </w:rPr>
        <w:t>(1) of the Determination provides that item</w:t>
      </w:r>
      <w:r w:rsidR="00145754" w:rsidRPr="00FF0CE4">
        <w:rPr>
          <w:szCs w:val="24"/>
        </w:rPr>
        <w:t>s</w:t>
      </w:r>
      <w:r w:rsidRPr="00FF0CE4">
        <w:rPr>
          <w:szCs w:val="24"/>
        </w:rPr>
        <w:t xml:space="preserve"> </w:t>
      </w:r>
      <w:r w:rsidR="00145754" w:rsidRPr="00FF0CE4">
        <w:rPr>
          <w:szCs w:val="24"/>
        </w:rPr>
        <w:t>in the Schedule of th</w:t>
      </w:r>
      <w:r w:rsidR="00B85110" w:rsidRPr="00FF0CE4">
        <w:rPr>
          <w:szCs w:val="24"/>
        </w:rPr>
        <w:t>e</w:t>
      </w:r>
      <w:r w:rsidR="00145754" w:rsidRPr="00FF0CE4">
        <w:rPr>
          <w:szCs w:val="24"/>
        </w:rPr>
        <w:t xml:space="preserve"> Determination</w:t>
      </w:r>
      <w:r w:rsidRPr="00FF0CE4">
        <w:rPr>
          <w:szCs w:val="24"/>
        </w:rPr>
        <w:t xml:space="preserve"> will be treated as if </w:t>
      </w:r>
      <w:r w:rsidR="00145754" w:rsidRPr="00FF0CE4">
        <w:rPr>
          <w:szCs w:val="24"/>
        </w:rPr>
        <w:t>they</w:t>
      </w:r>
      <w:r w:rsidRPr="00FF0CE4">
        <w:rPr>
          <w:szCs w:val="24"/>
        </w:rPr>
        <w:t xml:space="preserve"> w</w:t>
      </w:r>
      <w:r w:rsidR="00145754" w:rsidRPr="00FF0CE4">
        <w:rPr>
          <w:szCs w:val="24"/>
        </w:rPr>
        <w:t>ere</w:t>
      </w:r>
      <w:r w:rsidRPr="00FF0CE4">
        <w:rPr>
          <w:szCs w:val="24"/>
        </w:rPr>
        <w:t xml:space="preserve"> specified in</w:t>
      </w:r>
      <w:r w:rsidR="00145754" w:rsidRPr="00FF0CE4">
        <w:rPr>
          <w:szCs w:val="24"/>
        </w:rPr>
        <w:t xml:space="preserve"> </w:t>
      </w:r>
      <w:r w:rsidR="006D4977" w:rsidRPr="00FF0CE4">
        <w:rPr>
          <w:szCs w:val="24"/>
        </w:rPr>
        <w:t>c</w:t>
      </w:r>
      <w:r w:rsidRPr="00FF0CE4">
        <w:rPr>
          <w:szCs w:val="24"/>
        </w:rPr>
        <w:t>lause 1.</w:t>
      </w:r>
      <w:r w:rsidR="00145754" w:rsidRPr="00FF0CE4">
        <w:rPr>
          <w:szCs w:val="24"/>
        </w:rPr>
        <w:t>2</w:t>
      </w:r>
      <w:r w:rsidRPr="00FF0CE4">
        <w:rPr>
          <w:szCs w:val="24"/>
        </w:rPr>
        <w:t>.1 of the general medical services table. Clause 1.</w:t>
      </w:r>
      <w:r w:rsidR="00145754" w:rsidRPr="00FF0CE4">
        <w:rPr>
          <w:szCs w:val="24"/>
        </w:rPr>
        <w:t>2</w:t>
      </w:r>
      <w:r w:rsidRPr="00FF0CE4">
        <w:rPr>
          <w:szCs w:val="24"/>
        </w:rPr>
        <w:t>.</w:t>
      </w:r>
      <w:r w:rsidR="00145754" w:rsidRPr="00FF0CE4">
        <w:rPr>
          <w:szCs w:val="24"/>
        </w:rPr>
        <w:t>1</w:t>
      </w:r>
      <w:r w:rsidRPr="00FF0CE4">
        <w:rPr>
          <w:szCs w:val="24"/>
        </w:rPr>
        <w:t xml:space="preserve"> provides </w:t>
      </w:r>
      <w:r w:rsidR="00145754" w:rsidRPr="00FF0CE4">
        <w:rPr>
          <w:szCs w:val="24"/>
        </w:rPr>
        <w:t>that an item in Schedule 1 of the general medical services table does not apply to a service provided in contravention of a law of the Commonwealth, a State or Territory.</w:t>
      </w:r>
    </w:p>
    <w:p w14:paraId="28265273" w14:textId="197EAA0D" w:rsidR="00D27095" w:rsidRPr="00FF0CE4" w:rsidRDefault="00D27095" w:rsidP="00145754">
      <w:pPr>
        <w:pStyle w:val="Header"/>
        <w:tabs>
          <w:tab w:val="num" w:pos="1080"/>
        </w:tabs>
        <w:rPr>
          <w:szCs w:val="24"/>
        </w:rPr>
      </w:pPr>
    </w:p>
    <w:p w14:paraId="2B4E6461" w14:textId="055765C4" w:rsidR="00D27095" w:rsidRPr="00FF0CE4" w:rsidRDefault="00D27095" w:rsidP="00145754">
      <w:pPr>
        <w:pStyle w:val="Header"/>
        <w:tabs>
          <w:tab w:val="num" w:pos="1080"/>
        </w:tabs>
        <w:rPr>
          <w:szCs w:val="24"/>
        </w:rPr>
      </w:pPr>
      <w:r w:rsidRPr="00FF0CE4">
        <w:rPr>
          <w:szCs w:val="24"/>
        </w:rPr>
        <w:t>Subsection 7(2) of the Determination provides that items in the Schedule of the Determination will be treated as if they were specified in subclause 1.2.5(1) of the general medical services table. Clause 1.2.5 provides a list of requirements that a professional service may include.</w:t>
      </w:r>
    </w:p>
    <w:p w14:paraId="68BF99DD" w14:textId="77777777" w:rsidR="00D27095" w:rsidRPr="00FF0CE4" w:rsidRDefault="00D27095" w:rsidP="00145754">
      <w:pPr>
        <w:pStyle w:val="Header"/>
        <w:tabs>
          <w:tab w:val="num" w:pos="1080"/>
        </w:tabs>
        <w:rPr>
          <w:szCs w:val="24"/>
        </w:rPr>
      </w:pPr>
    </w:p>
    <w:p w14:paraId="635295E4" w14:textId="321CFCF4" w:rsidR="00145754" w:rsidRPr="00FF0CE4" w:rsidRDefault="00145754" w:rsidP="00145754">
      <w:pPr>
        <w:pStyle w:val="Header"/>
        <w:tabs>
          <w:tab w:val="num" w:pos="1080"/>
        </w:tabs>
        <w:rPr>
          <w:szCs w:val="24"/>
        </w:rPr>
      </w:pPr>
      <w:r w:rsidRPr="00FF0CE4">
        <w:rPr>
          <w:szCs w:val="24"/>
        </w:rPr>
        <w:lastRenderedPageBreak/>
        <w:t>Subsection 7(</w:t>
      </w:r>
      <w:r w:rsidR="00D27095" w:rsidRPr="00FF0CE4">
        <w:rPr>
          <w:szCs w:val="24"/>
        </w:rPr>
        <w:t>3</w:t>
      </w:r>
      <w:r w:rsidRPr="00FF0CE4">
        <w:rPr>
          <w:szCs w:val="24"/>
        </w:rPr>
        <w:t xml:space="preserve">) of the Determination provides that </w:t>
      </w:r>
      <w:r w:rsidR="006D4977" w:rsidRPr="00FF0CE4">
        <w:rPr>
          <w:szCs w:val="24"/>
        </w:rPr>
        <w:t xml:space="preserve">the </w:t>
      </w:r>
      <w:r w:rsidR="005A761D" w:rsidRPr="00FF0CE4">
        <w:rPr>
          <w:szCs w:val="24"/>
        </w:rPr>
        <w:t xml:space="preserve">face-to-face </w:t>
      </w:r>
      <w:r w:rsidR="006D4977" w:rsidRPr="00FF0CE4">
        <w:rPr>
          <w:szCs w:val="24"/>
        </w:rPr>
        <w:t>nicotine and smoking cessation items</w:t>
      </w:r>
      <w:r w:rsidRPr="00FF0CE4">
        <w:rPr>
          <w:szCs w:val="24"/>
        </w:rPr>
        <w:t xml:space="preserve"> </w:t>
      </w:r>
      <w:r w:rsidR="006D4977" w:rsidRPr="00FF0CE4">
        <w:rPr>
          <w:szCs w:val="24"/>
        </w:rPr>
        <w:t xml:space="preserve">(93680 to 93685) </w:t>
      </w:r>
      <w:r w:rsidRPr="00FF0CE4">
        <w:rPr>
          <w:szCs w:val="24"/>
        </w:rPr>
        <w:t>will be treated as if they were specified in subclause 1.2.7(1) of the general medical services table. Clause 1.2.7 details the application and matters included in personal attendance by medical practitioners.</w:t>
      </w:r>
      <w:r w:rsidR="006D4977" w:rsidRPr="00FF0CE4">
        <w:rPr>
          <w:szCs w:val="24"/>
        </w:rPr>
        <w:t xml:space="preserve"> </w:t>
      </w:r>
    </w:p>
    <w:p w14:paraId="48E86A3B" w14:textId="77777777" w:rsidR="00AE2A1A" w:rsidRPr="00FF0CE4" w:rsidRDefault="00AE2A1A" w:rsidP="00C63FDC">
      <w:pPr>
        <w:pStyle w:val="Header"/>
        <w:tabs>
          <w:tab w:val="num" w:pos="1080"/>
        </w:tabs>
        <w:rPr>
          <w:szCs w:val="24"/>
          <w:u w:val="single"/>
        </w:rPr>
      </w:pPr>
    </w:p>
    <w:p w14:paraId="1007F8E1" w14:textId="366541D6" w:rsidR="00145754" w:rsidRPr="00FF0CE4" w:rsidRDefault="00AE2A1A" w:rsidP="00C63FDC">
      <w:pPr>
        <w:pStyle w:val="Header"/>
        <w:tabs>
          <w:tab w:val="num" w:pos="1080"/>
        </w:tabs>
        <w:rPr>
          <w:szCs w:val="24"/>
          <w:u w:val="single"/>
        </w:rPr>
      </w:pPr>
      <w:r w:rsidRPr="00FF0CE4">
        <w:rPr>
          <w:szCs w:val="24"/>
          <w:u w:val="single"/>
        </w:rPr>
        <w:t xml:space="preserve">Section </w:t>
      </w:r>
      <w:r w:rsidR="00E63C2C" w:rsidRPr="00FF0CE4">
        <w:rPr>
          <w:szCs w:val="24"/>
          <w:u w:val="single"/>
        </w:rPr>
        <w:t>8</w:t>
      </w:r>
      <w:r w:rsidRPr="00FF0CE4">
        <w:rPr>
          <w:szCs w:val="24"/>
          <w:u w:val="single"/>
        </w:rPr>
        <w:t xml:space="preserve"> – Application of items</w:t>
      </w:r>
    </w:p>
    <w:p w14:paraId="0688AD8C" w14:textId="77777777" w:rsidR="00145754" w:rsidRPr="00FF0CE4" w:rsidRDefault="00145754" w:rsidP="00C63FDC">
      <w:pPr>
        <w:pStyle w:val="Header"/>
        <w:tabs>
          <w:tab w:val="num" w:pos="1080"/>
        </w:tabs>
        <w:rPr>
          <w:szCs w:val="24"/>
          <w:u w:val="single"/>
        </w:rPr>
      </w:pPr>
    </w:p>
    <w:p w14:paraId="17A33288" w14:textId="1E291F16" w:rsidR="00145754" w:rsidRPr="00FF0CE4" w:rsidRDefault="00145754" w:rsidP="00C63FDC">
      <w:pPr>
        <w:pStyle w:val="Header"/>
        <w:tabs>
          <w:tab w:val="num" w:pos="1080"/>
        </w:tabs>
        <w:rPr>
          <w:szCs w:val="24"/>
        </w:rPr>
      </w:pPr>
      <w:r w:rsidRPr="00FF0CE4">
        <w:rPr>
          <w:szCs w:val="24"/>
        </w:rPr>
        <w:t>Section 8 specifies the application of the items in the Schedule of the Determination.</w:t>
      </w:r>
    </w:p>
    <w:p w14:paraId="3B1154ED" w14:textId="77777777" w:rsidR="00145754" w:rsidRPr="00FF0CE4" w:rsidRDefault="00145754" w:rsidP="00C63FDC">
      <w:pPr>
        <w:pStyle w:val="Header"/>
        <w:tabs>
          <w:tab w:val="num" w:pos="1080"/>
        </w:tabs>
        <w:rPr>
          <w:szCs w:val="24"/>
        </w:rPr>
      </w:pPr>
    </w:p>
    <w:p w14:paraId="7967F24D" w14:textId="77777777" w:rsidR="0010602C" w:rsidRPr="00FF0CE4" w:rsidRDefault="00145754" w:rsidP="00C63FDC">
      <w:pPr>
        <w:pStyle w:val="Header"/>
        <w:tabs>
          <w:tab w:val="num" w:pos="1080"/>
        </w:tabs>
        <w:rPr>
          <w:szCs w:val="24"/>
        </w:rPr>
      </w:pPr>
      <w:r w:rsidRPr="00FF0CE4">
        <w:rPr>
          <w:szCs w:val="24"/>
        </w:rPr>
        <w:t>Subsection 8(1) provides that an item in the Schedule of the Determination does not apply to a service if the patient is an admitted patient</w:t>
      </w:r>
      <w:r w:rsidR="0010602C" w:rsidRPr="00FF0CE4">
        <w:rPr>
          <w:szCs w:val="24"/>
        </w:rPr>
        <w:t xml:space="preserve">, as defined in section 5 of the Determination. </w:t>
      </w:r>
    </w:p>
    <w:p w14:paraId="33B2ABB0" w14:textId="77777777" w:rsidR="0010602C" w:rsidRPr="00FF0CE4" w:rsidRDefault="0010602C" w:rsidP="00C63FDC">
      <w:pPr>
        <w:pStyle w:val="Header"/>
        <w:tabs>
          <w:tab w:val="num" w:pos="1080"/>
        </w:tabs>
        <w:rPr>
          <w:szCs w:val="24"/>
        </w:rPr>
      </w:pPr>
    </w:p>
    <w:p w14:paraId="0CCDC9F2" w14:textId="23C76677" w:rsidR="00735497" w:rsidRPr="00FF0CE4" w:rsidRDefault="0010602C" w:rsidP="00C63FDC">
      <w:pPr>
        <w:pStyle w:val="Header"/>
        <w:tabs>
          <w:tab w:val="num" w:pos="1080"/>
        </w:tabs>
        <w:rPr>
          <w:szCs w:val="24"/>
        </w:rPr>
      </w:pPr>
      <w:r w:rsidRPr="00FF0CE4">
        <w:rPr>
          <w:szCs w:val="24"/>
        </w:rPr>
        <w:t>S</w:t>
      </w:r>
      <w:r w:rsidR="00735497" w:rsidRPr="00FF0CE4">
        <w:rPr>
          <w:szCs w:val="24"/>
        </w:rPr>
        <w:t>ubsection 8(2) provides that an item in the Schedule of the Determination only applies to a service that is an attendance by a single medical practitioner on a single patient.</w:t>
      </w:r>
    </w:p>
    <w:p w14:paraId="29B128DB" w14:textId="77777777" w:rsidR="00145754" w:rsidRPr="00FF0CE4" w:rsidRDefault="00145754" w:rsidP="00C63FDC">
      <w:pPr>
        <w:pStyle w:val="Header"/>
        <w:tabs>
          <w:tab w:val="num" w:pos="1080"/>
        </w:tabs>
        <w:rPr>
          <w:color w:val="FF0000"/>
          <w:szCs w:val="24"/>
        </w:rPr>
      </w:pPr>
    </w:p>
    <w:p w14:paraId="715418DA" w14:textId="517B7982" w:rsidR="00A16685" w:rsidRPr="00FF0CE4" w:rsidRDefault="00E63C2C" w:rsidP="00C63FDC">
      <w:pPr>
        <w:pStyle w:val="Header"/>
        <w:tabs>
          <w:tab w:val="num" w:pos="1080"/>
        </w:tabs>
        <w:rPr>
          <w:szCs w:val="24"/>
        </w:rPr>
      </w:pPr>
      <w:r w:rsidRPr="00FF0CE4">
        <w:rPr>
          <w:szCs w:val="24"/>
        </w:rPr>
        <w:t>S</w:t>
      </w:r>
      <w:r w:rsidR="00145754" w:rsidRPr="00FF0CE4">
        <w:rPr>
          <w:szCs w:val="24"/>
        </w:rPr>
        <w:t>ubs</w:t>
      </w:r>
      <w:r w:rsidRPr="00FF0CE4">
        <w:rPr>
          <w:szCs w:val="24"/>
        </w:rPr>
        <w:t>ection 8(</w:t>
      </w:r>
      <w:r w:rsidR="00145754" w:rsidRPr="00FF0CE4">
        <w:rPr>
          <w:szCs w:val="24"/>
        </w:rPr>
        <w:t>3</w:t>
      </w:r>
      <w:r w:rsidRPr="00FF0CE4">
        <w:rPr>
          <w:szCs w:val="24"/>
        </w:rPr>
        <w:t xml:space="preserve">) provides that for items </w:t>
      </w:r>
      <w:r w:rsidR="0010602C" w:rsidRPr="00FF0CE4">
        <w:rPr>
          <w:szCs w:val="24"/>
        </w:rPr>
        <w:t xml:space="preserve">93682, 93685, 93692, 93695, 93702 and 93705, </w:t>
      </w:r>
      <w:r w:rsidR="0051592E" w:rsidRPr="00FF0CE4">
        <w:rPr>
          <w:szCs w:val="24"/>
        </w:rPr>
        <w:t>‘</w:t>
      </w:r>
      <w:r w:rsidRPr="00FF0CE4">
        <w:rPr>
          <w:szCs w:val="24"/>
        </w:rPr>
        <w:t>eligible area</w:t>
      </w:r>
      <w:r w:rsidR="0051592E" w:rsidRPr="00FF0CE4">
        <w:rPr>
          <w:szCs w:val="24"/>
        </w:rPr>
        <w:t>’</w:t>
      </w:r>
      <w:r w:rsidRPr="00FF0CE4">
        <w:rPr>
          <w:szCs w:val="24"/>
        </w:rPr>
        <w:t xml:space="preserve"> has the meaning given by section 4 of the </w:t>
      </w:r>
      <w:bookmarkStart w:id="2" w:name="_Hlk77077919"/>
      <w:r w:rsidRPr="00FF0CE4">
        <w:rPr>
          <w:i/>
          <w:iCs/>
          <w:szCs w:val="24"/>
        </w:rPr>
        <w:t>Health Insurance (Section 3C General Medical Services – Other Medical Practitioner) Determination 2018</w:t>
      </w:r>
      <w:bookmarkEnd w:id="2"/>
      <w:r w:rsidRPr="00FF0CE4">
        <w:rPr>
          <w:szCs w:val="24"/>
        </w:rPr>
        <w:t>.</w:t>
      </w:r>
      <w:r w:rsidR="00A16685" w:rsidRPr="00FF0CE4">
        <w:rPr>
          <w:szCs w:val="24"/>
        </w:rPr>
        <w:t xml:space="preserve"> These items, which are prescribed in the Schedule, provide face-to-face, telehealth and phone attendances for services performed by OMPs in regional, </w:t>
      </w:r>
      <w:proofErr w:type="gramStart"/>
      <w:r w:rsidR="00A16685" w:rsidRPr="00FF0CE4">
        <w:rPr>
          <w:szCs w:val="24"/>
        </w:rPr>
        <w:t>rural</w:t>
      </w:r>
      <w:proofErr w:type="gramEnd"/>
      <w:r w:rsidR="00A16685" w:rsidRPr="00FF0CE4">
        <w:rPr>
          <w:szCs w:val="24"/>
        </w:rPr>
        <w:t xml:space="preserve"> and remote areas (Modified Monash areas 2 to 7).</w:t>
      </w:r>
    </w:p>
    <w:p w14:paraId="67B0620D" w14:textId="77777777" w:rsidR="00E63C2C" w:rsidRPr="00FF0CE4" w:rsidRDefault="00E63C2C" w:rsidP="00C63FDC">
      <w:pPr>
        <w:pStyle w:val="Header"/>
        <w:tabs>
          <w:tab w:val="num" w:pos="1080"/>
        </w:tabs>
        <w:rPr>
          <w:color w:val="FF0000"/>
          <w:szCs w:val="24"/>
          <w:u w:val="single"/>
        </w:rPr>
      </w:pPr>
    </w:p>
    <w:p w14:paraId="43A3452C" w14:textId="0344FA1D" w:rsidR="00825D46" w:rsidRPr="00FF0CE4" w:rsidRDefault="00FA05D9" w:rsidP="00C63FDC">
      <w:pPr>
        <w:pStyle w:val="Header"/>
        <w:tabs>
          <w:tab w:val="num" w:pos="1080"/>
        </w:tabs>
        <w:rPr>
          <w:szCs w:val="24"/>
          <w:u w:val="single"/>
        </w:rPr>
      </w:pPr>
      <w:r w:rsidRPr="00FF0CE4">
        <w:rPr>
          <w:szCs w:val="24"/>
          <w:u w:val="single"/>
        </w:rPr>
        <w:t xml:space="preserve">Section </w:t>
      </w:r>
      <w:r w:rsidR="00E63C2C" w:rsidRPr="00FF0CE4">
        <w:rPr>
          <w:szCs w:val="24"/>
          <w:u w:val="single"/>
        </w:rPr>
        <w:t>9</w:t>
      </w:r>
      <w:r w:rsidRPr="00FF0CE4">
        <w:rPr>
          <w:szCs w:val="24"/>
          <w:u w:val="single"/>
        </w:rPr>
        <w:t xml:space="preserve"> –</w:t>
      </w:r>
      <w:r w:rsidR="00825D46" w:rsidRPr="00FF0CE4">
        <w:rPr>
          <w:szCs w:val="24"/>
          <w:u w:val="single"/>
        </w:rPr>
        <w:t xml:space="preserve"> Limitation of items</w:t>
      </w:r>
    </w:p>
    <w:p w14:paraId="572302F9" w14:textId="7E6F1E6A" w:rsidR="00825D46" w:rsidRPr="00FF0CE4" w:rsidRDefault="00825D46" w:rsidP="00C63FDC">
      <w:pPr>
        <w:pStyle w:val="Header"/>
        <w:tabs>
          <w:tab w:val="num" w:pos="1080"/>
        </w:tabs>
        <w:rPr>
          <w:szCs w:val="24"/>
          <w:u w:val="single"/>
        </w:rPr>
      </w:pPr>
    </w:p>
    <w:p w14:paraId="72D7E421" w14:textId="3194045F" w:rsidR="0051592E" w:rsidRPr="00FF0CE4" w:rsidRDefault="00DA1CCA" w:rsidP="00C63FDC">
      <w:pPr>
        <w:pStyle w:val="Header"/>
        <w:tabs>
          <w:tab w:val="num" w:pos="1080"/>
        </w:tabs>
        <w:rPr>
          <w:szCs w:val="24"/>
        </w:rPr>
      </w:pPr>
      <w:r w:rsidRPr="00FF0CE4">
        <w:rPr>
          <w:szCs w:val="24"/>
        </w:rPr>
        <w:t xml:space="preserve">Section 9 specifies </w:t>
      </w:r>
      <w:r w:rsidR="0051592E" w:rsidRPr="00FF0CE4">
        <w:rPr>
          <w:szCs w:val="24"/>
        </w:rPr>
        <w:t>a</w:t>
      </w:r>
      <w:r w:rsidR="0010602C" w:rsidRPr="00FF0CE4">
        <w:rPr>
          <w:szCs w:val="24"/>
        </w:rPr>
        <w:t xml:space="preserve"> nicotine and smoking cessation service (93680 to 93685) cannot be performed </w:t>
      </w:r>
      <w:r w:rsidR="0051592E" w:rsidRPr="00FF0CE4">
        <w:rPr>
          <w:szCs w:val="24"/>
        </w:rPr>
        <w:t xml:space="preserve">for a patient </w:t>
      </w:r>
      <w:r w:rsidR="0010602C" w:rsidRPr="00FF0CE4">
        <w:rPr>
          <w:szCs w:val="24"/>
        </w:rPr>
        <w:t>on the same occasion as</w:t>
      </w:r>
      <w:r w:rsidR="0051592E" w:rsidRPr="00FF0CE4">
        <w:rPr>
          <w:szCs w:val="24"/>
        </w:rPr>
        <w:t>:</w:t>
      </w:r>
    </w:p>
    <w:p w14:paraId="24B112DB" w14:textId="1F42DFCD" w:rsidR="0051592E" w:rsidRPr="00FF0CE4" w:rsidRDefault="0051592E" w:rsidP="0051592E">
      <w:pPr>
        <w:pStyle w:val="Header"/>
        <w:numPr>
          <w:ilvl w:val="0"/>
          <w:numId w:val="33"/>
        </w:numPr>
        <w:rPr>
          <w:szCs w:val="24"/>
        </w:rPr>
      </w:pPr>
      <w:r w:rsidRPr="00FF0CE4">
        <w:rPr>
          <w:szCs w:val="24"/>
        </w:rPr>
        <w:t>another service to which an item in this Determination applies; or</w:t>
      </w:r>
    </w:p>
    <w:p w14:paraId="2A92E550" w14:textId="0F00AB46" w:rsidR="00DA1CCA" w:rsidRPr="00FF0CE4" w:rsidRDefault="0051592E" w:rsidP="0051592E">
      <w:pPr>
        <w:pStyle w:val="Header"/>
        <w:numPr>
          <w:ilvl w:val="0"/>
          <w:numId w:val="33"/>
        </w:numPr>
        <w:rPr>
          <w:szCs w:val="24"/>
        </w:rPr>
      </w:pPr>
      <w:r w:rsidRPr="00FF0CE4">
        <w:rPr>
          <w:szCs w:val="24"/>
        </w:rPr>
        <w:t>a service in</w:t>
      </w:r>
      <w:r w:rsidR="00D53F34" w:rsidRPr="00FF0CE4">
        <w:rPr>
          <w:szCs w:val="24"/>
        </w:rPr>
        <w:t xml:space="preserve"> Part 2 of</w:t>
      </w:r>
      <w:r w:rsidRPr="00FF0CE4">
        <w:rPr>
          <w:szCs w:val="24"/>
        </w:rPr>
        <w:t xml:space="preserve"> the general medical services table applies.</w:t>
      </w:r>
    </w:p>
    <w:p w14:paraId="76C1924C" w14:textId="77777777" w:rsidR="00517CF3" w:rsidRPr="00FF0CE4" w:rsidRDefault="00517CF3" w:rsidP="00C63FDC">
      <w:pPr>
        <w:pStyle w:val="Header"/>
        <w:tabs>
          <w:tab w:val="num" w:pos="1080"/>
        </w:tabs>
        <w:rPr>
          <w:szCs w:val="24"/>
        </w:rPr>
      </w:pPr>
    </w:p>
    <w:p w14:paraId="768D340E" w14:textId="2E8C28BE" w:rsidR="00C63FDC" w:rsidRPr="00FF0CE4" w:rsidRDefault="00014737" w:rsidP="00C63FDC">
      <w:pPr>
        <w:pStyle w:val="Header"/>
        <w:tabs>
          <w:tab w:val="num" w:pos="1080"/>
        </w:tabs>
        <w:rPr>
          <w:szCs w:val="24"/>
          <w:u w:val="single"/>
        </w:rPr>
      </w:pPr>
      <w:r w:rsidRPr="00FF0CE4">
        <w:rPr>
          <w:szCs w:val="24"/>
          <w:u w:val="single"/>
        </w:rPr>
        <w:t>Schedule – Relevant</w:t>
      </w:r>
      <w:r w:rsidR="00517CF3" w:rsidRPr="00FF0CE4">
        <w:rPr>
          <w:szCs w:val="24"/>
          <w:u w:val="single"/>
        </w:rPr>
        <w:t xml:space="preserve"> services</w:t>
      </w:r>
    </w:p>
    <w:p w14:paraId="2212E577" w14:textId="77777777" w:rsidR="00C63FDC" w:rsidRPr="00FF0CE4" w:rsidRDefault="00C63FDC" w:rsidP="00C63FDC">
      <w:pPr>
        <w:pStyle w:val="Header"/>
        <w:tabs>
          <w:tab w:val="num" w:pos="1080"/>
        </w:tabs>
        <w:rPr>
          <w:szCs w:val="24"/>
          <w:u w:val="single"/>
        </w:rPr>
      </w:pPr>
    </w:p>
    <w:p w14:paraId="371F01D6" w14:textId="5F5A5AE2" w:rsidR="007708B3" w:rsidRPr="00FF0CE4" w:rsidRDefault="00517CF3" w:rsidP="0051592E">
      <w:pPr>
        <w:ind w:right="-483"/>
        <w:rPr>
          <w:szCs w:val="24"/>
        </w:rPr>
      </w:pPr>
      <w:r w:rsidRPr="00FF0CE4">
        <w:rPr>
          <w:szCs w:val="24"/>
        </w:rPr>
        <w:t>The Schedule specifies the service and the associated fee for item</w:t>
      </w:r>
      <w:r w:rsidR="001977F6" w:rsidRPr="00FF0CE4">
        <w:rPr>
          <w:szCs w:val="24"/>
        </w:rPr>
        <w:t>s</w:t>
      </w:r>
      <w:r w:rsidRPr="00FF0CE4">
        <w:rPr>
          <w:szCs w:val="24"/>
        </w:rPr>
        <w:t xml:space="preserve"> </w:t>
      </w:r>
      <w:r w:rsidR="00703EBA" w:rsidRPr="00FF0CE4">
        <w:rPr>
          <w:szCs w:val="24"/>
        </w:rPr>
        <w:t>in Group A45, which provide</w:t>
      </w:r>
      <w:r w:rsidR="00BE631B" w:rsidRPr="00FF0CE4">
        <w:rPr>
          <w:szCs w:val="24"/>
        </w:rPr>
        <w:t>s</w:t>
      </w:r>
      <w:r w:rsidR="00703EBA" w:rsidRPr="00FF0CE4">
        <w:rPr>
          <w:szCs w:val="24"/>
        </w:rPr>
        <w:t xml:space="preserve"> general practitioner (GP) and other medical practitioner (OMP) services related to nicotine and smoking cessation counselling</w:t>
      </w:r>
      <w:r w:rsidRPr="00FF0CE4">
        <w:rPr>
          <w:szCs w:val="24"/>
        </w:rPr>
        <w:t>.</w:t>
      </w:r>
      <w:r w:rsidR="006D4977" w:rsidRPr="00FF0CE4">
        <w:rPr>
          <w:szCs w:val="24"/>
        </w:rPr>
        <w:t xml:space="preserve"> </w:t>
      </w:r>
    </w:p>
    <w:p w14:paraId="061E48AB" w14:textId="52D681D1" w:rsidR="001977F6" w:rsidRPr="00FF0CE4" w:rsidRDefault="001977F6" w:rsidP="00C63FDC">
      <w:pPr>
        <w:pStyle w:val="Header"/>
        <w:tabs>
          <w:tab w:val="num" w:pos="1080"/>
        </w:tabs>
        <w:rPr>
          <w:szCs w:val="24"/>
        </w:rPr>
      </w:pPr>
    </w:p>
    <w:p w14:paraId="7D0D9345" w14:textId="771CE63C" w:rsidR="00703EBA" w:rsidRPr="00FF0CE4" w:rsidRDefault="00703EBA" w:rsidP="00C63FDC">
      <w:pPr>
        <w:pStyle w:val="Header"/>
        <w:tabs>
          <w:tab w:val="num" w:pos="1080"/>
        </w:tabs>
        <w:rPr>
          <w:szCs w:val="24"/>
        </w:rPr>
      </w:pPr>
      <w:r w:rsidRPr="00FF0CE4">
        <w:rPr>
          <w:szCs w:val="24"/>
        </w:rPr>
        <w:t>I</w:t>
      </w:r>
      <w:r w:rsidR="001977F6" w:rsidRPr="00FF0CE4">
        <w:rPr>
          <w:szCs w:val="24"/>
        </w:rPr>
        <w:t xml:space="preserve">tems </w:t>
      </w:r>
      <w:r w:rsidRPr="00FF0CE4">
        <w:rPr>
          <w:szCs w:val="24"/>
        </w:rPr>
        <w:t xml:space="preserve">in Subgroup 1 of Group A45 </w:t>
      </w:r>
      <w:r w:rsidR="001977F6" w:rsidRPr="00FF0CE4">
        <w:rPr>
          <w:szCs w:val="24"/>
        </w:rPr>
        <w:t xml:space="preserve">provide </w:t>
      </w:r>
      <w:r w:rsidR="0051592E" w:rsidRPr="00FF0CE4">
        <w:rPr>
          <w:szCs w:val="24"/>
        </w:rPr>
        <w:t xml:space="preserve">time-tiered </w:t>
      </w:r>
      <w:r w:rsidRPr="00FF0CE4">
        <w:rPr>
          <w:szCs w:val="24"/>
        </w:rPr>
        <w:t>face-to-face GP and OMP services related to nicotine and smoking cessation counselling.</w:t>
      </w:r>
    </w:p>
    <w:p w14:paraId="4960C932" w14:textId="77777777" w:rsidR="00703EBA" w:rsidRPr="00FF0CE4" w:rsidRDefault="00703EBA" w:rsidP="00C63FDC">
      <w:pPr>
        <w:pStyle w:val="Header"/>
        <w:tabs>
          <w:tab w:val="num" w:pos="1080"/>
        </w:tabs>
        <w:rPr>
          <w:szCs w:val="24"/>
        </w:rPr>
      </w:pPr>
    </w:p>
    <w:p w14:paraId="5EE7BEBB" w14:textId="1626226A" w:rsidR="00703EBA" w:rsidRPr="00FF0CE4" w:rsidRDefault="00703EBA" w:rsidP="00C63FDC">
      <w:pPr>
        <w:pStyle w:val="Header"/>
        <w:tabs>
          <w:tab w:val="num" w:pos="1080"/>
        </w:tabs>
        <w:rPr>
          <w:szCs w:val="24"/>
        </w:rPr>
      </w:pPr>
      <w:r w:rsidRPr="00FF0CE4">
        <w:rPr>
          <w:szCs w:val="24"/>
        </w:rPr>
        <w:t xml:space="preserve">Items in Subgroup </w:t>
      </w:r>
      <w:r w:rsidR="002312D4" w:rsidRPr="00FF0CE4">
        <w:rPr>
          <w:szCs w:val="24"/>
        </w:rPr>
        <w:t>2</w:t>
      </w:r>
      <w:r w:rsidRPr="00FF0CE4">
        <w:rPr>
          <w:szCs w:val="24"/>
        </w:rPr>
        <w:t xml:space="preserve"> of Group A45 provide </w:t>
      </w:r>
      <w:r w:rsidR="001977F6" w:rsidRPr="00FF0CE4">
        <w:rPr>
          <w:szCs w:val="24"/>
        </w:rPr>
        <w:t xml:space="preserve">telehealth </w:t>
      </w:r>
      <w:r w:rsidRPr="00FF0CE4">
        <w:rPr>
          <w:szCs w:val="24"/>
        </w:rPr>
        <w:t>GP and OMP services related to nicotine and smoking cessation counselling.</w:t>
      </w:r>
      <w:r w:rsidR="0051592E" w:rsidRPr="00FF0CE4">
        <w:rPr>
          <w:szCs w:val="24"/>
        </w:rPr>
        <w:t xml:space="preserve"> The meaning of a ‘telehealth attendance’ is defined in section 5 of the Determination.</w:t>
      </w:r>
    </w:p>
    <w:p w14:paraId="67E48843" w14:textId="77777777" w:rsidR="00703EBA" w:rsidRPr="00FF0CE4" w:rsidRDefault="00703EBA" w:rsidP="00C63FDC">
      <w:pPr>
        <w:pStyle w:val="Header"/>
        <w:tabs>
          <w:tab w:val="num" w:pos="1080"/>
        </w:tabs>
        <w:rPr>
          <w:szCs w:val="24"/>
        </w:rPr>
      </w:pPr>
    </w:p>
    <w:p w14:paraId="21DF9DDC" w14:textId="61FC279B" w:rsidR="00331752" w:rsidRPr="00FF0CE4" w:rsidRDefault="00703EBA" w:rsidP="00A16685">
      <w:pPr>
        <w:pStyle w:val="Header"/>
        <w:tabs>
          <w:tab w:val="num" w:pos="1080"/>
        </w:tabs>
        <w:rPr>
          <w:szCs w:val="24"/>
        </w:rPr>
      </w:pPr>
      <w:r w:rsidRPr="00FF0CE4">
        <w:rPr>
          <w:szCs w:val="24"/>
        </w:rPr>
        <w:t xml:space="preserve">Items in Subgroup </w:t>
      </w:r>
      <w:r w:rsidR="002312D4" w:rsidRPr="00FF0CE4">
        <w:rPr>
          <w:szCs w:val="24"/>
        </w:rPr>
        <w:t>3</w:t>
      </w:r>
      <w:r w:rsidRPr="00FF0CE4">
        <w:rPr>
          <w:szCs w:val="24"/>
        </w:rPr>
        <w:t xml:space="preserve"> of Group A45 provide </w:t>
      </w:r>
      <w:r w:rsidR="001977F6" w:rsidRPr="00FF0CE4">
        <w:rPr>
          <w:szCs w:val="24"/>
        </w:rPr>
        <w:t xml:space="preserve">phone </w:t>
      </w:r>
      <w:r w:rsidRPr="00FF0CE4">
        <w:rPr>
          <w:szCs w:val="24"/>
        </w:rPr>
        <w:t>GP and OMP services</w:t>
      </w:r>
      <w:r w:rsidR="001977F6" w:rsidRPr="00FF0CE4">
        <w:rPr>
          <w:szCs w:val="24"/>
        </w:rPr>
        <w:t xml:space="preserve"> </w:t>
      </w:r>
      <w:r w:rsidR="00082270" w:rsidRPr="00FF0CE4">
        <w:rPr>
          <w:szCs w:val="24"/>
        </w:rPr>
        <w:t>related to nicotine and smoking cessation</w:t>
      </w:r>
      <w:r w:rsidRPr="00FF0CE4">
        <w:rPr>
          <w:szCs w:val="24"/>
        </w:rPr>
        <w:t xml:space="preserve"> counselling</w:t>
      </w:r>
      <w:r w:rsidR="00082270" w:rsidRPr="00FF0CE4">
        <w:rPr>
          <w:szCs w:val="24"/>
        </w:rPr>
        <w:t>.</w:t>
      </w:r>
      <w:r w:rsidR="0051592E" w:rsidRPr="00FF0CE4">
        <w:rPr>
          <w:szCs w:val="24"/>
        </w:rPr>
        <w:t xml:space="preserve"> The meaning of a ‘phone attendance’ is defined in section 5 of the Determination.</w:t>
      </w:r>
      <w:r w:rsidR="00331752" w:rsidRPr="00FF0CE4">
        <w:rPr>
          <w:szCs w:val="24"/>
          <w:u w:val="single"/>
        </w:rPr>
        <w:br w:type="page"/>
      </w:r>
    </w:p>
    <w:p w14:paraId="2412D14E" w14:textId="632B4BE9" w:rsidR="00A17F2C" w:rsidRPr="00FF0CE4" w:rsidRDefault="00A17F2C" w:rsidP="008D136F">
      <w:pPr>
        <w:pStyle w:val="Header"/>
        <w:tabs>
          <w:tab w:val="num" w:pos="1080"/>
        </w:tabs>
        <w:jc w:val="center"/>
        <w:rPr>
          <w:b/>
          <w:sz w:val="28"/>
          <w:szCs w:val="28"/>
        </w:rPr>
      </w:pPr>
      <w:r w:rsidRPr="00FF0CE4">
        <w:rPr>
          <w:b/>
          <w:sz w:val="28"/>
          <w:szCs w:val="28"/>
        </w:rPr>
        <w:lastRenderedPageBreak/>
        <w:t>Statement of Compatibility with Human Rights</w:t>
      </w:r>
    </w:p>
    <w:p w14:paraId="2412D14F" w14:textId="77777777" w:rsidR="00A17F2C" w:rsidRPr="00FF0CE4" w:rsidRDefault="00A17F2C" w:rsidP="000337CB">
      <w:pPr>
        <w:spacing w:before="120" w:after="120"/>
        <w:jc w:val="center"/>
        <w:rPr>
          <w:szCs w:val="24"/>
        </w:rPr>
      </w:pPr>
      <w:r w:rsidRPr="00FF0CE4">
        <w:rPr>
          <w:i/>
          <w:szCs w:val="24"/>
        </w:rPr>
        <w:t>Prepared in accordance with Part 3 of the Human Rights (Parliamentary Scrutiny) Act 2011</w:t>
      </w:r>
    </w:p>
    <w:p w14:paraId="751DE726" w14:textId="77777777" w:rsidR="002A6C77" w:rsidRPr="00FF0CE4" w:rsidRDefault="002A6C77" w:rsidP="000337CB">
      <w:pPr>
        <w:tabs>
          <w:tab w:val="left" w:pos="1418"/>
        </w:tabs>
        <w:ind w:left="851"/>
        <w:jc w:val="center"/>
        <w:rPr>
          <w:b/>
          <w:i/>
          <w:iCs/>
        </w:rPr>
      </w:pPr>
    </w:p>
    <w:p w14:paraId="3A52A4B2" w14:textId="57204AFA" w:rsidR="00C6094D" w:rsidRPr="00FF0CE4" w:rsidRDefault="00CF5F3D" w:rsidP="007708B3">
      <w:pPr>
        <w:tabs>
          <w:tab w:val="left" w:pos="1418"/>
        </w:tabs>
        <w:jc w:val="center"/>
        <w:rPr>
          <w:i/>
          <w:color w:val="000000" w:themeColor="text1"/>
        </w:rPr>
      </w:pPr>
      <w:r w:rsidRPr="00FF0CE4">
        <w:rPr>
          <w:i/>
          <w:color w:val="000000" w:themeColor="text1"/>
        </w:rPr>
        <w:t>Health Insurance (Section 3C General Medical Services – Smoking Cessation Services) Determination 2021</w:t>
      </w:r>
    </w:p>
    <w:p w14:paraId="1BF56C38" w14:textId="77777777" w:rsidR="007708B3" w:rsidRPr="00FF0CE4" w:rsidRDefault="007708B3" w:rsidP="000337CB">
      <w:pPr>
        <w:tabs>
          <w:tab w:val="left" w:pos="1418"/>
        </w:tabs>
        <w:ind w:left="851"/>
        <w:jc w:val="center"/>
        <w:rPr>
          <w:b/>
          <w:i/>
          <w:szCs w:val="24"/>
        </w:rPr>
      </w:pPr>
    </w:p>
    <w:p w14:paraId="2412D153" w14:textId="7AFD921D" w:rsidR="00A17F2C" w:rsidRPr="00FF0CE4" w:rsidRDefault="00A17F2C" w:rsidP="000337CB">
      <w:pPr>
        <w:jc w:val="center"/>
        <w:rPr>
          <w:szCs w:val="24"/>
        </w:rPr>
      </w:pPr>
      <w:r w:rsidRPr="00FF0CE4">
        <w:rPr>
          <w:szCs w:val="24"/>
        </w:rPr>
        <w:t xml:space="preserve">This </w:t>
      </w:r>
      <w:r w:rsidR="0046022A" w:rsidRPr="00FF0CE4">
        <w:rPr>
          <w:szCs w:val="24"/>
        </w:rPr>
        <w:t>instrument</w:t>
      </w:r>
      <w:r w:rsidRPr="00FF0CE4">
        <w:rPr>
          <w:szCs w:val="24"/>
        </w:rPr>
        <w:t xml:space="preserve"> is compatible with the human rights and freedoms recognised or declared in the international instruments listed in section 3 of the </w:t>
      </w:r>
      <w:r w:rsidRPr="00FF0CE4">
        <w:rPr>
          <w:i/>
          <w:szCs w:val="24"/>
        </w:rPr>
        <w:t>Human Rights (Parliamentary Scrutiny) Act 2011</w:t>
      </w:r>
      <w:r w:rsidRPr="00FF0CE4">
        <w:rPr>
          <w:szCs w:val="24"/>
        </w:rPr>
        <w:t>.</w:t>
      </w:r>
    </w:p>
    <w:p w14:paraId="7EDA9098" w14:textId="306A78E1" w:rsidR="006E6BBF" w:rsidRPr="00FF0CE4" w:rsidRDefault="006E6BBF" w:rsidP="008734F5">
      <w:pPr>
        <w:spacing w:before="120" w:after="120"/>
        <w:rPr>
          <w:b/>
          <w:szCs w:val="24"/>
        </w:rPr>
      </w:pPr>
      <w:r w:rsidRPr="00FF0CE4">
        <w:rPr>
          <w:b/>
          <w:szCs w:val="24"/>
        </w:rPr>
        <w:t xml:space="preserve">Overview of the </w:t>
      </w:r>
      <w:r w:rsidR="00B86A9F" w:rsidRPr="00FF0CE4">
        <w:rPr>
          <w:b/>
          <w:szCs w:val="24"/>
        </w:rPr>
        <w:t>Determination</w:t>
      </w:r>
    </w:p>
    <w:p w14:paraId="3BF6757D" w14:textId="676F98AC" w:rsidR="00C0720F" w:rsidRPr="00C0720F" w:rsidRDefault="00C0720F" w:rsidP="00C0720F">
      <w:pPr>
        <w:spacing w:before="120" w:after="120"/>
        <w:ind w:right="-482"/>
        <w:rPr>
          <w:szCs w:val="24"/>
        </w:rPr>
      </w:pPr>
      <w:r w:rsidRPr="00C0720F">
        <w:rPr>
          <w:szCs w:val="24"/>
        </w:rPr>
        <w:t>On 21 December 2020, the Therapeutic Goods Administration (TGA) announced that from 1 October 2021 e-cigarettes containing nicotine must be supplied with a prescription from a doctor in specific circumstances, subject to State and Territory legislation.</w:t>
      </w:r>
    </w:p>
    <w:p w14:paraId="76548C2A" w14:textId="3F40E2BD" w:rsidR="00C0720F" w:rsidRPr="00C0720F" w:rsidRDefault="00C0720F" w:rsidP="00C0720F">
      <w:pPr>
        <w:spacing w:before="120" w:after="120"/>
        <w:ind w:right="-482"/>
        <w:rPr>
          <w:szCs w:val="24"/>
        </w:rPr>
      </w:pPr>
      <w:r w:rsidRPr="00C0720F">
        <w:rPr>
          <w:szCs w:val="24"/>
        </w:rPr>
        <w:t xml:space="preserve">To support the TGA’s regulatory changes, in the 2021-22 Budget the Government announced new temporary face-to-face, telehealth and phone items to provide patients with access to nicotine and smoking cessation counselling, and if clinically relevant, prescribe liquid nicotine as part of this cessation plan. The change was announced as part of the </w:t>
      </w:r>
      <w:r w:rsidRPr="00C0720F">
        <w:rPr>
          <w:i/>
          <w:szCs w:val="24"/>
        </w:rPr>
        <w:t xml:space="preserve">Guaranteeing Medicare – Strengthening Primary Health Care – MBS Telehealth </w:t>
      </w:r>
      <w:r w:rsidRPr="00C0720F">
        <w:rPr>
          <w:szCs w:val="24"/>
        </w:rPr>
        <w:t>measure.</w:t>
      </w:r>
    </w:p>
    <w:p w14:paraId="31515278" w14:textId="249224C4" w:rsidR="007708B3" w:rsidRPr="00FF0CE4" w:rsidRDefault="00C0720F" w:rsidP="00C0720F">
      <w:pPr>
        <w:spacing w:before="120" w:after="120"/>
        <w:ind w:right="-482"/>
        <w:rPr>
          <w:szCs w:val="24"/>
        </w:rPr>
      </w:pPr>
      <w:r w:rsidRPr="00C0720F">
        <w:rPr>
          <w:szCs w:val="24"/>
        </w:rPr>
        <w:t xml:space="preserve">The purpose of the </w:t>
      </w:r>
      <w:r w:rsidRPr="00C0720F">
        <w:rPr>
          <w:i/>
          <w:iCs/>
          <w:szCs w:val="24"/>
        </w:rPr>
        <w:t>Health Insurance (Section 3C General Medical Services – Smoking Cessation Services) Determination 2021</w:t>
      </w:r>
      <w:r w:rsidRPr="00C0720F">
        <w:rPr>
          <w:szCs w:val="24"/>
        </w:rPr>
        <w:t xml:space="preserve"> (the Determination) is to list 18 new temporary items for general practitioner (GP) and other medical practitioner (OMP) services related to nicotine and smoking cessation counselling. These new items include six face-to-face, six telehealth and six phone services. These items are temporary and will cease on 30 June 2022.</w:t>
      </w:r>
    </w:p>
    <w:p w14:paraId="2412D15C" w14:textId="50D38E8B" w:rsidR="00A17F2C" w:rsidRPr="00FF0CE4" w:rsidRDefault="00A17F2C" w:rsidP="002A6C77">
      <w:pPr>
        <w:ind w:right="-482"/>
        <w:rPr>
          <w:b/>
          <w:szCs w:val="24"/>
        </w:rPr>
      </w:pPr>
      <w:r w:rsidRPr="00FF0CE4">
        <w:rPr>
          <w:b/>
          <w:szCs w:val="24"/>
        </w:rPr>
        <w:t>Human rights implications</w:t>
      </w:r>
    </w:p>
    <w:p w14:paraId="449665F0" w14:textId="2ED3F54B" w:rsidR="00806020" w:rsidRPr="00FF0CE4" w:rsidRDefault="00806020" w:rsidP="00806020">
      <w:pPr>
        <w:spacing w:before="120" w:after="120"/>
        <w:rPr>
          <w:szCs w:val="24"/>
        </w:rPr>
      </w:pPr>
      <w:r w:rsidRPr="00FF0CE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F0CE4" w:rsidRDefault="00A17F2C" w:rsidP="00806020">
      <w:pPr>
        <w:spacing w:before="120" w:after="120"/>
        <w:rPr>
          <w:i/>
          <w:szCs w:val="24"/>
        </w:rPr>
      </w:pPr>
      <w:r w:rsidRPr="00FF0CE4">
        <w:rPr>
          <w:i/>
          <w:szCs w:val="24"/>
        </w:rPr>
        <w:t>The Right to Health</w:t>
      </w:r>
    </w:p>
    <w:p w14:paraId="2412D15F" w14:textId="77777777" w:rsidR="00A17F2C" w:rsidRPr="00FF0CE4" w:rsidRDefault="00A17F2C" w:rsidP="000337CB">
      <w:pPr>
        <w:spacing w:before="120" w:after="120"/>
        <w:rPr>
          <w:szCs w:val="24"/>
        </w:rPr>
      </w:pPr>
      <w:r w:rsidRPr="00FF0CE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FF0CE4" w:rsidRDefault="00A17F2C" w:rsidP="000337CB">
      <w:pPr>
        <w:spacing w:before="120" w:after="120"/>
        <w:rPr>
          <w:szCs w:val="24"/>
        </w:rPr>
      </w:pPr>
      <w:r w:rsidRPr="00FF0CE4">
        <w:rPr>
          <w:szCs w:val="24"/>
        </w:rPr>
        <w:t xml:space="preserve">The Committee reports that the </w:t>
      </w:r>
      <w:r w:rsidRPr="00FF0CE4">
        <w:rPr>
          <w:i/>
          <w:szCs w:val="24"/>
        </w:rPr>
        <w:t>‘highest attainable standard of health’</w:t>
      </w:r>
      <w:r w:rsidRPr="00FF0CE4">
        <w:rPr>
          <w:szCs w:val="24"/>
        </w:rPr>
        <w:t xml:space="preserve"> </w:t>
      </w:r>
      <w:proofErr w:type="gramStart"/>
      <w:r w:rsidRPr="00FF0CE4">
        <w:rPr>
          <w:szCs w:val="24"/>
        </w:rPr>
        <w:t>takes into account</w:t>
      </w:r>
      <w:proofErr w:type="gramEnd"/>
      <w:r w:rsidRPr="00FF0CE4">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F0CE4" w:rsidRDefault="00A17F2C" w:rsidP="000337CB">
      <w:pPr>
        <w:spacing w:before="120" w:after="120"/>
        <w:rPr>
          <w:i/>
          <w:szCs w:val="24"/>
        </w:rPr>
      </w:pPr>
      <w:r w:rsidRPr="00FF0CE4">
        <w:rPr>
          <w:i/>
          <w:szCs w:val="24"/>
        </w:rPr>
        <w:t xml:space="preserve">The Right to Social Security </w:t>
      </w:r>
    </w:p>
    <w:p w14:paraId="2412D162" w14:textId="77777777" w:rsidR="00A17F2C" w:rsidRPr="00FF0CE4" w:rsidRDefault="00A17F2C" w:rsidP="000337CB">
      <w:pPr>
        <w:spacing w:before="120" w:after="120"/>
        <w:rPr>
          <w:szCs w:val="24"/>
        </w:rPr>
      </w:pPr>
      <w:r w:rsidRPr="00FF0CE4">
        <w:rPr>
          <w:szCs w:val="24"/>
        </w:rPr>
        <w:t>The right to social security is contained in Article 9 of the ICESCR. It requires that a country must, within its maximum available resources, ensure access to a social security scheme that</w:t>
      </w:r>
      <w:r w:rsidR="00BA69CB" w:rsidRPr="00FF0CE4">
        <w:rPr>
          <w:szCs w:val="24"/>
        </w:rPr>
        <w:t xml:space="preserve"> </w:t>
      </w:r>
      <w:r w:rsidRPr="00FF0CE4">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F0CE4">
        <w:rPr>
          <w:szCs w:val="24"/>
        </w:rPr>
        <w:t>in an effort to</w:t>
      </w:r>
      <w:proofErr w:type="gramEnd"/>
      <w:r w:rsidRPr="00FF0CE4">
        <w:rPr>
          <w:szCs w:val="24"/>
        </w:rPr>
        <w:t xml:space="preserve"> satisfy, as a matter of priority, this minimum obligation.</w:t>
      </w:r>
    </w:p>
    <w:p w14:paraId="2412D163" w14:textId="20BF6381" w:rsidR="00735CCC" w:rsidRPr="00FF0CE4" w:rsidRDefault="00A17F2C" w:rsidP="000337CB">
      <w:pPr>
        <w:spacing w:before="120" w:after="120"/>
        <w:rPr>
          <w:szCs w:val="24"/>
        </w:rPr>
      </w:pPr>
      <w:r w:rsidRPr="00FF0CE4">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2C2F92A" w14:textId="77777777" w:rsidR="00A70F35" w:rsidRPr="00FF0CE4" w:rsidRDefault="00A70F35" w:rsidP="00A70F35">
      <w:pPr>
        <w:shd w:val="clear" w:color="auto" w:fill="FFFFFF"/>
        <w:spacing w:before="120" w:after="120"/>
        <w:rPr>
          <w:color w:val="000000"/>
          <w:szCs w:val="24"/>
        </w:rPr>
      </w:pPr>
      <w:r w:rsidRPr="00FF0CE4">
        <w:rPr>
          <w:i/>
          <w:iCs/>
          <w:color w:val="000000"/>
          <w:szCs w:val="24"/>
        </w:rPr>
        <w:t>The right of equality and non-discrimination</w:t>
      </w:r>
    </w:p>
    <w:p w14:paraId="69591331" w14:textId="1A2F2D27" w:rsidR="00A70F35" w:rsidRPr="00FF0CE4" w:rsidRDefault="00A70F35" w:rsidP="00A70F35">
      <w:pPr>
        <w:shd w:val="clear" w:color="auto" w:fill="FFFFFF"/>
        <w:spacing w:before="120" w:after="120"/>
        <w:rPr>
          <w:color w:val="000000"/>
          <w:szCs w:val="24"/>
        </w:rPr>
      </w:pPr>
      <w:r w:rsidRPr="00FF0CE4">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FF0CE4" w:rsidRDefault="00A17F2C" w:rsidP="000337CB">
      <w:pPr>
        <w:spacing w:before="120" w:after="120"/>
        <w:rPr>
          <w:szCs w:val="24"/>
          <w:u w:val="single"/>
        </w:rPr>
      </w:pPr>
      <w:r w:rsidRPr="00FF0CE4">
        <w:rPr>
          <w:szCs w:val="24"/>
          <w:u w:val="single"/>
        </w:rPr>
        <w:t xml:space="preserve">Analysis </w:t>
      </w:r>
    </w:p>
    <w:p w14:paraId="40AFB17B" w14:textId="546BE0F1" w:rsidR="007708B3" w:rsidRPr="00FF0CE4" w:rsidRDefault="00A70F35" w:rsidP="00302F5C">
      <w:pPr>
        <w:rPr>
          <w:szCs w:val="24"/>
        </w:rPr>
      </w:pPr>
      <w:r w:rsidRPr="00FF0CE4">
        <w:rPr>
          <w:szCs w:val="24"/>
        </w:rPr>
        <w:t>This instrument advances the rights health and social security and the right of equality and non-discrimination by providing patients greater access to services related to nicotine and smoking cessation counselling.</w:t>
      </w:r>
    </w:p>
    <w:p w14:paraId="2412D166" w14:textId="1973400E" w:rsidR="00A17F2C" w:rsidRPr="00FF0CE4" w:rsidRDefault="00A17F2C" w:rsidP="004B7CB9">
      <w:pPr>
        <w:spacing w:before="120" w:after="120" w:line="276" w:lineRule="auto"/>
        <w:rPr>
          <w:rFonts w:eastAsia="Calibri"/>
          <w:b/>
          <w:szCs w:val="24"/>
          <w:lang w:eastAsia="en-US"/>
        </w:rPr>
      </w:pPr>
      <w:r w:rsidRPr="00FF0CE4">
        <w:rPr>
          <w:rFonts w:eastAsia="Calibri"/>
          <w:b/>
          <w:szCs w:val="24"/>
          <w:lang w:eastAsia="en-US"/>
        </w:rPr>
        <w:t xml:space="preserve">Conclusion </w:t>
      </w:r>
    </w:p>
    <w:p w14:paraId="2412D167" w14:textId="0A6DC989" w:rsidR="00A17F2C" w:rsidRPr="00FF0CE4" w:rsidRDefault="006E6BBF" w:rsidP="000337CB">
      <w:pPr>
        <w:rPr>
          <w:color w:val="FF0000"/>
          <w:szCs w:val="24"/>
        </w:rPr>
      </w:pPr>
      <w:r w:rsidRPr="00FF0CE4">
        <w:rPr>
          <w:szCs w:val="24"/>
        </w:rPr>
        <w:t xml:space="preserve">This </w:t>
      </w:r>
      <w:r w:rsidR="0046022A" w:rsidRPr="00FF0CE4">
        <w:rPr>
          <w:szCs w:val="24"/>
        </w:rPr>
        <w:t>instrument</w:t>
      </w:r>
      <w:r w:rsidRPr="00FF0CE4">
        <w:rPr>
          <w:szCs w:val="24"/>
        </w:rPr>
        <w:t xml:space="preserve"> </w:t>
      </w:r>
      <w:r w:rsidR="00F15284" w:rsidRPr="00FF0CE4">
        <w:rPr>
          <w:szCs w:val="24"/>
        </w:rPr>
        <w:t xml:space="preserve">is compatible with human rights as it </w:t>
      </w:r>
      <w:r w:rsidR="00C0720F">
        <w:rPr>
          <w:szCs w:val="24"/>
        </w:rPr>
        <w:t>advance</w:t>
      </w:r>
      <w:r w:rsidR="007C7403" w:rsidRPr="00FF0CE4">
        <w:rPr>
          <w:szCs w:val="24"/>
        </w:rPr>
        <w:t xml:space="preserve">s the </w:t>
      </w:r>
      <w:r w:rsidR="00910EF6" w:rsidRPr="00FF0CE4">
        <w:rPr>
          <w:szCs w:val="24"/>
        </w:rPr>
        <w:t>right to health and the right to social security.</w:t>
      </w:r>
    </w:p>
    <w:p w14:paraId="2412D168" w14:textId="77777777" w:rsidR="00F15284" w:rsidRPr="00FF0CE4" w:rsidRDefault="00F15284" w:rsidP="000337CB">
      <w:pPr>
        <w:rPr>
          <w:rFonts w:eastAsia="Calibri"/>
          <w:szCs w:val="24"/>
          <w:lang w:eastAsia="en-US"/>
        </w:rPr>
      </w:pPr>
    </w:p>
    <w:p w14:paraId="75A46380" w14:textId="77777777" w:rsidR="00C67BC7" w:rsidRPr="00FF0CE4" w:rsidRDefault="00C67BC7" w:rsidP="000F2948">
      <w:pPr>
        <w:jc w:val="center"/>
        <w:rPr>
          <w:b/>
          <w:bCs/>
        </w:rPr>
      </w:pPr>
    </w:p>
    <w:p w14:paraId="1A4FB0F3" w14:textId="2B284D46" w:rsidR="001B6095" w:rsidRPr="00FF0CE4" w:rsidRDefault="00FB428F" w:rsidP="001B6095">
      <w:pPr>
        <w:shd w:val="clear" w:color="auto" w:fill="FFFFFF"/>
        <w:spacing w:line="240" w:lineRule="atLeast"/>
        <w:ind w:right="-23"/>
        <w:jc w:val="center"/>
        <w:rPr>
          <w:b/>
          <w:bCs/>
          <w:szCs w:val="22"/>
        </w:rPr>
      </w:pPr>
      <w:r>
        <w:rPr>
          <w:b/>
          <w:bCs/>
          <w:szCs w:val="22"/>
        </w:rPr>
        <w:t>Travis Haslam</w:t>
      </w:r>
    </w:p>
    <w:p w14:paraId="1817A584" w14:textId="5DF21A43" w:rsidR="001B6095" w:rsidRPr="00FF0CE4" w:rsidRDefault="004C66C4" w:rsidP="00517117">
      <w:pPr>
        <w:shd w:val="clear" w:color="auto" w:fill="FFFFFF"/>
        <w:spacing w:line="240" w:lineRule="atLeast"/>
        <w:ind w:right="-23"/>
        <w:jc w:val="center"/>
        <w:rPr>
          <w:b/>
          <w:bCs/>
          <w:szCs w:val="22"/>
        </w:rPr>
      </w:pPr>
      <w:r w:rsidRPr="00FF0CE4">
        <w:rPr>
          <w:b/>
          <w:bCs/>
          <w:szCs w:val="22"/>
        </w:rPr>
        <w:t>Assistant Secretary</w:t>
      </w:r>
      <w:bookmarkStart w:id="3" w:name="_Hlk77689751"/>
    </w:p>
    <w:p w14:paraId="5E356ED3" w14:textId="2342FD28" w:rsidR="001B6095" w:rsidRPr="00FF0CE4" w:rsidRDefault="00FB428F" w:rsidP="001B6095">
      <w:pPr>
        <w:shd w:val="clear" w:color="auto" w:fill="FFFFFF"/>
        <w:spacing w:line="240" w:lineRule="atLeast"/>
        <w:ind w:right="-23"/>
        <w:jc w:val="center"/>
        <w:rPr>
          <w:b/>
          <w:bCs/>
          <w:szCs w:val="22"/>
        </w:rPr>
      </w:pPr>
      <w:r>
        <w:rPr>
          <w:b/>
          <w:bCs/>
          <w:szCs w:val="22"/>
        </w:rPr>
        <w:t>MBS Policy and Specialist Services Branch</w:t>
      </w:r>
    </w:p>
    <w:p w14:paraId="42E9857F" w14:textId="6183B451" w:rsidR="001B6095" w:rsidRPr="00FF0CE4" w:rsidRDefault="004C66C4" w:rsidP="001B6095">
      <w:pPr>
        <w:shd w:val="clear" w:color="auto" w:fill="FFFFFF"/>
        <w:spacing w:line="240" w:lineRule="atLeast"/>
        <w:ind w:right="-23"/>
        <w:jc w:val="center"/>
        <w:rPr>
          <w:b/>
          <w:bCs/>
          <w:szCs w:val="22"/>
        </w:rPr>
      </w:pPr>
      <w:r w:rsidRPr="00FF0CE4">
        <w:rPr>
          <w:b/>
          <w:bCs/>
          <w:szCs w:val="22"/>
        </w:rPr>
        <w:t>Health Resourcing Group</w:t>
      </w:r>
    </w:p>
    <w:bookmarkEnd w:id="3"/>
    <w:p w14:paraId="2412D16E" w14:textId="1D75709D" w:rsidR="00636C51" w:rsidRPr="00FF0CE4" w:rsidRDefault="000F2948" w:rsidP="001B6095">
      <w:pPr>
        <w:jc w:val="center"/>
        <w:rPr>
          <w:rFonts w:eastAsia="Calibri"/>
          <w:b/>
          <w:bCs/>
          <w:szCs w:val="24"/>
          <w:lang w:eastAsia="en-US"/>
        </w:rPr>
      </w:pPr>
      <w:r w:rsidRPr="00FF0CE4">
        <w:rPr>
          <w:b/>
          <w:bCs/>
        </w:rPr>
        <w:t>Department of Health</w:t>
      </w:r>
    </w:p>
    <w:sectPr w:rsidR="00636C51" w:rsidRPr="00FF0CE4"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A66B53"/>
    <w:multiLevelType w:val="hybridMultilevel"/>
    <w:tmpl w:val="5510CC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
  </w:num>
  <w:num w:numId="4">
    <w:abstractNumId w:val="12"/>
  </w:num>
  <w:num w:numId="5">
    <w:abstractNumId w:val="18"/>
  </w:num>
  <w:num w:numId="6">
    <w:abstractNumId w:val="10"/>
  </w:num>
  <w:num w:numId="7">
    <w:abstractNumId w:val="29"/>
  </w:num>
  <w:num w:numId="8">
    <w:abstractNumId w:val="7"/>
  </w:num>
  <w:num w:numId="9">
    <w:abstractNumId w:val="6"/>
  </w:num>
  <w:num w:numId="10">
    <w:abstractNumId w:val="31"/>
  </w:num>
  <w:num w:numId="11">
    <w:abstractNumId w:val="28"/>
  </w:num>
  <w:num w:numId="12">
    <w:abstractNumId w:val="13"/>
  </w:num>
  <w:num w:numId="13">
    <w:abstractNumId w:val="15"/>
  </w:num>
  <w:num w:numId="14">
    <w:abstractNumId w:val="26"/>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440"/>
    <w:rsid w:val="00014639"/>
    <w:rsid w:val="00014737"/>
    <w:rsid w:val="00014B38"/>
    <w:rsid w:val="00014E40"/>
    <w:rsid w:val="00016774"/>
    <w:rsid w:val="000203B4"/>
    <w:rsid w:val="00021EFA"/>
    <w:rsid w:val="00023463"/>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270"/>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4B93"/>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0F74CA"/>
    <w:rsid w:val="001000CE"/>
    <w:rsid w:val="00104751"/>
    <w:rsid w:val="0010602C"/>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754"/>
    <w:rsid w:val="00145918"/>
    <w:rsid w:val="00145D25"/>
    <w:rsid w:val="00145DED"/>
    <w:rsid w:val="001519E4"/>
    <w:rsid w:val="00154FC4"/>
    <w:rsid w:val="001551FE"/>
    <w:rsid w:val="0015521F"/>
    <w:rsid w:val="001603DB"/>
    <w:rsid w:val="001641C0"/>
    <w:rsid w:val="00164A69"/>
    <w:rsid w:val="0016646C"/>
    <w:rsid w:val="00167DA1"/>
    <w:rsid w:val="0017054B"/>
    <w:rsid w:val="0017187F"/>
    <w:rsid w:val="00174E96"/>
    <w:rsid w:val="0017549E"/>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7F6"/>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19D"/>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2D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600"/>
    <w:rsid w:val="00257E4D"/>
    <w:rsid w:val="00262865"/>
    <w:rsid w:val="00263279"/>
    <w:rsid w:val="002643FC"/>
    <w:rsid w:val="00274073"/>
    <w:rsid w:val="0027545F"/>
    <w:rsid w:val="00275BFD"/>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9DA"/>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658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3F79C2"/>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28D7"/>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6C4"/>
    <w:rsid w:val="004C68D1"/>
    <w:rsid w:val="004C6AE7"/>
    <w:rsid w:val="004C72E8"/>
    <w:rsid w:val="004D04DF"/>
    <w:rsid w:val="004D1BF4"/>
    <w:rsid w:val="004D480B"/>
    <w:rsid w:val="004D7821"/>
    <w:rsid w:val="004E10C5"/>
    <w:rsid w:val="004E22A7"/>
    <w:rsid w:val="004E305F"/>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592E"/>
    <w:rsid w:val="0051709B"/>
    <w:rsid w:val="00517117"/>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761D"/>
    <w:rsid w:val="005B0EA3"/>
    <w:rsid w:val="005B1B0A"/>
    <w:rsid w:val="005B43EF"/>
    <w:rsid w:val="005B5062"/>
    <w:rsid w:val="005B6234"/>
    <w:rsid w:val="005B7596"/>
    <w:rsid w:val="005C4A91"/>
    <w:rsid w:val="005C5824"/>
    <w:rsid w:val="005C6118"/>
    <w:rsid w:val="005D3575"/>
    <w:rsid w:val="005D3CED"/>
    <w:rsid w:val="005D538F"/>
    <w:rsid w:val="005D5EF4"/>
    <w:rsid w:val="005D63D9"/>
    <w:rsid w:val="005D68D1"/>
    <w:rsid w:val="005E293A"/>
    <w:rsid w:val="005E44A6"/>
    <w:rsid w:val="005E49E7"/>
    <w:rsid w:val="005E56FE"/>
    <w:rsid w:val="005E62D6"/>
    <w:rsid w:val="005E6A82"/>
    <w:rsid w:val="005E7398"/>
    <w:rsid w:val="005F04DC"/>
    <w:rsid w:val="005F0F6C"/>
    <w:rsid w:val="005F1A7F"/>
    <w:rsid w:val="005F68E6"/>
    <w:rsid w:val="00601165"/>
    <w:rsid w:val="00607971"/>
    <w:rsid w:val="00611A4E"/>
    <w:rsid w:val="006122C0"/>
    <w:rsid w:val="0061281D"/>
    <w:rsid w:val="00613C46"/>
    <w:rsid w:val="00614085"/>
    <w:rsid w:val="00616889"/>
    <w:rsid w:val="00617F77"/>
    <w:rsid w:val="00623004"/>
    <w:rsid w:val="006237CC"/>
    <w:rsid w:val="00627C91"/>
    <w:rsid w:val="006308F0"/>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42EA"/>
    <w:rsid w:val="006C6821"/>
    <w:rsid w:val="006C7491"/>
    <w:rsid w:val="006C761B"/>
    <w:rsid w:val="006C76B5"/>
    <w:rsid w:val="006D03ED"/>
    <w:rsid w:val="006D2B37"/>
    <w:rsid w:val="006D3D81"/>
    <w:rsid w:val="006D46A1"/>
    <w:rsid w:val="006D4977"/>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3EBA"/>
    <w:rsid w:val="00704585"/>
    <w:rsid w:val="00704A1A"/>
    <w:rsid w:val="00705833"/>
    <w:rsid w:val="00705924"/>
    <w:rsid w:val="00707B77"/>
    <w:rsid w:val="00707CE9"/>
    <w:rsid w:val="00710055"/>
    <w:rsid w:val="007103BC"/>
    <w:rsid w:val="0071184F"/>
    <w:rsid w:val="00712189"/>
    <w:rsid w:val="00712DB1"/>
    <w:rsid w:val="007134A2"/>
    <w:rsid w:val="00713FB2"/>
    <w:rsid w:val="00717B45"/>
    <w:rsid w:val="007202C4"/>
    <w:rsid w:val="0072331C"/>
    <w:rsid w:val="00726CFA"/>
    <w:rsid w:val="0072758A"/>
    <w:rsid w:val="007304D5"/>
    <w:rsid w:val="00730965"/>
    <w:rsid w:val="00733599"/>
    <w:rsid w:val="00733F09"/>
    <w:rsid w:val="00735497"/>
    <w:rsid w:val="00735753"/>
    <w:rsid w:val="00735CCC"/>
    <w:rsid w:val="007368DC"/>
    <w:rsid w:val="00736AC9"/>
    <w:rsid w:val="00741A4E"/>
    <w:rsid w:val="00742E97"/>
    <w:rsid w:val="007452E0"/>
    <w:rsid w:val="00745BD4"/>
    <w:rsid w:val="00750378"/>
    <w:rsid w:val="007505FB"/>
    <w:rsid w:val="00751853"/>
    <w:rsid w:val="007524B0"/>
    <w:rsid w:val="00752997"/>
    <w:rsid w:val="007533EC"/>
    <w:rsid w:val="00756FEA"/>
    <w:rsid w:val="00757618"/>
    <w:rsid w:val="00762606"/>
    <w:rsid w:val="00762B45"/>
    <w:rsid w:val="0076544A"/>
    <w:rsid w:val="00767402"/>
    <w:rsid w:val="0077044D"/>
    <w:rsid w:val="007708B3"/>
    <w:rsid w:val="007710A8"/>
    <w:rsid w:val="007721B6"/>
    <w:rsid w:val="00773ACA"/>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D57E3"/>
    <w:rsid w:val="007D794D"/>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636B"/>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2172"/>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0826"/>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328D"/>
    <w:rsid w:val="00A14878"/>
    <w:rsid w:val="00A16685"/>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0F35"/>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5F8E"/>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0831"/>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110"/>
    <w:rsid w:val="00B86A9F"/>
    <w:rsid w:val="00B90E4C"/>
    <w:rsid w:val="00B910E8"/>
    <w:rsid w:val="00B93137"/>
    <w:rsid w:val="00B9328C"/>
    <w:rsid w:val="00B94CD8"/>
    <w:rsid w:val="00B95987"/>
    <w:rsid w:val="00B96F16"/>
    <w:rsid w:val="00B97A54"/>
    <w:rsid w:val="00BA0974"/>
    <w:rsid w:val="00BA1526"/>
    <w:rsid w:val="00BA3D73"/>
    <w:rsid w:val="00BA58AC"/>
    <w:rsid w:val="00BA67DC"/>
    <w:rsid w:val="00BA69CB"/>
    <w:rsid w:val="00BA7C49"/>
    <w:rsid w:val="00BB00BA"/>
    <w:rsid w:val="00BB112B"/>
    <w:rsid w:val="00BB14F5"/>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31B"/>
    <w:rsid w:val="00BE6870"/>
    <w:rsid w:val="00BE71FD"/>
    <w:rsid w:val="00BE7B19"/>
    <w:rsid w:val="00BF23A6"/>
    <w:rsid w:val="00BF3B3D"/>
    <w:rsid w:val="00BF564D"/>
    <w:rsid w:val="00BF591D"/>
    <w:rsid w:val="00BF5A87"/>
    <w:rsid w:val="00BF6341"/>
    <w:rsid w:val="00C0045E"/>
    <w:rsid w:val="00C00FC7"/>
    <w:rsid w:val="00C00FD8"/>
    <w:rsid w:val="00C05E84"/>
    <w:rsid w:val="00C0720F"/>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474"/>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5F3D"/>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27095"/>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3F34"/>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62C5"/>
    <w:rsid w:val="00D85008"/>
    <w:rsid w:val="00D87426"/>
    <w:rsid w:val="00D8754D"/>
    <w:rsid w:val="00D92717"/>
    <w:rsid w:val="00D93E05"/>
    <w:rsid w:val="00D9515D"/>
    <w:rsid w:val="00DA1CCA"/>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33A"/>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3C2C"/>
    <w:rsid w:val="00E640E0"/>
    <w:rsid w:val="00E645F6"/>
    <w:rsid w:val="00E64C5F"/>
    <w:rsid w:val="00E664F4"/>
    <w:rsid w:val="00E70355"/>
    <w:rsid w:val="00E72855"/>
    <w:rsid w:val="00E72E5D"/>
    <w:rsid w:val="00E7377F"/>
    <w:rsid w:val="00E74710"/>
    <w:rsid w:val="00E74C1D"/>
    <w:rsid w:val="00E74F10"/>
    <w:rsid w:val="00E752B6"/>
    <w:rsid w:val="00E75ACC"/>
    <w:rsid w:val="00E81B2F"/>
    <w:rsid w:val="00E844ED"/>
    <w:rsid w:val="00E85810"/>
    <w:rsid w:val="00E85B0A"/>
    <w:rsid w:val="00E90558"/>
    <w:rsid w:val="00E909CD"/>
    <w:rsid w:val="00E92248"/>
    <w:rsid w:val="00E92BD1"/>
    <w:rsid w:val="00E935A1"/>
    <w:rsid w:val="00E93FB6"/>
    <w:rsid w:val="00E94BB6"/>
    <w:rsid w:val="00E97EAF"/>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05D9"/>
    <w:rsid w:val="00FA2611"/>
    <w:rsid w:val="00FA29C9"/>
    <w:rsid w:val="00FA2D81"/>
    <w:rsid w:val="00FA3F17"/>
    <w:rsid w:val="00FA49C5"/>
    <w:rsid w:val="00FA5BD2"/>
    <w:rsid w:val="00FA6175"/>
    <w:rsid w:val="00FA6784"/>
    <w:rsid w:val="00FA7E00"/>
    <w:rsid w:val="00FB1780"/>
    <w:rsid w:val="00FB198A"/>
    <w:rsid w:val="00FB35C6"/>
    <w:rsid w:val="00FB428F"/>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0CE4"/>
    <w:rsid w:val="00FF26F6"/>
    <w:rsid w:val="00FF35E2"/>
    <w:rsid w:val="00FF35F5"/>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0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476888">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JOHNSTON, Chris</cp:lastModifiedBy>
  <cp:revision>2</cp:revision>
  <cp:lastPrinted>2019-09-23T06:46:00Z</cp:lastPrinted>
  <dcterms:created xsi:type="dcterms:W3CDTF">2021-07-21T05:40:00Z</dcterms:created>
  <dcterms:modified xsi:type="dcterms:W3CDTF">2021-07-21T05:40:00Z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