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1C3" w:rsidRPr="000611C3" w:rsidRDefault="000611C3" w:rsidP="000611C3">
      <w:pPr>
        <w:spacing w:after="200" w:line="276" w:lineRule="auto"/>
        <w:jc w:val="center"/>
        <w:rPr>
          <w:rFonts w:ascii="Times New Roman" w:eastAsia="Calibri" w:hAnsi="Times New Roman" w:cs="Times New Roman"/>
          <w:b/>
          <w:sz w:val="24"/>
          <w:szCs w:val="24"/>
          <w:u w:val="single"/>
        </w:rPr>
      </w:pPr>
      <w:r w:rsidRPr="000611C3">
        <w:rPr>
          <w:rFonts w:ascii="Times New Roman" w:eastAsia="Calibri" w:hAnsi="Times New Roman" w:cs="Times New Roman"/>
          <w:b/>
          <w:sz w:val="24"/>
          <w:szCs w:val="24"/>
          <w:u w:val="single"/>
        </w:rPr>
        <w:t>EXPLANATORY STATEMENT</w:t>
      </w:r>
    </w:p>
    <w:p w:rsidR="000611C3" w:rsidRPr="000611C3" w:rsidRDefault="000611C3" w:rsidP="000611C3">
      <w:pPr>
        <w:spacing w:before="240" w:after="240" w:line="276" w:lineRule="auto"/>
        <w:jc w:val="center"/>
        <w:rPr>
          <w:rFonts w:ascii="Times New Roman" w:eastAsia="Calibri" w:hAnsi="Times New Roman" w:cs="Times New Roman"/>
          <w:sz w:val="24"/>
          <w:szCs w:val="24"/>
          <w:u w:val="single"/>
        </w:rPr>
      </w:pPr>
      <w:r w:rsidRPr="000611C3">
        <w:rPr>
          <w:rFonts w:ascii="Times New Roman" w:eastAsia="Calibri" w:hAnsi="Times New Roman" w:cs="Times New Roman"/>
          <w:sz w:val="24"/>
          <w:szCs w:val="24"/>
          <w:u w:val="single"/>
        </w:rPr>
        <w:t>Issued by the authority of the Minister for Energy and Emissions Reduction</w:t>
      </w:r>
    </w:p>
    <w:p w:rsidR="000611C3" w:rsidRPr="00DF3626" w:rsidRDefault="000611C3" w:rsidP="000611C3">
      <w:pPr>
        <w:spacing w:before="240" w:after="240" w:line="276" w:lineRule="auto"/>
        <w:jc w:val="center"/>
        <w:rPr>
          <w:rFonts w:ascii="Times New Roman" w:eastAsia="Calibri" w:hAnsi="Times New Roman" w:cs="Times New Roman"/>
          <w:i/>
          <w:sz w:val="24"/>
          <w:szCs w:val="24"/>
        </w:rPr>
      </w:pPr>
      <w:r w:rsidRPr="00DF3626">
        <w:rPr>
          <w:rFonts w:ascii="Times New Roman" w:eastAsia="Calibri" w:hAnsi="Times New Roman" w:cs="Times New Roman"/>
          <w:i/>
          <w:sz w:val="24"/>
          <w:szCs w:val="24"/>
        </w:rPr>
        <w:t>Petroleum and Other Fuels Reporting Act 2017</w:t>
      </w:r>
    </w:p>
    <w:p w:rsidR="000611C3" w:rsidRPr="00DF3626" w:rsidRDefault="000611C3" w:rsidP="000611C3">
      <w:pPr>
        <w:spacing w:before="240" w:after="240" w:line="276" w:lineRule="auto"/>
        <w:jc w:val="center"/>
        <w:rPr>
          <w:rFonts w:ascii="Times New Roman" w:eastAsia="Calibri" w:hAnsi="Times New Roman" w:cs="Times New Roman"/>
          <w:i/>
          <w:sz w:val="24"/>
          <w:szCs w:val="24"/>
        </w:rPr>
      </w:pPr>
      <w:r w:rsidRPr="00DF3626">
        <w:rPr>
          <w:rFonts w:ascii="Times New Roman" w:eastAsia="Calibri" w:hAnsi="Times New Roman" w:cs="Times New Roman"/>
          <w:i/>
          <w:sz w:val="24"/>
          <w:szCs w:val="24"/>
        </w:rPr>
        <w:t>Petroleum and Other Fuels Reporting Amendment (Fuel Security Services Payment) Rule 2021</w:t>
      </w:r>
    </w:p>
    <w:p w:rsidR="000611C3" w:rsidRPr="000611C3" w:rsidRDefault="000611C3" w:rsidP="000611C3">
      <w:pPr>
        <w:spacing w:before="240" w:after="240" w:line="276" w:lineRule="auto"/>
        <w:rPr>
          <w:rFonts w:ascii="Times New Roman" w:eastAsia="Calibri" w:hAnsi="Times New Roman" w:cs="Times New Roman"/>
          <w:b/>
          <w:sz w:val="24"/>
          <w:szCs w:val="24"/>
          <w:u w:val="single"/>
        </w:rPr>
      </w:pPr>
      <w:r w:rsidRPr="000611C3">
        <w:rPr>
          <w:rFonts w:ascii="Times New Roman" w:eastAsia="Calibri" w:hAnsi="Times New Roman" w:cs="Times New Roman"/>
          <w:b/>
          <w:sz w:val="24"/>
          <w:szCs w:val="24"/>
          <w:u w:val="single"/>
        </w:rPr>
        <w:t>Purpose and Operation</w:t>
      </w:r>
    </w:p>
    <w:p w:rsidR="00366DEE" w:rsidRDefault="000611C3" w:rsidP="000611C3">
      <w:pPr>
        <w:spacing w:before="120" w:after="120" w:line="276" w:lineRule="auto"/>
        <w:rPr>
          <w:rFonts w:ascii="Times New Roman" w:eastAsia="Calibri" w:hAnsi="Times New Roman" w:cs="Times New Roman"/>
          <w:sz w:val="24"/>
          <w:szCs w:val="24"/>
        </w:rPr>
      </w:pPr>
      <w:r w:rsidRPr="000611C3">
        <w:rPr>
          <w:rFonts w:ascii="Times New Roman" w:eastAsia="Calibri" w:hAnsi="Times New Roman" w:cs="Times New Roman"/>
          <w:sz w:val="24"/>
          <w:szCs w:val="24"/>
        </w:rPr>
        <w:t xml:space="preserve">The </w:t>
      </w:r>
      <w:r>
        <w:rPr>
          <w:rFonts w:ascii="Times New Roman" w:eastAsia="Calibri" w:hAnsi="Times New Roman" w:cs="Times New Roman"/>
          <w:i/>
          <w:sz w:val="24"/>
          <w:szCs w:val="24"/>
        </w:rPr>
        <w:t>Petroleum and Other Fuels Reporting Amendment (Fuel Security Services Payment)</w:t>
      </w:r>
      <w:r w:rsidRPr="000611C3">
        <w:rPr>
          <w:rFonts w:ascii="Times New Roman" w:eastAsia="Calibri" w:hAnsi="Times New Roman" w:cs="Times New Roman"/>
          <w:i/>
          <w:sz w:val="24"/>
          <w:szCs w:val="24"/>
        </w:rPr>
        <w:t xml:space="preserve"> Rule 2021</w:t>
      </w:r>
      <w:r w:rsidRPr="000611C3">
        <w:rPr>
          <w:rFonts w:ascii="Times New Roman" w:eastAsia="Calibri" w:hAnsi="Times New Roman" w:cs="Times New Roman"/>
          <w:sz w:val="24"/>
          <w:szCs w:val="24"/>
        </w:rPr>
        <w:t xml:space="preserve"> (the Rule) </w:t>
      </w:r>
      <w:r w:rsidR="0037380B">
        <w:rPr>
          <w:rFonts w:ascii="Times New Roman" w:eastAsia="Calibri" w:hAnsi="Times New Roman" w:cs="Times New Roman"/>
          <w:sz w:val="24"/>
          <w:szCs w:val="24"/>
        </w:rPr>
        <w:t xml:space="preserve">amends the </w:t>
      </w:r>
      <w:r w:rsidR="0037380B" w:rsidRPr="0037380B">
        <w:rPr>
          <w:rFonts w:ascii="Times New Roman" w:eastAsia="Calibri" w:hAnsi="Times New Roman" w:cs="Times New Roman"/>
          <w:i/>
          <w:sz w:val="24"/>
          <w:szCs w:val="24"/>
        </w:rPr>
        <w:t>Petroleum and Other Fuels Reporting Rules 2017</w:t>
      </w:r>
      <w:r w:rsidR="0037380B">
        <w:rPr>
          <w:rFonts w:ascii="Times New Roman" w:eastAsia="Calibri" w:hAnsi="Times New Roman" w:cs="Times New Roman"/>
          <w:sz w:val="24"/>
          <w:szCs w:val="24"/>
        </w:rPr>
        <w:t xml:space="preserve"> (the principal POFR Rules) by prescribing</w:t>
      </w:r>
      <w:r w:rsidRPr="0037380B">
        <w:rPr>
          <w:rFonts w:ascii="Times New Roman" w:eastAsia="Calibri" w:hAnsi="Times New Roman" w:cs="Times New Roman"/>
          <w:sz w:val="24"/>
          <w:szCs w:val="24"/>
        </w:rPr>
        <w:t xml:space="preserve"> various matters for the purposes of the fuel security services payment </w:t>
      </w:r>
      <w:r w:rsidR="0037380B" w:rsidRPr="0037380B">
        <w:rPr>
          <w:rFonts w:ascii="Times New Roman" w:eastAsia="Calibri" w:hAnsi="Times New Roman" w:cs="Times New Roman"/>
          <w:sz w:val="24"/>
          <w:szCs w:val="24"/>
        </w:rPr>
        <w:t xml:space="preserve">(the FSSP) </w:t>
      </w:r>
      <w:r w:rsidR="00DD1E68">
        <w:rPr>
          <w:rFonts w:ascii="Times New Roman" w:eastAsia="Calibri" w:hAnsi="Times New Roman" w:cs="Times New Roman"/>
          <w:sz w:val="24"/>
          <w:szCs w:val="24"/>
        </w:rPr>
        <w:t xml:space="preserve">reporting </w:t>
      </w:r>
      <w:r w:rsidRPr="0037380B">
        <w:rPr>
          <w:rFonts w:ascii="Times New Roman" w:eastAsia="Calibri" w:hAnsi="Times New Roman" w:cs="Times New Roman"/>
          <w:sz w:val="24"/>
          <w:szCs w:val="24"/>
        </w:rPr>
        <w:t xml:space="preserve">aspects of the </w:t>
      </w:r>
      <w:r w:rsidRPr="0037380B">
        <w:rPr>
          <w:rFonts w:ascii="Times New Roman" w:eastAsia="Calibri" w:hAnsi="Times New Roman" w:cs="Times New Roman"/>
          <w:i/>
          <w:sz w:val="24"/>
          <w:szCs w:val="24"/>
        </w:rPr>
        <w:t>Petroleum</w:t>
      </w:r>
      <w:r w:rsidRPr="000611C3">
        <w:rPr>
          <w:rFonts w:ascii="Times New Roman" w:eastAsia="Calibri" w:hAnsi="Times New Roman" w:cs="Times New Roman"/>
          <w:i/>
          <w:sz w:val="24"/>
          <w:szCs w:val="24"/>
        </w:rPr>
        <w:t xml:space="preserve"> and Other Fuels Reporting Act 2017</w:t>
      </w:r>
      <w:r w:rsidRPr="000611C3">
        <w:rPr>
          <w:rFonts w:ascii="Times New Roman" w:eastAsia="Calibri" w:hAnsi="Times New Roman" w:cs="Times New Roman"/>
          <w:sz w:val="24"/>
          <w:szCs w:val="24"/>
        </w:rPr>
        <w:t xml:space="preserve"> (</w:t>
      </w:r>
      <w:r w:rsidR="00366DEE">
        <w:rPr>
          <w:rFonts w:ascii="Times New Roman" w:eastAsia="Calibri" w:hAnsi="Times New Roman" w:cs="Times New Roman"/>
          <w:sz w:val="24"/>
          <w:szCs w:val="24"/>
        </w:rPr>
        <w:t xml:space="preserve">POFR </w:t>
      </w:r>
      <w:r w:rsidRPr="000611C3">
        <w:rPr>
          <w:rFonts w:ascii="Times New Roman" w:eastAsia="Calibri" w:hAnsi="Times New Roman" w:cs="Times New Roman"/>
          <w:sz w:val="24"/>
          <w:szCs w:val="24"/>
        </w:rPr>
        <w:t>Act)</w:t>
      </w:r>
      <w:r w:rsidR="006152D8">
        <w:rPr>
          <w:rFonts w:ascii="Times New Roman" w:eastAsia="Calibri" w:hAnsi="Times New Roman" w:cs="Times New Roman"/>
          <w:sz w:val="24"/>
          <w:szCs w:val="24"/>
        </w:rPr>
        <w:t xml:space="preserve"> </w:t>
      </w:r>
      <w:r w:rsidR="002317BA">
        <w:rPr>
          <w:rFonts w:ascii="Times New Roman" w:eastAsia="Calibri" w:hAnsi="Times New Roman" w:cs="Times New Roman"/>
          <w:sz w:val="24"/>
          <w:szCs w:val="24"/>
        </w:rPr>
        <w:t xml:space="preserve">(as </w:t>
      </w:r>
      <w:r w:rsidR="00FB168A">
        <w:rPr>
          <w:rFonts w:ascii="Times New Roman" w:eastAsia="Calibri" w:hAnsi="Times New Roman" w:cs="Times New Roman"/>
          <w:sz w:val="24"/>
          <w:szCs w:val="24"/>
        </w:rPr>
        <w:t>amended</w:t>
      </w:r>
      <w:r w:rsidR="006152D8">
        <w:rPr>
          <w:rFonts w:ascii="Times New Roman" w:eastAsia="Calibri" w:hAnsi="Times New Roman" w:cs="Times New Roman"/>
          <w:sz w:val="24"/>
          <w:szCs w:val="24"/>
        </w:rPr>
        <w:t xml:space="preserve"> by the </w:t>
      </w:r>
      <w:r w:rsidR="006152D8" w:rsidRPr="006152D8">
        <w:rPr>
          <w:rFonts w:ascii="Times New Roman" w:eastAsia="Calibri" w:hAnsi="Times New Roman" w:cs="Times New Roman"/>
          <w:i/>
          <w:sz w:val="24"/>
          <w:szCs w:val="24"/>
        </w:rPr>
        <w:t>Fuel Security (Consequential and Transitional Provisions) Act 2021</w:t>
      </w:r>
      <w:r w:rsidR="002317BA">
        <w:rPr>
          <w:rFonts w:ascii="Times New Roman" w:eastAsia="Calibri" w:hAnsi="Times New Roman" w:cs="Times New Roman"/>
          <w:sz w:val="24"/>
          <w:szCs w:val="24"/>
        </w:rPr>
        <w:t>).</w:t>
      </w:r>
    </w:p>
    <w:p w:rsidR="000611C3" w:rsidRPr="000611C3" w:rsidRDefault="002317BA" w:rsidP="000611C3">
      <w:pPr>
        <w:spacing w:before="120" w:after="120" w:line="276" w:lineRule="auto"/>
        <w:rPr>
          <w:rFonts w:ascii="Times New Roman" w:eastAsia="Calibri" w:hAnsi="Times New Roman" w:cs="Times New Roman"/>
          <w:sz w:val="24"/>
          <w:szCs w:val="24"/>
        </w:rPr>
      </w:pPr>
      <w:r>
        <w:rPr>
          <w:rFonts w:ascii="Times New Roman" w:eastAsia="Calibri" w:hAnsi="Times New Roman" w:cs="Times New Roman"/>
          <w:sz w:val="24"/>
          <w:szCs w:val="24"/>
        </w:rPr>
        <w:t>In particular, the</w:t>
      </w:r>
      <w:r w:rsidR="000611C3" w:rsidRPr="000611C3">
        <w:rPr>
          <w:rFonts w:ascii="Times New Roman" w:eastAsia="Calibri" w:hAnsi="Times New Roman" w:cs="Times New Roman"/>
          <w:sz w:val="24"/>
          <w:szCs w:val="24"/>
        </w:rPr>
        <w:t xml:space="preserve"> Rule </w:t>
      </w:r>
      <w:r w:rsidR="00366DEE">
        <w:rPr>
          <w:rFonts w:ascii="Times New Roman" w:eastAsia="Calibri" w:hAnsi="Times New Roman" w:cs="Times New Roman"/>
          <w:sz w:val="24"/>
          <w:szCs w:val="24"/>
        </w:rPr>
        <w:t>amends the principal POFR Rules by</w:t>
      </w:r>
      <w:r w:rsidR="0037380B">
        <w:rPr>
          <w:rFonts w:ascii="Times New Roman" w:eastAsia="Calibri" w:hAnsi="Times New Roman" w:cs="Times New Roman"/>
          <w:sz w:val="24"/>
          <w:szCs w:val="24"/>
        </w:rPr>
        <w:t xml:space="preserve"> inserting</w:t>
      </w:r>
      <w:r w:rsidR="000611C3" w:rsidRPr="000611C3">
        <w:rPr>
          <w:rFonts w:ascii="Times New Roman" w:eastAsia="Calibri" w:hAnsi="Times New Roman" w:cs="Times New Roman"/>
          <w:sz w:val="24"/>
          <w:szCs w:val="24"/>
        </w:rPr>
        <w:t>:</w:t>
      </w:r>
    </w:p>
    <w:p w:rsidR="000611C3" w:rsidRPr="0037380B" w:rsidRDefault="0037380B" w:rsidP="0037380B">
      <w:pPr>
        <w:numPr>
          <w:ilvl w:val="0"/>
          <w:numId w:val="4"/>
        </w:numPr>
        <w:spacing w:before="120" w:after="12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new </w:t>
      </w:r>
      <w:r w:rsidR="00366DEE" w:rsidRPr="0037380B">
        <w:rPr>
          <w:rFonts w:ascii="Times New Roman" w:eastAsia="Calibri" w:hAnsi="Times New Roman" w:cs="Times New Roman"/>
          <w:sz w:val="24"/>
          <w:szCs w:val="24"/>
        </w:rPr>
        <w:t xml:space="preserve">definitions of </w:t>
      </w:r>
      <w:r w:rsidR="009F7B1D">
        <w:rPr>
          <w:rFonts w:ascii="Times New Roman" w:eastAsia="Calibri" w:hAnsi="Times New Roman" w:cs="Times New Roman"/>
          <w:sz w:val="24"/>
          <w:szCs w:val="24"/>
        </w:rPr>
        <w:t xml:space="preserve">several </w:t>
      </w:r>
      <w:r w:rsidR="00366DEE" w:rsidRPr="0037380B">
        <w:rPr>
          <w:rFonts w:ascii="Times New Roman" w:eastAsia="Calibri" w:hAnsi="Times New Roman" w:cs="Times New Roman"/>
          <w:sz w:val="24"/>
          <w:szCs w:val="24"/>
        </w:rPr>
        <w:t xml:space="preserve">terms </w:t>
      </w:r>
      <w:r w:rsidRPr="0037380B">
        <w:rPr>
          <w:rFonts w:ascii="Times New Roman" w:eastAsia="Calibri" w:hAnsi="Times New Roman" w:cs="Times New Roman"/>
          <w:sz w:val="24"/>
          <w:szCs w:val="24"/>
        </w:rPr>
        <w:t xml:space="preserve">to ensure </w:t>
      </w:r>
      <w:r w:rsidR="009F7B1D">
        <w:rPr>
          <w:rFonts w:ascii="Times New Roman" w:eastAsia="Calibri" w:hAnsi="Times New Roman" w:cs="Times New Roman"/>
          <w:sz w:val="24"/>
          <w:szCs w:val="24"/>
        </w:rPr>
        <w:t xml:space="preserve">key </w:t>
      </w:r>
      <w:r w:rsidRPr="0037380B">
        <w:rPr>
          <w:rFonts w:ascii="Times New Roman" w:eastAsia="Calibri" w:hAnsi="Times New Roman" w:cs="Times New Roman"/>
          <w:sz w:val="24"/>
          <w:szCs w:val="24"/>
        </w:rPr>
        <w:t>terminology is defined consistently across the</w:t>
      </w:r>
      <w:r>
        <w:rPr>
          <w:rFonts w:ascii="Times New Roman" w:eastAsia="Calibri" w:hAnsi="Times New Roman" w:cs="Times New Roman"/>
          <w:sz w:val="24"/>
          <w:szCs w:val="24"/>
        </w:rPr>
        <w:t xml:space="preserve"> new </w:t>
      </w:r>
      <w:r w:rsidR="0005660A">
        <w:rPr>
          <w:rFonts w:ascii="Times New Roman" w:eastAsia="Calibri" w:hAnsi="Times New Roman" w:cs="Times New Roman"/>
          <w:sz w:val="24"/>
          <w:szCs w:val="24"/>
        </w:rPr>
        <w:t>laws establishing</w:t>
      </w:r>
      <w:r w:rsidRPr="0037380B">
        <w:rPr>
          <w:rFonts w:ascii="Times New Roman" w:eastAsia="Calibri" w:hAnsi="Times New Roman" w:cs="Times New Roman"/>
          <w:sz w:val="24"/>
          <w:szCs w:val="24"/>
        </w:rPr>
        <w:t xml:space="preserve"> the FSSP scheme, including under the </w:t>
      </w:r>
      <w:r w:rsidRPr="0037380B">
        <w:rPr>
          <w:rFonts w:ascii="Times New Roman" w:eastAsia="Calibri" w:hAnsi="Times New Roman" w:cs="Times New Roman"/>
          <w:i/>
          <w:sz w:val="24"/>
          <w:szCs w:val="24"/>
        </w:rPr>
        <w:t xml:space="preserve">Fuel Security Act 2021 </w:t>
      </w:r>
      <w:r w:rsidRPr="0037380B">
        <w:rPr>
          <w:rFonts w:ascii="Times New Roman" w:eastAsia="Calibri" w:hAnsi="Times New Roman" w:cs="Times New Roman"/>
          <w:sz w:val="24"/>
          <w:szCs w:val="24"/>
        </w:rPr>
        <w:t xml:space="preserve">(FS Act), the </w:t>
      </w:r>
      <w:r w:rsidRPr="0037380B">
        <w:rPr>
          <w:rFonts w:ascii="Times New Roman" w:eastAsia="Calibri" w:hAnsi="Times New Roman" w:cs="Times New Roman"/>
          <w:i/>
          <w:sz w:val="24"/>
          <w:szCs w:val="24"/>
        </w:rPr>
        <w:t>Fuel Security (Fuel Security Services Payment) Rule 2021</w:t>
      </w:r>
      <w:r w:rsidRPr="0037380B">
        <w:rPr>
          <w:rFonts w:ascii="Times New Roman" w:eastAsia="Calibri" w:hAnsi="Times New Roman" w:cs="Times New Roman"/>
          <w:sz w:val="24"/>
          <w:szCs w:val="24"/>
        </w:rPr>
        <w:t xml:space="preserve"> (FSSP Rule) and the principal POFR Rules</w:t>
      </w:r>
      <w:r w:rsidR="00366DEE" w:rsidRPr="0037380B">
        <w:rPr>
          <w:rFonts w:ascii="Times New Roman" w:eastAsia="Calibri" w:hAnsi="Times New Roman" w:cs="Times New Roman"/>
          <w:sz w:val="24"/>
          <w:szCs w:val="24"/>
        </w:rPr>
        <w:t>, where</w:t>
      </w:r>
      <w:r w:rsidR="002317BA">
        <w:rPr>
          <w:rFonts w:ascii="Times New Roman" w:eastAsia="Calibri" w:hAnsi="Times New Roman" w:cs="Times New Roman"/>
          <w:sz w:val="24"/>
          <w:szCs w:val="24"/>
        </w:rPr>
        <w:t>ver</w:t>
      </w:r>
      <w:r w:rsidR="00366DEE" w:rsidRPr="0037380B">
        <w:rPr>
          <w:rFonts w:ascii="Times New Roman" w:eastAsia="Calibri" w:hAnsi="Times New Roman" w:cs="Times New Roman"/>
          <w:sz w:val="24"/>
          <w:szCs w:val="24"/>
        </w:rPr>
        <w:t xml:space="preserve"> appropriate;</w:t>
      </w:r>
    </w:p>
    <w:p w:rsidR="0037380B" w:rsidRPr="0037380B" w:rsidRDefault="0037380B" w:rsidP="0037380B">
      <w:pPr>
        <w:numPr>
          <w:ilvl w:val="0"/>
          <w:numId w:val="4"/>
        </w:numPr>
        <w:spacing w:before="120" w:after="120" w:line="276" w:lineRule="auto"/>
        <w:contextualSpacing/>
        <w:rPr>
          <w:rFonts w:ascii="Times New Roman" w:eastAsia="Calibri" w:hAnsi="Times New Roman" w:cs="Times New Roman"/>
          <w:sz w:val="24"/>
          <w:szCs w:val="24"/>
        </w:rPr>
      </w:pPr>
      <w:r w:rsidRPr="0037380B">
        <w:rPr>
          <w:rFonts w:ascii="Times New Roman" w:eastAsia="Calibri" w:hAnsi="Times New Roman" w:cs="Times New Roman"/>
          <w:sz w:val="24"/>
          <w:szCs w:val="24"/>
        </w:rPr>
        <w:t>new reporting provisions to</w:t>
      </w:r>
      <w:r>
        <w:rPr>
          <w:rFonts w:ascii="Times New Roman" w:eastAsia="Calibri" w:hAnsi="Times New Roman" w:cs="Times New Roman"/>
          <w:sz w:val="24"/>
          <w:szCs w:val="24"/>
        </w:rPr>
        <w:t xml:space="preserve"> require refinery operators </w:t>
      </w:r>
      <w:r w:rsidR="002317BA">
        <w:rPr>
          <w:rFonts w:ascii="Times New Roman" w:eastAsia="Calibri" w:hAnsi="Times New Roman" w:cs="Times New Roman"/>
          <w:sz w:val="24"/>
          <w:szCs w:val="24"/>
        </w:rPr>
        <w:t xml:space="preserve">to report </w:t>
      </w:r>
      <w:r>
        <w:rPr>
          <w:rFonts w:ascii="Times New Roman" w:eastAsia="Calibri" w:hAnsi="Times New Roman" w:cs="Times New Roman"/>
          <w:sz w:val="24"/>
          <w:szCs w:val="24"/>
        </w:rPr>
        <w:t>information</w:t>
      </w:r>
      <w:r w:rsidRPr="0037380B">
        <w:rPr>
          <w:rFonts w:ascii="Times New Roman" w:eastAsia="Calibri" w:hAnsi="Times New Roman" w:cs="Times New Roman"/>
          <w:sz w:val="24"/>
          <w:szCs w:val="24"/>
        </w:rPr>
        <w:t xml:space="preserve"> concerning the refining of </w:t>
      </w:r>
      <w:r w:rsidR="009F7B1D">
        <w:rPr>
          <w:rFonts w:ascii="Times New Roman" w:eastAsia="Calibri" w:hAnsi="Times New Roman" w:cs="Times New Roman"/>
          <w:sz w:val="24"/>
          <w:szCs w:val="24"/>
        </w:rPr>
        <w:t>“</w:t>
      </w:r>
      <w:r w:rsidRPr="0037380B">
        <w:rPr>
          <w:rFonts w:ascii="Times New Roman" w:eastAsia="Calibri" w:hAnsi="Times New Roman" w:cs="Times New Roman"/>
          <w:sz w:val="24"/>
          <w:szCs w:val="24"/>
        </w:rPr>
        <w:t>FSSP fuels</w:t>
      </w:r>
      <w:r w:rsidR="009F7B1D">
        <w:rPr>
          <w:rFonts w:ascii="Times New Roman" w:eastAsia="Calibri" w:hAnsi="Times New Roman" w:cs="Times New Roman"/>
          <w:sz w:val="24"/>
          <w:szCs w:val="24"/>
        </w:rPr>
        <w:t>”</w:t>
      </w:r>
      <w:r w:rsidR="002317BA">
        <w:rPr>
          <w:rFonts w:ascii="Times New Roman" w:eastAsia="Calibri" w:hAnsi="Times New Roman" w:cs="Times New Roman"/>
          <w:sz w:val="24"/>
          <w:szCs w:val="24"/>
        </w:rPr>
        <w:t xml:space="preserve"> (as defined under the FS Act) on a quarterly basis under the principal POFR Rules</w:t>
      </w:r>
      <w:r w:rsidRPr="0037380B">
        <w:rPr>
          <w:rFonts w:ascii="Times New Roman" w:eastAsia="Calibri" w:hAnsi="Times New Roman" w:cs="Times New Roman"/>
          <w:sz w:val="24"/>
          <w:szCs w:val="24"/>
        </w:rPr>
        <w:t>;</w:t>
      </w:r>
      <w:r w:rsidR="00DD1E68">
        <w:rPr>
          <w:rFonts w:ascii="Times New Roman" w:eastAsia="Calibri" w:hAnsi="Times New Roman" w:cs="Times New Roman"/>
          <w:sz w:val="24"/>
          <w:szCs w:val="24"/>
        </w:rPr>
        <w:t xml:space="preserve"> and</w:t>
      </w:r>
    </w:p>
    <w:p w:rsidR="00366DEE" w:rsidRPr="004135F1" w:rsidRDefault="002317BA" w:rsidP="004135F1">
      <w:pPr>
        <w:numPr>
          <w:ilvl w:val="0"/>
          <w:numId w:val="4"/>
        </w:numPr>
        <w:spacing w:before="120" w:after="12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new auditing provisions requiring </w:t>
      </w:r>
      <w:r w:rsidR="0037380B" w:rsidRPr="0037380B">
        <w:rPr>
          <w:rFonts w:ascii="Times New Roman" w:eastAsia="Calibri" w:hAnsi="Times New Roman" w:cs="Times New Roman"/>
          <w:sz w:val="24"/>
          <w:szCs w:val="24"/>
        </w:rPr>
        <w:t>the conduct of audits of</w:t>
      </w:r>
      <w:r>
        <w:rPr>
          <w:rFonts w:ascii="Times New Roman" w:eastAsia="Calibri" w:hAnsi="Times New Roman" w:cs="Times New Roman"/>
          <w:sz w:val="24"/>
          <w:szCs w:val="24"/>
        </w:rPr>
        <w:t xml:space="preserve"> quarterly reports submitted by refiners, which relate to the refining of FSSP fuels, to be conducted at the end of the first financial year of the operation of the FSSP scheme and </w:t>
      </w:r>
      <w:r w:rsidR="004135F1">
        <w:rPr>
          <w:rFonts w:ascii="Times New Roman" w:eastAsia="Calibri" w:hAnsi="Times New Roman" w:cs="Times New Roman"/>
          <w:sz w:val="24"/>
          <w:szCs w:val="24"/>
        </w:rPr>
        <w:t xml:space="preserve">otherwise </w:t>
      </w:r>
      <w:r w:rsidR="004135F1" w:rsidRPr="004135F1">
        <w:rPr>
          <w:rFonts w:ascii="Times New Roman" w:eastAsia="Calibri" w:hAnsi="Times New Roman" w:cs="Times New Roman"/>
          <w:sz w:val="24"/>
          <w:szCs w:val="24"/>
        </w:rPr>
        <w:t>where the Secretary holds concerns about the accuracy of information provided in such report</w:t>
      </w:r>
      <w:r w:rsidR="004135F1">
        <w:rPr>
          <w:rFonts w:ascii="Times New Roman" w:eastAsia="Calibri" w:hAnsi="Times New Roman" w:cs="Times New Roman"/>
          <w:sz w:val="24"/>
          <w:szCs w:val="24"/>
        </w:rPr>
        <w:t>s</w:t>
      </w:r>
      <w:r>
        <w:rPr>
          <w:rFonts w:ascii="Times New Roman" w:eastAsia="Calibri" w:hAnsi="Times New Roman" w:cs="Times New Roman"/>
          <w:sz w:val="24"/>
          <w:szCs w:val="24"/>
        </w:rPr>
        <w:t>.</w:t>
      </w:r>
    </w:p>
    <w:p w:rsidR="000611C3" w:rsidRPr="000611C3" w:rsidRDefault="000611C3" w:rsidP="000611C3">
      <w:pPr>
        <w:spacing w:before="240" w:after="240" w:line="276" w:lineRule="auto"/>
        <w:rPr>
          <w:rFonts w:ascii="Times New Roman" w:eastAsia="Calibri" w:hAnsi="Times New Roman" w:cs="Times New Roman"/>
          <w:b/>
          <w:sz w:val="24"/>
          <w:szCs w:val="24"/>
          <w:u w:val="single"/>
        </w:rPr>
      </w:pPr>
      <w:r w:rsidRPr="000611C3">
        <w:rPr>
          <w:rFonts w:ascii="Times New Roman" w:eastAsia="Calibri" w:hAnsi="Times New Roman" w:cs="Times New Roman"/>
          <w:b/>
          <w:sz w:val="24"/>
          <w:szCs w:val="24"/>
          <w:u w:val="single"/>
        </w:rPr>
        <w:t>Authority</w:t>
      </w:r>
    </w:p>
    <w:p w:rsidR="000611C3" w:rsidRPr="000611C3" w:rsidRDefault="000611C3" w:rsidP="000611C3">
      <w:pPr>
        <w:spacing w:before="120" w:after="120" w:line="276" w:lineRule="auto"/>
        <w:rPr>
          <w:rFonts w:ascii="Times New Roman" w:eastAsia="Calibri" w:hAnsi="Times New Roman" w:cs="Times New Roman"/>
          <w:sz w:val="24"/>
          <w:szCs w:val="24"/>
        </w:rPr>
      </w:pPr>
      <w:r w:rsidRPr="000611C3">
        <w:rPr>
          <w:rFonts w:ascii="Times New Roman" w:eastAsia="Calibri" w:hAnsi="Times New Roman" w:cs="Times New Roman"/>
          <w:sz w:val="24"/>
          <w:szCs w:val="24"/>
        </w:rPr>
        <w:t>Th</w:t>
      </w:r>
      <w:r w:rsidR="00DD1E68">
        <w:rPr>
          <w:rFonts w:ascii="Times New Roman" w:eastAsia="Calibri" w:hAnsi="Times New Roman" w:cs="Times New Roman"/>
          <w:sz w:val="24"/>
          <w:szCs w:val="24"/>
        </w:rPr>
        <w:t xml:space="preserve">is </w:t>
      </w:r>
      <w:r w:rsidRPr="000611C3">
        <w:rPr>
          <w:rFonts w:ascii="Times New Roman" w:eastAsia="Calibri" w:hAnsi="Times New Roman" w:cs="Times New Roman"/>
          <w:sz w:val="24"/>
          <w:szCs w:val="24"/>
        </w:rPr>
        <w:t xml:space="preserve">Rule </w:t>
      </w:r>
      <w:r w:rsidR="00DD1E68">
        <w:rPr>
          <w:rFonts w:ascii="Times New Roman" w:eastAsia="Calibri" w:hAnsi="Times New Roman" w:cs="Times New Roman"/>
          <w:sz w:val="24"/>
          <w:szCs w:val="24"/>
        </w:rPr>
        <w:t>is</w:t>
      </w:r>
      <w:r w:rsidR="006152D8">
        <w:rPr>
          <w:rFonts w:ascii="Times New Roman" w:eastAsia="Calibri" w:hAnsi="Times New Roman" w:cs="Times New Roman"/>
          <w:sz w:val="24"/>
          <w:szCs w:val="24"/>
        </w:rPr>
        <w:t xml:space="preserve"> made pursuant to</w:t>
      </w:r>
      <w:r w:rsidRPr="000611C3">
        <w:rPr>
          <w:rFonts w:ascii="Times New Roman" w:eastAsia="Calibri" w:hAnsi="Times New Roman" w:cs="Times New Roman"/>
          <w:sz w:val="24"/>
          <w:szCs w:val="24"/>
        </w:rPr>
        <w:t xml:space="preserve"> the </w:t>
      </w:r>
      <w:r w:rsidR="00366DEE">
        <w:rPr>
          <w:rFonts w:ascii="Times New Roman" w:eastAsia="Calibri" w:hAnsi="Times New Roman" w:cs="Times New Roman"/>
          <w:sz w:val="24"/>
          <w:szCs w:val="24"/>
        </w:rPr>
        <w:t xml:space="preserve">POFR </w:t>
      </w:r>
      <w:r w:rsidR="008F6027">
        <w:rPr>
          <w:rFonts w:ascii="Times New Roman" w:eastAsia="Calibri" w:hAnsi="Times New Roman" w:cs="Times New Roman"/>
          <w:sz w:val="24"/>
          <w:szCs w:val="24"/>
        </w:rPr>
        <w:t xml:space="preserve">Act, in particular section 41 </w:t>
      </w:r>
      <w:r w:rsidR="00E216CA">
        <w:rPr>
          <w:rFonts w:ascii="Times New Roman" w:eastAsia="Calibri" w:hAnsi="Times New Roman" w:cs="Times New Roman"/>
          <w:sz w:val="24"/>
          <w:szCs w:val="24"/>
        </w:rPr>
        <w:t xml:space="preserve">of that Act </w:t>
      </w:r>
      <w:r w:rsidR="008F6027">
        <w:rPr>
          <w:rFonts w:ascii="Times New Roman" w:eastAsia="Calibri" w:hAnsi="Times New Roman" w:cs="Times New Roman"/>
          <w:sz w:val="24"/>
          <w:szCs w:val="24"/>
        </w:rPr>
        <w:t xml:space="preserve">includes the power for the Minister to make legislative rules. Additionally, </w:t>
      </w:r>
      <w:r w:rsidR="007D6540">
        <w:rPr>
          <w:rFonts w:ascii="Times New Roman" w:eastAsia="Calibri" w:hAnsi="Times New Roman" w:cs="Times New Roman"/>
          <w:sz w:val="24"/>
          <w:szCs w:val="24"/>
        </w:rPr>
        <w:t>it is authorised under</w:t>
      </w:r>
      <w:r w:rsidR="008F6027">
        <w:rPr>
          <w:rFonts w:ascii="Times New Roman" w:eastAsia="Calibri" w:hAnsi="Times New Roman" w:cs="Times New Roman"/>
          <w:sz w:val="24"/>
          <w:szCs w:val="24"/>
        </w:rPr>
        <w:t xml:space="preserve"> section 13B of the POFR Act, </w:t>
      </w:r>
      <w:r w:rsidR="007D6540">
        <w:rPr>
          <w:rFonts w:ascii="Times New Roman" w:eastAsia="Calibri" w:hAnsi="Times New Roman" w:cs="Times New Roman"/>
          <w:sz w:val="24"/>
          <w:szCs w:val="24"/>
        </w:rPr>
        <w:t>in which</w:t>
      </w:r>
      <w:r w:rsidR="008F6027">
        <w:rPr>
          <w:rFonts w:ascii="Times New Roman" w:eastAsia="Calibri" w:hAnsi="Times New Roman" w:cs="Times New Roman"/>
          <w:sz w:val="24"/>
          <w:szCs w:val="24"/>
        </w:rPr>
        <w:t xml:space="preserve"> rules relating to c</w:t>
      </w:r>
      <w:r w:rsidR="008F6027" w:rsidRPr="008F6027">
        <w:rPr>
          <w:rFonts w:ascii="Times New Roman" w:eastAsia="Calibri" w:hAnsi="Times New Roman" w:cs="Times New Roman"/>
          <w:sz w:val="24"/>
          <w:szCs w:val="24"/>
        </w:rPr>
        <w:t>ompliance audi</w:t>
      </w:r>
      <w:r w:rsidR="00735A45">
        <w:rPr>
          <w:rFonts w:ascii="Times New Roman" w:eastAsia="Calibri" w:hAnsi="Times New Roman" w:cs="Times New Roman"/>
          <w:sz w:val="24"/>
          <w:szCs w:val="24"/>
        </w:rPr>
        <w:t>ts relating to the FS Act</w:t>
      </w:r>
      <w:r w:rsidR="008F6027">
        <w:rPr>
          <w:rFonts w:ascii="Times New Roman" w:eastAsia="Calibri" w:hAnsi="Times New Roman" w:cs="Times New Roman"/>
          <w:sz w:val="24"/>
          <w:szCs w:val="24"/>
        </w:rPr>
        <w:t xml:space="preserve"> can be made.</w:t>
      </w:r>
    </w:p>
    <w:p w:rsidR="000611C3" w:rsidRPr="000611C3" w:rsidRDefault="000611C3" w:rsidP="007D27D0">
      <w:pPr>
        <w:spacing w:before="120" w:after="120" w:line="276" w:lineRule="auto"/>
        <w:rPr>
          <w:rFonts w:ascii="Times New Roman" w:eastAsia="Calibri" w:hAnsi="Times New Roman" w:cs="Times New Roman"/>
          <w:b/>
          <w:sz w:val="24"/>
          <w:szCs w:val="24"/>
          <w:u w:val="single"/>
        </w:rPr>
      </w:pPr>
      <w:r w:rsidRPr="000611C3">
        <w:rPr>
          <w:rFonts w:ascii="Times New Roman" w:eastAsia="Calibri" w:hAnsi="Times New Roman" w:cs="Times New Roman"/>
          <w:b/>
          <w:sz w:val="24"/>
          <w:szCs w:val="24"/>
          <w:u w:val="single"/>
        </w:rPr>
        <w:t>Consultation</w:t>
      </w:r>
    </w:p>
    <w:p w:rsidR="000611C3" w:rsidRPr="000611C3" w:rsidRDefault="000611C3" w:rsidP="000611C3">
      <w:pPr>
        <w:spacing w:before="120" w:after="120" w:line="276" w:lineRule="auto"/>
        <w:rPr>
          <w:rFonts w:ascii="Times New Roman" w:eastAsia="Calibri" w:hAnsi="Times New Roman" w:cs="Times New Roman"/>
          <w:sz w:val="24"/>
          <w:szCs w:val="24"/>
        </w:rPr>
      </w:pPr>
      <w:r w:rsidRPr="000611C3">
        <w:rPr>
          <w:rFonts w:ascii="Times New Roman" w:eastAsia="Calibri" w:hAnsi="Times New Roman" w:cs="Times New Roman"/>
          <w:sz w:val="24"/>
          <w:szCs w:val="24"/>
        </w:rPr>
        <w:t xml:space="preserve">Targeted consultation with stakeholders including refinery operators, was undertaken during drafting the </w:t>
      </w:r>
      <w:r w:rsidR="0005660A" w:rsidRPr="0005660A">
        <w:rPr>
          <w:rFonts w:ascii="Times New Roman" w:eastAsia="Calibri" w:hAnsi="Times New Roman" w:cs="Times New Roman"/>
          <w:i/>
          <w:sz w:val="24"/>
          <w:szCs w:val="24"/>
        </w:rPr>
        <w:t>Fuel Security (Consequential and Transitional Provisions) Act 2021</w:t>
      </w:r>
      <w:r w:rsidRPr="000611C3">
        <w:rPr>
          <w:rFonts w:ascii="Times New Roman" w:eastAsia="Calibri" w:hAnsi="Times New Roman" w:cs="Times New Roman"/>
          <w:sz w:val="24"/>
          <w:szCs w:val="24"/>
        </w:rPr>
        <w:t>, and following introduction of the Bill to Parliament, on key aspects of this Rule and other associated subordinate instruments (e.g. the</w:t>
      </w:r>
      <w:r w:rsidR="00CC1444">
        <w:rPr>
          <w:rFonts w:ascii="Times New Roman" w:eastAsia="Calibri" w:hAnsi="Times New Roman" w:cs="Times New Roman"/>
          <w:sz w:val="24"/>
          <w:szCs w:val="24"/>
        </w:rPr>
        <w:t xml:space="preserve"> </w:t>
      </w:r>
      <w:r w:rsidR="0005660A" w:rsidRPr="0005660A">
        <w:rPr>
          <w:rFonts w:ascii="Times New Roman" w:eastAsia="Calibri" w:hAnsi="Times New Roman" w:cs="Times New Roman"/>
          <w:sz w:val="24"/>
          <w:szCs w:val="24"/>
        </w:rPr>
        <w:t>FSSP Rule</w:t>
      </w:r>
      <w:r w:rsidR="00CC1444">
        <w:rPr>
          <w:rFonts w:ascii="Times New Roman" w:eastAsia="Calibri" w:hAnsi="Times New Roman" w:cs="Times New Roman"/>
          <w:sz w:val="24"/>
          <w:szCs w:val="24"/>
        </w:rPr>
        <w:t xml:space="preserve"> and</w:t>
      </w:r>
      <w:r w:rsidRPr="000611C3">
        <w:rPr>
          <w:rFonts w:ascii="Times New Roman" w:eastAsia="Calibri" w:hAnsi="Times New Roman" w:cs="Times New Roman"/>
          <w:sz w:val="24"/>
          <w:szCs w:val="24"/>
        </w:rPr>
        <w:t xml:space="preserve"> </w:t>
      </w:r>
      <w:r w:rsidRPr="000611C3">
        <w:rPr>
          <w:rFonts w:ascii="Times New Roman" w:eastAsia="Calibri" w:hAnsi="Times New Roman" w:cs="Times New Roman"/>
          <w:i/>
          <w:sz w:val="24"/>
          <w:szCs w:val="24"/>
        </w:rPr>
        <w:t>Fuel Security (Fuel Security Services Payment) Guidelines 2021</w:t>
      </w:r>
      <w:r w:rsidRPr="000611C3">
        <w:rPr>
          <w:rFonts w:ascii="Times New Roman" w:eastAsia="Calibri" w:hAnsi="Times New Roman" w:cs="Times New Roman"/>
          <w:sz w:val="24"/>
          <w:szCs w:val="24"/>
        </w:rPr>
        <w:t>).</w:t>
      </w:r>
      <w:r w:rsidR="00A1056A">
        <w:rPr>
          <w:rFonts w:ascii="Times New Roman" w:eastAsia="Calibri" w:hAnsi="Times New Roman" w:cs="Times New Roman"/>
          <w:sz w:val="24"/>
          <w:szCs w:val="24"/>
        </w:rPr>
        <w:t xml:space="preserve"> A draft of the amendments was provided to refinery operators and no concerns were raised with the amendments.</w:t>
      </w:r>
    </w:p>
    <w:p w:rsidR="000611C3" w:rsidRPr="000611C3" w:rsidRDefault="000611C3" w:rsidP="000611C3">
      <w:pPr>
        <w:spacing w:before="240" w:after="240" w:line="276" w:lineRule="auto"/>
        <w:rPr>
          <w:rFonts w:ascii="Times New Roman" w:eastAsia="Calibri" w:hAnsi="Times New Roman" w:cs="Times New Roman"/>
          <w:b/>
          <w:sz w:val="24"/>
          <w:szCs w:val="24"/>
          <w:u w:val="single"/>
        </w:rPr>
      </w:pPr>
      <w:r w:rsidRPr="000611C3">
        <w:rPr>
          <w:rFonts w:ascii="Times New Roman" w:eastAsia="Calibri" w:hAnsi="Times New Roman" w:cs="Times New Roman"/>
          <w:b/>
          <w:sz w:val="24"/>
          <w:szCs w:val="24"/>
          <w:u w:val="single"/>
        </w:rPr>
        <w:t>Regulatory Impact</w:t>
      </w:r>
    </w:p>
    <w:p w:rsidR="000611C3" w:rsidRPr="000611C3" w:rsidRDefault="000611C3" w:rsidP="000611C3">
      <w:pPr>
        <w:spacing w:before="120" w:after="120" w:line="276" w:lineRule="auto"/>
        <w:rPr>
          <w:rFonts w:ascii="Times New Roman" w:eastAsia="Calibri" w:hAnsi="Times New Roman" w:cs="Times New Roman"/>
          <w:sz w:val="24"/>
          <w:szCs w:val="24"/>
        </w:rPr>
      </w:pPr>
      <w:r w:rsidRPr="000611C3">
        <w:rPr>
          <w:rFonts w:ascii="Times New Roman" w:eastAsia="Calibri" w:hAnsi="Times New Roman" w:cs="Times New Roman"/>
          <w:sz w:val="24"/>
          <w:szCs w:val="24"/>
        </w:rPr>
        <w:t>An addendum to the Regulation Impact Statement (RIS) previously prepared in relation to the Act (reference numbers: 42904 and 20489) has been prepared for the purpose of this instrument in accordance with the Australian Government Guide to Regulation. A copy of the Addendum to the RIS is included at the end of this Explanatory Statement.</w:t>
      </w:r>
    </w:p>
    <w:p w:rsidR="000611C3" w:rsidRPr="000611C3" w:rsidRDefault="000611C3" w:rsidP="000611C3">
      <w:pPr>
        <w:spacing w:before="240" w:after="240" w:line="276" w:lineRule="auto"/>
        <w:rPr>
          <w:rFonts w:ascii="Times New Roman" w:eastAsia="Calibri" w:hAnsi="Times New Roman" w:cs="Times New Roman"/>
          <w:b/>
          <w:sz w:val="24"/>
          <w:szCs w:val="24"/>
          <w:u w:val="single"/>
        </w:rPr>
        <w:sectPr w:rsidR="000611C3" w:rsidRPr="000611C3">
          <w:headerReference w:type="default" r:id="rId12"/>
          <w:footerReference w:type="default" r:id="rId13"/>
          <w:headerReference w:type="first" r:id="rId14"/>
          <w:pgSz w:w="11906" w:h="16838"/>
          <w:pgMar w:top="1440" w:right="1440" w:bottom="1440" w:left="1440" w:header="708" w:footer="708" w:gutter="0"/>
          <w:cols w:space="708"/>
          <w:docGrid w:linePitch="360"/>
        </w:sectPr>
      </w:pPr>
    </w:p>
    <w:p w:rsidR="7A37929F" w:rsidRPr="00791267" w:rsidRDefault="05A6DE22">
      <w:pPr>
        <w:rPr>
          <w:rFonts w:ascii="Times New Roman" w:eastAsia="Calibri" w:hAnsi="Times New Roman" w:cs="Times New Roman"/>
          <w:b/>
          <w:sz w:val="24"/>
          <w:szCs w:val="24"/>
        </w:rPr>
      </w:pPr>
      <w:r w:rsidRPr="00791267">
        <w:rPr>
          <w:rFonts w:ascii="Times New Roman" w:eastAsia="Calibri" w:hAnsi="Times New Roman" w:cs="Times New Roman"/>
          <w:b/>
          <w:sz w:val="24"/>
          <w:szCs w:val="24"/>
        </w:rPr>
        <w:t>GLOSSARY</w:t>
      </w:r>
    </w:p>
    <w:p w:rsidR="7D6A7118" w:rsidRPr="00791267" w:rsidRDefault="7D6A7118">
      <w:pPr>
        <w:rPr>
          <w:rFonts w:ascii="Times New Roman" w:eastAsia="Calibri" w:hAnsi="Times New Roman" w:cs="Times New Roman"/>
          <w:sz w:val="24"/>
          <w:szCs w:val="24"/>
        </w:rPr>
      </w:pPr>
    </w:p>
    <w:tbl>
      <w:tblPr>
        <w:tblStyle w:val="GridTable1Light"/>
        <w:tblW w:w="0" w:type="auto"/>
        <w:tblLook w:val="04A0" w:firstRow="1" w:lastRow="0" w:firstColumn="1" w:lastColumn="0" w:noHBand="0" w:noVBand="1"/>
      </w:tblPr>
      <w:tblGrid>
        <w:gridCol w:w="4508"/>
        <w:gridCol w:w="4508"/>
      </w:tblGrid>
      <w:tr w:rsidR="0315B737" w:rsidRPr="00791267" w:rsidTr="0315B7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tcPr>
          <w:p w:rsidR="0315B737" w:rsidRPr="00791267" w:rsidRDefault="0315B737" w:rsidP="0315B737">
            <w:pPr>
              <w:rPr>
                <w:rFonts w:ascii="Times New Roman" w:eastAsia="Calibri" w:hAnsi="Times New Roman" w:cs="Times New Roman"/>
                <w:bCs w:val="0"/>
                <w:sz w:val="24"/>
                <w:szCs w:val="24"/>
              </w:rPr>
            </w:pPr>
            <w:r w:rsidRPr="00791267">
              <w:rPr>
                <w:rFonts w:ascii="Times New Roman" w:eastAsia="Calibri" w:hAnsi="Times New Roman" w:cs="Times New Roman"/>
                <w:bCs w:val="0"/>
                <w:sz w:val="24"/>
                <w:szCs w:val="24"/>
              </w:rPr>
              <w:t>Abbreviation</w:t>
            </w:r>
          </w:p>
        </w:tc>
        <w:tc>
          <w:tcPr>
            <w:tcW w:w="4513" w:type="dxa"/>
          </w:tcPr>
          <w:p w:rsidR="0315B737" w:rsidRPr="00791267" w:rsidRDefault="0315B737" w:rsidP="0315B737">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rPr>
            </w:pPr>
            <w:r w:rsidRPr="00791267">
              <w:rPr>
                <w:rFonts w:ascii="Times New Roman" w:eastAsia="Calibri" w:hAnsi="Times New Roman" w:cs="Times New Roman"/>
                <w:bCs w:val="0"/>
                <w:sz w:val="24"/>
                <w:szCs w:val="24"/>
              </w:rPr>
              <w:t>Definition</w:t>
            </w:r>
          </w:p>
        </w:tc>
      </w:tr>
      <w:tr w:rsidR="05A6DE22" w:rsidRPr="00791267" w:rsidTr="4523AE5C">
        <w:tc>
          <w:tcPr>
            <w:cnfStyle w:val="001000000000" w:firstRow="0" w:lastRow="0" w:firstColumn="1" w:lastColumn="0" w:oddVBand="0" w:evenVBand="0" w:oddHBand="0" w:evenHBand="0" w:firstRowFirstColumn="0" w:firstRowLastColumn="0" w:lastRowFirstColumn="0" w:lastRowLastColumn="0"/>
            <w:tcW w:w="4513" w:type="dxa"/>
          </w:tcPr>
          <w:p w:rsidR="05A6DE22" w:rsidRPr="00791267" w:rsidRDefault="05A6DE22">
            <w:pPr>
              <w:rPr>
                <w:rFonts w:ascii="Times New Roman" w:eastAsia="Calibri" w:hAnsi="Times New Roman" w:cs="Times New Roman"/>
                <w:b w:val="0"/>
                <w:bCs w:val="0"/>
                <w:sz w:val="24"/>
                <w:szCs w:val="24"/>
              </w:rPr>
            </w:pPr>
            <w:r w:rsidRPr="00791267">
              <w:rPr>
                <w:rFonts w:ascii="Times New Roman" w:eastAsia="Calibri" w:hAnsi="Times New Roman" w:cs="Times New Roman"/>
                <w:b w:val="0"/>
                <w:bCs w:val="0"/>
                <w:sz w:val="24"/>
                <w:szCs w:val="24"/>
              </w:rPr>
              <w:t xml:space="preserve">FS Act </w:t>
            </w:r>
          </w:p>
        </w:tc>
        <w:tc>
          <w:tcPr>
            <w:tcW w:w="4513" w:type="dxa"/>
          </w:tcPr>
          <w:p w:rsidR="05A6DE22" w:rsidRPr="00791267" w:rsidRDefault="05A6DE2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4"/>
                <w:szCs w:val="24"/>
              </w:rPr>
            </w:pPr>
            <w:r w:rsidRPr="00791267">
              <w:rPr>
                <w:rFonts w:ascii="Times New Roman" w:eastAsia="Calibri" w:hAnsi="Times New Roman" w:cs="Times New Roman"/>
                <w:i/>
                <w:sz w:val="24"/>
                <w:szCs w:val="24"/>
              </w:rPr>
              <w:t>Fuel Security Act 2021</w:t>
            </w:r>
          </w:p>
        </w:tc>
      </w:tr>
      <w:tr w:rsidR="00FE0374" w:rsidRPr="00791267" w:rsidTr="4523AE5C">
        <w:tc>
          <w:tcPr>
            <w:cnfStyle w:val="001000000000" w:firstRow="0" w:lastRow="0" w:firstColumn="1" w:lastColumn="0" w:oddVBand="0" w:evenVBand="0" w:oddHBand="0" w:evenHBand="0" w:firstRowFirstColumn="0" w:firstRowLastColumn="0" w:lastRowFirstColumn="0" w:lastRowLastColumn="0"/>
            <w:tcW w:w="4513" w:type="dxa"/>
          </w:tcPr>
          <w:p w:rsidR="00FE0374" w:rsidRPr="00D03B97" w:rsidRDefault="00FE0374">
            <w:pPr>
              <w:rPr>
                <w:rFonts w:ascii="Times New Roman" w:eastAsia="Calibri" w:hAnsi="Times New Roman" w:cs="Times New Roman"/>
                <w:b w:val="0"/>
                <w:sz w:val="24"/>
                <w:szCs w:val="24"/>
              </w:rPr>
            </w:pPr>
            <w:r w:rsidRPr="00D03B97">
              <w:rPr>
                <w:rFonts w:ascii="Times New Roman" w:eastAsia="Calibri" w:hAnsi="Times New Roman" w:cs="Times New Roman"/>
                <w:b w:val="0"/>
                <w:sz w:val="24"/>
                <w:szCs w:val="24"/>
              </w:rPr>
              <w:t>FSSP</w:t>
            </w:r>
          </w:p>
        </w:tc>
        <w:tc>
          <w:tcPr>
            <w:tcW w:w="4513" w:type="dxa"/>
          </w:tcPr>
          <w:p w:rsidR="00FE0374" w:rsidRPr="00791267" w:rsidRDefault="00FE0374">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4"/>
                <w:szCs w:val="24"/>
              </w:rPr>
            </w:pPr>
            <w:r>
              <w:rPr>
                <w:rFonts w:ascii="Times New Roman" w:eastAsia="Calibri" w:hAnsi="Times New Roman" w:cs="Times New Roman"/>
                <w:sz w:val="24"/>
                <w:szCs w:val="24"/>
              </w:rPr>
              <w:t xml:space="preserve">Fuel security services payment </w:t>
            </w:r>
          </w:p>
        </w:tc>
      </w:tr>
      <w:tr w:rsidR="05A6DE22" w:rsidRPr="00791267" w:rsidTr="4523AE5C">
        <w:tc>
          <w:tcPr>
            <w:cnfStyle w:val="001000000000" w:firstRow="0" w:lastRow="0" w:firstColumn="1" w:lastColumn="0" w:oddVBand="0" w:evenVBand="0" w:oddHBand="0" w:evenHBand="0" w:firstRowFirstColumn="0" w:firstRowLastColumn="0" w:lastRowFirstColumn="0" w:lastRowLastColumn="0"/>
            <w:tcW w:w="4513" w:type="dxa"/>
          </w:tcPr>
          <w:p w:rsidR="05A6DE22" w:rsidRPr="00791267" w:rsidRDefault="05A6DE22">
            <w:pPr>
              <w:rPr>
                <w:rFonts w:ascii="Times New Roman" w:eastAsia="Calibri" w:hAnsi="Times New Roman" w:cs="Times New Roman"/>
                <w:b w:val="0"/>
                <w:bCs w:val="0"/>
                <w:sz w:val="24"/>
                <w:szCs w:val="24"/>
              </w:rPr>
            </w:pPr>
            <w:r w:rsidRPr="00791267">
              <w:rPr>
                <w:rFonts w:ascii="Times New Roman" w:eastAsia="Calibri" w:hAnsi="Times New Roman" w:cs="Times New Roman"/>
                <w:b w:val="0"/>
                <w:bCs w:val="0"/>
                <w:sz w:val="24"/>
                <w:szCs w:val="24"/>
              </w:rPr>
              <w:t>FSSP Rule</w:t>
            </w:r>
          </w:p>
        </w:tc>
        <w:tc>
          <w:tcPr>
            <w:tcW w:w="4513" w:type="dxa"/>
          </w:tcPr>
          <w:p w:rsidR="05A6DE22" w:rsidRPr="00791267" w:rsidRDefault="05A6DE2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4"/>
                <w:szCs w:val="24"/>
              </w:rPr>
            </w:pPr>
            <w:r w:rsidRPr="00791267">
              <w:rPr>
                <w:rFonts w:ascii="Times New Roman" w:eastAsia="Calibri" w:hAnsi="Times New Roman" w:cs="Times New Roman"/>
                <w:i/>
                <w:sz w:val="24"/>
                <w:szCs w:val="24"/>
              </w:rPr>
              <w:t>Fuel Security (Fuel Security Services Payment) Rule 2021</w:t>
            </w:r>
          </w:p>
        </w:tc>
      </w:tr>
      <w:tr w:rsidR="009F7B1D" w:rsidRPr="00791267" w:rsidTr="4523AE5C">
        <w:tc>
          <w:tcPr>
            <w:cnfStyle w:val="001000000000" w:firstRow="0" w:lastRow="0" w:firstColumn="1" w:lastColumn="0" w:oddVBand="0" w:evenVBand="0" w:oddHBand="0" w:evenHBand="0" w:firstRowFirstColumn="0" w:firstRowLastColumn="0" w:lastRowFirstColumn="0" w:lastRowLastColumn="0"/>
            <w:tcW w:w="4513" w:type="dxa"/>
          </w:tcPr>
          <w:p w:rsidR="009F7B1D" w:rsidRPr="009F7B1D" w:rsidRDefault="009F7B1D">
            <w:pPr>
              <w:rPr>
                <w:rFonts w:ascii="Times New Roman" w:eastAsia="Calibri" w:hAnsi="Times New Roman" w:cs="Times New Roman"/>
                <w:b w:val="0"/>
                <w:sz w:val="24"/>
                <w:szCs w:val="24"/>
              </w:rPr>
            </w:pPr>
            <w:r w:rsidRPr="009F7B1D">
              <w:rPr>
                <w:rFonts w:ascii="Times New Roman" w:eastAsia="Calibri" w:hAnsi="Times New Roman" w:cs="Times New Roman"/>
                <w:b w:val="0"/>
                <w:sz w:val="24"/>
                <w:szCs w:val="24"/>
              </w:rPr>
              <w:t>Minister</w:t>
            </w:r>
          </w:p>
        </w:tc>
        <w:tc>
          <w:tcPr>
            <w:tcW w:w="4513" w:type="dxa"/>
          </w:tcPr>
          <w:p w:rsidR="009F7B1D" w:rsidRPr="009F7B1D" w:rsidRDefault="009F7B1D" w:rsidP="009F7B1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9F7B1D">
              <w:rPr>
                <w:rFonts w:ascii="Times New Roman" w:eastAsia="Calibri" w:hAnsi="Times New Roman" w:cs="Times New Roman"/>
                <w:sz w:val="24"/>
                <w:szCs w:val="24"/>
              </w:rPr>
              <w:t xml:space="preserve">The Minister that is responsible for administering the POFR Act and the </w:t>
            </w:r>
            <w:r>
              <w:rPr>
                <w:rFonts w:ascii="Times New Roman" w:eastAsia="Calibri" w:hAnsi="Times New Roman" w:cs="Times New Roman"/>
                <w:sz w:val="24"/>
                <w:szCs w:val="24"/>
              </w:rPr>
              <w:t xml:space="preserve">principal POFR </w:t>
            </w:r>
            <w:r w:rsidRPr="009F7B1D">
              <w:rPr>
                <w:rFonts w:ascii="Times New Roman" w:eastAsia="Calibri" w:hAnsi="Times New Roman" w:cs="Times New Roman"/>
                <w:sz w:val="24"/>
                <w:szCs w:val="24"/>
              </w:rPr>
              <w:t>Rule</w:t>
            </w:r>
            <w:r>
              <w:rPr>
                <w:rFonts w:ascii="Times New Roman" w:eastAsia="Calibri" w:hAnsi="Times New Roman" w:cs="Times New Roman"/>
                <w:sz w:val="24"/>
                <w:szCs w:val="24"/>
              </w:rPr>
              <w:t>s</w:t>
            </w:r>
            <w:r w:rsidRPr="009F7B1D">
              <w:rPr>
                <w:rFonts w:ascii="Times New Roman" w:eastAsia="Calibri" w:hAnsi="Times New Roman" w:cs="Times New Roman"/>
                <w:sz w:val="24"/>
                <w:szCs w:val="24"/>
              </w:rPr>
              <w:t xml:space="preserve"> (presently, the Minister for Energy and Emissions Reduction)</w:t>
            </w:r>
          </w:p>
        </w:tc>
      </w:tr>
      <w:tr w:rsidR="05A6DE22" w:rsidRPr="00791267" w:rsidTr="4523AE5C">
        <w:tc>
          <w:tcPr>
            <w:cnfStyle w:val="001000000000" w:firstRow="0" w:lastRow="0" w:firstColumn="1" w:lastColumn="0" w:oddVBand="0" w:evenVBand="0" w:oddHBand="0" w:evenHBand="0" w:firstRowFirstColumn="0" w:firstRowLastColumn="0" w:lastRowFirstColumn="0" w:lastRowLastColumn="0"/>
            <w:tcW w:w="4513" w:type="dxa"/>
          </w:tcPr>
          <w:p w:rsidR="05A6DE22" w:rsidRPr="00791267" w:rsidRDefault="05A6DE22">
            <w:pPr>
              <w:rPr>
                <w:rFonts w:ascii="Times New Roman" w:eastAsia="Calibri" w:hAnsi="Times New Roman" w:cs="Times New Roman"/>
                <w:b w:val="0"/>
                <w:bCs w:val="0"/>
                <w:sz w:val="24"/>
                <w:szCs w:val="24"/>
              </w:rPr>
            </w:pPr>
            <w:r w:rsidRPr="00791267">
              <w:rPr>
                <w:rFonts w:ascii="Times New Roman" w:eastAsia="Calibri" w:hAnsi="Times New Roman" w:cs="Times New Roman"/>
                <w:b w:val="0"/>
                <w:bCs w:val="0"/>
                <w:sz w:val="24"/>
                <w:szCs w:val="24"/>
              </w:rPr>
              <w:t>NGER (Audit) Determination</w:t>
            </w:r>
          </w:p>
        </w:tc>
        <w:tc>
          <w:tcPr>
            <w:tcW w:w="4513" w:type="dxa"/>
          </w:tcPr>
          <w:p w:rsidR="05A6DE22" w:rsidRPr="00791267" w:rsidRDefault="05A6DE2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4"/>
                <w:szCs w:val="24"/>
              </w:rPr>
            </w:pPr>
            <w:r w:rsidRPr="00791267">
              <w:rPr>
                <w:rFonts w:ascii="Times New Roman" w:eastAsia="Calibri" w:hAnsi="Times New Roman" w:cs="Times New Roman"/>
                <w:i/>
                <w:sz w:val="24"/>
                <w:szCs w:val="24"/>
              </w:rPr>
              <w:t>National Greenhouse and Energy Reporting (Audit) Determination 2009</w:t>
            </w:r>
          </w:p>
        </w:tc>
      </w:tr>
      <w:tr w:rsidR="05A6DE22" w:rsidRPr="00791267" w:rsidTr="4523AE5C">
        <w:tc>
          <w:tcPr>
            <w:cnfStyle w:val="001000000000" w:firstRow="0" w:lastRow="0" w:firstColumn="1" w:lastColumn="0" w:oddVBand="0" w:evenVBand="0" w:oddHBand="0" w:evenHBand="0" w:firstRowFirstColumn="0" w:firstRowLastColumn="0" w:lastRowFirstColumn="0" w:lastRowLastColumn="0"/>
            <w:tcW w:w="4513" w:type="dxa"/>
          </w:tcPr>
          <w:p w:rsidR="05A6DE22" w:rsidRPr="00791267" w:rsidRDefault="05A6DE22">
            <w:pPr>
              <w:rPr>
                <w:rFonts w:ascii="Times New Roman" w:eastAsia="Calibri" w:hAnsi="Times New Roman" w:cs="Times New Roman"/>
                <w:b w:val="0"/>
                <w:bCs w:val="0"/>
                <w:sz w:val="24"/>
                <w:szCs w:val="24"/>
              </w:rPr>
            </w:pPr>
            <w:r w:rsidRPr="00791267">
              <w:rPr>
                <w:rFonts w:ascii="Times New Roman" w:eastAsia="Calibri" w:hAnsi="Times New Roman" w:cs="Times New Roman"/>
                <w:b w:val="0"/>
                <w:bCs w:val="0"/>
                <w:sz w:val="24"/>
                <w:szCs w:val="24"/>
              </w:rPr>
              <w:t>POFR Act</w:t>
            </w:r>
          </w:p>
        </w:tc>
        <w:tc>
          <w:tcPr>
            <w:tcW w:w="4513" w:type="dxa"/>
          </w:tcPr>
          <w:p w:rsidR="05A6DE22" w:rsidRPr="00791267" w:rsidRDefault="05A6DE2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791267">
              <w:rPr>
                <w:rFonts w:ascii="Times New Roman" w:eastAsia="Calibri" w:hAnsi="Times New Roman" w:cs="Times New Roman"/>
                <w:i/>
                <w:sz w:val="24"/>
                <w:szCs w:val="24"/>
              </w:rPr>
              <w:t>Petroleum and Other Fuels Reporting Act 2017</w:t>
            </w:r>
            <w:r w:rsidRPr="00791267">
              <w:rPr>
                <w:rFonts w:ascii="Times New Roman" w:eastAsia="Calibri" w:hAnsi="Times New Roman" w:cs="Times New Roman"/>
                <w:sz w:val="24"/>
                <w:szCs w:val="24"/>
              </w:rPr>
              <w:t xml:space="preserve">, as amended by the </w:t>
            </w:r>
            <w:r w:rsidRPr="00791267">
              <w:rPr>
                <w:rFonts w:ascii="Times New Roman" w:eastAsia="Calibri" w:hAnsi="Times New Roman" w:cs="Times New Roman"/>
                <w:i/>
                <w:sz w:val="24"/>
                <w:szCs w:val="24"/>
              </w:rPr>
              <w:t>Fuel Security (Consequential and Transitional Provisions) Act 2021</w:t>
            </w:r>
          </w:p>
        </w:tc>
      </w:tr>
      <w:tr w:rsidR="05A6DE22" w:rsidRPr="00791267" w:rsidTr="4523AE5C">
        <w:tc>
          <w:tcPr>
            <w:cnfStyle w:val="001000000000" w:firstRow="0" w:lastRow="0" w:firstColumn="1" w:lastColumn="0" w:oddVBand="0" w:evenVBand="0" w:oddHBand="0" w:evenHBand="0" w:firstRowFirstColumn="0" w:firstRowLastColumn="0" w:lastRowFirstColumn="0" w:lastRowLastColumn="0"/>
            <w:tcW w:w="4513" w:type="dxa"/>
          </w:tcPr>
          <w:p w:rsidR="05A6DE22" w:rsidRPr="00791267" w:rsidRDefault="05A6DE22">
            <w:pPr>
              <w:rPr>
                <w:rFonts w:ascii="Times New Roman" w:eastAsia="Calibri" w:hAnsi="Times New Roman" w:cs="Times New Roman"/>
                <w:b w:val="0"/>
                <w:bCs w:val="0"/>
                <w:sz w:val="24"/>
                <w:szCs w:val="24"/>
              </w:rPr>
            </w:pPr>
            <w:r w:rsidRPr="00791267">
              <w:rPr>
                <w:rFonts w:ascii="Times New Roman" w:eastAsia="Calibri" w:hAnsi="Times New Roman" w:cs="Times New Roman"/>
                <w:b w:val="0"/>
                <w:bCs w:val="0"/>
                <w:sz w:val="24"/>
                <w:szCs w:val="24"/>
              </w:rPr>
              <w:t>principal POFR Rules</w:t>
            </w:r>
          </w:p>
        </w:tc>
        <w:tc>
          <w:tcPr>
            <w:tcW w:w="4513" w:type="dxa"/>
          </w:tcPr>
          <w:p w:rsidR="05A6DE22" w:rsidRPr="00791267" w:rsidRDefault="05A6DE2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791267">
              <w:rPr>
                <w:rFonts w:ascii="Times New Roman" w:eastAsia="Calibri" w:hAnsi="Times New Roman" w:cs="Times New Roman"/>
                <w:i/>
                <w:sz w:val="24"/>
                <w:szCs w:val="24"/>
              </w:rPr>
              <w:t>Petroleum and Other Fuels Reporting Rules 2017</w:t>
            </w:r>
            <w:r w:rsidR="00791267">
              <w:rPr>
                <w:rFonts w:ascii="Times New Roman" w:eastAsia="Calibri" w:hAnsi="Times New Roman" w:cs="Times New Roman"/>
                <w:sz w:val="24"/>
                <w:szCs w:val="24"/>
              </w:rPr>
              <w:t>, as amended by this Rule</w:t>
            </w:r>
          </w:p>
        </w:tc>
      </w:tr>
      <w:tr w:rsidR="05A6DE22" w:rsidRPr="00791267" w:rsidTr="4523AE5C">
        <w:tc>
          <w:tcPr>
            <w:cnfStyle w:val="001000000000" w:firstRow="0" w:lastRow="0" w:firstColumn="1" w:lastColumn="0" w:oddVBand="0" w:evenVBand="0" w:oddHBand="0" w:evenHBand="0" w:firstRowFirstColumn="0" w:firstRowLastColumn="0" w:lastRowFirstColumn="0" w:lastRowLastColumn="0"/>
            <w:tcW w:w="4513" w:type="dxa"/>
          </w:tcPr>
          <w:p w:rsidR="05A6DE22" w:rsidRPr="00791267" w:rsidRDefault="05A6DE22">
            <w:pPr>
              <w:rPr>
                <w:rFonts w:ascii="Times New Roman" w:eastAsia="Calibri" w:hAnsi="Times New Roman" w:cs="Times New Roman"/>
                <w:b w:val="0"/>
                <w:bCs w:val="0"/>
                <w:sz w:val="24"/>
                <w:szCs w:val="24"/>
              </w:rPr>
            </w:pPr>
            <w:r w:rsidRPr="00791267">
              <w:rPr>
                <w:rFonts w:ascii="Times New Roman" w:eastAsia="Calibri" w:hAnsi="Times New Roman" w:cs="Times New Roman"/>
                <w:b w:val="0"/>
                <w:bCs w:val="0"/>
                <w:sz w:val="24"/>
                <w:szCs w:val="24"/>
              </w:rPr>
              <w:t>the/this Rule</w:t>
            </w:r>
          </w:p>
        </w:tc>
        <w:tc>
          <w:tcPr>
            <w:tcW w:w="4513" w:type="dxa"/>
          </w:tcPr>
          <w:p w:rsidR="05A6DE22" w:rsidRPr="00791267" w:rsidRDefault="05A6DE2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4"/>
                <w:szCs w:val="24"/>
              </w:rPr>
            </w:pPr>
            <w:r w:rsidRPr="00791267">
              <w:rPr>
                <w:rFonts w:ascii="Times New Roman" w:eastAsia="Calibri" w:hAnsi="Times New Roman" w:cs="Times New Roman"/>
                <w:i/>
                <w:sz w:val="24"/>
                <w:szCs w:val="24"/>
              </w:rPr>
              <w:t>Petroleum and Other Fuels Reporting Amendment (Fuel Security Services Payment) Rule 2021</w:t>
            </w:r>
          </w:p>
        </w:tc>
      </w:tr>
      <w:tr w:rsidR="009F7B1D" w:rsidRPr="00791267" w:rsidTr="4523AE5C">
        <w:tc>
          <w:tcPr>
            <w:cnfStyle w:val="001000000000" w:firstRow="0" w:lastRow="0" w:firstColumn="1" w:lastColumn="0" w:oddVBand="0" w:evenVBand="0" w:oddHBand="0" w:evenHBand="0" w:firstRowFirstColumn="0" w:firstRowLastColumn="0" w:lastRowFirstColumn="0" w:lastRowLastColumn="0"/>
            <w:tcW w:w="4513" w:type="dxa"/>
          </w:tcPr>
          <w:p w:rsidR="009F7B1D" w:rsidRPr="009F7B1D" w:rsidRDefault="009F7B1D">
            <w:pPr>
              <w:rPr>
                <w:rFonts w:ascii="Times New Roman" w:eastAsia="Calibri" w:hAnsi="Times New Roman" w:cs="Times New Roman"/>
                <w:b w:val="0"/>
                <w:sz w:val="24"/>
                <w:szCs w:val="24"/>
              </w:rPr>
            </w:pPr>
            <w:r w:rsidRPr="009F7B1D">
              <w:rPr>
                <w:rFonts w:ascii="Times New Roman" w:eastAsia="Calibri" w:hAnsi="Times New Roman" w:cs="Times New Roman"/>
                <w:b w:val="0"/>
                <w:sz w:val="24"/>
                <w:szCs w:val="24"/>
              </w:rPr>
              <w:t>Secretary</w:t>
            </w:r>
          </w:p>
        </w:tc>
        <w:tc>
          <w:tcPr>
            <w:tcW w:w="4513" w:type="dxa"/>
          </w:tcPr>
          <w:p w:rsidR="009F7B1D" w:rsidRPr="009F7B1D" w:rsidRDefault="009F7B1D" w:rsidP="009F7B1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9F7B1D">
              <w:rPr>
                <w:rFonts w:ascii="Times New Roman" w:eastAsia="Calibri" w:hAnsi="Times New Roman" w:cs="Times New Roman"/>
                <w:sz w:val="24"/>
                <w:szCs w:val="24"/>
              </w:rPr>
              <w:t>The Secretary of the Department that is responsible for administering the POFR Act and principal POFR Rules (presently, the Department of Industry, Science, Energy and Resources).</w:t>
            </w:r>
          </w:p>
        </w:tc>
      </w:tr>
    </w:tbl>
    <w:p w:rsidR="6C21EC60" w:rsidRDefault="6C21EC60"/>
    <w:p w:rsidR="7A37929F" w:rsidRDefault="7A37929F">
      <w:r>
        <w:br w:type="page"/>
      </w:r>
    </w:p>
    <w:p w:rsidR="000611C3" w:rsidRPr="000611C3" w:rsidRDefault="000611C3" w:rsidP="000611C3">
      <w:pPr>
        <w:spacing w:before="240" w:after="240" w:line="276" w:lineRule="auto"/>
        <w:rPr>
          <w:rFonts w:ascii="Times New Roman" w:eastAsia="Calibri" w:hAnsi="Times New Roman" w:cs="Times New Roman"/>
          <w:b/>
          <w:sz w:val="24"/>
          <w:szCs w:val="24"/>
        </w:rPr>
      </w:pPr>
      <w:r w:rsidRPr="000611C3">
        <w:rPr>
          <w:rFonts w:ascii="Times New Roman" w:eastAsia="Calibri" w:hAnsi="Times New Roman" w:cs="Times New Roman"/>
          <w:b/>
          <w:sz w:val="24"/>
          <w:szCs w:val="24"/>
          <w:u w:val="single"/>
        </w:rPr>
        <w:t xml:space="preserve">Details of the </w:t>
      </w:r>
      <w:r w:rsidR="00BC0018" w:rsidRPr="00BC0018">
        <w:rPr>
          <w:rFonts w:ascii="Times New Roman" w:eastAsia="Calibri" w:hAnsi="Times New Roman" w:cs="Times New Roman"/>
          <w:b/>
          <w:i/>
          <w:sz w:val="24"/>
          <w:szCs w:val="24"/>
          <w:u w:val="single"/>
        </w:rPr>
        <w:t>Petroleum and Other Fuels Reporting Amendment (Fuel Security Services Payment) Rule 2021</w:t>
      </w:r>
    </w:p>
    <w:p w:rsidR="000611C3" w:rsidRPr="000611C3" w:rsidRDefault="000611C3" w:rsidP="000611C3">
      <w:pPr>
        <w:spacing w:before="240" w:after="240" w:line="276" w:lineRule="auto"/>
        <w:rPr>
          <w:rFonts w:ascii="Times New Roman" w:eastAsia="Calibri" w:hAnsi="Times New Roman" w:cs="Times New Roman"/>
          <w:b/>
          <w:sz w:val="24"/>
          <w:szCs w:val="24"/>
        </w:rPr>
      </w:pPr>
      <w:r w:rsidRPr="000611C3">
        <w:rPr>
          <w:rFonts w:ascii="Times New Roman" w:eastAsia="Calibri" w:hAnsi="Times New Roman" w:cs="Times New Roman"/>
          <w:b/>
          <w:sz w:val="24"/>
          <w:szCs w:val="24"/>
        </w:rPr>
        <w:t>PART 1 – PRELIMINARY</w:t>
      </w:r>
    </w:p>
    <w:p w:rsidR="000611C3" w:rsidRPr="000611C3" w:rsidRDefault="000611C3" w:rsidP="000611C3">
      <w:pPr>
        <w:spacing w:before="360" w:after="200" w:line="276" w:lineRule="auto"/>
        <w:rPr>
          <w:rFonts w:ascii="Times New Roman" w:eastAsia="Calibri" w:hAnsi="Times New Roman" w:cs="Times New Roman"/>
          <w:b/>
          <w:sz w:val="24"/>
          <w:szCs w:val="24"/>
        </w:rPr>
      </w:pPr>
      <w:r w:rsidRPr="000611C3">
        <w:rPr>
          <w:rFonts w:ascii="Times New Roman" w:eastAsia="Calibri" w:hAnsi="Times New Roman" w:cs="Times New Roman"/>
          <w:b/>
          <w:sz w:val="24"/>
          <w:szCs w:val="24"/>
        </w:rPr>
        <w:t>Section 1 – Name</w:t>
      </w:r>
    </w:p>
    <w:p w:rsidR="000611C3" w:rsidRPr="000611C3" w:rsidRDefault="000611C3" w:rsidP="000611C3">
      <w:pPr>
        <w:spacing w:before="240" w:after="200" w:line="276" w:lineRule="auto"/>
        <w:rPr>
          <w:rFonts w:ascii="Times New Roman" w:eastAsia="Calibri" w:hAnsi="Times New Roman" w:cs="Times New Roman"/>
          <w:sz w:val="24"/>
          <w:szCs w:val="24"/>
        </w:rPr>
      </w:pPr>
      <w:r w:rsidRPr="000611C3">
        <w:rPr>
          <w:rFonts w:ascii="Times New Roman" w:eastAsia="Calibri" w:hAnsi="Times New Roman" w:cs="Times New Roman"/>
          <w:sz w:val="24"/>
          <w:szCs w:val="24"/>
        </w:rPr>
        <w:t xml:space="preserve">This section specifies the name of this instrument made under the Act as the </w:t>
      </w:r>
      <w:r w:rsidR="00BC0018" w:rsidRPr="00BC0018">
        <w:rPr>
          <w:rFonts w:ascii="Times New Roman" w:eastAsia="Calibri" w:hAnsi="Times New Roman" w:cs="Times New Roman"/>
          <w:i/>
          <w:sz w:val="24"/>
          <w:szCs w:val="24"/>
        </w:rPr>
        <w:t xml:space="preserve">Petroleum and Other Fuels Reporting Amendment (Fuel Security Services Payment) Rule 2021 </w:t>
      </w:r>
      <w:r w:rsidRPr="000611C3">
        <w:rPr>
          <w:rFonts w:ascii="Times New Roman" w:eastAsia="Calibri" w:hAnsi="Times New Roman" w:cs="Times New Roman"/>
          <w:sz w:val="24"/>
          <w:szCs w:val="24"/>
        </w:rPr>
        <w:t>(the Rule)</w:t>
      </w:r>
      <w:r w:rsidRPr="000611C3">
        <w:rPr>
          <w:rFonts w:ascii="Times New Roman" w:eastAsia="Calibri" w:hAnsi="Times New Roman" w:cs="Times New Roman"/>
          <w:i/>
          <w:sz w:val="24"/>
          <w:szCs w:val="24"/>
        </w:rPr>
        <w:t>.</w:t>
      </w:r>
    </w:p>
    <w:p w:rsidR="000611C3" w:rsidRPr="000611C3" w:rsidRDefault="000611C3" w:rsidP="000611C3">
      <w:pPr>
        <w:tabs>
          <w:tab w:val="left" w:pos="5220"/>
        </w:tabs>
        <w:spacing w:before="240" w:after="200" w:line="276" w:lineRule="auto"/>
        <w:rPr>
          <w:rFonts w:ascii="Times New Roman" w:eastAsia="Calibri" w:hAnsi="Times New Roman" w:cs="Times New Roman"/>
          <w:b/>
          <w:sz w:val="24"/>
          <w:szCs w:val="24"/>
        </w:rPr>
      </w:pPr>
      <w:r w:rsidRPr="000611C3">
        <w:rPr>
          <w:rFonts w:ascii="Times New Roman" w:eastAsia="Calibri" w:hAnsi="Times New Roman" w:cs="Times New Roman"/>
          <w:b/>
          <w:sz w:val="24"/>
          <w:szCs w:val="24"/>
        </w:rPr>
        <w:t>Section 2 – Commencement</w:t>
      </w:r>
    </w:p>
    <w:p w:rsidR="000611C3" w:rsidRPr="000611C3" w:rsidRDefault="000611C3" w:rsidP="000611C3">
      <w:pPr>
        <w:spacing w:before="240" w:after="100" w:afterAutospacing="1" w:line="276" w:lineRule="auto"/>
        <w:rPr>
          <w:rFonts w:ascii="Times New Roman" w:eastAsia="Calibri" w:hAnsi="Times New Roman" w:cs="Times New Roman"/>
          <w:sz w:val="24"/>
          <w:szCs w:val="24"/>
        </w:rPr>
      </w:pPr>
      <w:r w:rsidRPr="000611C3">
        <w:rPr>
          <w:rFonts w:ascii="Times New Roman" w:eastAsia="Calibri" w:hAnsi="Times New Roman" w:cs="Times New Roman"/>
          <w:sz w:val="24"/>
          <w:szCs w:val="24"/>
        </w:rPr>
        <w:t xml:space="preserve">This section provides that the Rule commenced on </w:t>
      </w:r>
      <w:r w:rsidRPr="000611C3">
        <w:rPr>
          <w:rFonts w:ascii="Times New Roman" w:eastAsia="Calibri" w:hAnsi="Times New Roman" w:cs="Times New Roman"/>
          <w:color w:val="000000"/>
          <w:sz w:val="24"/>
          <w:szCs w:val="24"/>
        </w:rPr>
        <w:t>the day after it was registered on the Federal Register of Legislation</w:t>
      </w:r>
      <w:r w:rsidRPr="000611C3">
        <w:rPr>
          <w:rFonts w:ascii="Times New Roman" w:eastAsia="Calibri" w:hAnsi="Times New Roman" w:cs="Times New Roman"/>
          <w:sz w:val="24"/>
          <w:szCs w:val="24"/>
        </w:rPr>
        <w:t>.</w:t>
      </w:r>
    </w:p>
    <w:p w:rsidR="000611C3" w:rsidRPr="000611C3" w:rsidRDefault="000611C3" w:rsidP="000611C3">
      <w:pPr>
        <w:tabs>
          <w:tab w:val="left" w:pos="2610"/>
        </w:tabs>
        <w:spacing w:before="240" w:after="200" w:line="276" w:lineRule="auto"/>
        <w:rPr>
          <w:rFonts w:ascii="Times New Roman" w:eastAsia="Calibri" w:hAnsi="Times New Roman" w:cs="Times New Roman"/>
          <w:b/>
          <w:sz w:val="24"/>
          <w:szCs w:val="24"/>
        </w:rPr>
      </w:pPr>
      <w:r w:rsidRPr="000611C3">
        <w:rPr>
          <w:rFonts w:ascii="Times New Roman" w:eastAsia="Calibri" w:hAnsi="Times New Roman" w:cs="Times New Roman"/>
          <w:b/>
          <w:sz w:val="24"/>
          <w:szCs w:val="24"/>
        </w:rPr>
        <w:t>Section 3 – Authority</w:t>
      </w:r>
    </w:p>
    <w:p w:rsidR="000611C3" w:rsidRPr="000611C3" w:rsidRDefault="000611C3" w:rsidP="000611C3">
      <w:pPr>
        <w:spacing w:before="240" w:after="200" w:line="276" w:lineRule="auto"/>
        <w:rPr>
          <w:rFonts w:ascii="Times New Roman" w:eastAsia="Calibri" w:hAnsi="Times New Roman" w:cs="Times New Roman"/>
          <w:sz w:val="24"/>
          <w:szCs w:val="24"/>
        </w:rPr>
      </w:pPr>
      <w:r w:rsidRPr="000611C3">
        <w:rPr>
          <w:rFonts w:ascii="Times New Roman" w:eastAsia="Calibri" w:hAnsi="Times New Roman" w:cs="Times New Roman"/>
          <w:sz w:val="24"/>
          <w:szCs w:val="24"/>
        </w:rPr>
        <w:t>This section sets out the provision of the</w:t>
      </w:r>
      <w:r w:rsidR="0005660A">
        <w:rPr>
          <w:rFonts w:ascii="Times New Roman" w:eastAsia="Calibri" w:hAnsi="Times New Roman" w:cs="Times New Roman"/>
          <w:sz w:val="24"/>
          <w:szCs w:val="24"/>
        </w:rPr>
        <w:t xml:space="preserve"> POFR</w:t>
      </w:r>
      <w:r w:rsidRPr="000611C3">
        <w:rPr>
          <w:rFonts w:ascii="Times New Roman" w:eastAsia="Calibri" w:hAnsi="Times New Roman" w:cs="Times New Roman"/>
          <w:sz w:val="24"/>
          <w:szCs w:val="24"/>
        </w:rPr>
        <w:t xml:space="preserve"> Act under which the Rule </w:t>
      </w:r>
      <w:r w:rsidR="007D27D0">
        <w:rPr>
          <w:rFonts w:ascii="Times New Roman" w:eastAsia="Calibri" w:hAnsi="Times New Roman" w:cs="Times New Roman"/>
          <w:sz w:val="24"/>
          <w:szCs w:val="24"/>
        </w:rPr>
        <w:t>is</w:t>
      </w:r>
      <w:r w:rsidRPr="000611C3">
        <w:rPr>
          <w:rFonts w:ascii="Times New Roman" w:eastAsia="Calibri" w:hAnsi="Times New Roman" w:cs="Times New Roman"/>
          <w:sz w:val="24"/>
          <w:szCs w:val="24"/>
        </w:rPr>
        <w:t xml:space="preserve"> made</w:t>
      </w:r>
      <w:r w:rsidR="00A1056A">
        <w:rPr>
          <w:rFonts w:ascii="Times New Roman" w:eastAsia="Calibri" w:hAnsi="Times New Roman" w:cs="Times New Roman"/>
          <w:sz w:val="24"/>
          <w:szCs w:val="24"/>
        </w:rPr>
        <w:t xml:space="preserve">, </w:t>
      </w:r>
      <w:r w:rsidR="007E233E">
        <w:rPr>
          <w:rFonts w:ascii="Times New Roman" w:eastAsia="Calibri" w:hAnsi="Times New Roman" w:cs="Times New Roman"/>
          <w:sz w:val="24"/>
          <w:szCs w:val="24"/>
        </w:rPr>
        <w:t xml:space="preserve">in particular </w:t>
      </w:r>
      <w:r w:rsidR="00A1056A">
        <w:rPr>
          <w:rFonts w:ascii="Times New Roman" w:eastAsia="Calibri" w:hAnsi="Times New Roman" w:cs="Times New Roman"/>
          <w:sz w:val="24"/>
          <w:szCs w:val="24"/>
        </w:rPr>
        <w:t>section 41</w:t>
      </w:r>
      <w:r w:rsidR="007E233E">
        <w:rPr>
          <w:rFonts w:ascii="Times New Roman" w:eastAsia="Calibri" w:hAnsi="Times New Roman" w:cs="Times New Roman"/>
          <w:sz w:val="24"/>
          <w:szCs w:val="24"/>
        </w:rPr>
        <w:t xml:space="preserve"> of the </w:t>
      </w:r>
      <w:r w:rsidR="00FE0374">
        <w:rPr>
          <w:rFonts w:ascii="Times New Roman" w:eastAsia="Calibri" w:hAnsi="Times New Roman" w:cs="Times New Roman"/>
          <w:sz w:val="24"/>
          <w:szCs w:val="24"/>
        </w:rPr>
        <w:t xml:space="preserve">POFR </w:t>
      </w:r>
      <w:r w:rsidR="007E233E">
        <w:rPr>
          <w:rFonts w:ascii="Times New Roman" w:eastAsia="Calibri" w:hAnsi="Times New Roman" w:cs="Times New Roman"/>
          <w:sz w:val="24"/>
          <w:szCs w:val="24"/>
        </w:rPr>
        <w:t xml:space="preserve">Act </w:t>
      </w:r>
      <w:r w:rsidR="00735A45">
        <w:rPr>
          <w:rFonts w:ascii="Times New Roman" w:eastAsia="Calibri" w:hAnsi="Times New Roman" w:cs="Times New Roman"/>
          <w:sz w:val="24"/>
          <w:szCs w:val="24"/>
        </w:rPr>
        <w:t>confers power on the Minister to make legislative rules</w:t>
      </w:r>
      <w:r w:rsidRPr="000611C3">
        <w:rPr>
          <w:rFonts w:ascii="Times New Roman" w:eastAsia="Calibri" w:hAnsi="Times New Roman" w:cs="Times New Roman"/>
          <w:sz w:val="24"/>
          <w:szCs w:val="24"/>
        </w:rPr>
        <w:t>.</w:t>
      </w:r>
      <w:r w:rsidR="00A1056A">
        <w:rPr>
          <w:rFonts w:ascii="Times New Roman" w:eastAsia="Calibri" w:hAnsi="Times New Roman" w:cs="Times New Roman"/>
          <w:sz w:val="24"/>
          <w:szCs w:val="24"/>
        </w:rPr>
        <w:t xml:space="preserve"> </w:t>
      </w:r>
      <w:r w:rsidR="00A1056A">
        <w:rPr>
          <w:rFonts w:ascii="Times New Roman" w:hAnsi="Times New Roman" w:cs="Times New Roman"/>
          <w:sz w:val="24"/>
          <w:szCs w:val="24"/>
        </w:rPr>
        <w:t xml:space="preserve">The power to make rules under this section includes the power to amend or revoke rules that have already been made, with any doubt about this resolved by subsection 33(3) of the </w:t>
      </w:r>
      <w:r w:rsidR="00A1056A">
        <w:rPr>
          <w:rFonts w:ascii="Times New Roman" w:hAnsi="Times New Roman" w:cs="Times New Roman"/>
          <w:i/>
          <w:iCs/>
          <w:sz w:val="24"/>
          <w:szCs w:val="24"/>
        </w:rPr>
        <w:t>Acts Interpretation Act 1901</w:t>
      </w:r>
      <w:r w:rsidR="00A1056A">
        <w:rPr>
          <w:rFonts w:ascii="Times New Roman" w:hAnsi="Times New Roman" w:cs="Times New Roman"/>
          <w:sz w:val="24"/>
          <w:szCs w:val="24"/>
        </w:rPr>
        <w:t>.</w:t>
      </w:r>
    </w:p>
    <w:p w:rsidR="000611C3" w:rsidRPr="000611C3" w:rsidRDefault="000611C3" w:rsidP="000611C3">
      <w:pPr>
        <w:spacing w:before="240" w:after="200" w:line="276" w:lineRule="auto"/>
        <w:rPr>
          <w:rFonts w:ascii="Times New Roman" w:eastAsia="Calibri" w:hAnsi="Times New Roman" w:cs="Times New Roman"/>
          <w:b/>
          <w:sz w:val="24"/>
          <w:szCs w:val="24"/>
        </w:rPr>
      </w:pPr>
      <w:r w:rsidRPr="000611C3">
        <w:rPr>
          <w:rFonts w:ascii="Times New Roman" w:eastAsia="Calibri" w:hAnsi="Times New Roman" w:cs="Times New Roman"/>
          <w:b/>
          <w:sz w:val="24"/>
          <w:szCs w:val="24"/>
        </w:rPr>
        <w:t xml:space="preserve">Section 4 – </w:t>
      </w:r>
      <w:r w:rsidR="00924BCE">
        <w:rPr>
          <w:rFonts w:ascii="Times New Roman" w:eastAsia="Calibri" w:hAnsi="Times New Roman" w:cs="Times New Roman"/>
          <w:b/>
          <w:sz w:val="24"/>
          <w:szCs w:val="24"/>
        </w:rPr>
        <w:t>Schedules</w:t>
      </w:r>
    </w:p>
    <w:p w:rsidR="000611C3" w:rsidRPr="000611C3" w:rsidRDefault="000611C3" w:rsidP="000611C3">
      <w:pPr>
        <w:spacing w:before="240" w:after="200" w:line="276" w:lineRule="auto"/>
        <w:rPr>
          <w:rFonts w:ascii="Times New Roman" w:eastAsia="Calibri" w:hAnsi="Times New Roman" w:cs="Times New Roman"/>
          <w:sz w:val="24"/>
          <w:szCs w:val="24"/>
        </w:rPr>
      </w:pPr>
      <w:r w:rsidRPr="000611C3">
        <w:rPr>
          <w:rFonts w:ascii="Times New Roman" w:eastAsia="Calibri" w:hAnsi="Times New Roman" w:cs="Times New Roman"/>
          <w:sz w:val="24"/>
          <w:szCs w:val="24"/>
        </w:rPr>
        <w:t xml:space="preserve">This section </w:t>
      </w:r>
      <w:r w:rsidR="00383373">
        <w:rPr>
          <w:rFonts w:ascii="Times New Roman" w:eastAsia="Calibri" w:hAnsi="Times New Roman" w:cs="Times New Roman"/>
          <w:sz w:val="24"/>
          <w:szCs w:val="24"/>
        </w:rPr>
        <w:t xml:space="preserve">is a machinery clause that </w:t>
      </w:r>
      <w:r w:rsidRPr="000611C3">
        <w:rPr>
          <w:rFonts w:ascii="Times New Roman" w:eastAsia="Calibri" w:hAnsi="Times New Roman" w:cs="Times New Roman"/>
          <w:sz w:val="24"/>
          <w:szCs w:val="24"/>
        </w:rPr>
        <w:t xml:space="preserve">provides </w:t>
      </w:r>
      <w:r w:rsidR="00924BCE" w:rsidRPr="00924BCE">
        <w:rPr>
          <w:rFonts w:ascii="Times New Roman" w:eastAsia="Calibri" w:hAnsi="Times New Roman" w:cs="Times New Roman"/>
          <w:sz w:val="24"/>
          <w:szCs w:val="24"/>
        </w:rPr>
        <w:t xml:space="preserve">that the Schedules to the </w:t>
      </w:r>
      <w:r w:rsidR="00924BCE">
        <w:rPr>
          <w:rFonts w:ascii="Times New Roman" w:eastAsia="Calibri" w:hAnsi="Times New Roman" w:cs="Times New Roman"/>
          <w:sz w:val="24"/>
          <w:szCs w:val="24"/>
        </w:rPr>
        <w:t>Rule</w:t>
      </w:r>
      <w:r w:rsidR="00924BCE" w:rsidRPr="00924BCE">
        <w:rPr>
          <w:rFonts w:ascii="Times New Roman" w:eastAsia="Calibri" w:hAnsi="Times New Roman" w:cs="Times New Roman"/>
          <w:sz w:val="24"/>
          <w:szCs w:val="24"/>
        </w:rPr>
        <w:t xml:space="preserve"> amend or repeal the </w:t>
      </w:r>
      <w:r w:rsidR="00924BCE">
        <w:rPr>
          <w:rFonts w:ascii="Times New Roman" w:eastAsia="Calibri" w:hAnsi="Times New Roman" w:cs="Times New Roman"/>
          <w:sz w:val="24"/>
          <w:szCs w:val="24"/>
        </w:rPr>
        <w:t>instruments</w:t>
      </w:r>
      <w:r w:rsidR="00924BCE" w:rsidRPr="00924BCE">
        <w:rPr>
          <w:rFonts w:ascii="Times New Roman" w:eastAsia="Calibri" w:hAnsi="Times New Roman" w:cs="Times New Roman"/>
          <w:sz w:val="24"/>
          <w:szCs w:val="24"/>
        </w:rPr>
        <w:t xml:space="preserve"> referred to therein in the manner set out in the Schedules.</w:t>
      </w:r>
      <w:r w:rsidR="00924BCE">
        <w:rPr>
          <w:rFonts w:ascii="Times New Roman" w:eastAsia="Calibri" w:hAnsi="Times New Roman" w:cs="Times New Roman"/>
          <w:sz w:val="24"/>
          <w:szCs w:val="24"/>
        </w:rPr>
        <w:t xml:space="preserve"> </w:t>
      </w:r>
    </w:p>
    <w:p w:rsidR="000611C3" w:rsidRPr="000611C3" w:rsidRDefault="000611C3" w:rsidP="000611C3">
      <w:pPr>
        <w:spacing w:before="240" w:after="240" w:line="276" w:lineRule="auto"/>
        <w:rPr>
          <w:rFonts w:ascii="Times New Roman" w:eastAsia="Calibri" w:hAnsi="Times New Roman" w:cs="Times New Roman"/>
          <w:b/>
          <w:sz w:val="24"/>
          <w:szCs w:val="24"/>
        </w:rPr>
      </w:pPr>
    </w:p>
    <w:p w:rsidR="000611C3" w:rsidRPr="000611C3" w:rsidRDefault="000611C3" w:rsidP="000611C3">
      <w:pPr>
        <w:spacing w:before="240" w:after="240" w:line="276" w:lineRule="auto"/>
        <w:rPr>
          <w:rFonts w:ascii="Times New Roman" w:eastAsia="Calibri" w:hAnsi="Times New Roman" w:cs="Times New Roman"/>
          <w:b/>
          <w:sz w:val="24"/>
          <w:szCs w:val="24"/>
        </w:rPr>
        <w:sectPr w:rsidR="000611C3" w:rsidRPr="000611C3">
          <w:pgSz w:w="11906" w:h="16838"/>
          <w:pgMar w:top="1440" w:right="1440" w:bottom="1440" w:left="1440" w:header="708" w:footer="708" w:gutter="0"/>
          <w:cols w:space="708"/>
          <w:docGrid w:linePitch="360"/>
        </w:sectPr>
      </w:pPr>
    </w:p>
    <w:p w:rsidR="00924BCE" w:rsidRPr="008577C4" w:rsidRDefault="00924BCE" w:rsidP="008577C4">
      <w:pPr>
        <w:pStyle w:val="Heading3"/>
        <w:spacing w:before="0"/>
        <w:rPr>
          <w:rFonts w:cs="Times New Roman"/>
          <w:b w:val="0"/>
        </w:rPr>
      </w:pPr>
      <w:bookmarkStart w:id="0" w:name="_Toc71639704"/>
      <w:bookmarkStart w:id="1" w:name="_Toc71641182"/>
      <w:bookmarkStart w:id="2" w:name="_Toc71641806"/>
      <w:bookmarkStart w:id="3" w:name="_Toc72136626"/>
      <w:r w:rsidRPr="008577C4">
        <w:rPr>
          <w:rFonts w:cs="Times New Roman"/>
          <w:b w:val="0"/>
        </w:rPr>
        <w:t>Schedule 1—Amendments</w:t>
      </w:r>
      <w:bookmarkStart w:id="4" w:name="_Toc69378704"/>
      <w:bookmarkEnd w:id="0"/>
      <w:bookmarkEnd w:id="1"/>
      <w:bookmarkEnd w:id="2"/>
      <w:bookmarkEnd w:id="3"/>
    </w:p>
    <w:p w:rsidR="00924BCE" w:rsidRPr="008577C4" w:rsidRDefault="00924BCE" w:rsidP="00791267">
      <w:pPr>
        <w:spacing w:before="360" w:after="0" w:line="276" w:lineRule="auto"/>
        <w:rPr>
          <w:rFonts w:ascii="Times New Roman" w:hAnsi="Times New Roman" w:cs="Times New Roman"/>
          <w:b/>
          <w:i/>
          <w:sz w:val="24"/>
          <w:szCs w:val="24"/>
        </w:rPr>
      </w:pPr>
      <w:bookmarkStart w:id="5" w:name="_Toc74748974"/>
      <w:bookmarkEnd w:id="4"/>
      <w:r w:rsidRPr="008577C4">
        <w:rPr>
          <w:rFonts w:ascii="Times New Roman" w:hAnsi="Times New Roman" w:cs="Times New Roman"/>
          <w:b/>
          <w:i/>
          <w:sz w:val="24"/>
          <w:szCs w:val="24"/>
        </w:rPr>
        <w:t>Petroleum and Other Fuels Reporting Rules 2017</w:t>
      </w:r>
      <w:bookmarkEnd w:id="5"/>
    </w:p>
    <w:p w:rsidR="00924BCE" w:rsidRPr="008577C4" w:rsidRDefault="00924BCE" w:rsidP="00791267">
      <w:pPr>
        <w:spacing w:before="360" w:after="0" w:line="276" w:lineRule="auto"/>
        <w:rPr>
          <w:rFonts w:ascii="Times New Roman" w:hAnsi="Times New Roman" w:cs="Times New Roman"/>
          <w:b/>
          <w:sz w:val="24"/>
          <w:szCs w:val="24"/>
        </w:rPr>
      </w:pPr>
      <w:r w:rsidRPr="008577C4">
        <w:rPr>
          <w:rFonts w:ascii="Times New Roman" w:hAnsi="Times New Roman" w:cs="Times New Roman"/>
          <w:b/>
          <w:sz w:val="24"/>
          <w:szCs w:val="24"/>
        </w:rPr>
        <w:t>Item 1 – Section 4</w:t>
      </w:r>
    </w:p>
    <w:p w:rsidR="00924BCE" w:rsidRDefault="008577C4" w:rsidP="009B2BB2">
      <w:pPr>
        <w:spacing w:before="240" w:after="100" w:afterAutospacing="1" w:line="276" w:lineRule="auto"/>
        <w:rPr>
          <w:rFonts w:ascii="Times New Roman" w:eastAsia="Calibri" w:hAnsi="Times New Roman" w:cs="Times New Roman"/>
          <w:sz w:val="24"/>
          <w:szCs w:val="24"/>
        </w:rPr>
      </w:pPr>
      <w:r w:rsidRPr="009B2BB2">
        <w:rPr>
          <w:rFonts w:ascii="Times New Roman" w:eastAsia="Calibri" w:hAnsi="Times New Roman" w:cs="Times New Roman"/>
          <w:sz w:val="24"/>
          <w:szCs w:val="24"/>
        </w:rPr>
        <w:t xml:space="preserve">This item inserts new definitions of </w:t>
      </w:r>
      <w:r w:rsidR="000C39A8" w:rsidRPr="009B2BB2">
        <w:rPr>
          <w:rFonts w:ascii="Times New Roman" w:eastAsia="Calibri" w:hAnsi="Times New Roman" w:cs="Times New Roman"/>
          <w:sz w:val="24"/>
          <w:szCs w:val="24"/>
        </w:rPr>
        <w:t xml:space="preserve">key </w:t>
      </w:r>
      <w:r w:rsidRPr="009B2BB2">
        <w:rPr>
          <w:rFonts w:ascii="Times New Roman" w:eastAsia="Calibri" w:hAnsi="Times New Roman" w:cs="Times New Roman"/>
          <w:sz w:val="24"/>
          <w:szCs w:val="24"/>
        </w:rPr>
        <w:t xml:space="preserve">phrases </w:t>
      </w:r>
      <w:r w:rsidR="00791267">
        <w:rPr>
          <w:rFonts w:ascii="Times New Roman" w:eastAsia="Calibri" w:hAnsi="Times New Roman" w:cs="Times New Roman"/>
          <w:sz w:val="24"/>
          <w:szCs w:val="24"/>
        </w:rPr>
        <w:t xml:space="preserve">relating to the FSSP scheme </w:t>
      </w:r>
      <w:r w:rsidRPr="009B2BB2">
        <w:rPr>
          <w:rFonts w:ascii="Times New Roman" w:eastAsia="Calibri" w:hAnsi="Times New Roman" w:cs="Times New Roman"/>
          <w:sz w:val="24"/>
          <w:szCs w:val="24"/>
        </w:rPr>
        <w:t xml:space="preserve">into the definitions provision of the </w:t>
      </w:r>
      <w:r w:rsidR="00611932">
        <w:rPr>
          <w:rFonts w:ascii="Times New Roman" w:eastAsia="Calibri" w:hAnsi="Times New Roman" w:cs="Times New Roman"/>
          <w:sz w:val="24"/>
          <w:szCs w:val="24"/>
        </w:rPr>
        <w:t xml:space="preserve">principal </w:t>
      </w:r>
      <w:r w:rsidRPr="009B2BB2">
        <w:rPr>
          <w:rFonts w:ascii="Times New Roman" w:eastAsia="Calibri" w:hAnsi="Times New Roman" w:cs="Times New Roman"/>
          <w:sz w:val="24"/>
          <w:szCs w:val="24"/>
        </w:rPr>
        <w:t xml:space="preserve">POFR </w:t>
      </w:r>
      <w:r w:rsidR="00611932">
        <w:rPr>
          <w:rFonts w:ascii="Times New Roman" w:eastAsia="Calibri" w:hAnsi="Times New Roman" w:cs="Times New Roman"/>
          <w:sz w:val="24"/>
          <w:szCs w:val="24"/>
        </w:rPr>
        <w:t>R</w:t>
      </w:r>
      <w:r w:rsidRPr="009B2BB2">
        <w:rPr>
          <w:rFonts w:ascii="Times New Roman" w:eastAsia="Calibri" w:hAnsi="Times New Roman" w:cs="Times New Roman"/>
          <w:sz w:val="24"/>
          <w:szCs w:val="24"/>
        </w:rPr>
        <w:t>ules</w:t>
      </w:r>
      <w:r w:rsidR="00CF0FC6">
        <w:rPr>
          <w:rFonts w:ascii="Times New Roman" w:eastAsia="Calibri" w:hAnsi="Times New Roman" w:cs="Times New Roman"/>
          <w:sz w:val="24"/>
          <w:szCs w:val="24"/>
        </w:rPr>
        <w:t>. The primary purpose of these amendments is to ensure phrases such as “</w:t>
      </w:r>
      <w:r w:rsidR="00CF0FC6" w:rsidRPr="00CF0FC6">
        <w:rPr>
          <w:rFonts w:ascii="Times New Roman" w:eastAsia="Calibri" w:hAnsi="Times New Roman" w:cs="Times New Roman"/>
          <w:i/>
          <w:sz w:val="24"/>
          <w:szCs w:val="24"/>
        </w:rPr>
        <w:t>FSSP fuel</w:t>
      </w:r>
      <w:r w:rsidR="00CF0FC6">
        <w:rPr>
          <w:rFonts w:ascii="Times New Roman" w:eastAsia="Calibri" w:hAnsi="Times New Roman" w:cs="Times New Roman"/>
          <w:sz w:val="24"/>
          <w:szCs w:val="24"/>
        </w:rPr>
        <w:t>” and “</w:t>
      </w:r>
      <w:r w:rsidR="00CF0FC6" w:rsidRPr="00CF0FC6">
        <w:rPr>
          <w:rFonts w:ascii="Times New Roman" w:eastAsia="Calibri" w:hAnsi="Times New Roman" w:cs="Times New Roman"/>
          <w:i/>
          <w:sz w:val="24"/>
          <w:szCs w:val="24"/>
        </w:rPr>
        <w:t>registered greenhouse and energy auditor</w:t>
      </w:r>
      <w:r w:rsidR="00CF0FC6">
        <w:rPr>
          <w:rFonts w:ascii="Times New Roman" w:eastAsia="Calibri" w:hAnsi="Times New Roman" w:cs="Times New Roman"/>
          <w:sz w:val="24"/>
          <w:szCs w:val="24"/>
        </w:rPr>
        <w:t xml:space="preserve">” are defined consistently across the laws </w:t>
      </w:r>
      <w:r w:rsidR="0005660A">
        <w:rPr>
          <w:rFonts w:ascii="Times New Roman" w:eastAsia="Calibri" w:hAnsi="Times New Roman" w:cs="Times New Roman"/>
          <w:sz w:val="24"/>
          <w:szCs w:val="24"/>
        </w:rPr>
        <w:t>establishing</w:t>
      </w:r>
      <w:r w:rsidR="00CF0FC6">
        <w:rPr>
          <w:rFonts w:ascii="Times New Roman" w:eastAsia="Calibri" w:hAnsi="Times New Roman" w:cs="Times New Roman"/>
          <w:sz w:val="24"/>
          <w:szCs w:val="24"/>
        </w:rPr>
        <w:t xml:space="preserve"> the FSSP scheme, including </w:t>
      </w:r>
      <w:r w:rsidR="00791267">
        <w:rPr>
          <w:rFonts w:ascii="Times New Roman" w:eastAsia="Calibri" w:hAnsi="Times New Roman" w:cs="Times New Roman"/>
          <w:sz w:val="24"/>
          <w:szCs w:val="24"/>
        </w:rPr>
        <w:t xml:space="preserve">under </w:t>
      </w:r>
      <w:r w:rsidR="00CF0FC6">
        <w:rPr>
          <w:rFonts w:ascii="Times New Roman" w:eastAsia="Calibri" w:hAnsi="Times New Roman" w:cs="Times New Roman"/>
          <w:sz w:val="24"/>
          <w:szCs w:val="24"/>
        </w:rPr>
        <w:t xml:space="preserve">the </w:t>
      </w:r>
      <w:r w:rsidR="00CF0FC6" w:rsidRPr="00CF0FC6">
        <w:rPr>
          <w:rFonts w:ascii="Times New Roman" w:eastAsia="Calibri" w:hAnsi="Times New Roman" w:cs="Times New Roman"/>
          <w:i/>
          <w:sz w:val="24"/>
          <w:szCs w:val="24"/>
        </w:rPr>
        <w:t>Fuel Security Act 2021</w:t>
      </w:r>
      <w:r w:rsidR="00CF0FC6">
        <w:rPr>
          <w:rFonts w:ascii="Times New Roman" w:eastAsia="Calibri" w:hAnsi="Times New Roman" w:cs="Times New Roman"/>
          <w:sz w:val="24"/>
          <w:szCs w:val="24"/>
        </w:rPr>
        <w:t>, the FSSP Rule and the principal POFR Rules.</w:t>
      </w:r>
    </w:p>
    <w:p w:rsidR="00A1056A" w:rsidRDefault="00A1056A" w:rsidP="009B2BB2">
      <w:pPr>
        <w:spacing w:before="240" w:after="100" w:afterAutospacing="1"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 </w:t>
      </w:r>
      <w:r w:rsidRPr="00791267">
        <w:rPr>
          <w:rFonts w:ascii="Times New Roman" w:eastAsia="Calibri" w:hAnsi="Times New Roman" w:cs="Times New Roman"/>
          <w:i/>
          <w:sz w:val="24"/>
          <w:szCs w:val="24"/>
        </w:rPr>
        <w:t>Fuel Security (Fuel Security Services Payment) Rule 2021</w:t>
      </w:r>
      <w:r>
        <w:rPr>
          <w:rFonts w:ascii="Times New Roman" w:eastAsia="Calibri" w:hAnsi="Times New Roman" w:cs="Times New Roman"/>
          <w:i/>
          <w:sz w:val="24"/>
          <w:szCs w:val="24"/>
        </w:rPr>
        <w:t xml:space="preserve"> </w:t>
      </w:r>
      <w:r w:rsidRPr="00A45821">
        <w:rPr>
          <w:rFonts w:ascii="Times New Roman" w:eastAsia="Calibri" w:hAnsi="Times New Roman" w:cs="Times New Roman"/>
          <w:sz w:val="24"/>
          <w:szCs w:val="24"/>
        </w:rPr>
        <w:t>and</w:t>
      </w:r>
      <w:r>
        <w:rPr>
          <w:rFonts w:ascii="Times New Roman" w:eastAsia="Calibri" w:hAnsi="Times New Roman" w:cs="Times New Roman"/>
          <w:i/>
          <w:sz w:val="24"/>
          <w:szCs w:val="24"/>
        </w:rPr>
        <w:t xml:space="preserve"> </w:t>
      </w:r>
      <w:r w:rsidRPr="00791267">
        <w:rPr>
          <w:rFonts w:ascii="Times New Roman" w:eastAsia="Calibri" w:hAnsi="Times New Roman" w:cs="Times New Roman"/>
          <w:i/>
          <w:sz w:val="24"/>
          <w:szCs w:val="24"/>
        </w:rPr>
        <w:t>National Greenhouse and Energy Reporting (Audit) Determination 2009</w:t>
      </w: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 xml:space="preserve">are legislative instruments incorporated from time to time and available at </w:t>
      </w:r>
      <w:hyperlink r:id="rId15" w:history="1">
        <w:r w:rsidRPr="00B86997">
          <w:rPr>
            <w:rStyle w:val="Hyperlink"/>
            <w:rFonts w:ascii="Times New Roman" w:eastAsia="Calibri" w:hAnsi="Times New Roman" w:cs="Times New Roman"/>
            <w:sz w:val="24"/>
            <w:szCs w:val="24"/>
          </w:rPr>
          <w:t>www.legislation.gov.au</w:t>
        </w:r>
      </w:hyperlink>
      <w:r>
        <w:rPr>
          <w:rFonts w:ascii="Times New Roman" w:eastAsia="Calibri" w:hAnsi="Times New Roman" w:cs="Times New Roman"/>
          <w:sz w:val="24"/>
          <w:szCs w:val="24"/>
        </w:rPr>
        <w:t xml:space="preserve">. </w:t>
      </w:r>
    </w:p>
    <w:p w:rsidR="008577C4" w:rsidRPr="008577C4" w:rsidRDefault="008577C4" w:rsidP="008577C4">
      <w:pPr>
        <w:spacing w:after="0" w:line="276" w:lineRule="auto"/>
        <w:ind w:left="357" w:hanging="357"/>
        <w:rPr>
          <w:rFonts w:ascii="Times New Roman" w:hAnsi="Times New Roman" w:cs="Times New Roman"/>
          <w:b/>
          <w:bCs/>
          <w:sz w:val="24"/>
          <w:szCs w:val="24"/>
        </w:rPr>
      </w:pPr>
      <w:r>
        <w:rPr>
          <w:rFonts w:ascii="Times New Roman" w:hAnsi="Times New Roman" w:cs="Times New Roman"/>
          <w:b/>
          <w:bCs/>
          <w:sz w:val="24"/>
          <w:szCs w:val="24"/>
        </w:rPr>
        <w:t xml:space="preserve">Item 2 – </w:t>
      </w:r>
      <w:r w:rsidRPr="008577C4">
        <w:rPr>
          <w:rFonts w:ascii="Times New Roman" w:hAnsi="Times New Roman" w:cs="Times New Roman"/>
          <w:b/>
          <w:bCs/>
          <w:sz w:val="24"/>
          <w:szCs w:val="24"/>
        </w:rPr>
        <w:t>At the end of Division 3 of Part 2</w:t>
      </w:r>
    </w:p>
    <w:p w:rsidR="00FB1D38" w:rsidRDefault="00FB1D38" w:rsidP="000C39A8">
      <w:pPr>
        <w:spacing w:after="0" w:line="276" w:lineRule="auto"/>
        <w:ind w:left="357" w:hanging="357"/>
        <w:rPr>
          <w:rFonts w:ascii="Times New Roman" w:hAnsi="Times New Roman" w:cs="Times New Roman"/>
          <w:i/>
          <w:sz w:val="24"/>
          <w:szCs w:val="24"/>
        </w:rPr>
      </w:pPr>
      <w:bookmarkStart w:id="6" w:name="_Toc497725301"/>
      <w:bookmarkStart w:id="7" w:name="_Toc74748975"/>
    </w:p>
    <w:p w:rsidR="000C39A8" w:rsidRPr="000C39A8" w:rsidRDefault="000C39A8" w:rsidP="000C39A8">
      <w:pPr>
        <w:spacing w:after="0" w:line="276" w:lineRule="auto"/>
        <w:ind w:left="357" w:hanging="357"/>
        <w:rPr>
          <w:rFonts w:ascii="Times New Roman" w:hAnsi="Times New Roman" w:cs="Times New Roman"/>
          <w:i/>
          <w:sz w:val="24"/>
          <w:szCs w:val="24"/>
        </w:rPr>
      </w:pPr>
      <w:r>
        <w:rPr>
          <w:rFonts w:ascii="Times New Roman" w:hAnsi="Times New Roman" w:cs="Times New Roman"/>
          <w:i/>
          <w:sz w:val="24"/>
          <w:szCs w:val="24"/>
        </w:rPr>
        <w:t xml:space="preserve">New </w:t>
      </w:r>
      <w:r w:rsidRPr="000C39A8">
        <w:rPr>
          <w:rFonts w:ascii="Times New Roman" w:hAnsi="Times New Roman" w:cs="Times New Roman"/>
          <w:i/>
          <w:sz w:val="24"/>
          <w:szCs w:val="24"/>
        </w:rPr>
        <w:t>Subdivision C—Reports</w:t>
      </w:r>
      <w:bookmarkEnd w:id="6"/>
      <w:r w:rsidRPr="000C39A8">
        <w:rPr>
          <w:rFonts w:ascii="Times New Roman" w:hAnsi="Times New Roman" w:cs="Times New Roman"/>
          <w:i/>
          <w:sz w:val="24"/>
          <w:szCs w:val="24"/>
        </w:rPr>
        <w:t xml:space="preserve"> related to Fuel Security Services Payment</w:t>
      </w:r>
      <w:bookmarkEnd w:id="7"/>
    </w:p>
    <w:p w:rsidR="00611932" w:rsidRDefault="009B2BB2" w:rsidP="009B2BB2">
      <w:pPr>
        <w:spacing w:before="240" w:after="100" w:afterAutospacing="1" w:line="276" w:lineRule="auto"/>
        <w:rPr>
          <w:rFonts w:ascii="Times New Roman" w:eastAsia="Calibri" w:hAnsi="Times New Roman" w:cs="Times New Roman"/>
          <w:sz w:val="24"/>
          <w:szCs w:val="24"/>
        </w:rPr>
      </w:pPr>
      <w:bookmarkStart w:id="8" w:name="_Toc497725302"/>
      <w:bookmarkStart w:id="9" w:name="_Toc74748976"/>
      <w:r w:rsidRPr="009B2BB2">
        <w:rPr>
          <w:rFonts w:ascii="Times New Roman" w:eastAsia="Calibri" w:hAnsi="Times New Roman" w:cs="Times New Roman"/>
          <w:sz w:val="24"/>
          <w:szCs w:val="24"/>
        </w:rPr>
        <w:t xml:space="preserve">This item inserts new Subdivision C </w:t>
      </w:r>
      <w:r w:rsidR="001E1662">
        <w:rPr>
          <w:rFonts w:ascii="Times New Roman" w:eastAsia="Calibri" w:hAnsi="Times New Roman" w:cs="Times New Roman"/>
          <w:sz w:val="24"/>
          <w:szCs w:val="24"/>
        </w:rPr>
        <w:t>(</w:t>
      </w:r>
      <w:r w:rsidRPr="009B2BB2">
        <w:rPr>
          <w:rFonts w:ascii="Times New Roman" w:eastAsia="Calibri" w:hAnsi="Times New Roman" w:cs="Times New Roman"/>
          <w:sz w:val="24"/>
          <w:szCs w:val="24"/>
        </w:rPr>
        <w:t>Reports related to Fuel Security Services Payment</w:t>
      </w:r>
      <w:r w:rsidR="001E1662">
        <w:rPr>
          <w:rFonts w:ascii="Times New Roman" w:eastAsia="Calibri" w:hAnsi="Times New Roman" w:cs="Times New Roman"/>
          <w:sz w:val="24"/>
          <w:szCs w:val="24"/>
        </w:rPr>
        <w:t>)</w:t>
      </w:r>
      <w:r w:rsidRPr="009B2BB2">
        <w:rPr>
          <w:rFonts w:ascii="Times New Roman" w:eastAsia="Calibri" w:hAnsi="Times New Roman" w:cs="Times New Roman"/>
          <w:sz w:val="24"/>
          <w:szCs w:val="24"/>
        </w:rPr>
        <w:t xml:space="preserve"> into Division 3 </w:t>
      </w:r>
      <w:r w:rsidR="001E1662">
        <w:rPr>
          <w:rFonts w:ascii="Times New Roman" w:eastAsia="Calibri" w:hAnsi="Times New Roman" w:cs="Times New Roman"/>
          <w:sz w:val="24"/>
          <w:szCs w:val="24"/>
        </w:rPr>
        <w:t>(</w:t>
      </w:r>
      <w:r w:rsidRPr="009B2BB2">
        <w:rPr>
          <w:rFonts w:ascii="Times New Roman" w:eastAsia="Calibri" w:hAnsi="Times New Roman" w:cs="Times New Roman"/>
          <w:sz w:val="24"/>
          <w:szCs w:val="24"/>
        </w:rPr>
        <w:t>Reports</w:t>
      </w:r>
      <w:r w:rsidR="001E1662">
        <w:rPr>
          <w:rFonts w:ascii="Times New Roman" w:eastAsia="Calibri" w:hAnsi="Times New Roman" w:cs="Times New Roman"/>
          <w:sz w:val="24"/>
          <w:szCs w:val="24"/>
        </w:rPr>
        <w:t>)</w:t>
      </w:r>
      <w:r w:rsidRPr="009B2BB2">
        <w:rPr>
          <w:rFonts w:ascii="Times New Roman" w:eastAsia="Calibri" w:hAnsi="Times New Roman" w:cs="Times New Roman"/>
          <w:sz w:val="24"/>
          <w:szCs w:val="24"/>
        </w:rPr>
        <w:t xml:space="preserve"> of </w:t>
      </w:r>
      <w:r w:rsidR="001E1662">
        <w:rPr>
          <w:rFonts w:ascii="Times New Roman" w:eastAsia="Calibri" w:hAnsi="Times New Roman" w:cs="Times New Roman"/>
          <w:sz w:val="24"/>
          <w:szCs w:val="24"/>
        </w:rPr>
        <w:t>Part 2 (</w:t>
      </w:r>
      <w:r w:rsidRPr="009B2BB2">
        <w:rPr>
          <w:rFonts w:ascii="Times New Roman" w:eastAsia="Calibri" w:hAnsi="Times New Roman" w:cs="Times New Roman"/>
          <w:sz w:val="24"/>
          <w:szCs w:val="24"/>
        </w:rPr>
        <w:t>Reports of fuel information</w:t>
      </w:r>
      <w:r w:rsidR="001E1662">
        <w:rPr>
          <w:rFonts w:ascii="Times New Roman" w:eastAsia="Calibri" w:hAnsi="Times New Roman" w:cs="Times New Roman"/>
          <w:sz w:val="24"/>
          <w:szCs w:val="24"/>
        </w:rPr>
        <w:t>)</w:t>
      </w:r>
      <w:r w:rsidRPr="009B2BB2">
        <w:rPr>
          <w:rFonts w:ascii="Times New Roman" w:eastAsia="Calibri" w:hAnsi="Times New Roman" w:cs="Times New Roman"/>
          <w:sz w:val="24"/>
          <w:szCs w:val="24"/>
        </w:rPr>
        <w:t xml:space="preserve"> of the </w:t>
      </w:r>
      <w:r w:rsidR="00611932">
        <w:rPr>
          <w:rFonts w:ascii="Times New Roman" w:eastAsia="Calibri" w:hAnsi="Times New Roman" w:cs="Times New Roman"/>
          <w:sz w:val="24"/>
          <w:szCs w:val="24"/>
        </w:rPr>
        <w:t xml:space="preserve">principal </w:t>
      </w:r>
      <w:r w:rsidRPr="009B2BB2">
        <w:rPr>
          <w:rFonts w:ascii="Times New Roman" w:eastAsia="Calibri" w:hAnsi="Times New Roman" w:cs="Times New Roman"/>
          <w:sz w:val="24"/>
          <w:szCs w:val="24"/>
        </w:rPr>
        <w:t>POFR Rules</w:t>
      </w:r>
      <w:r w:rsidR="00611932">
        <w:rPr>
          <w:rFonts w:ascii="Times New Roman" w:eastAsia="Calibri" w:hAnsi="Times New Roman" w:cs="Times New Roman"/>
          <w:sz w:val="24"/>
          <w:szCs w:val="24"/>
        </w:rPr>
        <w:t>. The new subdivision</w:t>
      </w:r>
      <w:r>
        <w:rPr>
          <w:rFonts w:ascii="Times New Roman" w:eastAsia="Calibri" w:hAnsi="Times New Roman" w:cs="Times New Roman"/>
          <w:sz w:val="24"/>
          <w:szCs w:val="24"/>
        </w:rPr>
        <w:t xml:space="preserve"> compris</w:t>
      </w:r>
      <w:r w:rsidR="00611932">
        <w:rPr>
          <w:rFonts w:ascii="Times New Roman" w:eastAsia="Calibri" w:hAnsi="Times New Roman" w:cs="Times New Roman"/>
          <w:sz w:val="24"/>
          <w:szCs w:val="24"/>
        </w:rPr>
        <w:t>es</w:t>
      </w:r>
      <w:r>
        <w:rPr>
          <w:rFonts w:ascii="Times New Roman" w:eastAsia="Calibri" w:hAnsi="Times New Roman" w:cs="Times New Roman"/>
          <w:sz w:val="24"/>
          <w:szCs w:val="24"/>
        </w:rPr>
        <w:t xml:space="preserve"> new sections 19A-19C</w:t>
      </w:r>
      <w:r w:rsidR="00611932">
        <w:rPr>
          <w:rFonts w:ascii="Times New Roman" w:eastAsia="Calibri" w:hAnsi="Times New Roman" w:cs="Times New Roman"/>
          <w:sz w:val="24"/>
          <w:szCs w:val="24"/>
        </w:rPr>
        <w:t>,</w:t>
      </w:r>
      <w:r>
        <w:rPr>
          <w:rFonts w:ascii="Times New Roman" w:eastAsia="Calibri" w:hAnsi="Times New Roman" w:cs="Times New Roman"/>
          <w:sz w:val="24"/>
          <w:szCs w:val="24"/>
        </w:rPr>
        <w:t xml:space="preserve"> which </w:t>
      </w:r>
      <w:r w:rsidR="00611932">
        <w:rPr>
          <w:rFonts w:ascii="Times New Roman" w:eastAsia="Calibri" w:hAnsi="Times New Roman" w:cs="Times New Roman"/>
          <w:sz w:val="24"/>
          <w:szCs w:val="24"/>
        </w:rPr>
        <w:t>provide for:</w:t>
      </w:r>
    </w:p>
    <w:p w:rsidR="00611932" w:rsidRPr="000A1339" w:rsidRDefault="00611932" w:rsidP="000A1339">
      <w:pPr>
        <w:pStyle w:val="ListParagraph"/>
        <w:numPr>
          <w:ilvl w:val="0"/>
          <w:numId w:val="28"/>
        </w:numPr>
        <w:spacing w:before="240" w:after="100" w:afterAutospacing="1"/>
        <w:rPr>
          <w:rFonts w:ascii="Times New Roman" w:eastAsia="Calibri" w:hAnsi="Times New Roman" w:cs="Times New Roman"/>
          <w:sz w:val="24"/>
          <w:szCs w:val="24"/>
        </w:rPr>
      </w:pPr>
      <w:r w:rsidRPr="000A1339">
        <w:rPr>
          <w:rFonts w:ascii="Times New Roman" w:eastAsia="Calibri" w:hAnsi="Times New Roman" w:cs="Times New Roman"/>
          <w:sz w:val="24"/>
          <w:szCs w:val="24"/>
        </w:rPr>
        <w:t>giving</w:t>
      </w:r>
      <w:r w:rsidR="00B844C8">
        <w:rPr>
          <w:rFonts w:ascii="Times New Roman" w:eastAsia="Calibri" w:hAnsi="Times New Roman" w:cs="Times New Roman"/>
          <w:sz w:val="24"/>
          <w:szCs w:val="24"/>
        </w:rPr>
        <w:t xml:space="preserve"> quarterly</w:t>
      </w:r>
      <w:r w:rsidRPr="000A1339">
        <w:rPr>
          <w:rFonts w:ascii="Times New Roman" w:eastAsia="Calibri" w:hAnsi="Times New Roman" w:cs="Times New Roman"/>
          <w:sz w:val="24"/>
          <w:szCs w:val="24"/>
        </w:rPr>
        <w:t xml:space="preserve"> reports </w:t>
      </w:r>
      <w:r w:rsidR="00B844C8">
        <w:rPr>
          <w:rFonts w:ascii="Times New Roman" w:eastAsia="Calibri" w:hAnsi="Times New Roman" w:cs="Times New Roman"/>
          <w:sz w:val="24"/>
          <w:szCs w:val="24"/>
        </w:rPr>
        <w:t xml:space="preserve">to the Secretary </w:t>
      </w:r>
      <w:r w:rsidRPr="000A1339">
        <w:rPr>
          <w:rFonts w:ascii="Times New Roman" w:eastAsia="Calibri" w:hAnsi="Times New Roman" w:cs="Times New Roman"/>
          <w:sz w:val="24"/>
          <w:szCs w:val="24"/>
        </w:rPr>
        <w:t xml:space="preserve">concerning the refining of FSSP fuels by a constitutional corporation </w:t>
      </w:r>
      <w:r w:rsidR="009B2BB2" w:rsidRPr="000A1339">
        <w:rPr>
          <w:rFonts w:ascii="Times New Roman" w:eastAsia="Calibri" w:hAnsi="Times New Roman" w:cs="Times New Roman"/>
          <w:sz w:val="24"/>
          <w:szCs w:val="24"/>
        </w:rPr>
        <w:t>which rela</w:t>
      </w:r>
      <w:r w:rsidRPr="000A1339">
        <w:rPr>
          <w:rFonts w:ascii="Times New Roman" w:eastAsia="Calibri" w:hAnsi="Times New Roman" w:cs="Times New Roman"/>
          <w:sz w:val="24"/>
          <w:szCs w:val="24"/>
        </w:rPr>
        <w:t xml:space="preserve">te to the </w:t>
      </w:r>
      <w:r w:rsidR="00245508">
        <w:rPr>
          <w:rFonts w:ascii="Times New Roman" w:eastAsia="Calibri" w:hAnsi="Times New Roman" w:cs="Times New Roman"/>
          <w:sz w:val="24"/>
          <w:szCs w:val="24"/>
        </w:rPr>
        <w:t>fuel security services payment (FSSP)</w:t>
      </w:r>
      <w:r w:rsidR="000A1339">
        <w:rPr>
          <w:rFonts w:ascii="Times New Roman" w:eastAsia="Calibri" w:hAnsi="Times New Roman" w:cs="Times New Roman"/>
          <w:sz w:val="24"/>
          <w:szCs w:val="24"/>
        </w:rPr>
        <w:t>;</w:t>
      </w:r>
    </w:p>
    <w:p w:rsidR="000A1339" w:rsidRPr="000A1339" w:rsidRDefault="00611932" w:rsidP="000A1339">
      <w:pPr>
        <w:pStyle w:val="ListParagraph"/>
        <w:numPr>
          <w:ilvl w:val="0"/>
          <w:numId w:val="28"/>
        </w:numPr>
        <w:spacing w:before="240" w:after="100" w:afterAutospacing="1"/>
        <w:rPr>
          <w:rFonts w:ascii="Times New Roman" w:eastAsia="Calibri" w:hAnsi="Times New Roman" w:cs="Times New Roman"/>
          <w:sz w:val="24"/>
          <w:szCs w:val="24"/>
        </w:rPr>
      </w:pPr>
      <w:r w:rsidRPr="000A1339">
        <w:rPr>
          <w:rFonts w:ascii="Times New Roman" w:eastAsia="Calibri" w:hAnsi="Times New Roman" w:cs="Times New Roman"/>
          <w:sz w:val="24"/>
          <w:szCs w:val="24"/>
        </w:rPr>
        <w:t>the conduct of audits of all such reports made by a refinery operator in the first financial year of the FSSP scheme</w:t>
      </w:r>
      <w:r w:rsidR="00CF0FC6">
        <w:rPr>
          <w:rFonts w:ascii="Times New Roman" w:eastAsia="Calibri" w:hAnsi="Times New Roman" w:cs="Times New Roman"/>
          <w:sz w:val="24"/>
          <w:szCs w:val="24"/>
        </w:rPr>
        <w:t xml:space="preserve"> (i.e. from 1 July 2021 to 30 June 2022)</w:t>
      </w:r>
      <w:r w:rsidR="000A1339">
        <w:rPr>
          <w:rFonts w:ascii="Times New Roman" w:eastAsia="Calibri" w:hAnsi="Times New Roman" w:cs="Times New Roman"/>
          <w:sz w:val="24"/>
          <w:szCs w:val="24"/>
        </w:rPr>
        <w:t>;</w:t>
      </w:r>
      <w:r w:rsidRPr="000A1339">
        <w:rPr>
          <w:rFonts w:ascii="Times New Roman" w:eastAsia="Calibri" w:hAnsi="Times New Roman" w:cs="Times New Roman"/>
          <w:sz w:val="24"/>
          <w:szCs w:val="24"/>
        </w:rPr>
        <w:t xml:space="preserve"> and</w:t>
      </w:r>
    </w:p>
    <w:p w:rsidR="009B2BB2" w:rsidRDefault="000A1339" w:rsidP="000A1339">
      <w:pPr>
        <w:pStyle w:val="ListParagraph"/>
        <w:numPr>
          <w:ilvl w:val="0"/>
          <w:numId w:val="28"/>
        </w:numPr>
        <w:spacing w:before="240" w:after="100" w:afterAutospacing="1"/>
        <w:rPr>
          <w:rFonts w:ascii="Times New Roman" w:eastAsia="Calibri" w:hAnsi="Times New Roman" w:cs="Times New Roman"/>
          <w:sz w:val="24"/>
          <w:szCs w:val="24"/>
        </w:rPr>
      </w:pPr>
      <w:r w:rsidRPr="000A1339">
        <w:rPr>
          <w:rFonts w:ascii="Times New Roman" w:eastAsia="Calibri" w:hAnsi="Times New Roman" w:cs="Times New Roman"/>
          <w:sz w:val="24"/>
          <w:szCs w:val="24"/>
        </w:rPr>
        <w:t>the conduct of</w:t>
      </w:r>
      <w:r w:rsidR="00611932" w:rsidRPr="000A1339">
        <w:rPr>
          <w:rFonts w:ascii="Times New Roman" w:eastAsia="Calibri" w:hAnsi="Times New Roman" w:cs="Times New Roman"/>
          <w:sz w:val="24"/>
          <w:szCs w:val="24"/>
        </w:rPr>
        <w:t xml:space="preserve"> audits of any quarterly </w:t>
      </w:r>
      <w:r w:rsidRPr="000A1339">
        <w:rPr>
          <w:rFonts w:ascii="Times New Roman" w:eastAsia="Calibri" w:hAnsi="Times New Roman" w:cs="Times New Roman"/>
          <w:sz w:val="24"/>
          <w:szCs w:val="24"/>
        </w:rPr>
        <w:t xml:space="preserve">reports </w:t>
      </w:r>
      <w:r>
        <w:rPr>
          <w:rFonts w:ascii="Times New Roman" w:eastAsia="Calibri" w:hAnsi="Times New Roman" w:cs="Times New Roman"/>
          <w:sz w:val="24"/>
          <w:szCs w:val="24"/>
        </w:rPr>
        <w:t>(</w:t>
      </w:r>
      <w:r w:rsidRPr="000A1339">
        <w:rPr>
          <w:rFonts w:ascii="Times New Roman" w:eastAsia="Calibri" w:hAnsi="Times New Roman" w:cs="Times New Roman"/>
          <w:sz w:val="24"/>
          <w:szCs w:val="24"/>
        </w:rPr>
        <w:t>or subsequent reports</w:t>
      </w:r>
      <w:r>
        <w:rPr>
          <w:rFonts w:ascii="Times New Roman" w:eastAsia="Calibri" w:hAnsi="Times New Roman" w:cs="Times New Roman"/>
          <w:sz w:val="24"/>
          <w:szCs w:val="24"/>
        </w:rPr>
        <w:t>)</w:t>
      </w:r>
      <w:r w:rsidRPr="000A1339">
        <w:rPr>
          <w:rFonts w:ascii="Times New Roman" w:eastAsia="Calibri" w:hAnsi="Times New Roman" w:cs="Times New Roman"/>
          <w:sz w:val="24"/>
          <w:szCs w:val="24"/>
        </w:rPr>
        <w:t xml:space="preserve"> </w:t>
      </w:r>
      <w:r w:rsidR="00611932" w:rsidRPr="000A1339">
        <w:rPr>
          <w:rFonts w:ascii="Times New Roman" w:eastAsia="Calibri" w:hAnsi="Times New Roman" w:cs="Times New Roman"/>
          <w:sz w:val="24"/>
          <w:szCs w:val="24"/>
        </w:rPr>
        <w:t xml:space="preserve">which </w:t>
      </w:r>
      <w:r w:rsidRPr="000A1339">
        <w:rPr>
          <w:rFonts w:ascii="Times New Roman" w:eastAsia="Calibri" w:hAnsi="Times New Roman" w:cs="Times New Roman"/>
          <w:sz w:val="24"/>
          <w:szCs w:val="24"/>
        </w:rPr>
        <w:t xml:space="preserve">give rise to concerns about the accuracy of </w:t>
      </w:r>
      <w:r w:rsidR="00CF0FC6">
        <w:rPr>
          <w:rFonts w:ascii="Times New Roman" w:eastAsia="Calibri" w:hAnsi="Times New Roman" w:cs="Times New Roman"/>
          <w:sz w:val="24"/>
          <w:szCs w:val="24"/>
        </w:rPr>
        <w:t>information reported under the new subdivision</w:t>
      </w:r>
      <w:r>
        <w:rPr>
          <w:rFonts w:ascii="Times New Roman" w:eastAsia="Calibri" w:hAnsi="Times New Roman" w:cs="Times New Roman"/>
          <w:sz w:val="24"/>
          <w:szCs w:val="24"/>
        </w:rPr>
        <w:t>.</w:t>
      </w:r>
    </w:p>
    <w:p w:rsidR="00245508" w:rsidRPr="00245508" w:rsidRDefault="00CF0FC6" w:rsidP="00245508">
      <w:pPr>
        <w:spacing w:before="240" w:after="100" w:afterAutospacing="1"/>
        <w:rPr>
          <w:rFonts w:ascii="Times New Roman" w:eastAsia="Calibri" w:hAnsi="Times New Roman" w:cs="Times New Roman"/>
          <w:sz w:val="24"/>
          <w:szCs w:val="24"/>
        </w:rPr>
      </w:pPr>
      <w:r>
        <w:rPr>
          <w:rFonts w:ascii="Times New Roman" w:eastAsia="Calibri" w:hAnsi="Times New Roman" w:cs="Times New Roman"/>
          <w:sz w:val="24"/>
          <w:szCs w:val="24"/>
        </w:rPr>
        <w:t>Appropriately, t</w:t>
      </w:r>
      <w:r w:rsidR="00245508">
        <w:rPr>
          <w:rFonts w:ascii="Times New Roman" w:eastAsia="Calibri" w:hAnsi="Times New Roman" w:cs="Times New Roman"/>
          <w:sz w:val="24"/>
          <w:szCs w:val="24"/>
        </w:rPr>
        <w:t xml:space="preserve">he new subdivision will directly follow Subdivision B (Reports) </w:t>
      </w:r>
      <w:r w:rsidR="00FB1D38">
        <w:rPr>
          <w:rFonts w:ascii="Times New Roman" w:eastAsia="Calibri" w:hAnsi="Times New Roman" w:cs="Times New Roman"/>
          <w:sz w:val="24"/>
          <w:szCs w:val="24"/>
        </w:rPr>
        <w:t xml:space="preserve">of the principal POFR Rules </w:t>
      </w:r>
      <w:r w:rsidR="00245508">
        <w:rPr>
          <w:rFonts w:ascii="Times New Roman" w:eastAsia="Calibri" w:hAnsi="Times New Roman" w:cs="Times New Roman"/>
          <w:sz w:val="24"/>
          <w:szCs w:val="24"/>
        </w:rPr>
        <w:t xml:space="preserve">relating to other kinds of </w:t>
      </w:r>
      <w:r>
        <w:rPr>
          <w:rFonts w:ascii="Times New Roman" w:eastAsia="Calibri" w:hAnsi="Times New Roman" w:cs="Times New Roman"/>
          <w:sz w:val="24"/>
          <w:szCs w:val="24"/>
        </w:rPr>
        <w:t>matters</w:t>
      </w:r>
      <w:r w:rsidR="00245508">
        <w:rPr>
          <w:rFonts w:ascii="Times New Roman" w:eastAsia="Calibri" w:hAnsi="Times New Roman" w:cs="Times New Roman"/>
          <w:sz w:val="24"/>
          <w:szCs w:val="24"/>
        </w:rPr>
        <w:t xml:space="preserve"> required to be reported by regulated entities </w:t>
      </w:r>
      <w:r>
        <w:rPr>
          <w:rFonts w:ascii="Times New Roman" w:eastAsia="Calibri" w:hAnsi="Times New Roman" w:cs="Times New Roman"/>
          <w:sz w:val="24"/>
          <w:szCs w:val="24"/>
        </w:rPr>
        <w:t xml:space="preserve">regarding covered activities undertaken in relation to covered products </w:t>
      </w:r>
      <w:r w:rsidR="00245508">
        <w:rPr>
          <w:rFonts w:ascii="Times New Roman" w:eastAsia="Calibri" w:hAnsi="Times New Roman" w:cs="Times New Roman"/>
          <w:sz w:val="24"/>
          <w:szCs w:val="24"/>
        </w:rPr>
        <w:t>under the principal POFR Rules.</w:t>
      </w:r>
    </w:p>
    <w:p w:rsidR="00FB1D38" w:rsidRDefault="000C39A8" w:rsidP="00FB1D38">
      <w:pPr>
        <w:spacing w:after="0" w:line="276" w:lineRule="auto"/>
        <w:ind w:left="357" w:hanging="357"/>
        <w:jc w:val="both"/>
        <w:rPr>
          <w:rFonts w:ascii="Times New Roman" w:hAnsi="Times New Roman" w:cs="Times New Roman"/>
          <w:i/>
          <w:sz w:val="24"/>
          <w:szCs w:val="24"/>
        </w:rPr>
      </w:pPr>
      <w:r>
        <w:rPr>
          <w:rFonts w:ascii="Times New Roman" w:hAnsi="Times New Roman" w:cs="Times New Roman"/>
          <w:i/>
          <w:sz w:val="24"/>
          <w:szCs w:val="24"/>
        </w:rPr>
        <w:t xml:space="preserve">New section </w:t>
      </w:r>
      <w:r w:rsidR="00FB1D38">
        <w:rPr>
          <w:rFonts w:ascii="Times New Roman" w:hAnsi="Times New Roman" w:cs="Times New Roman"/>
          <w:i/>
          <w:sz w:val="24"/>
          <w:szCs w:val="24"/>
        </w:rPr>
        <w:t>19A</w:t>
      </w:r>
      <w:r w:rsidR="00D07C09">
        <w:rPr>
          <w:rFonts w:ascii="Times New Roman" w:hAnsi="Times New Roman" w:cs="Times New Roman"/>
          <w:i/>
          <w:sz w:val="24"/>
          <w:szCs w:val="24"/>
        </w:rPr>
        <w:t xml:space="preserve"> </w:t>
      </w:r>
      <w:r w:rsidR="00FB1D38">
        <w:rPr>
          <w:rFonts w:ascii="Times New Roman" w:hAnsi="Times New Roman" w:cs="Times New Roman"/>
          <w:i/>
          <w:sz w:val="24"/>
          <w:szCs w:val="24"/>
        </w:rPr>
        <w:t xml:space="preserve"> </w:t>
      </w:r>
      <w:r w:rsidRPr="000C39A8">
        <w:rPr>
          <w:rFonts w:ascii="Times New Roman" w:hAnsi="Times New Roman" w:cs="Times New Roman"/>
          <w:i/>
          <w:sz w:val="24"/>
          <w:szCs w:val="24"/>
        </w:rPr>
        <w:t>Reports—</w:t>
      </w:r>
      <w:bookmarkEnd w:id="8"/>
      <w:r w:rsidRPr="000C39A8">
        <w:rPr>
          <w:rFonts w:ascii="Times New Roman" w:hAnsi="Times New Roman" w:cs="Times New Roman"/>
          <w:i/>
          <w:sz w:val="24"/>
          <w:szCs w:val="24"/>
        </w:rPr>
        <w:t>fuel security services payment</w:t>
      </w:r>
      <w:bookmarkEnd w:id="9"/>
    </w:p>
    <w:p w:rsidR="00542C02" w:rsidRDefault="010262BF" w:rsidP="00FB1D38">
      <w:pPr>
        <w:spacing w:before="240" w:after="100" w:afterAutospacing="1" w:line="276" w:lineRule="auto"/>
        <w:rPr>
          <w:rFonts w:ascii="Times New Roman" w:eastAsia="Calibri" w:hAnsi="Times New Roman" w:cs="Times New Roman"/>
          <w:sz w:val="24"/>
          <w:szCs w:val="24"/>
        </w:rPr>
      </w:pPr>
      <w:r w:rsidRPr="010262BF">
        <w:rPr>
          <w:rFonts w:ascii="Times New Roman" w:hAnsi="Times New Roman" w:cs="Times New Roman"/>
          <w:sz w:val="24"/>
          <w:szCs w:val="24"/>
        </w:rPr>
        <w:t>This item inserts</w:t>
      </w:r>
      <w:r w:rsidRPr="00FB1D38">
        <w:rPr>
          <w:rFonts w:ascii="Times New Roman" w:eastAsia="Calibri" w:hAnsi="Times New Roman" w:cs="Times New Roman"/>
          <w:sz w:val="24"/>
          <w:szCs w:val="24"/>
        </w:rPr>
        <w:t xml:space="preserve"> </w:t>
      </w:r>
      <w:r w:rsidRPr="010262BF">
        <w:rPr>
          <w:rFonts w:ascii="Times New Roman" w:hAnsi="Times New Roman" w:cs="Times New Roman"/>
          <w:sz w:val="24"/>
          <w:szCs w:val="24"/>
        </w:rPr>
        <w:t xml:space="preserve">new section 19A into the principal POFR Rules. </w:t>
      </w:r>
      <w:r w:rsidRPr="00FB1D38">
        <w:rPr>
          <w:rFonts w:ascii="Times New Roman" w:eastAsia="Calibri" w:hAnsi="Times New Roman" w:cs="Times New Roman"/>
          <w:sz w:val="24"/>
          <w:szCs w:val="24"/>
        </w:rPr>
        <w:t xml:space="preserve">Section 19A requires, for the purpose of section 11 of the POFR Act </w:t>
      </w:r>
      <w:r w:rsidRPr="010262BF">
        <w:rPr>
          <w:rFonts w:ascii="Times New Roman" w:hAnsi="Times New Roman" w:cs="Times New Roman"/>
          <w:sz w:val="24"/>
          <w:szCs w:val="24"/>
        </w:rPr>
        <w:t xml:space="preserve">(which establishes </w:t>
      </w:r>
      <w:r w:rsidRPr="00FB1D38">
        <w:rPr>
          <w:rFonts w:ascii="Times New Roman" w:eastAsia="Calibri" w:hAnsi="Times New Roman" w:cs="Times New Roman"/>
          <w:sz w:val="24"/>
          <w:szCs w:val="24"/>
        </w:rPr>
        <w:t>obligations of mandatory reporting of fuel information by regulated entities), that regulated entities that are eligible to receive the FSSP under the FS Act (i.e. the operators of Australian refineries who have been granted an application under section 40 of the FS Act) must report specified fuel information to the Secretary within 21 days of the end of a quarter (the phrase “quarter” is defined under section 4 of the principal POFR Rules, per item 1 of Schedule 1 to the Rule).</w:t>
      </w:r>
      <w:r w:rsidR="00542C02" w:rsidRPr="00542C02">
        <w:t xml:space="preserve"> </w:t>
      </w:r>
      <w:r w:rsidR="00542C02">
        <w:rPr>
          <w:rFonts w:ascii="Times New Roman" w:eastAsia="Calibri" w:hAnsi="Times New Roman" w:cs="Times New Roman"/>
          <w:sz w:val="24"/>
          <w:szCs w:val="24"/>
        </w:rPr>
        <w:t xml:space="preserve"> </w:t>
      </w:r>
    </w:p>
    <w:p w:rsidR="010262BF" w:rsidRPr="00FB1D38" w:rsidRDefault="00542C02" w:rsidP="00FB1D38">
      <w:pPr>
        <w:spacing w:before="240" w:after="100" w:afterAutospacing="1" w:line="276" w:lineRule="auto"/>
        <w:rPr>
          <w:rFonts w:ascii="Times New Roman" w:eastAsia="Calibri" w:hAnsi="Times New Roman" w:cs="Times New Roman"/>
          <w:sz w:val="24"/>
          <w:szCs w:val="24"/>
        </w:rPr>
      </w:pPr>
      <w:r>
        <w:rPr>
          <w:rFonts w:ascii="Times New Roman" w:eastAsia="Calibri" w:hAnsi="Times New Roman" w:cs="Times New Roman"/>
          <w:sz w:val="24"/>
          <w:szCs w:val="24"/>
        </w:rPr>
        <w:t>The note to subsection 19A(1) advises the reader that quarterly r</w:t>
      </w:r>
      <w:r w:rsidRPr="00542C02">
        <w:rPr>
          <w:rFonts w:ascii="Times New Roman" w:eastAsia="Calibri" w:hAnsi="Times New Roman" w:cs="Times New Roman"/>
          <w:sz w:val="24"/>
          <w:szCs w:val="24"/>
        </w:rPr>
        <w:t xml:space="preserve">eports </w:t>
      </w:r>
      <w:r>
        <w:rPr>
          <w:rFonts w:ascii="Times New Roman" w:eastAsia="Calibri" w:hAnsi="Times New Roman" w:cs="Times New Roman"/>
          <w:sz w:val="24"/>
          <w:szCs w:val="24"/>
        </w:rPr>
        <w:t>relating to the refining of FSSP fuel</w:t>
      </w:r>
      <w:r w:rsidRPr="00542C02">
        <w:rPr>
          <w:rFonts w:ascii="Times New Roman" w:eastAsia="Calibri" w:hAnsi="Times New Roman" w:cs="Times New Roman"/>
          <w:sz w:val="24"/>
          <w:szCs w:val="24"/>
        </w:rPr>
        <w:t xml:space="preserve"> may be submitted with other reports under </w:t>
      </w:r>
      <w:r>
        <w:rPr>
          <w:rFonts w:ascii="Times New Roman" w:eastAsia="Calibri" w:hAnsi="Times New Roman" w:cs="Times New Roman"/>
          <w:sz w:val="24"/>
          <w:szCs w:val="24"/>
        </w:rPr>
        <w:t>the principal POFR Rules</w:t>
      </w:r>
      <w:r w:rsidRPr="00542C02">
        <w:rPr>
          <w:rFonts w:ascii="Times New Roman" w:eastAsia="Calibri" w:hAnsi="Times New Roman" w:cs="Times New Roman"/>
          <w:sz w:val="24"/>
          <w:szCs w:val="24"/>
        </w:rPr>
        <w:t xml:space="preserve"> and use data already reported.</w:t>
      </w:r>
    </w:p>
    <w:p w:rsidR="010262BF" w:rsidRPr="00FB1D38" w:rsidRDefault="010262BF" w:rsidP="00FB1D38">
      <w:pPr>
        <w:spacing w:before="240" w:after="100" w:afterAutospacing="1" w:line="276" w:lineRule="auto"/>
        <w:rPr>
          <w:rFonts w:ascii="Times New Roman" w:eastAsia="Calibri" w:hAnsi="Times New Roman" w:cs="Times New Roman"/>
          <w:sz w:val="24"/>
          <w:szCs w:val="24"/>
        </w:rPr>
      </w:pPr>
      <w:r w:rsidRPr="00FB1D38">
        <w:rPr>
          <w:rFonts w:ascii="Times New Roman" w:eastAsia="Calibri" w:hAnsi="Times New Roman" w:cs="Times New Roman"/>
          <w:sz w:val="24"/>
          <w:szCs w:val="24"/>
        </w:rPr>
        <w:t>In particular, reports are required to be made under section 19A if a covered activity of refining FSSP fuel is undertaken in Australia (i.e. at a committed refinery within the meaning of the FS Act) and the refining of that fuel is eligible for the FSSP under the FS Act (i.e. the refined fuel meets the definition of “FSSP fuel” under sections 5 of the FS Act and FSSP Rule</w:t>
      </w:r>
      <w:r w:rsidR="00AC7439">
        <w:rPr>
          <w:rFonts w:ascii="Times New Roman" w:eastAsia="Calibri" w:hAnsi="Times New Roman" w:cs="Times New Roman"/>
          <w:sz w:val="24"/>
          <w:szCs w:val="24"/>
        </w:rPr>
        <w:t>,</w:t>
      </w:r>
      <w:r w:rsidRPr="00FB1D38">
        <w:rPr>
          <w:rFonts w:ascii="Times New Roman" w:eastAsia="Calibri" w:hAnsi="Times New Roman" w:cs="Times New Roman"/>
          <w:sz w:val="24"/>
          <w:szCs w:val="24"/>
        </w:rPr>
        <w:t xml:space="preserve"> and all other requirements for the refining under the FSSP Rule).</w:t>
      </w:r>
    </w:p>
    <w:p w:rsidR="010262BF" w:rsidRPr="00FB1D38" w:rsidRDefault="010262BF" w:rsidP="00FB1D38">
      <w:pPr>
        <w:spacing w:before="240" w:after="100" w:afterAutospacing="1" w:line="276" w:lineRule="auto"/>
        <w:rPr>
          <w:rFonts w:ascii="Times New Roman" w:eastAsia="Calibri" w:hAnsi="Times New Roman" w:cs="Times New Roman"/>
          <w:sz w:val="24"/>
          <w:szCs w:val="24"/>
        </w:rPr>
      </w:pPr>
      <w:r w:rsidRPr="00FB1D38">
        <w:rPr>
          <w:rFonts w:ascii="Times New Roman" w:eastAsia="Calibri" w:hAnsi="Times New Roman" w:cs="Times New Roman"/>
          <w:sz w:val="24"/>
          <w:szCs w:val="24"/>
        </w:rPr>
        <w:t>New subsections 19A(2) and (3) of the principal POFR Rules set out the specific categories of fuel information that are required to be reported by refinery operators, including:</w:t>
      </w:r>
    </w:p>
    <w:p w:rsidR="010262BF" w:rsidRDefault="010262BF" w:rsidP="7A37929F">
      <w:pPr>
        <w:pStyle w:val="ListParagraph"/>
        <w:numPr>
          <w:ilvl w:val="0"/>
          <w:numId w:val="30"/>
        </w:numPr>
      </w:pPr>
      <w:r w:rsidRPr="010262BF">
        <w:rPr>
          <w:rFonts w:ascii="Times New Roman" w:eastAsia="Times New Roman" w:hAnsi="Times New Roman" w:cs="Times New Roman"/>
          <w:sz w:val="24"/>
          <w:szCs w:val="24"/>
          <w:lang w:val="en-GB"/>
        </w:rPr>
        <w:t xml:space="preserve">The volume and mass of each FSSP fuel meeting the requirements of section </w:t>
      </w:r>
      <w:r w:rsidR="00BA4289">
        <w:rPr>
          <w:rFonts w:ascii="Times New Roman" w:eastAsia="Times New Roman" w:hAnsi="Times New Roman" w:cs="Times New Roman"/>
          <w:sz w:val="24"/>
          <w:szCs w:val="24"/>
          <w:lang w:val="en-GB"/>
        </w:rPr>
        <w:t>5</w:t>
      </w:r>
      <w:r w:rsidR="00BA4289" w:rsidRPr="010262BF">
        <w:rPr>
          <w:rFonts w:ascii="Times New Roman" w:eastAsia="Times New Roman" w:hAnsi="Times New Roman" w:cs="Times New Roman"/>
          <w:sz w:val="24"/>
          <w:szCs w:val="24"/>
          <w:lang w:val="en-GB"/>
        </w:rPr>
        <w:t xml:space="preserve"> </w:t>
      </w:r>
      <w:r w:rsidRPr="010262BF">
        <w:rPr>
          <w:rFonts w:ascii="Times New Roman" w:eastAsia="Times New Roman" w:hAnsi="Times New Roman" w:cs="Times New Roman"/>
          <w:sz w:val="24"/>
          <w:szCs w:val="24"/>
          <w:lang w:val="en-GB"/>
        </w:rPr>
        <w:t>and 13 of the FSSP Rule for the quarter.</w:t>
      </w:r>
    </w:p>
    <w:p w:rsidR="010262BF" w:rsidRDefault="010262BF" w:rsidP="010262BF">
      <w:pPr>
        <w:ind w:left="720"/>
      </w:pPr>
      <w:r w:rsidRPr="010262BF">
        <w:rPr>
          <w:rFonts w:ascii="Times New Roman" w:eastAsia="Times New Roman" w:hAnsi="Times New Roman" w:cs="Times New Roman"/>
          <w:sz w:val="24"/>
          <w:szCs w:val="24"/>
          <w:lang w:val="en-GB"/>
        </w:rPr>
        <w:t>This information is crucial for the administration of the FSSP scheme, as it will be used to calculate the amount of FSSP which a refinery operator is entitled to receive for a quarter (</w:t>
      </w:r>
      <w:r w:rsidRPr="00326EFA">
        <w:rPr>
          <w:rFonts w:ascii="Times New Roman" w:eastAsia="Times New Roman" w:hAnsi="Times New Roman" w:cs="Times New Roman"/>
          <w:sz w:val="24"/>
          <w:szCs w:val="24"/>
          <w:lang w:val="en-GB"/>
        </w:rPr>
        <w:t>see section 12 of the FSSP Rule).</w:t>
      </w:r>
    </w:p>
    <w:p w:rsidR="010262BF" w:rsidRDefault="010262BF" w:rsidP="7A37929F">
      <w:pPr>
        <w:pStyle w:val="ListParagraph"/>
        <w:numPr>
          <w:ilvl w:val="0"/>
          <w:numId w:val="30"/>
        </w:numPr>
      </w:pPr>
      <w:r w:rsidRPr="010262BF">
        <w:rPr>
          <w:rFonts w:ascii="Times New Roman" w:eastAsia="Times New Roman" w:hAnsi="Times New Roman" w:cs="Times New Roman"/>
          <w:sz w:val="24"/>
          <w:szCs w:val="24"/>
          <w:lang w:val="en-GB"/>
        </w:rPr>
        <w:t>The volume of any blendstocks (as defined under the FSSP Rule) used at the refinery in the quarter</w:t>
      </w:r>
      <w:r w:rsidR="00C1703F">
        <w:rPr>
          <w:rFonts w:ascii="Times New Roman" w:eastAsia="Times New Roman" w:hAnsi="Times New Roman" w:cs="Times New Roman"/>
          <w:sz w:val="24"/>
          <w:szCs w:val="24"/>
          <w:lang w:val="en-GB"/>
        </w:rPr>
        <w:t xml:space="preserve"> that is not produced at the refinery but added before an FSSP fuel is sold</w:t>
      </w:r>
      <w:r w:rsidRPr="010262BF">
        <w:rPr>
          <w:rFonts w:ascii="Times New Roman" w:eastAsia="Times New Roman" w:hAnsi="Times New Roman" w:cs="Times New Roman"/>
          <w:sz w:val="24"/>
          <w:szCs w:val="24"/>
          <w:lang w:val="en-GB"/>
        </w:rPr>
        <w:t xml:space="preserve">. </w:t>
      </w:r>
    </w:p>
    <w:p w:rsidR="010262BF" w:rsidRDefault="010262BF" w:rsidP="010262BF">
      <w:pPr>
        <w:ind w:left="720"/>
      </w:pPr>
      <w:r w:rsidRPr="010262BF">
        <w:rPr>
          <w:rFonts w:ascii="Times New Roman" w:eastAsia="Times New Roman" w:hAnsi="Times New Roman" w:cs="Times New Roman"/>
          <w:sz w:val="24"/>
          <w:szCs w:val="24"/>
          <w:lang w:val="en-GB"/>
        </w:rPr>
        <w:t>This information is required to be reported, as volumes of blendstock are expressly excluded from the calculation of volumes of FSSP fuel for which payment of the FSSP may be made (</w:t>
      </w:r>
      <w:r w:rsidRPr="00326EFA">
        <w:rPr>
          <w:rFonts w:ascii="Times New Roman" w:eastAsia="Times New Roman" w:hAnsi="Times New Roman" w:cs="Times New Roman"/>
          <w:sz w:val="24"/>
          <w:szCs w:val="24"/>
          <w:lang w:val="en-GB"/>
        </w:rPr>
        <w:t>see section 13 of the FSSP Rule).</w:t>
      </w:r>
    </w:p>
    <w:p w:rsidR="010262BF" w:rsidRDefault="010262BF" w:rsidP="7A37929F">
      <w:pPr>
        <w:pStyle w:val="ListParagraph"/>
        <w:numPr>
          <w:ilvl w:val="0"/>
          <w:numId w:val="30"/>
        </w:numPr>
      </w:pPr>
      <w:r w:rsidRPr="010262BF">
        <w:rPr>
          <w:rFonts w:ascii="Times New Roman" w:eastAsia="Times New Roman" w:hAnsi="Times New Roman" w:cs="Times New Roman"/>
          <w:sz w:val="24"/>
          <w:szCs w:val="24"/>
          <w:lang w:val="en-GB"/>
        </w:rPr>
        <w:t>A statement of the accuracy of the reported information.</w:t>
      </w:r>
    </w:p>
    <w:p w:rsidR="010262BF" w:rsidRDefault="010262BF" w:rsidP="010262BF">
      <w:pPr>
        <w:ind w:left="720"/>
      </w:pPr>
      <w:r w:rsidRPr="010262BF">
        <w:rPr>
          <w:rFonts w:ascii="Times New Roman" w:eastAsia="Times New Roman" w:hAnsi="Times New Roman" w:cs="Times New Roman"/>
          <w:sz w:val="24"/>
          <w:szCs w:val="24"/>
          <w:lang w:val="en-GB"/>
        </w:rPr>
        <w:t xml:space="preserve">This information is required to be reported to help verify the accuracy of reported data. Volumes of FSSP fuels refined need to be accurate. Any deliberate under or over reporting has the potential to provide significant commercial and financial advantages to a refinery operator. Such conduct is appropriately deterred by a civil penalty under </w:t>
      </w:r>
      <w:r w:rsidRPr="00326EFA">
        <w:rPr>
          <w:rFonts w:ascii="Times New Roman" w:eastAsia="Times New Roman" w:hAnsi="Times New Roman" w:cs="Times New Roman"/>
          <w:sz w:val="24"/>
          <w:szCs w:val="24"/>
          <w:lang w:val="en-GB"/>
        </w:rPr>
        <w:t>section 13A of</w:t>
      </w:r>
      <w:r w:rsidRPr="010262BF">
        <w:rPr>
          <w:rFonts w:ascii="Times New Roman" w:eastAsia="Times New Roman" w:hAnsi="Times New Roman" w:cs="Times New Roman"/>
          <w:sz w:val="24"/>
          <w:szCs w:val="24"/>
          <w:lang w:val="en-GB"/>
        </w:rPr>
        <w:t xml:space="preserve"> the POFR Act, which prohibits a person from providing false or misleading information in respect of information reported that relates to whether </w:t>
      </w:r>
      <w:r w:rsidR="00D07C09">
        <w:rPr>
          <w:rFonts w:ascii="Times New Roman" w:eastAsia="Times New Roman" w:hAnsi="Times New Roman" w:cs="Times New Roman"/>
          <w:sz w:val="24"/>
          <w:szCs w:val="24"/>
          <w:lang w:val="en-GB"/>
        </w:rPr>
        <w:t>FSSP</w:t>
      </w:r>
      <w:r w:rsidRPr="010262BF">
        <w:rPr>
          <w:rFonts w:ascii="Times New Roman" w:eastAsia="Times New Roman" w:hAnsi="Times New Roman" w:cs="Times New Roman"/>
          <w:sz w:val="24"/>
          <w:szCs w:val="24"/>
          <w:lang w:val="en-GB"/>
        </w:rPr>
        <w:t xml:space="preserve"> is payable to a constitutional corporation under the FS Act.</w:t>
      </w:r>
    </w:p>
    <w:p w:rsidR="000C39A8" w:rsidRPr="000C39A8" w:rsidRDefault="000C39A8" w:rsidP="00361CEF">
      <w:pPr>
        <w:keepNext/>
        <w:spacing w:before="360" w:after="0" w:line="276" w:lineRule="auto"/>
        <w:ind w:left="357" w:hanging="357"/>
        <w:jc w:val="both"/>
        <w:rPr>
          <w:rFonts w:ascii="Times New Roman" w:hAnsi="Times New Roman" w:cs="Times New Roman"/>
          <w:i/>
          <w:sz w:val="24"/>
          <w:szCs w:val="24"/>
        </w:rPr>
      </w:pPr>
      <w:bookmarkStart w:id="10" w:name="_Toc74748977"/>
      <w:r w:rsidRPr="00FB1D38">
        <w:rPr>
          <w:rFonts w:ascii="Times New Roman" w:hAnsi="Times New Roman" w:cs="Times New Roman"/>
          <w:i/>
          <w:sz w:val="24"/>
          <w:szCs w:val="24"/>
        </w:rPr>
        <w:t>New section 19B  Audit of fuel security services payment reports</w:t>
      </w:r>
      <w:bookmarkEnd w:id="10"/>
      <w:r w:rsidRPr="00FB1D38">
        <w:rPr>
          <w:rFonts w:ascii="Times New Roman" w:hAnsi="Times New Roman" w:cs="Times New Roman"/>
          <w:i/>
          <w:sz w:val="24"/>
          <w:szCs w:val="24"/>
        </w:rPr>
        <w:t xml:space="preserve"> for 1 July 2021 financial year</w:t>
      </w:r>
    </w:p>
    <w:p w:rsidR="010262BF" w:rsidRPr="00907B76" w:rsidRDefault="010262BF" w:rsidP="00907B76">
      <w:pPr>
        <w:spacing w:before="240" w:after="100" w:afterAutospacing="1" w:line="276" w:lineRule="auto"/>
        <w:rPr>
          <w:rFonts w:ascii="Times New Roman" w:eastAsia="Calibri" w:hAnsi="Times New Roman" w:cs="Times New Roman"/>
          <w:sz w:val="24"/>
          <w:szCs w:val="24"/>
        </w:rPr>
      </w:pPr>
      <w:r w:rsidRPr="00907B76">
        <w:rPr>
          <w:rFonts w:ascii="Times New Roman" w:eastAsia="Calibri" w:hAnsi="Times New Roman" w:cs="Times New Roman"/>
          <w:sz w:val="24"/>
          <w:szCs w:val="24"/>
        </w:rPr>
        <w:t>This item also inserts new section 19B into the principal POFR Rules.</w:t>
      </w:r>
      <w:r w:rsidR="004B2897">
        <w:rPr>
          <w:rFonts w:ascii="Times New Roman" w:eastAsia="Calibri" w:hAnsi="Times New Roman" w:cs="Times New Roman"/>
          <w:sz w:val="24"/>
          <w:szCs w:val="24"/>
        </w:rPr>
        <w:t xml:space="preserve"> </w:t>
      </w:r>
      <w:r w:rsidRPr="00907B76">
        <w:rPr>
          <w:rFonts w:ascii="Times New Roman" w:eastAsia="Calibri" w:hAnsi="Times New Roman" w:cs="Times New Roman"/>
          <w:sz w:val="24"/>
          <w:szCs w:val="24"/>
        </w:rPr>
        <w:t>Section 19B</w:t>
      </w:r>
      <w:r w:rsidR="004B2897">
        <w:rPr>
          <w:rFonts w:ascii="Times New Roman" w:eastAsia="Calibri" w:hAnsi="Times New Roman" w:cs="Times New Roman"/>
          <w:sz w:val="24"/>
          <w:szCs w:val="24"/>
        </w:rPr>
        <w:t xml:space="preserve"> makes provision for </w:t>
      </w:r>
      <w:r w:rsidR="005A524B">
        <w:rPr>
          <w:rFonts w:ascii="Times New Roman" w:eastAsia="Calibri" w:hAnsi="Times New Roman" w:cs="Times New Roman"/>
          <w:sz w:val="24"/>
          <w:szCs w:val="24"/>
        </w:rPr>
        <w:t xml:space="preserve">the preparation of </w:t>
      </w:r>
      <w:r w:rsidR="004B2897">
        <w:rPr>
          <w:rFonts w:ascii="Times New Roman" w:eastAsia="Calibri" w:hAnsi="Times New Roman" w:cs="Times New Roman"/>
          <w:sz w:val="24"/>
          <w:szCs w:val="24"/>
        </w:rPr>
        <w:t>audit reports,</w:t>
      </w:r>
      <w:r w:rsidRPr="00907B76">
        <w:rPr>
          <w:rFonts w:ascii="Times New Roman" w:eastAsia="Calibri" w:hAnsi="Times New Roman" w:cs="Times New Roman"/>
          <w:sz w:val="24"/>
          <w:szCs w:val="24"/>
        </w:rPr>
        <w:t xml:space="preserve"> for the purpose of subsection 13B(1) of the POFR Act</w:t>
      </w:r>
      <w:r w:rsidR="004B2897">
        <w:rPr>
          <w:rFonts w:ascii="Times New Roman" w:eastAsia="Calibri" w:hAnsi="Times New Roman" w:cs="Times New Roman"/>
          <w:sz w:val="24"/>
          <w:szCs w:val="24"/>
        </w:rPr>
        <w:t xml:space="preserve">, </w:t>
      </w:r>
      <w:r w:rsidRPr="00907B76">
        <w:rPr>
          <w:rFonts w:ascii="Times New Roman" w:eastAsia="Calibri" w:hAnsi="Times New Roman" w:cs="Times New Roman"/>
          <w:sz w:val="24"/>
          <w:szCs w:val="24"/>
        </w:rPr>
        <w:t>in relation to the auditing of compliance with section 11 of the POFR Act</w:t>
      </w:r>
      <w:r w:rsidR="004B2897">
        <w:rPr>
          <w:rFonts w:ascii="Times New Roman" w:eastAsia="Calibri" w:hAnsi="Times New Roman" w:cs="Times New Roman"/>
          <w:sz w:val="24"/>
          <w:szCs w:val="24"/>
        </w:rPr>
        <w:t xml:space="preserve"> </w:t>
      </w:r>
      <w:r w:rsidRPr="00907B76">
        <w:rPr>
          <w:rFonts w:ascii="Times New Roman" w:eastAsia="Calibri" w:hAnsi="Times New Roman" w:cs="Times New Roman"/>
          <w:sz w:val="24"/>
          <w:szCs w:val="24"/>
        </w:rPr>
        <w:t>so far as that section relates to the giving of reports that relate to the refining of FSSP fuels.</w:t>
      </w:r>
    </w:p>
    <w:p w:rsidR="010262BF" w:rsidRPr="00907B76" w:rsidRDefault="010262BF" w:rsidP="00907B76">
      <w:pPr>
        <w:spacing w:before="240" w:after="100" w:afterAutospacing="1" w:line="276" w:lineRule="auto"/>
        <w:rPr>
          <w:rFonts w:ascii="Times New Roman" w:eastAsia="Calibri" w:hAnsi="Times New Roman" w:cs="Times New Roman"/>
          <w:sz w:val="24"/>
          <w:szCs w:val="24"/>
        </w:rPr>
      </w:pPr>
      <w:r w:rsidRPr="00907B76">
        <w:rPr>
          <w:rFonts w:ascii="Times New Roman" w:eastAsia="Calibri" w:hAnsi="Times New Roman" w:cs="Times New Roman"/>
          <w:sz w:val="24"/>
          <w:szCs w:val="24"/>
        </w:rPr>
        <w:t xml:space="preserve">Specifically, section 19B requires the preparation of an audit report </w:t>
      </w:r>
      <w:r w:rsidR="004B2897">
        <w:rPr>
          <w:rFonts w:ascii="Times New Roman" w:eastAsia="Calibri" w:hAnsi="Times New Roman" w:cs="Times New Roman"/>
          <w:sz w:val="24"/>
          <w:szCs w:val="24"/>
        </w:rPr>
        <w:t>that covers</w:t>
      </w:r>
      <w:r w:rsidRPr="00907B76">
        <w:rPr>
          <w:rFonts w:ascii="Times New Roman" w:eastAsia="Calibri" w:hAnsi="Times New Roman" w:cs="Times New Roman"/>
          <w:sz w:val="24"/>
          <w:szCs w:val="24"/>
        </w:rPr>
        <w:t xml:space="preserve"> all reports provided under section 19A of the principal POFR Rules for the first financial year of the FSSP scheme i.e. from 1 July 2021 to 30 June 2022. The purpose of this audit report is to provide a means of reviewing the FSSP scheme – including the compliance by refinery operators with their mandatory reporting obligations – over its first year of operation and to help ensure the integrity of the FSSP payments.</w:t>
      </w:r>
    </w:p>
    <w:p w:rsidR="010262BF" w:rsidRPr="00907B76" w:rsidRDefault="010262BF" w:rsidP="00907B76">
      <w:pPr>
        <w:spacing w:before="240" w:after="100" w:afterAutospacing="1" w:line="276" w:lineRule="auto"/>
        <w:rPr>
          <w:rFonts w:ascii="Times New Roman" w:eastAsia="Calibri" w:hAnsi="Times New Roman" w:cs="Times New Roman"/>
          <w:sz w:val="24"/>
          <w:szCs w:val="24"/>
        </w:rPr>
      </w:pPr>
      <w:r w:rsidRPr="00907B76">
        <w:rPr>
          <w:rFonts w:ascii="Times New Roman" w:eastAsia="Calibri" w:hAnsi="Times New Roman" w:cs="Times New Roman"/>
          <w:sz w:val="24"/>
          <w:szCs w:val="24"/>
        </w:rPr>
        <w:t>Subsection 19B(2) of the principal POFR Rules provide</w:t>
      </w:r>
      <w:r w:rsidR="004B2897">
        <w:rPr>
          <w:rFonts w:ascii="Times New Roman" w:eastAsia="Calibri" w:hAnsi="Times New Roman" w:cs="Times New Roman"/>
          <w:sz w:val="24"/>
          <w:szCs w:val="24"/>
        </w:rPr>
        <w:t>s</w:t>
      </w:r>
      <w:r w:rsidRPr="00907B76">
        <w:rPr>
          <w:rFonts w:ascii="Times New Roman" w:eastAsia="Calibri" w:hAnsi="Times New Roman" w:cs="Times New Roman"/>
          <w:sz w:val="24"/>
          <w:szCs w:val="24"/>
        </w:rPr>
        <w:t xml:space="preserve"> that the audit report must be prepared by a registered greenhouse and energy auditor in accordance with the requirements for reasonable assurance engagements under the NGER (Audit) Determination</w:t>
      </w:r>
      <w:r w:rsidR="004B2897">
        <w:rPr>
          <w:rFonts w:ascii="Times New Roman" w:eastAsia="Calibri" w:hAnsi="Times New Roman" w:cs="Times New Roman"/>
          <w:sz w:val="24"/>
          <w:szCs w:val="24"/>
        </w:rPr>
        <w:t>. Subsection 19B(3) provides that the audit report</w:t>
      </w:r>
      <w:r w:rsidRPr="00907B76">
        <w:rPr>
          <w:rFonts w:ascii="Times New Roman" w:eastAsia="Calibri" w:hAnsi="Times New Roman" w:cs="Times New Roman"/>
          <w:sz w:val="24"/>
          <w:szCs w:val="24"/>
        </w:rPr>
        <w:t xml:space="preserve"> must report whether reported fuel information complied with the requirements of section 19A and was fairly presented. </w:t>
      </w:r>
      <w:r w:rsidRPr="010262BF">
        <w:rPr>
          <w:rFonts w:ascii="Times New Roman" w:eastAsia="Times New Roman" w:hAnsi="Times New Roman" w:cs="Times New Roman"/>
          <w:sz w:val="24"/>
          <w:szCs w:val="24"/>
        </w:rPr>
        <w:t xml:space="preserve">This would include (if appropriate in the circumstances) a reasonable assurance conclusion that there is no misstatement in the matter being audited that is material or pervasive enough to affect the matter being audited as a whole. </w:t>
      </w:r>
      <w:r w:rsidRPr="00907B76">
        <w:rPr>
          <w:rFonts w:ascii="Times New Roman" w:eastAsia="Calibri" w:hAnsi="Times New Roman" w:cs="Times New Roman"/>
          <w:sz w:val="24"/>
          <w:szCs w:val="24"/>
        </w:rPr>
        <w:t>The use of registered national greenhouse and energy auditors recognises the significant skills this category of auditors have with energy auditing relevant to the refining of FSSP fuels.</w:t>
      </w:r>
      <w:r w:rsidR="0055715F">
        <w:rPr>
          <w:rFonts w:ascii="Times New Roman" w:eastAsia="Calibri" w:hAnsi="Times New Roman" w:cs="Times New Roman"/>
          <w:sz w:val="24"/>
          <w:szCs w:val="24"/>
        </w:rPr>
        <w:t xml:space="preserve"> These auditors already apply the NGER (Audit) Determination standard for greenhouse and energy audits, safeguard audits and audits under the Emissions Reduction Fund. Whether the information was ‘fairly presented’ would take into account the understanding of that term in auditing, including that matters of substance are reflected in the presentation of the information.</w:t>
      </w:r>
    </w:p>
    <w:p w:rsidR="010262BF" w:rsidRPr="00907B76" w:rsidRDefault="010262BF" w:rsidP="00907B76">
      <w:pPr>
        <w:spacing w:before="240" w:after="100" w:afterAutospacing="1" w:line="276" w:lineRule="auto"/>
        <w:rPr>
          <w:rFonts w:ascii="Times New Roman" w:eastAsia="Calibri" w:hAnsi="Times New Roman" w:cs="Times New Roman"/>
          <w:sz w:val="24"/>
          <w:szCs w:val="24"/>
        </w:rPr>
      </w:pPr>
      <w:r w:rsidRPr="00907B76">
        <w:rPr>
          <w:rFonts w:ascii="Times New Roman" w:eastAsia="Calibri" w:hAnsi="Times New Roman" w:cs="Times New Roman"/>
          <w:sz w:val="24"/>
          <w:szCs w:val="24"/>
        </w:rPr>
        <w:t>Subsection 19B(4) of the principal POFR Rules requires the report must be provided to the Secretary no later than 30 September 2022.</w:t>
      </w:r>
    </w:p>
    <w:p w:rsidR="010262BF" w:rsidRDefault="010262BF" w:rsidP="00907B76">
      <w:pPr>
        <w:spacing w:before="240" w:after="100" w:afterAutospacing="1" w:line="276" w:lineRule="auto"/>
        <w:rPr>
          <w:rFonts w:ascii="Times New Roman" w:hAnsi="Times New Roman" w:cs="Times New Roman"/>
          <w:sz w:val="24"/>
          <w:szCs w:val="24"/>
        </w:rPr>
      </w:pPr>
      <w:r w:rsidRPr="00907B76">
        <w:rPr>
          <w:rFonts w:ascii="Times New Roman" w:eastAsia="Calibri" w:hAnsi="Times New Roman" w:cs="Times New Roman"/>
          <w:sz w:val="24"/>
          <w:szCs w:val="24"/>
        </w:rPr>
        <w:t>These audit reporting provisions complement, and are supported by, the duties applying under sections 13C and 13D of the POFR Act for persons to provide reasonable facilities and assistance for audits and to comply with requirements in relation to reports of audits.</w:t>
      </w:r>
      <w:r w:rsidRPr="010262BF">
        <w:rPr>
          <w:rFonts w:ascii="Times New Roman" w:eastAsia="Times New Roman" w:hAnsi="Times New Roman" w:cs="Times New Roman"/>
          <w:sz w:val="24"/>
          <w:szCs w:val="24"/>
        </w:rPr>
        <w:t xml:space="preserve"> </w:t>
      </w:r>
    </w:p>
    <w:p w:rsidR="000C39A8" w:rsidRPr="000C39A8" w:rsidRDefault="000C39A8" w:rsidP="002D6C18">
      <w:pPr>
        <w:keepNext/>
        <w:spacing w:before="360" w:after="0" w:line="276" w:lineRule="auto"/>
        <w:ind w:left="357" w:hanging="357"/>
        <w:jc w:val="both"/>
        <w:rPr>
          <w:rFonts w:ascii="Times New Roman" w:hAnsi="Times New Roman" w:cs="Times New Roman"/>
          <w:i/>
          <w:sz w:val="24"/>
          <w:szCs w:val="24"/>
        </w:rPr>
      </w:pPr>
      <w:r>
        <w:rPr>
          <w:rFonts w:ascii="Times New Roman" w:hAnsi="Times New Roman" w:cs="Times New Roman"/>
          <w:i/>
          <w:sz w:val="24"/>
          <w:szCs w:val="24"/>
        </w:rPr>
        <w:t xml:space="preserve">New section </w:t>
      </w:r>
      <w:r w:rsidRPr="000C39A8">
        <w:rPr>
          <w:rFonts w:ascii="Times New Roman" w:hAnsi="Times New Roman" w:cs="Times New Roman"/>
          <w:i/>
          <w:sz w:val="24"/>
          <w:szCs w:val="24"/>
        </w:rPr>
        <w:t>19C  Audit of fuel security services payment reports if concern about reports</w:t>
      </w:r>
    </w:p>
    <w:p w:rsidR="00883F01" w:rsidRPr="00883F01" w:rsidRDefault="010262BF" w:rsidP="002D6C18">
      <w:pPr>
        <w:spacing w:before="240" w:after="100" w:afterAutospacing="1" w:line="276" w:lineRule="auto"/>
        <w:rPr>
          <w:rFonts w:ascii="Times New Roman" w:hAnsi="Times New Roman" w:cs="Times New Roman"/>
          <w:sz w:val="24"/>
          <w:szCs w:val="24"/>
        </w:rPr>
      </w:pPr>
      <w:r w:rsidRPr="002D6C18">
        <w:rPr>
          <w:rFonts w:ascii="Times New Roman" w:eastAsia="Calibri" w:hAnsi="Times New Roman" w:cs="Times New Roman"/>
          <w:sz w:val="24"/>
          <w:szCs w:val="24"/>
        </w:rPr>
        <w:t>This item also inserts new section 19C into the principal POFR Rules.</w:t>
      </w:r>
    </w:p>
    <w:p w:rsidR="00883F01" w:rsidRPr="002D6C18" w:rsidRDefault="010262BF" w:rsidP="002D6C18">
      <w:pPr>
        <w:spacing w:before="240" w:after="100" w:afterAutospacing="1" w:line="276" w:lineRule="auto"/>
        <w:rPr>
          <w:rFonts w:ascii="Times New Roman" w:eastAsia="Calibri" w:hAnsi="Times New Roman" w:cs="Times New Roman"/>
          <w:sz w:val="24"/>
          <w:szCs w:val="24"/>
        </w:rPr>
      </w:pPr>
      <w:r w:rsidRPr="002D6C18">
        <w:rPr>
          <w:rFonts w:ascii="Times New Roman" w:eastAsia="Calibri" w:hAnsi="Times New Roman" w:cs="Times New Roman"/>
          <w:sz w:val="24"/>
          <w:szCs w:val="24"/>
        </w:rPr>
        <w:t>Similarly to section 19B (see explanatory notes above) section 19C also makes provision</w:t>
      </w:r>
      <w:r w:rsidR="005A524B">
        <w:rPr>
          <w:rFonts w:ascii="Times New Roman" w:eastAsia="Calibri" w:hAnsi="Times New Roman" w:cs="Times New Roman"/>
          <w:sz w:val="24"/>
          <w:szCs w:val="24"/>
        </w:rPr>
        <w:t xml:space="preserve"> for the preparation of an audit report</w:t>
      </w:r>
      <w:r w:rsidRPr="002D6C18">
        <w:rPr>
          <w:rFonts w:ascii="Times New Roman" w:eastAsia="Calibri" w:hAnsi="Times New Roman" w:cs="Times New Roman"/>
          <w:sz w:val="24"/>
          <w:szCs w:val="24"/>
        </w:rPr>
        <w:t>, for the purpose of subsection 13B(1) of the POFR Act, in relation to compliance with section 11 of the POFR Act, so far as that section relates to the giving of reports that relate to the refining of FSSP fuels.</w:t>
      </w:r>
    </w:p>
    <w:p w:rsidR="00883F01" w:rsidRPr="002D6C18" w:rsidRDefault="010262BF" w:rsidP="002D6C18">
      <w:pPr>
        <w:spacing w:before="240" w:after="100" w:afterAutospacing="1" w:line="276" w:lineRule="auto"/>
        <w:rPr>
          <w:rFonts w:ascii="Times New Roman" w:eastAsia="Calibri" w:hAnsi="Times New Roman" w:cs="Times New Roman"/>
          <w:sz w:val="24"/>
          <w:szCs w:val="24"/>
        </w:rPr>
      </w:pPr>
      <w:r w:rsidRPr="002D6C18">
        <w:rPr>
          <w:rFonts w:ascii="Times New Roman" w:eastAsia="Calibri" w:hAnsi="Times New Roman" w:cs="Times New Roman"/>
          <w:sz w:val="24"/>
          <w:szCs w:val="24"/>
        </w:rPr>
        <w:t xml:space="preserve">However, </w:t>
      </w:r>
      <w:r w:rsidR="005A524B">
        <w:rPr>
          <w:rFonts w:ascii="Times New Roman" w:eastAsia="Calibri" w:hAnsi="Times New Roman" w:cs="Times New Roman"/>
          <w:sz w:val="24"/>
          <w:szCs w:val="24"/>
        </w:rPr>
        <w:t>sub</w:t>
      </w:r>
      <w:r w:rsidRPr="002D6C18">
        <w:rPr>
          <w:rFonts w:ascii="Times New Roman" w:eastAsia="Calibri" w:hAnsi="Times New Roman" w:cs="Times New Roman"/>
          <w:sz w:val="24"/>
          <w:szCs w:val="24"/>
        </w:rPr>
        <w:t>section 19C</w:t>
      </w:r>
      <w:r w:rsidR="005A524B">
        <w:rPr>
          <w:rFonts w:ascii="Times New Roman" w:eastAsia="Calibri" w:hAnsi="Times New Roman" w:cs="Times New Roman"/>
          <w:sz w:val="24"/>
          <w:szCs w:val="24"/>
        </w:rPr>
        <w:t>(1)</w:t>
      </w:r>
      <w:r w:rsidRPr="002D6C18">
        <w:rPr>
          <w:rFonts w:ascii="Times New Roman" w:eastAsia="Calibri" w:hAnsi="Times New Roman" w:cs="Times New Roman"/>
          <w:sz w:val="24"/>
          <w:szCs w:val="24"/>
        </w:rPr>
        <w:t xml:space="preserve"> empowers the Secretary to request audits of particular reports made under section 19A of the principal POFR Rules, where the Secretary holds concerns about the accuracy of information provided in any such report. In these circumstances, the Secretary may request the refinery operator to </w:t>
      </w:r>
      <w:r w:rsidR="00A45821">
        <w:rPr>
          <w:rFonts w:ascii="Times New Roman" w:eastAsia="Calibri" w:hAnsi="Times New Roman" w:cs="Times New Roman"/>
          <w:sz w:val="24"/>
          <w:szCs w:val="24"/>
        </w:rPr>
        <w:t>obtain</w:t>
      </w:r>
      <w:r w:rsidR="00A45821" w:rsidRPr="002D6C18">
        <w:rPr>
          <w:rFonts w:ascii="Times New Roman" w:eastAsia="Calibri" w:hAnsi="Times New Roman" w:cs="Times New Roman"/>
          <w:sz w:val="24"/>
          <w:szCs w:val="24"/>
        </w:rPr>
        <w:t xml:space="preserve"> </w:t>
      </w:r>
      <w:r w:rsidRPr="002D6C18">
        <w:rPr>
          <w:rFonts w:ascii="Times New Roman" w:eastAsia="Calibri" w:hAnsi="Times New Roman" w:cs="Times New Roman"/>
          <w:sz w:val="24"/>
          <w:szCs w:val="24"/>
        </w:rPr>
        <w:t xml:space="preserve">an audit report in relation to either the quarterly report which triggered the concern, or the next quarterly report to be submitted under section 19A. </w:t>
      </w:r>
    </w:p>
    <w:p w:rsidR="00883F01" w:rsidRPr="002D6C18" w:rsidRDefault="010262BF" w:rsidP="002D6C18">
      <w:pPr>
        <w:spacing w:before="240" w:after="100" w:afterAutospacing="1" w:line="276" w:lineRule="auto"/>
        <w:rPr>
          <w:rFonts w:ascii="Times New Roman" w:eastAsia="Calibri" w:hAnsi="Times New Roman" w:cs="Times New Roman"/>
          <w:sz w:val="24"/>
          <w:szCs w:val="24"/>
        </w:rPr>
      </w:pPr>
      <w:r w:rsidRPr="002D6C18">
        <w:rPr>
          <w:rFonts w:ascii="Times New Roman" w:eastAsia="Calibri" w:hAnsi="Times New Roman" w:cs="Times New Roman"/>
          <w:sz w:val="24"/>
          <w:szCs w:val="24"/>
        </w:rPr>
        <w:t>Under subsection 19C(5), the Secretary is limited to requesting such an audit once per financial year, unless a significant discrepancy is identified in the fuel information reported which would justify further audit requests to be made.</w:t>
      </w:r>
    </w:p>
    <w:p w:rsidR="00883F01" w:rsidRPr="002D6C18" w:rsidRDefault="010262BF" w:rsidP="002D6C18">
      <w:pPr>
        <w:spacing w:before="240" w:after="100" w:afterAutospacing="1" w:line="276" w:lineRule="auto"/>
        <w:rPr>
          <w:rFonts w:ascii="Times New Roman" w:eastAsia="Calibri" w:hAnsi="Times New Roman" w:cs="Times New Roman"/>
          <w:sz w:val="24"/>
          <w:szCs w:val="24"/>
        </w:rPr>
      </w:pPr>
      <w:r w:rsidRPr="002D6C18">
        <w:rPr>
          <w:rFonts w:ascii="Times New Roman" w:eastAsia="Calibri" w:hAnsi="Times New Roman" w:cs="Times New Roman"/>
          <w:sz w:val="24"/>
          <w:szCs w:val="24"/>
        </w:rPr>
        <w:t xml:space="preserve">As for the end of financial year audit report prepared under section 19B, an audit report under section 19C must be prepared by a registered greenhouse and energy auditor in accordance with the requirements for reasonable assurance engagements under the NGER (Audit) Determination and must report whether reported fuel information complied with the requirements of section 19A and was fairly presented. </w:t>
      </w:r>
      <w:r w:rsidRPr="010262BF">
        <w:rPr>
          <w:rFonts w:ascii="Times New Roman" w:eastAsia="Times New Roman" w:hAnsi="Times New Roman" w:cs="Times New Roman"/>
          <w:sz w:val="24"/>
          <w:szCs w:val="24"/>
        </w:rPr>
        <w:t xml:space="preserve">This would include (if appropriate in the circumstances) a reasonable assurance conclusion that there is no misstatement in the matter being audited that is material or pervasive enough to affect the matter being audited as a whole. </w:t>
      </w:r>
      <w:r w:rsidRPr="002D6C18">
        <w:rPr>
          <w:rFonts w:ascii="Times New Roman" w:eastAsia="Calibri" w:hAnsi="Times New Roman" w:cs="Times New Roman"/>
          <w:sz w:val="24"/>
          <w:szCs w:val="24"/>
        </w:rPr>
        <w:t>The use of registered national greenhouse and energy auditors recognises the significant skills this category of auditors have with energy auditing relevant to the refining of FSSP fuels</w:t>
      </w:r>
      <w:r w:rsidR="0055715F">
        <w:rPr>
          <w:rFonts w:ascii="Times New Roman" w:eastAsia="Calibri" w:hAnsi="Times New Roman" w:cs="Times New Roman"/>
          <w:sz w:val="24"/>
          <w:szCs w:val="24"/>
        </w:rPr>
        <w:t xml:space="preserve"> for the same reasons as in section 19B</w:t>
      </w:r>
      <w:r w:rsidRPr="002D6C18">
        <w:rPr>
          <w:rFonts w:ascii="Times New Roman" w:eastAsia="Calibri" w:hAnsi="Times New Roman" w:cs="Times New Roman"/>
          <w:sz w:val="24"/>
          <w:szCs w:val="24"/>
        </w:rPr>
        <w:t>.</w:t>
      </w:r>
      <w:r w:rsidR="0055715F">
        <w:rPr>
          <w:rFonts w:ascii="Times New Roman" w:eastAsia="Calibri" w:hAnsi="Times New Roman" w:cs="Times New Roman"/>
          <w:sz w:val="24"/>
          <w:szCs w:val="24"/>
        </w:rPr>
        <w:t xml:space="preserve"> Whether the information was ‘fairly presented’ would take into account the understanding of that term in auditing, including that matters of substance are reflected in the presentation of the information.</w:t>
      </w:r>
    </w:p>
    <w:p w:rsidR="00883F01" w:rsidRPr="002D6C18" w:rsidRDefault="010262BF" w:rsidP="002D6C18">
      <w:pPr>
        <w:spacing w:before="240" w:after="100" w:afterAutospacing="1" w:line="276" w:lineRule="auto"/>
        <w:rPr>
          <w:rFonts w:ascii="Times New Roman" w:eastAsia="Calibri" w:hAnsi="Times New Roman" w:cs="Times New Roman"/>
          <w:sz w:val="24"/>
          <w:szCs w:val="24"/>
        </w:rPr>
      </w:pPr>
      <w:r w:rsidRPr="002D6C18">
        <w:rPr>
          <w:rFonts w:ascii="Times New Roman" w:eastAsia="Calibri" w:hAnsi="Times New Roman" w:cs="Times New Roman"/>
          <w:sz w:val="24"/>
          <w:szCs w:val="24"/>
        </w:rPr>
        <w:t>Subsection 19C(4) of the principal POFR Rules requires an audit report prepared under section 19C to be provided to the Secretary within specified timeframes; namely:</w:t>
      </w:r>
    </w:p>
    <w:p w:rsidR="00883F01" w:rsidRPr="0005660A" w:rsidRDefault="010262BF" w:rsidP="0005660A">
      <w:pPr>
        <w:pStyle w:val="ListParagraph"/>
        <w:numPr>
          <w:ilvl w:val="0"/>
          <w:numId w:val="31"/>
        </w:numPr>
        <w:spacing w:before="240" w:after="100" w:afterAutospacing="1"/>
        <w:rPr>
          <w:rFonts w:ascii="Times New Roman" w:eastAsia="Calibri" w:hAnsi="Times New Roman" w:cs="Times New Roman"/>
          <w:sz w:val="24"/>
          <w:szCs w:val="24"/>
        </w:rPr>
      </w:pPr>
      <w:r w:rsidRPr="0005660A">
        <w:rPr>
          <w:rFonts w:ascii="Times New Roman" w:eastAsia="Calibri" w:hAnsi="Times New Roman" w:cs="Times New Roman"/>
          <w:sz w:val="24"/>
          <w:szCs w:val="24"/>
        </w:rPr>
        <w:t>if it relates to a report under section 19A already provided to the Secretary—no later 90 days after being requested; and</w:t>
      </w:r>
    </w:p>
    <w:p w:rsidR="00883F01" w:rsidRPr="0005660A" w:rsidRDefault="010262BF" w:rsidP="0005660A">
      <w:pPr>
        <w:pStyle w:val="ListParagraph"/>
        <w:numPr>
          <w:ilvl w:val="0"/>
          <w:numId w:val="31"/>
        </w:numPr>
        <w:spacing w:before="240" w:after="100" w:afterAutospacing="1"/>
        <w:rPr>
          <w:rFonts w:ascii="Times New Roman" w:eastAsia="Calibri" w:hAnsi="Times New Roman" w:cs="Times New Roman"/>
          <w:sz w:val="24"/>
          <w:szCs w:val="24"/>
        </w:rPr>
      </w:pPr>
      <w:r w:rsidRPr="0005660A">
        <w:rPr>
          <w:rFonts w:ascii="Times New Roman" w:eastAsia="Calibri" w:hAnsi="Times New Roman" w:cs="Times New Roman"/>
          <w:sz w:val="24"/>
          <w:szCs w:val="24"/>
        </w:rPr>
        <w:t xml:space="preserve">if it relates to a report under section 19A for a future quarter—no later than 60 days after the end of the quarter to which the report relates (or such other time as agreed </w:t>
      </w:r>
      <w:r w:rsidR="0005660A">
        <w:rPr>
          <w:rFonts w:ascii="Times New Roman" w:eastAsia="Calibri" w:hAnsi="Times New Roman" w:cs="Times New Roman"/>
          <w:sz w:val="24"/>
          <w:szCs w:val="24"/>
        </w:rPr>
        <w:t>with</w:t>
      </w:r>
      <w:r w:rsidRPr="0005660A">
        <w:rPr>
          <w:rFonts w:ascii="Times New Roman" w:eastAsia="Calibri" w:hAnsi="Times New Roman" w:cs="Times New Roman"/>
          <w:sz w:val="24"/>
          <w:szCs w:val="24"/>
        </w:rPr>
        <w:t xml:space="preserve"> the Secretary).</w:t>
      </w:r>
    </w:p>
    <w:p w:rsidR="00883F01" w:rsidRPr="002D6C18" w:rsidRDefault="010262BF" w:rsidP="002D6C18">
      <w:pPr>
        <w:spacing w:before="240" w:after="100" w:afterAutospacing="1" w:line="276" w:lineRule="auto"/>
        <w:rPr>
          <w:rFonts w:ascii="Times New Roman" w:eastAsia="Calibri" w:hAnsi="Times New Roman" w:cs="Times New Roman"/>
          <w:sz w:val="24"/>
          <w:szCs w:val="24"/>
        </w:rPr>
      </w:pPr>
      <w:r w:rsidRPr="002D6C18">
        <w:rPr>
          <w:rFonts w:ascii="Times New Roman" w:eastAsia="Calibri" w:hAnsi="Times New Roman" w:cs="Times New Roman"/>
          <w:sz w:val="24"/>
          <w:szCs w:val="24"/>
        </w:rPr>
        <w:t xml:space="preserve">As for section 19B, the provisions of section 19C complement, and are supported by, the duties applying under sections 13C and 13D of the POFR Act for persons to provide reasonable facilities and assistance for audits and to comply with requirements in relation to reports of audits. </w:t>
      </w:r>
    </w:p>
    <w:p w:rsidR="00883F01" w:rsidRPr="002D6C18" w:rsidRDefault="010262BF" w:rsidP="002D6C18">
      <w:pPr>
        <w:spacing w:before="240" w:after="100" w:afterAutospacing="1" w:line="276" w:lineRule="auto"/>
        <w:rPr>
          <w:rFonts w:ascii="Times New Roman" w:eastAsia="Calibri" w:hAnsi="Times New Roman" w:cs="Times New Roman"/>
          <w:sz w:val="24"/>
          <w:szCs w:val="24"/>
        </w:rPr>
      </w:pPr>
      <w:r w:rsidRPr="002D6C18">
        <w:rPr>
          <w:rFonts w:ascii="Times New Roman" w:eastAsia="Calibri" w:hAnsi="Times New Roman" w:cs="Times New Roman"/>
          <w:sz w:val="24"/>
          <w:szCs w:val="24"/>
        </w:rPr>
        <w:t>As the FSSP scheme develops over time, the need for audits can be reassessed to ensure they are proportionate and do not impose unnecessary costs or regulatory burden.</w:t>
      </w:r>
      <w:r w:rsidRPr="010262BF">
        <w:rPr>
          <w:rFonts w:ascii="Times New Roman" w:eastAsia="Times New Roman" w:hAnsi="Times New Roman" w:cs="Times New Roman"/>
          <w:sz w:val="24"/>
          <w:szCs w:val="24"/>
        </w:rPr>
        <w:t xml:space="preserve"> </w:t>
      </w:r>
      <w:r w:rsidR="00051B28">
        <w:rPr>
          <w:rFonts w:ascii="Times New Roman" w:eastAsia="Times New Roman" w:hAnsi="Times New Roman" w:cs="Times New Roman"/>
          <w:sz w:val="24"/>
          <w:szCs w:val="24"/>
        </w:rPr>
        <w:t xml:space="preserve">As these audits are a compliance activity, there is no merits review of the decision to request such reports. </w:t>
      </w:r>
    </w:p>
    <w:p w:rsidR="00924BCE" w:rsidRDefault="00924BCE">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0611C3" w:rsidRPr="000611C3" w:rsidRDefault="000611C3" w:rsidP="000611C3">
      <w:pPr>
        <w:spacing w:before="360" w:after="120" w:line="276" w:lineRule="auto"/>
        <w:jc w:val="center"/>
        <w:rPr>
          <w:rFonts w:ascii="Times New Roman" w:eastAsia="Calibri" w:hAnsi="Times New Roman" w:cs="Times New Roman"/>
          <w:b/>
          <w:sz w:val="28"/>
          <w:szCs w:val="28"/>
        </w:rPr>
      </w:pPr>
      <w:r w:rsidRPr="000611C3">
        <w:rPr>
          <w:rFonts w:ascii="Times New Roman" w:eastAsia="Calibri" w:hAnsi="Times New Roman" w:cs="Times New Roman"/>
          <w:b/>
          <w:sz w:val="28"/>
          <w:szCs w:val="28"/>
        </w:rPr>
        <w:t>Statement of Compatibility with Human Rights</w:t>
      </w:r>
    </w:p>
    <w:p w:rsidR="000611C3" w:rsidRPr="000611C3" w:rsidRDefault="000611C3" w:rsidP="000611C3">
      <w:pPr>
        <w:spacing w:before="240" w:after="240" w:line="276" w:lineRule="auto"/>
        <w:jc w:val="center"/>
        <w:rPr>
          <w:rFonts w:ascii="Times New Roman" w:eastAsia="Calibri" w:hAnsi="Times New Roman" w:cs="Times New Roman"/>
          <w:sz w:val="24"/>
          <w:szCs w:val="24"/>
        </w:rPr>
      </w:pPr>
      <w:r w:rsidRPr="00877773">
        <w:rPr>
          <w:rFonts w:ascii="Times New Roman" w:eastAsia="Calibri" w:hAnsi="Times New Roman" w:cs="Times New Roman"/>
          <w:sz w:val="24"/>
          <w:szCs w:val="24"/>
        </w:rPr>
        <w:t>Prepared in accordance with</w:t>
      </w:r>
      <w:r w:rsidRPr="000611C3">
        <w:rPr>
          <w:rFonts w:ascii="Times New Roman" w:eastAsia="Calibri" w:hAnsi="Times New Roman" w:cs="Times New Roman"/>
          <w:i/>
          <w:sz w:val="24"/>
          <w:szCs w:val="24"/>
        </w:rPr>
        <w:t xml:space="preserve"> </w:t>
      </w:r>
      <w:r w:rsidRPr="00877773">
        <w:rPr>
          <w:rFonts w:ascii="Times New Roman" w:eastAsia="Calibri" w:hAnsi="Times New Roman" w:cs="Times New Roman"/>
          <w:sz w:val="24"/>
          <w:szCs w:val="24"/>
        </w:rPr>
        <w:t>Part 3 of the</w:t>
      </w:r>
      <w:r w:rsidRPr="000611C3">
        <w:rPr>
          <w:rFonts w:ascii="Times New Roman" w:eastAsia="Calibri" w:hAnsi="Times New Roman" w:cs="Times New Roman"/>
          <w:i/>
          <w:sz w:val="24"/>
          <w:szCs w:val="24"/>
        </w:rPr>
        <w:t xml:space="preserve"> Human Rights (Parliamentary Scrutiny) Act 2011</w:t>
      </w:r>
    </w:p>
    <w:p w:rsidR="000611C3" w:rsidRPr="000611C3" w:rsidRDefault="00BC0018" w:rsidP="000611C3">
      <w:pPr>
        <w:spacing w:before="240" w:after="240" w:line="276" w:lineRule="auto"/>
        <w:jc w:val="center"/>
        <w:rPr>
          <w:rFonts w:ascii="Times New Roman" w:eastAsia="Calibri" w:hAnsi="Times New Roman" w:cs="Times New Roman"/>
          <w:i/>
          <w:sz w:val="24"/>
          <w:szCs w:val="24"/>
        </w:rPr>
      </w:pPr>
      <w:r w:rsidRPr="00BC0018">
        <w:rPr>
          <w:rFonts w:ascii="Times New Roman" w:eastAsia="Calibri" w:hAnsi="Times New Roman" w:cs="Times New Roman"/>
          <w:i/>
          <w:sz w:val="24"/>
          <w:szCs w:val="24"/>
        </w:rPr>
        <w:t>Petroleum and Other Fuels Reporting Amendment (Fuel Security Services Payment) Rule 2021</w:t>
      </w:r>
    </w:p>
    <w:p w:rsidR="000611C3" w:rsidRPr="000611C3" w:rsidRDefault="000611C3" w:rsidP="000611C3">
      <w:pPr>
        <w:spacing w:before="240" w:after="240" w:line="276" w:lineRule="auto"/>
        <w:jc w:val="center"/>
        <w:rPr>
          <w:rFonts w:ascii="Times New Roman" w:eastAsia="Calibri" w:hAnsi="Times New Roman" w:cs="Times New Roman"/>
          <w:sz w:val="24"/>
          <w:szCs w:val="24"/>
        </w:rPr>
      </w:pPr>
      <w:r w:rsidRPr="000611C3">
        <w:rPr>
          <w:rFonts w:ascii="Times New Roman" w:eastAsia="Calibri" w:hAnsi="Times New Roman" w:cs="Times New Roman"/>
          <w:sz w:val="24"/>
          <w:szCs w:val="24"/>
        </w:rPr>
        <w:t xml:space="preserve">This Rule is compatible with the human rights and freedoms recognised or declared in the international instruments listed in section 3 of the </w:t>
      </w:r>
      <w:r w:rsidRPr="000611C3">
        <w:rPr>
          <w:rFonts w:ascii="Times New Roman" w:eastAsia="Calibri" w:hAnsi="Times New Roman" w:cs="Times New Roman"/>
          <w:i/>
          <w:sz w:val="24"/>
          <w:szCs w:val="24"/>
        </w:rPr>
        <w:t>Human Rights (Parliamentary Scrutiny) Act 2011</w:t>
      </w:r>
      <w:r w:rsidRPr="000611C3">
        <w:rPr>
          <w:rFonts w:ascii="Times New Roman" w:eastAsia="Calibri" w:hAnsi="Times New Roman" w:cs="Times New Roman"/>
          <w:sz w:val="24"/>
          <w:szCs w:val="24"/>
        </w:rPr>
        <w:t>.</w:t>
      </w:r>
    </w:p>
    <w:p w:rsidR="000611C3" w:rsidRPr="000611C3" w:rsidRDefault="000611C3" w:rsidP="000611C3">
      <w:pPr>
        <w:spacing w:before="240" w:after="0" w:line="276" w:lineRule="auto"/>
        <w:jc w:val="both"/>
        <w:rPr>
          <w:rFonts w:ascii="Times New Roman" w:eastAsia="Calibri" w:hAnsi="Times New Roman" w:cs="Times New Roman"/>
          <w:b/>
          <w:sz w:val="24"/>
          <w:szCs w:val="24"/>
        </w:rPr>
      </w:pPr>
      <w:r w:rsidRPr="000611C3">
        <w:rPr>
          <w:rFonts w:ascii="Times New Roman" w:eastAsia="Calibri" w:hAnsi="Times New Roman" w:cs="Times New Roman"/>
          <w:b/>
          <w:sz w:val="24"/>
          <w:szCs w:val="24"/>
        </w:rPr>
        <w:t>Overview of the Legislative Instrument</w:t>
      </w:r>
    </w:p>
    <w:p w:rsidR="001D4D37" w:rsidRPr="001D4D37" w:rsidRDefault="001D4D37" w:rsidP="001D4D37">
      <w:pPr>
        <w:spacing w:before="240" w:after="0" w:line="276" w:lineRule="auto"/>
        <w:rPr>
          <w:rFonts w:ascii="Times New Roman" w:eastAsia="Calibri" w:hAnsi="Times New Roman" w:cs="Times New Roman"/>
          <w:sz w:val="24"/>
          <w:szCs w:val="24"/>
        </w:rPr>
      </w:pPr>
      <w:r w:rsidRPr="001D4D37">
        <w:rPr>
          <w:rFonts w:ascii="Times New Roman" w:eastAsia="Calibri" w:hAnsi="Times New Roman" w:cs="Times New Roman"/>
          <w:sz w:val="24"/>
          <w:szCs w:val="24"/>
        </w:rPr>
        <w:t xml:space="preserve">The </w:t>
      </w:r>
      <w:r w:rsidRPr="001D4D37">
        <w:rPr>
          <w:rFonts w:ascii="Times New Roman" w:eastAsia="Calibri" w:hAnsi="Times New Roman" w:cs="Times New Roman"/>
          <w:i/>
          <w:sz w:val="24"/>
          <w:szCs w:val="24"/>
        </w:rPr>
        <w:t>Petroleum and Other Fuels Reporting Amendment (Fuel Security Services Payment) Rule 2021</w:t>
      </w:r>
      <w:r w:rsidRPr="001D4D37">
        <w:rPr>
          <w:rFonts w:ascii="Times New Roman" w:eastAsia="Calibri" w:hAnsi="Times New Roman" w:cs="Times New Roman"/>
          <w:sz w:val="24"/>
          <w:szCs w:val="24"/>
        </w:rPr>
        <w:t xml:space="preserve"> (the Rule) amends the </w:t>
      </w:r>
      <w:r w:rsidRPr="001D4D37">
        <w:rPr>
          <w:rFonts w:ascii="Times New Roman" w:eastAsia="Calibri" w:hAnsi="Times New Roman" w:cs="Times New Roman"/>
          <w:i/>
          <w:sz w:val="24"/>
          <w:szCs w:val="24"/>
        </w:rPr>
        <w:t>Petroleum and Other Fuels Reporting Rules 2017</w:t>
      </w:r>
      <w:r w:rsidRPr="001D4D37">
        <w:rPr>
          <w:rFonts w:ascii="Times New Roman" w:eastAsia="Calibri" w:hAnsi="Times New Roman" w:cs="Times New Roman"/>
          <w:sz w:val="24"/>
          <w:szCs w:val="24"/>
        </w:rPr>
        <w:t xml:space="preserve"> (the principal POFR Rules) by prescribing various matters for the purposes of the fuel security services payment (the FSSP) reporting aspects of the </w:t>
      </w:r>
      <w:r w:rsidRPr="001D4D37">
        <w:rPr>
          <w:rFonts w:ascii="Times New Roman" w:eastAsia="Calibri" w:hAnsi="Times New Roman" w:cs="Times New Roman"/>
          <w:i/>
          <w:sz w:val="24"/>
          <w:szCs w:val="24"/>
        </w:rPr>
        <w:t>Petroleum and Other Fuels Reporting Act 2017</w:t>
      </w:r>
      <w:r w:rsidRPr="001D4D37">
        <w:rPr>
          <w:rFonts w:ascii="Times New Roman" w:eastAsia="Calibri" w:hAnsi="Times New Roman" w:cs="Times New Roman"/>
          <w:sz w:val="24"/>
          <w:szCs w:val="24"/>
        </w:rPr>
        <w:t xml:space="preserve"> (POFR Act) (as </w:t>
      </w:r>
      <w:r w:rsidR="00FB168A">
        <w:rPr>
          <w:rFonts w:ascii="Times New Roman" w:eastAsia="Calibri" w:hAnsi="Times New Roman" w:cs="Times New Roman"/>
          <w:sz w:val="24"/>
          <w:szCs w:val="24"/>
        </w:rPr>
        <w:t>amended</w:t>
      </w:r>
      <w:r w:rsidRPr="001D4D37">
        <w:rPr>
          <w:rFonts w:ascii="Times New Roman" w:eastAsia="Calibri" w:hAnsi="Times New Roman" w:cs="Times New Roman"/>
          <w:sz w:val="24"/>
          <w:szCs w:val="24"/>
        </w:rPr>
        <w:t xml:space="preserve"> by the </w:t>
      </w:r>
      <w:r w:rsidRPr="001D4D37">
        <w:rPr>
          <w:rFonts w:ascii="Times New Roman" w:eastAsia="Calibri" w:hAnsi="Times New Roman" w:cs="Times New Roman"/>
          <w:i/>
          <w:sz w:val="24"/>
          <w:szCs w:val="24"/>
        </w:rPr>
        <w:t>Fuel Security (Consequential and Transitional Provisions) Act 2021</w:t>
      </w:r>
      <w:r w:rsidRPr="001D4D37">
        <w:rPr>
          <w:rFonts w:ascii="Times New Roman" w:eastAsia="Calibri" w:hAnsi="Times New Roman" w:cs="Times New Roman"/>
          <w:sz w:val="24"/>
          <w:szCs w:val="24"/>
        </w:rPr>
        <w:t>).</w:t>
      </w:r>
    </w:p>
    <w:p w:rsidR="001D4D37" w:rsidRPr="001D4D37" w:rsidRDefault="001D4D37" w:rsidP="001D4D37">
      <w:pPr>
        <w:spacing w:before="240" w:after="0" w:line="276" w:lineRule="auto"/>
        <w:rPr>
          <w:rFonts w:ascii="Times New Roman" w:eastAsia="Calibri" w:hAnsi="Times New Roman" w:cs="Times New Roman"/>
          <w:sz w:val="24"/>
          <w:szCs w:val="24"/>
        </w:rPr>
      </w:pPr>
      <w:r w:rsidRPr="001D4D37">
        <w:rPr>
          <w:rFonts w:ascii="Times New Roman" w:eastAsia="Calibri" w:hAnsi="Times New Roman" w:cs="Times New Roman"/>
          <w:sz w:val="24"/>
          <w:szCs w:val="24"/>
        </w:rPr>
        <w:t>In particular, the Rule amends the principal POFR Rules by inserting:</w:t>
      </w:r>
    </w:p>
    <w:p w:rsidR="001D4D37" w:rsidRPr="001D4D37" w:rsidRDefault="001D4D37" w:rsidP="009F7B1D">
      <w:pPr>
        <w:numPr>
          <w:ilvl w:val="0"/>
          <w:numId w:val="4"/>
        </w:numPr>
        <w:spacing w:before="240" w:after="0" w:line="276" w:lineRule="auto"/>
        <w:rPr>
          <w:rFonts w:ascii="Times New Roman" w:eastAsia="Calibri" w:hAnsi="Times New Roman" w:cs="Times New Roman"/>
          <w:sz w:val="24"/>
          <w:szCs w:val="24"/>
        </w:rPr>
      </w:pPr>
      <w:r w:rsidRPr="001D4D37">
        <w:rPr>
          <w:rFonts w:ascii="Times New Roman" w:eastAsia="Calibri" w:hAnsi="Times New Roman" w:cs="Times New Roman"/>
          <w:sz w:val="24"/>
          <w:szCs w:val="24"/>
        </w:rPr>
        <w:t xml:space="preserve">new definitions </w:t>
      </w:r>
      <w:r w:rsidR="009F7B1D">
        <w:rPr>
          <w:rFonts w:ascii="Times New Roman" w:eastAsia="Calibri" w:hAnsi="Times New Roman" w:cs="Times New Roman"/>
          <w:sz w:val="24"/>
          <w:szCs w:val="24"/>
        </w:rPr>
        <w:t xml:space="preserve">of several </w:t>
      </w:r>
      <w:r w:rsidRPr="001D4D37">
        <w:rPr>
          <w:rFonts w:ascii="Times New Roman" w:eastAsia="Calibri" w:hAnsi="Times New Roman" w:cs="Times New Roman"/>
          <w:sz w:val="24"/>
          <w:szCs w:val="24"/>
        </w:rPr>
        <w:t xml:space="preserve">terms to ensure </w:t>
      </w:r>
      <w:r w:rsidR="009F7B1D" w:rsidRPr="009F7B1D">
        <w:rPr>
          <w:rFonts w:ascii="Times New Roman" w:eastAsia="Calibri" w:hAnsi="Times New Roman" w:cs="Times New Roman"/>
          <w:sz w:val="24"/>
          <w:szCs w:val="24"/>
        </w:rPr>
        <w:t xml:space="preserve">key </w:t>
      </w:r>
      <w:r w:rsidRPr="001D4D37">
        <w:rPr>
          <w:rFonts w:ascii="Times New Roman" w:eastAsia="Calibri" w:hAnsi="Times New Roman" w:cs="Times New Roman"/>
          <w:sz w:val="24"/>
          <w:szCs w:val="24"/>
        </w:rPr>
        <w:t xml:space="preserve">terminology is defined consistently across the new laws establishing the FSSP scheme, including under the </w:t>
      </w:r>
      <w:r w:rsidRPr="001D4D37">
        <w:rPr>
          <w:rFonts w:ascii="Times New Roman" w:eastAsia="Calibri" w:hAnsi="Times New Roman" w:cs="Times New Roman"/>
          <w:i/>
          <w:sz w:val="24"/>
          <w:szCs w:val="24"/>
        </w:rPr>
        <w:t xml:space="preserve">Fuel Security Act 2021 </w:t>
      </w:r>
      <w:r w:rsidRPr="001D4D37">
        <w:rPr>
          <w:rFonts w:ascii="Times New Roman" w:eastAsia="Calibri" w:hAnsi="Times New Roman" w:cs="Times New Roman"/>
          <w:sz w:val="24"/>
          <w:szCs w:val="24"/>
        </w:rPr>
        <w:t xml:space="preserve">(FS Act), the </w:t>
      </w:r>
      <w:r w:rsidRPr="001D4D37">
        <w:rPr>
          <w:rFonts w:ascii="Times New Roman" w:eastAsia="Calibri" w:hAnsi="Times New Roman" w:cs="Times New Roman"/>
          <w:i/>
          <w:sz w:val="24"/>
          <w:szCs w:val="24"/>
        </w:rPr>
        <w:t>Fuel Security (Fuel Security Services Payment) Rule 2021</w:t>
      </w:r>
      <w:r w:rsidRPr="001D4D37">
        <w:rPr>
          <w:rFonts w:ascii="Times New Roman" w:eastAsia="Calibri" w:hAnsi="Times New Roman" w:cs="Times New Roman"/>
          <w:sz w:val="24"/>
          <w:szCs w:val="24"/>
        </w:rPr>
        <w:t xml:space="preserve"> (FSSP Rule) and the principal POFR Rules, wherever appropriate;</w:t>
      </w:r>
    </w:p>
    <w:p w:rsidR="001D4D37" w:rsidRPr="001D4D37" w:rsidRDefault="001D4D37" w:rsidP="001D4D37">
      <w:pPr>
        <w:numPr>
          <w:ilvl w:val="0"/>
          <w:numId w:val="4"/>
        </w:numPr>
        <w:spacing w:after="0" w:line="276" w:lineRule="auto"/>
        <w:ind w:left="714" w:hanging="357"/>
        <w:rPr>
          <w:rFonts w:ascii="Times New Roman" w:eastAsia="Calibri" w:hAnsi="Times New Roman" w:cs="Times New Roman"/>
          <w:sz w:val="24"/>
          <w:szCs w:val="24"/>
        </w:rPr>
      </w:pPr>
      <w:r w:rsidRPr="001D4D37">
        <w:rPr>
          <w:rFonts w:ascii="Times New Roman" w:eastAsia="Calibri" w:hAnsi="Times New Roman" w:cs="Times New Roman"/>
          <w:sz w:val="24"/>
          <w:szCs w:val="24"/>
        </w:rPr>
        <w:t xml:space="preserve">new reporting provisions to require refinery operators to report information concerning the refining of </w:t>
      </w:r>
      <w:r w:rsidR="009F7B1D">
        <w:rPr>
          <w:rFonts w:ascii="Times New Roman" w:eastAsia="Calibri" w:hAnsi="Times New Roman" w:cs="Times New Roman"/>
          <w:sz w:val="24"/>
          <w:szCs w:val="24"/>
        </w:rPr>
        <w:t>“</w:t>
      </w:r>
      <w:r w:rsidRPr="001D4D37">
        <w:rPr>
          <w:rFonts w:ascii="Times New Roman" w:eastAsia="Calibri" w:hAnsi="Times New Roman" w:cs="Times New Roman"/>
          <w:sz w:val="24"/>
          <w:szCs w:val="24"/>
        </w:rPr>
        <w:t>FSSP fuels</w:t>
      </w:r>
      <w:r w:rsidR="009F7B1D">
        <w:rPr>
          <w:rFonts w:ascii="Times New Roman" w:eastAsia="Calibri" w:hAnsi="Times New Roman" w:cs="Times New Roman"/>
          <w:sz w:val="24"/>
          <w:szCs w:val="24"/>
        </w:rPr>
        <w:t>”</w:t>
      </w:r>
      <w:r w:rsidRPr="001D4D37">
        <w:rPr>
          <w:rFonts w:ascii="Times New Roman" w:eastAsia="Calibri" w:hAnsi="Times New Roman" w:cs="Times New Roman"/>
          <w:sz w:val="24"/>
          <w:szCs w:val="24"/>
        </w:rPr>
        <w:t xml:space="preserve"> (as defined under the FS Act) on a quarterly basis under the principal POFR Rules; and</w:t>
      </w:r>
    </w:p>
    <w:p w:rsidR="001D4D37" w:rsidRPr="001D4D37" w:rsidRDefault="001D4D37" w:rsidP="001D4D37">
      <w:pPr>
        <w:numPr>
          <w:ilvl w:val="0"/>
          <w:numId w:val="4"/>
        </w:numPr>
        <w:spacing w:after="0" w:line="276" w:lineRule="auto"/>
        <w:ind w:left="714" w:hanging="357"/>
        <w:rPr>
          <w:rFonts w:ascii="Times New Roman" w:eastAsia="Calibri" w:hAnsi="Times New Roman" w:cs="Times New Roman"/>
          <w:sz w:val="24"/>
          <w:szCs w:val="24"/>
        </w:rPr>
      </w:pPr>
      <w:r w:rsidRPr="001D4D37">
        <w:rPr>
          <w:rFonts w:ascii="Times New Roman" w:eastAsia="Calibri" w:hAnsi="Times New Roman" w:cs="Times New Roman"/>
          <w:sz w:val="24"/>
          <w:szCs w:val="24"/>
        </w:rPr>
        <w:t>new auditing provisions requiring the conduct of audits of quarterly reports submitted by refiners, which relate to the refining of FSSP fuels, to be conducted at the end of the first financial year of the operation of the FSSP scheme and otherwise where the Secretary holds concerns about the accuracy of information provided in such reports.</w:t>
      </w:r>
    </w:p>
    <w:p w:rsidR="000611C3" w:rsidRPr="000611C3" w:rsidRDefault="000611C3" w:rsidP="000611C3">
      <w:pPr>
        <w:spacing w:before="240" w:after="0" w:line="276" w:lineRule="auto"/>
        <w:rPr>
          <w:rFonts w:ascii="Times New Roman" w:eastAsia="Calibri" w:hAnsi="Times New Roman" w:cs="Times New Roman"/>
          <w:b/>
          <w:sz w:val="24"/>
          <w:szCs w:val="24"/>
        </w:rPr>
      </w:pPr>
      <w:r w:rsidRPr="000611C3">
        <w:rPr>
          <w:rFonts w:ascii="Times New Roman" w:eastAsia="Calibri" w:hAnsi="Times New Roman" w:cs="Times New Roman"/>
          <w:b/>
          <w:sz w:val="24"/>
          <w:szCs w:val="24"/>
        </w:rPr>
        <w:t>Human rights implications</w:t>
      </w:r>
    </w:p>
    <w:p w:rsidR="000611C3" w:rsidRPr="000611C3" w:rsidRDefault="000611C3" w:rsidP="000611C3">
      <w:pPr>
        <w:spacing w:after="120" w:line="273" w:lineRule="exact"/>
        <w:textAlignment w:val="baseline"/>
        <w:rPr>
          <w:rFonts w:ascii="Times New Roman" w:eastAsia="Times New Roman" w:hAnsi="Times New Roman" w:cs="Times New Roman"/>
          <w:color w:val="000000"/>
          <w:sz w:val="24"/>
          <w:lang w:val="en-US"/>
        </w:rPr>
      </w:pPr>
      <w:r w:rsidRPr="000611C3">
        <w:rPr>
          <w:rFonts w:ascii="Times New Roman" w:eastAsia="Times New Roman" w:hAnsi="Times New Roman" w:cs="Times New Roman"/>
          <w:color w:val="000000"/>
          <w:sz w:val="24"/>
          <w:lang w:val="en-US"/>
        </w:rPr>
        <w:t>This Rule engages, or may engage, the following rights:</w:t>
      </w:r>
    </w:p>
    <w:p w:rsidR="00924BCE" w:rsidRPr="00924BCE" w:rsidRDefault="00924BCE" w:rsidP="00924BCE">
      <w:pPr>
        <w:numPr>
          <w:ilvl w:val="0"/>
          <w:numId w:val="13"/>
        </w:numPr>
        <w:tabs>
          <w:tab w:val="left" w:pos="360"/>
          <w:tab w:val="left" w:pos="720"/>
        </w:tabs>
        <w:spacing w:before="19" w:after="0" w:line="317" w:lineRule="exact"/>
        <w:ind w:right="432"/>
        <w:contextualSpacing/>
        <w:textAlignment w:val="baseline"/>
        <w:rPr>
          <w:rFonts w:ascii="Times New Roman" w:eastAsia="Times New Roman" w:hAnsi="Times New Roman" w:cs="Times New Roman"/>
          <w:color w:val="000000"/>
          <w:sz w:val="24"/>
          <w:lang w:val="en-US"/>
        </w:rPr>
      </w:pPr>
      <w:r w:rsidRPr="00924BCE">
        <w:rPr>
          <w:rFonts w:ascii="Times New Roman" w:eastAsia="Times New Roman" w:hAnsi="Times New Roman" w:cs="Times New Roman"/>
          <w:color w:val="000000"/>
          <w:sz w:val="24"/>
          <w:lang w:val="en-US"/>
        </w:rPr>
        <w:t xml:space="preserve">the right to privacy – Article 17 of the International Covenant on Civil and Political Rights (ICCPR) </w:t>
      </w:r>
    </w:p>
    <w:p w:rsidR="00924BCE" w:rsidRPr="00E52BCA" w:rsidRDefault="00924BCE" w:rsidP="00924BCE">
      <w:pPr>
        <w:numPr>
          <w:ilvl w:val="0"/>
          <w:numId w:val="13"/>
        </w:numPr>
        <w:tabs>
          <w:tab w:val="left" w:pos="360"/>
          <w:tab w:val="left" w:pos="720"/>
        </w:tabs>
        <w:spacing w:before="19" w:after="0" w:line="317" w:lineRule="exact"/>
        <w:ind w:right="432"/>
        <w:contextualSpacing/>
        <w:textAlignment w:val="baseline"/>
        <w:rPr>
          <w:rFonts w:ascii="Times New Roman" w:eastAsia="Times New Roman" w:hAnsi="Times New Roman" w:cs="Times New Roman"/>
          <w:color w:val="000000"/>
          <w:sz w:val="24"/>
          <w:lang w:val="en-US"/>
        </w:rPr>
      </w:pPr>
      <w:r w:rsidRPr="00E52BCA">
        <w:rPr>
          <w:rFonts w:ascii="Times New Roman" w:eastAsia="Times New Roman" w:hAnsi="Times New Roman" w:cs="Times New Roman"/>
          <w:color w:val="000000"/>
          <w:sz w:val="24"/>
          <w:lang w:val="en-US"/>
        </w:rPr>
        <w:t>the right to freedom of expre</w:t>
      </w:r>
      <w:r w:rsidR="00D67FF3">
        <w:rPr>
          <w:rFonts w:ascii="Times New Roman" w:eastAsia="Times New Roman" w:hAnsi="Times New Roman" w:cs="Times New Roman"/>
          <w:color w:val="000000"/>
          <w:sz w:val="24"/>
          <w:lang w:val="en-US"/>
        </w:rPr>
        <w:t>ssion – Article 19 of the ICCPR</w:t>
      </w:r>
    </w:p>
    <w:p w:rsidR="000611C3" w:rsidRPr="000611C3" w:rsidRDefault="000611C3" w:rsidP="000611C3">
      <w:pPr>
        <w:numPr>
          <w:ilvl w:val="0"/>
          <w:numId w:val="13"/>
        </w:numPr>
        <w:tabs>
          <w:tab w:val="left" w:pos="360"/>
          <w:tab w:val="left" w:pos="720"/>
        </w:tabs>
        <w:spacing w:before="120" w:after="120" w:line="240" w:lineRule="auto"/>
        <w:contextualSpacing/>
        <w:textAlignment w:val="baseline"/>
        <w:rPr>
          <w:rFonts w:ascii="Times New Roman" w:eastAsia="Calibri" w:hAnsi="Times New Roman" w:cs="Times New Roman"/>
          <w:sz w:val="24"/>
          <w:szCs w:val="24"/>
        </w:rPr>
      </w:pPr>
      <w:r w:rsidRPr="000611C3">
        <w:rPr>
          <w:rFonts w:ascii="Times New Roman" w:eastAsia="Times New Roman" w:hAnsi="Times New Roman" w:cs="Times New Roman"/>
          <w:color w:val="000000"/>
          <w:sz w:val="24"/>
          <w:lang w:val="en-US"/>
        </w:rPr>
        <w:t>the right not to incriminate oneself – Article 14(3)(g) of the ICCPR.</w:t>
      </w:r>
    </w:p>
    <w:p w:rsidR="000611C3" w:rsidRPr="000611C3" w:rsidRDefault="000611C3" w:rsidP="000611C3">
      <w:pPr>
        <w:spacing w:before="3" w:after="0" w:line="274" w:lineRule="exact"/>
        <w:textAlignment w:val="baseline"/>
        <w:rPr>
          <w:rFonts w:ascii="Times New Roman" w:eastAsia="Calibri" w:hAnsi="Times New Roman" w:cs="Times New Roman"/>
          <w:sz w:val="24"/>
          <w:szCs w:val="24"/>
        </w:rPr>
      </w:pPr>
    </w:p>
    <w:p w:rsidR="000611C3" w:rsidRPr="000611C3" w:rsidRDefault="000611C3" w:rsidP="00AC04A1">
      <w:pPr>
        <w:keepNext/>
        <w:spacing w:before="3" w:after="0" w:line="274" w:lineRule="exact"/>
        <w:textAlignment w:val="baseline"/>
        <w:rPr>
          <w:rFonts w:ascii="Times New Roman" w:eastAsia="Times New Roman" w:hAnsi="Times New Roman" w:cs="Times New Roman"/>
          <w:b/>
          <w:color w:val="000000"/>
          <w:sz w:val="24"/>
          <w:lang w:val="en-US"/>
        </w:rPr>
      </w:pPr>
      <w:r w:rsidRPr="000611C3">
        <w:rPr>
          <w:rFonts w:ascii="Times New Roman" w:eastAsia="Times New Roman" w:hAnsi="Times New Roman" w:cs="Times New Roman"/>
          <w:b/>
          <w:color w:val="000000"/>
          <w:sz w:val="24"/>
          <w:lang w:val="en-US"/>
        </w:rPr>
        <w:t>The Rule will regulate entities rather than individuals</w:t>
      </w:r>
    </w:p>
    <w:p w:rsidR="000611C3" w:rsidRPr="000611C3" w:rsidRDefault="000611C3" w:rsidP="000611C3">
      <w:pPr>
        <w:spacing w:before="2" w:after="0" w:line="317" w:lineRule="exact"/>
        <w:ind w:right="72"/>
        <w:textAlignment w:val="baseline"/>
        <w:rPr>
          <w:rFonts w:ascii="Times New Roman" w:eastAsia="Times New Roman" w:hAnsi="Times New Roman" w:cs="Times New Roman"/>
          <w:color w:val="000000" w:themeColor="text1"/>
          <w:sz w:val="24"/>
          <w:szCs w:val="24"/>
          <w:lang w:val="en-US"/>
        </w:rPr>
      </w:pPr>
      <w:r w:rsidRPr="4523AE5C">
        <w:rPr>
          <w:rFonts w:ascii="Times New Roman" w:eastAsia="Times New Roman" w:hAnsi="Times New Roman" w:cs="Times New Roman"/>
          <w:color w:val="000000" w:themeColor="text1"/>
          <w:sz w:val="24"/>
          <w:szCs w:val="24"/>
          <w:lang w:val="en-US"/>
        </w:rPr>
        <w:t xml:space="preserve">As noted at paragraph 1.11 of the Parliamentary Joint Committee on Human Rights – Guide to Human Rights, published in June 2015, which is a freely available document that outlines the key human rights that form part of the Parliamentary Joint Committee on Human Rights’ mandate (available at </w:t>
      </w:r>
      <w:hyperlink r:id="rId16" w:history="1">
        <w:r w:rsidRPr="004D14C4">
          <w:rPr>
            <w:rStyle w:val="Hyperlink"/>
            <w:rFonts w:ascii="Times New Roman" w:eastAsia="Times New Roman" w:hAnsi="Times New Roman" w:cs="Times New Roman"/>
            <w:sz w:val="24"/>
            <w:szCs w:val="24"/>
            <w:lang w:val="en-US"/>
          </w:rPr>
          <w:t>https://www.aph.gov.au/Parliamentary_Business/Committees/Joint/Human_ Rights/Guidance_Notes_and_Resources</w:t>
        </w:r>
      </w:hyperlink>
      <w:r w:rsidRPr="4523AE5C">
        <w:rPr>
          <w:rFonts w:ascii="Times New Roman" w:eastAsia="Times New Roman" w:hAnsi="Times New Roman" w:cs="Times New Roman"/>
          <w:color w:val="000000" w:themeColor="text1"/>
          <w:sz w:val="24"/>
          <w:szCs w:val="24"/>
          <w:lang w:val="en-US"/>
        </w:rPr>
        <w:t>):</w:t>
      </w:r>
    </w:p>
    <w:p w:rsidR="000611C3" w:rsidRPr="000611C3" w:rsidRDefault="000611C3" w:rsidP="00C769F8">
      <w:pPr>
        <w:spacing w:before="315" w:after="0" w:line="316" w:lineRule="exact"/>
        <w:ind w:left="720" w:right="504"/>
        <w:textAlignment w:val="baseline"/>
        <w:rPr>
          <w:rFonts w:ascii="Times New Roman" w:eastAsia="Times New Roman" w:hAnsi="Times New Roman" w:cs="Times New Roman"/>
          <w:color w:val="000000"/>
          <w:sz w:val="24"/>
          <w:lang w:val="en-US"/>
        </w:rPr>
      </w:pPr>
      <w:r w:rsidRPr="000611C3">
        <w:rPr>
          <w:rFonts w:ascii="Times New Roman" w:eastAsia="Times New Roman" w:hAnsi="Times New Roman" w:cs="Times New Roman"/>
          <w:color w:val="000000"/>
          <w:sz w:val="24"/>
          <w:lang w:val="en-US"/>
        </w:rPr>
        <w:t>“</w:t>
      </w:r>
      <w:r w:rsidRPr="000611C3">
        <w:rPr>
          <w:rFonts w:ascii="Times New Roman" w:eastAsia="Times New Roman" w:hAnsi="Times New Roman" w:cs="Times New Roman"/>
          <w:i/>
          <w:color w:val="000000"/>
          <w:sz w:val="24"/>
          <w:lang w:val="en-US"/>
        </w:rPr>
        <w:t>Under the UN human rights treaties, human rights belong to individuals and groups of individuals. The treaties do not confer rights on companies or other incorporated bodies</w:t>
      </w:r>
      <w:r w:rsidRPr="000611C3">
        <w:rPr>
          <w:rFonts w:ascii="Times New Roman" w:eastAsia="Times New Roman" w:hAnsi="Times New Roman" w:cs="Times New Roman"/>
          <w:color w:val="000000"/>
          <w:sz w:val="24"/>
          <w:lang w:val="en-US"/>
        </w:rPr>
        <w:t>.”</w:t>
      </w:r>
    </w:p>
    <w:p w:rsidR="00E03E1B" w:rsidRDefault="003805D6" w:rsidP="000611C3">
      <w:pPr>
        <w:spacing w:before="321" w:after="0" w:line="317" w:lineRule="exact"/>
        <w:textAlignment w:val="baseline"/>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Th</w:t>
      </w:r>
      <w:r w:rsidR="00E03E1B">
        <w:rPr>
          <w:rFonts w:ascii="Times New Roman" w:eastAsia="Times New Roman" w:hAnsi="Times New Roman" w:cs="Times New Roman"/>
          <w:color w:val="000000"/>
          <w:sz w:val="24"/>
          <w:lang w:val="en-US"/>
        </w:rPr>
        <w:t>is is relevant, as the amendments to the principal POFR Rules made by the Rule will regulate corporate entities rather than individuals. For example, th</w:t>
      </w:r>
      <w:r>
        <w:rPr>
          <w:rFonts w:ascii="Times New Roman" w:eastAsia="Times New Roman" w:hAnsi="Times New Roman" w:cs="Times New Roman"/>
          <w:color w:val="000000"/>
          <w:sz w:val="24"/>
          <w:lang w:val="en-US"/>
        </w:rPr>
        <w:t>e Rule will establish new quarterly reporting obligations under the principal POFR Rules, with which the “</w:t>
      </w:r>
      <w:r w:rsidRPr="003805D6">
        <w:rPr>
          <w:rFonts w:ascii="Times New Roman" w:eastAsia="Times New Roman" w:hAnsi="Times New Roman" w:cs="Times New Roman"/>
          <w:color w:val="000000"/>
          <w:sz w:val="24"/>
          <w:lang w:val="en-US"/>
        </w:rPr>
        <w:t>regulated entity eligible to receive a fuel security services payment</w:t>
      </w:r>
      <w:r>
        <w:rPr>
          <w:rFonts w:ascii="Times New Roman" w:eastAsia="Times New Roman" w:hAnsi="Times New Roman" w:cs="Times New Roman"/>
          <w:color w:val="000000"/>
          <w:sz w:val="24"/>
          <w:lang w:val="en-US"/>
        </w:rPr>
        <w:t>” will be obliged to comply. Such entities are</w:t>
      </w:r>
      <w:r w:rsidRPr="003805D6">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lang w:val="en-US"/>
        </w:rPr>
        <w:t>body corporate refinery operators. Therefore the new reporting obligations are not imposed on individuals</w:t>
      </w:r>
      <w:r w:rsidR="00DF7926">
        <w:rPr>
          <w:rFonts w:ascii="Times New Roman" w:eastAsia="Times New Roman" w:hAnsi="Times New Roman" w:cs="Times New Roman"/>
          <w:color w:val="000000"/>
          <w:sz w:val="24"/>
          <w:lang w:val="en-US"/>
        </w:rPr>
        <w:t>.</w:t>
      </w:r>
      <w:r w:rsidR="00E03E1B">
        <w:rPr>
          <w:rFonts w:ascii="Times New Roman" w:eastAsia="Times New Roman" w:hAnsi="Times New Roman" w:cs="Times New Roman"/>
          <w:color w:val="000000"/>
          <w:sz w:val="24"/>
          <w:lang w:val="en-US"/>
        </w:rPr>
        <w:t xml:space="preserve"> </w:t>
      </w:r>
    </w:p>
    <w:p w:rsidR="000611C3" w:rsidRPr="000611C3" w:rsidRDefault="00E03E1B" w:rsidP="000611C3">
      <w:pPr>
        <w:spacing w:before="321" w:after="0" w:line="317" w:lineRule="exact"/>
        <w:textAlignment w:val="baseline"/>
        <w:rPr>
          <w:rFonts w:ascii="Times New Roman" w:eastAsia="Times New Roman" w:hAnsi="Times New Roman" w:cs="Times New Roman"/>
          <w:i/>
          <w:color w:val="000000"/>
          <w:sz w:val="24"/>
          <w:lang w:val="en-US"/>
        </w:rPr>
      </w:pPr>
      <w:r>
        <w:rPr>
          <w:rFonts w:ascii="Times New Roman" w:eastAsia="Times New Roman" w:hAnsi="Times New Roman" w:cs="Times New Roman"/>
          <w:color w:val="000000"/>
          <w:sz w:val="24"/>
          <w:lang w:val="en-US"/>
        </w:rPr>
        <w:t>Likewise, the new requirements to prepare and submit various audit reports relating to the quarterly reporting of fuel information about the refining of FSSP fuels at a committed refinery apply to the “person” who has submitted the quarterly reports that are the subject of the audits. Therefore, the Rule applies the</w:t>
      </w:r>
      <w:r w:rsidR="000611C3" w:rsidRPr="000611C3">
        <w:rPr>
          <w:rFonts w:ascii="Times New Roman" w:eastAsia="Times New Roman" w:hAnsi="Times New Roman" w:cs="Times New Roman"/>
          <w:color w:val="000000"/>
          <w:sz w:val="24"/>
          <w:lang w:val="en-US"/>
        </w:rPr>
        <w:t xml:space="preserve"> term </w:t>
      </w:r>
      <w:r>
        <w:rPr>
          <w:rFonts w:ascii="Times New Roman" w:eastAsia="Times New Roman" w:hAnsi="Times New Roman" w:cs="Times New Roman"/>
          <w:color w:val="000000"/>
          <w:sz w:val="24"/>
          <w:lang w:val="en-US"/>
        </w:rPr>
        <w:t xml:space="preserve">“person” </w:t>
      </w:r>
      <w:r w:rsidR="000611C3" w:rsidRPr="000611C3">
        <w:rPr>
          <w:rFonts w:ascii="Times New Roman" w:eastAsia="Times New Roman" w:hAnsi="Times New Roman" w:cs="Times New Roman"/>
          <w:color w:val="000000"/>
          <w:sz w:val="24"/>
          <w:lang w:val="en-US"/>
        </w:rPr>
        <w:t xml:space="preserve">to denote a body corporate refinery operator (see </w:t>
      </w:r>
      <w:r w:rsidR="00CF6BFE">
        <w:rPr>
          <w:rFonts w:ascii="Times New Roman" w:eastAsia="Times New Roman" w:hAnsi="Times New Roman" w:cs="Times New Roman"/>
          <w:color w:val="000000"/>
          <w:sz w:val="24"/>
          <w:lang w:val="en-US"/>
        </w:rPr>
        <w:t xml:space="preserve">also </w:t>
      </w:r>
      <w:r w:rsidR="000611C3" w:rsidRPr="000611C3">
        <w:rPr>
          <w:rFonts w:ascii="Times New Roman" w:eastAsia="Times New Roman" w:hAnsi="Times New Roman" w:cs="Times New Roman"/>
          <w:color w:val="000000"/>
          <w:sz w:val="24"/>
          <w:lang w:val="en-US"/>
        </w:rPr>
        <w:t xml:space="preserve">the definition of “person” under sections 2B and 2C of the </w:t>
      </w:r>
      <w:r w:rsidR="000611C3" w:rsidRPr="000611C3">
        <w:rPr>
          <w:rFonts w:ascii="Times New Roman" w:eastAsia="Times New Roman" w:hAnsi="Times New Roman" w:cs="Times New Roman"/>
          <w:i/>
          <w:color w:val="000000"/>
          <w:sz w:val="24"/>
          <w:lang w:val="en-US"/>
        </w:rPr>
        <w:t>Acts Interpretation Act 1901</w:t>
      </w:r>
      <w:r w:rsidR="000611C3" w:rsidRPr="000611C3">
        <w:rPr>
          <w:rFonts w:ascii="Times New Roman" w:eastAsia="Times New Roman" w:hAnsi="Times New Roman" w:cs="Times New Roman"/>
          <w:color w:val="000000"/>
          <w:sz w:val="24"/>
          <w:lang w:val="en-US"/>
        </w:rPr>
        <w:t>)</w:t>
      </w:r>
      <w:r>
        <w:rPr>
          <w:rFonts w:ascii="Times New Roman" w:eastAsia="Times New Roman" w:hAnsi="Times New Roman" w:cs="Times New Roman"/>
          <w:color w:val="000000"/>
          <w:sz w:val="24"/>
          <w:lang w:val="en-US"/>
        </w:rPr>
        <w:t>.</w:t>
      </w:r>
    </w:p>
    <w:p w:rsidR="00E03E1B" w:rsidRDefault="00E03E1B" w:rsidP="000611C3">
      <w:pPr>
        <w:spacing w:after="0" w:line="316" w:lineRule="exact"/>
        <w:ind w:right="1008"/>
        <w:textAlignment w:val="baseline"/>
        <w:rPr>
          <w:rFonts w:ascii="Times New Roman" w:eastAsia="Times New Roman" w:hAnsi="Times New Roman" w:cs="Times New Roman"/>
          <w:color w:val="000000"/>
          <w:sz w:val="24"/>
          <w:lang w:val="en-US"/>
        </w:rPr>
      </w:pPr>
    </w:p>
    <w:p w:rsidR="000611C3" w:rsidRPr="000611C3" w:rsidRDefault="00CF6BFE" w:rsidP="000611C3">
      <w:pPr>
        <w:spacing w:after="0" w:line="316" w:lineRule="exact"/>
        <w:ind w:right="1008"/>
        <w:textAlignment w:val="baseline"/>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Given the above</w:t>
      </w:r>
      <w:r w:rsidR="000611C3" w:rsidRPr="000611C3">
        <w:rPr>
          <w:rFonts w:ascii="Times New Roman" w:eastAsia="Times New Roman" w:hAnsi="Times New Roman" w:cs="Times New Roman"/>
          <w:color w:val="000000"/>
          <w:sz w:val="24"/>
          <w:lang w:val="en-US"/>
        </w:rPr>
        <w:t xml:space="preserve">, </w:t>
      </w:r>
      <w:r w:rsidR="00E03E1B">
        <w:rPr>
          <w:rFonts w:ascii="Times New Roman" w:eastAsia="Times New Roman" w:hAnsi="Times New Roman" w:cs="Times New Roman"/>
          <w:color w:val="000000"/>
          <w:sz w:val="24"/>
          <w:lang w:val="en-US"/>
        </w:rPr>
        <w:t xml:space="preserve">it is unlikely any provisions of the Rule </w:t>
      </w:r>
      <w:r>
        <w:rPr>
          <w:rFonts w:ascii="Times New Roman" w:eastAsia="Times New Roman" w:hAnsi="Times New Roman" w:cs="Times New Roman"/>
          <w:color w:val="000000"/>
          <w:sz w:val="24"/>
          <w:lang w:val="en-US"/>
        </w:rPr>
        <w:t xml:space="preserve">will </w:t>
      </w:r>
      <w:r w:rsidR="00E03E1B">
        <w:rPr>
          <w:rFonts w:ascii="Times New Roman" w:eastAsia="Times New Roman" w:hAnsi="Times New Roman" w:cs="Times New Roman"/>
          <w:color w:val="000000"/>
          <w:sz w:val="24"/>
          <w:lang w:val="en-US"/>
        </w:rPr>
        <w:t>regulate or limit</w:t>
      </w:r>
      <w:r w:rsidR="000611C3" w:rsidRPr="000611C3">
        <w:rPr>
          <w:rFonts w:ascii="Times New Roman" w:eastAsia="Times New Roman" w:hAnsi="Times New Roman" w:cs="Times New Roman"/>
          <w:color w:val="000000"/>
          <w:sz w:val="24"/>
          <w:lang w:val="en-US"/>
        </w:rPr>
        <w:t xml:space="preserve"> the human rights of individuals.</w:t>
      </w:r>
    </w:p>
    <w:p w:rsidR="000611C3" w:rsidRPr="00867586" w:rsidRDefault="000611C3" w:rsidP="000611C3">
      <w:pPr>
        <w:spacing w:before="365" w:after="0" w:line="274" w:lineRule="exact"/>
        <w:textAlignment w:val="baseline"/>
        <w:rPr>
          <w:rFonts w:ascii="Times New Roman" w:eastAsia="Times New Roman" w:hAnsi="Times New Roman" w:cs="Times New Roman"/>
          <w:b/>
          <w:color w:val="000000"/>
          <w:sz w:val="24"/>
          <w:lang w:val="en-US"/>
        </w:rPr>
      </w:pPr>
      <w:r w:rsidRPr="00867586">
        <w:rPr>
          <w:rFonts w:ascii="Times New Roman" w:eastAsia="Times New Roman" w:hAnsi="Times New Roman" w:cs="Times New Roman"/>
          <w:b/>
          <w:color w:val="000000"/>
          <w:sz w:val="24"/>
          <w:lang w:val="en-US"/>
        </w:rPr>
        <w:t>Right to privacy – Article 17 ICCPR</w:t>
      </w:r>
    </w:p>
    <w:p w:rsidR="00867586" w:rsidRDefault="000611C3" w:rsidP="000611C3">
      <w:pPr>
        <w:spacing w:after="0" w:line="316" w:lineRule="exact"/>
        <w:ind w:right="72"/>
        <w:jc w:val="both"/>
        <w:textAlignment w:val="baseline"/>
        <w:rPr>
          <w:rFonts w:ascii="Times New Roman" w:eastAsia="Times New Roman" w:hAnsi="Times New Roman" w:cs="Times New Roman"/>
          <w:color w:val="000000"/>
          <w:sz w:val="24"/>
          <w:lang w:val="en-US"/>
        </w:rPr>
      </w:pPr>
      <w:r w:rsidRPr="00867586">
        <w:rPr>
          <w:rFonts w:ascii="Times New Roman" w:eastAsia="Times New Roman" w:hAnsi="Times New Roman" w:cs="Times New Roman"/>
          <w:color w:val="000000"/>
          <w:sz w:val="24"/>
          <w:lang w:val="en-US"/>
        </w:rPr>
        <w:t>W</w:t>
      </w:r>
      <w:r w:rsidR="00867586" w:rsidRPr="00867586">
        <w:rPr>
          <w:rFonts w:ascii="Times New Roman" w:eastAsia="Times New Roman" w:hAnsi="Times New Roman" w:cs="Times New Roman"/>
          <w:color w:val="000000"/>
          <w:sz w:val="24"/>
          <w:lang w:val="en-US"/>
        </w:rPr>
        <w:t xml:space="preserve">hile noting that the Rule will </w:t>
      </w:r>
      <w:r w:rsidRPr="00867586">
        <w:rPr>
          <w:rFonts w:ascii="Times New Roman" w:eastAsia="Times New Roman" w:hAnsi="Times New Roman" w:cs="Times New Roman"/>
          <w:color w:val="000000"/>
          <w:sz w:val="24"/>
          <w:lang w:val="en-US"/>
        </w:rPr>
        <w:t xml:space="preserve">regulate the conduct of entities that are </w:t>
      </w:r>
      <w:r w:rsidR="00867586" w:rsidRPr="00867586">
        <w:rPr>
          <w:rFonts w:ascii="Times New Roman" w:eastAsia="Times New Roman" w:hAnsi="Times New Roman" w:cs="Times New Roman"/>
          <w:color w:val="000000"/>
          <w:sz w:val="24"/>
          <w:lang w:val="en-US"/>
        </w:rPr>
        <w:t>not</w:t>
      </w:r>
      <w:r w:rsidRPr="00867586">
        <w:rPr>
          <w:rFonts w:ascii="Times New Roman" w:eastAsia="Times New Roman" w:hAnsi="Times New Roman" w:cs="Times New Roman"/>
          <w:color w:val="000000"/>
          <w:sz w:val="24"/>
          <w:lang w:val="en-US"/>
        </w:rPr>
        <w:t xml:space="preserve"> individuals, out of an abundance of caution, consideration has been given to the possibility that the Rule engages the right to privacy of individuals.</w:t>
      </w:r>
      <w:r w:rsidR="00DF7926" w:rsidRPr="00DF7926">
        <w:rPr>
          <w:rFonts w:ascii="Times New Roman" w:eastAsia="Times New Roman" w:hAnsi="Times New Roman" w:cs="Times New Roman"/>
          <w:color w:val="000000"/>
          <w:sz w:val="24"/>
          <w:lang w:val="en-US"/>
        </w:rPr>
        <w:t xml:space="preserve"> </w:t>
      </w:r>
    </w:p>
    <w:p w:rsidR="00867586" w:rsidRDefault="00867586" w:rsidP="00867586">
      <w:pPr>
        <w:spacing w:after="0" w:line="316" w:lineRule="exact"/>
        <w:ind w:right="72"/>
        <w:jc w:val="both"/>
        <w:textAlignment w:val="baseline"/>
        <w:rPr>
          <w:rFonts w:ascii="Times New Roman" w:eastAsia="Times New Roman" w:hAnsi="Times New Roman" w:cs="Times New Roman"/>
          <w:color w:val="000000"/>
          <w:sz w:val="24"/>
          <w:lang w:val="en-US"/>
        </w:rPr>
      </w:pPr>
    </w:p>
    <w:p w:rsidR="00867586" w:rsidRPr="00867586" w:rsidRDefault="00867586" w:rsidP="00867586">
      <w:pPr>
        <w:spacing w:after="0" w:line="316" w:lineRule="exact"/>
        <w:ind w:right="72"/>
        <w:jc w:val="both"/>
        <w:textAlignment w:val="baseline"/>
        <w:rPr>
          <w:rFonts w:ascii="Times New Roman" w:eastAsia="Times New Roman" w:hAnsi="Times New Roman" w:cs="Times New Roman"/>
          <w:color w:val="000000"/>
          <w:sz w:val="24"/>
          <w:lang w:val="en-US"/>
        </w:rPr>
      </w:pPr>
      <w:r w:rsidRPr="00867586">
        <w:rPr>
          <w:rFonts w:ascii="Times New Roman" w:eastAsia="Times New Roman" w:hAnsi="Times New Roman" w:cs="Times New Roman"/>
          <w:color w:val="000000"/>
          <w:sz w:val="24"/>
          <w:lang w:val="en-US"/>
        </w:rPr>
        <w:t>New subsections 19A(2) and (3) of the principal POFR Rules</w:t>
      </w:r>
      <w:r>
        <w:rPr>
          <w:rFonts w:ascii="Times New Roman" w:eastAsia="Times New Roman" w:hAnsi="Times New Roman" w:cs="Times New Roman"/>
          <w:color w:val="000000"/>
          <w:sz w:val="24"/>
          <w:lang w:val="en-US"/>
        </w:rPr>
        <w:t>, to be inserted under item 2 of Schedule 1 to the Rule,</w:t>
      </w:r>
      <w:r w:rsidRPr="00867586">
        <w:rPr>
          <w:rFonts w:ascii="Times New Roman" w:eastAsia="Times New Roman" w:hAnsi="Times New Roman" w:cs="Times New Roman"/>
          <w:color w:val="000000"/>
          <w:sz w:val="24"/>
          <w:lang w:val="en-US"/>
        </w:rPr>
        <w:t xml:space="preserve"> set out the specific categories of fuel information that are required to be reported by refinery operators, including:</w:t>
      </w:r>
    </w:p>
    <w:p w:rsidR="00867586" w:rsidRPr="00867586" w:rsidRDefault="00867586" w:rsidP="00867586">
      <w:pPr>
        <w:pStyle w:val="ListParagraph"/>
        <w:numPr>
          <w:ilvl w:val="0"/>
          <w:numId w:val="32"/>
        </w:numPr>
        <w:spacing w:after="0" w:line="316" w:lineRule="exact"/>
        <w:ind w:right="72"/>
        <w:jc w:val="both"/>
        <w:textAlignment w:val="baseline"/>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t</w:t>
      </w:r>
      <w:r w:rsidRPr="00867586">
        <w:rPr>
          <w:rFonts w:ascii="Times New Roman" w:eastAsia="Times New Roman" w:hAnsi="Times New Roman" w:cs="Times New Roman"/>
          <w:color w:val="000000"/>
          <w:sz w:val="24"/>
          <w:lang w:val="en-US"/>
        </w:rPr>
        <w:t xml:space="preserve">he volume of each FSSP fuel </w:t>
      </w:r>
      <w:r w:rsidR="00244A16">
        <w:rPr>
          <w:rFonts w:ascii="Times New Roman" w:eastAsia="Times New Roman" w:hAnsi="Times New Roman" w:cs="Times New Roman"/>
          <w:color w:val="000000"/>
          <w:sz w:val="24"/>
          <w:lang w:val="en-US"/>
        </w:rPr>
        <w:t>refined, and each blendstock used in the refining process,</w:t>
      </w:r>
      <w:r>
        <w:rPr>
          <w:rFonts w:ascii="Times New Roman" w:eastAsia="Times New Roman" w:hAnsi="Times New Roman" w:cs="Times New Roman"/>
          <w:color w:val="000000"/>
          <w:sz w:val="24"/>
          <w:lang w:val="en-US"/>
        </w:rPr>
        <w:t xml:space="preserve"> for the quarter;</w:t>
      </w:r>
      <w:r w:rsidR="00244A16">
        <w:rPr>
          <w:rFonts w:ascii="Times New Roman" w:eastAsia="Times New Roman" w:hAnsi="Times New Roman" w:cs="Times New Roman"/>
          <w:color w:val="000000"/>
          <w:sz w:val="24"/>
          <w:lang w:val="en-US"/>
        </w:rPr>
        <w:t xml:space="preserve"> and</w:t>
      </w:r>
    </w:p>
    <w:p w:rsidR="00867586" w:rsidRPr="00867586" w:rsidRDefault="00867586" w:rsidP="00867586">
      <w:pPr>
        <w:pStyle w:val="ListParagraph"/>
        <w:numPr>
          <w:ilvl w:val="0"/>
          <w:numId w:val="32"/>
        </w:numPr>
        <w:spacing w:after="0" w:line="316" w:lineRule="exact"/>
        <w:ind w:right="72"/>
        <w:jc w:val="both"/>
        <w:textAlignment w:val="baseline"/>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a</w:t>
      </w:r>
      <w:r w:rsidRPr="00867586">
        <w:rPr>
          <w:rFonts w:ascii="Times New Roman" w:eastAsia="Times New Roman" w:hAnsi="Times New Roman" w:cs="Times New Roman"/>
          <w:color w:val="000000"/>
          <w:sz w:val="24"/>
          <w:lang w:val="en-US"/>
        </w:rPr>
        <w:t xml:space="preserve"> statement of the accuracy of the reported information.</w:t>
      </w:r>
    </w:p>
    <w:p w:rsidR="00867586" w:rsidRDefault="00867586" w:rsidP="00867586">
      <w:pPr>
        <w:spacing w:after="0" w:line="316" w:lineRule="exact"/>
        <w:ind w:right="72"/>
        <w:jc w:val="both"/>
        <w:textAlignment w:val="baseline"/>
        <w:rPr>
          <w:rFonts w:ascii="Times New Roman" w:eastAsia="Times New Roman" w:hAnsi="Times New Roman" w:cs="Times New Roman"/>
          <w:color w:val="000000"/>
          <w:sz w:val="24"/>
          <w:lang w:val="en-US"/>
        </w:rPr>
      </w:pPr>
    </w:p>
    <w:p w:rsidR="000611C3" w:rsidRPr="00867586" w:rsidRDefault="00867586" w:rsidP="00867586">
      <w:pPr>
        <w:spacing w:after="0" w:line="316" w:lineRule="exact"/>
        <w:ind w:right="72"/>
        <w:jc w:val="both"/>
        <w:textAlignment w:val="baseline"/>
        <w:rPr>
          <w:rFonts w:ascii="Times New Roman" w:eastAsia="Times New Roman" w:hAnsi="Times New Roman" w:cs="Times New Roman"/>
          <w:color w:val="000000"/>
          <w:sz w:val="24"/>
          <w:lang w:val="en-US"/>
        </w:rPr>
      </w:pPr>
      <w:r w:rsidRPr="00867586">
        <w:rPr>
          <w:rFonts w:ascii="Times New Roman" w:eastAsia="Times New Roman" w:hAnsi="Times New Roman" w:cs="Times New Roman"/>
          <w:color w:val="000000"/>
          <w:sz w:val="24"/>
          <w:lang w:val="en-US"/>
        </w:rPr>
        <w:t>This information is required to be reported to help verify the accuracy of reported data</w:t>
      </w:r>
      <w:r w:rsidR="00E52BCA">
        <w:rPr>
          <w:rFonts w:ascii="Times New Roman" w:eastAsia="Times New Roman" w:hAnsi="Times New Roman" w:cs="Times New Roman"/>
          <w:color w:val="000000"/>
          <w:sz w:val="24"/>
          <w:lang w:val="en-US"/>
        </w:rPr>
        <w:t xml:space="preserve"> relating to the refining of FSSP fuels at committed refineries under the FSSP scheme</w:t>
      </w:r>
      <w:r w:rsidRPr="00867586">
        <w:rPr>
          <w:rFonts w:ascii="Times New Roman" w:eastAsia="Times New Roman" w:hAnsi="Times New Roman" w:cs="Times New Roman"/>
          <w:color w:val="000000"/>
          <w:sz w:val="24"/>
          <w:lang w:val="en-US"/>
        </w:rPr>
        <w:t xml:space="preserve">. </w:t>
      </w:r>
      <w:r w:rsidR="00E52BCA">
        <w:rPr>
          <w:rFonts w:ascii="Times New Roman" w:eastAsia="Times New Roman" w:hAnsi="Times New Roman" w:cs="Times New Roman"/>
          <w:color w:val="000000"/>
          <w:sz w:val="24"/>
          <w:lang w:val="en-US"/>
        </w:rPr>
        <w:t>N</w:t>
      </w:r>
      <w:r w:rsidR="00DF7926" w:rsidRPr="00867586">
        <w:rPr>
          <w:rFonts w:ascii="Times New Roman" w:eastAsia="Times New Roman" w:hAnsi="Times New Roman" w:cs="Times New Roman"/>
          <w:color w:val="000000"/>
          <w:sz w:val="24"/>
          <w:lang w:val="en-US"/>
        </w:rPr>
        <w:t>o personal information will be required to be reported under</w:t>
      </w:r>
      <w:r w:rsidRPr="00867586">
        <w:rPr>
          <w:rFonts w:ascii="Times New Roman" w:eastAsia="Times New Roman" w:hAnsi="Times New Roman" w:cs="Times New Roman"/>
          <w:color w:val="000000"/>
          <w:sz w:val="24"/>
          <w:lang w:val="en-US"/>
        </w:rPr>
        <w:t xml:space="preserve"> the new provisions.</w:t>
      </w:r>
      <w:r w:rsidR="009D61A6">
        <w:rPr>
          <w:rFonts w:ascii="Times New Roman" w:eastAsia="Times New Roman" w:hAnsi="Times New Roman" w:cs="Times New Roman"/>
          <w:color w:val="000000"/>
          <w:sz w:val="24"/>
          <w:lang w:val="en-US"/>
        </w:rPr>
        <w:t xml:space="preserve"> In any case, if personal information was inadvertently collected in quarterly reports</w:t>
      </w:r>
      <w:r w:rsidR="00E52BCA">
        <w:rPr>
          <w:rFonts w:ascii="Times New Roman" w:eastAsia="Times New Roman" w:hAnsi="Times New Roman" w:cs="Times New Roman"/>
          <w:color w:val="000000"/>
          <w:sz w:val="24"/>
          <w:lang w:val="en-US"/>
        </w:rPr>
        <w:t xml:space="preserve"> submitted under the provisions</w:t>
      </w:r>
      <w:r w:rsidR="009D61A6">
        <w:rPr>
          <w:rFonts w:ascii="Times New Roman" w:eastAsia="Times New Roman" w:hAnsi="Times New Roman" w:cs="Times New Roman"/>
          <w:color w:val="000000"/>
          <w:sz w:val="24"/>
          <w:lang w:val="en-US"/>
        </w:rPr>
        <w:t>, it would be “protected information” in accordance with the definition of that term in section 5 of the POFR Act and would therefore be protected from inappropriate handling, use or disclosure</w:t>
      </w:r>
      <w:r w:rsidR="00E52BCA" w:rsidRPr="00E52BCA">
        <w:t xml:space="preserve"> </w:t>
      </w:r>
      <w:r w:rsidR="00E52BCA" w:rsidRPr="00A45821">
        <w:rPr>
          <w:rFonts w:ascii="Times New Roman" w:eastAsia="Times New Roman" w:hAnsi="Times New Roman" w:cs="Times New Roman"/>
          <w:color w:val="000000"/>
          <w:sz w:val="24"/>
          <w:lang w:val="en-US"/>
        </w:rPr>
        <w:t>under</w:t>
      </w:r>
      <w:r w:rsidR="00E52BCA">
        <w:t xml:space="preserve"> </w:t>
      </w:r>
      <w:r w:rsidR="00E52BCA" w:rsidRPr="00E52BCA">
        <w:rPr>
          <w:rFonts w:ascii="Times New Roman" w:eastAsia="Times New Roman" w:hAnsi="Times New Roman" w:cs="Times New Roman"/>
          <w:color w:val="000000"/>
          <w:sz w:val="24"/>
          <w:lang w:val="en-US"/>
        </w:rPr>
        <w:t>Part 4 (Secrecy and Disclosure) of the POFR Act</w:t>
      </w:r>
      <w:r w:rsidR="009D61A6">
        <w:rPr>
          <w:rFonts w:ascii="Times New Roman" w:eastAsia="Times New Roman" w:hAnsi="Times New Roman" w:cs="Times New Roman"/>
          <w:color w:val="000000"/>
          <w:sz w:val="24"/>
          <w:lang w:val="en-US"/>
        </w:rPr>
        <w:t>.</w:t>
      </w:r>
      <w:r w:rsidRPr="00867586">
        <w:rPr>
          <w:rFonts w:ascii="Times New Roman" w:eastAsia="Times New Roman" w:hAnsi="Times New Roman" w:cs="Times New Roman"/>
          <w:color w:val="000000"/>
          <w:sz w:val="24"/>
          <w:lang w:val="en-US"/>
        </w:rPr>
        <w:t xml:space="preserve"> </w:t>
      </w:r>
      <w:r w:rsidR="000611C3" w:rsidRPr="00867586">
        <w:rPr>
          <w:rFonts w:ascii="Times New Roman" w:eastAsia="Times New Roman" w:hAnsi="Times New Roman" w:cs="Times New Roman"/>
          <w:color w:val="000000"/>
          <w:sz w:val="24"/>
          <w:lang w:val="en-US"/>
        </w:rPr>
        <w:t xml:space="preserve">Therefore, it is </w:t>
      </w:r>
      <w:r w:rsidR="009D61A6">
        <w:rPr>
          <w:rFonts w:ascii="Times New Roman" w:eastAsia="Times New Roman" w:hAnsi="Times New Roman" w:cs="Times New Roman"/>
          <w:color w:val="000000"/>
          <w:sz w:val="24"/>
          <w:lang w:val="en-US"/>
        </w:rPr>
        <w:t xml:space="preserve">highly </w:t>
      </w:r>
      <w:r w:rsidR="000611C3" w:rsidRPr="00867586">
        <w:rPr>
          <w:rFonts w:ascii="Times New Roman" w:eastAsia="Times New Roman" w:hAnsi="Times New Roman" w:cs="Times New Roman"/>
          <w:color w:val="000000"/>
          <w:sz w:val="24"/>
          <w:lang w:val="en-US"/>
        </w:rPr>
        <w:t>unlikely the Rule engages or limits the right to privacy.</w:t>
      </w:r>
    </w:p>
    <w:p w:rsidR="00E52BCA" w:rsidRPr="00E52BCA" w:rsidRDefault="00E52BCA" w:rsidP="00E52BCA">
      <w:pPr>
        <w:spacing w:before="365" w:after="0" w:line="274" w:lineRule="exact"/>
        <w:textAlignment w:val="baseline"/>
        <w:rPr>
          <w:rFonts w:ascii="Times New Roman" w:eastAsia="Times New Roman" w:hAnsi="Times New Roman" w:cs="Times New Roman"/>
          <w:b/>
          <w:color w:val="000000"/>
          <w:sz w:val="24"/>
          <w:lang w:val="en-US"/>
        </w:rPr>
      </w:pPr>
      <w:r w:rsidRPr="00E52BCA">
        <w:rPr>
          <w:rFonts w:ascii="Times New Roman" w:eastAsia="Times New Roman" w:hAnsi="Times New Roman" w:cs="Times New Roman"/>
          <w:b/>
          <w:color w:val="000000"/>
          <w:sz w:val="24"/>
          <w:lang w:val="en-US"/>
        </w:rPr>
        <w:t>Right to freedom of expression – Article 19 ICCPR</w:t>
      </w:r>
    </w:p>
    <w:p w:rsidR="00E52BCA" w:rsidRDefault="00E52BCA" w:rsidP="00E52BCA">
      <w:pPr>
        <w:spacing w:after="0" w:line="316" w:lineRule="exact"/>
        <w:ind w:right="72"/>
        <w:jc w:val="both"/>
        <w:textAlignment w:val="baseline"/>
        <w:rPr>
          <w:rFonts w:ascii="Times New Roman" w:eastAsia="Times New Roman" w:hAnsi="Times New Roman" w:cs="Times New Roman"/>
          <w:color w:val="000000"/>
          <w:sz w:val="24"/>
          <w:lang w:val="en-US"/>
        </w:rPr>
      </w:pPr>
      <w:r w:rsidRPr="00E52BCA">
        <w:rPr>
          <w:rFonts w:ascii="Times New Roman" w:eastAsia="Times New Roman" w:hAnsi="Times New Roman" w:cs="Times New Roman"/>
          <w:color w:val="000000"/>
          <w:sz w:val="24"/>
          <w:lang w:val="en-US"/>
        </w:rPr>
        <w:t>New sections 19</w:t>
      </w:r>
      <w:r>
        <w:rPr>
          <w:rFonts w:ascii="Times New Roman" w:eastAsia="Times New Roman" w:hAnsi="Times New Roman" w:cs="Times New Roman"/>
          <w:color w:val="000000"/>
          <w:sz w:val="24"/>
          <w:lang w:val="en-US"/>
        </w:rPr>
        <w:t>B</w:t>
      </w:r>
      <w:r w:rsidRPr="00E52BCA">
        <w:rPr>
          <w:rFonts w:ascii="Times New Roman" w:eastAsia="Times New Roman" w:hAnsi="Times New Roman" w:cs="Times New Roman"/>
          <w:color w:val="000000"/>
          <w:sz w:val="24"/>
          <w:lang w:val="en-US"/>
        </w:rPr>
        <w:t xml:space="preserve"> and </w:t>
      </w:r>
      <w:r>
        <w:rPr>
          <w:rFonts w:ascii="Times New Roman" w:eastAsia="Times New Roman" w:hAnsi="Times New Roman" w:cs="Times New Roman"/>
          <w:color w:val="000000"/>
          <w:sz w:val="24"/>
          <w:lang w:val="en-US"/>
        </w:rPr>
        <w:t xml:space="preserve">19C </w:t>
      </w:r>
      <w:r w:rsidRPr="00E52BCA">
        <w:rPr>
          <w:rFonts w:ascii="Times New Roman" w:eastAsia="Times New Roman" w:hAnsi="Times New Roman" w:cs="Times New Roman"/>
          <w:color w:val="000000"/>
          <w:sz w:val="24"/>
          <w:lang w:val="en-US"/>
        </w:rPr>
        <w:t xml:space="preserve">of the principal POFR Rules, to be inserted under item 2 of Schedule 1 to the Rule, </w:t>
      </w:r>
      <w:r>
        <w:rPr>
          <w:rFonts w:ascii="Times New Roman" w:eastAsia="Times New Roman" w:hAnsi="Times New Roman" w:cs="Times New Roman"/>
          <w:color w:val="000000"/>
          <w:sz w:val="24"/>
          <w:lang w:val="en-US"/>
        </w:rPr>
        <w:t xml:space="preserve">likely </w:t>
      </w:r>
      <w:r w:rsidRPr="00E52BCA">
        <w:rPr>
          <w:rFonts w:ascii="Times New Roman" w:eastAsia="Times New Roman" w:hAnsi="Times New Roman" w:cs="Times New Roman"/>
          <w:color w:val="000000"/>
          <w:sz w:val="24"/>
          <w:lang w:val="en-US"/>
        </w:rPr>
        <w:t>engage the right to freedom of expression in Article 19 of the ICCPR.</w:t>
      </w:r>
    </w:p>
    <w:p w:rsidR="00E52BCA" w:rsidRPr="00E52BCA" w:rsidRDefault="00E52BCA" w:rsidP="00E52BCA">
      <w:pPr>
        <w:spacing w:after="0" w:line="316" w:lineRule="exact"/>
        <w:ind w:right="72"/>
        <w:jc w:val="both"/>
        <w:textAlignment w:val="baseline"/>
        <w:rPr>
          <w:rFonts w:ascii="Times New Roman" w:eastAsia="Times New Roman" w:hAnsi="Times New Roman" w:cs="Times New Roman"/>
          <w:color w:val="000000"/>
          <w:sz w:val="24"/>
          <w:lang w:val="en-US"/>
        </w:rPr>
      </w:pPr>
    </w:p>
    <w:p w:rsidR="00131E6F" w:rsidRDefault="00E52BCA" w:rsidP="00131E6F">
      <w:pPr>
        <w:spacing w:after="0" w:line="316" w:lineRule="exact"/>
        <w:ind w:right="72"/>
        <w:jc w:val="both"/>
        <w:textAlignment w:val="baseline"/>
        <w:rPr>
          <w:rFonts w:ascii="Times New Roman" w:eastAsia="Times New Roman" w:hAnsi="Times New Roman" w:cs="Times New Roman"/>
          <w:color w:val="000000"/>
          <w:sz w:val="24"/>
          <w:lang w:val="en-US"/>
        </w:rPr>
      </w:pPr>
      <w:r w:rsidRPr="00E52BCA">
        <w:rPr>
          <w:rFonts w:ascii="Times New Roman" w:eastAsia="Times New Roman" w:hAnsi="Times New Roman" w:cs="Times New Roman"/>
          <w:color w:val="000000"/>
          <w:sz w:val="24"/>
          <w:lang w:val="en-US"/>
        </w:rPr>
        <w:t xml:space="preserve">Under those </w:t>
      </w:r>
      <w:r w:rsidR="00131E6F">
        <w:rPr>
          <w:rFonts w:ascii="Times New Roman" w:eastAsia="Times New Roman" w:hAnsi="Times New Roman" w:cs="Times New Roman"/>
          <w:color w:val="000000"/>
          <w:sz w:val="24"/>
          <w:lang w:val="en-US"/>
        </w:rPr>
        <w:t xml:space="preserve">new </w:t>
      </w:r>
      <w:r w:rsidRPr="00E52BCA">
        <w:rPr>
          <w:rFonts w:ascii="Times New Roman" w:eastAsia="Times New Roman" w:hAnsi="Times New Roman" w:cs="Times New Roman"/>
          <w:color w:val="000000"/>
          <w:sz w:val="24"/>
          <w:lang w:val="en-US"/>
        </w:rPr>
        <w:t xml:space="preserve">provisions, </w:t>
      </w:r>
      <w:r>
        <w:rPr>
          <w:rFonts w:ascii="Times New Roman" w:eastAsia="Times New Roman" w:hAnsi="Times New Roman" w:cs="Times New Roman"/>
          <w:color w:val="000000"/>
          <w:sz w:val="24"/>
          <w:lang w:val="en-US"/>
        </w:rPr>
        <w:t xml:space="preserve">refinery operators </w:t>
      </w:r>
      <w:r w:rsidR="00D67FF3">
        <w:rPr>
          <w:rFonts w:ascii="Times New Roman" w:eastAsia="Times New Roman" w:hAnsi="Times New Roman" w:cs="Times New Roman"/>
          <w:color w:val="000000"/>
          <w:sz w:val="24"/>
          <w:lang w:val="en-US"/>
        </w:rPr>
        <w:t xml:space="preserve">that are </w:t>
      </w:r>
      <w:r>
        <w:rPr>
          <w:rFonts w:ascii="Times New Roman" w:eastAsia="Times New Roman" w:hAnsi="Times New Roman" w:cs="Times New Roman"/>
          <w:color w:val="000000"/>
          <w:sz w:val="24"/>
          <w:lang w:val="en-US"/>
        </w:rPr>
        <w:t xml:space="preserve">obliged to report under </w:t>
      </w:r>
      <w:r w:rsidR="00D67FF3">
        <w:rPr>
          <w:rFonts w:ascii="Times New Roman" w:eastAsia="Times New Roman" w:hAnsi="Times New Roman" w:cs="Times New Roman"/>
          <w:color w:val="000000"/>
          <w:sz w:val="24"/>
          <w:lang w:val="en-US"/>
        </w:rPr>
        <w:t xml:space="preserve">new </w:t>
      </w:r>
      <w:r>
        <w:rPr>
          <w:rFonts w:ascii="Times New Roman" w:eastAsia="Times New Roman" w:hAnsi="Times New Roman" w:cs="Times New Roman"/>
          <w:color w:val="000000"/>
          <w:sz w:val="24"/>
          <w:lang w:val="en-US"/>
        </w:rPr>
        <w:t>section 19A of the principal POFR Rules</w:t>
      </w:r>
      <w:r w:rsidRPr="00E52BCA">
        <w:rPr>
          <w:rFonts w:ascii="Times New Roman" w:eastAsia="Times New Roman" w:hAnsi="Times New Roman" w:cs="Times New Roman"/>
          <w:color w:val="000000"/>
          <w:sz w:val="24"/>
          <w:lang w:val="en-US"/>
        </w:rPr>
        <w:t xml:space="preserve"> will be subject to various audit</w:t>
      </w:r>
      <w:r w:rsidR="00131E6F">
        <w:rPr>
          <w:rFonts w:ascii="Times New Roman" w:eastAsia="Times New Roman" w:hAnsi="Times New Roman" w:cs="Times New Roman"/>
          <w:color w:val="000000"/>
          <w:sz w:val="24"/>
          <w:lang w:val="en-US"/>
        </w:rPr>
        <w:t>ing requirements. Specifically, the conduct of audits of:</w:t>
      </w:r>
    </w:p>
    <w:p w:rsidR="00131E6F" w:rsidRPr="00131E6F" w:rsidRDefault="00131E6F" w:rsidP="00131E6F">
      <w:pPr>
        <w:pStyle w:val="ListParagraph"/>
        <w:numPr>
          <w:ilvl w:val="0"/>
          <w:numId w:val="33"/>
        </w:numPr>
        <w:spacing w:after="0" w:line="316" w:lineRule="exact"/>
        <w:ind w:right="72"/>
        <w:jc w:val="both"/>
        <w:textAlignment w:val="baseline"/>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 xml:space="preserve">all quarterly </w:t>
      </w:r>
      <w:r w:rsidRPr="00131E6F">
        <w:rPr>
          <w:rFonts w:ascii="Times New Roman" w:eastAsia="Times New Roman" w:hAnsi="Times New Roman" w:cs="Times New Roman"/>
          <w:color w:val="000000"/>
          <w:sz w:val="24"/>
          <w:lang w:val="en-US"/>
        </w:rPr>
        <w:t xml:space="preserve">reports </w:t>
      </w:r>
      <w:r>
        <w:rPr>
          <w:rFonts w:ascii="Times New Roman" w:eastAsia="Times New Roman" w:hAnsi="Times New Roman" w:cs="Times New Roman"/>
          <w:color w:val="000000"/>
          <w:sz w:val="24"/>
          <w:lang w:val="en-US"/>
        </w:rPr>
        <w:t xml:space="preserve">relating to the refining of FSSP fuels that are submitted </w:t>
      </w:r>
      <w:r w:rsidRPr="00131E6F">
        <w:rPr>
          <w:rFonts w:ascii="Times New Roman" w:eastAsia="Times New Roman" w:hAnsi="Times New Roman" w:cs="Times New Roman"/>
          <w:color w:val="000000"/>
          <w:sz w:val="24"/>
          <w:lang w:val="en-US"/>
        </w:rPr>
        <w:t>by a refinery operator in the first financial year of the FSSP scheme; and</w:t>
      </w:r>
    </w:p>
    <w:p w:rsidR="00447560" w:rsidRPr="00131E6F" w:rsidRDefault="00131E6F" w:rsidP="00131E6F">
      <w:pPr>
        <w:pStyle w:val="ListParagraph"/>
        <w:numPr>
          <w:ilvl w:val="0"/>
          <w:numId w:val="33"/>
        </w:numPr>
        <w:spacing w:after="0" w:line="316" w:lineRule="exact"/>
        <w:ind w:right="72"/>
        <w:jc w:val="both"/>
        <w:textAlignment w:val="baseline"/>
        <w:rPr>
          <w:rFonts w:ascii="Times New Roman" w:eastAsia="Times New Roman" w:hAnsi="Times New Roman" w:cs="Times New Roman"/>
          <w:color w:val="000000"/>
          <w:sz w:val="24"/>
          <w:lang w:val="en-US"/>
        </w:rPr>
      </w:pPr>
      <w:r w:rsidRPr="00131E6F">
        <w:rPr>
          <w:rFonts w:ascii="Times New Roman" w:eastAsia="Times New Roman" w:hAnsi="Times New Roman" w:cs="Times New Roman"/>
          <w:color w:val="000000"/>
          <w:sz w:val="24"/>
          <w:lang w:val="en-US"/>
        </w:rPr>
        <w:t>any quarterly reports (or subsequent reports) which give rise to concerns about the accuracy of information reported under the new subdivision.</w:t>
      </w:r>
    </w:p>
    <w:p w:rsidR="00447560" w:rsidRDefault="00447560" w:rsidP="00E52BCA">
      <w:pPr>
        <w:spacing w:after="0" w:line="316" w:lineRule="exact"/>
        <w:ind w:right="72"/>
        <w:jc w:val="both"/>
        <w:textAlignment w:val="baseline"/>
        <w:rPr>
          <w:rFonts w:ascii="Times New Roman" w:eastAsia="Times New Roman" w:hAnsi="Times New Roman" w:cs="Times New Roman"/>
          <w:color w:val="000000"/>
          <w:sz w:val="24"/>
          <w:lang w:val="en-US"/>
        </w:rPr>
      </w:pPr>
    </w:p>
    <w:p w:rsidR="00D67FF3" w:rsidRDefault="00E52BCA" w:rsidP="00E52BCA">
      <w:pPr>
        <w:spacing w:after="0" w:line="316" w:lineRule="exact"/>
        <w:ind w:right="72"/>
        <w:jc w:val="both"/>
        <w:textAlignment w:val="baseline"/>
        <w:rPr>
          <w:rFonts w:ascii="Times New Roman" w:eastAsia="Times New Roman" w:hAnsi="Times New Roman" w:cs="Times New Roman"/>
          <w:color w:val="000000"/>
          <w:sz w:val="24"/>
          <w:lang w:val="en-US"/>
        </w:rPr>
      </w:pPr>
      <w:r w:rsidRPr="00E52BCA">
        <w:rPr>
          <w:rFonts w:ascii="Times New Roman" w:eastAsia="Times New Roman" w:hAnsi="Times New Roman" w:cs="Times New Roman"/>
          <w:color w:val="000000"/>
          <w:sz w:val="24"/>
          <w:lang w:val="en-US"/>
        </w:rPr>
        <w:t xml:space="preserve">Further, </w:t>
      </w:r>
      <w:r w:rsidR="00447560">
        <w:rPr>
          <w:rFonts w:ascii="Times New Roman" w:eastAsia="Times New Roman" w:hAnsi="Times New Roman" w:cs="Times New Roman"/>
          <w:color w:val="000000"/>
          <w:sz w:val="24"/>
          <w:lang w:val="en-US"/>
        </w:rPr>
        <w:t>new sections 19B and 19C</w:t>
      </w:r>
      <w:r w:rsidRPr="00E52BCA">
        <w:rPr>
          <w:rFonts w:ascii="Times New Roman" w:eastAsia="Times New Roman" w:hAnsi="Times New Roman" w:cs="Times New Roman"/>
          <w:color w:val="000000"/>
          <w:sz w:val="24"/>
          <w:lang w:val="en-US"/>
        </w:rPr>
        <w:t xml:space="preserve"> will </w:t>
      </w:r>
      <w:r w:rsidR="00D67FF3">
        <w:rPr>
          <w:rFonts w:ascii="Times New Roman" w:eastAsia="Times New Roman" w:hAnsi="Times New Roman" w:cs="Times New Roman"/>
          <w:color w:val="000000"/>
          <w:sz w:val="24"/>
          <w:lang w:val="en-US"/>
        </w:rPr>
        <w:t xml:space="preserve">expressly </w:t>
      </w:r>
      <w:r w:rsidRPr="00E52BCA">
        <w:rPr>
          <w:rFonts w:ascii="Times New Roman" w:eastAsia="Times New Roman" w:hAnsi="Times New Roman" w:cs="Times New Roman"/>
          <w:color w:val="000000"/>
          <w:sz w:val="24"/>
          <w:lang w:val="en-US"/>
        </w:rPr>
        <w:t>prescribe</w:t>
      </w:r>
      <w:r w:rsidR="00D67FF3">
        <w:rPr>
          <w:rFonts w:ascii="Times New Roman" w:eastAsia="Times New Roman" w:hAnsi="Times New Roman" w:cs="Times New Roman"/>
          <w:color w:val="000000"/>
          <w:sz w:val="24"/>
          <w:lang w:val="en-US"/>
        </w:rPr>
        <w:t>:</w:t>
      </w:r>
    </w:p>
    <w:p w:rsidR="00D67FF3" w:rsidRPr="00D67FF3" w:rsidRDefault="00E52BCA" w:rsidP="00D67FF3">
      <w:pPr>
        <w:pStyle w:val="ListParagraph"/>
        <w:numPr>
          <w:ilvl w:val="0"/>
          <w:numId w:val="34"/>
        </w:numPr>
        <w:spacing w:after="0" w:line="316" w:lineRule="exact"/>
        <w:ind w:right="72"/>
        <w:jc w:val="both"/>
        <w:textAlignment w:val="baseline"/>
        <w:rPr>
          <w:rFonts w:ascii="Times New Roman" w:eastAsia="Times New Roman" w:hAnsi="Times New Roman" w:cs="Times New Roman"/>
          <w:color w:val="000000"/>
          <w:sz w:val="24"/>
          <w:lang w:val="en-US"/>
        </w:rPr>
      </w:pPr>
      <w:r w:rsidRPr="00D67FF3">
        <w:rPr>
          <w:rFonts w:ascii="Times New Roman" w:eastAsia="Times New Roman" w:hAnsi="Times New Roman" w:cs="Times New Roman"/>
          <w:color w:val="000000"/>
          <w:sz w:val="24"/>
          <w:lang w:val="en-US"/>
        </w:rPr>
        <w:t>the manner in which</w:t>
      </w:r>
      <w:r w:rsidR="00D67FF3" w:rsidRPr="00D67FF3">
        <w:rPr>
          <w:rFonts w:ascii="Times New Roman" w:eastAsia="Times New Roman" w:hAnsi="Times New Roman" w:cs="Times New Roman"/>
          <w:color w:val="000000"/>
          <w:sz w:val="24"/>
          <w:lang w:val="en-US"/>
        </w:rPr>
        <w:t xml:space="preserve"> such audits must be carried out – i.e. in accordance with the requirements for reasonable assurance engagements under the </w:t>
      </w:r>
      <w:r w:rsidR="00D67FF3" w:rsidRPr="00D67FF3">
        <w:rPr>
          <w:rFonts w:ascii="Times New Roman" w:eastAsia="Times New Roman" w:hAnsi="Times New Roman" w:cs="Times New Roman"/>
          <w:i/>
          <w:color w:val="000000"/>
          <w:sz w:val="24"/>
        </w:rPr>
        <w:t>National Greenhouse and Energy Reporting (Audit) Determination 2009</w:t>
      </w:r>
      <w:r w:rsidR="00D67FF3" w:rsidRPr="00D67FF3">
        <w:rPr>
          <w:rFonts w:ascii="Times New Roman" w:eastAsia="Times New Roman" w:hAnsi="Times New Roman" w:cs="Times New Roman"/>
          <w:color w:val="000000"/>
          <w:sz w:val="24"/>
          <w:lang w:val="en-US"/>
        </w:rPr>
        <w:t>;</w:t>
      </w:r>
    </w:p>
    <w:p w:rsidR="00D67FF3" w:rsidRPr="00D67FF3" w:rsidRDefault="00131E6F" w:rsidP="00D67FF3">
      <w:pPr>
        <w:pStyle w:val="ListParagraph"/>
        <w:numPr>
          <w:ilvl w:val="0"/>
          <w:numId w:val="34"/>
        </w:numPr>
        <w:spacing w:after="0" w:line="316" w:lineRule="exact"/>
        <w:ind w:right="72"/>
        <w:jc w:val="both"/>
        <w:textAlignment w:val="baseline"/>
        <w:rPr>
          <w:rFonts w:ascii="Times New Roman" w:eastAsia="Times New Roman" w:hAnsi="Times New Roman" w:cs="Times New Roman"/>
          <w:color w:val="000000"/>
          <w:sz w:val="24"/>
          <w:lang w:val="en-US"/>
        </w:rPr>
      </w:pPr>
      <w:r w:rsidRPr="00D67FF3">
        <w:rPr>
          <w:rFonts w:ascii="Times New Roman" w:eastAsia="Times New Roman" w:hAnsi="Times New Roman" w:cs="Times New Roman"/>
          <w:color w:val="000000"/>
          <w:sz w:val="24"/>
          <w:lang w:val="en-US"/>
        </w:rPr>
        <w:t xml:space="preserve">who is required to </w:t>
      </w:r>
      <w:r w:rsidR="00D67FF3" w:rsidRPr="00D67FF3">
        <w:rPr>
          <w:rFonts w:ascii="Times New Roman" w:eastAsia="Times New Roman" w:hAnsi="Times New Roman" w:cs="Times New Roman"/>
          <w:color w:val="000000"/>
          <w:sz w:val="24"/>
          <w:lang w:val="en-US"/>
        </w:rPr>
        <w:t>prepare the audit reports – i.e. a registered greenhouse and energy auditor;</w:t>
      </w:r>
      <w:r w:rsidRPr="00D67FF3">
        <w:rPr>
          <w:rFonts w:ascii="Times New Roman" w:eastAsia="Times New Roman" w:hAnsi="Times New Roman" w:cs="Times New Roman"/>
          <w:color w:val="000000"/>
          <w:sz w:val="24"/>
          <w:lang w:val="en-US"/>
        </w:rPr>
        <w:t xml:space="preserve"> and</w:t>
      </w:r>
      <w:r w:rsidR="00E52BCA" w:rsidRPr="00D67FF3">
        <w:rPr>
          <w:rFonts w:ascii="Times New Roman" w:eastAsia="Times New Roman" w:hAnsi="Times New Roman" w:cs="Times New Roman"/>
          <w:color w:val="000000"/>
          <w:sz w:val="24"/>
          <w:lang w:val="en-US"/>
        </w:rPr>
        <w:t xml:space="preserve"> </w:t>
      </w:r>
    </w:p>
    <w:p w:rsidR="00D67FF3" w:rsidRPr="00D67FF3" w:rsidRDefault="00E52BCA" w:rsidP="00D67FF3">
      <w:pPr>
        <w:pStyle w:val="ListParagraph"/>
        <w:numPr>
          <w:ilvl w:val="0"/>
          <w:numId w:val="34"/>
        </w:numPr>
        <w:spacing w:after="0" w:line="316" w:lineRule="exact"/>
        <w:ind w:right="72"/>
        <w:jc w:val="both"/>
        <w:textAlignment w:val="baseline"/>
        <w:rPr>
          <w:rFonts w:ascii="Times New Roman" w:eastAsia="Times New Roman" w:hAnsi="Times New Roman" w:cs="Times New Roman"/>
          <w:color w:val="000000"/>
          <w:sz w:val="24"/>
          <w:lang w:val="en-US"/>
        </w:rPr>
      </w:pPr>
      <w:r w:rsidRPr="00D67FF3">
        <w:rPr>
          <w:rFonts w:ascii="Times New Roman" w:eastAsia="Times New Roman" w:hAnsi="Times New Roman" w:cs="Times New Roman"/>
          <w:color w:val="000000"/>
          <w:sz w:val="24"/>
          <w:lang w:val="en-US"/>
        </w:rPr>
        <w:t xml:space="preserve">the nature of the matter to </w:t>
      </w:r>
      <w:r w:rsidR="00131E6F" w:rsidRPr="00D67FF3">
        <w:rPr>
          <w:rFonts w:ascii="Times New Roman" w:eastAsia="Times New Roman" w:hAnsi="Times New Roman" w:cs="Times New Roman"/>
          <w:color w:val="000000"/>
          <w:sz w:val="24"/>
          <w:lang w:val="en-US"/>
        </w:rPr>
        <w:t>be included in such reports</w:t>
      </w:r>
      <w:r w:rsidR="00D67FF3" w:rsidRPr="00D67FF3">
        <w:rPr>
          <w:rFonts w:ascii="Times New Roman" w:eastAsia="Times New Roman" w:hAnsi="Times New Roman" w:cs="Times New Roman"/>
          <w:color w:val="000000"/>
          <w:sz w:val="24"/>
          <w:lang w:val="en-US"/>
        </w:rPr>
        <w:t xml:space="preserve"> – i.e. whether, in all material respects, the fuel information reported under subsection 19A(2) </w:t>
      </w:r>
      <w:r w:rsidR="00D67FF3">
        <w:rPr>
          <w:rFonts w:ascii="Times New Roman" w:eastAsia="Times New Roman" w:hAnsi="Times New Roman" w:cs="Times New Roman"/>
          <w:color w:val="000000"/>
          <w:sz w:val="24"/>
          <w:lang w:val="en-US"/>
        </w:rPr>
        <w:t xml:space="preserve">of the principal POFR Rules </w:t>
      </w:r>
      <w:r w:rsidR="00D67FF3" w:rsidRPr="00D67FF3">
        <w:rPr>
          <w:rFonts w:ascii="Times New Roman" w:eastAsia="Times New Roman" w:hAnsi="Times New Roman" w:cs="Times New Roman"/>
          <w:color w:val="000000"/>
          <w:sz w:val="24"/>
          <w:lang w:val="en-US"/>
        </w:rPr>
        <w:t>for financial year or quarter (as applicable) was prepared in accordance with section 19A and fairly presented.</w:t>
      </w:r>
    </w:p>
    <w:p w:rsidR="00E216CA" w:rsidRDefault="00E216CA" w:rsidP="00E52BCA">
      <w:pPr>
        <w:spacing w:after="0" w:line="316" w:lineRule="exact"/>
        <w:ind w:right="72"/>
        <w:jc w:val="both"/>
        <w:textAlignment w:val="baseline"/>
        <w:rPr>
          <w:rFonts w:ascii="Times New Roman" w:eastAsia="Times New Roman" w:hAnsi="Times New Roman" w:cs="Times New Roman"/>
          <w:color w:val="000000"/>
          <w:sz w:val="24"/>
          <w:lang w:val="en-US"/>
        </w:rPr>
      </w:pPr>
    </w:p>
    <w:p w:rsidR="00E52BCA" w:rsidRDefault="00E52BCA" w:rsidP="00E52BCA">
      <w:pPr>
        <w:spacing w:after="0" w:line="316" w:lineRule="exact"/>
        <w:ind w:right="72"/>
        <w:jc w:val="both"/>
        <w:textAlignment w:val="baseline"/>
        <w:rPr>
          <w:rFonts w:ascii="Times New Roman" w:eastAsia="Times New Roman" w:hAnsi="Times New Roman" w:cs="Times New Roman"/>
          <w:color w:val="000000"/>
          <w:sz w:val="24"/>
          <w:lang w:val="en-US"/>
        </w:rPr>
      </w:pPr>
      <w:r w:rsidRPr="00D67FF3">
        <w:rPr>
          <w:rFonts w:ascii="Times New Roman" w:eastAsia="Times New Roman" w:hAnsi="Times New Roman" w:cs="Times New Roman"/>
          <w:color w:val="000000"/>
          <w:sz w:val="24"/>
          <w:lang w:val="en-US"/>
        </w:rPr>
        <w:t xml:space="preserve">This therefore engages the right to freedom of expression by </w:t>
      </w:r>
      <w:r w:rsidR="00D67FF3" w:rsidRPr="00D67FF3">
        <w:rPr>
          <w:rFonts w:ascii="Times New Roman" w:eastAsia="Times New Roman" w:hAnsi="Times New Roman" w:cs="Times New Roman"/>
          <w:color w:val="000000"/>
          <w:sz w:val="24"/>
          <w:lang w:val="en-US"/>
        </w:rPr>
        <w:t>regulating the format or manner of the form of such audit reports</w:t>
      </w:r>
      <w:r w:rsidRPr="00D67FF3">
        <w:rPr>
          <w:rFonts w:ascii="Times New Roman" w:eastAsia="Times New Roman" w:hAnsi="Times New Roman" w:cs="Times New Roman"/>
          <w:color w:val="000000"/>
          <w:sz w:val="24"/>
          <w:lang w:val="en-US"/>
        </w:rPr>
        <w:t>.</w:t>
      </w:r>
    </w:p>
    <w:p w:rsidR="00E52BCA" w:rsidRPr="00E52BCA" w:rsidRDefault="00E52BCA" w:rsidP="00E52BCA">
      <w:pPr>
        <w:spacing w:after="0" w:line="316" w:lineRule="exact"/>
        <w:ind w:right="72"/>
        <w:jc w:val="both"/>
        <w:textAlignment w:val="baseline"/>
        <w:rPr>
          <w:rFonts w:ascii="Times New Roman" w:eastAsia="Times New Roman" w:hAnsi="Times New Roman" w:cs="Times New Roman"/>
          <w:color w:val="000000"/>
          <w:sz w:val="24"/>
          <w:lang w:val="en-US"/>
        </w:rPr>
      </w:pPr>
    </w:p>
    <w:p w:rsidR="00E52BCA" w:rsidRDefault="00E52BCA" w:rsidP="00E52BCA">
      <w:pPr>
        <w:spacing w:after="0" w:line="316" w:lineRule="exact"/>
        <w:ind w:right="72"/>
        <w:jc w:val="both"/>
        <w:textAlignment w:val="baseline"/>
        <w:rPr>
          <w:rFonts w:ascii="Times New Roman" w:eastAsia="Times New Roman" w:hAnsi="Times New Roman" w:cs="Times New Roman"/>
          <w:color w:val="000000"/>
          <w:sz w:val="24"/>
          <w:lang w:val="en-US"/>
        </w:rPr>
      </w:pPr>
      <w:r w:rsidRPr="00E52BCA">
        <w:rPr>
          <w:rFonts w:ascii="Times New Roman" w:eastAsia="Times New Roman" w:hAnsi="Times New Roman" w:cs="Times New Roman"/>
          <w:color w:val="000000"/>
          <w:sz w:val="24"/>
          <w:lang w:val="en-US"/>
        </w:rPr>
        <w:t>However, the limitations on freedom of expression that may be imposed by these measures are reasonable and proportionate, as they will ensure that audits are conducted consistently with international standards and are of</w:t>
      </w:r>
      <w:r>
        <w:rPr>
          <w:rFonts w:ascii="Times New Roman" w:eastAsia="Times New Roman" w:hAnsi="Times New Roman" w:cs="Times New Roman"/>
          <w:color w:val="000000"/>
          <w:sz w:val="24"/>
          <w:lang w:val="en-US"/>
        </w:rPr>
        <w:t xml:space="preserve"> </w:t>
      </w:r>
      <w:r w:rsidRPr="00E52BCA">
        <w:rPr>
          <w:rFonts w:ascii="Times New Roman" w:eastAsia="Times New Roman" w:hAnsi="Times New Roman" w:cs="Times New Roman"/>
          <w:color w:val="000000"/>
          <w:sz w:val="24"/>
          <w:lang w:val="en-US"/>
        </w:rPr>
        <w:t xml:space="preserve">sufficient quality and </w:t>
      </w:r>
      <w:r w:rsidR="00131E6F" w:rsidRPr="00E52BCA">
        <w:rPr>
          <w:rFonts w:ascii="Times New Roman" w:eastAsia="Times New Roman" w:hAnsi="Times New Roman" w:cs="Times New Roman"/>
          <w:color w:val="000000"/>
          <w:sz w:val="24"/>
          <w:lang w:val="en-US"/>
        </w:rPr>
        <w:t>vigo</w:t>
      </w:r>
      <w:r w:rsidR="00EB7327">
        <w:rPr>
          <w:rFonts w:ascii="Times New Roman" w:eastAsia="Times New Roman" w:hAnsi="Times New Roman" w:cs="Times New Roman"/>
          <w:color w:val="000000"/>
          <w:sz w:val="24"/>
          <w:lang w:val="en-US"/>
        </w:rPr>
        <w:t>u</w:t>
      </w:r>
      <w:r w:rsidR="00131E6F" w:rsidRPr="00E52BCA">
        <w:rPr>
          <w:rFonts w:ascii="Times New Roman" w:eastAsia="Times New Roman" w:hAnsi="Times New Roman" w:cs="Times New Roman"/>
          <w:color w:val="000000"/>
          <w:sz w:val="24"/>
          <w:lang w:val="en-US"/>
        </w:rPr>
        <w:t>r</w:t>
      </w:r>
      <w:r w:rsidRPr="00E52BCA">
        <w:rPr>
          <w:rFonts w:ascii="Times New Roman" w:eastAsia="Times New Roman" w:hAnsi="Times New Roman" w:cs="Times New Roman"/>
          <w:color w:val="000000"/>
          <w:sz w:val="24"/>
          <w:lang w:val="en-US"/>
        </w:rPr>
        <w:t xml:space="preserve"> to provide a meaningful assessment of the accuracy of data reported by entities. The veracity and accuracy of such data will be crucial to the integrity of the </w:t>
      </w:r>
      <w:r w:rsidR="00131E6F">
        <w:rPr>
          <w:rFonts w:ascii="Times New Roman" w:eastAsia="Times New Roman" w:hAnsi="Times New Roman" w:cs="Times New Roman"/>
          <w:color w:val="000000"/>
          <w:sz w:val="24"/>
          <w:lang w:val="en-US"/>
        </w:rPr>
        <w:t>FSSP</w:t>
      </w:r>
      <w:r w:rsidRPr="00E52BCA">
        <w:rPr>
          <w:rFonts w:ascii="Times New Roman" w:eastAsia="Times New Roman" w:hAnsi="Times New Roman" w:cs="Times New Roman"/>
          <w:color w:val="000000"/>
          <w:sz w:val="24"/>
          <w:lang w:val="en-US"/>
        </w:rPr>
        <w:t xml:space="preserve"> scheme.</w:t>
      </w:r>
    </w:p>
    <w:p w:rsidR="00447560" w:rsidRPr="00E52BCA" w:rsidRDefault="00447560" w:rsidP="00E52BCA">
      <w:pPr>
        <w:spacing w:after="0" w:line="316" w:lineRule="exact"/>
        <w:ind w:right="72"/>
        <w:jc w:val="both"/>
        <w:textAlignment w:val="baseline"/>
        <w:rPr>
          <w:rFonts w:ascii="Times New Roman" w:eastAsia="Times New Roman" w:hAnsi="Times New Roman" w:cs="Times New Roman"/>
          <w:color w:val="000000"/>
          <w:sz w:val="24"/>
          <w:lang w:val="en-US"/>
        </w:rPr>
      </w:pPr>
    </w:p>
    <w:p w:rsidR="00E52BCA" w:rsidRDefault="00E52BCA" w:rsidP="00E52BCA">
      <w:pPr>
        <w:spacing w:after="0" w:line="316" w:lineRule="exact"/>
        <w:ind w:right="72"/>
        <w:jc w:val="both"/>
        <w:textAlignment w:val="baseline"/>
        <w:rPr>
          <w:rFonts w:ascii="Times New Roman" w:eastAsia="Times New Roman" w:hAnsi="Times New Roman" w:cs="Times New Roman"/>
          <w:color w:val="000000"/>
          <w:sz w:val="24"/>
          <w:lang w:val="en-US"/>
        </w:rPr>
      </w:pPr>
      <w:r w:rsidRPr="00E52BCA">
        <w:rPr>
          <w:rFonts w:ascii="Times New Roman" w:eastAsia="Times New Roman" w:hAnsi="Times New Roman" w:cs="Times New Roman"/>
          <w:color w:val="000000"/>
          <w:sz w:val="24"/>
          <w:lang w:val="en-US"/>
        </w:rPr>
        <w:t xml:space="preserve">Article 19(3) of the ICCPR permits restrictions on the freedom of expression as provided by law and necessary to protect the rights of others and national security or public order, and this would </w:t>
      </w:r>
      <w:r w:rsidRPr="00D67FF3">
        <w:rPr>
          <w:rFonts w:ascii="Times New Roman" w:eastAsia="Times New Roman" w:hAnsi="Times New Roman" w:cs="Times New Roman"/>
          <w:color w:val="000000"/>
          <w:sz w:val="24"/>
          <w:lang w:val="en-US"/>
        </w:rPr>
        <w:t xml:space="preserve">extend to the </w:t>
      </w:r>
      <w:r w:rsidR="00D67FF3" w:rsidRPr="00D67FF3">
        <w:rPr>
          <w:rFonts w:ascii="Times New Roman" w:eastAsia="Times New Roman" w:hAnsi="Times New Roman" w:cs="Times New Roman"/>
          <w:color w:val="000000"/>
          <w:sz w:val="24"/>
          <w:lang w:val="en-US"/>
        </w:rPr>
        <w:t>restrictions on expression outlined</w:t>
      </w:r>
      <w:r w:rsidR="00D67FF3">
        <w:rPr>
          <w:rFonts w:ascii="Times New Roman" w:eastAsia="Times New Roman" w:hAnsi="Times New Roman" w:cs="Times New Roman"/>
          <w:color w:val="000000"/>
          <w:sz w:val="24"/>
          <w:lang w:val="en-US"/>
        </w:rPr>
        <w:t xml:space="preserve"> above</w:t>
      </w:r>
      <w:r w:rsidRPr="00E52BCA">
        <w:rPr>
          <w:rFonts w:ascii="Times New Roman" w:eastAsia="Times New Roman" w:hAnsi="Times New Roman" w:cs="Times New Roman"/>
          <w:color w:val="000000"/>
          <w:sz w:val="24"/>
          <w:lang w:val="en-US"/>
        </w:rPr>
        <w:t>.</w:t>
      </w:r>
    </w:p>
    <w:p w:rsidR="00E52BCA" w:rsidRPr="00E52BCA" w:rsidRDefault="00E52BCA" w:rsidP="00E52BCA">
      <w:pPr>
        <w:spacing w:after="0" w:line="316" w:lineRule="exact"/>
        <w:ind w:right="72"/>
        <w:jc w:val="both"/>
        <w:textAlignment w:val="baseline"/>
        <w:rPr>
          <w:rFonts w:ascii="Times New Roman" w:eastAsia="Times New Roman" w:hAnsi="Times New Roman" w:cs="Times New Roman"/>
          <w:color w:val="000000"/>
          <w:sz w:val="24"/>
          <w:lang w:val="en-US"/>
        </w:rPr>
      </w:pPr>
    </w:p>
    <w:p w:rsidR="00E52BCA" w:rsidRPr="00E52BCA" w:rsidRDefault="00E52BCA" w:rsidP="00E52BCA">
      <w:pPr>
        <w:spacing w:after="0" w:line="316" w:lineRule="exact"/>
        <w:ind w:right="72"/>
        <w:jc w:val="both"/>
        <w:textAlignment w:val="baseline"/>
        <w:rPr>
          <w:rFonts w:ascii="Times New Roman" w:eastAsia="Times New Roman" w:hAnsi="Times New Roman" w:cs="Times New Roman"/>
          <w:color w:val="000000"/>
          <w:sz w:val="24"/>
          <w:lang w:val="en-US"/>
        </w:rPr>
      </w:pPr>
      <w:r w:rsidRPr="00E52BCA">
        <w:rPr>
          <w:rFonts w:ascii="Times New Roman" w:eastAsia="Times New Roman" w:hAnsi="Times New Roman" w:cs="Times New Roman"/>
          <w:color w:val="000000"/>
          <w:sz w:val="24"/>
          <w:lang w:val="en-US"/>
        </w:rPr>
        <w:t xml:space="preserve">Given the above, the restrictions are considered compatible with Article 19 of the ICCPR because they will promote the integrity of the </w:t>
      </w:r>
      <w:r>
        <w:rPr>
          <w:rFonts w:ascii="Times New Roman" w:eastAsia="Times New Roman" w:hAnsi="Times New Roman" w:cs="Times New Roman"/>
          <w:color w:val="000000"/>
          <w:sz w:val="24"/>
          <w:lang w:val="en-US"/>
        </w:rPr>
        <w:t>FSSP</w:t>
      </w:r>
      <w:r w:rsidR="00D67DA2">
        <w:rPr>
          <w:rFonts w:ascii="Times New Roman" w:eastAsia="Times New Roman" w:hAnsi="Times New Roman" w:cs="Times New Roman"/>
          <w:color w:val="000000"/>
          <w:sz w:val="24"/>
          <w:lang w:val="en-US"/>
        </w:rPr>
        <w:t xml:space="preserve"> </w:t>
      </w:r>
      <w:r w:rsidR="00D67DA2" w:rsidRPr="00C1209B">
        <w:rPr>
          <w:rFonts w:ascii="Times New Roman" w:eastAsia="Times New Roman" w:hAnsi="Times New Roman" w:cs="Times New Roman"/>
          <w:color w:val="000000"/>
          <w:sz w:val="24"/>
          <w:lang w:val="en-US"/>
        </w:rPr>
        <w:t>scheme</w:t>
      </w:r>
      <w:r w:rsidRPr="00C1209B">
        <w:rPr>
          <w:rFonts w:ascii="Times New Roman" w:eastAsia="Times New Roman" w:hAnsi="Times New Roman" w:cs="Times New Roman"/>
          <w:color w:val="000000"/>
          <w:sz w:val="24"/>
          <w:lang w:val="en-US"/>
        </w:rPr>
        <w:t xml:space="preserve"> by </w:t>
      </w:r>
      <w:r w:rsidR="00D67DA2" w:rsidRPr="00C1209B">
        <w:rPr>
          <w:rFonts w:ascii="Times New Roman" w:eastAsia="Times New Roman" w:hAnsi="Times New Roman" w:cs="Times New Roman"/>
          <w:color w:val="000000"/>
          <w:sz w:val="24"/>
          <w:lang w:val="en-US"/>
        </w:rPr>
        <w:t>enabling</w:t>
      </w:r>
      <w:r w:rsidR="00D67DA2" w:rsidRPr="00D67DA2">
        <w:rPr>
          <w:rFonts w:ascii="Times New Roman" w:eastAsia="Times New Roman" w:hAnsi="Times New Roman" w:cs="Times New Roman"/>
          <w:color w:val="000000"/>
          <w:sz w:val="24"/>
          <w:lang w:val="en-US"/>
        </w:rPr>
        <w:t xml:space="preserve"> </w:t>
      </w:r>
      <w:r w:rsidRPr="00D67DA2">
        <w:rPr>
          <w:rFonts w:ascii="Times New Roman" w:eastAsia="Times New Roman" w:hAnsi="Times New Roman" w:cs="Times New Roman"/>
          <w:color w:val="000000"/>
          <w:sz w:val="24"/>
          <w:lang w:val="en-US"/>
        </w:rPr>
        <w:t>the Department to</w:t>
      </w:r>
      <w:r w:rsidRPr="00E52BCA">
        <w:rPr>
          <w:rFonts w:ascii="Times New Roman" w:eastAsia="Times New Roman" w:hAnsi="Times New Roman" w:cs="Times New Roman"/>
          <w:color w:val="000000"/>
          <w:sz w:val="24"/>
          <w:lang w:val="en-US"/>
        </w:rPr>
        <w:t xml:space="preserve"> assess their compliance with the </w:t>
      </w:r>
      <w:r w:rsidR="00D67DA2">
        <w:rPr>
          <w:rFonts w:ascii="Times New Roman" w:eastAsia="Times New Roman" w:hAnsi="Times New Roman" w:cs="Times New Roman"/>
          <w:color w:val="000000"/>
          <w:sz w:val="24"/>
          <w:lang w:val="en-US"/>
        </w:rPr>
        <w:t xml:space="preserve">FSSP fuel reporting </w:t>
      </w:r>
      <w:r w:rsidRPr="00E52BCA">
        <w:rPr>
          <w:rFonts w:ascii="Times New Roman" w:eastAsia="Times New Roman" w:hAnsi="Times New Roman" w:cs="Times New Roman"/>
          <w:color w:val="000000"/>
          <w:sz w:val="24"/>
          <w:lang w:val="en-US"/>
        </w:rPr>
        <w:t xml:space="preserve">obligations under </w:t>
      </w:r>
      <w:r>
        <w:rPr>
          <w:rFonts w:ascii="Times New Roman" w:eastAsia="Times New Roman" w:hAnsi="Times New Roman" w:cs="Times New Roman"/>
          <w:color w:val="000000"/>
          <w:sz w:val="24"/>
          <w:lang w:val="en-US"/>
        </w:rPr>
        <w:t xml:space="preserve">new </w:t>
      </w:r>
      <w:r w:rsidRPr="00E52BCA">
        <w:rPr>
          <w:rFonts w:ascii="Times New Roman" w:eastAsia="Times New Roman" w:hAnsi="Times New Roman" w:cs="Times New Roman"/>
          <w:color w:val="000000"/>
          <w:sz w:val="24"/>
          <w:lang w:val="en-US"/>
        </w:rPr>
        <w:t>S</w:t>
      </w:r>
      <w:r>
        <w:rPr>
          <w:rFonts w:ascii="Times New Roman" w:eastAsia="Times New Roman" w:hAnsi="Times New Roman" w:cs="Times New Roman"/>
          <w:color w:val="000000"/>
          <w:sz w:val="24"/>
          <w:lang w:val="en-US"/>
        </w:rPr>
        <w:t>ubdivision C of Division 3</w:t>
      </w:r>
      <w:r w:rsidRPr="00E52BCA">
        <w:rPr>
          <w:rFonts w:ascii="Times New Roman" w:eastAsia="Times New Roman" w:hAnsi="Times New Roman" w:cs="Times New Roman"/>
          <w:color w:val="000000"/>
          <w:sz w:val="24"/>
          <w:lang w:val="en-US"/>
        </w:rPr>
        <w:t xml:space="preserve"> of Part 2 of the principal POFR Rules.</w:t>
      </w:r>
    </w:p>
    <w:p w:rsidR="000611C3" w:rsidRPr="00A72BD7" w:rsidRDefault="000611C3" w:rsidP="000611C3">
      <w:pPr>
        <w:spacing w:before="366" w:after="0" w:line="274" w:lineRule="exact"/>
        <w:textAlignment w:val="baseline"/>
        <w:rPr>
          <w:rFonts w:ascii="Times New Roman" w:eastAsia="Times New Roman" w:hAnsi="Times New Roman" w:cs="Times New Roman"/>
          <w:b/>
          <w:color w:val="000000"/>
          <w:sz w:val="24"/>
          <w:lang w:val="en-US"/>
        </w:rPr>
      </w:pPr>
      <w:r w:rsidRPr="00A72BD7">
        <w:rPr>
          <w:rFonts w:ascii="Times New Roman" w:eastAsia="Times New Roman" w:hAnsi="Times New Roman" w:cs="Times New Roman"/>
          <w:b/>
          <w:color w:val="000000"/>
          <w:sz w:val="24"/>
          <w:lang w:val="en-US"/>
        </w:rPr>
        <w:t>Right not to incriminate oneself – Article 14(3)(g) ICCPR</w:t>
      </w:r>
    </w:p>
    <w:p w:rsidR="000611C3" w:rsidRPr="00A72BD7" w:rsidRDefault="000611C3" w:rsidP="000611C3">
      <w:pPr>
        <w:spacing w:before="3" w:after="0" w:line="316" w:lineRule="exact"/>
        <w:textAlignment w:val="baseline"/>
        <w:rPr>
          <w:rFonts w:ascii="Times New Roman" w:eastAsia="Times New Roman" w:hAnsi="Times New Roman" w:cs="Times New Roman"/>
          <w:color w:val="000000"/>
          <w:sz w:val="24"/>
          <w:lang w:val="en-US"/>
        </w:rPr>
      </w:pPr>
      <w:r w:rsidRPr="00A72BD7">
        <w:rPr>
          <w:rFonts w:ascii="Times New Roman" w:eastAsia="Times New Roman" w:hAnsi="Times New Roman" w:cs="Times New Roman"/>
          <w:color w:val="000000"/>
          <w:sz w:val="24"/>
          <w:lang w:val="en-US"/>
        </w:rPr>
        <w:t>While noting the matters referred to above regarding the fact the Rule will primarily regulate entities that are not individuals, for completeness consideration has been given to whether the obligations established under the Rule to report certain matters potentially engage the right not to incriminate oneself.</w:t>
      </w:r>
    </w:p>
    <w:p w:rsidR="000611C3" w:rsidRPr="00A72BD7" w:rsidRDefault="000611C3" w:rsidP="000611C3">
      <w:pPr>
        <w:spacing w:before="3" w:after="0" w:line="316" w:lineRule="exact"/>
        <w:textAlignment w:val="baseline"/>
        <w:rPr>
          <w:rFonts w:ascii="Times New Roman" w:eastAsia="Times New Roman" w:hAnsi="Times New Roman" w:cs="Times New Roman"/>
          <w:color w:val="000000"/>
          <w:sz w:val="24"/>
          <w:lang w:val="en-US"/>
        </w:rPr>
      </w:pPr>
    </w:p>
    <w:p w:rsidR="000611C3" w:rsidRPr="000611C3" w:rsidRDefault="000611C3" w:rsidP="000611C3">
      <w:pPr>
        <w:spacing w:before="5" w:after="0" w:line="316" w:lineRule="exact"/>
        <w:ind w:right="144"/>
        <w:textAlignment w:val="baseline"/>
        <w:rPr>
          <w:rFonts w:ascii="Times New Roman" w:eastAsia="Times New Roman" w:hAnsi="Times New Roman" w:cs="Times New Roman"/>
          <w:color w:val="000000"/>
          <w:sz w:val="24"/>
          <w:lang w:val="en-US"/>
        </w:rPr>
      </w:pPr>
      <w:r w:rsidRPr="00A72BD7">
        <w:rPr>
          <w:rFonts w:ascii="Times New Roman" w:eastAsia="Times New Roman" w:hAnsi="Times New Roman" w:cs="Times New Roman"/>
          <w:color w:val="000000"/>
          <w:sz w:val="24"/>
          <w:lang w:val="en-US"/>
        </w:rPr>
        <w:t>It is noted t</w:t>
      </w:r>
      <w:r w:rsidR="00131E6F">
        <w:rPr>
          <w:rFonts w:ascii="Times New Roman" w:eastAsia="Times New Roman" w:hAnsi="Times New Roman" w:cs="Times New Roman"/>
          <w:color w:val="000000"/>
          <w:sz w:val="24"/>
          <w:lang w:val="en-US"/>
        </w:rPr>
        <w:t xml:space="preserve">hat any obligation to “report” </w:t>
      </w:r>
      <w:r w:rsidRPr="00A72BD7">
        <w:rPr>
          <w:rFonts w:ascii="Times New Roman" w:eastAsia="Times New Roman" w:hAnsi="Times New Roman" w:cs="Times New Roman"/>
          <w:color w:val="000000"/>
          <w:sz w:val="24"/>
          <w:lang w:val="en-US"/>
        </w:rPr>
        <w:t xml:space="preserve">specified matters </w:t>
      </w:r>
      <w:r w:rsidR="009D61A6" w:rsidRPr="00A72BD7">
        <w:rPr>
          <w:rFonts w:ascii="Times New Roman" w:eastAsia="Times New Roman" w:hAnsi="Times New Roman" w:cs="Times New Roman"/>
          <w:color w:val="000000"/>
          <w:sz w:val="24"/>
          <w:lang w:val="en-US"/>
        </w:rPr>
        <w:t xml:space="preserve">under new section 19A of the principal POFR Rules </w:t>
      </w:r>
      <w:r w:rsidRPr="00A72BD7">
        <w:rPr>
          <w:rFonts w:ascii="Times New Roman" w:eastAsia="Times New Roman" w:hAnsi="Times New Roman" w:cs="Times New Roman"/>
          <w:color w:val="000000"/>
          <w:sz w:val="24"/>
          <w:lang w:val="en-US"/>
        </w:rPr>
        <w:t xml:space="preserve">is intended to only relate to information relevant to the FSSP scheme and it is not the policy intention that </w:t>
      </w:r>
      <w:r w:rsidR="00A72BD7" w:rsidRPr="00A72BD7">
        <w:rPr>
          <w:rFonts w:ascii="Times New Roman" w:eastAsia="Times New Roman" w:hAnsi="Times New Roman" w:cs="Times New Roman"/>
          <w:color w:val="000000"/>
          <w:sz w:val="24"/>
          <w:lang w:val="en-US"/>
        </w:rPr>
        <w:t xml:space="preserve">the provision </w:t>
      </w:r>
      <w:r w:rsidRPr="00A72BD7">
        <w:rPr>
          <w:rFonts w:ascii="Times New Roman" w:eastAsia="Times New Roman" w:hAnsi="Times New Roman" w:cs="Times New Roman"/>
          <w:color w:val="000000"/>
          <w:sz w:val="24"/>
          <w:lang w:val="en-US"/>
        </w:rPr>
        <w:t>would abrogate ordinary common law privileges, such as the privileges against self-incrimination, self-exposure to a civil penalty and legal professional privilege. Accordingly, the Rule does not limit the right of individuals not to incriminate oneself.</w:t>
      </w:r>
    </w:p>
    <w:p w:rsidR="000611C3" w:rsidRPr="000611C3" w:rsidRDefault="000611C3" w:rsidP="000611C3">
      <w:pPr>
        <w:spacing w:before="240" w:after="0" w:line="276" w:lineRule="auto"/>
        <w:rPr>
          <w:rFonts w:ascii="Times New Roman" w:eastAsia="Calibri" w:hAnsi="Times New Roman" w:cs="Times New Roman"/>
          <w:b/>
          <w:sz w:val="24"/>
          <w:szCs w:val="24"/>
        </w:rPr>
      </w:pPr>
      <w:r w:rsidRPr="000611C3">
        <w:rPr>
          <w:rFonts w:ascii="Times New Roman" w:eastAsia="Calibri" w:hAnsi="Times New Roman" w:cs="Times New Roman"/>
          <w:b/>
          <w:sz w:val="24"/>
          <w:szCs w:val="24"/>
        </w:rPr>
        <w:t>Conclusion</w:t>
      </w:r>
    </w:p>
    <w:p w:rsidR="0006026B" w:rsidRDefault="000611C3" w:rsidP="00AC04A1">
      <w:pPr>
        <w:spacing w:after="758" w:line="315" w:lineRule="exact"/>
        <w:textAlignment w:val="baseline"/>
        <w:rPr>
          <w:rFonts w:ascii="Times New Roman" w:eastAsia="Times New Roman" w:hAnsi="Times New Roman" w:cs="Times New Roman"/>
          <w:color w:val="000000"/>
          <w:sz w:val="24"/>
          <w:lang w:val="en-US"/>
        </w:rPr>
      </w:pPr>
      <w:r w:rsidRPr="000611C3">
        <w:rPr>
          <w:rFonts w:ascii="Times New Roman" w:eastAsia="Calibri" w:hAnsi="Times New Roman" w:cs="Times New Roman"/>
          <w:sz w:val="24"/>
          <w:szCs w:val="24"/>
        </w:rPr>
        <w:t xml:space="preserve">This instrument is compatible with human rights </w:t>
      </w:r>
      <w:r w:rsidRPr="000611C3">
        <w:rPr>
          <w:rFonts w:ascii="Times New Roman" w:eastAsia="Times New Roman" w:hAnsi="Times New Roman" w:cs="Times New Roman"/>
          <w:color w:val="000000"/>
          <w:sz w:val="24"/>
          <w:lang w:val="en-US"/>
        </w:rPr>
        <w:t>because it considerably promotes the protection of the rights to an adequate standard of living and to continuous improvement of living conditions. While there are very few provisions of the Rule that regulate or engage the human rights of individuals, to the extent that it may limit human rights, those limitations are reasonable, necessary and proportionate.</w:t>
      </w:r>
      <w:r w:rsidR="00FC0D9A">
        <w:rPr>
          <w:rFonts w:ascii="Times New Roman" w:eastAsia="Times New Roman" w:hAnsi="Times New Roman" w:cs="Times New Roman"/>
          <w:color w:val="000000"/>
          <w:sz w:val="24"/>
          <w:lang w:val="en-US"/>
        </w:rPr>
        <w:t xml:space="preserve"> </w:t>
      </w:r>
    </w:p>
    <w:p w:rsidR="0006026B" w:rsidRPr="00547F8D" w:rsidRDefault="0006026B" w:rsidP="0006026B">
      <w:pPr>
        <w:spacing w:before="120" w:after="120"/>
        <w:jc w:val="center"/>
        <w:rPr>
          <w:rFonts w:ascii="Times New Roman" w:hAnsi="Times New Roman" w:cs="Times New Roman"/>
          <w:sz w:val="24"/>
          <w:szCs w:val="24"/>
        </w:rPr>
      </w:pPr>
    </w:p>
    <w:p w:rsidR="0006026B" w:rsidRDefault="0006026B" w:rsidP="0006026B">
      <w:pPr>
        <w:spacing w:before="120" w:after="120"/>
        <w:jc w:val="center"/>
        <w:rPr>
          <w:rFonts w:ascii="Times New Roman" w:hAnsi="Times New Roman" w:cs="Times New Roman"/>
          <w:b/>
          <w:sz w:val="24"/>
          <w:szCs w:val="24"/>
        </w:rPr>
      </w:pPr>
      <w:r>
        <w:rPr>
          <w:rFonts w:ascii="Times New Roman" w:hAnsi="Times New Roman" w:cs="Times New Roman"/>
          <w:b/>
          <w:sz w:val="24"/>
          <w:szCs w:val="24"/>
        </w:rPr>
        <w:t>The Hon Angus Taylor MP</w:t>
      </w:r>
    </w:p>
    <w:p w:rsidR="00FC0D9A" w:rsidRDefault="0006026B" w:rsidP="00A70350">
      <w:pPr>
        <w:spacing w:after="758" w:line="315" w:lineRule="exact"/>
        <w:jc w:val="center"/>
        <w:textAlignment w:val="baseline"/>
        <w:rPr>
          <w:rFonts w:ascii="Times New Roman" w:eastAsia="Times New Roman" w:hAnsi="Times New Roman" w:cs="Times New Roman"/>
          <w:color w:val="000000"/>
          <w:sz w:val="24"/>
          <w:lang w:val="en-US"/>
        </w:rPr>
        <w:sectPr w:rsidR="00FC0D9A" w:rsidSect="00980F77">
          <w:headerReference w:type="first" r:id="rId17"/>
          <w:pgSz w:w="11906" w:h="16838"/>
          <w:pgMar w:top="1440" w:right="1440" w:bottom="1440" w:left="1440" w:header="708" w:footer="708" w:gutter="0"/>
          <w:cols w:space="708"/>
          <w:docGrid w:linePitch="360"/>
        </w:sectPr>
      </w:pPr>
      <w:r w:rsidRPr="00876C4F">
        <w:rPr>
          <w:rFonts w:ascii="Times New Roman" w:hAnsi="Times New Roman" w:cs="Times New Roman"/>
          <w:b/>
          <w:sz w:val="24"/>
          <w:szCs w:val="24"/>
        </w:rPr>
        <w:t>Minister for Energy and Emissions Reduction</w:t>
      </w:r>
    </w:p>
    <w:p w:rsidR="00FC0D9A" w:rsidRPr="00A45821" w:rsidRDefault="00FC0D9A" w:rsidP="00FC0D9A">
      <w:pPr>
        <w:rPr>
          <w:lang w:val="en-US"/>
        </w:rPr>
      </w:pPr>
    </w:p>
    <w:p w:rsidR="00033FDE" w:rsidRPr="00FC0D9A" w:rsidRDefault="00033FDE" w:rsidP="00033FDE">
      <w:pPr>
        <w:pStyle w:val="Title"/>
        <w:rPr>
          <w:rFonts w:cs="Calibri"/>
          <w:szCs w:val="36"/>
        </w:rPr>
      </w:pPr>
      <w:bookmarkStart w:id="11" w:name="_Toc19023741"/>
      <w:bookmarkStart w:id="12" w:name="_Toc19107846"/>
      <w:r w:rsidRPr="00FC0D9A">
        <w:rPr>
          <w:rFonts w:cs="Calibri"/>
          <w:szCs w:val="36"/>
        </w:rPr>
        <w:t>Fuel Security RIS</w:t>
      </w:r>
      <w:bookmarkEnd w:id="11"/>
      <w:bookmarkEnd w:id="12"/>
      <w:r w:rsidRPr="00FC0D9A">
        <w:rPr>
          <w:rFonts w:cs="Calibri"/>
          <w:szCs w:val="36"/>
        </w:rPr>
        <w:t xml:space="preserve"> – Addendum in relation to Fuel Security Services Payment (FSSP) Rule and Petroleum and Other Fuels Reporting (POFR) Amendment FSSP Rule</w:t>
      </w:r>
    </w:p>
    <w:p w:rsidR="00033FDE" w:rsidRPr="001806EB" w:rsidRDefault="00033FDE" w:rsidP="00033FDE">
      <w:pPr>
        <w:pStyle w:val="Heading4"/>
        <w:rPr>
          <w:i w:val="0"/>
          <w:sz w:val="24"/>
        </w:rPr>
      </w:pPr>
      <w:r w:rsidRPr="001806EB">
        <w:rPr>
          <w:i w:val="0"/>
          <w:sz w:val="24"/>
        </w:rPr>
        <w:t>Outline</w:t>
      </w:r>
    </w:p>
    <w:p w:rsidR="00033FDE" w:rsidRDefault="00033FDE" w:rsidP="00033FDE">
      <w:r>
        <w:t xml:space="preserve">On 26 May 2021, the Government published a Regulation Impact Statement (RIS) attached to the </w:t>
      </w:r>
      <w:r w:rsidRPr="00D17EC6">
        <w:rPr>
          <w:i/>
        </w:rPr>
        <w:t>Fuel Security Act 2021</w:t>
      </w:r>
      <w:r>
        <w:t xml:space="preserve"> (the Act). This RIS addendum provides additional information and analysis on one measure of the Act, the Fuel Security Services Payment (FSSP). The addendum addresses the estimated regulatory costs and benefits associated with the FSSP to affected entities. </w:t>
      </w:r>
    </w:p>
    <w:p w:rsidR="00033FDE" w:rsidRDefault="00033FDE" w:rsidP="00033FDE">
      <w:r>
        <w:t xml:space="preserve">This addendum notes that the regulatory costs will be minor in comparison to the financial support and benefits that will be received by affected entities.   </w:t>
      </w:r>
    </w:p>
    <w:p w:rsidR="00033FDE" w:rsidRPr="007C57B3" w:rsidRDefault="00033FDE" w:rsidP="00033FDE">
      <w:pPr>
        <w:spacing w:after="40"/>
        <w:rPr>
          <w:u w:val="single"/>
        </w:rPr>
      </w:pPr>
      <w:r w:rsidRPr="007C57B3">
        <w:rPr>
          <w:u w:val="single"/>
        </w:rPr>
        <w:t>About the FSSP</w:t>
      </w:r>
    </w:p>
    <w:p w:rsidR="00033FDE" w:rsidRDefault="00033FDE" w:rsidP="00033FDE">
      <w:r w:rsidRPr="00EF778A">
        <w:t>The Government’s FSSP</w:t>
      </w:r>
      <w:r>
        <w:t xml:space="preserve"> measure intends</w:t>
      </w:r>
      <w:r w:rsidRPr="00EF778A">
        <w:t xml:space="preserve"> to </w:t>
      </w:r>
      <w:r>
        <w:t xml:space="preserve">support and </w:t>
      </w:r>
      <w:r w:rsidRPr="00EF778A">
        <w:t xml:space="preserve">maintain an onshore, sovereign refining capability </w:t>
      </w:r>
      <w:r>
        <w:t>by providing a capped production payment to refineries on a cent per litre basis sufficient to ensure they do not make a loss</w:t>
      </w:r>
      <w:r w:rsidRPr="00A818A9">
        <w:t xml:space="preserve"> </w:t>
      </w:r>
      <w:r w:rsidRPr="00EF778A">
        <w:t>for primary transport fuels (petrol, diesel and jet fuel)</w:t>
      </w:r>
      <w:r>
        <w:t xml:space="preserve">.  Payments would not be made to refiners during times when they are making a profit. </w:t>
      </w:r>
    </w:p>
    <w:p w:rsidR="00033FDE" w:rsidRDefault="00033FDE" w:rsidP="00033FDE">
      <w:r>
        <w:t>The FSSP r</w:t>
      </w:r>
      <w:r w:rsidRPr="00EF778A">
        <w:t>ecogni</w:t>
      </w:r>
      <w:r>
        <w:t>ses</w:t>
      </w:r>
      <w:r w:rsidRPr="00EF778A">
        <w:t xml:space="preserve"> the </w:t>
      </w:r>
      <w:r>
        <w:t xml:space="preserve">critical role refineries play </w:t>
      </w:r>
      <w:r w:rsidRPr="00EF778A">
        <w:t>to Australia</w:t>
      </w:r>
      <w:r>
        <w:t>’s fuel security framework</w:t>
      </w:r>
      <w:r w:rsidRPr="00EF778A">
        <w:t xml:space="preserve">. Other </w:t>
      </w:r>
      <w:r>
        <w:t xml:space="preserve">important </w:t>
      </w:r>
      <w:r w:rsidRPr="00EF778A">
        <w:t xml:space="preserve">benefits </w:t>
      </w:r>
      <w:r>
        <w:t xml:space="preserve">achieved through the </w:t>
      </w:r>
      <w:r w:rsidRPr="00EF778A">
        <w:t>FSSP include retain</w:t>
      </w:r>
      <w:r>
        <w:t>ing jobs in the refinery sector</w:t>
      </w:r>
      <w:r w:rsidRPr="00EF778A">
        <w:t xml:space="preserve"> and maintaining support for both upstream and downstream sectors</w:t>
      </w:r>
      <w:r>
        <w:t>, such as the agricultural industry and the petrochemical industry.</w:t>
      </w:r>
    </w:p>
    <w:p w:rsidR="00033FDE" w:rsidRDefault="00033FDE" w:rsidP="00033FDE">
      <w:r w:rsidRPr="00EF778A">
        <w:t>In return</w:t>
      </w:r>
      <w:r>
        <w:t xml:space="preserve"> for funding support, refiners will make a </w:t>
      </w:r>
      <w:r w:rsidRPr="00EF778A">
        <w:t xml:space="preserve">commitment to continue </w:t>
      </w:r>
      <w:r>
        <w:t>refining</w:t>
      </w:r>
      <w:r w:rsidRPr="00EF778A">
        <w:t xml:space="preserve"> until at least 30 June 2027</w:t>
      </w:r>
      <w:r>
        <w:t>,</w:t>
      </w:r>
      <w:r w:rsidRPr="00EF778A">
        <w:t xml:space="preserve"> wi</w:t>
      </w:r>
      <w:r>
        <w:t xml:space="preserve">th an option to extend to 2030. </w:t>
      </w:r>
    </w:p>
    <w:p w:rsidR="00033FDE" w:rsidRDefault="00033FDE" w:rsidP="00033FDE">
      <w:r>
        <w:t>T</w:t>
      </w:r>
      <w:r w:rsidRPr="00EF778A">
        <w:t>h</w:t>
      </w:r>
      <w:r>
        <w:t>e</w:t>
      </w:r>
      <w:r w:rsidRPr="00EF778A">
        <w:t xml:space="preserve"> </w:t>
      </w:r>
      <w:r>
        <w:t>FSSP will</w:t>
      </w:r>
      <w:r w:rsidRPr="00EF778A">
        <w:t xml:space="preserve"> be </w:t>
      </w:r>
      <w:r>
        <w:t>variable</w:t>
      </w:r>
      <w:r w:rsidRPr="00EF778A">
        <w:t xml:space="preserve"> and tied to external market conditions, switching on and off to provide support only when refinery margins are poor.</w:t>
      </w:r>
    </w:p>
    <w:p w:rsidR="00033FDE" w:rsidRPr="00FC0D9A" w:rsidRDefault="00033FDE" w:rsidP="00033FDE">
      <w:pPr>
        <w:pStyle w:val="Heading4"/>
        <w:rPr>
          <w:i w:val="0"/>
          <w:sz w:val="24"/>
        </w:rPr>
      </w:pPr>
      <w:r w:rsidRPr="00FC0D9A">
        <w:rPr>
          <w:i w:val="0"/>
          <w:sz w:val="24"/>
        </w:rPr>
        <w:t>Requirements for applicants receiving FSSP</w:t>
      </w:r>
    </w:p>
    <w:p w:rsidR="00033FDE" w:rsidRPr="009B7023" w:rsidRDefault="00033FDE" w:rsidP="00033FDE">
      <w:r>
        <w:t xml:space="preserve">The FSSP poses limited ongoing regulatory impost on affected entities. Importantly, it is a voluntary scheme whereby refiners may apply to be included, and in doing so accept the regulatory impost associated under the </w:t>
      </w:r>
      <w:r w:rsidRPr="009F1EC4">
        <w:t xml:space="preserve">Act </w:t>
      </w:r>
      <w:r>
        <w:t>and the Fuel Security (Fuel Security Services Payment) Rule 2021 (the Rule). The anticipated regulatory impost is detailed below.</w:t>
      </w:r>
    </w:p>
    <w:p w:rsidR="00033FDE" w:rsidRPr="00A720C5" w:rsidRDefault="00033FDE" w:rsidP="00033FDE">
      <w:pPr>
        <w:spacing w:after="40"/>
        <w:rPr>
          <w:u w:val="single"/>
        </w:rPr>
      </w:pPr>
      <w:r w:rsidRPr="00A720C5">
        <w:rPr>
          <w:u w:val="single"/>
        </w:rPr>
        <w:t>Applications</w:t>
      </w:r>
    </w:p>
    <w:p w:rsidR="00FC0D9A" w:rsidRDefault="00033FDE" w:rsidP="00033FDE">
      <w:pPr>
        <w:rPr>
          <w:u w:val="single"/>
        </w:rPr>
      </w:pPr>
      <w:r>
        <w:t>Eligible FSSP industry participants will be required to make a one-off application to be approved by the relevant Minister to receive the support. Applicants will have to adhere to certain criteria prescribed by the Act and the Rule, including but not limited to providing basic business details of the entity, historical data on refining of FSSP fuels, and either a security from their parent companies or a bank guarantee in relation to the commitment to fulfil repayment obligations under the Act.</w:t>
      </w:r>
    </w:p>
    <w:p w:rsidR="00FC0D9A" w:rsidRDefault="00FC0D9A" w:rsidP="00033FDE"/>
    <w:p w:rsidR="00033FDE" w:rsidRDefault="00033FDE" w:rsidP="00033FDE">
      <w:pPr>
        <w:rPr>
          <w:u w:val="single"/>
        </w:rPr>
      </w:pPr>
    </w:p>
    <w:p w:rsidR="00033FDE" w:rsidRDefault="00033FDE" w:rsidP="00033FDE">
      <w:pPr>
        <w:rPr>
          <w:u w:val="single"/>
        </w:rPr>
      </w:pPr>
    </w:p>
    <w:p w:rsidR="00033FDE" w:rsidRPr="00A720C5" w:rsidRDefault="00033FDE" w:rsidP="00033FDE">
      <w:pPr>
        <w:spacing w:after="40"/>
        <w:rPr>
          <w:u w:val="single"/>
        </w:rPr>
      </w:pPr>
      <w:r>
        <w:rPr>
          <w:u w:val="single"/>
        </w:rPr>
        <w:t>Re</w:t>
      </w:r>
      <w:r w:rsidRPr="00A720C5">
        <w:rPr>
          <w:u w:val="single"/>
        </w:rPr>
        <w:t>porting</w:t>
      </w:r>
      <w:r>
        <w:rPr>
          <w:u w:val="single"/>
        </w:rPr>
        <w:t xml:space="preserve"> and payments</w:t>
      </w:r>
    </w:p>
    <w:p w:rsidR="00033FDE" w:rsidRDefault="00033FDE" w:rsidP="00033FDE">
      <w:r>
        <w:t xml:space="preserve">If approved, refiners will be required to report production volumes of FSSP fuels to receive a quarterly payment (subject to profit margins). The report must be provided to the Secretary shortly after the end of each quarter. </w:t>
      </w:r>
    </w:p>
    <w:p w:rsidR="00033FDE" w:rsidRDefault="00033FDE" w:rsidP="00033FDE">
      <w:r>
        <w:t xml:space="preserve">Given refiners can leverage monthly production data they currently report under the </w:t>
      </w:r>
      <w:r w:rsidRPr="00E85FFC">
        <w:rPr>
          <w:i/>
        </w:rPr>
        <w:t>Petroleum and Other Fuels Reporting Act 2017</w:t>
      </w:r>
      <w:r>
        <w:t xml:space="preserve"> (POFR Act) to prepare the FSSP quarterly report, the additional reporting burden is expected to be minimal. </w:t>
      </w:r>
    </w:p>
    <w:p w:rsidR="00033FDE" w:rsidRDefault="00033FDE" w:rsidP="00033FDE">
      <w:r>
        <w:t>Approved FSSP participants will be paid quarterly in arrears. The FSSP payment rate will be calculated by the Department of Industry, Science, Energy and Resources, in accordance with the method prescribed by the Rule, at the end of each quarter. The rate will applied to the production volumes of FSSP fuels the refiner produced during that period.</w:t>
      </w:r>
    </w:p>
    <w:p w:rsidR="00033FDE" w:rsidRDefault="00033FDE" w:rsidP="00033FDE">
      <w:r>
        <w:t xml:space="preserve">Additionally, it is intended that refiners will be required to submit an audit report by 30 September 2022 for the first financial year of payments (starting 1 July 2021). Subsequent audit reports may be required if there are concerns about the accuracy of data </w:t>
      </w:r>
      <w:r w:rsidRPr="00E443D0">
        <w:t>reported under the POFR Act.</w:t>
      </w:r>
      <w:r>
        <w:t xml:space="preserve"> </w:t>
      </w:r>
    </w:p>
    <w:p w:rsidR="00033FDE" w:rsidRDefault="00033FDE" w:rsidP="00033FDE">
      <w:r w:rsidRPr="00647CDD">
        <w:t xml:space="preserve">A registered greenhouse and energy auditor must prepare the audit report in accordance with the requirements for reasonable assurance engagements under the </w:t>
      </w:r>
      <w:r w:rsidRPr="00011206">
        <w:rPr>
          <w:i/>
        </w:rPr>
        <w:t>National Greenhouse and Energy Reporting (Audit) Determination 2009</w:t>
      </w:r>
      <w:r>
        <w:t>.</w:t>
      </w:r>
    </w:p>
    <w:p w:rsidR="00033FDE" w:rsidRPr="00FC0D9A" w:rsidRDefault="00033FDE" w:rsidP="00033FDE">
      <w:pPr>
        <w:pStyle w:val="Heading4"/>
        <w:rPr>
          <w:i w:val="0"/>
          <w:sz w:val="24"/>
        </w:rPr>
      </w:pPr>
      <w:r w:rsidRPr="00FC0D9A">
        <w:rPr>
          <w:i w:val="0"/>
          <w:sz w:val="24"/>
        </w:rPr>
        <w:t>Number of entities that would benefit from the FSSP</w:t>
      </w:r>
    </w:p>
    <w:p w:rsidR="00033FDE" w:rsidRDefault="00033FDE" w:rsidP="00033FDE">
      <w:r>
        <w:t xml:space="preserve">Under eligibility arrangements it is likely only the two major oil refineries will be eligible for the FSSP. However, the Act </w:t>
      </w:r>
      <w:r w:rsidRPr="003478F2">
        <w:t>allow</w:t>
      </w:r>
      <w:r>
        <w:t>s</w:t>
      </w:r>
      <w:r w:rsidRPr="003478F2">
        <w:t xml:space="preserve"> new market entrants to </w:t>
      </w:r>
      <w:r>
        <w:t>receive the FSSP, if criteria under the Rule are</w:t>
      </w:r>
      <w:r w:rsidRPr="003478F2">
        <w:t xml:space="preserve"> met.</w:t>
      </w:r>
    </w:p>
    <w:p w:rsidR="00033FDE" w:rsidRDefault="00033FDE" w:rsidP="00033FDE">
      <w:r>
        <w:t xml:space="preserve">The two major oil refineries, Ampol and Viva Energy, currently employ an estimated 1,250 workers. These jobs will benefit from additional security as a result of the FSSP. </w:t>
      </w:r>
    </w:p>
    <w:p w:rsidR="00033FDE" w:rsidRDefault="00033FDE" w:rsidP="00033FDE">
      <w:r>
        <w:t xml:space="preserve">In addition, the FSSP will support jobs directly and indirectly in the petrochemical industry. For example, the LyondellBasell polypropylene plant, which relies on Geelong’s Viva refinery, employs approximately 2,055 Australians directly and indirectly. </w:t>
      </w:r>
    </w:p>
    <w:p w:rsidR="00033FDE" w:rsidRPr="00FC0D9A" w:rsidRDefault="00033FDE" w:rsidP="00033FDE">
      <w:pPr>
        <w:pStyle w:val="Heading4"/>
        <w:rPr>
          <w:i w:val="0"/>
          <w:sz w:val="24"/>
        </w:rPr>
      </w:pPr>
      <w:r w:rsidRPr="00FC0D9A">
        <w:rPr>
          <w:i w:val="0"/>
          <w:sz w:val="24"/>
        </w:rPr>
        <w:t xml:space="preserve">Obligations that would be placed on participating refineries </w:t>
      </w:r>
    </w:p>
    <w:p w:rsidR="00033FDE" w:rsidRDefault="00033FDE" w:rsidP="00033FDE">
      <w:r>
        <w:t xml:space="preserve">The primary ongoing obligation of the scheme requires approved FSSP participants to commit to repaying </w:t>
      </w:r>
      <w:r w:rsidRPr="00E15ECC">
        <w:t>amounts received if the refinery ceases refining FSSP fuels before the end of their commitment period.</w:t>
      </w:r>
      <w:r>
        <w:t xml:space="preserve"> Only under very limited circumstances, that have caused refineries to be operationally or commercially unviable for a continued period, refiners will not be required to repay amounts received. </w:t>
      </w:r>
    </w:p>
    <w:p w:rsidR="00033FDE" w:rsidRDefault="00033FDE" w:rsidP="00033FDE">
      <w:r>
        <w:t>There would be some administration impost on refineries associated with repayments, but only in these unlikely circumstances as noted above.</w:t>
      </w:r>
    </w:p>
    <w:p w:rsidR="00033FDE" w:rsidRPr="00FC0D9A" w:rsidRDefault="00033FDE" w:rsidP="00033FDE">
      <w:pPr>
        <w:pStyle w:val="Heading4"/>
        <w:rPr>
          <w:i w:val="0"/>
          <w:sz w:val="24"/>
        </w:rPr>
      </w:pPr>
      <w:r w:rsidRPr="00FC0D9A">
        <w:rPr>
          <w:i w:val="0"/>
          <w:sz w:val="24"/>
        </w:rPr>
        <w:t xml:space="preserve">Anticipated participation costs and benefits </w:t>
      </w:r>
    </w:p>
    <w:p w:rsidR="00033FDE" w:rsidRDefault="00033FDE" w:rsidP="00033FDE">
      <w:r>
        <w:t xml:space="preserve">Regulatory and administrative costs for participants are expected to be minimal. The benefits in the form of payments when they are needed, would significantly outweigh the regulatory impost. </w:t>
      </w:r>
    </w:p>
    <w:p w:rsidR="00033FDE" w:rsidRDefault="00033FDE" w:rsidP="00033FDE">
      <w:r>
        <w:t>To reduce the regulatory burden, FSSP production information will be based on data refiners are already required to submit under the POFR Act, as well as the additional quarterly production report based on the same or similar information.</w:t>
      </w:r>
    </w:p>
    <w:p w:rsidR="00033FDE" w:rsidRPr="00344389" w:rsidRDefault="00033FDE" w:rsidP="00033FDE"/>
    <w:p w:rsidR="00033FDE" w:rsidRPr="004C5B13" w:rsidRDefault="00033FDE" w:rsidP="00033FDE">
      <w:pPr>
        <w:pStyle w:val="Heading6"/>
      </w:pPr>
      <w:r>
        <w:t xml:space="preserve">One-off costs </w:t>
      </w:r>
    </w:p>
    <w:p w:rsidR="00033FDE" w:rsidRPr="004C5B13" w:rsidRDefault="00033FDE" w:rsidP="00033FDE">
      <w:pPr>
        <w:spacing w:after="40"/>
      </w:pPr>
      <w:r w:rsidRPr="00B91C2A">
        <w:rPr>
          <w:i/>
        </w:rPr>
        <w:t>Applications for the FSSP</w:t>
      </w:r>
      <w:r>
        <w:rPr>
          <w:i/>
        </w:rPr>
        <w:t xml:space="preserve"> (anticipated costs)</w:t>
      </w:r>
      <w:r w:rsidRPr="004C5B13">
        <w:t>:</w:t>
      </w:r>
    </w:p>
    <w:p w:rsidR="00033FDE" w:rsidRDefault="00033FDE" w:rsidP="00033FDE">
      <w:pPr>
        <w:pStyle w:val="ListParagraph"/>
        <w:numPr>
          <w:ilvl w:val="0"/>
          <w:numId w:val="36"/>
        </w:numPr>
        <w:spacing w:after="120" w:line="259" w:lineRule="auto"/>
        <w:ind w:left="714" w:hanging="357"/>
      </w:pPr>
      <w:r>
        <w:t>T</w:t>
      </w:r>
      <w:r w:rsidRPr="003A108D">
        <w:t xml:space="preserve">he application will </w:t>
      </w:r>
      <w:r>
        <w:t xml:space="preserve">likely </w:t>
      </w:r>
      <w:r w:rsidRPr="003A108D">
        <w:t>take one</w:t>
      </w:r>
      <w:r>
        <w:t xml:space="preserve"> to two</w:t>
      </w:r>
      <w:r w:rsidRPr="003A108D">
        <w:t xml:space="preserve"> </w:t>
      </w:r>
      <w:r>
        <w:t xml:space="preserve">people up to one week </w:t>
      </w:r>
      <w:r w:rsidRPr="003A108D">
        <w:t>(full time) to write the application</w:t>
      </w:r>
      <w:r>
        <w:t xml:space="preserve"> and collate supporting materials, including quality assurance and legal checks. Two eligible refiners will make applications (total up to 140 hours).</w:t>
      </w:r>
    </w:p>
    <w:p w:rsidR="00033FDE" w:rsidRDefault="00033FDE" w:rsidP="00033FDE">
      <w:pPr>
        <w:pStyle w:val="ListParagraph"/>
        <w:numPr>
          <w:ilvl w:val="0"/>
          <w:numId w:val="36"/>
        </w:numPr>
        <w:spacing w:after="120" w:line="259" w:lineRule="auto"/>
        <w:ind w:left="714" w:hanging="357"/>
      </w:pPr>
      <w:r>
        <w:t>Senior executive clearances for the application within each organisation, will take around half a day each x2 entities (total up to 8 hours).</w:t>
      </w:r>
    </w:p>
    <w:p w:rsidR="00033FDE" w:rsidRPr="00BE6437" w:rsidRDefault="00033FDE" w:rsidP="00033FDE">
      <w:pPr>
        <w:spacing w:after="120"/>
      </w:pPr>
      <w:r w:rsidRPr="00BE6437">
        <w:t xml:space="preserve">Total anticipated costs – approximately </w:t>
      </w:r>
      <w:r w:rsidRPr="00160DB9">
        <w:t>$11,000</w:t>
      </w:r>
      <w:r>
        <w:t>.</w:t>
      </w:r>
      <w:r>
        <w:rPr>
          <w:rStyle w:val="FootnoteReference"/>
        </w:rPr>
        <w:footnoteReference w:id="2"/>
      </w:r>
    </w:p>
    <w:p w:rsidR="00033FDE" w:rsidRDefault="00033FDE" w:rsidP="00033FDE">
      <w:pPr>
        <w:spacing w:after="40"/>
      </w:pPr>
      <w:r w:rsidRPr="00B91C2A">
        <w:rPr>
          <w:i/>
        </w:rPr>
        <w:t>Audit reports</w:t>
      </w:r>
      <w:r>
        <w:t>:</w:t>
      </w:r>
    </w:p>
    <w:p w:rsidR="00033FDE" w:rsidRDefault="00033FDE" w:rsidP="00033FDE">
      <w:pPr>
        <w:pStyle w:val="ListParagraph"/>
        <w:numPr>
          <w:ilvl w:val="0"/>
          <w:numId w:val="36"/>
        </w:numPr>
        <w:spacing w:after="160" w:line="259" w:lineRule="auto"/>
      </w:pPr>
      <w:r>
        <w:t>Procuring and requesting an auditor will take approximately one full day x2 entities (15</w:t>
      </w:r>
      <w:r w:rsidRPr="006A4404">
        <w:t xml:space="preserve"> hours</w:t>
      </w:r>
      <w:r>
        <w:t>)</w:t>
      </w:r>
    </w:p>
    <w:p w:rsidR="00033FDE" w:rsidRDefault="00033FDE" w:rsidP="00033FDE">
      <w:pPr>
        <w:pStyle w:val="ListParagraph"/>
        <w:numPr>
          <w:ilvl w:val="0"/>
          <w:numId w:val="36"/>
        </w:numPr>
        <w:spacing w:after="160" w:line="259" w:lineRule="auto"/>
      </w:pPr>
      <w:r>
        <w:t xml:space="preserve">Estimated average registered greenhouse energy auditor fees x2 entities </w:t>
      </w:r>
      <w:r w:rsidRPr="005A5387">
        <w:t>($55,000)</w:t>
      </w:r>
    </w:p>
    <w:p w:rsidR="00033FDE" w:rsidRDefault="00033FDE" w:rsidP="00033FDE">
      <w:pPr>
        <w:pStyle w:val="ListParagraph"/>
        <w:numPr>
          <w:ilvl w:val="0"/>
          <w:numId w:val="36"/>
        </w:numPr>
        <w:spacing w:after="160" w:line="259" w:lineRule="auto"/>
      </w:pPr>
      <w:r>
        <w:t>Clearance timeframes, including through senior executive to verify the audit report would be up to one full day x2 entities (15</w:t>
      </w:r>
      <w:r w:rsidRPr="006A4404">
        <w:t xml:space="preserve"> hours)</w:t>
      </w:r>
      <w:r>
        <w:t xml:space="preserve"> </w:t>
      </w:r>
    </w:p>
    <w:p w:rsidR="00033FDE" w:rsidRPr="00BE6437" w:rsidRDefault="00033FDE" w:rsidP="00033FDE">
      <w:pPr>
        <w:spacing w:after="120"/>
      </w:pPr>
      <w:r w:rsidRPr="00BE6437">
        <w:t xml:space="preserve">Total anticipated costs – approximately </w:t>
      </w:r>
      <w:r w:rsidRPr="00160DB9">
        <w:t>$112,000.</w:t>
      </w:r>
      <w:r w:rsidRPr="00160DB9">
        <w:rPr>
          <w:rStyle w:val="FootnoteReference"/>
        </w:rPr>
        <w:t xml:space="preserve"> </w:t>
      </w:r>
      <w:r>
        <w:rPr>
          <w:rStyle w:val="FootnoteReference"/>
        </w:rPr>
        <w:footnoteReference w:id="3"/>
      </w:r>
    </w:p>
    <w:p w:rsidR="00033FDE" w:rsidRPr="00690CC4" w:rsidRDefault="00033FDE" w:rsidP="00033FDE">
      <w:pPr>
        <w:pStyle w:val="Heading6"/>
      </w:pPr>
      <w:r>
        <w:t>Ongoing costs</w:t>
      </w:r>
    </w:p>
    <w:p w:rsidR="00033FDE" w:rsidRDefault="00033FDE" w:rsidP="00033FDE">
      <w:pPr>
        <w:spacing w:after="40"/>
      </w:pPr>
      <w:r w:rsidRPr="00B91C2A">
        <w:rPr>
          <w:i/>
        </w:rPr>
        <w:t>Quarterly reports</w:t>
      </w:r>
      <w:r>
        <w:t>:</w:t>
      </w:r>
    </w:p>
    <w:p w:rsidR="00033FDE" w:rsidRDefault="00033FDE" w:rsidP="00033FDE">
      <w:pPr>
        <w:pStyle w:val="ListParagraph"/>
        <w:numPr>
          <w:ilvl w:val="0"/>
          <w:numId w:val="36"/>
        </w:numPr>
        <w:spacing w:after="160" w:line="259" w:lineRule="auto"/>
      </w:pPr>
      <w:r>
        <w:t>Assuming the quarterly reports of FSSP production volumes will take one person one day, to write up the quarterly report x2 entities (15 hours)</w:t>
      </w:r>
    </w:p>
    <w:p w:rsidR="00033FDE" w:rsidRDefault="00033FDE" w:rsidP="00033FDE">
      <w:pPr>
        <w:pStyle w:val="ListParagraph"/>
        <w:numPr>
          <w:ilvl w:val="0"/>
          <w:numId w:val="36"/>
        </w:numPr>
        <w:spacing w:after="120" w:line="259" w:lineRule="auto"/>
        <w:ind w:left="714" w:hanging="357"/>
      </w:pPr>
      <w:r>
        <w:t>Clearance timeframes, including through senior executive for reporting, will take around half a day x2 entities (8 hours)</w:t>
      </w:r>
    </w:p>
    <w:p w:rsidR="00033FDE" w:rsidRDefault="00033FDE" w:rsidP="00033FDE">
      <w:pPr>
        <w:pStyle w:val="ListParagraph"/>
        <w:numPr>
          <w:ilvl w:val="0"/>
          <w:numId w:val="36"/>
        </w:numPr>
        <w:spacing w:after="160" w:line="259" w:lineRule="auto"/>
      </w:pPr>
      <w:r>
        <w:t>Over the commitment period and including option to extend (9 years)</w:t>
      </w:r>
    </w:p>
    <w:p w:rsidR="00033FDE" w:rsidRDefault="00033FDE" w:rsidP="00033FDE">
      <w:pPr>
        <w:spacing w:after="120"/>
      </w:pPr>
      <w:r w:rsidRPr="00BE6437">
        <w:t xml:space="preserve">Total anticipated costs – approximately </w:t>
      </w:r>
      <w:r w:rsidRPr="00160DB9">
        <w:t>$60,000</w:t>
      </w:r>
      <w:r>
        <w:t>.</w:t>
      </w:r>
      <w:r>
        <w:rPr>
          <w:rStyle w:val="FootnoteReference"/>
        </w:rPr>
        <w:footnoteReference w:id="4"/>
      </w:r>
    </w:p>
    <w:p w:rsidR="00033FDE" w:rsidRDefault="00033FDE" w:rsidP="00033FDE">
      <w:pPr>
        <w:pStyle w:val="Heading6"/>
      </w:pPr>
      <w:r>
        <w:t xml:space="preserve">Other costs </w:t>
      </w:r>
    </w:p>
    <w:p w:rsidR="00033FDE" w:rsidRPr="004354F9" w:rsidRDefault="00033FDE" w:rsidP="00033FDE">
      <w:pPr>
        <w:spacing w:after="120"/>
        <w:rPr>
          <w:i/>
        </w:rPr>
      </w:pPr>
      <w:r>
        <w:t xml:space="preserve">Other costs are expected to be minimal given the infrequency and improbability of these circumstances occurring and as such have not been estimated. These would include matters such as making an </w:t>
      </w:r>
      <w:r w:rsidRPr="00D57AA7">
        <w:t xml:space="preserve">application to vary </w:t>
      </w:r>
      <w:r>
        <w:t xml:space="preserve">a </w:t>
      </w:r>
      <w:r w:rsidRPr="00D57AA7">
        <w:t>commitment period</w:t>
      </w:r>
      <w:r>
        <w:t>, or exercising a right to extend a commitment period.</w:t>
      </w:r>
    </w:p>
    <w:p w:rsidR="00033FDE" w:rsidRDefault="00033FDE" w:rsidP="00033FDE">
      <w:pPr>
        <w:pStyle w:val="Heading6"/>
        <w:spacing w:before="0"/>
      </w:pPr>
      <w:r>
        <w:t>Benefits to refiners</w:t>
      </w:r>
    </w:p>
    <w:p w:rsidR="00033FDE" w:rsidRPr="00282315" w:rsidRDefault="00033FDE" w:rsidP="00033FDE">
      <w:pPr>
        <w:rPr>
          <w:rFonts w:eastAsiaTheme="majorEastAsia" w:cstheme="minorHAnsi"/>
        </w:rPr>
      </w:pPr>
      <w:r>
        <w:rPr>
          <w:rFonts w:eastAsiaTheme="majorEastAsia" w:cstheme="minorHAnsi"/>
        </w:rPr>
        <w:t>Combined, the approved FSSP participants may receive up</w:t>
      </w:r>
      <w:r w:rsidRPr="00282315">
        <w:rPr>
          <w:rFonts w:eastAsiaTheme="majorEastAsia" w:cstheme="minorHAnsi"/>
        </w:rPr>
        <w:t xml:space="preserve"> to</w:t>
      </w:r>
      <w:r>
        <w:rPr>
          <w:rFonts w:eastAsiaTheme="majorEastAsia" w:cstheme="minorHAnsi"/>
        </w:rPr>
        <w:t xml:space="preserve"> the full</w:t>
      </w:r>
      <w:r w:rsidRPr="00282315">
        <w:rPr>
          <w:rFonts w:eastAsiaTheme="majorEastAsia" w:cstheme="minorHAnsi"/>
        </w:rPr>
        <w:t xml:space="preserve"> $2.047 billion</w:t>
      </w:r>
      <w:r>
        <w:rPr>
          <w:rFonts w:eastAsiaTheme="majorEastAsia" w:cstheme="minorHAnsi"/>
        </w:rPr>
        <w:t xml:space="preserve"> in appropriated funding during any loss-making periods from 1 July 2021 to 30 June 2030 (should the option to extend get exercised), although receiving this full amount is very unlikely. </w:t>
      </w:r>
    </w:p>
    <w:p w:rsidR="00033FDE" w:rsidRPr="00FC0D9A" w:rsidRDefault="00033FDE" w:rsidP="00033FDE">
      <w:pPr>
        <w:pStyle w:val="Heading4"/>
        <w:rPr>
          <w:i w:val="0"/>
          <w:sz w:val="24"/>
        </w:rPr>
      </w:pPr>
      <w:r w:rsidRPr="00FC0D9A">
        <w:rPr>
          <w:i w:val="0"/>
          <w:sz w:val="24"/>
        </w:rPr>
        <w:t>Regulation impact summary</w:t>
      </w:r>
    </w:p>
    <w:p w:rsidR="00033FDE" w:rsidRDefault="00033FDE" w:rsidP="00033FDE">
      <w:pPr>
        <w:rPr>
          <w:rFonts w:eastAsiaTheme="majorEastAsia" w:cstheme="minorHAnsi"/>
        </w:rPr>
      </w:pPr>
      <w:r w:rsidRPr="00282315">
        <w:rPr>
          <w:rFonts w:eastAsiaTheme="majorEastAsia" w:cstheme="minorHAnsi"/>
        </w:rPr>
        <w:t xml:space="preserve">The FSSP provides a </w:t>
      </w:r>
      <w:r>
        <w:rPr>
          <w:rFonts w:eastAsiaTheme="majorEastAsia" w:cstheme="minorHAnsi"/>
        </w:rPr>
        <w:t xml:space="preserve">significant </w:t>
      </w:r>
      <w:r w:rsidRPr="00282315">
        <w:rPr>
          <w:rFonts w:eastAsiaTheme="majorEastAsia" w:cstheme="minorHAnsi"/>
        </w:rPr>
        <w:t xml:space="preserve">positive </w:t>
      </w:r>
      <w:r>
        <w:rPr>
          <w:rFonts w:eastAsiaTheme="majorEastAsia" w:cstheme="minorHAnsi"/>
        </w:rPr>
        <w:t xml:space="preserve">financial impact to refiners which far outweighs the minor regulatory impost. </w:t>
      </w:r>
      <w:r w:rsidRPr="00282315">
        <w:rPr>
          <w:rFonts w:eastAsiaTheme="majorEastAsia" w:cstheme="minorHAnsi"/>
        </w:rPr>
        <w:t xml:space="preserve"> </w:t>
      </w:r>
    </w:p>
    <w:p w:rsidR="004D1B44" w:rsidRPr="00AC04A1" w:rsidRDefault="00033FDE" w:rsidP="00FC0D9A">
      <w:pPr>
        <w:rPr>
          <w:rFonts w:ascii="Times New Roman" w:eastAsia="Times New Roman" w:hAnsi="Times New Roman" w:cs="Times New Roman"/>
          <w:color w:val="000000"/>
          <w:sz w:val="24"/>
          <w:lang w:val="en-US"/>
        </w:rPr>
      </w:pPr>
      <w:r w:rsidRPr="00282315">
        <w:rPr>
          <w:rFonts w:eastAsiaTheme="majorEastAsia" w:cstheme="minorHAnsi"/>
        </w:rPr>
        <w:t xml:space="preserve">The total </w:t>
      </w:r>
      <w:r>
        <w:rPr>
          <w:rFonts w:eastAsiaTheme="majorEastAsia" w:cstheme="minorHAnsi"/>
        </w:rPr>
        <w:t>regulatory burden</w:t>
      </w:r>
      <w:r w:rsidRPr="00282315">
        <w:rPr>
          <w:rFonts w:eastAsiaTheme="majorEastAsia" w:cstheme="minorHAnsi"/>
        </w:rPr>
        <w:t xml:space="preserve"> of the FSSP </w:t>
      </w:r>
      <w:r>
        <w:rPr>
          <w:rFonts w:eastAsiaTheme="majorEastAsia" w:cstheme="minorHAnsi"/>
        </w:rPr>
        <w:t xml:space="preserve">is expected to be less than </w:t>
      </w:r>
      <w:r w:rsidRPr="00160DB9">
        <w:rPr>
          <w:rFonts w:eastAsiaTheme="majorEastAsia" w:cstheme="minorHAnsi"/>
        </w:rPr>
        <w:t>$200,000</w:t>
      </w:r>
      <w:r>
        <w:rPr>
          <w:rFonts w:eastAsiaTheme="majorEastAsia" w:cstheme="minorHAnsi"/>
        </w:rPr>
        <w:t xml:space="preserve"> per eligible entity</w:t>
      </w:r>
      <w:r w:rsidRPr="00282315">
        <w:rPr>
          <w:rFonts w:eastAsiaTheme="majorEastAsia" w:cstheme="minorHAnsi"/>
        </w:rPr>
        <w:t xml:space="preserve"> over the next </w:t>
      </w:r>
      <w:r>
        <w:rPr>
          <w:rFonts w:eastAsiaTheme="majorEastAsia" w:cstheme="minorHAnsi"/>
        </w:rPr>
        <w:t>nine years</w:t>
      </w:r>
      <w:r w:rsidRPr="00282315">
        <w:rPr>
          <w:rFonts w:eastAsiaTheme="majorEastAsia" w:cstheme="minorHAnsi"/>
        </w:rPr>
        <w:t>.</w:t>
      </w:r>
      <w:r>
        <w:rPr>
          <w:rStyle w:val="FootnoteReference"/>
          <w:rFonts w:eastAsiaTheme="majorEastAsia" w:cstheme="minorHAnsi"/>
        </w:rPr>
        <w:footnoteReference w:id="5"/>
      </w:r>
      <w:r w:rsidRPr="00282315">
        <w:rPr>
          <w:rFonts w:eastAsiaTheme="majorEastAsia" w:cstheme="minorHAnsi"/>
        </w:rPr>
        <w:t xml:space="preserve"> </w:t>
      </w:r>
      <w:r>
        <w:rPr>
          <w:rFonts w:eastAsiaTheme="majorEastAsia" w:cstheme="minorHAnsi"/>
        </w:rPr>
        <w:t>While t</w:t>
      </w:r>
      <w:r w:rsidRPr="00282315">
        <w:rPr>
          <w:rFonts w:eastAsiaTheme="majorEastAsia" w:cstheme="minorHAnsi"/>
        </w:rPr>
        <w:t>he total</w:t>
      </w:r>
      <w:r>
        <w:rPr>
          <w:rFonts w:eastAsiaTheme="majorEastAsia" w:cstheme="minorHAnsi"/>
        </w:rPr>
        <w:t xml:space="preserve"> potential</w:t>
      </w:r>
      <w:r w:rsidRPr="00282315">
        <w:rPr>
          <w:rFonts w:eastAsiaTheme="majorEastAsia" w:cstheme="minorHAnsi"/>
        </w:rPr>
        <w:t xml:space="preserve"> </w:t>
      </w:r>
      <w:r>
        <w:rPr>
          <w:rFonts w:eastAsiaTheme="majorEastAsia" w:cstheme="minorHAnsi"/>
        </w:rPr>
        <w:t xml:space="preserve">financial </w:t>
      </w:r>
      <w:r w:rsidRPr="00282315">
        <w:rPr>
          <w:rFonts w:eastAsiaTheme="majorEastAsia" w:cstheme="minorHAnsi"/>
        </w:rPr>
        <w:t xml:space="preserve">benefit of the FSSP </w:t>
      </w:r>
      <w:r>
        <w:rPr>
          <w:rFonts w:eastAsiaTheme="majorEastAsia" w:cstheme="minorHAnsi"/>
        </w:rPr>
        <w:t>would only be capped by the</w:t>
      </w:r>
      <w:r w:rsidRPr="00282315">
        <w:rPr>
          <w:rFonts w:eastAsiaTheme="majorEastAsia" w:cstheme="minorHAnsi"/>
        </w:rPr>
        <w:t xml:space="preserve"> </w:t>
      </w:r>
      <w:r>
        <w:rPr>
          <w:rFonts w:eastAsiaTheme="majorEastAsia" w:cstheme="minorHAnsi"/>
        </w:rPr>
        <w:t>$2.047</w:t>
      </w:r>
      <w:r w:rsidRPr="00282315">
        <w:rPr>
          <w:rFonts w:eastAsiaTheme="majorEastAsia" w:cstheme="minorHAnsi"/>
        </w:rPr>
        <w:t xml:space="preserve"> billion</w:t>
      </w:r>
      <w:r>
        <w:rPr>
          <w:rFonts w:eastAsiaTheme="majorEastAsia" w:cstheme="minorHAnsi"/>
        </w:rPr>
        <w:t xml:space="preserve"> appropriated to the scheme</w:t>
      </w:r>
      <w:r w:rsidRPr="00282315">
        <w:rPr>
          <w:rFonts w:eastAsiaTheme="majorEastAsia" w:cstheme="minorHAnsi"/>
        </w:rPr>
        <w:t>.</w:t>
      </w:r>
    </w:p>
    <w:sectPr w:rsidR="004D1B44" w:rsidRPr="00AC04A1" w:rsidSect="00033FDE">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FAF" w:rsidRDefault="000D0FAF" w:rsidP="00033FDE">
      <w:pPr>
        <w:spacing w:after="0" w:line="240" w:lineRule="auto"/>
      </w:pPr>
      <w:r>
        <w:separator/>
      </w:r>
    </w:p>
  </w:endnote>
  <w:endnote w:type="continuationSeparator" w:id="0">
    <w:p w:rsidR="000D0FAF" w:rsidRDefault="000D0FAF" w:rsidP="00033FDE">
      <w:pPr>
        <w:spacing w:after="0" w:line="240" w:lineRule="auto"/>
      </w:pPr>
      <w:r>
        <w:continuationSeparator/>
      </w:r>
    </w:p>
  </w:endnote>
  <w:endnote w:type="continuationNotice" w:id="1">
    <w:p w:rsidR="000D0FAF" w:rsidRDefault="000D0F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8232412"/>
      <w:docPartObj>
        <w:docPartGallery w:val="Page Numbers (Bottom of Page)"/>
        <w:docPartUnique/>
      </w:docPartObj>
    </w:sdtPr>
    <w:sdtEndPr>
      <w:rPr>
        <w:noProof/>
      </w:rPr>
    </w:sdtEndPr>
    <w:sdtContent>
      <w:p w:rsidR="005F5A40" w:rsidRDefault="005F5A40">
        <w:pPr>
          <w:pStyle w:val="Footer"/>
          <w:jc w:val="center"/>
        </w:pPr>
        <w:r>
          <w:fldChar w:fldCharType="begin"/>
        </w:r>
        <w:r>
          <w:instrText xml:space="preserve"> PAGE   \* MERGEFORMAT </w:instrText>
        </w:r>
        <w:r>
          <w:fldChar w:fldCharType="separate"/>
        </w:r>
        <w:r w:rsidR="00E51152">
          <w:rPr>
            <w:noProof/>
          </w:rPr>
          <w:t>16</w:t>
        </w:r>
        <w:r>
          <w:rPr>
            <w:noProof/>
          </w:rPr>
          <w:fldChar w:fldCharType="end"/>
        </w:r>
      </w:p>
    </w:sdtContent>
  </w:sdt>
  <w:p w:rsidR="005F5A40" w:rsidRDefault="005F5A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FAF" w:rsidRDefault="000D0FAF" w:rsidP="00033FDE">
      <w:pPr>
        <w:spacing w:after="0" w:line="240" w:lineRule="auto"/>
      </w:pPr>
      <w:r>
        <w:separator/>
      </w:r>
    </w:p>
  </w:footnote>
  <w:footnote w:type="continuationSeparator" w:id="0">
    <w:p w:rsidR="000D0FAF" w:rsidRDefault="000D0FAF" w:rsidP="00033FDE">
      <w:pPr>
        <w:spacing w:after="0" w:line="240" w:lineRule="auto"/>
      </w:pPr>
      <w:r>
        <w:continuationSeparator/>
      </w:r>
    </w:p>
  </w:footnote>
  <w:footnote w:type="continuationNotice" w:id="1">
    <w:p w:rsidR="000D0FAF" w:rsidRDefault="000D0FAF">
      <w:pPr>
        <w:spacing w:after="0" w:line="240" w:lineRule="auto"/>
      </w:pPr>
    </w:p>
  </w:footnote>
  <w:footnote w:id="2">
    <w:p w:rsidR="005F5A40" w:rsidRPr="00160DB9" w:rsidRDefault="005F5A40" w:rsidP="00033FDE">
      <w:pPr>
        <w:pStyle w:val="FootnoteText"/>
        <w:rPr>
          <w:sz w:val="18"/>
          <w:szCs w:val="18"/>
        </w:rPr>
      </w:pPr>
      <w:r w:rsidRPr="00160DB9">
        <w:rPr>
          <w:rStyle w:val="FootnoteReference"/>
          <w:sz w:val="18"/>
          <w:szCs w:val="18"/>
        </w:rPr>
        <w:footnoteRef/>
      </w:r>
      <w:r w:rsidRPr="00160DB9">
        <w:rPr>
          <w:sz w:val="18"/>
          <w:szCs w:val="18"/>
        </w:rPr>
        <w:t xml:space="preserve"> The anticipated costs have been calculated according to the Office of Best Practice Regulation – Regulatory Burden Measurement Framework. The default hourly wage cost of $73.05 has been used. </w:t>
      </w:r>
    </w:p>
  </w:footnote>
  <w:footnote w:id="3">
    <w:p w:rsidR="005F5A40" w:rsidRPr="00160DB9" w:rsidRDefault="005F5A40" w:rsidP="00033FDE">
      <w:pPr>
        <w:pStyle w:val="FootnoteText"/>
        <w:rPr>
          <w:sz w:val="18"/>
          <w:szCs w:val="18"/>
        </w:rPr>
      </w:pPr>
      <w:r w:rsidRPr="00160DB9">
        <w:rPr>
          <w:rStyle w:val="FootnoteReference"/>
          <w:sz w:val="18"/>
          <w:szCs w:val="18"/>
        </w:rPr>
        <w:footnoteRef/>
      </w:r>
      <w:r w:rsidRPr="00160DB9">
        <w:rPr>
          <w:sz w:val="18"/>
          <w:szCs w:val="18"/>
        </w:rPr>
        <w:t xml:space="preserve"> Ibid.</w:t>
      </w:r>
    </w:p>
  </w:footnote>
  <w:footnote w:id="4">
    <w:p w:rsidR="005F5A40" w:rsidRPr="00160DB9" w:rsidRDefault="005F5A40" w:rsidP="00033FDE">
      <w:pPr>
        <w:pStyle w:val="FootnoteText"/>
        <w:rPr>
          <w:sz w:val="18"/>
          <w:szCs w:val="18"/>
        </w:rPr>
      </w:pPr>
      <w:r w:rsidRPr="00160DB9">
        <w:rPr>
          <w:rStyle w:val="FootnoteReference"/>
          <w:sz w:val="18"/>
          <w:szCs w:val="18"/>
        </w:rPr>
        <w:footnoteRef/>
      </w:r>
      <w:r w:rsidRPr="00160DB9">
        <w:rPr>
          <w:sz w:val="18"/>
          <w:szCs w:val="18"/>
        </w:rPr>
        <w:t xml:space="preserve"> Ibid.</w:t>
      </w:r>
    </w:p>
  </w:footnote>
  <w:footnote w:id="5">
    <w:p w:rsidR="005F5A40" w:rsidRDefault="005F5A40" w:rsidP="00033FDE">
      <w:pPr>
        <w:pStyle w:val="FootnoteText"/>
      </w:pPr>
      <w:r w:rsidRPr="00160DB9">
        <w:rPr>
          <w:rStyle w:val="FootnoteReference"/>
          <w:sz w:val="18"/>
          <w:szCs w:val="18"/>
        </w:rPr>
        <w:footnoteRef/>
      </w:r>
      <w:r w:rsidRPr="00160DB9">
        <w:rPr>
          <w:sz w:val="18"/>
          <w:szCs w:val="18"/>
        </w:rPr>
        <w:t xml:space="preserve"> 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A40" w:rsidRDefault="005F5A40">
    <w:pPr>
      <w:pStyle w:val="Header"/>
    </w:pPr>
  </w:p>
  <w:p w:rsidR="005F5A40" w:rsidRDefault="005F5A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A40" w:rsidRDefault="005F5A40">
    <w:pPr>
      <w:pStyle w:val="Header"/>
    </w:pPr>
    <w:r>
      <w:rPr>
        <w:noProof/>
        <w:lang w:eastAsia="en-AU"/>
      </w:rPr>
      <w:drawing>
        <wp:inline distT="0" distB="0" distL="0" distR="0" wp14:anchorId="2C2D8998" wp14:editId="6A0468C1">
          <wp:extent cx="2678430" cy="694055"/>
          <wp:effectExtent l="0" t="0" r="7620" b="0"/>
          <wp:docPr id="1" name="Picture 1" descr="Australian Government | Department of Industry, Science, Energy and Resources logo" title="Australian Government | Department of Industry, Science, Energy and Resources"/>
          <wp:cNvGraphicFramePr/>
          <a:graphic xmlns:a="http://schemas.openxmlformats.org/drawingml/2006/main">
            <a:graphicData uri="http://schemas.openxmlformats.org/drawingml/2006/picture">
              <pic:pic xmlns:pic="http://schemas.openxmlformats.org/drawingml/2006/picture">
                <pic:nvPicPr>
                  <pic:cNvPr id="3" name="Picture 3" descr="Australian Government | Department of Industry, Science, Energy and Resources logo" title="Australian Government | Department of Industry, Science, Energy and Resources"/>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81605" cy="69469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ext>
                  </a:ex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A40" w:rsidRDefault="005F5A40">
    <w:pPr>
      <w:pStyle w:val="Header"/>
    </w:pPr>
    <w:r>
      <w:rPr>
        <w:noProof/>
        <w:lang w:eastAsia="en-AU"/>
      </w:rPr>
      <w:drawing>
        <wp:inline distT="0" distB="0" distL="0" distR="0" wp14:anchorId="5A2601F1" wp14:editId="7F257189">
          <wp:extent cx="2678430" cy="694055"/>
          <wp:effectExtent l="0" t="0" r="7620" b="0"/>
          <wp:docPr id="2" name="Picture 2" descr="Australian Government | Department of Industry, Science, Energy and Resources logo" title="Australian Government | Department of Industry, Science, Energy and Resources"/>
          <wp:cNvGraphicFramePr/>
          <a:graphic xmlns:a="http://schemas.openxmlformats.org/drawingml/2006/main">
            <a:graphicData uri="http://schemas.openxmlformats.org/drawingml/2006/picture">
              <pic:pic xmlns:pic="http://schemas.openxmlformats.org/drawingml/2006/picture">
                <pic:nvPicPr>
                  <pic:cNvPr id="3" name="Picture 3" descr="Australian Government | Department of Industry, Science, Energy and Resources logo" title="Australian Government | Department of Industry, Science, Energy and Resources"/>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81605" cy="69469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05EFA"/>
    <w:multiLevelType w:val="hybridMultilevel"/>
    <w:tmpl w:val="EE98E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3B0CAC"/>
    <w:multiLevelType w:val="hybridMultilevel"/>
    <w:tmpl w:val="C75EF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685E1F"/>
    <w:multiLevelType w:val="hybridMultilevel"/>
    <w:tmpl w:val="CB2E2BCE"/>
    <w:lvl w:ilvl="0" w:tplc="821E204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D06D7B"/>
    <w:multiLevelType w:val="hybridMultilevel"/>
    <w:tmpl w:val="D0C25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FA1EF9"/>
    <w:multiLevelType w:val="hybridMultilevel"/>
    <w:tmpl w:val="F894E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CF45EA"/>
    <w:multiLevelType w:val="hybridMultilevel"/>
    <w:tmpl w:val="0B08A09E"/>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A41C95"/>
    <w:multiLevelType w:val="hybridMultilevel"/>
    <w:tmpl w:val="52F85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F33E5E"/>
    <w:multiLevelType w:val="hybridMultilevel"/>
    <w:tmpl w:val="98125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D73E54"/>
    <w:multiLevelType w:val="hybridMultilevel"/>
    <w:tmpl w:val="D2FA6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304D47"/>
    <w:multiLevelType w:val="hybridMultilevel"/>
    <w:tmpl w:val="CB08A1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436F8F"/>
    <w:multiLevelType w:val="hybridMultilevel"/>
    <w:tmpl w:val="2556A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006D65"/>
    <w:multiLevelType w:val="hybridMultilevel"/>
    <w:tmpl w:val="F03CF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B60A61"/>
    <w:multiLevelType w:val="hybridMultilevel"/>
    <w:tmpl w:val="CED8F16C"/>
    <w:lvl w:ilvl="0" w:tplc="7D56E86E">
      <w:start w:val="1"/>
      <w:numFmt w:val="bullet"/>
      <w:lvlText w:val=""/>
      <w:lvlJc w:val="left"/>
      <w:pPr>
        <w:ind w:left="720" w:hanging="360"/>
      </w:pPr>
      <w:rPr>
        <w:rFonts w:ascii="Symbol" w:hAnsi="Symbol" w:hint="default"/>
      </w:rPr>
    </w:lvl>
    <w:lvl w:ilvl="1" w:tplc="5C768FC2">
      <w:start w:val="1"/>
      <w:numFmt w:val="bullet"/>
      <w:lvlText w:val=""/>
      <w:lvlJc w:val="left"/>
      <w:pPr>
        <w:ind w:left="1440" w:hanging="360"/>
      </w:pPr>
      <w:rPr>
        <w:rFonts w:ascii="Symbol" w:hAnsi="Symbol" w:hint="default"/>
      </w:rPr>
    </w:lvl>
    <w:lvl w:ilvl="2" w:tplc="81C4A8BC">
      <w:start w:val="1"/>
      <w:numFmt w:val="bullet"/>
      <w:lvlText w:val=""/>
      <w:lvlJc w:val="left"/>
      <w:pPr>
        <w:ind w:left="2160" w:hanging="360"/>
      </w:pPr>
      <w:rPr>
        <w:rFonts w:ascii="Wingdings" w:hAnsi="Wingdings" w:hint="default"/>
      </w:rPr>
    </w:lvl>
    <w:lvl w:ilvl="3" w:tplc="C444DA9E">
      <w:start w:val="1"/>
      <w:numFmt w:val="bullet"/>
      <w:lvlText w:val=""/>
      <w:lvlJc w:val="left"/>
      <w:pPr>
        <w:ind w:left="2880" w:hanging="360"/>
      </w:pPr>
      <w:rPr>
        <w:rFonts w:ascii="Symbol" w:hAnsi="Symbol" w:hint="default"/>
      </w:rPr>
    </w:lvl>
    <w:lvl w:ilvl="4" w:tplc="5CB4EE70">
      <w:start w:val="1"/>
      <w:numFmt w:val="bullet"/>
      <w:lvlText w:val="o"/>
      <w:lvlJc w:val="left"/>
      <w:pPr>
        <w:ind w:left="3600" w:hanging="360"/>
      </w:pPr>
      <w:rPr>
        <w:rFonts w:ascii="Courier New" w:hAnsi="Courier New" w:hint="default"/>
      </w:rPr>
    </w:lvl>
    <w:lvl w:ilvl="5" w:tplc="F374486E">
      <w:start w:val="1"/>
      <w:numFmt w:val="bullet"/>
      <w:lvlText w:val=""/>
      <w:lvlJc w:val="left"/>
      <w:pPr>
        <w:ind w:left="4320" w:hanging="360"/>
      </w:pPr>
      <w:rPr>
        <w:rFonts w:ascii="Wingdings" w:hAnsi="Wingdings" w:hint="default"/>
      </w:rPr>
    </w:lvl>
    <w:lvl w:ilvl="6" w:tplc="1836257C">
      <w:start w:val="1"/>
      <w:numFmt w:val="bullet"/>
      <w:lvlText w:val=""/>
      <w:lvlJc w:val="left"/>
      <w:pPr>
        <w:ind w:left="5040" w:hanging="360"/>
      </w:pPr>
      <w:rPr>
        <w:rFonts w:ascii="Symbol" w:hAnsi="Symbol" w:hint="default"/>
      </w:rPr>
    </w:lvl>
    <w:lvl w:ilvl="7" w:tplc="90F45E54">
      <w:start w:val="1"/>
      <w:numFmt w:val="bullet"/>
      <w:lvlText w:val="o"/>
      <w:lvlJc w:val="left"/>
      <w:pPr>
        <w:ind w:left="5760" w:hanging="360"/>
      </w:pPr>
      <w:rPr>
        <w:rFonts w:ascii="Courier New" w:hAnsi="Courier New" w:hint="default"/>
      </w:rPr>
    </w:lvl>
    <w:lvl w:ilvl="8" w:tplc="1E9A3FA4">
      <w:start w:val="1"/>
      <w:numFmt w:val="bullet"/>
      <w:lvlText w:val=""/>
      <w:lvlJc w:val="left"/>
      <w:pPr>
        <w:ind w:left="6480" w:hanging="360"/>
      </w:pPr>
      <w:rPr>
        <w:rFonts w:ascii="Wingdings" w:hAnsi="Wingdings" w:hint="default"/>
      </w:rPr>
    </w:lvl>
  </w:abstractNum>
  <w:abstractNum w:abstractNumId="13" w15:restartNumberingAfterBreak="0">
    <w:nsid w:val="3E3246A8"/>
    <w:multiLevelType w:val="hybridMultilevel"/>
    <w:tmpl w:val="C6181A0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3782562"/>
    <w:multiLevelType w:val="hybridMultilevel"/>
    <w:tmpl w:val="98046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AF15549"/>
    <w:multiLevelType w:val="hybridMultilevel"/>
    <w:tmpl w:val="564C3D54"/>
    <w:lvl w:ilvl="0" w:tplc="7DD82C06">
      <w:start w:val="1"/>
      <w:numFmt w:val="lowerLetter"/>
      <w:lvlText w:val="(%1)"/>
      <w:lvlJc w:val="left"/>
      <w:pPr>
        <w:ind w:left="720" w:hanging="6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6" w15:restartNumberingAfterBreak="0">
    <w:nsid w:val="4B7E59A9"/>
    <w:multiLevelType w:val="hybridMultilevel"/>
    <w:tmpl w:val="CA48AAB8"/>
    <w:lvl w:ilvl="0" w:tplc="E4DC8702">
      <w:start w:val="1"/>
      <w:numFmt w:val="bullet"/>
      <w:lvlText w:val=""/>
      <w:lvlJc w:val="left"/>
      <w:pPr>
        <w:ind w:left="720" w:hanging="360"/>
      </w:pPr>
      <w:rPr>
        <w:rFonts w:ascii="Symbol" w:hAnsi="Symbol" w:hint="default"/>
      </w:rPr>
    </w:lvl>
    <w:lvl w:ilvl="1" w:tplc="0224838A">
      <w:start w:val="1"/>
      <w:numFmt w:val="bullet"/>
      <w:lvlText w:val="o"/>
      <w:lvlJc w:val="left"/>
      <w:pPr>
        <w:ind w:left="1440" w:hanging="360"/>
      </w:pPr>
      <w:rPr>
        <w:rFonts w:ascii="Courier New" w:hAnsi="Courier New" w:hint="default"/>
      </w:rPr>
    </w:lvl>
    <w:lvl w:ilvl="2" w:tplc="C43CDDFE">
      <w:start w:val="1"/>
      <w:numFmt w:val="bullet"/>
      <w:lvlText w:val=""/>
      <w:lvlJc w:val="left"/>
      <w:pPr>
        <w:ind w:left="2160" w:hanging="360"/>
      </w:pPr>
      <w:rPr>
        <w:rFonts w:ascii="Wingdings" w:hAnsi="Wingdings" w:hint="default"/>
      </w:rPr>
    </w:lvl>
    <w:lvl w:ilvl="3" w:tplc="DFFC4204">
      <w:start w:val="1"/>
      <w:numFmt w:val="bullet"/>
      <w:lvlText w:val=""/>
      <w:lvlJc w:val="left"/>
      <w:pPr>
        <w:ind w:left="2880" w:hanging="360"/>
      </w:pPr>
      <w:rPr>
        <w:rFonts w:ascii="Symbol" w:hAnsi="Symbol" w:hint="default"/>
      </w:rPr>
    </w:lvl>
    <w:lvl w:ilvl="4" w:tplc="1E88AAB2">
      <w:start w:val="1"/>
      <w:numFmt w:val="bullet"/>
      <w:lvlText w:val="o"/>
      <w:lvlJc w:val="left"/>
      <w:pPr>
        <w:ind w:left="3600" w:hanging="360"/>
      </w:pPr>
      <w:rPr>
        <w:rFonts w:ascii="Courier New" w:hAnsi="Courier New" w:hint="default"/>
      </w:rPr>
    </w:lvl>
    <w:lvl w:ilvl="5" w:tplc="13A4B754">
      <w:start w:val="1"/>
      <w:numFmt w:val="bullet"/>
      <w:lvlText w:val=""/>
      <w:lvlJc w:val="left"/>
      <w:pPr>
        <w:ind w:left="4320" w:hanging="360"/>
      </w:pPr>
      <w:rPr>
        <w:rFonts w:ascii="Wingdings" w:hAnsi="Wingdings" w:hint="default"/>
      </w:rPr>
    </w:lvl>
    <w:lvl w:ilvl="6" w:tplc="B212F426">
      <w:start w:val="1"/>
      <w:numFmt w:val="bullet"/>
      <w:lvlText w:val=""/>
      <w:lvlJc w:val="left"/>
      <w:pPr>
        <w:ind w:left="5040" w:hanging="360"/>
      </w:pPr>
      <w:rPr>
        <w:rFonts w:ascii="Symbol" w:hAnsi="Symbol" w:hint="default"/>
      </w:rPr>
    </w:lvl>
    <w:lvl w:ilvl="7" w:tplc="D92ABE18">
      <w:start w:val="1"/>
      <w:numFmt w:val="bullet"/>
      <w:lvlText w:val="o"/>
      <w:lvlJc w:val="left"/>
      <w:pPr>
        <w:ind w:left="5760" w:hanging="360"/>
      </w:pPr>
      <w:rPr>
        <w:rFonts w:ascii="Courier New" w:hAnsi="Courier New" w:hint="default"/>
      </w:rPr>
    </w:lvl>
    <w:lvl w:ilvl="8" w:tplc="544EC8C0">
      <w:start w:val="1"/>
      <w:numFmt w:val="bullet"/>
      <w:lvlText w:val=""/>
      <w:lvlJc w:val="left"/>
      <w:pPr>
        <w:ind w:left="6480" w:hanging="360"/>
      </w:pPr>
      <w:rPr>
        <w:rFonts w:ascii="Wingdings" w:hAnsi="Wingdings" w:hint="default"/>
      </w:rPr>
    </w:lvl>
  </w:abstractNum>
  <w:abstractNum w:abstractNumId="17" w15:restartNumberingAfterBreak="0">
    <w:nsid w:val="4BA951FC"/>
    <w:multiLevelType w:val="hybridMultilevel"/>
    <w:tmpl w:val="06B00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A16FDF"/>
    <w:multiLevelType w:val="hybridMultilevel"/>
    <w:tmpl w:val="F926B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501F84"/>
    <w:multiLevelType w:val="hybridMultilevel"/>
    <w:tmpl w:val="A7FAC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5014BA7"/>
    <w:multiLevelType w:val="hybridMultilevel"/>
    <w:tmpl w:val="32D0C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52E10FD"/>
    <w:multiLevelType w:val="hybridMultilevel"/>
    <w:tmpl w:val="A154A084"/>
    <w:lvl w:ilvl="0" w:tplc="A6EACFDA">
      <w:numFmt w:val="bullet"/>
      <w:lvlText w:val=""/>
      <w:lvlJc w:val="left"/>
      <w:pPr>
        <w:ind w:left="720" w:hanging="360"/>
      </w:pPr>
      <w:rPr>
        <w:rFonts w:ascii="Symbol" w:eastAsiaTheme="minorHAnsi" w:hAnsi="Symbol" w:cstheme="minorBidi" w:hint="default"/>
      </w:rPr>
    </w:lvl>
    <w:lvl w:ilvl="1" w:tplc="E36889C0">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68B5E09"/>
    <w:multiLevelType w:val="hybridMultilevel"/>
    <w:tmpl w:val="9B58E6BE"/>
    <w:lvl w:ilvl="0" w:tplc="C80C1C58">
      <w:start w:val="1"/>
      <w:numFmt w:val="bullet"/>
      <w:lvlText w:val=""/>
      <w:lvlJc w:val="left"/>
      <w:pPr>
        <w:ind w:left="720" w:hanging="360"/>
      </w:pPr>
      <w:rPr>
        <w:rFonts w:ascii="Symbol" w:hAnsi="Symbol" w:hint="default"/>
      </w:rPr>
    </w:lvl>
    <w:lvl w:ilvl="1" w:tplc="B0F2E390">
      <w:start w:val="1"/>
      <w:numFmt w:val="bullet"/>
      <w:lvlText w:val=""/>
      <w:lvlJc w:val="left"/>
      <w:pPr>
        <w:ind w:left="1440" w:hanging="360"/>
      </w:pPr>
      <w:rPr>
        <w:rFonts w:ascii="Symbol" w:hAnsi="Symbol" w:hint="default"/>
      </w:rPr>
    </w:lvl>
    <w:lvl w:ilvl="2" w:tplc="D0DE858A">
      <w:start w:val="1"/>
      <w:numFmt w:val="bullet"/>
      <w:lvlText w:val=""/>
      <w:lvlJc w:val="left"/>
      <w:pPr>
        <w:ind w:left="2160" w:hanging="360"/>
      </w:pPr>
      <w:rPr>
        <w:rFonts w:ascii="Wingdings" w:hAnsi="Wingdings" w:hint="default"/>
      </w:rPr>
    </w:lvl>
    <w:lvl w:ilvl="3" w:tplc="81EA9100">
      <w:start w:val="1"/>
      <w:numFmt w:val="bullet"/>
      <w:lvlText w:val=""/>
      <w:lvlJc w:val="left"/>
      <w:pPr>
        <w:ind w:left="2880" w:hanging="360"/>
      </w:pPr>
      <w:rPr>
        <w:rFonts w:ascii="Symbol" w:hAnsi="Symbol" w:hint="default"/>
      </w:rPr>
    </w:lvl>
    <w:lvl w:ilvl="4" w:tplc="3AE249E8">
      <w:start w:val="1"/>
      <w:numFmt w:val="bullet"/>
      <w:lvlText w:val="o"/>
      <w:lvlJc w:val="left"/>
      <w:pPr>
        <w:ind w:left="3600" w:hanging="360"/>
      </w:pPr>
      <w:rPr>
        <w:rFonts w:ascii="Courier New" w:hAnsi="Courier New" w:hint="default"/>
      </w:rPr>
    </w:lvl>
    <w:lvl w:ilvl="5" w:tplc="C484B8FE">
      <w:start w:val="1"/>
      <w:numFmt w:val="bullet"/>
      <w:lvlText w:val=""/>
      <w:lvlJc w:val="left"/>
      <w:pPr>
        <w:ind w:left="4320" w:hanging="360"/>
      </w:pPr>
      <w:rPr>
        <w:rFonts w:ascii="Wingdings" w:hAnsi="Wingdings" w:hint="default"/>
      </w:rPr>
    </w:lvl>
    <w:lvl w:ilvl="6" w:tplc="8774F83A">
      <w:start w:val="1"/>
      <w:numFmt w:val="bullet"/>
      <w:lvlText w:val=""/>
      <w:lvlJc w:val="left"/>
      <w:pPr>
        <w:ind w:left="5040" w:hanging="360"/>
      </w:pPr>
      <w:rPr>
        <w:rFonts w:ascii="Symbol" w:hAnsi="Symbol" w:hint="default"/>
      </w:rPr>
    </w:lvl>
    <w:lvl w:ilvl="7" w:tplc="93EC3F14">
      <w:start w:val="1"/>
      <w:numFmt w:val="bullet"/>
      <w:lvlText w:val="o"/>
      <w:lvlJc w:val="left"/>
      <w:pPr>
        <w:ind w:left="5760" w:hanging="360"/>
      </w:pPr>
      <w:rPr>
        <w:rFonts w:ascii="Courier New" w:hAnsi="Courier New" w:hint="default"/>
      </w:rPr>
    </w:lvl>
    <w:lvl w:ilvl="8" w:tplc="5216ABA0">
      <w:start w:val="1"/>
      <w:numFmt w:val="bullet"/>
      <w:lvlText w:val=""/>
      <w:lvlJc w:val="left"/>
      <w:pPr>
        <w:ind w:left="6480" w:hanging="360"/>
      </w:pPr>
      <w:rPr>
        <w:rFonts w:ascii="Wingdings" w:hAnsi="Wingdings" w:hint="default"/>
      </w:rPr>
    </w:lvl>
  </w:abstractNum>
  <w:abstractNum w:abstractNumId="23" w15:restartNumberingAfterBreak="0">
    <w:nsid w:val="56C7669A"/>
    <w:multiLevelType w:val="hybridMultilevel"/>
    <w:tmpl w:val="D4846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A373612"/>
    <w:multiLevelType w:val="hybridMultilevel"/>
    <w:tmpl w:val="35A2C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A4E1D8F"/>
    <w:multiLevelType w:val="hybridMultilevel"/>
    <w:tmpl w:val="D30E4FE4"/>
    <w:lvl w:ilvl="0" w:tplc="F4BEB66C">
      <w:start w:val="1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CE452E6"/>
    <w:multiLevelType w:val="hybridMultilevel"/>
    <w:tmpl w:val="0788702E"/>
    <w:lvl w:ilvl="0" w:tplc="0C090017">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574696F"/>
    <w:multiLevelType w:val="hybridMultilevel"/>
    <w:tmpl w:val="1FA67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79A5F35"/>
    <w:multiLevelType w:val="multilevel"/>
    <w:tmpl w:val="9B5EDE16"/>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807158E"/>
    <w:multiLevelType w:val="hybridMultilevel"/>
    <w:tmpl w:val="18085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E6D1DAD"/>
    <w:multiLevelType w:val="hybridMultilevel"/>
    <w:tmpl w:val="61E03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373603C"/>
    <w:multiLevelType w:val="hybridMultilevel"/>
    <w:tmpl w:val="68D67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60C0129"/>
    <w:multiLevelType w:val="hybridMultilevel"/>
    <w:tmpl w:val="3C3C5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2E3182"/>
    <w:multiLevelType w:val="hybridMultilevel"/>
    <w:tmpl w:val="EB302368"/>
    <w:lvl w:ilvl="0" w:tplc="C2AE2E7A">
      <w:start w:val="1"/>
      <w:numFmt w:val="bullet"/>
      <w:lvlText w:val=""/>
      <w:lvlJc w:val="left"/>
      <w:pPr>
        <w:ind w:left="720" w:hanging="360"/>
      </w:pPr>
      <w:rPr>
        <w:rFonts w:ascii="Symbol" w:hAnsi="Symbol" w:hint="default"/>
      </w:rPr>
    </w:lvl>
    <w:lvl w:ilvl="1" w:tplc="6BFE4C80">
      <w:start w:val="1"/>
      <w:numFmt w:val="bullet"/>
      <w:lvlText w:val="o"/>
      <w:lvlJc w:val="left"/>
      <w:pPr>
        <w:ind w:left="1440" w:hanging="360"/>
      </w:pPr>
      <w:rPr>
        <w:rFonts w:ascii="Courier New" w:hAnsi="Courier New" w:hint="default"/>
      </w:rPr>
    </w:lvl>
    <w:lvl w:ilvl="2" w:tplc="2546418E">
      <w:start w:val="1"/>
      <w:numFmt w:val="bullet"/>
      <w:lvlText w:val=""/>
      <w:lvlJc w:val="left"/>
      <w:pPr>
        <w:ind w:left="2160" w:hanging="360"/>
      </w:pPr>
      <w:rPr>
        <w:rFonts w:ascii="Wingdings" w:hAnsi="Wingdings" w:hint="default"/>
      </w:rPr>
    </w:lvl>
    <w:lvl w:ilvl="3" w:tplc="4BA09A84">
      <w:start w:val="1"/>
      <w:numFmt w:val="bullet"/>
      <w:lvlText w:val=""/>
      <w:lvlJc w:val="left"/>
      <w:pPr>
        <w:ind w:left="2880" w:hanging="360"/>
      </w:pPr>
      <w:rPr>
        <w:rFonts w:ascii="Symbol" w:hAnsi="Symbol" w:hint="default"/>
      </w:rPr>
    </w:lvl>
    <w:lvl w:ilvl="4" w:tplc="50483CFE">
      <w:start w:val="1"/>
      <w:numFmt w:val="bullet"/>
      <w:lvlText w:val="o"/>
      <w:lvlJc w:val="left"/>
      <w:pPr>
        <w:ind w:left="3600" w:hanging="360"/>
      </w:pPr>
      <w:rPr>
        <w:rFonts w:ascii="Courier New" w:hAnsi="Courier New" w:hint="default"/>
      </w:rPr>
    </w:lvl>
    <w:lvl w:ilvl="5" w:tplc="3A7026D6">
      <w:start w:val="1"/>
      <w:numFmt w:val="bullet"/>
      <w:lvlText w:val=""/>
      <w:lvlJc w:val="left"/>
      <w:pPr>
        <w:ind w:left="4320" w:hanging="360"/>
      </w:pPr>
      <w:rPr>
        <w:rFonts w:ascii="Wingdings" w:hAnsi="Wingdings" w:hint="default"/>
      </w:rPr>
    </w:lvl>
    <w:lvl w:ilvl="6" w:tplc="5FB62ABE">
      <w:start w:val="1"/>
      <w:numFmt w:val="bullet"/>
      <w:lvlText w:val=""/>
      <w:lvlJc w:val="left"/>
      <w:pPr>
        <w:ind w:left="5040" w:hanging="360"/>
      </w:pPr>
      <w:rPr>
        <w:rFonts w:ascii="Symbol" w:hAnsi="Symbol" w:hint="default"/>
      </w:rPr>
    </w:lvl>
    <w:lvl w:ilvl="7" w:tplc="322E7EB0">
      <w:start w:val="1"/>
      <w:numFmt w:val="bullet"/>
      <w:lvlText w:val="o"/>
      <w:lvlJc w:val="left"/>
      <w:pPr>
        <w:ind w:left="5760" w:hanging="360"/>
      </w:pPr>
      <w:rPr>
        <w:rFonts w:ascii="Courier New" w:hAnsi="Courier New" w:hint="default"/>
      </w:rPr>
    </w:lvl>
    <w:lvl w:ilvl="8" w:tplc="B7EEBB40">
      <w:start w:val="1"/>
      <w:numFmt w:val="bullet"/>
      <w:lvlText w:val=""/>
      <w:lvlJc w:val="left"/>
      <w:pPr>
        <w:ind w:left="6480" w:hanging="360"/>
      </w:pPr>
      <w:rPr>
        <w:rFonts w:ascii="Wingdings" w:hAnsi="Wingdings" w:hint="default"/>
      </w:rPr>
    </w:lvl>
  </w:abstractNum>
  <w:abstractNum w:abstractNumId="34" w15:restartNumberingAfterBreak="0">
    <w:nsid w:val="7B9A274D"/>
    <w:multiLevelType w:val="hybridMultilevel"/>
    <w:tmpl w:val="BB94D67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D7A0B5A"/>
    <w:multiLevelType w:val="hybridMultilevel"/>
    <w:tmpl w:val="6472D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16"/>
  </w:num>
  <w:num w:numId="3">
    <w:abstractNumId w:val="11"/>
  </w:num>
  <w:num w:numId="4">
    <w:abstractNumId w:val="14"/>
  </w:num>
  <w:num w:numId="5">
    <w:abstractNumId w:val="23"/>
  </w:num>
  <w:num w:numId="6">
    <w:abstractNumId w:val="29"/>
  </w:num>
  <w:num w:numId="7">
    <w:abstractNumId w:val="27"/>
  </w:num>
  <w:num w:numId="8">
    <w:abstractNumId w:val="8"/>
  </w:num>
  <w:num w:numId="9">
    <w:abstractNumId w:val="0"/>
  </w:num>
  <w:num w:numId="10">
    <w:abstractNumId w:val="34"/>
  </w:num>
  <w:num w:numId="11">
    <w:abstractNumId w:val="5"/>
  </w:num>
  <w:num w:numId="12">
    <w:abstractNumId w:val="28"/>
  </w:num>
  <w:num w:numId="13">
    <w:abstractNumId w:val="7"/>
  </w:num>
  <w:num w:numId="14">
    <w:abstractNumId w:val="24"/>
  </w:num>
  <w:num w:numId="15">
    <w:abstractNumId w:val="13"/>
  </w:num>
  <w:num w:numId="16">
    <w:abstractNumId w:val="30"/>
  </w:num>
  <w:num w:numId="17">
    <w:abstractNumId w:val="4"/>
  </w:num>
  <w:num w:numId="18">
    <w:abstractNumId w:val="19"/>
  </w:num>
  <w:num w:numId="19">
    <w:abstractNumId w:val="31"/>
  </w:num>
  <w:num w:numId="20">
    <w:abstractNumId w:val="3"/>
  </w:num>
  <w:num w:numId="21">
    <w:abstractNumId w:val="6"/>
  </w:num>
  <w:num w:numId="22">
    <w:abstractNumId w:val="15"/>
  </w:num>
  <w:num w:numId="23">
    <w:abstractNumId w:val="2"/>
  </w:num>
  <w:num w:numId="24">
    <w:abstractNumId w:val="26"/>
  </w:num>
  <w:num w:numId="25">
    <w:abstractNumId w:val="32"/>
  </w:num>
  <w:num w:numId="26">
    <w:abstractNumId w:val="9"/>
  </w:num>
  <w:num w:numId="27">
    <w:abstractNumId w:val="35"/>
  </w:num>
  <w:num w:numId="28">
    <w:abstractNumId w:val="17"/>
  </w:num>
  <w:num w:numId="29">
    <w:abstractNumId w:val="12"/>
  </w:num>
  <w:num w:numId="30">
    <w:abstractNumId w:val="33"/>
  </w:num>
  <w:num w:numId="31">
    <w:abstractNumId w:val="10"/>
  </w:num>
  <w:num w:numId="32">
    <w:abstractNumId w:val="20"/>
  </w:num>
  <w:num w:numId="33">
    <w:abstractNumId w:val="18"/>
  </w:num>
  <w:num w:numId="34">
    <w:abstractNumId w:val="1"/>
  </w:num>
  <w:num w:numId="35">
    <w:abstractNumId w:val="21"/>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1C3"/>
    <w:rsid w:val="00033FDE"/>
    <w:rsid w:val="00051B28"/>
    <w:rsid w:val="0005660A"/>
    <w:rsid w:val="0006026B"/>
    <w:rsid w:val="000611C3"/>
    <w:rsid w:val="000A1339"/>
    <w:rsid w:val="000C39A8"/>
    <w:rsid w:val="000D0FAF"/>
    <w:rsid w:val="0010273B"/>
    <w:rsid w:val="00131E6F"/>
    <w:rsid w:val="00151768"/>
    <w:rsid w:val="001614E2"/>
    <w:rsid w:val="001806EB"/>
    <w:rsid w:val="00182C4B"/>
    <w:rsid w:val="001D4D37"/>
    <w:rsid w:val="001E1662"/>
    <w:rsid w:val="0021090C"/>
    <w:rsid w:val="002317BA"/>
    <w:rsid w:val="00244A16"/>
    <w:rsid w:val="00245508"/>
    <w:rsid w:val="00273956"/>
    <w:rsid w:val="00286CC6"/>
    <w:rsid w:val="002D6C18"/>
    <w:rsid w:val="00326EFA"/>
    <w:rsid w:val="00341AEB"/>
    <w:rsid w:val="003610BF"/>
    <w:rsid w:val="00361CEF"/>
    <w:rsid w:val="00366DEE"/>
    <w:rsid w:val="0037380B"/>
    <w:rsid w:val="003805D6"/>
    <w:rsid w:val="00383373"/>
    <w:rsid w:val="003A0110"/>
    <w:rsid w:val="003A0BBE"/>
    <w:rsid w:val="003E717C"/>
    <w:rsid w:val="00406009"/>
    <w:rsid w:val="00411A74"/>
    <w:rsid w:val="004135F1"/>
    <w:rsid w:val="0044141B"/>
    <w:rsid w:val="00447560"/>
    <w:rsid w:val="004533A7"/>
    <w:rsid w:val="004827E8"/>
    <w:rsid w:val="004B2897"/>
    <w:rsid w:val="004D14C4"/>
    <w:rsid w:val="004D1B44"/>
    <w:rsid w:val="004F440F"/>
    <w:rsid w:val="00542C02"/>
    <w:rsid w:val="0055715F"/>
    <w:rsid w:val="00571C38"/>
    <w:rsid w:val="005A524B"/>
    <w:rsid w:val="005F3488"/>
    <w:rsid w:val="005F5A40"/>
    <w:rsid w:val="00611932"/>
    <w:rsid w:val="006152D8"/>
    <w:rsid w:val="0063572C"/>
    <w:rsid w:val="006401F2"/>
    <w:rsid w:val="006423C1"/>
    <w:rsid w:val="006A3CD9"/>
    <w:rsid w:val="006B26FD"/>
    <w:rsid w:val="006B478A"/>
    <w:rsid w:val="006E06B0"/>
    <w:rsid w:val="007241C8"/>
    <w:rsid w:val="00726392"/>
    <w:rsid w:val="00735A45"/>
    <w:rsid w:val="00737189"/>
    <w:rsid w:val="00760FB1"/>
    <w:rsid w:val="00776F31"/>
    <w:rsid w:val="00791267"/>
    <w:rsid w:val="007D27D0"/>
    <w:rsid w:val="007D6540"/>
    <w:rsid w:val="007E233E"/>
    <w:rsid w:val="008577C4"/>
    <w:rsid w:val="00867586"/>
    <w:rsid w:val="00877773"/>
    <w:rsid w:val="00883F01"/>
    <w:rsid w:val="008D4E05"/>
    <w:rsid w:val="008F6027"/>
    <w:rsid w:val="009010FE"/>
    <w:rsid w:val="00907B76"/>
    <w:rsid w:val="00924BCE"/>
    <w:rsid w:val="0093669B"/>
    <w:rsid w:val="009577BC"/>
    <w:rsid w:val="00957F0E"/>
    <w:rsid w:val="009673B8"/>
    <w:rsid w:val="00980F77"/>
    <w:rsid w:val="009B2BB2"/>
    <w:rsid w:val="009D61A6"/>
    <w:rsid w:val="009F7B1D"/>
    <w:rsid w:val="00A1056A"/>
    <w:rsid w:val="00A36C28"/>
    <w:rsid w:val="00A3792F"/>
    <w:rsid w:val="00A45821"/>
    <w:rsid w:val="00A55EEE"/>
    <w:rsid w:val="00A70350"/>
    <w:rsid w:val="00A72BD7"/>
    <w:rsid w:val="00AA23AF"/>
    <w:rsid w:val="00AC04A1"/>
    <w:rsid w:val="00AC7439"/>
    <w:rsid w:val="00B00F7F"/>
    <w:rsid w:val="00B37519"/>
    <w:rsid w:val="00B844C8"/>
    <w:rsid w:val="00B95C1F"/>
    <w:rsid w:val="00B979DE"/>
    <w:rsid w:val="00BA4289"/>
    <w:rsid w:val="00BC0018"/>
    <w:rsid w:val="00C0337F"/>
    <w:rsid w:val="00C1209B"/>
    <w:rsid w:val="00C1703F"/>
    <w:rsid w:val="00C453BD"/>
    <w:rsid w:val="00C60D24"/>
    <w:rsid w:val="00C769F8"/>
    <w:rsid w:val="00CC1444"/>
    <w:rsid w:val="00CC38AC"/>
    <w:rsid w:val="00CE449B"/>
    <w:rsid w:val="00CF0FC6"/>
    <w:rsid w:val="00CF6BFE"/>
    <w:rsid w:val="00D03B97"/>
    <w:rsid w:val="00D07C09"/>
    <w:rsid w:val="00D643CC"/>
    <w:rsid w:val="00D67DA2"/>
    <w:rsid w:val="00D67FF3"/>
    <w:rsid w:val="00DB7136"/>
    <w:rsid w:val="00DD1E68"/>
    <w:rsid w:val="00DD4940"/>
    <w:rsid w:val="00DE2716"/>
    <w:rsid w:val="00DF3626"/>
    <w:rsid w:val="00DF7926"/>
    <w:rsid w:val="00E00DEB"/>
    <w:rsid w:val="00E03E1B"/>
    <w:rsid w:val="00E216CA"/>
    <w:rsid w:val="00E51152"/>
    <w:rsid w:val="00E52BCA"/>
    <w:rsid w:val="00E80902"/>
    <w:rsid w:val="00EB7327"/>
    <w:rsid w:val="00EF4A81"/>
    <w:rsid w:val="00F11C46"/>
    <w:rsid w:val="00FB168A"/>
    <w:rsid w:val="00FB1D38"/>
    <w:rsid w:val="00FC0D9A"/>
    <w:rsid w:val="00FD385B"/>
    <w:rsid w:val="00FE0374"/>
    <w:rsid w:val="010262BF"/>
    <w:rsid w:val="0315B737"/>
    <w:rsid w:val="05A6DE22"/>
    <w:rsid w:val="4523AE5C"/>
    <w:rsid w:val="6C21EC60"/>
    <w:rsid w:val="7A37929F"/>
    <w:rsid w:val="7D6A71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F9C42"/>
  <w15:chartTrackingRefBased/>
  <w15:docId w15:val="{F780EBFA-1087-4D21-AC42-8F884992D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8577C4"/>
    <w:pPr>
      <w:keepNext/>
      <w:keepLines/>
      <w:spacing w:before="40" w:after="0" w:line="276" w:lineRule="auto"/>
      <w:outlineLvl w:val="2"/>
    </w:pPr>
    <w:rPr>
      <w:rFonts w:ascii="Times New Roman" w:eastAsiaTheme="majorEastAsia" w:hAnsi="Times New Roman" w:cstheme="majorBidi"/>
      <w:b/>
      <w:sz w:val="24"/>
      <w:szCs w:val="24"/>
      <w:u w:val="single"/>
    </w:rPr>
  </w:style>
  <w:style w:type="paragraph" w:styleId="Heading4">
    <w:name w:val="heading 4"/>
    <w:basedOn w:val="Normal"/>
    <w:next w:val="Normal"/>
    <w:link w:val="Heading4Char"/>
    <w:uiPriority w:val="9"/>
    <w:semiHidden/>
    <w:unhideWhenUsed/>
    <w:qFormat/>
    <w:rsid w:val="00033FD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033FDE"/>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611C3"/>
  </w:style>
  <w:style w:type="paragraph" w:styleId="ListParagraph">
    <w:name w:val="List Paragraph"/>
    <w:basedOn w:val="Normal"/>
    <w:uiPriority w:val="34"/>
    <w:qFormat/>
    <w:rsid w:val="000611C3"/>
    <w:pPr>
      <w:spacing w:after="200" w:line="276" w:lineRule="auto"/>
      <w:ind w:left="720"/>
      <w:contextualSpacing/>
    </w:pPr>
  </w:style>
  <w:style w:type="paragraph" w:styleId="FootnoteText">
    <w:name w:val="footnote text"/>
    <w:basedOn w:val="Normal"/>
    <w:link w:val="FootnoteTextChar"/>
    <w:uiPriority w:val="99"/>
    <w:semiHidden/>
    <w:unhideWhenUsed/>
    <w:rsid w:val="000611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11C3"/>
    <w:rPr>
      <w:sz w:val="20"/>
      <w:szCs w:val="20"/>
    </w:rPr>
  </w:style>
  <w:style w:type="character" w:styleId="FootnoteReference">
    <w:name w:val="footnote reference"/>
    <w:basedOn w:val="DefaultParagraphFont"/>
    <w:uiPriority w:val="99"/>
    <w:semiHidden/>
    <w:unhideWhenUsed/>
    <w:rsid w:val="000611C3"/>
    <w:rPr>
      <w:vertAlign w:val="superscript"/>
    </w:rPr>
  </w:style>
  <w:style w:type="character" w:styleId="CommentReference">
    <w:name w:val="annotation reference"/>
    <w:basedOn w:val="DefaultParagraphFont"/>
    <w:uiPriority w:val="99"/>
    <w:semiHidden/>
    <w:unhideWhenUsed/>
    <w:rsid w:val="000611C3"/>
    <w:rPr>
      <w:sz w:val="16"/>
      <w:szCs w:val="16"/>
    </w:rPr>
  </w:style>
  <w:style w:type="paragraph" w:styleId="CommentText">
    <w:name w:val="annotation text"/>
    <w:basedOn w:val="Normal"/>
    <w:link w:val="CommentTextChar"/>
    <w:uiPriority w:val="99"/>
    <w:unhideWhenUsed/>
    <w:rsid w:val="000611C3"/>
    <w:pPr>
      <w:spacing w:after="200" w:line="240" w:lineRule="auto"/>
    </w:pPr>
    <w:rPr>
      <w:sz w:val="20"/>
      <w:szCs w:val="20"/>
    </w:rPr>
  </w:style>
  <w:style w:type="character" w:customStyle="1" w:styleId="CommentTextChar">
    <w:name w:val="Comment Text Char"/>
    <w:basedOn w:val="DefaultParagraphFont"/>
    <w:link w:val="CommentText"/>
    <w:uiPriority w:val="99"/>
    <w:rsid w:val="000611C3"/>
    <w:rPr>
      <w:sz w:val="20"/>
      <w:szCs w:val="20"/>
    </w:rPr>
  </w:style>
  <w:style w:type="paragraph" w:styleId="CommentSubject">
    <w:name w:val="annotation subject"/>
    <w:basedOn w:val="CommentText"/>
    <w:next w:val="CommentText"/>
    <w:link w:val="CommentSubjectChar"/>
    <w:uiPriority w:val="99"/>
    <w:semiHidden/>
    <w:unhideWhenUsed/>
    <w:rsid w:val="000611C3"/>
    <w:rPr>
      <w:b/>
      <w:bCs/>
    </w:rPr>
  </w:style>
  <w:style w:type="character" w:customStyle="1" w:styleId="CommentSubjectChar">
    <w:name w:val="Comment Subject Char"/>
    <w:basedOn w:val="CommentTextChar"/>
    <w:link w:val="CommentSubject"/>
    <w:uiPriority w:val="99"/>
    <w:semiHidden/>
    <w:rsid w:val="000611C3"/>
    <w:rPr>
      <w:b/>
      <w:bCs/>
      <w:sz w:val="20"/>
      <w:szCs w:val="20"/>
    </w:rPr>
  </w:style>
  <w:style w:type="paragraph" w:styleId="BalloonText">
    <w:name w:val="Balloon Text"/>
    <w:basedOn w:val="Normal"/>
    <w:link w:val="BalloonTextChar"/>
    <w:uiPriority w:val="99"/>
    <w:semiHidden/>
    <w:unhideWhenUsed/>
    <w:rsid w:val="000611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1C3"/>
    <w:rPr>
      <w:rFonts w:ascii="Segoe UI" w:hAnsi="Segoe UI" w:cs="Segoe UI"/>
      <w:sz w:val="18"/>
      <w:szCs w:val="18"/>
    </w:rPr>
  </w:style>
  <w:style w:type="character" w:customStyle="1" w:styleId="Heading3Char">
    <w:name w:val="Heading 3 Char"/>
    <w:basedOn w:val="DefaultParagraphFont"/>
    <w:link w:val="Heading3"/>
    <w:uiPriority w:val="9"/>
    <w:rsid w:val="008577C4"/>
    <w:rPr>
      <w:rFonts w:ascii="Times New Roman" w:eastAsiaTheme="majorEastAsia" w:hAnsi="Times New Roman" w:cstheme="majorBidi"/>
      <w:b/>
      <w:sz w:val="24"/>
      <w:szCs w:val="24"/>
      <w:u w:val="single"/>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2109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rsid w:val="0021090C"/>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27395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4Char">
    <w:name w:val="Heading 4 Char"/>
    <w:basedOn w:val="DefaultParagraphFont"/>
    <w:link w:val="Heading4"/>
    <w:uiPriority w:val="9"/>
    <w:semiHidden/>
    <w:rsid w:val="00033FDE"/>
    <w:rPr>
      <w:rFonts w:asciiTheme="majorHAnsi" w:eastAsiaTheme="majorEastAsia" w:hAnsiTheme="majorHAnsi" w:cstheme="majorBidi"/>
      <w:i/>
      <w:iCs/>
      <w:color w:val="2E74B5" w:themeColor="accent1" w:themeShade="BF"/>
    </w:rPr>
  </w:style>
  <w:style w:type="character" w:customStyle="1" w:styleId="Heading6Char">
    <w:name w:val="Heading 6 Char"/>
    <w:basedOn w:val="DefaultParagraphFont"/>
    <w:link w:val="Heading6"/>
    <w:uiPriority w:val="9"/>
    <w:semiHidden/>
    <w:rsid w:val="00033FDE"/>
    <w:rPr>
      <w:rFonts w:asciiTheme="majorHAnsi" w:eastAsiaTheme="majorEastAsia" w:hAnsiTheme="majorHAnsi" w:cstheme="majorBidi"/>
      <w:color w:val="1F4D78" w:themeColor="accent1" w:themeShade="7F"/>
    </w:rPr>
  </w:style>
  <w:style w:type="paragraph" w:styleId="Title">
    <w:name w:val="Title"/>
    <w:basedOn w:val="Normal"/>
    <w:next w:val="Normal"/>
    <w:link w:val="TitleChar"/>
    <w:uiPriority w:val="10"/>
    <w:qFormat/>
    <w:rsid w:val="00FC0D9A"/>
    <w:pPr>
      <w:pBdr>
        <w:bottom w:val="single" w:sz="8" w:space="1" w:color="44546A" w:themeColor="text2"/>
      </w:pBdr>
      <w:spacing w:before="360" w:after="120" w:line="240" w:lineRule="auto"/>
      <w:contextualSpacing/>
      <w:outlineLvl w:val="0"/>
    </w:pPr>
    <w:rPr>
      <w:rFonts w:ascii="Calibri" w:eastAsiaTheme="majorEastAsia" w:hAnsi="Calibri" w:cstheme="majorBidi"/>
      <w:color w:val="44546A" w:themeColor="text2"/>
      <w:spacing w:val="-10"/>
      <w:kern w:val="28"/>
      <w:sz w:val="36"/>
      <w:szCs w:val="72"/>
    </w:rPr>
  </w:style>
  <w:style w:type="character" w:customStyle="1" w:styleId="TitleChar">
    <w:name w:val="Title Char"/>
    <w:basedOn w:val="DefaultParagraphFont"/>
    <w:link w:val="Title"/>
    <w:uiPriority w:val="10"/>
    <w:rsid w:val="00FC0D9A"/>
    <w:rPr>
      <w:rFonts w:ascii="Calibri" w:eastAsiaTheme="majorEastAsia" w:hAnsi="Calibri" w:cstheme="majorBidi"/>
      <w:color w:val="44546A" w:themeColor="text2"/>
      <w:spacing w:val="-10"/>
      <w:kern w:val="28"/>
      <w:sz w:val="36"/>
      <w:szCs w:val="72"/>
    </w:rPr>
  </w:style>
  <w:style w:type="paragraph" w:styleId="Header">
    <w:name w:val="header"/>
    <w:basedOn w:val="Normal"/>
    <w:link w:val="HeaderChar"/>
    <w:uiPriority w:val="99"/>
    <w:unhideWhenUsed/>
    <w:rsid w:val="00033F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3FDE"/>
  </w:style>
  <w:style w:type="paragraph" w:styleId="Footer">
    <w:name w:val="footer"/>
    <w:basedOn w:val="Normal"/>
    <w:link w:val="FooterChar"/>
    <w:uiPriority w:val="99"/>
    <w:unhideWhenUsed/>
    <w:rsid w:val="00033F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3FDE"/>
  </w:style>
  <w:style w:type="character" w:styleId="FollowedHyperlink">
    <w:name w:val="FollowedHyperlink"/>
    <w:basedOn w:val="DefaultParagraphFont"/>
    <w:uiPriority w:val="99"/>
    <w:semiHidden/>
    <w:unhideWhenUsed/>
    <w:rsid w:val="004D14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649720">
      <w:bodyDiv w:val="1"/>
      <w:marLeft w:val="0"/>
      <w:marRight w:val="0"/>
      <w:marTop w:val="0"/>
      <w:marBottom w:val="0"/>
      <w:divBdr>
        <w:top w:val="none" w:sz="0" w:space="0" w:color="auto"/>
        <w:left w:val="none" w:sz="0" w:space="0" w:color="auto"/>
        <w:bottom w:val="none" w:sz="0" w:space="0" w:color="auto"/>
        <w:right w:val="none" w:sz="0" w:space="0" w:color="auto"/>
      </w:divBdr>
    </w:div>
    <w:div w:id="172617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aph.gov.au/Parliamentary_Business/Committees/Joint/Human_Rights/Guidance_Notes_and_Resourc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legislation.gov.au"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6D55852D93604AA440876A3B15BB43" ma:contentTypeVersion="16" ma:contentTypeDescription="Create a new document." ma:contentTypeScope="" ma:versionID="f6a6876770fe920a439d29499c8ba147">
  <xsd:schema xmlns:xsd="http://www.w3.org/2001/XMLSchema" xmlns:xs="http://www.w3.org/2001/XMLSchema" xmlns:p="http://schemas.microsoft.com/office/2006/metadata/properties" xmlns:ns1="http://schemas.microsoft.com/sharepoint/v3" xmlns:ns2="a36bd50b-1532-4c22-b385-5c082c960938" xmlns:ns3="d92934b5-032c-4da3-958e-788fdb9771c1" xmlns:ns4="http://schemas.microsoft.com/sharepoint/v4" targetNamespace="http://schemas.microsoft.com/office/2006/metadata/properties" ma:root="true" ma:fieldsID="f7f97242c02b47becc1a631b8c169106" ns1:_="" ns2:_="" ns3:_="" ns4:_="">
    <xsd:import namespace="http://schemas.microsoft.com/sharepoint/v3"/>
    <xsd:import namespace="a36bd50b-1532-4c22-b385-5c082c960938"/>
    <xsd:import namespace="d92934b5-032c-4da3-958e-788fdb9771c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3:b35197c3e83b4648a7123a57f421e83e"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02e8ca0a-ece4-4eeb-9587-75e521e14479}" ma:internalName="TaxCatchAll" ma:showField="CatchAllData" ma:web="d92934b5-032c-4da3-958e-788fdb9771c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67a04eba-df4a-46cb-bbde-98e4bc5c05e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92934b5-032c-4da3-958e-788fdb9771c1"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35197c3e83b4648a7123a57f421e83e" ma:index="25" nillable="true" ma:taxonomy="true" ma:internalName="b35197c3e83b4648a7123a57f421e83e" ma:taxonomyFieldName="DocHub_FuelSecurityLegislationWorkTopics" ma:displayName="Fuel Security Legislation Work Topics" ma:indexed="true" ma:default="" ma:fieldId="{b35197c3-e83b-4648-a712-3a57f421e83e}" ma:sspId="fb0313f7-9433-48c0-866e-9e0bbee59a50" ma:termSetId="5bde1f9d-e10a-4f76-8f32-2bd6d1adfb6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db9bed2e36e4a93af574aeb444da63e xmlns="a36bd50b-1532-4c22-b385-5c082c960938">
      <Terms xmlns="http://schemas.microsoft.com/office/infopath/2007/PartnerControls">
        <TermInfo xmlns="http://schemas.microsoft.com/office/infopath/2007/PartnerControls">
          <TermName>fuel security</TermName>
          <TermId>0a7984c9-f524-4d69-8ac1-ba716119f7a3</TermId>
        </TermInfo>
        <TermInfo xmlns="http://schemas.microsoft.com/office/infopath/2007/PartnerControls">
          <TermName>Legislative Instrument</TermName>
          <TermId>8cf09df3-777b-4dbc-bcae-cb8602505de5</TermId>
        </TermInfo>
      </Terms>
    </adb9bed2e36e4a93af574aeb444da63e>
    <n99e4c9942c6404eb103464a00e6097b xmlns="a36bd50b-1532-4c22-b385-5c082c960938">
      <Terms xmlns="http://schemas.microsoft.com/office/infopath/2007/PartnerControls">
        <TermInfo xmlns="http://schemas.microsoft.com/office/infopath/2007/PartnerControls">
          <TermName>2021</TermName>
          <TermId>712d5b50-1b62-44de-9d3e-74234783b265</TermId>
        </TermInfo>
      </Terms>
    </n99e4c9942c6404eb103464a00e6097b>
    <b35197c3e83b4648a7123a57f421e83e xmlns="d92934b5-032c-4da3-958e-788fdb9771c1">
      <Terms xmlns="http://schemas.microsoft.com/office/infopath/2007/PartnerControls">
        <TermInfo xmlns="http://schemas.microsoft.com/office/infopath/2007/PartnerControls">
          <TermName>Drafting Instructions</TermName>
          <TermId>def35bca-22a5-4329-be86-7fa7841fc24c</TermId>
        </TermInfo>
      </Terms>
    </b35197c3e83b4648a7123a57f421e83e>
    <IconOverlay xmlns="http://schemas.microsoft.com/sharepoint/v4" xsi:nil="true"/>
    <pe2555c81638466f9eb614edb9ecde52 xmlns="a36bd50b-1532-4c22-b385-5c082c960938">
      <Terms xmlns="http://schemas.microsoft.com/office/infopath/2007/PartnerControls">
        <TermInfo xmlns="http://schemas.microsoft.com/office/infopath/2007/PartnerControls">
          <TermName>Legislative Instrument</TermName>
          <TermId>edbe159b-95f5-40e7-bf23-9dfb62f2e7f0</TermId>
        </TermInfo>
      </Terms>
    </pe2555c81638466f9eb614edb9ecde52>
    <aa25a1a23adf4c92a153145de6afe324 xmlns="a36bd50b-1532-4c22-b385-5c082c960938">
      <Terms xmlns="http://schemas.microsoft.com/office/infopath/2007/PartnerControls">
        <TermInfo xmlns="http://schemas.microsoft.com/office/infopath/2007/PartnerControls">
          <TermName>Legislative secrecy</TermName>
          <TermId>7696ab49-fa39-45c8-8833-1b0d93fa11aa</TermId>
        </TermInfo>
      </Terms>
    </aa25a1a23adf4c92a153145de6afe324>
    <g7bcb40ba23249a78edca7d43a67c1c9 xmlns="a36bd50b-1532-4c22-b385-5c082c960938">
      <Terms xmlns="http://schemas.microsoft.com/office/infopath/2007/PartnerControls">
        <TermInfo xmlns="http://schemas.microsoft.com/office/infopath/2007/PartnerControls">
          <TermName>Legislation and Regulation</TermName>
          <TermId>6cbc66f5-f4a2-4565-a58b-d5f2d2ac9bd0</TermId>
        </TermInfo>
      </Terms>
    </g7bcb40ba23249a78edca7d43a67c1c9>
    <TaxCatchAll xmlns="a36bd50b-1532-4c22-b385-5c082c960938">
      <Value>491</Value>
      <Value>1741</Value>
      <Value>2523</Value>
      <Value>329</Value>
      <Value>2215</Value>
      <Value>275</Value>
      <Value>155</Value>
    </TaxCatchAll>
    <Comment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09537-2ED1-489E-9831-7B6F5AEB1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d92934b5-032c-4da3-958e-788fdb9771c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8DFEFC-07AD-4DF9-AF16-E383BF79165C}">
  <ds:schemaRefs>
    <ds:schemaRef ds:uri="http://schemas.microsoft.com/office/2006/metadata/properties"/>
    <ds:schemaRef ds:uri="http://schemas.microsoft.com/office/infopath/2007/PartnerControls"/>
    <ds:schemaRef ds:uri="a36bd50b-1532-4c22-b385-5c082c960938"/>
    <ds:schemaRef ds:uri="d92934b5-032c-4da3-958e-788fdb9771c1"/>
    <ds:schemaRef ds:uri="http://schemas.microsoft.com/sharepoint/v4"/>
    <ds:schemaRef ds:uri="http://schemas.microsoft.com/sharepoint/v3"/>
  </ds:schemaRefs>
</ds:datastoreItem>
</file>

<file path=customXml/itemProps3.xml><?xml version="1.0" encoding="utf-8"?>
<ds:datastoreItem xmlns:ds="http://schemas.openxmlformats.org/officeDocument/2006/customXml" ds:itemID="{25F9BFC3-3754-4B37-B5F5-4D2CC5D52133}">
  <ds:schemaRefs>
    <ds:schemaRef ds:uri="http://schemas.microsoft.com/sharepoint/v3/contenttype/forms"/>
  </ds:schemaRefs>
</ds:datastoreItem>
</file>

<file path=customXml/itemProps4.xml><?xml version="1.0" encoding="utf-8"?>
<ds:datastoreItem xmlns:ds="http://schemas.openxmlformats.org/officeDocument/2006/customXml" ds:itemID="{99294239-93E9-480D-93D3-10EC631B68F2}">
  <ds:schemaRefs>
    <ds:schemaRef ds:uri="http://schemas.microsoft.com/sharepoint/events"/>
  </ds:schemaRefs>
</ds:datastoreItem>
</file>

<file path=customXml/itemProps5.xml><?xml version="1.0" encoding="utf-8"?>
<ds:datastoreItem xmlns:ds="http://schemas.openxmlformats.org/officeDocument/2006/customXml" ds:itemID="{8E94CFCF-8E87-437C-8A2A-1C673B382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1169</TotalTime>
  <Pages>1</Pages>
  <Words>4906</Words>
  <Characters>27970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32811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Sarah</dc:creator>
  <cp:keywords/>
  <dc:description/>
  <cp:lastModifiedBy>Cano, Cris</cp:lastModifiedBy>
  <cp:revision>72</cp:revision>
  <cp:lastPrinted>2021-06-28T01:44:00Z</cp:lastPrinted>
  <dcterms:created xsi:type="dcterms:W3CDTF">2021-06-22T04:59:00Z</dcterms:created>
  <dcterms:modified xsi:type="dcterms:W3CDTF">2021-07-08T04:50:00Z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0x010100896D55852D93604AA440876A3B15BB43</vt:lpwstr>
  </property>
  <property fmtid="{D5CDD505-2E9C-101B-9397-08002B2CF9AE}" pid="3" name="DocHub_FuelSecurityLegislationWorkTopics">
    <vt:lpwstr>2215;#Drafting Instructions|def35bca-22a5-4329-be86-7fa7841fc24c</vt:lpwstr>
  </property>
  <property fmtid="{D5CDD505-2E9C-101B-9397-08002B2CF9AE}" pid="4" name="DocHub_Year">
    <vt:lpwstr>491;#2021|712d5b50-1b62-44de-9d3e-74234783b265</vt:lpwstr>
  </property>
  <property fmtid="{D5CDD505-2E9C-101B-9397-08002B2CF9AE}" pid="5" name="DocHub_WorkActivity">
    <vt:lpwstr>275;#Legislation and Regulation|6cbc66f5-f4a2-4565-a58b-d5f2d2ac9bd0</vt:lpwstr>
  </property>
  <property fmtid="{D5CDD505-2E9C-101B-9397-08002B2CF9AE}" pid="6" name="DocHub_Keywords">
    <vt:lpwstr>329;#fuel security|0a7984c9-f524-4d69-8ac1-ba716119f7a3;#2523;#Legislative Instrument|8cf09df3-777b-4dbc-bcae-cb8602505de5</vt:lpwstr>
  </property>
  <property fmtid="{D5CDD505-2E9C-101B-9397-08002B2CF9AE}" pid="7" name="DocHub_DocumentType">
    <vt:lpwstr>155;#Legislative Instrument|edbe159b-95f5-40e7-bf23-9dfb62f2e7f0</vt:lpwstr>
  </property>
  <property fmtid="{D5CDD505-2E9C-101B-9397-08002B2CF9AE}" pid="8" name="DocHub_SecurityClassification">
    <vt:lpwstr>1741;#Legislative secrecy|7696ab49-fa39-45c8-8833-1b0d93fa11aa</vt:lpwstr>
  </property>
</Properties>
</file>