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D45DFF" w:rsidRDefault="00D45DFF" w:rsidP="00F52713">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F52713" w:rsidRPr="00F52713">
        <w:rPr>
          <w:rFonts w:ascii="Times New Roman" w:hAnsi="Times New Roman" w:cs="Times New Roman"/>
          <w:sz w:val="24"/>
          <w:szCs w:val="24"/>
          <w:u w:val="single"/>
        </w:rPr>
        <w:t>Minister for Energy and Emissions Reduction</w:t>
      </w:r>
    </w:p>
    <w:p w:rsidR="000D0E22" w:rsidRPr="00B13C76" w:rsidRDefault="00F52713" w:rsidP="000D0E22">
      <w:pPr>
        <w:spacing w:before="240" w:after="240"/>
        <w:jc w:val="center"/>
        <w:rPr>
          <w:rFonts w:ascii="Times New Roman" w:hAnsi="Times New Roman" w:cs="Times New Roman"/>
          <w:i/>
          <w:sz w:val="24"/>
          <w:szCs w:val="24"/>
        </w:rPr>
      </w:pPr>
      <w:r w:rsidRPr="00B13C76">
        <w:rPr>
          <w:rFonts w:ascii="Times New Roman" w:hAnsi="Times New Roman" w:cs="Times New Roman"/>
          <w:i/>
          <w:sz w:val="24"/>
          <w:szCs w:val="24"/>
        </w:rPr>
        <w:t>Fuel Security Act 2021</w:t>
      </w:r>
    </w:p>
    <w:p w:rsidR="000D0E22" w:rsidRPr="00B13C76" w:rsidRDefault="00F52713" w:rsidP="000D0E22">
      <w:pPr>
        <w:spacing w:before="240" w:after="240"/>
        <w:jc w:val="center"/>
        <w:rPr>
          <w:rFonts w:ascii="Times New Roman" w:hAnsi="Times New Roman" w:cs="Times New Roman"/>
          <w:i/>
          <w:sz w:val="24"/>
          <w:szCs w:val="24"/>
        </w:rPr>
      </w:pPr>
      <w:r w:rsidRPr="00B13C76">
        <w:rPr>
          <w:rFonts w:ascii="Times New Roman" w:hAnsi="Times New Roman" w:cs="Times New Roman"/>
          <w:i/>
          <w:sz w:val="24"/>
          <w:szCs w:val="24"/>
        </w:rPr>
        <w:t>Fuel Security (Fuel Security Services Payment) Rule 2021</w:t>
      </w:r>
    </w:p>
    <w:p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rsidR="00230254" w:rsidRDefault="001E1595" w:rsidP="00547F8D">
      <w:pPr>
        <w:spacing w:before="120" w:after="120"/>
        <w:rPr>
          <w:rFonts w:ascii="Times New Roman" w:hAnsi="Times New Roman" w:cs="Times New Roman"/>
          <w:sz w:val="24"/>
          <w:szCs w:val="24"/>
        </w:rPr>
      </w:pPr>
      <w:r>
        <w:rPr>
          <w:rFonts w:ascii="Times New Roman" w:hAnsi="Times New Roman" w:cs="Times New Roman"/>
          <w:sz w:val="24"/>
          <w:szCs w:val="24"/>
        </w:rPr>
        <w:t>The</w:t>
      </w:r>
      <w:r w:rsidR="00A43285">
        <w:rPr>
          <w:rFonts w:ascii="Times New Roman" w:hAnsi="Times New Roman" w:cs="Times New Roman"/>
          <w:sz w:val="24"/>
          <w:szCs w:val="24"/>
        </w:rPr>
        <w:t xml:space="preserve"> </w:t>
      </w:r>
      <w:r w:rsidRPr="001E1595">
        <w:rPr>
          <w:rFonts w:ascii="Times New Roman" w:hAnsi="Times New Roman" w:cs="Times New Roman"/>
          <w:i/>
          <w:sz w:val="24"/>
          <w:szCs w:val="24"/>
        </w:rPr>
        <w:t>Fuel Security (Fuel Security Services Payment) Rule 2021</w:t>
      </w:r>
      <w:r>
        <w:rPr>
          <w:rFonts w:ascii="Times New Roman" w:hAnsi="Times New Roman" w:cs="Times New Roman"/>
          <w:sz w:val="24"/>
          <w:szCs w:val="24"/>
        </w:rPr>
        <w:t xml:space="preserve"> (the </w:t>
      </w:r>
      <w:r w:rsidR="00A43285">
        <w:rPr>
          <w:rFonts w:ascii="Times New Roman" w:hAnsi="Times New Roman" w:cs="Times New Roman"/>
          <w:sz w:val="24"/>
          <w:szCs w:val="24"/>
        </w:rPr>
        <w:t>Rule</w:t>
      </w:r>
      <w:r>
        <w:rPr>
          <w:rFonts w:ascii="Times New Roman" w:hAnsi="Times New Roman" w:cs="Times New Roman"/>
          <w:sz w:val="24"/>
          <w:szCs w:val="24"/>
        </w:rPr>
        <w:t>)</w:t>
      </w:r>
      <w:r w:rsidR="00A43285">
        <w:rPr>
          <w:rFonts w:ascii="Times New Roman" w:hAnsi="Times New Roman" w:cs="Times New Roman"/>
          <w:sz w:val="24"/>
          <w:szCs w:val="24"/>
        </w:rPr>
        <w:t xml:space="preserve"> prescribe</w:t>
      </w:r>
      <w:r w:rsidR="00581689">
        <w:rPr>
          <w:rFonts w:ascii="Times New Roman" w:hAnsi="Times New Roman" w:cs="Times New Roman"/>
          <w:sz w:val="24"/>
          <w:szCs w:val="24"/>
        </w:rPr>
        <w:t>s</w:t>
      </w:r>
      <w:r w:rsidR="00A43285">
        <w:rPr>
          <w:rFonts w:ascii="Times New Roman" w:hAnsi="Times New Roman" w:cs="Times New Roman"/>
          <w:sz w:val="24"/>
          <w:szCs w:val="24"/>
        </w:rPr>
        <w:t xml:space="preserve"> various technical and administrat</w:t>
      </w:r>
      <w:r w:rsidR="00EA7012">
        <w:rPr>
          <w:rFonts w:ascii="Times New Roman" w:hAnsi="Times New Roman" w:cs="Times New Roman"/>
          <w:sz w:val="24"/>
          <w:szCs w:val="24"/>
        </w:rPr>
        <w:t>ive matters for the purposes of the fuel se</w:t>
      </w:r>
      <w:r w:rsidR="0022627A">
        <w:rPr>
          <w:rFonts w:ascii="Times New Roman" w:hAnsi="Times New Roman" w:cs="Times New Roman"/>
          <w:sz w:val="24"/>
          <w:szCs w:val="24"/>
        </w:rPr>
        <w:t xml:space="preserve">curity services payment </w:t>
      </w:r>
      <w:r w:rsidR="00FA3780">
        <w:rPr>
          <w:rFonts w:ascii="Times New Roman" w:hAnsi="Times New Roman" w:cs="Times New Roman"/>
          <w:sz w:val="24"/>
          <w:szCs w:val="24"/>
        </w:rPr>
        <w:t>(the</w:t>
      </w:r>
      <w:r w:rsidR="00FA3780" w:rsidRPr="00230254">
        <w:rPr>
          <w:rFonts w:ascii="Times New Roman" w:hAnsi="Times New Roman" w:cs="Times New Roman"/>
          <w:sz w:val="24"/>
          <w:szCs w:val="24"/>
        </w:rPr>
        <w:t xml:space="preserve"> FSSP</w:t>
      </w:r>
      <w:r w:rsidR="00FA3780">
        <w:rPr>
          <w:rFonts w:ascii="Times New Roman" w:hAnsi="Times New Roman" w:cs="Times New Roman"/>
          <w:sz w:val="24"/>
          <w:szCs w:val="24"/>
        </w:rPr>
        <w:t xml:space="preserve">) </w:t>
      </w:r>
      <w:r w:rsidR="0022627A">
        <w:rPr>
          <w:rFonts w:ascii="Times New Roman" w:hAnsi="Times New Roman" w:cs="Times New Roman"/>
          <w:sz w:val="24"/>
          <w:szCs w:val="24"/>
        </w:rPr>
        <w:t>aspects</w:t>
      </w:r>
      <w:r w:rsidR="00EA7012">
        <w:rPr>
          <w:rFonts w:ascii="Times New Roman" w:hAnsi="Times New Roman" w:cs="Times New Roman"/>
          <w:sz w:val="24"/>
          <w:szCs w:val="24"/>
        </w:rPr>
        <w:t xml:space="preserve"> </w:t>
      </w:r>
      <w:r w:rsidR="0022627A">
        <w:rPr>
          <w:rFonts w:ascii="Times New Roman" w:hAnsi="Times New Roman" w:cs="Times New Roman"/>
          <w:sz w:val="24"/>
          <w:szCs w:val="24"/>
        </w:rPr>
        <w:t>(</w:t>
      </w:r>
      <w:r w:rsidR="00EA7012">
        <w:rPr>
          <w:rFonts w:ascii="Times New Roman" w:hAnsi="Times New Roman" w:cs="Times New Roman"/>
          <w:sz w:val="24"/>
          <w:szCs w:val="24"/>
        </w:rPr>
        <w:t xml:space="preserve">primarily </w:t>
      </w:r>
      <w:r w:rsidR="00EA7012" w:rsidRPr="00EA7012">
        <w:rPr>
          <w:rFonts w:ascii="Times New Roman" w:hAnsi="Times New Roman" w:cs="Times New Roman"/>
          <w:sz w:val="24"/>
          <w:szCs w:val="24"/>
        </w:rPr>
        <w:t xml:space="preserve">under </w:t>
      </w:r>
      <w:r w:rsidR="00A43285" w:rsidRPr="00EA7012">
        <w:rPr>
          <w:rFonts w:ascii="Times New Roman" w:hAnsi="Times New Roman" w:cs="Times New Roman"/>
          <w:sz w:val="24"/>
          <w:szCs w:val="24"/>
        </w:rPr>
        <w:t>Part 3</w:t>
      </w:r>
      <w:r w:rsidR="0022627A">
        <w:rPr>
          <w:rFonts w:ascii="Times New Roman" w:hAnsi="Times New Roman" w:cs="Times New Roman"/>
          <w:sz w:val="24"/>
          <w:szCs w:val="24"/>
        </w:rPr>
        <w:t>)</w:t>
      </w:r>
      <w:r w:rsidR="00A43285" w:rsidRPr="00EA7012">
        <w:rPr>
          <w:rFonts w:ascii="Times New Roman" w:hAnsi="Times New Roman" w:cs="Times New Roman"/>
          <w:sz w:val="24"/>
          <w:szCs w:val="24"/>
        </w:rPr>
        <w:t xml:space="preserve"> of the </w:t>
      </w:r>
      <w:r w:rsidR="00A43285" w:rsidRPr="00230254">
        <w:rPr>
          <w:rFonts w:ascii="Times New Roman" w:hAnsi="Times New Roman" w:cs="Times New Roman"/>
          <w:i/>
          <w:sz w:val="24"/>
          <w:szCs w:val="24"/>
        </w:rPr>
        <w:t>Fuel Security Act</w:t>
      </w:r>
      <w:r w:rsidR="00230254" w:rsidRPr="00230254">
        <w:rPr>
          <w:rFonts w:ascii="Times New Roman" w:hAnsi="Times New Roman" w:cs="Times New Roman"/>
          <w:i/>
          <w:sz w:val="24"/>
          <w:szCs w:val="24"/>
        </w:rPr>
        <w:t xml:space="preserve"> 2021</w:t>
      </w:r>
      <w:r>
        <w:rPr>
          <w:rFonts w:ascii="Times New Roman" w:hAnsi="Times New Roman" w:cs="Times New Roman"/>
          <w:sz w:val="24"/>
          <w:szCs w:val="24"/>
        </w:rPr>
        <w:t xml:space="preserve"> (the Act)</w:t>
      </w:r>
      <w:r w:rsidR="00A43285">
        <w:rPr>
          <w:rFonts w:ascii="Times New Roman" w:hAnsi="Times New Roman" w:cs="Times New Roman"/>
          <w:sz w:val="24"/>
          <w:szCs w:val="24"/>
        </w:rPr>
        <w:t>.</w:t>
      </w:r>
      <w:r w:rsidR="00230254">
        <w:rPr>
          <w:rFonts w:ascii="Times New Roman" w:hAnsi="Times New Roman" w:cs="Times New Roman"/>
          <w:sz w:val="24"/>
          <w:szCs w:val="24"/>
        </w:rPr>
        <w:t xml:space="preserve"> In particular, th</w:t>
      </w:r>
      <w:r w:rsidR="00581689">
        <w:rPr>
          <w:rFonts w:ascii="Times New Roman" w:hAnsi="Times New Roman" w:cs="Times New Roman"/>
          <w:sz w:val="24"/>
          <w:szCs w:val="24"/>
        </w:rPr>
        <w:t>is</w:t>
      </w:r>
      <w:r w:rsidR="00230254">
        <w:rPr>
          <w:rFonts w:ascii="Times New Roman" w:hAnsi="Times New Roman" w:cs="Times New Roman"/>
          <w:sz w:val="24"/>
          <w:szCs w:val="24"/>
        </w:rPr>
        <w:t xml:space="preserve"> Rule prescribe</w:t>
      </w:r>
      <w:r w:rsidR="00581689">
        <w:rPr>
          <w:rFonts w:ascii="Times New Roman" w:hAnsi="Times New Roman" w:cs="Times New Roman"/>
          <w:sz w:val="24"/>
          <w:szCs w:val="24"/>
        </w:rPr>
        <w:t>s</w:t>
      </w:r>
      <w:r w:rsidR="00230254">
        <w:rPr>
          <w:rFonts w:ascii="Times New Roman" w:hAnsi="Times New Roman" w:cs="Times New Roman"/>
          <w:sz w:val="24"/>
          <w:szCs w:val="24"/>
        </w:rPr>
        <w:t xml:space="preserve"> requirements for:</w:t>
      </w:r>
    </w:p>
    <w:p w:rsidR="00230254" w:rsidRPr="00230254" w:rsidRDefault="005E54E7" w:rsidP="00230254">
      <w:pPr>
        <w:pStyle w:val="ListParagraph"/>
        <w:numPr>
          <w:ilvl w:val="0"/>
          <w:numId w:val="2"/>
        </w:numPr>
        <w:spacing w:before="120" w:after="120"/>
        <w:rPr>
          <w:rFonts w:ascii="Times New Roman" w:hAnsi="Times New Roman" w:cs="Times New Roman"/>
          <w:sz w:val="24"/>
          <w:szCs w:val="24"/>
        </w:rPr>
      </w:pPr>
      <w:r>
        <w:rPr>
          <w:rFonts w:ascii="Times New Roman" w:hAnsi="Times New Roman" w:cs="Times New Roman"/>
          <w:sz w:val="24"/>
          <w:szCs w:val="24"/>
        </w:rPr>
        <w:t xml:space="preserve">meeting </w:t>
      </w:r>
      <w:r w:rsidR="00230254" w:rsidRPr="00230254">
        <w:rPr>
          <w:rFonts w:ascii="Times New Roman" w:hAnsi="Times New Roman" w:cs="Times New Roman"/>
          <w:sz w:val="24"/>
          <w:szCs w:val="24"/>
        </w:rPr>
        <w:t>the definition of an “</w:t>
      </w:r>
      <w:r w:rsidR="00230254" w:rsidRPr="00251543">
        <w:rPr>
          <w:rFonts w:ascii="Times New Roman" w:hAnsi="Times New Roman" w:cs="Times New Roman"/>
          <w:sz w:val="24"/>
          <w:szCs w:val="24"/>
        </w:rPr>
        <w:t>FSSP fuel</w:t>
      </w:r>
      <w:r w:rsidR="00230254" w:rsidRPr="00230254">
        <w:rPr>
          <w:rFonts w:ascii="Times New Roman" w:hAnsi="Times New Roman" w:cs="Times New Roman"/>
          <w:sz w:val="24"/>
          <w:szCs w:val="24"/>
        </w:rPr>
        <w:t>”</w:t>
      </w:r>
      <w:r w:rsidR="00230254">
        <w:rPr>
          <w:rFonts w:ascii="Times New Roman" w:hAnsi="Times New Roman" w:cs="Times New Roman"/>
          <w:sz w:val="24"/>
          <w:szCs w:val="24"/>
        </w:rPr>
        <w:t xml:space="preserve"> under the Act;</w:t>
      </w:r>
    </w:p>
    <w:p w:rsidR="00230254" w:rsidRPr="00230254" w:rsidRDefault="00230254" w:rsidP="00230254">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 xml:space="preserve">making an application for </w:t>
      </w:r>
      <w:r w:rsidRPr="00230254" w:rsidDel="00FA3780">
        <w:rPr>
          <w:rFonts w:ascii="Times New Roman" w:hAnsi="Times New Roman" w:cs="Times New Roman"/>
          <w:sz w:val="24"/>
          <w:szCs w:val="24"/>
        </w:rPr>
        <w:t>the</w:t>
      </w:r>
      <w:r w:rsidR="005E54E7" w:rsidDel="00FA3780">
        <w:rPr>
          <w:rFonts w:ascii="Times New Roman" w:hAnsi="Times New Roman" w:cs="Times New Roman"/>
          <w:sz w:val="24"/>
          <w:szCs w:val="24"/>
        </w:rPr>
        <w:t xml:space="preserve"> </w:t>
      </w:r>
      <w:r w:rsidRPr="00230254">
        <w:rPr>
          <w:rFonts w:ascii="Times New Roman" w:hAnsi="Times New Roman" w:cs="Times New Roman"/>
          <w:sz w:val="24"/>
          <w:szCs w:val="24"/>
        </w:rPr>
        <w:t>FSSP</w:t>
      </w:r>
      <w:r>
        <w:rPr>
          <w:rFonts w:ascii="Times New Roman" w:hAnsi="Times New Roman" w:cs="Times New Roman"/>
          <w:sz w:val="24"/>
          <w:szCs w:val="24"/>
        </w:rPr>
        <w:t>;</w:t>
      </w:r>
    </w:p>
    <w:p w:rsidR="00230254" w:rsidRPr="00230254" w:rsidRDefault="005E54E7" w:rsidP="00230254">
      <w:pPr>
        <w:pStyle w:val="ListParagraph"/>
        <w:numPr>
          <w:ilvl w:val="0"/>
          <w:numId w:val="2"/>
        </w:numPr>
        <w:spacing w:before="120" w:after="120"/>
        <w:rPr>
          <w:rFonts w:ascii="Times New Roman" w:hAnsi="Times New Roman" w:cs="Times New Roman"/>
          <w:sz w:val="24"/>
          <w:szCs w:val="24"/>
        </w:rPr>
      </w:pPr>
      <w:r>
        <w:rPr>
          <w:rFonts w:ascii="Times New Roman" w:hAnsi="Times New Roman" w:cs="Times New Roman"/>
          <w:sz w:val="24"/>
          <w:szCs w:val="24"/>
        </w:rPr>
        <w:t xml:space="preserve">establishing </w:t>
      </w:r>
      <w:r w:rsidR="00230254" w:rsidRPr="00230254">
        <w:rPr>
          <w:rFonts w:ascii="Times New Roman" w:hAnsi="Times New Roman" w:cs="Times New Roman"/>
          <w:sz w:val="24"/>
          <w:szCs w:val="24"/>
        </w:rPr>
        <w:t>eligibility for the FSSP</w:t>
      </w:r>
      <w:r w:rsidR="00230254">
        <w:rPr>
          <w:rFonts w:ascii="Times New Roman" w:hAnsi="Times New Roman" w:cs="Times New Roman"/>
          <w:sz w:val="24"/>
          <w:szCs w:val="24"/>
        </w:rPr>
        <w:t>;</w:t>
      </w:r>
    </w:p>
    <w:p w:rsidR="00230254" w:rsidRPr="00230254" w:rsidRDefault="00230254" w:rsidP="00230254">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 xml:space="preserve">determining, varying or terminating a </w:t>
      </w:r>
      <w:r>
        <w:rPr>
          <w:rFonts w:ascii="Times New Roman" w:hAnsi="Times New Roman" w:cs="Times New Roman"/>
          <w:sz w:val="24"/>
          <w:szCs w:val="24"/>
        </w:rPr>
        <w:t xml:space="preserve">refinery operator’s </w:t>
      </w:r>
      <w:r w:rsidRPr="00230254">
        <w:rPr>
          <w:rFonts w:ascii="Times New Roman" w:hAnsi="Times New Roman" w:cs="Times New Roman"/>
          <w:sz w:val="24"/>
          <w:szCs w:val="24"/>
        </w:rPr>
        <w:t>commitment period</w:t>
      </w:r>
      <w:r>
        <w:rPr>
          <w:rFonts w:ascii="Times New Roman" w:hAnsi="Times New Roman" w:cs="Times New Roman"/>
          <w:sz w:val="24"/>
          <w:szCs w:val="24"/>
        </w:rPr>
        <w:t>;</w:t>
      </w:r>
    </w:p>
    <w:p w:rsidR="00230254" w:rsidRPr="00230254" w:rsidRDefault="00230254" w:rsidP="00230254">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calculating and paying the FSSP</w:t>
      </w:r>
      <w:r>
        <w:rPr>
          <w:rFonts w:ascii="Times New Roman" w:hAnsi="Times New Roman" w:cs="Times New Roman"/>
          <w:sz w:val="24"/>
          <w:szCs w:val="24"/>
        </w:rPr>
        <w:t>;</w:t>
      </w:r>
    </w:p>
    <w:p w:rsidR="00230254" w:rsidRPr="00230254" w:rsidRDefault="00230254" w:rsidP="00230254">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reporting</w:t>
      </w:r>
      <w:r>
        <w:rPr>
          <w:rFonts w:ascii="Times New Roman" w:hAnsi="Times New Roman" w:cs="Times New Roman"/>
          <w:sz w:val="24"/>
          <w:szCs w:val="24"/>
        </w:rPr>
        <w:t xml:space="preserve"> by recipients of the FSSP;</w:t>
      </w:r>
      <w:r w:rsidR="005E54E7">
        <w:rPr>
          <w:rFonts w:ascii="Times New Roman" w:hAnsi="Times New Roman" w:cs="Times New Roman"/>
          <w:sz w:val="24"/>
          <w:szCs w:val="24"/>
        </w:rPr>
        <w:t xml:space="preserve"> and</w:t>
      </w:r>
    </w:p>
    <w:p w:rsidR="00230254" w:rsidRDefault="00230254" w:rsidP="00230254">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repay</w:t>
      </w:r>
      <w:r w:rsidR="005E54E7">
        <w:rPr>
          <w:rFonts w:ascii="Times New Roman" w:hAnsi="Times New Roman" w:cs="Times New Roman"/>
          <w:sz w:val="24"/>
          <w:szCs w:val="24"/>
        </w:rPr>
        <w:t xml:space="preserve">ing </w:t>
      </w:r>
      <w:r>
        <w:rPr>
          <w:rFonts w:ascii="Times New Roman" w:hAnsi="Times New Roman" w:cs="Times New Roman"/>
          <w:sz w:val="24"/>
          <w:szCs w:val="24"/>
        </w:rPr>
        <w:t>the FSSP in specified circumstances.</w:t>
      </w:r>
    </w:p>
    <w:p w:rsidR="00125CDA" w:rsidRPr="00552846" w:rsidRDefault="00125CDA" w:rsidP="00552846">
      <w:pPr>
        <w:spacing w:before="120" w:after="120"/>
        <w:rPr>
          <w:rFonts w:ascii="Times New Roman" w:hAnsi="Times New Roman" w:cs="Times New Roman"/>
          <w:sz w:val="24"/>
          <w:szCs w:val="24"/>
        </w:rPr>
      </w:pPr>
      <w:r>
        <w:rPr>
          <w:rFonts w:ascii="Times New Roman" w:hAnsi="Times New Roman" w:cs="Times New Roman"/>
          <w:sz w:val="24"/>
          <w:szCs w:val="24"/>
        </w:rPr>
        <w:t xml:space="preserve">As set out in the explanatory memorandum to the </w:t>
      </w:r>
      <w:r w:rsidR="00B21B44" w:rsidRPr="00B47875">
        <w:rPr>
          <w:rFonts w:ascii="Times New Roman" w:hAnsi="Times New Roman" w:cs="Times New Roman"/>
          <w:sz w:val="24"/>
          <w:szCs w:val="24"/>
        </w:rPr>
        <w:t xml:space="preserve">Fuel Security Bill </w:t>
      </w:r>
      <w:r w:rsidR="00BB0B02" w:rsidRPr="00B47875">
        <w:rPr>
          <w:rFonts w:ascii="Times New Roman" w:hAnsi="Times New Roman" w:cs="Times New Roman"/>
          <w:sz w:val="24"/>
          <w:szCs w:val="24"/>
        </w:rPr>
        <w:t xml:space="preserve">2021 </w:t>
      </w:r>
      <w:r w:rsidR="00B21B44" w:rsidRPr="00B47875">
        <w:rPr>
          <w:rFonts w:ascii="Times New Roman" w:hAnsi="Times New Roman" w:cs="Times New Roman"/>
          <w:sz w:val="24"/>
          <w:szCs w:val="24"/>
        </w:rPr>
        <w:t xml:space="preserve">(the </w:t>
      </w:r>
      <w:r w:rsidRPr="00B47875">
        <w:rPr>
          <w:rFonts w:ascii="Times New Roman" w:hAnsi="Times New Roman" w:cs="Times New Roman"/>
          <w:sz w:val="24"/>
          <w:szCs w:val="24"/>
        </w:rPr>
        <w:t>Bill</w:t>
      </w:r>
      <w:r w:rsidR="00B21B44" w:rsidRPr="00B47875">
        <w:rPr>
          <w:rFonts w:ascii="Times New Roman" w:hAnsi="Times New Roman" w:cs="Times New Roman"/>
          <w:sz w:val="24"/>
          <w:szCs w:val="24"/>
        </w:rPr>
        <w:t>)</w:t>
      </w:r>
      <w:r>
        <w:rPr>
          <w:rFonts w:ascii="Times New Roman" w:hAnsi="Times New Roman" w:cs="Times New Roman"/>
          <w:sz w:val="24"/>
          <w:szCs w:val="24"/>
        </w:rPr>
        <w:t xml:space="preserve"> which became the Act, </w:t>
      </w:r>
      <w:r w:rsidRPr="00552846">
        <w:rPr>
          <w:rFonts w:ascii="Times New Roman" w:hAnsi="Times New Roman" w:cs="Times New Roman"/>
          <w:sz w:val="24"/>
          <w:szCs w:val="24"/>
        </w:rPr>
        <w:t xml:space="preserve">Part 3 of the </w:t>
      </w:r>
      <w:r>
        <w:rPr>
          <w:rFonts w:ascii="Times New Roman" w:hAnsi="Times New Roman" w:cs="Times New Roman"/>
          <w:sz w:val="24"/>
          <w:szCs w:val="24"/>
        </w:rPr>
        <w:t>Act</w:t>
      </w:r>
      <w:r w:rsidRPr="00552846">
        <w:rPr>
          <w:rFonts w:ascii="Times New Roman" w:hAnsi="Times New Roman" w:cs="Times New Roman"/>
          <w:sz w:val="24"/>
          <w:szCs w:val="24"/>
        </w:rPr>
        <w:t xml:space="preserve"> establishes payment of an ongoing FSSP (i.e. a bounty) for the production of gasoline, diesel and kerosene. The payment recognises the essential contribution refineries in Australia make to the security of Australia’s fuel supplies. Eligible refiner</w:t>
      </w:r>
      <w:r w:rsidR="00777039">
        <w:rPr>
          <w:rFonts w:ascii="Times New Roman" w:hAnsi="Times New Roman" w:cs="Times New Roman"/>
          <w:sz w:val="24"/>
          <w:szCs w:val="24"/>
        </w:rPr>
        <w:t>y operator</w:t>
      </w:r>
      <w:r w:rsidRPr="00552846">
        <w:rPr>
          <w:rFonts w:ascii="Times New Roman" w:hAnsi="Times New Roman" w:cs="Times New Roman"/>
          <w:sz w:val="24"/>
          <w:szCs w:val="24"/>
        </w:rPr>
        <w:t xml:space="preserve">s will receive the FSSP when they commit to continuing to refine FSSP </w:t>
      </w:r>
      <w:r w:rsidR="00B47875">
        <w:rPr>
          <w:rFonts w:ascii="Times New Roman" w:hAnsi="Times New Roman" w:cs="Times New Roman"/>
          <w:sz w:val="24"/>
          <w:szCs w:val="24"/>
        </w:rPr>
        <w:t>fuels</w:t>
      </w:r>
      <w:r w:rsidR="00B47875" w:rsidRPr="00552846">
        <w:rPr>
          <w:rFonts w:ascii="Times New Roman" w:hAnsi="Times New Roman" w:cs="Times New Roman"/>
          <w:sz w:val="24"/>
          <w:szCs w:val="24"/>
        </w:rPr>
        <w:t xml:space="preserve"> </w:t>
      </w:r>
      <w:r w:rsidRPr="00552846">
        <w:rPr>
          <w:rFonts w:ascii="Times New Roman" w:hAnsi="Times New Roman" w:cs="Times New Roman"/>
          <w:sz w:val="24"/>
          <w:szCs w:val="24"/>
        </w:rPr>
        <w:t>until at least 30 June 2027. The payment rate will be set as a function of refinery market conditions based on independent and verifiable markers. The FSSP will provide up to 1.8</w:t>
      </w:r>
      <w:r w:rsidR="006E109C">
        <w:rPr>
          <w:rFonts w:ascii="Times New Roman" w:hAnsi="Times New Roman" w:cs="Times New Roman"/>
          <w:sz w:val="24"/>
          <w:szCs w:val="24"/>
        </w:rPr>
        <w:t> </w:t>
      </w:r>
      <w:r w:rsidRPr="00552846">
        <w:rPr>
          <w:rFonts w:ascii="Times New Roman" w:hAnsi="Times New Roman" w:cs="Times New Roman"/>
          <w:sz w:val="24"/>
          <w:szCs w:val="24"/>
        </w:rPr>
        <w:t>cents per litre when refinery margins fall to the point where refineries are making losses. No payments will be made when refiner</w:t>
      </w:r>
      <w:r w:rsidR="00777039">
        <w:rPr>
          <w:rFonts w:ascii="Times New Roman" w:hAnsi="Times New Roman" w:cs="Times New Roman"/>
          <w:sz w:val="24"/>
          <w:szCs w:val="24"/>
        </w:rPr>
        <w:t>ie</w:t>
      </w:r>
      <w:r w:rsidRPr="00552846">
        <w:rPr>
          <w:rFonts w:ascii="Times New Roman" w:hAnsi="Times New Roman" w:cs="Times New Roman"/>
          <w:sz w:val="24"/>
          <w:szCs w:val="24"/>
        </w:rPr>
        <w:t>s make profits.</w:t>
      </w:r>
    </w:p>
    <w:p w:rsidR="00125CDA" w:rsidRPr="00552846" w:rsidRDefault="00125CDA" w:rsidP="00552846">
      <w:pPr>
        <w:spacing w:before="120" w:after="120"/>
        <w:rPr>
          <w:rFonts w:ascii="Times New Roman" w:hAnsi="Times New Roman" w:cs="Times New Roman"/>
          <w:sz w:val="24"/>
          <w:szCs w:val="24"/>
        </w:rPr>
      </w:pPr>
      <w:r w:rsidRPr="00552846">
        <w:rPr>
          <w:rFonts w:ascii="Times New Roman" w:hAnsi="Times New Roman" w:cs="Times New Roman"/>
          <w:sz w:val="24"/>
          <w:szCs w:val="24"/>
        </w:rPr>
        <w:t>Payments of the FSSP will be made to refinery operators on a quarterly basis in arrears, and will be subject to requirements to be prescribed in the</w:t>
      </w:r>
      <w:r>
        <w:rPr>
          <w:rFonts w:ascii="Times New Roman" w:hAnsi="Times New Roman" w:cs="Times New Roman"/>
          <w:sz w:val="24"/>
          <w:szCs w:val="24"/>
        </w:rPr>
        <w:t xml:space="preserve"> </w:t>
      </w:r>
      <w:r w:rsidR="004A671C">
        <w:rPr>
          <w:rFonts w:ascii="Times New Roman" w:hAnsi="Times New Roman" w:cs="Times New Roman"/>
          <w:sz w:val="24"/>
          <w:szCs w:val="24"/>
        </w:rPr>
        <w:t>Rule</w:t>
      </w:r>
      <w:r w:rsidRPr="00552846">
        <w:rPr>
          <w:rFonts w:ascii="Times New Roman" w:hAnsi="Times New Roman" w:cs="Times New Roman"/>
          <w:sz w:val="24"/>
          <w:szCs w:val="24"/>
        </w:rPr>
        <w:t xml:space="preserve">. The </w:t>
      </w:r>
      <w:r>
        <w:rPr>
          <w:rFonts w:ascii="Times New Roman" w:hAnsi="Times New Roman" w:cs="Times New Roman"/>
          <w:sz w:val="24"/>
          <w:szCs w:val="24"/>
        </w:rPr>
        <w:t>Act</w:t>
      </w:r>
      <w:r w:rsidRPr="00552846">
        <w:rPr>
          <w:rFonts w:ascii="Times New Roman" w:hAnsi="Times New Roman" w:cs="Times New Roman"/>
          <w:sz w:val="24"/>
          <w:szCs w:val="24"/>
        </w:rPr>
        <w:t xml:space="preserve"> also provides for recovery of amounts of the FSSP paid to refinery operators should they withdraw from their domestic refining commitment early. Applicants are required to be constitutional corporations (paragraph 40(2)(a)</w:t>
      </w:r>
      <w:r>
        <w:rPr>
          <w:rFonts w:ascii="Times New Roman" w:hAnsi="Times New Roman" w:cs="Times New Roman"/>
          <w:sz w:val="24"/>
          <w:szCs w:val="24"/>
        </w:rPr>
        <w:t xml:space="preserve"> of the Act</w:t>
      </w:r>
      <w:r w:rsidRPr="00552846">
        <w:rPr>
          <w:rFonts w:ascii="Times New Roman" w:hAnsi="Times New Roman" w:cs="Times New Roman"/>
          <w:sz w:val="24"/>
          <w:szCs w:val="24"/>
        </w:rPr>
        <w:t>).</w:t>
      </w:r>
    </w:p>
    <w:p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rsidR="00B47875" w:rsidRDefault="002703D2" w:rsidP="002F69D5">
      <w:r w:rsidRPr="00727110">
        <w:rPr>
          <w:rFonts w:ascii="Times New Roman" w:hAnsi="Times New Roman" w:cs="Times New Roman"/>
          <w:sz w:val="24"/>
          <w:szCs w:val="24"/>
        </w:rPr>
        <w:t xml:space="preserve">The </w:t>
      </w:r>
      <w:r w:rsidR="001E1595" w:rsidRPr="00727110">
        <w:rPr>
          <w:rFonts w:ascii="Times New Roman" w:hAnsi="Times New Roman" w:cs="Times New Roman"/>
          <w:sz w:val="24"/>
          <w:szCs w:val="24"/>
        </w:rPr>
        <w:t xml:space="preserve">Rule </w:t>
      </w:r>
      <w:r w:rsidR="00DE0CC4">
        <w:rPr>
          <w:rFonts w:ascii="Times New Roman" w:hAnsi="Times New Roman" w:cs="Times New Roman"/>
          <w:sz w:val="24"/>
          <w:szCs w:val="24"/>
        </w:rPr>
        <w:t>is</w:t>
      </w:r>
      <w:r w:rsidRPr="00727110">
        <w:rPr>
          <w:rFonts w:ascii="Times New Roman" w:hAnsi="Times New Roman" w:cs="Times New Roman"/>
          <w:sz w:val="24"/>
          <w:szCs w:val="24"/>
        </w:rPr>
        <w:t xml:space="preserve"> made pursuant to </w:t>
      </w:r>
      <w:r w:rsidR="00750D58">
        <w:rPr>
          <w:rFonts w:ascii="Times New Roman" w:hAnsi="Times New Roman" w:cs="Times New Roman"/>
          <w:sz w:val="24"/>
          <w:szCs w:val="24"/>
        </w:rPr>
        <w:t>the Act</w:t>
      </w:r>
      <w:r w:rsidR="00125CDA">
        <w:rPr>
          <w:rFonts w:ascii="Times New Roman" w:hAnsi="Times New Roman" w:cs="Times New Roman"/>
          <w:sz w:val="24"/>
          <w:szCs w:val="24"/>
        </w:rPr>
        <w:t>, in particular section 84 includes the power for the Minister to make legislative rules.</w:t>
      </w:r>
      <w:r w:rsidR="00750D58">
        <w:rPr>
          <w:rFonts w:ascii="Times New Roman" w:hAnsi="Times New Roman" w:cs="Times New Roman"/>
          <w:sz w:val="24"/>
          <w:szCs w:val="24"/>
        </w:rPr>
        <w:t xml:space="preserve"> </w:t>
      </w:r>
      <w:r w:rsidR="00DF5B1C">
        <w:rPr>
          <w:rFonts w:ascii="Times New Roman" w:hAnsi="Times New Roman" w:cs="Times New Roman"/>
          <w:sz w:val="24"/>
          <w:szCs w:val="24"/>
        </w:rPr>
        <w:t xml:space="preserve">In making this </w:t>
      </w:r>
      <w:r w:rsidR="00052AC2">
        <w:rPr>
          <w:rFonts w:ascii="Times New Roman" w:hAnsi="Times New Roman" w:cs="Times New Roman"/>
          <w:sz w:val="24"/>
          <w:szCs w:val="24"/>
        </w:rPr>
        <w:t>R</w:t>
      </w:r>
      <w:r w:rsidR="00DF5B1C">
        <w:rPr>
          <w:rFonts w:ascii="Times New Roman" w:hAnsi="Times New Roman" w:cs="Times New Roman"/>
          <w:sz w:val="24"/>
          <w:szCs w:val="24"/>
        </w:rPr>
        <w:t xml:space="preserve">ule the Minister has, consistent with subsection 43(4) of the Act, had regard to the </w:t>
      </w:r>
      <w:r w:rsidR="00DF5B1C" w:rsidRPr="00552846">
        <w:rPr>
          <w:rFonts w:ascii="Times New Roman" w:hAnsi="Times New Roman" w:cs="Times New Roman"/>
          <w:i/>
          <w:sz w:val="24"/>
          <w:szCs w:val="24"/>
        </w:rPr>
        <w:t>Fuel Security (Fuel Security Services Payment) Guidelines 2021</w:t>
      </w:r>
      <w:r w:rsidR="00B55965">
        <w:rPr>
          <w:rFonts w:ascii="Times New Roman" w:hAnsi="Times New Roman" w:cs="Times New Roman"/>
          <w:i/>
          <w:sz w:val="24"/>
          <w:szCs w:val="24"/>
        </w:rPr>
        <w:t xml:space="preserve"> </w:t>
      </w:r>
      <w:r w:rsidR="00B55965" w:rsidRPr="00B55965">
        <w:rPr>
          <w:rFonts w:ascii="Times New Roman" w:hAnsi="Times New Roman" w:cs="Times New Roman"/>
          <w:sz w:val="24"/>
          <w:szCs w:val="24"/>
        </w:rPr>
        <w:t>(Guidelines)</w:t>
      </w:r>
      <w:r w:rsidR="00DF5B1C">
        <w:rPr>
          <w:rFonts w:ascii="Times New Roman" w:hAnsi="Times New Roman" w:cs="Times New Roman"/>
          <w:i/>
          <w:sz w:val="24"/>
          <w:szCs w:val="24"/>
        </w:rPr>
        <w:t xml:space="preserve">, </w:t>
      </w:r>
      <w:r w:rsidR="00DF5B1C">
        <w:rPr>
          <w:rFonts w:ascii="Times New Roman" w:hAnsi="Times New Roman" w:cs="Times New Roman"/>
          <w:sz w:val="24"/>
          <w:szCs w:val="24"/>
        </w:rPr>
        <w:t>which relate to the approach to setting the rate of the FSSP</w:t>
      </w:r>
      <w:r w:rsidR="00B902D2">
        <w:rPr>
          <w:rFonts w:ascii="Times New Roman" w:hAnsi="Times New Roman" w:cs="Times New Roman"/>
          <w:sz w:val="24"/>
          <w:szCs w:val="24"/>
        </w:rPr>
        <w:t>, and are available at legislation.gov.au</w:t>
      </w:r>
      <w:r w:rsidR="00DF5B1C">
        <w:rPr>
          <w:rFonts w:ascii="Times New Roman" w:hAnsi="Times New Roman" w:cs="Times New Roman"/>
          <w:sz w:val="24"/>
          <w:szCs w:val="24"/>
        </w:rPr>
        <w:t xml:space="preserve">. </w:t>
      </w:r>
      <w:r w:rsidR="00DF5B1C" w:rsidRPr="00DF5B1C">
        <w:rPr>
          <w:rFonts w:ascii="Times New Roman" w:hAnsi="Times New Roman" w:cs="Times New Roman"/>
          <w:sz w:val="24"/>
          <w:szCs w:val="24"/>
        </w:rPr>
        <w:t xml:space="preserve"> </w:t>
      </w:r>
      <w:r w:rsidR="00DF5B1C">
        <w:rPr>
          <w:rFonts w:ascii="Times New Roman" w:hAnsi="Times New Roman" w:cs="Times New Roman"/>
          <w:sz w:val="24"/>
          <w:szCs w:val="24"/>
        </w:rPr>
        <w:t>The Minister has also, for subsection 43(5) of the Act, had regard to:</w:t>
      </w:r>
    </w:p>
    <w:p w:rsidR="00DF5B1C" w:rsidRPr="00DF5B1C" w:rsidRDefault="00DF5B1C" w:rsidP="00552846">
      <w:pPr>
        <w:pStyle w:val="ListParagraph"/>
        <w:numPr>
          <w:ilvl w:val="0"/>
          <w:numId w:val="1"/>
        </w:numPr>
        <w:spacing w:before="240"/>
        <w:rPr>
          <w:rFonts w:ascii="Times New Roman" w:hAnsi="Times New Roman" w:cs="Times New Roman"/>
          <w:sz w:val="24"/>
          <w:szCs w:val="24"/>
        </w:rPr>
      </w:pPr>
      <w:r w:rsidRPr="00DF5B1C">
        <w:rPr>
          <w:rFonts w:ascii="Times New Roman" w:hAnsi="Times New Roman" w:cs="Times New Roman"/>
          <w:sz w:val="24"/>
          <w:szCs w:val="24"/>
        </w:rPr>
        <w:lastRenderedPageBreak/>
        <w:t>the determination by the Minister under subsection 44(1) of the Act that 6.4 c</w:t>
      </w:r>
      <w:r>
        <w:rPr>
          <w:rFonts w:ascii="Times New Roman" w:hAnsi="Times New Roman" w:cs="Times New Roman"/>
          <w:sz w:val="24"/>
          <w:szCs w:val="24"/>
        </w:rPr>
        <w:t xml:space="preserve">ents </w:t>
      </w:r>
      <w:r w:rsidRPr="00DF5B1C">
        <w:rPr>
          <w:rFonts w:ascii="Times New Roman" w:hAnsi="Times New Roman" w:cs="Times New Roman"/>
          <w:sz w:val="24"/>
          <w:szCs w:val="24"/>
        </w:rPr>
        <w:t>p</w:t>
      </w:r>
      <w:r>
        <w:rPr>
          <w:rFonts w:ascii="Times New Roman" w:hAnsi="Times New Roman" w:cs="Times New Roman"/>
          <w:sz w:val="24"/>
          <w:szCs w:val="24"/>
        </w:rPr>
        <w:t xml:space="preserve">er </w:t>
      </w:r>
      <w:r w:rsidRPr="00DF5B1C">
        <w:rPr>
          <w:rFonts w:ascii="Times New Roman" w:hAnsi="Times New Roman" w:cs="Times New Roman"/>
          <w:sz w:val="24"/>
          <w:szCs w:val="24"/>
        </w:rPr>
        <w:t>l</w:t>
      </w:r>
      <w:r>
        <w:rPr>
          <w:rFonts w:ascii="Times New Roman" w:hAnsi="Times New Roman" w:cs="Times New Roman"/>
          <w:sz w:val="24"/>
          <w:szCs w:val="24"/>
        </w:rPr>
        <w:t>itre (cpl)</w:t>
      </w:r>
      <w:r w:rsidRPr="00DF5B1C">
        <w:rPr>
          <w:rFonts w:ascii="Times New Roman" w:hAnsi="Times New Roman" w:cs="Times New Roman"/>
          <w:sz w:val="24"/>
          <w:szCs w:val="24"/>
        </w:rPr>
        <w:t xml:space="preserve"> is, at the time of </w:t>
      </w:r>
      <w:r w:rsidR="00052AC2">
        <w:rPr>
          <w:rFonts w:ascii="Times New Roman" w:hAnsi="Times New Roman" w:cs="Times New Roman"/>
          <w:sz w:val="24"/>
          <w:szCs w:val="24"/>
        </w:rPr>
        <w:t xml:space="preserve">making </w:t>
      </w:r>
      <w:r w:rsidRPr="00DF5B1C">
        <w:rPr>
          <w:rFonts w:ascii="Times New Roman" w:hAnsi="Times New Roman" w:cs="Times New Roman"/>
          <w:sz w:val="24"/>
          <w:szCs w:val="24"/>
        </w:rPr>
        <w:t xml:space="preserve">that determination, the margin sufficient to ensure that refineries operating in Australia over the period starting on </w:t>
      </w:r>
      <w:r>
        <w:rPr>
          <w:rFonts w:ascii="Times New Roman" w:hAnsi="Times New Roman" w:cs="Times New Roman"/>
          <w:sz w:val="24"/>
          <w:szCs w:val="24"/>
        </w:rPr>
        <w:t>30 June 2021</w:t>
      </w:r>
      <w:r w:rsidRPr="00DF5B1C">
        <w:rPr>
          <w:rFonts w:ascii="Times New Roman" w:hAnsi="Times New Roman" w:cs="Times New Roman"/>
          <w:sz w:val="24"/>
          <w:szCs w:val="24"/>
        </w:rPr>
        <w:t xml:space="preserve"> </w:t>
      </w:r>
      <w:r w:rsidR="00052AC2">
        <w:rPr>
          <w:rFonts w:ascii="Times New Roman" w:hAnsi="Times New Roman" w:cs="Times New Roman"/>
          <w:sz w:val="24"/>
          <w:szCs w:val="24"/>
        </w:rPr>
        <w:t xml:space="preserve">(i.e. the day the Act commenced) </w:t>
      </w:r>
      <w:r w:rsidRPr="00DF5B1C">
        <w:rPr>
          <w:rFonts w:ascii="Times New Roman" w:hAnsi="Times New Roman" w:cs="Times New Roman"/>
          <w:sz w:val="24"/>
          <w:szCs w:val="24"/>
        </w:rPr>
        <w:t>and ending on 30 June 2027 do not make a loss; and</w:t>
      </w:r>
    </w:p>
    <w:p w:rsidR="0072540E" w:rsidRPr="001E1595" w:rsidRDefault="00DF5B1C" w:rsidP="00552846">
      <w:pPr>
        <w:pStyle w:val="ListParagraph"/>
        <w:numPr>
          <w:ilvl w:val="0"/>
          <w:numId w:val="1"/>
        </w:numPr>
        <w:spacing w:before="240"/>
        <w:rPr>
          <w:rFonts w:ascii="Times New Roman" w:hAnsi="Times New Roman" w:cs="Times New Roman"/>
          <w:sz w:val="24"/>
          <w:szCs w:val="24"/>
        </w:rPr>
      </w:pPr>
      <w:r w:rsidRPr="00DF5B1C">
        <w:rPr>
          <w:rFonts w:ascii="Times New Roman" w:hAnsi="Times New Roman" w:cs="Times New Roman"/>
          <w:sz w:val="24"/>
          <w:szCs w:val="24"/>
        </w:rPr>
        <w:t xml:space="preserve">the principle that (subject to the cap of 1.8 cpl) the amount of </w:t>
      </w:r>
      <w:r>
        <w:rPr>
          <w:rFonts w:ascii="Times New Roman" w:hAnsi="Times New Roman" w:cs="Times New Roman"/>
          <w:sz w:val="24"/>
          <w:szCs w:val="24"/>
        </w:rPr>
        <w:t>FSSP</w:t>
      </w:r>
      <w:r w:rsidRPr="00DF5B1C">
        <w:rPr>
          <w:rFonts w:ascii="Times New Roman" w:hAnsi="Times New Roman" w:cs="Times New Roman"/>
          <w:sz w:val="24"/>
          <w:szCs w:val="24"/>
        </w:rPr>
        <w:t xml:space="preserve"> paid to a person for quarters ending in the person’s commitment period should be guided by the margin that is sufficient to ensure that refineries operating in Australia over the person’s commitment period do not make a loss.</w:t>
      </w:r>
    </w:p>
    <w:p w:rsidR="000D0E22" w:rsidRDefault="000D0E22" w:rsidP="0005189B">
      <w:pPr>
        <w:keepNext/>
        <w:keepLines/>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rsidR="0072540E" w:rsidRPr="0072540E" w:rsidRDefault="002703D2" w:rsidP="00552846">
      <w:pPr>
        <w:keepNext/>
        <w:keepLines/>
        <w:spacing w:before="120" w:after="120"/>
        <w:rPr>
          <w:rFonts w:ascii="Times New Roman" w:hAnsi="Times New Roman" w:cs="Times New Roman"/>
          <w:sz w:val="24"/>
          <w:szCs w:val="24"/>
        </w:rPr>
      </w:pPr>
      <w:r>
        <w:rPr>
          <w:rFonts w:ascii="Times New Roman" w:hAnsi="Times New Roman" w:cs="Times New Roman"/>
          <w:sz w:val="24"/>
          <w:szCs w:val="24"/>
        </w:rPr>
        <w:t>Target</w:t>
      </w:r>
      <w:r w:rsidR="00A43285">
        <w:rPr>
          <w:rFonts w:ascii="Times New Roman" w:hAnsi="Times New Roman" w:cs="Times New Roman"/>
          <w:sz w:val="24"/>
          <w:szCs w:val="24"/>
        </w:rPr>
        <w:t>ed</w:t>
      </w:r>
      <w:r>
        <w:rPr>
          <w:rFonts w:ascii="Times New Roman" w:hAnsi="Times New Roman" w:cs="Times New Roman"/>
          <w:sz w:val="24"/>
          <w:szCs w:val="24"/>
        </w:rPr>
        <w:t xml:space="preserve"> consultation with stakeholders including refinery operators, was undertaken </w:t>
      </w:r>
      <w:r w:rsidR="001E1595">
        <w:rPr>
          <w:rFonts w:ascii="Times New Roman" w:hAnsi="Times New Roman" w:cs="Times New Roman"/>
          <w:sz w:val="24"/>
          <w:szCs w:val="24"/>
        </w:rPr>
        <w:t xml:space="preserve">during drafting for the Act, and following introduction of the Bill to Parliament, </w:t>
      </w:r>
      <w:r>
        <w:rPr>
          <w:rFonts w:ascii="Times New Roman" w:hAnsi="Times New Roman" w:cs="Times New Roman"/>
          <w:sz w:val="24"/>
          <w:szCs w:val="24"/>
        </w:rPr>
        <w:t>on key aspects of th</w:t>
      </w:r>
      <w:r w:rsidR="00581689">
        <w:rPr>
          <w:rFonts w:ascii="Times New Roman" w:hAnsi="Times New Roman" w:cs="Times New Roman"/>
          <w:sz w:val="24"/>
          <w:szCs w:val="24"/>
        </w:rPr>
        <w:t>is</w:t>
      </w:r>
      <w:r>
        <w:rPr>
          <w:rFonts w:ascii="Times New Roman" w:hAnsi="Times New Roman" w:cs="Times New Roman"/>
          <w:sz w:val="24"/>
          <w:szCs w:val="24"/>
        </w:rPr>
        <w:t xml:space="preserve"> Rule</w:t>
      </w:r>
      <w:r w:rsidR="00E5390C">
        <w:rPr>
          <w:rFonts w:ascii="Times New Roman" w:hAnsi="Times New Roman" w:cs="Times New Roman"/>
          <w:sz w:val="24"/>
          <w:szCs w:val="24"/>
        </w:rPr>
        <w:t xml:space="preserve"> and other associated subordinate instruments (e.g. the </w:t>
      </w:r>
      <w:r w:rsidR="00E5390C" w:rsidRPr="00E5390C">
        <w:rPr>
          <w:rFonts w:ascii="Times New Roman" w:hAnsi="Times New Roman" w:cs="Times New Roman"/>
          <w:i/>
          <w:sz w:val="24"/>
          <w:szCs w:val="24"/>
        </w:rPr>
        <w:t>Fuel Security (Fuel Security Services Payment) Guidelines 2021</w:t>
      </w:r>
      <w:r w:rsidR="00E5390C">
        <w:rPr>
          <w:rFonts w:ascii="Times New Roman" w:hAnsi="Times New Roman" w:cs="Times New Roman"/>
          <w:sz w:val="24"/>
          <w:szCs w:val="24"/>
        </w:rPr>
        <w:t>)</w:t>
      </w:r>
      <w:r>
        <w:rPr>
          <w:rFonts w:ascii="Times New Roman" w:hAnsi="Times New Roman" w:cs="Times New Roman"/>
          <w:sz w:val="24"/>
          <w:szCs w:val="24"/>
        </w:rPr>
        <w:t>.</w:t>
      </w:r>
      <w:r w:rsidR="00995F4D">
        <w:rPr>
          <w:rFonts w:ascii="Times New Roman" w:hAnsi="Times New Roman" w:cs="Times New Roman"/>
          <w:sz w:val="24"/>
          <w:szCs w:val="24"/>
        </w:rPr>
        <w:t xml:space="preserve"> Refinery operators were also consulted on </w:t>
      </w:r>
      <w:r w:rsidR="00300EA4">
        <w:rPr>
          <w:rFonts w:ascii="Times New Roman" w:hAnsi="Times New Roman" w:cs="Times New Roman"/>
          <w:sz w:val="24"/>
          <w:szCs w:val="24"/>
        </w:rPr>
        <w:t xml:space="preserve">a number of </w:t>
      </w:r>
      <w:r w:rsidR="00995F4D">
        <w:rPr>
          <w:rFonts w:ascii="Times New Roman" w:hAnsi="Times New Roman" w:cs="Times New Roman"/>
          <w:sz w:val="24"/>
          <w:szCs w:val="24"/>
        </w:rPr>
        <w:t>draft</w:t>
      </w:r>
      <w:r w:rsidR="00300EA4">
        <w:rPr>
          <w:rFonts w:ascii="Times New Roman" w:hAnsi="Times New Roman" w:cs="Times New Roman"/>
          <w:sz w:val="24"/>
          <w:szCs w:val="24"/>
        </w:rPr>
        <w:t>s of the</w:t>
      </w:r>
      <w:r w:rsidR="00995F4D">
        <w:rPr>
          <w:rFonts w:ascii="Times New Roman" w:hAnsi="Times New Roman" w:cs="Times New Roman"/>
          <w:sz w:val="24"/>
          <w:szCs w:val="24"/>
        </w:rPr>
        <w:t xml:space="preserve"> Rule to ensure the Rule </w:t>
      </w:r>
      <w:r w:rsidR="00300EA4">
        <w:rPr>
          <w:rFonts w:ascii="Times New Roman" w:hAnsi="Times New Roman" w:cs="Times New Roman"/>
          <w:sz w:val="24"/>
          <w:szCs w:val="24"/>
        </w:rPr>
        <w:t xml:space="preserve">would </w:t>
      </w:r>
      <w:r w:rsidR="00995F4D">
        <w:rPr>
          <w:rFonts w:ascii="Times New Roman" w:hAnsi="Times New Roman" w:cs="Times New Roman"/>
          <w:sz w:val="24"/>
          <w:szCs w:val="24"/>
        </w:rPr>
        <w:t>operate as intended.</w:t>
      </w:r>
      <w:r w:rsidR="00300EA4">
        <w:rPr>
          <w:rFonts w:ascii="Times New Roman" w:hAnsi="Times New Roman" w:cs="Times New Roman"/>
          <w:sz w:val="24"/>
          <w:szCs w:val="24"/>
        </w:rPr>
        <w:t xml:space="preserve"> Minor amendments were made to the wording of the </w:t>
      </w:r>
      <w:r w:rsidR="00394256">
        <w:rPr>
          <w:rFonts w:ascii="Times New Roman" w:hAnsi="Times New Roman" w:cs="Times New Roman"/>
          <w:sz w:val="24"/>
          <w:szCs w:val="24"/>
        </w:rPr>
        <w:t>R</w:t>
      </w:r>
      <w:r w:rsidR="00300EA4">
        <w:rPr>
          <w:rFonts w:ascii="Times New Roman" w:hAnsi="Times New Roman" w:cs="Times New Roman"/>
          <w:sz w:val="24"/>
          <w:szCs w:val="24"/>
        </w:rPr>
        <w:t xml:space="preserve">ule to address comments received so that unintended consequences of the drafting would be avoided and the </w:t>
      </w:r>
      <w:r w:rsidR="00394256">
        <w:rPr>
          <w:rFonts w:ascii="Times New Roman" w:hAnsi="Times New Roman" w:cs="Times New Roman"/>
          <w:sz w:val="24"/>
          <w:szCs w:val="24"/>
        </w:rPr>
        <w:t>R</w:t>
      </w:r>
      <w:r w:rsidR="00300EA4">
        <w:rPr>
          <w:rFonts w:ascii="Times New Roman" w:hAnsi="Times New Roman" w:cs="Times New Roman"/>
          <w:sz w:val="24"/>
          <w:szCs w:val="24"/>
        </w:rPr>
        <w:t>ule would provide greater clarity to the requirements</w:t>
      </w:r>
      <w:r w:rsidR="00394256">
        <w:rPr>
          <w:rFonts w:ascii="Times New Roman" w:hAnsi="Times New Roman" w:cs="Times New Roman"/>
          <w:sz w:val="24"/>
          <w:szCs w:val="24"/>
        </w:rPr>
        <w:t xml:space="preserve"> of the FSSP scheme</w:t>
      </w:r>
      <w:r w:rsidR="00300EA4">
        <w:rPr>
          <w:rFonts w:ascii="Times New Roman" w:hAnsi="Times New Roman" w:cs="Times New Roman"/>
          <w:sz w:val="24"/>
          <w:szCs w:val="24"/>
        </w:rPr>
        <w:t>.</w:t>
      </w:r>
    </w:p>
    <w:p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rsidR="000D0E22" w:rsidRDefault="00E5390C" w:rsidP="00392C00">
      <w:pPr>
        <w:spacing w:before="120" w:after="12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r w:rsidRPr="00E5390C">
        <w:rPr>
          <w:rFonts w:ascii="Times New Roman" w:hAnsi="Times New Roman" w:cs="Times New Roman"/>
          <w:sz w:val="24"/>
          <w:szCs w:val="24"/>
        </w:rPr>
        <w:t xml:space="preserve">An addendum to the Regulation Impact Statement (RIS) previously prepared in relation to the Act (reference numbers: 42904 and 20489) has been prepared </w:t>
      </w:r>
      <w:r>
        <w:rPr>
          <w:rFonts w:ascii="Times New Roman" w:hAnsi="Times New Roman" w:cs="Times New Roman"/>
          <w:sz w:val="24"/>
          <w:szCs w:val="24"/>
        </w:rPr>
        <w:t xml:space="preserve">for the purpose of this instrument </w:t>
      </w:r>
      <w:r w:rsidRPr="00E5390C">
        <w:rPr>
          <w:rFonts w:ascii="Times New Roman" w:hAnsi="Times New Roman" w:cs="Times New Roman"/>
          <w:sz w:val="24"/>
          <w:szCs w:val="24"/>
        </w:rPr>
        <w:t>in accordance with the Australian Government Guide to Regulation</w:t>
      </w:r>
      <w:r w:rsidR="006171D1">
        <w:rPr>
          <w:rFonts w:ascii="Times New Roman" w:hAnsi="Times New Roman" w:cs="Times New Roman"/>
          <w:sz w:val="24"/>
          <w:szCs w:val="24"/>
        </w:rPr>
        <w:t>, which is</w:t>
      </w:r>
      <w:r w:rsidR="006C282D">
        <w:rPr>
          <w:rFonts w:ascii="Times New Roman" w:hAnsi="Times New Roman" w:cs="Times New Roman"/>
          <w:sz w:val="24"/>
          <w:szCs w:val="24"/>
        </w:rPr>
        <w:t xml:space="preserve"> </w:t>
      </w:r>
      <w:r w:rsidR="006171D1">
        <w:rPr>
          <w:rFonts w:ascii="Times New Roman" w:hAnsi="Times New Roman" w:cs="Times New Roman"/>
          <w:sz w:val="24"/>
          <w:szCs w:val="24"/>
        </w:rPr>
        <w:t>available at pmc.gov.au</w:t>
      </w:r>
      <w:r>
        <w:rPr>
          <w:rFonts w:ascii="Times New Roman" w:hAnsi="Times New Roman" w:cs="Times New Roman"/>
          <w:sz w:val="24"/>
          <w:szCs w:val="24"/>
        </w:rPr>
        <w:t xml:space="preserve">. A copy of the Addendum to the RIS </w:t>
      </w:r>
      <w:r w:rsidRPr="00E5390C">
        <w:rPr>
          <w:rFonts w:ascii="Times New Roman" w:hAnsi="Times New Roman" w:cs="Times New Roman"/>
          <w:sz w:val="24"/>
          <w:szCs w:val="24"/>
        </w:rPr>
        <w:t>is included at the end of this Explanatory Statement</w:t>
      </w:r>
      <w:r w:rsidR="00392C00">
        <w:rPr>
          <w:rFonts w:ascii="Times New Roman" w:hAnsi="Times New Roman" w:cs="Times New Roman"/>
          <w:sz w:val="24"/>
          <w:szCs w:val="24"/>
        </w:rPr>
        <w:t>.</w:t>
      </w:r>
      <w:r w:rsidRPr="00E5390C">
        <w:rPr>
          <w:rFonts w:ascii="Times New Roman" w:hAnsi="Times New Roman" w:cs="Times New Roman"/>
          <w:sz w:val="24"/>
          <w:szCs w:val="24"/>
        </w:rPr>
        <w:t xml:space="preserve"> </w:t>
      </w:r>
    </w:p>
    <w:p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F52713" w:rsidRPr="00F52713">
        <w:rPr>
          <w:rFonts w:ascii="Times New Roman" w:hAnsi="Times New Roman" w:cs="Times New Roman"/>
          <w:b/>
          <w:i/>
          <w:sz w:val="24"/>
          <w:szCs w:val="24"/>
          <w:u w:val="single"/>
        </w:rPr>
        <w:t>Fuel Security (Fuel Security Services Payment) Rule 2021</w:t>
      </w:r>
    </w:p>
    <w:p w:rsidR="00366EF0" w:rsidRDefault="00366EF0" w:rsidP="00366EF0">
      <w:pPr>
        <w:spacing w:before="240" w:after="240"/>
        <w:rPr>
          <w:rFonts w:ascii="Times New Roman" w:hAnsi="Times New Roman" w:cs="Times New Roman"/>
          <w:b/>
          <w:sz w:val="24"/>
          <w:szCs w:val="24"/>
        </w:rPr>
      </w:pPr>
      <w:r w:rsidRPr="008E11FC">
        <w:rPr>
          <w:rFonts w:ascii="Times New Roman" w:hAnsi="Times New Roman" w:cs="Times New Roman"/>
          <w:b/>
          <w:sz w:val="24"/>
          <w:szCs w:val="24"/>
        </w:rPr>
        <w:t xml:space="preserve">PART 1 </w:t>
      </w:r>
      <w:r>
        <w:rPr>
          <w:rFonts w:ascii="Times New Roman" w:hAnsi="Times New Roman" w:cs="Times New Roman"/>
          <w:b/>
          <w:sz w:val="24"/>
          <w:szCs w:val="24"/>
        </w:rPr>
        <w:t>–</w:t>
      </w:r>
      <w:r w:rsidRPr="008E11FC">
        <w:rPr>
          <w:rFonts w:ascii="Times New Roman" w:hAnsi="Times New Roman" w:cs="Times New Roman"/>
          <w:b/>
          <w:sz w:val="24"/>
          <w:szCs w:val="24"/>
        </w:rPr>
        <w:t xml:space="preserve"> PRELIMINARY</w:t>
      </w:r>
    </w:p>
    <w:p w:rsidR="006745C3" w:rsidRPr="006745C3" w:rsidRDefault="006745C3" w:rsidP="008D6802">
      <w:pPr>
        <w:keepNext/>
        <w:spacing w:before="360"/>
        <w:rPr>
          <w:rFonts w:ascii="Times New Roman" w:hAnsi="Times New Roman" w:cs="Times New Roman"/>
          <w:b/>
          <w:sz w:val="24"/>
          <w:szCs w:val="24"/>
        </w:rPr>
      </w:pPr>
      <w:r>
        <w:rPr>
          <w:rFonts w:ascii="Times New Roman" w:hAnsi="Times New Roman" w:cs="Times New Roman"/>
          <w:b/>
          <w:sz w:val="24"/>
          <w:szCs w:val="24"/>
        </w:rPr>
        <w:t>Section</w:t>
      </w:r>
      <w:r w:rsidR="00687DEB">
        <w:rPr>
          <w:rFonts w:ascii="Times New Roman" w:hAnsi="Times New Roman" w:cs="Times New Roman"/>
          <w:b/>
          <w:sz w:val="24"/>
          <w:szCs w:val="24"/>
        </w:rPr>
        <w:t xml:space="preserve"> 1 – Name</w:t>
      </w:r>
    </w:p>
    <w:p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w:t>
      </w:r>
      <w:r w:rsidR="00EA7012">
        <w:rPr>
          <w:rFonts w:ascii="Times New Roman" w:hAnsi="Times New Roman" w:cs="Times New Roman"/>
          <w:sz w:val="24"/>
          <w:szCs w:val="24"/>
        </w:rPr>
        <w:t>is</w:t>
      </w:r>
      <w:r w:rsidRPr="006745C3">
        <w:rPr>
          <w:rFonts w:ascii="Times New Roman" w:hAnsi="Times New Roman" w:cs="Times New Roman"/>
          <w:sz w:val="24"/>
          <w:szCs w:val="24"/>
        </w:rPr>
        <w:t xml:space="preserve"> </w:t>
      </w:r>
      <w:r w:rsidR="00EA7012">
        <w:rPr>
          <w:rFonts w:ascii="Times New Roman" w:hAnsi="Times New Roman" w:cs="Times New Roman"/>
          <w:sz w:val="24"/>
          <w:szCs w:val="24"/>
        </w:rPr>
        <w:t>instrument</w:t>
      </w:r>
      <w:r w:rsidR="00712A41">
        <w:rPr>
          <w:rFonts w:ascii="Times New Roman" w:hAnsi="Times New Roman" w:cs="Times New Roman"/>
          <w:sz w:val="24"/>
          <w:szCs w:val="24"/>
        </w:rPr>
        <w:t xml:space="preserve"> </w:t>
      </w:r>
      <w:r w:rsidRPr="006745C3">
        <w:rPr>
          <w:rFonts w:ascii="Times New Roman" w:hAnsi="Times New Roman" w:cs="Times New Roman"/>
          <w:sz w:val="24"/>
          <w:szCs w:val="24"/>
        </w:rPr>
        <w:t xml:space="preserve">as the </w:t>
      </w:r>
      <w:r w:rsidR="00712A41" w:rsidRPr="00712A41">
        <w:rPr>
          <w:rFonts w:ascii="Times New Roman" w:hAnsi="Times New Roman" w:cs="Times New Roman"/>
          <w:i/>
          <w:sz w:val="24"/>
          <w:szCs w:val="24"/>
        </w:rPr>
        <w:t>Fuel Security (Fuel Security Services Payment) Rule 2021</w:t>
      </w:r>
      <w:r w:rsidR="00712A41">
        <w:rPr>
          <w:rFonts w:ascii="Times New Roman" w:hAnsi="Times New Roman" w:cs="Times New Roman"/>
          <w:sz w:val="24"/>
          <w:szCs w:val="24"/>
        </w:rPr>
        <w:t xml:space="preserve"> (the Rule)</w:t>
      </w:r>
      <w:r>
        <w:rPr>
          <w:rFonts w:ascii="Times New Roman" w:hAnsi="Times New Roman" w:cs="Times New Roman"/>
          <w:i/>
          <w:sz w:val="24"/>
          <w:szCs w:val="24"/>
        </w:rPr>
        <w:t>.</w:t>
      </w:r>
    </w:p>
    <w:p w:rsidR="006745C3" w:rsidRPr="006745C3" w:rsidRDefault="006745C3" w:rsidP="008D6802">
      <w:pPr>
        <w:keepNext/>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712A41">
        <w:rPr>
          <w:rFonts w:ascii="Times New Roman" w:hAnsi="Times New Roman" w:cs="Times New Roman"/>
          <w:sz w:val="24"/>
          <w:szCs w:val="24"/>
        </w:rPr>
        <w:t xml:space="preserve">Rule </w:t>
      </w:r>
      <w:r w:rsidRPr="006745C3">
        <w:rPr>
          <w:rFonts w:ascii="Times New Roman" w:hAnsi="Times New Roman" w:cs="Times New Roman"/>
          <w:sz w:val="24"/>
          <w:szCs w:val="24"/>
        </w:rPr>
        <w:t>commence</w:t>
      </w:r>
      <w:r w:rsidR="00724263">
        <w:rPr>
          <w:rFonts w:ascii="Times New Roman" w:hAnsi="Times New Roman" w:cs="Times New Roman"/>
          <w:sz w:val="24"/>
          <w:szCs w:val="24"/>
        </w:rPr>
        <w:t>s</w:t>
      </w:r>
      <w:r w:rsidRPr="006745C3">
        <w:rPr>
          <w:rFonts w:ascii="Times New Roman" w:hAnsi="Times New Roman" w:cs="Times New Roman"/>
          <w:sz w:val="24"/>
          <w:szCs w:val="24"/>
        </w:rPr>
        <w:t xml:space="preserve"> on </w:t>
      </w:r>
      <w:r w:rsidR="00712A41">
        <w:rPr>
          <w:rFonts w:ascii="Times New Roman" w:hAnsi="Times New Roman" w:cs="Times New Roman"/>
          <w:color w:val="000000"/>
          <w:sz w:val="24"/>
          <w:szCs w:val="24"/>
        </w:rPr>
        <w:t xml:space="preserve">the day after </w:t>
      </w:r>
      <w:r w:rsidR="00EA7012">
        <w:rPr>
          <w:rFonts w:ascii="Times New Roman" w:hAnsi="Times New Roman" w:cs="Times New Roman"/>
          <w:color w:val="000000"/>
          <w:sz w:val="24"/>
          <w:szCs w:val="24"/>
        </w:rPr>
        <w:t>it</w:t>
      </w:r>
      <w:r w:rsidR="00712A41">
        <w:rPr>
          <w:rFonts w:ascii="Times New Roman" w:hAnsi="Times New Roman" w:cs="Times New Roman"/>
          <w:color w:val="000000"/>
          <w:sz w:val="24"/>
          <w:szCs w:val="24"/>
        </w:rPr>
        <w:t xml:space="preserve"> </w:t>
      </w:r>
      <w:r w:rsidR="00724263">
        <w:rPr>
          <w:rFonts w:ascii="Times New Roman" w:hAnsi="Times New Roman" w:cs="Times New Roman"/>
          <w:color w:val="000000"/>
          <w:sz w:val="24"/>
          <w:szCs w:val="24"/>
        </w:rPr>
        <w:t>is</w:t>
      </w:r>
      <w:r w:rsidR="00712A41">
        <w:rPr>
          <w:rFonts w:ascii="Times New Roman" w:hAnsi="Times New Roman" w:cs="Times New Roman"/>
          <w:color w:val="000000"/>
          <w:sz w:val="24"/>
          <w:szCs w:val="24"/>
        </w:rPr>
        <w:t xml:space="preserve"> registered on the Federal Register of Legislation</w:t>
      </w:r>
      <w:r w:rsidRPr="006745C3">
        <w:rPr>
          <w:rFonts w:ascii="Times New Roman" w:hAnsi="Times New Roman" w:cs="Times New Roman"/>
          <w:sz w:val="24"/>
          <w:szCs w:val="24"/>
        </w:rPr>
        <w:t>.</w:t>
      </w:r>
    </w:p>
    <w:p w:rsidR="006745C3" w:rsidRPr="006745C3" w:rsidRDefault="006745C3" w:rsidP="008D6802">
      <w:pPr>
        <w:keepNext/>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rsidR="006745C3" w:rsidRDefault="0009625C" w:rsidP="006745C3">
      <w:pPr>
        <w:spacing w:before="240"/>
        <w:rPr>
          <w:rFonts w:ascii="Times New Roman" w:hAnsi="Times New Roman" w:cs="Times New Roman"/>
          <w:sz w:val="24"/>
          <w:szCs w:val="24"/>
        </w:rPr>
      </w:pPr>
      <w:r>
        <w:rPr>
          <w:rFonts w:ascii="Times New Roman" w:hAnsi="Times New Roman" w:cs="Times New Roman"/>
          <w:sz w:val="24"/>
          <w:szCs w:val="24"/>
        </w:rPr>
        <w:t xml:space="preserve">Section 3 provides that the Rule </w:t>
      </w:r>
      <w:r w:rsidR="00175312">
        <w:rPr>
          <w:rFonts w:ascii="Times New Roman" w:hAnsi="Times New Roman" w:cs="Times New Roman"/>
          <w:sz w:val="24"/>
          <w:szCs w:val="24"/>
        </w:rPr>
        <w:t xml:space="preserve">is </w:t>
      </w:r>
      <w:r>
        <w:rPr>
          <w:rFonts w:ascii="Times New Roman" w:hAnsi="Times New Roman" w:cs="Times New Roman"/>
          <w:sz w:val="24"/>
          <w:szCs w:val="24"/>
        </w:rPr>
        <w:t xml:space="preserve">made under the Act. In particular, section 84 of the Act confers power on the Minister to make legislative rules. </w:t>
      </w:r>
      <w:r w:rsidR="00473996">
        <w:rPr>
          <w:rFonts w:ascii="Times New Roman" w:hAnsi="Times New Roman" w:cs="Times New Roman"/>
          <w:sz w:val="24"/>
          <w:szCs w:val="24"/>
        </w:rPr>
        <w:t xml:space="preserve">Subsection 84(3) </w:t>
      </w:r>
      <w:r w:rsidR="006A11BD">
        <w:rPr>
          <w:rFonts w:ascii="Times New Roman" w:hAnsi="Times New Roman" w:cs="Times New Roman"/>
          <w:sz w:val="24"/>
          <w:szCs w:val="24"/>
        </w:rPr>
        <w:t xml:space="preserve">of the Act includes the power for rules to prescribe matters by reference to other instruments or writing as in force from time to time. This power is used in section 12 </w:t>
      </w:r>
      <w:r w:rsidR="00083405">
        <w:rPr>
          <w:rFonts w:ascii="Times New Roman" w:hAnsi="Times New Roman" w:cs="Times New Roman"/>
          <w:sz w:val="24"/>
          <w:szCs w:val="24"/>
        </w:rPr>
        <w:t xml:space="preserve">of the </w:t>
      </w:r>
      <w:r w:rsidR="00393AAA">
        <w:rPr>
          <w:rFonts w:ascii="Times New Roman" w:hAnsi="Times New Roman" w:cs="Times New Roman"/>
          <w:sz w:val="24"/>
          <w:szCs w:val="24"/>
        </w:rPr>
        <w:t>Rule</w:t>
      </w:r>
      <w:r w:rsidR="00083405">
        <w:rPr>
          <w:rFonts w:ascii="Times New Roman" w:hAnsi="Times New Roman" w:cs="Times New Roman"/>
          <w:sz w:val="24"/>
          <w:szCs w:val="24"/>
        </w:rPr>
        <w:t xml:space="preserve"> </w:t>
      </w:r>
      <w:r w:rsidR="006A11BD">
        <w:rPr>
          <w:rFonts w:ascii="Times New Roman" w:hAnsi="Times New Roman" w:cs="Times New Roman"/>
          <w:sz w:val="24"/>
          <w:szCs w:val="24"/>
        </w:rPr>
        <w:t xml:space="preserve">to refer to key variables for the calculation of </w:t>
      </w:r>
      <w:r w:rsidR="003379D9">
        <w:rPr>
          <w:rFonts w:ascii="Times New Roman" w:hAnsi="Times New Roman" w:cs="Times New Roman"/>
          <w:sz w:val="24"/>
          <w:szCs w:val="24"/>
        </w:rPr>
        <w:t xml:space="preserve">the </w:t>
      </w:r>
      <w:r w:rsidR="006A11BD">
        <w:rPr>
          <w:rFonts w:ascii="Times New Roman" w:hAnsi="Times New Roman" w:cs="Times New Roman"/>
          <w:sz w:val="24"/>
          <w:szCs w:val="24"/>
        </w:rPr>
        <w:t xml:space="preserve">fuel security services payment </w:t>
      </w:r>
      <w:r w:rsidR="00FD2A17">
        <w:rPr>
          <w:rFonts w:ascii="Times New Roman" w:hAnsi="Times New Roman" w:cs="Times New Roman"/>
          <w:sz w:val="24"/>
          <w:szCs w:val="24"/>
        </w:rPr>
        <w:t>rate</w:t>
      </w:r>
      <w:r w:rsidR="00774C23">
        <w:rPr>
          <w:rFonts w:ascii="Times New Roman" w:hAnsi="Times New Roman" w:cs="Times New Roman"/>
          <w:sz w:val="24"/>
          <w:szCs w:val="24"/>
        </w:rPr>
        <w:t>,</w:t>
      </w:r>
      <w:r w:rsidR="00FD2A17">
        <w:rPr>
          <w:rFonts w:ascii="Times New Roman" w:hAnsi="Times New Roman" w:cs="Times New Roman"/>
          <w:sz w:val="24"/>
          <w:szCs w:val="24"/>
        </w:rPr>
        <w:t xml:space="preserve"> </w:t>
      </w:r>
      <w:r w:rsidR="006A11BD">
        <w:rPr>
          <w:rFonts w:ascii="Times New Roman" w:hAnsi="Times New Roman" w:cs="Times New Roman"/>
          <w:sz w:val="24"/>
          <w:szCs w:val="24"/>
        </w:rPr>
        <w:t>which var</w:t>
      </w:r>
      <w:r w:rsidR="00FD2A17">
        <w:rPr>
          <w:rFonts w:ascii="Times New Roman" w:hAnsi="Times New Roman" w:cs="Times New Roman"/>
          <w:sz w:val="24"/>
          <w:szCs w:val="24"/>
        </w:rPr>
        <w:t>ies</w:t>
      </w:r>
      <w:r w:rsidR="006A11BD">
        <w:rPr>
          <w:rFonts w:ascii="Times New Roman" w:hAnsi="Times New Roman" w:cs="Times New Roman"/>
          <w:sz w:val="24"/>
          <w:szCs w:val="24"/>
        </w:rPr>
        <w:t xml:space="preserve"> </w:t>
      </w:r>
      <w:r w:rsidR="00FD2A17">
        <w:rPr>
          <w:rFonts w:ascii="Times New Roman" w:hAnsi="Times New Roman" w:cs="Times New Roman"/>
          <w:sz w:val="24"/>
          <w:szCs w:val="24"/>
        </w:rPr>
        <w:t xml:space="preserve">by quarter </w:t>
      </w:r>
      <w:r w:rsidR="006A11BD">
        <w:rPr>
          <w:rFonts w:ascii="Times New Roman" w:hAnsi="Times New Roman" w:cs="Times New Roman"/>
          <w:sz w:val="24"/>
          <w:szCs w:val="24"/>
        </w:rPr>
        <w:t xml:space="preserve">for each refinery, </w:t>
      </w:r>
      <w:r w:rsidR="00FD2A17">
        <w:rPr>
          <w:rFonts w:ascii="Times New Roman" w:hAnsi="Times New Roman" w:cs="Times New Roman"/>
          <w:sz w:val="24"/>
          <w:szCs w:val="24"/>
        </w:rPr>
        <w:t>in response to changes in</w:t>
      </w:r>
      <w:r w:rsidR="006A11BD">
        <w:rPr>
          <w:rFonts w:ascii="Times New Roman" w:hAnsi="Times New Roman" w:cs="Times New Roman"/>
          <w:sz w:val="24"/>
          <w:szCs w:val="24"/>
        </w:rPr>
        <w:t xml:space="preserve"> prevailing fuel prices</w:t>
      </w:r>
      <w:r w:rsidR="00FD2A17">
        <w:rPr>
          <w:rFonts w:ascii="Times New Roman" w:hAnsi="Times New Roman" w:cs="Times New Roman"/>
          <w:sz w:val="24"/>
          <w:szCs w:val="24"/>
        </w:rPr>
        <w:t xml:space="preserve"> and shipping costs</w:t>
      </w:r>
      <w:r w:rsidR="006A11BD">
        <w:rPr>
          <w:rFonts w:ascii="Times New Roman" w:hAnsi="Times New Roman" w:cs="Times New Roman"/>
          <w:sz w:val="24"/>
          <w:szCs w:val="24"/>
        </w:rPr>
        <w:t xml:space="preserve">. This is essential to setting the level of the payments relative to current market conditions. </w:t>
      </w:r>
    </w:p>
    <w:p w:rsidR="006745C3" w:rsidRDefault="006745C3" w:rsidP="008D6802">
      <w:pPr>
        <w:keepNext/>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rsidR="00712A41"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F52713">
        <w:rPr>
          <w:rFonts w:ascii="Times New Roman" w:hAnsi="Times New Roman" w:cs="Times New Roman"/>
          <w:sz w:val="24"/>
          <w:szCs w:val="24"/>
        </w:rPr>
        <w:t>section</w:t>
      </w:r>
      <w:r w:rsidRPr="006745C3">
        <w:rPr>
          <w:rFonts w:ascii="Times New Roman" w:hAnsi="Times New Roman" w:cs="Times New Roman"/>
          <w:sz w:val="24"/>
          <w:szCs w:val="24"/>
        </w:rPr>
        <w:t xml:space="preserve"> provides for definitions of terms used in the</w:t>
      </w:r>
      <w:r>
        <w:rPr>
          <w:rFonts w:ascii="Times New Roman" w:hAnsi="Times New Roman" w:cs="Times New Roman"/>
          <w:sz w:val="24"/>
          <w:szCs w:val="24"/>
        </w:rPr>
        <w:t xml:space="preserve"> </w:t>
      </w:r>
      <w:r w:rsidR="00712A41">
        <w:rPr>
          <w:rFonts w:ascii="Times New Roman" w:hAnsi="Times New Roman" w:cs="Times New Roman"/>
          <w:sz w:val="24"/>
          <w:szCs w:val="24"/>
        </w:rPr>
        <w:t>Rule</w:t>
      </w:r>
      <w:r w:rsidR="00FD76F4">
        <w:rPr>
          <w:rFonts w:ascii="Times New Roman" w:hAnsi="Times New Roman" w:cs="Times New Roman"/>
          <w:sz w:val="24"/>
          <w:szCs w:val="24"/>
        </w:rPr>
        <w:t xml:space="preserve"> that are not otherwise defined in the Act or are intended to have a different meaning to a term defined under the Act</w:t>
      </w:r>
      <w:r w:rsidR="0009625C">
        <w:rPr>
          <w:rFonts w:ascii="Times New Roman" w:hAnsi="Times New Roman" w:cs="Times New Roman"/>
          <w:sz w:val="24"/>
          <w:szCs w:val="24"/>
        </w:rPr>
        <w:t xml:space="preserve">, for example the definition of </w:t>
      </w:r>
      <w:r w:rsidR="00A910DD">
        <w:rPr>
          <w:rFonts w:ascii="Times New Roman" w:hAnsi="Times New Roman" w:cs="Times New Roman"/>
          <w:sz w:val="24"/>
          <w:szCs w:val="24"/>
        </w:rPr>
        <w:t>“</w:t>
      </w:r>
      <w:r w:rsidR="00210C70">
        <w:rPr>
          <w:rFonts w:ascii="Times New Roman" w:hAnsi="Times New Roman" w:cs="Times New Roman"/>
          <w:i/>
          <w:sz w:val="24"/>
          <w:szCs w:val="24"/>
        </w:rPr>
        <w:t>feed</w:t>
      </w:r>
      <w:r w:rsidR="00210C70" w:rsidRPr="00C27918">
        <w:rPr>
          <w:rFonts w:ascii="Times New Roman" w:hAnsi="Times New Roman" w:cs="Times New Roman"/>
          <w:i/>
          <w:sz w:val="24"/>
          <w:szCs w:val="24"/>
        </w:rPr>
        <w:t>stock</w:t>
      </w:r>
      <w:r w:rsidR="00A910DD">
        <w:rPr>
          <w:rFonts w:ascii="Times New Roman" w:hAnsi="Times New Roman" w:cs="Times New Roman"/>
          <w:i/>
          <w:sz w:val="24"/>
          <w:szCs w:val="24"/>
        </w:rPr>
        <w:t>”</w:t>
      </w:r>
      <w:r w:rsidR="0009625C">
        <w:rPr>
          <w:rFonts w:ascii="Times New Roman" w:hAnsi="Times New Roman" w:cs="Times New Roman"/>
          <w:sz w:val="24"/>
          <w:szCs w:val="24"/>
        </w:rPr>
        <w:t xml:space="preserve"> is intended to be defined differently under the Act and the Rule</w:t>
      </w:r>
      <w:r>
        <w:rPr>
          <w:rFonts w:ascii="Times New Roman" w:hAnsi="Times New Roman" w:cs="Times New Roman"/>
          <w:sz w:val="24"/>
          <w:szCs w:val="24"/>
        </w:rPr>
        <w:t>.</w:t>
      </w:r>
      <w:r w:rsidR="006A11BD">
        <w:rPr>
          <w:rFonts w:ascii="Times New Roman" w:hAnsi="Times New Roman" w:cs="Times New Roman"/>
          <w:sz w:val="24"/>
          <w:szCs w:val="24"/>
        </w:rPr>
        <w:t xml:space="preserve"> </w:t>
      </w:r>
      <w:r w:rsidR="00A63402">
        <w:rPr>
          <w:rFonts w:ascii="Times New Roman" w:hAnsi="Times New Roman" w:cs="Times New Roman"/>
          <w:sz w:val="24"/>
          <w:szCs w:val="24"/>
        </w:rPr>
        <w:t>Key definitions include the following</w:t>
      </w:r>
      <w:r w:rsidR="006A11BD">
        <w:rPr>
          <w:rFonts w:ascii="Times New Roman" w:hAnsi="Times New Roman" w:cs="Times New Roman"/>
          <w:sz w:val="24"/>
          <w:szCs w:val="24"/>
        </w:rPr>
        <w:t>:</w:t>
      </w:r>
    </w:p>
    <w:p w:rsidR="006A11BD" w:rsidRDefault="00422BA1" w:rsidP="006A11BD">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b/>
          <w:i/>
          <w:sz w:val="24"/>
          <w:szCs w:val="24"/>
        </w:rPr>
        <w:t>b</w:t>
      </w:r>
      <w:r w:rsidR="006A11BD" w:rsidRPr="008F0C06">
        <w:rPr>
          <w:rFonts w:ascii="Times New Roman" w:hAnsi="Times New Roman" w:cs="Times New Roman"/>
          <w:b/>
          <w:i/>
          <w:sz w:val="24"/>
          <w:szCs w:val="24"/>
        </w:rPr>
        <w:t xml:space="preserve">lendstock </w:t>
      </w:r>
      <w:r w:rsidR="006A11BD">
        <w:rPr>
          <w:rFonts w:ascii="Times New Roman" w:hAnsi="Times New Roman" w:cs="Times New Roman"/>
          <w:sz w:val="24"/>
          <w:szCs w:val="24"/>
        </w:rPr>
        <w:t>is defined to cover a range of</w:t>
      </w:r>
      <w:r w:rsidR="009976D8">
        <w:rPr>
          <w:rFonts w:ascii="Times New Roman" w:hAnsi="Times New Roman" w:cs="Times New Roman"/>
          <w:sz w:val="24"/>
          <w:szCs w:val="24"/>
        </w:rPr>
        <w:t xml:space="preserve"> finished products</w:t>
      </w:r>
      <w:r w:rsidR="006A11BD">
        <w:rPr>
          <w:rFonts w:ascii="Times New Roman" w:hAnsi="Times New Roman" w:cs="Times New Roman"/>
          <w:sz w:val="24"/>
          <w:szCs w:val="24"/>
        </w:rPr>
        <w:t xml:space="preserve"> which are</w:t>
      </w:r>
      <w:r w:rsidR="00E87ED0">
        <w:rPr>
          <w:rFonts w:ascii="Times New Roman" w:hAnsi="Times New Roman" w:cs="Times New Roman"/>
          <w:sz w:val="24"/>
          <w:szCs w:val="24"/>
        </w:rPr>
        <w:t xml:space="preserve"> not refined at the committed refinery </w:t>
      </w:r>
      <w:r w:rsidR="00A63402">
        <w:rPr>
          <w:rFonts w:ascii="Times New Roman" w:hAnsi="Times New Roman" w:cs="Times New Roman"/>
          <w:sz w:val="24"/>
          <w:szCs w:val="24"/>
        </w:rPr>
        <w:t xml:space="preserve">(rather, they are imported to the refinery) </w:t>
      </w:r>
      <w:r w:rsidR="009976D8">
        <w:rPr>
          <w:rFonts w:ascii="Times New Roman" w:hAnsi="Times New Roman" w:cs="Times New Roman"/>
          <w:sz w:val="24"/>
          <w:szCs w:val="24"/>
        </w:rPr>
        <w:t xml:space="preserve">and </w:t>
      </w:r>
      <w:r w:rsidR="00E87ED0">
        <w:rPr>
          <w:rFonts w:ascii="Times New Roman" w:hAnsi="Times New Roman" w:cs="Times New Roman"/>
          <w:sz w:val="24"/>
          <w:szCs w:val="24"/>
        </w:rPr>
        <w:t>are</w:t>
      </w:r>
      <w:r w:rsidR="006A11BD">
        <w:rPr>
          <w:rFonts w:ascii="Times New Roman" w:hAnsi="Times New Roman" w:cs="Times New Roman"/>
          <w:sz w:val="24"/>
          <w:szCs w:val="24"/>
        </w:rPr>
        <w:t xml:space="preserve"> not included in </w:t>
      </w:r>
      <w:r w:rsidR="00942CAF">
        <w:rPr>
          <w:rFonts w:ascii="Times New Roman" w:hAnsi="Times New Roman" w:cs="Times New Roman"/>
          <w:sz w:val="24"/>
          <w:szCs w:val="24"/>
        </w:rPr>
        <w:t xml:space="preserve">determining </w:t>
      </w:r>
      <w:r w:rsidR="006A11BD">
        <w:rPr>
          <w:rFonts w:ascii="Times New Roman" w:hAnsi="Times New Roman" w:cs="Times New Roman"/>
          <w:sz w:val="24"/>
          <w:szCs w:val="24"/>
        </w:rPr>
        <w:t>the volume of FSSP fuels under section 13</w:t>
      </w:r>
      <w:r w:rsidR="00A910DD">
        <w:rPr>
          <w:rFonts w:ascii="Times New Roman" w:hAnsi="Times New Roman" w:cs="Times New Roman"/>
          <w:sz w:val="24"/>
          <w:szCs w:val="24"/>
        </w:rPr>
        <w:t xml:space="preserve"> </w:t>
      </w:r>
      <w:r w:rsidR="00591537">
        <w:rPr>
          <w:rFonts w:ascii="Times New Roman" w:hAnsi="Times New Roman" w:cs="Times New Roman"/>
          <w:sz w:val="24"/>
          <w:szCs w:val="24"/>
        </w:rPr>
        <w:t xml:space="preserve">of the </w:t>
      </w:r>
      <w:r w:rsidR="00A910DD">
        <w:rPr>
          <w:rFonts w:ascii="Times New Roman" w:hAnsi="Times New Roman" w:cs="Times New Roman"/>
          <w:sz w:val="24"/>
          <w:szCs w:val="24"/>
        </w:rPr>
        <w:t>Rule</w:t>
      </w:r>
      <w:r w:rsidR="006A11BD" w:rsidRPr="0022031A">
        <w:rPr>
          <w:rFonts w:ascii="Times New Roman" w:hAnsi="Times New Roman" w:cs="Times New Roman"/>
          <w:sz w:val="24"/>
          <w:szCs w:val="24"/>
        </w:rPr>
        <w:t>.</w:t>
      </w:r>
      <w:r w:rsidR="006A11BD">
        <w:rPr>
          <w:rFonts w:ascii="Times New Roman" w:hAnsi="Times New Roman" w:cs="Times New Roman"/>
          <w:sz w:val="24"/>
          <w:szCs w:val="24"/>
        </w:rPr>
        <w:t xml:space="preserve"> However, </w:t>
      </w:r>
      <w:r w:rsidR="00A63402">
        <w:rPr>
          <w:rFonts w:ascii="Times New Roman" w:hAnsi="Times New Roman" w:cs="Times New Roman"/>
          <w:sz w:val="24"/>
          <w:szCs w:val="24"/>
        </w:rPr>
        <w:t xml:space="preserve">the note to the definition of “blendstock” advises the reader that </w:t>
      </w:r>
      <w:r w:rsidR="00C33631">
        <w:rPr>
          <w:rFonts w:ascii="Times New Roman" w:hAnsi="Times New Roman" w:cs="Times New Roman"/>
          <w:sz w:val="24"/>
          <w:szCs w:val="24"/>
        </w:rPr>
        <w:t xml:space="preserve">a </w:t>
      </w:r>
      <w:r w:rsidR="006A11BD">
        <w:rPr>
          <w:rFonts w:ascii="Times New Roman" w:hAnsi="Times New Roman" w:cs="Times New Roman"/>
          <w:sz w:val="24"/>
          <w:szCs w:val="24"/>
        </w:rPr>
        <w:t xml:space="preserve">feedstock </w:t>
      </w:r>
      <w:r w:rsidR="00A63402">
        <w:rPr>
          <w:rFonts w:ascii="Times New Roman" w:hAnsi="Times New Roman" w:cs="Times New Roman"/>
          <w:sz w:val="24"/>
          <w:szCs w:val="24"/>
        </w:rPr>
        <w:t xml:space="preserve">(a term that is </w:t>
      </w:r>
      <w:r w:rsidR="006A11BD">
        <w:rPr>
          <w:rFonts w:ascii="Times New Roman" w:hAnsi="Times New Roman" w:cs="Times New Roman"/>
          <w:sz w:val="24"/>
          <w:szCs w:val="24"/>
        </w:rPr>
        <w:t xml:space="preserve">also </w:t>
      </w:r>
      <w:r w:rsidR="00A910DD">
        <w:rPr>
          <w:rFonts w:ascii="Times New Roman" w:hAnsi="Times New Roman" w:cs="Times New Roman"/>
          <w:sz w:val="24"/>
          <w:szCs w:val="24"/>
        </w:rPr>
        <w:t xml:space="preserve">defined </w:t>
      </w:r>
      <w:r w:rsidR="006A11BD">
        <w:rPr>
          <w:rFonts w:ascii="Times New Roman" w:hAnsi="Times New Roman" w:cs="Times New Roman"/>
          <w:sz w:val="24"/>
          <w:szCs w:val="24"/>
        </w:rPr>
        <w:t>in section 4</w:t>
      </w:r>
      <w:r w:rsidR="00AD147F">
        <w:rPr>
          <w:rFonts w:ascii="Times New Roman" w:hAnsi="Times New Roman" w:cs="Times New Roman"/>
          <w:sz w:val="24"/>
          <w:szCs w:val="24"/>
        </w:rPr>
        <w:t xml:space="preserve"> of the Rule</w:t>
      </w:r>
      <w:r w:rsidR="00A63402">
        <w:rPr>
          <w:rFonts w:ascii="Times New Roman" w:hAnsi="Times New Roman" w:cs="Times New Roman"/>
          <w:sz w:val="24"/>
          <w:szCs w:val="24"/>
        </w:rPr>
        <w:t xml:space="preserve"> – see explanatory note below)</w:t>
      </w:r>
      <w:r w:rsidR="006A11BD">
        <w:rPr>
          <w:rFonts w:ascii="Times New Roman" w:hAnsi="Times New Roman" w:cs="Times New Roman"/>
          <w:sz w:val="24"/>
          <w:szCs w:val="24"/>
        </w:rPr>
        <w:t xml:space="preserve">, </w:t>
      </w:r>
      <w:r w:rsidR="00A63402">
        <w:rPr>
          <w:rFonts w:ascii="Times New Roman" w:hAnsi="Times New Roman" w:cs="Times New Roman"/>
          <w:sz w:val="24"/>
          <w:szCs w:val="24"/>
        </w:rPr>
        <w:t xml:space="preserve">which </w:t>
      </w:r>
      <w:r w:rsidR="00C33631">
        <w:rPr>
          <w:rFonts w:ascii="Times New Roman" w:hAnsi="Times New Roman" w:cs="Times New Roman"/>
          <w:sz w:val="24"/>
          <w:szCs w:val="24"/>
        </w:rPr>
        <w:t>is</w:t>
      </w:r>
      <w:r w:rsidR="00A63402">
        <w:rPr>
          <w:rFonts w:ascii="Times New Roman" w:hAnsi="Times New Roman" w:cs="Times New Roman"/>
          <w:sz w:val="24"/>
          <w:szCs w:val="24"/>
        </w:rPr>
        <w:t xml:space="preserve"> </w:t>
      </w:r>
      <w:r w:rsidR="006A11BD">
        <w:rPr>
          <w:rFonts w:ascii="Times New Roman" w:hAnsi="Times New Roman" w:cs="Times New Roman"/>
          <w:sz w:val="24"/>
          <w:szCs w:val="24"/>
        </w:rPr>
        <w:t xml:space="preserve">transformed at the refinery </w:t>
      </w:r>
      <w:r w:rsidR="00C33631">
        <w:rPr>
          <w:rFonts w:ascii="Times New Roman" w:hAnsi="Times New Roman" w:cs="Times New Roman"/>
          <w:sz w:val="24"/>
          <w:szCs w:val="24"/>
        </w:rPr>
        <w:t xml:space="preserve">is </w:t>
      </w:r>
      <w:r w:rsidR="006A11BD">
        <w:rPr>
          <w:rFonts w:ascii="Times New Roman" w:hAnsi="Times New Roman" w:cs="Times New Roman"/>
          <w:sz w:val="24"/>
          <w:szCs w:val="24"/>
        </w:rPr>
        <w:t>not</w:t>
      </w:r>
      <w:r w:rsidR="00C33631">
        <w:rPr>
          <w:rFonts w:ascii="Times New Roman" w:hAnsi="Times New Roman" w:cs="Times New Roman"/>
          <w:sz w:val="24"/>
          <w:szCs w:val="24"/>
        </w:rPr>
        <w:t xml:space="preserve"> a</w:t>
      </w:r>
      <w:r w:rsidR="006A11BD">
        <w:rPr>
          <w:rFonts w:ascii="Times New Roman" w:hAnsi="Times New Roman" w:cs="Times New Roman"/>
          <w:sz w:val="24"/>
          <w:szCs w:val="24"/>
        </w:rPr>
        <w:t xml:space="preserve"> blendstock for this purpose.</w:t>
      </w:r>
    </w:p>
    <w:p w:rsidR="00392C00" w:rsidRPr="00552846" w:rsidRDefault="00422BA1" w:rsidP="00552846">
      <w:pPr>
        <w:pStyle w:val="ListParagraph"/>
        <w:numPr>
          <w:ilvl w:val="0"/>
          <w:numId w:val="1"/>
        </w:numPr>
        <w:spacing w:before="240"/>
        <w:rPr>
          <w:rFonts w:ascii="Times New Roman" w:hAnsi="Times New Roman" w:cs="Times New Roman"/>
          <w:b/>
          <w:i/>
          <w:sz w:val="24"/>
          <w:szCs w:val="24"/>
        </w:rPr>
      </w:pPr>
      <w:r>
        <w:rPr>
          <w:rFonts w:ascii="Times New Roman" w:hAnsi="Times New Roman" w:cs="Times New Roman"/>
          <w:b/>
          <w:i/>
          <w:sz w:val="24"/>
          <w:szCs w:val="24"/>
        </w:rPr>
        <w:t>f</w:t>
      </w:r>
      <w:r w:rsidR="006A11BD" w:rsidRPr="008F0C06">
        <w:rPr>
          <w:rFonts w:ascii="Times New Roman" w:hAnsi="Times New Roman" w:cs="Times New Roman"/>
          <w:b/>
          <w:i/>
          <w:sz w:val="24"/>
          <w:szCs w:val="24"/>
        </w:rPr>
        <w:t>eedstock</w:t>
      </w:r>
      <w:r w:rsidR="006A11BD">
        <w:rPr>
          <w:rFonts w:ascii="Times New Roman" w:hAnsi="Times New Roman" w:cs="Times New Roman"/>
          <w:sz w:val="24"/>
          <w:szCs w:val="24"/>
        </w:rPr>
        <w:t xml:space="preserve"> is defined broadly to cover a range of inputs, such as crude oil and condensate</w:t>
      </w:r>
      <w:r w:rsidR="00C33631">
        <w:rPr>
          <w:rFonts w:ascii="Times New Roman" w:hAnsi="Times New Roman" w:cs="Times New Roman"/>
          <w:sz w:val="24"/>
          <w:szCs w:val="24"/>
        </w:rPr>
        <w:t>,</w:t>
      </w:r>
      <w:r w:rsidR="006A11BD">
        <w:rPr>
          <w:rFonts w:ascii="Times New Roman" w:hAnsi="Times New Roman" w:cs="Times New Roman"/>
          <w:sz w:val="24"/>
          <w:szCs w:val="24"/>
        </w:rPr>
        <w:t xml:space="preserve"> that are transformed into </w:t>
      </w:r>
      <w:r w:rsidR="008F0C06">
        <w:rPr>
          <w:rFonts w:ascii="Times New Roman" w:hAnsi="Times New Roman" w:cs="Times New Roman"/>
          <w:sz w:val="24"/>
          <w:szCs w:val="24"/>
        </w:rPr>
        <w:t xml:space="preserve">petroleum products at the refinery. This is </w:t>
      </w:r>
      <w:r w:rsidR="00FF6D79">
        <w:rPr>
          <w:rFonts w:ascii="Times New Roman" w:hAnsi="Times New Roman" w:cs="Times New Roman"/>
          <w:sz w:val="24"/>
          <w:szCs w:val="24"/>
        </w:rPr>
        <w:t>not relevant</w:t>
      </w:r>
      <w:r w:rsidR="008F0C06">
        <w:rPr>
          <w:rFonts w:ascii="Times New Roman" w:hAnsi="Times New Roman" w:cs="Times New Roman"/>
          <w:sz w:val="24"/>
          <w:szCs w:val="24"/>
        </w:rPr>
        <w:t xml:space="preserve"> to the Minimum Stockholding Obligation use of the term feedstock in the Act.</w:t>
      </w:r>
      <w:r w:rsidR="00552846">
        <w:rPr>
          <w:rFonts w:ascii="Times New Roman" w:hAnsi="Times New Roman" w:cs="Times New Roman"/>
          <w:sz w:val="24"/>
          <w:szCs w:val="24"/>
        </w:rPr>
        <w:t xml:space="preserve"> T</w:t>
      </w:r>
      <w:r w:rsidR="00C2591A" w:rsidRPr="00552846">
        <w:rPr>
          <w:rFonts w:ascii="Times New Roman" w:hAnsi="Times New Roman" w:cs="Times New Roman"/>
          <w:sz w:val="24"/>
          <w:szCs w:val="24"/>
        </w:rPr>
        <w:t xml:space="preserve">he </w:t>
      </w:r>
      <w:r w:rsidR="00A22B9D" w:rsidRPr="00552846">
        <w:rPr>
          <w:rFonts w:ascii="Times New Roman" w:hAnsi="Times New Roman" w:cs="Times New Roman"/>
          <w:sz w:val="24"/>
          <w:szCs w:val="24"/>
        </w:rPr>
        <w:t>feedstocks and crude oil involved in refining may come from domestic or international sources.</w:t>
      </w:r>
    </w:p>
    <w:p w:rsidR="006A11BD" w:rsidRPr="00552846" w:rsidRDefault="00232804" w:rsidP="00114505">
      <w:pPr>
        <w:pStyle w:val="ListParagraph"/>
        <w:numPr>
          <w:ilvl w:val="0"/>
          <w:numId w:val="1"/>
        </w:numPr>
        <w:spacing w:before="240"/>
        <w:rPr>
          <w:rFonts w:ascii="Times New Roman" w:hAnsi="Times New Roman" w:cs="Times New Roman"/>
          <w:b/>
          <w:i/>
          <w:sz w:val="24"/>
          <w:szCs w:val="24"/>
        </w:rPr>
      </w:pPr>
      <w:r w:rsidRPr="00552846">
        <w:rPr>
          <w:rFonts w:ascii="Times New Roman" w:hAnsi="Times New Roman" w:cs="Times New Roman"/>
          <w:b/>
          <w:i/>
          <w:sz w:val="24"/>
          <w:szCs w:val="24"/>
        </w:rPr>
        <w:t>force majeure event</w:t>
      </w:r>
      <w:r>
        <w:rPr>
          <w:rFonts w:ascii="Times New Roman" w:hAnsi="Times New Roman" w:cs="Times New Roman"/>
          <w:sz w:val="24"/>
          <w:szCs w:val="24"/>
        </w:rPr>
        <w:t xml:space="preserve"> is a signpost definition</w:t>
      </w:r>
      <w:r w:rsidR="005E08A9" w:rsidRPr="005E08A9">
        <w:t xml:space="preserve"> </w:t>
      </w:r>
      <w:r w:rsidR="005E08A9" w:rsidRPr="005E08A9">
        <w:rPr>
          <w:rFonts w:ascii="Times New Roman" w:hAnsi="Times New Roman" w:cs="Times New Roman"/>
          <w:sz w:val="24"/>
          <w:szCs w:val="24"/>
        </w:rPr>
        <w:t xml:space="preserve">that refers readers to </w:t>
      </w:r>
      <w:r>
        <w:rPr>
          <w:rFonts w:ascii="Times New Roman" w:hAnsi="Times New Roman" w:cs="Times New Roman"/>
          <w:sz w:val="24"/>
          <w:szCs w:val="24"/>
        </w:rPr>
        <w:t>subsection 20(3)</w:t>
      </w:r>
      <w:r w:rsidR="00527B3B">
        <w:rPr>
          <w:rFonts w:ascii="Times New Roman" w:hAnsi="Times New Roman" w:cs="Times New Roman"/>
          <w:sz w:val="24"/>
          <w:szCs w:val="24"/>
        </w:rPr>
        <w:t xml:space="preserve"> of the Rule</w:t>
      </w:r>
      <w:r w:rsidR="005E08A9" w:rsidRPr="005E08A9">
        <w:t xml:space="preserve"> </w:t>
      </w:r>
      <w:r w:rsidR="005E08A9" w:rsidRPr="005E08A9">
        <w:rPr>
          <w:rFonts w:ascii="Times New Roman" w:hAnsi="Times New Roman" w:cs="Times New Roman"/>
          <w:sz w:val="24"/>
          <w:szCs w:val="24"/>
        </w:rPr>
        <w:t>in which the term is substantively defined</w:t>
      </w:r>
      <w:r w:rsidR="00A63402">
        <w:rPr>
          <w:rFonts w:ascii="Times New Roman" w:hAnsi="Times New Roman" w:cs="Times New Roman"/>
          <w:sz w:val="24"/>
          <w:szCs w:val="24"/>
        </w:rPr>
        <w:t xml:space="preserve"> </w:t>
      </w:r>
      <w:r w:rsidR="00114505" w:rsidRPr="00114505">
        <w:rPr>
          <w:rFonts w:ascii="Times New Roman" w:hAnsi="Times New Roman" w:cs="Times New Roman"/>
          <w:sz w:val="24"/>
          <w:szCs w:val="24"/>
        </w:rPr>
        <w:t xml:space="preserve">in similar terms to the commercial </w:t>
      </w:r>
      <w:r w:rsidR="00114505" w:rsidRPr="00114505">
        <w:rPr>
          <w:rFonts w:ascii="Times New Roman" w:hAnsi="Times New Roman" w:cs="Times New Roman"/>
          <w:sz w:val="24"/>
          <w:szCs w:val="24"/>
        </w:rPr>
        <w:lastRenderedPageBreak/>
        <w:t xml:space="preserve">concept of force majeure (e.g. natural disasters, war, epidemic, </w:t>
      </w:r>
      <w:r w:rsidR="00E34B53">
        <w:rPr>
          <w:rFonts w:ascii="Times New Roman" w:hAnsi="Times New Roman" w:cs="Times New Roman"/>
          <w:sz w:val="24"/>
          <w:szCs w:val="24"/>
        </w:rPr>
        <w:t>etc</w:t>
      </w:r>
      <w:r w:rsidR="00114505" w:rsidRPr="00114505">
        <w:rPr>
          <w:rFonts w:ascii="Times New Roman" w:hAnsi="Times New Roman" w:cs="Times New Roman"/>
          <w:sz w:val="24"/>
          <w:szCs w:val="24"/>
        </w:rPr>
        <w:t xml:space="preserve">) </w:t>
      </w:r>
      <w:r w:rsidR="00A63402">
        <w:rPr>
          <w:rFonts w:ascii="Times New Roman" w:hAnsi="Times New Roman" w:cs="Times New Roman"/>
          <w:sz w:val="24"/>
          <w:szCs w:val="24"/>
        </w:rPr>
        <w:t>(see explanatory note for subsection 20(3) of the Rule below)</w:t>
      </w:r>
      <w:r>
        <w:rPr>
          <w:rFonts w:ascii="Times New Roman" w:hAnsi="Times New Roman" w:cs="Times New Roman"/>
          <w:sz w:val="24"/>
          <w:szCs w:val="24"/>
        </w:rPr>
        <w:t>.</w:t>
      </w:r>
    </w:p>
    <w:p w:rsidR="00232804" w:rsidRDefault="000E7D99" w:rsidP="006A11BD">
      <w:pPr>
        <w:pStyle w:val="ListParagraph"/>
        <w:numPr>
          <w:ilvl w:val="0"/>
          <w:numId w:val="1"/>
        </w:numPr>
        <w:spacing w:before="240"/>
        <w:rPr>
          <w:rFonts w:ascii="Times New Roman" w:hAnsi="Times New Roman" w:cs="Times New Roman"/>
          <w:sz w:val="24"/>
          <w:szCs w:val="24"/>
        </w:rPr>
      </w:pPr>
      <w:r w:rsidRPr="000E7D99">
        <w:rPr>
          <w:rFonts w:ascii="Times New Roman" w:hAnsi="Times New Roman" w:cs="Times New Roman"/>
          <w:b/>
          <w:i/>
          <w:sz w:val="24"/>
          <w:szCs w:val="24"/>
        </w:rPr>
        <w:t>guidelines</w:t>
      </w:r>
      <w:r>
        <w:rPr>
          <w:rFonts w:ascii="Times New Roman" w:hAnsi="Times New Roman" w:cs="Times New Roman"/>
          <w:sz w:val="24"/>
          <w:szCs w:val="24"/>
        </w:rPr>
        <w:t xml:space="preserve"> are </w:t>
      </w:r>
      <w:r w:rsidR="00527B3B">
        <w:rPr>
          <w:rFonts w:ascii="Times New Roman" w:hAnsi="Times New Roman" w:cs="Times New Roman"/>
          <w:sz w:val="24"/>
          <w:szCs w:val="24"/>
        </w:rPr>
        <w:t xml:space="preserve">defined as </w:t>
      </w:r>
      <w:r>
        <w:rPr>
          <w:rFonts w:ascii="Times New Roman" w:hAnsi="Times New Roman" w:cs="Times New Roman"/>
          <w:sz w:val="24"/>
          <w:szCs w:val="24"/>
        </w:rPr>
        <w:t xml:space="preserve">the </w:t>
      </w:r>
      <w:r w:rsidRPr="000E7D99">
        <w:rPr>
          <w:rFonts w:ascii="Times New Roman" w:hAnsi="Times New Roman" w:cs="Times New Roman"/>
          <w:i/>
          <w:sz w:val="24"/>
          <w:szCs w:val="24"/>
        </w:rPr>
        <w:t>Fuel Security (Fuel Security Services Payment) Guidelines 2021</w:t>
      </w:r>
      <w:r>
        <w:rPr>
          <w:rFonts w:ascii="Times New Roman" w:hAnsi="Times New Roman" w:cs="Times New Roman"/>
          <w:i/>
          <w:sz w:val="24"/>
          <w:szCs w:val="24"/>
        </w:rPr>
        <w:t xml:space="preserve">, </w:t>
      </w:r>
      <w:r w:rsidRPr="000E7D99">
        <w:rPr>
          <w:rFonts w:ascii="Times New Roman" w:hAnsi="Times New Roman" w:cs="Times New Roman"/>
          <w:sz w:val="24"/>
          <w:szCs w:val="24"/>
        </w:rPr>
        <w:t xml:space="preserve">a notifiable instrument </w:t>
      </w:r>
      <w:r w:rsidR="00591537">
        <w:rPr>
          <w:rFonts w:ascii="Times New Roman" w:hAnsi="Times New Roman" w:cs="Times New Roman"/>
          <w:sz w:val="24"/>
          <w:szCs w:val="24"/>
        </w:rPr>
        <w:t xml:space="preserve">made </w:t>
      </w:r>
      <w:r w:rsidRPr="000E7D99">
        <w:rPr>
          <w:rFonts w:ascii="Times New Roman" w:hAnsi="Times New Roman" w:cs="Times New Roman"/>
          <w:sz w:val="24"/>
          <w:szCs w:val="24"/>
        </w:rPr>
        <w:t>under subsection 4</w:t>
      </w:r>
      <w:r w:rsidR="00C5668B">
        <w:rPr>
          <w:rFonts w:ascii="Times New Roman" w:hAnsi="Times New Roman" w:cs="Times New Roman"/>
          <w:sz w:val="24"/>
          <w:szCs w:val="24"/>
        </w:rPr>
        <w:t>3</w:t>
      </w:r>
      <w:r w:rsidRPr="000E7D99">
        <w:rPr>
          <w:rFonts w:ascii="Times New Roman" w:hAnsi="Times New Roman" w:cs="Times New Roman"/>
          <w:sz w:val="24"/>
          <w:szCs w:val="24"/>
        </w:rPr>
        <w:t>(</w:t>
      </w:r>
      <w:r w:rsidR="00C5668B">
        <w:rPr>
          <w:rFonts w:ascii="Times New Roman" w:hAnsi="Times New Roman" w:cs="Times New Roman"/>
          <w:sz w:val="24"/>
          <w:szCs w:val="24"/>
        </w:rPr>
        <w:t>4</w:t>
      </w:r>
      <w:r w:rsidRPr="000E7D99">
        <w:rPr>
          <w:rFonts w:ascii="Times New Roman" w:hAnsi="Times New Roman" w:cs="Times New Roman"/>
          <w:sz w:val="24"/>
          <w:szCs w:val="24"/>
        </w:rPr>
        <w:t>) of the Act</w:t>
      </w:r>
      <w:r>
        <w:rPr>
          <w:rFonts w:ascii="Times New Roman" w:hAnsi="Times New Roman" w:cs="Times New Roman"/>
          <w:sz w:val="24"/>
          <w:szCs w:val="24"/>
        </w:rPr>
        <w:t xml:space="preserve"> as in force from time to time</w:t>
      </w:r>
      <w:r w:rsidRPr="000E7D99">
        <w:rPr>
          <w:rFonts w:ascii="Times New Roman" w:hAnsi="Times New Roman" w:cs="Times New Roman"/>
          <w:sz w:val="24"/>
          <w:szCs w:val="24"/>
        </w:rPr>
        <w:t xml:space="preserve"> and registered </w:t>
      </w:r>
      <w:r>
        <w:rPr>
          <w:rFonts w:ascii="Times New Roman" w:hAnsi="Times New Roman" w:cs="Times New Roman"/>
          <w:sz w:val="24"/>
          <w:szCs w:val="24"/>
        </w:rPr>
        <w:t>o</w:t>
      </w:r>
      <w:r w:rsidR="00591537">
        <w:rPr>
          <w:rFonts w:ascii="Times New Roman" w:hAnsi="Times New Roman" w:cs="Times New Roman"/>
          <w:sz w:val="24"/>
          <w:szCs w:val="24"/>
        </w:rPr>
        <w:t>n</w:t>
      </w:r>
      <w:r>
        <w:rPr>
          <w:rFonts w:ascii="Times New Roman" w:hAnsi="Times New Roman" w:cs="Times New Roman"/>
          <w:sz w:val="24"/>
          <w:szCs w:val="24"/>
        </w:rPr>
        <w:t xml:space="preserve"> the Federal Register of Legislation (</w:t>
      </w:r>
      <w:hyperlink r:id="rId13" w:history="1">
        <w:r w:rsidRPr="00B25C95">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rsidR="001E0B9F" w:rsidRDefault="001E0B9F" w:rsidP="001E0B9F">
      <w:pPr>
        <w:pStyle w:val="ListParagraph"/>
        <w:numPr>
          <w:ilvl w:val="0"/>
          <w:numId w:val="1"/>
        </w:numPr>
        <w:spacing w:before="240"/>
        <w:rPr>
          <w:rFonts w:ascii="Times New Roman" w:hAnsi="Times New Roman" w:cs="Times New Roman"/>
          <w:sz w:val="24"/>
          <w:szCs w:val="24"/>
        </w:rPr>
      </w:pPr>
      <w:r w:rsidRPr="001E0B9F">
        <w:rPr>
          <w:rFonts w:ascii="Times New Roman" w:hAnsi="Times New Roman" w:cs="Times New Roman"/>
          <w:b/>
          <w:i/>
          <w:sz w:val="24"/>
          <w:szCs w:val="24"/>
        </w:rPr>
        <w:t>investment grade credit rating</w:t>
      </w:r>
      <w:r>
        <w:rPr>
          <w:rFonts w:ascii="Times New Roman" w:hAnsi="Times New Roman" w:cs="Times New Roman"/>
          <w:sz w:val="24"/>
          <w:szCs w:val="24"/>
        </w:rPr>
        <w:t xml:space="preserve"> is defined as a credit rating from a ratings agency, such as Standard and Poor’s (a division of S&amp;P Global), that is regarded in financial markets as of investment grade (considering </w:t>
      </w:r>
      <w:r w:rsidR="005F6AFF">
        <w:rPr>
          <w:rFonts w:ascii="Times New Roman" w:hAnsi="Times New Roman" w:cs="Times New Roman"/>
          <w:sz w:val="24"/>
          <w:szCs w:val="24"/>
        </w:rPr>
        <w:t>the</w:t>
      </w:r>
      <w:r>
        <w:rPr>
          <w:rFonts w:ascii="Times New Roman" w:hAnsi="Times New Roman" w:cs="Times New Roman"/>
          <w:sz w:val="24"/>
          <w:szCs w:val="24"/>
        </w:rPr>
        <w:t xml:space="preserve"> entity’s </w:t>
      </w:r>
      <w:r w:rsidR="005F6AFF">
        <w:rPr>
          <w:rFonts w:ascii="Times New Roman" w:hAnsi="Times New Roman" w:cs="Times New Roman"/>
          <w:sz w:val="24"/>
          <w:szCs w:val="24"/>
        </w:rPr>
        <w:t>past history of borrowing and repaying debts and the entity’s future economic potential)</w:t>
      </w:r>
      <w:r>
        <w:rPr>
          <w:rFonts w:ascii="Times New Roman" w:hAnsi="Times New Roman" w:cs="Times New Roman"/>
          <w:sz w:val="24"/>
          <w:szCs w:val="24"/>
        </w:rPr>
        <w:t xml:space="preserve">, such as a BBB- or higher grade </w:t>
      </w:r>
      <w:r w:rsidR="005F6AFF">
        <w:rPr>
          <w:rFonts w:ascii="Times New Roman" w:hAnsi="Times New Roman" w:cs="Times New Roman"/>
          <w:sz w:val="24"/>
          <w:szCs w:val="24"/>
        </w:rPr>
        <w:t>(i.e. BBB</w:t>
      </w:r>
      <w:r w:rsidR="0073313C">
        <w:rPr>
          <w:rFonts w:ascii="Times New Roman" w:hAnsi="Times New Roman" w:cs="Times New Roman"/>
          <w:sz w:val="24"/>
          <w:szCs w:val="24"/>
        </w:rPr>
        <w:t xml:space="preserve"> to </w:t>
      </w:r>
      <w:r w:rsidR="005F6AFF">
        <w:rPr>
          <w:rFonts w:ascii="Times New Roman" w:hAnsi="Times New Roman" w:cs="Times New Roman"/>
          <w:sz w:val="24"/>
          <w:szCs w:val="24"/>
        </w:rPr>
        <w:t>AA</w:t>
      </w:r>
      <w:r w:rsidR="0073313C">
        <w:rPr>
          <w:rFonts w:ascii="Times New Roman" w:hAnsi="Times New Roman" w:cs="Times New Roman"/>
          <w:sz w:val="24"/>
          <w:szCs w:val="24"/>
        </w:rPr>
        <w:t>A</w:t>
      </w:r>
      <w:r w:rsidR="005F6AFF">
        <w:rPr>
          <w:rFonts w:ascii="Times New Roman" w:hAnsi="Times New Roman" w:cs="Times New Roman"/>
          <w:sz w:val="24"/>
          <w:szCs w:val="24"/>
        </w:rPr>
        <w:t xml:space="preserve">) </w:t>
      </w:r>
      <w:r>
        <w:rPr>
          <w:rFonts w:ascii="Times New Roman" w:hAnsi="Times New Roman" w:cs="Times New Roman"/>
          <w:sz w:val="24"/>
          <w:szCs w:val="24"/>
        </w:rPr>
        <w:t>credit rating.</w:t>
      </w:r>
      <w:r w:rsidRPr="001E0B9F">
        <w:t xml:space="preserve"> </w:t>
      </w:r>
    </w:p>
    <w:p w:rsidR="000E7D99" w:rsidRPr="00552846" w:rsidRDefault="00232804" w:rsidP="005E08A9">
      <w:pPr>
        <w:pStyle w:val="ListParagraph"/>
        <w:numPr>
          <w:ilvl w:val="0"/>
          <w:numId w:val="1"/>
        </w:numPr>
        <w:spacing w:before="240"/>
        <w:rPr>
          <w:rFonts w:ascii="Times New Roman" w:hAnsi="Times New Roman" w:cs="Times New Roman"/>
          <w:b/>
          <w:i/>
          <w:sz w:val="24"/>
          <w:szCs w:val="24"/>
        </w:rPr>
      </w:pPr>
      <w:r w:rsidRPr="00552846">
        <w:rPr>
          <w:rFonts w:ascii="Times New Roman" w:hAnsi="Times New Roman" w:cs="Times New Roman"/>
          <w:b/>
          <w:i/>
          <w:sz w:val="24"/>
          <w:szCs w:val="24"/>
        </w:rPr>
        <w:t>material adverse change</w:t>
      </w:r>
      <w:r w:rsidR="000E7D99" w:rsidRPr="00552846">
        <w:rPr>
          <w:rFonts w:ascii="Times New Roman" w:hAnsi="Times New Roman" w:cs="Times New Roman"/>
          <w:b/>
          <w:i/>
          <w:sz w:val="24"/>
          <w:szCs w:val="24"/>
        </w:rPr>
        <w:t xml:space="preserve"> </w:t>
      </w:r>
      <w:r>
        <w:rPr>
          <w:rFonts w:ascii="Times New Roman" w:hAnsi="Times New Roman" w:cs="Times New Roman"/>
          <w:sz w:val="24"/>
          <w:szCs w:val="24"/>
        </w:rPr>
        <w:t>is a signpost definition</w:t>
      </w:r>
      <w:r w:rsidR="005E08A9" w:rsidRPr="005E08A9">
        <w:t xml:space="preserve"> </w:t>
      </w:r>
      <w:r w:rsidR="005E08A9" w:rsidRPr="005E08A9">
        <w:rPr>
          <w:rFonts w:ascii="Times New Roman" w:hAnsi="Times New Roman" w:cs="Times New Roman"/>
          <w:sz w:val="24"/>
          <w:szCs w:val="24"/>
        </w:rPr>
        <w:t xml:space="preserve">that refers readers to </w:t>
      </w:r>
      <w:r>
        <w:rPr>
          <w:rFonts w:ascii="Times New Roman" w:hAnsi="Times New Roman" w:cs="Times New Roman"/>
          <w:sz w:val="24"/>
          <w:szCs w:val="24"/>
        </w:rPr>
        <w:t>subsection 20(5)</w:t>
      </w:r>
      <w:r w:rsidR="00527B3B">
        <w:rPr>
          <w:rFonts w:ascii="Times New Roman" w:hAnsi="Times New Roman" w:cs="Times New Roman"/>
          <w:sz w:val="24"/>
          <w:szCs w:val="24"/>
        </w:rPr>
        <w:t xml:space="preserve"> of the Rule</w:t>
      </w:r>
      <w:r w:rsidR="00A63402">
        <w:rPr>
          <w:rFonts w:ascii="Times New Roman" w:hAnsi="Times New Roman" w:cs="Times New Roman"/>
          <w:sz w:val="24"/>
          <w:szCs w:val="24"/>
        </w:rPr>
        <w:t xml:space="preserve"> </w:t>
      </w:r>
      <w:r w:rsidR="005E08A9" w:rsidRPr="005E08A9">
        <w:rPr>
          <w:rFonts w:ascii="Times New Roman" w:hAnsi="Times New Roman" w:cs="Times New Roman"/>
          <w:sz w:val="24"/>
          <w:szCs w:val="24"/>
        </w:rPr>
        <w:t xml:space="preserve">in which the term is substantively defined </w:t>
      </w:r>
      <w:r w:rsidR="00A63402">
        <w:rPr>
          <w:rFonts w:ascii="Times New Roman" w:hAnsi="Times New Roman" w:cs="Times New Roman"/>
          <w:sz w:val="24"/>
          <w:szCs w:val="24"/>
        </w:rPr>
        <w:t>(see explanatory note for subsection 20(5) of the Rule below)</w:t>
      </w:r>
      <w:r>
        <w:rPr>
          <w:rFonts w:ascii="Times New Roman" w:hAnsi="Times New Roman" w:cs="Times New Roman"/>
          <w:sz w:val="24"/>
          <w:szCs w:val="24"/>
        </w:rPr>
        <w:t>.</w:t>
      </w:r>
    </w:p>
    <w:p w:rsidR="001D7C6C" w:rsidRPr="001177E1" w:rsidRDefault="008F0C06" w:rsidP="006745C3">
      <w:pPr>
        <w:pStyle w:val="ListParagraph"/>
        <w:numPr>
          <w:ilvl w:val="0"/>
          <w:numId w:val="1"/>
        </w:numPr>
        <w:spacing w:before="240"/>
        <w:rPr>
          <w:rFonts w:ascii="Times New Roman" w:hAnsi="Times New Roman" w:cs="Times New Roman"/>
          <w:b/>
          <w:i/>
          <w:sz w:val="24"/>
          <w:szCs w:val="24"/>
        </w:rPr>
      </w:pPr>
      <w:r w:rsidRPr="0005189B">
        <w:rPr>
          <w:rFonts w:ascii="Times New Roman" w:hAnsi="Times New Roman" w:cs="Times New Roman"/>
          <w:b/>
          <w:i/>
          <w:sz w:val="24"/>
          <w:szCs w:val="24"/>
        </w:rPr>
        <w:t>refinery operator</w:t>
      </w:r>
      <w:r w:rsidRPr="00552846">
        <w:rPr>
          <w:rFonts w:ascii="Times New Roman" w:hAnsi="Times New Roman" w:cs="Times New Roman"/>
          <w:b/>
          <w:i/>
          <w:sz w:val="24"/>
          <w:szCs w:val="24"/>
        </w:rPr>
        <w:t xml:space="preserve"> </w:t>
      </w:r>
      <w:r w:rsidRPr="00552846">
        <w:rPr>
          <w:rFonts w:ascii="Times New Roman" w:hAnsi="Times New Roman" w:cs="Times New Roman"/>
          <w:sz w:val="24"/>
          <w:szCs w:val="24"/>
        </w:rPr>
        <w:t>is</w:t>
      </w:r>
      <w:r w:rsidRPr="008F0C06">
        <w:rPr>
          <w:rFonts w:ascii="Times New Roman" w:hAnsi="Times New Roman" w:cs="Times New Roman"/>
          <w:sz w:val="24"/>
          <w:szCs w:val="24"/>
        </w:rPr>
        <w:t xml:space="preserve"> defined </w:t>
      </w:r>
      <w:r>
        <w:rPr>
          <w:rFonts w:ascii="Times New Roman" w:hAnsi="Times New Roman" w:cs="Times New Roman"/>
          <w:sz w:val="24"/>
          <w:szCs w:val="24"/>
        </w:rPr>
        <w:t xml:space="preserve">to include the </w:t>
      </w:r>
      <w:r w:rsidR="004E3241">
        <w:rPr>
          <w:rFonts w:ascii="Times New Roman" w:hAnsi="Times New Roman" w:cs="Times New Roman"/>
          <w:sz w:val="24"/>
          <w:szCs w:val="24"/>
        </w:rPr>
        <w:t>person eligible to receive fuel security services payment</w:t>
      </w:r>
      <w:r w:rsidR="00A63402">
        <w:rPr>
          <w:rFonts w:ascii="Times New Roman" w:hAnsi="Times New Roman" w:cs="Times New Roman"/>
          <w:sz w:val="24"/>
          <w:szCs w:val="24"/>
        </w:rPr>
        <w:t>s</w:t>
      </w:r>
      <w:r w:rsidR="004E3241">
        <w:rPr>
          <w:rFonts w:ascii="Times New Roman" w:hAnsi="Times New Roman" w:cs="Times New Roman"/>
          <w:sz w:val="24"/>
          <w:szCs w:val="24"/>
        </w:rPr>
        <w:t xml:space="preserve"> </w:t>
      </w:r>
      <w:r w:rsidR="00C539C5">
        <w:rPr>
          <w:rFonts w:ascii="Times New Roman" w:hAnsi="Times New Roman" w:cs="Times New Roman"/>
          <w:sz w:val="24"/>
          <w:szCs w:val="24"/>
        </w:rPr>
        <w:t xml:space="preserve">as well as </w:t>
      </w:r>
      <w:r w:rsidR="00A63402">
        <w:rPr>
          <w:rFonts w:ascii="Times New Roman" w:hAnsi="Times New Roman" w:cs="Times New Roman"/>
          <w:sz w:val="24"/>
          <w:szCs w:val="24"/>
        </w:rPr>
        <w:t>any other</w:t>
      </w:r>
      <w:r>
        <w:rPr>
          <w:rFonts w:ascii="Times New Roman" w:hAnsi="Times New Roman" w:cs="Times New Roman"/>
          <w:sz w:val="24"/>
          <w:szCs w:val="24"/>
        </w:rPr>
        <w:t xml:space="preserve"> entities that </w:t>
      </w:r>
      <w:r w:rsidR="005E08A9">
        <w:rPr>
          <w:rFonts w:ascii="Times New Roman" w:hAnsi="Times New Roman" w:cs="Times New Roman"/>
          <w:sz w:val="24"/>
          <w:szCs w:val="24"/>
        </w:rPr>
        <w:t>exercise</w:t>
      </w:r>
      <w:r w:rsidR="004E3241">
        <w:rPr>
          <w:rFonts w:ascii="Times New Roman" w:hAnsi="Times New Roman" w:cs="Times New Roman"/>
          <w:sz w:val="24"/>
          <w:szCs w:val="24"/>
        </w:rPr>
        <w:t xml:space="preserve"> </w:t>
      </w:r>
      <w:r w:rsidR="005E08A9">
        <w:rPr>
          <w:rFonts w:ascii="Times New Roman" w:hAnsi="Times New Roman" w:cs="Times New Roman"/>
          <w:sz w:val="24"/>
          <w:szCs w:val="24"/>
        </w:rPr>
        <w:t xml:space="preserve">operational </w:t>
      </w:r>
      <w:r w:rsidR="004E3241">
        <w:rPr>
          <w:rFonts w:ascii="Times New Roman" w:hAnsi="Times New Roman" w:cs="Times New Roman"/>
          <w:sz w:val="24"/>
          <w:szCs w:val="24"/>
        </w:rPr>
        <w:t xml:space="preserve">control over </w:t>
      </w:r>
      <w:r w:rsidR="005E08A9">
        <w:rPr>
          <w:rFonts w:ascii="Times New Roman" w:hAnsi="Times New Roman" w:cs="Times New Roman"/>
          <w:sz w:val="24"/>
          <w:szCs w:val="24"/>
        </w:rPr>
        <w:t xml:space="preserve">the </w:t>
      </w:r>
      <w:r>
        <w:rPr>
          <w:rFonts w:ascii="Times New Roman" w:hAnsi="Times New Roman" w:cs="Times New Roman"/>
          <w:sz w:val="24"/>
          <w:szCs w:val="24"/>
        </w:rPr>
        <w:t>refinery</w:t>
      </w:r>
      <w:r w:rsidR="004D0551">
        <w:rPr>
          <w:rFonts w:ascii="Times New Roman" w:hAnsi="Times New Roman" w:cs="Times New Roman"/>
          <w:sz w:val="24"/>
          <w:szCs w:val="24"/>
        </w:rPr>
        <w:t xml:space="preserve"> (if not the person eligible to receive the payments)</w:t>
      </w:r>
      <w:r w:rsidR="005E08A9">
        <w:rPr>
          <w:rFonts w:ascii="Times New Roman" w:hAnsi="Times New Roman" w:cs="Times New Roman"/>
          <w:sz w:val="24"/>
          <w:szCs w:val="24"/>
        </w:rPr>
        <w:t>.</w:t>
      </w:r>
      <w:r w:rsidR="001177E1">
        <w:rPr>
          <w:rFonts w:ascii="Times New Roman" w:hAnsi="Times New Roman" w:cs="Times New Roman"/>
          <w:sz w:val="24"/>
          <w:szCs w:val="24"/>
        </w:rPr>
        <w:t xml:space="preserve"> </w:t>
      </w:r>
      <w:r w:rsidR="00C539C5">
        <w:rPr>
          <w:rFonts w:ascii="Times New Roman" w:hAnsi="Times New Roman" w:cs="Times New Roman"/>
          <w:sz w:val="24"/>
          <w:szCs w:val="24"/>
        </w:rPr>
        <w:t xml:space="preserve">The term is therefore intended to </w:t>
      </w:r>
      <w:r w:rsidR="004D0551">
        <w:rPr>
          <w:rFonts w:ascii="Times New Roman" w:hAnsi="Times New Roman" w:cs="Times New Roman"/>
          <w:sz w:val="24"/>
          <w:szCs w:val="24"/>
        </w:rPr>
        <w:t xml:space="preserve">cover </w:t>
      </w:r>
      <w:r w:rsidR="00C539C5">
        <w:rPr>
          <w:rFonts w:ascii="Times New Roman" w:hAnsi="Times New Roman" w:cs="Times New Roman"/>
          <w:sz w:val="24"/>
          <w:szCs w:val="24"/>
        </w:rPr>
        <w:t>t</w:t>
      </w:r>
      <w:r w:rsidR="004D0551">
        <w:rPr>
          <w:rFonts w:ascii="Times New Roman" w:hAnsi="Times New Roman" w:cs="Times New Roman"/>
          <w:sz w:val="24"/>
          <w:szCs w:val="24"/>
        </w:rPr>
        <w:t>he</w:t>
      </w:r>
      <w:r w:rsidR="00C539C5">
        <w:rPr>
          <w:rFonts w:ascii="Times New Roman" w:hAnsi="Times New Roman" w:cs="Times New Roman"/>
          <w:sz w:val="24"/>
          <w:szCs w:val="24"/>
        </w:rPr>
        <w:t xml:space="preserve"> entities </w:t>
      </w:r>
      <w:r w:rsidR="005E08A9">
        <w:rPr>
          <w:rFonts w:ascii="Times New Roman" w:hAnsi="Times New Roman" w:cs="Times New Roman"/>
          <w:sz w:val="24"/>
          <w:szCs w:val="24"/>
        </w:rPr>
        <w:t xml:space="preserve">that </w:t>
      </w:r>
      <w:r w:rsidR="00C539C5">
        <w:rPr>
          <w:rFonts w:ascii="Times New Roman" w:hAnsi="Times New Roman" w:cs="Times New Roman"/>
          <w:sz w:val="24"/>
          <w:szCs w:val="24"/>
        </w:rPr>
        <w:t xml:space="preserve">can directly influence the </w:t>
      </w:r>
      <w:r w:rsidR="005E08A9">
        <w:rPr>
          <w:rFonts w:ascii="Times New Roman" w:hAnsi="Times New Roman" w:cs="Times New Roman"/>
          <w:sz w:val="24"/>
          <w:szCs w:val="24"/>
        </w:rPr>
        <w:t xml:space="preserve">matters referred to </w:t>
      </w:r>
      <w:r>
        <w:rPr>
          <w:rFonts w:ascii="Times New Roman" w:hAnsi="Times New Roman" w:cs="Times New Roman"/>
          <w:sz w:val="24"/>
          <w:szCs w:val="24"/>
        </w:rPr>
        <w:t>in</w:t>
      </w:r>
      <w:r w:rsidR="001D7C6C">
        <w:rPr>
          <w:rFonts w:ascii="Times New Roman" w:hAnsi="Times New Roman" w:cs="Times New Roman"/>
          <w:sz w:val="24"/>
          <w:szCs w:val="24"/>
        </w:rPr>
        <w:t>:</w:t>
      </w:r>
    </w:p>
    <w:p w:rsidR="001D7C6C" w:rsidRPr="001177E1" w:rsidRDefault="008F0C06" w:rsidP="001177E1">
      <w:pPr>
        <w:pStyle w:val="ListParagraph"/>
        <w:numPr>
          <w:ilvl w:val="1"/>
          <w:numId w:val="1"/>
        </w:numPr>
        <w:spacing w:before="240"/>
        <w:rPr>
          <w:rFonts w:ascii="Times New Roman" w:hAnsi="Times New Roman" w:cs="Times New Roman"/>
          <w:b/>
          <w:i/>
          <w:sz w:val="24"/>
          <w:szCs w:val="24"/>
        </w:rPr>
      </w:pPr>
      <w:r>
        <w:rPr>
          <w:rFonts w:ascii="Times New Roman" w:hAnsi="Times New Roman" w:cs="Times New Roman"/>
          <w:sz w:val="24"/>
          <w:szCs w:val="24"/>
        </w:rPr>
        <w:t xml:space="preserve">section 20 </w:t>
      </w:r>
      <w:r w:rsidR="00591537">
        <w:rPr>
          <w:rFonts w:ascii="Times New Roman" w:hAnsi="Times New Roman" w:cs="Times New Roman"/>
          <w:sz w:val="24"/>
          <w:szCs w:val="24"/>
        </w:rPr>
        <w:t xml:space="preserve">of the </w:t>
      </w:r>
      <w:r w:rsidR="00FE31B7">
        <w:rPr>
          <w:rFonts w:ascii="Times New Roman" w:hAnsi="Times New Roman" w:cs="Times New Roman"/>
          <w:sz w:val="24"/>
          <w:szCs w:val="24"/>
        </w:rPr>
        <w:t>Rule</w:t>
      </w:r>
      <w:r w:rsidR="00735819">
        <w:rPr>
          <w:rFonts w:ascii="Times New Roman" w:hAnsi="Times New Roman" w:cs="Times New Roman"/>
          <w:sz w:val="24"/>
          <w:szCs w:val="24"/>
        </w:rPr>
        <w:t xml:space="preserve"> – that is</w:t>
      </w:r>
      <w:r w:rsidR="00C539C5">
        <w:rPr>
          <w:rFonts w:ascii="Times New Roman" w:hAnsi="Times New Roman" w:cs="Times New Roman"/>
          <w:sz w:val="24"/>
          <w:szCs w:val="24"/>
        </w:rPr>
        <w:t xml:space="preserve">, </w:t>
      </w:r>
      <w:r w:rsidR="00735819">
        <w:rPr>
          <w:rFonts w:ascii="Times New Roman" w:hAnsi="Times New Roman" w:cs="Times New Roman"/>
          <w:sz w:val="24"/>
          <w:szCs w:val="24"/>
        </w:rPr>
        <w:t xml:space="preserve">the matters </w:t>
      </w:r>
      <w:r w:rsidR="00C539C5">
        <w:rPr>
          <w:rFonts w:ascii="Times New Roman" w:hAnsi="Times New Roman" w:cs="Times New Roman"/>
          <w:sz w:val="24"/>
          <w:szCs w:val="24"/>
        </w:rPr>
        <w:t xml:space="preserve">that are required </w:t>
      </w:r>
      <w:r w:rsidR="00735819">
        <w:rPr>
          <w:rFonts w:ascii="Times New Roman" w:hAnsi="Times New Roman" w:cs="Times New Roman"/>
          <w:sz w:val="24"/>
          <w:szCs w:val="24"/>
        </w:rPr>
        <w:t xml:space="preserve">to be established </w:t>
      </w:r>
      <w:r w:rsidR="00C539C5">
        <w:rPr>
          <w:rFonts w:ascii="Times New Roman" w:hAnsi="Times New Roman" w:cs="Times New Roman"/>
          <w:sz w:val="24"/>
          <w:szCs w:val="24"/>
        </w:rPr>
        <w:t xml:space="preserve">to satisfy the Minister that the </w:t>
      </w:r>
      <w:r>
        <w:rPr>
          <w:rFonts w:ascii="Times New Roman" w:hAnsi="Times New Roman" w:cs="Times New Roman"/>
          <w:sz w:val="24"/>
          <w:szCs w:val="24"/>
        </w:rPr>
        <w:t xml:space="preserve">obligation to repay </w:t>
      </w:r>
      <w:r w:rsidR="00C539C5">
        <w:rPr>
          <w:rFonts w:ascii="Times New Roman" w:hAnsi="Times New Roman" w:cs="Times New Roman"/>
          <w:sz w:val="24"/>
          <w:szCs w:val="24"/>
        </w:rPr>
        <w:t xml:space="preserve">the FSSP under subsection 50(1) of the Act does not apply (e.g. where the refinery is operationally or commercially unviable as a result of a force majeure event, that the </w:t>
      </w:r>
      <w:r w:rsidR="00591312">
        <w:rPr>
          <w:rFonts w:ascii="Times New Roman" w:hAnsi="Times New Roman" w:cs="Times New Roman"/>
          <w:sz w:val="24"/>
          <w:szCs w:val="24"/>
        </w:rPr>
        <w:t>entity (i.e. “refinery operator”) could not have reasonably prevented nor reasonably limited the effect of that event)</w:t>
      </w:r>
      <w:r w:rsidR="001D7C6C">
        <w:rPr>
          <w:rFonts w:ascii="Times New Roman" w:hAnsi="Times New Roman" w:cs="Times New Roman"/>
          <w:sz w:val="24"/>
          <w:szCs w:val="24"/>
        </w:rPr>
        <w:t>; and</w:t>
      </w:r>
    </w:p>
    <w:p w:rsidR="00613347" w:rsidRPr="00A63402" w:rsidRDefault="001177E1" w:rsidP="001177E1">
      <w:pPr>
        <w:pStyle w:val="ListParagraph"/>
        <w:numPr>
          <w:ilvl w:val="1"/>
          <w:numId w:val="1"/>
        </w:numPr>
        <w:spacing w:before="240"/>
        <w:rPr>
          <w:rFonts w:ascii="Times New Roman" w:hAnsi="Times New Roman" w:cs="Times New Roman"/>
          <w:b/>
          <w:i/>
          <w:sz w:val="24"/>
          <w:szCs w:val="24"/>
        </w:rPr>
      </w:pPr>
      <w:r>
        <w:rPr>
          <w:rFonts w:ascii="Times New Roman" w:hAnsi="Times New Roman" w:cs="Times New Roman"/>
          <w:sz w:val="24"/>
          <w:szCs w:val="24"/>
        </w:rPr>
        <w:t>s</w:t>
      </w:r>
      <w:r w:rsidR="001D7C6C">
        <w:rPr>
          <w:rFonts w:ascii="Times New Roman" w:hAnsi="Times New Roman" w:cs="Times New Roman"/>
          <w:sz w:val="24"/>
          <w:szCs w:val="24"/>
        </w:rPr>
        <w:t>ection 22 of the Rule</w:t>
      </w:r>
      <w:r w:rsidR="00735819">
        <w:rPr>
          <w:rFonts w:ascii="Times New Roman" w:hAnsi="Times New Roman" w:cs="Times New Roman"/>
          <w:sz w:val="24"/>
          <w:szCs w:val="24"/>
        </w:rPr>
        <w:t xml:space="preserve"> – that is</w:t>
      </w:r>
      <w:r w:rsidR="001D7C6C">
        <w:rPr>
          <w:rFonts w:ascii="Times New Roman" w:hAnsi="Times New Roman" w:cs="Times New Roman"/>
          <w:sz w:val="24"/>
          <w:szCs w:val="24"/>
        </w:rPr>
        <w:t xml:space="preserve">, </w:t>
      </w:r>
      <w:r w:rsidR="00735819">
        <w:rPr>
          <w:rFonts w:ascii="Times New Roman" w:hAnsi="Times New Roman" w:cs="Times New Roman"/>
          <w:sz w:val="24"/>
          <w:szCs w:val="24"/>
        </w:rPr>
        <w:t xml:space="preserve">the matters </w:t>
      </w:r>
      <w:r w:rsidR="001D7C6C">
        <w:rPr>
          <w:rFonts w:ascii="Times New Roman" w:hAnsi="Times New Roman" w:cs="Times New Roman"/>
          <w:sz w:val="24"/>
          <w:szCs w:val="24"/>
        </w:rPr>
        <w:t xml:space="preserve">that are required </w:t>
      </w:r>
      <w:r w:rsidR="00735819">
        <w:rPr>
          <w:rFonts w:ascii="Times New Roman" w:hAnsi="Times New Roman" w:cs="Times New Roman"/>
          <w:sz w:val="24"/>
          <w:szCs w:val="24"/>
        </w:rPr>
        <w:t xml:space="preserve">to be established </w:t>
      </w:r>
      <w:r w:rsidR="001D7C6C">
        <w:rPr>
          <w:rFonts w:ascii="Times New Roman" w:hAnsi="Times New Roman" w:cs="Times New Roman"/>
          <w:sz w:val="24"/>
          <w:szCs w:val="24"/>
        </w:rPr>
        <w:t xml:space="preserve">to satisfy the Secretary that </w:t>
      </w:r>
      <w:r>
        <w:rPr>
          <w:rFonts w:ascii="Times New Roman" w:hAnsi="Times New Roman" w:cs="Times New Roman"/>
          <w:sz w:val="24"/>
          <w:szCs w:val="24"/>
        </w:rPr>
        <w:t>it is appropriate to extend the 120 day period mentioned in paragraph 50(1)(b) of the Act</w:t>
      </w:r>
      <w:r w:rsidR="008F0C06">
        <w:rPr>
          <w:rFonts w:ascii="Times New Roman" w:hAnsi="Times New Roman" w:cs="Times New Roman"/>
          <w:sz w:val="24"/>
          <w:szCs w:val="24"/>
        </w:rPr>
        <w:t>.</w:t>
      </w:r>
    </w:p>
    <w:p w:rsidR="00A63402" w:rsidRPr="00552846" w:rsidRDefault="00A63402" w:rsidP="005E08A9">
      <w:pPr>
        <w:pStyle w:val="ListParagraph"/>
        <w:numPr>
          <w:ilvl w:val="0"/>
          <w:numId w:val="1"/>
        </w:numPr>
        <w:spacing w:before="240"/>
        <w:rPr>
          <w:rFonts w:ascii="Times New Roman" w:hAnsi="Times New Roman" w:cs="Times New Roman"/>
          <w:b/>
          <w:i/>
          <w:sz w:val="24"/>
          <w:szCs w:val="24"/>
        </w:rPr>
      </w:pPr>
      <w:r>
        <w:rPr>
          <w:rFonts w:ascii="Times New Roman" w:hAnsi="Times New Roman" w:cs="Times New Roman"/>
          <w:b/>
          <w:i/>
          <w:sz w:val="24"/>
          <w:szCs w:val="24"/>
        </w:rPr>
        <w:t>r</w:t>
      </w:r>
      <w:r w:rsidRPr="00A63402">
        <w:rPr>
          <w:rFonts w:ascii="Times New Roman" w:hAnsi="Times New Roman" w:cs="Times New Roman"/>
          <w:b/>
          <w:i/>
          <w:sz w:val="24"/>
          <w:szCs w:val="24"/>
        </w:rPr>
        <w:t>elevant independent analysis</w:t>
      </w:r>
      <w:r>
        <w:rPr>
          <w:rFonts w:ascii="Times New Roman" w:hAnsi="Times New Roman" w:cs="Times New Roman"/>
          <w:sz w:val="24"/>
          <w:szCs w:val="24"/>
        </w:rPr>
        <w:t xml:space="preserve"> is a signpost definition</w:t>
      </w:r>
      <w:r w:rsidRPr="00A63402">
        <w:t xml:space="preserve"> </w:t>
      </w:r>
      <w:r w:rsidRPr="00A63402">
        <w:rPr>
          <w:rFonts w:ascii="Times New Roman" w:hAnsi="Times New Roman" w:cs="Times New Roman"/>
          <w:sz w:val="24"/>
          <w:szCs w:val="24"/>
        </w:rPr>
        <w:t>that refer</w:t>
      </w:r>
      <w:r>
        <w:rPr>
          <w:rFonts w:ascii="Times New Roman" w:hAnsi="Times New Roman" w:cs="Times New Roman"/>
          <w:sz w:val="24"/>
          <w:szCs w:val="24"/>
        </w:rPr>
        <w:t>s</w:t>
      </w:r>
      <w:r w:rsidRPr="00A63402">
        <w:rPr>
          <w:rFonts w:ascii="Times New Roman" w:hAnsi="Times New Roman" w:cs="Times New Roman"/>
          <w:sz w:val="24"/>
          <w:szCs w:val="24"/>
        </w:rPr>
        <w:t xml:space="preserve"> readers to </w:t>
      </w:r>
      <w:r>
        <w:rPr>
          <w:rFonts w:ascii="Times New Roman" w:hAnsi="Times New Roman" w:cs="Times New Roman"/>
          <w:sz w:val="24"/>
          <w:szCs w:val="24"/>
        </w:rPr>
        <w:t>subsection 20(10)</w:t>
      </w:r>
      <w:r w:rsidRPr="00A63402">
        <w:rPr>
          <w:rFonts w:ascii="Times New Roman" w:hAnsi="Times New Roman" w:cs="Times New Roman"/>
          <w:sz w:val="24"/>
          <w:szCs w:val="24"/>
        </w:rPr>
        <w:t xml:space="preserve"> in which </w:t>
      </w:r>
      <w:r>
        <w:rPr>
          <w:rFonts w:ascii="Times New Roman" w:hAnsi="Times New Roman" w:cs="Times New Roman"/>
          <w:sz w:val="24"/>
          <w:szCs w:val="24"/>
        </w:rPr>
        <w:t>the term is</w:t>
      </w:r>
      <w:r w:rsidRPr="00A63402">
        <w:rPr>
          <w:rFonts w:ascii="Times New Roman" w:hAnsi="Times New Roman" w:cs="Times New Roman"/>
          <w:sz w:val="24"/>
          <w:szCs w:val="24"/>
        </w:rPr>
        <w:t xml:space="preserve"> substantively defined</w:t>
      </w:r>
      <w:r w:rsidR="005E08A9">
        <w:rPr>
          <w:rFonts w:ascii="Times New Roman" w:hAnsi="Times New Roman" w:cs="Times New Roman"/>
          <w:sz w:val="24"/>
          <w:szCs w:val="24"/>
        </w:rPr>
        <w:t xml:space="preserve"> </w:t>
      </w:r>
      <w:r w:rsidR="005E08A9" w:rsidRPr="005E08A9">
        <w:rPr>
          <w:rFonts w:ascii="Times New Roman" w:hAnsi="Times New Roman" w:cs="Times New Roman"/>
          <w:sz w:val="24"/>
          <w:szCs w:val="24"/>
        </w:rPr>
        <w:t>(see explanatory note for subsection 20(</w:t>
      </w:r>
      <w:r w:rsidR="005E08A9">
        <w:rPr>
          <w:rFonts w:ascii="Times New Roman" w:hAnsi="Times New Roman" w:cs="Times New Roman"/>
          <w:sz w:val="24"/>
          <w:szCs w:val="24"/>
        </w:rPr>
        <w:t>10</w:t>
      </w:r>
      <w:r w:rsidR="005E08A9" w:rsidRPr="005E08A9">
        <w:rPr>
          <w:rFonts w:ascii="Times New Roman" w:hAnsi="Times New Roman" w:cs="Times New Roman"/>
          <w:sz w:val="24"/>
          <w:szCs w:val="24"/>
        </w:rPr>
        <w:t>) of the Rule below)</w:t>
      </w:r>
      <w:r w:rsidRPr="00A63402">
        <w:rPr>
          <w:rFonts w:ascii="Times New Roman" w:hAnsi="Times New Roman" w:cs="Times New Roman"/>
          <w:sz w:val="24"/>
          <w:szCs w:val="24"/>
        </w:rPr>
        <w:t>.</w:t>
      </w:r>
    </w:p>
    <w:p w:rsidR="009976D8" w:rsidRDefault="00613347" w:rsidP="009976D8">
      <w:pPr>
        <w:pStyle w:val="ListParagraph"/>
        <w:numPr>
          <w:ilvl w:val="0"/>
          <w:numId w:val="1"/>
        </w:numPr>
        <w:spacing w:before="240"/>
        <w:rPr>
          <w:rFonts w:ascii="Times New Roman" w:hAnsi="Times New Roman" w:cs="Times New Roman"/>
          <w:sz w:val="24"/>
          <w:szCs w:val="24"/>
        </w:rPr>
      </w:pPr>
      <w:r w:rsidRPr="009976D8">
        <w:rPr>
          <w:rFonts w:ascii="Times New Roman" w:hAnsi="Times New Roman" w:cs="Times New Roman"/>
          <w:b/>
          <w:i/>
          <w:sz w:val="24"/>
          <w:szCs w:val="24"/>
        </w:rPr>
        <w:t>related refinery entity</w:t>
      </w:r>
      <w:r w:rsidR="008F0C06" w:rsidRPr="009976D8">
        <w:rPr>
          <w:rFonts w:ascii="Times New Roman" w:hAnsi="Times New Roman" w:cs="Times New Roman"/>
          <w:b/>
          <w:i/>
          <w:sz w:val="24"/>
          <w:szCs w:val="24"/>
        </w:rPr>
        <w:t xml:space="preserve"> </w:t>
      </w:r>
      <w:r w:rsidR="0026406D">
        <w:rPr>
          <w:rFonts w:ascii="Times New Roman" w:hAnsi="Times New Roman" w:cs="Times New Roman"/>
          <w:sz w:val="24"/>
          <w:szCs w:val="24"/>
        </w:rPr>
        <w:t>means</w:t>
      </w:r>
      <w:r w:rsidR="0026406D" w:rsidRPr="009976D8">
        <w:rPr>
          <w:rFonts w:ascii="Times New Roman" w:hAnsi="Times New Roman" w:cs="Times New Roman"/>
          <w:sz w:val="24"/>
          <w:szCs w:val="24"/>
        </w:rPr>
        <w:t xml:space="preserve"> </w:t>
      </w:r>
      <w:r w:rsidRPr="009976D8">
        <w:rPr>
          <w:rFonts w:ascii="Times New Roman" w:hAnsi="Times New Roman" w:cs="Times New Roman"/>
          <w:sz w:val="24"/>
          <w:szCs w:val="24"/>
        </w:rPr>
        <w:t xml:space="preserve">the Australian controlling corporation for a refinery operator, </w:t>
      </w:r>
      <w:r w:rsidR="009976D8" w:rsidRPr="009976D8">
        <w:rPr>
          <w:rFonts w:ascii="Times New Roman" w:hAnsi="Times New Roman" w:cs="Times New Roman"/>
          <w:sz w:val="24"/>
          <w:szCs w:val="24"/>
        </w:rPr>
        <w:t xml:space="preserve">any </w:t>
      </w:r>
      <w:r w:rsidRPr="009976D8">
        <w:rPr>
          <w:rFonts w:ascii="Times New Roman" w:hAnsi="Times New Roman" w:cs="Times New Roman"/>
          <w:sz w:val="24"/>
          <w:szCs w:val="24"/>
        </w:rPr>
        <w:t>other entit</w:t>
      </w:r>
      <w:r w:rsidR="009976D8" w:rsidRPr="009976D8">
        <w:rPr>
          <w:rFonts w:ascii="Times New Roman" w:hAnsi="Times New Roman" w:cs="Times New Roman"/>
          <w:sz w:val="24"/>
          <w:szCs w:val="24"/>
        </w:rPr>
        <w:t xml:space="preserve">y </w:t>
      </w:r>
      <w:r w:rsidRPr="009976D8">
        <w:rPr>
          <w:rFonts w:ascii="Times New Roman" w:hAnsi="Times New Roman" w:cs="Times New Roman"/>
          <w:sz w:val="24"/>
          <w:szCs w:val="24"/>
        </w:rPr>
        <w:t xml:space="preserve">that </w:t>
      </w:r>
      <w:r w:rsidR="009976D8" w:rsidRPr="009976D8">
        <w:rPr>
          <w:rFonts w:ascii="Times New Roman" w:hAnsi="Times New Roman" w:cs="Times New Roman"/>
          <w:sz w:val="24"/>
          <w:szCs w:val="24"/>
        </w:rPr>
        <w:t xml:space="preserve">has </w:t>
      </w:r>
      <w:r w:rsidR="00232804" w:rsidRPr="009976D8">
        <w:rPr>
          <w:rFonts w:ascii="Times New Roman" w:hAnsi="Times New Roman" w:cs="Times New Roman"/>
          <w:sz w:val="24"/>
          <w:szCs w:val="24"/>
        </w:rPr>
        <w:t xml:space="preserve">ownership </w:t>
      </w:r>
      <w:r w:rsidR="00527B3B">
        <w:rPr>
          <w:rFonts w:ascii="Times New Roman" w:hAnsi="Times New Roman" w:cs="Times New Roman"/>
          <w:sz w:val="24"/>
          <w:szCs w:val="24"/>
        </w:rPr>
        <w:t>of</w:t>
      </w:r>
      <w:r w:rsidR="00527B3B" w:rsidRPr="009976D8">
        <w:rPr>
          <w:rFonts w:ascii="Times New Roman" w:hAnsi="Times New Roman" w:cs="Times New Roman"/>
          <w:sz w:val="24"/>
          <w:szCs w:val="24"/>
        </w:rPr>
        <w:t xml:space="preserve"> </w:t>
      </w:r>
      <w:r w:rsidR="00232804" w:rsidRPr="009976D8">
        <w:rPr>
          <w:rFonts w:ascii="Times New Roman" w:hAnsi="Times New Roman" w:cs="Times New Roman"/>
          <w:sz w:val="24"/>
          <w:szCs w:val="24"/>
        </w:rPr>
        <w:t xml:space="preserve">the refinery, and </w:t>
      </w:r>
      <w:r w:rsidR="009976D8" w:rsidRPr="009976D8">
        <w:rPr>
          <w:rFonts w:ascii="Times New Roman" w:hAnsi="Times New Roman" w:cs="Times New Roman"/>
          <w:sz w:val="24"/>
          <w:szCs w:val="24"/>
        </w:rPr>
        <w:t xml:space="preserve">any </w:t>
      </w:r>
      <w:r w:rsidR="00232804" w:rsidRPr="009976D8">
        <w:rPr>
          <w:rFonts w:ascii="Times New Roman" w:hAnsi="Times New Roman" w:cs="Times New Roman"/>
          <w:sz w:val="24"/>
          <w:szCs w:val="24"/>
        </w:rPr>
        <w:t>related bod</w:t>
      </w:r>
      <w:r w:rsidR="009976D8" w:rsidRPr="009976D8">
        <w:rPr>
          <w:rFonts w:ascii="Times New Roman" w:hAnsi="Times New Roman" w:cs="Times New Roman"/>
          <w:sz w:val="24"/>
          <w:szCs w:val="24"/>
        </w:rPr>
        <w:t xml:space="preserve">y </w:t>
      </w:r>
      <w:r w:rsidR="00232804" w:rsidRPr="00127A57">
        <w:rPr>
          <w:rFonts w:ascii="Times New Roman" w:hAnsi="Times New Roman" w:cs="Times New Roman"/>
          <w:sz w:val="24"/>
          <w:szCs w:val="24"/>
        </w:rPr>
        <w:t xml:space="preserve">corporate of the refinery operator who </w:t>
      </w:r>
      <w:r w:rsidR="0026406D">
        <w:rPr>
          <w:rFonts w:ascii="Times New Roman" w:hAnsi="Times New Roman" w:cs="Times New Roman"/>
          <w:sz w:val="24"/>
          <w:szCs w:val="24"/>
        </w:rPr>
        <w:t>is</w:t>
      </w:r>
      <w:r w:rsidR="0026406D" w:rsidRPr="00127A57">
        <w:rPr>
          <w:rFonts w:ascii="Times New Roman" w:hAnsi="Times New Roman" w:cs="Times New Roman"/>
          <w:sz w:val="24"/>
          <w:szCs w:val="24"/>
        </w:rPr>
        <w:t xml:space="preserve"> </w:t>
      </w:r>
      <w:r w:rsidR="00232804" w:rsidRPr="00127A57">
        <w:rPr>
          <w:rFonts w:ascii="Times New Roman" w:hAnsi="Times New Roman" w:cs="Times New Roman"/>
          <w:sz w:val="24"/>
          <w:szCs w:val="24"/>
        </w:rPr>
        <w:t xml:space="preserve">able to control or significantly </w:t>
      </w:r>
      <w:r w:rsidR="00E510A6" w:rsidRPr="00127A57">
        <w:rPr>
          <w:rFonts w:ascii="Times New Roman" w:hAnsi="Times New Roman" w:cs="Times New Roman"/>
          <w:sz w:val="24"/>
          <w:szCs w:val="24"/>
        </w:rPr>
        <w:t>i</w:t>
      </w:r>
      <w:r w:rsidR="00E510A6">
        <w:rPr>
          <w:rFonts w:ascii="Times New Roman" w:hAnsi="Times New Roman" w:cs="Times New Roman"/>
          <w:sz w:val="24"/>
          <w:szCs w:val="24"/>
        </w:rPr>
        <w:t xml:space="preserve">nfluence </w:t>
      </w:r>
      <w:r w:rsidR="00232804" w:rsidRPr="00127A57">
        <w:rPr>
          <w:rFonts w:ascii="Times New Roman" w:hAnsi="Times New Roman" w:cs="Times New Roman"/>
          <w:sz w:val="24"/>
          <w:szCs w:val="24"/>
        </w:rPr>
        <w:t>the operational decisions of the refinery.</w:t>
      </w:r>
      <w:r w:rsidR="006C1245" w:rsidRPr="006E31F6">
        <w:rPr>
          <w:rFonts w:ascii="Times New Roman" w:hAnsi="Times New Roman" w:cs="Times New Roman"/>
          <w:sz w:val="24"/>
          <w:szCs w:val="24"/>
        </w:rPr>
        <w:t xml:space="preserve"> </w:t>
      </w:r>
    </w:p>
    <w:p w:rsidR="000E7D99" w:rsidRPr="002802F3" w:rsidRDefault="000E7D99" w:rsidP="002802F3">
      <w:pPr>
        <w:spacing w:before="240"/>
        <w:rPr>
          <w:rFonts w:ascii="Times New Roman" w:hAnsi="Times New Roman" w:cs="Times New Roman"/>
          <w:sz w:val="24"/>
          <w:szCs w:val="24"/>
        </w:rPr>
      </w:pPr>
      <w:r w:rsidRPr="002802F3">
        <w:rPr>
          <w:rFonts w:ascii="Times New Roman" w:hAnsi="Times New Roman" w:cs="Times New Roman"/>
          <w:sz w:val="24"/>
          <w:szCs w:val="24"/>
        </w:rPr>
        <w:t xml:space="preserve">The </w:t>
      </w:r>
      <w:r w:rsidRPr="00D57D73">
        <w:rPr>
          <w:rFonts w:ascii="Times New Roman" w:hAnsi="Times New Roman" w:cs="Times New Roman"/>
          <w:i/>
          <w:sz w:val="24"/>
          <w:szCs w:val="24"/>
        </w:rPr>
        <w:t>Fuel Quality Standards Act 2000,</w:t>
      </w:r>
      <w:r w:rsidRPr="00D57D73">
        <w:rPr>
          <w:rFonts w:ascii="Times New Roman" w:hAnsi="Times New Roman" w:cs="Times New Roman"/>
          <w:b/>
          <w:i/>
          <w:sz w:val="24"/>
          <w:szCs w:val="24"/>
        </w:rPr>
        <w:t xml:space="preserve"> </w:t>
      </w:r>
      <w:r w:rsidRPr="00D57D73">
        <w:rPr>
          <w:rFonts w:ascii="Times New Roman" w:hAnsi="Times New Roman" w:cs="Times New Roman"/>
          <w:i/>
          <w:sz w:val="24"/>
          <w:szCs w:val="24"/>
        </w:rPr>
        <w:t>Petroleum and Other Fuels Reporting Act 2017</w:t>
      </w:r>
      <w:r w:rsidRPr="00D57D73">
        <w:rPr>
          <w:rFonts w:ascii="Times New Roman" w:hAnsi="Times New Roman" w:cs="Times New Roman"/>
          <w:sz w:val="24"/>
          <w:szCs w:val="24"/>
        </w:rPr>
        <w:t>,</w:t>
      </w:r>
      <w:r w:rsidR="00527B3B" w:rsidRPr="00D57D73">
        <w:rPr>
          <w:rFonts w:ascii="Times New Roman" w:hAnsi="Times New Roman" w:cs="Times New Roman"/>
          <w:sz w:val="24"/>
          <w:szCs w:val="24"/>
        </w:rPr>
        <w:t xml:space="preserve"> </w:t>
      </w:r>
      <w:r w:rsidRPr="00D57D73">
        <w:rPr>
          <w:rFonts w:ascii="Times New Roman" w:hAnsi="Times New Roman" w:cs="Times New Roman"/>
          <w:i/>
          <w:sz w:val="24"/>
          <w:szCs w:val="24"/>
        </w:rPr>
        <w:t>Petroleum and Other Fuels Reporting Rules 2017</w:t>
      </w:r>
      <w:r w:rsidR="00237636" w:rsidRPr="00237636">
        <w:rPr>
          <w:rFonts w:ascii="Times New Roman" w:hAnsi="Times New Roman" w:cs="Times New Roman"/>
          <w:sz w:val="24"/>
          <w:szCs w:val="24"/>
        </w:rPr>
        <w:t xml:space="preserve">, </w:t>
      </w:r>
      <w:r w:rsidR="00237636" w:rsidRPr="00237636">
        <w:rPr>
          <w:rFonts w:ascii="Times New Roman" w:hAnsi="Times New Roman" w:cs="Times New Roman"/>
          <w:i/>
          <w:sz w:val="24"/>
          <w:szCs w:val="24"/>
        </w:rPr>
        <w:t>Banking Act 1959</w:t>
      </w:r>
      <w:r w:rsidR="00237636">
        <w:rPr>
          <w:rFonts w:ascii="Times New Roman" w:hAnsi="Times New Roman" w:cs="Times New Roman"/>
          <w:sz w:val="24"/>
          <w:szCs w:val="24"/>
        </w:rPr>
        <w:t xml:space="preserve">, </w:t>
      </w:r>
      <w:r w:rsidR="00237636" w:rsidRPr="00237636">
        <w:rPr>
          <w:rFonts w:ascii="Times New Roman" w:hAnsi="Times New Roman" w:cs="Times New Roman"/>
          <w:sz w:val="24"/>
          <w:szCs w:val="24"/>
        </w:rPr>
        <w:t>and</w:t>
      </w:r>
      <w:r w:rsidRPr="00237636">
        <w:rPr>
          <w:rFonts w:ascii="Times New Roman" w:hAnsi="Times New Roman" w:cs="Times New Roman"/>
          <w:sz w:val="24"/>
          <w:szCs w:val="24"/>
        </w:rPr>
        <w:t xml:space="preserve"> </w:t>
      </w:r>
      <w:r w:rsidR="00237636" w:rsidRPr="00237636">
        <w:rPr>
          <w:rFonts w:ascii="Times New Roman" w:hAnsi="Times New Roman" w:cs="Times New Roman"/>
          <w:i/>
          <w:sz w:val="24"/>
          <w:szCs w:val="24"/>
        </w:rPr>
        <w:t>Industry Research and Development (Temporary Refinery Production Payment Program) Instrument 2021</w:t>
      </w:r>
      <w:r w:rsidRPr="002802F3">
        <w:rPr>
          <w:rFonts w:ascii="Times New Roman" w:hAnsi="Times New Roman" w:cs="Times New Roman"/>
          <w:sz w:val="24"/>
          <w:szCs w:val="24"/>
        </w:rPr>
        <w:t xml:space="preserve"> </w:t>
      </w:r>
      <w:r w:rsidRPr="00D57D73">
        <w:rPr>
          <w:rFonts w:ascii="Times New Roman" w:hAnsi="Times New Roman" w:cs="Times New Roman"/>
          <w:sz w:val="24"/>
          <w:szCs w:val="24"/>
        </w:rPr>
        <w:t>are also incorporated as in force from time to time, consistent with the usual reference to Acts and legislative instruments. They are available from the Federal Register of Legislation (</w:t>
      </w:r>
      <w:hyperlink r:id="rId14" w:history="1">
        <w:r w:rsidRPr="00D57D73">
          <w:rPr>
            <w:rStyle w:val="Hyperlink"/>
            <w:rFonts w:ascii="Times New Roman" w:hAnsi="Times New Roman" w:cs="Times New Roman"/>
            <w:sz w:val="24"/>
            <w:szCs w:val="24"/>
          </w:rPr>
          <w:t>www.legislation.gov.au</w:t>
        </w:r>
      </w:hyperlink>
      <w:r w:rsidRPr="002802F3">
        <w:rPr>
          <w:rFonts w:ascii="Times New Roman" w:hAnsi="Times New Roman" w:cs="Times New Roman"/>
          <w:sz w:val="24"/>
          <w:szCs w:val="24"/>
        </w:rPr>
        <w:t>).</w:t>
      </w:r>
    </w:p>
    <w:p w:rsidR="002C70FC" w:rsidRPr="002C70FC" w:rsidRDefault="002C70FC" w:rsidP="000E7D99">
      <w:pPr>
        <w:spacing w:before="240"/>
        <w:rPr>
          <w:rFonts w:ascii="Times New Roman" w:hAnsi="Times New Roman" w:cs="Times New Roman"/>
          <w:sz w:val="24"/>
          <w:szCs w:val="24"/>
        </w:rPr>
      </w:pPr>
      <w:r w:rsidRPr="002C70FC">
        <w:rPr>
          <w:rFonts w:ascii="Times New Roman" w:hAnsi="Times New Roman" w:cs="Times New Roman"/>
          <w:sz w:val="24"/>
          <w:szCs w:val="24"/>
        </w:rPr>
        <w:lastRenderedPageBreak/>
        <w:t>Unless specified in the Rule, where a term is defined in the Act the definition of that term will also apply to the Rule – e.g. “Australian controlling corporation”</w:t>
      </w:r>
      <w:r w:rsidR="00CC3E1B">
        <w:rPr>
          <w:rFonts w:ascii="Times New Roman" w:hAnsi="Times New Roman" w:cs="Times New Roman"/>
          <w:sz w:val="24"/>
          <w:szCs w:val="24"/>
        </w:rPr>
        <w:t xml:space="preserve"> (defined in </w:t>
      </w:r>
      <w:r w:rsidR="00763AC0">
        <w:rPr>
          <w:rFonts w:ascii="Times New Roman" w:hAnsi="Times New Roman" w:cs="Times New Roman"/>
          <w:sz w:val="24"/>
          <w:szCs w:val="24"/>
        </w:rPr>
        <w:t>paragraph</w:t>
      </w:r>
      <w:r w:rsidR="00CC3E1B">
        <w:rPr>
          <w:rFonts w:ascii="Times New Roman" w:hAnsi="Times New Roman" w:cs="Times New Roman"/>
          <w:sz w:val="24"/>
          <w:szCs w:val="24"/>
        </w:rPr>
        <w:t xml:space="preserve"> </w:t>
      </w:r>
      <w:r w:rsidR="00210C70">
        <w:rPr>
          <w:rFonts w:ascii="Times New Roman" w:hAnsi="Times New Roman" w:cs="Times New Roman"/>
          <w:sz w:val="24"/>
          <w:szCs w:val="24"/>
        </w:rPr>
        <w:t>8(2)(a)</w:t>
      </w:r>
      <w:r w:rsidR="00CC3E1B">
        <w:rPr>
          <w:rFonts w:ascii="Times New Roman" w:hAnsi="Times New Roman" w:cs="Times New Roman"/>
          <w:sz w:val="24"/>
          <w:szCs w:val="24"/>
        </w:rPr>
        <w:t xml:space="preserve"> of the Act)</w:t>
      </w:r>
      <w:r w:rsidRPr="002C70FC">
        <w:rPr>
          <w:rFonts w:ascii="Times New Roman" w:hAnsi="Times New Roman" w:cs="Times New Roman"/>
          <w:sz w:val="24"/>
          <w:szCs w:val="24"/>
        </w:rPr>
        <w:t>.</w:t>
      </w:r>
    </w:p>
    <w:p w:rsidR="00F52713" w:rsidRPr="006745C3" w:rsidRDefault="00F52713" w:rsidP="008D6802">
      <w:pPr>
        <w:keepNext/>
        <w:spacing w:before="240"/>
        <w:rPr>
          <w:rFonts w:ascii="Times New Roman" w:hAnsi="Times New Roman" w:cs="Times New Roman"/>
          <w:b/>
          <w:sz w:val="24"/>
          <w:szCs w:val="24"/>
        </w:rPr>
      </w:pPr>
      <w:r>
        <w:rPr>
          <w:rFonts w:ascii="Times New Roman" w:hAnsi="Times New Roman" w:cs="Times New Roman"/>
          <w:b/>
          <w:sz w:val="24"/>
          <w:szCs w:val="24"/>
        </w:rPr>
        <w:t>Section 5 – FSSP fuel</w:t>
      </w:r>
    </w:p>
    <w:p w:rsidR="00F52713" w:rsidRDefault="00F52713" w:rsidP="006745C3">
      <w:pPr>
        <w:spacing w:before="240"/>
        <w:rPr>
          <w:rFonts w:ascii="Times New Roman" w:hAnsi="Times New Roman" w:cs="Times New Roman"/>
          <w:sz w:val="24"/>
          <w:szCs w:val="24"/>
        </w:rPr>
      </w:pPr>
      <w:r>
        <w:rPr>
          <w:rFonts w:ascii="Times New Roman" w:hAnsi="Times New Roman" w:cs="Times New Roman"/>
          <w:sz w:val="24"/>
          <w:szCs w:val="24"/>
        </w:rPr>
        <w:t>This section</w:t>
      </w:r>
      <w:r w:rsidR="005859AB" w:rsidRPr="005859AB">
        <w:t xml:space="preserve"> </w:t>
      </w:r>
      <w:r w:rsidR="005859AB" w:rsidRPr="005859AB">
        <w:rPr>
          <w:rFonts w:ascii="Times New Roman" w:hAnsi="Times New Roman" w:cs="Times New Roman"/>
          <w:sz w:val="24"/>
          <w:szCs w:val="24"/>
        </w:rPr>
        <w:t xml:space="preserve">prescribes requirements </w:t>
      </w:r>
      <w:r w:rsidR="008B0553">
        <w:rPr>
          <w:rFonts w:ascii="Times New Roman" w:hAnsi="Times New Roman" w:cs="Times New Roman"/>
          <w:sz w:val="24"/>
          <w:szCs w:val="24"/>
        </w:rPr>
        <w:t>for gasoline, diesel and kerosene fuels to satisfy</w:t>
      </w:r>
      <w:r w:rsidR="005859AB" w:rsidRPr="005859AB">
        <w:rPr>
          <w:rFonts w:ascii="Times New Roman" w:hAnsi="Times New Roman" w:cs="Times New Roman"/>
          <w:sz w:val="24"/>
          <w:szCs w:val="24"/>
        </w:rPr>
        <w:t xml:space="preserve"> the definition of “</w:t>
      </w:r>
      <w:r w:rsidR="005859AB" w:rsidRPr="00552846">
        <w:rPr>
          <w:rFonts w:ascii="Times New Roman" w:hAnsi="Times New Roman" w:cs="Times New Roman"/>
          <w:sz w:val="24"/>
          <w:szCs w:val="24"/>
        </w:rPr>
        <w:t>FSSP fuel</w:t>
      </w:r>
      <w:r w:rsidR="005859AB" w:rsidRPr="005859AB">
        <w:rPr>
          <w:rFonts w:ascii="Times New Roman" w:hAnsi="Times New Roman" w:cs="Times New Roman"/>
          <w:sz w:val="24"/>
          <w:szCs w:val="24"/>
        </w:rPr>
        <w:t>” in</w:t>
      </w:r>
      <w:r w:rsidR="005859AB">
        <w:rPr>
          <w:rFonts w:ascii="Times New Roman" w:hAnsi="Times New Roman" w:cs="Times New Roman"/>
          <w:sz w:val="24"/>
          <w:szCs w:val="24"/>
        </w:rPr>
        <w:t xml:space="preserve"> section 5 of</w:t>
      </w:r>
      <w:r w:rsidR="005859AB" w:rsidRPr="005859AB">
        <w:rPr>
          <w:rFonts w:ascii="Times New Roman" w:hAnsi="Times New Roman" w:cs="Times New Roman"/>
          <w:sz w:val="24"/>
          <w:szCs w:val="24"/>
        </w:rPr>
        <w:t xml:space="preserve"> the Act</w:t>
      </w:r>
      <w:r w:rsidR="005859AB">
        <w:rPr>
          <w:rFonts w:ascii="Times New Roman" w:hAnsi="Times New Roman" w:cs="Times New Roman"/>
          <w:sz w:val="24"/>
          <w:szCs w:val="24"/>
        </w:rPr>
        <w:t>; namely:</w:t>
      </w:r>
    </w:p>
    <w:p w:rsidR="005859AB" w:rsidRPr="0022031A" w:rsidRDefault="008B0553" w:rsidP="0022031A">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w:t>
      </w:r>
      <w:r w:rsidR="005859AB" w:rsidRPr="0022031A">
        <w:rPr>
          <w:rFonts w:ascii="Times New Roman" w:hAnsi="Times New Roman" w:cs="Times New Roman"/>
          <w:sz w:val="24"/>
          <w:szCs w:val="24"/>
        </w:rPr>
        <w:t xml:space="preserve">ach FSSP fuel must </w:t>
      </w:r>
      <w:r w:rsidR="0045638F">
        <w:rPr>
          <w:rFonts w:ascii="Times New Roman" w:hAnsi="Times New Roman" w:cs="Times New Roman"/>
          <w:sz w:val="24"/>
          <w:szCs w:val="24"/>
        </w:rPr>
        <w:t xml:space="preserve">be </w:t>
      </w:r>
      <w:r w:rsidR="004E3241">
        <w:rPr>
          <w:rFonts w:ascii="Times New Roman" w:hAnsi="Times New Roman" w:cs="Times New Roman"/>
          <w:sz w:val="24"/>
          <w:szCs w:val="24"/>
        </w:rPr>
        <w:t xml:space="preserve">supplied and </w:t>
      </w:r>
      <w:r w:rsidR="005859AB" w:rsidRPr="0022031A">
        <w:rPr>
          <w:rFonts w:ascii="Times New Roman" w:hAnsi="Times New Roman" w:cs="Times New Roman"/>
          <w:sz w:val="24"/>
          <w:szCs w:val="24"/>
        </w:rPr>
        <w:t xml:space="preserve">able to be used for road or air transport purposes </w:t>
      </w:r>
      <w:r w:rsidR="0022031A" w:rsidRPr="0022031A">
        <w:rPr>
          <w:rFonts w:ascii="Times New Roman" w:hAnsi="Times New Roman" w:cs="Times New Roman"/>
          <w:sz w:val="24"/>
          <w:szCs w:val="24"/>
        </w:rPr>
        <w:t>in Australia</w:t>
      </w:r>
      <w:r w:rsidR="005859AB" w:rsidRPr="0022031A">
        <w:rPr>
          <w:rFonts w:ascii="Times New Roman" w:hAnsi="Times New Roman" w:cs="Times New Roman"/>
          <w:sz w:val="24"/>
          <w:szCs w:val="24"/>
        </w:rPr>
        <w:t xml:space="preserve">. This reflects the policy intent that </w:t>
      </w:r>
      <w:r w:rsidR="0022031A" w:rsidRPr="0022031A">
        <w:rPr>
          <w:rFonts w:ascii="Times New Roman" w:hAnsi="Times New Roman" w:cs="Times New Roman"/>
          <w:sz w:val="24"/>
          <w:szCs w:val="24"/>
        </w:rPr>
        <w:t>fuels that can be used for on-</w:t>
      </w:r>
      <w:r w:rsidR="005859AB" w:rsidRPr="0022031A">
        <w:rPr>
          <w:rFonts w:ascii="Times New Roman" w:hAnsi="Times New Roman" w:cs="Times New Roman"/>
          <w:sz w:val="24"/>
          <w:szCs w:val="24"/>
        </w:rPr>
        <w:t>road transport</w:t>
      </w:r>
      <w:r w:rsidR="001216EF">
        <w:rPr>
          <w:rFonts w:ascii="Times New Roman" w:hAnsi="Times New Roman" w:cs="Times New Roman"/>
          <w:sz w:val="24"/>
          <w:szCs w:val="24"/>
        </w:rPr>
        <w:t>,</w:t>
      </w:r>
      <w:r w:rsidR="005859AB" w:rsidRPr="0022031A">
        <w:rPr>
          <w:rFonts w:ascii="Times New Roman" w:hAnsi="Times New Roman" w:cs="Times New Roman"/>
          <w:sz w:val="24"/>
          <w:szCs w:val="24"/>
        </w:rPr>
        <w:t xml:space="preserve"> </w:t>
      </w:r>
      <w:r w:rsidR="001216EF">
        <w:rPr>
          <w:rFonts w:ascii="Times New Roman" w:hAnsi="Times New Roman" w:cs="Times New Roman"/>
          <w:sz w:val="24"/>
          <w:szCs w:val="24"/>
        </w:rPr>
        <w:t xml:space="preserve">or which are saleable for air transport </w:t>
      </w:r>
      <w:r w:rsidR="002424DC">
        <w:rPr>
          <w:rFonts w:ascii="Times New Roman" w:hAnsi="Times New Roman" w:cs="Times New Roman"/>
          <w:sz w:val="24"/>
          <w:szCs w:val="24"/>
        </w:rPr>
        <w:t xml:space="preserve">purposes </w:t>
      </w:r>
      <w:r w:rsidR="001216EF">
        <w:rPr>
          <w:rFonts w:ascii="Times New Roman" w:hAnsi="Times New Roman" w:cs="Times New Roman"/>
          <w:sz w:val="24"/>
          <w:szCs w:val="24"/>
        </w:rPr>
        <w:t xml:space="preserve">in Australia, </w:t>
      </w:r>
      <w:r w:rsidR="005859AB" w:rsidRPr="0022031A">
        <w:rPr>
          <w:rFonts w:ascii="Times New Roman" w:hAnsi="Times New Roman" w:cs="Times New Roman"/>
          <w:sz w:val="24"/>
          <w:szCs w:val="24"/>
        </w:rPr>
        <w:t xml:space="preserve">should qualify for the FSSP. </w:t>
      </w:r>
      <w:r w:rsidR="0022031A" w:rsidRPr="0022031A">
        <w:rPr>
          <w:rFonts w:ascii="Times New Roman" w:hAnsi="Times New Roman" w:cs="Times New Roman"/>
          <w:sz w:val="24"/>
          <w:szCs w:val="24"/>
        </w:rPr>
        <w:t>Fuels that can</w:t>
      </w:r>
      <w:r w:rsidR="00904CBD">
        <w:rPr>
          <w:rFonts w:ascii="Times New Roman" w:hAnsi="Times New Roman" w:cs="Times New Roman"/>
          <w:sz w:val="24"/>
          <w:szCs w:val="24"/>
        </w:rPr>
        <w:t>not</w:t>
      </w:r>
      <w:r w:rsidR="0022031A" w:rsidRPr="0022031A">
        <w:rPr>
          <w:rFonts w:ascii="Times New Roman" w:hAnsi="Times New Roman" w:cs="Times New Roman"/>
          <w:sz w:val="24"/>
          <w:szCs w:val="24"/>
        </w:rPr>
        <w:t xml:space="preserve"> be used for on-</w:t>
      </w:r>
      <w:r w:rsidR="005859AB" w:rsidRPr="0022031A">
        <w:rPr>
          <w:rFonts w:ascii="Times New Roman" w:hAnsi="Times New Roman" w:cs="Times New Roman"/>
          <w:sz w:val="24"/>
          <w:szCs w:val="24"/>
        </w:rPr>
        <w:t>road transport (</w:t>
      </w:r>
      <w:r w:rsidR="002703D2">
        <w:rPr>
          <w:rFonts w:ascii="Times New Roman" w:hAnsi="Times New Roman" w:cs="Times New Roman"/>
          <w:sz w:val="24"/>
          <w:szCs w:val="24"/>
        </w:rPr>
        <w:t xml:space="preserve">e.g. </w:t>
      </w:r>
      <w:r w:rsidR="005859AB" w:rsidRPr="0022031A">
        <w:rPr>
          <w:rFonts w:ascii="Times New Roman" w:hAnsi="Times New Roman" w:cs="Times New Roman"/>
          <w:sz w:val="24"/>
          <w:szCs w:val="24"/>
        </w:rPr>
        <w:t>marine diesel, diesel that is only allowed to be used for mining</w:t>
      </w:r>
      <w:r w:rsidR="002703D2">
        <w:rPr>
          <w:rFonts w:ascii="Times New Roman" w:hAnsi="Times New Roman" w:cs="Times New Roman"/>
          <w:sz w:val="24"/>
          <w:szCs w:val="24"/>
        </w:rPr>
        <w:t>,</w:t>
      </w:r>
      <w:r w:rsidR="005859AB" w:rsidRPr="0022031A">
        <w:rPr>
          <w:rFonts w:ascii="Times New Roman" w:hAnsi="Times New Roman" w:cs="Times New Roman"/>
          <w:sz w:val="24"/>
          <w:szCs w:val="24"/>
        </w:rPr>
        <w:t xml:space="preserve"> etc</w:t>
      </w:r>
      <w:r w:rsidR="0022031A" w:rsidRPr="0022031A">
        <w:rPr>
          <w:rFonts w:ascii="Times New Roman" w:hAnsi="Times New Roman" w:cs="Times New Roman"/>
          <w:sz w:val="24"/>
          <w:szCs w:val="24"/>
        </w:rPr>
        <w:t>.</w:t>
      </w:r>
      <w:r w:rsidR="005859AB" w:rsidRPr="0022031A">
        <w:rPr>
          <w:rFonts w:ascii="Times New Roman" w:hAnsi="Times New Roman" w:cs="Times New Roman"/>
          <w:sz w:val="24"/>
          <w:szCs w:val="24"/>
        </w:rPr>
        <w:t xml:space="preserve">) </w:t>
      </w:r>
      <w:r w:rsidR="001216EF">
        <w:rPr>
          <w:rFonts w:ascii="Times New Roman" w:hAnsi="Times New Roman" w:cs="Times New Roman"/>
          <w:sz w:val="24"/>
          <w:szCs w:val="24"/>
        </w:rPr>
        <w:t>or which can</w:t>
      </w:r>
      <w:r w:rsidR="00904CBD">
        <w:rPr>
          <w:rFonts w:ascii="Times New Roman" w:hAnsi="Times New Roman" w:cs="Times New Roman"/>
          <w:sz w:val="24"/>
          <w:szCs w:val="24"/>
        </w:rPr>
        <w:t>not</w:t>
      </w:r>
      <w:r w:rsidR="001216EF">
        <w:rPr>
          <w:rFonts w:ascii="Times New Roman" w:hAnsi="Times New Roman" w:cs="Times New Roman"/>
          <w:sz w:val="24"/>
          <w:szCs w:val="24"/>
        </w:rPr>
        <w:t xml:space="preserve"> be sold domestically for air transport </w:t>
      </w:r>
      <w:r w:rsidR="005859AB" w:rsidRPr="0022031A">
        <w:rPr>
          <w:rFonts w:ascii="Times New Roman" w:hAnsi="Times New Roman" w:cs="Times New Roman"/>
          <w:sz w:val="24"/>
          <w:szCs w:val="24"/>
        </w:rPr>
        <w:t xml:space="preserve">should not qualify for the FSSP because </w:t>
      </w:r>
      <w:r w:rsidR="0022031A" w:rsidRPr="0022031A">
        <w:rPr>
          <w:rFonts w:ascii="Times New Roman" w:hAnsi="Times New Roman" w:cs="Times New Roman"/>
          <w:sz w:val="24"/>
          <w:szCs w:val="24"/>
        </w:rPr>
        <w:t>such fuels</w:t>
      </w:r>
      <w:r w:rsidR="005859AB" w:rsidRPr="0022031A">
        <w:rPr>
          <w:rFonts w:ascii="Times New Roman" w:hAnsi="Times New Roman" w:cs="Times New Roman"/>
          <w:sz w:val="24"/>
          <w:szCs w:val="24"/>
        </w:rPr>
        <w:t xml:space="preserve"> can</w:t>
      </w:r>
      <w:r w:rsidR="00904CBD">
        <w:rPr>
          <w:rFonts w:ascii="Times New Roman" w:hAnsi="Times New Roman" w:cs="Times New Roman"/>
          <w:sz w:val="24"/>
          <w:szCs w:val="24"/>
        </w:rPr>
        <w:t>not</w:t>
      </w:r>
      <w:r w:rsidR="005859AB" w:rsidRPr="0022031A">
        <w:rPr>
          <w:rFonts w:ascii="Times New Roman" w:hAnsi="Times New Roman" w:cs="Times New Roman"/>
          <w:sz w:val="24"/>
          <w:szCs w:val="24"/>
        </w:rPr>
        <w:t xml:space="preserve"> be relied upon to deliver fuel security to critical services.</w:t>
      </w:r>
    </w:p>
    <w:p w:rsidR="0022031A" w:rsidRPr="0022031A" w:rsidRDefault="008B0553" w:rsidP="0022031A">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Prescribed c</w:t>
      </w:r>
      <w:r w:rsidR="001216EF">
        <w:rPr>
          <w:rFonts w:ascii="Times New Roman" w:hAnsi="Times New Roman" w:cs="Times New Roman"/>
          <w:sz w:val="24"/>
          <w:szCs w:val="24"/>
        </w:rPr>
        <w:t xml:space="preserve">lasses of gasoline and diesel </w:t>
      </w:r>
      <w:r w:rsidR="0022031A" w:rsidRPr="0022031A">
        <w:rPr>
          <w:rFonts w:ascii="Times New Roman" w:hAnsi="Times New Roman" w:cs="Times New Roman"/>
          <w:sz w:val="24"/>
          <w:szCs w:val="24"/>
        </w:rPr>
        <w:t xml:space="preserve">must </w:t>
      </w:r>
      <w:r w:rsidR="001216EF">
        <w:rPr>
          <w:rFonts w:ascii="Times New Roman" w:hAnsi="Times New Roman" w:cs="Times New Roman"/>
          <w:sz w:val="24"/>
          <w:szCs w:val="24"/>
        </w:rPr>
        <w:t xml:space="preserve">also </w:t>
      </w:r>
      <w:r w:rsidR="0022031A" w:rsidRPr="0022031A">
        <w:rPr>
          <w:rFonts w:ascii="Times New Roman" w:hAnsi="Times New Roman" w:cs="Times New Roman"/>
          <w:sz w:val="24"/>
          <w:szCs w:val="24"/>
        </w:rPr>
        <w:t xml:space="preserve">be able to be </w:t>
      </w:r>
      <w:r w:rsidR="001216EF">
        <w:rPr>
          <w:rFonts w:ascii="Times New Roman" w:hAnsi="Times New Roman" w:cs="Times New Roman"/>
          <w:sz w:val="24"/>
          <w:szCs w:val="24"/>
        </w:rPr>
        <w:t>supplied</w:t>
      </w:r>
      <w:r w:rsidR="0022031A" w:rsidRPr="0022031A">
        <w:rPr>
          <w:rFonts w:ascii="Times New Roman" w:hAnsi="Times New Roman" w:cs="Times New Roman"/>
          <w:sz w:val="24"/>
          <w:szCs w:val="24"/>
        </w:rPr>
        <w:t xml:space="preserve"> for those key transport purposes consistent with the </w:t>
      </w:r>
      <w:r w:rsidR="0022031A" w:rsidRPr="0022031A">
        <w:rPr>
          <w:rFonts w:ascii="Times New Roman" w:hAnsi="Times New Roman" w:cs="Times New Roman"/>
          <w:i/>
          <w:sz w:val="24"/>
          <w:szCs w:val="24"/>
        </w:rPr>
        <w:t>Fuel Quality Standards Act 2000</w:t>
      </w:r>
      <w:r w:rsidR="0022031A" w:rsidRPr="0022031A">
        <w:rPr>
          <w:rFonts w:ascii="Times New Roman" w:hAnsi="Times New Roman" w:cs="Times New Roman"/>
          <w:sz w:val="24"/>
          <w:szCs w:val="24"/>
        </w:rPr>
        <w:t xml:space="preserve"> (FQS Act).</w:t>
      </w:r>
      <w:r w:rsidR="002703D2">
        <w:rPr>
          <w:rFonts w:ascii="Times New Roman" w:hAnsi="Times New Roman" w:cs="Times New Roman"/>
          <w:sz w:val="24"/>
          <w:szCs w:val="24"/>
        </w:rPr>
        <w:t xml:space="preserve"> This requirement is intended to ensure only fuels which meet the appropriate standards to support transport in Australia are recognised as being FSSP fuel.</w:t>
      </w:r>
    </w:p>
    <w:p w:rsidR="0022031A" w:rsidRDefault="0022031A" w:rsidP="006745C3">
      <w:pPr>
        <w:spacing w:before="240"/>
        <w:rPr>
          <w:rFonts w:ascii="Times New Roman" w:hAnsi="Times New Roman" w:cs="Times New Roman"/>
          <w:sz w:val="24"/>
          <w:szCs w:val="24"/>
        </w:rPr>
      </w:pPr>
      <w:r>
        <w:rPr>
          <w:rFonts w:ascii="Times New Roman" w:hAnsi="Times New Roman" w:cs="Times New Roman"/>
          <w:sz w:val="24"/>
          <w:szCs w:val="24"/>
        </w:rPr>
        <w:t xml:space="preserve">This section also specifies which classes of gasoline, diesel and kerosene reported under the </w:t>
      </w:r>
      <w:r w:rsidRPr="0022031A">
        <w:rPr>
          <w:rFonts w:ascii="Times New Roman" w:hAnsi="Times New Roman" w:cs="Times New Roman"/>
          <w:i/>
          <w:sz w:val="24"/>
          <w:szCs w:val="24"/>
        </w:rPr>
        <w:t>Petroleum and Other Fuels Reporting Rules 2017</w:t>
      </w:r>
      <w:r>
        <w:rPr>
          <w:rFonts w:ascii="Times New Roman" w:hAnsi="Times New Roman" w:cs="Times New Roman"/>
          <w:sz w:val="24"/>
          <w:szCs w:val="24"/>
        </w:rPr>
        <w:t xml:space="preserve"> (POFR </w:t>
      </w:r>
      <w:r w:rsidR="00904CBD">
        <w:rPr>
          <w:rFonts w:ascii="Times New Roman" w:hAnsi="Times New Roman" w:cs="Times New Roman"/>
          <w:sz w:val="24"/>
          <w:szCs w:val="24"/>
        </w:rPr>
        <w:t>R</w:t>
      </w:r>
      <w:r>
        <w:rPr>
          <w:rFonts w:ascii="Times New Roman" w:hAnsi="Times New Roman" w:cs="Times New Roman"/>
          <w:sz w:val="24"/>
          <w:szCs w:val="24"/>
        </w:rPr>
        <w:t xml:space="preserve">ules) </w:t>
      </w:r>
      <w:r w:rsidR="008B0553">
        <w:rPr>
          <w:rFonts w:ascii="Times New Roman" w:hAnsi="Times New Roman" w:cs="Times New Roman"/>
          <w:sz w:val="24"/>
          <w:szCs w:val="24"/>
        </w:rPr>
        <w:t>(see, particularly, column 3 of</w:t>
      </w:r>
      <w:r w:rsidR="008B0553" w:rsidRPr="008B0553">
        <w:rPr>
          <w:rFonts w:ascii="Times New Roman" w:hAnsi="Times New Roman" w:cs="Times New Roman"/>
          <w:sz w:val="24"/>
          <w:szCs w:val="24"/>
        </w:rPr>
        <w:t xml:space="preserve"> items 5-7 of the Table in clause 1 of Schedule 1</w:t>
      </w:r>
      <w:r w:rsidR="008B0553">
        <w:rPr>
          <w:rFonts w:ascii="Times New Roman" w:hAnsi="Times New Roman" w:cs="Times New Roman"/>
          <w:sz w:val="24"/>
          <w:szCs w:val="24"/>
        </w:rPr>
        <w:t xml:space="preserve"> to the POFR </w:t>
      </w:r>
      <w:r w:rsidR="00904CBD">
        <w:rPr>
          <w:rFonts w:ascii="Times New Roman" w:hAnsi="Times New Roman" w:cs="Times New Roman"/>
          <w:sz w:val="24"/>
          <w:szCs w:val="24"/>
        </w:rPr>
        <w:t>R</w:t>
      </w:r>
      <w:r w:rsidR="008B0553">
        <w:rPr>
          <w:rFonts w:ascii="Times New Roman" w:hAnsi="Times New Roman" w:cs="Times New Roman"/>
          <w:sz w:val="24"/>
          <w:szCs w:val="24"/>
        </w:rPr>
        <w:t>ules</w:t>
      </w:r>
      <w:r w:rsidR="008B0553" w:rsidRPr="008B0553">
        <w:rPr>
          <w:rFonts w:ascii="Times New Roman" w:hAnsi="Times New Roman" w:cs="Times New Roman"/>
          <w:sz w:val="24"/>
          <w:szCs w:val="24"/>
        </w:rPr>
        <w:t>)</w:t>
      </w:r>
      <w:r w:rsidR="008B0553">
        <w:rPr>
          <w:rFonts w:ascii="Times New Roman" w:hAnsi="Times New Roman" w:cs="Times New Roman"/>
          <w:sz w:val="24"/>
          <w:szCs w:val="24"/>
        </w:rPr>
        <w:t xml:space="preserve"> </w:t>
      </w:r>
      <w:r>
        <w:rPr>
          <w:rFonts w:ascii="Times New Roman" w:hAnsi="Times New Roman" w:cs="Times New Roman"/>
          <w:sz w:val="24"/>
          <w:szCs w:val="24"/>
        </w:rPr>
        <w:t xml:space="preserve">qualify as an FSSP fuel for the purposes of the Act, thereby ensuring that only key transport fuels used in Australia and reported by refinery operators under the POFR </w:t>
      </w:r>
      <w:r w:rsidR="00227E93">
        <w:rPr>
          <w:rFonts w:ascii="Times New Roman" w:hAnsi="Times New Roman" w:cs="Times New Roman"/>
          <w:sz w:val="24"/>
          <w:szCs w:val="24"/>
        </w:rPr>
        <w:t>Act and POFR Rules</w:t>
      </w:r>
      <w:r>
        <w:rPr>
          <w:rFonts w:ascii="Times New Roman" w:hAnsi="Times New Roman" w:cs="Times New Roman"/>
          <w:sz w:val="24"/>
          <w:szCs w:val="24"/>
        </w:rPr>
        <w:t xml:space="preserve"> are recognised as being FSSP fuels.</w:t>
      </w:r>
      <w:r w:rsidR="00727110">
        <w:rPr>
          <w:rFonts w:ascii="Times New Roman" w:hAnsi="Times New Roman" w:cs="Times New Roman"/>
          <w:sz w:val="24"/>
          <w:szCs w:val="24"/>
        </w:rPr>
        <w:t xml:space="preserve"> </w:t>
      </w:r>
    </w:p>
    <w:p w:rsidR="0022031A" w:rsidRDefault="00153F7B" w:rsidP="006745C3">
      <w:pPr>
        <w:spacing w:before="240"/>
        <w:rPr>
          <w:rFonts w:ascii="Times New Roman" w:hAnsi="Times New Roman" w:cs="Times New Roman"/>
          <w:sz w:val="24"/>
          <w:szCs w:val="24"/>
        </w:rPr>
      </w:pPr>
      <w:r>
        <w:rPr>
          <w:rFonts w:ascii="Times New Roman" w:hAnsi="Times New Roman" w:cs="Times New Roman"/>
          <w:sz w:val="24"/>
          <w:szCs w:val="24"/>
        </w:rPr>
        <w:t>However, t</w:t>
      </w:r>
      <w:r w:rsidR="0022031A">
        <w:rPr>
          <w:rFonts w:ascii="Times New Roman" w:hAnsi="Times New Roman" w:cs="Times New Roman"/>
          <w:sz w:val="24"/>
          <w:szCs w:val="24"/>
        </w:rPr>
        <w:t xml:space="preserve">his </w:t>
      </w:r>
      <w:r w:rsidR="008B0553">
        <w:rPr>
          <w:rFonts w:ascii="Times New Roman" w:hAnsi="Times New Roman" w:cs="Times New Roman"/>
          <w:sz w:val="24"/>
          <w:szCs w:val="24"/>
        </w:rPr>
        <w:t xml:space="preserve">section </w:t>
      </w:r>
      <w:r w:rsidR="0022031A">
        <w:rPr>
          <w:rFonts w:ascii="Times New Roman" w:hAnsi="Times New Roman" w:cs="Times New Roman"/>
          <w:sz w:val="24"/>
          <w:szCs w:val="24"/>
        </w:rPr>
        <w:t xml:space="preserve">does not preclude </w:t>
      </w:r>
      <w:r w:rsidR="002703D2">
        <w:rPr>
          <w:rFonts w:ascii="Times New Roman" w:hAnsi="Times New Roman" w:cs="Times New Roman"/>
          <w:sz w:val="24"/>
          <w:szCs w:val="24"/>
        </w:rPr>
        <w:t>other kinds of</w:t>
      </w:r>
      <w:r w:rsidR="0022031A">
        <w:rPr>
          <w:rFonts w:ascii="Times New Roman" w:hAnsi="Times New Roman" w:cs="Times New Roman"/>
          <w:sz w:val="24"/>
          <w:szCs w:val="24"/>
        </w:rPr>
        <w:t xml:space="preserve"> fuels from being prescribed as FSSP fuel in future</w:t>
      </w:r>
      <w:r w:rsidR="00A43285">
        <w:rPr>
          <w:rFonts w:ascii="Times New Roman" w:hAnsi="Times New Roman" w:cs="Times New Roman"/>
          <w:sz w:val="24"/>
          <w:szCs w:val="24"/>
        </w:rPr>
        <w:t xml:space="preserve"> as new </w:t>
      </w:r>
      <w:r w:rsidR="008C7F6A">
        <w:rPr>
          <w:rFonts w:ascii="Times New Roman" w:hAnsi="Times New Roman" w:cs="Times New Roman"/>
          <w:sz w:val="24"/>
          <w:szCs w:val="24"/>
        </w:rPr>
        <w:t xml:space="preserve">fuel </w:t>
      </w:r>
      <w:r w:rsidR="00A43285">
        <w:rPr>
          <w:rFonts w:ascii="Times New Roman" w:hAnsi="Times New Roman" w:cs="Times New Roman"/>
          <w:sz w:val="24"/>
          <w:szCs w:val="24"/>
        </w:rPr>
        <w:t>technologies emerge</w:t>
      </w:r>
      <w:r w:rsidR="0022031A">
        <w:rPr>
          <w:rFonts w:ascii="Times New Roman" w:hAnsi="Times New Roman" w:cs="Times New Roman"/>
          <w:sz w:val="24"/>
          <w:szCs w:val="24"/>
        </w:rPr>
        <w:t xml:space="preserve"> (see</w:t>
      </w:r>
      <w:r w:rsidR="002703D2">
        <w:rPr>
          <w:rFonts w:ascii="Times New Roman" w:hAnsi="Times New Roman" w:cs="Times New Roman"/>
          <w:sz w:val="24"/>
          <w:szCs w:val="24"/>
        </w:rPr>
        <w:t>, for example,</w:t>
      </w:r>
      <w:r w:rsidR="0022031A">
        <w:rPr>
          <w:rFonts w:ascii="Times New Roman" w:hAnsi="Times New Roman" w:cs="Times New Roman"/>
          <w:sz w:val="24"/>
          <w:szCs w:val="24"/>
        </w:rPr>
        <w:t xml:space="preserve"> paragraph (d) of the definition of “</w:t>
      </w:r>
      <w:r w:rsidR="0022031A" w:rsidRPr="0022031A">
        <w:rPr>
          <w:rFonts w:ascii="Times New Roman" w:hAnsi="Times New Roman" w:cs="Times New Roman"/>
          <w:i/>
          <w:sz w:val="24"/>
          <w:szCs w:val="24"/>
        </w:rPr>
        <w:t>FSSP fuel</w:t>
      </w:r>
      <w:r w:rsidR="0022031A">
        <w:rPr>
          <w:rFonts w:ascii="Times New Roman" w:hAnsi="Times New Roman" w:cs="Times New Roman"/>
          <w:sz w:val="24"/>
          <w:szCs w:val="24"/>
        </w:rPr>
        <w:t>” under section 5 of the Act</w:t>
      </w:r>
      <w:r w:rsidR="00AB62B0">
        <w:rPr>
          <w:rFonts w:ascii="Times New Roman" w:hAnsi="Times New Roman" w:cs="Times New Roman"/>
          <w:sz w:val="24"/>
          <w:szCs w:val="24"/>
        </w:rPr>
        <w:t xml:space="preserve"> or if the fuel types for existing FSSP fuels need refinement over time</w:t>
      </w:r>
      <w:r w:rsidR="0022031A">
        <w:rPr>
          <w:rFonts w:ascii="Times New Roman" w:hAnsi="Times New Roman" w:cs="Times New Roman"/>
          <w:sz w:val="24"/>
          <w:szCs w:val="24"/>
        </w:rPr>
        <w:t>).</w:t>
      </w:r>
    </w:p>
    <w:p w:rsidR="00366EF0" w:rsidRDefault="00366EF0" w:rsidP="00366EF0">
      <w:pPr>
        <w:spacing w:before="240" w:after="240"/>
        <w:rPr>
          <w:rFonts w:ascii="Times New Roman" w:hAnsi="Times New Roman" w:cs="Times New Roman"/>
          <w:b/>
          <w:sz w:val="24"/>
          <w:szCs w:val="24"/>
        </w:rPr>
      </w:pPr>
      <w:r>
        <w:rPr>
          <w:rFonts w:ascii="Times New Roman" w:hAnsi="Times New Roman" w:cs="Times New Roman"/>
          <w:b/>
          <w:sz w:val="24"/>
          <w:szCs w:val="24"/>
        </w:rPr>
        <w:t>PART 2</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8E11FC">
        <w:rPr>
          <w:rFonts w:ascii="Times New Roman" w:hAnsi="Times New Roman" w:cs="Times New Roman"/>
          <w:b/>
          <w:sz w:val="24"/>
          <w:szCs w:val="24"/>
        </w:rPr>
        <w:t xml:space="preserve"> </w:t>
      </w:r>
      <w:r w:rsidR="00F52713" w:rsidRPr="00F52713">
        <w:rPr>
          <w:rFonts w:ascii="Times New Roman" w:hAnsi="Times New Roman" w:cs="Times New Roman"/>
          <w:b/>
          <w:caps/>
          <w:sz w:val="24"/>
          <w:szCs w:val="24"/>
        </w:rPr>
        <w:t>Applications for fuel security services payment</w:t>
      </w:r>
    </w:p>
    <w:p w:rsidR="00366EF0" w:rsidRDefault="00366EF0" w:rsidP="008D6802">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6 – </w:t>
      </w:r>
      <w:r w:rsidR="00C22158" w:rsidRPr="00C22158">
        <w:rPr>
          <w:rFonts w:ascii="Times New Roman" w:hAnsi="Times New Roman" w:cs="Times New Roman"/>
          <w:b/>
          <w:sz w:val="24"/>
          <w:szCs w:val="24"/>
        </w:rPr>
        <w:t>Applications for fuel security services payment</w:t>
      </w:r>
    </w:p>
    <w:p w:rsidR="00FE1EDC" w:rsidRPr="0005189B" w:rsidRDefault="00FE1EDC" w:rsidP="000D0E22">
      <w:pPr>
        <w:spacing w:before="240" w:after="240"/>
        <w:rPr>
          <w:rFonts w:ascii="Times New Roman" w:hAnsi="Times New Roman" w:cs="Times New Roman"/>
          <w:sz w:val="24"/>
          <w:szCs w:val="24"/>
        </w:rPr>
      </w:pPr>
      <w:r w:rsidRPr="00552846">
        <w:rPr>
          <w:rFonts w:ascii="Times New Roman" w:hAnsi="Times New Roman" w:cs="Times New Roman"/>
          <w:sz w:val="24"/>
          <w:szCs w:val="24"/>
        </w:rPr>
        <w:t>This section prescribes, for the purpose of paragraph 39(3)(b) of the Act</w:t>
      </w:r>
      <w:r w:rsidRPr="0005189B">
        <w:rPr>
          <w:rFonts w:ascii="Times New Roman" w:hAnsi="Times New Roman" w:cs="Times New Roman"/>
          <w:sz w:val="24"/>
          <w:szCs w:val="24"/>
        </w:rPr>
        <w:t>, the requirements that must be met</w:t>
      </w:r>
      <w:r w:rsidR="0051277C" w:rsidRPr="0005189B">
        <w:rPr>
          <w:rFonts w:ascii="Times New Roman" w:hAnsi="Times New Roman" w:cs="Times New Roman"/>
          <w:sz w:val="24"/>
          <w:szCs w:val="24"/>
        </w:rPr>
        <w:t xml:space="preserve"> for,</w:t>
      </w:r>
      <w:r w:rsidRPr="0005189B">
        <w:rPr>
          <w:rFonts w:ascii="Times New Roman" w:hAnsi="Times New Roman" w:cs="Times New Roman"/>
          <w:sz w:val="24"/>
          <w:szCs w:val="24"/>
        </w:rPr>
        <w:t xml:space="preserve"> and the information that must be included in</w:t>
      </w:r>
      <w:r w:rsidR="0051277C" w:rsidRPr="0005189B">
        <w:rPr>
          <w:rFonts w:ascii="Times New Roman" w:hAnsi="Times New Roman" w:cs="Times New Roman"/>
          <w:sz w:val="24"/>
          <w:szCs w:val="24"/>
        </w:rPr>
        <w:t>,</w:t>
      </w:r>
      <w:r w:rsidRPr="0005189B">
        <w:rPr>
          <w:rFonts w:ascii="Times New Roman" w:hAnsi="Times New Roman" w:cs="Times New Roman"/>
          <w:sz w:val="24"/>
          <w:szCs w:val="24"/>
        </w:rPr>
        <w:t xml:space="preserve"> an application for the FSSP.</w:t>
      </w:r>
    </w:p>
    <w:p w:rsidR="0051277C" w:rsidRPr="0005189B" w:rsidRDefault="0051277C" w:rsidP="000D0E22">
      <w:pPr>
        <w:spacing w:before="240" w:after="240"/>
        <w:rPr>
          <w:rFonts w:ascii="Times New Roman" w:hAnsi="Times New Roman" w:cs="Times New Roman"/>
          <w:sz w:val="24"/>
          <w:szCs w:val="24"/>
        </w:rPr>
      </w:pPr>
      <w:r w:rsidRPr="00552846">
        <w:rPr>
          <w:rFonts w:ascii="Times New Roman" w:hAnsi="Times New Roman" w:cs="Times New Roman"/>
          <w:sz w:val="24"/>
          <w:szCs w:val="24"/>
        </w:rPr>
        <w:t xml:space="preserve">Subsection 6(2) </w:t>
      </w:r>
      <w:r w:rsidR="00AD147F" w:rsidRPr="00552846">
        <w:rPr>
          <w:rFonts w:ascii="Times New Roman" w:hAnsi="Times New Roman" w:cs="Times New Roman"/>
          <w:sz w:val="24"/>
          <w:szCs w:val="24"/>
        </w:rPr>
        <w:t xml:space="preserve">of the Rule </w:t>
      </w:r>
      <w:r w:rsidR="00FE1EDC" w:rsidRPr="00552846">
        <w:rPr>
          <w:rFonts w:ascii="Times New Roman" w:hAnsi="Times New Roman" w:cs="Times New Roman"/>
          <w:sz w:val="24"/>
          <w:szCs w:val="24"/>
        </w:rPr>
        <w:t xml:space="preserve">sets out </w:t>
      </w:r>
      <w:r w:rsidR="006A2160">
        <w:rPr>
          <w:rFonts w:ascii="Times New Roman" w:hAnsi="Times New Roman" w:cs="Times New Roman"/>
          <w:sz w:val="24"/>
          <w:szCs w:val="24"/>
        </w:rPr>
        <w:t>the</w:t>
      </w:r>
      <w:r w:rsidR="00FE1EDC" w:rsidRPr="00552846">
        <w:rPr>
          <w:rFonts w:ascii="Times New Roman" w:hAnsi="Times New Roman" w:cs="Times New Roman"/>
          <w:sz w:val="24"/>
          <w:szCs w:val="24"/>
        </w:rPr>
        <w:t xml:space="preserve"> </w:t>
      </w:r>
      <w:r w:rsidR="003F0B0A" w:rsidRPr="00552846">
        <w:rPr>
          <w:rFonts w:ascii="Times New Roman" w:hAnsi="Times New Roman" w:cs="Times New Roman"/>
          <w:sz w:val="24"/>
          <w:szCs w:val="24"/>
        </w:rPr>
        <w:t>information</w:t>
      </w:r>
      <w:r w:rsidR="00FE1EDC" w:rsidRPr="00552846">
        <w:rPr>
          <w:rFonts w:ascii="Times New Roman" w:hAnsi="Times New Roman" w:cs="Times New Roman"/>
          <w:sz w:val="24"/>
          <w:szCs w:val="24"/>
        </w:rPr>
        <w:t xml:space="preserve"> </w:t>
      </w:r>
      <w:r w:rsidRPr="0005189B">
        <w:rPr>
          <w:rFonts w:ascii="Times New Roman" w:hAnsi="Times New Roman" w:cs="Times New Roman"/>
          <w:sz w:val="24"/>
          <w:szCs w:val="24"/>
        </w:rPr>
        <w:t xml:space="preserve">required to be provided in an application for the FSSP </w:t>
      </w:r>
      <w:r w:rsidR="00852B5F" w:rsidRPr="0005189B">
        <w:rPr>
          <w:rFonts w:ascii="Times New Roman" w:hAnsi="Times New Roman" w:cs="Times New Roman"/>
          <w:sz w:val="24"/>
          <w:szCs w:val="24"/>
        </w:rPr>
        <w:t>in the approved form</w:t>
      </w:r>
      <w:r w:rsidRPr="0005189B">
        <w:rPr>
          <w:rFonts w:ascii="Times New Roman" w:hAnsi="Times New Roman" w:cs="Times New Roman"/>
          <w:sz w:val="24"/>
          <w:szCs w:val="24"/>
        </w:rPr>
        <w:t xml:space="preserve"> </w:t>
      </w:r>
      <w:r w:rsidR="00FE1EDC" w:rsidRPr="0005189B">
        <w:rPr>
          <w:rFonts w:ascii="Times New Roman" w:hAnsi="Times New Roman" w:cs="Times New Roman"/>
          <w:sz w:val="24"/>
          <w:szCs w:val="24"/>
        </w:rPr>
        <w:t>to assist with assess</w:t>
      </w:r>
      <w:r w:rsidRPr="0005189B">
        <w:rPr>
          <w:rFonts w:ascii="Times New Roman" w:hAnsi="Times New Roman" w:cs="Times New Roman"/>
          <w:sz w:val="24"/>
          <w:szCs w:val="24"/>
        </w:rPr>
        <w:t xml:space="preserve">ing </w:t>
      </w:r>
      <w:r w:rsidR="00005FF1" w:rsidRPr="0005189B">
        <w:rPr>
          <w:rFonts w:ascii="Times New Roman" w:hAnsi="Times New Roman" w:cs="Times New Roman"/>
          <w:sz w:val="24"/>
          <w:szCs w:val="24"/>
        </w:rPr>
        <w:t xml:space="preserve">whether to grant </w:t>
      </w:r>
      <w:r w:rsidRPr="0005189B">
        <w:rPr>
          <w:rFonts w:ascii="Times New Roman" w:hAnsi="Times New Roman" w:cs="Times New Roman"/>
          <w:sz w:val="24"/>
          <w:szCs w:val="24"/>
        </w:rPr>
        <w:t>such applications</w:t>
      </w:r>
      <w:r w:rsidR="00523EE8" w:rsidRPr="0005189B">
        <w:rPr>
          <w:rFonts w:ascii="Times New Roman" w:hAnsi="Times New Roman" w:cs="Times New Roman"/>
          <w:sz w:val="24"/>
          <w:szCs w:val="24"/>
        </w:rPr>
        <w:t>. Each class of specified information is required to</w:t>
      </w:r>
      <w:r w:rsidR="008C7F6A" w:rsidRPr="0005189B">
        <w:rPr>
          <w:rFonts w:ascii="Times New Roman" w:hAnsi="Times New Roman" w:cs="Times New Roman"/>
          <w:sz w:val="24"/>
          <w:szCs w:val="24"/>
        </w:rPr>
        <w:t xml:space="preserve"> either</w:t>
      </w:r>
      <w:r w:rsidRPr="0005189B">
        <w:rPr>
          <w:rFonts w:ascii="Times New Roman" w:hAnsi="Times New Roman" w:cs="Times New Roman"/>
          <w:sz w:val="24"/>
          <w:szCs w:val="24"/>
        </w:rPr>
        <w:t>:</w:t>
      </w:r>
    </w:p>
    <w:p w:rsidR="00B55965" w:rsidRPr="00B55965" w:rsidRDefault="00FE1EDC" w:rsidP="00B55965">
      <w:pPr>
        <w:pStyle w:val="ListParagraph"/>
        <w:numPr>
          <w:ilvl w:val="0"/>
          <w:numId w:val="3"/>
        </w:numPr>
        <w:spacing w:before="240" w:after="240"/>
        <w:rPr>
          <w:rFonts w:ascii="Times New Roman" w:hAnsi="Times New Roman" w:cs="Times New Roman"/>
          <w:sz w:val="24"/>
          <w:szCs w:val="24"/>
        </w:rPr>
      </w:pPr>
      <w:r w:rsidRPr="00B55965">
        <w:rPr>
          <w:rFonts w:ascii="Times New Roman" w:hAnsi="Times New Roman" w:cs="Times New Roman"/>
          <w:sz w:val="24"/>
          <w:szCs w:val="24"/>
        </w:rPr>
        <w:lastRenderedPageBreak/>
        <w:t>help determine whether an applica</w:t>
      </w:r>
      <w:r w:rsidR="0051277C" w:rsidRPr="00B55965">
        <w:rPr>
          <w:rFonts w:ascii="Times New Roman" w:hAnsi="Times New Roman" w:cs="Times New Roman"/>
          <w:sz w:val="24"/>
          <w:szCs w:val="24"/>
        </w:rPr>
        <w:t xml:space="preserve">nt is eligible to receive the FSSP under </w:t>
      </w:r>
      <w:r w:rsidR="00471AF3" w:rsidRPr="00B55965">
        <w:rPr>
          <w:rFonts w:ascii="Times New Roman" w:hAnsi="Times New Roman" w:cs="Times New Roman"/>
          <w:sz w:val="24"/>
          <w:szCs w:val="24"/>
        </w:rPr>
        <w:t>sub</w:t>
      </w:r>
      <w:r w:rsidR="0051277C" w:rsidRPr="00B55965">
        <w:rPr>
          <w:rFonts w:ascii="Times New Roman" w:hAnsi="Times New Roman" w:cs="Times New Roman"/>
          <w:sz w:val="24"/>
          <w:szCs w:val="24"/>
        </w:rPr>
        <w:t>section 40(2) of the Act</w:t>
      </w:r>
      <w:r w:rsidR="00D57D73">
        <w:rPr>
          <w:rFonts w:ascii="Times New Roman" w:hAnsi="Times New Roman" w:cs="Times New Roman"/>
          <w:sz w:val="24"/>
          <w:szCs w:val="24"/>
        </w:rPr>
        <w:t xml:space="preserve"> </w:t>
      </w:r>
      <w:r w:rsidR="00727110" w:rsidRPr="0005189B">
        <w:t>–</w:t>
      </w:r>
      <w:r w:rsidR="00D57D73">
        <w:t xml:space="preserve"> </w:t>
      </w:r>
      <w:r w:rsidR="00727110" w:rsidRPr="00B55965">
        <w:rPr>
          <w:rFonts w:ascii="Times New Roman" w:hAnsi="Times New Roman" w:cs="Times New Roman"/>
          <w:sz w:val="24"/>
          <w:szCs w:val="24"/>
        </w:rPr>
        <w:t>paragraphs 6(2)(a)-(c)</w:t>
      </w:r>
      <w:r w:rsidR="00215CE3" w:rsidRPr="00B55965">
        <w:rPr>
          <w:rFonts w:ascii="Times New Roman" w:hAnsi="Times New Roman" w:cs="Times New Roman"/>
          <w:sz w:val="24"/>
          <w:szCs w:val="24"/>
        </w:rPr>
        <w:t xml:space="preserve"> </w:t>
      </w:r>
      <w:r w:rsidR="005A621E" w:rsidRPr="00B55965">
        <w:rPr>
          <w:rFonts w:ascii="Times New Roman" w:hAnsi="Times New Roman" w:cs="Times New Roman"/>
          <w:sz w:val="24"/>
          <w:szCs w:val="24"/>
        </w:rPr>
        <w:t>of the Rule</w:t>
      </w:r>
      <w:r w:rsidR="0051277C" w:rsidRPr="00B55965">
        <w:rPr>
          <w:rFonts w:ascii="Times New Roman" w:hAnsi="Times New Roman" w:cs="Times New Roman"/>
          <w:sz w:val="24"/>
          <w:szCs w:val="24"/>
        </w:rPr>
        <w:t>;</w:t>
      </w:r>
    </w:p>
    <w:p w:rsidR="00304642" w:rsidRPr="0005189B" w:rsidRDefault="00304642" w:rsidP="00B55965">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 xml:space="preserve">clarify that provision of historic refining information is required only if such information </w:t>
      </w:r>
      <w:r w:rsidR="002424DC" w:rsidRPr="0005189B">
        <w:rPr>
          <w:rFonts w:ascii="Times New Roman" w:hAnsi="Times New Roman" w:cs="Times New Roman"/>
          <w:sz w:val="24"/>
          <w:szCs w:val="24"/>
        </w:rPr>
        <w:t>ha</w:t>
      </w:r>
      <w:r w:rsidR="002424DC">
        <w:rPr>
          <w:rFonts w:ascii="Times New Roman" w:hAnsi="Times New Roman" w:cs="Times New Roman"/>
          <w:sz w:val="24"/>
          <w:szCs w:val="24"/>
        </w:rPr>
        <w:t>s</w:t>
      </w:r>
      <w:r w:rsidR="002424DC" w:rsidRPr="0005189B">
        <w:rPr>
          <w:rFonts w:ascii="Times New Roman" w:hAnsi="Times New Roman" w:cs="Times New Roman"/>
          <w:sz w:val="24"/>
          <w:szCs w:val="24"/>
        </w:rPr>
        <w:t xml:space="preserve"> </w:t>
      </w:r>
      <w:r w:rsidRPr="0005189B">
        <w:rPr>
          <w:rFonts w:ascii="Times New Roman" w:hAnsi="Times New Roman" w:cs="Times New Roman"/>
          <w:sz w:val="24"/>
          <w:szCs w:val="24"/>
        </w:rPr>
        <w:t xml:space="preserve">not </w:t>
      </w:r>
      <w:r w:rsidR="00B55965">
        <w:rPr>
          <w:rFonts w:ascii="Times New Roman" w:hAnsi="Times New Roman" w:cs="Times New Roman"/>
          <w:sz w:val="24"/>
          <w:szCs w:val="24"/>
        </w:rPr>
        <w:t xml:space="preserve">previously </w:t>
      </w:r>
      <w:r w:rsidRPr="0005189B">
        <w:rPr>
          <w:rFonts w:ascii="Times New Roman" w:hAnsi="Times New Roman" w:cs="Times New Roman"/>
          <w:sz w:val="24"/>
          <w:szCs w:val="24"/>
        </w:rPr>
        <w:t xml:space="preserve">been provided by the applicant as part of their application </w:t>
      </w:r>
      <w:r w:rsidR="002424DC">
        <w:rPr>
          <w:rFonts w:ascii="Times New Roman" w:hAnsi="Times New Roman" w:cs="Times New Roman"/>
          <w:sz w:val="24"/>
          <w:szCs w:val="24"/>
        </w:rPr>
        <w:t xml:space="preserve">(if any) </w:t>
      </w:r>
      <w:r w:rsidRPr="0005189B">
        <w:rPr>
          <w:rFonts w:ascii="Times New Roman" w:hAnsi="Times New Roman" w:cs="Times New Roman"/>
          <w:sz w:val="24"/>
          <w:szCs w:val="24"/>
        </w:rPr>
        <w:t>for the Temporary Refinery Production Payment Program</w:t>
      </w:r>
      <w:r w:rsidR="002424DC">
        <w:rPr>
          <w:rFonts w:ascii="Times New Roman" w:hAnsi="Times New Roman" w:cs="Times New Roman"/>
          <w:sz w:val="24"/>
          <w:szCs w:val="24"/>
        </w:rPr>
        <w:t xml:space="preserve"> </w:t>
      </w:r>
      <w:r w:rsidR="00D57D73">
        <w:rPr>
          <w:rFonts w:ascii="Times New Roman" w:hAnsi="Times New Roman" w:cs="Times New Roman"/>
          <w:sz w:val="24"/>
          <w:szCs w:val="24"/>
        </w:rPr>
        <w:t>prescribed</w:t>
      </w:r>
      <w:r w:rsidR="002424DC" w:rsidRPr="002424DC">
        <w:rPr>
          <w:rFonts w:ascii="Times New Roman" w:hAnsi="Times New Roman" w:cs="Times New Roman"/>
          <w:sz w:val="24"/>
          <w:szCs w:val="24"/>
        </w:rPr>
        <w:t xml:space="preserve"> by the </w:t>
      </w:r>
      <w:r w:rsidR="002424DC" w:rsidRPr="002424DC">
        <w:rPr>
          <w:rFonts w:ascii="Times New Roman" w:hAnsi="Times New Roman" w:cs="Times New Roman"/>
          <w:i/>
          <w:sz w:val="24"/>
          <w:szCs w:val="24"/>
        </w:rPr>
        <w:t>Industry Research and Development (Temporary Refinery Production Payment Program) Instrument 2021</w:t>
      </w:r>
      <w:r w:rsidRPr="0005189B">
        <w:rPr>
          <w:rFonts w:ascii="Times New Roman" w:hAnsi="Times New Roman" w:cs="Times New Roman"/>
          <w:sz w:val="24"/>
          <w:szCs w:val="24"/>
        </w:rPr>
        <w:t xml:space="preserve"> </w:t>
      </w:r>
      <w:r w:rsidR="00B55965">
        <w:rPr>
          <w:rFonts w:ascii="Times New Roman" w:hAnsi="Times New Roman" w:cs="Times New Roman"/>
          <w:sz w:val="24"/>
          <w:szCs w:val="24"/>
        </w:rPr>
        <w:t>(</w:t>
      </w:r>
      <w:r w:rsidR="00B55965" w:rsidRPr="00B55965">
        <w:rPr>
          <w:rFonts w:ascii="Times New Roman" w:hAnsi="Times New Roman" w:cs="Times New Roman"/>
          <w:sz w:val="24"/>
          <w:szCs w:val="24"/>
        </w:rPr>
        <w:t>registered on the Federal Register of Legislation</w:t>
      </w:r>
      <w:r w:rsidR="00D57D73">
        <w:rPr>
          <w:rFonts w:ascii="Times New Roman" w:hAnsi="Times New Roman" w:cs="Times New Roman"/>
          <w:sz w:val="24"/>
          <w:szCs w:val="24"/>
        </w:rPr>
        <w:t xml:space="preserve"> and available at legislation.gov.au</w:t>
      </w:r>
      <w:r w:rsidR="00B55965">
        <w:rPr>
          <w:rFonts w:ascii="Times New Roman" w:hAnsi="Times New Roman" w:cs="Times New Roman"/>
          <w:sz w:val="24"/>
          <w:szCs w:val="24"/>
        </w:rPr>
        <w:t>)</w:t>
      </w:r>
      <w:r w:rsidR="00B55965" w:rsidRPr="00B55965">
        <w:rPr>
          <w:rFonts w:ascii="Times New Roman" w:hAnsi="Times New Roman" w:cs="Times New Roman"/>
          <w:sz w:val="24"/>
          <w:szCs w:val="24"/>
        </w:rPr>
        <w:t xml:space="preserve"> </w:t>
      </w:r>
      <w:r w:rsidR="00607458" w:rsidRPr="0005189B">
        <w:rPr>
          <w:rFonts w:ascii="Times New Roman" w:hAnsi="Times New Roman" w:cs="Times New Roman"/>
          <w:sz w:val="24"/>
          <w:szCs w:val="24"/>
        </w:rPr>
        <w:t xml:space="preserve">– </w:t>
      </w:r>
      <w:r w:rsidR="00471AF3">
        <w:rPr>
          <w:rFonts w:ascii="Times New Roman" w:hAnsi="Times New Roman" w:cs="Times New Roman"/>
          <w:sz w:val="24"/>
          <w:szCs w:val="24"/>
        </w:rPr>
        <w:t>sub</w:t>
      </w:r>
      <w:r w:rsidR="00607458" w:rsidRPr="0005189B">
        <w:rPr>
          <w:rFonts w:ascii="Times New Roman" w:hAnsi="Times New Roman" w:cs="Times New Roman"/>
          <w:sz w:val="24"/>
          <w:szCs w:val="24"/>
        </w:rPr>
        <w:t xml:space="preserve">paragraph </w:t>
      </w:r>
      <w:r w:rsidRPr="0005189B">
        <w:rPr>
          <w:rFonts w:ascii="Times New Roman" w:hAnsi="Times New Roman" w:cs="Times New Roman"/>
          <w:sz w:val="24"/>
          <w:szCs w:val="24"/>
        </w:rPr>
        <w:t>6(2)(c)(i)</w:t>
      </w:r>
      <w:r w:rsidR="00607458" w:rsidRPr="0005189B">
        <w:rPr>
          <w:rFonts w:ascii="Times New Roman" w:hAnsi="Times New Roman" w:cs="Times New Roman"/>
          <w:sz w:val="24"/>
          <w:szCs w:val="24"/>
        </w:rPr>
        <w:t xml:space="preserve"> of the Rule;</w:t>
      </w:r>
    </w:p>
    <w:p w:rsidR="0051277C" w:rsidRPr="0005189B" w:rsidRDefault="00727110" w:rsidP="005B3E84">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minimise the risk to the Commonwealth that the applicant w</w:t>
      </w:r>
      <w:r w:rsidR="00381900" w:rsidRPr="0005189B">
        <w:rPr>
          <w:rFonts w:ascii="Times New Roman" w:hAnsi="Times New Roman" w:cs="Times New Roman"/>
          <w:sz w:val="24"/>
          <w:szCs w:val="24"/>
        </w:rPr>
        <w:t>ill not</w:t>
      </w:r>
      <w:r w:rsidRPr="0005189B">
        <w:rPr>
          <w:rFonts w:ascii="Times New Roman" w:hAnsi="Times New Roman" w:cs="Times New Roman"/>
          <w:sz w:val="24"/>
          <w:szCs w:val="24"/>
        </w:rPr>
        <w:t xml:space="preserve"> be able to meet their minimum commitment period for refining FSSP fuel in Australia</w:t>
      </w:r>
      <w:r w:rsidR="00523EE8" w:rsidRPr="0005189B">
        <w:rPr>
          <w:rFonts w:ascii="Times New Roman" w:hAnsi="Times New Roman" w:cs="Times New Roman"/>
          <w:sz w:val="24"/>
          <w:szCs w:val="24"/>
        </w:rPr>
        <w:t xml:space="preserve"> because of</w:t>
      </w:r>
      <w:r w:rsidR="00FF0F13" w:rsidRPr="0005189B">
        <w:rPr>
          <w:rFonts w:ascii="Times New Roman" w:hAnsi="Times New Roman" w:cs="Times New Roman"/>
          <w:sz w:val="24"/>
          <w:szCs w:val="24"/>
        </w:rPr>
        <w:t xml:space="preserve"> either</w:t>
      </w:r>
      <w:r w:rsidR="00523EE8" w:rsidRPr="0005189B">
        <w:rPr>
          <w:rFonts w:ascii="Times New Roman" w:hAnsi="Times New Roman" w:cs="Times New Roman"/>
          <w:sz w:val="24"/>
          <w:szCs w:val="24"/>
        </w:rPr>
        <w:t xml:space="preserve"> a force majeure event or </w:t>
      </w:r>
      <w:r w:rsidR="00FF0F13" w:rsidRPr="0005189B">
        <w:rPr>
          <w:rFonts w:ascii="Times New Roman" w:hAnsi="Times New Roman" w:cs="Times New Roman"/>
          <w:sz w:val="24"/>
          <w:szCs w:val="24"/>
        </w:rPr>
        <w:t xml:space="preserve">a </w:t>
      </w:r>
      <w:r w:rsidR="00523EE8" w:rsidRPr="0005189B">
        <w:rPr>
          <w:rFonts w:ascii="Times New Roman" w:hAnsi="Times New Roman" w:cs="Times New Roman"/>
          <w:sz w:val="24"/>
          <w:szCs w:val="24"/>
        </w:rPr>
        <w:t xml:space="preserve">material adverse change in </w:t>
      </w:r>
      <w:r w:rsidR="00D011E2" w:rsidRPr="0005189B">
        <w:rPr>
          <w:rFonts w:ascii="Times New Roman" w:hAnsi="Times New Roman" w:cs="Times New Roman"/>
          <w:sz w:val="24"/>
          <w:szCs w:val="24"/>
        </w:rPr>
        <w:t>circumstances</w:t>
      </w:r>
      <w:r w:rsidR="005B3E84" w:rsidRPr="0005189B">
        <w:rPr>
          <w:rFonts w:ascii="Times New Roman" w:hAnsi="Times New Roman" w:cs="Times New Roman"/>
          <w:sz w:val="24"/>
          <w:szCs w:val="24"/>
        </w:rPr>
        <w:t xml:space="preserve">, by requiring applicants to outline their operational and risk mitigation policies and procedures, </w:t>
      </w:r>
      <w:r w:rsidR="00064712" w:rsidRPr="0005189B">
        <w:rPr>
          <w:rFonts w:ascii="Times New Roman" w:hAnsi="Times New Roman" w:cs="Times New Roman"/>
          <w:sz w:val="24"/>
          <w:szCs w:val="24"/>
        </w:rPr>
        <w:t xml:space="preserve">such as </w:t>
      </w:r>
      <w:r w:rsidR="005B3E84" w:rsidRPr="0005189B">
        <w:rPr>
          <w:rFonts w:ascii="Times New Roman" w:hAnsi="Times New Roman" w:cs="Times New Roman"/>
          <w:sz w:val="24"/>
          <w:szCs w:val="24"/>
        </w:rPr>
        <w:t xml:space="preserve">insurance arrangements </w:t>
      </w:r>
      <w:r w:rsidRPr="0005189B">
        <w:rPr>
          <w:rFonts w:ascii="Times New Roman" w:hAnsi="Times New Roman" w:cs="Times New Roman"/>
          <w:sz w:val="24"/>
          <w:szCs w:val="24"/>
        </w:rPr>
        <w:t>– paragraph 6(2)(d)</w:t>
      </w:r>
      <w:r w:rsidR="00227E93" w:rsidRPr="0005189B">
        <w:rPr>
          <w:rFonts w:ascii="Times New Roman" w:hAnsi="Times New Roman" w:cs="Times New Roman"/>
          <w:sz w:val="24"/>
          <w:szCs w:val="24"/>
        </w:rPr>
        <w:t xml:space="preserve"> of the Rule</w:t>
      </w:r>
      <w:r w:rsidRPr="0005189B">
        <w:rPr>
          <w:rFonts w:ascii="Times New Roman" w:hAnsi="Times New Roman" w:cs="Times New Roman"/>
          <w:sz w:val="24"/>
          <w:szCs w:val="24"/>
        </w:rPr>
        <w:t>;</w:t>
      </w:r>
    </w:p>
    <w:p w:rsidR="00215CE3" w:rsidRPr="0005189B" w:rsidRDefault="003F0B0A" w:rsidP="00727110">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minimise the risk to the Commonwealth that the applicant w</w:t>
      </w:r>
      <w:r w:rsidR="00CD4E9E" w:rsidRPr="0005189B">
        <w:rPr>
          <w:rFonts w:ascii="Times New Roman" w:hAnsi="Times New Roman" w:cs="Times New Roman"/>
          <w:sz w:val="24"/>
          <w:szCs w:val="24"/>
        </w:rPr>
        <w:t>ill not</w:t>
      </w:r>
      <w:r w:rsidRPr="0005189B">
        <w:rPr>
          <w:rFonts w:ascii="Times New Roman" w:hAnsi="Times New Roman" w:cs="Times New Roman"/>
          <w:sz w:val="24"/>
          <w:szCs w:val="24"/>
        </w:rPr>
        <w:t xml:space="preserve"> be able to repay </w:t>
      </w:r>
      <w:r w:rsidR="00215CE3" w:rsidRPr="0005189B">
        <w:rPr>
          <w:rFonts w:ascii="Times New Roman" w:hAnsi="Times New Roman" w:cs="Times New Roman"/>
          <w:sz w:val="24"/>
          <w:szCs w:val="24"/>
        </w:rPr>
        <w:t xml:space="preserve">the </w:t>
      </w:r>
      <w:r w:rsidRPr="0005189B">
        <w:rPr>
          <w:rFonts w:ascii="Times New Roman" w:hAnsi="Times New Roman" w:cs="Times New Roman"/>
          <w:sz w:val="24"/>
          <w:szCs w:val="24"/>
        </w:rPr>
        <w:t>FSSP as required</w:t>
      </w:r>
      <w:r w:rsidR="00215CE3" w:rsidRPr="0005189B">
        <w:rPr>
          <w:rFonts w:ascii="Times New Roman" w:hAnsi="Times New Roman" w:cs="Times New Roman"/>
          <w:sz w:val="24"/>
          <w:szCs w:val="24"/>
        </w:rPr>
        <w:t xml:space="preserve"> under </w:t>
      </w:r>
      <w:r w:rsidR="00471AF3">
        <w:rPr>
          <w:rFonts w:ascii="Times New Roman" w:hAnsi="Times New Roman" w:cs="Times New Roman"/>
          <w:sz w:val="24"/>
          <w:szCs w:val="24"/>
        </w:rPr>
        <w:t>sub</w:t>
      </w:r>
      <w:r w:rsidR="00215CE3" w:rsidRPr="0005189B">
        <w:rPr>
          <w:rFonts w:ascii="Times New Roman" w:hAnsi="Times New Roman" w:cs="Times New Roman"/>
          <w:sz w:val="24"/>
          <w:szCs w:val="24"/>
        </w:rPr>
        <w:t xml:space="preserve">section 50(1) of the Act </w:t>
      </w:r>
      <w:r w:rsidRPr="0005189B">
        <w:rPr>
          <w:rFonts w:ascii="Times New Roman" w:hAnsi="Times New Roman" w:cs="Times New Roman"/>
          <w:sz w:val="24"/>
          <w:szCs w:val="24"/>
        </w:rPr>
        <w:t xml:space="preserve">if they cease refining operations before </w:t>
      </w:r>
      <w:r w:rsidR="00215CE3" w:rsidRPr="0005189B">
        <w:rPr>
          <w:rFonts w:ascii="Times New Roman" w:hAnsi="Times New Roman" w:cs="Times New Roman"/>
          <w:sz w:val="24"/>
          <w:szCs w:val="24"/>
        </w:rPr>
        <w:t>the end of their commitment period</w:t>
      </w:r>
      <w:r w:rsidR="00FF0F13" w:rsidRPr="0005189B">
        <w:rPr>
          <w:rFonts w:ascii="Times New Roman" w:hAnsi="Times New Roman" w:cs="Times New Roman"/>
          <w:sz w:val="24"/>
          <w:szCs w:val="24"/>
        </w:rPr>
        <w:t>, by requiring provision of security</w:t>
      </w:r>
      <w:r w:rsidR="00215CE3" w:rsidRPr="0005189B">
        <w:rPr>
          <w:rFonts w:ascii="Times New Roman" w:hAnsi="Times New Roman" w:cs="Times New Roman"/>
          <w:sz w:val="24"/>
          <w:szCs w:val="24"/>
        </w:rPr>
        <w:t xml:space="preserve"> </w:t>
      </w:r>
      <w:r w:rsidRPr="0005189B">
        <w:rPr>
          <w:rFonts w:ascii="Times New Roman" w:hAnsi="Times New Roman" w:cs="Times New Roman"/>
          <w:sz w:val="24"/>
          <w:szCs w:val="24"/>
        </w:rPr>
        <w:t>– paragraph 6(2)(e) and subsection 6(3)</w:t>
      </w:r>
      <w:r w:rsidR="00227E93" w:rsidRPr="0005189B">
        <w:rPr>
          <w:rFonts w:ascii="Times New Roman" w:hAnsi="Times New Roman" w:cs="Times New Roman"/>
          <w:sz w:val="24"/>
          <w:szCs w:val="24"/>
        </w:rPr>
        <w:t xml:space="preserve"> of the Rule</w:t>
      </w:r>
      <w:r w:rsidR="00215CE3" w:rsidRPr="0005189B">
        <w:rPr>
          <w:rFonts w:ascii="Times New Roman" w:hAnsi="Times New Roman" w:cs="Times New Roman"/>
          <w:sz w:val="24"/>
          <w:szCs w:val="24"/>
        </w:rPr>
        <w:t>;</w:t>
      </w:r>
    </w:p>
    <w:p w:rsidR="00210C70" w:rsidRPr="0005189B" w:rsidRDefault="00210C70" w:rsidP="00210C70">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help determine</w:t>
      </w:r>
      <w:r w:rsidRPr="00552846">
        <w:rPr>
          <w:rFonts w:ascii="Times New Roman" w:hAnsi="Times New Roman" w:cs="Times New Roman"/>
          <w:sz w:val="24"/>
          <w:szCs w:val="24"/>
        </w:rPr>
        <w:t xml:space="preserve"> an applicant’s minimum commitment period for refining FSSP fuel in Australia, by requiring the applicant to nominate a proposed commitment date that is on or between 30 June 2027 and 30 June 2030</w:t>
      </w:r>
      <w:r w:rsidRPr="0005189B">
        <w:rPr>
          <w:rFonts w:ascii="Times New Roman" w:hAnsi="Times New Roman" w:cs="Times New Roman"/>
          <w:sz w:val="24"/>
          <w:szCs w:val="24"/>
        </w:rPr>
        <w:t xml:space="preserve"> – paragraph 6(2)(f) of the Rule;</w:t>
      </w:r>
    </w:p>
    <w:p w:rsidR="00523EE8" w:rsidRPr="0005189B" w:rsidRDefault="00215CE3" w:rsidP="00215CE3">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 xml:space="preserve">help determine the </w:t>
      </w:r>
      <w:r w:rsidR="009F7827" w:rsidRPr="0005189B">
        <w:rPr>
          <w:rFonts w:ascii="Times New Roman" w:hAnsi="Times New Roman" w:cs="Times New Roman"/>
          <w:sz w:val="24"/>
          <w:szCs w:val="24"/>
        </w:rPr>
        <w:t xml:space="preserve">components (e.g. </w:t>
      </w:r>
      <w:r w:rsidR="005662B1" w:rsidRPr="0005189B">
        <w:rPr>
          <w:rFonts w:ascii="Times New Roman" w:hAnsi="Times New Roman" w:cs="Times New Roman"/>
          <w:sz w:val="24"/>
          <w:szCs w:val="24"/>
        </w:rPr>
        <w:t xml:space="preserve">total refining costs, </w:t>
      </w:r>
      <w:r w:rsidR="009F7827" w:rsidRPr="0005189B">
        <w:rPr>
          <w:rFonts w:ascii="Times New Roman" w:hAnsi="Times New Roman" w:cs="Times New Roman"/>
          <w:sz w:val="24"/>
          <w:szCs w:val="24"/>
        </w:rPr>
        <w:t>product yields, crude feedstock)</w:t>
      </w:r>
      <w:r w:rsidR="00C96DE3" w:rsidRPr="0005189B">
        <w:rPr>
          <w:rFonts w:ascii="Times New Roman" w:hAnsi="Times New Roman" w:cs="Times New Roman"/>
          <w:sz w:val="24"/>
          <w:szCs w:val="24"/>
        </w:rPr>
        <w:t xml:space="preserve"> for the fuel security service payment rate</w:t>
      </w:r>
      <w:r w:rsidRPr="0005189B">
        <w:rPr>
          <w:rFonts w:ascii="Times New Roman" w:hAnsi="Times New Roman" w:cs="Times New Roman"/>
          <w:sz w:val="24"/>
          <w:szCs w:val="24"/>
        </w:rPr>
        <w:t xml:space="preserve"> for </w:t>
      </w:r>
      <w:r w:rsidR="00A747F7" w:rsidRPr="0005189B">
        <w:rPr>
          <w:rFonts w:ascii="Times New Roman" w:hAnsi="Times New Roman" w:cs="Times New Roman"/>
          <w:sz w:val="24"/>
          <w:szCs w:val="24"/>
        </w:rPr>
        <w:t xml:space="preserve">any </w:t>
      </w:r>
      <w:r w:rsidRPr="0005189B">
        <w:rPr>
          <w:rFonts w:ascii="Times New Roman" w:hAnsi="Times New Roman" w:cs="Times New Roman"/>
          <w:sz w:val="24"/>
          <w:szCs w:val="24"/>
        </w:rPr>
        <w:t xml:space="preserve">new refinery operators who enter the market after commencement of the </w:t>
      </w:r>
      <w:r w:rsidR="00B06EBF" w:rsidRPr="0005189B">
        <w:rPr>
          <w:rFonts w:ascii="Times New Roman" w:hAnsi="Times New Roman" w:cs="Times New Roman"/>
          <w:sz w:val="24"/>
          <w:szCs w:val="24"/>
        </w:rPr>
        <w:t xml:space="preserve">Guidelines </w:t>
      </w:r>
      <w:r w:rsidRPr="0005189B">
        <w:rPr>
          <w:rFonts w:ascii="Times New Roman" w:hAnsi="Times New Roman" w:cs="Times New Roman"/>
          <w:sz w:val="24"/>
          <w:szCs w:val="24"/>
        </w:rPr>
        <w:t xml:space="preserve"> – paragraph 6(2)(g)</w:t>
      </w:r>
      <w:r w:rsidR="00227E93" w:rsidRPr="0005189B">
        <w:rPr>
          <w:rFonts w:ascii="Times New Roman" w:hAnsi="Times New Roman" w:cs="Times New Roman"/>
          <w:sz w:val="24"/>
          <w:szCs w:val="24"/>
        </w:rPr>
        <w:t xml:space="preserve"> of the Rule</w:t>
      </w:r>
      <w:r w:rsidR="00523EE8" w:rsidRPr="0005189B">
        <w:rPr>
          <w:rFonts w:ascii="Times New Roman" w:hAnsi="Times New Roman" w:cs="Times New Roman"/>
          <w:sz w:val="24"/>
          <w:szCs w:val="24"/>
        </w:rPr>
        <w:t xml:space="preserve">; </w:t>
      </w:r>
    </w:p>
    <w:p w:rsidR="00B55965" w:rsidRDefault="00523EE8" w:rsidP="00215CE3">
      <w:pPr>
        <w:pStyle w:val="ListParagraph"/>
        <w:numPr>
          <w:ilvl w:val="0"/>
          <w:numId w:val="3"/>
        </w:numPr>
        <w:spacing w:before="240" w:after="240"/>
        <w:rPr>
          <w:rFonts w:ascii="Times New Roman" w:hAnsi="Times New Roman" w:cs="Times New Roman"/>
          <w:sz w:val="24"/>
          <w:szCs w:val="24"/>
        </w:rPr>
      </w:pPr>
      <w:r w:rsidRPr="0005189B">
        <w:rPr>
          <w:rFonts w:ascii="Times New Roman" w:hAnsi="Times New Roman" w:cs="Times New Roman"/>
          <w:sz w:val="24"/>
          <w:szCs w:val="24"/>
        </w:rPr>
        <w:t xml:space="preserve">help satisfy the Minister that the applicant </w:t>
      </w:r>
      <w:r w:rsidR="005365F2" w:rsidRPr="0005189B">
        <w:rPr>
          <w:rFonts w:ascii="Times New Roman" w:hAnsi="Times New Roman" w:cs="Times New Roman"/>
          <w:sz w:val="24"/>
          <w:szCs w:val="24"/>
        </w:rPr>
        <w:t xml:space="preserve">intends to </w:t>
      </w:r>
      <w:r w:rsidR="00D011E2" w:rsidRPr="0005189B">
        <w:rPr>
          <w:rFonts w:ascii="Times New Roman" w:hAnsi="Times New Roman" w:cs="Times New Roman"/>
          <w:sz w:val="24"/>
          <w:szCs w:val="24"/>
        </w:rPr>
        <w:t xml:space="preserve">cooperate with regard to </w:t>
      </w:r>
      <w:r w:rsidR="007317AA" w:rsidRPr="0005189B">
        <w:rPr>
          <w:rFonts w:ascii="Times New Roman" w:hAnsi="Times New Roman" w:cs="Times New Roman"/>
          <w:sz w:val="24"/>
          <w:szCs w:val="24"/>
        </w:rPr>
        <w:t>the preparation of future</w:t>
      </w:r>
      <w:r w:rsidR="00D011E2" w:rsidRPr="0005189B">
        <w:rPr>
          <w:rFonts w:ascii="Times New Roman" w:hAnsi="Times New Roman" w:cs="Times New Roman"/>
          <w:sz w:val="24"/>
          <w:szCs w:val="24"/>
        </w:rPr>
        <w:t xml:space="preserve"> </w:t>
      </w:r>
      <w:r w:rsidR="007317AA" w:rsidRPr="0005189B">
        <w:rPr>
          <w:rFonts w:ascii="Times New Roman" w:hAnsi="Times New Roman" w:cs="Times New Roman"/>
          <w:sz w:val="24"/>
          <w:szCs w:val="24"/>
        </w:rPr>
        <w:t xml:space="preserve">milestone reports which will </w:t>
      </w:r>
      <w:r w:rsidR="00D011E2" w:rsidRPr="0005189B">
        <w:rPr>
          <w:rFonts w:ascii="Times New Roman" w:hAnsi="Times New Roman" w:cs="Times New Roman"/>
          <w:sz w:val="24"/>
          <w:szCs w:val="24"/>
        </w:rPr>
        <w:t>review the FSSP scheme</w:t>
      </w:r>
      <w:r w:rsidR="00C367FF" w:rsidRPr="0005189B">
        <w:rPr>
          <w:rFonts w:ascii="Times New Roman" w:hAnsi="Times New Roman" w:cs="Times New Roman"/>
          <w:sz w:val="24"/>
          <w:szCs w:val="24"/>
        </w:rPr>
        <w:t xml:space="preserve"> (see section 14 of the </w:t>
      </w:r>
      <w:r w:rsidR="00C367FF" w:rsidRPr="00B55965">
        <w:rPr>
          <w:rFonts w:ascii="Times New Roman" w:hAnsi="Times New Roman" w:cs="Times New Roman"/>
          <w:sz w:val="24"/>
          <w:szCs w:val="24"/>
        </w:rPr>
        <w:t>Guidelines</w:t>
      </w:r>
      <w:r w:rsidR="00C367FF" w:rsidRPr="00552846">
        <w:rPr>
          <w:rFonts w:ascii="Times New Roman" w:hAnsi="Times New Roman" w:cs="Times New Roman"/>
          <w:sz w:val="24"/>
          <w:szCs w:val="24"/>
        </w:rPr>
        <w:t>)</w:t>
      </w:r>
      <w:r w:rsidR="00D011E2" w:rsidRPr="00552846">
        <w:rPr>
          <w:rFonts w:ascii="Times New Roman" w:hAnsi="Times New Roman" w:cs="Times New Roman"/>
          <w:sz w:val="24"/>
          <w:szCs w:val="24"/>
        </w:rPr>
        <w:t xml:space="preserve">, including by providing access to relevant financial information for the committed refinery </w:t>
      </w:r>
      <w:r w:rsidR="00DF4C22" w:rsidRPr="0005189B">
        <w:rPr>
          <w:rFonts w:ascii="Times New Roman" w:hAnsi="Times New Roman" w:cs="Times New Roman"/>
          <w:sz w:val="24"/>
          <w:szCs w:val="24"/>
        </w:rPr>
        <w:t>margin and the preparation of the milestone report</w:t>
      </w:r>
      <w:r w:rsidR="00DE0257">
        <w:rPr>
          <w:rFonts w:ascii="Times New Roman" w:hAnsi="Times New Roman" w:cs="Times New Roman"/>
          <w:sz w:val="24"/>
          <w:szCs w:val="24"/>
        </w:rPr>
        <w:t xml:space="preserve"> </w:t>
      </w:r>
      <w:r w:rsidR="00D011E2" w:rsidRPr="0005189B">
        <w:rPr>
          <w:rFonts w:ascii="Times New Roman" w:hAnsi="Times New Roman" w:cs="Times New Roman"/>
          <w:sz w:val="24"/>
          <w:szCs w:val="24"/>
        </w:rPr>
        <w:t>– paragraph 6(2)(h)</w:t>
      </w:r>
      <w:r w:rsidR="00227E93" w:rsidRPr="0005189B">
        <w:rPr>
          <w:rFonts w:ascii="Times New Roman" w:hAnsi="Times New Roman" w:cs="Times New Roman"/>
          <w:sz w:val="24"/>
          <w:szCs w:val="24"/>
        </w:rPr>
        <w:t xml:space="preserve"> of the Rule</w:t>
      </w:r>
      <w:r w:rsidR="00B55965">
        <w:rPr>
          <w:rFonts w:ascii="Times New Roman" w:hAnsi="Times New Roman" w:cs="Times New Roman"/>
          <w:sz w:val="24"/>
          <w:szCs w:val="24"/>
        </w:rPr>
        <w:t>; and</w:t>
      </w:r>
    </w:p>
    <w:p w:rsidR="003F0B0A" w:rsidRPr="00552846" w:rsidRDefault="00B55965" w:rsidP="00B55965">
      <w:pPr>
        <w:pStyle w:val="ListParagraph"/>
        <w:numPr>
          <w:ilvl w:val="0"/>
          <w:numId w:val="3"/>
        </w:numPr>
        <w:spacing w:before="240" w:after="240"/>
        <w:rPr>
          <w:rFonts w:ascii="Times New Roman" w:hAnsi="Times New Roman" w:cs="Times New Roman"/>
          <w:sz w:val="24"/>
          <w:szCs w:val="24"/>
        </w:rPr>
      </w:pPr>
      <w:r w:rsidRPr="00B55965">
        <w:rPr>
          <w:rFonts w:ascii="Times New Roman" w:hAnsi="Times New Roman" w:cs="Times New Roman"/>
          <w:sz w:val="24"/>
          <w:szCs w:val="24"/>
        </w:rPr>
        <w:t xml:space="preserve">provide administrative arrangements for making payments </w:t>
      </w:r>
      <w:r>
        <w:rPr>
          <w:rFonts w:ascii="Times New Roman" w:hAnsi="Times New Roman" w:cs="Times New Roman"/>
          <w:sz w:val="24"/>
          <w:szCs w:val="24"/>
        </w:rPr>
        <w:t xml:space="preserve">of the FSSP </w:t>
      </w:r>
      <w:r w:rsidRPr="00B55965">
        <w:rPr>
          <w:rFonts w:ascii="Times New Roman" w:hAnsi="Times New Roman" w:cs="Times New Roman"/>
          <w:sz w:val="24"/>
          <w:szCs w:val="24"/>
        </w:rPr>
        <w:t>–</w:t>
      </w:r>
      <w:r w:rsidR="00DE0257">
        <w:rPr>
          <w:rFonts w:ascii="Times New Roman" w:hAnsi="Times New Roman" w:cs="Times New Roman"/>
          <w:sz w:val="24"/>
          <w:szCs w:val="24"/>
        </w:rPr>
        <w:t xml:space="preserve"> </w:t>
      </w:r>
      <w:r>
        <w:rPr>
          <w:rFonts w:ascii="Times New Roman" w:hAnsi="Times New Roman" w:cs="Times New Roman"/>
          <w:sz w:val="24"/>
          <w:szCs w:val="24"/>
        </w:rPr>
        <w:t>paragraph 6</w:t>
      </w:r>
      <w:r w:rsidR="004A209C">
        <w:rPr>
          <w:rFonts w:ascii="Times New Roman" w:hAnsi="Times New Roman" w:cs="Times New Roman"/>
          <w:sz w:val="24"/>
          <w:szCs w:val="24"/>
        </w:rPr>
        <w:t>(2)</w:t>
      </w:r>
      <w:r>
        <w:rPr>
          <w:rFonts w:ascii="Times New Roman" w:hAnsi="Times New Roman" w:cs="Times New Roman"/>
          <w:sz w:val="24"/>
          <w:szCs w:val="24"/>
        </w:rPr>
        <w:t>(i) of the Rule</w:t>
      </w:r>
      <w:r w:rsidR="003F0B0A" w:rsidRPr="0005189B">
        <w:rPr>
          <w:rFonts w:ascii="Times New Roman" w:hAnsi="Times New Roman" w:cs="Times New Roman"/>
          <w:sz w:val="24"/>
          <w:szCs w:val="24"/>
        </w:rPr>
        <w:t>.</w:t>
      </w:r>
    </w:p>
    <w:p w:rsidR="00FE1EDC" w:rsidRDefault="00523EE8"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6(3) </w:t>
      </w:r>
      <w:r w:rsidR="00AD147F">
        <w:rPr>
          <w:rFonts w:ascii="Times New Roman" w:hAnsi="Times New Roman" w:cs="Times New Roman"/>
          <w:sz w:val="24"/>
          <w:szCs w:val="24"/>
        </w:rPr>
        <w:t xml:space="preserve">of the Rule </w:t>
      </w:r>
      <w:r w:rsidR="00FF0F13">
        <w:rPr>
          <w:rFonts w:ascii="Times New Roman" w:hAnsi="Times New Roman" w:cs="Times New Roman"/>
          <w:sz w:val="24"/>
          <w:szCs w:val="24"/>
        </w:rPr>
        <w:t xml:space="preserve">expands upon the </w:t>
      </w:r>
      <w:r>
        <w:rPr>
          <w:rFonts w:ascii="Times New Roman" w:hAnsi="Times New Roman" w:cs="Times New Roman"/>
          <w:sz w:val="24"/>
          <w:szCs w:val="24"/>
        </w:rPr>
        <w:t>require</w:t>
      </w:r>
      <w:r w:rsidR="00FF0F13">
        <w:rPr>
          <w:rFonts w:ascii="Times New Roman" w:hAnsi="Times New Roman" w:cs="Times New Roman"/>
          <w:sz w:val="24"/>
          <w:szCs w:val="24"/>
        </w:rPr>
        <w:t xml:space="preserve">ment that an </w:t>
      </w:r>
      <w:r>
        <w:rPr>
          <w:rFonts w:ascii="Times New Roman" w:hAnsi="Times New Roman" w:cs="Times New Roman"/>
          <w:sz w:val="24"/>
          <w:szCs w:val="24"/>
        </w:rPr>
        <w:t xml:space="preserve">application for the FSSP must include </w:t>
      </w:r>
      <w:r w:rsidR="00FF0F13">
        <w:rPr>
          <w:rFonts w:ascii="Times New Roman" w:hAnsi="Times New Roman" w:cs="Times New Roman"/>
          <w:sz w:val="24"/>
          <w:szCs w:val="24"/>
        </w:rPr>
        <w:t>security</w:t>
      </w:r>
      <w:r w:rsidR="00E433A7">
        <w:rPr>
          <w:rFonts w:ascii="Times New Roman" w:hAnsi="Times New Roman" w:cs="Times New Roman"/>
          <w:sz w:val="24"/>
          <w:szCs w:val="24"/>
        </w:rPr>
        <w:t xml:space="preserve">. This </w:t>
      </w:r>
      <w:r w:rsidR="00DA2ABA">
        <w:rPr>
          <w:rFonts w:ascii="Times New Roman" w:hAnsi="Times New Roman" w:cs="Times New Roman"/>
          <w:sz w:val="24"/>
          <w:szCs w:val="24"/>
        </w:rPr>
        <w:t>subsection specifies</w:t>
      </w:r>
      <w:r w:rsidR="00E433A7">
        <w:rPr>
          <w:rFonts w:ascii="Times New Roman" w:hAnsi="Times New Roman" w:cs="Times New Roman"/>
          <w:sz w:val="24"/>
          <w:szCs w:val="24"/>
        </w:rPr>
        <w:t xml:space="preserve"> </w:t>
      </w:r>
      <w:r w:rsidR="00FF0F13">
        <w:rPr>
          <w:rFonts w:ascii="Times New Roman" w:hAnsi="Times New Roman" w:cs="Times New Roman"/>
          <w:sz w:val="24"/>
          <w:szCs w:val="24"/>
        </w:rPr>
        <w:t xml:space="preserve">that </w:t>
      </w:r>
      <w:r>
        <w:rPr>
          <w:rFonts w:ascii="Times New Roman" w:hAnsi="Times New Roman" w:cs="Times New Roman"/>
          <w:sz w:val="24"/>
          <w:szCs w:val="24"/>
        </w:rPr>
        <w:t>either a bank guarantee or a</w:t>
      </w:r>
      <w:r w:rsidR="00D011E2">
        <w:rPr>
          <w:rFonts w:ascii="Times New Roman" w:hAnsi="Times New Roman" w:cs="Times New Roman"/>
          <w:sz w:val="24"/>
          <w:szCs w:val="24"/>
        </w:rPr>
        <w:t>n enforceable</w:t>
      </w:r>
      <w:r>
        <w:rPr>
          <w:rFonts w:ascii="Times New Roman" w:hAnsi="Times New Roman" w:cs="Times New Roman"/>
          <w:sz w:val="24"/>
          <w:szCs w:val="24"/>
        </w:rPr>
        <w:t xml:space="preserve"> deed of guarantee by the Australian controlling corporation </w:t>
      </w:r>
      <w:r w:rsidR="00D011E2">
        <w:rPr>
          <w:rFonts w:ascii="Times New Roman" w:hAnsi="Times New Roman" w:cs="Times New Roman"/>
          <w:sz w:val="24"/>
          <w:szCs w:val="24"/>
        </w:rPr>
        <w:t xml:space="preserve">of the applicant </w:t>
      </w:r>
      <w:r w:rsidR="00FF0F13">
        <w:rPr>
          <w:rFonts w:ascii="Times New Roman" w:hAnsi="Times New Roman" w:cs="Times New Roman"/>
          <w:sz w:val="24"/>
          <w:szCs w:val="24"/>
        </w:rPr>
        <w:t xml:space="preserve">is required </w:t>
      </w:r>
      <w:r w:rsidR="00D011E2">
        <w:rPr>
          <w:rFonts w:ascii="Times New Roman" w:hAnsi="Times New Roman" w:cs="Times New Roman"/>
          <w:sz w:val="24"/>
          <w:szCs w:val="24"/>
        </w:rPr>
        <w:t xml:space="preserve">to provide </w:t>
      </w:r>
      <w:r w:rsidR="00FF0F13">
        <w:rPr>
          <w:rFonts w:ascii="Times New Roman" w:hAnsi="Times New Roman" w:cs="Times New Roman"/>
          <w:sz w:val="24"/>
          <w:szCs w:val="24"/>
        </w:rPr>
        <w:t xml:space="preserve">sufficient </w:t>
      </w:r>
      <w:r w:rsidR="00D011E2">
        <w:rPr>
          <w:rFonts w:ascii="Times New Roman" w:hAnsi="Times New Roman" w:cs="Times New Roman"/>
          <w:sz w:val="24"/>
          <w:szCs w:val="24"/>
        </w:rPr>
        <w:t>security to the Commonwealth that any debt arising under section 50 of the Act</w:t>
      </w:r>
      <w:r w:rsidR="00270412">
        <w:rPr>
          <w:rFonts w:ascii="Times New Roman" w:hAnsi="Times New Roman" w:cs="Times New Roman"/>
          <w:sz w:val="24"/>
          <w:szCs w:val="24"/>
        </w:rPr>
        <w:t xml:space="preserve"> that has not been paid</w:t>
      </w:r>
      <w:r w:rsidR="00D011E2">
        <w:rPr>
          <w:rFonts w:ascii="Times New Roman" w:hAnsi="Times New Roman" w:cs="Times New Roman"/>
          <w:sz w:val="24"/>
          <w:szCs w:val="24"/>
        </w:rPr>
        <w:t xml:space="preserve"> will be </w:t>
      </w:r>
      <w:r w:rsidR="0051237B">
        <w:rPr>
          <w:rFonts w:ascii="Times New Roman" w:hAnsi="Times New Roman" w:cs="Times New Roman"/>
          <w:sz w:val="24"/>
          <w:szCs w:val="24"/>
        </w:rPr>
        <w:t>paid</w:t>
      </w:r>
      <w:r w:rsidR="00270412">
        <w:rPr>
          <w:rFonts w:ascii="Times New Roman" w:hAnsi="Times New Roman" w:cs="Times New Roman"/>
          <w:sz w:val="24"/>
          <w:szCs w:val="24"/>
        </w:rPr>
        <w:t xml:space="preserve"> when it becomes due and payable</w:t>
      </w:r>
      <w:r w:rsidR="00D011E2">
        <w:rPr>
          <w:rFonts w:ascii="Times New Roman" w:hAnsi="Times New Roman" w:cs="Times New Roman"/>
          <w:sz w:val="24"/>
          <w:szCs w:val="24"/>
        </w:rPr>
        <w:t>.</w:t>
      </w:r>
      <w:r w:rsidR="00FF0F13" w:rsidRPr="00FF0F13">
        <w:t xml:space="preserve"> </w:t>
      </w:r>
      <w:r w:rsidR="00FF0F13">
        <w:rPr>
          <w:rFonts w:ascii="Times New Roman" w:hAnsi="Times New Roman" w:cs="Times New Roman"/>
          <w:sz w:val="24"/>
          <w:szCs w:val="24"/>
        </w:rPr>
        <w:t xml:space="preserve">The </w:t>
      </w:r>
      <w:r w:rsidR="00FF0F13" w:rsidRPr="00FF0F13">
        <w:rPr>
          <w:rFonts w:ascii="Times New Roman" w:hAnsi="Times New Roman" w:cs="Times New Roman"/>
          <w:sz w:val="24"/>
          <w:szCs w:val="24"/>
        </w:rPr>
        <w:t>require</w:t>
      </w:r>
      <w:r w:rsidR="00FF0F13">
        <w:rPr>
          <w:rFonts w:ascii="Times New Roman" w:hAnsi="Times New Roman" w:cs="Times New Roman"/>
          <w:sz w:val="24"/>
          <w:szCs w:val="24"/>
        </w:rPr>
        <w:t xml:space="preserve">ment under </w:t>
      </w:r>
      <w:r w:rsidR="00FF0F13" w:rsidRPr="00FF0F13">
        <w:rPr>
          <w:rFonts w:ascii="Times New Roman" w:hAnsi="Times New Roman" w:cs="Times New Roman"/>
          <w:sz w:val="24"/>
          <w:szCs w:val="24"/>
        </w:rPr>
        <w:t>s</w:t>
      </w:r>
      <w:r w:rsidR="00FF0F13">
        <w:rPr>
          <w:rFonts w:ascii="Times New Roman" w:hAnsi="Times New Roman" w:cs="Times New Roman"/>
          <w:sz w:val="24"/>
          <w:szCs w:val="24"/>
        </w:rPr>
        <w:t xml:space="preserve">ubparagraph 6(3)(a)(iii) </w:t>
      </w:r>
      <w:r w:rsidR="00AD147F">
        <w:rPr>
          <w:rFonts w:ascii="Times New Roman" w:hAnsi="Times New Roman" w:cs="Times New Roman"/>
          <w:sz w:val="24"/>
          <w:szCs w:val="24"/>
        </w:rPr>
        <w:t xml:space="preserve">of the Rule </w:t>
      </w:r>
      <w:r w:rsidR="00FF0F13">
        <w:rPr>
          <w:rFonts w:ascii="Times New Roman" w:hAnsi="Times New Roman" w:cs="Times New Roman"/>
          <w:sz w:val="24"/>
          <w:szCs w:val="24"/>
        </w:rPr>
        <w:t>that any deed provided by an Australian controlling corporation require</w:t>
      </w:r>
      <w:r w:rsidR="00DA2ABA">
        <w:rPr>
          <w:rFonts w:ascii="Times New Roman" w:hAnsi="Times New Roman" w:cs="Times New Roman"/>
          <w:sz w:val="24"/>
          <w:szCs w:val="24"/>
        </w:rPr>
        <w:t>s</w:t>
      </w:r>
      <w:r w:rsidR="00FF0F13">
        <w:rPr>
          <w:rFonts w:ascii="Times New Roman" w:hAnsi="Times New Roman" w:cs="Times New Roman"/>
          <w:sz w:val="24"/>
          <w:szCs w:val="24"/>
        </w:rPr>
        <w:t xml:space="preserve"> the provision of</w:t>
      </w:r>
      <w:r w:rsidR="00FF0F13" w:rsidRPr="00FF0F13">
        <w:rPr>
          <w:rFonts w:ascii="Times New Roman" w:hAnsi="Times New Roman" w:cs="Times New Roman"/>
          <w:sz w:val="24"/>
          <w:szCs w:val="24"/>
        </w:rPr>
        <w:t xml:space="preserve"> a replacement guarantee in the event </w:t>
      </w:r>
      <w:r w:rsidR="00FF0F13">
        <w:rPr>
          <w:rFonts w:ascii="Times New Roman" w:hAnsi="Times New Roman" w:cs="Times New Roman"/>
          <w:sz w:val="24"/>
          <w:szCs w:val="24"/>
        </w:rPr>
        <w:t xml:space="preserve">that </w:t>
      </w:r>
      <w:r w:rsidR="0051237B">
        <w:rPr>
          <w:rFonts w:ascii="Times New Roman" w:hAnsi="Times New Roman" w:cs="Times New Roman"/>
          <w:sz w:val="24"/>
          <w:szCs w:val="24"/>
        </w:rPr>
        <w:t xml:space="preserve">that </w:t>
      </w:r>
      <w:r w:rsidR="00FF0F13">
        <w:rPr>
          <w:rFonts w:ascii="Times New Roman" w:hAnsi="Times New Roman" w:cs="Times New Roman"/>
          <w:sz w:val="24"/>
          <w:szCs w:val="24"/>
        </w:rPr>
        <w:t>entity</w:t>
      </w:r>
      <w:r w:rsidR="00FF0F13" w:rsidRPr="00FF0F13">
        <w:rPr>
          <w:rFonts w:ascii="Times New Roman" w:hAnsi="Times New Roman" w:cs="Times New Roman"/>
          <w:sz w:val="24"/>
          <w:szCs w:val="24"/>
        </w:rPr>
        <w:t xml:space="preserve"> become</w:t>
      </w:r>
      <w:r w:rsidR="0051237B">
        <w:rPr>
          <w:rFonts w:ascii="Times New Roman" w:hAnsi="Times New Roman" w:cs="Times New Roman"/>
          <w:sz w:val="24"/>
          <w:szCs w:val="24"/>
        </w:rPr>
        <w:t>s</w:t>
      </w:r>
      <w:r w:rsidR="005365F2">
        <w:rPr>
          <w:rFonts w:ascii="Times New Roman" w:hAnsi="Times New Roman" w:cs="Times New Roman"/>
          <w:sz w:val="24"/>
          <w:szCs w:val="24"/>
        </w:rPr>
        <w:t xml:space="preserve">, or is </w:t>
      </w:r>
      <w:r w:rsidR="009976D8">
        <w:rPr>
          <w:rFonts w:ascii="Times New Roman" w:hAnsi="Times New Roman" w:cs="Times New Roman"/>
          <w:sz w:val="24"/>
          <w:szCs w:val="24"/>
        </w:rPr>
        <w:t xml:space="preserve">reasonably </w:t>
      </w:r>
      <w:r w:rsidR="005365F2">
        <w:rPr>
          <w:rFonts w:ascii="Times New Roman" w:hAnsi="Times New Roman" w:cs="Times New Roman"/>
          <w:sz w:val="24"/>
          <w:szCs w:val="24"/>
        </w:rPr>
        <w:t>likely to become,</w:t>
      </w:r>
      <w:r w:rsidR="00FF0F13" w:rsidRPr="00FF0F13">
        <w:rPr>
          <w:rFonts w:ascii="Times New Roman" w:hAnsi="Times New Roman" w:cs="Times New Roman"/>
          <w:sz w:val="24"/>
          <w:szCs w:val="24"/>
        </w:rPr>
        <w:t xml:space="preserve"> unable to meet the </w:t>
      </w:r>
      <w:r w:rsidR="00FF0F13">
        <w:rPr>
          <w:rFonts w:ascii="Times New Roman" w:hAnsi="Times New Roman" w:cs="Times New Roman"/>
          <w:sz w:val="24"/>
          <w:szCs w:val="24"/>
        </w:rPr>
        <w:t xml:space="preserve">repayment </w:t>
      </w:r>
      <w:r w:rsidR="00FF0F13" w:rsidRPr="00FF0F13">
        <w:rPr>
          <w:rFonts w:ascii="Times New Roman" w:hAnsi="Times New Roman" w:cs="Times New Roman"/>
          <w:sz w:val="24"/>
          <w:szCs w:val="24"/>
        </w:rPr>
        <w:t>obligations guaranteed</w:t>
      </w:r>
      <w:r w:rsidR="00FF0F13">
        <w:rPr>
          <w:rFonts w:ascii="Times New Roman" w:hAnsi="Times New Roman" w:cs="Times New Roman"/>
          <w:sz w:val="24"/>
          <w:szCs w:val="24"/>
        </w:rPr>
        <w:t xml:space="preserve">, is intended to protect the </w:t>
      </w:r>
      <w:r w:rsidR="0051237B">
        <w:rPr>
          <w:rFonts w:ascii="Times New Roman" w:hAnsi="Times New Roman" w:cs="Times New Roman"/>
          <w:sz w:val="24"/>
          <w:szCs w:val="24"/>
        </w:rPr>
        <w:t xml:space="preserve">financial interests of the </w:t>
      </w:r>
      <w:r w:rsidR="00FF0F13">
        <w:rPr>
          <w:rFonts w:ascii="Times New Roman" w:hAnsi="Times New Roman" w:cs="Times New Roman"/>
          <w:sz w:val="24"/>
          <w:szCs w:val="24"/>
        </w:rPr>
        <w:t>Commonwealth in the event of any change of ownership of the entity</w:t>
      </w:r>
      <w:r w:rsidR="00AB62B0">
        <w:rPr>
          <w:rFonts w:ascii="Times New Roman" w:hAnsi="Times New Roman" w:cs="Times New Roman"/>
          <w:sz w:val="24"/>
          <w:szCs w:val="24"/>
        </w:rPr>
        <w:t xml:space="preserve"> or circumstances where the entity no longer has an investment grade credit rating</w:t>
      </w:r>
      <w:r w:rsidR="00FF0F13">
        <w:rPr>
          <w:rFonts w:ascii="Times New Roman" w:hAnsi="Times New Roman" w:cs="Times New Roman"/>
          <w:sz w:val="24"/>
          <w:szCs w:val="24"/>
        </w:rPr>
        <w:t>.</w:t>
      </w:r>
      <w:r w:rsidR="009976D8">
        <w:rPr>
          <w:rFonts w:ascii="Times New Roman" w:hAnsi="Times New Roman" w:cs="Times New Roman"/>
          <w:sz w:val="24"/>
          <w:szCs w:val="24"/>
        </w:rPr>
        <w:t xml:space="preserve"> The general expectation is that an appropriate </w:t>
      </w:r>
      <w:r w:rsidR="009976D8">
        <w:rPr>
          <w:rFonts w:ascii="Times New Roman" w:hAnsi="Times New Roman" w:cs="Times New Roman"/>
          <w:sz w:val="24"/>
          <w:szCs w:val="24"/>
        </w:rPr>
        <w:lastRenderedPageBreak/>
        <w:t>replacement guarantee would be provided by the parent company</w:t>
      </w:r>
      <w:r w:rsidR="00127A57">
        <w:rPr>
          <w:rFonts w:ascii="Times New Roman" w:hAnsi="Times New Roman" w:cs="Times New Roman"/>
          <w:sz w:val="24"/>
          <w:szCs w:val="24"/>
        </w:rPr>
        <w:t xml:space="preserve"> would be sufficient</w:t>
      </w:r>
      <w:r w:rsidR="009976D8">
        <w:rPr>
          <w:rFonts w:ascii="Times New Roman" w:hAnsi="Times New Roman" w:cs="Times New Roman"/>
          <w:sz w:val="24"/>
          <w:szCs w:val="24"/>
        </w:rPr>
        <w:t xml:space="preserve">, but could include a bank guarantee </w:t>
      </w:r>
      <w:r w:rsidR="006E31F6">
        <w:rPr>
          <w:rFonts w:ascii="Times New Roman" w:hAnsi="Times New Roman" w:cs="Times New Roman"/>
          <w:sz w:val="24"/>
          <w:szCs w:val="24"/>
        </w:rPr>
        <w:t>instead</w:t>
      </w:r>
      <w:r w:rsidR="009976D8">
        <w:rPr>
          <w:rFonts w:ascii="Times New Roman" w:hAnsi="Times New Roman" w:cs="Times New Roman"/>
          <w:sz w:val="24"/>
          <w:szCs w:val="24"/>
        </w:rPr>
        <w:t>.</w:t>
      </w:r>
    </w:p>
    <w:p w:rsidR="00C22158" w:rsidRPr="00C22158" w:rsidRDefault="00C22158" w:rsidP="000D0E22">
      <w:pPr>
        <w:spacing w:before="240" w:after="240"/>
        <w:rPr>
          <w:rFonts w:ascii="Times New Roman" w:hAnsi="Times New Roman" w:cs="Times New Roman"/>
          <w:caps/>
          <w:sz w:val="24"/>
          <w:szCs w:val="24"/>
        </w:rPr>
      </w:pPr>
      <w:r>
        <w:rPr>
          <w:rFonts w:ascii="Times New Roman" w:hAnsi="Times New Roman" w:cs="Times New Roman"/>
          <w:b/>
          <w:sz w:val="24"/>
          <w:szCs w:val="24"/>
        </w:rPr>
        <w:t>PART 3</w:t>
      </w:r>
      <w:r w:rsidRPr="008E11F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2158">
        <w:rPr>
          <w:rFonts w:ascii="Times New Roman" w:hAnsi="Times New Roman" w:cs="Times New Roman"/>
          <w:b/>
          <w:caps/>
          <w:sz w:val="24"/>
          <w:szCs w:val="24"/>
        </w:rPr>
        <w:t>Eligibility decision</w:t>
      </w:r>
    </w:p>
    <w:p w:rsidR="00C22158" w:rsidRDefault="00C22158" w:rsidP="008D6802">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7</w:t>
      </w:r>
      <w:r w:rsidRPr="00366EF0">
        <w:rPr>
          <w:rFonts w:ascii="Times New Roman" w:hAnsi="Times New Roman" w:cs="Times New Roman"/>
          <w:b/>
          <w:sz w:val="24"/>
          <w:szCs w:val="24"/>
        </w:rPr>
        <w:t xml:space="preserve"> – </w:t>
      </w:r>
      <w:r w:rsidR="002E1C43" w:rsidRPr="002E1C43">
        <w:rPr>
          <w:rFonts w:ascii="Times New Roman" w:hAnsi="Times New Roman" w:cs="Times New Roman"/>
          <w:b/>
          <w:sz w:val="24"/>
          <w:szCs w:val="24"/>
        </w:rPr>
        <w:t xml:space="preserve">Requirements for refining of FSSP </w:t>
      </w:r>
      <w:r w:rsidR="00EA7012">
        <w:rPr>
          <w:rFonts w:ascii="Times New Roman" w:hAnsi="Times New Roman" w:cs="Times New Roman"/>
          <w:b/>
          <w:sz w:val="24"/>
          <w:szCs w:val="24"/>
        </w:rPr>
        <w:t>fuel</w:t>
      </w:r>
    </w:p>
    <w:p w:rsidR="00C22158" w:rsidRDefault="00C367FF"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paragraph 40(2)(c) of the Act, </w:t>
      </w:r>
      <w:r w:rsidR="00B75974" w:rsidRPr="00B75974">
        <w:rPr>
          <w:rFonts w:ascii="Times New Roman" w:hAnsi="Times New Roman" w:cs="Times New Roman"/>
          <w:sz w:val="24"/>
          <w:szCs w:val="24"/>
        </w:rPr>
        <w:t xml:space="preserve">the </w:t>
      </w:r>
      <w:r w:rsidR="00A03F55">
        <w:rPr>
          <w:rFonts w:ascii="Times New Roman" w:hAnsi="Times New Roman" w:cs="Times New Roman"/>
          <w:sz w:val="24"/>
          <w:szCs w:val="24"/>
        </w:rPr>
        <w:t xml:space="preserve">technical </w:t>
      </w:r>
      <w:r w:rsidR="00B75974">
        <w:rPr>
          <w:rFonts w:ascii="Times New Roman" w:hAnsi="Times New Roman" w:cs="Times New Roman"/>
          <w:sz w:val="24"/>
          <w:szCs w:val="24"/>
        </w:rPr>
        <w:t>requirements applying to the refining of FSSP fuel.</w:t>
      </w:r>
    </w:p>
    <w:p w:rsidR="00B75974" w:rsidRPr="00B75974" w:rsidRDefault="00B75974" w:rsidP="0035045D">
      <w:pPr>
        <w:spacing w:before="240" w:after="240"/>
        <w:rPr>
          <w:rFonts w:ascii="Times New Roman" w:hAnsi="Times New Roman" w:cs="Times New Roman"/>
          <w:sz w:val="24"/>
          <w:szCs w:val="24"/>
        </w:rPr>
      </w:pPr>
      <w:r>
        <w:rPr>
          <w:rFonts w:ascii="Times New Roman" w:hAnsi="Times New Roman" w:cs="Times New Roman"/>
          <w:sz w:val="24"/>
          <w:szCs w:val="24"/>
        </w:rPr>
        <w:t>In particular, the refining must</w:t>
      </w:r>
      <w:r w:rsidR="00E86ED7">
        <w:t xml:space="preserve"> </w:t>
      </w:r>
      <w:r w:rsidRPr="00B75974">
        <w:rPr>
          <w:rFonts w:ascii="Times New Roman" w:hAnsi="Times New Roman" w:cs="Times New Roman"/>
          <w:sz w:val="24"/>
          <w:szCs w:val="24"/>
        </w:rPr>
        <w:t xml:space="preserve">involve the transformation of crude oil, with other feedstocks, into gasoline, diesel and kerosene meeting the requirements to be an FSSP fuel (see </w:t>
      </w:r>
      <w:r w:rsidR="008C7F6A">
        <w:rPr>
          <w:rFonts w:ascii="Times New Roman" w:hAnsi="Times New Roman" w:cs="Times New Roman"/>
          <w:sz w:val="24"/>
          <w:szCs w:val="24"/>
        </w:rPr>
        <w:t xml:space="preserve">explanatory note for </w:t>
      </w:r>
      <w:r w:rsidRPr="00B75974">
        <w:rPr>
          <w:rFonts w:ascii="Times New Roman" w:hAnsi="Times New Roman" w:cs="Times New Roman"/>
          <w:sz w:val="24"/>
          <w:szCs w:val="24"/>
        </w:rPr>
        <w:t xml:space="preserve">section 5 </w:t>
      </w:r>
      <w:r w:rsidR="00AD147F">
        <w:rPr>
          <w:rFonts w:ascii="Times New Roman" w:hAnsi="Times New Roman" w:cs="Times New Roman"/>
          <w:sz w:val="24"/>
          <w:szCs w:val="24"/>
        </w:rPr>
        <w:t xml:space="preserve">of the Rule </w:t>
      </w:r>
      <w:r w:rsidRPr="00B75974">
        <w:rPr>
          <w:rFonts w:ascii="Times New Roman" w:hAnsi="Times New Roman" w:cs="Times New Roman"/>
          <w:sz w:val="24"/>
          <w:szCs w:val="24"/>
        </w:rPr>
        <w:t>above</w:t>
      </w:r>
      <w:r w:rsidRPr="00E86ED7">
        <w:rPr>
          <w:rFonts w:ascii="Times New Roman" w:hAnsi="Times New Roman" w:cs="Times New Roman"/>
          <w:sz w:val="24"/>
          <w:szCs w:val="24"/>
        </w:rPr>
        <w:t>)</w:t>
      </w:r>
      <w:r w:rsidR="00E86ED7" w:rsidRPr="00E86ED7">
        <w:rPr>
          <w:rFonts w:ascii="Times New Roman" w:hAnsi="Times New Roman" w:cs="Times New Roman"/>
          <w:sz w:val="24"/>
          <w:szCs w:val="24"/>
        </w:rPr>
        <w:t>. T</w:t>
      </w:r>
      <w:r w:rsidR="00B06EBF" w:rsidRPr="00E86ED7">
        <w:rPr>
          <w:rFonts w:ascii="Times New Roman" w:hAnsi="Times New Roman" w:cs="Times New Roman"/>
          <w:sz w:val="24"/>
          <w:szCs w:val="24"/>
        </w:rPr>
        <w:t>his</w:t>
      </w:r>
      <w:r w:rsidR="00B06EBF">
        <w:rPr>
          <w:rFonts w:ascii="Times New Roman" w:hAnsi="Times New Roman" w:cs="Times New Roman"/>
          <w:sz w:val="24"/>
          <w:szCs w:val="24"/>
        </w:rPr>
        <w:t xml:space="preserve"> reflects </w:t>
      </w:r>
      <w:r w:rsidR="000E2D19">
        <w:rPr>
          <w:rFonts w:ascii="Times New Roman" w:hAnsi="Times New Roman" w:cs="Times New Roman"/>
          <w:sz w:val="24"/>
          <w:szCs w:val="24"/>
        </w:rPr>
        <w:t xml:space="preserve">the policy intention that the FSSP should only be payable in relation to the </w:t>
      </w:r>
      <w:r w:rsidR="008C7F6A">
        <w:rPr>
          <w:rFonts w:ascii="Times New Roman" w:hAnsi="Times New Roman" w:cs="Times New Roman"/>
          <w:sz w:val="24"/>
          <w:szCs w:val="24"/>
        </w:rPr>
        <w:t xml:space="preserve">domestic </w:t>
      </w:r>
      <w:r w:rsidR="000E2D19">
        <w:rPr>
          <w:rFonts w:ascii="Times New Roman" w:hAnsi="Times New Roman" w:cs="Times New Roman"/>
          <w:sz w:val="24"/>
          <w:szCs w:val="24"/>
        </w:rPr>
        <w:t>refining of all three key transport fuels which meet the requirements for being an FSSP fuel</w:t>
      </w:r>
      <w:r w:rsidR="000B193B">
        <w:rPr>
          <w:rFonts w:ascii="Times New Roman" w:hAnsi="Times New Roman" w:cs="Times New Roman"/>
          <w:sz w:val="24"/>
          <w:szCs w:val="24"/>
        </w:rPr>
        <w:t xml:space="preserve"> (i.e. able to be </w:t>
      </w:r>
      <w:r w:rsidR="00C2591A">
        <w:rPr>
          <w:rFonts w:ascii="Times New Roman" w:hAnsi="Times New Roman" w:cs="Times New Roman"/>
          <w:sz w:val="24"/>
          <w:szCs w:val="24"/>
        </w:rPr>
        <w:t>supplied</w:t>
      </w:r>
      <w:r w:rsidR="000B193B">
        <w:rPr>
          <w:rFonts w:ascii="Times New Roman" w:hAnsi="Times New Roman" w:cs="Times New Roman"/>
          <w:sz w:val="24"/>
          <w:szCs w:val="24"/>
        </w:rPr>
        <w:t xml:space="preserve"> and used for road or air transport in Australia)</w:t>
      </w:r>
      <w:r w:rsidR="00E86ED7">
        <w:rPr>
          <w:rFonts w:ascii="Times New Roman" w:hAnsi="Times New Roman" w:cs="Times New Roman"/>
          <w:sz w:val="24"/>
          <w:szCs w:val="24"/>
        </w:rPr>
        <w:t>.</w:t>
      </w:r>
    </w:p>
    <w:p w:rsidR="00B75974" w:rsidRPr="00B75974" w:rsidRDefault="00E86ED7" w:rsidP="00AB2E8D">
      <w:pPr>
        <w:spacing w:before="240" w:after="240"/>
        <w:rPr>
          <w:rFonts w:ascii="Times New Roman" w:hAnsi="Times New Roman" w:cs="Times New Roman"/>
          <w:sz w:val="24"/>
          <w:szCs w:val="24"/>
        </w:rPr>
      </w:pPr>
      <w:r w:rsidRPr="00E86ED7">
        <w:rPr>
          <w:rFonts w:ascii="Times New Roman" w:hAnsi="Times New Roman" w:cs="Times New Roman"/>
          <w:sz w:val="24"/>
        </w:rPr>
        <w:t xml:space="preserve">In addition, </w:t>
      </w:r>
      <w:r w:rsidR="00B75974" w:rsidRPr="00B75974">
        <w:rPr>
          <w:rFonts w:ascii="Times New Roman" w:hAnsi="Times New Roman" w:cs="Times New Roman"/>
          <w:sz w:val="24"/>
          <w:szCs w:val="24"/>
        </w:rPr>
        <w:t>FSSP fuels must constitute a majority of the annual output of the refinery</w:t>
      </w:r>
      <w:r w:rsidR="006E31F6">
        <w:rPr>
          <w:rFonts w:ascii="Times New Roman" w:hAnsi="Times New Roman" w:cs="Times New Roman"/>
          <w:sz w:val="24"/>
          <w:szCs w:val="24"/>
        </w:rPr>
        <w:t xml:space="preserve"> at the time the application under section 39 of the Act is made</w:t>
      </w:r>
      <w:r>
        <w:rPr>
          <w:rFonts w:ascii="Times New Roman" w:hAnsi="Times New Roman" w:cs="Times New Roman"/>
          <w:sz w:val="24"/>
          <w:szCs w:val="24"/>
        </w:rPr>
        <w:t>. T</w:t>
      </w:r>
      <w:r w:rsidR="000E2D19">
        <w:rPr>
          <w:rFonts w:ascii="Times New Roman" w:hAnsi="Times New Roman" w:cs="Times New Roman"/>
          <w:sz w:val="24"/>
          <w:szCs w:val="24"/>
        </w:rPr>
        <w:t xml:space="preserve">his reflects the intent that the FSSP is payable only in relation to </w:t>
      </w:r>
      <w:r w:rsidR="008C7F6A">
        <w:rPr>
          <w:rFonts w:ascii="Times New Roman" w:hAnsi="Times New Roman" w:cs="Times New Roman"/>
          <w:sz w:val="24"/>
          <w:szCs w:val="24"/>
        </w:rPr>
        <w:t xml:space="preserve">domestic </w:t>
      </w:r>
      <w:r w:rsidR="000E2D19">
        <w:rPr>
          <w:rFonts w:ascii="Times New Roman" w:hAnsi="Times New Roman" w:cs="Times New Roman"/>
          <w:sz w:val="24"/>
          <w:szCs w:val="24"/>
        </w:rPr>
        <w:t>refining which significantly contributes to Australia’s fuel security</w:t>
      </w:r>
      <w:r w:rsidR="008C7F6A">
        <w:rPr>
          <w:rFonts w:ascii="Times New Roman" w:hAnsi="Times New Roman" w:cs="Times New Roman"/>
          <w:sz w:val="24"/>
          <w:szCs w:val="24"/>
        </w:rPr>
        <w:t>;</w:t>
      </w:r>
      <w:r w:rsidR="000B193B">
        <w:rPr>
          <w:rFonts w:ascii="Times New Roman" w:hAnsi="Times New Roman" w:cs="Times New Roman"/>
          <w:sz w:val="24"/>
          <w:szCs w:val="24"/>
        </w:rPr>
        <w:t xml:space="preserve"> namely, by </w:t>
      </w:r>
      <w:r w:rsidR="007317AA">
        <w:rPr>
          <w:rFonts w:ascii="Times New Roman" w:hAnsi="Times New Roman" w:cs="Times New Roman"/>
          <w:sz w:val="24"/>
          <w:szCs w:val="24"/>
        </w:rPr>
        <w:t xml:space="preserve">refining and </w:t>
      </w:r>
      <w:r w:rsidR="009A5A55">
        <w:rPr>
          <w:rFonts w:ascii="Times New Roman" w:hAnsi="Times New Roman" w:cs="Times New Roman"/>
          <w:sz w:val="24"/>
          <w:szCs w:val="24"/>
        </w:rPr>
        <w:t xml:space="preserve">producing </w:t>
      </w:r>
      <w:r w:rsidR="008C7F6A">
        <w:rPr>
          <w:rFonts w:ascii="Times New Roman" w:hAnsi="Times New Roman" w:cs="Times New Roman"/>
          <w:sz w:val="24"/>
          <w:szCs w:val="24"/>
        </w:rPr>
        <w:t>predominantly FSSP fuel</w:t>
      </w:r>
      <w:r w:rsidR="00B75974" w:rsidRPr="00B75974">
        <w:rPr>
          <w:rFonts w:ascii="Times New Roman" w:hAnsi="Times New Roman" w:cs="Times New Roman"/>
          <w:sz w:val="24"/>
          <w:szCs w:val="24"/>
        </w:rPr>
        <w:t>.</w:t>
      </w:r>
    </w:p>
    <w:p w:rsidR="00C22158" w:rsidRDefault="00C22158" w:rsidP="008D6802">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8</w:t>
      </w:r>
      <w:r w:rsidRPr="00366EF0">
        <w:rPr>
          <w:rFonts w:ascii="Times New Roman" w:hAnsi="Times New Roman" w:cs="Times New Roman"/>
          <w:b/>
          <w:sz w:val="24"/>
          <w:szCs w:val="24"/>
        </w:rPr>
        <w:t xml:space="preserve"> –</w:t>
      </w:r>
      <w:r w:rsidRPr="00C22158">
        <w:t xml:space="preserve"> </w:t>
      </w:r>
      <w:r w:rsidRPr="00C22158">
        <w:rPr>
          <w:rFonts w:ascii="Times New Roman" w:hAnsi="Times New Roman" w:cs="Times New Roman"/>
          <w:b/>
          <w:sz w:val="24"/>
          <w:szCs w:val="24"/>
        </w:rPr>
        <w:t>General requirements to approve applications</w:t>
      </w:r>
    </w:p>
    <w:p w:rsidR="00C22158" w:rsidRDefault="006355CD"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paragraph 40(2)(d) of the Act, other </w:t>
      </w:r>
      <w:r w:rsidR="00A45E52">
        <w:rPr>
          <w:rFonts w:ascii="Times New Roman" w:hAnsi="Times New Roman" w:cs="Times New Roman"/>
          <w:sz w:val="24"/>
          <w:szCs w:val="24"/>
        </w:rPr>
        <w:t xml:space="preserve">general </w:t>
      </w:r>
      <w:r>
        <w:rPr>
          <w:rFonts w:ascii="Times New Roman" w:hAnsi="Times New Roman" w:cs="Times New Roman"/>
          <w:sz w:val="24"/>
          <w:szCs w:val="24"/>
        </w:rPr>
        <w:t>requirements an application for the FSSP must meet</w:t>
      </w:r>
      <w:r w:rsidR="00A03F55">
        <w:rPr>
          <w:rFonts w:ascii="Times New Roman" w:hAnsi="Times New Roman" w:cs="Times New Roman"/>
          <w:sz w:val="24"/>
          <w:szCs w:val="24"/>
        </w:rPr>
        <w:t xml:space="preserve">, which relate to and </w:t>
      </w:r>
      <w:r w:rsidR="00707BCC">
        <w:rPr>
          <w:rFonts w:ascii="Times New Roman" w:hAnsi="Times New Roman" w:cs="Times New Roman"/>
          <w:sz w:val="24"/>
          <w:szCs w:val="24"/>
        </w:rPr>
        <w:t xml:space="preserve">appropriately </w:t>
      </w:r>
      <w:r w:rsidR="00A03F55">
        <w:rPr>
          <w:rFonts w:ascii="Times New Roman" w:hAnsi="Times New Roman" w:cs="Times New Roman"/>
          <w:sz w:val="24"/>
          <w:szCs w:val="24"/>
        </w:rPr>
        <w:t>expand</w:t>
      </w:r>
      <w:r w:rsidR="00707BCC">
        <w:rPr>
          <w:rFonts w:ascii="Times New Roman" w:hAnsi="Times New Roman" w:cs="Times New Roman"/>
          <w:sz w:val="24"/>
          <w:szCs w:val="24"/>
        </w:rPr>
        <w:t xml:space="preserve"> upon the requirements under sections 39 and 40 of the Act</w:t>
      </w:r>
      <w:r>
        <w:rPr>
          <w:rFonts w:ascii="Times New Roman" w:hAnsi="Times New Roman" w:cs="Times New Roman"/>
          <w:sz w:val="24"/>
          <w:szCs w:val="24"/>
        </w:rPr>
        <w:t>.</w:t>
      </w:r>
      <w:r w:rsidR="00951EFA">
        <w:rPr>
          <w:rFonts w:ascii="Times New Roman" w:hAnsi="Times New Roman" w:cs="Times New Roman"/>
          <w:sz w:val="24"/>
          <w:szCs w:val="24"/>
        </w:rPr>
        <w:t xml:space="preserve"> This </w:t>
      </w:r>
      <w:r w:rsidR="000111CD">
        <w:rPr>
          <w:rFonts w:ascii="Times New Roman" w:hAnsi="Times New Roman" w:cs="Times New Roman"/>
          <w:sz w:val="24"/>
          <w:szCs w:val="24"/>
        </w:rPr>
        <w:t xml:space="preserve">reflects the policy intent that </w:t>
      </w:r>
      <w:r w:rsidR="00951EFA">
        <w:rPr>
          <w:rFonts w:ascii="Times New Roman" w:hAnsi="Times New Roman" w:cs="Times New Roman"/>
          <w:sz w:val="24"/>
          <w:szCs w:val="24"/>
        </w:rPr>
        <w:t xml:space="preserve">the Minister </w:t>
      </w:r>
      <w:r w:rsidR="00745189">
        <w:rPr>
          <w:rFonts w:ascii="Times New Roman" w:hAnsi="Times New Roman" w:cs="Times New Roman"/>
          <w:sz w:val="24"/>
          <w:szCs w:val="24"/>
        </w:rPr>
        <w:t>must be</w:t>
      </w:r>
      <w:r w:rsidR="00951EFA">
        <w:rPr>
          <w:rFonts w:ascii="Times New Roman" w:hAnsi="Times New Roman" w:cs="Times New Roman"/>
          <w:sz w:val="24"/>
          <w:szCs w:val="24"/>
        </w:rPr>
        <w:t xml:space="preserve"> satisfied that </w:t>
      </w:r>
      <w:r w:rsidR="000111CD">
        <w:rPr>
          <w:rFonts w:ascii="Times New Roman" w:hAnsi="Times New Roman" w:cs="Times New Roman"/>
          <w:sz w:val="24"/>
          <w:szCs w:val="24"/>
        </w:rPr>
        <w:t xml:space="preserve">sufficient information is provided </w:t>
      </w:r>
      <w:r w:rsidR="008D6802">
        <w:rPr>
          <w:rFonts w:ascii="Times New Roman" w:hAnsi="Times New Roman" w:cs="Times New Roman"/>
          <w:sz w:val="24"/>
          <w:szCs w:val="24"/>
        </w:rPr>
        <w:t xml:space="preserve">by the applicant </w:t>
      </w:r>
      <w:r w:rsidR="00745189">
        <w:rPr>
          <w:rFonts w:ascii="Times New Roman" w:hAnsi="Times New Roman" w:cs="Times New Roman"/>
          <w:sz w:val="24"/>
          <w:szCs w:val="24"/>
        </w:rPr>
        <w:t>and</w:t>
      </w:r>
      <w:r w:rsidR="007D6EAC">
        <w:rPr>
          <w:rFonts w:ascii="Times New Roman" w:hAnsi="Times New Roman" w:cs="Times New Roman"/>
          <w:sz w:val="24"/>
          <w:szCs w:val="24"/>
        </w:rPr>
        <w:t xml:space="preserve"> the </w:t>
      </w:r>
      <w:r w:rsidR="00951EFA">
        <w:rPr>
          <w:rFonts w:ascii="Times New Roman" w:hAnsi="Times New Roman" w:cs="Times New Roman"/>
          <w:sz w:val="24"/>
          <w:szCs w:val="24"/>
        </w:rPr>
        <w:t>requirements for the grant of an FSSP application are met.</w:t>
      </w:r>
    </w:p>
    <w:p w:rsidR="00707BCC" w:rsidRDefault="00707BCC" w:rsidP="00A03F55">
      <w:pPr>
        <w:spacing w:before="240" w:after="240"/>
        <w:rPr>
          <w:rFonts w:ascii="Times New Roman" w:hAnsi="Times New Roman" w:cs="Times New Roman"/>
          <w:sz w:val="24"/>
          <w:szCs w:val="24"/>
        </w:rPr>
      </w:pPr>
      <w:r>
        <w:rPr>
          <w:rFonts w:ascii="Times New Roman" w:hAnsi="Times New Roman" w:cs="Times New Roman"/>
          <w:sz w:val="24"/>
          <w:szCs w:val="24"/>
        </w:rPr>
        <w:t>Specifically, th</w:t>
      </w:r>
      <w:r w:rsidR="008C7F6A">
        <w:rPr>
          <w:rFonts w:ascii="Times New Roman" w:hAnsi="Times New Roman" w:cs="Times New Roman"/>
          <w:sz w:val="24"/>
          <w:szCs w:val="24"/>
        </w:rPr>
        <w:t xml:space="preserve">ese </w:t>
      </w:r>
      <w:r w:rsidR="008C7F6A" w:rsidRPr="008C7F6A">
        <w:rPr>
          <w:rFonts w:ascii="Times New Roman" w:hAnsi="Times New Roman" w:cs="Times New Roman"/>
          <w:sz w:val="24"/>
          <w:szCs w:val="24"/>
        </w:rPr>
        <w:t xml:space="preserve">requirements </w:t>
      </w:r>
      <w:r w:rsidR="007317AA">
        <w:rPr>
          <w:rFonts w:ascii="Times New Roman" w:hAnsi="Times New Roman" w:cs="Times New Roman"/>
          <w:sz w:val="24"/>
          <w:szCs w:val="24"/>
        </w:rPr>
        <w:t>include</w:t>
      </w:r>
      <w:r w:rsidR="00A03F55">
        <w:rPr>
          <w:rFonts w:ascii="Times New Roman" w:hAnsi="Times New Roman" w:cs="Times New Roman"/>
          <w:sz w:val="24"/>
          <w:szCs w:val="24"/>
        </w:rPr>
        <w:t xml:space="preserve"> the Minister being satisfied that</w:t>
      </w:r>
      <w:r>
        <w:rPr>
          <w:rFonts w:ascii="Times New Roman" w:hAnsi="Times New Roman" w:cs="Times New Roman"/>
          <w:sz w:val="24"/>
          <w:szCs w:val="24"/>
        </w:rPr>
        <w:t>:</w:t>
      </w:r>
    </w:p>
    <w:p w:rsidR="00707BCC" w:rsidRPr="00707BCC" w:rsidRDefault="00707BCC" w:rsidP="00707BCC">
      <w:pPr>
        <w:pStyle w:val="ListParagraph"/>
        <w:numPr>
          <w:ilvl w:val="0"/>
          <w:numId w:val="7"/>
        </w:numPr>
        <w:spacing w:before="240" w:after="240"/>
        <w:rPr>
          <w:rFonts w:ascii="Times New Roman" w:hAnsi="Times New Roman" w:cs="Times New Roman"/>
          <w:sz w:val="24"/>
          <w:szCs w:val="24"/>
        </w:rPr>
      </w:pPr>
      <w:r w:rsidRPr="00707BCC">
        <w:rPr>
          <w:rFonts w:ascii="Times New Roman" w:hAnsi="Times New Roman" w:cs="Times New Roman"/>
          <w:sz w:val="24"/>
          <w:szCs w:val="24"/>
        </w:rPr>
        <w:t>the</w:t>
      </w:r>
      <w:r w:rsidR="00A03F55" w:rsidRPr="00707BCC">
        <w:rPr>
          <w:rFonts w:ascii="Times New Roman" w:hAnsi="Times New Roman" w:cs="Times New Roman"/>
          <w:sz w:val="24"/>
          <w:szCs w:val="24"/>
        </w:rPr>
        <w:t xml:space="preserve"> applicant has the capability to refine FSSP fuel at the </w:t>
      </w:r>
      <w:r w:rsidR="008D6802">
        <w:rPr>
          <w:rFonts w:ascii="Times New Roman" w:hAnsi="Times New Roman" w:cs="Times New Roman"/>
          <w:sz w:val="24"/>
          <w:szCs w:val="24"/>
        </w:rPr>
        <w:t xml:space="preserve">Australian </w:t>
      </w:r>
      <w:r w:rsidR="00A03F55" w:rsidRPr="00707BCC">
        <w:rPr>
          <w:rFonts w:ascii="Times New Roman" w:hAnsi="Times New Roman" w:cs="Times New Roman"/>
          <w:sz w:val="24"/>
          <w:szCs w:val="24"/>
        </w:rPr>
        <w:t>refinery</w:t>
      </w:r>
      <w:r w:rsidR="008D6802">
        <w:rPr>
          <w:rFonts w:ascii="Times New Roman" w:hAnsi="Times New Roman" w:cs="Times New Roman"/>
          <w:sz w:val="24"/>
          <w:szCs w:val="24"/>
        </w:rPr>
        <w:t xml:space="preserve"> nominated as the committed refinery in the application</w:t>
      </w:r>
      <w:r w:rsidR="00A03F55" w:rsidRPr="00707BCC">
        <w:rPr>
          <w:rFonts w:ascii="Times New Roman" w:hAnsi="Times New Roman" w:cs="Times New Roman"/>
          <w:sz w:val="24"/>
          <w:szCs w:val="24"/>
        </w:rPr>
        <w:t xml:space="preserve"> </w:t>
      </w:r>
      <w:r w:rsidR="005365F2">
        <w:rPr>
          <w:rFonts w:ascii="Times New Roman" w:hAnsi="Times New Roman" w:cs="Times New Roman"/>
          <w:sz w:val="24"/>
          <w:szCs w:val="24"/>
        </w:rPr>
        <w:t xml:space="preserve">and intends to do so </w:t>
      </w:r>
      <w:r w:rsidR="008D6802">
        <w:rPr>
          <w:rFonts w:ascii="Open Sans" w:eastAsia="Times New Roman" w:hAnsi="Open Sans" w:cs="Times New Roman"/>
          <w:color w:val="212529"/>
          <w:sz w:val="24"/>
          <w:szCs w:val="24"/>
          <w:lang w:eastAsia="en-AU"/>
        </w:rPr>
        <w:t>for the duration of the</w:t>
      </w:r>
      <w:r w:rsidR="000D53E3">
        <w:rPr>
          <w:rFonts w:ascii="Open Sans" w:eastAsia="Times New Roman" w:hAnsi="Open Sans" w:cs="Times New Roman"/>
          <w:color w:val="212529"/>
          <w:sz w:val="24"/>
          <w:szCs w:val="24"/>
          <w:lang w:eastAsia="en-AU"/>
        </w:rPr>
        <w:t xml:space="preserve"> </w:t>
      </w:r>
      <w:r w:rsidR="00A03F55" w:rsidRPr="00707BCC">
        <w:rPr>
          <w:rFonts w:ascii="Times New Roman" w:hAnsi="Times New Roman" w:cs="Times New Roman"/>
          <w:sz w:val="24"/>
          <w:szCs w:val="24"/>
        </w:rPr>
        <w:t>commitment period</w:t>
      </w:r>
      <w:r w:rsidR="00CF0736">
        <w:rPr>
          <w:rFonts w:ascii="Times New Roman" w:hAnsi="Times New Roman" w:cs="Times New Roman"/>
          <w:sz w:val="24"/>
          <w:szCs w:val="24"/>
        </w:rPr>
        <w:t xml:space="preserve"> </w:t>
      </w:r>
      <w:r w:rsidR="008D6802">
        <w:rPr>
          <w:rFonts w:ascii="Times New Roman" w:hAnsi="Times New Roman" w:cs="Times New Roman"/>
          <w:sz w:val="24"/>
          <w:szCs w:val="24"/>
        </w:rPr>
        <w:t>proposed by the applicant</w:t>
      </w:r>
      <w:r w:rsidR="00A64998">
        <w:rPr>
          <w:rFonts w:ascii="Times New Roman" w:hAnsi="Times New Roman" w:cs="Times New Roman"/>
          <w:sz w:val="24"/>
          <w:szCs w:val="24"/>
        </w:rPr>
        <w:t xml:space="preserve"> under </w:t>
      </w:r>
      <w:r w:rsidR="00CF0736">
        <w:rPr>
          <w:rFonts w:ascii="Times New Roman" w:hAnsi="Times New Roman" w:cs="Times New Roman"/>
          <w:sz w:val="24"/>
          <w:szCs w:val="24"/>
        </w:rPr>
        <w:t xml:space="preserve">paragraph </w:t>
      </w:r>
      <w:r w:rsidR="000D53E3">
        <w:rPr>
          <w:rFonts w:ascii="Times New Roman" w:hAnsi="Times New Roman" w:cs="Times New Roman"/>
          <w:sz w:val="24"/>
          <w:szCs w:val="24"/>
        </w:rPr>
        <w:t>6</w:t>
      </w:r>
      <w:r w:rsidR="008D6802">
        <w:rPr>
          <w:rFonts w:ascii="Times New Roman" w:hAnsi="Times New Roman" w:cs="Times New Roman"/>
          <w:sz w:val="24"/>
          <w:szCs w:val="24"/>
        </w:rPr>
        <w:t>(</w:t>
      </w:r>
      <w:r w:rsidR="00CF0736">
        <w:rPr>
          <w:rFonts w:ascii="Times New Roman" w:hAnsi="Times New Roman" w:cs="Times New Roman"/>
          <w:sz w:val="24"/>
          <w:szCs w:val="24"/>
        </w:rPr>
        <w:t>2</w:t>
      </w:r>
      <w:r w:rsidR="008D6802">
        <w:rPr>
          <w:rFonts w:ascii="Times New Roman" w:hAnsi="Times New Roman" w:cs="Times New Roman"/>
          <w:sz w:val="24"/>
          <w:szCs w:val="24"/>
        </w:rPr>
        <w:t>)</w:t>
      </w:r>
      <w:r w:rsidR="00CF0736">
        <w:rPr>
          <w:rFonts w:ascii="Times New Roman" w:hAnsi="Times New Roman" w:cs="Times New Roman"/>
          <w:sz w:val="24"/>
          <w:szCs w:val="24"/>
        </w:rPr>
        <w:t>(f) of the Rule</w:t>
      </w:r>
      <w:r w:rsidRPr="00707BCC">
        <w:rPr>
          <w:rFonts w:ascii="Times New Roman" w:hAnsi="Times New Roman" w:cs="Times New Roman"/>
          <w:sz w:val="24"/>
          <w:szCs w:val="24"/>
        </w:rPr>
        <w:t>;</w:t>
      </w:r>
    </w:p>
    <w:p w:rsidR="00707BCC" w:rsidRPr="00707BCC" w:rsidRDefault="00707BCC" w:rsidP="00707BCC">
      <w:pPr>
        <w:pStyle w:val="ListParagraph"/>
        <w:numPr>
          <w:ilvl w:val="0"/>
          <w:numId w:val="7"/>
        </w:numPr>
        <w:spacing w:before="240" w:after="240"/>
        <w:rPr>
          <w:rFonts w:ascii="Times New Roman" w:hAnsi="Times New Roman" w:cs="Times New Roman"/>
          <w:sz w:val="24"/>
          <w:szCs w:val="24"/>
        </w:rPr>
      </w:pPr>
      <w:r w:rsidRPr="00707BCC">
        <w:rPr>
          <w:rFonts w:ascii="Times New Roman" w:hAnsi="Times New Roman" w:cs="Times New Roman"/>
          <w:sz w:val="24"/>
          <w:szCs w:val="24"/>
        </w:rPr>
        <w:t>the</w:t>
      </w:r>
      <w:r w:rsidR="00A03F55" w:rsidRPr="00707BCC">
        <w:rPr>
          <w:rFonts w:ascii="Times New Roman" w:hAnsi="Times New Roman" w:cs="Times New Roman"/>
          <w:sz w:val="24"/>
          <w:szCs w:val="24"/>
        </w:rPr>
        <w:t xml:space="preserve"> security provided with </w:t>
      </w:r>
      <w:r>
        <w:rPr>
          <w:rFonts w:ascii="Times New Roman" w:hAnsi="Times New Roman" w:cs="Times New Roman"/>
          <w:sz w:val="24"/>
          <w:szCs w:val="24"/>
        </w:rPr>
        <w:t>the</w:t>
      </w:r>
      <w:r w:rsidR="00A03F55" w:rsidRPr="00707BCC">
        <w:rPr>
          <w:rFonts w:ascii="Times New Roman" w:hAnsi="Times New Roman" w:cs="Times New Roman"/>
          <w:sz w:val="24"/>
          <w:szCs w:val="24"/>
        </w:rPr>
        <w:t xml:space="preserve"> application</w:t>
      </w:r>
      <w:r w:rsidR="00175E12">
        <w:rPr>
          <w:rFonts w:ascii="Times New Roman" w:hAnsi="Times New Roman" w:cs="Times New Roman"/>
          <w:sz w:val="24"/>
          <w:szCs w:val="24"/>
        </w:rPr>
        <w:t xml:space="preserve"> </w:t>
      </w:r>
      <w:r w:rsidR="00A03F55" w:rsidRPr="00707BCC">
        <w:rPr>
          <w:rFonts w:ascii="Times New Roman" w:hAnsi="Times New Roman" w:cs="Times New Roman"/>
          <w:sz w:val="24"/>
          <w:szCs w:val="24"/>
        </w:rPr>
        <w:t xml:space="preserve">is sufficient to mitigate </w:t>
      </w:r>
      <w:r w:rsidR="005365F2">
        <w:rPr>
          <w:rFonts w:ascii="Times New Roman" w:hAnsi="Times New Roman" w:cs="Times New Roman"/>
          <w:sz w:val="24"/>
          <w:szCs w:val="24"/>
        </w:rPr>
        <w:t xml:space="preserve">the </w:t>
      </w:r>
      <w:r w:rsidRPr="00707BCC">
        <w:rPr>
          <w:rFonts w:ascii="Times New Roman" w:hAnsi="Times New Roman" w:cs="Times New Roman"/>
          <w:sz w:val="24"/>
          <w:szCs w:val="24"/>
        </w:rPr>
        <w:t>risk</w:t>
      </w:r>
      <w:r w:rsidR="005365F2">
        <w:rPr>
          <w:rFonts w:ascii="Times New Roman" w:hAnsi="Times New Roman" w:cs="Times New Roman"/>
          <w:sz w:val="24"/>
          <w:szCs w:val="24"/>
        </w:rPr>
        <w:t>s</w:t>
      </w:r>
      <w:r w:rsidR="00A03F55" w:rsidRPr="00707BCC">
        <w:rPr>
          <w:rFonts w:ascii="Times New Roman" w:hAnsi="Times New Roman" w:cs="Times New Roman"/>
          <w:sz w:val="24"/>
          <w:szCs w:val="24"/>
        </w:rPr>
        <w:t xml:space="preserve"> of the applicant being unable to meet </w:t>
      </w:r>
      <w:r>
        <w:rPr>
          <w:rFonts w:ascii="Times New Roman" w:hAnsi="Times New Roman" w:cs="Times New Roman"/>
          <w:sz w:val="24"/>
          <w:szCs w:val="24"/>
        </w:rPr>
        <w:t xml:space="preserve">any </w:t>
      </w:r>
      <w:r w:rsidR="00A03F55" w:rsidRPr="00707BCC">
        <w:rPr>
          <w:rFonts w:ascii="Times New Roman" w:hAnsi="Times New Roman" w:cs="Times New Roman"/>
          <w:sz w:val="24"/>
          <w:szCs w:val="24"/>
        </w:rPr>
        <w:t xml:space="preserve">repayment obligations </w:t>
      </w:r>
      <w:r>
        <w:rPr>
          <w:rFonts w:ascii="Times New Roman" w:hAnsi="Times New Roman" w:cs="Times New Roman"/>
          <w:sz w:val="24"/>
          <w:szCs w:val="24"/>
        </w:rPr>
        <w:t xml:space="preserve">which may </w:t>
      </w:r>
      <w:r w:rsidR="00A03F55" w:rsidRPr="00707BCC">
        <w:rPr>
          <w:rFonts w:ascii="Times New Roman" w:hAnsi="Times New Roman" w:cs="Times New Roman"/>
          <w:sz w:val="24"/>
          <w:szCs w:val="24"/>
        </w:rPr>
        <w:t>aris</w:t>
      </w:r>
      <w:r>
        <w:rPr>
          <w:rFonts w:ascii="Times New Roman" w:hAnsi="Times New Roman" w:cs="Times New Roman"/>
          <w:sz w:val="24"/>
          <w:szCs w:val="24"/>
        </w:rPr>
        <w:t>e</w:t>
      </w:r>
      <w:r w:rsidR="00A03F55" w:rsidRPr="00707BCC">
        <w:rPr>
          <w:rFonts w:ascii="Times New Roman" w:hAnsi="Times New Roman" w:cs="Times New Roman"/>
          <w:sz w:val="24"/>
          <w:szCs w:val="24"/>
        </w:rPr>
        <w:t xml:space="preserve"> under section 50 of the Act</w:t>
      </w:r>
      <w:r w:rsidR="00F11C69">
        <w:rPr>
          <w:rFonts w:ascii="Times New Roman" w:hAnsi="Times New Roman" w:cs="Times New Roman"/>
          <w:sz w:val="24"/>
          <w:szCs w:val="24"/>
        </w:rPr>
        <w:t>. The Minister must also consider</w:t>
      </w:r>
      <w:r w:rsidR="004A209C">
        <w:rPr>
          <w:rFonts w:ascii="Times New Roman" w:hAnsi="Times New Roman" w:cs="Times New Roman"/>
          <w:sz w:val="24"/>
          <w:szCs w:val="24"/>
        </w:rPr>
        <w:t xml:space="preserve"> the </w:t>
      </w:r>
      <w:r w:rsidR="006E31F6">
        <w:rPr>
          <w:rFonts w:ascii="Times New Roman" w:hAnsi="Times New Roman" w:cs="Times New Roman"/>
          <w:sz w:val="24"/>
          <w:szCs w:val="24"/>
        </w:rPr>
        <w:t>creditworthiness</w:t>
      </w:r>
      <w:r w:rsidR="00F11C69">
        <w:rPr>
          <w:rFonts w:ascii="Times New Roman" w:hAnsi="Times New Roman" w:cs="Times New Roman"/>
          <w:sz w:val="24"/>
          <w:szCs w:val="24"/>
        </w:rPr>
        <w:t xml:space="preserve"> of the entity providing the security</w:t>
      </w:r>
      <w:r w:rsidR="001E0B9F">
        <w:rPr>
          <w:rFonts w:ascii="Times New Roman" w:hAnsi="Times New Roman" w:cs="Times New Roman"/>
          <w:sz w:val="24"/>
          <w:szCs w:val="24"/>
        </w:rPr>
        <w:t xml:space="preserve"> (paragraph 8(2)(b) and subsection 8(3) of the Rule)</w:t>
      </w:r>
      <w:r w:rsidRPr="00707BCC">
        <w:rPr>
          <w:rFonts w:ascii="Times New Roman" w:hAnsi="Times New Roman" w:cs="Times New Roman"/>
          <w:sz w:val="24"/>
          <w:szCs w:val="24"/>
        </w:rPr>
        <w:t>; and</w:t>
      </w:r>
    </w:p>
    <w:p w:rsidR="00A03F55" w:rsidRPr="00BD5CFF" w:rsidRDefault="00707BCC" w:rsidP="007317AA">
      <w:pPr>
        <w:pStyle w:val="ListParagraph"/>
        <w:numPr>
          <w:ilvl w:val="0"/>
          <w:numId w:val="7"/>
        </w:numPr>
        <w:spacing w:before="240" w:after="240"/>
        <w:rPr>
          <w:rFonts w:ascii="Times New Roman" w:hAnsi="Times New Roman" w:cs="Times New Roman"/>
          <w:sz w:val="24"/>
          <w:szCs w:val="24"/>
        </w:rPr>
      </w:pPr>
      <w:r w:rsidRPr="00707BCC">
        <w:rPr>
          <w:rFonts w:ascii="Times New Roman" w:hAnsi="Times New Roman" w:cs="Times New Roman"/>
          <w:sz w:val="24"/>
          <w:szCs w:val="24"/>
        </w:rPr>
        <w:t xml:space="preserve">the applicant </w:t>
      </w:r>
      <w:r w:rsidR="00175E12">
        <w:rPr>
          <w:rFonts w:ascii="Times New Roman" w:hAnsi="Times New Roman" w:cs="Times New Roman"/>
          <w:sz w:val="24"/>
          <w:szCs w:val="24"/>
        </w:rPr>
        <w:t>intends to</w:t>
      </w:r>
      <w:r w:rsidR="00175E12" w:rsidRPr="00707BCC">
        <w:rPr>
          <w:rFonts w:ascii="Times New Roman" w:hAnsi="Times New Roman" w:cs="Times New Roman"/>
          <w:sz w:val="24"/>
          <w:szCs w:val="24"/>
        </w:rPr>
        <w:t xml:space="preserve"> </w:t>
      </w:r>
      <w:r w:rsidR="00A03F55" w:rsidRPr="00707BCC">
        <w:rPr>
          <w:rFonts w:ascii="Times New Roman" w:hAnsi="Times New Roman" w:cs="Times New Roman"/>
          <w:sz w:val="24"/>
          <w:szCs w:val="24"/>
        </w:rPr>
        <w:t>cooperate with th</w:t>
      </w:r>
      <w:r w:rsidRPr="00707BCC">
        <w:rPr>
          <w:rFonts w:ascii="Times New Roman" w:hAnsi="Times New Roman" w:cs="Times New Roman"/>
          <w:sz w:val="24"/>
          <w:szCs w:val="24"/>
        </w:rPr>
        <w:t xml:space="preserve">e Department in relation to the </w:t>
      </w:r>
      <w:r w:rsidR="007317AA" w:rsidRPr="00BD5CFF">
        <w:rPr>
          <w:rFonts w:ascii="Times New Roman" w:hAnsi="Times New Roman" w:cs="Times New Roman"/>
          <w:sz w:val="24"/>
          <w:szCs w:val="24"/>
        </w:rPr>
        <w:t xml:space="preserve">preparation of </w:t>
      </w:r>
      <w:r w:rsidR="00F71673" w:rsidRPr="00BD5CFF">
        <w:rPr>
          <w:rFonts w:ascii="Times New Roman" w:hAnsi="Times New Roman" w:cs="Times New Roman"/>
          <w:sz w:val="24"/>
          <w:szCs w:val="24"/>
        </w:rPr>
        <w:t xml:space="preserve">future </w:t>
      </w:r>
      <w:r w:rsidR="007317AA" w:rsidRPr="00BD5CFF">
        <w:rPr>
          <w:rFonts w:ascii="Times New Roman" w:hAnsi="Times New Roman" w:cs="Times New Roman"/>
          <w:sz w:val="24"/>
          <w:szCs w:val="24"/>
        </w:rPr>
        <w:t>milestone reports (including providing access to appropriate financial information relating to the committed refinery</w:t>
      </w:r>
      <w:r w:rsidR="00BD5CFF">
        <w:rPr>
          <w:rFonts w:ascii="Times New Roman" w:hAnsi="Times New Roman" w:cs="Times New Roman"/>
          <w:sz w:val="24"/>
          <w:szCs w:val="24"/>
        </w:rPr>
        <w:t xml:space="preserve">’s margin and the preparation of </w:t>
      </w:r>
      <w:r w:rsidR="004A209C">
        <w:rPr>
          <w:rFonts w:ascii="Times New Roman" w:hAnsi="Times New Roman" w:cs="Times New Roman"/>
          <w:sz w:val="24"/>
          <w:szCs w:val="24"/>
        </w:rPr>
        <w:t xml:space="preserve">the </w:t>
      </w:r>
      <w:r w:rsidR="00BD5CFF">
        <w:rPr>
          <w:rFonts w:ascii="Times New Roman" w:hAnsi="Times New Roman" w:cs="Times New Roman"/>
          <w:sz w:val="24"/>
          <w:szCs w:val="24"/>
        </w:rPr>
        <w:t>milestone report</w:t>
      </w:r>
      <w:r w:rsidR="007317AA" w:rsidRPr="00BD5CFF">
        <w:rPr>
          <w:rFonts w:ascii="Times New Roman" w:hAnsi="Times New Roman" w:cs="Times New Roman"/>
          <w:sz w:val="24"/>
          <w:szCs w:val="24"/>
        </w:rPr>
        <w:t xml:space="preserve">) which will </w:t>
      </w:r>
      <w:r w:rsidR="00A03F55" w:rsidRPr="00BD5CFF">
        <w:rPr>
          <w:rFonts w:ascii="Times New Roman" w:hAnsi="Times New Roman" w:cs="Times New Roman"/>
          <w:sz w:val="24"/>
          <w:szCs w:val="24"/>
        </w:rPr>
        <w:t xml:space="preserve">review the </w:t>
      </w:r>
      <w:r w:rsidRPr="00BD5CFF">
        <w:rPr>
          <w:rFonts w:ascii="Times New Roman" w:hAnsi="Times New Roman" w:cs="Times New Roman"/>
          <w:sz w:val="24"/>
          <w:szCs w:val="24"/>
        </w:rPr>
        <w:t>FSSP scheme</w:t>
      </w:r>
      <w:r w:rsidR="007317AA" w:rsidRPr="00BD5CFF">
        <w:t xml:space="preserve"> (</w:t>
      </w:r>
      <w:r w:rsidR="007317AA" w:rsidRPr="00BD5CFF">
        <w:rPr>
          <w:rFonts w:ascii="Times New Roman" w:hAnsi="Times New Roman" w:cs="Times New Roman"/>
          <w:sz w:val="24"/>
          <w:szCs w:val="24"/>
        </w:rPr>
        <w:t xml:space="preserve">see section 14 of the </w:t>
      </w:r>
      <w:r w:rsidR="007317AA" w:rsidRPr="00B55965">
        <w:rPr>
          <w:rFonts w:ascii="Times New Roman" w:hAnsi="Times New Roman" w:cs="Times New Roman"/>
          <w:sz w:val="24"/>
          <w:szCs w:val="24"/>
        </w:rPr>
        <w:t>Guidelines</w:t>
      </w:r>
      <w:r w:rsidR="007317AA" w:rsidRPr="00BD5CFF">
        <w:rPr>
          <w:rFonts w:ascii="Times New Roman" w:hAnsi="Times New Roman" w:cs="Times New Roman"/>
          <w:sz w:val="24"/>
          <w:szCs w:val="24"/>
        </w:rPr>
        <w:t>).</w:t>
      </w:r>
    </w:p>
    <w:p w:rsidR="008C7F6A" w:rsidRDefault="00707BCC" w:rsidP="000D0E22">
      <w:pPr>
        <w:spacing w:before="240" w:after="240"/>
        <w:rPr>
          <w:rFonts w:ascii="Times New Roman" w:hAnsi="Times New Roman" w:cs="Times New Roman"/>
          <w:sz w:val="24"/>
          <w:szCs w:val="24"/>
        </w:rPr>
      </w:pPr>
      <w:r w:rsidRPr="00951EFA">
        <w:rPr>
          <w:rFonts w:ascii="Times New Roman" w:hAnsi="Times New Roman" w:cs="Times New Roman"/>
          <w:sz w:val="24"/>
          <w:szCs w:val="24"/>
        </w:rPr>
        <w:lastRenderedPageBreak/>
        <w:t xml:space="preserve">Further, </w:t>
      </w:r>
      <w:r w:rsidR="00AF5C34" w:rsidRPr="00951EFA">
        <w:rPr>
          <w:rFonts w:ascii="Times New Roman" w:hAnsi="Times New Roman" w:cs="Times New Roman"/>
          <w:sz w:val="24"/>
          <w:szCs w:val="24"/>
        </w:rPr>
        <w:t xml:space="preserve">this section requires that </w:t>
      </w:r>
      <w:r w:rsidR="00A03F55" w:rsidRPr="00951EFA">
        <w:rPr>
          <w:rFonts w:ascii="Times New Roman" w:hAnsi="Times New Roman" w:cs="Times New Roman"/>
          <w:sz w:val="24"/>
          <w:szCs w:val="24"/>
        </w:rPr>
        <w:t xml:space="preserve">the approval of the application </w:t>
      </w:r>
      <w:r w:rsidR="00AF5C34" w:rsidRPr="00951EFA">
        <w:rPr>
          <w:rFonts w:ascii="Times New Roman" w:hAnsi="Times New Roman" w:cs="Times New Roman"/>
          <w:sz w:val="24"/>
          <w:szCs w:val="24"/>
        </w:rPr>
        <w:t xml:space="preserve">for the FSSP </w:t>
      </w:r>
      <w:r w:rsidR="0051237B" w:rsidRPr="00951EFA">
        <w:rPr>
          <w:rFonts w:ascii="Times New Roman" w:hAnsi="Times New Roman" w:cs="Times New Roman"/>
          <w:sz w:val="24"/>
          <w:szCs w:val="24"/>
        </w:rPr>
        <w:t>must</w:t>
      </w:r>
      <w:r w:rsidR="00A03F55" w:rsidRPr="00951EFA">
        <w:rPr>
          <w:rFonts w:ascii="Times New Roman" w:hAnsi="Times New Roman" w:cs="Times New Roman"/>
          <w:sz w:val="24"/>
          <w:szCs w:val="24"/>
        </w:rPr>
        <w:t xml:space="preserve"> not result in two persons being eligible for fuel security services payments for the same refinery and quarter</w:t>
      </w:r>
      <w:r w:rsidR="008D6802">
        <w:rPr>
          <w:rFonts w:ascii="Times New Roman" w:hAnsi="Times New Roman" w:cs="Times New Roman"/>
          <w:sz w:val="24"/>
          <w:szCs w:val="24"/>
        </w:rPr>
        <w:t xml:space="preserve"> (paragraph 8(2)(d) of the Rule)</w:t>
      </w:r>
      <w:r w:rsidR="00A03F55" w:rsidRPr="00951EFA">
        <w:rPr>
          <w:rFonts w:ascii="Times New Roman" w:hAnsi="Times New Roman" w:cs="Times New Roman"/>
          <w:sz w:val="24"/>
          <w:szCs w:val="24"/>
        </w:rPr>
        <w:t>; and</w:t>
      </w:r>
      <w:r w:rsidR="00AF5C34" w:rsidRPr="00951EFA">
        <w:rPr>
          <w:rFonts w:ascii="Times New Roman" w:hAnsi="Times New Roman" w:cs="Times New Roman"/>
          <w:sz w:val="24"/>
          <w:szCs w:val="24"/>
        </w:rPr>
        <w:t xml:space="preserve"> that </w:t>
      </w:r>
      <w:r w:rsidR="00A03F55" w:rsidRPr="00951EFA">
        <w:rPr>
          <w:rFonts w:ascii="Times New Roman" w:hAnsi="Times New Roman" w:cs="Times New Roman"/>
          <w:sz w:val="24"/>
          <w:szCs w:val="24"/>
        </w:rPr>
        <w:t xml:space="preserve">the applicant </w:t>
      </w:r>
      <w:r w:rsidR="00A45E52" w:rsidRPr="00951EFA">
        <w:rPr>
          <w:rFonts w:ascii="Times New Roman" w:hAnsi="Times New Roman" w:cs="Times New Roman"/>
          <w:sz w:val="24"/>
          <w:szCs w:val="24"/>
        </w:rPr>
        <w:t xml:space="preserve">has </w:t>
      </w:r>
      <w:r w:rsidR="00A03F55" w:rsidRPr="00951EFA">
        <w:rPr>
          <w:rFonts w:ascii="Times New Roman" w:hAnsi="Times New Roman" w:cs="Times New Roman"/>
          <w:sz w:val="24"/>
          <w:szCs w:val="24"/>
        </w:rPr>
        <w:t xml:space="preserve">not previously </w:t>
      </w:r>
      <w:r w:rsidR="00A45E52" w:rsidRPr="00951EFA">
        <w:rPr>
          <w:rFonts w:ascii="Times New Roman" w:hAnsi="Times New Roman" w:cs="Times New Roman"/>
          <w:sz w:val="24"/>
          <w:szCs w:val="24"/>
        </w:rPr>
        <w:t xml:space="preserve">been </w:t>
      </w:r>
      <w:r w:rsidR="00A03F55" w:rsidRPr="00951EFA">
        <w:rPr>
          <w:rFonts w:ascii="Times New Roman" w:hAnsi="Times New Roman" w:cs="Times New Roman"/>
          <w:sz w:val="24"/>
          <w:szCs w:val="24"/>
        </w:rPr>
        <w:t>approved under section 40 of the Act for the same refinery</w:t>
      </w:r>
      <w:r w:rsidR="008D6802">
        <w:rPr>
          <w:rFonts w:ascii="Times New Roman" w:hAnsi="Times New Roman" w:cs="Times New Roman"/>
          <w:sz w:val="24"/>
          <w:szCs w:val="24"/>
        </w:rPr>
        <w:t xml:space="preserve"> (paragraph 8(2)(e) of the Rule)</w:t>
      </w:r>
      <w:r w:rsidR="00A03F55" w:rsidRPr="00951EFA">
        <w:rPr>
          <w:rFonts w:ascii="Times New Roman" w:hAnsi="Times New Roman" w:cs="Times New Roman"/>
          <w:sz w:val="24"/>
          <w:szCs w:val="24"/>
        </w:rPr>
        <w:t>.</w:t>
      </w:r>
      <w:r w:rsidR="00AF5C34" w:rsidRPr="00951EFA">
        <w:t xml:space="preserve"> </w:t>
      </w:r>
      <w:r w:rsidR="00AF5C34" w:rsidRPr="00FF1AE6">
        <w:rPr>
          <w:rFonts w:ascii="Times New Roman" w:hAnsi="Times New Roman" w:cs="Times New Roman"/>
          <w:sz w:val="24"/>
          <w:szCs w:val="24"/>
        </w:rPr>
        <w:t>These requirements are designed to ensure refinery operators who have been unsuccessful in applying for an extension of the</w:t>
      </w:r>
      <w:r w:rsidR="00AF5C34" w:rsidRPr="00537DE3">
        <w:rPr>
          <w:rFonts w:ascii="Times New Roman" w:hAnsi="Times New Roman" w:cs="Times New Roman"/>
          <w:sz w:val="24"/>
          <w:szCs w:val="24"/>
        </w:rPr>
        <w:t xml:space="preserve">ir commitment period </w:t>
      </w:r>
      <w:r w:rsidR="003A08B5" w:rsidRPr="00552846">
        <w:rPr>
          <w:rFonts w:ascii="Times New Roman" w:hAnsi="Times New Roman" w:cs="Times New Roman"/>
          <w:sz w:val="24"/>
          <w:szCs w:val="24"/>
        </w:rPr>
        <w:t xml:space="preserve">to 2030 </w:t>
      </w:r>
      <w:r w:rsidR="00AF5C34" w:rsidRPr="00FF1AE6">
        <w:rPr>
          <w:rFonts w:ascii="Times New Roman" w:hAnsi="Times New Roman" w:cs="Times New Roman"/>
          <w:sz w:val="24"/>
          <w:szCs w:val="24"/>
        </w:rPr>
        <w:t xml:space="preserve">under section 41 of the Act </w:t>
      </w:r>
      <w:r w:rsidR="00A45E52" w:rsidRPr="00537DE3">
        <w:rPr>
          <w:rFonts w:ascii="Times New Roman" w:hAnsi="Times New Roman" w:cs="Times New Roman"/>
          <w:sz w:val="24"/>
          <w:szCs w:val="24"/>
        </w:rPr>
        <w:t xml:space="preserve">(see also the explanatory note for subsection 10(2) </w:t>
      </w:r>
      <w:r w:rsidR="00AD147F" w:rsidRPr="00537DE3">
        <w:rPr>
          <w:rFonts w:ascii="Times New Roman" w:hAnsi="Times New Roman" w:cs="Times New Roman"/>
          <w:sz w:val="24"/>
          <w:szCs w:val="24"/>
        </w:rPr>
        <w:t xml:space="preserve">of the Rule </w:t>
      </w:r>
      <w:r w:rsidR="00A45E52" w:rsidRPr="00537DE3">
        <w:rPr>
          <w:rFonts w:ascii="Times New Roman" w:hAnsi="Times New Roman" w:cs="Times New Roman"/>
          <w:sz w:val="24"/>
          <w:szCs w:val="24"/>
        </w:rPr>
        <w:t xml:space="preserve">below) </w:t>
      </w:r>
      <w:r w:rsidR="00AF5C34" w:rsidRPr="00537DE3">
        <w:rPr>
          <w:rFonts w:ascii="Times New Roman" w:hAnsi="Times New Roman" w:cs="Times New Roman"/>
          <w:sz w:val="24"/>
          <w:szCs w:val="24"/>
        </w:rPr>
        <w:t>cannot simply reapply for the FSSP.</w:t>
      </w:r>
    </w:p>
    <w:p w:rsidR="00F11C69" w:rsidRPr="00537DE3" w:rsidRDefault="00F11C69" w:rsidP="00537DE3">
      <w:pPr>
        <w:spacing w:before="240"/>
        <w:rPr>
          <w:rFonts w:ascii="Times New Roman" w:hAnsi="Times New Roman" w:cs="Times New Roman"/>
          <w:sz w:val="24"/>
          <w:szCs w:val="24"/>
        </w:rPr>
      </w:pPr>
      <w:r w:rsidRPr="00537DE3">
        <w:rPr>
          <w:rFonts w:ascii="Times New Roman" w:hAnsi="Times New Roman" w:cs="Times New Roman"/>
          <w:sz w:val="24"/>
          <w:szCs w:val="24"/>
        </w:rPr>
        <w:t xml:space="preserve">Subsection 8(3) </w:t>
      </w:r>
      <w:r w:rsidR="00471AF3">
        <w:rPr>
          <w:rFonts w:ascii="Times New Roman" w:hAnsi="Times New Roman" w:cs="Times New Roman"/>
          <w:sz w:val="24"/>
          <w:szCs w:val="24"/>
        </w:rPr>
        <w:t xml:space="preserve">of the Rule </w:t>
      </w:r>
      <w:r>
        <w:rPr>
          <w:rFonts w:ascii="Times New Roman" w:hAnsi="Times New Roman" w:cs="Times New Roman"/>
          <w:sz w:val="24"/>
          <w:szCs w:val="24"/>
        </w:rPr>
        <w:t xml:space="preserve">clarifies that </w:t>
      </w:r>
      <w:r w:rsidR="008D6802">
        <w:rPr>
          <w:rFonts w:ascii="Times New Roman" w:hAnsi="Times New Roman" w:cs="Times New Roman"/>
          <w:sz w:val="24"/>
          <w:szCs w:val="24"/>
        </w:rPr>
        <w:t xml:space="preserve">evidence of </w:t>
      </w:r>
      <w:r w:rsidR="006E31F6">
        <w:rPr>
          <w:rFonts w:ascii="Times New Roman" w:hAnsi="Times New Roman" w:cs="Times New Roman"/>
          <w:sz w:val="24"/>
          <w:szCs w:val="24"/>
        </w:rPr>
        <w:t>the creditworthiness</w:t>
      </w:r>
      <w:r w:rsidR="008D6802">
        <w:rPr>
          <w:rFonts w:ascii="Times New Roman" w:hAnsi="Times New Roman" w:cs="Times New Roman"/>
          <w:sz w:val="24"/>
          <w:szCs w:val="24"/>
        </w:rPr>
        <w:t xml:space="preserve"> of an entity,</w:t>
      </w:r>
      <w:r w:rsidR="006E31F6">
        <w:rPr>
          <w:rFonts w:ascii="Times New Roman" w:hAnsi="Times New Roman" w:cs="Times New Roman"/>
          <w:sz w:val="24"/>
          <w:szCs w:val="24"/>
        </w:rPr>
        <w:t xml:space="preserve"> including </w:t>
      </w:r>
      <w:r>
        <w:rPr>
          <w:rFonts w:ascii="Times New Roman" w:hAnsi="Times New Roman" w:cs="Times New Roman"/>
          <w:sz w:val="24"/>
          <w:szCs w:val="24"/>
        </w:rPr>
        <w:t xml:space="preserve">the </w:t>
      </w:r>
      <w:r w:rsidRPr="00537DE3">
        <w:rPr>
          <w:rFonts w:ascii="Times New Roman" w:hAnsi="Times New Roman" w:cs="Times New Roman"/>
          <w:sz w:val="24"/>
          <w:szCs w:val="24"/>
        </w:rPr>
        <w:t xml:space="preserve">investment </w:t>
      </w:r>
      <w:r w:rsidR="0054706B" w:rsidRPr="00537DE3">
        <w:rPr>
          <w:rFonts w:ascii="Times New Roman" w:hAnsi="Times New Roman" w:cs="Times New Roman"/>
          <w:sz w:val="24"/>
          <w:szCs w:val="24"/>
        </w:rPr>
        <w:t>grade credit</w:t>
      </w:r>
      <w:r w:rsidRPr="00537DE3">
        <w:rPr>
          <w:rFonts w:ascii="Times New Roman" w:hAnsi="Times New Roman" w:cs="Times New Roman"/>
          <w:sz w:val="24"/>
          <w:szCs w:val="24"/>
        </w:rPr>
        <w:t xml:space="preserve"> rating </w:t>
      </w:r>
      <w:r w:rsidR="008D6802">
        <w:rPr>
          <w:rFonts w:ascii="Times New Roman" w:hAnsi="Times New Roman" w:cs="Times New Roman"/>
          <w:sz w:val="24"/>
          <w:szCs w:val="24"/>
        </w:rPr>
        <w:t xml:space="preserve">(as defined under section 4 of the Rule) </w:t>
      </w:r>
      <w:r w:rsidRPr="00537DE3">
        <w:rPr>
          <w:rFonts w:ascii="Times New Roman" w:hAnsi="Times New Roman" w:cs="Times New Roman"/>
          <w:sz w:val="24"/>
          <w:szCs w:val="24"/>
        </w:rPr>
        <w:t>provided by a recognised ratings agency</w:t>
      </w:r>
      <w:r w:rsidR="008D6802">
        <w:rPr>
          <w:rFonts w:ascii="Times New Roman" w:hAnsi="Times New Roman" w:cs="Times New Roman"/>
          <w:sz w:val="24"/>
          <w:szCs w:val="24"/>
        </w:rPr>
        <w:t>,</w:t>
      </w:r>
      <w:r w:rsidRPr="00537DE3">
        <w:rPr>
          <w:rFonts w:ascii="Times New Roman" w:hAnsi="Times New Roman" w:cs="Times New Roman"/>
          <w:sz w:val="24"/>
          <w:szCs w:val="24"/>
        </w:rPr>
        <w:t xml:space="preserve"> </w:t>
      </w:r>
      <w:r>
        <w:rPr>
          <w:rFonts w:ascii="Times New Roman" w:hAnsi="Times New Roman" w:cs="Times New Roman"/>
          <w:sz w:val="24"/>
          <w:szCs w:val="24"/>
        </w:rPr>
        <w:t xml:space="preserve">is </w:t>
      </w:r>
      <w:r w:rsidR="00FD2A38">
        <w:rPr>
          <w:rFonts w:ascii="Times New Roman" w:hAnsi="Times New Roman" w:cs="Times New Roman"/>
          <w:sz w:val="24"/>
          <w:szCs w:val="24"/>
        </w:rPr>
        <w:t xml:space="preserve">accepted on its face (until proved otherwise) as </w:t>
      </w:r>
      <w:r w:rsidRPr="00537DE3">
        <w:rPr>
          <w:rFonts w:ascii="Times New Roman" w:hAnsi="Times New Roman" w:cs="Times New Roman"/>
          <w:sz w:val="24"/>
          <w:szCs w:val="24"/>
        </w:rPr>
        <w:t xml:space="preserve">evidence that security provided </w:t>
      </w:r>
      <w:r>
        <w:rPr>
          <w:rFonts w:ascii="Times New Roman" w:hAnsi="Times New Roman" w:cs="Times New Roman"/>
          <w:sz w:val="24"/>
          <w:szCs w:val="24"/>
        </w:rPr>
        <w:t>by the applicant as part of</w:t>
      </w:r>
      <w:r w:rsidRPr="00384D70">
        <w:rPr>
          <w:rFonts w:ascii="Times New Roman" w:hAnsi="Times New Roman" w:cs="Times New Roman"/>
          <w:sz w:val="24"/>
          <w:szCs w:val="24"/>
        </w:rPr>
        <w:t xml:space="preserve"> the</w:t>
      </w:r>
      <w:r>
        <w:rPr>
          <w:rFonts w:ascii="Times New Roman" w:hAnsi="Times New Roman" w:cs="Times New Roman"/>
          <w:sz w:val="24"/>
          <w:szCs w:val="24"/>
        </w:rPr>
        <w:t xml:space="preserve">ir </w:t>
      </w:r>
      <w:r w:rsidRPr="00537DE3">
        <w:rPr>
          <w:rFonts w:ascii="Times New Roman" w:hAnsi="Times New Roman" w:cs="Times New Roman"/>
          <w:sz w:val="24"/>
          <w:szCs w:val="24"/>
        </w:rPr>
        <w:t xml:space="preserve">FSSP </w:t>
      </w:r>
      <w:r w:rsidRPr="00384D70">
        <w:rPr>
          <w:rFonts w:ascii="Times New Roman" w:hAnsi="Times New Roman" w:cs="Times New Roman"/>
          <w:sz w:val="24"/>
          <w:szCs w:val="24"/>
        </w:rPr>
        <w:t xml:space="preserve">application is </w:t>
      </w:r>
      <w:r w:rsidR="00FD2A38">
        <w:rPr>
          <w:rFonts w:ascii="Times New Roman" w:hAnsi="Times New Roman" w:cs="Times New Roman"/>
          <w:sz w:val="24"/>
          <w:szCs w:val="24"/>
        </w:rPr>
        <w:t xml:space="preserve">both sufficient and </w:t>
      </w:r>
      <w:r w:rsidRPr="00384D70">
        <w:rPr>
          <w:rFonts w:ascii="Times New Roman" w:hAnsi="Times New Roman" w:cs="Times New Roman"/>
          <w:sz w:val="24"/>
          <w:szCs w:val="24"/>
        </w:rPr>
        <w:t>enforceable</w:t>
      </w:r>
      <w:r w:rsidRPr="00537DE3">
        <w:rPr>
          <w:rFonts w:ascii="Times New Roman" w:hAnsi="Times New Roman" w:cs="Times New Roman"/>
          <w:sz w:val="24"/>
          <w:szCs w:val="24"/>
        </w:rPr>
        <w:t>.</w:t>
      </w:r>
    </w:p>
    <w:p w:rsidR="00F11C69" w:rsidRDefault="003A4A62" w:rsidP="00552846">
      <w:pPr>
        <w:spacing w:before="240"/>
        <w:rPr>
          <w:rFonts w:ascii="Times New Roman" w:hAnsi="Times New Roman" w:cs="Times New Roman"/>
          <w:sz w:val="24"/>
          <w:szCs w:val="24"/>
        </w:rPr>
      </w:pPr>
      <w:r>
        <w:rPr>
          <w:rFonts w:ascii="Times New Roman" w:hAnsi="Times New Roman" w:cs="Times New Roman"/>
          <w:sz w:val="24"/>
          <w:szCs w:val="24"/>
        </w:rPr>
        <w:t>Any decision to refuse an application is a reviewable decision under Part 5 of the Act.</w:t>
      </w:r>
    </w:p>
    <w:p w:rsidR="00C22158" w:rsidRPr="00C22158" w:rsidRDefault="00C22158" w:rsidP="000D0E22">
      <w:pPr>
        <w:spacing w:before="240" w:after="240"/>
        <w:rPr>
          <w:rFonts w:ascii="Times New Roman" w:hAnsi="Times New Roman" w:cs="Times New Roman"/>
          <w:caps/>
          <w:sz w:val="24"/>
          <w:szCs w:val="24"/>
        </w:rPr>
      </w:pPr>
      <w:r>
        <w:rPr>
          <w:rFonts w:ascii="Times New Roman" w:hAnsi="Times New Roman" w:cs="Times New Roman"/>
          <w:b/>
          <w:sz w:val="24"/>
          <w:szCs w:val="24"/>
        </w:rPr>
        <w:t>PART 4</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C22158">
        <w:t xml:space="preserve"> </w:t>
      </w:r>
      <w:r w:rsidRPr="00C22158">
        <w:rPr>
          <w:rFonts w:ascii="Times New Roman" w:hAnsi="Times New Roman" w:cs="Times New Roman"/>
          <w:b/>
          <w:caps/>
          <w:sz w:val="24"/>
          <w:szCs w:val="24"/>
        </w:rPr>
        <w:t>Commitment periods</w:t>
      </w:r>
    </w:p>
    <w:p w:rsidR="00C22158" w:rsidRDefault="00C22158" w:rsidP="00666C28">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9</w:t>
      </w:r>
      <w:r w:rsidRPr="00366EF0">
        <w:rPr>
          <w:rFonts w:ascii="Times New Roman" w:hAnsi="Times New Roman" w:cs="Times New Roman"/>
          <w:b/>
          <w:sz w:val="24"/>
          <w:szCs w:val="24"/>
        </w:rPr>
        <w:t xml:space="preserve"> –</w:t>
      </w:r>
      <w:r w:rsidRPr="00C22158">
        <w:rPr>
          <w:rFonts w:ascii="Times New Roman" w:eastAsia="Calibri" w:hAnsi="Times New Roman" w:cs="Times New Roman"/>
          <w:szCs w:val="20"/>
        </w:rPr>
        <w:t xml:space="preserve"> </w:t>
      </w:r>
      <w:r w:rsidRPr="00C22158">
        <w:rPr>
          <w:rFonts w:ascii="Times New Roman" w:hAnsi="Times New Roman" w:cs="Times New Roman"/>
          <w:b/>
          <w:sz w:val="24"/>
          <w:szCs w:val="24"/>
        </w:rPr>
        <w:t>Initial commitment period</w:t>
      </w:r>
    </w:p>
    <w:p w:rsidR="00C22158" w:rsidRDefault="00A4328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w:t>
      </w:r>
      <w:r w:rsidRPr="00A43285">
        <w:rPr>
          <w:rFonts w:ascii="Times New Roman" w:hAnsi="Times New Roman" w:cs="Times New Roman"/>
          <w:sz w:val="24"/>
          <w:szCs w:val="24"/>
        </w:rPr>
        <w:t xml:space="preserve">paragraph 41(1)(a) of the Act, </w:t>
      </w:r>
      <w:r w:rsidR="004B46ED">
        <w:rPr>
          <w:rFonts w:ascii="Times New Roman" w:hAnsi="Times New Roman" w:cs="Times New Roman"/>
          <w:sz w:val="24"/>
          <w:szCs w:val="24"/>
        </w:rPr>
        <w:t>the period in which a</w:t>
      </w:r>
      <w:r w:rsidR="006702B2">
        <w:rPr>
          <w:rFonts w:ascii="Times New Roman" w:hAnsi="Times New Roman" w:cs="Times New Roman"/>
          <w:sz w:val="24"/>
          <w:szCs w:val="24"/>
        </w:rPr>
        <w:t>n applicant's origina</w:t>
      </w:r>
      <w:r w:rsidR="0028065C">
        <w:rPr>
          <w:rFonts w:ascii="Times New Roman" w:hAnsi="Times New Roman" w:cs="Times New Roman"/>
          <w:sz w:val="24"/>
          <w:szCs w:val="24"/>
        </w:rPr>
        <w:t>l</w:t>
      </w:r>
      <w:r w:rsidR="004B46ED">
        <w:rPr>
          <w:rFonts w:ascii="Times New Roman" w:hAnsi="Times New Roman" w:cs="Times New Roman"/>
          <w:sz w:val="24"/>
          <w:szCs w:val="24"/>
        </w:rPr>
        <w:t xml:space="preserve"> commitment period must end. Specifically, </w:t>
      </w:r>
      <w:r w:rsidRPr="00A43285">
        <w:rPr>
          <w:rFonts w:ascii="Times New Roman" w:hAnsi="Times New Roman" w:cs="Times New Roman"/>
          <w:sz w:val="24"/>
          <w:szCs w:val="24"/>
        </w:rPr>
        <w:t xml:space="preserve">a commitment period must end at the end of a quarter </w:t>
      </w:r>
      <w:r w:rsidR="0028065C" w:rsidRPr="0028065C">
        <w:rPr>
          <w:rFonts w:ascii="Times New Roman" w:hAnsi="Times New Roman" w:cs="Times New Roman"/>
          <w:sz w:val="24"/>
          <w:szCs w:val="24"/>
        </w:rPr>
        <w:t xml:space="preserve">requested by the applicant </w:t>
      </w:r>
      <w:r w:rsidR="0028065C">
        <w:rPr>
          <w:rFonts w:ascii="Times New Roman" w:hAnsi="Times New Roman" w:cs="Times New Roman"/>
          <w:sz w:val="24"/>
          <w:szCs w:val="24"/>
        </w:rPr>
        <w:t xml:space="preserve">that is </w:t>
      </w:r>
      <w:r w:rsidRPr="00A43285">
        <w:rPr>
          <w:rFonts w:ascii="Times New Roman" w:hAnsi="Times New Roman" w:cs="Times New Roman"/>
          <w:sz w:val="24"/>
          <w:szCs w:val="24"/>
        </w:rPr>
        <w:t>from</w:t>
      </w:r>
      <w:r w:rsidR="0028065C">
        <w:rPr>
          <w:rFonts w:ascii="Times New Roman" w:hAnsi="Times New Roman" w:cs="Times New Roman"/>
          <w:sz w:val="24"/>
          <w:szCs w:val="24"/>
        </w:rPr>
        <w:t xml:space="preserve"> 30 June 2027 to 30 June 2030</w:t>
      </w:r>
      <w:r w:rsidRPr="00A43285">
        <w:rPr>
          <w:rFonts w:ascii="Times New Roman" w:hAnsi="Times New Roman" w:cs="Times New Roman"/>
          <w:sz w:val="24"/>
          <w:szCs w:val="24"/>
        </w:rPr>
        <w:t>.</w:t>
      </w:r>
      <w:r w:rsidR="0028065C" w:rsidRPr="00D27C3E">
        <w:rPr>
          <w:rFonts w:ascii="Times New Roman" w:hAnsi="Times New Roman" w:cs="Times New Roman"/>
          <w:sz w:val="24"/>
          <w:szCs w:val="24"/>
        </w:rPr>
        <w:t xml:space="preserve"> This reflects the policy intention that</w:t>
      </w:r>
      <w:r w:rsidR="006702B2">
        <w:rPr>
          <w:rFonts w:ascii="Times New Roman" w:hAnsi="Times New Roman" w:cs="Times New Roman"/>
          <w:sz w:val="24"/>
          <w:szCs w:val="24"/>
        </w:rPr>
        <w:t>, to be eligible for the FSSP,</w:t>
      </w:r>
      <w:r w:rsidR="0028065C" w:rsidRPr="00D27C3E">
        <w:rPr>
          <w:rFonts w:ascii="Times New Roman" w:hAnsi="Times New Roman" w:cs="Times New Roman"/>
          <w:sz w:val="24"/>
          <w:szCs w:val="24"/>
        </w:rPr>
        <w:t xml:space="preserve"> refinery operators must commit to refine FSSP fuel at a committed refinery </w:t>
      </w:r>
      <w:r w:rsidR="007B2E3A">
        <w:rPr>
          <w:rFonts w:ascii="Times New Roman" w:hAnsi="Times New Roman" w:cs="Times New Roman"/>
          <w:sz w:val="24"/>
          <w:szCs w:val="24"/>
        </w:rPr>
        <w:t xml:space="preserve">in Australia </w:t>
      </w:r>
      <w:r w:rsidR="0028065C" w:rsidRPr="00D27C3E">
        <w:rPr>
          <w:rFonts w:ascii="Times New Roman" w:hAnsi="Times New Roman" w:cs="Times New Roman"/>
          <w:sz w:val="24"/>
          <w:szCs w:val="24"/>
        </w:rPr>
        <w:t>until at least 30 June 2027</w:t>
      </w:r>
      <w:r w:rsidR="006702B2">
        <w:rPr>
          <w:rFonts w:ascii="Times New Roman" w:hAnsi="Times New Roman" w:cs="Times New Roman"/>
          <w:sz w:val="24"/>
          <w:szCs w:val="24"/>
        </w:rPr>
        <w:t xml:space="preserve"> (see also paragraph 41(1)(b) of the Act)</w:t>
      </w:r>
      <w:r w:rsidR="0028065C" w:rsidRPr="00D27C3E">
        <w:rPr>
          <w:rFonts w:ascii="Times New Roman" w:hAnsi="Times New Roman" w:cs="Times New Roman"/>
          <w:sz w:val="24"/>
          <w:szCs w:val="24"/>
        </w:rPr>
        <w:t xml:space="preserve"> and</w:t>
      </w:r>
      <w:r w:rsidR="0051237B">
        <w:rPr>
          <w:rFonts w:ascii="Times New Roman" w:hAnsi="Times New Roman" w:cs="Times New Roman"/>
          <w:sz w:val="24"/>
          <w:szCs w:val="24"/>
        </w:rPr>
        <w:t>,</w:t>
      </w:r>
      <w:r w:rsidR="0028065C" w:rsidRPr="00D27C3E">
        <w:rPr>
          <w:rFonts w:ascii="Times New Roman" w:hAnsi="Times New Roman" w:cs="Times New Roman"/>
          <w:sz w:val="24"/>
          <w:szCs w:val="24"/>
        </w:rPr>
        <w:t xml:space="preserve"> </w:t>
      </w:r>
      <w:r w:rsidR="00A45E52">
        <w:rPr>
          <w:rFonts w:ascii="Times New Roman" w:hAnsi="Times New Roman" w:cs="Times New Roman"/>
          <w:sz w:val="24"/>
          <w:szCs w:val="24"/>
        </w:rPr>
        <w:t>alternatively</w:t>
      </w:r>
      <w:r w:rsidR="0051237B">
        <w:rPr>
          <w:rFonts w:ascii="Times New Roman" w:hAnsi="Times New Roman" w:cs="Times New Roman"/>
          <w:sz w:val="24"/>
          <w:szCs w:val="24"/>
        </w:rPr>
        <w:t>,</w:t>
      </w:r>
      <w:r w:rsidR="00A45E52">
        <w:rPr>
          <w:rFonts w:ascii="Times New Roman" w:hAnsi="Times New Roman" w:cs="Times New Roman"/>
          <w:sz w:val="24"/>
          <w:szCs w:val="24"/>
        </w:rPr>
        <w:t xml:space="preserve"> </w:t>
      </w:r>
      <w:r w:rsidR="00D27C3E">
        <w:rPr>
          <w:rFonts w:ascii="Times New Roman" w:hAnsi="Times New Roman" w:cs="Times New Roman"/>
          <w:sz w:val="24"/>
          <w:szCs w:val="24"/>
        </w:rPr>
        <w:t>may choose to commit to a longer period up to</w:t>
      </w:r>
      <w:r w:rsidR="0028065C" w:rsidRPr="00D27C3E">
        <w:rPr>
          <w:rFonts w:ascii="Times New Roman" w:hAnsi="Times New Roman" w:cs="Times New Roman"/>
          <w:sz w:val="24"/>
          <w:szCs w:val="24"/>
        </w:rPr>
        <w:t xml:space="preserve"> 30 June 2030.</w:t>
      </w:r>
      <w:r w:rsidR="00D27C3E">
        <w:rPr>
          <w:rFonts w:ascii="Times New Roman" w:hAnsi="Times New Roman" w:cs="Times New Roman"/>
          <w:sz w:val="24"/>
          <w:szCs w:val="24"/>
        </w:rPr>
        <w:t xml:space="preserve"> The latter date reflects the time limitation applying to the special appropriation for the FSSP scheme established under section 58 of the Act.</w:t>
      </w:r>
    </w:p>
    <w:p w:rsidR="003A4A62" w:rsidRDefault="003A4A62" w:rsidP="000D0E22">
      <w:pPr>
        <w:spacing w:before="240" w:after="240"/>
        <w:rPr>
          <w:rFonts w:ascii="Times New Roman" w:hAnsi="Times New Roman" w:cs="Times New Roman"/>
          <w:sz w:val="24"/>
          <w:szCs w:val="24"/>
        </w:rPr>
      </w:pPr>
      <w:r>
        <w:rPr>
          <w:rFonts w:ascii="Times New Roman" w:hAnsi="Times New Roman" w:cs="Times New Roman"/>
          <w:sz w:val="24"/>
          <w:szCs w:val="24"/>
        </w:rPr>
        <w:t>The decision to set a commitment period is a reviewable decision under Part 5 of the Act.</w:t>
      </w:r>
    </w:p>
    <w:p w:rsidR="00BD5CFF" w:rsidRDefault="00BD5CFF">
      <w:pPr>
        <w:rPr>
          <w:rFonts w:ascii="Times New Roman" w:hAnsi="Times New Roman" w:cs="Times New Roman"/>
          <w:b/>
          <w:sz w:val="24"/>
          <w:szCs w:val="24"/>
        </w:rPr>
      </w:pPr>
      <w:r>
        <w:rPr>
          <w:rFonts w:ascii="Times New Roman" w:hAnsi="Times New Roman" w:cs="Times New Roman"/>
          <w:b/>
          <w:sz w:val="24"/>
          <w:szCs w:val="24"/>
        </w:rPr>
        <w:br w:type="page"/>
      </w:r>
    </w:p>
    <w:p w:rsidR="00C22158" w:rsidRDefault="00C22158" w:rsidP="00666C28">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lastRenderedPageBreak/>
        <w:t xml:space="preserve">Section </w:t>
      </w:r>
      <w:r>
        <w:rPr>
          <w:rFonts w:ascii="Times New Roman" w:hAnsi="Times New Roman" w:cs="Times New Roman"/>
          <w:b/>
          <w:sz w:val="24"/>
          <w:szCs w:val="24"/>
        </w:rPr>
        <w:t>10</w:t>
      </w:r>
      <w:r w:rsidRPr="00366EF0">
        <w:rPr>
          <w:rFonts w:ascii="Times New Roman" w:hAnsi="Times New Roman" w:cs="Times New Roman"/>
          <w:b/>
          <w:sz w:val="24"/>
          <w:szCs w:val="24"/>
        </w:rPr>
        <w:t xml:space="preserve"> –</w:t>
      </w:r>
      <w:r w:rsidRPr="00C22158">
        <w:rPr>
          <w:rFonts w:ascii="Times New Roman" w:eastAsia="Calibri" w:hAnsi="Times New Roman" w:cs="Times New Roman"/>
          <w:szCs w:val="20"/>
        </w:rPr>
        <w:t xml:space="preserve"> </w:t>
      </w:r>
      <w:r w:rsidRPr="00C22158">
        <w:rPr>
          <w:rFonts w:ascii="Times New Roman" w:hAnsi="Times New Roman" w:cs="Times New Roman"/>
          <w:b/>
          <w:sz w:val="24"/>
          <w:szCs w:val="24"/>
        </w:rPr>
        <w:t xml:space="preserve">Variation </w:t>
      </w:r>
      <w:r w:rsidR="00EA7012" w:rsidRPr="00EA7012">
        <w:rPr>
          <w:rFonts w:ascii="Times New Roman" w:hAnsi="Times New Roman" w:cs="Times New Roman"/>
          <w:b/>
          <w:sz w:val="24"/>
          <w:szCs w:val="24"/>
        </w:rPr>
        <w:t>or termination of</w:t>
      </w:r>
      <w:r w:rsidRPr="00C22158">
        <w:rPr>
          <w:rFonts w:ascii="Times New Roman" w:hAnsi="Times New Roman" w:cs="Times New Roman"/>
          <w:b/>
          <w:sz w:val="24"/>
          <w:szCs w:val="24"/>
        </w:rPr>
        <w:t xml:space="preserve"> commitment period</w:t>
      </w:r>
    </w:p>
    <w:p w:rsidR="006702B2" w:rsidRDefault="006702B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w:t>
      </w:r>
      <w:r w:rsidRPr="006702B2">
        <w:rPr>
          <w:rFonts w:ascii="Times New Roman" w:hAnsi="Times New Roman" w:cs="Times New Roman"/>
          <w:sz w:val="24"/>
          <w:szCs w:val="24"/>
        </w:rPr>
        <w:t>subsection 41(3) of the Act</w:t>
      </w:r>
      <w:r>
        <w:rPr>
          <w:rFonts w:ascii="Times New Roman" w:hAnsi="Times New Roman" w:cs="Times New Roman"/>
          <w:sz w:val="24"/>
          <w:szCs w:val="24"/>
        </w:rPr>
        <w:t xml:space="preserve">, the requirements applicable to a variation or termination of a person’s (i.e. refinery operator’s) </w:t>
      </w:r>
      <w:r w:rsidR="00A45E52">
        <w:rPr>
          <w:rFonts w:ascii="Times New Roman" w:hAnsi="Times New Roman" w:cs="Times New Roman"/>
          <w:sz w:val="24"/>
          <w:szCs w:val="24"/>
        </w:rPr>
        <w:t>origina</w:t>
      </w:r>
      <w:r>
        <w:rPr>
          <w:rFonts w:ascii="Times New Roman" w:hAnsi="Times New Roman" w:cs="Times New Roman"/>
          <w:sz w:val="24"/>
          <w:szCs w:val="24"/>
        </w:rPr>
        <w:t>l commitment period.</w:t>
      </w:r>
    </w:p>
    <w:p w:rsidR="0048249E" w:rsidRDefault="006702B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10(2) </w:t>
      </w:r>
      <w:r w:rsidR="00AD147F">
        <w:rPr>
          <w:rFonts w:ascii="Times New Roman" w:hAnsi="Times New Roman" w:cs="Times New Roman"/>
          <w:sz w:val="24"/>
          <w:szCs w:val="24"/>
        </w:rPr>
        <w:t>of the Rule</w:t>
      </w:r>
      <w:r>
        <w:rPr>
          <w:rFonts w:ascii="Times New Roman" w:hAnsi="Times New Roman" w:cs="Times New Roman"/>
          <w:sz w:val="24"/>
          <w:szCs w:val="24"/>
        </w:rPr>
        <w:t xml:space="preserve"> prescribes that an original</w:t>
      </w:r>
      <w:r w:rsidRPr="006702B2">
        <w:rPr>
          <w:rFonts w:ascii="Times New Roman" w:hAnsi="Times New Roman" w:cs="Times New Roman"/>
          <w:sz w:val="24"/>
          <w:szCs w:val="24"/>
        </w:rPr>
        <w:t xml:space="preserve"> commitment period may only be </w:t>
      </w:r>
      <w:r w:rsidR="00BD61D0">
        <w:rPr>
          <w:rFonts w:ascii="Times New Roman" w:hAnsi="Times New Roman" w:cs="Times New Roman"/>
          <w:sz w:val="24"/>
          <w:szCs w:val="24"/>
        </w:rPr>
        <w:t xml:space="preserve">varied or terminated in accordance with </w:t>
      </w:r>
      <w:r w:rsidR="0048249E">
        <w:rPr>
          <w:rFonts w:ascii="Times New Roman" w:hAnsi="Times New Roman" w:cs="Times New Roman"/>
          <w:sz w:val="24"/>
          <w:szCs w:val="24"/>
        </w:rPr>
        <w:t xml:space="preserve">the requirements under </w:t>
      </w:r>
      <w:r w:rsidR="00BD61D0">
        <w:rPr>
          <w:rFonts w:ascii="Times New Roman" w:hAnsi="Times New Roman" w:cs="Times New Roman"/>
          <w:sz w:val="24"/>
          <w:szCs w:val="24"/>
        </w:rPr>
        <w:t>subsections 10(3) and 10(4)</w:t>
      </w:r>
      <w:r w:rsidR="00471AF3">
        <w:rPr>
          <w:rFonts w:ascii="Times New Roman" w:hAnsi="Times New Roman" w:cs="Times New Roman"/>
          <w:sz w:val="24"/>
          <w:szCs w:val="24"/>
        </w:rPr>
        <w:t xml:space="preserve"> of the Rule</w:t>
      </w:r>
      <w:r w:rsidRPr="006702B2">
        <w:rPr>
          <w:rFonts w:ascii="Times New Roman" w:hAnsi="Times New Roman" w:cs="Times New Roman"/>
          <w:sz w:val="24"/>
          <w:szCs w:val="24"/>
        </w:rPr>
        <w:t>.</w:t>
      </w:r>
      <w:r>
        <w:rPr>
          <w:rFonts w:ascii="Times New Roman" w:hAnsi="Times New Roman" w:cs="Times New Roman"/>
          <w:sz w:val="24"/>
          <w:szCs w:val="24"/>
        </w:rPr>
        <w:t xml:space="preserve"> </w:t>
      </w:r>
    </w:p>
    <w:p w:rsidR="0048249E" w:rsidRDefault="0048249E"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10(3) </w:t>
      </w:r>
      <w:r w:rsidR="00471AF3">
        <w:rPr>
          <w:rFonts w:ascii="Times New Roman" w:hAnsi="Times New Roman" w:cs="Times New Roman"/>
          <w:sz w:val="24"/>
          <w:szCs w:val="24"/>
        </w:rPr>
        <w:t xml:space="preserve">of the Rule </w:t>
      </w:r>
      <w:r>
        <w:rPr>
          <w:rFonts w:ascii="Times New Roman" w:hAnsi="Times New Roman" w:cs="Times New Roman"/>
          <w:sz w:val="24"/>
          <w:szCs w:val="24"/>
        </w:rPr>
        <w:t xml:space="preserve">provides that the Minister must approve an application </w:t>
      </w:r>
      <w:r w:rsidR="007631E8">
        <w:rPr>
          <w:rFonts w:ascii="Times New Roman" w:hAnsi="Times New Roman" w:cs="Times New Roman"/>
          <w:sz w:val="24"/>
          <w:szCs w:val="24"/>
        </w:rPr>
        <w:t xml:space="preserve">requesting </w:t>
      </w:r>
      <w:r>
        <w:rPr>
          <w:rFonts w:ascii="Times New Roman" w:hAnsi="Times New Roman" w:cs="Times New Roman"/>
          <w:sz w:val="24"/>
          <w:szCs w:val="24"/>
        </w:rPr>
        <w:t>an</w:t>
      </w:r>
      <w:r w:rsidR="001501EC">
        <w:rPr>
          <w:rFonts w:ascii="Times New Roman" w:hAnsi="Times New Roman" w:cs="Times New Roman"/>
          <w:sz w:val="24"/>
          <w:szCs w:val="24"/>
        </w:rPr>
        <w:t xml:space="preserve"> </w:t>
      </w:r>
      <w:r>
        <w:rPr>
          <w:rFonts w:ascii="Times New Roman" w:hAnsi="Times New Roman" w:cs="Times New Roman"/>
          <w:sz w:val="24"/>
          <w:szCs w:val="24"/>
        </w:rPr>
        <w:t>extension of the commitment</w:t>
      </w:r>
      <w:r w:rsidR="0010245F">
        <w:rPr>
          <w:rFonts w:ascii="Times New Roman" w:hAnsi="Times New Roman" w:cs="Times New Roman"/>
          <w:sz w:val="24"/>
          <w:szCs w:val="24"/>
        </w:rPr>
        <w:t xml:space="preserve"> period</w:t>
      </w:r>
      <w:r w:rsidR="001501EC">
        <w:rPr>
          <w:rFonts w:ascii="Times New Roman" w:hAnsi="Times New Roman" w:cs="Times New Roman"/>
          <w:sz w:val="24"/>
          <w:szCs w:val="24"/>
        </w:rPr>
        <w:t xml:space="preserve"> to 30 June 2030</w:t>
      </w:r>
      <w:r>
        <w:rPr>
          <w:rFonts w:ascii="Times New Roman" w:hAnsi="Times New Roman" w:cs="Times New Roman"/>
          <w:sz w:val="24"/>
          <w:szCs w:val="24"/>
        </w:rPr>
        <w:t xml:space="preserve">, unless the Minister is satisfied that the applicant no longer </w:t>
      </w:r>
      <w:r w:rsidR="006956C3">
        <w:rPr>
          <w:rFonts w:ascii="Times New Roman" w:hAnsi="Times New Roman" w:cs="Times New Roman"/>
          <w:sz w:val="24"/>
          <w:szCs w:val="24"/>
        </w:rPr>
        <w:t>meets</w:t>
      </w:r>
      <w:r>
        <w:rPr>
          <w:rFonts w:ascii="Times New Roman" w:hAnsi="Times New Roman" w:cs="Times New Roman"/>
          <w:sz w:val="24"/>
          <w:szCs w:val="24"/>
        </w:rPr>
        <w:t xml:space="preserve"> the eligibility criteria under subsection 40(2) of the Act </w:t>
      </w:r>
      <w:r w:rsidR="006956C3">
        <w:rPr>
          <w:rFonts w:ascii="Times New Roman" w:hAnsi="Times New Roman" w:cs="Times New Roman"/>
          <w:sz w:val="24"/>
          <w:szCs w:val="24"/>
        </w:rPr>
        <w:t>(excluding the requirement under paragraph</w:t>
      </w:r>
      <w:r>
        <w:rPr>
          <w:rFonts w:ascii="Times New Roman" w:hAnsi="Times New Roman" w:cs="Times New Roman"/>
          <w:sz w:val="24"/>
          <w:szCs w:val="24"/>
        </w:rPr>
        <w:t xml:space="preserve"> 8</w:t>
      </w:r>
      <w:r w:rsidR="006956C3">
        <w:rPr>
          <w:rFonts w:ascii="Times New Roman" w:hAnsi="Times New Roman" w:cs="Times New Roman"/>
          <w:sz w:val="24"/>
          <w:szCs w:val="24"/>
        </w:rPr>
        <w:t>(2)(e) of</w:t>
      </w:r>
      <w:r>
        <w:rPr>
          <w:rFonts w:ascii="Times New Roman" w:hAnsi="Times New Roman" w:cs="Times New Roman"/>
          <w:sz w:val="24"/>
          <w:szCs w:val="24"/>
        </w:rPr>
        <w:t xml:space="preserve"> the Rule </w:t>
      </w:r>
      <w:r w:rsidR="006956C3">
        <w:rPr>
          <w:rFonts w:ascii="Times New Roman" w:hAnsi="Times New Roman" w:cs="Times New Roman"/>
          <w:sz w:val="24"/>
          <w:szCs w:val="24"/>
        </w:rPr>
        <w:t xml:space="preserve">that the applicant was not previously approved for the same refinery) </w:t>
      </w:r>
      <w:r>
        <w:rPr>
          <w:rFonts w:ascii="Times New Roman" w:hAnsi="Times New Roman" w:cs="Times New Roman"/>
          <w:sz w:val="24"/>
          <w:szCs w:val="24"/>
        </w:rPr>
        <w:t xml:space="preserve">at the time of applying for the extension. This </w:t>
      </w:r>
      <w:r w:rsidR="006956C3">
        <w:rPr>
          <w:rFonts w:ascii="Times New Roman" w:hAnsi="Times New Roman" w:cs="Times New Roman"/>
          <w:sz w:val="24"/>
          <w:szCs w:val="24"/>
        </w:rPr>
        <w:t xml:space="preserve">provision </w:t>
      </w:r>
      <w:r>
        <w:rPr>
          <w:rFonts w:ascii="Times New Roman" w:hAnsi="Times New Roman" w:cs="Times New Roman"/>
          <w:sz w:val="24"/>
          <w:szCs w:val="24"/>
        </w:rPr>
        <w:t>provide</w:t>
      </w:r>
      <w:r w:rsidR="005F612A">
        <w:rPr>
          <w:rFonts w:ascii="Times New Roman" w:hAnsi="Times New Roman" w:cs="Times New Roman"/>
          <w:sz w:val="24"/>
          <w:szCs w:val="24"/>
        </w:rPr>
        <w:t>s</w:t>
      </w:r>
      <w:r>
        <w:rPr>
          <w:rFonts w:ascii="Times New Roman" w:hAnsi="Times New Roman" w:cs="Times New Roman"/>
          <w:sz w:val="24"/>
          <w:szCs w:val="24"/>
        </w:rPr>
        <w:t xml:space="preserve"> certainty of the commitment period</w:t>
      </w:r>
      <w:r w:rsidR="005F612A">
        <w:rPr>
          <w:rFonts w:ascii="Times New Roman" w:hAnsi="Times New Roman" w:cs="Times New Roman"/>
          <w:sz w:val="24"/>
          <w:szCs w:val="24"/>
        </w:rPr>
        <w:t xml:space="preserve"> for applicants, and reflects the policy intent to support refiners to continue refining FSSP fuel within Australia for as long as possible</w:t>
      </w:r>
      <w:r w:rsidR="00AB62B0">
        <w:rPr>
          <w:rFonts w:ascii="Times New Roman" w:hAnsi="Times New Roman" w:cs="Times New Roman"/>
          <w:sz w:val="24"/>
          <w:szCs w:val="24"/>
        </w:rPr>
        <w:t>.</w:t>
      </w:r>
    </w:p>
    <w:p w:rsidR="00844B9A" w:rsidRDefault="006702B2" w:rsidP="00234BD7">
      <w:pPr>
        <w:spacing w:before="240" w:after="240"/>
        <w:rPr>
          <w:rStyle w:val="CommentReference"/>
        </w:rPr>
      </w:pPr>
      <w:r>
        <w:rPr>
          <w:rFonts w:ascii="Times New Roman" w:hAnsi="Times New Roman" w:cs="Times New Roman"/>
          <w:sz w:val="24"/>
          <w:szCs w:val="24"/>
        </w:rPr>
        <w:t xml:space="preserve">This </w:t>
      </w:r>
      <w:r w:rsidR="0048249E">
        <w:rPr>
          <w:rFonts w:ascii="Times New Roman" w:hAnsi="Times New Roman" w:cs="Times New Roman"/>
          <w:sz w:val="24"/>
          <w:szCs w:val="24"/>
        </w:rPr>
        <w:t xml:space="preserve">subsection also </w:t>
      </w:r>
      <w:r w:rsidR="005817E3">
        <w:rPr>
          <w:rFonts w:ascii="Times New Roman" w:hAnsi="Times New Roman" w:cs="Times New Roman"/>
          <w:sz w:val="24"/>
          <w:szCs w:val="24"/>
        </w:rPr>
        <w:t xml:space="preserve">reflects the policy intent that </w:t>
      </w:r>
      <w:r w:rsidR="0048249E">
        <w:rPr>
          <w:rFonts w:ascii="Times New Roman" w:hAnsi="Times New Roman" w:cs="Times New Roman"/>
          <w:sz w:val="24"/>
          <w:szCs w:val="24"/>
        </w:rPr>
        <w:t xml:space="preserve">refinery </w:t>
      </w:r>
      <w:r w:rsidR="0010245F">
        <w:rPr>
          <w:rFonts w:ascii="Times New Roman" w:hAnsi="Times New Roman" w:cs="Times New Roman"/>
          <w:sz w:val="24"/>
          <w:szCs w:val="24"/>
        </w:rPr>
        <w:t>operators</w:t>
      </w:r>
      <w:r>
        <w:rPr>
          <w:rFonts w:ascii="Times New Roman" w:hAnsi="Times New Roman" w:cs="Times New Roman"/>
          <w:sz w:val="24"/>
          <w:szCs w:val="24"/>
        </w:rPr>
        <w:t xml:space="preserve"> </w:t>
      </w:r>
      <w:r w:rsidR="00A45E52">
        <w:rPr>
          <w:rFonts w:ascii="Times New Roman" w:hAnsi="Times New Roman" w:cs="Times New Roman"/>
          <w:sz w:val="24"/>
          <w:szCs w:val="24"/>
        </w:rPr>
        <w:t xml:space="preserve">are limited in the number of </w:t>
      </w:r>
      <w:r w:rsidR="00BC10C2">
        <w:rPr>
          <w:rFonts w:ascii="Times New Roman" w:hAnsi="Times New Roman" w:cs="Times New Roman"/>
          <w:sz w:val="24"/>
          <w:szCs w:val="24"/>
        </w:rPr>
        <w:t xml:space="preserve">applications </w:t>
      </w:r>
      <w:r w:rsidR="00844B9A">
        <w:rPr>
          <w:rFonts w:ascii="Times New Roman" w:hAnsi="Times New Roman" w:cs="Times New Roman"/>
          <w:sz w:val="24"/>
          <w:szCs w:val="24"/>
        </w:rPr>
        <w:t xml:space="preserve">they may make </w:t>
      </w:r>
      <w:r w:rsidR="00BC10C2">
        <w:rPr>
          <w:rFonts w:ascii="Times New Roman" w:hAnsi="Times New Roman" w:cs="Times New Roman"/>
          <w:sz w:val="24"/>
          <w:szCs w:val="24"/>
        </w:rPr>
        <w:t xml:space="preserve">to extend their </w:t>
      </w:r>
      <w:r w:rsidR="00A45E52">
        <w:rPr>
          <w:rFonts w:ascii="Times New Roman" w:hAnsi="Times New Roman" w:cs="Times New Roman"/>
          <w:sz w:val="24"/>
          <w:szCs w:val="24"/>
        </w:rPr>
        <w:t>commitment period</w:t>
      </w:r>
      <w:r w:rsidR="00065139">
        <w:rPr>
          <w:rFonts w:ascii="Times New Roman" w:hAnsi="Times New Roman" w:cs="Times New Roman"/>
          <w:sz w:val="24"/>
          <w:szCs w:val="24"/>
        </w:rPr>
        <w:t xml:space="preserve"> (i</w:t>
      </w:r>
      <w:r w:rsidR="00030A89">
        <w:rPr>
          <w:rFonts w:ascii="Times New Roman" w:hAnsi="Times New Roman" w:cs="Times New Roman"/>
          <w:sz w:val="24"/>
          <w:szCs w:val="24"/>
        </w:rPr>
        <w:t>.</w:t>
      </w:r>
      <w:r w:rsidR="00065139">
        <w:rPr>
          <w:rFonts w:ascii="Times New Roman" w:hAnsi="Times New Roman" w:cs="Times New Roman"/>
          <w:sz w:val="24"/>
          <w:szCs w:val="24"/>
        </w:rPr>
        <w:t>e</w:t>
      </w:r>
      <w:r w:rsidR="00030A89">
        <w:rPr>
          <w:rFonts w:ascii="Times New Roman" w:hAnsi="Times New Roman" w:cs="Times New Roman"/>
          <w:sz w:val="24"/>
          <w:szCs w:val="24"/>
        </w:rPr>
        <w:t>.</w:t>
      </w:r>
      <w:r w:rsidR="00065139">
        <w:rPr>
          <w:rFonts w:ascii="Times New Roman" w:hAnsi="Times New Roman" w:cs="Times New Roman"/>
          <w:sz w:val="24"/>
          <w:szCs w:val="24"/>
        </w:rPr>
        <w:t xml:space="preserve"> they can only have one extension)</w:t>
      </w:r>
      <w:r w:rsidR="00A45E52">
        <w:rPr>
          <w:rFonts w:ascii="Times New Roman" w:hAnsi="Times New Roman" w:cs="Times New Roman"/>
          <w:sz w:val="24"/>
          <w:szCs w:val="24"/>
        </w:rPr>
        <w:t xml:space="preserve">. For example, if a refinery operator is </w:t>
      </w:r>
      <w:r w:rsidR="00BD2F23">
        <w:rPr>
          <w:rFonts w:ascii="Times New Roman" w:hAnsi="Times New Roman" w:cs="Times New Roman"/>
          <w:sz w:val="24"/>
          <w:szCs w:val="24"/>
        </w:rPr>
        <w:t xml:space="preserve">intending to cease refining FSSP fuel </w:t>
      </w:r>
      <w:r w:rsidR="00A45E52">
        <w:rPr>
          <w:rFonts w:ascii="Times New Roman" w:hAnsi="Times New Roman" w:cs="Times New Roman"/>
          <w:sz w:val="24"/>
          <w:szCs w:val="24"/>
        </w:rPr>
        <w:t>after the end of their original commitment period</w:t>
      </w:r>
      <w:r w:rsidR="0063523B">
        <w:rPr>
          <w:rFonts w:ascii="Times New Roman" w:hAnsi="Times New Roman" w:cs="Times New Roman"/>
          <w:sz w:val="24"/>
          <w:szCs w:val="24"/>
        </w:rPr>
        <w:t xml:space="preserve"> (i.e. a date before 30 June 2030)</w:t>
      </w:r>
      <w:r w:rsidR="00A45E52">
        <w:rPr>
          <w:rFonts w:ascii="Times New Roman" w:hAnsi="Times New Roman" w:cs="Times New Roman"/>
          <w:sz w:val="24"/>
          <w:szCs w:val="24"/>
        </w:rPr>
        <w:t xml:space="preserve">, they </w:t>
      </w:r>
      <w:r w:rsidR="00BD2F23">
        <w:rPr>
          <w:rFonts w:ascii="Times New Roman" w:hAnsi="Times New Roman" w:cs="Times New Roman"/>
          <w:sz w:val="24"/>
          <w:szCs w:val="24"/>
        </w:rPr>
        <w:t xml:space="preserve">cannot </w:t>
      </w:r>
      <w:r w:rsidR="00A45E52">
        <w:rPr>
          <w:rFonts w:ascii="Times New Roman" w:hAnsi="Times New Roman" w:cs="Times New Roman"/>
          <w:sz w:val="24"/>
          <w:szCs w:val="24"/>
        </w:rPr>
        <w:t>continually</w:t>
      </w:r>
      <w:r w:rsidR="00BD2F23">
        <w:rPr>
          <w:rFonts w:ascii="Times New Roman" w:hAnsi="Times New Roman" w:cs="Times New Roman"/>
          <w:sz w:val="24"/>
          <w:szCs w:val="24"/>
        </w:rPr>
        <w:t xml:space="preserve"> apply to extend their commitment period each quarter </w:t>
      </w:r>
      <w:r w:rsidR="00A45E52">
        <w:rPr>
          <w:rFonts w:ascii="Times New Roman" w:hAnsi="Times New Roman" w:cs="Times New Roman"/>
          <w:sz w:val="24"/>
          <w:szCs w:val="24"/>
        </w:rPr>
        <w:t xml:space="preserve">until </w:t>
      </w:r>
      <w:r w:rsidR="00BD2F23">
        <w:rPr>
          <w:rFonts w:ascii="Times New Roman" w:hAnsi="Times New Roman" w:cs="Times New Roman"/>
          <w:sz w:val="24"/>
          <w:szCs w:val="24"/>
        </w:rPr>
        <w:t xml:space="preserve">they </w:t>
      </w:r>
      <w:r w:rsidR="00A45E52">
        <w:rPr>
          <w:rFonts w:ascii="Times New Roman" w:hAnsi="Times New Roman" w:cs="Times New Roman"/>
          <w:sz w:val="24"/>
          <w:szCs w:val="24"/>
        </w:rPr>
        <w:t>ultimately</w:t>
      </w:r>
      <w:r w:rsidR="00BD2F23">
        <w:rPr>
          <w:rFonts w:ascii="Times New Roman" w:hAnsi="Times New Roman" w:cs="Times New Roman"/>
          <w:sz w:val="24"/>
          <w:szCs w:val="24"/>
        </w:rPr>
        <w:t xml:space="preserve"> cease refining operations</w:t>
      </w:r>
      <w:r w:rsidR="0048249E">
        <w:rPr>
          <w:rFonts w:ascii="Times New Roman" w:hAnsi="Times New Roman" w:cs="Times New Roman"/>
          <w:sz w:val="24"/>
          <w:szCs w:val="24"/>
        </w:rPr>
        <w:t>.</w:t>
      </w:r>
      <w:r w:rsidR="00A45E52">
        <w:rPr>
          <w:rFonts w:ascii="Times New Roman" w:hAnsi="Times New Roman" w:cs="Times New Roman"/>
          <w:sz w:val="24"/>
          <w:szCs w:val="24"/>
        </w:rPr>
        <w:t xml:space="preserve"> Rather, </w:t>
      </w:r>
      <w:r w:rsidR="005817E3">
        <w:rPr>
          <w:rFonts w:ascii="Times New Roman" w:hAnsi="Times New Roman" w:cs="Times New Roman"/>
          <w:sz w:val="24"/>
          <w:szCs w:val="24"/>
        </w:rPr>
        <w:t xml:space="preserve">under subsections 10(2) and (3), </w:t>
      </w:r>
      <w:r w:rsidR="00D94313">
        <w:rPr>
          <w:rFonts w:ascii="Times New Roman" w:hAnsi="Times New Roman" w:cs="Times New Roman"/>
          <w:sz w:val="24"/>
          <w:szCs w:val="24"/>
        </w:rPr>
        <w:t>a refinery operator</w:t>
      </w:r>
      <w:r w:rsidR="00A45E52">
        <w:rPr>
          <w:rFonts w:ascii="Times New Roman" w:hAnsi="Times New Roman" w:cs="Times New Roman"/>
          <w:sz w:val="24"/>
          <w:szCs w:val="24"/>
        </w:rPr>
        <w:t xml:space="preserve"> must either apply to extend their commitment period </w:t>
      </w:r>
      <w:r w:rsidR="0010245F">
        <w:rPr>
          <w:rFonts w:ascii="Times New Roman" w:hAnsi="Times New Roman" w:cs="Times New Roman"/>
          <w:sz w:val="24"/>
          <w:szCs w:val="24"/>
        </w:rPr>
        <w:t xml:space="preserve">to </w:t>
      </w:r>
      <w:r w:rsidR="00A45E52">
        <w:rPr>
          <w:rFonts w:ascii="Times New Roman" w:hAnsi="Times New Roman" w:cs="Times New Roman"/>
          <w:sz w:val="24"/>
          <w:szCs w:val="24"/>
        </w:rPr>
        <w:t xml:space="preserve">30 June 2030 or </w:t>
      </w:r>
      <w:r w:rsidR="00BC10C2">
        <w:rPr>
          <w:rFonts w:ascii="Times New Roman" w:hAnsi="Times New Roman" w:cs="Times New Roman"/>
          <w:sz w:val="24"/>
          <w:szCs w:val="24"/>
        </w:rPr>
        <w:t xml:space="preserve">be satisfied </w:t>
      </w:r>
      <w:r w:rsidR="00D94313">
        <w:rPr>
          <w:rFonts w:ascii="Times New Roman" w:hAnsi="Times New Roman" w:cs="Times New Roman"/>
          <w:sz w:val="24"/>
          <w:szCs w:val="24"/>
        </w:rPr>
        <w:t>they will</w:t>
      </w:r>
      <w:r w:rsidR="00BC10C2">
        <w:rPr>
          <w:rFonts w:ascii="Times New Roman" w:hAnsi="Times New Roman" w:cs="Times New Roman"/>
          <w:sz w:val="24"/>
          <w:szCs w:val="24"/>
        </w:rPr>
        <w:t xml:space="preserve"> </w:t>
      </w:r>
      <w:r w:rsidR="00A45E52">
        <w:rPr>
          <w:rFonts w:ascii="Times New Roman" w:hAnsi="Times New Roman" w:cs="Times New Roman"/>
          <w:sz w:val="24"/>
          <w:szCs w:val="24"/>
        </w:rPr>
        <w:t xml:space="preserve">cease participation in the </w:t>
      </w:r>
      <w:r w:rsidR="0063523B">
        <w:rPr>
          <w:rFonts w:ascii="Times New Roman" w:hAnsi="Times New Roman" w:cs="Times New Roman"/>
          <w:sz w:val="24"/>
          <w:szCs w:val="24"/>
        </w:rPr>
        <w:t xml:space="preserve">FSSP </w:t>
      </w:r>
      <w:r w:rsidR="00A45E52">
        <w:rPr>
          <w:rFonts w:ascii="Times New Roman" w:hAnsi="Times New Roman" w:cs="Times New Roman"/>
          <w:sz w:val="24"/>
          <w:szCs w:val="24"/>
        </w:rPr>
        <w:t xml:space="preserve">scheme from the end of their original commitment </w:t>
      </w:r>
      <w:r w:rsidR="0054706B">
        <w:rPr>
          <w:rFonts w:ascii="Times New Roman" w:hAnsi="Times New Roman" w:cs="Times New Roman"/>
          <w:sz w:val="24"/>
          <w:szCs w:val="24"/>
        </w:rPr>
        <w:t>period.</w:t>
      </w:r>
      <w:r w:rsidR="0054706B">
        <w:rPr>
          <w:rStyle w:val="CommentReference"/>
        </w:rPr>
        <w:t xml:space="preserve"> </w:t>
      </w:r>
    </w:p>
    <w:p w:rsidR="006F2BC7" w:rsidRDefault="0054706B" w:rsidP="00234BD7">
      <w:pPr>
        <w:spacing w:before="240" w:after="240"/>
        <w:rPr>
          <w:rFonts w:ascii="Times New Roman" w:hAnsi="Times New Roman" w:cs="Times New Roman"/>
          <w:sz w:val="24"/>
          <w:szCs w:val="24"/>
        </w:rPr>
      </w:pPr>
      <w:r w:rsidRPr="0005189B">
        <w:rPr>
          <w:rFonts w:ascii="Times New Roman" w:hAnsi="Times New Roman" w:cs="Times New Roman"/>
          <w:sz w:val="24"/>
          <w:szCs w:val="24"/>
        </w:rPr>
        <w:t>Subsection</w:t>
      </w:r>
      <w:r w:rsidR="00543F6D" w:rsidRPr="0005189B">
        <w:rPr>
          <w:rFonts w:ascii="Times New Roman" w:hAnsi="Times New Roman" w:cs="Times New Roman"/>
          <w:sz w:val="24"/>
          <w:szCs w:val="24"/>
        </w:rPr>
        <w:t xml:space="preserve"> </w:t>
      </w:r>
      <w:r w:rsidR="00543F6D">
        <w:rPr>
          <w:rFonts w:ascii="Times New Roman" w:hAnsi="Times New Roman" w:cs="Times New Roman"/>
          <w:sz w:val="24"/>
          <w:szCs w:val="24"/>
        </w:rPr>
        <w:t>10(</w:t>
      </w:r>
      <w:r w:rsidR="00BD61D0">
        <w:rPr>
          <w:rFonts w:ascii="Times New Roman" w:hAnsi="Times New Roman" w:cs="Times New Roman"/>
          <w:sz w:val="24"/>
          <w:szCs w:val="24"/>
        </w:rPr>
        <w:t>4</w:t>
      </w:r>
      <w:r w:rsidR="00543F6D">
        <w:rPr>
          <w:rFonts w:ascii="Times New Roman" w:hAnsi="Times New Roman" w:cs="Times New Roman"/>
          <w:sz w:val="24"/>
          <w:szCs w:val="24"/>
        </w:rPr>
        <w:t xml:space="preserve">) </w:t>
      </w:r>
      <w:r w:rsidR="00AD147F">
        <w:rPr>
          <w:rFonts w:ascii="Times New Roman" w:hAnsi="Times New Roman" w:cs="Times New Roman"/>
          <w:sz w:val="24"/>
          <w:szCs w:val="24"/>
        </w:rPr>
        <w:t xml:space="preserve">of the Rule </w:t>
      </w:r>
      <w:r w:rsidR="00543F6D">
        <w:rPr>
          <w:rFonts w:ascii="Times New Roman" w:hAnsi="Times New Roman" w:cs="Times New Roman"/>
          <w:sz w:val="24"/>
          <w:szCs w:val="24"/>
        </w:rPr>
        <w:t>provide</w:t>
      </w:r>
      <w:r w:rsidR="006F2BC7">
        <w:rPr>
          <w:rFonts w:ascii="Times New Roman" w:hAnsi="Times New Roman" w:cs="Times New Roman"/>
          <w:sz w:val="24"/>
          <w:szCs w:val="24"/>
        </w:rPr>
        <w:t>s</w:t>
      </w:r>
      <w:r w:rsidR="00543F6D">
        <w:rPr>
          <w:rFonts w:ascii="Times New Roman" w:hAnsi="Times New Roman" w:cs="Times New Roman"/>
          <w:sz w:val="24"/>
          <w:szCs w:val="24"/>
        </w:rPr>
        <w:t xml:space="preserve"> that a</w:t>
      </w:r>
      <w:r w:rsidR="00543F6D" w:rsidRPr="00543F6D">
        <w:rPr>
          <w:rFonts w:ascii="Times New Roman" w:hAnsi="Times New Roman" w:cs="Times New Roman"/>
          <w:sz w:val="24"/>
          <w:szCs w:val="24"/>
        </w:rPr>
        <w:t xml:space="preserve"> commitment period must be terminated or varied to a date earlier than </w:t>
      </w:r>
      <w:r w:rsidR="00EF13DE">
        <w:rPr>
          <w:rFonts w:ascii="Times New Roman" w:hAnsi="Times New Roman" w:cs="Times New Roman"/>
          <w:sz w:val="24"/>
          <w:szCs w:val="24"/>
        </w:rPr>
        <w:t xml:space="preserve">was </w:t>
      </w:r>
      <w:r w:rsidR="00543F6D">
        <w:rPr>
          <w:rFonts w:ascii="Times New Roman" w:hAnsi="Times New Roman" w:cs="Times New Roman"/>
          <w:sz w:val="24"/>
          <w:szCs w:val="24"/>
        </w:rPr>
        <w:t xml:space="preserve">originally notified </w:t>
      </w:r>
      <w:r w:rsidR="004A36EB">
        <w:rPr>
          <w:rFonts w:ascii="Times New Roman" w:hAnsi="Times New Roman" w:cs="Times New Roman"/>
          <w:sz w:val="24"/>
          <w:szCs w:val="24"/>
        </w:rPr>
        <w:t xml:space="preserve">(i.e. the general rule) </w:t>
      </w:r>
      <w:r w:rsidR="00E66EEF">
        <w:rPr>
          <w:rFonts w:ascii="Times New Roman" w:hAnsi="Times New Roman" w:cs="Times New Roman"/>
          <w:sz w:val="24"/>
          <w:szCs w:val="24"/>
        </w:rPr>
        <w:t xml:space="preserve">only </w:t>
      </w:r>
      <w:r w:rsidR="00BD61D0">
        <w:rPr>
          <w:rFonts w:ascii="Times New Roman" w:hAnsi="Times New Roman" w:cs="Times New Roman"/>
          <w:sz w:val="24"/>
          <w:szCs w:val="24"/>
        </w:rPr>
        <w:t xml:space="preserve">if the Minister is satisfied that </w:t>
      </w:r>
      <w:r w:rsidR="0022627A">
        <w:rPr>
          <w:rFonts w:ascii="Times New Roman" w:hAnsi="Times New Roman" w:cs="Times New Roman"/>
          <w:sz w:val="24"/>
          <w:szCs w:val="24"/>
        </w:rPr>
        <w:t>one of the following limited scenarios applies</w:t>
      </w:r>
      <w:r w:rsidR="006F2BC7">
        <w:rPr>
          <w:rFonts w:ascii="Times New Roman" w:hAnsi="Times New Roman" w:cs="Times New Roman"/>
          <w:sz w:val="24"/>
          <w:szCs w:val="24"/>
        </w:rPr>
        <w:t>:</w:t>
      </w:r>
    </w:p>
    <w:p w:rsidR="004A36EB" w:rsidRDefault="0022627A" w:rsidP="004A36EB">
      <w:pPr>
        <w:pStyle w:val="ListParagraph"/>
        <w:numPr>
          <w:ilvl w:val="0"/>
          <w:numId w:val="9"/>
        </w:numPr>
        <w:spacing w:before="240" w:after="240"/>
        <w:rPr>
          <w:rFonts w:ascii="Times New Roman" w:hAnsi="Times New Roman" w:cs="Times New Roman"/>
          <w:sz w:val="24"/>
          <w:szCs w:val="24"/>
        </w:rPr>
      </w:pPr>
      <w:r w:rsidRPr="004A36EB">
        <w:rPr>
          <w:rFonts w:ascii="Times New Roman" w:hAnsi="Times New Roman" w:cs="Times New Roman"/>
          <w:sz w:val="24"/>
          <w:szCs w:val="24"/>
        </w:rPr>
        <w:t>If a force majeure</w:t>
      </w:r>
      <w:r w:rsidR="007631E8">
        <w:rPr>
          <w:rFonts w:ascii="Times New Roman" w:hAnsi="Times New Roman" w:cs="Times New Roman"/>
          <w:sz w:val="24"/>
          <w:szCs w:val="24"/>
        </w:rPr>
        <w:t xml:space="preserve"> event</w:t>
      </w:r>
      <w:r w:rsidRPr="004A36EB">
        <w:rPr>
          <w:rFonts w:ascii="Times New Roman" w:hAnsi="Times New Roman" w:cs="Times New Roman"/>
          <w:sz w:val="24"/>
          <w:szCs w:val="24"/>
        </w:rPr>
        <w:t xml:space="preserve"> or material adverse change has occurred, which has caused the </w:t>
      </w:r>
      <w:r w:rsidR="00BD61D0">
        <w:rPr>
          <w:rFonts w:ascii="Times New Roman" w:hAnsi="Times New Roman" w:cs="Times New Roman"/>
          <w:sz w:val="24"/>
          <w:szCs w:val="24"/>
        </w:rPr>
        <w:t xml:space="preserve">committed </w:t>
      </w:r>
      <w:r w:rsidRPr="004A36EB">
        <w:rPr>
          <w:rFonts w:ascii="Times New Roman" w:hAnsi="Times New Roman" w:cs="Times New Roman"/>
          <w:sz w:val="24"/>
          <w:szCs w:val="24"/>
        </w:rPr>
        <w:t xml:space="preserve">refinery to </w:t>
      </w:r>
      <w:r w:rsidR="004A36EB" w:rsidRPr="004A36EB">
        <w:rPr>
          <w:rFonts w:ascii="Times New Roman" w:hAnsi="Times New Roman" w:cs="Times New Roman"/>
          <w:sz w:val="24"/>
          <w:szCs w:val="24"/>
        </w:rPr>
        <w:t>cease operations because they are</w:t>
      </w:r>
      <w:r w:rsidRPr="004A36EB">
        <w:rPr>
          <w:rFonts w:ascii="Times New Roman" w:hAnsi="Times New Roman" w:cs="Times New Roman"/>
          <w:sz w:val="24"/>
          <w:szCs w:val="24"/>
        </w:rPr>
        <w:t xml:space="preserve"> commercially or operationally unviable, all i</w:t>
      </w:r>
      <w:r w:rsidR="00543F6D" w:rsidRPr="004A36EB">
        <w:rPr>
          <w:rFonts w:ascii="Times New Roman" w:hAnsi="Times New Roman" w:cs="Times New Roman"/>
          <w:sz w:val="24"/>
          <w:szCs w:val="24"/>
        </w:rPr>
        <w:t xml:space="preserve">nformation required to be reported by section 17 </w:t>
      </w:r>
      <w:r w:rsidR="00AD147F">
        <w:rPr>
          <w:rFonts w:ascii="Times New Roman" w:hAnsi="Times New Roman" w:cs="Times New Roman"/>
          <w:sz w:val="24"/>
          <w:szCs w:val="24"/>
        </w:rPr>
        <w:t xml:space="preserve">of the Rule </w:t>
      </w:r>
      <w:r w:rsidRPr="004A36EB">
        <w:rPr>
          <w:rFonts w:ascii="Times New Roman" w:hAnsi="Times New Roman" w:cs="Times New Roman"/>
          <w:sz w:val="24"/>
          <w:szCs w:val="24"/>
        </w:rPr>
        <w:t>must be pro</w:t>
      </w:r>
      <w:r w:rsidR="00543F6D" w:rsidRPr="004A36EB">
        <w:rPr>
          <w:rFonts w:ascii="Times New Roman" w:hAnsi="Times New Roman" w:cs="Times New Roman"/>
          <w:sz w:val="24"/>
          <w:szCs w:val="24"/>
        </w:rPr>
        <w:t>vided to the Minister</w:t>
      </w:r>
      <w:r w:rsidR="00207DB6">
        <w:rPr>
          <w:rFonts w:ascii="Times New Roman" w:hAnsi="Times New Roman" w:cs="Times New Roman"/>
          <w:sz w:val="24"/>
          <w:szCs w:val="24"/>
        </w:rPr>
        <w:t>.</w:t>
      </w:r>
      <w:r w:rsidR="006F2BC7" w:rsidRPr="004A36EB">
        <w:rPr>
          <w:rFonts w:ascii="Times New Roman" w:hAnsi="Times New Roman" w:cs="Times New Roman"/>
          <w:sz w:val="24"/>
          <w:szCs w:val="24"/>
        </w:rPr>
        <w:t xml:space="preserve"> </w:t>
      </w:r>
      <w:r w:rsidR="00207DB6">
        <w:rPr>
          <w:rFonts w:ascii="Times New Roman" w:hAnsi="Times New Roman" w:cs="Times New Roman"/>
          <w:sz w:val="24"/>
          <w:szCs w:val="24"/>
        </w:rPr>
        <w:t>T</w:t>
      </w:r>
      <w:r w:rsidR="006F2BC7" w:rsidRPr="004A36EB">
        <w:rPr>
          <w:rFonts w:ascii="Times New Roman" w:hAnsi="Times New Roman" w:cs="Times New Roman"/>
          <w:sz w:val="24"/>
          <w:szCs w:val="24"/>
        </w:rPr>
        <w:t xml:space="preserve">he Minister </w:t>
      </w:r>
      <w:r w:rsidRPr="004A36EB">
        <w:rPr>
          <w:rFonts w:ascii="Times New Roman" w:hAnsi="Times New Roman" w:cs="Times New Roman"/>
          <w:sz w:val="24"/>
          <w:szCs w:val="24"/>
        </w:rPr>
        <w:t>must be</w:t>
      </w:r>
      <w:r w:rsidR="006F2BC7" w:rsidRPr="004A36EB">
        <w:rPr>
          <w:rFonts w:ascii="Times New Roman" w:hAnsi="Times New Roman" w:cs="Times New Roman"/>
          <w:sz w:val="24"/>
          <w:szCs w:val="24"/>
        </w:rPr>
        <w:t xml:space="preserve"> satisfied </w:t>
      </w:r>
      <w:r w:rsidRPr="004A36EB">
        <w:rPr>
          <w:rFonts w:ascii="Times New Roman" w:hAnsi="Times New Roman" w:cs="Times New Roman"/>
          <w:sz w:val="24"/>
          <w:szCs w:val="24"/>
        </w:rPr>
        <w:t xml:space="preserve">that </w:t>
      </w:r>
      <w:r w:rsidR="006F2BC7" w:rsidRPr="004A36EB">
        <w:rPr>
          <w:rFonts w:ascii="Times New Roman" w:hAnsi="Times New Roman" w:cs="Times New Roman"/>
          <w:sz w:val="24"/>
          <w:szCs w:val="24"/>
        </w:rPr>
        <w:t xml:space="preserve">no repayment would be required under section 20 </w:t>
      </w:r>
      <w:r w:rsidR="00AD147F">
        <w:rPr>
          <w:rFonts w:ascii="Times New Roman" w:hAnsi="Times New Roman" w:cs="Times New Roman"/>
          <w:sz w:val="24"/>
          <w:szCs w:val="24"/>
        </w:rPr>
        <w:t xml:space="preserve">of the Rule </w:t>
      </w:r>
      <w:r w:rsidR="006F2BC7" w:rsidRPr="004A36EB">
        <w:rPr>
          <w:rFonts w:ascii="Times New Roman" w:hAnsi="Times New Roman" w:cs="Times New Roman"/>
          <w:sz w:val="24"/>
          <w:szCs w:val="24"/>
        </w:rPr>
        <w:t xml:space="preserve">if the refinery closed on the </w:t>
      </w:r>
      <w:r w:rsidR="00DA0FC4" w:rsidRPr="004A36EB">
        <w:rPr>
          <w:rFonts w:ascii="Times New Roman" w:hAnsi="Times New Roman" w:cs="Times New Roman"/>
          <w:sz w:val="24"/>
          <w:szCs w:val="24"/>
        </w:rPr>
        <w:t xml:space="preserve">proposed </w:t>
      </w:r>
      <w:r w:rsidR="006F2BC7" w:rsidRPr="004A36EB">
        <w:rPr>
          <w:rFonts w:ascii="Times New Roman" w:hAnsi="Times New Roman" w:cs="Times New Roman"/>
          <w:sz w:val="24"/>
          <w:szCs w:val="24"/>
        </w:rPr>
        <w:t>varied or terminated end date</w:t>
      </w:r>
      <w:r w:rsidR="004A36EB" w:rsidRPr="004A36EB">
        <w:rPr>
          <w:rFonts w:ascii="Times New Roman" w:hAnsi="Times New Roman" w:cs="Times New Roman"/>
          <w:sz w:val="24"/>
          <w:szCs w:val="24"/>
        </w:rPr>
        <w:t>.</w:t>
      </w:r>
      <w:r w:rsidR="004A36EB">
        <w:rPr>
          <w:rFonts w:ascii="Times New Roman" w:hAnsi="Times New Roman" w:cs="Times New Roman"/>
          <w:sz w:val="24"/>
          <w:szCs w:val="24"/>
        </w:rPr>
        <w:t xml:space="preserve"> </w:t>
      </w:r>
    </w:p>
    <w:p w:rsidR="004A36EB" w:rsidRPr="004A36EB" w:rsidRDefault="004A36EB" w:rsidP="004A36EB">
      <w:pPr>
        <w:spacing w:before="240" w:after="240"/>
        <w:ind w:left="720"/>
        <w:rPr>
          <w:rFonts w:ascii="Times New Roman" w:hAnsi="Times New Roman" w:cs="Times New Roman"/>
          <w:sz w:val="24"/>
          <w:szCs w:val="24"/>
        </w:rPr>
      </w:pPr>
      <w:r w:rsidRPr="004A36EB">
        <w:rPr>
          <w:rFonts w:ascii="Times New Roman" w:hAnsi="Times New Roman" w:cs="Times New Roman"/>
          <w:sz w:val="24"/>
          <w:szCs w:val="24"/>
        </w:rPr>
        <w:t>This is intended to ensure the Minister receives all necessary information on which to base a decision whether the “early cessation and no repayment obligation” threshold criteria have been met.</w:t>
      </w:r>
    </w:p>
    <w:p w:rsidR="004A36EB" w:rsidRDefault="004A36EB" w:rsidP="004A36EB">
      <w:pPr>
        <w:pStyle w:val="ListParagraph"/>
        <w:numPr>
          <w:ilvl w:val="0"/>
          <w:numId w:val="9"/>
        </w:numPr>
        <w:spacing w:before="240" w:after="240"/>
        <w:rPr>
          <w:rFonts w:ascii="Times New Roman" w:hAnsi="Times New Roman" w:cs="Times New Roman"/>
          <w:sz w:val="24"/>
          <w:szCs w:val="24"/>
        </w:rPr>
      </w:pPr>
      <w:r w:rsidRPr="004A36EB">
        <w:rPr>
          <w:rFonts w:ascii="Times New Roman" w:hAnsi="Times New Roman" w:cs="Times New Roman"/>
          <w:sz w:val="24"/>
          <w:szCs w:val="24"/>
        </w:rPr>
        <w:t>If a refinery operator wishes to cease refining operations for convenience prior to the end of their commitment period, a</w:t>
      </w:r>
      <w:r w:rsidR="00543F6D" w:rsidRPr="004A36EB">
        <w:rPr>
          <w:rFonts w:ascii="Times New Roman" w:hAnsi="Times New Roman" w:cs="Times New Roman"/>
          <w:sz w:val="24"/>
          <w:szCs w:val="24"/>
        </w:rPr>
        <w:t xml:space="preserve">ll payments made under Part 3 of the Act in relation </w:t>
      </w:r>
      <w:r w:rsidR="00543F6D" w:rsidRPr="004A36EB">
        <w:rPr>
          <w:rFonts w:ascii="Times New Roman" w:hAnsi="Times New Roman" w:cs="Times New Roman"/>
          <w:sz w:val="24"/>
          <w:szCs w:val="24"/>
        </w:rPr>
        <w:lastRenderedPageBreak/>
        <w:t xml:space="preserve">to the </w:t>
      </w:r>
      <w:r w:rsidR="00472E6A">
        <w:rPr>
          <w:rFonts w:ascii="Times New Roman" w:hAnsi="Times New Roman" w:cs="Times New Roman"/>
          <w:sz w:val="24"/>
          <w:szCs w:val="24"/>
        </w:rPr>
        <w:t xml:space="preserve">committed </w:t>
      </w:r>
      <w:r w:rsidR="00543F6D" w:rsidRPr="004A36EB">
        <w:rPr>
          <w:rFonts w:ascii="Times New Roman" w:hAnsi="Times New Roman" w:cs="Times New Roman"/>
          <w:sz w:val="24"/>
          <w:szCs w:val="24"/>
        </w:rPr>
        <w:t xml:space="preserve">refinery that would be repayable under section 21 </w:t>
      </w:r>
      <w:r w:rsidR="00AD147F">
        <w:rPr>
          <w:rFonts w:ascii="Times New Roman" w:hAnsi="Times New Roman" w:cs="Times New Roman"/>
          <w:sz w:val="24"/>
          <w:szCs w:val="24"/>
        </w:rPr>
        <w:t xml:space="preserve">of the Rule </w:t>
      </w:r>
      <w:r w:rsidRPr="004A36EB">
        <w:rPr>
          <w:rFonts w:ascii="Times New Roman" w:hAnsi="Times New Roman" w:cs="Times New Roman"/>
          <w:sz w:val="24"/>
          <w:szCs w:val="24"/>
        </w:rPr>
        <w:t xml:space="preserve">must </w:t>
      </w:r>
      <w:r w:rsidR="00543F6D" w:rsidRPr="004A36EB">
        <w:rPr>
          <w:rFonts w:ascii="Times New Roman" w:hAnsi="Times New Roman" w:cs="Times New Roman"/>
          <w:sz w:val="24"/>
          <w:szCs w:val="24"/>
        </w:rPr>
        <w:t>have b</w:t>
      </w:r>
      <w:r w:rsidRPr="004A36EB">
        <w:rPr>
          <w:rFonts w:ascii="Times New Roman" w:hAnsi="Times New Roman" w:cs="Times New Roman"/>
          <w:sz w:val="24"/>
          <w:szCs w:val="24"/>
        </w:rPr>
        <w:t xml:space="preserve">een repaid to the Commonwealth. </w:t>
      </w:r>
    </w:p>
    <w:p w:rsidR="004A36EB" w:rsidRPr="004A36EB" w:rsidRDefault="009C3793" w:rsidP="004A36EB">
      <w:pPr>
        <w:spacing w:before="240" w:after="240"/>
        <w:ind w:left="720"/>
        <w:rPr>
          <w:rFonts w:ascii="Times New Roman" w:hAnsi="Times New Roman" w:cs="Times New Roman"/>
          <w:sz w:val="24"/>
          <w:szCs w:val="24"/>
        </w:rPr>
      </w:pPr>
      <w:r w:rsidRPr="00B36620">
        <w:rPr>
          <w:rFonts w:ascii="Times New Roman" w:hAnsi="Times New Roman" w:cs="Times New Roman"/>
          <w:sz w:val="24"/>
          <w:szCs w:val="24"/>
        </w:rPr>
        <w:t xml:space="preserve">It is intended that </w:t>
      </w:r>
      <w:r w:rsidR="00DA0FC4" w:rsidRPr="0010245F">
        <w:rPr>
          <w:rFonts w:ascii="Times New Roman" w:hAnsi="Times New Roman" w:cs="Times New Roman"/>
          <w:sz w:val="24"/>
          <w:szCs w:val="24"/>
        </w:rPr>
        <w:t xml:space="preserve">all applicable </w:t>
      </w:r>
      <w:r w:rsidRPr="0010245F">
        <w:rPr>
          <w:rFonts w:ascii="Times New Roman" w:hAnsi="Times New Roman" w:cs="Times New Roman"/>
          <w:sz w:val="24"/>
          <w:szCs w:val="24"/>
        </w:rPr>
        <w:t>repayment</w:t>
      </w:r>
      <w:r w:rsidR="00DA0FC4" w:rsidRPr="0010245F">
        <w:rPr>
          <w:rFonts w:ascii="Times New Roman" w:hAnsi="Times New Roman" w:cs="Times New Roman"/>
          <w:sz w:val="24"/>
          <w:szCs w:val="24"/>
        </w:rPr>
        <w:t>s of the FSSP</w:t>
      </w:r>
      <w:r w:rsidR="005A5BC7">
        <w:rPr>
          <w:rFonts w:ascii="Times New Roman" w:hAnsi="Times New Roman" w:cs="Times New Roman"/>
          <w:sz w:val="24"/>
          <w:szCs w:val="24"/>
        </w:rPr>
        <w:t>, including partial repayments calculated under section 21 of the Rule,</w:t>
      </w:r>
      <w:r w:rsidR="00DA0FC4" w:rsidRPr="0010245F">
        <w:rPr>
          <w:rFonts w:ascii="Times New Roman" w:hAnsi="Times New Roman" w:cs="Times New Roman"/>
          <w:sz w:val="24"/>
          <w:szCs w:val="24"/>
        </w:rPr>
        <w:t xml:space="preserve"> must have</w:t>
      </w:r>
      <w:r w:rsidRPr="0010245F">
        <w:rPr>
          <w:rFonts w:ascii="Times New Roman" w:hAnsi="Times New Roman" w:cs="Times New Roman"/>
          <w:sz w:val="24"/>
          <w:szCs w:val="24"/>
        </w:rPr>
        <w:t xml:space="preserve"> occurred before termination or variation</w:t>
      </w:r>
      <w:r w:rsidR="00DA0FC4" w:rsidRPr="0010245F">
        <w:rPr>
          <w:rFonts w:ascii="Times New Roman" w:hAnsi="Times New Roman" w:cs="Times New Roman"/>
          <w:sz w:val="24"/>
          <w:szCs w:val="24"/>
        </w:rPr>
        <w:t xml:space="preserve"> </w:t>
      </w:r>
      <w:r w:rsidR="004A36EB" w:rsidRPr="0010245F">
        <w:rPr>
          <w:rFonts w:ascii="Times New Roman" w:hAnsi="Times New Roman" w:cs="Times New Roman"/>
          <w:sz w:val="24"/>
          <w:szCs w:val="24"/>
        </w:rPr>
        <w:t xml:space="preserve">to an earlier end date </w:t>
      </w:r>
      <w:r w:rsidR="00DA0FC4" w:rsidRPr="0010245F">
        <w:rPr>
          <w:rFonts w:ascii="Times New Roman" w:hAnsi="Times New Roman" w:cs="Times New Roman"/>
          <w:sz w:val="24"/>
          <w:szCs w:val="24"/>
        </w:rPr>
        <w:t xml:space="preserve">may be granted under paragraph </w:t>
      </w:r>
      <w:r w:rsidRPr="0010245F">
        <w:rPr>
          <w:rFonts w:ascii="Times New Roman" w:hAnsi="Times New Roman" w:cs="Times New Roman"/>
          <w:sz w:val="24"/>
          <w:szCs w:val="24"/>
        </w:rPr>
        <w:t>10(</w:t>
      </w:r>
      <w:r w:rsidR="00472E6A" w:rsidRPr="00552846">
        <w:rPr>
          <w:rFonts w:ascii="Times New Roman" w:hAnsi="Times New Roman" w:cs="Times New Roman"/>
          <w:sz w:val="24"/>
          <w:szCs w:val="24"/>
        </w:rPr>
        <w:t>4</w:t>
      </w:r>
      <w:r w:rsidRPr="0010245F">
        <w:rPr>
          <w:rFonts w:ascii="Times New Roman" w:hAnsi="Times New Roman" w:cs="Times New Roman"/>
          <w:sz w:val="24"/>
          <w:szCs w:val="24"/>
        </w:rPr>
        <w:t>)(b)</w:t>
      </w:r>
      <w:r w:rsidR="00227E93" w:rsidRPr="0010245F">
        <w:rPr>
          <w:rFonts w:ascii="Times New Roman" w:hAnsi="Times New Roman" w:cs="Times New Roman"/>
          <w:sz w:val="24"/>
          <w:szCs w:val="24"/>
        </w:rPr>
        <w:t xml:space="preserve"> of the Rule</w:t>
      </w:r>
      <w:r w:rsidR="004A36EB" w:rsidRPr="00B36620">
        <w:rPr>
          <w:rFonts w:ascii="Times New Roman" w:hAnsi="Times New Roman" w:cs="Times New Roman"/>
          <w:sz w:val="24"/>
          <w:szCs w:val="24"/>
        </w:rPr>
        <w:t>.</w:t>
      </w:r>
      <w:r w:rsidR="00AD6739">
        <w:rPr>
          <w:rFonts w:ascii="Times New Roman" w:hAnsi="Times New Roman" w:cs="Times New Roman"/>
          <w:sz w:val="24"/>
          <w:szCs w:val="24"/>
        </w:rPr>
        <w:t xml:space="preserve"> No further FSSP would then be paid. </w:t>
      </w:r>
    </w:p>
    <w:p w:rsidR="004A36EB" w:rsidRDefault="004A36EB" w:rsidP="0022627A">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T</w:t>
      </w:r>
      <w:r w:rsidR="00543F6D" w:rsidRPr="00DA0FC4">
        <w:rPr>
          <w:rFonts w:ascii="Times New Roman" w:hAnsi="Times New Roman" w:cs="Times New Roman"/>
          <w:sz w:val="24"/>
          <w:szCs w:val="24"/>
        </w:rPr>
        <w:t xml:space="preserve">he Minister is satisfied that the Act, </w:t>
      </w:r>
      <w:r w:rsidR="004C4B6D">
        <w:rPr>
          <w:rFonts w:ascii="Times New Roman" w:hAnsi="Times New Roman" w:cs="Times New Roman"/>
          <w:sz w:val="24"/>
          <w:szCs w:val="24"/>
        </w:rPr>
        <w:t>the Rule</w:t>
      </w:r>
      <w:r w:rsidR="00DA0FC4">
        <w:rPr>
          <w:rFonts w:ascii="Times New Roman" w:hAnsi="Times New Roman" w:cs="Times New Roman"/>
          <w:sz w:val="24"/>
          <w:szCs w:val="24"/>
        </w:rPr>
        <w:t>,</w:t>
      </w:r>
      <w:r w:rsidR="00543F6D" w:rsidRPr="00DA0FC4">
        <w:rPr>
          <w:rFonts w:ascii="Times New Roman" w:hAnsi="Times New Roman" w:cs="Times New Roman"/>
          <w:sz w:val="24"/>
          <w:szCs w:val="24"/>
        </w:rPr>
        <w:t xml:space="preserve"> or </w:t>
      </w:r>
      <w:r w:rsidR="00C2157D">
        <w:rPr>
          <w:rFonts w:ascii="Times New Roman" w:hAnsi="Times New Roman" w:cs="Times New Roman"/>
          <w:sz w:val="24"/>
          <w:szCs w:val="24"/>
        </w:rPr>
        <w:t xml:space="preserve">the </w:t>
      </w:r>
      <w:r w:rsidR="00B55965">
        <w:rPr>
          <w:rFonts w:ascii="Times New Roman" w:hAnsi="Times New Roman" w:cs="Times New Roman"/>
          <w:sz w:val="24"/>
          <w:szCs w:val="24"/>
        </w:rPr>
        <w:t>G</w:t>
      </w:r>
      <w:r w:rsidR="00B55965" w:rsidRPr="00DA0FC4">
        <w:rPr>
          <w:rFonts w:ascii="Times New Roman" w:hAnsi="Times New Roman" w:cs="Times New Roman"/>
          <w:sz w:val="24"/>
          <w:szCs w:val="24"/>
        </w:rPr>
        <w:t>uidelines</w:t>
      </w:r>
      <w:r>
        <w:rPr>
          <w:rFonts w:ascii="Times New Roman" w:hAnsi="Times New Roman" w:cs="Times New Roman"/>
          <w:sz w:val="24"/>
          <w:szCs w:val="24"/>
        </w:rPr>
        <w:t>,</w:t>
      </w:r>
      <w:r w:rsidR="00543F6D" w:rsidRPr="00DA0FC4">
        <w:rPr>
          <w:rFonts w:ascii="Times New Roman" w:hAnsi="Times New Roman" w:cs="Times New Roman"/>
          <w:sz w:val="24"/>
          <w:szCs w:val="24"/>
        </w:rPr>
        <w:t xml:space="preserve"> have been amended to materially reduce the </w:t>
      </w:r>
      <w:r>
        <w:rPr>
          <w:rFonts w:ascii="Times New Roman" w:hAnsi="Times New Roman" w:cs="Times New Roman"/>
          <w:sz w:val="24"/>
          <w:szCs w:val="24"/>
        </w:rPr>
        <w:t xml:space="preserve">FSSP payable </w:t>
      </w:r>
      <w:r w:rsidR="00543F6D" w:rsidRPr="00DA0FC4">
        <w:rPr>
          <w:rFonts w:ascii="Times New Roman" w:hAnsi="Times New Roman" w:cs="Times New Roman"/>
          <w:sz w:val="24"/>
          <w:szCs w:val="24"/>
        </w:rPr>
        <w:t xml:space="preserve">under Part 3 of the Act in respect of the </w:t>
      </w:r>
      <w:r w:rsidR="00472E6A">
        <w:rPr>
          <w:rFonts w:ascii="Times New Roman" w:hAnsi="Times New Roman" w:cs="Times New Roman"/>
          <w:sz w:val="24"/>
          <w:szCs w:val="24"/>
        </w:rPr>
        <w:t xml:space="preserve">committed </w:t>
      </w:r>
      <w:r w:rsidR="00543F6D" w:rsidRPr="00DA0FC4">
        <w:rPr>
          <w:rFonts w:ascii="Times New Roman" w:hAnsi="Times New Roman" w:cs="Times New Roman"/>
          <w:sz w:val="24"/>
          <w:szCs w:val="24"/>
        </w:rPr>
        <w:t xml:space="preserve">refinery in the </w:t>
      </w:r>
      <w:r w:rsidR="00472E6A">
        <w:rPr>
          <w:rFonts w:ascii="Times New Roman" w:hAnsi="Times New Roman" w:cs="Times New Roman"/>
          <w:sz w:val="24"/>
          <w:szCs w:val="24"/>
        </w:rPr>
        <w:t>180</w:t>
      </w:r>
      <w:r w:rsidR="00472E6A" w:rsidRPr="00DA0FC4">
        <w:rPr>
          <w:rFonts w:ascii="Times New Roman" w:hAnsi="Times New Roman" w:cs="Times New Roman"/>
          <w:sz w:val="24"/>
          <w:szCs w:val="24"/>
        </w:rPr>
        <w:t xml:space="preserve"> </w:t>
      </w:r>
      <w:r w:rsidR="00543F6D" w:rsidRPr="00DA0FC4">
        <w:rPr>
          <w:rFonts w:ascii="Times New Roman" w:hAnsi="Times New Roman" w:cs="Times New Roman"/>
          <w:sz w:val="24"/>
          <w:szCs w:val="24"/>
        </w:rPr>
        <w:t>days before an application under subsection 41(2) of the Act to terminate or vary the period</w:t>
      </w:r>
      <w:r w:rsidR="004C4B6D">
        <w:rPr>
          <w:rFonts w:ascii="Times New Roman" w:hAnsi="Times New Roman" w:cs="Times New Roman"/>
          <w:sz w:val="24"/>
          <w:szCs w:val="24"/>
        </w:rPr>
        <w:t xml:space="preserve"> is made</w:t>
      </w:r>
      <w:r w:rsidR="00543F6D" w:rsidRPr="00DA0FC4">
        <w:rPr>
          <w:rFonts w:ascii="Times New Roman" w:hAnsi="Times New Roman" w:cs="Times New Roman"/>
          <w:sz w:val="24"/>
          <w:szCs w:val="24"/>
        </w:rPr>
        <w:t xml:space="preserve">. </w:t>
      </w:r>
    </w:p>
    <w:p w:rsidR="00543F6D" w:rsidRPr="004A36EB" w:rsidRDefault="004A36EB" w:rsidP="004A36EB">
      <w:pPr>
        <w:spacing w:before="240" w:after="240"/>
        <w:ind w:left="720"/>
        <w:rPr>
          <w:rFonts w:ascii="Times New Roman" w:hAnsi="Times New Roman" w:cs="Times New Roman"/>
          <w:sz w:val="24"/>
          <w:szCs w:val="24"/>
        </w:rPr>
      </w:pPr>
      <w:r w:rsidRPr="004A36EB">
        <w:rPr>
          <w:rFonts w:ascii="Times New Roman" w:hAnsi="Times New Roman" w:cs="Times New Roman"/>
          <w:sz w:val="24"/>
          <w:szCs w:val="24"/>
        </w:rPr>
        <w:t>It is intended t</w:t>
      </w:r>
      <w:r w:rsidR="009C3793" w:rsidRPr="004A36EB">
        <w:rPr>
          <w:rFonts w:ascii="Times New Roman" w:hAnsi="Times New Roman" w:cs="Times New Roman"/>
          <w:sz w:val="24"/>
          <w:szCs w:val="24"/>
        </w:rPr>
        <w:t xml:space="preserve">his </w:t>
      </w:r>
      <w:r w:rsidR="00DA0FC4" w:rsidRPr="004A36EB">
        <w:rPr>
          <w:rFonts w:ascii="Times New Roman" w:hAnsi="Times New Roman" w:cs="Times New Roman"/>
          <w:sz w:val="24"/>
          <w:szCs w:val="24"/>
        </w:rPr>
        <w:t xml:space="preserve">exception to the general rule </w:t>
      </w:r>
      <w:r w:rsidR="009C3793" w:rsidRPr="004A36EB">
        <w:rPr>
          <w:rFonts w:ascii="Times New Roman" w:hAnsi="Times New Roman" w:cs="Times New Roman"/>
          <w:sz w:val="24"/>
          <w:szCs w:val="24"/>
        </w:rPr>
        <w:t xml:space="preserve">applies if </w:t>
      </w:r>
      <w:r w:rsidR="00DA0FC4" w:rsidRPr="004A36EB">
        <w:rPr>
          <w:rFonts w:ascii="Times New Roman" w:hAnsi="Times New Roman" w:cs="Times New Roman"/>
          <w:sz w:val="24"/>
          <w:szCs w:val="24"/>
        </w:rPr>
        <w:t xml:space="preserve">the Act, </w:t>
      </w:r>
      <w:r w:rsidR="00F54710">
        <w:rPr>
          <w:rFonts w:ascii="Times New Roman" w:hAnsi="Times New Roman" w:cs="Times New Roman"/>
          <w:sz w:val="24"/>
          <w:szCs w:val="24"/>
        </w:rPr>
        <w:t>the Rule</w:t>
      </w:r>
      <w:r w:rsidR="009C3793" w:rsidRPr="004A36EB">
        <w:rPr>
          <w:rFonts w:ascii="Times New Roman" w:hAnsi="Times New Roman" w:cs="Times New Roman"/>
          <w:sz w:val="24"/>
          <w:szCs w:val="24"/>
        </w:rPr>
        <w:t xml:space="preserve"> or the </w:t>
      </w:r>
      <w:r w:rsidR="00B55965">
        <w:rPr>
          <w:rFonts w:ascii="Times New Roman" w:hAnsi="Times New Roman" w:cs="Times New Roman"/>
          <w:sz w:val="24"/>
          <w:szCs w:val="24"/>
        </w:rPr>
        <w:t>G</w:t>
      </w:r>
      <w:r w:rsidR="00B55965" w:rsidRPr="004A36EB">
        <w:rPr>
          <w:rFonts w:ascii="Times New Roman" w:hAnsi="Times New Roman" w:cs="Times New Roman"/>
          <w:sz w:val="24"/>
          <w:szCs w:val="24"/>
        </w:rPr>
        <w:t xml:space="preserve">uidelines </w:t>
      </w:r>
      <w:r w:rsidR="009C3793" w:rsidRPr="004A36EB">
        <w:rPr>
          <w:rFonts w:ascii="Times New Roman" w:hAnsi="Times New Roman" w:cs="Times New Roman"/>
          <w:sz w:val="24"/>
          <w:szCs w:val="24"/>
        </w:rPr>
        <w:t xml:space="preserve">have been amended to </w:t>
      </w:r>
      <w:r w:rsidR="00DA0FC4" w:rsidRPr="004A36EB">
        <w:rPr>
          <w:rFonts w:ascii="Times New Roman" w:hAnsi="Times New Roman" w:cs="Times New Roman"/>
          <w:sz w:val="24"/>
          <w:szCs w:val="24"/>
        </w:rPr>
        <w:t>significantly change the method</w:t>
      </w:r>
      <w:r w:rsidR="009C3793" w:rsidRPr="004A36EB">
        <w:rPr>
          <w:rFonts w:ascii="Times New Roman" w:hAnsi="Times New Roman" w:cs="Times New Roman"/>
          <w:sz w:val="24"/>
          <w:szCs w:val="24"/>
        </w:rPr>
        <w:t xml:space="preserve"> </w:t>
      </w:r>
      <w:r w:rsidR="00DA0FC4" w:rsidRPr="004A36EB">
        <w:rPr>
          <w:rFonts w:ascii="Times New Roman" w:hAnsi="Times New Roman" w:cs="Times New Roman"/>
          <w:sz w:val="24"/>
          <w:szCs w:val="24"/>
        </w:rPr>
        <w:t xml:space="preserve">or </w:t>
      </w:r>
      <w:r w:rsidR="009C3793" w:rsidRPr="004A36EB">
        <w:rPr>
          <w:rFonts w:ascii="Times New Roman" w:hAnsi="Times New Roman" w:cs="Times New Roman"/>
          <w:sz w:val="24"/>
          <w:szCs w:val="24"/>
        </w:rPr>
        <w:t>formula</w:t>
      </w:r>
      <w:r w:rsidR="00DA0FC4" w:rsidRPr="004A36EB">
        <w:rPr>
          <w:rFonts w:ascii="Times New Roman" w:hAnsi="Times New Roman" w:cs="Times New Roman"/>
          <w:sz w:val="24"/>
          <w:szCs w:val="24"/>
        </w:rPr>
        <w:t xml:space="preserve"> for calculating the amount of FSSP payable for a quarter. A mere change in the rate of payment of the FSSP calculated under the existing formula would not be sufficient to authorise termination or variation of a refinery</w:t>
      </w:r>
      <w:r w:rsidR="00D44DD3">
        <w:rPr>
          <w:rFonts w:ascii="Times New Roman" w:hAnsi="Times New Roman" w:cs="Times New Roman"/>
          <w:sz w:val="24"/>
          <w:szCs w:val="24"/>
        </w:rPr>
        <w:t xml:space="preserve"> operator</w:t>
      </w:r>
      <w:r w:rsidR="00DA0FC4" w:rsidRPr="004A36EB">
        <w:rPr>
          <w:rFonts w:ascii="Times New Roman" w:hAnsi="Times New Roman" w:cs="Times New Roman"/>
          <w:sz w:val="24"/>
          <w:szCs w:val="24"/>
        </w:rPr>
        <w:t>’s commitment period to a date earlier than was originally notified</w:t>
      </w:r>
      <w:r w:rsidR="009C3793" w:rsidRPr="004A36EB">
        <w:rPr>
          <w:rFonts w:ascii="Times New Roman" w:hAnsi="Times New Roman" w:cs="Times New Roman"/>
          <w:sz w:val="24"/>
          <w:szCs w:val="24"/>
        </w:rPr>
        <w:t>.</w:t>
      </w:r>
    </w:p>
    <w:p w:rsidR="00543F6D" w:rsidRDefault="00844B9A" w:rsidP="00543F6D">
      <w:pPr>
        <w:spacing w:before="240" w:after="240"/>
        <w:rPr>
          <w:rFonts w:ascii="Times New Roman" w:hAnsi="Times New Roman" w:cs="Times New Roman"/>
          <w:sz w:val="24"/>
          <w:szCs w:val="24"/>
        </w:rPr>
      </w:pPr>
      <w:r>
        <w:rPr>
          <w:rFonts w:ascii="Times New Roman" w:hAnsi="Times New Roman" w:cs="Times New Roman"/>
          <w:sz w:val="24"/>
          <w:szCs w:val="24"/>
        </w:rPr>
        <w:t>S</w:t>
      </w:r>
      <w:r w:rsidR="006F2BC7">
        <w:rPr>
          <w:rFonts w:ascii="Times New Roman" w:hAnsi="Times New Roman" w:cs="Times New Roman"/>
          <w:sz w:val="24"/>
          <w:szCs w:val="24"/>
        </w:rPr>
        <w:t>ubsection 10(</w:t>
      </w:r>
      <w:r w:rsidR="00472E6A">
        <w:rPr>
          <w:rFonts w:ascii="Times New Roman" w:hAnsi="Times New Roman" w:cs="Times New Roman"/>
          <w:sz w:val="24"/>
          <w:szCs w:val="24"/>
        </w:rPr>
        <w:t>5</w:t>
      </w:r>
      <w:r w:rsidR="006F2BC7">
        <w:rPr>
          <w:rFonts w:ascii="Times New Roman" w:hAnsi="Times New Roman" w:cs="Times New Roman"/>
          <w:sz w:val="24"/>
          <w:szCs w:val="24"/>
        </w:rPr>
        <w:t xml:space="preserve">) </w:t>
      </w:r>
      <w:r w:rsidR="00AD147F">
        <w:rPr>
          <w:rFonts w:ascii="Times New Roman" w:hAnsi="Times New Roman" w:cs="Times New Roman"/>
          <w:sz w:val="24"/>
          <w:szCs w:val="24"/>
        </w:rPr>
        <w:t xml:space="preserve">of the Rule </w:t>
      </w:r>
      <w:r w:rsidR="006F2BC7">
        <w:rPr>
          <w:rFonts w:ascii="Times New Roman" w:hAnsi="Times New Roman" w:cs="Times New Roman"/>
          <w:sz w:val="24"/>
          <w:szCs w:val="24"/>
        </w:rPr>
        <w:t>permits</w:t>
      </w:r>
      <w:r>
        <w:rPr>
          <w:rFonts w:ascii="Times New Roman" w:hAnsi="Times New Roman" w:cs="Times New Roman"/>
          <w:sz w:val="24"/>
          <w:szCs w:val="24"/>
        </w:rPr>
        <w:t>, if necessary,</w:t>
      </w:r>
      <w:r w:rsidR="006F2BC7">
        <w:rPr>
          <w:rFonts w:ascii="Times New Roman" w:hAnsi="Times New Roman" w:cs="Times New Roman"/>
          <w:sz w:val="24"/>
          <w:szCs w:val="24"/>
        </w:rPr>
        <w:t xml:space="preserve"> a commitment period that is varied or terminated under subsection 10(</w:t>
      </w:r>
      <w:r w:rsidR="00EA0B71">
        <w:rPr>
          <w:rFonts w:ascii="Times New Roman" w:hAnsi="Times New Roman" w:cs="Times New Roman"/>
          <w:sz w:val="24"/>
          <w:szCs w:val="24"/>
        </w:rPr>
        <w:t>3</w:t>
      </w:r>
      <w:r w:rsidR="006F2BC7">
        <w:rPr>
          <w:rFonts w:ascii="Times New Roman" w:hAnsi="Times New Roman" w:cs="Times New Roman"/>
          <w:sz w:val="24"/>
          <w:szCs w:val="24"/>
        </w:rPr>
        <w:t>) to end on a date before the application for variation o</w:t>
      </w:r>
      <w:r w:rsidR="004A36EB">
        <w:rPr>
          <w:rFonts w:ascii="Times New Roman" w:hAnsi="Times New Roman" w:cs="Times New Roman"/>
          <w:sz w:val="24"/>
          <w:szCs w:val="24"/>
        </w:rPr>
        <w:t>r termination (as applicable). It is intended t</w:t>
      </w:r>
      <w:r w:rsidR="006F2BC7">
        <w:rPr>
          <w:rFonts w:ascii="Times New Roman" w:hAnsi="Times New Roman" w:cs="Times New Roman"/>
          <w:sz w:val="24"/>
          <w:szCs w:val="24"/>
        </w:rPr>
        <w:t>his would apply in circumstances where the refinery has had to permanently cease refining suddenly and without warning because of one of the circumstances set out under section 20</w:t>
      </w:r>
      <w:r w:rsidR="00AD147F">
        <w:rPr>
          <w:rFonts w:ascii="Times New Roman" w:hAnsi="Times New Roman" w:cs="Times New Roman"/>
          <w:sz w:val="24"/>
          <w:szCs w:val="24"/>
        </w:rPr>
        <w:t xml:space="preserve"> of the Rule</w:t>
      </w:r>
      <w:r w:rsidR="006F2BC7">
        <w:rPr>
          <w:rFonts w:ascii="Times New Roman" w:hAnsi="Times New Roman" w:cs="Times New Roman"/>
          <w:sz w:val="24"/>
          <w:szCs w:val="24"/>
        </w:rPr>
        <w:t xml:space="preserve">, and cessation has therefore occurred before an application to vary or terminate the commitment period has been </w:t>
      </w:r>
      <w:r w:rsidR="004A36EB">
        <w:rPr>
          <w:rFonts w:ascii="Times New Roman" w:hAnsi="Times New Roman" w:cs="Times New Roman"/>
          <w:sz w:val="24"/>
          <w:szCs w:val="24"/>
        </w:rPr>
        <w:t xml:space="preserve">able to be </w:t>
      </w:r>
      <w:r w:rsidR="006F2BC7">
        <w:rPr>
          <w:rFonts w:ascii="Times New Roman" w:hAnsi="Times New Roman" w:cs="Times New Roman"/>
          <w:sz w:val="24"/>
          <w:szCs w:val="24"/>
        </w:rPr>
        <w:t>made</w:t>
      </w:r>
      <w:r w:rsidR="00543F6D" w:rsidRPr="00543F6D">
        <w:rPr>
          <w:rFonts w:ascii="Times New Roman" w:hAnsi="Times New Roman" w:cs="Times New Roman"/>
          <w:sz w:val="24"/>
          <w:szCs w:val="24"/>
        </w:rPr>
        <w:t>.</w:t>
      </w:r>
    </w:p>
    <w:p w:rsidR="003A4A62" w:rsidRDefault="003A4A62" w:rsidP="00543F6D">
      <w:pPr>
        <w:spacing w:before="240" w:after="240"/>
        <w:rPr>
          <w:rFonts w:ascii="Times New Roman" w:hAnsi="Times New Roman" w:cs="Times New Roman"/>
          <w:sz w:val="24"/>
          <w:szCs w:val="24"/>
        </w:rPr>
      </w:pPr>
      <w:r>
        <w:rPr>
          <w:rFonts w:ascii="Times New Roman" w:hAnsi="Times New Roman" w:cs="Times New Roman"/>
          <w:sz w:val="24"/>
          <w:szCs w:val="24"/>
        </w:rPr>
        <w:t xml:space="preserve">Decisions about setting, varying or terminating commitment periods are reviewable under Part 5 of the Act. </w:t>
      </w:r>
    </w:p>
    <w:p w:rsidR="00C22158" w:rsidRDefault="00C22158" w:rsidP="000D0E22">
      <w:pPr>
        <w:spacing w:before="240" w:after="240"/>
        <w:rPr>
          <w:rFonts w:ascii="Times New Roman" w:hAnsi="Times New Roman" w:cs="Times New Roman"/>
          <w:b/>
          <w:caps/>
          <w:sz w:val="24"/>
          <w:szCs w:val="24"/>
        </w:rPr>
      </w:pPr>
      <w:r>
        <w:rPr>
          <w:rFonts w:ascii="Times New Roman" w:hAnsi="Times New Roman" w:cs="Times New Roman"/>
          <w:b/>
          <w:sz w:val="24"/>
          <w:szCs w:val="24"/>
        </w:rPr>
        <w:t>PART 5</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C22158">
        <w:rPr>
          <w:rFonts w:ascii="Times New Roman" w:eastAsia="Calibri" w:hAnsi="Times New Roman" w:cs="Times New Roman"/>
          <w:szCs w:val="20"/>
        </w:rPr>
        <w:t xml:space="preserve"> </w:t>
      </w:r>
      <w:r w:rsidRPr="00C22158">
        <w:rPr>
          <w:rFonts w:ascii="Times New Roman" w:hAnsi="Times New Roman" w:cs="Times New Roman"/>
          <w:b/>
          <w:caps/>
          <w:sz w:val="24"/>
          <w:szCs w:val="24"/>
        </w:rPr>
        <w:t>Payment of fuel security services payment</w:t>
      </w:r>
    </w:p>
    <w:p w:rsidR="00EA7012" w:rsidRDefault="00C22158"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11</w:t>
      </w:r>
      <w:r w:rsidRPr="00366EF0">
        <w:rPr>
          <w:rFonts w:ascii="Times New Roman" w:hAnsi="Times New Roman" w:cs="Times New Roman"/>
          <w:b/>
          <w:sz w:val="24"/>
          <w:szCs w:val="24"/>
        </w:rPr>
        <w:t xml:space="preserve"> –</w:t>
      </w:r>
      <w:r w:rsidRPr="00EA7012">
        <w:rPr>
          <w:rFonts w:ascii="Times New Roman" w:hAnsi="Times New Roman" w:cs="Times New Roman"/>
          <w:b/>
          <w:sz w:val="24"/>
          <w:szCs w:val="24"/>
        </w:rPr>
        <w:t xml:space="preserve"> </w:t>
      </w:r>
      <w:r w:rsidR="00EA7012" w:rsidRPr="00EA7012">
        <w:rPr>
          <w:rFonts w:ascii="Times New Roman" w:hAnsi="Times New Roman" w:cs="Times New Roman"/>
          <w:b/>
          <w:sz w:val="24"/>
          <w:szCs w:val="24"/>
        </w:rPr>
        <w:t>Circumstances when fuel security services payment is not payable</w:t>
      </w:r>
    </w:p>
    <w:p w:rsidR="006E31F6" w:rsidRDefault="001D0BC9" w:rsidP="001D0BC9">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purposes of </w:t>
      </w:r>
      <w:r w:rsidRPr="001D0BC9">
        <w:rPr>
          <w:rFonts w:ascii="Times New Roman" w:hAnsi="Times New Roman" w:cs="Times New Roman"/>
          <w:sz w:val="24"/>
          <w:szCs w:val="24"/>
        </w:rPr>
        <w:t xml:space="preserve">paragraph 42(2)(c) </w:t>
      </w:r>
      <w:r>
        <w:rPr>
          <w:rFonts w:ascii="Times New Roman" w:hAnsi="Times New Roman" w:cs="Times New Roman"/>
          <w:sz w:val="24"/>
          <w:szCs w:val="24"/>
        </w:rPr>
        <w:t xml:space="preserve">of the Act, the </w:t>
      </w:r>
      <w:r w:rsidR="00C643A2" w:rsidRPr="00291DDA">
        <w:rPr>
          <w:rFonts w:ascii="Times New Roman" w:hAnsi="Times New Roman" w:cs="Times New Roman"/>
          <w:sz w:val="24"/>
          <w:szCs w:val="24"/>
        </w:rPr>
        <w:t xml:space="preserve">circumstances </w:t>
      </w:r>
      <w:r>
        <w:rPr>
          <w:rFonts w:ascii="Times New Roman" w:hAnsi="Times New Roman" w:cs="Times New Roman"/>
          <w:sz w:val="24"/>
          <w:szCs w:val="24"/>
        </w:rPr>
        <w:t xml:space="preserve">in which the FSSP is not payable to a refinery operator for a quarter. </w:t>
      </w:r>
    </w:p>
    <w:p w:rsidR="00816117" w:rsidRDefault="006E31F6" w:rsidP="006956C3">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11(2) </w:t>
      </w:r>
      <w:r w:rsidR="00471AF3">
        <w:rPr>
          <w:rFonts w:ascii="Times New Roman" w:hAnsi="Times New Roman" w:cs="Times New Roman"/>
          <w:sz w:val="24"/>
          <w:szCs w:val="24"/>
        </w:rPr>
        <w:t xml:space="preserve">of the Rule </w:t>
      </w:r>
      <w:r>
        <w:rPr>
          <w:rFonts w:ascii="Times New Roman" w:hAnsi="Times New Roman" w:cs="Times New Roman"/>
          <w:sz w:val="24"/>
          <w:szCs w:val="24"/>
        </w:rPr>
        <w:t>specifies that the FSSP will not be payable i</w:t>
      </w:r>
      <w:r w:rsidR="000B67F7">
        <w:rPr>
          <w:rFonts w:ascii="Times New Roman" w:hAnsi="Times New Roman" w:cs="Times New Roman"/>
          <w:sz w:val="24"/>
          <w:szCs w:val="24"/>
        </w:rPr>
        <w:t xml:space="preserve">f </w:t>
      </w:r>
      <w:r w:rsidR="001D0BC9" w:rsidRPr="00816117">
        <w:rPr>
          <w:rFonts w:ascii="Times New Roman" w:hAnsi="Times New Roman" w:cs="Times New Roman"/>
          <w:sz w:val="24"/>
          <w:szCs w:val="24"/>
        </w:rPr>
        <w:t xml:space="preserve">the refining of fuel </w:t>
      </w:r>
      <w:r w:rsidR="00C2157D">
        <w:rPr>
          <w:rFonts w:ascii="Times New Roman" w:hAnsi="Times New Roman" w:cs="Times New Roman"/>
          <w:sz w:val="24"/>
          <w:szCs w:val="24"/>
        </w:rPr>
        <w:t xml:space="preserve">by the committed refinery during the quarter </w:t>
      </w:r>
      <w:r w:rsidR="001D0BC9" w:rsidRPr="00816117">
        <w:rPr>
          <w:rFonts w:ascii="Times New Roman" w:hAnsi="Times New Roman" w:cs="Times New Roman"/>
          <w:sz w:val="24"/>
          <w:szCs w:val="24"/>
        </w:rPr>
        <w:t xml:space="preserve">fails to meet the requirements of </w:t>
      </w:r>
      <w:r w:rsidR="00C2157D">
        <w:rPr>
          <w:rFonts w:ascii="Times New Roman" w:hAnsi="Times New Roman" w:cs="Times New Roman"/>
          <w:sz w:val="24"/>
          <w:szCs w:val="24"/>
        </w:rPr>
        <w:t>sub</w:t>
      </w:r>
      <w:r w:rsidR="001D0BC9" w:rsidRPr="00816117">
        <w:rPr>
          <w:rFonts w:ascii="Times New Roman" w:hAnsi="Times New Roman" w:cs="Times New Roman"/>
          <w:sz w:val="24"/>
          <w:szCs w:val="24"/>
        </w:rPr>
        <w:t>section 7</w:t>
      </w:r>
      <w:r w:rsidR="00C2157D">
        <w:rPr>
          <w:rFonts w:ascii="Times New Roman" w:hAnsi="Times New Roman" w:cs="Times New Roman"/>
          <w:sz w:val="24"/>
          <w:szCs w:val="24"/>
        </w:rPr>
        <w:t>(2)</w:t>
      </w:r>
      <w:r w:rsidR="001D0BC9" w:rsidRPr="00816117">
        <w:rPr>
          <w:rFonts w:ascii="Times New Roman" w:hAnsi="Times New Roman" w:cs="Times New Roman"/>
          <w:sz w:val="24"/>
          <w:szCs w:val="24"/>
        </w:rPr>
        <w:t xml:space="preserve"> </w:t>
      </w:r>
      <w:r w:rsidR="00AD147F">
        <w:rPr>
          <w:rFonts w:ascii="Times New Roman" w:hAnsi="Times New Roman" w:cs="Times New Roman"/>
          <w:sz w:val="24"/>
          <w:szCs w:val="24"/>
        </w:rPr>
        <w:t xml:space="preserve">of the Rule </w:t>
      </w:r>
      <w:r w:rsidR="00C2157D">
        <w:rPr>
          <w:rFonts w:ascii="Times New Roman" w:hAnsi="Times New Roman" w:cs="Times New Roman"/>
          <w:sz w:val="24"/>
          <w:szCs w:val="24"/>
        </w:rPr>
        <w:t xml:space="preserve">(i.e. the refining does not </w:t>
      </w:r>
      <w:r w:rsidR="00C2157D" w:rsidRPr="00C2157D">
        <w:rPr>
          <w:rFonts w:ascii="Times New Roman" w:hAnsi="Times New Roman" w:cs="Times New Roman"/>
          <w:sz w:val="24"/>
          <w:szCs w:val="24"/>
        </w:rPr>
        <w:t>involve the transformation of crude oil, with other feedstocks, into gasoline, diesel and kerosene meeting the requirements to be an FSSP fuel</w:t>
      </w:r>
      <w:r w:rsidR="00C2157D">
        <w:rPr>
          <w:rFonts w:ascii="Times New Roman" w:hAnsi="Times New Roman" w:cs="Times New Roman"/>
          <w:sz w:val="24"/>
          <w:szCs w:val="24"/>
        </w:rPr>
        <w:t>)</w:t>
      </w:r>
      <w:r w:rsidR="00C2157D" w:rsidRPr="00C2157D">
        <w:rPr>
          <w:rFonts w:ascii="Times New Roman" w:hAnsi="Times New Roman" w:cs="Times New Roman"/>
          <w:sz w:val="24"/>
          <w:szCs w:val="24"/>
        </w:rPr>
        <w:t xml:space="preserve"> </w:t>
      </w:r>
      <w:r w:rsidR="001D0BC9" w:rsidRPr="00816117">
        <w:rPr>
          <w:rFonts w:ascii="Times New Roman" w:hAnsi="Times New Roman" w:cs="Times New Roman"/>
          <w:sz w:val="24"/>
          <w:szCs w:val="24"/>
        </w:rPr>
        <w:t>(</w:t>
      </w:r>
      <w:r w:rsidR="00816117" w:rsidRPr="00816117">
        <w:rPr>
          <w:rFonts w:ascii="Times New Roman" w:hAnsi="Times New Roman" w:cs="Times New Roman"/>
          <w:sz w:val="24"/>
          <w:szCs w:val="24"/>
        </w:rPr>
        <w:t xml:space="preserve">see explanatory note for section 7 above), </w:t>
      </w:r>
      <w:r w:rsidR="002643EE">
        <w:rPr>
          <w:rFonts w:ascii="Times New Roman" w:hAnsi="Times New Roman" w:cs="Times New Roman"/>
          <w:sz w:val="24"/>
          <w:szCs w:val="24"/>
        </w:rPr>
        <w:t>and</w:t>
      </w:r>
      <w:r w:rsidR="002643EE" w:rsidRPr="00816117">
        <w:rPr>
          <w:rFonts w:ascii="Times New Roman" w:hAnsi="Times New Roman" w:cs="Times New Roman"/>
          <w:sz w:val="24"/>
          <w:szCs w:val="24"/>
        </w:rPr>
        <w:t xml:space="preserve"> </w:t>
      </w:r>
      <w:r w:rsidR="001D0BC9" w:rsidRPr="00816117">
        <w:rPr>
          <w:rFonts w:ascii="Times New Roman" w:hAnsi="Times New Roman" w:cs="Times New Roman"/>
          <w:sz w:val="24"/>
          <w:szCs w:val="24"/>
        </w:rPr>
        <w:t>such failure is</w:t>
      </w:r>
      <w:r w:rsidR="002643EE">
        <w:rPr>
          <w:rFonts w:ascii="Times New Roman" w:hAnsi="Times New Roman" w:cs="Times New Roman"/>
          <w:sz w:val="24"/>
          <w:szCs w:val="24"/>
        </w:rPr>
        <w:t xml:space="preserve"> not</w:t>
      </w:r>
      <w:r w:rsidR="001D0BC9" w:rsidRPr="00816117">
        <w:rPr>
          <w:rFonts w:ascii="Times New Roman" w:hAnsi="Times New Roman" w:cs="Times New Roman"/>
          <w:sz w:val="24"/>
          <w:szCs w:val="24"/>
        </w:rPr>
        <w:t xml:space="preserve"> because of a temporary cessation of production of one or more FSSP fuels</w:t>
      </w:r>
      <w:r w:rsidR="00816117">
        <w:rPr>
          <w:rFonts w:ascii="Times New Roman" w:hAnsi="Times New Roman" w:cs="Times New Roman"/>
          <w:sz w:val="24"/>
          <w:szCs w:val="24"/>
        </w:rPr>
        <w:t>.</w:t>
      </w:r>
    </w:p>
    <w:p w:rsidR="001D0BC9" w:rsidRPr="00816117" w:rsidRDefault="001D0BC9" w:rsidP="006956C3">
      <w:pPr>
        <w:spacing w:before="240" w:after="240"/>
        <w:rPr>
          <w:rFonts w:ascii="Times New Roman" w:hAnsi="Times New Roman" w:cs="Times New Roman"/>
          <w:sz w:val="24"/>
          <w:szCs w:val="24"/>
        </w:rPr>
      </w:pPr>
      <w:r w:rsidRPr="00816117">
        <w:rPr>
          <w:rFonts w:ascii="Times New Roman" w:hAnsi="Times New Roman" w:cs="Times New Roman"/>
          <w:sz w:val="24"/>
          <w:szCs w:val="24"/>
        </w:rPr>
        <w:lastRenderedPageBreak/>
        <w:t xml:space="preserve">This reflects the policy intent that refining must </w:t>
      </w:r>
      <w:r w:rsidR="00C2157D">
        <w:rPr>
          <w:rFonts w:ascii="Times New Roman" w:hAnsi="Times New Roman" w:cs="Times New Roman"/>
          <w:sz w:val="24"/>
          <w:szCs w:val="24"/>
        </w:rPr>
        <w:t>involve the production of gasoline, diesel and kerosene (</w:t>
      </w:r>
      <w:r w:rsidR="002C1607">
        <w:rPr>
          <w:rFonts w:ascii="Times New Roman" w:hAnsi="Times New Roman" w:cs="Times New Roman"/>
          <w:sz w:val="24"/>
          <w:szCs w:val="24"/>
        </w:rPr>
        <w:t>i.e.</w:t>
      </w:r>
      <w:r w:rsidR="00C2157D">
        <w:rPr>
          <w:rFonts w:ascii="Times New Roman" w:hAnsi="Times New Roman" w:cs="Times New Roman"/>
          <w:sz w:val="24"/>
          <w:szCs w:val="24"/>
        </w:rPr>
        <w:t xml:space="preserve"> FSSP fuel)</w:t>
      </w:r>
      <w:r w:rsidR="00816117" w:rsidRPr="00816117">
        <w:rPr>
          <w:rFonts w:ascii="Times New Roman" w:hAnsi="Times New Roman" w:cs="Times New Roman"/>
          <w:sz w:val="24"/>
          <w:szCs w:val="24"/>
        </w:rPr>
        <w:t xml:space="preserve">, unless the reason for non-compliance is a </w:t>
      </w:r>
      <w:r w:rsidR="00816117">
        <w:rPr>
          <w:rFonts w:ascii="Times New Roman" w:hAnsi="Times New Roman" w:cs="Times New Roman"/>
          <w:sz w:val="24"/>
          <w:szCs w:val="24"/>
        </w:rPr>
        <w:t xml:space="preserve">mere </w:t>
      </w:r>
      <w:r w:rsidR="00816117" w:rsidRPr="00816117">
        <w:rPr>
          <w:rFonts w:ascii="Times New Roman" w:hAnsi="Times New Roman" w:cs="Times New Roman"/>
          <w:sz w:val="24"/>
          <w:szCs w:val="24"/>
        </w:rPr>
        <w:t>temporary cessation of production of one or more FSSP fuels</w:t>
      </w:r>
      <w:r w:rsidR="00562770">
        <w:rPr>
          <w:rFonts w:ascii="Times New Roman" w:hAnsi="Times New Roman" w:cs="Times New Roman"/>
          <w:sz w:val="24"/>
          <w:szCs w:val="24"/>
        </w:rPr>
        <w:t>.</w:t>
      </w:r>
      <w:r w:rsidR="00405A20">
        <w:rPr>
          <w:rFonts w:ascii="Times New Roman" w:hAnsi="Times New Roman" w:cs="Times New Roman"/>
          <w:sz w:val="24"/>
          <w:szCs w:val="24"/>
        </w:rPr>
        <w:t xml:space="preserve"> Temporary cessations include maintenance turnarounds where production is expected to resume after relevant work has been completed.</w:t>
      </w:r>
    </w:p>
    <w:p w:rsidR="006F3722" w:rsidRDefault="006F3722" w:rsidP="006956C3">
      <w:pPr>
        <w:spacing w:before="240" w:after="240"/>
        <w:rPr>
          <w:rFonts w:ascii="Times New Roman" w:hAnsi="Times New Roman" w:cs="Times New Roman"/>
          <w:sz w:val="24"/>
          <w:szCs w:val="24"/>
        </w:rPr>
      </w:pPr>
      <w:r>
        <w:rPr>
          <w:rFonts w:ascii="Times New Roman" w:hAnsi="Times New Roman" w:cs="Times New Roman"/>
          <w:sz w:val="24"/>
          <w:szCs w:val="24"/>
        </w:rPr>
        <w:t xml:space="preserve">Under subsection 11(3) </w:t>
      </w:r>
      <w:r w:rsidR="00471AF3">
        <w:rPr>
          <w:rFonts w:ascii="Times New Roman" w:hAnsi="Times New Roman" w:cs="Times New Roman"/>
          <w:sz w:val="24"/>
          <w:szCs w:val="24"/>
        </w:rPr>
        <w:t xml:space="preserve">of the Rule </w:t>
      </w:r>
      <w:r>
        <w:rPr>
          <w:rFonts w:ascii="Times New Roman" w:hAnsi="Times New Roman" w:cs="Times New Roman"/>
          <w:sz w:val="24"/>
          <w:szCs w:val="24"/>
        </w:rPr>
        <w:t>t</w:t>
      </w:r>
      <w:r w:rsidR="006E31F6">
        <w:rPr>
          <w:rFonts w:ascii="Times New Roman" w:hAnsi="Times New Roman" w:cs="Times New Roman"/>
          <w:sz w:val="24"/>
          <w:szCs w:val="24"/>
        </w:rPr>
        <w:t xml:space="preserve">he FSSP will </w:t>
      </w:r>
      <w:r>
        <w:rPr>
          <w:rFonts w:ascii="Times New Roman" w:hAnsi="Times New Roman" w:cs="Times New Roman"/>
          <w:sz w:val="24"/>
          <w:szCs w:val="24"/>
        </w:rPr>
        <w:t>not be payable if:</w:t>
      </w:r>
    </w:p>
    <w:p w:rsidR="00E32795" w:rsidRDefault="000B67F7" w:rsidP="006956C3">
      <w:pPr>
        <w:pStyle w:val="ListParagraph"/>
        <w:numPr>
          <w:ilvl w:val="0"/>
          <w:numId w:val="27"/>
        </w:numPr>
        <w:spacing w:before="240" w:after="240"/>
        <w:rPr>
          <w:rFonts w:ascii="Times New Roman" w:hAnsi="Times New Roman" w:cs="Times New Roman"/>
          <w:sz w:val="24"/>
          <w:szCs w:val="24"/>
        </w:rPr>
      </w:pPr>
      <w:r w:rsidRPr="000B67F7">
        <w:rPr>
          <w:rFonts w:ascii="Times New Roman" w:hAnsi="Times New Roman" w:cs="Times New Roman"/>
          <w:sz w:val="24"/>
          <w:szCs w:val="24"/>
        </w:rPr>
        <w:t xml:space="preserve">the </w:t>
      </w:r>
      <w:r w:rsidR="006F3722" w:rsidRPr="006956C3">
        <w:rPr>
          <w:rFonts w:ascii="Times New Roman" w:hAnsi="Times New Roman" w:cs="Times New Roman"/>
          <w:sz w:val="24"/>
          <w:szCs w:val="24"/>
        </w:rPr>
        <w:t xml:space="preserve">person </w:t>
      </w:r>
      <w:r w:rsidRPr="000B67F7">
        <w:rPr>
          <w:rFonts w:ascii="Times New Roman" w:hAnsi="Times New Roman" w:cs="Times New Roman"/>
          <w:sz w:val="24"/>
          <w:szCs w:val="24"/>
        </w:rPr>
        <w:t>providing the security in relat</w:t>
      </w:r>
      <w:r w:rsidRPr="00F86BB3">
        <w:rPr>
          <w:rFonts w:ascii="Times New Roman" w:hAnsi="Times New Roman" w:cs="Times New Roman"/>
          <w:sz w:val="24"/>
          <w:szCs w:val="24"/>
        </w:rPr>
        <w:t xml:space="preserve">ion to the repayment obligation </w:t>
      </w:r>
      <w:r w:rsidRPr="00A36F02">
        <w:rPr>
          <w:rFonts w:ascii="Times New Roman" w:hAnsi="Times New Roman" w:cs="Times New Roman"/>
          <w:sz w:val="24"/>
          <w:szCs w:val="24"/>
        </w:rPr>
        <w:t xml:space="preserve">no longer </w:t>
      </w:r>
      <w:r w:rsidR="00562770">
        <w:rPr>
          <w:rFonts w:ascii="Times New Roman" w:hAnsi="Times New Roman" w:cs="Times New Roman"/>
          <w:sz w:val="24"/>
          <w:szCs w:val="24"/>
        </w:rPr>
        <w:t xml:space="preserve">has </w:t>
      </w:r>
      <w:r w:rsidRPr="00A36F02">
        <w:rPr>
          <w:rFonts w:ascii="Times New Roman" w:hAnsi="Times New Roman" w:cs="Times New Roman"/>
          <w:sz w:val="24"/>
          <w:szCs w:val="24"/>
        </w:rPr>
        <w:t xml:space="preserve">an investment grade </w:t>
      </w:r>
      <w:r w:rsidR="00562770">
        <w:rPr>
          <w:rFonts w:ascii="Times New Roman" w:hAnsi="Times New Roman" w:cs="Times New Roman"/>
          <w:sz w:val="24"/>
          <w:szCs w:val="24"/>
        </w:rPr>
        <w:t xml:space="preserve">credit </w:t>
      </w:r>
      <w:r w:rsidRPr="00A36F02">
        <w:rPr>
          <w:rFonts w:ascii="Times New Roman" w:hAnsi="Times New Roman" w:cs="Times New Roman"/>
          <w:sz w:val="24"/>
          <w:szCs w:val="24"/>
        </w:rPr>
        <w:t>rating</w:t>
      </w:r>
      <w:r w:rsidR="00562770">
        <w:rPr>
          <w:rFonts w:ascii="Times New Roman" w:hAnsi="Times New Roman" w:cs="Times New Roman"/>
          <w:sz w:val="24"/>
          <w:szCs w:val="24"/>
        </w:rPr>
        <w:t xml:space="preserve"> </w:t>
      </w:r>
      <w:r w:rsidR="00E32795">
        <w:rPr>
          <w:rFonts w:ascii="Times New Roman" w:hAnsi="Times New Roman" w:cs="Times New Roman"/>
          <w:sz w:val="24"/>
          <w:szCs w:val="24"/>
        </w:rPr>
        <w:t>(where relevant);</w:t>
      </w:r>
      <w:r w:rsidR="00562770">
        <w:rPr>
          <w:rFonts w:ascii="Times New Roman" w:hAnsi="Times New Roman" w:cs="Times New Roman"/>
          <w:sz w:val="24"/>
          <w:szCs w:val="24"/>
        </w:rPr>
        <w:t xml:space="preserve"> and</w:t>
      </w:r>
    </w:p>
    <w:p w:rsidR="000B67F7" w:rsidRPr="000B67F7" w:rsidRDefault="00E32795" w:rsidP="006956C3">
      <w:pPr>
        <w:pStyle w:val="ListParagraph"/>
        <w:numPr>
          <w:ilvl w:val="0"/>
          <w:numId w:val="27"/>
        </w:numPr>
        <w:spacing w:before="240" w:after="240"/>
        <w:rPr>
          <w:rFonts w:ascii="Times New Roman" w:hAnsi="Times New Roman" w:cs="Times New Roman"/>
          <w:sz w:val="24"/>
          <w:szCs w:val="24"/>
        </w:rPr>
      </w:pPr>
      <w:r>
        <w:rPr>
          <w:rFonts w:ascii="Times New Roman" w:hAnsi="Times New Roman" w:cs="Times New Roman"/>
          <w:sz w:val="24"/>
          <w:szCs w:val="24"/>
        </w:rPr>
        <w:t>it</w:t>
      </w:r>
      <w:r w:rsidR="00562770">
        <w:rPr>
          <w:rFonts w:ascii="Times New Roman" w:hAnsi="Times New Roman" w:cs="Times New Roman"/>
          <w:sz w:val="24"/>
          <w:szCs w:val="24"/>
        </w:rPr>
        <w:t xml:space="preserve"> is reasonably likely </w:t>
      </w:r>
      <w:r>
        <w:rPr>
          <w:rFonts w:ascii="Times New Roman" w:hAnsi="Times New Roman" w:cs="Times New Roman"/>
          <w:sz w:val="24"/>
          <w:szCs w:val="24"/>
        </w:rPr>
        <w:t>they will be</w:t>
      </w:r>
      <w:r w:rsidR="00562770">
        <w:rPr>
          <w:rFonts w:ascii="Times New Roman" w:hAnsi="Times New Roman" w:cs="Times New Roman"/>
          <w:sz w:val="24"/>
          <w:szCs w:val="24"/>
        </w:rPr>
        <w:t xml:space="preserve"> unable to meet the obligations guaranteed by the security</w:t>
      </w:r>
      <w:r w:rsidR="000B67F7" w:rsidRPr="00A36F02">
        <w:rPr>
          <w:rFonts w:ascii="Times New Roman" w:hAnsi="Times New Roman" w:cs="Times New Roman"/>
          <w:sz w:val="24"/>
          <w:szCs w:val="24"/>
        </w:rPr>
        <w:t xml:space="preserve">; </w:t>
      </w:r>
      <w:r w:rsidR="000B67F7" w:rsidRPr="000B67F7">
        <w:rPr>
          <w:rFonts w:ascii="Times New Roman" w:hAnsi="Times New Roman" w:cs="Times New Roman"/>
          <w:sz w:val="24"/>
          <w:szCs w:val="24"/>
        </w:rPr>
        <w:t xml:space="preserve">and </w:t>
      </w:r>
    </w:p>
    <w:p w:rsidR="001D0BC9" w:rsidRPr="00562770" w:rsidRDefault="006F3722" w:rsidP="00562770">
      <w:pPr>
        <w:pStyle w:val="ListParagraph"/>
        <w:numPr>
          <w:ilvl w:val="0"/>
          <w:numId w:val="27"/>
        </w:numPr>
        <w:spacing w:before="240" w:after="240"/>
        <w:rPr>
          <w:rFonts w:ascii="Times New Roman" w:hAnsi="Times New Roman" w:cs="Times New Roman"/>
          <w:sz w:val="24"/>
          <w:szCs w:val="24"/>
        </w:rPr>
      </w:pPr>
      <w:r w:rsidRPr="00562770">
        <w:rPr>
          <w:rFonts w:ascii="Times New Roman" w:hAnsi="Times New Roman" w:cs="Times New Roman"/>
          <w:sz w:val="24"/>
          <w:szCs w:val="24"/>
        </w:rPr>
        <w:t>an appropriate replacement security has not been provided to the Secretary.</w:t>
      </w:r>
    </w:p>
    <w:p w:rsidR="00562770" w:rsidRDefault="00562770" w:rsidP="006956C3">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11(4) of the Rule clarifies that if an appropriate replacement security is subsequently provided to the Secretary, the FSSP that would have been payable </w:t>
      </w:r>
      <w:r w:rsidR="00B26CEA">
        <w:rPr>
          <w:rFonts w:ascii="Times New Roman" w:hAnsi="Times New Roman" w:cs="Times New Roman"/>
          <w:sz w:val="24"/>
          <w:szCs w:val="24"/>
        </w:rPr>
        <w:t>i</w:t>
      </w:r>
      <w:r>
        <w:rPr>
          <w:rFonts w:ascii="Times New Roman" w:hAnsi="Times New Roman" w:cs="Times New Roman"/>
          <w:sz w:val="24"/>
          <w:szCs w:val="24"/>
        </w:rPr>
        <w:t>n relation to the rel</w:t>
      </w:r>
      <w:r w:rsidR="00B26CEA">
        <w:rPr>
          <w:rFonts w:ascii="Times New Roman" w:hAnsi="Times New Roman" w:cs="Times New Roman"/>
          <w:sz w:val="24"/>
          <w:szCs w:val="24"/>
        </w:rPr>
        <w:t>e</w:t>
      </w:r>
      <w:r>
        <w:rPr>
          <w:rFonts w:ascii="Times New Roman" w:hAnsi="Times New Roman" w:cs="Times New Roman"/>
          <w:sz w:val="24"/>
          <w:szCs w:val="24"/>
        </w:rPr>
        <w:t xml:space="preserve">vant quarter </w:t>
      </w:r>
      <w:r w:rsidR="00B26CEA">
        <w:rPr>
          <w:rFonts w:ascii="Times New Roman" w:hAnsi="Times New Roman" w:cs="Times New Roman"/>
          <w:sz w:val="24"/>
          <w:szCs w:val="24"/>
        </w:rPr>
        <w:t xml:space="preserve">but for subsection 11(3) </w:t>
      </w:r>
      <w:r w:rsidR="00413530">
        <w:rPr>
          <w:rFonts w:ascii="Times New Roman" w:hAnsi="Times New Roman" w:cs="Times New Roman"/>
          <w:sz w:val="24"/>
          <w:szCs w:val="24"/>
        </w:rPr>
        <w:t>is</w:t>
      </w:r>
      <w:r w:rsidR="00B26CEA">
        <w:rPr>
          <w:rFonts w:ascii="Times New Roman" w:hAnsi="Times New Roman" w:cs="Times New Roman"/>
          <w:sz w:val="24"/>
          <w:szCs w:val="24"/>
        </w:rPr>
        <w:t xml:space="preserve"> then payable.</w:t>
      </w:r>
    </w:p>
    <w:p w:rsidR="00936EB0" w:rsidRPr="00936EB0" w:rsidRDefault="00562770" w:rsidP="006956C3">
      <w:pPr>
        <w:spacing w:before="240" w:after="240"/>
        <w:rPr>
          <w:rFonts w:ascii="Times New Roman" w:hAnsi="Times New Roman" w:cs="Times New Roman"/>
          <w:sz w:val="24"/>
          <w:szCs w:val="24"/>
        </w:rPr>
      </w:pPr>
      <w:r>
        <w:rPr>
          <w:rFonts w:ascii="Times New Roman" w:hAnsi="Times New Roman" w:cs="Times New Roman"/>
          <w:sz w:val="24"/>
          <w:szCs w:val="24"/>
        </w:rPr>
        <w:t>Subsections 11(3) and (4) are</w:t>
      </w:r>
      <w:r w:rsidR="00936EB0">
        <w:rPr>
          <w:rFonts w:ascii="Times New Roman" w:hAnsi="Times New Roman" w:cs="Times New Roman"/>
          <w:sz w:val="24"/>
          <w:szCs w:val="24"/>
        </w:rPr>
        <w:t xml:space="preserve"> intended to protect the Commonwealth against </w:t>
      </w:r>
      <w:r w:rsidR="0044492D">
        <w:rPr>
          <w:rFonts w:ascii="Times New Roman" w:hAnsi="Times New Roman" w:cs="Times New Roman"/>
          <w:sz w:val="24"/>
          <w:szCs w:val="24"/>
        </w:rPr>
        <w:t xml:space="preserve">potential </w:t>
      </w:r>
      <w:r w:rsidR="00936EB0">
        <w:rPr>
          <w:rFonts w:ascii="Times New Roman" w:hAnsi="Times New Roman" w:cs="Times New Roman"/>
          <w:sz w:val="24"/>
          <w:szCs w:val="24"/>
        </w:rPr>
        <w:t>financial loss</w:t>
      </w:r>
      <w:r w:rsidR="0044492D">
        <w:rPr>
          <w:rFonts w:ascii="Times New Roman" w:hAnsi="Times New Roman" w:cs="Times New Roman"/>
          <w:sz w:val="24"/>
          <w:szCs w:val="24"/>
        </w:rPr>
        <w:t>es</w:t>
      </w:r>
      <w:r w:rsidR="00936EB0">
        <w:rPr>
          <w:rFonts w:ascii="Times New Roman" w:hAnsi="Times New Roman" w:cs="Times New Roman"/>
          <w:sz w:val="24"/>
          <w:szCs w:val="24"/>
        </w:rPr>
        <w:t xml:space="preserve"> that may flow </w:t>
      </w:r>
      <w:r w:rsidR="0044492D">
        <w:rPr>
          <w:rFonts w:ascii="Times New Roman" w:hAnsi="Times New Roman" w:cs="Times New Roman"/>
          <w:sz w:val="24"/>
          <w:szCs w:val="24"/>
        </w:rPr>
        <w:t>if the security</w:t>
      </w:r>
      <w:r w:rsidR="0044492D" w:rsidRPr="0044492D">
        <w:rPr>
          <w:rFonts w:ascii="Times New Roman" w:hAnsi="Times New Roman" w:cs="Times New Roman"/>
          <w:sz w:val="24"/>
          <w:szCs w:val="24"/>
        </w:rPr>
        <w:t xml:space="preserve"> becomes inadequate to mitigate </w:t>
      </w:r>
      <w:r w:rsidR="0044492D">
        <w:rPr>
          <w:rFonts w:ascii="Times New Roman" w:hAnsi="Times New Roman" w:cs="Times New Roman"/>
          <w:sz w:val="24"/>
          <w:szCs w:val="24"/>
        </w:rPr>
        <w:t xml:space="preserve">the </w:t>
      </w:r>
      <w:r w:rsidR="0044492D" w:rsidRPr="0044492D">
        <w:rPr>
          <w:rFonts w:ascii="Times New Roman" w:hAnsi="Times New Roman" w:cs="Times New Roman"/>
          <w:sz w:val="24"/>
          <w:szCs w:val="24"/>
        </w:rPr>
        <w:t xml:space="preserve">risk of the </w:t>
      </w:r>
      <w:r w:rsidR="0044492D">
        <w:rPr>
          <w:rFonts w:ascii="Times New Roman" w:hAnsi="Times New Roman" w:cs="Times New Roman"/>
          <w:sz w:val="24"/>
          <w:szCs w:val="24"/>
        </w:rPr>
        <w:t>refinery operator</w:t>
      </w:r>
      <w:r w:rsidR="0044492D" w:rsidRPr="0044492D">
        <w:rPr>
          <w:rFonts w:ascii="Times New Roman" w:hAnsi="Times New Roman" w:cs="Times New Roman"/>
          <w:sz w:val="24"/>
          <w:szCs w:val="24"/>
        </w:rPr>
        <w:t xml:space="preserve"> being unable to meet any repayment obligations which may arise under section 50 of the Act</w:t>
      </w:r>
      <w:r w:rsidR="0044492D">
        <w:rPr>
          <w:rFonts w:ascii="Times New Roman" w:hAnsi="Times New Roman" w:cs="Times New Roman"/>
          <w:sz w:val="24"/>
          <w:szCs w:val="24"/>
        </w:rPr>
        <w:t>.</w:t>
      </w:r>
      <w:r w:rsidR="006F3722">
        <w:rPr>
          <w:rFonts w:ascii="Times New Roman" w:hAnsi="Times New Roman" w:cs="Times New Roman"/>
          <w:sz w:val="24"/>
          <w:szCs w:val="24"/>
        </w:rPr>
        <w:t xml:space="preserve"> </w:t>
      </w:r>
    </w:p>
    <w:p w:rsidR="00CB57C6" w:rsidRDefault="001C6167" w:rsidP="006956C3">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471AF3">
        <w:rPr>
          <w:rFonts w:ascii="Times New Roman" w:hAnsi="Times New Roman" w:cs="Times New Roman"/>
          <w:sz w:val="24"/>
          <w:szCs w:val="24"/>
        </w:rPr>
        <w:t>11</w:t>
      </w:r>
      <w:r>
        <w:rPr>
          <w:rFonts w:ascii="Times New Roman" w:hAnsi="Times New Roman" w:cs="Times New Roman"/>
          <w:sz w:val="24"/>
          <w:szCs w:val="24"/>
        </w:rPr>
        <w:t>(</w:t>
      </w:r>
      <w:r w:rsidR="0026406D">
        <w:rPr>
          <w:rFonts w:ascii="Times New Roman" w:hAnsi="Times New Roman" w:cs="Times New Roman"/>
          <w:sz w:val="24"/>
          <w:szCs w:val="24"/>
        </w:rPr>
        <w:t>5) of the Rule establishes a definition of the term “</w:t>
      </w:r>
      <w:r w:rsidR="0026406D" w:rsidRPr="00CB57C6">
        <w:rPr>
          <w:rFonts w:ascii="Times New Roman" w:hAnsi="Times New Roman" w:cs="Times New Roman"/>
          <w:i/>
          <w:sz w:val="24"/>
          <w:szCs w:val="24"/>
        </w:rPr>
        <w:t>appropriate replacement security</w:t>
      </w:r>
      <w:r w:rsidR="0026406D">
        <w:rPr>
          <w:rFonts w:ascii="Times New Roman" w:hAnsi="Times New Roman" w:cs="Times New Roman"/>
          <w:sz w:val="24"/>
          <w:szCs w:val="24"/>
        </w:rPr>
        <w:t>” for the purpose of paragraph 11(3)(c) and subsection 11(4) of the Rule</w:t>
      </w:r>
      <w:r w:rsidR="00CB57C6">
        <w:rPr>
          <w:rFonts w:ascii="Times New Roman" w:hAnsi="Times New Roman" w:cs="Times New Roman"/>
          <w:sz w:val="24"/>
          <w:szCs w:val="24"/>
        </w:rPr>
        <w:t>. That term is defined as including:</w:t>
      </w:r>
    </w:p>
    <w:p w:rsidR="00CB57C6" w:rsidRPr="00CB57C6" w:rsidRDefault="0026406D" w:rsidP="00CB57C6">
      <w:pPr>
        <w:pStyle w:val="ListParagraph"/>
        <w:numPr>
          <w:ilvl w:val="0"/>
          <w:numId w:val="31"/>
        </w:numPr>
        <w:spacing w:before="240" w:after="240"/>
        <w:rPr>
          <w:rFonts w:ascii="Times New Roman" w:hAnsi="Times New Roman" w:cs="Times New Roman"/>
          <w:sz w:val="24"/>
          <w:szCs w:val="24"/>
        </w:rPr>
      </w:pPr>
      <w:r w:rsidRPr="00CB57C6">
        <w:rPr>
          <w:rFonts w:ascii="Times New Roman" w:hAnsi="Times New Roman" w:cs="Times New Roman"/>
          <w:sz w:val="24"/>
          <w:szCs w:val="24"/>
        </w:rPr>
        <w:t>a bank guarantee</w:t>
      </w:r>
      <w:r w:rsidRPr="0026406D">
        <w:t xml:space="preserve"> </w:t>
      </w:r>
      <w:r w:rsidRPr="00CB57C6">
        <w:rPr>
          <w:rFonts w:ascii="Times New Roman" w:hAnsi="Times New Roman" w:cs="Times New Roman"/>
          <w:sz w:val="24"/>
          <w:szCs w:val="24"/>
        </w:rPr>
        <w:t>covering the payment of any debt due under section 50 of the Act by the applicant that has not been paid at the time it becomes due and payable (as per paragraph 6(3)(b) of the Rule)</w:t>
      </w:r>
      <w:r w:rsidR="00CB57C6" w:rsidRPr="00CB57C6">
        <w:rPr>
          <w:rFonts w:ascii="Times New Roman" w:hAnsi="Times New Roman" w:cs="Times New Roman"/>
          <w:sz w:val="24"/>
          <w:szCs w:val="24"/>
        </w:rPr>
        <w:t>;</w:t>
      </w:r>
      <w:r w:rsidRPr="00CB57C6">
        <w:rPr>
          <w:rFonts w:ascii="Times New Roman" w:hAnsi="Times New Roman" w:cs="Times New Roman"/>
          <w:sz w:val="24"/>
          <w:szCs w:val="24"/>
        </w:rPr>
        <w:t xml:space="preserve"> or </w:t>
      </w:r>
    </w:p>
    <w:p w:rsidR="0026406D" w:rsidRPr="00CB57C6" w:rsidRDefault="00CB57C6" w:rsidP="00CB57C6">
      <w:pPr>
        <w:pStyle w:val="ListParagraph"/>
        <w:numPr>
          <w:ilvl w:val="0"/>
          <w:numId w:val="31"/>
        </w:numPr>
        <w:spacing w:before="240" w:after="240"/>
        <w:rPr>
          <w:rFonts w:ascii="Times New Roman" w:hAnsi="Times New Roman" w:cs="Times New Roman"/>
          <w:sz w:val="24"/>
          <w:szCs w:val="24"/>
        </w:rPr>
      </w:pPr>
      <w:r w:rsidRPr="00CB57C6">
        <w:rPr>
          <w:rFonts w:ascii="Times New Roman" w:hAnsi="Times New Roman" w:cs="Times New Roman"/>
          <w:sz w:val="24"/>
          <w:szCs w:val="24"/>
        </w:rPr>
        <w:t xml:space="preserve">a replacement guarantee provided by the Australian controlling corporation </w:t>
      </w:r>
      <w:r>
        <w:rPr>
          <w:rFonts w:ascii="Times New Roman" w:hAnsi="Times New Roman" w:cs="Times New Roman"/>
          <w:sz w:val="24"/>
          <w:szCs w:val="24"/>
        </w:rPr>
        <w:t xml:space="preserve">for </w:t>
      </w:r>
      <w:r w:rsidRPr="00CB57C6">
        <w:rPr>
          <w:rFonts w:ascii="Times New Roman" w:hAnsi="Times New Roman" w:cs="Times New Roman"/>
          <w:sz w:val="24"/>
          <w:szCs w:val="24"/>
        </w:rPr>
        <w:t xml:space="preserve">the refinery operator (i.e. recipient of the FSSP) in accordance with </w:t>
      </w:r>
      <w:r w:rsidR="0026406D" w:rsidRPr="00CB57C6">
        <w:rPr>
          <w:rFonts w:ascii="Times New Roman" w:hAnsi="Times New Roman" w:cs="Times New Roman"/>
          <w:sz w:val="24"/>
          <w:szCs w:val="24"/>
        </w:rPr>
        <w:t>subpar</w:t>
      </w:r>
      <w:r w:rsidRPr="00CB57C6">
        <w:rPr>
          <w:rFonts w:ascii="Times New Roman" w:hAnsi="Times New Roman" w:cs="Times New Roman"/>
          <w:sz w:val="24"/>
          <w:szCs w:val="24"/>
        </w:rPr>
        <w:t>agraph 6(3)(a)(iii) of the Rule</w:t>
      </w:r>
      <w:r w:rsidR="0026406D" w:rsidRPr="00CB57C6">
        <w:rPr>
          <w:rFonts w:ascii="Times New Roman" w:hAnsi="Times New Roman" w:cs="Times New Roman"/>
          <w:sz w:val="24"/>
          <w:szCs w:val="24"/>
        </w:rPr>
        <w:t>.</w:t>
      </w:r>
    </w:p>
    <w:p w:rsidR="001C6167" w:rsidRPr="00936EB0" w:rsidRDefault="001C6167" w:rsidP="006956C3">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471AF3">
        <w:rPr>
          <w:rFonts w:ascii="Times New Roman" w:hAnsi="Times New Roman" w:cs="Times New Roman"/>
          <w:sz w:val="24"/>
          <w:szCs w:val="24"/>
        </w:rPr>
        <w:t>11</w:t>
      </w:r>
      <w:r>
        <w:rPr>
          <w:rFonts w:ascii="Times New Roman" w:hAnsi="Times New Roman" w:cs="Times New Roman"/>
          <w:sz w:val="24"/>
          <w:szCs w:val="24"/>
        </w:rPr>
        <w:t>(</w:t>
      </w:r>
      <w:r w:rsidR="0026406D">
        <w:rPr>
          <w:rFonts w:ascii="Times New Roman" w:hAnsi="Times New Roman" w:cs="Times New Roman"/>
          <w:sz w:val="24"/>
          <w:szCs w:val="24"/>
        </w:rPr>
        <w:t>6</w:t>
      </w:r>
      <w:r>
        <w:rPr>
          <w:rFonts w:ascii="Times New Roman" w:hAnsi="Times New Roman" w:cs="Times New Roman"/>
          <w:sz w:val="24"/>
          <w:szCs w:val="24"/>
        </w:rPr>
        <w:t>)</w:t>
      </w:r>
      <w:r w:rsidR="00471AF3">
        <w:rPr>
          <w:rFonts w:ascii="Times New Roman" w:hAnsi="Times New Roman" w:cs="Times New Roman"/>
          <w:sz w:val="24"/>
          <w:szCs w:val="24"/>
        </w:rPr>
        <w:t xml:space="preserve"> of the Rule</w:t>
      </w:r>
      <w:r>
        <w:rPr>
          <w:rFonts w:ascii="Times New Roman" w:hAnsi="Times New Roman" w:cs="Times New Roman"/>
          <w:sz w:val="24"/>
          <w:szCs w:val="24"/>
        </w:rPr>
        <w:t xml:space="preserve"> ensures that any decision that FSSP is not payable for a quarter is a reviewable decision under Part 5 of the Act.</w:t>
      </w:r>
    </w:p>
    <w:p w:rsidR="00C22158" w:rsidRDefault="00C22158"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12</w:t>
      </w:r>
      <w:r w:rsidRPr="00366EF0">
        <w:rPr>
          <w:rFonts w:ascii="Times New Roman" w:hAnsi="Times New Roman" w:cs="Times New Roman"/>
          <w:b/>
          <w:sz w:val="24"/>
          <w:szCs w:val="24"/>
        </w:rPr>
        <w:t xml:space="preserve"> –</w:t>
      </w:r>
      <w:r w:rsidRPr="00C22158">
        <w:rPr>
          <w:rFonts w:ascii="Times New Roman" w:eastAsia="Calibri" w:hAnsi="Times New Roman" w:cs="Times New Roman"/>
          <w:szCs w:val="20"/>
        </w:rPr>
        <w:t xml:space="preserve"> </w:t>
      </w:r>
      <w:r w:rsidRPr="00C22158">
        <w:rPr>
          <w:rFonts w:ascii="Times New Roman" w:hAnsi="Times New Roman" w:cs="Times New Roman"/>
          <w:b/>
          <w:sz w:val="24"/>
          <w:szCs w:val="24"/>
        </w:rPr>
        <w:t>Rate of fuel security services payment</w:t>
      </w:r>
    </w:p>
    <w:p w:rsidR="00573458" w:rsidRDefault="00573458"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subsection 43(1) of the Act, the </w:t>
      </w:r>
      <w:r w:rsidR="00D4676D">
        <w:rPr>
          <w:rFonts w:ascii="Times New Roman" w:hAnsi="Times New Roman" w:cs="Times New Roman"/>
          <w:sz w:val="24"/>
          <w:szCs w:val="24"/>
        </w:rPr>
        <w:t xml:space="preserve">method for determining the </w:t>
      </w:r>
      <w:r>
        <w:rPr>
          <w:rFonts w:ascii="Times New Roman" w:hAnsi="Times New Roman" w:cs="Times New Roman"/>
          <w:sz w:val="24"/>
          <w:szCs w:val="24"/>
        </w:rPr>
        <w:t xml:space="preserve">number of cents per litre </w:t>
      </w:r>
      <w:r w:rsidR="00D4676D">
        <w:rPr>
          <w:rFonts w:ascii="Times New Roman" w:hAnsi="Times New Roman" w:cs="Times New Roman"/>
          <w:sz w:val="24"/>
          <w:szCs w:val="24"/>
        </w:rPr>
        <w:t xml:space="preserve">payable </w:t>
      </w:r>
      <w:r>
        <w:rPr>
          <w:rFonts w:ascii="Times New Roman" w:hAnsi="Times New Roman" w:cs="Times New Roman"/>
          <w:sz w:val="24"/>
          <w:szCs w:val="24"/>
        </w:rPr>
        <w:t>for each FSSP fuel</w:t>
      </w:r>
      <w:r w:rsidR="00D4676D">
        <w:rPr>
          <w:rFonts w:ascii="Times New Roman" w:hAnsi="Times New Roman" w:cs="Times New Roman"/>
          <w:sz w:val="24"/>
          <w:szCs w:val="24"/>
        </w:rPr>
        <w:t xml:space="preserve"> for a quarter</w:t>
      </w:r>
      <w:r w:rsidR="008D03C0">
        <w:rPr>
          <w:rFonts w:ascii="Times New Roman" w:hAnsi="Times New Roman" w:cs="Times New Roman"/>
          <w:sz w:val="24"/>
          <w:szCs w:val="24"/>
        </w:rPr>
        <w:t xml:space="preserve"> for a committed refinery</w:t>
      </w:r>
      <w:r>
        <w:rPr>
          <w:rFonts w:ascii="Times New Roman" w:hAnsi="Times New Roman" w:cs="Times New Roman"/>
          <w:sz w:val="24"/>
          <w:szCs w:val="24"/>
        </w:rPr>
        <w:t>.</w:t>
      </w:r>
    </w:p>
    <w:p w:rsidR="00281157" w:rsidRDefault="00573458" w:rsidP="000D0E22">
      <w:pPr>
        <w:spacing w:before="240" w:after="240"/>
        <w:rPr>
          <w:rFonts w:ascii="Times New Roman" w:hAnsi="Times New Roman" w:cs="Times New Roman"/>
          <w:sz w:val="24"/>
          <w:szCs w:val="24"/>
        </w:rPr>
      </w:pPr>
      <w:r w:rsidRPr="00573458">
        <w:rPr>
          <w:rFonts w:ascii="Times New Roman" w:hAnsi="Times New Roman" w:cs="Times New Roman"/>
          <w:sz w:val="24"/>
          <w:szCs w:val="24"/>
        </w:rPr>
        <w:t>As required under subsection 43(5) of the Act,</w:t>
      </w:r>
      <w:r>
        <w:rPr>
          <w:rFonts w:ascii="Times New Roman" w:hAnsi="Times New Roman" w:cs="Times New Roman"/>
          <w:sz w:val="24"/>
          <w:szCs w:val="24"/>
        </w:rPr>
        <w:t xml:space="preserve"> i</w:t>
      </w:r>
      <w:r w:rsidR="004B46ED">
        <w:rPr>
          <w:rFonts w:ascii="Times New Roman" w:hAnsi="Times New Roman" w:cs="Times New Roman"/>
          <w:sz w:val="24"/>
          <w:szCs w:val="24"/>
        </w:rPr>
        <w:t xml:space="preserve">n making this </w:t>
      </w:r>
      <w:r w:rsidR="00281157">
        <w:rPr>
          <w:rFonts w:ascii="Times New Roman" w:hAnsi="Times New Roman" w:cs="Times New Roman"/>
          <w:sz w:val="24"/>
          <w:szCs w:val="24"/>
        </w:rPr>
        <w:t>provision of the Rule</w:t>
      </w:r>
      <w:r w:rsidR="004B46ED">
        <w:rPr>
          <w:rFonts w:ascii="Times New Roman" w:hAnsi="Times New Roman" w:cs="Times New Roman"/>
          <w:sz w:val="24"/>
          <w:szCs w:val="24"/>
        </w:rPr>
        <w:t xml:space="preserve">, the Minister </w:t>
      </w:r>
      <w:r w:rsidR="00281157">
        <w:rPr>
          <w:rFonts w:ascii="Times New Roman" w:hAnsi="Times New Roman" w:cs="Times New Roman"/>
          <w:sz w:val="24"/>
          <w:szCs w:val="24"/>
        </w:rPr>
        <w:t>had regard to matters including:</w:t>
      </w:r>
    </w:p>
    <w:p w:rsidR="00281157" w:rsidRPr="00281157" w:rsidRDefault="00281157" w:rsidP="00281157">
      <w:pPr>
        <w:pStyle w:val="ListParagraph"/>
        <w:numPr>
          <w:ilvl w:val="0"/>
          <w:numId w:val="4"/>
        </w:numPr>
        <w:spacing w:before="240" w:after="240"/>
        <w:rPr>
          <w:rFonts w:ascii="Times New Roman" w:hAnsi="Times New Roman" w:cs="Times New Roman"/>
          <w:sz w:val="24"/>
          <w:szCs w:val="24"/>
        </w:rPr>
      </w:pPr>
      <w:r w:rsidRPr="00281157">
        <w:rPr>
          <w:rFonts w:ascii="Times New Roman" w:hAnsi="Times New Roman" w:cs="Times New Roman"/>
          <w:sz w:val="24"/>
          <w:szCs w:val="24"/>
        </w:rPr>
        <w:lastRenderedPageBreak/>
        <w:t>the determination made by the Minister under subsection 44(1) of the Act</w:t>
      </w:r>
      <w:r w:rsidR="00E467AA">
        <w:rPr>
          <w:rFonts w:ascii="Times New Roman" w:hAnsi="Times New Roman" w:cs="Times New Roman"/>
          <w:sz w:val="24"/>
          <w:szCs w:val="24"/>
        </w:rPr>
        <w:t xml:space="preserve"> </w:t>
      </w:r>
      <w:r w:rsidR="00E467AA" w:rsidRPr="00DF5B1C">
        <w:rPr>
          <w:rFonts w:ascii="Times New Roman" w:hAnsi="Times New Roman" w:cs="Times New Roman"/>
          <w:sz w:val="24"/>
          <w:szCs w:val="24"/>
        </w:rPr>
        <w:t>that 6.4 c</w:t>
      </w:r>
      <w:r w:rsidR="00E467AA">
        <w:rPr>
          <w:rFonts w:ascii="Times New Roman" w:hAnsi="Times New Roman" w:cs="Times New Roman"/>
          <w:sz w:val="24"/>
          <w:szCs w:val="24"/>
        </w:rPr>
        <w:t xml:space="preserve">ents </w:t>
      </w:r>
      <w:r w:rsidR="00E467AA" w:rsidRPr="00DF5B1C">
        <w:rPr>
          <w:rFonts w:ascii="Times New Roman" w:hAnsi="Times New Roman" w:cs="Times New Roman"/>
          <w:sz w:val="24"/>
          <w:szCs w:val="24"/>
        </w:rPr>
        <w:t>p</w:t>
      </w:r>
      <w:r w:rsidR="00E467AA">
        <w:rPr>
          <w:rFonts w:ascii="Times New Roman" w:hAnsi="Times New Roman" w:cs="Times New Roman"/>
          <w:sz w:val="24"/>
          <w:szCs w:val="24"/>
        </w:rPr>
        <w:t xml:space="preserve">er </w:t>
      </w:r>
      <w:r w:rsidR="00E467AA" w:rsidRPr="00DF5B1C">
        <w:rPr>
          <w:rFonts w:ascii="Times New Roman" w:hAnsi="Times New Roman" w:cs="Times New Roman"/>
          <w:sz w:val="24"/>
          <w:szCs w:val="24"/>
        </w:rPr>
        <w:t>l</w:t>
      </w:r>
      <w:r w:rsidR="00E467AA">
        <w:rPr>
          <w:rFonts w:ascii="Times New Roman" w:hAnsi="Times New Roman" w:cs="Times New Roman"/>
          <w:sz w:val="24"/>
          <w:szCs w:val="24"/>
        </w:rPr>
        <w:t>itre (cpl)</w:t>
      </w:r>
      <w:r w:rsidR="00E467AA" w:rsidRPr="00DF5B1C">
        <w:rPr>
          <w:rFonts w:ascii="Times New Roman" w:hAnsi="Times New Roman" w:cs="Times New Roman"/>
          <w:sz w:val="24"/>
          <w:szCs w:val="24"/>
        </w:rPr>
        <w:t xml:space="preserve"> is, at the time of </w:t>
      </w:r>
      <w:r w:rsidR="00B274F1">
        <w:rPr>
          <w:rFonts w:ascii="Times New Roman" w:hAnsi="Times New Roman" w:cs="Times New Roman"/>
          <w:sz w:val="24"/>
          <w:szCs w:val="24"/>
        </w:rPr>
        <w:t xml:space="preserve">making </w:t>
      </w:r>
      <w:r w:rsidR="00E467AA" w:rsidRPr="00DF5B1C">
        <w:rPr>
          <w:rFonts w:ascii="Times New Roman" w:hAnsi="Times New Roman" w:cs="Times New Roman"/>
          <w:sz w:val="24"/>
          <w:szCs w:val="24"/>
        </w:rPr>
        <w:t xml:space="preserve">that determination, the margin sufficient to ensure that refineries operating in Australia over the period starting on </w:t>
      </w:r>
      <w:r w:rsidR="00E467AA">
        <w:rPr>
          <w:rFonts w:ascii="Times New Roman" w:hAnsi="Times New Roman" w:cs="Times New Roman"/>
          <w:sz w:val="24"/>
          <w:szCs w:val="24"/>
        </w:rPr>
        <w:t>30 June 2021</w:t>
      </w:r>
      <w:r w:rsidR="00E467AA" w:rsidRPr="00DF5B1C">
        <w:rPr>
          <w:rFonts w:ascii="Times New Roman" w:hAnsi="Times New Roman" w:cs="Times New Roman"/>
          <w:sz w:val="24"/>
          <w:szCs w:val="24"/>
        </w:rPr>
        <w:t xml:space="preserve"> and ending on 30 June 2027 do not make a loss</w:t>
      </w:r>
      <w:r w:rsidR="00E467AA">
        <w:rPr>
          <w:rFonts w:ascii="Times New Roman" w:hAnsi="Times New Roman" w:cs="Times New Roman"/>
          <w:sz w:val="24"/>
          <w:szCs w:val="24"/>
        </w:rPr>
        <w:t>;</w:t>
      </w:r>
    </w:p>
    <w:p w:rsidR="00281157" w:rsidRPr="00281157" w:rsidRDefault="00281157" w:rsidP="00281157">
      <w:pPr>
        <w:pStyle w:val="ListParagraph"/>
        <w:numPr>
          <w:ilvl w:val="0"/>
          <w:numId w:val="4"/>
        </w:numPr>
        <w:spacing w:before="240" w:after="240"/>
        <w:rPr>
          <w:rFonts w:ascii="Times New Roman" w:hAnsi="Times New Roman" w:cs="Times New Roman"/>
          <w:sz w:val="24"/>
          <w:szCs w:val="24"/>
        </w:rPr>
      </w:pPr>
      <w:r w:rsidRPr="00281157">
        <w:rPr>
          <w:rFonts w:ascii="Times New Roman" w:hAnsi="Times New Roman" w:cs="Times New Roman"/>
          <w:sz w:val="24"/>
          <w:szCs w:val="24"/>
        </w:rPr>
        <w:t xml:space="preserve">the principle that (subject to the 1.8 cent per litre cap under </w:t>
      </w:r>
      <w:r w:rsidR="00471AF3">
        <w:rPr>
          <w:rFonts w:ascii="Times New Roman" w:hAnsi="Times New Roman" w:cs="Times New Roman"/>
          <w:sz w:val="24"/>
          <w:szCs w:val="24"/>
        </w:rPr>
        <w:t>paragraph</w:t>
      </w:r>
      <w:r w:rsidR="00471AF3" w:rsidRPr="00281157">
        <w:rPr>
          <w:rFonts w:ascii="Times New Roman" w:hAnsi="Times New Roman" w:cs="Times New Roman"/>
          <w:sz w:val="24"/>
          <w:szCs w:val="24"/>
        </w:rPr>
        <w:t xml:space="preserve"> </w:t>
      </w:r>
      <w:r w:rsidRPr="00281157">
        <w:rPr>
          <w:rFonts w:ascii="Times New Roman" w:hAnsi="Times New Roman" w:cs="Times New Roman"/>
          <w:sz w:val="24"/>
          <w:szCs w:val="24"/>
        </w:rPr>
        <w:t>43(2)(a) of the Act) the amount of the FSSP paid to a person for quarters ending in the person’s commitment period should be guided by the margin that is sufficient to ensure that refineries operating in Australia over the person’s commitmen</w:t>
      </w:r>
      <w:r w:rsidR="00936EB0">
        <w:rPr>
          <w:rFonts w:ascii="Times New Roman" w:hAnsi="Times New Roman" w:cs="Times New Roman"/>
          <w:sz w:val="24"/>
          <w:szCs w:val="24"/>
        </w:rPr>
        <w:t>t period do not make a loss;</w:t>
      </w:r>
    </w:p>
    <w:p w:rsidR="004B46ED" w:rsidRPr="00936EB0" w:rsidRDefault="00281157" w:rsidP="00281157">
      <w:pPr>
        <w:pStyle w:val="ListParagraph"/>
        <w:numPr>
          <w:ilvl w:val="0"/>
          <w:numId w:val="4"/>
        </w:numPr>
        <w:spacing w:before="240" w:after="240"/>
        <w:rPr>
          <w:rFonts w:ascii="Times New Roman" w:hAnsi="Times New Roman" w:cs="Times New Roman"/>
          <w:b/>
          <w:sz w:val="24"/>
          <w:szCs w:val="24"/>
        </w:rPr>
      </w:pPr>
      <w:r w:rsidRPr="00281157">
        <w:rPr>
          <w:rFonts w:ascii="Times New Roman" w:hAnsi="Times New Roman" w:cs="Times New Roman"/>
          <w:sz w:val="24"/>
          <w:szCs w:val="24"/>
        </w:rPr>
        <w:t xml:space="preserve">other matters, set out under subsections 43(6) and (7) of the Act, relevant for determining the margin sufficient to ensure that refineries operating </w:t>
      </w:r>
      <w:r w:rsidR="00936EB0">
        <w:rPr>
          <w:rFonts w:ascii="Times New Roman" w:hAnsi="Times New Roman" w:cs="Times New Roman"/>
          <w:sz w:val="24"/>
          <w:szCs w:val="24"/>
        </w:rPr>
        <w:t>in Australia do not make a loss; and</w:t>
      </w:r>
    </w:p>
    <w:p w:rsidR="00936EB0" w:rsidRPr="00936EB0" w:rsidRDefault="00936EB0" w:rsidP="000500EF">
      <w:pPr>
        <w:pStyle w:val="ListParagraph"/>
        <w:numPr>
          <w:ilvl w:val="0"/>
          <w:numId w:val="4"/>
        </w:numPr>
        <w:spacing w:before="240" w:after="240"/>
        <w:rPr>
          <w:rFonts w:ascii="Times New Roman" w:hAnsi="Times New Roman" w:cs="Times New Roman"/>
          <w:sz w:val="24"/>
          <w:szCs w:val="24"/>
        </w:rPr>
      </w:pPr>
      <w:r w:rsidRPr="00936EB0">
        <w:rPr>
          <w:rFonts w:ascii="Times New Roman" w:hAnsi="Times New Roman" w:cs="Times New Roman"/>
          <w:sz w:val="24"/>
          <w:szCs w:val="24"/>
        </w:rPr>
        <w:t xml:space="preserve">the </w:t>
      </w:r>
      <w:r w:rsidR="00B55965">
        <w:rPr>
          <w:rFonts w:ascii="Times New Roman" w:hAnsi="Times New Roman" w:cs="Times New Roman"/>
          <w:sz w:val="24"/>
          <w:szCs w:val="24"/>
        </w:rPr>
        <w:t>G</w:t>
      </w:r>
      <w:r w:rsidR="00B55965" w:rsidRPr="00936EB0">
        <w:rPr>
          <w:rFonts w:ascii="Times New Roman" w:hAnsi="Times New Roman" w:cs="Times New Roman"/>
          <w:sz w:val="24"/>
          <w:szCs w:val="24"/>
        </w:rPr>
        <w:t xml:space="preserve">uidelines </w:t>
      </w:r>
      <w:r w:rsidRPr="00936EB0">
        <w:rPr>
          <w:rFonts w:ascii="Times New Roman" w:hAnsi="Times New Roman" w:cs="Times New Roman"/>
          <w:sz w:val="24"/>
          <w:szCs w:val="24"/>
        </w:rPr>
        <w:t xml:space="preserve">made by the Minister under subsection 44(3) </w:t>
      </w:r>
      <w:r w:rsidRPr="00BD5CFF">
        <w:rPr>
          <w:rFonts w:ascii="Times New Roman" w:hAnsi="Times New Roman" w:cs="Times New Roman"/>
          <w:sz w:val="24"/>
          <w:szCs w:val="24"/>
        </w:rPr>
        <w:t xml:space="preserve">of the Act </w:t>
      </w:r>
      <w:r w:rsidRPr="00025ACD">
        <w:rPr>
          <w:rFonts w:ascii="Times New Roman" w:hAnsi="Times New Roman" w:cs="Times New Roman"/>
          <w:sz w:val="24"/>
          <w:szCs w:val="24"/>
        </w:rPr>
        <w:t>i</w:t>
      </w:r>
      <w:r w:rsidRPr="00936EB0">
        <w:rPr>
          <w:rFonts w:ascii="Times New Roman" w:hAnsi="Times New Roman" w:cs="Times New Roman"/>
          <w:sz w:val="24"/>
          <w:szCs w:val="24"/>
        </w:rPr>
        <w:t>n relation to the prescribing of a method for working out a number of cents per litre for an FSSP fuel</w:t>
      </w:r>
      <w:r w:rsidR="000500EF" w:rsidRPr="000500EF">
        <w:t xml:space="preserve"> </w:t>
      </w:r>
      <w:r w:rsidR="000500EF">
        <w:t xml:space="preserve">– </w:t>
      </w:r>
      <w:r w:rsidR="000500EF" w:rsidRPr="000500EF">
        <w:rPr>
          <w:rFonts w:ascii="Times New Roman" w:hAnsi="Times New Roman" w:cs="Times New Roman"/>
          <w:sz w:val="24"/>
          <w:szCs w:val="24"/>
        </w:rPr>
        <w:t xml:space="preserve">the current </w:t>
      </w:r>
      <w:r w:rsidR="00B55965">
        <w:rPr>
          <w:rFonts w:ascii="Times New Roman" w:hAnsi="Times New Roman" w:cs="Times New Roman"/>
          <w:sz w:val="24"/>
          <w:szCs w:val="24"/>
        </w:rPr>
        <w:t>G</w:t>
      </w:r>
      <w:r w:rsidR="000500EF" w:rsidRPr="000500EF">
        <w:rPr>
          <w:rFonts w:ascii="Times New Roman" w:hAnsi="Times New Roman" w:cs="Times New Roman"/>
          <w:sz w:val="24"/>
          <w:szCs w:val="24"/>
        </w:rPr>
        <w:t>uidelines</w:t>
      </w:r>
      <w:r w:rsidR="009A634C">
        <w:rPr>
          <w:rFonts w:ascii="Times New Roman" w:hAnsi="Times New Roman" w:cs="Times New Roman"/>
          <w:sz w:val="24"/>
          <w:szCs w:val="24"/>
        </w:rPr>
        <w:t>, at the time of making this Rule,</w:t>
      </w:r>
      <w:r w:rsidR="000500EF" w:rsidRPr="000500EF">
        <w:rPr>
          <w:rFonts w:ascii="Times New Roman" w:hAnsi="Times New Roman" w:cs="Times New Roman"/>
          <w:sz w:val="24"/>
          <w:szCs w:val="24"/>
        </w:rPr>
        <w:t xml:space="preserve"> explain the approach to working out the method and the chosen components of the formula in the </w:t>
      </w:r>
      <w:r w:rsidR="00FE31B7">
        <w:rPr>
          <w:rFonts w:ascii="Times New Roman" w:hAnsi="Times New Roman" w:cs="Times New Roman"/>
          <w:sz w:val="24"/>
          <w:szCs w:val="24"/>
        </w:rPr>
        <w:t>R</w:t>
      </w:r>
      <w:r w:rsidR="000500EF" w:rsidRPr="000500EF">
        <w:rPr>
          <w:rFonts w:ascii="Times New Roman" w:hAnsi="Times New Roman" w:cs="Times New Roman"/>
          <w:sz w:val="24"/>
          <w:szCs w:val="24"/>
        </w:rPr>
        <w:t>ule</w:t>
      </w:r>
      <w:r w:rsidRPr="00936EB0">
        <w:rPr>
          <w:rFonts w:ascii="Times New Roman" w:hAnsi="Times New Roman" w:cs="Times New Roman"/>
          <w:sz w:val="24"/>
          <w:szCs w:val="24"/>
        </w:rPr>
        <w:t>.</w:t>
      </w:r>
    </w:p>
    <w:p w:rsidR="0038472E" w:rsidRDefault="00291DDA" w:rsidP="000500EF">
      <w:pPr>
        <w:spacing w:before="240" w:after="240"/>
        <w:rPr>
          <w:rFonts w:ascii="Times New Roman" w:hAnsi="Times New Roman" w:cs="Times New Roman"/>
          <w:sz w:val="24"/>
          <w:szCs w:val="24"/>
        </w:rPr>
      </w:pPr>
      <w:r>
        <w:rPr>
          <w:rFonts w:ascii="Times New Roman" w:hAnsi="Times New Roman" w:cs="Times New Roman"/>
          <w:sz w:val="24"/>
          <w:szCs w:val="24"/>
        </w:rPr>
        <w:t xml:space="preserve">Following consideration of the matters above, </w:t>
      </w:r>
      <w:r w:rsidRPr="00C643A2">
        <w:rPr>
          <w:rFonts w:ascii="Times New Roman" w:hAnsi="Times New Roman" w:cs="Times New Roman"/>
          <w:sz w:val="24"/>
          <w:szCs w:val="24"/>
        </w:rPr>
        <w:t xml:space="preserve">section </w:t>
      </w:r>
      <w:r w:rsidR="00557003">
        <w:rPr>
          <w:rFonts w:ascii="Times New Roman" w:hAnsi="Times New Roman" w:cs="Times New Roman"/>
          <w:sz w:val="24"/>
          <w:szCs w:val="24"/>
        </w:rPr>
        <w:t xml:space="preserve">12 of the Rule </w:t>
      </w:r>
      <w:r w:rsidR="000500EF">
        <w:rPr>
          <w:rFonts w:ascii="Times New Roman" w:hAnsi="Times New Roman" w:cs="Times New Roman"/>
          <w:sz w:val="24"/>
          <w:szCs w:val="24"/>
        </w:rPr>
        <w:t xml:space="preserve">sets out </w:t>
      </w:r>
      <w:r w:rsidR="00557003">
        <w:rPr>
          <w:rFonts w:ascii="Times New Roman" w:hAnsi="Times New Roman" w:cs="Times New Roman"/>
          <w:sz w:val="24"/>
          <w:szCs w:val="24"/>
        </w:rPr>
        <w:t>the</w:t>
      </w:r>
      <w:r w:rsidR="000500EF">
        <w:rPr>
          <w:rFonts w:ascii="Times New Roman" w:hAnsi="Times New Roman" w:cs="Times New Roman"/>
          <w:sz w:val="24"/>
          <w:szCs w:val="24"/>
        </w:rPr>
        <w:t xml:space="preserve"> formula for calculating the quarterly rate of the FSSP payable to a recipient refinery operator.</w:t>
      </w:r>
      <w:r w:rsidR="000500EF" w:rsidRPr="000500EF">
        <w:rPr>
          <w:rFonts w:ascii="Times New Roman" w:hAnsi="Times New Roman" w:cs="Times New Roman"/>
          <w:sz w:val="24"/>
          <w:szCs w:val="24"/>
        </w:rPr>
        <w:t xml:space="preserve"> </w:t>
      </w:r>
      <w:r w:rsidR="0038472E">
        <w:rPr>
          <w:rFonts w:ascii="Times New Roman" w:hAnsi="Times New Roman" w:cs="Times New Roman"/>
          <w:sz w:val="24"/>
          <w:szCs w:val="24"/>
        </w:rPr>
        <w:t>T</w:t>
      </w:r>
      <w:r w:rsidR="0038472E" w:rsidRPr="0038472E">
        <w:rPr>
          <w:rFonts w:ascii="Times New Roman" w:hAnsi="Times New Roman" w:cs="Times New Roman"/>
          <w:sz w:val="24"/>
          <w:szCs w:val="24"/>
        </w:rPr>
        <w:t xml:space="preserve">he </w:t>
      </w:r>
      <w:r w:rsidR="0038472E">
        <w:rPr>
          <w:rFonts w:ascii="Times New Roman" w:hAnsi="Times New Roman" w:cs="Times New Roman"/>
          <w:sz w:val="24"/>
          <w:szCs w:val="24"/>
        </w:rPr>
        <w:t>quarterly rate is</w:t>
      </w:r>
      <w:r w:rsidR="0038472E" w:rsidRPr="0038472E">
        <w:rPr>
          <w:rFonts w:ascii="Times New Roman" w:hAnsi="Times New Roman" w:cs="Times New Roman"/>
          <w:sz w:val="24"/>
          <w:szCs w:val="24"/>
        </w:rPr>
        <w:t xml:space="preserve"> rounded to two decimal places.</w:t>
      </w:r>
    </w:p>
    <w:p w:rsidR="000500EF" w:rsidRPr="000500EF" w:rsidRDefault="000500EF" w:rsidP="000500EF">
      <w:pPr>
        <w:spacing w:before="240" w:after="240"/>
        <w:rPr>
          <w:rFonts w:ascii="Times New Roman" w:hAnsi="Times New Roman" w:cs="Times New Roman"/>
          <w:sz w:val="24"/>
          <w:szCs w:val="24"/>
        </w:rPr>
      </w:pPr>
      <w:r w:rsidRPr="000500EF">
        <w:rPr>
          <w:rFonts w:ascii="Times New Roman" w:hAnsi="Times New Roman" w:cs="Times New Roman"/>
          <w:sz w:val="24"/>
          <w:szCs w:val="24"/>
        </w:rPr>
        <w:t>The prescribed formula use</w:t>
      </w:r>
      <w:r>
        <w:rPr>
          <w:rFonts w:ascii="Times New Roman" w:hAnsi="Times New Roman" w:cs="Times New Roman"/>
          <w:sz w:val="24"/>
          <w:szCs w:val="24"/>
        </w:rPr>
        <w:t>s</w:t>
      </w:r>
      <w:r w:rsidRPr="000500EF">
        <w:rPr>
          <w:rFonts w:ascii="Times New Roman" w:hAnsi="Times New Roman" w:cs="Times New Roman"/>
          <w:sz w:val="24"/>
          <w:szCs w:val="24"/>
        </w:rPr>
        <w:t xml:space="preserve"> certain pre-determined inputs</w:t>
      </w:r>
      <w:r w:rsidR="008765FD">
        <w:rPr>
          <w:rFonts w:ascii="Times New Roman" w:hAnsi="Times New Roman" w:cs="Times New Roman"/>
          <w:sz w:val="24"/>
          <w:szCs w:val="24"/>
        </w:rPr>
        <w:t xml:space="preserve"> (e.g.</w:t>
      </w:r>
      <w:r w:rsidRPr="000500EF">
        <w:rPr>
          <w:rFonts w:ascii="Times New Roman" w:hAnsi="Times New Roman" w:cs="Times New Roman"/>
          <w:sz w:val="24"/>
          <w:szCs w:val="24"/>
        </w:rPr>
        <w:t xml:space="preserve"> individual refinery product yield</w:t>
      </w:r>
      <w:r w:rsidR="0038472E">
        <w:rPr>
          <w:rFonts w:ascii="Times New Roman" w:hAnsi="Times New Roman" w:cs="Times New Roman"/>
          <w:sz w:val="24"/>
          <w:szCs w:val="24"/>
        </w:rPr>
        <w:t xml:space="preserve"> (subsection 12(4))</w:t>
      </w:r>
      <w:r w:rsidR="00A340E6">
        <w:rPr>
          <w:rFonts w:ascii="Times New Roman" w:hAnsi="Times New Roman" w:cs="Times New Roman"/>
          <w:sz w:val="24"/>
          <w:szCs w:val="24"/>
        </w:rPr>
        <w:t xml:space="preserve"> and basis differential</w:t>
      </w:r>
      <w:r w:rsidR="00C15361">
        <w:rPr>
          <w:rFonts w:ascii="Times New Roman" w:hAnsi="Times New Roman" w:cs="Times New Roman"/>
          <w:sz w:val="24"/>
          <w:szCs w:val="24"/>
        </w:rPr>
        <w:t xml:space="preserve"> (</w:t>
      </w:r>
      <w:r w:rsidR="00C15361" w:rsidRPr="00C15361">
        <w:rPr>
          <w:rFonts w:ascii="Times New Roman" w:hAnsi="Times New Roman" w:cs="Times New Roman"/>
          <w:sz w:val="24"/>
          <w:szCs w:val="24"/>
        </w:rPr>
        <w:t>subsection 12(3)</w:t>
      </w:r>
      <w:r w:rsidR="008765FD">
        <w:rPr>
          <w:rFonts w:ascii="Times New Roman" w:hAnsi="Times New Roman" w:cs="Times New Roman"/>
          <w:sz w:val="24"/>
          <w:szCs w:val="24"/>
        </w:rPr>
        <w:t>)</w:t>
      </w:r>
      <w:r w:rsidR="00A340E6">
        <w:rPr>
          <w:rFonts w:ascii="Times New Roman" w:hAnsi="Times New Roman" w:cs="Times New Roman"/>
          <w:sz w:val="24"/>
          <w:szCs w:val="24"/>
        </w:rPr>
        <w:t xml:space="preserve"> and variable inputs </w:t>
      </w:r>
      <w:r w:rsidR="008765FD">
        <w:rPr>
          <w:rFonts w:ascii="Times New Roman" w:hAnsi="Times New Roman" w:cs="Times New Roman"/>
          <w:sz w:val="24"/>
          <w:szCs w:val="24"/>
        </w:rPr>
        <w:t>(e.g.</w:t>
      </w:r>
      <w:r w:rsidRPr="000500EF">
        <w:rPr>
          <w:rFonts w:ascii="Times New Roman" w:hAnsi="Times New Roman" w:cs="Times New Roman"/>
          <w:sz w:val="24"/>
          <w:szCs w:val="24"/>
        </w:rPr>
        <w:t xml:space="preserve"> fuel and feedstocks prices </w:t>
      </w:r>
      <w:r w:rsidR="0038472E">
        <w:rPr>
          <w:rFonts w:ascii="Times New Roman" w:hAnsi="Times New Roman" w:cs="Times New Roman"/>
          <w:sz w:val="24"/>
          <w:szCs w:val="24"/>
        </w:rPr>
        <w:t>(subsection 12(</w:t>
      </w:r>
      <w:r w:rsidR="00D4676D">
        <w:rPr>
          <w:rFonts w:ascii="Times New Roman" w:hAnsi="Times New Roman" w:cs="Times New Roman"/>
          <w:sz w:val="24"/>
          <w:szCs w:val="24"/>
        </w:rPr>
        <w:t>3</w:t>
      </w:r>
      <w:r w:rsidR="0038472E">
        <w:rPr>
          <w:rFonts w:ascii="Times New Roman" w:hAnsi="Times New Roman" w:cs="Times New Roman"/>
          <w:sz w:val="24"/>
          <w:szCs w:val="24"/>
        </w:rPr>
        <w:t xml:space="preserve">)) </w:t>
      </w:r>
      <w:r w:rsidRPr="000500EF">
        <w:rPr>
          <w:rFonts w:ascii="Times New Roman" w:hAnsi="Times New Roman" w:cs="Times New Roman"/>
          <w:sz w:val="24"/>
          <w:szCs w:val="24"/>
        </w:rPr>
        <w:t xml:space="preserve">and transport costs </w:t>
      </w:r>
      <w:r w:rsidR="0038472E">
        <w:rPr>
          <w:rFonts w:ascii="Times New Roman" w:hAnsi="Times New Roman" w:cs="Times New Roman"/>
          <w:sz w:val="24"/>
          <w:szCs w:val="24"/>
        </w:rPr>
        <w:t>(subsections</w:t>
      </w:r>
      <w:r w:rsidR="00D4676D">
        <w:rPr>
          <w:rFonts w:ascii="Times New Roman" w:hAnsi="Times New Roman" w:cs="Times New Roman"/>
          <w:sz w:val="24"/>
          <w:szCs w:val="24"/>
        </w:rPr>
        <w:t xml:space="preserve"> </w:t>
      </w:r>
      <w:r w:rsidR="0038472E">
        <w:rPr>
          <w:rFonts w:ascii="Times New Roman" w:hAnsi="Times New Roman" w:cs="Times New Roman"/>
          <w:sz w:val="24"/>
          <w:szCs w:val="24"/>
        </w:rPr>
        <w:t>12(5) and (6))</w:t>
      </w:r>
      <w:r w:rsidR="008765FD">
        <w:rPr>
          <w:rFonts w:ascii="Times New Roman" w:hAnsi="Times New Roman" w:cs="Times New Roman"/>
          <w:sz w:val="24"/>
          <w:szCs w:val="24"/>
        </w:rPr>
        <w:t>,</w:t>
      </w:r>
      <w:r w:rsidR="0038472E">
        <w:rPr>
          <w:rFonts w:ascii="Times New Roman" w:hAnsi="Times New Roman" w:cs="Times New Roman"/>
          <w:sz w:val="24"/>
          <w:szCs w:val="24"/>
        </w:rPr>
        <w:t xml:space="preserve"> </w:t>
      </w:r>
      <w:r w:rsidRPr="000500EF">
        <w:rPr>
          <w:rFonts w:ascii="Times New Roman" w:hAnsi="Times New Roman" w:cs="Times New Roman"/>
          <w:sz w:val="24"/>
          <w:szCs w:val="24"/>
        </w:rPr>
        <w:t>to determine a cent</w:t>
      </w:r>
      <w:r>
        <w:rPr>
          <w:rFonts w:ascii="Times New Roman" w:hAnsi="Times New Roman" w:cs="Times New Roman"/>
          <w:sz w:val="24"/>
          <w:szCs w:val="24"/>
        </w:rPr>
        <w:t xml:space="preserve">s per litre rate for a quarter. </w:t>
      </w:r>
      <w:r w:rsidRPr="000500EF">
        <w:rPr>
          <w:rFonts w:ascii="Times New Roman" w:hAnsi="Times New Roman" w:cs="Times New Roman"/>
          <w:sz w:val="24"/>
          <w:szCs w:val="24"/>
        </w:rPr>
        <w:t xml:space="preserve">Because of variable components of the formula, the cents per litre payment </w:t>
      </w:r>
      <w:r w:rsidR="0038472E">
        <w:rPr>
          <w:rFonts w:ascii="Times New Roman" w:hAnsi="Times New Roman" w:cs="Times New Roman"/>
          <w:sz w:val="24"/>
          <w:szCs w:val="24"/>
        </w:rPr>
        <w:t>is</w:t>
      </w:r>
      <w:r w:rsidRPr="000500EF">
        <w:rPr>
          <w:rFonts w:ascii="Times New Roman" w:hAnsi="Times New Roman" w:cs="Times New Roman"/>
          <w:sz w:val="24"/>
          <w:szCs w:val="24"/>
        </w:rPr>
        <w:t xml:space="preserve"> calculated at the en</w:t>
      </w:r>
      <w:r w:rsidR="0038472E">
        <w:rPr>
          <w:rFonts w:ascii="Times New Roman" w:hAnsi="Times New Roman" w:cs="Times New Roman"/>
          <w:sz w:val="24"/>
          <w:szCs w:val="24"/>
        </w:rPr>
        <w:t>d of each quarter and applies</w:t>
      </w:r>
      <w:r w:rsidRPr="000500EF">
        <w:rPr>
          <w:rFonts w:ascii="Times New Roman" w:hAnsi="Times New Roman" w:cs="Times New Roman"/>
          <w:sz w:val="24"/>
          <w:szCs w:val="24"/>
        </w:rPr>
        <w:t xml:space="preserve"> to the volumes of FSSP fuels refined during that quarter.</w:t>
      </w:r>
    </w:p>
    <w:p w:rsidR="00291DDA" w:rsidRDefault="00613521" w:rsidP="000500EF">
      <w:pPr>
        <w:spacing w:before="240" w:after="240"/>
        <w:rPr>
          <w:rFonts w:ascii="Times New Roman" w:hAnsi="Times New Roman" w:cs="Times New Roman"/>
          <w:sz w:val="24"/>
          <w:szCs w:val="24"/>
        </w:rPr>
      </w:pPr>
      <w:r>
        <w:rPr>
          <w:rFonts w:ascii="Times New Roman" w:hAnsi="Times New Roman" w:cs="Times New Roman"/>
          <w:sz w:val="24"/>
          <w:szCs w:val="24"/>
        </w:rPr>
        <w:t>Subsection 12(1)</w:t>
      </w:r>
      <w:r w:rsidR="00D4676D">
        <w:rPr>
          <w:rFonts w:ascii="Times New Roman" w:hAnsi="Times New Roman" w:cs="Times New Roman"/>
          <w:sz w:val="24"/>
          <w:szCs w:val="24"/>
        </w:rPr>
        <w:t xml:space="preserve"> </w:t>
      </w:r>
      <w:r w:rsidR="00227E93">
        <w:rPr>
          <w:rFonts w:ascii="Times New Roman" w:hAnsi="Times New Roman" w:cs="Times New Roman"/>
          <w:sz w:val="24"/>
          <w:szCs w:val="24"/>
        </w:rPr>
        <w:t>of the Rule</w:t>
      </w:r>
      <w:r w:rsidR="00D4676D">
        <w:rPr>
          <w:rFonts w:ascii="Times New Roman" w:hAnsi="Times New Roman" w:cs="Times New Roman"/>
          <w:sz w:val="24"/>
          <w:szCs w:val="24"/>
        </w:rPr>
        <w:t xml:space="preserve"> and the formula under subsection 12(2)</w:t>
      </w:r>
      <w:r>
        <w:rPr>
          <w:rFonts w:ascii="Times New Roman" w:hAnsi="Times New Roman" w:cs="Times New Roman"/>
          <w:sz w:val="24"/>
          <w:szCs w:val="24"/>
        </w:rPr>
        <w:t xml:space="preserve"> </w:t>
      </w:r>
      <w:r w:rsidR="00D4676D">
        <w:rPr>
          <w:rFonts w:ascii="Times New Roman" w:hAnsi="Times New Roman" w:cs="Times New Roman"/>
          <w:sz w:val="24"/>
          <w:szCs w:val="24"/>
        </w:rPr>
        <w:t xml:space="preserve">each </w:t>
      </w:r>
      <w:r>
        <w:rPr>
          <w:rFonts w:ascii="Times New Roman" w:hAnsi="Times New Roman" w:cs="Times New Roman"/>
          <w:sz w:val="24"/>
          <w:szCs w:val="24"/>
        </w:rPr>
        <w:t>reflect that t</w:t>
      </w:r>
      <w:r w:rsidR="000500EF" w:rsidRPr="000500EF">
        <w:rPr>
          <w:rFonts w:ascii="Times New Roman" w:hAnsi="Times New Roman" w:cs="Times New Roman"/>
          <w:sz w:val="24"/>
          <w:szCs w:val="24"/>
        </w:rPr>
        <w:t>he payment rate may vary each quarter. In some instances it may be zero</w:t>
      </w:r>
      <w:r>
        <w:rPr>
          <w:rFonts w:ascii="Times New Roman" w:hAnsi="Times New Roman" w:cs="Times New Roman"/>
          <w:sz w:val="24"/>
          <w:szCs w:val="24"/>
        </w:rPr>
        <w:t xml:space="preserve"> (</w:t>
      </w:r>
      <w:r w:rsidR="00D4676D">
        <w:rPr>
          <w:rFonts w:ascii="Times New Roman" w:hAnsi="Times New Roman" w:cs="Times New Roman"/>
          <w:sz w:val="24"/>
          <w:szCs w:val="24"/>
        </w:rPr>
        <w:t xml:space="preserve">paragraph </w:t>
      </w:r>
      <w:r>
        <w:rPr>
          <w:rFonts w:ascii="Times New Roman" w:hAnsi="Times New Roman" w:cs="Times New Roman"/>
          <w:sz w:val="24"/>
          <w:szCs w:val="24"/>
        </w:rPr>
        <w:t>12(1)(c))</w:t>
      </w:r>
      <w:r w:rsidR="00932B9E">
        <w:rPr>
          <w:rFonts w:ascii="Times New Roman" w:hAnsi="Times New Roman" w:cs="Times New Roman"/>
          <w:sz w:val="24"/>
          <w:szCs w:val="24"/>
        </w:rPr>
        <w:t xml:space="preserve"> (i.e. the collar)</w:t>
      </w:r>
      <w:r w:rsidR="000500EF" w:rsidRPr="000500EF">
        <w:rPr>
          <w:rFonts w:ascii="Times New Roman" w:hAnsi="Times New Roman" w:cs="Times New Roman"/>
          <w:sz w:val="24"/>
          <w:szCs w:val="24"/>
        </w:rPr>
        <w:t>, but will be capped at a maximum of 1.8 cents per litre</w:t>
      </w:r>
      <w:r>
        <w:rPr>
          <w:rFonts w:ascii="Times New Roman" w:hAnsi="Times New Roman" w:cs="Times New Roman"/>
          <w:sz w:val="24"/>
          <w:szCs w:val="24"/>
        </w:rPr>
        <w:t xml:space="preserve"> (</w:t>
      </w:r>
      <w:r w:rsidR="00D4676D">
        <w:rPr>
          <w:rFonts w:ascii="Times New Roman" w:hAnsi="Times New Roman" w:cs="Times New Roman"/>
          <w:sz w:val="24"/>
          <w:szCs w:val="24"/>
        </w:rPr>
        <w:t xml:space="preserve">paragraph </w:t>
      </w:r>
      <w:r>
        <w:rPr>
          <w:rFonts w:ascii="Times New Roman" w:hAnsi="Times New Roman" w:cs="Times New Roman"/>
          <w:sz w:val="24"/>
          <w:szCs w:val="24"/>
        </w:rPr>
        <w:t>12(1)(a))</w:t>
      </w:r>
      <w:r w:rsidR="000500EF" w:rsidRPr="000500EF">
        <w:rPr>
          <w:rFonts w:ascii="Times New Roman" w:hAnsi="Times New Roman" w:cs="Times New Roman"/>
          <w:sz w:val="24"/>
          <w:szCs w:val="24"/>
        </w:rPr>
        <w:t>. The policy intent is to limit the downside risk for refiners and make payments only when required to maintain the ongoing refining of key transport fuels. This will ensure that tax payers are not paying profits to shareholders.</w:t>
      </w:r>
    </w:p>
    <w:p w:rsidR="00613521" w:rsidRDefault="00613521" w:rsidP="000500EF">
      <w:pPr>
        <w:spacing w:before="240" w:after="240"/>
        <w:rPr>
          <w:rFonts w:ascii="Times New Roman" w:hAnsi="Times New Roman" w:cs="Times New Roman"/>
          <w:sz w:val="24"/>
          <w:szCs w:val="24"/>
        </w:rPr>
      </w:pPr>
      <w:r w:rsidRPr="00613521">
        <w:rPr>
          <w:rFonts w:ascii="Times New Roman" w:hAnsi="Times New Roman" w:cs="Times New Roman"/>
          <w:sz w:val="24"/>
          <w:szCs w:val="24"/>
        </w:rPr>
        <w:t>To ensure appropriate support is provided to refinery operators and avoid overpayments, the payment rate will be adjusted in response to changes in market conditions during an FSSP period. In practice, the cents per litre rate will be calculated at the end of each quarter and will apply to volumes of FSSP fuel that have been refined during that quarter.</w:t>
      </w:r>
    </w:p>
    <w:p w:rsidR="00932B9E" w:rsidRDefault="00932B9E" w:rsidP="00932B9E">
      <w:pPr>
        <w:spacing w:before="240" w:after="240"/>
        <w:rPr>
          <w:rFonts w:ascii="Times New Roman" w:hAnsi="Times New Roman" w:cs="Times New Roman"/>
          <w:sz w:val="24"/>
          <w:szCs w:val="24"/>
        </w:rPr>
      </w:pPr>
      <w:r>
        <w:rPr>
          <w:rFonts w:ascii="Times New Roman" w:hAnsi="Times New Roman" w:cs="Times New Roman"/>
          <w:sz w:val="24"/>
          <w:szCs w:val="24"/>
        </w:rPr>
        <w:t xml:space="preserve">Under subsections 12(2) and (3) </w:t>
      </w:r>
      <w:r w:rsidR="00227E93">
        <w:rPr>
          <w:rFonts w:ascii="Times New Roman" w:hAnsi="Times New Roman" w:cs="Times New Roman"/>
          <w:sz w:val="24"/>
          <w:szCs w:val="24"/>
        </w:rPr>
        <w:t>of the Rule</w:t>
      </w:r>
      <w:r w:rsidR="00FF7DA9">
        <w:rPr>
          <w:rFonts w:ascii="Times New Roman" w:hAnsi="Times New Roman" w:cs="Times New Roman"/>
          <w:sz w:val="24"/>
          <w:szCs w:val="24"/>
        </w:rPr>
        <w:t>,</w:t>
      </w:r>
      <w:r w:rsidR="00227E93">
        <w:rPr>
          <w:rFonts w:ascii="Times New Roman" w:hAnsi="Times New Roman" w:cs="Times New Roman"/>
          <w:sz w:val="24"/>
          <w:szCs w:val="24"/>
        </w:rPr>
        <w:t xml:space="preserve"> </w:t>
      </w:r>
      <w:r>
        <w:rPr>
          <w:rFonts w:ascii="Times New Roman" w:hAnsi="Times New Roman" w:cs="Times New Roman"/>
          <w:sz w:val="24"/>
          <w:szCs w:val="24"/>
        </w:rPr>
        <w:t>t</w:t>
      </w:r>
      <w:r w:rsidRPr="00932B9E">
        <w:rPr>
          <w:rFonts w:ascii="Times New Roman" w:hAnsi="Times New Roman" w:cs="Times New Roman"/>
          <w:sz w:val="24"/>
          <w:szCs w:val="24"/>
        </w:rPr>
        <w:t>he rate of payment is determined with reference to an external margin marker, which is tied</w:t>
      </w:r>
      <w:r w:rsidR="00D4676D">
        <w:rPr>
          <w:rFonts w:ascii="Times New Roman" w:hAnsi="Times New Roman" w:cs="Times New Roman"/>
          <w:sz w:val="24"/>
          <w:szCs w:val="24"/>
        </w:rPr>
        <w:t xml:space="preserve"> to external market conditions</w:t>
      </w:r>
      <w:r w:rsidR="005D63B1">
        <w:rPr>
          <w:rFonts w:ascii="Times New Roman" w:hAnsi="Times New Roman" w:cs="Times New Roman"/>
          <w:sz w:val="24"/>
          <w:szCs w:val="24"/>
        </w:rPr>
        <w:t xml:space="preserve"> for the relevant quarter</w:t>
      </w:r>
      <w:r w:rsidR="00D4676D">
        <w:rPr>
          <w:rFonts w:ascii="Times New Roman" w:hAnsi="Times New Roman" w:cs="Times New Roman"/>
          <w:sz w:val="24"/>
          <w:szCs w:val="24"/>
        </w:rPr>
        <w:t>.</w:t>
      </w:r>
    </w:p>
    <w:p w:rsidR="001564A8" w:rsidRDefault="00D4676D" w:rsidP="0005189B">
      <w:pPr>
        <w:rPr>
          <w:rFonts w:ascii="Times New Roman" w:hAnsi="Times New Roman" w:cs="Times New Roman"/>
          <w:sz w:val="24"/>
          <w:szCs w:val="24"/>
        </w:rPr>
      </w:pPr>
      <w:r w:rsidRPr="00D4676D">
        <w:rPr>
          <w:rFonts w:ascii="Times New Roman" w:hAnsi="Times New Roman" w:cs="Times New Roman"/>
          <w:sz w:val="24"/>
          <w:szCs w:val="24"/>
        </w:rPr>
        <w:lastRenderedPageBreak/>
        <w:t xml:space="preserve">The margin marker design uses a formula which incorporates external, publicly reported, market prices for refined products, crude oil and shipping refined product and crude oil to Australia. </w:t>
      </w:r>
      <w:r w:rsidR="0044000E">
        <w:rPr>
          <w:rFonts w:ascii="Times New Roman" w:hAnsi="Times New Roman" w:cs="Times New Roman"/>
          <w:sz w:val="24"/>
          <w:szCs w:val="24"/>
        </w:rPr>
        <w:t>It i</w:t>
      </w:r>
      <w:r w:rsidR="0044000E" w:rsidRPr="0044000E">
        <w:rPr>
          <w:rFonts w:ascii="Times New Roman" w:hAnsi="Times New Roman" w:cs="Times New Roman"/>
          <w:sz w:val="24"/>
          <w:szCs w:val="24"/>
        </w:rPr>
        <w:t xml:space="preserve">s determined on a quarterly basis using average </w:t>
      </w:r>
      <w:r w:rsidR="00B722DB">
        <w:rPr>
          <w:rFonts w:ascii="Times New Roman" w:hAnsi="Times New Roman" w:cs="Times New Roman"/>
          <w:sz w:val="24"/>
          <w:szCs w:val="24"/>
        </w:rPr>
        <w:t xml:space="preserve">monthly </w:t>
      </w:r>
      <w:r w:rsidR="0044000E" w:rsidRPr="0044000E">
        <w:rPr>
          <w:rFonts w:ascii="Times New Roman" w:hAnsi="Times New Roman" w:cs="Times New Roman"/>
          <w:sz w:val="24"/>
          <w:szCs w:val="24"/>
        </w:rPr>
        <w:t xml:space="preserve">prices for refined product, crude oil, crude oil (dirty) freight, refined product (clean) freight (as reported by </w:t>
      </w:r>
      <w:r w:rsidR="00602772">
        <w:rPr>
          <w:rFonts w:ascii="Times New Roman" w:hAnsi="Times New Roman" w:cs="Times New Roman"/>
          <w:sz w:val="24"/>
          <w:szCs w:val="24"/>
        </w:rPr>
        <w:t xml:space="preserve">S&amp;P Global </w:t>
      </w:r>
      <w:r w:rsidR="0044000E" w:rsidRPr="0044000E">
        <w:rPr>
          <w:rFonts w:ascii="Times New Roman" w:hAnsi="Times New Roman" w:cs="Times New Roman"/>
          <w:sz w:val="24"/>
          <w:szCs w:val="24"/>
        </w:rPr>
        <w:t xml:space="preserve">Platts) and </w:t>
      </w:r>
      <w:r w:rsidR="001F30A4">
        <w:rPr>
          <w:rFonts w:ascii="Times New Roman" w:hAnsi="Times New Roman" w:cs="Times New Roman"/>
          <w:sz w:val="24"/>
          <w:szCs w:val="24"/>
        </w:rPr>
        <w:t xml:space="preserve">corresponding </w:t>
      </w:r>
      <w:r w:rsidR="003F510A">
        <w:rPr>
          <w:rFonts w:ascii="Times New Roman" w:hAnsi="Times New Roman" w:cs="Times New Roman"/>
          <w:sz w:val="24"/>
          <w:szCs w:val="24"/>
        </w:rPr>
        <w:t xml:space="preserve">monthly </w:t>
      </w:r>
      <w:r w:rsidR="0044000E" w:rsidRPr="0044000E">
        <w:rPr>
          <w:rFonts w:ascii="Times New Roman" w:hAnsi="Times New Roman" w:cs="Times New Roman"/>
          <w:sz w:val="24"/>
          <w:szCs w:val="24"/>
        </w:rPr>
        <w:t xml:space="preserve">exchange rates (as reported by </w:t>
      </w:r>
      <w:r w:rsidR="00602772">
        <w:rPr>
          <w:rFonts w:ascii="Times New Roman" w:hAnsi="Times New Roman" w:cs="Times New Roman"/>
          <w:sz w:val="24"/>
          <w:szCs w:val="24"/>
        </w:rPr>
        <w:t>the Reserve Bank of Australia</w:t>
      </w:r>
      <w:r w:rsidR="0044000E" w:rsidRPr="0044000E">
        <w:rPr>
          <w:rFonts w:ascii="Times New Roman" w:hAnsi="Times New Roman" w:cs="Times New Roman"/>
          <w:sz w:val="24"/>
          <w:szCs w:val="24"/>
        </w:rPr>
        <w:t xml:space="preserve"> </w:t>
      </w:r>
      <w:r w:rsidR="00602772">
        <w:rPr>
          <w:rFonts w:ascii="Times New Roman" w:hAnsi="Times New Roman" w:cs="Times New Roman"/>
          <w:sz w:val="24"/>
          <w:szCs w:val="24"/>
        </w:rPr>
        <w:t>(</w:t>
      </w:r>
      <w:r w:rsidR="0044000E" w:rsidRPr="0044000E">
        <w:rPr>
          <w:rFonts w:ascii="Times New Roman" w:hAnsi="Times New Roman" w:cs="Times New Roman"/>
          <w:sz w:val="24"/>
          <w:szCs w:val="24"/>
        </w:rPr>
        <w:t>RBA</w:t>
      </w:r>
      <w:r w:rsidR="00602772">
        <w:rPr>
          <w:rFonts w:ascii="Times New Roman" w:hAnsi="Times New Roman" w:cs="Times New Roman"/>
          <w:sz w:val="24"/>
          <w:szCs w:val="24"/>
        </w:rPr>
        <w:t>)</w:t>
      </w:r>
      <w:r w:rsidR="0044000E" w:rsidRPr="0044000E">
        <w:rPr>
          <w:rFonts w:ascii="Times New Roman" w:hAnsi="Times New Roman" w:cs="Times New Roman"/>
          <w:sz w:val="24"/>
          <w:szCs w:val="24"/>
        </w:rPr>
        <w:t>) over the precedi</w:t>
      </w:r>
      <w:r w:rsidR="0044000E">
        <w:rPr>
          <w:rFonts w:ascii="Times New Roman" w:hAnsi="Times New Roman" w:cs="Times New Roman"/>
          <w:sz w:val="24"/>
          <w:szCs w:val="24"/>
        </w:rPr>
        <w:t>ng three months in the quarter</w:t>
      </w:r>
      <w:r w:rsidR="008D11DB">
        <w:rPr>
          <w:rFonts w:ascii="Times New Roman" w:hAnsi="Times New Roman" w:cs="Times New Roman"/>
          <w:sz w:val="24"/>
          <w:szCs w:val="24"/>
        </w:rPr>
        <w:t xml:space="preserve">. </w:t>
      </w:r>
    </w:p>
    <w:p w:rsidR="00D4676D" w:rsidRPr="00D4676D" w:rsidRDefault="00246543" w:rsidP="00D4676D">
      <w:pPr>
        <w:spacing w:before="240" w:after="240"/>
        <w:rPr>
          <w:rFonts w:ascii="Times New Roman" w:hAnsi="Times New Roman" w:cs="Times New Roman"/>
          <w:sz w:val="24"/>
          <w:szCs w:val="24"/>
        </w:rPr>
      </w:pPr>
      <w:r>
        <w:rPr>
          <w:rFonts w:ascii="Times New Roman" w:hAnsi="Times New Roman" w:cs="Times New Roman"/>
          <w:sz w:val="24"/>
          <w:szCs w:val="24"/>
        </w:rPr>
        <w:t xml:space="preserve">The application of the </w:t>
      </w:r>
      <w:r w:rsidR="00D4676D" w:rsidRPr="00D4676D">
        <w:rPr>
          <w:rFonts w:ascii="Times New Roman" w:hAnsi="Times New Roman" w:cs="Times New Roman"/>
          <w:sz w:val="24"/>
          <w:szCs w:val="24"/>
        </w:rPr>
        <w:t>m</w:t>
      </w:r>
      <w:r w:rsidR="00A02753">
        <w:rPr>
          <w:rFonts w:ascii="Times New Roman" w:hAnsi="Times New Roman" w:cs="Times New Roman"/>
          <w:sz w:val="24"/>
          <w:szCs w:val="24"/>
        </w:rPr>
        <w:t>argin marker</w:t>
      </w:r>
      <w:r w:rsidR="00D4676D" w:rsidRPr="00D4676D">
        <w:rPr>
          <w:rFonts w:ascii="Times New Roman" w:hAnsi="Times New Roman" w:cs="Times New Roman"/>
          <w:sz w:val="24"/>
          <w:szCs w:val="24"/>
        </w:rPr>
        <w:t xml:space="preserve"> </w:t>
      </w:r>
      <w:r>
        <w:rPr>
          <w:rFonts w:ascii="Times New Roman" w:hAnsi="Times New Roman" w:cs="Times New Roman"/>
          <w:sz w:val="24"/>
          <w:szCs w:val="24"/>
        </w:rPr>
        <w:t>to</w:t>
      </w:r>
      <w:r w:rsidR="00D4676D" w:rsidRPr="00D4676D">
        <w:rPr>
          <w:rFonts w:ascii="Times New Roman" w:hAnsi="Times New Roman" w:cs="Times New Roman"/>
          <w:sz w:val="24"/>
          <w:szCs w:val="24"/>
        </w:rPr>
        <w:t xml:space="preserve"> each eligible refinery approximate</w:t>
      </w:r>
      <w:r w:rsidR="00A02753">
        <w:rPr>
          <w:rFonts w:ascii="Times New Roman" w:hAnsi="Times New Roman" w:cs="Times New Roman"/>
          <w:sz w:val="24"/>
          <w:szCs w:val="24"/>
        </w:rPr>
        <w:t>s</w:t>
      </w:r>
      <w:r w:rsidR="00D4676D" w:rsidRPr="00D4676D">
        <w:rPr>
          <w:rFonts w:ascii="Times New Roman" w:hAnsi="Times New Roman" w:cs="Times New Roman"/>
          <w:sz w:val="24"/>
          <w:szCs w:val="24"/>
        </w:rPr>
        <w:t xml:space="preserve"> the actual refining margins attained by each refinery under equivalent market conditions. </w:t>
      </w:r>
      <w:r>
        <w:rPr>
          <w:rFonts w:ascii="Times New Roman" w:hAnsi="Times New Roman" w:cs="Times New Roman"/>
          <w:sz w:val="24"/>
          <w:szCs w:val="24"/>
        </w:rPr>
        <w:t>The application of the</w:t>
      </w:r>
      <w:r w:rsidR="00D4676D" w:rsidRPr="00D4676D">
        <w:rPr>
          <w:rFonts w:ascii="Times New Roman" w:hAnsi="Times New Roman" w:cs="Times New Roman"/>
          <w:sz w:val="24"/>
          <w:szCs w:val="24"/>
        </w:rPr>
        <w:t xml:space="preserve"> margin marker depicts the unique operating environment of each refinery, reflecting differences in refinery configuration</w:t>
      </w:r>
      <w:r w:rsidR="008D03C0">
        <w:rPr>
          <w:rFonts w:ascii="Times New Roman" w:hAnsi="Times New Roman" w:cs="Times New Roman"/>
          <w:sz w:val="24"/>
          <w:szCs w:val="24"/>
        </w:rPr>
        <w:t xml:space="preserve"> </w:t>
      </w:r>
      <w:r w:rsidR="00D4676D" w:rsidRPr="00D4676D">
        <w:rPr>
          <w:rFonts w:ascii="Times New Roman" w:hAnsi="Times New Roman" w:cs="Times New Roman"/>
          <w:sz w:val="24"/>
          <w:szCs w:val="24"/>
        </w:rPr>
        <w:t>and th</w:t>
      </w:r>
      <w:r w:rsidR="00D4676D">
        <w:rPr>
          <w:rFonts w:ascii="Times New Roman" w:hAnsi="Times New Roman" w:cs="Times New Roman"/>
          <w:sz w:val="24"/>
          <w:szCs w:val="24"/>
        </w:rPr>
        <w:t xml:space="preserve">e resultant refined product mix and </w:t>
      </w:r>
      <w:r w:rsidR="00D4676D" w:rsidRPr="00D4676D">
        <w:rPr>
          <w:rFonts w:ascii="Times New Roman" w:hAnsi="Times New Roman" w:cs="Times New Roman"/>
          <w:sz w:val="24"/>
          <w:szCs w:val="24"/>
        </w:rPr>
        <w:t>yield.</w:t>
      </w:r>
    </w:p>
    <w:p w:rsidR="00D4676D" w:rsidRPr="00D4676D" w:rsidRDefault="00D4676D" w:rsidP="00D4676D">
      <w:pPr>
        <w:spacing w:before="240" w:after="240"/>
        <w:rPr>
          <w:rFonts w:ascii="Times New Roman" w:hAnsi="Times New Roman" w:cs="Times New Roman"/>
          <w:sz w:val="24"/>
          <w:szCs w:val="24"/>
        </w:rPr>
      </w:pPr>
      <w:r w:rsidRPr="00D4676D">
        <w:rPr>
          <w:rFonts w:ascii="Times New Roman" w:hAnsi="Times New Roman" w:cs="Times New Roman"/>
          <w:sz w:val="24"/>
          <w:szCs w:val="24"/>
        </w:rPr>
        <w:t>Each margin marker also includes an adjustment factor – referred to as a basis differential – which is used to better align the margin marker with the actual refining margins attained by each refinery</w:t>
      </w:r>
      <w:r w:rsidR="008D03C0">
        <w:rPr>
          <w:rFonts w:ascii="Times New Roman" w:hAnsi="Times New Roman" w:cs="Times New Roman"/>
          <w:sz w:val="24"/>
          <w:szCs w:val="24"/>
        </w:rPr>
        <w:t xml:space="preserve"> (subsection 12(3))</w:t>
      </w:r>
      <w:r w:rsidRPr="00D4676D">
        <w:rPr>
          <w:rFonts w:ascii="Times New Roman" w:hAnsi="Times New Roman" w:cs="Times New Roman"/>
          <w:sz w:val="24"/>
          <w:szCs w:val="24"/>
        </w:rPr>
        <w:t>. The basis differential for each margin marker has been calibrated to the actual refining margin of each refinery using historical data</w:t>
      </w:r>
      <w:r w:rsidR="008765FD">
        <w:rPr>
          <w:rFonts w:ascii="Times New Roman" w:hAnsi="Times New Roman" w:cs="Times New Roman"/>
          <w:sz w:val="24"/>
          <w:szCs w:val="24"/>
        </w:rPr>
        <w:t xml:space="preserve"> provided by refinery operators</w:t>
      </w:r>
      <w:r w:rsidRPr="00D4676D">
        <w:rPr>
          <w:rFonts w:ascii="Times New Roman" w:hAnsi="Times New Roman" w:cs="Times New Roman"/>
          <w:sz w:val="24"/>
          <w:szCs w:val="24"/>
        </w:rPr>
        <w:t>.</w:t>
      </w:r>
    </w:p>
    <w:p w:rsidR="00D4676D" w:rsidRDefault="00D4676D" w:rsidP="00D4676D">
      <w:pPr>
        <w:spacing w:before="240" w:after="240"/>
        <w:rPr>
          <w:rFonts w:ascii="Times New Roman" w:hAnsi="Times New Roman" w:cs="Times New Roman"/>
          <w:sz w:val="24"/>
          <w:szCs w:val="24"/>
        </w:rPr>
      </w:pPr>
      <w:r w:rsidRPr="00D4676D">
        <w:rPr>
          <w:rFonts w:ascii="Times New Roman" w:hAnsi="Times New Roman" w:cs="Times New Roman"/>
          <w:sz w:val="24"/>
          <w:szCs w:val="24"/>
        </w:rPr>
        <w:t>The basis differential recognises that the actual margins achieved by refineries are determined by a combination of other factors. For example, refineries will from time to time vary the choice of crude oil feedstock in response to changes in the relative prices of various crude oils and their associated freight rates to Australia. The actual margins attained by refineries also depend on site specific factors, such as the depth of shipping berths, which may constrain the use of large crude tankers.</w:t>
      </w:r>
    </w:p>
    <w:p w:rsidR="00932B9E" w:rsidRDefault="0044000E" w:rsidP="00932B9E">
      <w:pPr>
        <w:spacing w:before="240" w:after="240"/>
        <w:rPr>
          <w:rFonts w:ascii="Times New Roman" w:hAnsi="Times New Roman" w:cs="Times New Roman"/>
          <w:sz w:val="24"/>
          <w:szCs w:val="24"/>
        </w:rPr>
      </w:pPr>
      <w:r>
        <w:rPr>
          <w:rFonts w:ascii="Times New Roman" w:hAnsi="Times New Roman" w:cs="Times New Roman"/>
          <w:sz w:val="24"/>
          <w:szCs w:val="24"/>
        </w:rPr>
        <w:t>Under section 12</w:t>
      </w:r>
      <w:r w:rsidR="00227E93">
        <w:rPr>
          <w:rFonts w:ascii="Times New Roman" w:hAnsi="Times New Roman" w:cs="Times New Roman"/>
          <w:sz w:val="24"/>
          <w:szCs w:val="24"/>
        </w:rPr>
        <w:t xml:space="preserve"> of the Rule</w:t>
      </w:r>
      <w:r>
        <w:rPr>
          <w:rFonts w:ascii="Times New Roman" w:hAnsi="Times New Roman" w:cs="Times New Roman"/>
          <w:sz w:val="24"/>
          <w:szCs w:val="24"/>
        </w:rPr>
        <w:t>, r</w:t>
      </w:r>
      <w:r w:rsidR="00932B9E" w:rsidRPr="00932B9E">
        <w:rPr>
          <w:rFonts w:ascii="Times New Roman" w:hAnsi="Times New Roman" w:cs="Times New Roman"/>
          <w:sz w:val="24"/>
          <w:szCs w:val="24"/>
        </w:rPr>
        <w:t>efiner</w:t>
      </w:r>
      <w:r>
        <w:rPr>
          <w:rFonts w:ascii="Times New Roman" w:hAnsi="Times New Roman" w:cs="Times New Roman"/>
          <w:sz w:val="24"/>
          <w:szCs w:val="24"/>
        </w:rPr>
        <w:t>y operator</w:t>
      </w:r>
      <w:r w:rsidR="00932B9E" w:rsidRPr="00932B9E">
        <w:rPr>
          <w:rFonts w:ascii="Times New Roman" w:hAnsi="Times New Roman" w:cs="Times New Roman"/>
          <w:sz w:val="24"/>
          <w:szCs w:val="24"/>
        </w:rPr>
        <w:t xml:space="preserve">s are eligible for payment when the </w:t>
      </w:r>
      <w:r w:rsidR="004D295B">
        <w:rPr>
          <w:rFonts w:ascii="Times New Roman" w:hAnsi="Times New Roman" w:cs="Times New Roman"/>
          <w:sz w:val="24"/>
          <w:szCs w:val="24"/>
        </w:rPr>
        <w:t xml:space="preserve">calibrated </w:t>
      </w:r>
      <w:r w:rsidR="00932B9E" w:rsidRPr="00932B9E">
        <w:rPr>
          <w:rFonts w:ascii="Times New Roman" w:hAnsi="Times New Roman" w:cs="Times New Roman"/>
          <w:sz w:val="24"/>
          <w:szCs w:val="24"/>
        </w:rPr>
        <w:t xml:space="preserve">margin marker </w:t>
      </w:r>
      <w:r w:rsidR="00C15361">
        <w:rPr>
          <w:rFonts w:ascii="Times New Roman" w:hAnsi="Times New Roman" w:cs="Times New Roman"/>
          <w:sz w:val="24"/>
          <w:szCs w:val="24"/>
        </w:rPr>
        <w:t>–</w:t>
      </w:r>
      <w:r w:rsidR="004D295B">
        <w:rPr>
          <w:rFonts w:ascii="Times New Roman" w:hAnsi="Times New Roman" w:cs="Times New Roman"/>
          <w:sz w:val="24"/>
          <w:szCs w:val="24"/>
        </w:rPr>
        <w:t xml:space="preserve"> </w:t>
      </w:r>
      <w:r w:rsidR="004D295B" w:rsidRPr="004D295B">
        <w:rPr>
          <w:rFonts w:ascii="Times New Roman" w:hAnsi="Times New Roman" w:cs="Times New Roman"/>
          <w:sz w:val="24"/>
          <w:szCs w:val="24"/>
        </w:rPr>
        <w:t xml:space="preserve">which incorporates the basis differential </w:t>
      </w:r>
      <w:r w:rsidR="00C15361">
        <w:rPr>
          <w:rFonts w:ascii="Times New Roman" w:hAnsi="Times New Roman" w:cs="Times New Roman"/>
          <w:sz w:val="24"/>
          <w:szCs w:val="24"/>
        </w:rPr>
        <w:t>–</w:t>
      </w:r>
      <w:r w:rsidR="004D295B">
        <w:rPr>
          <w:rFonts w:ascii="Times New Roman" w:hAnsi="Times New Roman" w:cs="Times New Roman"/>
          <w:sz w:val="24"/>
          <w:szCs w:val="24"/>
        </w:rPr>
        <w:t xml:space="preserve"> </w:t>
      </w:r>
      <w:r w:rsidR="00932B9E" w:rsidRPr="00932B9E">
        <w:rPr>
          <w:rFonts w:ascii="Times New Roman" w:hAnsi="Times New Roman" w:cs="Times New Roman"/>
          <w:sz w:val="24"/>
          <w:szCs w:val="24"/>
        </w:rPr>
        <w:t>falls below the collar margin of 6.4 cpl (10.2 AUD/barrel)</w:t>
      </w:r>
      <w:r w:rsidR="00932B9E">
        <w:rPr>
          <w:rFonts w:ascii="Times New Roman" w:hAnsi="Times New Roman" w:cs="Times New Roman"/>
          <w:sz w:val="24"/>
          <w:szCs w:val="24"/>
        </w:rPr>
        <w:t>.</w:t>
      </w:r>
      <w:r w:rsidR="00932B9E" w:rsidRPr="00932B9E">
        <w:t xml:space="preserve"> </w:t>
      </w:r>
      <w:r w:rsidR="00932B9E" w:rsidRPr="00932B9E">
        <w:rPr>
          <w:rFonts w:ascii="Times New Roman" w:hAnsi="Times New Roman" w:cs="Times New Roman"/>
          <w:sz w:val="24"/>
          <w:szCs w:val="24"/>
        </w:rPr>
        <w:t xml:space="preserve">The collar margin of 6.4 cpl was determined by </w:t>
      </w:r>
      <w:r w:rsidR="00932B9E">
        <w:rPr>
          <w:rFonts w:ascii="Times New Roman" w:hAnsi="Times New Roman" w:cs="Times New Roman"/>
          <w:sz w:val="24"/>
          <w:szCs w:val="24"/>
        </w:rPr>
        <w:t>the Minister under s</w:t>
      </w:r>
      <w:r w:rsidR="00F86BB3">
        <w:rPr>
          <w:rFonts w:ascii="Times New Roman" w:hAnsi="Times New Roman" w:cs="Times New Roman"/>
          <w:sz w:val="24"/>
          <w:szCs w:val="24"/>
        </w:rPr>
        <w:t>ubs</w:t>
      </w:r>
      <w:r w:rsidR="00932B9E">
        <w:rPr>
          <w:rFonts w:ascii="Times New Roman" w:hAnsi="Times New Roman" w:cs="Times New Roman"/>
          <w:sz w:val="24"/>
          <w:szCs w:val="24"/>
        </w:rPr>
        <w:t xml:space="preserve">ection 44(1) of the Act, </w:t>
      </w:r>
      <w:r w:rsidR="00932B9E" w:rsidRPr="00932B9E">
        <w:rPr>
          <w:rFonts w:ascii="Times New Roman" w:hAnsi="Times New Roman" w:cs="Times New Roman"/>
          <w:sz w:val="24"/>
          <w:szCs w:val="24"/>
        </w:rPr>
        <w:t xml:space="preserve">taking into account expected operational and capital expenses </w:t>
      </w:r>
      <w:r w:rsidR="00932B9E">
        <w:rPr>
          <w:rFonts w:ascii="Times New Roman" w:hAnsi="Times New Roman" w:cs="Times New Roman"/>
          <w:sz w:val="24"/>
          <w:szCs w:val="24"/>
        </w:rPr>
        <w:t xml:space="preserve">of </w:t>
      </w:r>
      <w:r w:rsidR="0005189B">
        <w:rPr>
          <w:rFonts w:ascii="Times New Roman" w:hAnsi="Times New Roman" w:cs="Times New Roman"/>
          <w:sz w:val="24"/>
          <w:szCs w:val="24"/>
        </w:rPr>
        <w:t xml:space="preserve">committed </w:t>
      </w:r>
      <w:r w:rsidR="00932B9E">
        <w:rPr>
          <w:rFonts w:ascii="Times New Roman" w:hAnsi="Times New Roman" w:cs="Times New Roman"/>
          <w:sz w:val="24"/>
          <w:szCs w:val="24"/>
        </w:rPr>
        <w:t>refiner</w:t>
      </w:r>
      <w:r w:rsidR="0005189B">
        <w:rPr>
          <w:rFonts w:ascii="Times New Roman" w:hAnsi="Times New Roman" w:cs="Times New Roman"/>
          <w:sz w:val="24"/>
          <w:szCs w:val="24"/>
        </w:rPr>
        <w:t xml:space="preserve">ies </w:t>
      </w:r>
      <w:r w:rsidR="001D2DCC">
        <w:rPr>
          <w:rFonts w:ascii="Times New Roman" w:hAnsi="Times New Roman" w:cs="Times New Roman"/>
          <w:sz w:val="24"/>
          <w:szCs w:val="24"/>
        </w:rPr>
        <w:t xml:space="preserve">until 30 June 2027 (i.e. </w:t>
      </w:r>
      <w:r w:rsidR="00932B9E" w:rsidRPr="00932B9E">
        <w:rPr>
          <w:rFonts w:ascii="Times New Roman" w:hAnsi="Times New Roman" w:cs="Times New Roman"/>
          <w:sz w:val="24"/>
          <w:szCs w:val="24"/>
        </w:rPr>
        <w:t xml:space="preserve">the </w:t>
      </w:r>
      <w:r w:rsidR="001D2DCC">
        <w:rPr>
          <w:rFonts w:ascii="Times New Roman" w:hAnsi="Times New Roman" w:cs="Times New Roman"/>
          <w:sz w:val="24"/>
          <w:szCs w:val="24"/>
        </w:rPr>
        <w:t xml:space="preserve">minimum </w:t>
      </w:r>
      <w:r w:rsidR="00932B9E" w:rsidRPr="00932B9E">
        <w:rPr>
          <w:rFonts w:ascii="Times New Roman" w:hAnsi="Times New Roman" w:cs="Times New Roman"/>
          <w:sz w:val="24"/>
          <w:szCs w:val="24"/>
        </w:rPr>
        <w:t>commitment period</w:t>
      </w:r>
      <w:r w:rsidR="001D2DCC">
        <w:rPr>
          <w:rFonts w:ascii="Times New Roman" w:hAnsi="Times New Roman" w:cs="Times New Roman"/>
          <w:sz w:val="24"/>
          <w:szCs w:val="24"/>
        </w:rPr>
        <w:t>)</w:t>
      </w:r>
      <w:r w:rsidR="00932B9E" w:rsidRPr="00932B9E">
        <w:rPr>
          <w:rFonts w:ascii="Times New Roman" w:hAnsi="Times New Roman" w:cs="Times New Roman"/>
          <w:sz w:val="24"/>
          <w:szCs w:val="24"/>
        </w:rPr>
        <w:t xml:space="preserve"> and calculating the margin required to ensure that refineries operating in Australia do not make a loss over </w:t>
      </w:r>
      <w:r w:rsidR="001D2DCC">
        <w:rPr>
          <w:rFonts w:ascii="Times New Roman" w:hAnsi="Times New Roman" w:cs="Times New Roman"/>
          <w:sz w:val="24"/>
          <w:szCs w:val="24"/>
        </w:rPr>
        <w:t>that</w:t>
      </w:r>
      <w:r w:rsidR="00932B9E" w:rsidRPr="00932B9E">
        <w:rPr>
          <w:rFonts w:ascii="Times New Roman" w:hAnsi="Times New Roman" w:cs="Times New Roman"/>
          <w:sz w:val="24"/>
          <w:szCs w:val="24"/>
        </w:rPr>
        <w:t xml:space="preserve"> period.</w:t>
      </w:r>
    </w:p>
    <w:p w:rsidR="00932B9E" w:rsidRPr="00932B9E" w:rsidRDefault="0044000E" w:rsidP="00932B9E">
      <w:pPr>
        <w:spacing w:before="240" w:after="240"/>
        <w:rPr>
          <w:rFonts w:ascii="Times New Roman" w:hAnsi="Times New Roman" w:cs="Times New Roman"/>
          <w:sz w:val="24"/>
          <w:szCs w:val="24"/>
        </w:rPr>
      </w:pPr>
      <w:r>
        <w:rPr>
          <w:rFonts w:ascii="Times New Roman" w:hAnsi="Times New Roman" w:cs="Times New Roman"/>
          <w:sz w:val="24"/>
          <w:szCs w:val="24"/>
        </w:rPr>
        <w:t>P</w:t>
      </w:r>
      <w:r w:rsidR="00932B9E" w:rsidRPr="00932B9E">
        <w:rPr>
          <w:rFonts w:ascii="Times New Roman" w:hAnsi="Times New Roman" w:cs="Times New Roman"/>
          <w:sz w:val="24"/>
          <w:szCs w:val="24"/>
        </w:rPr>
        <w:t>ayment</w:t>
      </w:r>
      <w:r>
        <w:rPr>
          <w:rFonts w:ascii="Times New Roman" w:hAnsi="Times New Roman" w:cs="Times New Roman"/>
          <w:sz w:val="24"/>
          <w:szCs w:val="24"/>
        </w:rPr>
        <w:t xml:space="preserve"> rate</w:t>
      </w:r>
      <w:r w:rsidR="00932B9E" w:rsidRPr="00932B9E">
        <w:rPr>
          <w:rFonts w:ascii="Times New Roman" w:hAnsi="Times New Roman" w:cs="Times New Roman"/>
          <w:sz w:val="24"/>
          <w:szCs w:val="24"/>
        </w:rPr>
        <w:t>s increas</w:t>
      </w:r>
      <w:r>
        <w:rPr>
          <w:rFonts w:ascii="Times New Roman" w:hAnsi="Times New Roman" w:cs="Times New Roman"/>
          <w:sz w:val="24"/>
          <w:szCs w:val="24"/>
        </w:rPr>
        <w:t>e</w:t>
      </w:r>
      <w:r w:rsidR="00932B9E" w:rsidRPr="00932B9E">
        <w:rPr>
          <w:rFonts w:ascii="Times New Roman" w:hAnsi="Times New Roman" w:cs="Times New Roman"/>
          <w:sz w:val="24"/>
          <w:szCs w:val="24"/>
        </w:rPr>
        <w:t xml:space="preserve"> by 0.1 cpl for every 0.1 cpl decline in the </w:t>
      </w:r>
      <w:r w:rsidR="004D295B">
        <w:rPr>
          <w:rFonts w:ascii="Times New Roman" w:hAnsi="Times New Roman" w:cs="Times New Roman"/>
          <w:sz w:val="24"/>
          <w:szCs w:val="24"/>
        </w:rPr>
        <w:t xml:space="preserve">calibrated </w:t>
      </w:r>
      <w:r w:rsidR="00932B9E" w:rsidRPr="00932B9E">
        <w:rPr>
          <w:rFonts w:ascii="Times New Roman" w:hAnsi="Times New Roman" w:cs="Times New Roman"/>
          <w:sz w:val="24"/>
          <w:szCs w:val="24"/>
        </w:rPr>
        <w:t xml:space="preserve">margin marker below the collar margin. The maximum payment rate of 1.8 cpl applies when the </w:t>
      </w:r>
      <w:r w:rsidR="004D295B">
        <w:rPr>
          <w:rFonts w:ascii="Times New Roman" w:hAnsi="Times New Roman" w:cs="Times New Roman"/>
          <w:sz w:val="24"/>
          <w:szCs w:val="24"/>
        </w:rPr>
        <w:t xml:space="preserve">calibrated </w:t>
      </w:r>
      <w:r w:rsidR="00932B9E" w:rsidRPr="00932B9E">
        <w:rPr>
          <w:rFonts w:ascii="Times New Roman" w:hAnsi="Times New Roman" w:cs="Times New Roman"/>
          <w:sz w:val="24"/>
          <w:szCs w:val="24"/>
        </w:rPr>
        <w:t xml:space="preserve">margin marker is at or below the cap margin of 4.6 cpl (7.3 AUD/barrel). </w:t>
      </w:r>
      <w:r>
        <w:rPr>
          <w:rFonts w:ascii="Times New Roman" w:hAnsi="Times New Roman" w:cs="Times New Roman"/>
          <w:sz w:val="24"/>
          <w:szCs w:val="24"/>
        </w:rPr>
        <w:t xml:space="preserve"> </w:t>
      </w:r>
      <w:r w:rsidR="00932B9E" w:rsidRPr="00932B9E">
        <w:rPr>
          <w:rFonts w:ascii="Times New Roman" w:hAnsi="Times New Roman" w:cs="Times New Roman"/>
          <w:sz w:val="24"/>
          <w:szCs w:val="24"/>
        </w:rPr>
        <w:t xml:space="preserve">The relationship between FSSP </w:t>
      </w:r>
      <w:r>
        <w:rPr>
          <w:rFonts w:ascii="Times New Roman" w:hAnsi="Times New Roman" w:cs="Times New Roman"/>
          <w:sz w:val="24"/>
          <w:szCs w:val="24"/>
        </w:rPr>
        <w:t>payment rate</w:t>
      </w:r>
      <w:r w:rsidR="00932B9E" w:rsidRPr="00932B9E">
        <w:rPr>
          <w:rFonts w:ascii="Times New Roman" w:hAnsi="Times New Roman" w:cs="Times New Roman"/>
          <w:sz w:val="24"/>
          <w:szCs w:val="24"/>
        </w:rPr>
        <w:t xml:space="preserve">, the cap margin and the collar margin is depicted in Figure </w:t>
      </w:r>
      <w:r w:rsidR="00025ACD">
        <w:rPr>
          <w:rFonts w:ascii="Times New Roman" w:hAnsi="Times New Roman" w:cs="Times New Roman"/>
          <w:sz w:val="24"/>
          <w:szCs w:val="24"/>
        </w:rPr>
        <w:t>1</w:t>
      </w:r>
      <w:r w:rsidR="00932B9E">
        <w:rPr>
          <w:rFonts w:ascii="Times New Roman" w:hAnsi="Times New Roman" w:cs="Times New Roman"/>
          <w:sz w:val="24"/>
          <w:szCs w:val="24"/>
        </w:rPr>
        <w:t xml:space="preserve"> below</w:t>
      </w:r>
      <w:r w:rsidR="00932B9E" w:rsidRPr="00932B9E">
        <w:rPr>
          <w:rFonts w:ascii="Times New Roman" w:hAnsi="Times New Roman" w:cs="Times New Roman"/>
          <w:sz w:val="24"/>
          <w:szCs w:val="24"/>
        </w:rPr>
        <w:t>.</w:t>
      </w:r>
    </w:p>
    <w:p w:rsidR="00932B9E" w:rsidRPr="002E1C43" w:rsidRDefault="00932B9E" w:rsidP="008D03C0">
      <w:pPr>
        <w:keepNext/>
        <w:spacing w:after="160" w:line="259" w:lineRule="auto"/>
        <w:rPr>
          <w:rFonts w:ascii="Calibri" w:eastAsia="Calibri" w:hAnsi="Calibri" w:cs="Times New Roman"/>
        </w:rPr>
      </w:pPr>
      <w:r w:rsidRPr="002E1C43">
        <w:rPr>
          <w:rFonts w:ascii="Calibri" w:eastAsia="Calibri" w:hAnsi="Calibri" w:cs="Times New Roman"/>
          <w:noProof/>
          <w:lang w:eastAsia="en-AU"/>
        </w:rPr>
        <w:lastRenderedPageBreak/>
        <w:drawing>
          <wp:inline distT="0" distB="0" distL="0" distR="0" wp14:anchorId="4E34731C" wp14:editId="7BE7D820">
            <wp:extent cx="5373584" cy="2730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r payme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0265" cy="2734294"/>
                    </a:xfrm>
                    <a:prstGeom prst="rect">
                      <a:avLst/>
                    </a:prstGeom>
                  </pic:spPr>
                </pic:pic>
              </a:graphicData>
            </a:graphic>
          </wp:inline>
        </w:drawing>
      </w:r>
    </w:p>
    <w:p w:rsidR="00932B9E" w:rsidRPr="002E1C43" w:rsidRDefault="00932B9E" w:rsidP="00932B9E">
      <w:pPr>
        <w:spacing w:line="240" w:lineRule="auto"/>
        <w:rPr>
          <w:rFonts w:ascii="Calibri" w:eastAsia="Calibri" w:hAnsi="Calibri" w:cs="Times New Roman"/>
          <w:i/>
          <w:iCs/>
          <w:color w:val="44546A"/>
          <w:sz w:val="18"/>
          <w:szCs w:val="18"/>
        </w:rPr>
      </w:pPr>
      <w:r w:rsidRPr="002E1C43">
        <w:rPr>
          <w:rFonts w:ascii="Calibri" w:eastAsia="Calibri" w:hAnsi="Calibri" w:cs="Times New Roman"/>
          <w:i/>
          <w:iCs/>
          <w:color w:val="44546A"/>
          <w:sz w:val="18"/>
          <w:szCs w:val="18"/>
        </w:rPr>
        <w:t xml:space="preserve">Figure </w:t>
      </w:r>
      <w:r w:rsidR="00025ACD">
        <w:rPr>
          <w:rFonts w:ascii="Calibri" w:eastAsia="Calibri" w:hAnsi="Calibri" w:cs="Times New Roman"/>
          <w:i/>
          <w:iCs/>
          <w:color w:val="44546A"/>
          <w:sz w:val="18"/>
          <w:szCs w:val="18"/>
        </w:rPr>
        <w:t>1</w:t>
      </w:r>
      <w:r w:rsidRPr="002E1C43">
        <w:rPr>
          <w:rFonts w:ascii="Calibri" w:eastAsia="Calibri" w:hAnsi="Calibri" w:cs="Times New Roman"/>
          <w:i/>
          <w:iCs/>
          <w:color w:val="44546A"/>
          <w:sz w:val="18"/>
          <w:szCs w:val="18"/>
        </w:rPr>
        <w:t>: Graph showing the increase of FSSP support in relation to decreasing refinery margins</w:t>
      </w:r>
    </w:p>
    <w:p w:rsidR="0044000E" w:rsidRDefault="0044000E" w:rsidP="009E14CD">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12(7) </w:t>
      </w:r>
      <w:r w:rsidR="00227E93">
        <w:rPr>
          <w:rFonts w:ascii="Times New Roman" w:hAnsi="Times New Roman" w:cs="Times New Roman"/>
          <w:sz w:val="24"/>
          <w:szCs w:val="24"/>
        </w:rPr>
        <w:t xml:space="preserve">of the Rule </w:t>
      </w:r>
      <w:r>
        <w:rPr>
          <w:rFonts w:ascii="Times New Roman" w:hAnsi="Times New Roman" w:cs="Times New Roman"/>
          <w:sz w:val="24"/>
          <w:szCs w:val="24"/>
        </w:rPr>
        <w:t>provides a number of rules for converting measurements</w:t>
      </w:r>
      <w:r w:rsidR="00E80BAF">
        <w:rPr>
          <w:rFonts w:ascii="Times New Roman" w:hAnsi="Times New Roman" w:cs="Times New Roman"/>
          <w:sz w:val="24"/>
          <w:szCs w:val="24"/>
        </w:rPr>
        <w:t>, values, and volumes, for the purposes of applying the formula under section 12.</w:t>
      </w:r>
    </w:p>
    <w:p w:rsidR="009E14CD" w:rsidRPr="00936EB0" w:rsidRDefault="00613521" w:rsidP="009E14CD">
      <w:pPr>
        <w:spacing w:before="240" w:after="240"/>
        <w:rPr>
          <w:rFonts w:ascii="Times New Roman" w:hAnsi="Times New Roman" w:cs="Times New Roman"/>
          <w:sz w:val="24"/>
          <w:szCs w:val="24"/>
        </w:rPr>
      </w:pPr>
      <w:r>
        <w:rPr>
          <w:rFonts w:ascii="Times New Roman" w:hAnsi="Times New Roman" w:cs="Times New Roman"/>
          <w:sz w:val="24"/>
          <w:szCs w:val="24"/>
        </w:rPr>
        <w:t>The</w:t>
      </w:r>
      <w:r w:rsidR="009E14CD" w:rsidRPr="00936EB0">
        <w:rPr>
          <w:rFonts w:ascii="Times New Roman" w:hAnsi="Times New Roman" w:cs="Times New Roman"/>
          <w:sz w:val="24"/>
          <w:szCs w:val="24"/>
        </w:rPr>
        <w:t xml:space="preserve"> method </w:t>
      </w:r>
      <w:r>
        <w:rPr>
          <w:rFonts w:ascii="Times New Roman" w:hAnsi="Times New Roman" w:cs="Times New Roman"/>
          <w:sz w:val="24"/>
          <w:szCs w:val="24"/>
        </w:rPr>
        <w:t xml:space="preserve">prescribed under </w:t>
      </w:r>
      <w:r w:rsidR="00745FF7">
        <w:rPr>
          <w:rFonts w:ascii="Times New Roman" w:hAnsi="Times New Roman" w:cs="Times New Roman"/>
          <w:sz w:val="24"/>
          <w:szCs w:val="24"/>
        </w:rPr>
        <w:t>section 12 of the Rule</w:t>
      </w:r>
      <w:r>
        <w:rPr>
          <w:rFonts w:ascii="Times New Roman" w:hAnsi="Times New Roman" w:cs="Times New Roman"/>
          <w:sz w:val="24"/>
          <w:szCs w:val="24"/>
        </w:rPr>
        <w:t xml:space="preserve"> </w:t>
      </w:r>
      <w:r w:rsidR="00816117" w:rsidRPr="00936EB0">
        <w:rPr>
          <w:rFonts w:ascii="Times New Roman" w:hAnsi="Times New Roman" w:cs="Times New Roman"/>
          <w:sz w:val="24"/>
          <w:szCs w:val="24"/>
        </w:rPr>
        <w:t>is anticipated to</w:t>
      </w:r>
      <w:r w:rsidR="009E14CD" w:rsidRPr="00936EB0">
        <w:rPr>
          <w:rFonts w:ascii="Times New Roman" w:hAnsi="Times New Roman" w:cs="Times New Roman"/>
          <w:sz w:val="24"/>
          <w:szCs w:val="24"/>
        </w:rPr>
        <w:t xml:space="preserve"> be in place for an extended period of time</w:t>
      </w:r>
      <w:r w:rsidR="000500EF">
        <w:rPr>
          <w:rFonts w:ascii="Times New Roman" w:hAnsi="Times New Roman" w:cs="Times New Roman"/>
          <w:sz w:val="24"/>
          <w:szCs w:val="24"/>
        </w:rPr>
        <w:t xml:space="preserve"> to </w:t>
      </w:r>
      <w:r w:rsidR="009E14CD" w:rsidRPr="00936EB0">
        <w:rPr>
          <w:rFonts w:ascii="Times New Roman" w:hAnsi="Times New Roman" w:cs="Times New Roman"/>
          <w:sz w:val="24"/>
          <w:szCs w:val="24"/>
        </w:rPr>
        <w:t xml:space="preserve">set </w:t>
      </w:r>
      <w:r w:rsidR="000500EF">
        <w:rPr>
          <w:rFonts w:ascii="Times New Roman" w:hAnsi="Times New Roman" w:cs="Times New Roman"/>
          <w:sz w:val="24"/>
          <w:szCs w:val="24"/>
        </w:rPr>
        <w:t xml:space="preserve">the </w:t>
      </w:r>
      <w:r w:rsidR="009E14CD" w:rsidRPr="00936EB0">
        <w:rPr>
          <w:rFonts w:ascii="Times New Roman" w:hAnsi="Times New Roman" w:cs="Times New Roman"/>
          <w:sz w:val="24"/>
          <w:szCs w:val="24"/>
        </w:rPr>
        <w:t>quarterly cents per litre payments</w:t>
      </w:r>
      <w:r w:rsidR="000500EF">
        <w:rPr>
          <w:rFonts w:ascii="Times New Roman" w:hAnsi="Times New Roman" w:cs="Times New Roman"/>
          <w:sz w:val="24"/>
          <w:szCs w:val="24"/>
        </w:rPr>
        <w:t xml:space="preserve"> of the FSSP</w:t>
      </w:r>
      <w:r w:rsidR="009E14CD" w:rsidRPr="00936EB0">
        <w:rPr>
          <w:rFonts w:ascii="Times New Roman" w:hAnsi="Times New Roman" w:cs="Times New Roman"/>
          <w:sz w:val="24"/>
          <w:szCs w:val="24"/>
        </w:rPr>
        <w:t>.</w:t>
      </w:r>
      <w:r w:rsidRPr="00613521">
        <w:t xml:space="preserve"> </w:t>
      </w:r>
      <w:r w:rsidRPr="00613521">
        <w:rPr>
          <w:rFonts w:ascii="Times New Roman" w:hAnsi="Times New Roman" w:cs="Times New Roman"/>
          <w:sz w:val="24"/>
          <w:szCs w:val="24"/>
        </w:rPr>
        <w:t xml:space="preserve">The method for determining the rate </w:t>
      </w:r>
      <w:r w:rsidR="00745FF7">
        <w:rPr>
          <w:rFonts w:ascii="Times New Roman" w:hAnsi="Times New Roman" w:cs="Times New Roman"/>
          <w:sz w:val="24"/>
          <w:szCs w:val="24"/>
        </w:rPr>
        <w:t xml:space="preserve">of the FSSP </w:t>
      </w:r>
      <w:r w:rsidRPr="00613521">
        <w:rPr>
          <w:rFonts w:ascii="Times New Roman" w:hAnsi="Times New Roman" w:cs="Times New Roman"/>
          <w:sz w:val="24"/>
          <w:szCs w:val="24"/>
        </w:rPr>
        <w:t xml:space="preserve">will be subject to a milestone report after two </w:t>
      </w:r>
      <w:r w:rsidRPr="00BD5CFF">
        <w:rPr>
          <w:rFonts w:ascii="Times New Roman" w:hAnsi="Times New Roman" w:cs="Times New Roman"/>
          <w:sz w:val="24"/>
          <w:szCs w:val="24"/>
        </w:rPr>
        <w:t>years (</w:t>
      </w:r>
      <w:r w:rsidRPr="00025ACD">
        <w:rPr>
          <w:rFonts w:ascii="Times New Roman" w:hAnsi="Times New Roman" w:cs="Times New Roman"/>
          <w:sz w:val="24"/>
          <w:szCs w:val="24"/>
        </w:rPr>
        <w:t>see section 14 of the Guidelines)</w:t>
      </w:r>
      <w:r>
        <w:rPr>
          <w:rFonts w:ascii="Times New Roman" w:hAnsi="Times New Roman" w:cs="Times New Roman"/>
          <w:sz w:val="24"/>
          <w:szCs w:val="24"/>
        </w:rPr>
        <w:t xml:space="preserve"> </w:t>
      </w:r>
      <w:r w:rsidRPr="00613521">
        <w:rPr>
          <w:rFonts w:ascii="Times New Roman" w:hAnsi="Times New Roman" w:cs="Times New Roman"/>
          <w:sz w:val="24"/>
          <w:szCs w:val="24"/>
        </w:rPr>
        <w:t xml:space="preserve">to ensure it </w:t>
      </w:r>
      <w:r w:rsidR="0044000E">
        <w:rPr>
          <w:rFonts w:ascii="Times New Roman" w:hAnsi="Times New Roman" w:cs="Times New Roman"/>
          <w:sz w:val="24"/>
          <w:szCs w:val="24"/>
        </w:rPr>
        <w:t>remains</w:t>
      </w:r>
      <w:r w:rsidRPr="00613521">
        <w:rPr>
          <w:rFonts w:ascii="Times New Roman" w:hAnsi="Times New Roman" w:cs="Times New Roman"/>
          <w:sz w:val="24"/>
          <w:szCs w:val="24"/>
        </w:rPr>
        <w:t xml:space="preserve"> appropriate for Australian market conditions.</w:t>
      </w:r>
    </w:p>
    <w:p w:rsidR="00DB3097" w:rsidRDefault="00DB3097" w:rsidP="009E14CD">
      <w:pPr>
        <w:spacing w:before="240" w:after="240"/>
        <w:rPr>
          <w:rFonts w:ascii="Times New Roman" w:hAnsi="Times New Roman" w:cs="Times New Roman"/>
          <w:sz w:val="24"/>
          <w:szCs w:val="24"/>
        </w:rPr>
      </w:pPr>
      <w:r>
        <w:rPr>
          <w:rFonts w:ascii="Times New Roman" w:hAnsi="Times New Roman" w:cs="Times New Roman"/>
          <w:sz w:val="24"/>
          <w:szCs w:val="24"/>
        </w:rPr>
        <w:t xml:space="preserve">A number of elements of the formula incorporate variables published by S&amp;P Global Platts. Information about the organisation and data sets is available at </w:t>
      </w:r>
      <w:hyperlink r:id="rId16" w:history="1">
        <w:r w:rsidRPr="00B25C95">
          <w:rPr>
            <w:rStyle w:val="Hyperlink"/>
            <w:rFonts w:ascii="Times New Roman" w:hAnsi="Times New Roman" w:cs="Times New Roman"/>
            <w:sz w:val="24"/>
            <w:szCs w:val="24"/>
          </w:rPr>
          <w:t>https://www.spglobal.com/platts/</w:t>
        </w:r>
      </w:hyperlink>
      <w:r>
        <w:rPr>
          <w:rFonts w:ascii="Times New Roman" w:hAnsi="Times New Roman" w:cs="Times New Roman"/>
          <w:sz w:val="24"/>
          <w:szCs w:val="24"/>
        </w:rPr>
        <w:t xml:space="preserve">. S&amp;P Global Platts is </w:t>
      </w:r>
      <w:r w:rsidR="00504D2D">
        <w:rPr>
          <w:rFonts w:ascii="Times New Roman" w:hAnsi="Times New Roman" w:cs="Times New Roman"/>
          <w:sz w:val="24"/>
          <w:szCs w:val="24"/>
        </w:rPr>
        <w:t>an</w:t>
      </w:r>
      <w:r>
        <w:rPr>
          <w:rFonts w:ascii="Times New Roman" w:hAnsi="Times New Roman" w:cs="Times New Roman"/>
          <w:sz w:val="24"/>
          <w:szCs w:val="24"/>
        </w:rPr>
        <w:t xml:space="preserve"> authoritative source of industry data for these variables and is a key resource already used by refineries and their investors. </w:t>
      </w:r>
      <w:r w:rsidR="005D63B1">
        <w:rPr>
          <w:rFonts w:ascii="Times New Roman" w:hAnsi="Times New Roman" w:cs="Times New Roman"/>
          <w:sz w:val="24"/>
          <w:szCs w:val="24"/>
        </w:rPr>
        <w:t xml:space="preserve"> It is considered that </w:t>
      </w:r>
      <w:r w:rsidR="00745FF7">
        <w:rPr>
          <w:rFonts w:ascii="Times New Roman" w:hAnsi="Times New Roman" w:cs="Times New Roman"/>
          <w:sz w:val="24"/>
          <w:szCs w:val="24"/>
        </w:rPr>
        <w:t xml:space="preserve">the </w:t>
      </w:r>
      <w:r w:rsidR="00E34B53">
        <w:rPr>
          <w:rFonts w:ascii="Times New Roman" w:hAnsi="Times New Roman" w:cs="Times New Roman"/>
          <w:sz w:val="24"/>
          <w:szCs w:val="24"/>
        </w:rPr>
        <w:t>S</w:t>
      </w:r>
      <w:r w:rsidR="00745FF7">
        <w:rPr>
          <w:rFonts w:ascii="Times New Roman" w:hAnsi="Times New Roman" w:cs="Times New Roman"/>
          <w:sz w:val="24"/>
          <w:szCs w:val="24"/>
        </w:rPr>
        <w:t xml:space="preserve">&amp;P Global </w:t>
      </w:r>
      <w:r w:rsidR="005D63B1">
        <w:rPr>
          <w:rFonts w:ascii="Times New Roman" w:hAnsi="Times New Roman" w:cs="Times New Roman"/>
          <w:sz w:val="24"/>
          <w:szCs w:val="24"/>
        </w:rPr>
        <w:t xml:space="preserve">Platts </w:t>
      </w:r>
      <w:r>
        <w:rPr>
          <w:rFonts w:ascii="Times New Roman" w:hAnsi="Times New Roman" w:cs="Times New Roman"/>
          <w:sz w:val="24"/>
          <w:szCs w:val="24"/>
        </w:rPr>
        <w:t>data s</w:t>
      </w:r>
      <w:r w:rsidR="00745FF7">
        <w:rPr>
          <w:rFonts w:ascii="Times New Roman" w:hAnsi="Times New Roman" w:cs="Times New Roman"/>
          <w:sz w:val="24"/>
          <w:szCs w:val="24"/>
        </w:rPr>
        <w:t>ets</w:t>
      </w:r>
      <w:r>
        <w:rPr>
          <w:rFonts w:ascii="Times New Roman" w:hAnsi="Times New Roman" w:cs="Times New Roman"/>
          <w:sz w:val="24"/>
          <w:szCs w:val="24"/>
        </w:rPr>
        <w:t xml:space="preserve"> meet the objects of the scheme </w:t>
      </w:r>
      <w:r w:rsidR="005D63B1">
        <w:rPr>
          <w:rFonts w:ascii="Times New Roman" w:hAnsi="Times New Roman" w:cs="Times New Roman"/>
          <w:sz w:val="24"/>
          <w:szCs w:val="24"/>
        </w:rPr>
        <w:t>and</w:t>
      </w:r>
      <w:r>
        <w:rPr>
          <w:rFonts w:ascii="Times New Roman" w:hAnsi="Times New Roman" w:cs="Times New Roman"/>
          <w:sz w:val="24"/>
          <w:szCs w:val="24"/>
        </w:rPr>
        <w:t xml:space="preserve"> provide a more accurate reflection of the variables for a particular quarter. Accordingly, those data sets are incorporated as in force from time to time and the organisation charges subscription fees to access that data. </w:t>
      </w:r>
      <w:r w:rsidR="002235EB">
        <w:rPr>
          <w:rFonts w:ascii="Times New Roman" w:hAnsi="Times New Roman" w:cs="Times New Roman"/>
          <w:sz w:val="24"/>
          <w:szCs w:val="24"/>
        </w:rPr>
        <w:t>Paragraph 84(3)(b) of the</w:t>
      </w:r>
      <w:r w:rsidR="002235EB" w:rsidRPr="002235EB">
        <w:rPr>
          <w:rFonts w:ascii="Times New Roman" w:hAnsi="Times New Roman" w:cs="Times New Roman"/>
          <w:sz w:val="24"/>
          <w:szCs w:val="24"/>
        </w:rPr>
        <w:t xml:space="preserve"> Act expresses a contrary intention for the purposes of subsection 14</w:t>
      </w:r>
      <w:r w:rsidR="002235EB">
        <w:rPr>
          <w:rFonts w:ascii="Times New Roman" w:hAnsi="Times New Roman" w:cs="Times New Roman"/>
          <w:sz w:val="24"/>
          <w:szCs w:val="24"/>
        </w:rPr>
        <w:t xml:space="preserve">(2) of the </w:t>
      </w:r>
      <w:r w:rsidR="002235EB" w:rsidRPr="00BF3A82">
        <w:rPr>
          <w:rFonts w:ascii="Times New Roman" w:hAnsi="Times New Roman" w:cs="Times New Roman"/>
          <w:i/>
          <w:sz w:val="24"/>
          <w:szCs w:val="24"/>
        </w:rPr>
        <w:t>Legislation Act 2003</w:t>
      </w:r>
      <w:r w:rsidR="002235EB">
        <w:rPr>
          <w:rFonts w:ascii="Times New Roman" w:hAnsi="Times New Roman" w:cs="Times New Roman"/>
          <w:sz w:val="24"/>
          <w:szCs w:val="24"/>
        </w:rPr>
        <w:t xml:space="preserve">, as it </w:t>
      </w:r>
      <w:r w:rsidR="002235EB" w:rsidRPr="002235EB">
        <w:rPr>
          <w:rFonts w:ascii="Times New Roman" w:hAnsi="Times New Roman" w:cs="Times New Roman"/>
          <w:sz w:val="24"/>
          <w:szCs w:val="24"/>
        </w:rPr>
        <w:t xml:space="preserve">permits </w:t>
      </w:r>
      <w:r w:rsidR="002235EB">
        <w:rPr>
          <w:rFonts w:ascii="Times New Roman" w:hAnsi="Times New Roman" w:cs="Times New Roman"/>
          <w:sz w:val="24"/>
          <w:szCs w:val="24"/>
        </w:rPr>
        <w:t xml:space="preserve">the data sets published by </w:t>
      </w:r>
      <w:r w:rsidR="002235EB" w:rsidRPr="007F7123">
        <w:rPr>
          <w:rFonts w:ascii="Times New Roman" w:hAnsi="Times New Roman" w:cs="Times New Roman"/>
          <w:sz w:val="24"/>
          <w:szCs w:val="24"/>
        </w:rPr>
        <w:t>S&amp;P</w:t>
      </w:r>
      <w:r w:rsidR="002235EB">
        <w:rPr>
          <w:rFonts w:ascii="Times New Roman" w:hAnsi="Times New Roman" w:cs="Times New Roman"/>
          <w:sz w:val="24"/>
          <w:szCs w:val="24"/>
        </w:rPr>
        <w:t xml:space="preserve"> Global Platts</w:t>
      </w:r>
      <w:r w:rsidR="002235EB" w:rsidRPr="002235EB">
        <w:rPr>
          <w:rFonts w:ascii="Times New Roman" w:hAnsi="Times New Roman" w:cs="Times New Roman"/>
          <w:sz w:val="24"/>
          <w:szCs w:val="24"/>
        </w:rPr>
        <w:t xml:space="preserve"> to be applied, adopted or incorporated as in force from time to time.</w:t>
      </w:r>
    </w:p>
    <w:p w:rsidR="00DB3097" w:rsidRDefault="00DB3097" w:rsidP="009E14CD">
      <w:pPr>
        <w:spacing w:before="240" w:after="240"/>
        <w:rPr>
          <w:rFonts w:ascii="Times New Roman" w:hAnsi="Times New Roman" w:cs="Times New Roman"/>
          <w:sz w:val="24"/>
          <w:szCs w:val="24"/>
        </w:rPr>
      </w:pPr>
      <w:r>
        <w:rPr>
          <w:rFonts w:ascii="Times New Roman" w:hAnsi="Times New Roman" w:cs="Times New Roman"/>
          <w:sz w:val="24"/>
          <w:szCs w:val="24"/>
        </w:rPr>
        <w:t xml:space="preserve">Exchange rate information is taken from the Reserve Bank of Australia which publishes monthly average exchange rates on their website: </w:t>
      </w:r>
      <w:hyperlink r:id="rId17" w:history="1">
        <w:r w:rsidRPr="00B25C95">
          <w:rPr>
            <w:rStyle w:val="Hyperlink"/>
            <w:rFonts w:ascii="Times New Roman" w:hAnsi="Times New Roman" w:cs="Times New Roman"/>
            <w:sz w:val="24"/>
            <w:szCs w:val="24"/>
          </w:rPr>
          <w:t>www.rba.gov.au</w:t>
        </w:r>
      </w:hyperlink>
      <w:r>
        <w:rPr>
          <w:rFonts w:ascii="Times New Roman" w:hAnsi="Times New Roman" w:cs="Times New Roman"/>
          <w:sz w:val="24"/>
          <w:szCs w:val="24"/>
        </w:rPr>
        <w:t xml:space="preserve">. </w:t>
      </w:r>
      <w:r w:rsidR="00BF3A82">
        <w:rPr>
          <w:rFonts w:ascii="Times New Roman" w:hAnsi="Times New Roman" w:cs="Times New Roman"/>
          <w:sz w:val="24"/>
          <w:szCs w:val="24"/>
        </w:rPr>
        <w:t>Again, this information is applied, adopted or incorporated as in force from time to time pursuant to paragraph 84(3)(b) of the Act.</w:t>
      </w:r>
    </w:p>
    <w:p w:rsidR="00F86BB3" w:rsidRDefault="00F86BB3" w:rsidP="009E14CD">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12(5) </w:t>
      </w:r>
      <w:r w:rsidR="00471AF3">
        <w:rPr>
          <w:rFonts w:ascii="Times New Roman" w:hAnsi="Times New Roman" w:cs="Times New Roman"/>
          <w:sz w:val="24"/>
          <w:szCs w:val="24"/>
        </w:rPr>
        <w:t xml:space="preserve">of the Rule </w:t>
      </w:r>
      <w:r w:rsidR="00A36F02">
        <w:rPr>
          <w:rFonts w:ascii="Times New Roman" w:hAnsi="Times New Roman" w:cs="Times New Roman"/>
          <w:sz w:val="24"/>
          <w:szCs w:val="24"/>
        </w:rPr>
        <w:t xml:space="preserve">lists the conversion rates for a specific volume conversion for the fuel, in barrels per tonne. The conversion rate is also published by </w:t>
      </w:r>
      <w:r w:rsidR="00553EBD">
        <w:rPr>
          <w:rFonts w:ascii="Times New Roman" w:hAnsi="Times New Roman" w:cs="Times New Roman"/>
          <w:sz w:val="24"/>
          <w:szCs w:val="24"/>
        </w:rPr>
        <w:t xml:space="preserve">S&amp;P Global </w:t>
      </w:r>
      <w:r w:rsidR="00A36F02">
        <w:rPr>
          <w:rFonts w:ascii="Times New Roman" w:hAnsi="Times New Roman" w:cs="Times New Roman"/>
          <w:sz w:val="24"/>
          <w:szCs w:val="24"/>
        </w:rPr>
        <w:t>Platts under the refined products methodology.</w:t>
      </w:r>
    </w:p>
    <w:p w:rsidR="00062AAD" w:rsidRPr="0054028E" w:rsidRDefault="00062AAD" w:rsidP="00062AAD">
      <w:pPr>
        <w:rPr>
          <w:rFonts w:ascii="Times New Roman" w:hAnsi="Times New Roman" w:cs="Times New Roman"/>
          <w:sz w:val="24"/>
          <w:szCs w:val="24"/>
        </w:rPr>
      </w:pPr>
      <w:r>
        <w:rPr>
          <w:rFonts w:ascii="Times New Roman" w:hAnsi="Times New Roman" w:cs="Times New Roman"/>
          <w:sz w:val="24"/>
          <w:szCs w:val="24"/>
        </w:rPr>
        <w:lastRenderedPageBreak/>
        <w:t>I</w:t>
      </w:r>
      <w:r w:rsidRPr="0054028E">
        <w:rPr>
          <w:rFonts w:ascii="Times New Roman" w:hAnsi="Times New Roman" w:cs="Times New Roman"/>
          <w:sz w:val="24"/>
          <w:szCs w:val="24"/>
        </w:rPr>
        <w:t>f S&amp;P Global Platts modifies or ceases to publish a classification or code for a value</w:t>
      </w:r>
      <w:r>
        <w:rPr>
          <w:rFonts w:ascii="Times New Roman" w:hAnsi="Times New Roman" w:cs="Times New Roman"/>
          <w:sz w:val="24"/>
          <w:szCs w:val="24"/>
        </w:rPr>
        <w:t xml:space="preserve"> in the future</w:t>
      </w:r>
      <w:r w:rsidRPr="0054028E">
        <w:rPr>
          <w:rFonts w:ascii="Times New Roman" w:hAnsi="Times New Roman" w:cs="Times New Roman"/>
          <w:sz w:val="24"/>
          <w:szCs w:val="24"/>
        </w:rPr>
        <w:t xml:space="preserve">, the most equivalent or similar published value </w:t>
      </w:r>
      <w:r>
        <w:rPr>
          <w:rFonts w:ascii="Times New Roman" w:hAnsi="Times New Roman" w:cs="Times New Roman"/>
          <w:sz w:val="24"/>
          <w:szCs w:val="24"/>
        </w:rPr>
        <w:t xml:space="preserve">will be identified and </w:t>
      </w:r>
      <w:r w:rsidRPr="0054028E">
        <w:rPr>
          <w:rFonts w:ascii="Times New Roman" w:hAnsi="Times New Roman" w:cs="Times New Roman"/>
          <w:sz w:val="24"/>
          <w:szCs w:val="24"/>
        </w:rPr>
        <w:t>used to determine that value</w:t>
      </w:r>
      <w:r>
        <w:rPr>
          <w:rFonts w:ascii="Times New Roman" w:hAnsi="Times New Roman" w:cs="Times New Roman"/>
          <w:sz w:val="24"/>
          <w:szCs w:val="24"/>
        </w:rPr>
        <w:t xml:space="preserve">. Subsection 12(8) </w:t>
      </w:r>
      <w:r w:rsidR="00471AF3">
        <w:rPr>
          <w:rFonts w:ascii="Times New Roman" w:hAnsi="Times New Roman" w:cs="Times New Roman"/>
          <w:sz w:val="24"/>
          <w:szCs w:val="24"/>
        </w:rPr>
        <w:t xml:space="preserve">of the Rule </w:t>
      </w:r>
      <w:r>
        <w:rPr>
          <w:rFonts w:ascii="Times New Roman" w:hAnsi="Times New Roman" w:cs="Times New Roman"/>
          <w:sz w:val="24"/>
          <w:szCs w:val="24"/>
        </w:rPr>
        <w:t>requires the Secretary to consult with each FSSP recipient before using that value to calculate the FSSP.</w:t>
      </w:r>
    </w:p>
    <w:p w:rsidR="00EA7012" w:rsidRDefault="00C22158"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13</w:t>
      </w:r>
      <w:r w:rsidRPr="00366EF0">
        <w:rPr>
          <w:rFonts w:ascii="Times New Roman" w:hAnsi="Times New Roman" w:cs="Times New Roman"/>
          <w:b/>
          <w:sz w:val="24"/>
          <w:szCs w:val="24"/>
        </w:rPr>
        <w:t xml:space="preserve"> –</w:t>
      </w:r>
      <w:r w:rsidRPr="00C22158">
        <w:rPr>
          <w:rFonts w:ascii="Times New Roman" w:hAnsi="Times New Roman" w:cs="Times New Roman"/>
          <w:b/>
          <w:sz w:val="24"/>
          <w:szCs w:val="24"/>
        </w:rPr>
        <w:t xml:space="preserve"> </w:t>
      </w:r>
      <w:r w:rsidR="00EA7012" w:rsidRPr="00EA7012">
        <w:rPr>
          <w:rFonts w:ascii="Times New Roman" w:hAnsi="Times New Roman" w:cs="Times New Roman"/>
          <w:b/>
          <w:sz w:val="24"/>
          <w:szCs w:val="24"/>
        </w:rPr>
        <w:t>De</w:t>
      </w:r>
      <w:r w:rsidR="00EA7012">
        <w:rPr>
          <w:rFonts w:ascii="Times New Roman" w:hAnsi="Times New Roman" w:cs="Times New Roman"/>
          <w:b/>
          <w:sz w:val="24"/>
          <w:szCs w:val="24"/>
        </w:rPr>
        <w:t>termining quantity of FSSP fuel</w:t>
      </w:r>
    </w:p>
    <w:p w:rsidR="00090FCA" w:rsidRDefault="00090FCA" w:rsidP="00573458">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subsection 43(3) of the Act, the manner </w:t>
      </w:r>
      <w:r w:rsidR="0064241E">
        <w:rPr>
          <w:rFonts w:ascii="Times New Roman" w:hAnsi="Times New Roman" w:cs="Times New Roman"/>
          <w:sz w:val="24"/>
          <w:szCs w:val="24"/>
        </w:rPr>
        <w:t>of</w:t>
      </w:r>
      <w:r>
        <w:rPr>
          <w:rFonts w:ascii="Times New Roman" w:hAnsi="Times New Roman" w:cs="Times New Roman"/>
          <w:sz w:val="24"/>
          <w:szCs w:val="24"/>
        </w:rPr>
        <w:t xml:space="preserve"> </w:t>
      </w:r>
      <w:r w:rsidRPr="00090FCA">
        <w:rPr>
          <w:rFonts w:ascii="Times New Roman" w:hAnsi="Times New Roman" w:cs="Times New Roman"/>
          <w:sz w:val="24"/>
          <w:szCs w:val="24"/>
        </w:rPr>
        <w:t>determining the number of litres of FSSP fuel refined by a person at a committed refinery</w:t>
      </w:r>
      <w:r>
        <w:rPr>
          <w:rFonts w:ascii="Times New Roman" w:hAnsi="Times New Roman" w:cs="Times New Roman"/>
          <w:sz w:val="24"/>
          <w:szCs w:val="24"/>
        </w:rPr>
        <w:t>.</w:t>
      </w:r>
    </w:p>
    <w:p w:rsidR="00573458" w:rsidRPr="00573458" w:rsidRDefault="00573458" w:rsidP="00573458">
      <w:pPr>
        <w:spacing w:before="240" w:after="240"/>
        <w:rPr>
          <w:rFonts w:ascii="Times New Roman" w:hAnsi="Times New Roman" w:cs="Times New Roman"/>
          <w:sz w:val="24"/>
          <w:szCs w:val="24"/>
        </w:rPr>
      </w:pPr>
      <w:r>
        <w:rPr>
          <w:rFonts w:ascii="Times New Roman" w:hAnsi="Times New Roman" w:cs="Times New Roman"/>
          <w:sz w:val="24"/>
          <w:szCs w:val="24"/>
        </w:rPr>
        <w:t>As required under subsection 43(5) of the Act, i</w:t>
      </w:r>
      <w:r w:rsidRPr="00573458">
        <w:rPr>
          <w:rFonts w:ascii="Times New Roman" w:hAnsi="Times New Roman" w:cs="Times New Roman"/>
          <w:sz w:val="24"/>
          <w:szCs w:val="24"/>
        </w:rPr>
        <w:t>n making this provision of the Rule, the Minister had regard to matters including:</w:t>
      </w:r>
    </w:p>
    <w:p w:rsidR="00573458" w:rsidRPr="00573458" w:rsidRDefault="00573458" w:rsidP="00573458">
      <w:pPr>
        <w:pStyle w:val="ListParagraph"/>
        <w:numPr>
          <w:ilvl w:val="0"/>
          <w:numId w:val="5"/>
        </w:numPr>
        <w:spacing w:before="240" w:after="240"/>
        <w:rPr>
          <w:rFonts w:ascii="Times New Roman" w:hAnsi="Times New Roman" w:cs="Times New Roman"/>
          <w:sz w:val="24"/>
          <w:szCs w:val="24"/>
        </w:rPr>
      </w:pPr>
      <w:r w:rsidRPr="00573458">
        <w:rPr>
          <w:rFonts w:ascii="Times New Roman" w:hAnsi="Times New Roman" w:cs="Times New Roman"/>
          <w:sz w:val="24"/>
          <w:szCs w:val="24"/>
        </w:rPr>
        <w:t>the determination made by the Minister under subsection 44(1) of the Act</w:t>
      </w:r>
      <w:r w:rsidR="00E467AA">
        <w:rPr>
          <w:rFonts w:ascii="Times New Roman" w:hAnsi="Times New Roman" w:cs="Times New Roman"/>
          <w:sz w:val="24"/>
          <w:szCs w:val="24"/>
        </w:rPr>
        <w:t>;</w:t>
      </w:r>
    </w:p>
    <w:p w:rsidR="00573458" w:rsidRPr="00573458" w:rsidRDefault="00573458" w:rsidP="00573458">
      <w:pPr>
        <w:pStyle w:val="ListParagraph"/>
        <w:numPr>
          <w:ilvl w:val="0"/>
          <w:numId w:val="5"/>
        </w:numPr>
        <w:spacing w:before="240" w:after="240"/>
        <w:rPr>
          <w:rFonts w:ascii="Times New Roman" w:hAnsi="Times New Roman" w:cs="Times New Roman"/>
          <w:sz w:val="24"/>
          <w:szCs w:val="24"/>
        </w:rPr>
      </w:pPr>
      <w:r w:rsidRPr="00573458">
        <w:rPr>
          <w:rFonts w:ascii="Times New Roman" w:hAnsi="Times New Roman" w:cs="Times New Roman"/>
          <w:sz w:val="24"/>
          <w:szCs w:val="24"/>
        </w:rPr>
        <w:t xml:space="preserve">the principle that (subject to the 1.8 cent per litre cap under </w:t>
      </w:r>
      <w:r w:rsidR="00471AF3">
        <w:rPr>
          <w:rFonts w:ascii="Times New Roman" w:hAnsi="Times New Roman" w:cs="Times New Roman"/>
          <w:sz w:val="24"/>
          <w:szCs w:val="24"/>
        </w:rPr>
        <w:t>paragraph</w:t>
      </w:r>
      <w:r w:rsidR="00471AF3" w:rsidRPr="00573458">
        <w:rPr>
          <w:rFonts w:ascii="Times New Roman" w:hAnsi="Times New Roman" w:cs="Times New Roman"/>
          <w:sz w:val="24"/>
          <w:szCs w:val="24"/>
        </w:rPr>
        <w:t xml:space="preserve"> </w:t>
      </w:r>
      <w:r w:rsidRPr="00573458">
        <w:rPr>
          <w:rFonts w:ascii="Times New Roman" w:hAnsi="Times New Roman" w:cs="Times New Roman"/>
          <w:sz w:val="24"/>
          <w:szCs w:val="24"/>
        </w:rPr>
        <w:t>43(2)(a) of the Act) the amount of the FSSP paid to a person for quarters ending in the person’s commitment period should be guided by the margin that is sufficient to ensure that refineries operating in Australia over the person’s commitment period do not make a loss; and</w:t>
      </w:r>
    </w:p>
    <w:p w:rsidR="00C22158" w:rsidRDefault="00573458" w:rsidP="00573458">
      <w:pPr>
        <w:pStyle w:val="ListParagraph"/>
        <w:numPr>
          <w:ilvl w:val="0"/>
          <w:numId w:val="5"/>
        </w:numPr>
        <w:spacing w:before="240" w:after="240"/>
        <w:rPr>
          <w:rFonts w:ascii="Times New Roman" w:hAnsi="Times New Roman" w:cs="Times New Roman"/>
          <w:sz w:val="24"/>
          <w:szCs w:val="24"/>
        </w:rPr>
      </w:pPr>
      <w:r w:rsidRPr="00573458">
        <w:rPr>
          <w:rFonts w:ascii="Times New Roman" w:hAnsi="Times New Roman" w:cs="Times New Roman"/>
          <w:sz w:val="24"/>
          <w:szCs w:val="24"/>
        </w:rPr>
        <w:t>other matters, set out under subsections 43(6) and (7) of the Act, relevant for determining the margin sufficient to ensure that refineries operating in Australia do not make a loss.</w:t>
      </w:r>
    </w:p>
    <w:p w:rsidR="009C3793" w:rsidRDefault="00234BD7" w:rsidP="00291DDA">
      <w:pPr>
        <w:spacing w:before="240" w:after="240"/>
        <w:rPr>
          <w:rFonts w:ascii="Times New Roman" w:hAnsi="Times New Roman" w:cs="Times New Roman"/>
          <w:sz w:val="24"/>
          <w:szCs w:val="24"/>
        </w:rPr>
      </w:pPr>
      <w:r>
        <w:rPr>
          <w:rFonts w:ascii="Times New Roman" w:hAnsi="Times New Roman" w:cs="Times New Roman"/>
          <w:sz w:val="24"/>
          <w:szCs w:val="24"/>
        </w:rPr>
        <w:t xml:space="preserve">Following consideration of the matters above, </w:t>
      </w:r>
      <w:r w:rsidR="00C643A2" w:rsidRPr="00C643A2">
        <w:rPr>
          <w:rFonts w:ascii="Times New Roman" w:hAnsi="Times New Roman" w:cs="Times New Roman"/>
          <w:sz w:val="24"/>
          <w:szCs w:val="24"/>
        </w:rPr>
        <w:t xml:space="preserve">section </w:t>
      </w:r>
      <w:r w:rsidR="00AD147F">
        <w:rPr>
          <w:rFonts w:ascii="Times New Roman" w:hAnsi="Times New Roman" w:cs="Times New Roman"/>
          <w:sz w:val="24"/>
          <w:szCs w:val="24"/>
        </w:rPr>
        <w:t>13 of the Rule</w:t>
      </w:r>
      <w:r w:rsidR="00C643A2" w:rsidRPr="00C643A2">
        <w:rPr>
          <w:rFonts w:ascii="Times New Roman" w:hAnsi="Times New Roman" w:cs="Times New Roman"/>
          <w:sz w:val="24"/>
          <w:szCs w:val="24"/>
        </w:rPr>
        <w:t xml:space="preserve"> </w:t>
      </w:r>
      <w:r>
        <w:rPr>
          <w:rFonts w:ascii="Times New Roman" w:hAnsi="Times New Roman" w:cs="Times New Roman"/>
          <w:sz w:val="24"/>
          <w:szCs w:val="24"/>
        </w:rPr>
        <w:t xml:space="preserve">requires that volumes of </w:t>
      </w:r>
      <w:r w:rsidR="00291DDA">
        <w:rPr>
          <w:rFonts w:ascii="Times New Roman" w:hAnsi="Times New Roman" w:cs="Times New Roman"/>
          <w:sz w:val="24"/>
          <w:szCs w:val="24"/>
        </w:rPr>
        <w:t xml:space="preserve">FSSP fuel </w:t>
      </w:r>
      <w:r w:rsidR="00816117">
        <w:rPr>
          <w:rFonts w:ascii="Times New Roman" w:hAnsi="Times New Roman" w:cs="Times New Roman"/>
          <w:sz w:val="24"/>
          <w:szCs w:val="24"/>
        </w:rPr>
        <w:t xml:space="preserve">must </w:t>
      </w:r>
      <w:r w:rsidR="009C3793" w:rsidRPr="009C3793">
        <w:rPr>
          <w:rFonts w:ascii="Times New Roman" w:hAnsi="Times New Roman" w:cs="Times New Roman"/>
          <w:sz w:val="24"/>
          <w:szCs w:val="24"/>
        </w:rPr>
        <w:t xml:space="preserve">be measured consistently with requirements for the sale of those fuels in Australia and reporting of information relating to those fuels under the POFR </w:t>
      </w:r>
      <w:r w:rsidR="00904CBD">
        <w:rPr>
          <w:rFonts w:ascii="Times New Roman" w:hAnsi="Times New Roman" w:cs="Times New Roman"/>
          <w:sz w:val="24"/>
          <w:szCs w:val="24"/>
        </w:rPr>
        <w:t>R</w:t>
      </w:r>
      <w:r w:rsidR="009C3793" w:rsidRPr="009C3793">
        <w:rPr>
          <w:rFonts w:ascii="Times New Roman" w:hAnsi="Times New Roman" w:cs="Times New Roman"/>
          <w:sz w:val="24"/>
          <w:szCs w:val="24"/>
        </w:rPr>
        <w:t>ules</w:t>
      </w:r>
      <w:r w:rsidR="00291DDA">
        <w:rPr>
          <w:rFonts w:ascii="Times New Roman" w:hAnsi="Times New Roman" w:cs="Times New Roman"/>
          <w:sz w:val="24"/>
          <w:szCs w:val="24"/>
        </w:rPr>
        <w:t>,</w:t>
      </w:r>
      <w:r w:rsidR="009C3793" w:rsidRPr="009C3793">
        <w:rPr>
          <w:rFonts w:ascii="Times New Roman" w:hAnsi="Times New Roman" w:cs="Times New Roman"/>
          <w:sz w:val="24"/>
          <w:szCs w:val="24"/>
        </w:rPr>
        <w:t xml:space="preserve"> and</w:t>
      </w:r>
      <w:r w:rsidR="00291DDA" w:rsidRPr="009C3793">
        <w:rPr>
          <w:rFonts w:ascii="Times New Roman" w:hAnsi="Times New Roman" w:cs="Times New Roman"/>
          <w:sz w:val="24"/>
          <w:szCs w:val="24"/>
        </w:rPr>
        <w:t xml:space="preserve"> </w:t>
      </w:r>
      <w:r w:rsidR="00816117">
        <w:rPr>
          <w:rFonts w:ascii="Times New Roman" w:hAnsi="Times New Roman" w:cs="Times New Roman"/>
          <w:sz w:val="24"/>
          <w:szCs w:val="24"/>
        </w:rPr>
        <w:t xml:space="preserve">must </w:t>
      </w:r>
      <w:r w:rsidR="00291DDA">
        <w:rPr>
          <w:rFonts w:ascii="Times New Roman" w:hAnsi="Times New Roman" w:cs="Times New Roman"/>
          <w:sz w:val="24"/>
          <w:szCs w:val="24"/>
        </w:rPr>
        <w:t xml:space="preserve">exclude </w:t>
      </w:r>
      <w:r w:rsidR="009C3793" w:rsidRPr="00234BD7">
        <w:rPr>
          <w:rFonts w:ascii="Times New Roman" w:hAnsi="Times New Roman" w:cs="Times New Roman"/>
          <w:sz w:val="24"/>
          <w:szCs w:val="24"/>
        </w:rPr>
        <w:t>any blendstocks</w:t>
      </w:r>
      <w:r w:rsidRPr="00234BD7">
        <w:rPr>
          <w:rFonts w:ascii="Times New Roman" w:hAnsi="Times New Roman" w:cs="Times New Roman"/>
          <w:sz w:val="24"/>
          <w:szCs w:val="24"/>
        </w:rPr>
        <w:t xml:space="preserve"> (as defined under section 5</w:t>
      </w:r>
      <w:r w:rsidR="00816117">
        <w:rPr>
          <w:rFonts w:ascii="Times New Roman" w:hAnsi="Times New Roman" w:cs="Times New Roman"/>
          <w:sz w:val="24"/>
          <w:szCs w:val="24"/>
        </w:rPr>
        <w:t xml:space="preserve"> of the Rule</w:t>
      </w:r>
      <w:r w:rsidRPr="00234BD7">
        <w:rPr>
          <w:rFonts w:ascii="Times New Roman" w:hAnsi="Times New Roman" w:cs="Times New Roman"/>
          <w:sz w:val="24"/>
          <w:szCs w:val="24"/>
        </w:rPr>
        <w:t>)</w:t>
      </w:r>
      <w:r w:rsidR="00291DDA">
        <w:rPr>
          <w:rFonts w:ascii="Times New Roman" w:hAnsi="Times New Roman" w:cs="Times New Roman"/>
          <w:sz w:val="24"/>
          <w:szCs w:val="24"/>
        </w:rPr>
        <w:t xml:space="preserve"> and </w:t>
      </w:r>
      <w:r w:rsidR="009C3793" w:rsidRPr="009C3793">
        <w:rPr>
          <w:rFonts w:ascii="Times New Roman" w:hAnsi="Times New Roman" w:cs="Times New Roman"/>
          <w:sz w:val="24"/>
          <w:szCs w:val="24"/>
        </w:rPr>
        <w:t>any volume of fuel from the refinery which does not meet the requirements to be an FSSP fuel</w:t>
      </w:r>
      <w:r w:rsidR="00816117">
        <w:rPr>
          <w:rFonts w:ascii="Times New Roman" w:hAnsi="Times New Roman" w:cs="Times New Roman"/>
          <w:sz w:val="24"/>
          <w:szCs w:val="24"/>
        </w:rPr>
        <w:t xml:space="preserve"> (as defined under sections 5 of the Act and Rule)</w:t>
      </w:r>
      <w:r w:rsidR="009C3793" w:rsidRPr="009C3793">
        <w:rPr>
          <w:rFonts w:ascii="Times New Roman" w:hAnsi="Times New Roman" w:cs="Times New Roman"/>
          <w:sz w:val="24"/>
          <w:szCs w:val="24"/>
        </w:rPr>
        <w:t>.</w:t>
      </w:r>
    </w:p>
    <w:p w:rsidR="00C643A2" w:rsidRPr="00C643A2" w:rsidRDefault="009C3793" w:rsidP="009C3793">
      <w:pPr>
        <w:spacing w:before="240" w:after="240"/>
        <w:rPr>
          <w:rFonts w:ascii="Times New Roman" w:hAnsi="Times New Roman" w:cs="Times New Roman"/>
          <w:sz w:val="24"/>
          <w:szCs w:val="24"/>
        </w:rPr>
      </w:pPr>
      <w:r>
        <w:rPr>
          <w:rFonts w:ascii="Times New Roman" w:hAnsi="Times New Roman" w:cs="Times New Roman"/>
          <w:sz w:val="24"/>
          <w:szCs w:val="24"/>
        </w:rPr>
        <w:t>These requirements</w:t>
      </w:r>
      <w:r w:rsidR="00C643A2" w:rsidRPr="00C643A2">
        <w:rPr>
          <w:rFonts w:ascii="Times New Roman" w:hAnsi="Times New Roman" w:cs="Times New Roman"/>
          <w:sz w:val="24"/>
          <w:szCs w:val="24"/>
        </w:rPr>
        <w:t xml:space="preserve"> will ensure the fuel is genuinely refined at the refinery</w:t>
      </w:r>
      <w:r w:rsidR="00816117">
        <w:rPr>
          <w:rFonts w:ascii="Times New Roman" w:hAnsi="Times New Roman" w:cs="Times New Roman"/>
          <w:sz w:val="24"/>
          <w:szCs w:val="24"/>
        </w:rPr>
        <w:t>, that reported information is able to be checked and verified,</w:t>
      </w:r>
      <w:r w:rsidR="00C643A2" w:rsidRPr="00C643A2">
        <w:rPr>
          <w:rFonts w:ascii="Times New Roman" w:hAnsi="Times New Roman" w:cs="Times New Roman"/>
          <w:sz w:val="24"/>
          <w:szCs w:val="24"/>
        </w:rPr>
        <w:t xml:space="preserve"> and any blending will be appropriately taken into account.</w:t>
      </w:r>
    </w:p>
    <w:p w:rsidR="00C22158" w:rsidRDefault="00C22158"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14</w:t>
      </w:r>
      <w:r w:rsidRPr="00366EF0">
        <w:rPr>
          <w:rFonts w:ascii="Times New Roman" w:hAnsi="Times New Roman" w:cs="Times New Roman"/>
          <w:b/>
          <w:sz w:val="24"/>
          <w:szCs w:val="24"/>
        </w:rPr>
        <w:t xml:space="preserve"> –</w:t>
      </w:r>
      <w:r w:rsidRPr="00C22158">
        <w:rPr>
          <w:rFonts w:ascii="Times New Roman" w:hAnsi="Times New Roman" w:cs="Times New Roman"/>
          <w:b/>
          <w:sz w:val="24"/>
          <w:szCs w:val="24"/>
        </w:rPr>
        <w:t xml:space="preserve"> </w:t>
      </w:r>
      <w:r w:rsidR="00EA7012">
        <w:rPr>
          <w:rFonts w:ascii="Times New Roman" w:hAnsi="Times New Roman" w:cs="Times New Roman"/>
          <w:b/>
          <w:sz w:val="24"/>
          <w:szCs w:val="24"/>
        </w:rPr>
        <w:t>Process for</w:t>
      </w:r>
      <w:r w:rsidRPr="00C22158">
        <w:rPr>
          <w:rFonts w:ascii="Times New Roman" w:hAnsi="Times New Roman" w:cs="Times New Roman"/>
          <w:b/>
          <w:sz w:val="24"/>
          <w:szCs w:val="24"/>
        </w:rPr>
        <w:t xml:space="preserve"> </w:t>
      </w:r>
      <w:r w:rsidR="00EA7012">
        <w:rPr>
          <w:rFonts w:ascii="Times New Roman" w:hAnsi="Times New Roman" w:cs="Times New Roman"/>
          <w:b/>
          <w:sz w:val="24"/>
          <w:szCs w:val="24"/>
        </w:rPr>
        <w:t>fuel security services payments</w:t>
      </w:r>
    </w:p>
    <w:p w:rsidR="00B96229" w:rsidRDefault="00B96229" w:rsidP="00C22158">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purposes of section </w:t>
      </w:r>
      <w:r w:rsidR="00C643A2" w:rsidRPr="00C643A2">
        <w:rPr>
          <w:rFonts w:ascii="Times New Roman" w:hAnsi="Times New Roman" w:cs="Times New Roman"/>
          <w:sz w:val="24"/>
          <w:szCs w:val="24"/>
        </w:rPr>
        <w:t xml:space="preserve">45 </w:t>
      </w:r>
      <w:r>
        <w:rPr>
          <w:rFonts w:ascii="Times New Roman" w:hAnsi="Times New Roman" w:cs="Times New Roman"/>
          <w:sz w:val="24"/>
          <w:szCs w:val="24"/>
        </w:rPr>
        <w:t xml:space="preserve">of the Act, the process for payment of the FSSP. </w:t>
      </w:r>
      <w:r w:rsidR="00840E2F">
        <w:rPr>
          <w:rFonts w:ascii="Times New Roman" w:hAnsi="Times New Roman" w:cs="Times New Roman"/>
          <w:sz w:val="24"/>
          <w:szCs w:val="24"/>
        </w:rPr>
        <w:t>Therefore,</w:t>
      </w:r>
      <w:r>
        <w:rPr>
          <w:rFonts w:ascii="Times New Roman" w:hAnsi="Times New Roman" w:cs="Times New Roman"/>
          <w:sz w:val="24"/>
          <w:szCs w:val="24"/>
        </w:rPr>
        <w:t xml:space="preserve"> the</w:t>
      </w:r>
      <w:r w:rsidRPr="00B96229">
        <w:rPr>
          <w:rFonts w:ascii="Times New Roman" w:hAnsi="Times New Roman" w:cs="Times New Roman"/>
          <w:sz w:val="24"/>
          <w:szCs w:val="24"/>
        </w:rPr>
        <w:t xml:space="preserve"> details of the administrative mechanics associated with processing payments </w:t>
      </w:r>
      <w:r>
        <w:rPr>
          <w:rFonts w:ascii="Times New Roman" w:hAnsi="Times New Roman" w:cs="Times New Roman"/>
          <w:sz w:val="24"/>
          <w:szCs w:val="24"/>
        </w:rPr>
        <w:t xml:space="preserve">are delegated </w:t>
      </w:r>
      <w:r w:rsidRPr="00B96229">
        <w:rPr>
          <w:rFonts w:ascii="Times New Roman" w:hAnsi="Times New Roman" w:cs="Times New Roman"/>
          <w:sz w:val="24"/>
          <w:szCs w:val="24"/>
        </w:rPr>
        <w:t xml:space="preserve">to </w:t>
      </w:r>
      <w:r>
        <w:rPr>
          <w:rFonts w:ascii="Times New Roman" w:hAnsi="Times New Roman" w:cs="Times New Roman"/>
          <w:sz w:val="24"/>
          <w:szCs w:val="24"/>
        </w:rPr>
        <w:t>this instrument</w:t>
      </w:r>
      <w:r w:rsidRPr="00B96229">
        <w:rPr>
          <w:rFonts w:ascii="Times New Roman" w:hAnsi="Times New Roman" w:cs="Times New Roman"/>
          <w:sz w:val="24"/>
          <w:szCs w:val="24"/>
        </w:rPr>
        <w:t>.</w:t>
      </w:r>
    </w:p>
    <w:p w:rsidR="00C22158" w:rsidRDefault="00B96229" w:rsidP="00C22158">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w:t>
      </w:r>
      <w:r w:rsidR="00C643A2" w:rsidRPr="00C643A2">
        <w:rPr>
          <w:rFonts w:ascii="Times New Roman" w:hAnsi="Times New Roman" w:cs="Times New Roman"/>
          <w:sz w:val="24"/>
          <w:szCs w:val="24"/>
        </w:rPr>
        <w:t xml:space="preserve">provides that </w:t>
      </w:r>
      <w:r>
        <w:rPr>
          <w:rFonts w:ascii="Times New Roman" w:hAnsi="Times New Roman" w:cs="Times New Roman"/>
          <w:sz w:val="24"/>
          <w:szCs w:val="24"/>
        </w:rPr>
        <w:t>the FSSP</w:t>
      </w:r>
      <w:r w:rsidR="00C643A2" w:rsidRPr="00C643A2">
        <w:rPr>
          <w:rFonts w:ascii="Times New Roman" w:hAnsi="Times New Roman" w:cs="Times New Roman"/>
          <w:sz w:val="24"/>
          <w:szCs w:val="24"/>
        </w:rPr>
        <w:t xml:space="preserve"> is</w:t>
      </w:r>
      <w:r>
        <w:rPr>
          <w:rFonts w:ascii="Times New Roman" w:hAnsi="Times New Roman" w:cs="Times New Roman"/>
          <w:sz w:val="24"/>
          <w:szCs w:val="24"/>
        </w:rPr>
        <w:t xml:space="preserve"> payable </w:t>
      </w:r>
      <w:r w:rsidRPr="00B96229">
        <w:rPr>
          <w:rFonts w:ascii="Times New Roman" w:hAnsi="Times New Roman" w:cs="Times New Roman"/>
          <w:sz w:val="24"/>
          <w:szCs w:val="24"/>
        </w:rPr>
        <w:t xml:space="preserve">for a quarter after the Secretary </w:t>
      </w:r>
      <w:r w:rsidR="00384D70">
        <w:rPr>
          <w:rFonts w:ascii="Times New Roman" w:hAnsi="Times New Roman" w:cs="Times New Roman"/>
          <w:sz w:val="24"/>
          <w:szCs w:val="24"/>
        </w:rPr>
        <w:t xml:space="preserve">has received the required information and </w:t>
      </w:r>
      <w:r w:rsidRPr="00B96229">
        <w:rPr>
          <w:rFonts w:ascii="Times New Roman" w:hAnsi="Times New Roman" w:cs="Times New Roman"/>
          <w:sz w:val="24"/>
          <w:szCs w:val="24"/>
        </w:rPr>
        <w:t>is satisfied with the volume of FSSP fuel refined at a committed refinery in the quarter meeting the requirements under section</w:t>
      </w:r>
      <w:r w:rsidR="00227E93">
        <w:rPr>
          <w:rFonts w:ascii="Times New Roman" w:hAnsi="Times New Roman" w:cs="Times New Roman"/>
          <w:sz w:val="24"/>
          <w:szCs w:val="24"/>
        </w:rPr>
        <w:t>s</w:t>
      </w:r>
      <w:r w:rsidRPr="00B96229">
        <w:rPr>
          <w:rFonts w:ascii="Times New Roman" w:hAnsi="Times New Roman" w:cs="Times New Roman"/>
          <w:sz w:val="24"/>
          <w:szCs w:val="24"/>
        </w:rPr>
        <w:t xml:space="preserve"> 5 </w:t>
      </w:r>
      <w:r w:rsidR="00840E2F">
        <w:rPr>
          <w:rFonts w:ascii="Times New Roman" w:hAnsi="Times New Roman" w:cs="Times New Roman"/>
          <w:sz w:val="24"/>
          <w:szCs w:val="24"/>
        </w:rPr>
        <w:t xml:space="preserve">(definition of “FSSP fuel”) </w:t>
      </w:r>
      <w:r w:rsidRPr="00B96229">
        <w:rPr>
          <w:rFonts w:ascii="Times New Roman" w:hAnsi="Times New Roman" w:cs="Times New Roman"/>
          <w:sz w:val="24"/>
          <w:szCs w:val="24"/>
        </w:rPr>
        <w:t xml:space="preserve">and 13 </w:t>
      </w:r>
      <w:r w:rsidR="00840E2F">
        <w:rPr>
          <w:rFonts w:ascii="Times New Roman" w:hAnsi="Times New Roman" w:cs="Times New Roman"/>
          <w:sz w:val="24"/>
          <w:szCs w:val="24"/>
        </w:rPr>
        <w:t xml:space="preserve">(determining quantity of FSSP fuel) </w:t>
      </w:r>
      <w:r w:rsidR="00227E93">
        <w:rPr>
          <w:rFonts w:ascii="Times New Roman" w:hAnsi="Times New Roman" w:cs="Times New Roman"/>
          <w:sz w:val="24"/>
          <w:szCs w:val="24"/>
        </w:rPr>
        <w:t xml:space="preserve">of the Rule </w:t>
      </w:r>
      <w:r w:rsidRPr="00B96229">
        <w:rPr>
          <w:rFonts w:ascii="Times New Roman" w:hAnsi="Times New Roman" w:cs="Times New Roman"/>
          <w:sz w:val="24"/>
          <w:szCs w:val="24"/>
        </w:rPr>
        <w:t>and reported under the POFR Act for the refinery</w:t>
      </w:r>
      <w:r w:rsidR="00C643A2" w:rsidRPr="00C643A2">
        <w:rPr>
          <w:rFonts w:ascii="Times New Roman" w:hAnsi="Times New Roman" w:cs="Times New Roman"/>
          <w:sz w:val="24"/>
          <w:szCs w:val="24"/>
        </w:rPr>
        <w:t xml:space="preserve">. </w:t>
      </w:r>
      <w:r>
        <w:rPr>
          <w:rFonts w:ascii="Times New Roman" w:hAnsi="Times New Roman" w:cs="Times New Roman"/>
          <w:sz w:val="24"/>
          <w:szCs w:val="24"/>
        </w:rPr>
        <w:t>This allows the Secretary</w:t>
      </w:r>
      <w:r w:rsidR="00C26153">
        <w:rPr>
          <w:rFonts w:ascii="Times New Roman" w:hAnsi="Times New Roman" w:cs="Times New Roman"/>
          <w:sz w:val="24"/>
          <w:szCs w:val="24"/>
        </w:rPr>
        <w:t xml:space="preserve"> (or delegate)</w:t>
      </w:r>
      <w:r>
        <w:rPr>
          <w:rFonts w:ascii="Times New Roman" w:hAnsi="Times New Roman" w:cs="Times New Roman"/>
          <w:sz w:val="24"/>
          <w:szCs w:val="24"/>
        </w:rPr>
        <w:t xml:space="preserve"> to be sure about the accuracy and veracity of reported volumes and calculations before payments are made</w:t>
      </w:r>
      <w:r w:rsidR="00A05630">
        <w:rPr>
          <w:rFonts w:ascii="Times New Roman" w:hAnsi="Times New Roman" w:cs="Times New Roman"/>
          <w:sz w:val="24"/>
          <w:szCs w:val="24"/>
        </w:rPr>
        <w:t>. It</w:t>
      </w:r>
      <w:r w:rsidR="00840E2F">
        <w:rPr>
          <w:rFonts w:ascii="Times New Roman" w:hAnsi="Times New Roman" w:cs="Times New Roman"/>
          <w:sz w:val="24"/>
          <w:szCs w:val="24"/>
        </w:rPr>
        <w:t xml:space="preserve"> is appropriately </w:t>
      </w:r>
      <w:r w:rsidR="00840E2F">
        <w:rPr>
          <w:rFonts w:ascii="Times New Roman" w:hAnsi="Times New Roman" w:cs="Times New Roman"/>
          <w:sz w:val="24"/>
          <w:szCs w:val="24"/>
        </w:rPr>
        <w:lastRenderedPageBreak/>
        <w:t>tempered by the requirement</w:t>
      </w:r>
      <w:r w:rsidR="00A05630">
        <w:rPr>
          <w:rFonts w:ascii="Times New Roman" w:hAnsi="Times New Roman" w:cs="Times New Roman"/>
          <w:sz w:val="24"/>
          <w:szCs w:val="24"/>
        </w:rPr>
        <w:t xml:space="preserve"> under subsection 14(3) of the Rule</w:t>
      </w:r>
      <w:r w:rsidR="00840E2F">
        <w:rPr>
          <w:rFonts w:ascii="Times New Roman" w:hAnsi="Times New Roman" w:cs="Times New Roman"/>
          <w:sz w:val="24"/>
          <w:szCs w:val="24"/>
        </w:rPr>
        <w:t xml:space="preserve"> that t</w:t>
      </w:r>
      <w:r w:rsidR="00840E2F" w:rsidRPr="00840E2F">
        <w:rPr>
          <w:rFonts w:ascii="Times New Roman" w:hAnsi="Times New Roman" w:cs="Times New Roman"/>
          <w:sz w:val="24"/>
          <w:szCs w:val="24"/>
        </w:rPr>
        <w:t xml:space="preserve">he Secretary </w:t>
      </w:r>
      <w:r w:rsidR="00840E2F">
        <w:rPr>
          <w:rFonts w:ascii="Times New Roman" w:hAnsi="Times New Roman" w:cs="Times New Roman"/>
          <w:sz w:val="24"/>
          <w:szCs w:val="24"/>
        </w:rPr>
        <w:t xml:space="preserve">must </w:t>
      </w:r>
      <w:r w:rsidR="00840E2F" w:rsidRPr="00840E2F">
        <w:rPr>
          <w:rFonts w:ascii="Times New Roman" w:hAnsi="Times New Roman" w:cs="Times New Roman"/>
          <w:sz w:val="24"/>
          <w:szCs w:val="24"/>
        </w:rPr>
        <w:t xml:space="preserve">make payments </w:t>
      </w:r>
      <w:r w:rsidR="00A05630">
        <w:rPr>
          <w:rFonts w:ascii="Times New Roman" w:hAnsi="Times New Roman" w:cs="Times New Roman"/>
          <w:sz w:val="24"/>
          <w:szCs w:val="24"/>
        </w:rPr>
        <w:t xml:space="preserve">as soon as practicable, and </w:t>
      </w:r>
      <w:r w:rsidR="00840E2F">
        <w:rPr>
          <w:rFonts w:ascii="Times New Roman" w:hAnsi="Times New Roman" w:cs="Times New Roman"/>
          <w:sz w:val="24"/>
          <w:szCs w:val="24"/>
        </w:rPr>
        <w:t>no later than</w:t>
      </w:r>
      <w:r w:rsidR="00840E2F" w:rsidRPr="00840E2F">
        <w:rPr>
          <w:rFonts w:ascii="Times New Roman" w:hAnsi="Times New Roman" w:cs="Times New Roman"/>
          <w:sz w:val="24"/>
          <w:szCs w:val="24"/>
        </w:rPr>
        <w:t xml:space="preserve"> 30 days</w:t>
      </w:r>
      <w:r w:rsidR="00A05630">
        <w:rPr>
          <w:rFonts w:ascii="Times New Roman" w:hAnsi="Times New Roman" w:cs="Times New Roman"/>
          <w:sz w:val="24"/>
          <w:szCs w:val="24"/>
        </w:rPr>
        <w:t>,</w:t>
      </w:r>
      <w:r w:rsidR="00840E2F" w:rsidRPr="00840E2F">
        <w:rPr>
          <w:rFonts w:ascii="Times New Roman" w:hAnsi="Times New Roman" w:cs="Times New Roman"/>
          <w:sz w:val="24"/>
          <w:szCs w:val="24"/>
        </w:rPr>
        <w:t xml:space="preserve"> </w:t>
      </w:r>
      <w:r w:rsidR="00906DA8">
        <w:rPr>
          <w:rFonts w:ascii="Times New Roman" w:hAnsi="Times New Roman" w:cs="Times New Roman"/>
          <w:sz w:val="24"/>
          <w:szCs w:val="24"/>
        </w:rPr>
        <w:t xml:space="preserve">after receiving </w:t>
      </w:r>
      <w:r w:rsidR="00840E2F" w:rsidRPr="00840E2F">
        <w:rPr>
          <w:rFonts w:ascii="Times New Roman" w:hAnsi="Times New Roman" w:cs="Times New Roman"/>
          <w:sz w:val="24"/>
          <w:szCs w:val="24"/>
        </w:rPr>
        <w:t xml:space="preserve">the </w:t>
      </w:r>
      <w:r w:rsidR="00840E2F">
        <w:rPr>
          <w:rFonts w:ascii="Times New Roman" w:hAnsi="Times New Roman" w:cs="Times New Roman"/>
          <w:sz w:val="24"/>
          <w:szCs w:val="24"/>
        </w:rPr>
        <w:t xml:space="preserve">relevant </w:t>
      </w:r>
      <w:r w:rsidR="00840E2F" w:rsidRPr="00840E2F">
        <w:rPr>
          <w:rFonts w:ascii="Times New Roman" w:hAnsi="Times New Roman" w:cs="Times New Roman"/>
          <w:sz w:val="24"/>
          <w:szCs w:val="24"/>
        </w:rPr>
        <w:t xml:space="preserve">information </w:t>
      </w:r>
      <w:r w:rsidR="00840E2F">
        <w:rPr>
          <w:rFonts w:ascii="Times New Roman" w:hAnsi="Times New Roman" w:cs="Times New Roman"/>
          <w:sz w:val="24"/>
          <w:szCs w:val="24"/>
        </w:rPr>
        <w:t xml:space="preserve">(including volumes of refined FSSP fuels and blendstock) </w:t>
      </w:r>
      <w:r w:rsidR="00840E2F" w:rsidRPr="00906DA8">
        <w:rPr>
          <w:rFonts w:ascii="Times New Roman" w:hAnsi="Times New Roman" w:cs="Times New Roman"/>
          <w:sz w:val="24"/>
          <w:szCs w:val="24"/>
        </w:rPr>
        <w:t xml:space="preserve">under section 19A of the POFR </w:t>
      </w:r>
      <w:r w:rsidR="00904CBD" w:rsidRPr="00906DA8">
        <w:rPr>
          <w:rFonts w:ascii="Times New Roman" w:hAnsi="Times New Roman" w:cs="Times New Roman"/>
          <w:sz w:val="24"/>
          <w:szCs w:val="24"/>
        </w:rPr>
        <w:t>R</w:t>
      </w:r>
      <w:r w:rsidR="00840E2F" w:rsidRPr="00906DA8">
        <w:rPr>
          <w:rFonts w:ascii="Times New Roman" w:hAnsi="Times New Roman" w:cs="Times New Roman"/>
          <w:sz w:val="24"/>
          <w:szCs w:val="24"/>
        </w:rPr>
        <w:t>ules</w:t>
      </w:r>
      <w:r w:rsidR="00906DA8">
        <w:rPr>
          <w:rFonts w:ascii="Times New Roman" w:hAnsi="Times New Roman" w:cs="Times New Roman"/>
          <w:sz w:val="24"/>
          <w:szCs w:val="24"/>
        </w:rPr>
        <w:t>, and becoming satisfied under subsection 14(1)</w:t>
      </w:r>
      <w:r w:rsidR="00471AF3">
        <w:rPr>
          <w:rFonts w:ascii="Times New Roman" w:hAnsi="Times New Roman" w:cs="Times New Roman"/>
          <w:sz w:val="24"/>
          <w:szCs w:val="24"/>
        </w:rPr>
        <w:t xml:space="preserve"> of the Rule</w:t>
      </w:r>
      <w:r w:rsidR="00840E2F" w:rsidRPr="00840E2F">
        <w:rPr>
          <w:rFonts w:ascii="Times New Roman" w:hAnsi="Times New Roman" w:cs="Times New Roman"/>
          <w:sz w:val="24"/>
          <w:szCs w:val="24"/>
        </w:rPr>
        <w:t>.</w:t>
      </w:r>
    </w:p>
    <w:p w:rsidR="00B96229" w:rsidRPr="00C22158" w:rsidRDefault="00384D70" w:rsidP="00C22158">
      <w:pPr>
        <w:spacing w:before="240" w:after="240"/>
        <w:rPr>
          <w:rFonts w:ascii="Times New Roman" w:hAnsi="Times New Roman" w:cs="Times New Roman"/>
          <w:sz w:val="24"/>
          <w:szCs w:val="24"/>
        </w:rPr>
      </w:pPr>
      <w:r>
        <w:rPr>
          <w:rFonts w:ascii="Times New Roman" w:hAnsi="Times New Roman" w:cs="Times New Roman"/>
          <w:sz w:val="24"/>
          <w:szCs w:val="24"/>
        </w:rPr>
        <w:t>Sub</w:t>
      </w:r>
      <w:r w:rsidR="00840E2F">
        <w:rPr>
          <w:rFonts w:ascii="Times New Roman" w:hAnsi="Times New Roman" w:cs="Times New Roman"/>
          <w:sz w:val="24"/>
          <w:szCs w:val="24"/>
        </w:rPr>
        <w:t xml:space="preserve">section </w:t>
      </w:r>
      <w:r>
        <w:rPr>
          <w:rFonts w:ascii="Times New Roman" w:hAnsi="Times New Roman" w:cs="Times New Roman"/>
          <w:sz w:val="24"/>
          <w:szCs w:val="24"/>
        </w:rPr>
        <w:t xml:space="preserve">14(2) </w:t>
      </w:r>
      <w:r w:rsidR="00471AF3">
        <w:rPr>
          <w:rFonts w:ascii="Times New Roman" w:hAnsi="Times New Roman" w:cs="Times New Roman"/>
          <w:sz w:val="24"/>
          <w:szCs w:val="24"/>
        </w:rPr>
        <w:t xml:space="preserve">of the Rule </w:t>
      </w:r>
      <w:r w:rsidR="00840E2F">
        <w:rPr>
          <w:rFonts w:ascii="Times New Roman" w:hAnsi="Times New Roman" w:cs="Times New Roman"/>
          <w:sz w:val="24"/>
          <w:szCs w:val="24"/>
        </w:rPr>
        <w:t>clarifies that payments are to be made to nominated bank accounts for the recipient</w:t>
      </w:r>
      <w:r>
        <w:rPr>
          <w:rFonts w:ascii="Times New Roman" w:hAnsi="Times New Roman" w:cs="Times New Roman"/>
          <w:sz w:val="24"/>
          <w:szCs w:val="24"/>
        </w:rPr>
        <w:t>.</w:t>
      </w:r>
    </w:p>
    <w:p w:rsidR="00C22158" w:rsidRDefault="00C22158"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15</w:t>
      </w:r>
      <w:r w:rsidRPr="00366EF0">
        <w:rPr>
          <w:rFonts w:ascii="Times New Roman" w:hAnsi="Times New Roman" w:cs="Times New Roman"/>
          <w:b/>
          <w:sz w:val="24"/>
          <w:szCs w:val="24"/>
        </w:rPr>
        <w:t xml:space="preserve"> –</w:t>
      </w:r>
      <w:r w:rsidRPr="00C22158">
        <w:rPr>
          <w:rFonts w:ascii="Times New Roman" w:hAnsi="Times New Roman" w:cs="Times New Roman"/>
          <w:b/>
          <w:sz w:val="24"/>
          <w:szCs w:val="24"/>
        </w:rPr>
        <w:t xml:space="preserve"> Publication of information</w:t>
      </w:r>
    </w:p>
    <w:p w:rsidR="00FA777E" w:rsidRDefault="00FA777E" w:rsidP="00C22158">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purposes of </w:t>
      </w:r>
      <w:r w:rsidR="007D5F7A">
        <w:rPr>
          <w:rFonts w:ascii="Times New Roman" w:hAnsi="Times New Roman" w:cs="Times New Roman"/>
          <w:sz w:val="24"/>
          <w:szCs w:val="24"/>
        </w:rPr>
        <w:t>paragraph 46(b) of the Act, information required to be published on the Department’s website.</w:t>
      </w:r>
      <w:r w:rsidR="0064241E" w:rsidRPr="0064241E">
        <w:t xml:space="preserve"> </w:t>
      </w:r>
      <w:r w:rsidR="0064241E">
        <w:rPr>
          <w:rFonts w:ascii="Times New Roman" w:hAnsi="Times New Roman" w:cs="Times New Roman"/>
          <w:sz w:val="24"/>
          <w:szCs w:val="24"/>
        </w:rPr>
        <w:t xml:space="preserve">This information is </w:t>
      </w:r>
      <w:r w:rsidR="0064241E" w:rsidRPr="0064241E">
        <w:rPr>
          <w:rFonts w:ascii="Times New Roman" w:hAnsi="Times New Roman" w:cs="Times New Roman"/>
          <w:sz w:val="24"/>
          <w:szCs w:val="24"/>
        </w:rPr>
        <w:t>in addition to the total amount of FSSP paid each financial year, which is required to be published under paragraph 46(a) of the Act</w:t>
      </w:r>
      <w:r w:rsidR="0064241E">
        <w:rPr>
          <w:rFonts w:ascii="Times New Roman" w:hAnsi="Times New Roman" w:cs="Times New Roman"/>
          <w:sz w:val="24"/>
          <w:szCs w:val="24"/>
        </w:rPr>
        <w:t>.</w:t>
      </w:r>
    </w:p>
    <w:p w:rsidR="007D5F7A" w:rsidRDefault="0064241E" w:rsidP="00C22158">
      <w:pPr>
        <w:spacing w:before="240" w:after="240"/>
        <w:rPr>
          <w:rFonts w:ascii="Times New Roman" w:hAnsi="Times New Roman" w:cs="Times New Roman"/>
          <w:sz w:val="24"/>
          <w:szCs w:val="24"/>
        </w:rPr>
      </w:pPr>
      <w:r>
        <w:rPr>
          <w:rFonts w:ascii="Times New Roman" w:hAnsi="Times New Roman" w:cs="Times New Roman"/>
          <w:sz w:val="24"/>
          <w:szCs w:val="24"/>
        </w:rPr>
        <w:t>S</w:t>
      </w:r>
      <w:r w:rsidR="007D5F7A">
        <w:rPr>
          <w:rFonts w:ascii="Times New Roman" w:hAnsi="Times New Roman" w:cs="Times New Roman"/>
          <w:sz w:val="24"/>
          <w:szCs w:val="24"/>
        </w:rPr>
        <w:t xml:space="preserve">ection </w:t>
      </w:r>
      <w:r>
        <w:rPr>
          <w:rFonts w:ascii="Times New Roman" w:hAnsi="Times New Roman" w:cs="Times New Roman"/>
          <w:sz w:val="24"/>
          <w:szCs w:val="24"/>
        </w:rPr>
        <w:t xml:space="preserve">15 </w:t>
      </w:r>
      <w:r w:rsidR="00227E93">
        <w:rPr>
          <w:rFonts w:ascii="Times New Roman" w:hAnsi="Times New Roman" w:cs="Times New Roman"/>
          <w:sz w:val="24"/>
          <w:szCs w:val="24"/>
        </w:rPr>
        <w:t>of the Rule</w:t>
      </w:r>
      <w:r>
        <w:rPr>
          <w:rFonts w:ascii="Times New Roman" w:hAnsi="Times New Roman" w:cs="Times New Roman"/>
          <w:sz w:val="24"/>
          <w:szCs w:val="24"/>
        </w:rPr>
        <w:t xml:space="preserve"> </w:t>
      </w:r>
      <w:r w:rsidR="007D5F7A">
        <w:rPr>
          <w:rFonts w:ascii="Times New Roman" w:hAnsi="Times New Roman" w:cs="Times New Roman"/>
          <w:sz w:val="24"/>
          <w:szCs w:val="24"/>
        </w:rPr>
        <w:t>requires t</w:t>
      </w:r>
      <w:r w:rsidR="007D5F7A" w:rsidRPr="007D5F7A">
        <w:rPr>
          <w:rFonts w:ascii="Times New Roman" w:hAnsi="Times New Roman" w:cs="Times New Roman"/>
          <w:sz w:val="24"/>
          <w:szCs w:val="24"/>
        </w:rPr>
        <w:t xml:space="preserve">he total amount of fuel security services payments for </w:t>
      </w:r>
      <w:r w:rsidR="007D5F7A">
        <w:rPr>
          <w:rFonts w:ascii="Times New Roman" w:hAnsi="Times New Roman" w:cs="Times New Roman"/>
          <w:sz w:val="24"/>
          <w:szCs w:val="24"/>
        </w:rPr>
        <w:t xml:space="preserve">each </w:t>
      </w:r>
      <w:r w:rsidR="007D5F7A" w:rsidRPr="007D5F7A">
        <w:rPr>
          <w:rFonts w:ascii="Times New Roman" w:hAnsi="Times New Roman" w:cs="Times New Roman"/>
          <w:sz w:val="24"/>
          <w:szCs w:val="24"/>
        </w:rPr>
        <w:t xml:space="preserve">quarter </w:t>
      </w:r>
      <w:r w:rsidR="007D5F7A">
        <w:rPr>
          <w:rFonts w:ascii="Times New Roman" w:hAnsi="Times New Roman" w:cs="Times New Roman"/>
          <w:sz w:val="24"/>
          <w:szCs w:val="24"/>
        </w:rPr>
        <w:t xml:space="preserve">to be published on the Department’s website </w:t>
      </w:r>
      <w:r w:rsidR="007D5F7A" w:rsidRPr="007D5F7A">
        <w:rPr>
          <w:rFonts w:ascii="Times New Roman" w:hAnsi="Times New Roman" w:cs="Times New Roman"/>
          <w:sz w:val="24"/>
          <w:szCs w:val="24"/>
        </w:rPr>
        <w:t>within 14 days after those amounts are paid.</w:t>
      </w:r>
    </w:p>
    <w:p w:rsidR="00C22158" w:rsidRDefault="0064241E" w:rsidP="00C22158">
      <w:pPr>
        <w:spacing w:before="240" w:after="240"/>
        <w:rPr>
          <w:rFonts w:ascii="Times New Roman" w:hAnsi="Times New Roman" w:cs="Times New Roman"/>
          <w:sz w:val="24"/>
          <w:szCs w:val="24"/>
        </w:rPr>
      </w:pPr>
      <w:r>
        <w:rPr>
          <w:rFonts w:ascii="Times New Roman" w:hAnsi="Times New Roman" w:cs="Times New Roman"/>
          <w:sz w:val="24"/>
          <w:szCs w:val="24"/>
        </w:rPr>
        <w:t>As for the publication requirements under the Act, t</w:t>
      </w:r>
      <w:r w:rsidR="00FA777E" w:rsidRPr="00FA777E">
        <w:rPr>
          <w:rFonts w:ascii="Times New Roman" w:hAnsi="Times New Roman" w:cs="Times New Roman"/>
          <w:sz w:val="24"/>
          <w:szCs w:val="24"/>
        </w:rPr>
        <w:t xml:space="preserve">his </w:t>
      </w:r>
      <w:r w:rsidR="00CB7F53">
        <w:rPr>
          <w:rFonts w:ascii="Times New Roman" w:hAnsi="Times New Roman" w:cs="Times New Roman"/>
          <w:sz w:val="24"/>
          <w:szCs w:val="24"/>
        </w:rPr>
        <w:t xml:space="preserve">section </w:t>
      </w:r>
      <w:r w:rsidR="00FA777E" w:rsidRPr="00FA777E">
        <w:rPr>
          <w:rFonts w:ascii="Times New Roman" w:hAnsi="Times New Roman" w:cs="Times New Roman"/>
          <w:sz w:val="24"/>
          <w:szCs w:val="24"/>
        </w:rPr>
        <w:t>helps ensure public transparency about the payments and access to the appropriation</w:t>
      </w:r>
      <w:r w:rsidR="007D5F7A">
        <w:rPr>
          <w:rFonts w:ascii="Times New Roman" w:hAnsi="Times New Roman" w:cs="Times New Roman"/>
          <w:sz w:val="24"/>
          <w:szCs w:val="24"/>
        </w:rPr>
        <w:t>.</w:t>
      </w:r>
    </w:p>
    <w:p w:rsidR="00EA7012" w:rsidRDefault="00C22158" w:rsidP="000D0E22">
      <w:pPr>
        <w:spacing w:before="240" w:after="240"/>
        <w:rPr>
          <w:rFonts w:ascii="Times New Roman" w:hAnsi="Times New Roman" w:cs="Times New Roman"/>
          <w:b/>
          <w:caps/>
          <w:sz w:val="24"/>
          <w:szCs w:val="24"/>
        </w:rPr>
      </w:pPr>
      <w:r>
        <w:rPr>
          <w:rFonts w:ascii="Times New Roman" w:hAnsi="Times New Roman" w:cs="Times New Roman"/>
          <w:b/>
          <w:sz w:val="24"/>
          <w:szCs w:val="24"/>
        </w:rPr>
        <w:t>PART 6</w:t>
      </w:r>
      <w:r w:rsidRPr="008E11FC">
        <w:rPr>
          <w:rFonts w:ascii="Times New Roman" w:hAnsi="Times New Roman" w:cs="Times New Roman"/>
          <w:b/>
          <w:sz w:val="24"/>
          <w:szCs w:val="24"/>
        </w:rPr>
        <w:t xml:space="preserve"> </w:t>
      </w:r>
      <w:r w:rsidRPr="00055A5A">
        <w:rPr>
          <w:rFonts w:ascii="Times New Roman" w:hAnsi="Times New Roman" w:cs="Times New Roman"/>
          <w:b/>
          <w:caps/>
          <w:sz w:val="24"/>
          <w:szCs w:val="24"/>
        </w:rPr>
        <w:t xml:space="preserve">– </w:t>
      </w:r>
      <w:r w:rsidR="00EA7012" w:rsidRPr="00055A5A">
        <w:rPr>
          <w:rFonts w:ascii="Times New Roman" w:hAnsi="Times New Roman" w:cs="Times New Roman"/>
          <w:b/>
          <w:caps/>
          <w:sz w:val="24"/>
          <w:szCs w:val="24"/>
        </w:rPr>
        <w:t>Reporting and notification obligations</w:t>
      </w:r>
    </w:p>
    <w:p w:rsidR="00055A5A" w:rsidRPr="00055A5A" w:rsidRDefault="00055A5A" w:rsidP="00666C28">
      <w:pPr>
        <w:keepNext/>
        <w:spacing w:before="240" w:after="240"/>
        <w:rPr>
          <w:rFonts w:ascii="Times New Roman" w:hAnsi="Times New Roman" w:cs="Times New Roman"/>
          <w:b/>
          <w:sz w:val="24"/>
          <w:szCs w:val="24"/>
        </w:rPr>
      </w:pPr>
      <w:r w:rsidRPr="00055A5A">
        <w:rPr>
          <w:rFonts w:ascii="Times New Roman" w:hAnsi="Times New Roman" w:cs="Times New Roman"/>
          <w:b/>
          <w:sz w:val="24"/>
          <w:szCs w:val="24"/>
        </w:rPr>
        <w:t xml:space="preserve">Section 16 </w:t>
      </w:r>
      <w:r w:rsidR="00FD13A3" w:rsidRPr="00FD13A3">
        <w:rPr>
          <w:rFonts w:ascii="Times New Roman" w:hAnsi="Times New Roman" w:cs="Times New Roman"/>
          <w:b/>
          <w:sz w:val="24"/>
          <w:szCs w:val="24"/>
        </w:rPr>
        <w:t xml:space="preserve">– </w:t>
      </w:r>
      <w:r w:rsidRPr="00055A5A">
        <w:rPr>
          <w:rFonts w:ascii="Times New Roman" w:hAnsi="Times New Roman" w:cs="Times New Roman"/>
          <w:b/>
          <w:sz w:val="24"/>
          <w:szCs w:val="24"/>
        </w:rPr>
        <w:t>Reporting refinery operation—general</w:t>
      </w:r>
    </w:p>
    <w:p w:rsidR="004F3A1E" w:rsidRPr="00FD13A3" w:rsidRDefault="004F3A1E" w:rsidP="009E14CD">
      <w:p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This section prescribes, for the purposes of </w:t>
      </w:r>
      <w:r w:rsidR="000D53E3">
        <w:rPr>
          <w:rFonts w:ascii="Times New Roman" w:hAnsi="Times New Roman" w:cs="Times New Roman"/>
          <w:sz w:val="24"/>
          <w:szCs w:val="24"/>
        </w:rPr>
        <w:t>paragraph</w:t>
      </w:r>
      <w:r w:rsidR="000D53E3" w:rsidRPr="00FD13A3">
        <w:rPr>
          <w:rFonts w:ascii="Times New Roman" w:hAnsi="Times New Roman" w:cs="Times New Roman"/>
          <w:sz w:val="24"/>
          <w:szCs w:val="24"/>
        </w:rPr>
        <w:t xml:space="preserve"> </w:t>
      </w:r>
      <w:r w:rsidRPr="00FD13A3">
        <w:rPr>
          <w:rFonts w:ascii="Times New Roman" w:hAnsi="Times New Roman" w:cs="Times New Roman"/>
          <w:sz w:val="24"/>
          <w:szCs w:val="24"/>
        </w:rPr>
        <w:t>47(2)(a) of the Act, general matters that must be reported by persons (i.e. refinery operators) during their commitment period.</w:t>
      </w:r>
    </w:p>
    <w:p w:rsidR="00CB57C6" w:rsidRDefault="004F3A1E" w:rsidP="004F3A1E">
      <w:p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Specifically, this section requires </w:t>
      </w:r>
      <w:r w:rsidR="004040BE" w:rsidRPr="00FD13A3">
        <w:rPr>
          <w:rFonts w:ascii="Times New Roman" w:hAnsi="Times New Roman" w:cs="Times New Roman"/>
          <w:sz w:val="24"/>
          <w:szCs w:val="24"/>
        </w:rPr>
        <w:t xml:space="preserve">refinery operators to </w:t>
      </w:r>
      <w:r w:rsidRPr="00FD13A3">
        <w:rPr>
          <w:rFonts w:ascii="Times New Roman" w:hAnsi="Times New Roman" w:cs="Times New Roman"/>
          <w:sz w:val="24"/>
          <w:szCs w:val="24"/>
        </w:rPr>
        <w:t>report</w:t>
      </w:r>
      <w:r w:rsidR="004040BE" w:rsidRPr="00FD13A3">
        <w:rPr>
          <w:rFonts w:ascii="Times New Roman" w:hAnsi="Times New Roman" w:cs="Times New Roman"/>
          <w:sz w:val="24"/>
          <w:szCs w:val="24"/>
        </w:rPr>
        <w:t>, as applicable</w:t>
      </w:r>
      <w:r w:rsidR="00CB57C6">
        <w:rPr>
          <w:rFonts w:ascii="Times New Roman" w:hAnsi="Times New Roman" w:cs="Times New Roman"/>
          <w:sz w:val="24"/>
          <w:szCs w:val="24"/>
        </w:rPr>
        <w:t>:</w:t>
      </w:r>
    </w:p>
    <w:p w:rsidR="00CB57C6" w:rsidRPr="00CB57C6" w:rsidRDefault="004040BE" w:rsidP="00CB57C6">
      <w:pPr>
        <w:pStyle w:val="ListParagraph"/>
        <w:numPr>
          <w:ilvl w:val="0"/>
          <w:numId w:val="32"/>
        </w:num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the reasons why </w:t>
      </w:r>
      <w:r w:rsidR="005739D5">
        <w:rPr>
          <w:rFonts w:ascii="Times New Roman" w:hAnsi="Times New Roman" w:cs="Times New Roman"/>
          <w:sz w:val="24"/>
          <w:szCs w:val="24"/>
        </w:rPr>
        <w:t xml:space="preserve">a committed </w:t>
      </w:r>
      <w:r w:rsidRPr="00FD13A3">
        <w:rPr>
          <w:rFonts w:ascii="Times New Roman" w:hAnsi="Times New Roman" w:cs="Times New Roman"/>
          <w:sz w:val="24"/>
          <w:szCs w:val="24"/>
        </w:rPr>
        <w:t xml:space="preserve">refinery has failed to meet the refining requirements under </w:t>
      </w:r>
      <w:r w:rsidR="00CB57C6" w:rsidRPr="00CB57C6">
        <w:rPr>
          <w:rFonts w:ascii="Times New Roman" w:hAnsi="Times New Roman" w:cs="Times New Roman"/>
          <w:sz w:val="24"/>
          <w:szCs w:val="24"/>
        </w:rPr>
        <w:t>sub</w:t>
      </w:r>
      <w:r w:rsidRPr="00CB57C6">
        <w:rPr>
          <w:rFonts w:ascii="Times New Roman" w:hAnsi="Times New Roman" w:cs="Times New Roman"/>
          <w:sz w:val="24"/>
          <w:szCs w:val="24"/>
        </w:rPr>
        <w:t xml:space="preserve">section </w:t>
      </w:r>
      <w:r w:rsidRPr="00FD13A3">
        <w:rPr>
          <w:rFonts w:ascii="Times New Roman" w:hAnsi="Times New Roman" w:cs="Times New Roman"/>
          <w:sz w:val="24"/>
          <w:szCs w:val="24"/>
        </w:rPr>
        <w:t>7</w:t>
      </w:r>
      <w:r w:rsidR="00CB57C6" w:rsidRPr="00CB57C6">
        <w:rPr>
          <w:rFonts w:ascii="Times New Roman" w:hAnsi="Times New Roman" w:cs="Times New Roman"/>
          <w:sz w:val="24"/>
          <w:szCs w:val="24"/>
        </w:rPr>
        <w:t>(2)</w:t>
      </w:r>
      <w:r w:rsidRPr="00FD13A3">
        <w:rPr>
          <w:rFonts w:ascii="Times New Roman" w:hAnsi="Times New Roman" w:cs="Times New Roman"/>
          <w:sz w:val="24"/>
          <w:szCs w:val="24"/>
        </w:rPr>
        <w:t xml:space="preserve"> </w:t>
      </w:r>
      <w:r w:rsidR="00227E93">
        <w:rPr>
          <w:rFonts w:ascii="Times New Roman" w:hAnsi="Times New Roman" w:cs="Times New Roman"/>
          <w:sz w:val="24"/>
          <w:szCs w:val="24"/>
        </w:rPr>
        <w:t xml:space="preserve">of the Rule </w:t>
      </w:r>
      <w:r w:rsidRPr="00FD13A3">
        <w:rPr>
          <w:rFonts w:ascii="Times New Roman" w:hAnsi="Times New Roman" w:cs="Times New Roman"/>
          <w:sz w:val="24"/>
          <w:szCs w:val="24"/>
        </w:rPr>
        <w:t>in the preceding quarter</w:t>
      </w:r>
      <w:r w:rsidR="00CB57C6" w:rsidRPr="00CB57C6">
        <w:rPr>
          <w:rFonts w:ascii="Times New Roman" w:hAnsi="Times New Roman" w:cs="Times New Roman"/>
          <w:sz w:val="24"/>
          <w:szCs w:val="24"/>
        </w:rPr>
        <w:t>;</w:t>
      </w:r>
    </w:p>
    <w:p w:rsidR="00CB57C6" w:rsidRPr="00CB57C6" w:rsidRDefault="004040BE" w:rsidP="00CB57C6">
      <w:pPr>
        <w:pStyle w:val="ListParagraph"/>
        <w:numPr>
          <w:ilvl w:val="0"/>
          <w:numId w:val="32"/>
        </w:num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the reasons why no FSSP fuel was refined at </w:t>
      </w:r>
      <w:r w:rsidR="005739D5">
        <w:rPr>
          <w:rFonts w:ascii="Times New Roman" w:hAnsi="Times New Roman" w:cs="Times New Roman"/>
          <w:sz w:val="24"/>
          <w:szCs w:val="24"/>
        </w:rPr>
        <w:t>the</w:t>
      </w:r>
      <w:r w:rsidRPr="00FD13A3">
        <w:rPr>
          <w:rFonts w:ascii="Times New Roman" w:hAnsi="Times New Roman" w:cs="Times New Roman"/>
          <w:sz w:val="24"/>
          <w:szCs w:val="24"/>
        </w:rPr>
        <w:t xml:space="preserve"> committed refinery in the preceding quarter</w:t>
      </w:r>
      <w:r w:rsidR="00CB57C6" w:rsidRPr="00CB57C6">
        <w:rPr>
          <w:rFonts w:ascii="Times New Roman" w:hAnsi="Times New Roman" w:cs="Times New Roman"/>
          <w:sz w:val="24"/>
          <w:szCs w:val="24"/>
        </w:rPr>
        <w:t>; or</w:t>
      </w:r>
    </w:p>
    <w:p w:rsidR="00CB57C6" w:rsidRPr="00CB57C6" w:rsidRDefault="00CB57C6" w:rsidP="00CB57C6">
      <w:pPr>
        <w:pStyle w:val="ListParagraph"/>
        <w:numPr>
          <w:ilvl w:val="0"/>
          <w:numId w:val="32"/>
        </w:numPr>
        <w:spacing w:before="240" w:after="240"/>
        <w:rPr>
          <w:rFonts w:ascii="Times New Roman" w:hAnsi="Times New Roman" w:cs="Times New Roman"/>
          <w:sz w:val="24"/>
          <w:szCs w:val="24"/>
        </w:rPr>
      </w:pPr>
      <w:r>
        <w:rPr>
          <w:rFonts w:ascii="Times New Roman" w:hAnsi="Times New Roman" w:cs="Times New Roman"/>
          <w:sz w:val="24"/>
          <w:szCs w:val="24"/>
        </w:rPr>
        <w:t>the reasons why subsection 11(3) of</w:t>
      </w:r>
      <w:r w:rsidR="004F70DA">
        <w:rPr>
          <w:rFonts w:ascii="Times New Roman" w:hAnsi="Times New Roman" w:cs="Times New Roman"/>
          <w:sz w:val="24"/>
          <w:szCs w:val="24"/>
        </w:rPr>
        <w:t xml:space="preserve"> the Rule applies to a quarter – i</w:t>
      </w:r>
      <w:r>
        <w:rPr>
          <w:rFonts w:ascii="Times New Roman" w:hAnsi="Times New Roman" w:cs="Times New Roman"/>
          <w:sz w:val="24"/>
          <w:szCs w:val="24"/>
        </w:rPr>
        <w:t xml:space="preserve">.e. the FSSP is not payable for the quarter because the person providing security for the refinery operator’s repayment obligations </w:t>
      </w:r>
      <w:r w:rsidR="004F70DA">
        <w:rPr>
          <w:rFonts w:ascii="Times New Roman" w:hAnsi="Times New Roman" w:cs="Times New Roman"/>
          <w:sz w:val="24"/>
          <w:szCs w:val="24"/>
        </w:rPr>
        <w:t xml:space="preserve">(under section 50 of the Act) </w:t>
      </w:r>
      <w:r>
        <w:rPr>
          <w:rFonts w:ascii="Times New Roman" w:hAnsi="Times New Roman" w:cs="Times New Roman"/>
          <w:sz w:val="24"/>
          <w:szCs w:val="24"/>
        </w:rPr>
        <w:t xml:space="preserve">no longer holds an investment grade credit rating, </w:t>
      </w:r>
      <w:r w:rsidR="004F70DA">
        <w:rPr>
          <w:rFonts w:ascii="Times New Roman" w:hAnsi="Times New Roman" w:cs="Times New Roman"/>
          <w:sz w:val="24"/>
          <w:szCs w:val="24"/>
        </w:rPr>
        <w:t>is likely to be unable to meet the guaranteed repayment obligations and an appropriate replacement security has not been provided to the Secretary</w:t>
      </w:r>
      <w:r>
        <w:rPr>
          <w:rFonts w:ascii="Times New Roman" w:hAnsi="Times New Roman" w:cs="Times New Roman"/>
          <w:sz w:val="24"/>
          <w:szCs w:val="24"/>
        </w:rPr>
        <w:t xml:space="preserve"> </w:t>
      </w:r>
      <w:r w:rsidR="004F70DA">
        <w:rPr>
          <w:rFonts w:ascii="Times New Roman" w:hAnsi="Times New Roman" w:cs="Times New Roman"/>
          <w:sz w:val="24"/>
          <w:szCs w:val="24"/>
        </w:rPr>
        <w:t xml:space="preserve">– </w:t>
      </w:r>
      <w:r>
        <w:rPr>
          <w:rFonts w:ascii="Times New Roman" w:hAnsi="Times New Roman" w:cs="Times New Roman"/>
          <w:sz w:val="24"/>
          <w:szCs w:val="24"/>
        </w:rPr>
        <w:t>and whether a replacement security is likely to be provided</w:t>
      </w:r>
      <w:r w:rsidR="004040BE" w:rsidRPr="00CB57C6">
        <w:rPr>
          <w:rFonts w:ascii="Times New Roman" w:hAnsi="Times New Roman" w:cs="Times New Roman"/>
          <w:sz w:val="24"/>
          <w:szCs w:val="24"/>
        </w:rPr>
        <w:t xml:space="preserve">. </w:t>
      </w:r>
    </w:p>
    <w:p w:rsidR="004F3A1E" w:rsidRPr="00FD13A3" w:rsidRDefault="004040BE" w:rsidP="004F3A1E">
      <w:p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Such information is required to be reported within </w:t>
      </w:r>
      <w:r w:rsidR="00CB57C6">
        <w:rPr>
          <w:rFonts w:ascii="Times New Roman" w:hAnsi="Times New Roman" w:cs="Times New Roman"/>
          <w:sz w:val="24"/>
          <w:szCs w:val="24"/>
        </w:rPr>
        <w:t>21</w:t>
      </w:r>
      <w:r w:rsidRPr="00FD13A3">
        <w:rPr>
          <w:rFonts w:ascii="Times New Roman" w:hAnsi="Times New Roman" w:cs="Times New Roman"/>
          <w:sz w:val="24"/>
          <w:szCs w:val="24"/>
        </w:rPr>
        <w:t xml:space="preserve"> days of the end of the quarter (subsection 16(2)</w:t>
      </w:r>
      <w:r w:rsidR="000D53E3">
        <w:rPr>
          <w:rFonts w:ascii="Times New Roman" w:hAnsi="Times New Roman" w:cs="Times New Roman"/>
          <w:sz w:val="24"/>
          <w:szCs w:val="24"/>
        </w:rPr>
        <w:t xml:space="preserve"> of the Rule</w:t>
      </w:r>
      <w:r w:rsidRPr="00FD13A3">
        <w:rPr>
          <w:rFonts w:ascii="Times New Roman" w:hAnsi="Times New Roman" w:cs="Times New Roman"/>
          <w:sz w:val="24"/>
          <w:szCs w:val="24"/>
        </w:rPr>
        <w:t xml:space="preserve">). However, the obligation to report these matters does not apply if the refinery operator has notified the Commonwealth under section 48 of the Act that they </w:t>
      </w:r>
      <w:r w:rsidRPr="00FD13A3">
        <w:rPr>
          <w:rFonts w:ascii="Times New Roman" w:hAnsi="Times New Roman" w:cs="Times New Roman"/>
          <w:sz w:val="24"/>
          <w:szCs w:val="24"/>
        </w:rPr>
        <w:lastRenderedPageBreak/>
        <w:t>will no longer be eligible for the FSSP for the rest of their commitment period (subsection 16(3)</w:t>
      </w:r>
      <w:r w:rsidR="000D53E3">
        <w:rPr>
          <w:rFonts w:ascii="Times New Roman" w:hAnsi="Times New Roman" w:cs="Times New Roman"/>
          <w:sz w:val="24"/>
          <w:szCs w:val="24"/>
        </w:rPr>
        <w:t xml:space="preserve"> of the Rule</w:t>
      </w:r>
      <w:r w:rsidRPr="00FD13A3">
        <w:rPr>
          <w:rFonts w:ascii="Times New Roman" w:hAnsi="Times New Roman" w:cs="Times New Roman"/>
          <w:sz w:val="24"/>
          <w:szCs w:val="24"/>
        </w:rPr>
        <w:t>).</w:t>
      </w:r>
    </w:p>
    <w:p w:rsidR="004F3A1E" w:rsidRPr="00FD13A3" w:rsidRDefault="004F3A1E" w:rsidP="004F3A1E">
      <w:pPr>
        <w:spacing w:before="240" w:after="240"/>
        <w:rPr>
          <w:rFonts w:ascii="Times New Roman" w:hAnsi="Times New Roman" w:cs="Times New Roman"/>
          <w:sz w:val="24"/>
          <w:szCs w:val="24"/>
        </w:rPr>
      </w:pPr>
      <w:r w:rsidRPr="00FD13A3">
        <w:rPr>
          <w:rFonts w:ascii="Times New Roman" w:hAnsi="Times New Roman" w:cs="Times New Roman"/>
          <w:sz w:val="24"/>
          <w:szCs w:val="24"/>
        </w:rPr>
        <w:t xml:space="preserve">The note to section 16(3) </w:t>
      </w:r>
      <w:r w:rsidR="00227E93">
        <w:rPr>
          <w:rFonts w:ascii="Times New Roman" w:hAnsi="Times New Roman" w:cs="Times New Roman"/>
          <w:sz w:val="24"/>
          <w:szCs w:val="24"/>
        </w:rPr>
        <w:t xml:space="preserve">of the Rule </w:t>
      </w:r>
      <w:r w:rsidRPr="00FD13A3">
        <w:rPr>
          <w:rFonts w:ascii="Times New Roman" w:hAnsi="Times New Roman" w:cs="Times New Roman"/>
          <w:sz w:val="24"/>
          <w:szCs w:val="24"/>
        </w:rPr>
        <w:t xml:space="preserve">advises the reader that additional reporting of the volume of FSSP fuel refined in each quarter is required under the POFR Act and POFR </w:t>
      </w:r>
      <w:r w:rsidR="00904CBD">
        <w:rPr>
          <w:rFonts w:ascii="Times New Roman" w:hAnsi="Times New Roman" w:cs="Times New Roman"/>
          <w:sz w:val="24"/>
          <w:szCs w:val="24"/>
        </w:rPr>
        <w:t>R</w:t>
      </w:r>
      <w:r w:rsidRPr="00FD13A3">
        <w:rPr>
          <w:rFonts w:ascii="Times New Roman" w:hAnsi="Times New Roman" w:cs="Times New Roman"/>
          <w:sz w:val="24"/>
          <w:szCs w:val="24"/>
        </w:rPr>
        <w:t xml:space="preserve">ules. </w:t>
      </w:r>
      <w:r w:rsidR="004040BE" w:rsidRPr="00FD13A3">
        <w:rPr>
          <w:rFonts w:ascii="Times New Roman" w:hAnsi="Times New Roman" w:cs="Times New Roman"/>
          <w:sz w:val="24"/>
          <w:szCs w:val="24"/>
        </w:rPr>
        <w:t xml:space="preserve">This reflects the fact that refinery operators are required to </w:t>
      </w:r>
      <w:r w:rsidRPr="00FD13A3">
        <w:rPr>
          <w:rFonts w:ascii="Times New Roman" w:hAnsi="Times New Roman" w:cs="Times New Roman"/>
          <w:sz w:val="24"/>
          <w:szCs w:val="24"/>
        </w:rPr>
        <w:t>report matters relating to the quantities and kinds of FSSP fuels produced by committed refineries in each quarter of their commitment period</w:t>
      </w:r>
      <w:r w:rsidR="004040BE" w:rsidRPr="00FD13A3">
        <w:rPr>
          <w:rFonts w:ascii="Times New Roman" w:hAnsi="Times New Roman" w:cs="Times New Roman"/>
          <w:sz w:val="24"/>
          <w:szCs w:val="24"/>
        </w:rPr>
        <w:t>, under the</w:t>
      </w:r>
      <w:r w:rsidR="00B9133F" w:rsidRPr="00B9133F">
        <w:t xml:space="preserve"> </w:t>
      </w:r>
      <w:r w:rsidR="00B9133F" w:rsidRPr="00B9133F">
        <w:rPr>
          <w:rFonts w:ascii="Times New Roman" w:hAnsi="Times New Roman" w:cs="Times New Roman"/>
          <w:i/>
          <w:sz w:val="24"/>
          <w:szCs w:val="24"/>
        </w:rPr>
        <w:t>Petroleum and Other Fuels Reporting Act 2017</w:t>
      </w:r>
      <w:r w:rsidR="00B9133F">
        <w:rPr>
          <w:rFonts w:ascii="Times New Roman" w:hAnsi="Times New Roman" w:cs="Times New Roman"/>
          <w:sz w:val="24"/>
          <w:szCs w:val="24"/>
        </w:rPr>
        <w:t xml:space="preserve"> and</w:t>
      </w:r>
      <w:r w:rsidR="004040BE" w:rsidRPr="00FD13A3">
        <w:rPr>
          <w:rFonts w:ascii="Times New Roman" w:hAnsi="Times New Roman" w:cs="Times New Roman"/>
          <w:sz w:val="24"/>
          <w:szCs w:val="24"/>
        </w:rPr>
        <w:t xml:space="preserve"> POFR </w:t>
      </w:r>
      <w:r w:rsidR="00B9133F">
        <w:rPr>
          <w:rFonts w:ascii="Times New Roman" w:hAnsi="Times New Roman" w:cs="Times New Roman"/>
          <w:sz w:val="24"/>
          <w:szCs w:val="24"/>
        </w:rPr>
        <w:t>Rules</w:t>
      </w:r>
      <w:r w:rsidR="004040BE" w:rsidRPr="00FD13A3">
        <w:rPr>
          <w:rFonts w:ascii="Times New Roman" w:hAnsi="Times New Roman" w:cs="Times New Roman"/>
          <w:sz w:val="24"/>
          <w:szCs w:val="24"/>
        </w:rPr>
        <w:t>.</w:t>
      </w:r>
      <w:r w:rsidRPr="00FD13A3">
        <w:rPr>
          <w:rFonts w:ascii="Times New Roman" w:hAnsi="Times New Roman" w:cs="Times New Roman"/>
          <w:sz w:val="24"/>
          <w:szCs w:val="24"/>
        </w:rPr>
        <w:t xml:space="preserve"> Such information will be necessary to calculate any FSSP payable for a quarter. </w:t>
      </w:r>
      <w:r w:rsidR="004040BE" w:rsidRPr="00FD13A3">
        <w:rPr>
          <w:rFonts w:ascii="Times New Roman" w:hAnsi="Times New Roman" w:cs="Times New Roman"/>
          <w:sz w:val="24"/>
          <w:szCs w:val="24"/>
        </w:rPr>
        <w:t>Relying on information reported under the POFR laws is aimed to reduce</w:t>
      </w:r>
      <w:r w:rsidRPr="00FD13A3">
        <w:rPr>
          <w:rFonts w:ascii="Times New Roman" w:hAnsi="Times New Roman" w:cs="Times New Roman"/>
          <w:sz w:val="24"/>
          <w:szCs w:val="24"/>
        </w:rPr>
        <w:t xml:space="preserve"> regulatory burden on refinery op</w:t>
      </w:r>
      <w:r w:rsidR="004040BE" w:rsidRPr="00FD13A3">
        <w:rPr>
          <w:rFonts w:ascii="Times New Roman" w:hAnsi="Times New Roman" w:cs="Times New Roman"/>
          <w:sz w:val="24"/>
          <w:szCs w:val="24"/>
        </w:rPr>
        <w:t>erators to the extent possible</w:t>
      </w:r>
      <w:r w:rsidRPr="00FD13A3">
        <w:rPr>
          <w:rFonts w:ascii="Times New Roman" w:hAnsi="Times New Roman" w:cs="Times New Roman"/>
          <w:sz w:val="24"/>
          <w:szCs w:val="24"/>
        </w:rPr>
        <w:t xml:space="preserve">, rather than requiring them to separately report these matters under both the POFR laws and the </w:t>
      </w:r>
      <w:r w:rsidR="004040BE" w:rsidRPr="00FD13A3">
        <w:rPr>
          <w:rFonts w:ascii="Times New Roman" w:hAnsi="Times New Roman" w:cs="Times New Roman"/>
          <w:sz w:val="24"/>
          <w:szCs w:val="24"/>
        </w:rPr>
        <w:t>Rule.</w:t>
      </w:r>
    </w:p>
    <w:p w:rsidR="009E14CD" w:rsidRPr="00FD13A3" w:rsidRDefault="009E14CD" w:rsidP="009E14CD">
      <w:pPr>
        <w:spacing w:before="240" w:after="240"/>
        <w:rPr>
          <w:rFonts w:ascii="Times New Roman" w:hAnsi="Times New Roman" w:cs="Times New Roman"/>
          <w:sz w:val="24"/>
          <w:szCs w:val="24"/>
        </w:rPr>
      </w:pPr>
      <w:r w:rsidRPr="00FD13A3">
        <w:rPr>
          <w:rFonts w:ascii="Times New Roman" w:hAnsi="Times New Roman" w:cs="Times New Roman"/>
          <w:sz w:val="24"/>
          <w:szCs w:val="24"/>
        </w:rPr>
        <w:t>Reported information will be used throughout a refinery operator’s commitment period to determine:</w:t>
      </w:r>
    </w:p>
    <w:p w:rsidR="009E14CD" w:rsidRPr="00FD13A3" w:rsidRDefault="009E14CD" w:rsidP="00FD13A3">
      <w:pPr>
        <w:pStyle w:val="ListParagraph"/>
        <w:numPr>
          <w:ilvl w:val="0"/>
          <w:numId w:val="15"/>
        </w:numPr>
        <w:spacing w:before="240" w:after="240"/>
        <w:rPr>
          <w:rFonts w:ascii="Times New Roman" w:hAnsi="Times New Roman" w:cs="Times New Roman"/>
          <w:sz w:val="24"/>
          <w:szCs w:val="24"/>
        </w:rPr>
      </w:pPr>
      <w:r w:rsidRPr="00FD13A3">
        <w:rPr>
          <w:rFonts w:ascii="Times New Roman" w:hAnsi="Times New Roman" w:cs="Times New Roman"/>
          <w:sz w:val="24"/>
          <w:szCs w:val="24"/>
        </w:rPr>
        <w:t>a refinery operator’s quarterly eligibility for the FSSP; and</w:t>
      </w:r>
    </w:p>
    <w:p w:rsidR="009E14CD" w:rsidRPr="00FD13A3" w:rsidRDefault="009E14CD" w:rsidP="00FD13A3">
      <w:pPr>
        <w:pStyle w:val="ListParagraph"/>
        <w:numPr>
          <w:ilvl w:val="0"/>
          <w:numId w:val="15"/>
        </w:numPr>
        <w:spacing w:before="240" w:after="240"/>
        <w:rPr>
          <w:rFonts w:ascii="Times New Roman" w:hAnsi="Times New Roman" w:cs="Times New Roman"/>
          <w:sz w:val="24"/>
          <w:szCs w:val="24"/>
        </w:rPr>
      </w:pPr>
      <w:r w:rsidRPr="00FD13A3">
        <w:rPr>
          <w:rFonts w:ascii="Times New Roman" w:hAnsi="Times New Roman" w:cs="Times New Roman"/>
          <w:sz w:val="24"/>
          <w:szCs w:val="24"/>
        </w:rPr>
        <w:t>if a refinery operator is obliged to repay any amount of the FSSP.</w:t>
      </w:r>
    </w:p>
    <w:p w:rsidR="009E14CD" w:rsidRPr="00FD13A3" w:rsidRDefault="00067A80" w:rsidP="009E14CD">
      <w:pPr>
        <w:spacing w:before="240" w:after="240"/>
        <w:rPr>
          <w:rFonts w:ascii="Times New Roman" w:hAnsi="Times New Roman" w:cs="Times New Roman"/>
          <w:sz w:val="24"/>
          <w:szCs w:val="24"/>
        </w:rPr>
      </w:pPr>
      <w:r>
        <w:rPr>
          <w:rFonts w:ascii="Times New Roman" w:hAnsi="Times New Roman" w:cs="Times New Roman"/>
          <w:sz w:val="24"/>
          <w:szCs w:val="24"/>
        </w:rPr>
        <w:t>The r</w:t>
      </w:r>
      <w:r w:rsidR="009E14CD" w:rsidRPr="00FD13A3">
        <w:rPr>
          <w:rFonts w:ascii="Times New Roman" w:hAnsi="Times New Roman" w:cs="Times New Roman"/>
          <w:sz w:val="24"/>
          <w:szCs w:val="24"/>
        </w:rPr>
        <w:t>eported information is therefore crucial to the administration an</w:t>
      </w:r>
      <w:r w:rsidR="004040BE" w:rsidRPr="00FD13A3">
        <w:rPr>
          <w:rFonts w:ascii="Times New Roman" w:hAnsi="Times New Roman" w:cs="Times New Roman"/>
          <w:sz w:val="24"/>
          <w:szCs w:val="24"/>
        </w:rPr>
        <w:t>d integrity of the FSSP scheme.</w:t>
      </w:r>
    </w:p>
    <w:p w:rsidR="00055A5A" w:rsidRPr="00055A5A" w:rsidRDefault="00055A5A" w:rsidP="00666C28">
      <w:pPr>
        <w:keepNext/>
        <w:spacing w:before="240" w:after="240"/>
        <w:rPr>
          <w:rFonts w:ascii="Times New Roman" w:hAnsi="Times New Roman" w:cs="Times New Roman"/>
          <w:b/>
          <w:sz w:val="24"/>
          <w:szCs w:val="24"/>
        </w:rPr>
      </w:pPr>
      <w:r w:rsidRPr="00055A5A">
        <w:rPr>
          <w:rFonts w:ascii="Times New Roman" w:hAnsi="Times New Roman" w:cs="Times New Roman"/>
          <w:b/>
          <w:sz w:val="24"/>
          <w:szCs w:val="24"/>
        </w:rPr>
        <w:t xml:space="preserve">Section </w:t>
      </w:r>
      <w:r>
        <w:rPr>
          <w:rFonts w:ascii="Times New Roman" w:hAnsi="Times New Roman" w:cs="Times New Roman"/>
          <w:b/>
          <w:sz w:val="24"/>
          <w:szCs w:val="24"/>
        </w:rPr>
        <w:t>17</w:t>
      </w:r>
      <w:r w:rsidRPr="00055A5A">
        <w:rPr>
          <w:rFonts w:ascii="Times New Roman" w:hAnsi="Times New Roman" w:cs="Times New Roman"/>
          <w:b/>
          <w:sz w:val="24"/>
          <w:szCs w:val="24"/>
        </w:rPr>
        <w:t xml:space="preserve"> </w:t>
      </w:r>
      <w:r w:rsidR="00FD13A3" w:rsidRPr="00FD13A3">
        <w:rPr>
          <w:rFonts w:ascii="Times New Roman" w:hAnsi="Times New Roman" w:cs="Times New Roman"/>
          <w:b/>
          <w:sz w:val="24"/>
          <w:szCs w:val="24"/>
        </w:rPr>
        <w:t xml:space="preserve">– </w:t>
      </w:r>
      <w:r w:rsidRPr="00055A5A">
        <w:rPr>
          <w:rFonts w:ascii="Times New Roman" w:hAnsi="Times New Roman" w:cs="Times New Roman"/>
          <w:b/>
          <w:sz w:val="24"/>
          <w:szCs w:val="24"/>
        </w:rPr>
        <w:t>Reporting refinery operation—</w:t>
      </w:r>
      <w:r w:rsidRPr="00055A5A">
        <w:t xml:space="preserve"> </w:t>
      </w:r>
      <w:r w:rsidRPr="00055A5A">
        <w:rPr>
          <w:rFonts w:ascii="Times New Roman" w:hAnsi="Times New Roman" w:cs="Times New Roman"/>
          <w:b/>
          <w:sz w:val="24"/>
          <w:szCs w:val="24"/>
        </w:rPr>
        <w:t>closure circumstances</w:t>
      </w:r>
    </w:p>
    <w:p w:rsidR="00BC416C" w:rsidRDefault="00FD13A3" w:rsidP="001D0BC9">
      <w:pPr>
        <w:spacing w:before="240" w:after="240"/>
        <w:rPr>
          <w:rFonts w:ascii="Times New Roman" w:hAnsi="Times New Roman" w:cs="Times New Roman"/>
          <w:sz w:val="24"/>
          <w:szCs w:val="24"/>
        </w:rPr>
      </w:pPr>
      <w:r w:rsidRPr="00BC416C">
        <w:rPr>
          <w:rFonts w:ascii="Times New Roman" w:hAnsi="Times New Roman" w:cs="Times New Roman"/>
          <w:sz w:val="24"/>
          <w:szCs w:val="24"/>
        </w:rPr>
        <w:t xml:space="preserve">This section prescribes, for the purposes of </w:t>
      </w:r>
      <w:r w:rsidR="000D53E3">
        <w:rPr>
          <w:rFonts w:ascii="Times New Roman" w:hAnsi="Times New Roman" w:cs="Times New Roman"/>
          <w:sz w:val="24"/>
          <w:szCs w:val="24"/>
        </w:rPr>
        <w:t>paragraph</w:t>
      </w:r>
      <w:r w:rsidR="000D53E3" w:rsidRPr="00BC416C">
        <w:rPr>
          <w:rFonts w:ascii="Times New Roman" w:hAnsi="Times New Roman" w:cs="Times New Roman"/>
          <w:sz w:val="24"/>
          <w:szCs w:val="24"/>
        </w:rPr>
        <w:t xml:space="preserve"> </w:t>
      </w:r>
      <w:r w:rsidRPr="00BC416C">
        <w:rPr>
          <w:rFonts w:ascii="Times New Roman" w:hAnsi="Times New Roman" w:cs="Times New Roman"/>
          <w:sz w:val="24"/>
          <w:szCs w:val="24"/>
        </w:rPr>
        <w:t>47(2)(a) of the Act, matters that must be reported by persons (i.e. refinery operators) during their commitment period, relat</w:t>
      </w:r>
      <w:r w:rsidR="00BC416C" w:rsidRPr="00BC416C">
        <w:rPr>
          <w:rFonts w:ascii="Times New Roman" w:hAnsi="Times New Roman" w:cs="Times New Roman"/>
          <w:sz w:val="24"/>
          <w:szCs w:val="24"/>
        </w:rPr>
        <w:t>ing</w:t>
      </w:r>
      <w:r w:rsidRPr="00BC416C">
        <w:rPr>
          <w:rFonts w:ascii="Times New Roman" w:hAnsi="Times New Roman" w:cs="Times New Roman"/>
          <w:sz w:val="24"/>
          <w:szCs w:val="24"/>
        </w:rPr>
        <w:t xml:space="preserve"> to </w:t>
      </w:r>
      <w:r w:rsidR="00BC416C" w:rsidRPr="00BC416C">
        <w:rPr>
          <w:rFonts w:ascii="Times New Roman" w:hAnsi="Times New Roman" w:cs="Times New Roman"/>
          <w:sz w:val="24"/>
          <w:szCs w:val="24"/>
        </w:rPr>
        <w:t xml:space="preserve">circumstances where the obligation to repay under subsection 50(1) of the Act would not arise if the </w:t>
      </w:r>
      <w:r w:rsidR="00582533">
        <w:rPr>
          <w:rFonts w:ascii="Times New Roman" w:hAnsi="Times New Roman" w:cs="Times New Roman"/>
          <w:sz w:val="24"/>
          <w:szCs w:val="24"/>
        </w:rPr>
        <w:t xml:space="preserve">committed </w:t>
      </w:r>
      <w:r w:rsidR="00BC416C" w:rsidRPr="00BC416C">
        <w:rPr>
          <w:rFonts w:ascii="Times New Roman" w:hAnsi="Times New Roman" w:cs="Times New Roman"/>
          <w:sz w:val="24"/>
          <w:szCs w:val="24"/>
        </w:rPr>
        <w:t>refine</w:t>
      </w:r>
      <w:r w:rsidR="00BC416C">
        <w:rPr>
          <w:rFonts w:ascii="Times New Roman" w:hAnsi="Times New Roman" w:cs="Times New Roman"/>
          <w:sz w:val="24"/>
          <w:szCs w:val="24"/>
        </w:rPr>
        <w:t>ry closed.</w:t>
      </w:r>
    </w:p>
    <w:p w:rsidR="00FD13A3" w:rsidRPr="00DD304E" w:rsidRDefault="00DD304E" w:rsidP="001D0BC9">
      <w:pPr>
        <w:spacing w:before="240" w:after="240"/>
        <w:rPr>
          <w:rFonts w:ascii="Times New Roman" w:hAnsi="Times New Roman" w:cs="Times New Roman"/>
          <w:sz w:val="24"/>
          <w:szCs w:val="24"/>
        </w:rPr>
      </w:pPr>
      <w:r w:rsidRPr="00DD304E">
        <w:rPr>
          <w:rFonts w:ascii="Times New Roman" w:hAnsi="Times New Roman" w:cs="Times New Roman"/>
          <w:sz w:val="24"/>
          <w:szCs w:val="24"/>
        </w:rPr>
        <w:t xml:space="preserve">It requires refinery operators to report specific kinds of information relating to either the relevant force majeure event or material adverse change, as applicable, including </w:t>
      </w:r>
      <w:r w:rsidR="00750C9E">
        <w:rPr>
          <w:rFonts w:ascii="Times New Roman" w:hAnsi="Times New Roman" w:cs="Times New Roman"/>
          <w:sz w:val="24"/>
          <w:szCs w:val="24"/>
        </w:rPr>
        <w:t xml:space="preserve">the relevant independent analysis </w:t>
      </w:r>
      <w:r w:rsidRPr="00DD304E">
        <w:rPr>
          <w:rFonts w:ascii="Times New Roman" w:hAnsi="Times New Roman" w:cs="Times New Roman"/>
          <w:sz w:val="24"/>
          <w:szCs w:val="24"/>
        </w:rPr>
        <w:t xml:space="preserve">to support a conclusion that the event or change has caused the committed refinery to become commercially or operationally unviable, any steps taken or proposed to be taken </w:t>
      </w:r>
      <w:r w:rsidR="00750C9E">
        <w:rPr>
          <w:rFonts w:ascii="Times New Roman" w:hAnsi="Times New Roman" w:cs="Times New Roman"/>
          <w:sz w:val="24"/>
          <w:szCs w:val="24"/>
        </w:rPr>
        <w:t xml:space="preserve">by the refinery operator and related entities </w:t>
      </w:r>
      <w:r w:rsidRPr="00DD304E">
        <w:rPr>
          <w:rFonts w:ascii="Times New Roman" w:hAnsi="Times New Roman" w:cs="Times New Roman"/>
          <w:sz w:val="24"/>
          <w:szCs w:val="24"/>
        </w:rPr>
        <w:t>to prevent or limit the effect of the event or change (including those risk mitigation measures referred to under paragraph 6(2)(d)</w:t>
      </w:r>
      <w:r w:rsidR="00227E93">
        <w:rPr>
          <w:rFonts w:ascii="Times New Roman" w:hAnsi="Times New Roman" w:cs="Times New Roman"/>
          <w:sz w:val="24"/>
          <w:szCs w:val="24"/>
        </w:rPr>
        <w:t xml:space="preserve"> of the Rule</w:t>
      </w:r>
      <w:r w:rsidRPr="00DD304E">
        <w:rPr>
          <w:rFonts w:ascii="Times New Roman" w:hAnsi="Times New Roman" w:cs="Times New Roman"/>
          <w:sz w:val="24"/>
          <w:szCs w:val="24"/>
        </w:rPr>
        <w:t xml:space="preserve">), and </w:t>
      </w:r>
      <w:r w:rsidR="00FD13A3" w:rsidRPr="00DD304E">
        <w:rPr>
          <w:rFonts w:ascii="Times New Roman" w:hAnsi="Times New Roman" w:cs="Times New Roman"/>
          <w:sz w:val="24"/>
          <w:szCs w:val="24"/>
        </w:rPr>
        <w:t>the costs of addressing the event or change.</w:t>
      </w:r>
    </w:p>
    <w:p w:rsidR="00DE2B1E" w:rsidRDefault="00FD13A3" w:rsidP="001D0BC9">
      <w:pPr>
        <w:spacing w:before="240" w:after="240"/>
        <w:rPr>
          <w:rFonts w:ascii="Times New Roman" w:hAnsi="Times New Roman" w:cs="Times New Roman"/>
          <w:sz w:val="24"/>
          <w:szCs w:val="24"/>
        </w:rPr>
      </w:pPr>
      <w:r w:rsidRPr="00DD304E">
        <w:rPr>
          <w:rFonts w:ascii="Times New Roman" w:hAnsi="Times New Roman" w:cs="Times New Roman"/>
          <w:sz w:val="24"/>
          <w:szCs w:val="24"/>
        </w:rPr>
        <w:t xml:space="preserve">The policy intent </w:t>
      </w:r>
      <w:r w:rsidR="00DD304E" w:rsidRPr="00DD304E">
        <w:rPr>
          <w:rFonts w:ascii="Times New Roman" w:hAnsi="Times New Roman" w:cs="Times New Roman"/>
          <w:sz w:val="24"/>
          <w:szCs w:val="24"/>
        </w:rPr>
        <w:t xml:space="preserve">of this provision </w:t>
      </w:r>
      <w:r w:rsidRPr="00DD304E">
        <w:rPr>
          <w:rFonts w:ascii="Times New Roman" w:hAnsi="Times New Roman" w:cs="Times New Roman"/>
          <w:sz w:val="24"/>
          <w:szCs w:val="24"/>
        </w:rPr>
        <w:t xml:space="preserve">is to ensure the Minister is provided with all relevant information </w:t>
      </w:r>
      <w:r w:rsidR="00DD304E" w:rsidRPr="00DD304E">
        <w:rPr>
          <w:rFonts w:ascii="Times New Roman" w:hAnsi="Times New Roman" w:cs="Times New Roman"/>
          <w:sz w:val="24"/>
          <w:szCs w:val="24"/>
        </w:rPr>
        <w:t>on which to base a decision whether</w:t>
      </w:r>
      <w:r w:rsidR="00DE2B1E">
        <w:rPr>
          <w:rFonts w:ascii="Times New Roman" w:hAnsi="Times New Roman" w:cs="Times New Roman"/>
          <w:sz w:val="24"/>
          <w:szCs w:val="24"/>
        </w:rPr>
        <w:t>:</w:t>
      </w:r>
    </w:p>
    <w:p w:rsidR="00DE2B1E" w:rsidRDefault="00DD304E" w:rsidP="00DE2B1E">
      <w:pPr>
        <w:pStyle w:val="ListParagraph"/>
        <w:numPr>
          <w:ilvl w:val="0"/>
          <w:numId w:val="29"/>
        </w:numPr>
        <w:spacing w:before="240" w:after="240"/>
        <w:rPr>
          <w:rFonts w:ascii="Times New Roman" w:hAnsi="Times New Roman" w:cs="Times New Roman"/>
          <w:sz w:val="24"/>
          <w:szCs w:val="24"/>
        </w:rPr>
      </w:pPr>
      <w:r w:rsidRPr="00DE2B1E">
        <w:rPr>
          <w:rFonts w:ascii="Times New Roman" w:hAnsi="Times New Roman" w:cs="Times New Roman"/>
          <w:sz w:val="24"/>
          <w:szCs w:val="24"/>
        </w:rPr>
        <w:t xml:space="preserve">the repayment obligations under </w:t>
      </w:r>
      <w:r w:rsidR="000D53E3" w:rsidRPr="00DE2B1E">
        <w:rPr>
          <w:rFonts w:ascii="Times New Roman" w:hAnsi="Times New Roman" w:cs="Times New Roman"/>
          <w:sz w:val="24"/>
          <w:szCs w:val="24"/>
        </w:rPr>
        <w:t>sub</w:t>
      </w:r>
      <w:r w:rsidRPr="00DE2B1E">
        <w:rPr>
          <w:rFonts w:ascii="Times New Roman" w:hAnsi="Times New Roman" w:cs="Times New Roman"/>
          <w:sz w:val="24"/>
          <w:szCs w:val="24"/>
        </w:rPr>
        <w:t>section 50(1) of the Act</w:t>
      </w:r>
      <w:r w:rsidR="001D0BC9" w:rsidRPr="00DE2B1E">
        <w:rPr>
          <w:rFonts w:ascii="Times New Roman" w:hAnsi="Times New Roman" w:cs="Times New Roman"/>
          <w:sz w:val="24"/>
          <w:szCs w:val="24"/>
        </w:rPr>
        <w:t xml:space="preserve"> </w:t>
      </w:r>
      <w:r w:rsidR="00FD13A3" w:rsidRPr="00DE2B1E">
        <w:rPr>
          <w:rFonts w:ascii="Times New Roman" w:hAnsi="Times New Roman" w:cs="Times New Roman"/>
          <w:sz w:val="24"/>
          <w:szCs w:val="24"/>
        </w:rPr>
        <w:t>apply</w:t>
      </w:r>
      <w:r w:rsidRPr="00DE2B1E">
        <w:rPr>
          <w:rFonts w:ascii="Times New Roman" w:hAnsi="Times New Roman" w:cs="Times New Roman"/>
          <w:sz w:val="24"/>
          <w:szCs w:val="24"/>
        </w:rPr>
        <w:t>, or whether the criteria under section 20 of the Rule have been met such that the repayment obligation does not apply</w:t>
      </w:r>
      <w:r w:rsidR="00DE2B1E" w:rsidRPr="00DE2B1E">
        <w:rPr>
          <w:rFonts w:ascii="Times New Roman" w:hAnsi="Times New Roman" w:cs="Times New Roman"/>
          <w:sz w:val="24"/>
          <w:szCs w:val="24"/>
        </w:rPr>
        <w:t>; and</w:t>
      </w:r>
    </w:p>
    <w:p w:rsidR="001D0BC9" w:rsidRPr="00DE2B1E" w:rsidRDefault="00DE2B1E" w:rsidP="00DE2B1E">
      <w:pPr>
        <w:pStyle w:val="ListParagraph"/>
        <w:numPr>
          <w:ilvl w:val="0"/>
          <w:numId w:val="29"/>
        </w:numPr>
        <w:spacing w:before="240" w:after="240"/>
        <w:rPr>
          <w:rFonts w:ascii="Times New Roman" w:hAnsi="Times New Roman" w:cs="Times New Roman"/>
          <w:sz w:val="24"/>
          <w:szCs w:val="24"/>
        </w:rPr>
      </w:pPr>
      <w:r>
        <w:rPr>
          <w:rFonts w:ascii="Times New Roman" w:hAnsi="Times New Roman" w:cs="Times New Roman"/>
          <w:sz w:val="24"/>
          <w:szCs w:val="24"/>
        </w:rPr>
        <w:t xml:space="preserve">whether </w:t>
      </w:r>
      <w:r w:rsidRPr="00DE2B1E">
        <w:rPr>
          <w:rFonts w:ascii="Times New Roman" w:hAnsi="Times New Roman" w:cs="Times New Roman"/>
          <w:sz w:val="24"/>
          <w:szCs w:val="24"/>
        </w:rPr>
        <w:t xml:space="preserve">a </w:t>
      </w:r>
      <w:r>
        <w:rPr>
          <w:rFonts w:ascii="Times New Roman" w:hAnsi="Times New Roman" w:cs="Times New Roman"/>
          <w:sz w:val="24"/>
          <w:szCs w:val="24"/>
        </w:rPr>
        <w:t>refinery operator may request a variation or t</w:t>
      </w:r>
      <w:r w:rsidRPr="00DE2B1E">
        <w:rPr>
          <w:rFonts w:ascii="Times New Roman" w:hAnsi="Times New Roman" w:cs="Times New Roman"/>
          <w:sz w:val="24"/>
          <w:szCs w:val="24"/>
        </w:rPr>
        <w:t>ermination of their commitment period under paragraph 10(4)(a) of the Rule</w:t>
      </w:r>
      <w:r w:rsidR="001D0BC9" w:rsidRPr="00DE2B1E">
        <w:rPr>
          <w:rFonts w:ascii="Times New Roman" w:hAnsi="Times New Roman" w:cs="Times New Roman"/>
          <w:sz w:val="24"/>
          <w:szCs w:val="24"/>
        </w:rPr>
        <w:t xml:space="preserve">. </w:t>
      </w:r>
    </w:p>
    <w:p w:rsidR="00803B7A" w:rsidRPr="00FD13A3" w:rsidRDefault="00803B7A" w:rsidP="001D0BC9">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This section also requires the refinery operator to provide the required information to the Secretary as soon as practicable after the circumstance has arisen and the relevant independent analysis undertaken. </w:t>
      </w:r>
    </w:p>
    <w:p w:rsidR="00055A5A" w:rsidRPr="00055A5A" w:rsidRDefault="00055A5A" w:rsidP="00666C28">
      <w:pPr>
        <w:keepNext/>
        <w:spacing w:before="240" w:after="240"/>
        <w:rPr>
          <w:rFonts w:ascii="Times New Roman" w:hAnsi="Times New Roman" w:cs="Times New Roman"/>
          <w:b/>
          <w:sz w:val="24"/>
          <w:szCs w:val="24"/>
        </w:rPr>
      </w:pPr>
      <w:r w:rsidRPr="00055A5A">
        <w:rPr>
          <w:rFonts w:ascii="Times New Roman" w:hAnsi="Times New Roman" w:cs="Times New Roman"/>
          <w:b/>
          <w:sz w:val="24"/>
          <w:szCs w:val="24"/>
        </w:rPr>
        <w:t xml:space="preserve">Section </w:t>
      </w:r>
      <w:r>
        <w:rPr>
          <w:rFonts w:ascii="Times New Roman" w:hAnsi="Times New Roman" w:cs="Times New Roman"/>
          <w:b/>
          <w:sz w:val="24"/>
          <w:szCs w:val="24"/>
        </w:rPr>
        <w:t>18</w:t>
      </w:r>
      <w:r w:rsidRPr="00055A5A">
        <w:rPr>
          <w:rFonts w:ascii="Times New Roman" w:hAnsi="Times New Roman" w:cs="Times New Roman"/>
          <w:b/>
          <w:sz w:val="24"/>
          <w:szCs w:val="24"/>
        </w:rPr>
        <w:t xml:space="preserve"> </w:t>
      </w:r>
      <w:r w:rsidR="00FD13A3" w:rsidRPr="00FD13A3">
        <w:rPr>
          <w:rFonts w:ascii="Times New Roman" w:hAnsi="Times New Roman" w:cs="Times New Roman"/>
          <w:b/>
          <w:sz w:val="24"/>
          <w:szCs w:val="24"/>
        </w:rPr>
        <w:t xml:space="preserve">– </w:t>
      </w:r>
      <w:r>
        <w:rPr>
          <w:rFonts w:ascii="Times New Roman" w:hAnsi="Times New Roman" w:cs="Times New Roman"/>
          <w:b/>
          <w:sz w:val="24"/>
          <w:szCs w:val="24"/>
        </w:rPr>
        <w:t>Notification</w:t>
      </w:r>
    </w:p>
    <w:p w:rsidR="00FD13A3" w:rsidRPr="00DD5104" w:rsidRDefault="00FD13A3" w:rsidP="0049701D">
      <w:pPr>
        <w:spacing w:before="240" w:after="240"/>
        <w:rPr>
          <w:rFonts w:ascii="Times New Roman" w:hAnsi="Times New Roman" w:cs="Times New Roman"/>
          <w:sz w:val="24"/>
          <w:szCs w:val="24"/>
        </w:rPr>
      </w:pPr>
      <w:r w:rsidRPr="00DD5104">
        <w:rPr>
          <w:rFonts w:ascii="Times New Roman" w:hAnsi="Times New Roman" w:cs="Times New Roman"/>
          <w:sz w:val="24"/>
          <w:szCs w:val="24"/>
        </w:rPr>
        <w:t>This section prescribes, for the purpose of paragraph 48(1)(f) of the Act, events concerning a committed refinery which have occurred or are anticipated to occur and which must be notified to the Secretary by the refinery operator.</w:t>
      </w:r>
    </w:p>
    <w:p w:rsidR="00FD13A3" w:rsidRPr="00DD5104" w:rsidRDefault="00FD13A3" w:rsidP="00DE2B1E">
      <w:pPr>
        <w:spacing w:before="240" w:after="240"/>
        <w:rPr>
          <w:rFonts w:ascii="Times New Roman" w:hAnsi="Times New Roman" w:cs="Times New Roman"/>
          <w:sz w:val="24"/>
          <w:szCs w:val="24"/>
        </w:rPr>
      </w:pPr>
      <w:r w:rsidRPr="00DD5104">
        <w:rPr>
          <w:rFonts w:ascii="Times New Roman" w:hAnsi="Times New Roman" w:cs="Times New Roman"/>
          <w:sz w:val="24"/>
          <w:szCs w:val="24"/>
        </w:rPr>
        <w:t>Specifically, the refinery operator must notify the Secretary if</w:t>
      </w:r>
      <w:r w:rsidR="00DE2B1E">
        <w:rPr>
          <w:rFonts w:ascii="Times New Roman" w:hAnsi="Times New Roman" w:cs="Times New Roman"/>
          <w:sz w:val="24"/>
          <w:szCs w:val="24"/>
        </w:rPr>
        <w:t xml:space="preserve"> </w:t>
      </w:r>
      <w:r w:rsidRPr="00DD5104">
        <w:rPr>
          <w:rFonts w:ascii="Times New Roman" w:hAnsi="Times New Roman" w:cs="Times New Roman"/>
          <w:sz w:val="24"/>
          <w:szCs w:val="24"/>
        </w:rPr>
        <w:t>a force majeure event or material adverse change has</w:t>
      </w:r>
      <w:r w:rsidR="00DD5104" w:rsidRPr="00DD5104">
        <w:rPr>
          <w:rFonts w:ascii="Times New Roman" w:hAnsi="Times New Roman" w:cs="Times New Roman"/>
          <w:sz w:val="24"/>
          <w:szCs w:val="24"/>
        </w:rPr>
        <w:t xml:space="preserve"> </w:t>
      </w:r>
      <w:r w:rsidRPr="00DD5104">
        <w:rPr>
          <w:rFonts w:ascii="Times New Roman" w:hAnsi="Times New Roman" w:cs="Times New Roman"/>
          <w:sz w:val="24"/>
          <w:szCs w:val="24"/>
        </w:rPr>
        <w:t xml:space="preserve">occurred, </w:t>
      </w:r>
      <w:r w:rsidRPr="004A45D5">
        <w:rPr>
          <w:rFonts w:ascii="Times New Roman" w:hAnsi="Times New Roman" w:cs="Times New Roman"/>
          <w:sz w:val="24"/>
          <w:szCs w:val="24"/>
        </w:rPr>
        <w:t xml:space="preserve">or is </w:t>
      </w:r>
      <w:r w:rsidR="00AD2437" w:rsidRPr="0005189B">
        <w:rPr>
          <w:rFonts w:ascii="Times New Roman" w:hAnsi="Times New Roman" w:cs="Times New Roman"/>
          <w:sz w:val="24"/>
          <w:szCs w:val="24"/>
        </w:rPr>
        <w:t xml:space="preserve">very </w:t>
      </w:r>
      <w:r w:rsidRPr="004A45D5">
        <w:rPr>
          <w:rFonts w:ascii="Times New Roman" w:hAnsi="Times New Roman" w:cs="Times New Roman"/>
          <w:sz w:val="24"/>
          <w:szCs w:val="24"/>
        </w:rPr>
        <w:t>likely to occur,</w:t>
      </w:r>
      <w:r w:rsidRPr="00DD5104">
        <w:rPr>
          <w:rFonts w:ascii="Times New Roman" w:hAnsi="Times New Roman" w:cs="Times New Roman"/>
          <w:sz w:val="24"/>
          <w:szCs w:val="24"/>
        </w:rPr>
        <w:t xml:space="preserve"> that has the potential to result in the closure of the refinery</w:t>
      </w:r>
      <w:r w:rsidR="00DD5104" w:rsidRPr="00DD5104">
        <w:rPr>
          <w:rFonts w:ascii="Times New Roman" w:hAnsi="Times New Roman" w:cs="Times New Roman"/>
          <w:sz w:val="24"/>
          <w:szCs w:val="24"/>
        </w:rPr>
        <w:t xml:space="preserve"> (subsection 18(2)</w:t>
      </w:r>
      <w:r w:rsidR="000D53E3">
        <w:rPr>
          <w:rFonts w:ascii="Times New Roman" w:hAnsi="Times New Roman" w:cs="Times New Roman"/>
          <w:sz w:val="24"/>
          <w:szCs w:val="24"/>
        </w:rPr>
        <w:t xml:space="preserve"> of the Rule</w:t>
      </w:r>
      <w:r w:rsidR="00DD5104" w:rsidRPr="00DD5104">
        <w:rPr>
          <w:rFonts w:ascii="Times New Roman" w:hAnsi="Times New Roman" w:cs="Times New Roman"/>
          <w:sz w:val="24"/>
          <w:szCs w:val="24"/>
        </w:rPr>
        <w:t>)</w:t>
      </w:r>
      <w:r w:rsidRPr="00DD5104">
        <w:rPr>
          <w:rFonts w:ascii="Times New Roman" w:hAnsi="Times New Roman" w:cs="Times New Roman"/>
          <w:sz w:val="24"/>
          <w:szCs w:val="24"/>
        </w:rPr>
        <w:t>.</w:t>
      </w:r>
    </w:p>
    <w:p w:rsidR="00B92A89" w:rsidRDefault="00B92A89" w:rsidP="0049701D">
      <w:pPr>
        <w:spacing w:before="240" w:after="240"/>
        <w:rPr>
          <w:rFonts w:ascii="Times New Roman" w:hAnsi="Times New Roman" w:cs="Times New Roman"/>
          <w:sz w:val="24"/>
          <w:szCs w:val="24"/>
        </w:rPr>
      </w:pPr>
      <w:r>
        <w:rPr>
          <w:rFonts w:ascii="Times New Roman" w:hAnsi="Times New Roman" w:cs="Times New Roman"/>
          <w:sz w:val="24"/>
          <w:szCs w:val="24"/>
        </w:rPr>
        <w:t xml:space="preserve">Such notice is required to be </w:t>
      </w:r>
      <w:r w:rsidRPr="00B92A89">
        <w:rPr>
          <w:rFonts w:ascii="Times New Roman" w:hAnsi="Times New Roman" w:cs="Times New Roman"/>
          <w:sz w:val="24"/>
          <w:szCs w:val="24"/>
        </w:rPr>
        <w:t xml:space="preserve">provided </w:t>
      </w:r>
      <w:r w:rsidR="00AD2437">
        <w:rPr>
          <w:rFonts w:ascii="Times New Roman" w:hAnsi="Times New Roman" w:cs="Times New Roman"/>
          <w:sz w:val="24"/>
          <w:szCs w:val="24"/>
        </w:rPr>
        <w:t xml:space="preserve">by the </w:t>
      </w:r>
      <w:r w:rsidRPr="00B92A89">
        <w:rPr>
          <w:rFonts w:ascii="Times New Roman" w:hAnsi="Times New Roman" w:cs="Times New Roman"/>
          <w:sz w:val="24"/>
          <w:szCs w:val="24"/>
        </w:rPr>
        <w:t xml:space="preserve">later </w:t>
      </w:r>
      <w:r w:rsidR="00AD2437">
        <w:rPr>
          <w:rFonts w:ascii="Times New Roman" w:hAnsi="Times New Roman" w:cs="Times New Roman"/>
          <w:sz w:val="24"/>
          <w:szCs w:val="24"/>
        </w:rPr>
        <w:t xml:space="preserve">of </w:t>
      </w:r>
      <w:r w:rsidRPr="00B92A89">
        <w:rPr>
          <w:rFonts w:ascii="Times New Roman" w:hAnsi="Times New Roman" w:cs="Times New Roman"/>
          <w:sz w:val="24"/>
          <w:szCs w:val="24"/>
        </w:rPr>
        <w:t xml:space="preserve">14 days after the event </w:t>
      </w:r>
      <w:r w:rsidR="00743628">
        <w:rPr>
          <w:rFonts w:ascii="Times New Roman" w:hAnsi="Times New Roman" w:cs="Times New Roman"/>
          <w:sz w:val="24"/>
          <w:szCs w:val="24"/>
        </w:rPr>
        <w:t>occurred,</w:t>
      </w:r>
      <w:r w:rsidRPr="00B92A89">
        <w:rPr>
          <w:rFonts w:ascii="Times New Roman" w:hAnsi="Times New Roman" w:cs="Times New Roman"/>
          <w:sz w:val="24"/>
          <w:szCs w:val="24"/>
        </w:rPr>
        <w:t xml:space="preserve"> or </w:t>
      </w:r>
      <w:r w:rsidR="00AD2437">
        <w:rPr>
          <w:rFonts w:ascii="Times New Roman" w:hAnsi="Times New Roman" w:cs="Times New Roman"/>
          <w:sz w:val="24"/>
          <w:szCs w:val="24"/>
        </w:rPr>
        <w:t xml:space="preserve">if the impact of the force majeure event of material adverse change is unclear, 14 days after </w:t>
      </w:r>
      <w:r w:rsidRPr="00B92A89">
        <w:rPr>
          <w:rFonts w:ascii="Times New Roman" w:hAnsi="Times New Roman" w:cs="Times New Roman"/>
          <w:sz w:val="24"/>
          <w:szCs w:val="24"/>
        </w:rPr>
        <w:t xml:space="preserve">the </w:t>
      </w:r>
      <w:r>
        <w:rPr>
          <w:rFonts w:ascii="Times New Roman" w:hAnsi="Times New Roman" w:cs="Times New Roman"/>
          <w:sz w:val="24"/>
          <w:szCs w:val="24"/>
        </w:rPr>
        <w:t>refinery operator</w:t>
      </w:r>
      <w:r w:rsidRPr="00B92A89">
        <w:rPr>
          <w:rFonts w:ascii="Times New Roman" w:hAnsi="Times New Roman" w:cs="Times New Roman"/>
          <w:sz w:val="24"/>
          <w:szCs w:val="24"/>
        </w:rPr>
        <w:t xml:space="preserve"> </w:t>
      </w:r>
      <w:r w:rsidR="00AD2437">
        <w:rPr>
          <w:rFonts w:ascii="Times New Roman" w:hAnsi="Times New Roman" w:cs="Times New Roman"/>
          <w:sz w:val="24"/>
          <w:szCs w:val="24"/>
        </w:rPr>
        <w:t xml:space="preserve">forms a conclusion that </w:t>
      </w:r>
      <w:r w:rsidRPr="00B92A89">
        <w:rPr>
          <w:rFonts w:ascii="Times New Roman" w:hAnsi="Times New Roman" w:cs="Times New Roman"/>
          <w:sz w:val="24"/>
          <w:szCs w:val="24"/>
        </w:rPr>
        <w:t xml:space="preserve">that the event or change has the potential to result in the closure of the </w:t>
      </w:r>
      <w:r>
        <w:rPr>
          <w:rFonts w:ascii="Times New Roman" w:hAnsi="Times New Roman" w:cs="Times New Roman"/>
          <w:sz w:val="24"/>
          <w:szCs w:val="24"/>
        </w:rPr>
        <w:t xml:space="preserve">committed </w:t>
      </w:r>
      <w:r w:rsidRPr="00B92A89">
        <w:rPr>
          <w:rFonts w:ascii="Times New Roman" w:hAnsi="Times New Roman" w:cs="Times New Roman"/>
          <w:sz w:val="24"/>
          <w:szCs w:val="24"/>
        </w:rPr>
        <w:t>refiner</w:t>
      </w:r>
      <w:r>
        <w:rPr>
          <w:rFonts w:ascii="Times New Roman" w:hAnsi="Times New Roman" w:cs="Times New Roman"/>
          <w:sz w:val="24"/>
          <w:szCs w:val="24"/>
        </w:rPr>
        <w:t>y (subsection 18(</w:t>
      </w:r>
      <w:r w:rsidR="00DE2B1E">
        <w:rPr>
          <w:rFonts w:ascii="Times New Roman" w:hAnsi="Times New Roman" w:cs="Times New Roman"/>
          <w:sz w:val="24"/>
          <w:szCs w:val="24"/>
        </w:rPr>
        <w:t>3</w:t>
      </w:r>
      <w:r>
        <w:rPr>
          <w:rFonts w:ascii="Times New Roman" w:hAnsi="Times New Roman" w:cs="Times New Roman"/>
          <w:sz w:val="24"/>
          <w:szCs w:val="24"/>
        </w:rPr>
        <w:t>)</w:t>
      </w:r>
      <w:r w:rsidR="000D53E3">
        <w:rPr>
          <w:rFonts w:ascii="Times New Roman" w:hAnsi="Times New Roman" w:cs="Times New Roman"/>
          <w:sz w:val="24"/>
          <w:szCs w:val="24"/>
        </w:rPr>
        <w:t xml:space="preserve"> of the Rule</w:t>
      </w:r>
      <w:r>
        <w:rPr>
          <w:rFonts w:ascii="Times New Roman" w:hAnsi="Times New Roman" w:cs="Times New Roman"/>
          <w:sz w:val="24"/>
          <w:szCs w:val="24"/>
        </w:rPr>
        <w:t>)</w:t>
      </w:r>
      <w:r w:rsidRPr="00B92A89">
        <w:rPr>
          <w:rFonts w:ascii="Times New Roman" w:hAnsi="Times New Roman" w:cs="Times New Roman"/>
          <w:sz w:val="24"/>
          <w:szCs w:val="24"/>
        </w:rPr>
        <w:t>.</w:t>
      </w:r>
    </w:p>
    <w:p w:rsidR="0049701D" w:rsidRPr="00DD5104" w:rsidRDefault="00B92A89" w:rsidP="0049701D">
      <w:pPr>
        <w:spacing w:before="240" w:after="240"/>
        <w:rPr>
          <w:rFonts w:ascii="Times New Roman" w:hAnsi="Times New Roman" w:cs="Times New Roman"/>
          <w:sz w:val="24"/>
          <w:szCs w:val="24"/>
        </w:rPr>
      </w:pPr>
      <w:r>
        <w:rPr>
          <w:rFonts w:ascii="Times New Roman" w:hAnsi="Times New Roman" w:cs="Times New Roman"/>
          <w:sz w:val="24"/>
          <w:szCs w:val="24"/>
        </w:rPr>
        <w:t>Notice of t</w:t>
      </w:r>
      <w:r w:rsidR="0049701D" w:rsidRPr="00DD5104">
        <w:rPr>
          <w:rFonts w:ascii="Times New Roman" w:hAnsi="Times New Roman" w:cs="Times New Roman"/>
          <w:sz w:val="24"/>
          <w:szCs w:val="24"/>
        </w:rPr>
        <w:t>h</w:t>
      </w:r>
      <w:r w:rsidR="00DD5104" w:rsidRPr="00DD5104">
        <w:rPr>
          <w:rFonts w:ascii="Times New Roman" w:hAnsi="Times New Roman" w:cs="Times New Roman"/>
          <w:sz w:val="24"/>
          <w:szCs w:val="24"/>
        </w:rPr>
        <w:t xml:space="preserve">ese </w:t>
      </w:r>
      <w:r>
        <w:rPr>
          <w:rFonts w:ascii="Times New Roman" w:hAnsi="Times New Roman" w:cs="Times New Roman"/>
          <w:sz w:val="24"/>
          <w:szCs w:val="24"/>
        </w:rPr>
        <w:t>events</w:t>
      </w:r>
      <w:r w:rsidR="00DD5104">
        <w:rPr>
          <w:rFonts w:ascii="Times New Roman" w:hAnsi="Times New Roman" w:cs="Times New Roman"/>
          <w:sz w:val="24"/>
          <w:szCs w:val="24"/>
        </w:rPr>
        <w:t xml:space="preserve"> </w:t>
      </w:r>
      <w:r w:rsidR="00175D39">
        <w:rPr>
          <w:rFonts w:ascii="Times New Roman" w:hAnsi="Times New Roman" w:cs="Times New Roman"/>
          <w:sz w:val="24"/>
          <w:szCs w:val="24"/>
        </w:rPr>
        <w:t xml:space="preserve">in the timeframes stipulated </w:t>
      </w:r>
      <w:r w:rsidR="00DD5104">
        <w:rPr>
          <w:rFonts w:ascii="Times New Roman" w:hAnsi="Times New Roman" w:cs="Times New Roman"/>
          <w:sz w:val="24"/>
          <w:szCs w:val="24"/>
        </w:rPr>
        <w:t>are required</w:t>
      </w:r>
      <w:r w:rsidR="00DD5104" w:rsidRPr="00DD5104">
        <w:rPr>
          <w:rFonts w:ascii="Times New Roman" w:hAnsi="Times New Roman" w:cs="Times New Roman"/>
          <w:sz w:val="24"/>
          <w:szCs w:val="24"/>
        </w:rPr>
        <w:t xml:space="preserve"> to ensure the Department receives timely advice about potential disruptions or threats to the domestic supply of major transport fuels</w:t>
      </w:r>
      <w:r w:rsidR="00DD5104">
        <w:rPr>
          <w:rFonts w:ascii="Times New Roman" w:hAnsi="Times New Roman" w:cs="Times New Roman"/>
          <w:sz w:val="24"/>
          <w:szCs w:val="24"/>
        </w:rPr>
        <w:t>, and to</w:t>
      </w:r>
      <w:r w:rsidR="00DD5104" w:rsidRPr="00DD5104">
        <w:rPr>
          <w:rFonts w:ascii="Times New Roman" w:hAnsi="Times New Roman" w:cs="Times New Roman"/>
          <w:sz w:val="24"/>
          <w:szCs w:val="24"/>
        </w:rPr>
        <w:t xml:space="preserve"> help the Minister to make informed decisions about whether repayment obligations apply under section 50 of the Act</w:t>
      </w:r>
      <w:r w:rsidR="00DD5104">
        <w:rPr>
          <w:rFonts w:ascii="Times New Roman" w:hAnsi="Times New Roman" w:cs="Times New Roman"/>
          <w:sz w:val="24"/>
          <w:szCs w:val="24"/>
        </w:rPr>
        <w:t>.</w:t>
      </w:r>
    </w:p>
    <w:p w:rsidR="00C22158" w:rsidRDefault="00055A5A" w:rsidP="000D0E22">
      <w:pPr>
        <w:spacing w:before="240" w:after="240"/>
        <w:rPr>
          <w:rFonts w:ascii="Times New Roman" w:hAnsi="Times New Roman" w:cs="Times New Roman"/>
          <w:b/>
          <w:caps/>
          <w:sz w:val="24"/>
          <w:szCs w:val="24"/>
        </w:rPr>
      </w:pPr>
      <w:r>
        <w:rPr>
          <w:rFonts w:ascii="Times New Roman" w:hAnsi="Times New Roman" w:cs="Times New Roman"/>
          <w:b/>
          <w:caps/>
          <w:sz w:val="24"/>
          <w:szCs w:val="24"/>
        </w:rPr>
        <w:t xml:space="preserve">PART 7 – </w:t>
      </w:r>
      <w:r w:rsidR="00C22158" w:rsidRPr="00C22158">
        <w:rPr>
          <w:rFonts w:ascii="Times New Roman" w:hAnsi="Times New Roman" w:cs="Times New Roman"/>
          <w:b/>
          <w:caps/>
          <w:sz w:val="24"/>
          <w:szCs w:val="24"/>
        </w:rPr>
        <w:t>Repayment obligations</w:t>
      </w:r>
    </w:p>
    <w:p w:rsidR="00C22158" w:rsidRDefault="00055A5A"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 xml:space="preserve">Section 19 </w:t>
      </w:r>
      <w:r w:rsidR="00C22158" w:rsidRPr="00366EF0">
        <w:rPr>
          <w:rFonts w:ascii="Times New Roman" w:hAnsi="Times New Roman" w:cs="Times New Roman"/>
          <w:b/>
          <w:sz w:val="24"/>
          <w:szCs w:val="24"/>
        </w:rPr>
        <w:t>–</w:t>
      </w:r>
      <w:r w:rsidR="00C22158" w:rsidRPr="00C22158">
        <w:rPr>
          <w:rFonts w:ascii="Times New Roman" w:hAnsi="Times New Roman" w:cs="Times New Roman"/>
          <w:b/>
          <w:sz w:val="24"/>
          <w:szCs w:val="24"/>
        </w:rPr>
        <w:t xml:space="preserve"> Waiver of debts and payment by instalments</w:t>
      </w:r>
    </w:p>
    <w:p w:rsidR="00BC416C" w:rsidRDefault="00BC416C" w:rsidP="001D0BC9">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paragraphs 50(6)(b) and (c) of the Act, requirements applying to the waiver of debts or the recovery of debts by </w:t>
      </w:r>
      <w:r w:rsidR="000255AE">
        <w:rPr>
          <w:rFonts w:ascii="Times New Roman" w:hAnsi="Times New Roman" w:cs="Times New Roman"/>
          <w:sz w:val="24"/>
          <w:szCs w:val="24"/>
        </w:rPr>
        <w:t>instalments.</w:t>
      </w:r>
    </w:p>
    <w:p w:rsidR="00BC416C" w:rsidRDefault="00BC416C" w:rsidP="001D0BC9">
      <w:pPr>
        <w:spacing w:before="240" w:after="240"/>
        <w:rPr>
          <w:rFonts w:ascii="Times New Roman" w:hAnsi="Times New Roman" w:cs="Times New Roman"/>
          <w:sz w:val="24"/>
          <w:szCs w:val="24"/>
        </w:rPr>
      </w:pPr>
      <w:r>
        <w:rPr>
          <w:rFonts w:ascii="Times New Roman" w:hAnsi="Times New Roman" w:cs="Times New Roman"/>
          <w:sz w:val="24"/>
          <w:szCs w:val="24"/>
        </w:rPr>
        <w:t>Specifically, a</w:t>
      </w:r>
      <w:r w:rsidRPr="00BC416C">
        <w:rPr>
          <w:rFonts w:ascii="Times New Roman" w:hAnsi="Times New Roman" w:cs="Times New Roman"/>
          <w:sz w:val="24"/>
          <w:szCs w:val="24"/>
        </w:rPr>
        <w:t xml:space="preserve"> decision by the Secretary under paragraph 50(6)(b) or (c) of the Act (i.e. to waive the right to recover a debt or class of debts, or to make arrangements to allow an amount of a debt that is payable by a person to the Commonwealth to be paid in instalments) must take into account, and be consistent with, the </w:t>
      </w:r>
      <w:r w:rsidRPr="00BC416C">
        <w:rPr>
          <w:rFonts w:ascii="Times New Roman" w:hAnsi="Times New Roman" w:cs="Times New Roman"/>
          <w:i/>
          <w:sz w:val="24"/>
          <w:szCs w:val="24"/>
        </w:rPr>
        <w:t>Public Governance, Performance and Accountability Act 2014</w:t>
      </w:r>
      <w:r w:rsidRPr="00BC416C">
        <w:rPr>
          <w:rFonts w:ascii="Times New Roman" w:hAnsi="Times New Roman" w:cs="Times New Roman"/>
          <w:sz w:val="24"/>
          <w:szCs w:val="24"/>
        </w:rPr>
        <w:t xml:space="preserve"> </w:t>
      </w:r>
      <w:r w:rsidR="000255AE">
        <w:rPr>
          <w:rFonts w:ascii="Times New Roman" w:hAnsi="Times New Roman" w:cs="Times New Roman"/>
          <w:sz w:val="24"/>
          <w:szCs w:val="24"/>
        </w:rPr>
        <w:t xml:space="preserve">(PGPA Act) </w:t>
      </w:r>
      <w:r w:rsidRPr="00BC416C">
        <w:rPr>
          <w:rFonts w:ascii="Times New Roman" w:hAnsi="Times New Roman" w:cs="Times New Roman"/>
          <w:sz w:val="24"/>
          <w:szCs w:val="24"/>
        </w:rPr>
        <w:t>and relevant rules and guidelines under that Act.</w:t>
      </w:r>
      <w:r w:rsidR="000E7D99">
        <w:rPr>
          <w:rFonts w:ascii="Times New Roman" w:hAnsi="Times New Roman" w:cs="Times New Roman"/>
          <w:sz w:val="24"/>
          <w:szCs w:val="24"/>
        </w:rPr>
        <w:t xml:space="preserve"> The PGPA Act is incorporated as in force from time to time and is available at </w:t>
      </w:r>
      <w:hyperlink r:id="rId18" w:history="1">
        <w:r w:rsidR="000E7D99" w:rsidRPr="00B25C95">
          <w:rPr>
            <w:rStyle w:val="Hyperlink"/>
            <w:rFonts w:ascii="Times New Roman" w:hAnsi="Times New Roman" w:cs="Times New Roman"/>
            <w:sz w:val="24"/>
            <w:szCs w:val="24"/>
          </w:rPr>
          <w:t>www.legislation.gov.au</w:t>
        </w:r>
      </w:hyperlink>
      <w:r w:rsidR="000E7D99">
        <w:rPr>
          <w:rFonts w:ascii="Times New Roman" w:hAnsi="Times New Roman" w:cs="Times New Roman"/>
          <w:sz w:val="24"/>
          <w:szCs w:val="24"/>
        </w:rPr>
        <w:t xml:space="preserve">. </w:t>
      </w:r>
    </w:p>
    <w:p w:rsidR="000255AE" w:rsidRPr="000255AE" w:rsidRDefault="000255AE" w:rsidP="000255AE">
      <w:pPr>
        <w:spacing w:before="240" w:after="240"/>
        <w:rPr>
          <w:rFonts w:ascii="Times New Roman" w:hAnsi="Times New Roman" w:cs="Times New Roman"/>
          <w:sz w:val="24"/>
          <w:szCs w:val="24"/>
        </w:rPr>
      </w:pPr>
      <w:r>
        <w:rPr>
          <w:rFonts w:ascii="Times New Roman" w:hAnsi="Times New Roman" w:cs="Times New Roman"/>
          <w:sz w:val="24"/>
          <w:szCs w:val="24"/>
        </w:rPr>
        <w:t>T</w:t>
      </w:r>
      <w:r w:rsidRPr="000255AE">
        <w:rPr>
          <w:rFonts w:ascii="Times New Roman" w:hAnsi="Times New Roman" w:cs="Times New Roman"/>
          <w:sz w:val="24"/>
          <w:szCs w:val="24"/>
        </w:rPr>
        <w:t>he Secretary, as the accountable authority under the PGPA Act, is required under:</w:t>
      </w:r>
    </w:p>
    <w:p w:rsidR="000255AE" w:rsidRPr="000255AE" w:rsidRDefault="000255AE" w:rsidP="000255AE">
      <w:pPr>
        <w:pStyle w:val="ListParagraph"/>
        <w:numPr>
          <w:ilvl w:val="0"/>
          <w:numId w:val="18"/>
        </w:numPr>
        <w:spacing w:before="240" w:after="240"/>
        <w:rPr>
          <w:rFonts w:ascii="Times New Roman" w:hAnsi="Times New Roman" w:cs="Times New Roman"/>
          <w:sz w:val="24"/>
          <w:szCs w:val="24"/>
        </w:rPr>
      </w:pPr>
      <w:r w:rsidRPr="000255AE">
        <w:rPr>
          <w:rFonts w:ascii="Times New Roman" w:hAnsi="Times New Roman" w:cs="Times New Roman"/>
          <w:sz w:val="24"/>
          <w:szCs w:val="24"/>
        </w:rPr>
        <w:t xml:space="preserve">section 19 of </w:t>
      </w:r>
      <w:r w:rsidR="00DD4065">
        <w:rPr>
          <w:rFonts w:ascii="Times New Roman" w:hAnsi="Times New Roman" w:cs="Times New Roman"/>
          <w:sz w:val="24"/>
          <w:szCs w:val="24"/>
        </w:rPr>
        <w:t>that</w:t>
      </w:r>
      <w:r w:rsidRPr="000255AE">
        <w:rPr>
          <w:rFonts w:ascii="Times New Roman" w:hAnsi="Times New Roman" w:cs="Times New Roman"/>
          <w:sz w:val="24"/>
          <w:szCs w:val="24"/>
        </w:rPr>
        <w:t xml:space="preserve"> Act to keep the responsible Minister informed when making significant decisions, such as potentially waiving large debts under the </w:t>
      </w:r>
      <w:r w:rsidR="009573A1">
        <w:rPr>
          <w:rFonts w:ascii="Times New Roman" w:hAnsi="Times New Roman" w:cs="Times New Roman"/>
          <w:sz w:val="24"/>
          <w:szCs w:val="24"/>
        </w:rPr>
        <w:t>Act</w:t>
      </w:r>
      <w:r w:rsidRPr="000255AE">
        <w:rPr>
          <w:rFonts w:ascii="Times New Roman" w:hAnsi="Times New Roman" w:cs="Times New Roman"/>
          <w:sz w:val="24"/>
          <w:szCs w:val="24"/>
        </w:rPr>
        <w:t>; and</w:t>
      </w:r>
    </w:p>
    <w:p w:rsidR="000255AE" w:rsidRPr="000255AE" w:rsidRDefault="000D53E3" w:rsidP="000255AE">
      <w:pPr>
        <w:pStyle w:val="ListParagraph"/>
        <w:numPr>
          <w:ilvl w:val="0"/>
          <w:numId w:val="18"/>
        </w:numPr>
        <w:spacing w:before="240" w:after="240"/>
        <w:rPr>
          <w:rFonts w:ascii="Times New Roman" w:hAnsi="Times New Roman" w:cs="Times New Roman"/>
          <w:sz w:val="24"/>
          <w:szCs w:val="24"/>
        </w:rPr>
      </w:pPr>
      <w:r>
        <w:rPr>
          <w:rFonts w:ascii="Times New Roman" w:hAnsi="Times New Roman" w:cs="Times New Roman"/>
          <w:sz w:val="24"/>
          <w:szCs w:val="24"/>
        </w:rPr>
        <w:t>section</w:t>
      </w:r>
      <w:r w:rsidRPr="000255AE">
        <w:rPr>
          <w:rFonts w:ascii="Times New Roman" w:hAnsi="Times New Roman" w:cs="Times New Roman"/>
          <w:sz w:val="24"/>
          <w:szCs w:val="24"/>
        </w:rPr>
        <w:t xml:space="preserve"> </w:t>
      </w:r>
      <w:r w:rsidR="000255AE" w:rsidRPr="000255AE">
        <w:rPr>
          <w:rFonts w:ascii="Times New Roman" w:hAnsi="Times New Roman" w:cs="Times New Roman"/>
          <w:sz w:val="24"/>
          <w:szCs w:val="24"/>
        </w:rPr>
        <w:t xml:space="preserve">11 of the </w:t>
      </w:r>
      <w:r w:rsidR="00200B81">
        <w:rPr>
          <w:rFonts w:ascii="Times New Roman" w:hAnsi="Times New Roman" w:cs="Times New Roman"/>
          <w:i/>
          <w:sz w:val="24"/>
          <w:szCs w:val="24"/>
        </w:rPr>
        <w:t xml:space="preserve">Public Governance, Performance and Accountability Rule 2014 </w:t>
      </w:r>
      <w:r w:rsidR="000255AE" w:rsidRPr="000255AE">
        <w:rPr>
          <w:rFonts w:ascii="Times New Roman" w:hAnsi="Times New Roman" w:cs="Times New Roman"/>
          <w:sz w:val="24"/>
          <w:szCs w:val="24"/>
        </w:rPr>
        <w:t xml:space="preserve">(as in force </w:t>
      </w:r>
      <w:r w:rsidR="007828D9">
        <w:rPr>
          <w:rFonts w:ascii="Times New Roman" w:hAnsi="Times New Roman" w:cs="Times New Roman"/>
          <w:sz w:val="24"/>
          <w:szCs w:val="24"/>
        </w:rPr>
        <w:t>from time to time an</w:t>
      </w:r>
      <w:r w:rsidR="004A4EA8">
        <w:rPr>
          <w:rFonts w:ascii="Times New Roman" w:hAnsi="Times New Roman" w:cs="Times New Roman"/>
          <w:sz w:val="24"/>
          <w:szCs w:val="24"/>
        </w:rPr>
        <w:t>d</w:t>
      </w:r>
      <w:r w:rsidR="007828D9">
        <w:rPr>
          <w:rFonts w:ascii="Times New Roman" w:hAnsi="Times New Roman" w:cs="Times New Roman"/>
          <w:sz w:val="24"/>
          <w:szCs w:val="24"/>
        </w:rPr>
        <w:t xml:space="preserve"> available at </w:t>
      </w:r>
      <w:hyperlink r:id="rId19" w:history="1">
        <w:r w:rsidR="007828D9" w:rsidRPr="00B25C95">
          <w:rPr>
            <w:rStyle w:val="Hyperlink"/>
            <w:rFonts w:ascii="Times New Roman" w:hAnsi="Times New Roman" w:cs="Times New Roman"/>
            <w:sz w:val="24"/>
            <w:szCs w:val="24"/>
          </w:rPr>
          <w:t>www.legislation.gov.au</w:t>
        </w:r>
      </w:hyperlink>
      <w:r w:rsidR="000255AE" w:rsidRPr="000255AE">
        <w:rPr>
          <w:rFonts w:ascii="Times New Roman" w:hAnsi="Times New Roman" w:cs="Times New Roman"/>
          <w:sz w:val="24"/>
          <w:szCs w:val="24"/>
        </w:rPr>
        <w:t xml:space="preserve">) to pursue recovery of each debt for which the Secretary is responsible, unless the Secretary </w:t>
      </w:r>
      <w:r w:rsidR="000255AE" w:rsidRPr="000255AE">
        <w:rPr>
          <w:rFonts w:ascii="Times New Roman" w:hAnsi="Times New Roman" w:cs="Times New Roman"/>
          <w:sz w:val="24"/>
          <w:szCs w:val="24"/>
        </w:rPr>
        <w:lastRenderedPageBreak/>
        <w:t>considers it is not economical to pursue recovery of the debt; or is satisfied that the debt is not legally recoverable; or the debt has been written off as authorised by an Act.</w:t>
      </w:r>
    </w:p>
    <w:p w:rsidR="00C22158" w:rsidRPr="00C22158" w:rsidRDefault="00BC416C" w:rsidP="000255AE">
      <w:pPr>
        <w:spacing w:before="240" w:after="240"/>
        <w:rPr>
          <w:rFonts w:ascii="Times New Roman" w:hAnsi="Times New Roman" w:cs="Times New Roman"/>
          <w:sz w:val="24"/>
          <w:szCs w:val="24"/>
        </w:rPr>
      </w:pPr>
      <w:r>
        <w:rPr>
          <w:rFonts w:ascii="Times New Roman" w:hAnsi="Times New Roman" w:cs="Times New Roman"/>
          <w:sz w:val="24"/>
          <w:szCs w:val="24"/>
        </w:rPr>
        <w:t xml:space="preserve">The prescribed </w:t>
      </w:r>
      <w:r w:rsidR="000255AE">
        <w:rPr>
          <w:rFonts w:ascii="Times New Roman" w:hAnsi="Times New Roman" w:cs="Times New Roman"/>
          <w:sz w:val="24"/>
          <w:szCs w:val="24"/>
        </w:rPr>
        <w:t>requirements</w:t>
      </w:r>
      <w:r w:rsidR="001D0BC9" w:rsidRPr="001D0BC9">
        <w:rPr>
          <w:rFonts w:ascii="Times New Roman" w:hAnsi="Times New Roman" w:cs="Times New Roman"/>
          <w:sz w:val="24"/>
          <w:szCs w:val="24"/>
        </w:rPr>
        <w:t xml:space="preserve"> </w:t>
      </w:r>
      <w:r>
        <w:rPr>
          <w:rFonts w:ascii="Times New Roman" w:hAnsi="Times New Roman" w:cs="Times New Roman"/>
          <w:sz w:val="24"/>
          <w:szCs w:val="24"/>
        </w:rPr>
        <w:t>are</w:t>
      </w:r>
      <w:r w:rsidR="001D0BC9" w:rsidRPr="001D0BC9">
        <w:rPr>
          <w:rFonts w:ascii="Times New Roman" w:hAnsi="Times New Roman" w:cs="Times New Roman"/>
          <w:sz w:val="24"/>
          <w:szCs w:val="24"/>
        </w:rPr>
        <w:t xml:space="preserve"> appropriate, to ensure the waiver power is not unfettered</w:t>
      </w:r>
      <w:r w:rsidR="00582533">
        <w:rPr>
          <w:rFonts w:ascii="Times New Roman" w:hAnsi="Times New Roman" w:cs="Times New Roman"/>
          <w:sz w:val="24"/>
          <w:szCs w:val="24"/>
        </w:rPr>
        <w:t>, and app</w:t>
      </w:r>
      <w:r w:rsidR="00764286">
        <w:rPr>
          <w:rFonts w:ascii="Times New Roman" w:hAnsi="Times New Roman" w:cs="Times New Roman"/>
          <w:sz w:val="24"/>
          <w:szCs w:val="24"/>
        </w:rPr>
        <w:t>licabl</w:t>
      </w:r>
      <w:r w:rsidR="00582533">
        <w:rPr>
          <w:rFonts w:ascii="Times New Roman" w:hAnsi="Times New Roman" w:cs="Times New Roman"/>
          <w:sz w:val="24"/>
          <w:szCs w:val="24"/>
        </w:rPr>
        <w:t>e whole of Government policies are taken in account</w:t>
      </w:r>
      <w:r w:rsidR="001D0BC9" w:rsidRPr="001D0BC9">
        <w:rPr>
          <w:rFonts w:ascii="Times New Roman" w:hAnsi="Times New Roman" w:cs="Times New Roman"/>
          <w:sz w:val="24"/>
          <w:szCs w:val="24"/>
        </w:rPr>
        <w:t>.</w:t>
      </w:r>
    </w:p>
    <w:p w:rsidR="00E467AA" w:rsidRDefault="00055A5A"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20</w:t>
      </w:r>
      <w:r w:rsidR="00C22158" w:rsidRPr="00366EF0">
        <w:rPr>
          <w:rFonts w:ascii="Times New Roman" w:hAnsi="Times New Roman" w:cs="Times New Roman"/>
          <w:b/>
          <w:sz w:val="24"/>
          <w:szCs w:val="24"/>
        </w:rPr>
        <w:t xml:space="preserve"> –</w:t>
      </w:r>
      <w:r w:rsidR="00C22158" w:rsidRPr="00C22158">
        <w:rPr>
          <w:rFonts w:ascii="Times New Roman" w:hAnsi="Times New Roman" w:cs="Times New Roman"/>
          <w:b/>
          <w:sz w:val="24"/>
          <w:szCs w:val="24"/>
        </w:rPr>
        <w:t xml:space="preserve"> Circumstances when repayment obligation does not apply</w:t>
      </w:r>
      <w:r w:rsidR="00D73597">
        <w:rPr>
          <w:rFonts w:ascii="Times New Roman" w:hAnsi="Times New Roman" w:cs="Times New Roman"/>
          <w:b/>
          <w:sz w:val="24"/>
          <w:szCs w:val="24"/>
        </w:rPr>
        <w:t xml:space="preserve"> </w:t>
      </w:r>
    </w:p>
    <w:p w:rsidR="00004821" w:rsidRDefault="00D73597" w:rsidP="00C22158">
      <w:pPr>
        <w:spacing w:before="240" w:after="240"/>
        <w:rPr>
          <w:rFonts w:ascii="Times New Roman" w:hAnsi="Times New Roman" w:cs="Times New Roman"/>
          <w:sz w:val="24"/>
          <w:szCs w:val="24"/>
        </w:rPr>
      </w:pPr>
      <w:r>
        <w:rPr>
          <w:rFonts w:ascii="Times New Roman" w:hAnsi="Times New Roman" w:cs="Times New Roman"/>
          <w:sz w:val="24"/>
          <w:szCs w:val="24"/>
        </w:rPr>
        <w:t>Generally, where there has been a permanent cessation of refining FSSP fuel, the total amount of the FSSP will be required to be repaid (paragraph 50(2)(a) of the Act)</w:t>
      </w:r>
      <w:r w:rsidR="00004821">
        <w:rPr>
          <w:rFonts w:ascii="Times New Roman" w:hAnsi="Times New Roman" w:cs="Times New Roman"/>
          <w:sz w:val="24"/>
          <w:szCs w:val="24"/>
        </w:rPr>
        <w:t xml:space="preserve"> unless paragraph 50(2)(b) of the Act applies</w:t>
      </w:r>
      <w:r w:rsidR="00C26153">
        <w:rPr>
          <w:rFonts w:ascii="Times New Roman" w:hAnsi="Times New Roman" w:cs="Times New Roman"/>
          <w:sz w:val="24"/>
          <w:szCs w:val="24"/>
        </w:rPr>
        <w:t xml:space="preserve"> (see section 21 below)</w:t>
      </w:r>
      <w:r>
        <w:rPr>
          <w:rFonts w:ascii="Times New Roman" w:hAnsi="Times New Roman" w:cs="Times New Roman"/>
          <w:sz w:val="24"/>
          <w:szCs w:val="24"/>
        </w:rPr>
        <w:t xml:space="preserve">. This reflects the policy intent that the FSSP is only </w:t>
      </w:r>
      <w:r w:rsidR="00004821">
        <w:rPr>
          <w:rFonts w:ascii="Times New Roman" w:hAnsi="Times New Roman" w:cs="Times New Roman"/>
          <w:sz w:val="24"/>
          <w:szCs w:val="24"/>
        </w:rPr>
        <w:t xml:space="preserve">payable </w:t>
      </w:r>
      <w:r>
        <w:rPr>
          <w:rFonts w:ascii="Times New Roman" w:hAnsi="Times New Roman" w:cs="Times New Roman"/>
          <w:sz w:val="24"/>
          <w:szCs w:val="24"/>
        </w:rPr>
        <w:t xml:space="preserve">to refinery operators who commit to refining FSSP fuel in Australia for a minimum defined period, to ensure the continued supply of such fuels to critical users and local fuel-dependent industries. </w:t>
      </w:r>
    </w:p>
    <w:p w:rsidR="00EB0B2A" w:rsidRDefault="00004821" w:rsidP="00004821">
      <w:pPr>
        <w:spacing w:before="240" w:after="240"/>
        <w:rPr>
          <w:rFonts w:ascii="Times New Roman" w:hAnsi="Times New Roman" w:cs="Times New Roman"/>
          <w:sz w:val="24"/>
          <w:szCs w:val="24"/>
        </w:rPr>
      </w:pPr>
      <w:r>
        <w:rPr>
          <w:rFonts w:ascii="Times New Roman" w:hAnsi="Times New Roman" w:cs="Times New Roman"/>
          <w:sz w:val="24"/>
          <w:szCs w:val="24"/>
        </w:rPr>
        <w:t>S</w:t>
      </w:r>
      <w:r w:rsidR="00EB0B2A">
        <w:rPr>
          <w:rFonts w:ascii="Times New Roman" w:hAnsi="Times New Roman" w:cs="Times New Roman"/>
          <w:sz w:val="24"/>
          <w:szCs w:val="24"/>
        </w:rPr>
        <w:t xml:space="preserve">ection </w:t>
      </w:r>
      <w:r>
        <w:rPr>
          <w:rFonts w:ascii="Times New Roman" w:hAnsi="Times New Roman" w:cs="Times New Roman"/>
          <w:sz w:val="24"/>
          <w:szCs w:val="24"/>
        </w:rPr>
        <w:t xml:space="preserve">20 of the Rule </w:t>
      </w:r>
      <w:r w:rsidR="00EB0B2A">
        <w:rPr>
          <w:rFonts w:ascii="Times New Roman" w:hAnsi="Times New Roman" w:cs="Times New Roman"/>
          <w:sz w:val="24"/>
          <w:szCs w:val="24"/>
        </w:rPr>
        <w:t xml:space="preserve">prescribes, for the purpose of </w:t>
      </w:r>
      <w:r w:rsidR="003C1BD1">
        <w:rPr>
          <w:rFonts w:ascii="Times New Roman" w:hAnsi="Times New Roman" w:cs="Times New Roman"/>
          <w:sz w:val="24"/>
          <w:szCs w:val="24"/>
        </w:rPr>
        <w:t>sub</w:t>
      </w:r>
      <w:r w:rsidR="00EB0B2A">
        <w:rPr>
          <w:rFonts w:ascii="Times New Roman" w:hAnsi="Times New Roman" w:cs="Times New Roman"/>
          <w:sz w:val="24"/>
          <w:szCs w:val="24"/>
        </w:rPr>
        <w:t xml:space="preserve">section 51(1) of the Act, the </w:t>
      </w:r>
      <w:r w:rsidR="00302C8F">
        <w:rPr>
          <w:rFonts w:ascii="Times New Roman" w:hAnsi="Times New Roman" w:cs="Times New Roman"/>
          <w:sz w:val="24"/>
          <w:szCs w:val="24"/>
        </w:rPr>
        <w:t xml:space="preserve">limited </w:t>
      </w:r>
      <w:r w:rsidR="00EB0B2A">
        <w:rPr>
          <w:rFonts w:ascii="Times New Roman" w:hAnsi="Times New Roman" w:cs="Times New Roman"/>
          <w:sz w:val="24"/>
          <w:szCs w:val="24"/>
        </w:rPr>
        <w:t xml:space="preserve">circumstances in which the FSSP repayment obligations under </w:t>
      </w:r>
      <w:r w:rsidR="000D53E3">
        <w:rPr>
          <w:rFonts w:ascii="Times New Roman" w:hAnsi="Times New Roman" w:cs="Times New Roman"/>
          <w:sz w:val="24"/>
          <w:szCs w:val="24"/>
        </w:rPr>
        <w:t>sub</w:t>
      </w:r>
      <w:r w:rsidR="00EB0B2A">
        <w:rPr>
          <w:rFonts w:ascii="Times New Roman" w:hAnsi="Times New Roman" w:cs="Times New Roman"/>
          <w:sz w:val="24"/>
          <w:szCs w:val="24"/>
        </w:rPr>
        <w:t>section 50(1) of the Act do not apply at all.</w:t>
      </w:r>
      <w:r w:rsidR="00D73597">
        <w:rPr>
          <w:rFonts w:ascii="Times New Roman" w:hAnsi="Times New Roman" w:cs="Times New Roman"/>
          <w:sz w:val="24"/>
          <w:szCs w:val="24"/>
        </w:rPr>
        <w:t xml:space="preserve"> </w:t>
      </w:r>
      <w:r>
        <w:rPr>
          <w:rFonts w:ascii="Times New Roman" w:hAnsi="Times New Roman" w:cs="Times New Roman"/>
          <w:sz w:val="24"/>
          <w:szCs w:val="24"/>
        </w:rPr>
        <w:t xml:space="preserve">These circumstances are limited to </w:t>
      </w:r>
      <w:r w:rsidR="004B0339">
        <w:rPr>
          <w:rFonts w:ascii="Times New Roman" w:hAnsi="Times New Roman" w:cs="Times New Roman"/>
          <w:sz w:val="24"/>
          <w:szCs w:val="24"/>
        </w:rPr>
        <w:t xml:space="preserve">where sufficient evidence is presented to satisfy the Minister of each of the </w:t>
      </w:r>
      <w:r>
        <w:rPr>
          <w:rFonts w:ascii="Times New Roman" w:hAnsi="Times New Roman" w:cs="Times New Roman"/>
          <w:sz w:val="24"/>
          <w:szCs w:val="24"/>
        </w:rPr>
        <w:t>matters</w:t>
      </w:r>
      <w:r w:rsidR="004B0339">
        <w:rPr>
          <w:rFonts w:ascii="Times New Roman" w:hAnsi="Times New Roman" w:cs="Times New Roman"/>
          <w:sz w:val="24"/>
          <w:szCs w:val="24"/>
        </w:rPr>
        <w:t xml:space="preserve"> set out in the section, which include the occurrence of</w:t>
      </w:r>
      <w:r>
        <w:rPr>
          <w:rFonts w:ascii="Times New Roman" w:hAnsi="Times New Roman" w:cs="Times New Roman"/>
          <w:sz w:val="24"/>
          <w:szCs w:val="24"/>
        </w:rPr>
        <w:t xml:space="preserve"> a material adverse change or a force majeure event.</w:t>
      </w:r>
      <w:r w:rsidR="00C26153">
        <w:rPr>
          <w:rFonts w:ascii="Times New Roman" w:hAnsi="Times New Roman" w:cs="Times New Roman"/>
          <w:sz w:val="24"/>
          <w:szCs w:val="24"/>
        </w:rPr>
        <w:t xml:space="preserve"> Generally, the refinery operator is expected to take reasonable steps to mitigate or avoid the occurrence of these events so that the closure decision is ultimately beyond the control of the refinery operator and related refinery entities. </w:t>
      </w:r>
    </w:p>
    <w:p w:rsidR="00067A80" w:rsidRDefault="00067A80" w:rsidP="00EF13DE">
      <w:pPr>
        <w:spacing w:before="240" w:after="240"/>
        <w:rPr>
          <w:rFonts w:ascii="Times New Roman" w:hAnsi="Times New Roman" w:cs="Times New Roman"/>
          <w:sz w:val="24"/>
          <w:szCs w:val="24"/>
        </w:rPr>
      </w:pPr>
      <w:r>
        <w:rPr>
          <w:rFonts w:ascii="Times New Roman" w:hAnsi="Times New Roman" w:cs="Times New Roman"/>
          <w:sz w:val="24"/>
          <w:szCs w:val="24"/>
        </w:rPr>
        <w:t>Specifically, repayment obligations will not apply if:</w:t>
      </w:r>
    </w:p>
    <w:p w:rsidR="00067A80" w:rsidRPr="00067A80" w:rsidRDefault="00067A80" w:rsidP="00034CA6">
      <w:pPr>
        <w:pStyle w:val="ListParagraph"/>
        <w:numPr>
          <w:ilvl w:val="0"/>
          <w:numId w:val="22"/>
        </w:numPr>
        <w:spacing w:before="240" w:after="240"/>
        <w:rPr>
          <w:rFonts w:ascii="Times New Roman" w:hAnsi="Times New Roman" w:cs="Times New Roman"/>
          <w:sz w:val="24"/>
          <w:szCs w:val="24"/>
        </w:rPr>
      </w:pPr>
      <w:r w:rsidRPr="00067A80">
        <w:rPr>
          <w:rFonts w:ascii="Times New Roman" w:hAnsi="Times New Roman" w:cs="Times New Roman"/>
          <w:sz w:val="24"/>
          <w:szCs w:val="24"/>
        </w:rPr>
        <w:t>A defined force majeure event occurs</w:t>
      </w:r>
      <w:r w:rsidR="00034CA6">
        <w:rPr>
          <w:rFonts w:ascii="Times New Roman" w:hAnsi="Times New Roman" w:cs="Times New Roman"/>
          <w:sz w:val="24"/>
          <w:szCs w:val="24"/>
        </w:rPr>
        <w:t xml:space="preserve"> which has the effect that the</w:t>
      </w:r>
      <w:r w:rsidR="002E5CC1">
        <w:rPr>
          <w:rFonts w:ascii="Times New Roman" w:hAnsi="Times New Roman" w:cs="Times New Roman"/>
          <w:sz w:val="24"/>
          <w:szCs w:val="24"/>
        </w:rPr>
        <w:t xml:space="preserve"> committed</w:t>
      </w:r>
      <w:r w:rsidR="00034CA6">
        <w:rPr>
          <w:rFonts w:ascii="Times New Roman" w:hAnsi="Times New Roman" w:cs="Times New Roman"/>
          <w:sz w:val="24"/>
          <w:szCs w:val="24"/>
        </w:rPr>
        <w:t xml:space="preserve"> refinery cannot continue refining</w:t>
      </w:r>
      <w:r w:rsidRPr="00067A80">
        <w:rPr>
          <w:rFonts w:ascii="Times New Roman" w:hAnsi="Times New Roman" w:cs="Times New Roman"/>
          <w:sz w:val="24"/>
          <w:szCs w:val="24"/>
        </w:rPr>
        <w:t xml:space="preserve">, </w:t>
      </w:r>
      <w:r w:rsidR="00034CA6">
        <w:rPr>
          <w:rFonts w:ascii="Times New Roman" w:hAnsi="Times New Roman" w:cs="Times New Roman"/>
          <w:sz w:val="24"/>
          <w:szCs w:val="24"/>
        </w:rPr>
        <w:t xml:space="preserve">and </w:t>
      </w:r>
      <w:r w:rsidRPr="00067A80">
        <w:rPr>
          <w:rFonts w:ascii="Times New Roman" w:hAnsi="Times New Roman" w:cs="Times New Roman"/>
          <w:sz w:val="24"/>
          <w:szCs w:val="24"/>
        </w:rPr>
        <w:t xml:space="preserve">which causes the refinery to be either operationally unviable (i.e. it is not </w:t>
      </w:r>
      <w:r w:rsidR="003C1BD1">
        <w:rPr>
          <w:rFonts w:ascii="Times New Roman" w:hAnsi="Times New Roman" w:cs="Times New Roman"/>
          <w:sz w:val="24"/>
          <w:szCs w:val="24"/>
        </w:rPr>
        <w:t>reasonably</w:t>
      </w:r>
      <w:r w:rsidRPr="00067A80">
        <w:rPr>
          <w:rFonts w:ascii="Times New Roman" w:hAnsi="Times New Roman" w:cs="Times New Roman"/>
          <w:sz w:val="24"/>
          <w:szCs w:val="24"/>
        </w:rPr>
        <w:t xml:space="preserve"> practicable for operational reasons to operate the refinery, or bring it back into operation, on an ongoing basis) or commercially unviable (as defined under subsection 20(</w:t>
      </w:r>
      <w:r w:rsidR="003C1BD1">
        <w:rPr>
          <w:rFonts w:ascii="Times New Roman" w:hAnsi="Times New Roman" w:cs="Times New Roman"/>
          <w:sz w:val="24"/>
          <w:szCs w:val="24"/>
        </w:rPr>
        <w:t>7</w:t>
      </w:r>
      <w:r w:rsidRPr="00067A80">
        <w:rPr>
          <w:rFonts w:ascii="Times New Roman" w:hAnsi="Times New Roman" w:cs="Times New Roman"/>
          <w:sz w:val="24"/>
          <w:szCs w:val="24"/>
        </w:rPr>
        <w:t>)</w:t>
      </w:r>
      <w:r w:rsidR="00227E93">
        <w:rPr>
          <w:rFonts w:ascii="Times New Roman" w:hAnsi="Times New Roman" w:cs="Times New Roman"/>
          <w:sz w:val="24"/>
          <w:szCs w:val="24"/>
        </w:rPr>
        <w:t xml:space="preserve"> of the Rule</w:t>
      </w:r>
      <w:r>
        <w:rPr>
          <w:rFonts w:ascii="Times New Roman" w:hAnsi="Times New Roman" w:cs="Times New Roman"/>
          <w:sz w:val="24"/>
          <w:szCs w:val="24"/>
        </w:rPr>
        <w:t>,</w:t>
      </w:r>
      <w:r w:rsidRPr="00067A80">
        <w:t xml:space="preserve"> </w:t>
      </w:r>
      <w:r w:rsidRPr="00067A80">
        <w:rPr>
          <w:rFonts w:ascii="Times New Roman" w:hAnsi="Times New Roman" w:cs="Times New Roman"/>
          <w:sz w:val="24"/>
          <w:szCs w:val="24"/>
        </w:rPr>
        <w:t>e.g. the refinery continuously recording significant losses</w:t>
      </w:r>
      <w:r>
        <w:rPr>
          <w:rFonts w:ascii="Times New Roman" w:hAnsi="Times New Roman" w:cs="Times New Roman"/>
          <w:sz w:val="24"/>
          <w:szCs w:val="24"/>
        </w:rPr>
        <w:t xml:space="preserve"> for the foreseeable future</w:t>
      </w:r>
      <w:r w:rsidRPr="00067A80">
        <w:rPr>
          <w:rFonts w:ascii="Times New Roman" w:hAnsi="Times New Roman" w:cs="Times New Roman"/>
          <w:sz w:val="24"/>
          <w:szCs w:val="24"/>
        </w:rPr>
        <w:t>)</w:t>
      </w:r>
      <w:r w:rsidR="00114505">
        <w:rPr>
          <w:rFonts w:ascii="Times New Roman" w:hAnsi="Times New Roman" w:cs="Times New Roman"/>
          <w:sz w:val="24"/>
          <w:szCs w:val="24"/>
        </w:rPr>
        <w:t xml:space="preserve"> – subsections 20(2) and (3) of the Rule</w:t>
      </w:r>
      <w:r>
        <w:rPr>
          <w:rFonts w:ascii="Times New Roman" w:hAnsi="Times New Roman" w:cs="Times New Roman"/>
          <w:sz w:val="24"/>
          <w:szCs w:val="24"/>
        </w:rPr>
        <w:t>; or</w:t>
      </w:r>
    </w:p>
    <w:p w:rsidR="00067A80" w:rsidRPr="00067A80" w:rsidRDefault="00067A80" w:rsidP="00034CA6">
      <w:pPr>
        <w:pStyle w:val="ListParagraph"/>
        <w:numPr>
          <w:ilvl w:val="0"/>
          <w:numId w:val="22"/>
        </w:numPr>
        <w:spacing w:before="240" w:after="240"/>
        <w:rPr>
          <w:rFonts w:ascii="Times New Roman" w:hAnsi="Times New Roman" w:cs="Times New Roman"/>
          <w:sz w:val="24"/>
          <w:szCs w:val="24"/>
        </w:rPr>
      </w:pPr>
      <w:r>
        <w:rPr>
          <w:rFonts w:ascii="Times New Roman" w:hAnsi="Times New Roman" w:cs="Times New Roman"/>
          <w:sz w:val="24"/>
          <w:szCs w:val="24"/>
        </w:rPr>
        <w:t xml:space="preserve">A </w:t>
      </w:r>
      <w:r w:rsidR="00034CA6">
        <w:rPr>
          <w:rFonts w:ascii="Times New Roman" w:hAnsi="Times New Roman" w:cs="Times New Roman"/>
          <w:sz w:val="24"/>
          <w:szCs w:val="24"/>
        </w:rPr>
        <w:t xml:space="preserve">defined </w:t>
      </w:r>
      <w:r>
        <w:rPr>
          <w:rFonts w:ascii="Times New Roman" w:hAnsi="Times New Roman" w:cs="Times New Roman"/>
          <w:sz w:val="24"/>
          <w:szCs w:val="24"/>
        </w:rPr>
        <w:t xml:space="preserve">material adverse change occurs, which </w:t>
      </w:r>
      <w:r w:rsidR="004B0339">
        <w:rPr>
          <w:rFonts w:ascii="Times New Roman" w:hAnsi="Times New Roman" w:cs="Times New Roman"/>
          <w:sz w:val="24"/>
          <w:szCs w:val="24"/>
        </w:rPr>
        <w:t>is considered to mean that</w:t>
      </w:r>
      <w:r>
        <w:rPr>
          <w:rFonts w:ascii="Times New Roman" w:hAnsi="Times New Roman" w:cs="Times New Roman"/>
          <w:sz w:val="24"/>
          <w:szCs w:val="24"/>
        </w:rPr>
        <w:t xml:space="preserve"> the</w:t>
      </w:r>
      <w:r w:rsidR="002E5CC1">
        <w:rPr>
          <w:rFonts w:ascii="Times New Roman" w:hAnsi="Times New Roman" w:cs="Times New Roman"/>
          <w:sz w:val="24"/>
          <w:szCs w:val="24"/>
        </w:rPr>
        <w:t xml:space="preserve"> committed</w:t>
      </w:r>
      <w:r>
        <w:rPr>
          <w:rFonts w:ascii="Times New Roman" w:hAnsi="Times New Roman" w:cs="Times New Roman"/>
          <w:sz w:val="24"/>
          <w:szCs w:val="24"/>
        </w:rPr>
        <w:t xml:space="preserve"> refinery </w:t>
      </w:r>
      <w:r w:rsidR="004B0339">
        <w:rPr>
          <w:rFonts w:ascii="Times New Roman" w:hAnsi="Times New Roman" w:cs="Times New Roman"/>
          <w:sz w:val="24"/>
          <w:szCs w:val="24"/>
        </w:rPr>
        <w:t>is</w:t>
      </w:r>
      <w:r>
        <w:rPr>
          <w:rFonts w:ascii="Times New Roman" w:hAnsi="Times New Roman" w:cs="Times New Roman"/>
          <w:sz w:val="24"/>
          <w:szCs w:val="24"/>
        </w:rPr>
        <w:t xml:space="preserve"> commercially unviable</w:t>
      </w:r>
      <w:r w:rsidR="00114505">
        <w:rPr>
          <w:rFonts w:ascii="Times New Roman" w:hAnsi="Times New Roman" w:cs="Times New Roman"/>
          <w:sz w:val="24"/>
          <w:szCs w:val="24"/>
        </w:rPr>
        <w:t xml:space="preserve"> – subsections 20(4) and (5) of the Rule</w:t>
      </w:r>
      <w:r>
        <w:rPr>
          <w:rFonts w:ascii="Times New Roman" w:hAnsi="Times New Roman" w:cs="Times New Roman"/>
          <w:sz w:val="24"/>
          <w:szCs w:val="24"/>
        </w:rPr>
        <w:t>.</w:t>
      </w:r>
    </w:p>
    <w:p w:rsidR="002B196F" w:rsidRDefault="00067A80" w:rsidP="00067A80">
      <w:pPr>
        <w:spacing w:before="240" w:after="240"/>
        <w:rPr>
          <w:rFonts w:ascii="Times New Roman" w:hAnsi="Times New Roman" w:cs="Times New Roman"/>
          <w:sz w:val="24"/>
          <w:szCs w:val="24"/>
        </w:rPr>
      </w:pPr>
      <w:r w:rsidRPr="00067A80">
        <w:rPr>
          <w:rFonts w:ascii="Times New Roman" w:hAnsi="Times New Roman" w:cs="Times New Roman"/>
          <w:sz w:val="24"/>
          <w:szCs w:val="24"/>
        </w:rPr>
        <w:t xml:space="preserve">In either case, </w:t>
      </w:r>
      <w:r w:rsidR="002B196F">
        <w:rPr>
          <w:rFonts w:ascii="Times New Roman" w:hAnsi="Times New Roman" w:cs="Times New Roman"/>
          <w:sz w:val="24"/>
          <w:szCs w:val="24"/>
        </w:rPr>
        <w:t>repayment obligation</w:t>
      </w:r>
      <w:r w:rsidR="00E510A6">
        <w:rPr>
          <w:rFonts w:ascii="Times New Roman" w:hAnsi="Times New Roman" w:cs="Times New Roman"/>
          <w:sz w:val="24"/>
          <w:szCs w:val="24"/>
        </w:rPr>
        <w:t>s</w:t>
      </w:r>
      <w:r w:rsidR="002B196F">
        <w:rPr>
          <w:rFonts w:ascii="Times New Roman" w:hAnsi="Times New Roman" w:cs="Times New Roman"/>
          <w:sz w:val="24"/>
          <w:szCs w:val="24"/>
        </w:rPr>
        <w:t xml:space="preserve"> will not apply if:</w:t>
      </w:r>
    </w:p>
    <w:p w:rsidR="002B196F" w:rsidRPr="0005189B" w:rsidRDefault="00067A80" w:rsidP="0005189B">
      <w:pPr>
        <w:pStyle w:val="ListParagraph"/>
        <w:numPr>
          <w:ilvl w:val="0"/>
          <w:numId w:val="24"/>
        </w:numPr>
        <w:spacing w:before="240" w:after="240"/>
        <w:rPr>
          <w:rFonts w:ascii="Times New Roman" w:hAnsi="Times New Roman" w:cs="Times New Roman"/>
          <w:sz w:val="24"/>
          <w:szCs w:val="24"/>
        </w:rPr>
      </w:pPr>
      <w:r w:rsidRPr="0005189B">
        <w:rPr>
          <w:rFonts w:ascii="Times New Roman" w:hAnsi="Times New Roman" w:cs="Times New Roman"/>
          <w:sz w:val="24"/>
          <w:szCs w:val="24"/>
        </w:rPr>
        <w:t>the event</w:t>
      </w:r>
      <w:r w:rsidR="002E5CC1">
        <w:rPr>
          <w:rFonts w:ascii="Times New Roman" w:hAnsi="Times New Roman" w:cs="Times New Roman"/>
          <w:sz w:val="24"/>
          <w:szCs w:val="24"/>
        </w:rPr>
        <w:t xml:space="preserve"> or change</w:t>
      </w:r>
      <w:r w:rsidRPr="0005189B">
        <w:rPr>
          <w:rFonts w:ascii="Times New Roman" w:hAnsi="Times New Roman" w:cs="Times New Roman"/>
          <w:sz w:val="24"/>
          <w:szCs w:val="24"/>
        </w:rPr>
        <w:t xml:space="preserve"> </w:t>
      </w:r>
      <w:r w:rsidR="002B196F" w:rsidRPr="0005189B">
        <w:rPr>
          <w:rFonts w:ascii="Times New Roman" w:hAnsi="Times New Roman" w:cs="Times New Roman"/>
          <w:sz w:val="24"/>
          <w:szCs w:val="24"/>
        </w:rPr>
        <w:t xml:space="preserve">could </w:t>
      </w:r>
      <w:r w:rsidRPr="0005189B">
        <w:rPr>
          <w:rFonts w:ascii="Times New Roman" w:hAnsi="Times New Roman" w:cs="Times New Roman"/>
          <w:sz w:val="24"/>
          <w:szCs w:val="24"/>
        </w:rPr>
        <w:t xml:space="preserve">not have been </w:t>
      </w:r>
      <w:r w:rsidR="002B196F" w:rsidRPr="0005189B">
        <w:rPr>
          <w:rFonts w:ascii="Times New Roman" w:hAnsi="Times New Roman" w:cs="Times New Roman"/>
          <w:sz w:val="24"/>
          <w:szCs w:val="24"/>
        </w:rPr>
        <w:t xml:space="preserve">reasonably </w:t>
      </w:r>
      <w:r w:rsidRPr="0005189B">
        <w:rPr>
          <w:rFonts w:ascii="Times New Roman" w:hAnsi="Times New Roman" w:cs="Times New Roman"/>
          <w:sz w:val="24"/>
          <w:szCs w:val="24"/>
        </w:rPr>
        <w:t>prevent</w:t>
      </w:r>
      <w:r w:rsidR="002B196F" w:rsidRPr="0005189B">
        <w:rPr>
          <w:rFonts w:ascii="Times New Roman" w:hAnsi="Times New Roman" w:cs="Times New Roman"/>
          <w:sz w:val="24"/>
          <w:szCs w:val="24"/>
        </w:rPr>
        <w:t xml:space="preserve">ed </w:t>
      </w:r>
      <w:r w:rsidRPr="0005189B">
        <w:rPr>
          <w:rFonts w:ascii="Times New Roman" w:hAnsi="Times New Roman" w:cs="Times New Roman"/>
          <w:sz w:val="24"/>
          <w:szCs w:val="24"/>
        </w:rPr>
        <w:t>or able to be mitigated</w:t>
      </w:r>
      <w:r w:rsidR="004B0339">
        <w:rPr>
          <w:rFonts w:ascii="Times New Roman" w:hAnsi="Times New Roman" w:cs="Times New Roman"/>
          <w:sz w:val="24"/>
          <w:szCs w:val="24"/>
        </w:rPr>
        <w:t xml:space="preserve"> by the refinery operator taking appropriate actions</w:t>
      </w:r>
      <w:r w:rsidR="002E5CC1">
        <w:rPr>
          <w:rFonts w:ascii="Times New Roman" w:hAnsi="Times New Roman" w:cs="Times New Roman"/>
          <w:sz w:val="24"/>
          <w:szCs w:val="24"/>
        </w:rPr>
        <w:t xml:space="preserve"> which a prudent, experienced and reasonable refinery operator would have taken in the circumstances;</w:t>
      </w:r>
      <w:r w:rsidRPr="0005189B">
        <w:rPr>
          <w:rFonts w:ascii="Times New Roman" w:hAnsi="Times New Roman" w:cs="Times New Roman"/>
          <w:sz w:val="24"/>
          <w:szCs w:val="24"/>
        </w:rPr>
        <w:t xml:space="preserve"> </w:t>
      </w:r>
    </w:p>
    <w:p w:rsidR="001E5C0A" w:rsidRDefault="002B196F" w:rsidP="0005189B">
      <w:pPr>
        <w:pStyle w:val="ListParagraph"/>
        <w:numPr>
          <w:ilvl w:val="0"/>
          <w:numId w:val="24"/>
        </w:numPr>
        <w:spacing w:before="240" w:after="240"/>
        <w:rPr>
          <w:rFonts w:ascii="Times New Roman" w:hAnsi="Times New Roman" w:cs="Times New Roman"/>
          <w:sz w:val="24"/>
          <w:szCs w:val="24"/>
        </w:rPr>
      </w:pPr>
      <w:r w:rsidRPr="0005189B">
        <w:rPr>
          <w:rFonts w:ascii="Times New Roman" w:hAnsi="Times New Roman" w:cs="Times New Roman"/>
          <w:sz w:val="24"/>
          <w:szCs w:val="24"/>
        </w:rPr>
        <w:t xml:space="preserve">related refinery entities </w:t>
      </w:r>
      <w:r w:rsidR="00E510A6">
        <w:rPr>
          <w:rFonts w:ascii="Times New Roman" w:hAnsi="Times New Roman" w:cs="Times New Roman"/>
          <w:sz w:val="24"/>
          <w:szCs w:val="24"/>
        </w:rPr>
        <w:t xml:space="preserve">(as defined – see explanatory note for section 4 of the Rule above) </w:t>
      </w:r>
      <w:r w:rsidRPr="0005189B">
        <w:rPr>
          <w:rFonts w:ascii="Times New Roman" w:hAnsi="Times New Roman" w:cs="Times New Roman"/>
          <w:sz w:val="24"/>
          <w:szCs w:val="24"/>
        </w:rPr>
        <w:t xml:space="preserve">have not </w:t>
      </w:r>
      <w:r w:rsidR="00E510A6">
        <w:rPr>
          <w:rFonts w:ascii="Times New Roman" w:hAnsi="Times New Roman" w:cs="Times New Roman"/>
          <w:sz w:val="24"/>
          <w:szCs w:val="24"/>
        </w:rPr>
        <w:t xml:space="preserve">unreasonably </w:t>
      </w:r>
      <w:r w:rsidRPr="0005189B">
        <w:rPr>
          <w:rFonts w:ascii="Times New Roman" w:hAnsi="Times New Roman" w:cs="Times New Roman"/>
          <w:sz w:val="24"/>
          <w:szCs w:val="24"/>
        </w:rPr>
        <w:t xml:space="preserve">stopped or limited the </w:t>
      </w:r>
      <w:r w:rsidR="00E510A6">
        <w:rPr>
          <w:rFonts w:ascii="Times New Roman" w:hAnsi="Times New Roman" w:cs="Times New Roman"/>
          <w:sz w:val="24"/>
          <w:szCs w:val="24"/>
        </w:rPr>
        <w:t xml:space="preserve">refinery </w:t>
      </w:r>
      <w:r w:rsidRPr="0005189B">
        <w:rPr>
          <w:rFonts w:ascii="Times New Roman" w:hAnsi="Times New Roman" w:cs="Times New Roman"/>
          <w:sz w:val="24"/>
          <w:szCs w:val="24"/>
        </w:rPr>
        <w:t xml:space="preserve">operator in undertaking </w:t>
      </w:r>
      <w:r w:rsidR="002E5CC1">
        <w:rPr>
          <w:rFonts w:ascii="Times New Roman" w:hAnsi="Times New Roman" w:cs="Times New Roman"/>
          <w:sz w:val="24"/>
          <w:szCs w:val="24"/>
        </w:rPr>
        <w:lastRenderedPageBreak/>
        <w:t xml:space="preserve">appropriate </w:t>
      </w:r>
      <w:r w:rsidRPr="0005189B">
        <w:rPr>
          <w:rFonts w:ascii="Times New Roman" w:hAnsi="Times New Roman" w:cs="Times New Roman"/>
          <w:sz w:val="24"/>
          <w:szCs w:val="24"/>
        </w:rPr>
        <w:t>steps to prevent or limit the impact of the event or change</w:t>
      </w:r>
      <w:r w:rsidR="004B0339">
        <w:rPr>
          <w:rFonts w:ascii="Times New Roman" w:hAnsi="Times New Roman" w:cs="Times New Roman"/>
          <w:sz w:val="24"/>
          <w:szCs w:val="24"/>
        </w:rPr>
        <w:t xml:space="preserve"> (</w:t>
      </w:r>
      <w:r w:rsidR="00052AC2">
        <w:rPr>
          <w:rFonts w:ascii="Times New Roman" w:hAnsi="Times New Roman" w:cs="Times New Roman"/>
          <w:sz w:val="24"/>
          <w:szCs w:val="24"/>
        </w:rPr>
        <w:t>i.e.</w:t>
      </w:r>
      <w:r w:rsidR="004B0339">
        <w:rPr>
          <w:rFonts w:ascii="Times New Roman" w:hAnsi="Times New Roman" w:cs="Times New Roman"/>
          <w:sz w:val="24"/>
          <w:szCs w:val="24"/>
        </w:rPr>
        <w:t xml:space="preserve"> they should not have impeded appropriate mitigation steps)</w:t>
      </w:r>
      <w:r w:rsidRPr="0005189B">
        <w:rPr>
          <w:rFonts w:ascii="Times New Roman" w:hAnsi="Times New Roman" w:cs="Times New Roman"/>
          <w:sz w:val="24"/>
          <w:szCs w:val="24"/>
        </w:rPr>
        <w:t xml:space="preserve">; </w:t>
      </w:r>
      <w:r w:rsidR="00067A80" w:rsidRPr="0005189B">
        <w:rPr>
          <w:rFonts w:ascii="Times New Roman" w:hAnsi="Times New Roman" w:cs="Times New Roman"/>
          <w:sz w:val="24"/>
          <w:szCs w:val="24"/>
        </w:rPr>
        <w:t xml:space="preserve">and </w:t>
      </w:r>
    </w:p>
    <w:p w:rsidR="001E5C0A" w:rsidRPr="0005189B" w:rsidRDefault="002B196F" w:rsidP="0005189B">
      <w:pPr>
        <w:pStyle w:val="ListParagraph"/>
        <w:numPr>
          <w:ilvl w:val="0"/>
          <w:numId w:val="24"/>
        </w:numPr>
        <w:spacing w:before="240" w:after="240"/>
        <w:rPr>
          <w:rFonts w:ascii="Times New Roman" w:hAnsi="Times New Roman" w:cs="Times New Roman"/>
          <w:sz w:val="24"/>
          <w:szCs w:val="24"/>
        </w:rPr>
      </w:pPr>
      <w:r>
        <w:rPr>
          <w:rFonts w:ascii="Times New Roman" w:hAnsi="Times New Roman" w:cs="Times New Roman"/>
          <w:sz w:val="24"/>
          <w:szCs w:val="24"/>
        </w:rPr>
        <w:t xml:space="preserve">relevant independent </w:t>
      </w:r>
      <w:r w:rsidR="000F5DCF">
        <w:rPr>
          <w:rFonts w:ascii="Times New Roman" w:hAnsi="Times New Roman" w:cs="Times New Roman"/>
          <w:sz w:val="24"/>
          <w:szCs w:val="24"/>
        </w:rPr>
        <w:t xml:space="preserve">analysis </w:t>
      </w:r>
      <w:r>
        <w:rPr>
          <w:rFonts w:ascii="Times New Roman" w:hAnsi="Times New Roman" w:cs="Times New Roman"/>
          <w:sz w:val="24"/>
          <w:szCs w:val="24"/>
        </w:rPr>
        <w:t xml:space="preserve">is provided </w:t>
      </w:r>
      <w:r w:rsidR="001E5C0A">
        <w:rPr>
          <w:rFonts w:ascii="Times New Roman" w:hAnsi="Times New Roman" w:cs="Times New Roman"/>
          <w:sz w:val="24"/>
          <w:szCs w:val="24"/>
        </w:rPr>
        <w:t xml:space="preserve">and </w:t>
      </w:r>
      <w:r w:rsidRPr="001E5C0A">
        <w:rPr>
          <w:rFonts w:ascii="Times New Roman" w:hAnsi="Times New Roman" w:cs="Times New Roman"/>
          <w:sz w:val="24"/>
          <w:szCs w:val="24"/>
        </w:rPr>
        <w:t>demonstrat</w:t>
      </w:r>
      <w:r w:rsidR="001E5C0A">
        <w:rPr>
          <w:rFonts w:ascii="Times New Roman" w:hAnsi="Times New Roman" w:cs="Times New Roman"/>
          <w:sz w:val="24"/>
          <w:szCs w:val="24"/>
        </w:rPr>
        <w:t xml:space="preserve">es </w:t>
      </w:r>
      <w:r>
        <w:rPr>
          <w:rFonts w:ascii="Times New Roman" w:hAnsi="Times New Roman" w:cs="Times New Roman"/>
          <w:sz w:val="24"/>
          <w:szCs w:val="24"/>
        </w:rPr>
        <w:t>the event or change</w:t>
      </w:r>
      <w:r w:rsidR="00067A80" w:rsidRPr="0005189B">
        <w:rPr>
          <w:rFonts w:ascii="Times New Roman" w:hAnsi="Times New Roman" w:cs="Times New Roman"/>
          <w:sz w:val="24"/>
          <w:szCs w:val="24"/>
        </w:rPr>
        <w:t xml:space="preserve"> to have caused the operational or commercial unviability</w:t>
      </w:r>
      <w:r w:rsidR="002E5CC1">
        <w:rPr>
          <w:rFonts w:ascii="Times New Roman" w:hAnsi="Times New Roman" w:cs="Times New Roman"/>
          <w:sz w:val="24"/>
          <w:szCs w:val="24"/>
        </w:rPr>
        <w:t xml:space="preserve"> of the committed refinery</w:t>
      </w:r>
      <w:r w:rsidR="001E5C0A">
        <w:rPr>
          <w:rFonts w:ascii="Times New Roman" w:hAnsi="Times New Roman" w:cs="Times New Roman"/>
          <w:sz w:val="24"/>
          <w:szCs w:val="24"/>
        </w:rPr>
        <w:t>.</w:t>
      </w:r>
    </w:p>
    <w:p w:rsidR="001E5C0A" w:rsidRPr="0005189B" w:rsidRDefault="00782656" w:rsidP="001E5C0A">
      <w:pPr>
        <w:spacing w:before="240" w:after="240"/>
        <w:rPr>
          <w:rFonts w:ascii="Times New Roman" w:hAnsi="Times New Roman" w:cs="Times New Roman"/>
          <w:sz w:val="24"/>
          <w:szCs w:val="24"/>
        </w:rPr>
      </w:pPr>
      <w:r>
        <w:rPr>
          <w:rFonts w:ascii="Times New Roman" w:hAnsi="Times New Roman" w:cs="Times New Roman"/>
          <w:sz w:val="24"/>
          <w:szCs w:val="24"/>
        </w:rPr>
        <w:t>In accordance with subsection 20(10) of the Rule, t</w:t>
      </w:r>
      <w:r w:rsidRPr="0005189B">
        <w:rPr>
          <w:rFonts w:ascii="Times New Roman" w:hAnsi="Times New Roman" w:cs="Times New Roman"/>
          <w:sz w:val="24"/>
          <w:szCs w:val="24"/>
        </w:rPr>
        <w:t xml:space="preserve">he </w:t>
      </w:r>
      <w:r>
        <w:rPr>
          <w:rFonts w:ascii="Times New Roman" w:hAnsi="Times New Roman" w:cs="Times New Roman"/>
          <w:sz w:val="24"/>
          <w:szCs w:val="24"/>
        </w:rPr>
        <w:t xml:space="preserve">relevant </w:t>
      </w:r>
      <w:r w:rsidR="00034CA6" w:rsidRPr="0005189B">
        <w:rPr>
          <w:rFonts w:ascii="Times New Roman" w:hAnsi="Times New Roman" w:cs="Times New Roman"/>
          <w:sz w:val="24"/>
          <w:szCs w:val="24"/>
        </w:rPr>
        <w:t xml:space="preserve">independent analysis will </w:t>
      </w:r>
      <w:r w:rsidR="00082DE5">
        <w:rPr>
          <w:rFonts w:ascii="Times New Roman" w:hAnsi="Times New Roman" w:cs="Times New Roman"/>
          <w:sz w:val="24"/>
          <w:szCs w:val="24"/>
        </w:rPr>
        <w:t xml:space="preserve">need to be </w:t>
      </w:r>
      <w:r w:rsidR="001E5C0A">
        <w:rPr>
          <w:rFonts w:ascii="Times New Roman" w:hAnsi="Times New Roman" w:cs="Times New Roman"/>
          <w:sz w:val="24"/>
          <w:szCs w:val="24"/>
        </w:rPr>
        <w:t xml:space="preserve">prepared by appropriately qualified experts, based on </w:t>
      </w:r>
      <w:r w:rsidR="00034CA6" w:rsidRPr="0005189B">
        <w:rPr>
          <w:rFonts w:ascii="Times New Roman" w:hAnsi="Times New Roman" w:cs="Times New Roman"/>
          <w:sz w:val="24"/>
          <w:szCs w:val="24"/>
        </w:rPr>
        <w:t xml:space="preserve">the </w:t>
      </w:r>
      <w:r w:rsidR="001E5C0A">
        <w:rPr>
          <w:rFonts w:ascii="Times New Roman" w:hAnsi="Times New Roman" w:cs="Times New Roman"/>
          <w:sz w:val="24"/>
          <w:szCs w:val="24"/>
        </w:rPr>
        <w:t xml:space="preserve">relevant </w:t>
      </w:r>
      <w:r w:rsidR="00034CA6" w:rsidRPr="0005189B">
        <w:rPr>
          <w:rFonts w:ascii="Times New Roman" w:hAnsi="Times New Roman" w:cs="Times New Roman"/>
          <w:sz w:val="24"/>
          <w:szCs w:val="24"/>
        </w:rPr>
        <w:t xml:space="preserve">financial records </w:t>
      </w:r>
      <w:r>
        <w:rPr>
          <w:rFonts w:ascii="Times New Roman" w:hAnsi="Times New Roman" w:cs="Times New Roman"/>
          <w:sz w:val="24"/>
          <w:szCs w:val="24"/>
        </w:rPr>
        <w:t xml:space="preserve">of the refinery operator </w:t>
      </w:r>
      <w:r w:rsidR="00034CA6" w:rsidRPr="0005189B">
        <w:rPr>
          <w:rFonts w:ascii="Times New Roman" w:hAnsi="Times New Roman" w:cs="Times New Roman"/>
          <w:sz w:val="24"/>
          <w:szCs w:val="24"/>
        </w:rPr>
        <w:t>and include consideration of EBIT and EBITDA for the refinery.</w:t>
      </w:r>
      <w:r w:rsidR="001E5C0A">
        <w:rPr>
          <w:rFonts w:ascii="Times New Roman" w:hAnsi="Times New Roman" w:cs="Times New Roman"/>
          <w:sz w:val="24"/>
          <w:szCs w:val="24"/>
        </w:rPr>
        <w:t xml:space="preserve"> </w:t>
      </w:r>
      <w:r w:rsidR="00082DE5">
        <w:rPr>
          <w:rFonts w:ascii="Times New Roman" w:hAnsi="Times New Roman" w:cs="Times New Roman"/>
          <w:sz w:val="24"/>
          <w:szCs w:val="24"/>
        </w:rPr>
        <w:t xml:space="preserve">This reflects the policy intent that </w:t>
      </w:r>
      <w:r w:rsidR="00496D92">
        <w:rPr>
          <w:rFonts w:ascii="Times New Roman" w:hAnsi="Times New Roman" w:cs="Times New Roman"/>
          <w:sz w:val="24"/>
          <w:szCs w:val="24"/>
        </w:rPr>
        <w:t>all relevant</w:t>
      </w:r>
      <w:r w:rsidR="00082DE5">
        <w:rPr>
          <w:rFonts w:ascii="Times New Roman" w:hAnsi="Times New Roman" w:cs="Times New Roman"/>
          <w:sz w:val="24"/>
          <w:szCs w:val="24"/>
        </w:rPr>
        <w:t xml:space="preserve"> information</w:t>
      </w:r>
      <w:r w:rsidR="00496D92">
        <w:rPr>
          <w:rFonts w:ascii="Times New Roman" w:hAnsi="Times New Roman" w:cs="Times New Roman"/>
          <w:sz w:val="24"/>
          <w:szCs w:val="24"/>
        </w:rPr>
        <w:t xml:space="preserve">, including information that </w:t>
      </w:r>
      <w:r w:rsidR="00496D92" w:rsidRPr="00DD304E">
        <w:rPr>
          <w:rFonts w:ascii="Times New Roman" w:hAnsi="Times New Roman" w:cs="Times New Roman"/>
          <w:sz w:val="24"/>
          <w:szCs w:val="24"/>
        </w:rPr>
        <w:t>that the event or change has caused the committed refinery to become commercially or operationally unviable</w:t>
      </w:r>
      <w:r w:rsidR="00496D92">
        <w:rPr>
          <w:rFonts w:ascii="Times New Roman" w:hAnsi="Times New Roman" w:cs="Times New Roman"/>
          <w:sz w:val="24"/>
          <w:szCs w:val="24"/>
        </w:rPr>
        <w:t>,</w:t>
      </w:r>
      <w:r w:rsidR="00082DE5">
        <w:rPr>
          <w:rFonts w:ascii="Times New Roman" w:hAnsi="Times New Roman" w:cs="Times New Roman"/>
          <w:sz w:val="24"/>
          <w:szCs w:val="24"/>
        </w:rPr>
        <w:t xml:space="preserve"> must be provided to support the Minster’s </w:t>
      </w:r>
      <w:r w:rsidR="004B0339">
        <w:rPr>
          <w:rFonts w:ascii="Times New Roman" w:hAnsi="Times New Roman" w:cs="Times New Roman"/>
          <w:sz w:val="24"/>
          <w:szCs w:val="24"/>
        </w:rPr>
        <w:t>consideration of</w:t>
      </w:r>
      <w:r w:rsidR="00082DE5">
        <w:rPr>
          <w:rFonts w:ascii="Times New Roman" w:hAnsi="Times New Roman" w:cs="Times New Roman"/>
          <w:sz w:val="24"/>
          <w:szCs w:val="24"/>
        </w:rPr>
        <w:t xml:space="preserve"> whether the repayment obligation appl</w:t>
      </w:r>
      <w:r w:rsidR="004B0339">
        <w:rPr>
          <w:rFonts w:ascii="Times New Roman" w:hAnsi="Times New Roman" w:cs="Times New Roman"/>
          <w:sz w:val="24"/>
          <w:szCs w:val="24"/>
        </w:rPr>
        <w:t>ies</w:t>
      </w:r>
      <w:r w:rsidR="00082DE5">
        <w:rPr>
          <w:rFonts w:ascii="Times New Roman" w:hAnsi="Times New Roman" w:cs="Times New Roman"/>
          <w:sz w:val="24"/>
          <w:szCs w:val="24"/>
        </w:rPr>
        <w:t>.</w:t>
      </w:r>
      <w:r w:rsidR="000F5DCF">
        <w:rPr>
          <w:rFonts w:ascii="Times New Roman" w:hAnsi="Times New Roman" w:cs="Times New Roman"/>
          <w:sz w:val="24"/>
          <w:szCs w:val="24"/>
        </w:rPr>
        <w:t xml:space="preserve"> The provision of this analysis is important evidence for the Minister, but does not preclude the commissioning of additional analysis or requests for further information that may be necessary for the Minister to become satisfied under this section. </w:t>
      </w:r>
    </w:p>
    <w:p w:rsidR="004A45D5" w:rsidRPr="00302C8F" w:rsidRDefault="00EF13DE" w:rsidP="00EF13DE">
      <w:pPr>
        <w:spacing w:before="240" w:after="240"/>
        <w:rPr>
          <w:rFonts w:ascii="Times New Roman" w:hAnsi="Times New Roman" w:cs="Times New Roman"/>
          <w:sz w:val="24"/>
          <w:szCs w:val="24"/>
        </w:rPr>
      </w:pPr>
      <w:r w:rsidRPr="00EF13DE">
        <w:rPr>
          <w:rFonts w:ascii="Times New Roman" w:hAnsi="Times New Roman" w:cs="Times New Roman"/>
          <w:sz w:val="24"/>
          <w:szCs w:val="24"/>
        </w:rPr>
        <w:t xml:space="preserve">If the </w:t>
      </w:r>
      <w:r w:rsidR="00034CA6">
        <w:rPr>
          <w:rFonts w:ascii="Times New Roman" w:hAnsi="Times New Roman" w:cs="Times New Roman"/>
          <w:sz w:val="24"/>
          <w:szCs w:val="24"/>
        </w:rPr>
        <w:t>Minister is satisfie</w:t>
      </w:r>
      <w:r w:rsidR="00624982">
        <w:rPr>
          <w:rFonts w:ascii="Times New Roman" w:hAnsi="Times New Roman" w:cs="Times New Roman"/>
          <w:sz w:val="24"/>
          <w:szCs w:val="24"/>
        </w:rPr>
        <w:t>d</w:t>
      </w:r>
      <w:r w:rsidR="00034CA6">
        <w:rPr>
          <w:rFonts w:ascii="Times New Roman" w:hAnsi="Times New Roman" w:cs="Times New Roman"/>
          <w:sz w:val="24"/>
          <w:szCs w:val="24"/>
        </w:rPr>
        <w:t xml:space="preserve"> of the </w:t>
      </w:r>
      <w:r w:rsidRPr="00EF13DE">
        <w:rPr>
          <w:rFonts w:ascii="Times New Roman" w:hAnsi="Times New Roman" w:cs="Times New Roman"/>
          <w:sz w:val="24"/>
          <w:szCs w:val="24"/>
        </w:rPr>
        <w:t>specified circumstances and impacts</w:t>
      </w:r>
      <w:r w:rsidR="00624982">
        <w:rPr>
          <w:rFonts w:ascii="Times New Roman" w:hAnsi="Times New Roman" w:cs="Times New Roman"/>
          <w:sz w:val="24"/>
          <w:szCs w:val="24"/>
        </w:rPr>
        <w:t>,</w:t>
      </w:r>
      <w:r w:rsidRPr="00EF13DE">
        <w:rPr>
          <w:rFonts w:ascii="Times New Roman" w:hAnsi="Times New Roman" w:cs="Times New Roman"/>
          <w:sz w:val="24"/>
          <w:szCs w:val="24"/>
        </w:rPr>
        <w:t xml:space="preserve"> no repayment will be required</w:t>
      </w:r>
      <w:r w:rsidR="00034CA6">
        <w:rPr>
          <w:rFonts w:ascii="Times New Roman" w:hAnsi="Times New Roman" w:cs="Times New Roman"/>
          <w:sz w:val="24"/>
          <w:szCs w:val="24"/>
        </w:rPr>
        <w:t xml:space="preserve"> under </w:t>
      </w:r>
      <w:r w:rsidR="000D53E3">
        <w:rPr>
          <w:rFonts w:ascii="Times New Roman" w:hAnsi="Times New Roman" w:cs="Times New Roman"/>
          <w:sz w:val="24"/>
          <w:szCs w:val="24"/>
        </w:rPr>
        <w:t>sub</w:t>
      </w:r>
      <w:r w:rsidR="00034CA6">
        <w:rPr>
          <w:rFonts w:ascii="Times New Roman" w:hAnsi="Times New Roman" w:cs="Times New Roman"/>
          <w:sz w:val="24"/>
          <w:szCs w:val="24"/>
        </w:rPr>
        <w:t>section 50(1) of the Act</w:t>
      </w:r>
      <w:r w:rsidRPr="00EF13DE">
        <w:rPr>
          <w:rFonts w:ascii="Times New Roman" w:hAnsi="Times New Roman" w:cs="Times New Roman"/>
          <w:sz w:val="24"/>
          <w:szCs w:val="24"/>
        </w:rPr>
        <w:t>.</w:t>
      </w:r>
      <w:r w:rsidR="00302C8F">
        <w:rPr>
          <w:rFonts w:ascii="Times New Roman" w:hAnsi="Times New Roman" w:cs="Times New Roman"/>
          <w:sz w:val="24"/>
          <w:szCs w:val="24"/>
        </w:rPr>
        <w:t xml:space="preserve"> This provision </w:t>
      </w:r>
      <w:r w:rsidR="00302C8F" w:rsidRPr="00302C8F">
        <w:rPr>
          <w:rFonts w:ascii="Times New Roman" w:hAnsi="Times New Roman" w:cs="Times New Roman"/>
          <w:sz w:val="24"/>
          <w:szCs w:val="24"/>
        </w:rPr>
        <w:t>ensures that the intent of the commitment period is upheld in all but extreme circumstances</w:t>
      </w:r>
      <w:r w:rsidR="006A7C1C">
        <w:rPr>
          <w:rFonts w:ascii="Times New Roman" w:hAnsi="Times New Roman" w:cs="Times New Roman"/>
          <w:sz w:val="24"/>
          <w:szCs w:val="24"/>
        </w:rPr>
        <w:t xml:space="preserve"> beyond the control of the refinery and its owners</w:t>
      </w:r>
      <w:r w:rsidR="00302C8F" w:rsidRPr="00302C8F">
        <w:rPr>
          <w:rFonts w:ascii="Times New Roman" w:hAnsi="Times New Roman" w:cs="Times New Roman"/>
          <w:sz w:val="24"/>
          <w:szCs w:val="24"/>
        </w:rPr>
        <w:t>.</w:t>
      </w:r>
    </w:p>
    <w:p w:rsidR="004B0339"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Force majeure events are defined in subsection </w:t>
      </w:r>
      <w:r w:rsidR="00527B3B">
        <w:rPr>
          <w:rFonts w:ascii="Times New Roman" w:hAnsi="Times New Roman" w:cs="Times New Roman"/>
          <w:sz w:val="24"/>
          <w:szCs w:val="24"/>
        </w:rPr>
        <w:t>20</w:t>
      </w:r>
      <w:r>
        <w:rPr>
          <w:rFonts w:ascii="Times New Roman" w:hAnsi="Times New Roman" w:cs="Times New Roman"/>
          <w:sz w:val="24"/>
          <w:szCs w:val="24"/>
        </w:rPr>
        <w:t>(3)</w:t>
      </w:r>
      <w:r w:rsidR="00527B3B">
        <w:rPr>
          <w:rFonts w:ascii="Times New Roman" w:hAnsi="Times New Roman" w:cs="Times New Roman"/>
          <w:sz w:val="24"/>
          <w:szCs w:val="24"/>
        </w:rPr>
        <w:t xml:space="preserve"> of the Rule</w:t>
      </w:r>
      <w:r>
        <w:rPr>
          <w:rFonts w:ascii="Times New Roman" w:hAnsi="Times New Roman" w:cs="Times New Roman"/>
          <w:sz w:val="24"/>
          <w:szCs w:val="24"/>
        </w:rPr>
        <w:t xml:space="preserve"> </w:t>
      </w:r>
      <w:r w:rsidR="00114505">
        <w:rPr>
          <w:rFonts w:ascii="Times New Roman" w:hAnsi="Times New Roman" w:cs="Times New Roman"/>
          <w:sz w:val="24"/>
          <w:szCs w:val="24"/>
        </w:rPr>
        <w:t xml:space="preserve">in </w:t>
      </w:r>
      <w:r>
        <w:rPr>
          <w:rFonts w:ascii="Times New Roman" w:hAnsi="Times New Roman" w:cs="Times New Roman"/>
          <w:sz w:val="24"/>
          <w:szCs w:val="24"/>
        </w:rPr>
        <w:t xml:space="preserve">similar </w:t>
      </w:r>
      <w:r w:rsidR="00114505">
        <w:rPr>
          <w:rFonts w:ascii="Times New Roman" w:hAnsi="Times New Roman" w:cs="Times New Roman"/>
          <w:sz w:val="24"/>
          <w:szCs w:val="24"/>
        </w:rPr>
        <w:t xml:space="preserve">terms </w:t>
      </w:r>
      <w:r>
        <w:rPr>
          <w:rFonts w:ascii="Times New Roman" w:hAnsi="Times New Roman" w:cs="Times New Roman"/>
          <w:sz w:val="24"/>
          <w:szCs w:val="24"/>
        </w:rPr>
        <w:t>to the commercial concept of force majeure</w:t>
      </w:r>
      <w:r w:rsidR="00114505">
        <w:rPr>
          <w:rFonts w:ascii="Times New Roman" w:hAnsi="Times New Roman" w:cs="Times New Roman"/>
          <w:sz w:val="24"/>
          <w:szCs w:val="24"/>
        </w:rPr>
        <w:t xml:space="preserve"> (e.g. natural disasters, war, epidemic, etc)</w:t>
      </w:r>
      <w:r>
        <w:rPr>
          <w:rFonts w:ascii="Times New Roman" w:hAnsi="Times New Roman" w:cs="Times New Roman"/>
          <w:sz w:val="24"/>
          <w:szCs w:val="24"/>
        </w:rPr>
        <w:t>, but it is important that the event results in (</w:t>
      </w:r>
      <w:r w:rsidR="00052AC2">
        <w:rPr>
          <w:rFonts w:ascii="Times New Roman" w:hAnsi="Times New Roman" w:cs="Times New Roman"/>
          <w:sz w:val="24"/>
          <w:szCs w:val="24"/>
        </w:rPr>
        <w:t>i.e.</w:t>
      </w:r>
      <w:r>
        <w:rPr>
          <w:rFonts w:ascii="Times New Roman" w:hAnsi="Times New Roman" w:cs="Times New Roman"/>
          <w:sz w:val="24"/>
          <w:szCs w:val="24"/>
        </w:rPr>
        <w:t xml:space="preserve"> causes) the operational or commercial unviability</w:t>
      </w:r>
      <w:r w:rsidR="00114505">
        <w:rPr>
          <w:rFonts w:ascii="Times New Roman" w:hAnsi="Times New Roman" w:cs="Times New Roman"/>
          <w:sz w:val="24"/>
          <w:szCs w:val="24"/>
        </w:rPr>
        <w:t xml:space="preserve"> of the committed refinery</w:t>
      </w:r>
      <w:r>
        <w:rPr>
          <w:rFonts w:ascii="Times New Roman" w:hAnsi="Times New Roman" w:cs="Times New Roman"/>
          <w:sz w:val="24"/>
          <w:szCs w:val="24"/>
        </w:rPr>
        <w:t xml:space="preserve">, rather than </w:t>
      </w:r>
      <w:r w:rsidR="00114505">
        <w:rPr>
          <w:rFonts w:ascii="Times New Roman" w:hAnsi="Times New Roman" w:cs="Times New Roman"/>
          <w:sz w:val="24"/>
          <w:szCs w:val="24"/>
        </w:rPr>
        <w:t>merely</w:t>
      </w:r>
      <w:r>
        <w:rPr>
          <w:rFonts w:ascii="Times New Roman" w:hAnsi="Times New Roman" w:cs="Times New Roman"/>
          <w:sz w:val="24"/>
          <w:szCs w:val="24"/>
        </w:rPr>
        <w:t xml:space="preserve"> correlat</w:t>
      </w:r>
      <w:r w:rsidR="00114505">
        <w:rPr>
          <w:rFonts w:ascii="Times New Roman" w:hAnsi="Times New Roman" w:cs="Times New Roman"/>
          <w:sz w:val="24"/>
          <w:szCs w:val="24"/>
        </w:rPr>
        <w:t>ing</w:t>
      </w:r>
      <w:r>
        <w:rPr>
          <w:rFonts w:ascii="Times New Roman" w:hAnsi="Times New Roman" w:cs="Times New Roman"/>
          <w:sz w:val="24"/>
          <w:szCs w:val="24"/>
        </w:rPr>
        <w:t xml:space="preserve"> with that situation. Paragraph </w:t>
      </w:r>
      <w:r w:rsidR="00527B3B">
        <w:rPr>
          <w:rFonts w:ascii="Times New Roman" w:hAnsi="Times New Roman" w:cs="Times New Roman"/>
          <w:sz w:val="24"/>
          <w:szCs w:val="24"/>
        </w:rPr>
        <w:t>20</w:t>
      </w:r>
      <w:r>
        <w:rPr>
          <w:rFonts w:ascii="Times New Roman" w:hAnsi="Times New Roman" w:cs="Times New Roman"/>
          <w:sz w:val="24"/>
          <w:szCs w:val="24"/>
        </w:rPr>
        <w:t>(3)(i) includes other similar events not already defined in the other paragraphs.</w:t>
      </w:r>
    </w:p>
    <w:p w:rsidR="006F4D4E"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The material adverse change </w:t>
      </w:r>
      <w:r w:rsidR="006F4D4E">
        <w:rPr>
          <w:rFonts w:ascii="Times New Roman" w:hAnsi="Times New Roman" w:cs="Times New Roman"/>
          <w:sz w:val="24"/>
          <w:szCs w:val="24"/>
        </w:rPr>
        <w:t>circumstances</w:t>
      </w:r>
      <w:r>
        <w:rPr>
          <w:rFonts w:ascii="Times New Roman" w:hAnsi="Times New Roman" w:cs="Times New Roman"/>
          <w:sz w:val="24"/>
          <w:szCs w:val="24"/>
        </w:rPr>
        <w:t xml:space="preserve"> </w:t>
      </w:r>
      <w:r w:rsidR="00114505">
        <w:rPr>
          <w:rFonts w:ascii="Times New Roman" w:hAnsi="Times New Roman" w:cs="Times New Roman"/>
          <w:sz w:val="24"/>
          <w:szCs w:val="24"/>
        </w:rPr>
        <w:t xml:space="preserve">are specified under subsection 20(5) of the Rule, and </w:t>
      </w:r>
      <w:r>
        <w:rPr>
          <w:rFonts w:ascii="Times New Roman" w:hAnsi="Times New Roman" w:cs="Times New Roman"/>
          <w:sz w:val="24"/>
          <w:szCs w:val="24"/>
        </w:rPr>
        <w:t xml:space="preserve">include a range of possible </w:t>
      </w:r>
      <w:r w:rsidR="006F4D4E">
        <w:rPr>
          <w:rFonts w:ascii="Times New Roman" w:hAnsi="Times New Roman" w:cs="Times New Roman"/>
          <w:sz w:val="24"/>
          <w:szCs w:val="24"/>
        </w:rPr>
        <w:t>circumstances</w:t>
      </w:r>
      <w:r>
        <w:rPr>
          <w:rFonts w:ascii="Times New Roman" w:hAnsi="Times New Roman" w:cs="Times New Roman"/>
          <w:sz w:val="24"/>
          <w:szCs w:val="24"/>
        </w:rPr>
        <w:t xml:space="preserve"> that could undermine</w:t>
      </w:r>
      <w:r w:rsidR="006A7C1C">
        <w:rPr>
          <w:rFonts w:ascii="Times New Roman" w:hAnsi="Times New Roman" w:cs="Times New Roman"/>
          <w:sz w:val="24"/>
          <w:szCs w:val="24"/>
        </w:rPr>
        <w:t>, or have already undermined,</w:t>
      </w:r>
      <w:r>
        <w:rPr>
          <w:rFonts w:ascii="Times New Roman" w:hAnsi="Times New Roman" w:cs="Times New Roman"/>
          <w:sz w:val="24"/>
          <w:szCs w:val="24"/>
        </w:rPr>
        <w:t xml:space="preserve"> the commercial viability of the refinery. </w:t>
      </w:r>
    </w:p>
    <w:p w:rsidR="006F4D4E"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Paragraphs </w:t>
      </w:r>
      <w:r w:rsidR="00471AF3">
        <w:rPr>
          <w:rFonts w:ascii="Times New Roman" w:hAnsi="Times New Roman" w:cs="Times New Roman"/>
          <w:sz w:val="24"/>
          <w:szCs w:val="24"/>
        </w:rPr>
        <w:t>20</w:t>
      </w:r>
      <w:r>
        <w:rPr>
          <w:rFonts w:ascii="Times New Roman" w:hAnsi="Times New Roman" w:cs="Times New Roman"/>
          <w:sz w:val="24"/>
          <w:szCs w:val="24"/>
        </w:rPr>
        <w:t xml:space="preserve">(5)(a) and (b) </w:t>
      </w:r>
      <w:r w:rsidR="00471AF3">
        <w:rPr>
          <w:rFonts w:ascii="Times New Roman" w:hAnsi="Times New Roman" w:cs="Times New Roman"/>
          <w:sz w:val="24"/>
          <w:szCs w:val="24"/>
        </w:rPr>
        <w:t xml:space="preserve">of the Rule </w:t>
      </w:r>
      <w:r>
        <w:rPr>
          <w:rFonts w:ascii="Times New Roman" w:hAnsi="Times New Roman" w:cs="Times New Roman"/>
          <w:sz w:val="24"/>
          <w:szCs w:val="24"/>
        </w:rPr>
        <w:t xml:space="preserve">are evidence of the commercial unviability of the refinery despite the payment of </w:t>
      </w:r>
      <w:r w:rsidR="006F4D4E">
        <w:rPr>
          <w:rFonts w:ascii="Times New Roman" w:hAnsi="Times New Roman" w:cs="Times New Roman"/>
          <w:sz w:val="24"/>
          <w:szCs w:val="24"/>
        </w:rPr>
        <w:t xml:space="preserve">the </w:t>
      </w:r>
      <w:r>
        <w:rPr>
          <w:rFonts w:ascii="Times New Roman" w:hAnsi="Times New Roman" w:cs="Times New Roman"/>
          <w:sz w:val="24"/>
          <w:szCs w:val="24"/>
        </w:rPr>
        <w:t xml:space="preserve">FSSP and other support provided by the Australian Government. It is important that the Minister is able to determine these matters objectively, with reference to relevant analysis and information. In particular, the margins and losses need to be considered appropriately, without any artificial accounting treatments which would allow the circumstances to be met in situations when the refinery was commercially viable. </w:t>
      </w:r>
    </w:p>
    <w:p w:rsidR="006F4D4E"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w:t>
      </w:r>
      <w:r w:rsidR="00471AF3">
        <w:rPr>
          <w:rFonts w:ascii="Times New Roman" w:hAnsi="Times New Roman" w:cs="Times New Roman"/>
          <w:sz w:val="24"/>
          <w:szCs w:val="24"/>
        </w:rPr>
        <w:t>20</w:t>
      </w:r>
      <w:r>
        <w:rPr>
          <w:rFonts w:ascii="Times New Roman" w:hAnsi="Times New Roman" w:cs="Times New Roman"/>
          <w:sz w:val="24"/>
          <w:szCs w:val="24"/>
        </w:rPr>
        <w:t xml:space="preserve">(5)(c) </w:t>
      </w:r>
      <w:r w:rsidR="00896CC6">
        <w:rPr>
          <w:rFonts w:ascii="Times New Roman" w:hAnsi="Times New Roman" w:cs="Times New Roman"/>
          <w:sz w:val="24"/>
          <w:szCs w:val="24"/>
        </w:rPr>
        <w:t xml:space="preserve">of the Rule </w:t>
      </w:r>
      <w:r>
        <w:rPr>
          <w:rFonts w:ascii="Times New Roman" w:hAnsi="Times New Roman" w:cs="Times New Roman"/>
          <w:sz w:val="24"/>
          <w:szCs w:val="24"/>
        </w:rPr>
        <w:t>allows for significant regulatory changes from all levels of Government to be taken into account where they cause commercial unviability</w:t>
      </w:r>
      <w:r w:rsidR="0057345C">
        <w:rPr>
          <w:rFonts w:ascii="Times New Roman" w:hAnsi="Times New Roman" w:cs="Times New Roman"/>
          <w:sz w:val="24"/>
          <w:szCs w:val="24"/>
        </w:rPr>
        <w:t xml:space="preserve"> (but not announced changes to fuel quality standards)</w:t>
      </w:r>
      <w:r>
        <w:rPr>
          <w:rFonts w:ascii="Times New Roman" w:hAnsi="Times New Roman" w:cs="Times New Roman"/>
          <w:sz w:val="24"/>
          <w:szCs w:val="24"/>
        </w:rPr>
        <w:t xml:space="preserve">. </w:t>
      </w:r>
      <w:r w:rsidR="0002534E">
        <w:rPr>
          <w:rFonts w:ascii="Times New Roman" w:hAnsi="Times New Roman" w:cs="Times New Roman"/>
          <w:sz w:val="24"/>
          <w:szCs w:val="24"/>
        </w:rPr>
        <w:t>It</w:t>
      </w:r>
      <w:r w:rsidR="0002534E" w:rsidRPr="0002534E">
        <w:rPr>
          <w:rFonts w:ascii="Times New Roman" w:hAnsi="Times New Roman" w:cs="Times New Roman"/>
          <w:sz w:val="24"/>
          <w:szCs w:val="24"/>
        </w:rPr>
        <w:t xml:space="preserve"> is importa</w:t>
      </w:r>
      <w:r w:rsidR="0002534E">
        <w:rPr>
          <w:rFonts w:ascii="Times New Roman" w:hAnsi="Times New Roman" w:cs="Times New Roman"/>
          <w:sz w:val="24"/>
          <w:szCs w:val="24"/>
        </w:rPr>
        <w:t>nt that the event results in (</w:t>
      </w:r>
      <w:r w:rsidR="0002534E" w:rsidRPr="0002534E">
        <w:rPr>
          <w:rFonts w:ascii="Times New Roman" w:hAnsi="Times New Roman" w:cs="Times New Roman"/>
          <w:sz w:val="24"/>
          <w:szCs w:val="24"/>
        </w:rPr>
        <w:t>i.e. causes) the commercial unviability of the committed refinery, rather than merely</w:t>
      </w:r>
      <w:r w:rsidR="0002534E">
        <w:rPr>
          <w:rFonts w:ascii="Times New Roman" w:hAnsi="Times New Roman" w:cs="Times New Roman"/>
          <w:sz w:val="24"/>
          <w:szCs w:val="24"/>
        </w:rPr>
        <w:t xml:space="preserve"> </w:t>
      </w:r>
      <w:r w:rsidR="0002534E" w:rsidRPr="0002534E">
        <w:rPr>
          <w:rFonts w:ascii="Times New Roman" w:hAnsi="Times New Roman" w:cs="Times New Roman"/>
          <w:sz w:val="24"/>
          <w:szCs w:val="24"/>
        </w:rPr>
        <w:t xml:space="preserve">correlating with that situation </w:t>
      </w:r>
      <w:r w:rsidR="0002534E">
        <w:rPr>
          <w:rFonts w:ascii="Times New Roman" w:hAnsi="Times New Roman" w:cs="Times New Roman"/>
          <w:sz w:val="24"/>
          <w:szCs w:val="24"/>
        </w:rPr>
        <w:t>(subsection 20(6) of the Rule).</w:t>
      </w:r>
      <w:r w:rsidR="00CB3048">
        <w:rPr>
          <w:rFonts w:ascii="Times New Roman" w:hAnsi="Times New Roman" w:cs="Times New Roman"/>
          <w:sz w:val="24"/>
          <w:szCs w:val="24"/>
        </w:rPr>
        <w:t xml:space="preserve"> Refineries are expected to meet relevant regulatory changes efficiently and in a least cost way.</w:t>
      </w:r>
    </w:p>
    <w:p w:rsidR="006F4D4E"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Paragraph </w:t>
      </w:r>
      <w:r w:rsidR="00471AF3">
        <w:rPr>
          <w:rFonts w:ascii="Times New Roman" w:hAnsi="Times New Roman" w:cs="Times New Roman"/>
          <w:sz w:val="24"/>
          <w:szCs w:val="24"/>
        </w:rPr>
        <w:t>20</w:t>
      </w:r>
      <w:r>
        <w:rPr>
          <w:rFonts w:ascii="Times New Roman" w:hAnsi="Times New Roman" w:cs="Times New Roman"/>
          <w:sz w:val="24"/>
          <w:szCs w:val="24"/>
        </w:rPr>
        <w:t>(5)(d)</w:t>
      </w:r>
      <w:r w:rsidR="00896CC6">
        <w:rPr>
          <w:rFonts w:ascii="Times New Roman" w:hAnsi="Times New Roman" w:cs="Times New Roman"/>
          <w:sz w:val="24"/>
          <w:szCs w:val="24"/>
        </w:rPr>
        <w:t xml:space="preserve"> of the Rule</w:t>
      </w:r>
      <w:r>
        <w:rPr>
          <w:rFonts w:ascii="Times New Roman" w:hAnsi="Times New Roman" w:cs="Times New Roman"/>
          <w:sz w:val="24"/>
          <w:szCs w:val="24"/>
        </w:rPr>
        <w:t xml:space="preserve"> deals with workplace relations issues relating to viability, but only where all of the requirements of the </w:t>
      </w:r>
      <w:r w:rsidRPr="004B0339">
        <w:rPr>
          <w:rFonts w:ascii="Times New Roman" w:hAnsi="Times New Roman" w:cs="Times New Roman"/>
          <w:i/>
          <w:sz w:val="24"/>
          <w:szCs w:val="24"/>
        </w:rPr>
        <w:t>Fair Work Act 2009</w:t>
      </w:r>
      <w:r>
        <w:rPr>
          <w:rFonts w:ascii="Times New Roman" w:hAnsi="Times New Roman" w:cs="Times New Roman"/>
          <w:sz w:val="24"/>
          <w:szCs w:val="24"/>
        </w:rPr>
        <w:t xml:space="preserve"> are complied with, including good faith bargaining requirements. </w:t>
      </w:r>
    </w:p>
    <w:p w:rsidR="004B0339" w:rsidRDefault="004B0339"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w:t>
      </w:r>
      <w:r w:rsidR="00471AF3">
        <w:rPr>
          <w:rFonts w:ascii="Times New Roman" w:hAnsi="Times New Roman" w:cs="Times New Roman"/>
          <w:sz w:val="24"/>
          <w:szCs w:val="24"/>
        </w:rPr>
        <w:t>20</w:t>
      </w:r>
      <w:r>
        <w:rPr>
          <w:rFonts w:ascii="Times New Roman" w:hAnsi="Times New Roman" w:cs="Times New Roman"/>
          <w:sz w:val="24"/>
          <w:szCs w:val="24"/>
        </w:rPr>
        <w:t xml:space="preserve">(5)(e) </w:t>
      </w:r>
      <w:r w:rsidR="00896CC6">
        <w:rPr>
          <w:rFonts w:ascii="Times New Roman" w:hAnsi="Times New Roman" w:cs="Times New Roman"/>
          <w:sz w:val="24"/>
          <w:szCs w:val="24"/>
        </w:rPr>
        <w:t xml:space="preserve">of the Rule </w:t>
      </w:r>
      <w:r>
        <w:rPr>
          <w:rFonts w:ascii="Times New Roman" w:hAnsi="Times New Roman" w:cs="Times New Roman"/>
          <w:sz w:val="24"/>
          <w:szCs w:val="24"/>
        </w:rPr>
        <w:t xml:space="preserve">concerns the </w:t>
      </w:r>
      <w:r w:rsidR="006A7C1C">
        <w:rPr>
          <w:rFonts w:ascii="Times New Roman" w:hAnsi="Times New Roman" w:cs="Times New Roman"/>
          <w:sz w:val="24"/>
          <w:szCs w:val="24"/>
        </w:rPr>
        <w:t>removal</w:t>
      </w:r>
      <w:r>
        <w:rPr>
          <w:rFonts w:ascii="Times New Roman" w:hAnsi="Times New Roman" w:cs="Times New Roman"/>
          <w:sz w:val="24"/>
          <w:szCs w:val="24"/>
        </w:rPr>
        <w:t xml:space="preserve"> of the FSSP</w:t>
      </w:r>
      <w:r w:rsidR="008A1025">
        <w:rPr>
          <w:rFonts w:ascii="Times New Roman" w:hAnsi="Times New Roman" w:cs="Times New Roman"/>
          <w:sz w:val="24"/>
          <w:szCs w:val="24"/>
        </w:rPr>
        <w:t xml:space="preserve"> as a result of</w:t>
      </w:r>
      <w:r w:rsidR="0002534E">
        <w:rPr>
          <w:rFonts w:ascii="Times New Roman" w:hAnsi="Times New Roman" w:cs="Times New Roman"/>
          <w:sz w:val="24"/>
          <w:szCs w:val="24"/>
        </w:rPr>
        <w:t xml:space="preserve"> legislative amendment</w:t>
      </w:r>
      <w:r w:rsidR="006A7C1C">
        <w:rPr>
          <w:rFonts w:ascii="Times New Roman" w:hAnsi="Times New Roman" w:cs="Times New Roman"/>
          <w:sz w:val="24"/>
          <w:szCs w:val="24"/>
        </w:rPr>
        <w:t xml:space="preserve"> and paragraph 20(5)(f) covers a significant material reduction in the level of FSSP by amendment to the Act or Rule which leads to a decision to close the refinery</w:t>
      </w:r>
      <w:r>
        <w:rPr>
          <w:rFonts w:ascii="Times New Roman" w:hAnsi="Times New Roman" w:cs="Times New Roman"/>
          <w:sz w:val="24"/>
          <w:szCs w:val="24"/>
        </w:rPr>
        <w:t>.</w:t>
      </w:r>
    </w:p>
    <w:p w:rsidR="00373B46" w:rsidRPr="00302C8F" w:rsidRDefault="00373B46"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471AF3">
        <w:rPr>
          <w:rFonts w:ascii="Times New Roman" w:hAnsi="Times New Roman" w:cs="Times New Roman"/>
          <w:sz w:val="24"/>
          <w:szCs w:val="24"/>
        </w:rPr>
        <w:t>20</w:t>
      </w:r>
      <w:r>
        <w:rPr>
          <w:rFonts w:ascii="Times New Roman" w:hAnsi="Times New Roman" w:cs="Times New Roman"/>
          <w:sz w:val="24"/>
          <w:szCs w:val="24"/>
        </w:rPr>
        <w:t xml:space="preserve">(7) </w:t>
      </w:r>
      <w:r w:rsidR="00471AF3">
        <w:rPr>
          <w:rFonts w:ascii="Times New Roman" w:hAnsi="Times New Roman" w:cs="Times New Roman"/>
          <w:sz w:val="24"/>
          <w:szCs w:val="24"/>
        </w:rPr>
        <w:t xml:space="preserve">of the Rule </w:t>
      </w:r>
      <w:r>
        <w:rPr>
          <w:rFonts w:ascii="Times New Roman" w:hAnsi="Times New Roman" w:cs="Times New Roman"/>
          <w:sz w:val="24"/>
          <w:szCs w:val="24"/>
        </w:rPr>
        <w:t>further defines commercial unviability</w:t>
      </w:r>
      <w:r w:rsidR="000D53E3">
        <w:rPr>
          <w:rFonts w:ascii="Times New Roman" w:hAnsi="Times New Roman" w:cs="Times New Roman"/>
          <w:sz w:val="24"/>
          <w:szCs w:val="24"/>
        </w:rPr>
        <w:t>,</w:t>
      </w:r>
      <w:r>
        <w:rPr>
          <w:rFonts w:ascii="Times New Roman" w:hAnsi="Times New Roman" w:cs="Times New Roman"/>
          <w:sz w:val="24"/>
          <w:szCs w:val="24"/>
        </w:rPr>
        <w:t xml:space="preserve"> and subsection </w:t>
      </w:r>
      <w:r w:rsidR="000D53E3">
        <w:rPr>
          <w:rFonts w:ascii="Times New Roman" w:hAnsi="Times New Roman" w:cs="Times New Roman"/>
          <w:sz w:val="24"/>
          <w:szCs w:val="24"/>
        </w:rPr>
        <w:t>20</w:t>
      </w:r>
      <w:r>
        <w:rPr>
          <w:rFonts w:ascii="Times New Roman" w:hAnsi="Times New Roman" w:cs="Times New Roman"/>
          <w:sz w:val="24"/>
          <w:szCs w:val="24"/>
        </w:rPr>
        <w:t>(</w:t>
      </w:r>
      <w:r w:rsidR="004F70DA">
        <w:rPr>
          <w:rFonts w:ascii="Times New Roman" w:hAnsi="Times New Roman" w:cs="Times New Roman"/>
          <w:sz w:val="24"/>
          <w:szCs w:val="24"/>
        </w:rPr>
        <w:t>9</w:t>
      </w:r>
      <w:r>
        <w:rPr>
          <w:rFonts w:ascii="Times New Roman" w:hAnsi="Times New Roman" w:cs="Times New Roman"/>
          <w:sz w:val="24"/>
          <w:szCs w:val="24"/>
        </w:rPr>
        <w:t xml:space="preserve">) </w:t>
      </w:r>
      <w:r w:rsidR="000D53E3">
        <w:rPr>
          <w:rFonts w:ascii="Times New Roman" w:hAnsi="Times New Roman" w:cs="Times New Roman"/>
          <w:sz w:val="24"/>
          <w:szCs w:val="24"/>
        </w:rPr>
        <w:t xml:space="preserve">of the Rule </w:t>
      </w:r>
      <w:r>
        <w:rPr>
          <w:rFonts w:ascii="Times New Roman" w:hAnsi="Times New Roman" w:cs="Times New Roman"/>
          <w:sz w:val="24"/>
          <w:szCs w:val="24"/>
        </w:rPr>
        <w:t xml:space="preserve">defines operational unviability (which is intended to capture when operationally it is not possible to continue refining). </w:t>
      </w:r>
    </w:p>
    <w:p w:rsidR="00373B46" w:rsidRDefault="00373B46"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w:t>
      </w:r>
      <w:r w:rsidR="00471AF3">
        <w:rPr>
          <w:rFonts w:ascii="Times New Roman" w:hAnsi="Times New Roman" w:cs="Times New Roman"/>
          <w:sz w:val="24"/>
          <w:szCs w:val="24"/>
        </w:rPr>
        <w:t>20</w:t>
      </w:r>
      <w:r>
        <w:rPr>
          <w:rFonts w:ascii="Times New Roman" w:hAnsi="Times New Roman" w:cs="Times New Roman"/>
          <w:sz w:val="24"/>
          <w:szCs w:val="24"/>
        </w:rPr>
        <w:t>(</w:t>
      </w:r>
      <w:r w:rsidR="004F70DA">
        <w:rPr>
          <w:rFonts w:ascii="Times New Roman" w:hAnsi="Times New Roman" w:cs="Times New Roman"/>
          <w:sz w:val="24"/>
          <w:szCs w:val="24"/>
        </w:rPr>
        <w:t>10</w:t>
      </w:r>
      <w:r>
        <w:rPr>
          <w:rFonts w:ascii="Times New Roman" w:hAnsi="Times New Roman" w:cs="Times New Roman"/>
          <w:sz w:val="24"/>
          <w:szCs w:val="24"/>
        </w:rPr>
        <w:t>)</w:t>
      </w:r>
      <w:r w:rsidR="00471AF3">
        <w:rPr>
          <w:rFonts w:ascii="Times New Roman" w:hAnsi="Times New Roman" w:cs="Times New Roman"/>
          <w:sz w:val="24"/>
          <w:szCs w:val="24"/>
        </w:rPr>
        <w:t xml:space="preserve"> of the Rule</w:t>
      </w:r>
      <w:r>
        <w:rPr>
          <w:rFonts w:ascii="Times New Roman" w:hAnsi="Times New Roman" w:cs="Times New Roman"/>
          <w:sz w:val="24"/>
          <w:szCs w:val="24"/>
        </w:rPr>
        <w:t xml:space="preserve"> ensure</w:t>
      </w:r>
      <w:r w:rsidR="00471AF3">
        <w:rPr>
          <w:rFonts w:ascii="Times New Roman" w:hAnsi="Times New Roman" w:cs="Times New Roman"/>
          <w:sz w:val="24"/>
          <w:szCs w:val="24"/>
        </w:rPr>
        <w:t>s</w:t>
      </w:r>
      <w:r>
        <w:rPr>
          <w:rFonts w:ascii="Times New Roman" w:hAnsi="Times New Roman" w:cs="Times New Roman"/>
          <w:sz w:val="24"/>
          <w:szCs w:val="24"/>
        </w:rPr>
        <w:t xml:space="preserve"> that the independent analysis is robust, expert and proportionate to the issues that need to be addressed. For example, an event that destroyed the entire refinery would need less analysis than the breakdown on a key piece of equipment.</w:t>
      </w:r>
    </w:p>
    <w:p w:rsidR="000F5DCF" w:rsidRPr="00302C8F" w:rsidRDefault="000F5DCF"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Review of the Minister’s decision is available through the process of varying or terminating a commitment period based on the application of this section (see </w:t>
      </w:r>
      <w:r w:rsidR="004A209C">
        <w:rPr>
          <w:rFonts w:ascii="Times New Roman" w:hAnsi="Times New Roman" w:cs="Times New Roman"/>
          <w:sz w:val="24"/>
          <w:szCs w:val="24"/>
        </w:rPr>
        <w:t>explanatory note</w:t>
      </w:r>
      <w:r w:rsidR="00471AF3">
        <w:rPr>
          <w:rFonts w:ascii="Times New Roman" w:hAnsi="Times New Roman" w:cs="Times New Roman"/>
          <w:sz w:val="24"/>
          <w:szCs w:val="24"/>
        </w:rPr>
        <w:t xml:space="preserve"> regarding </w:t>
      </w:r>
      <w:r>
        <w:rPr>
          <w:rFonts w:ascii="Times New Roman" w:hAnsi="Times New Roman" w:cs="Times New Roman"/>
          <w:sz w:val="24"/>
          <w:szCs w:val="24"/>
        </w:rPr>
        <w:t xml:space="preserve">section 10 </w:t>
      </w:r>
      <w:r w:rsidR="00471AF3">
        <w:rPr>
          <w:rFonts w:ascii="Times New Roman" w:hAnsi="Times New Roman" w:cs="Times New Roman"/>
          <w:sz w:val="24"/>
          <w:szCs w:val="24"/>
        </w:rPr>
        <w:t>of the Rule</w:t>
      </w:r>
      <w:r w:rsidR="004A209C">
        <w:rPr>
          <w:rFonts w:ascii="Times New Roman" w:hAnsi="Times New Roman" w:cs="Times New Roman"/>
          <w:sz w:val="24"/>
          <w:szCs w:val="24"/>
        </w:rPr>
        <w:t xml:space="preserve"> </w:t>
      </w:r>
      <w:r>
        <w:rPr>
          <w:rFonts w:ascii="Times New Roman" w:hAnsi="Times New Roman" w:cs="Times New Roman"/>
          <w:sz w:val="24"/>
          <w:szCs w:val="24"/>
        </w:rPr>
        <w:t xml:space="preserve">above). </w:t>
      </w:r>
    </w:p>
    <w:p w:rsidR="00C22158" w:rsidRDefault="00055A5A"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21</w:t>
      </w:r>
      <w:r w:rsidR="00C22158" w:rsidRPr="00366EF0">
        <w:rPr>
          <w:rFonts w:ascii="Times New Roman" w:hAnsi="Times New Roman" w:cs="Times New Roman"/>
          <w:b/>
          <w:sz w:val="24"/>
          <w:szCs w:val="24"/>
        </w:rPr>
        <w:t xml:space="preserve"> –</w:t>
      </w:r>
      <w:r w:rsidR="00C22158" w:rsidRPr="00C22158">
        <w:rPr>
          <w:rFonts w:ascii="Times New Roman" w:hAnsi="Times New Roman" w:cs="Times New Roman"/>
          <w:b/>
          <w:sz w:val="24"/>
          <w:szCs w:val="24"/>
        </w:rPr>
        <w:t xml:space="preserve"> Partial repayment circumstances</w:t>
      </w:r>
    </w:p>
    <w:p w:rsidR="00F97921" w:rsidRDefault="00F97921"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for the purpose of </w:t>
      </w:r>
      <w:r w:rsidRPr="00F97921">
        <w:rPr>
          <w:rFonts w:ascii="Times New Roman" w:hAnsi="Times New Roman" w:cs="Times New Roman"/>
          <w:sz w:val="24"/>
          <w:szCs w:val="24"/>
        </w:rPr>
        <w:t>subsection 51(2) of the Act</w:t>
      </w:r>
      <w:r>
        <w:rPr>
          <w:rFonts w:ascii="Times New Roman" w:hAnsi="Times New Roman" w:cs="Times New Roman"/>
          <w:sz w:val="24"/>
          <w:szCs w:val="24"/>
        </w:rPr>
        <w:t xml:space="preserve">, the </w:t>
      </w:r>
      <w:r w:rsidRPr="00F97921">
        <w:rPr>
          <w:rFonts w:ascii="Times New Roman" w:hAnsi="Times New Roman" w:cs="Times New Roman"/>
          <w:sz w:val="24"/>
          <w:szCs w:val="24"/>
        </w:rPr>
        <w:t>circumstances</w:t>
      </w:r>
      <w:r>
        <w:rPr>
          <w:rFonts w:ascii="Times New Roman" w:hAnsi="Times New Roman" w:cs="Times New Roman"/>
          <w:sz w:val="24"/>
          <w:szCs w:val="24"/>
        </w:rPr>
        <w:t xml:space="preserve"> in which</w:t>
      </w:r>
      <w:r w:rsidRPr="00F97921">
        <w:rPr>
          <w:rFonts w:ascii="Times New Roman" w:hAnsi="Times New Roman" w:cs="Times New Roman"/>
          <w:sz w:val="24"/>
          <w:szCs w:val="24"/>
        </w:rPr>
        <w:t xml:space="preserve"> less than the total amount</w:t>
      </w:r>
      <w:r>
        <w:rPr>
          <w:rFonts w:ascii="Times New Roman" w:hAnsi="Times New Roman" w:cs="Times New Roman"/>
          <w:sz w:val="24"/>
          <w:szCs w:val="24"/>
        </w:rPr>
        <w:t xml:space="preserve"> of the FSSP</w:t>
      </w:r>
      <w:r w:rsidRPr="00F97921">
        <w:t xml:space="preserve"> </w:t>
      </w:r>
      <w:r w:rsidRPr="00F97921">
        <w:rPr>
          <w:rFonts w:ascii="Times New Roman" w:hAnsi="Times New Roman" w:cs="Times New Roman"/>
          <w:sz w:val="24"/>
          <w:szCs w:val="24"/>
        </w:rPr>
        <w:t xml:space="preserve">paid to </w:t>
      </w:r>
      <w:r>
        <w:rPr>
          <w:rFonts w:ascii="Times New Roman" w:hAnsi="Times New Roman" w:cs="Times New Roman"/>
          <w:sz w:val="24"/>
          <w:szCs w:val="24"/>
        </w:rPr>
        <w:t>a refinery operator</w:t>
      </w:r>
      <w:r w:rsidRPr="00F97921">
        <w:rPr>
          <w:rFonts w:ascii="Times New Roman" w:hAnsi="Times New Roman" w:cs="Times New Roman"/>
          <w:sz w:val="24"/>
          <w:szCs w:val="24"/>
        </w:rPr>
        <w:t xml:space="preserve"> </w:t>
      </w:r>
      <w:r>
        <w:rPr>
          <w:rFonts w:ascii="Times New Roman" w:hAnsi="Times New Roman" w:cs="Times New Roman"/>
          <w:sz w:val="24"/>
          <w:szCs w:val="24"/>
        </w:rPr>
        <w:t xml:space="preserve">throughout their commitment period is repayable under </w:t>
      </w:r>
      <w:r w:rsidR="000D53E3">
        <w:rPr>
          <w:rFonts w:ascii="Times New Roman" w:hAnsi="Times New Roman" w:cs="Times New Roman"/>
          <w:sz w:val="24"/>
          <w:szCs w:val="24"/>
        </w:rPr>
        <w:t>sub</w:t>
      </w:r>
      <w:r>
        <w:rPr>
          <w:rFonts w:ascii="Times New Roman" w:hAnsi="Times New Roman" w:cs="Times New Roman"/>
          <w:sz w:val="24"/>
          <w:szCs w:val="24"/>
        </w:rPr>
        <w:t>section 50(1) of the Act</w:t>
      </w:r>
      <w:r w:rsidRPr="00F97921">
        <w:rPr>
          <w:rFonts w:ascii="Times New Roman" w:hAnsi="Times New Roman" w:cs="Times New Roman"/>
          <w:sz w:val="24"/>
          <w:szCs w:val="24"/>
        </w:rPr>
        <w:t>, and a method for working out th</w:t>
      </w:r>
      <w:r>
        <w:rPr>
          <w:rFonts w:ascii="Times New Roman" w:hAnsi="Times New Roman" w:cs="Times New Roman"/>
          <w:sz w:val="24"/>
          <w:szCs w:val="24"/>
        </w:rPr>
        <w:t>e lesser amount in those circumstances.</w:t>
      </w:r>
    </w:p>
    <w:p w:rsidR="00F97921" w:rsidRDefault="00F97921" w:rsidP="00EF13DE">
      <w:pPr>
        <w:spacing w:before="240" w:after="240"/>
        <w:rPr>
          <w:rFonts w:ascii="Times New Roman" w:hAnsi="Times New Roman" w:cs="Times New Roman"/>
          <w:sz w:val="24"/>
          <w:szCs w:val="24"/>
        </w:rPr>
      </w:pPr>
      <w:r>
        <w:rPr>
          <w:rFonts w:ascii="Times New Roman" w:hAnsi="Times New Roman" w:cs="Times New Roman"/>
          <w:sz w:val="24"/>
          <w:szCs w:val="24"/>
        </w:rPr>
        <w:t xml:space="preserve">It is intended </w:t>
      </w:r>
      <w:r w:rsidRPr="00F97921">
        <w:rPr>
          <w:rFonts w:ascii="Times New Roman" w:hAnsi="Times New Roman" w:cs="Times New Roman"/>
          <w:sz w:val="24"/>
          <w:szCs w:val="24"/>
        </w:rPr>
        <w:t xml:space="preserve">this form of repayment of the FSSP </w:t>
      </w:r>
      <w:r>
        <w:rPr>
          <w:rFonts w:ascii="Times New Roman" w:hAnsi="Times New Roman" w:cs="Times New Roman"/>
          <w:sz w:val="24"/>
          <w:szCs w:val="24"/>
        </w:rPr>
        <w:t>applies</w:t>
      </w:r>
      <w:r w:rsidRPr="00F97921">
        <w:rPr>
          <w:rFonts w:ascii="Times New Roman" w:hAnsi="Times New Roman" w:cs="Times New Roman"/>
          <w:sz w:val="24"/>
          <w:szCs w:val="24"/>
        </w:rPr>
        <w:t xml:space="preserve"> in circumstances where the refinery operator voluntarily chooses to cease refining FSSP fuel. The method for calculating the repayable amount </w:t>
      </w:r>
      <w:r w:rsidR="0022752B">
        <w:rPr>
          <w:rFonts w:ascii="Times New Roman" w:hAnsi="Times New Roman" w:cs="Times New Roman"/>
          <w:sz w:val="24"/>
          <w:szCs w:val="24"/>
        </w:rPr>
        <w:t>reflects</w:t>
      </w:r>
      <w:r w:rsidRPr="00F97921">
        <w:rPr>
          <w:rFonts w:ascii="Times New Roman" w:hAnsi="Times New Roman" w:cs="Times New Roman"/>
          <w:sz w:val="24"/>
          <w:szCs w:val="24"/>
        </w:rPr>
        <w:t xml:space="preserve"> </w:t>
      </w:r>
      <w:r w:rsidR="0022752B">
        <w:rPr>
          <w:rFonts w:ascii="Times New Roman" w:hAnsi="Times New Roman" w:cs="Times New Roman"/>
          <w:sz w:val="24"/>
          <w:szCs w:val="24"/>
        </w:rPr>
        <w:t xml:space="preserve">the policy intent that the amount repayable is in direct proportion to </w:t>
      </w:r>
      <w:r w:rsidRPr="00F97921">
        <w:rPr>
          <w:rFonts w:ascii="Times New Roman" w:hAnsi="Times New Roman" w:cs="Times New Roman"/>
          <w:sz w:val="24"/>
          <w:szCs w:val="24"/>
        </w:rPr>
        <w:t xml:space="preserve">the remaining </w:t>
      </w:r>
      <w:r w:rsidR="0022752B">
        <w:rPr>
          <w:rFonts w:ascii="Times New Roman" w:hAnsi="Times New Roman" w:cs="Times New Roman"/>
          <w:sz w:val="24"/>
          <w:szCs w:val="24"/>
        </w:rPr>
        <w:t>balance</w:t>
      </w:r>
      <w:r w:rsidRPr="00F97921">
        <w:rPr>
          <w:rFonts w:ascii="Times New Roman" w:hAnsi="Times New Roman" w:cs="Times New Roman"/>
          <w:sz w:val="24"/>
          <w:szCs w:val="24"/>
        </w:rPr>
        <w:t xml:space="preserve"> of the commitment period </w:t>
      </w:r>
      <w:r w:rsidR="0022752B">
        <w:rPr>
          <w:rFonts w:ascii="Times New Roman" w:hAnsi="Times New Roman" w:cs="Times New Roman"/>
          <w:sz w:val="24"/>
          <w:szCs w:val="24"/>
        </w:rPr>
        <w:t>that w</w:t>
      </w:r>
      <w:r w:rsidR="00864F6C">
        <w:rPr>
          <w:rFonts w:ascii="Times New Roman" w:hAnsi="Times New Roman" w:cs="Times New Roman"/>
          <w:sz w:val="24"/>
          <w:szCs w:val="24"/>
        </w:rPr>
        <w:t>ill not</w:t>
      </w:r>
      <w:r w:rsidR="0022752B">
        <w:rPr>
          <w:rFonts w:ascii="Times New Roman" w:hAnsi="Times New Roman" w:cs="Times New Roman"/>
          <w:sz w:val="24"/>
          <w:szCs w:val="24"/>
        </w:rPr>
        <w:t xml:space="preserve"> be</w:t>
      </w:r>
      <w:r w:rsidRPr="00F97921">
        <w:rPr>
          <w:rFonts w:ascii="Times New Roman" w:hAnsi="Times New Roman" w:cs="Times New Roman"/>
          <w:sz w:val="24"/>
          <w:szCs w:val="24"/>
        </w:rPr>
        <w:t xml:space="preserve"> delivered</w:t>
      </w:r>
      <w:r w:rsidR="0022752B">
        <w:rPr>
          <w:rFonts w:ascii="Times New Roman" w:hAnsi="Times New Roman" w:cs="Times New Roman"/>
          <w:sz w:val="24"/>
          <w:szCs w:val="24"/>
        </w:rPr>
        <w:t xml:space="preserve"> by the refinery operator</w:t>
      </w:r>
      <w:r w:rsidRPr="00F97921">
        <w:rPr>
          <w:rFonts w:ascii="Times New Roman" w:hAnsi="Times New Roman" w:cs="Times New Roman"/>
          <w:sz w:val="24"/>
          <w:szCs w:val="24"/>
        </w:rPr>
        <w:t>. This recognises the contribution made by refiners to Australia’s fuel security during the commitment period, and ensures that funds are repaid appropriately.</w:t>
      </w:r>
    </w:p>
    <w:p w:rsidR="00EE64F1" w:rsidRDefault="00EE64F1" w:rsidP="00EF13DE">
      <w:pPr>
        <w:spacing w:before="240" w:after="240"/>
        <w:rPr>
          <w:rFonts w:ascii="Times New Roman" w:hAnsi="Times New Roman" w:cs="Times New Roman"/>
          <w:sz w:val="24"/>
          <w:szCs w:val="24"/>
        </w:rPr>
      </w:pPr>
      <w:r>
        <w:rPr>
          <w:rFonts w:ascii="Times New Roman" w:hAnsi="Times New Roman" w:cs="Times New Roman"/>
          <w:sz w:val="24"/>
          <w:szCs w:val="24"/>
        </w:rPr>
        <w:t>For example, if an applicant approved in September 2021 for a commitment period to 30 June 2027 would have a total period from 1 July 2021 to 30 June 2027 (2191 days</w:t>
      </w:r>
      <w:r w:rsidR="00076763">
        <w:rPr>
          <w:rFonts w:ascii="Times New Roman" w:hAnsi="Times New Roman" w:cs="Times New Roman"/>
          <w:sz w:val="24"/>
          <w:szCs w:val="24"/>
        </w:rPr>
        <w:t xml:space="preserve"> = CP</w:t>
      </w:r>
      <w:r>
        <w:rPr>
          <w:rFonts w:ascii="Times New Roman" w:hAnsi="Times New Roman" w:cs="Times New Roman"/>
          <w:sz w:val="24"/>
          <w:szCs w:val="24"/>
        </w:rPr>
        <w:t xml:space="preserve">). If the closure occurred on </w:t>
      </w:r>
      <w:r w:rsidR="00076763">
        <w:rPr>
          <w:rFonts w:ascii="Times New Roman" w:hAnsi="Times New Roman" w:cs="Times New Roman"/>
          <w:sz w:val="24"/>
          <w:szCs w:val="24"/>
        </w:rPr>
        <w:t>30 June</w:t>
      </w:r>
      <w:r>
        <w:rPr>
          <w:rFonts w:ascii="Times New Roman" w:hAnsi="Times New Roman" w:cs="Times New Roman"/>
          <w:sz w:val="24"/>
          <w:szCs w:val="24"/>
        </w:rPr>
        <w:t xml:space="preserve"> 2026 the repayment percentage would be 365/2191 = 16.66%.</w:t>
      </w:r>
    </w:p>
    <w:p w:rsidR="00C22158" w:rsidRDefault="00055A5A" w:rsidP="00666C28">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22</w:t>
      </w:r>
      <w:r w:rsidR="00C22158" w:rsidRPr="00366EF0">
        <w:rPr>
          <w:rFonts w:ascii="Times New Roman" w:hAnsi="Times New Roman" w:cs="Times New Roman"/>
          <w:b/>
          <w:sz w:val="24"/>
          <w:szCs w:val="24"/>
        </w:rPr>
        <w:t xml:space="preserve"> –</w:t>
      </w:r>
      <w:r w:rsidR="00C22158" w:rsidRPr="00C22158">
        <w:rPr>
          <w:rFonts w:ascii="Times New Roman" w:hAnsi="Times New Roman" w:cs="Times New Roman"/>
          <w:b/>
          <w:sz w:val="24"/>
          <w:szCs w:val="24"/>
        </w:rPr>
        <w:t xml:space="preserve"> Extension of period of cessation</w:t>
      </w:r>
    </w:p>
    <w:p w:rsidR="002B2109" w:rsidRDefault="002B2109" w:rsidP="001D0BC9">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22 </w:t>
      </w:r>
      <w:r w:rsidR="00227E93">
        <w:rPr>
          <w:rFonts w:ascii="Times New Roman" w:hAnsi="Times New Roman" w:cs="Times New Roman"/>
          <w:sz w:val="24"/>
          <w:szCs w:val="24"/>
        </w:rPr>
        <w:t>of the Rule</w:t>
      </w:r>
      <w:r>
        <w:rPr>
          <w:rFonts w:ascii="Times New Roman" w:hAnsi="Times New Roman" w:cs="Times New Roman"/>
          <w:sz w:val="24"/>
          <w:szCs w:val="24"/>
        </w:rPr>
        <w:t xml:space="preserve"> prescribes, for the purpose of section 52 of the Act,</w:t>
      </w:r>
      <w:r w:rsidRPr="002B2109">
        <w:t xml:space="preserve"> </w:t>
      </w:r>
      <w:r>
        <w:rPr>
          <w:rFonts w:ascii="Times New Roman" w:hAnsi="Times New Roman" w:cs="Times New Roman"/>
          <w:sz w:val="24"/>
          <w:szCs w:val="24"/>
        </w:rPr>
        <w:t>the</w:t>
      </w:r>
      <w:r w:rsidRPr="002B2109">
        <w:rPr>
          <w:rFonts w:ascii="Times New Roman" w:hAnsi="Times New Roman" w:cs="Times New Roman"/>
          <w:sz w:val="24"/>
          <w:szCs w:val="24"/>
        </w:rPr>
        <w:t xml:space="preserve"> circumstances when the Secretary may extend the 120 day period mentioned in paragraph 50(1)(b) of the Act.</w:t>
      </w:r>
    </w:p>
    <w:p w:rsidR="002B2109" w:rsidRPr="002B2109" w:rsidRDefault="002B2109" w:rsidP="002B2109">
      <w:pPr>
        <w:spacing w:before="240" w:after="240"/>
        <w:rPr>
          <w:rFonts w:ascii="Times New Roman" w:hAnsi="Times New Roman" w:cs="Times New Roman"/>
          <w:sz w:val="24"/>
          <w:szCs w:val="24"/>
        </w:rPr>
      </w:pPr>
      <w:r>
        <w:rPr>
          <w:rFonts w:ascii="Times New Roman" w:hAnsi="Times New Roman" w:cs="Times New Roman"/>
          <w:sz w:val="24"/>
          <w:szCs w:val="24"/>
        </w:rPr>
        <w:t>Specifically, the Secretary may extend the period i</w:t>
      </w:r>
      <w:r w:rsidRPr="002B2109">
        <w:rPr>
          <w:rFonts w:ascii="Times New Roman" w:hAnsi="Times New Roman" w:cs="Times New Roman"/>
          <w:sz w:val="24"/>
          <w:szCs w:val="24"/>
        </w:rPr>
        <w:t xml:space="preserve">f satisfied that: </w:t>
      </w:r>
    </w:p>
    <w:p w:rsidR="002B2109" w:rsidRPr="002B2109" w:rsidRDefault="002B2109" w:rsidP="002B2109">
      <w:pPr>
        <w:pStyle w:val="ListParagraph"/>
        <w:numPr>
          <w:ilvl w:val="0"/>
          <w:numId w:val="20"/>
        </w:numPr>
        <w:spacing w:before="240" w:after="240"/>
        <w:rPr>
          <w:rFonts w:ascii="Times New Roman" w:hAnsi="Times New Roman" w:cs="Times New Roman"/>
          <w:sz w:val="24"/>
          <w:szCs w:val="24"/>
        </w:rPr>
      </w:pPr>
      <w:r w:rsidRPr="002B2109">
        <w:rPr>
          <w:rFonts w:ascii="Times New Roman" w:hAnsi="Times New Roman" w:cs="Times New Roman"/>
          <w:sz w:val="24"/>
          <w:szCs w:val="24"/>
        </w:rPr>
        <w:lastRenderedPageBreak/>
        <w:t xml:space="preserve">the refinery operator is </w:t>
      </w:r>
      <w:r>
        <w:rPr>
          <w:rFonts w:ascii="Times New Roman" w:hAnsi="Times New Roman" w:cs="Times New Roman"/>
          <w:sz w:val="24"/>
          <w:szCs w:val="24"/>
        </w:rPr>
        <w:t xml:space="preserve">taking, </w:t>
      </w:r>
      <w:r w:rsidRPr="002B2109">
        <w:rPr>
          <w:rFonts w:ascii="Times New Roman" w:hAnsi="Times New Roman" w:cs="Times New Roman"/>
          <w:sz w:val="24"/>
          <w:szCs w:val="24"/>
        </w:rPr>
        <w:t xml:space="preserve">and will </w:t>
      </w:r>
      <w:r>
        <w:rPr>
          <w:rFonts w:ascii="Times New Roman" w:hAnsi="Times New Roman" w:cs="Times New Roman"/>
          <w:sz w:val="24"/>
          <w:szCs w:val="24"/>
        </w:rPr>
        <w:t xml:space="preserve">continue to </w:t>
      </w:r>
      <w:r w:rsidRPr="002B2109">
        <w:rPr>
          <w:rFonts w:ascii="Times New Roman" w:hAnsi="Times New Roman" w:cs="Times New Roman"/>
          <w:sz w:val="24"/>
          <w:szCs w:val="24"/>
        </w:rPr>
        <w:t>take</w:t>
      </w:r>
      <w:r>
        <w:rPr>
          <w:rFonts w:ascii="Times New Roman" w:hAnsi="Times New Roman" w:cs="Times New Roman"/>
          <w:sz w:val="24"/>
          <w:szCs w:val="24"/>
        </w:rPr>
        <w:t>,</w:t>
      </w:r>
      <w:r w:rsidRPr="002B2109">
        <w:rPr>
          <w:rFonts w:ascii="Times New Roman" w:hAnsi="Times New Roman" w:cs="Times New Roman"/>
          <w:sz w:val="24"/>
          <w:szCs w:val="24"/>
        </w:rPr>
        <w:t xml:space="preserve"> all reasonable steps to continue refining FSSP fuel at the refinery as soon as </w:t>
      </w:r>
      <w:r w:rsidR="003C53CE">
        <w:rPr>
          <w:rFonts w:ascii="Times New Roman" w:hAnsi="Times New Roman" w:cs="Times New Roman"/>
          <w:sz w:val="24"/>
          <w:szCs w:val="24"/>
        </w:rPr>
        <w:t xml:space="preserve">reasonably </w:t>
      </w:r>
      <w:r w:rsidRPr="002B2109">
        <w:rPr>
          <w:rFonts w:ascii="Times New Roman" w:hAnsi="Times New Roman" w:cs="Times New Roman"/>
          <w:sz w:val="24"/>
          <w:szCs w:val="24"/>
        </w:rPr>
        <w:t>practicable</w:t>
      </w:r>
      <w:r>
        <w:rPr>
          <w:rFonts w:ascii="Times New Roman" w:hAnsi="Times New Roman" w:cs="Times New Roman"/>
          <w:sz w:val="24"/>
          <w:szCs w:val="24"/>
        </w:rPr>
        <w:t>;</w:t>
      </w:r>
      <w:r w:rsidRPr="002B2109">
        <w:rPr>
          <w:rFonts w:ascii="Times New Roman" w:hAnsi="Times New Roman" w:cs="Times New Roman"/>
          <w:sz w:val="24"/>
          <w:szCs w:val="24"/>
        </w:rPr>
        <w:t xml:space="preserve"> </w:t>
      </w:r>
      <w:r>
        <w:rPr>
          <w:rFonts w:ascii="Times New Roman" w:hAnsi="Times New Roman" w:cs="Times New Roman"/>
          <w:sz w:val="24"/>
          <w:szCs w:val="24"/>
        </w:rPr>
        <w:t>and</w:t>
      </w:r>
    </w:p>
    <w:p w:rsidR="002B2109" w:rsidRPr="002B2109" w:rsidRDefault="002B2109" w:rsidP="002B2109">
      <w:pPr>
        <w:pStyle w:val="ListParagraph"/>
        <w:numPr>
          <w:ilvl w:val="0"/>
          <w:numId w:val="20"/>
        </w:numPr>
        <w:spacing w:before="240" w:after="240"/>
        <w:rPr>
          <w:rFonts w:ascii="Times New Roman" w:hAnsi="Times New Roman" w:cs="Times New Roman"/>
          <w:sz w:val="24"/>
          <w:szCs w:val="24"/>
        </w:rPr>
      </w:pPr>
      <w:r w:rsidRPr="002B2109">
        <w:rPr>
          <w:rFonts w:ascii="Times New Roman" w:hAnsi="Times New Roman" w:cs="Times New Roman"/>
          <w:sz w:val="24"/>
          <w:szCs w:val="24"/>
        </w:rPr>
        <w:t>the refinery is expected to restart refining FSSP fuel either within 60 days after the end of the standard 120 day period or</w:t>
      </w:r>
      <w:r>
        <w:rPr>
          <w:rFonts w:ascii="Times New Roman" w:hAnsi="Times New Roman" w:cs="Times New Roman"/>
          <w:sz w:val="24"/>
          <w:szCs w:val="24"/>
        </w:rPr>
        <w:t xml:space="preserve">, </w:t>
      </w:r>
      <w:r w:rsidRPr="002B2109">
        <w:rPr>
          <w:rFonts w:ascii="Times New Roman" w:hAnsi="Times New Roman" w:cs="Times New Roman"/>
          <w:sz w:val="24"/>
          <w:szCs w:val="24"/>
        </w:rPr>
        <w:t xml:space="preserve">if essential maintenance or capital works need longer, as soon as </w:t>
      </w:r>
      <w:r w:rsidR="003C53CE">
        <w:rPr>
          <w:rFonts w:ascii="Times New Roman" w:hAnsi="Times New Roman" w:cs="Times New Roman"/>
          <w:sz w:val="24"/>
          <w:szCs w:val="24"/>
        </w:rPr>
        <w:t xml:space="preserve">reasonably </w:t>
      </w:r>
      <w:r w:rsidRPr="002B2109">
        <w:rPr>
          <w:rFonts w:ascii="Times New Roman" w:hAnsi="Times New Roman" w:cs="Times New Roman"/>
          <w:sz w:val="24"/>
          <w:szCs w:val="24"/>
        </w:rPr>
        <w:t>practicable after that maintenance or capital works are completed.</w:t>
      </w:r>
    </w:p>
    <w:p w:rsidR="001D0BC9" w:rsidRDefault="001D0BC9" w:rsidP="001D0BC9">
      <w:pPr>
        <w:spacing w:before="240" w:after="240"/>
        <w:rPr>
          <w:rFonts w:ascii="Times New Roman" w:hAnsi="Times New Roman" w:cs="Times New Roman"/>
          <w:sz w:val="24"/>
          <w:szCs w:val="24"/>
        </w:rPr>
      </w:pPr>
      <w:r w:rsidRPr="001D0BC9">
        <w:rPr>
          <w:rFonts w:ascii="Times New Roman" w:hAnsi="Times New Roman" w:cs="Times New Roman"/>
          <w:sz w:val="24"/>
          <w:szCs w:val="24"/>
        </w:rPr>
        <w:t xml:space="preserve">This provision </w:t>
      </w:r>
      <w:r w:rsidR="002B2109">
        <w:rPr>
          <w:rFonts w:ascii="Times New Roman" w:hAnsi="Times New Roman" w:cs="Times New Roman"/>
          <w:sz w:val="24"/>
          <w:szCs w:val="24"/>
        </w:rPr>
        <w:t>therefore gives</w:t>
      </w:r>
      <w:r w:rsidRPr="001D0BC9">
        <w:rPr>
          <w:rFonts w:ascii="Times New Roman" w:hAnsi="Times New Roman" w:cs="Times New Roman"/>
          <w:sz w:val="24"/>
          <w:szCs w:val="24"/>
        </w:rPr>
        <w:t xml:space="preserve"> the Secretary flexibility to delay the FSSP repayment obligation being triggered if the cessation of refining FSSP fuel is not permanent, </w:t>
      </w:r>
      <w:r w:rsidR="002B2109">
        <w:rPr>
          <w:rFonts w:ascii="Times New Roman" w:hAnsi="Times New Roman" w:cs="Times New Roman"/>
          <w:sz w:val="24"/>
          <w:szCs w:val="24"/>
        </w:rPr>
        <w:t>such as</w:t>
      </w:r>
      <w:r w:rsidRPr="001D0BC9">
        <w:rPr>
          <w:rFonts w:ascii="Times New Roman" w:hAnsi="Times New Roman" w:cs="Times New Roman"/>
          <w:sz w:val="24"/>
          <w:szCs w:val="24"/>
        </w:rPr>
        <w:t xml:space="preserve"> </w:t>
      </w:r>
      <w:r w:rsidR="002B2109" w:rsidRPr="002B2109">
        <w:rPr>
          <w:rFonts w:ascii="Times New Roman" w:hAnsi="Times New Roman" w:cs="Times New Roman"/>
          <w:sz w:val="24"/>
          <w:szCs w:val="24"/>
        </w:rPr>
        <w:t>where the refinery intends to continue its refining activities, but for operational reasons cannot refine FSSP fuels for a period of time</w:t>
      </w:r>
      <w:r w:rsidR="002B2109">
        <w:rPr>
          <w:rFonts w:ascii="Times New Roman" w:hAnsi="Times New Roman" w:cs="Times New Roman"/>
          <w:sz w:val="24"/>
          <w:szCs w:val="24"/>
        </w:rPr>
        <w:t xml:space="preserve"> beyond the 120 days referred to in </w:t>
      </w:r>
      <w:r w:rsidR="000D53E3">
        <w:rPr>
          <w:rFonts w:ascii="Times New Roman" w:hAnsi="Times New Roman" w:cs="Times New Roman"/>
          <w:sz w:val="24"/>
          <w:szCs w:val="24"/>
        </w:rPr>
        <w:t xml:space="preserve">paragraph </w:t>
      </w:r>
      <w:r w:rsidR="002B2109">
        <w:rPr>
          <w:rFonts w:ascii="Times New Roman" w:hAnsi="Times New Roman" w:cs="Times New Roman"/>
          <w:sz w:val="24"/>
          <w:szCs w:val="24"/>
        </w:rPr>
        <w:t>50(1)(b) of the Act</w:t>
      </w:r>
      <w:r w:rsidR="002B2109" w:rsidRPr="002B2109">
        <w:rPr>
          <w:rFonts w:ascii="Times New Roman" w:hAnsi="Times New Roman" w:cs="Times New Roman"/>
          <w:sz w:val="24"/>
          <w:szCs w:val="24"/>
        </w:rPr>
        <w:t>.</w:t>
      </w:r>
    </w:p>
    <w:p w:rsidR="009271BA" w:rsidRPr="001D0BC9" w:rsidRDefault="009271BA" w:rsidP="001D0BC9">
      <w:pPr>
        <w:spacing w:before="240" w:after="240"/>
        <w:rPr>
          <w:rFonts w:ascii="Times New Roman" w:hAnsi="Times New Roman" w:cs="Times New Roman"/>
          <w:sz w:val="24"/>
          <w:szCs w:val="24"/>
        </w:rPr>
      </w:pPr>
      <w:r>
        <w:rPr>
          <w:rFonts w:ascii="Times New Roman" w:hAnsi="Times New Roman" w:cs="Times New Roman"/>
          <w:sz w:val="24"/>
          <w:szCs w:val="24"/>
        </w:rPr>
        <w:t xml:space="preserve">Subsection 22(3) </w:t>
      </w:r>
      <w:r w:rsidR="003C53CE">
        <w:rPr>
          <w:rFonts w:ascii="Times New Roman" w:hAnsi="Times New Roman" w:cs="Times New Roman"/>
          <w:sz w:val="24"/>
          <w:szCs w:val="24"/>
        </w:rPr>
        <w:t xml:space="preserve">of the Rule </w:t>
      </w:r>
      <w:r>
        <w:rPr>
          <w:rFonts w:ascii="Times New Roman" w:hAnsi="Times New Roman" w:cs="Times New Roman"/>
          <w:sz w:val="24"/>
          <w:szCs w:val="24"/>
        </w:rPr>
        <w:t>provides that the Secretary may extend the cessation period if satisfied that the extension wo</w:t>
      </w:r>
      <w:r w:rsidR="003C53CE">
        <w:rPr>
          <w:rFonts w:ascii="Times New Roman" w:hAnsi="Times New Roman" w:cs="Times New Roman"/>
          <w:sz w:val="24"/>
          <w:szCs w:val="24"/>
        </w:rPr>
        <w:t>u</w:t>
      </w:r>
      <w:r>
        <w:rPr>
          <w:rFonts w:ascii="Times New Roman" w:hAnsi="Times New Roman" w:cs="Times New Roman"/>
          <w:sz w:val="24"/>
          <w:szCs w:val="24"/>
        </w:rPr>
        <w:t>ld allow the refinery operator to finalise scheduled maintenance turnaround work and resume refining of FSSP fuels soon as practicable following the maintenance.</w:t>
      </w:r>
    </w:p>
    <w:p w:rsidR="000F5DCF" w:rsidRPr="001D0BC9" w:rsidRDefault="000F5DCF" w:rsidP="001D0BC9">
      <w:pPr>
        <w:spacing w:before="240" w:after="240"/>
        <w:rPr>
          <w:rFonts w:ascii="Times New Roman" w:hAnsi="Times New Roman" w:cs="Times New Roman"/>
          <w:sz w:val="24"/>
          <w:szCs w:val="24"/>
        </w:rPr>
      </w:pPr>
      <w:r>
        <w:rPr>
          <w:rFonts w:ascii="Times New Roman" w:hAnsi="Times New Roman" w:cs="Times New Roman"/>
          <w:sz w:val="24"/>
          <w:szCs w:val="24"/>
        </w:rPr>
        <w:t>Any decision to refuse to extend this period is reviewable under Part 5 of the Act.</w:t>
      </w:r>
    </w:p>
    <w:p w:rsidR="00366EF0" w:rsidRDefault="00366EF0" w:rsidP="000D0E22">
      <w:pPr>
        <w:spacing w:before="240" w:after="240"/>
        <w:rPr>
          <w:rFonts w:ascii="Times New Roman" w:hAnsi="Times New Roman" w:cs="Times New Roman"/>
          <w:b/>
          <w:sz w:val="24"/>
          <w:szCs w:val="24"/>
        </w:rPr>
      </w:pPr>
    </w:p>
    <w:p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bookmarkStart w:id="0" w:name="_GoBack"/>
      <w:bookmarkEnd w:id="0"/>
    </w:p>
    <w:p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rsidR="00547F8D" w:rsidRPr="00547F8D" w:rsidRDefault="00F52713" w:rsidP="00547F8D">
      <w:pPr>
        <w:spacing w:before="240" w:after="240"/>
        <w:jc w:val="center"/>
        <w:rPr>
          <w:rFonts w:ascii="Times New Roman" w:hAnsi="Times New Roman" w:cs="Times New Roman"/>
          <w:i/>
          <w:sz w:val="24"/>
          <w:szCs w:val="24"/>
        </w:rPr>
      </w:pPr>
      <w:r w:rsidRPr="00F52713">
        <w:rPr>
          <w:rFonts w:ascii="Times New Roman" w:hAnsi="Times New Roman" w:cs="Times New Roman"/>
          <w:i/>
          <w:sz w:val="24"/>
          <w:szCs w:val="24"/>
        </w:rPr>
        <w:t xml:space="preserve">Fuel Security (Fuel </w:t>
      </w:r>
      <w:r w:rsidR="005209D5">
        <w:rPr>
          <w:rFonts w:ascii="Times New Roman" w:hAnsi="Times New Roman" w:cs="Times New Roman"/>
          <w:i/>
          <w:sz w:val="24"/>
          <w:szCs w:val="24"/>
        </w:rPr>
        <w:t>Security Services Payment) Rule</w:t>
      </w:r>
      <w:r w:rsidRPr="00F52713">
        <w:rPr>
          <w:rFonts w:ascii="Times New Roman" w:hAnsi="Times New Roman" w:cs="Times New Roman"/>
          <w:i/>
          <w:sz w:val="24"/>
          <w:szCs w:val="24"/>
        </w:rPr>
        <w:t xml:space="preserve"> 2021</w:t>
      </w:r>
    </w:p>
    <w:p w:rsidR="00547F8D" w:rsidRPr="00547F8D" w:rsidRDefault="005209D5" w:rsidP="00547F8D">
      <w:pPr>
        <w:spacing w:before="240" w:after="240"/>
        <w:jc w:val="center"/>
        <w:rPr>
          <w:rFonts w:ascii="Times New Roman" w:hAnsi="Times New Roman" w:cs="Times New Roman"/>
          <w:sz w:val="24"/>
          <w:szCs w:val="24"/>
        </w:rPr>
      </w:pPr>
      <w:r>
        <w:rPr>
          <w:rFonts w:ascii="Times New Roman" w:hAnsi="Times New Roman" w:cs="Times New Roman"/>
          <w:sz w:val="24"/>
          <w:szCs w:val="24"/>
        </w:rPr>
        <w:t>This</w:t>
      </w:r>
      <w:r w:rsidR="00A43285">
        <w:rPr>
          <w:rFonts w:ascii="Times New Roman" w:hAnsi="Times New Roman" w:cs="Times New Roman"/>
          <w:sz w:val="24"/>
          <w:szCs w:val="24"/>
        </w:rPr>
        <w:t xml:space="preserve"> Rule</w:t>
      </w:r>
      <w:r>
        <w:rPr>
          <w:rFonts w:ascii="Times New Roman" w:hAnsi="Times New Roman" w:cs="Times New Roman"/>
          <w:sz w:val="24"/>
          <w:szCs w:val="24"/>
        </w:rPr>
        <w:t xml:space="preserve"> is</w:t>
      </w:r>
      <w:r w:rsidR="00547F8D"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00547F8D" w:rsidRPr="00547F8D">
        <w:rPr>
          <w:rFonts w:ascii="Times New Roman" w:hAnsi="Times New Roman" w:cs="Times New Roman"/>
          <w:i/>
          <w:sz w:val="24"/>
          <w:szCs w:val="24"/>
        </w:rPr>
        <w:t>Human Rights (Parliamentary Scrutiny) Act 2011</w:t>
      </w:r>
      <w:r w:rsidR="00547F8D" w:rsidRPr="00547F8D">
        <w:rPr>
          <w:rFonts w:ascii="Times New Roman" w:hAnsi="Times New Roman" w:cs="Times New Roman"/>
          <w:sz w:val="24"/>
          <w:szCs w:val="24"/>
        </w:rPr>
        <w:t>.</w:t>
      </w:r>
    </w:p>
    <w:p w:rsidR="00547F8D" w:rsidRPr="00547F8D" w:rsidRDefault="00547F8D" w:rsidP="002E0810">
      <w:pPr>
        <w:spacing w:before="240" w:after="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rsidR="005209D5" w:rsidRDefault="005209D5" w:rsidP="002E0810">
      <w:pPr>
        <w:spacing w:after="120"/>
        <w:rPr>
          <w:rFonts w:ascii="Times New Roman" w:hAnsi="Times New Roman" w:cs="Times New Roman"/>
          <w:sz w:val="24"/>
          <w:szCs w:val="24"/>
        </w:rPr>
      </w:pPr>
      <w:r>
        <w:rPr>
          <w:rFonts w:ascii="Times New Roman" w:hAnsi="Times New Roman" w:cs="Times New Roman"/>
          <w:sz w:val="24"/>
          <w:szCs w:val="24"/>
        </w:rPr>
        <w:t xml:space="preserve">The </w:t>
      </w:r>
      <w:r w:rsidRPr="001E1595">
        <w:rPr>
          <w:rFonts w:ascii="Times New Roman" w:hAnsi="Times New Roman" w:cs="Times New Roman"/>
          <w:i/>
          <w:sz w:val="24"/>
          <w:szCs w:val="24"/>
        </w:rPr>
        <w:t>Fuel Security (Fuel Security Services Payment) Rule 2021</w:t>
      </w:r>
      <w:r>
        <w:rPr>
          <w:rFonts w:ascii="Times New Roman" w:hAnsi="Times New Roman" w:cs="Times New Roman"/>
          <w:sz w:val="24"/>
          <w:szCs w:val="24"/>
        </w:rPr>
        <w:t xml:space="preserve"> (the Rule) prescribes various technical and administrative matters for the purposes of the fuel security services payment aspects (primarily </w:t>
      </w:r>
      <w:r w:rsidRPr="00EA7012">
        <w:rPr>
          <w:rFonts w:ascii="Times New Roman" w:hAnsi="Times New Roman" w:cs="Times New Roman"/>
          <w:sz w:val="24"/>
          <w:szCs w:val="24"/>
        </w:rPr>
        <w:t>under Part 3</w:t>
      </w:r>
      <w:r>
        <w:rPr>
          <w:rFonts w:ascii="Times New Roman" w:hAnsi="Times New Roman" w:cs="Times New Roman"/>
          <w:sz w:val="24"/>
          <w:szCs w:val="24"/>
        </w:rPr>
        <w:t>)</w:t>
      </w:r>
      <w:r w:rsidRPr="00EA7012">
        <w:rPr>
          <w:rFonts w:ascii="Times New Roman" w:hAnsi="Times New Roman" w:cs="Times New Roman"/>
          <w:sz w:val="24"/>
          <w:szCs w:val="24"/>
        </w:rPr>
        <w:t xml:space="preserve"> of the </w:t>
      </w:r>
      <w:r w:rsidRPr="00230254">
        <w:rPr>
          <w:rFonts w:ascii="Times New Roman" w:hAnsi="Times New Roman" w:cs="Times New Roman"/>
          <w:i/>
          <w:sz w:val="24"/>
          <w:szCs w:val="24"/>
        </w:rPr>
        <w:t>Fuel Security Act 2021</w:t>
      </w:r>
      <w:r>
        <w:rPr>
          <w:rFonts w:ascii="Times New Roman" w:hAnsi="Times New Roman" w:cs="Times New Roman"/>
          <w:sz w:val="24"/>
          <w:szCs w:val="24"/>
        </w:rPr>
        <w:t xml:space="preserve"> (the Act). In particular, this Rule prescribes requirements for:</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Pr>
          <w:rFonts w:ascii="Times New Roman" w:hAnsi="Times New Roman" w:cs="Times New Roman"/>
          <w:sz w:val="24"/>
          <w:szCs w:val="24"/>
        </w:rPr>
        <w:t xml:space="preserve">meeting </w:t>
      </w:r>
      <w:r w:rsidRPr="00230254">
        <w:rPr>
          <w:rFonts w:ascii="Times New Roman" w:hAnsi="Times New Roman" w:cs="Times New Roman"/>
          <w:sz w:val="24"/>
          <w:szCs w:val="24"/>
        </w:rPr>
        <w:t>the definition of an “</w:t>
      </w:r>
      <w:r w:rsidRPr="00EA7012">
        <w:rPr>
          <w:rFonts w:ascii="Times New Roman" w:hAnsi="Times New Roman" w:cs="Times New Roman"/>
          <w:i/>
          <w:sz w:val="24"/>
          <w:szCs w:val="24"/>
        </w:rPr>
        <w:t>FSSP fuel</w:t>
      </w:r>
      <w:r w:rsidRPr="00230254">
        <w:rPr>
          <w:rFonts w:ascii="Times New Roman" w:hAnsi="Times New Roman" w:cs="Times New Roman"/>
          <w:sz w:val="24"/>
          <w:szCs w:val="24"/>
        </w:rPr>
        <w:t>”</w:t>
      </w:r>
      <w:r>
        <w:rPr>
          <w:rFonts w:ascii="Times New Roman" w:hAnsi="Times New Roman" w:cs="Times New Roman"/>
          <w:sz w:val="24"/>
          <w:szCs w:val="24"/>
        </w:rPr>
        <w:t xml:space="preserve"> under the Act;</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making an application for the</w:t>
      </w:r>
      <w:r>
        <w:rPr>
          <w:rFonts w:ascii="Times New Roman" w:hAnsi="Times New Roman" w:cs="Times New Roman"/>
          <w:sz w:val="24"/>
          <w:szCs w:val="24"/>
        </w:rPr>
        <w:t xml:space="preserve"> fuel security services payment (the</w:t>
      </w:r>
      <w:r w:rsidRPr="00230254">
        <w:rPr>
          <w:rFonts w:ascii="Times New Roman" w:hAnsi="Times New Roman" w:cs="Times New Roman"/>
          <w:sz w:val="24"/>
          <w:szCs w:val="24"/>
        </w:rPr>
        <w:t xml:space="preserve"> FSSP</w:t>
      </w:r>
      <w:r>
        <w:rPr>
          <w:rFonts w:ascii="Times New Roman" w:hAnsi="Times New Roman" w:cs="Times New Roman"/>
          <w:sz w:val="24"/>
          <w:szCs w:val="24"/>
        </w:rPr>
        <w:t>);</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Pr>
          <w:rFonts w:ascii="Times New Roman" w:hAnsi="Times New Roman" w:cs="Times New Roman"/>
          <w:sz w:val="24"/>
          <w:szCs w:val="24"/>
        </w:rPr>
        <w:t xml:space="preserve">establishing </w:t>
      </w:r>
      <w:r w:rsidRPr="00230254">
        <w:rPr>
          <w:rFonts w:ascii="Times New Roman" w:hAnsi="Times New Roman" w:cs="Times New Roman"/>
          <w:sz w:val="24"/>
          <w:szCs w:val="24"/>
        </w:rPr>
        <w:t>eligibility for the FSSP</w:t>
      </w:r>
      <w:r>
        <w:rPr>
          <w:rFonts w:ascii="Times New Roman" w:hAnsi="Times New Roman" w:cs="Times New Roman"/>
          <w:sz w:val="24"/>
          <w:szCs w:val="24"/>
        </w:rPr>
        <w:t>;</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 xml:space="preserve">determining, varying or terminating a </w:t>
      </w:r>
      <w:r>
        <w:rPr>
          <w:rFonts w:ascii="Times New Roman" w:hAnsi="Times New Roman" w:cs="Times New Roman"/>
          <w:sz w:val="24"/>
          <w:szCs w:val="24"/>
        </w:rPr>
        <w:t xml:space="preserve">refinery operator’s </w:t>
      </w:r>
      <w:r w:rsidRPr="00230254">
        <w:rPr>
          <w:rFonts w:ascii="Times New Roman" w:hAnsi="Times New Roman" w:cs="Times New Roman"/>
          <w:sz w:val="24"/>
          <w:szCs w:val="24"/>
        </w:rPr>
        <w:t>commitment period</w:t>
      </w:r>
      <w:r>
        <w:rPr>
          <w:rFonts w:ascii="Times New Roman" w:hAnsi="Times New Roman" w:cs="Times New Roman"/>
          <w:sz w:val="24"/>
          <w:szCs w:val="24"/>
        </w:rPr>
        <w:t>;</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calculating and paying the FSSP</w:t>
      </w:r>
      <w:r>
        <w:rPr>
          <w:rFonts w:ascii="Times New Roman" w:hAnsi="Times New Roman" w:cs="Times New Roman"/>
          <w:sz w:val="24"/>
          <w:szCs w:val="24"/>
        </w:rPr>
        <w:t>;</w:t>
      </w:r>
    </w:p>
    <w:p w:rsidR="005209D5" w:rsidRPr="00230254" w:rsidRDefault="005209D5" w:rsidP="005209D5">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reporting</w:t>
      </w:r>
      <w:r>
        <w:rPr>
          <w:rFonts w:ascii="Times New Roman" w:hAnsi="Times New Roman" w:cs="Times New Roman"/>
          <w:sz w:val="24"/>
          <w:szCs w:val="24"/>
        </w:rPr>
        <w:t xml:space="preserve"> by recipients of the FSSP; and</w:t>
      </w:r>
    </w:p>
    <w:p w:rsidR="005209D5" w:rsidRDefault="005209D5" w:rsidP="005209D5">
      <w:pPr>
        <w:pStyle w:val="ListParagraph"/>
        <w:numPr>
          <w:ilvl w:val="0"/>
          <w:numId w:val="2"/>
        </w:numPr>
        <w:spacing w:before="120" w:after="120"/>
        <w:rPr>
          <w:rFonts w:ascii="Times New Roman" w:hAnsi="Times New Roman" w:cs="Times New Roman"/>
          <w:sz w:val="24"/>
          <w:szCs w:val="24"/>
        </w:rPr>
      </w:pPr>
      <w:r w:rsidRPr="00230254">
        <w:rPr>
          <w:rFonts w:ascii="Times New Roman" w:hAnsi="Times New Roman" w:cs="Times New Roman"/>
          <w:sz w:val="24"/>
          <w:szCs w:val="24"/>
        </w:rPr>
        <w:t>repay</w:t>
      </w:r>
      <w:r>
        <w:rPr>
          <w:rFonts w:ascii="Times New Roman" w:hAnsi="Times New Roman" w:cs="Times New Roman"/>
          <w:sz w:val="24"/>
          <w:szCs w:val="24"/>
        </w:rPr>
        <w:t>ing the FSSP in specified circumstances.</w:t>
      </w:r>
    </w:p>
    <w:p w:rsidR="002424DC" w:rsidRPr="002424DC" w:rsidRDefault="002424DC" w:rsidP="002424DC">
      <w:pPr>
        <w:spacing w:after="120"/>
        <w:rPr>
          <w:rFonts w:ascii="Times New Roman" w:hAnsi="Times New Roman" w:cs="Times New Roman"/>
          <w:sz w:val="24"/>
          <w:szCs w:val="24"/>
        </w:rPr>
      </w:pPr>
      <w:r w:rsidRPr="002424DC">
        <w:rPr>
          <w:rFonts w:ascii="Times New Roman" w:hAnsi="Times New Roman" w:cs="Times New Roman"/>
          <w:sz w:val="24"/>
          <w:szCs w:val="24"/>
        </w:rPr>
        <w:t xml:space="preserve">As set out in the explanatory memorandum to the </w:t>
      </w:r>
      <w:r w:rsidR="00BB0B02" w:rsidRPr="00BB0B02">
        <w:rPr>
          <w:rFonts w:ascii="Times New Roman" w:hAnsi="Times New Roman" w:cs="Times New Roman"/>
          <w:sz w:val="24"/>
          <w:szCs w:val="24"/>
        </w:rPr>
        <w:t xml:space="preserve">Fuel Security Bill 2021 (the </w:t>
      </w:r>
      <w:r w:rsidRPr="002424DC">
        <w:rPr>
          <w:rFonts w:ascii="Times New Roman" w:hAnsi="Times New Roman" w:cs="Times New Roman"/>
          <w:sz w:val="24"/>
          <w:szCs w:val="24"/>
        </w:rPr>
        <w:t>Bill</w:t>
      </w:r>
      <w:r w:rsidR="00BB0B02">
        <w:rPr>
          <w:rFonts w:ascii="Times New Roman" w:hAnsi="Times New Roman" w:cs="Times New Roman"/>
          <w:sz w:val="24"/>
          <w:szCs w:val="24"/>
        </w:rPr>
        <w:t>)</w:t>
      </w:r>
      <w:r w:rsidRPr="002424DC">
        <w:rPr>
          <w:rFonts w:ascii="Times New Roman" w:hAnsi="Times New Roman" w:cs="Times New Roman"/>
          <w:sz w:val="24"/>
          <w:szCs w:val="24"/>
        </w:rPr>
        <w:t xml:space="preserve"> which became the Act, Part 3 of the Act establishes payment of an ongoing FSSP (i.e. a bounty) for the production of gasoline, diesel and kerosene. The payment recognises the essential contribution refineries in Australia make to the security of Australia’s fuel supplies. Eligible refiner</w:t>
      </w:r>
      <w:r w:rsidR="00777039">
        <w:rPr>
          <w:rFonts w:ascii="Times New Roman" w:hAnsi="Times New Roman" w:cs="Times New Roman"/>
          <w:sz w:val="24"/>
          <w:szCs w:val="24"/>
        </w:rPr>
        <w:t>y operator</w:t>
      </w:r>
      <w:r w:rsidRPr="002424DC">
        <w:rPr>
          <w:rFonts w:ascii="Times New Roman" w:hAnsi="Times New Roman" w:cs="Times New Roman"/>
          <w:sz w:val="24"/>
          <w:szCs w:val="24"/>
        </w:rPr>
        <w:t xml:space="preserve">s will receive the FSSP when they commit to continuing to refine FSSP </w:t>
      </w:r>
      <w:r w:rsidR="00777039">
        <w:rPr>
          <w:rFonts w:ascii="Times New Roman" w:hAnsi="Times New Roman" w:cs="Times New Roman"/>
          <w:sz w:val="24"/>
          <w:szCs w:val="24"/>
        </w:rPr>
        <w:t>fuel</w:t>
      </w:r>
      <w:r w:rsidRPr="002424DC">
        <w:rPr>
          <w:rFonts w:ascii="Times New Roman" w:hAnsi="Times New Roman" w:cs="Times New Roman"/>
          <w:sz w:val="24"/>
          <w:szCs w:val="24"/>
        </w:rPr>
        <w:t>s until at least 30 June 2027. The payment rate will be set as a function of refinery market conditions based on independent and verifiable markers. The FSSP will provide up to 1.8 cents per litre when refinery margins fall to the point where refineries are making losses. No payments will be made when refiner</w:t>
      </w:r>
      <w:r w:rsidR="00777039">
        <w:rPr>
          <w:rFonts w:ascii="Times New Roman" w:hAnsi="Times New Roman" w:cs="Times New Roman"/>
          <w:sz w:val="24"/>
          <w:szCs w:val="24"/>
        </w:rPr>
        <w:t>ie</w:t>
      </w:r>
      <w:r w:rsidRPr="002424DC">
        <w:rPr>
          <w:rFonts w:ascii="Times New Roman" w:hAnsi="Times New Roman" w:cs="Times New Roman"/>
          <w:sz w:val="24"/>
          <w:szCs w:val="24"/>
        </w:rPr>
        <w:t>s make profits.</w:t>
      </w:r>
    </w:p>
    <w:p w:rsidR="002424DC" w:rsidRPr="002424DC" w:rsidRDefault="002424DC" w:rsidP="002424DC">
      <w:pPr>
        <w:spacing w:after="120"/>
        <w:rPr>
          <w:rFonts w:ascii="Times New Roman" w:hAnsi="Times New Roman" w:cs="Times New Roman"/>
          <w:sz w:val="24"/>
          <w:szCs w:val="24"/>
        </w:rPr>
      </w:pPr>
      <w:r w:rsidRPr="002424DC">
        <w:rPr>
          <w:rFonts w:ascii="Times New Roman" w:hAnsi="Times New Roman" w:cs="Times New Roman"/>
          <w:sz w:val="24"/>
          <w:szCs w:val="24"/>
        </w:rPr>
        <w:t>Payments of the FSSP will be made to refinery operators on a quarterly basis in arrears, and will be subject to requirements to be prescribed in the Rule. The Act also provides for recovery of amounts of the FSSP paid to refinery operators should they withdraw from their domestic refining commitment early. Applicants are required to be constitutional corporations (paragraph 40(2)(a) of the Act).</w:t>
      </w:r>
    </w:p>
    <w:p w:rsidR="00547F8D" w:rsidRPr="00547F8D" w:rsidRDefault="00547F8D" w:rsidP="002E0810">
      <w:pPr>
        <w:spacing w:before="240" w:after="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rsidR="005209D5" w:rsidRPr="00583590" w:rsidRDefault="005209D5" w:rsidP="002E0810">
      <w:pPr>
        <w:spacing w:after="120" w:line="273" w:lineRule="exact"/>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This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engages, or may engage, the following rights:</w:t>
      </w:r>
    </w:p>
    <w:p w:rsidR="005209D5" w:rsidRPr="00F661BE" w:rsidRDefault="005209D5" w:rsidP="00F661BE">
      <w:pPr>
        <w:pStyle w:val="ListParagraph"/>
        <w:numPr>
          <w:ilvl w:val="0"/>
          <w:numId w:val="11"/>
        </w:numPr>
        <w:tabs>
          <w:tab w:val="left" w:pos="360"/>
          <w:tab w:val="left" w:pos="720"/>
        </w:tabs>
        <w:spacing w:before="19" w:after="0" w:line="317" w:lineRule="exact"/>
        <w:ind w:right="360"/>
        <w:textAlignment w:val="baseline"/>
        <w:rPr>
          <w:rFonts w:ascii="Times New Roman" w:eastAsia="Times New Roman" w:hAnsi="Times New Roman" w:cs="Times New Roman"/>
          <w:color w:val="000000"/>
          <w:spacing w:val="-1"/>
          <w:sz w:val="24"/>
          <w:lang w:val="en-US"/>
        </w:rPr>
      </w:pPr>
      <w:r w:rsidRPr="00F661BE">
        <w:rPr>
          <w:rFonts w:ascii="Times New Roman" w:eastAsia="Times New Roman" w:hAnsi="Times New Roman" w:cs="Times New Roman"/>
          <w:color w:val="000000"/>
          <w:spacing w:val="-1"/>
          <w:sz w:val="24"/>
          <w:lang w:val="en-US"/>
        </w:rPr>
        <w:t>the right to an adequate standard of living and to continuous improvement of living conditions – Article 11 of the International Covenant on Economic, Social and Cultural Rights (ICESCR)</w:t>
      </w:r>
    </w:p>
    <w:p w:rsidR="005209D5" w:rsidRPr="00F076F3" w:rsidRDefault="005209D5" w:rsidP="00F661BE">
      <w:pPr>
        <w:pStyle w:val="ListParagraph"/>
        <w:numPr>
          <w:ilvl w:val="0"/>
          <w:numId w:val="11"/>
        </w:numPr>
        <w:tabs>
          <w:tab w:val="left" w:pos="360"/>
          <w:tab w:val="left" w:pos="720"/>
        </w:tabs>
        <w:spacing w:before="19" w:after="0" w:line="317" w:lineRule="exact"/>
        <w:ind w:right="432"/>
        <w:textAlignment w:val="baseline"/>
        <w:rPr>
          <w:rFonts w:ascii="Times New Roman" w:eastAsia="Times New Roman" w:hAnsi="Times New Roman" w:cs="Times New Roman"/>
          <w:color w:val="000000"/>
          <w:sz w:val="24"/>
          <w:lang w:val="en-US"/>
        </w:rPr>
      </w:pPr>
      <w:r w:rsidRPr="00F076F3">
        <w:rPr>
          <w:rFonts w:ascii="Times New Roman" w:eastAsia="Times New Roman" w:hAnsi="Times New Roman" w:cs="Times New Roman"/>
          <w:color w:val="000000"/>
          <w:sz w:val="24"/>
          <w:lang w:val="en-US"/>
        </w:rPr>
        <w:lastRenderedPageBreak/>
        <w:t>the right to privacy – Article 17 of the International Covenant on Civil and Political Rights (ICCPR)</w:t>
      </w:r>
    </w:p>
    <w:p w:rsidR="00547F8D" w:rsidRPr="00F661BE" w:rsidRDefault="005209D5" w:rsidP="00547F8D">
      <w:pPr>
        <w:pStyle w:val="ListParagraph"/>
        <w:numPr>
          <w:ilvl w:val="0"/>
          <w:numId w:val="11"/>
        </w:numPr>
        <w:tabs>
          <w:tab w:val="left" w:pos="360"/>
          <w:tab w:val="left" w:pos="720"/>
        </w:tabs>
        <w:spacing w:before="120" w:after="120" w:line="240" w:lineRule="auto"/>
        <w:textAlignment w:val="baseline"/>
        <w:rPr>
          <w:rFonts w:ascii="Times New Roman" w:hAnsi="Times New Roman" w:cs="Times New Roman"/>
          <w:sz w:val="24"/>
          <w:szCs w:val="24"/>
        </w:rPr>
      </w:pPr>
      <w:r w:rsidRPr="00F661BE">
        <w:rPr>
          <w:rFonts w:ascii="Times New Roman" w:eastAsia="Times New Roman" w:hAnsi="Times New Roman" w:cs="Times New Roman"/>
          <w:color w:val="000000"/>
          <w:sz w:val="24"/>
          <w:lang w:val="en-US"/>
        </w:rPr>
        <w:t>the right not to incriminate oneself – Article 14(3)(g) of the ICCPR</w:t>
      </w:r>
      <w:r w:rsidR="00F661BE">
        <w:rPr>
          <w:rFonts w:ascii="Times New Roman" w:eastAsia="Times New Roman" w:hAnsi="Times New Roman" w:cs="Times New Roman"/>
          <w:color w:val="000000"/>
          <w:sz w:val="24"/>
          <w:lang w:val="en-US"/>
        </w:rPr>
        <w:t>.</w:t>
      </w:r>
    </w:p>
    <w:p w:rsidR="00F661BE" w:rsidRDefault="00F661BE" w:rsidP="00F661BE">
      <w:pPr>
        <w:spacing w:before="3" w:after="0" w:line="274" w:lineRule="exact"/>
        <w:textAlignment w:val="baseline"/>
        <w:rPr>
          <w:rFonts w:ascii="Times New Roman" w:hAnsi="Times New Roman" w:cs="Times New Roman"/>
          <w:sz w:val="24"/>
          <w:szCs w:val="24"/>
        </w:rPr>
      </w:pPr>
    </w:p>
    <w:p w:rsidR="00F661BE" w:rsidRPr="00583590" w:rsidRDefault="00F661BE" w:rsidP="00F661BE">
      <w:pPr>
        <w:spacing w:before="3" w:after="0" w:line="274" w:lineRule="exact"/>
        <w:textAlignment w:val="baseline"/>
        <w:rPr>
          <w:rFonts w:ascii="Times New Roman" w:eastAsia="Times New Roman" w:hAnsi="Times New Roman" w:cs="Times New Roman"/>
          <w:b/>
          <w:color w:val="000000"/>
          <w:sz w:val="24"/>
          <w:lang w:val="en-US"/>
        </w:rPr>
      </w:pPr>
      <w:r w:rsidRPr="00583590">
        <w:rPr>
          <w:rFonts w:ascii="Times New Roman" w:eastAsia="Times New Roman" w:hAnsi="Times New Roman" w:cs="Times New Roman"/>
          <w:b/>
          <w:color w:val="000000"/>
          <w:sz w:val="24"/>
          <w:lang w:val="en-US"/>
        </w:rPr>
        <w:t xml:space="preserve">The </w:t>
      </w:r>
      <w:r>
        <w:rPr>
          <w:rFonts w:ascii="Times New Roman" w:eastAsia="Times New Roman" w:hAnsi="Times New Roman" w:cs="Times New Roman"/>
          <w:b/>
          <w:color w:val="000000"/>
          <w:sz w:val="24"/>
          <w:lang w:val="en-US"/>
        </w:rPr>
        <w:t>Rule</w:t>
      </w:r>
      <w:r w:rsidRPr="00583590">
        <w:rPr>
          <w:rFonts w:ascii="Times New Roman" w:eastAsia="Times New Roman" w:hAnsi="Times New Roman" w:cs="Times New Roman"/>
          <w:b/>
          <w:color w:val="000000"/>
          <w:sz w:val="24"/>
          <w:lang w:val="en-US"/>
        </w:rPr>
        <w:t xml:space="preserve"> will primarily regulate entities rather than individuals</w:t>
      </w:r>
    </w:p>
    <w:p w:rsidR="00F661BE" w:rsidRPr="00583590" w:rsidRDefault="00F661BE" w:rsidP="00F661BE">
      <w:pPr>
        <w:spacing w:before="2" w:after="0" w:line="317" w:lineRule="exact"/>
        <w:ind w:right="72"/>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As noted at paragraph 1.11 of the Parliamentary Joint Committee on Human Rights – Guide to Human Rights, published in June 2015, which is a freely available document that outlines the key human rights that form part of the Parliamentary Joint Committee on Human Rights’ mandate (available at </w:t>
      </w:r>
      <w:hyperlink r:id="rId20" w:history="1">
        <w:r w:rsidR="00743291" w:rsidRPr="00743291">
          <w:rPr>
            <w:rStyle w:val="Hyperlink"/>
            <w:rFonts w:ascii="Times New Roman" w:eastAsia="Times New Roman" w:hAnsi="Times New Roman" w:cs="Times New Roman"/>
            <w:sz w:val="24"/>
            <w:lang w:val="en-US"/>
          </w:rPr>
          <w:t>https://www.aph.gov.au/Parliamentary_Business/Committees/Joint/Human_Rights/Guidance_Notes_and_Resources</w:t>
        </w:r>
      </w:hyperlink>
      <w:r w:rsidRPr="00583590">
        <w:rPr>
          <w:rFonts w:ascii="Times New Roman" w:eastAsia="Times New Roman" w:hAnsi="Times New Roman" w:cs="Times New Roman"/>
          <w:color w:val="000000"/>
          <w:sz w:val="24"/>
          <w:lang w:val="en-US"/>
        </w:rPr>
        <w:t>):</w:t>
      </w:r>
    </w:p>
    <w:p w:rsidR="00F661BE" w:rsidRPr="00583590" w:rsidRDefault="00F661BE" w:rsidP="00F661BE">
      <w:pPr>
        <w:spacing w:before="315" w:after="0" w:line="316" w:lineRule="exact"/>
        <w:ind w:left="720" w:right="504"/>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w:t>
      </w:r>
      <w:r w:rsidRPr="00583590">
        <w:rPr>
          <w:rFonts w:ascii="Times New Roman" w:eastAsia="Times New Roman" w:hAnsi="Times New Roman" w:cs="Times New Roman"/>
          <w:i/>
          <w:color w:val="000000"/>
          <w:sz w:val="24"/>
          <w:lang w:val="en-US"/>
        </w:rPr>
        <w:t>Under the UN human rights treaties, human rights belong to individuals and groups of individuals. The treaties do not confer rights on companies or other incorporated bodies</w:t>
      </w:r>
      <w:r w:rsidRPr="00583590">
        <w:rPr>
          <w:rFonts w:ascii="Times New Roman" w:eastAsia="Times New Roman" w:hAnsi="Times New Roman" w:cs="Times New Roman"/>
          <w:color w:val="000000"/>
          <w:sz w:val="24"/>
          <w:lang w:val="en-US"/>
        </w:rPr>
        <w:t>.”</w:t>
      </w:r>
    </w:p>
    <w:p w:rsidR="00F661BE" w:rsidRPr="00583590" w:rsidRDefault="00F661BE" w:rsidP="00F661BE">
      <w:pPr>
        <w:spacing w:before="321" w:after="0" w:line="317" w:lineRule="exact"/>
        <w:textAlignment w:val="baseline"/>
        <w:rPr>
          <w:rFonts w:ascii="Times New Roman" w:eastAsia="Times New Roman" w:hAnsi="Times New Roman" w:cs="Times New Roman"/>
          <w:i/>
          <w:color w:val="000000"/>
          <w:sz w:val="24"/>
          <w:lang w:val="en-US"/>
        </w:rPr>
      </w:pPr>
      <w:r w:rsidRPr="00583590">
        <w:rPr>
          <w:rFonts w:ascii="Times New Roman" w:eastAsia="Times New Roman" w:hAnsi="Times New Roman" w:cs="Times New Roman"/>
          <w:color w:val="000000"/>
          <w:sz w:val="24"/>
          <w:lang w:val="en-US"/>
        </w:rPr>
        <w:t xml:space="preserve">While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purports to place various obligations on “persons”</w:t>
      </w:r>
      <w:r>
        <w:rPr>
          <w:rFonts w:ascii="Times New Roman" w:eastAsia="Times New Roman" w:hAnsi="Times New Roman" w:cs="Times New Roman"/>
          <w:color w:val="000000"/>
          <w:sz w:val="24"/>
          <w:lang w:val="en-US"/>
        </w:rPr>
        <w:t xml:space="preserve"> (including applicants for the FSSP), </w:t>
      </w:r>
      <w:r w:rsidRPr="00583590">
        <w:rPr>
          <w:rFonts w:ascii="Times New Roman" w:eastAsia="Times New Roman" w:hAnsi="Times New Roman" w:cs="Times New Roman"/>
          <w:color w:val="000000"/>
          <w:sz w:val="24"/>
          <w:lang w:val="en-US"/>
        </w:rPr>
        <w:t>generally it uses that term to denote a body corporate refinery operator (see the definition of “person” under sections 2B and 2C of the</w:t>
      </w:r>
      <w:r>
        <w:rPr>
          <w:rFonts w:ascii="Times New Roman" w:eastAsia="Times New Roman" w:hAnsi="Times New Roman" w:cs="Times New Roman"/>
          <w:color w:val="000000"/>
          <w:sz w:val="24"/>
          <w:lang w:val="en-US"/>
        </w:rPr>
        <w:t xml:space="preserve"> </w:t>
      </w:r>
      <w:r w:rsidRPr="00583590">
        <w:rPr>
          <w:rFonts w:ascii="Times New Roman" w:eastAsia="Times New Roman" w:hAnsi="Times New Roman" w:cs="Times New Roman"/>
          <w:i/>
          <w:color w:val="000000"/>
          <w:sz w:val="24"/>
          <w:lang w:val="en-US"/>
        </w:rPr>
        <w:t>Acts Interpretation Act 1901</w:t>
      </w:r>
      <w:r w:rsidRPr="00583590">
        <w:rPr>
          <w:rFonts w:ascii="Times New Roman" w:eastAsia="Times New Roman" w:hAnsi="Times New Roman" w:cs="Times New Roman"/>
          <w:color w:val="000000"/>
          <w:sz w:val="24"/>
          <w:lang w:val="en-US"/>
        </w:rPr>
        <w:t>).</w:t>
      </w:r>
    </w:p>
    <w:p w:rsidR="00F661BE" w:rsidRPr="00583590" w:rsidRDefault="00F661BE" w:rsidP="00F661BE">
      <w:pPr>
        <w:spacing w:before="317" w:after="0" w:line="317" w:lineRule="exact"/>
        <w:ind w:right="432"/>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Specifically, the classes of “persons” </w:t>
      </w:r>
      <w:r>
        <w:rPr>
          <w:rFonts w:ascii="Times New Roman" w:eastAsia="Times New Roman" w:hAnsi="Times New Roman" w:cs="Times New Roman"/>
          <w:color w:val="000000"/>
          <w:sz w:val="24"/>
          <w:lang w:val="en-US"/>
        </w:rPr>
        <w:t xml:space="preserve">and “refinery operators” </w:t>
      </w:r>
      <w:r w:rsidRPr="00583590">
        <w:rPr>
          <w:rFonts w:ascii="Times New Roman" w:eastAsia="Times New Roman" w:hAnsi="Times New Roman" w:cs="Times New Roman"/>
          <w:color w:val="000000"/>
          <w:sz w:val="24"/>
          <w:lang w:val="en-US"/>
        </w:rPr>
        <w:t xml:space="preserve">that will be regulated under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include:</w:t>
      </w:r>
    </w:p>
    <w:p w:rsidR="00F661BE" w:rsidRPr="00F661BE" w:rsidRDefault="00F661BE" w:rsidP="00F661BE">
      <w:pPr>
        <w:pStyle w:val="ListParagraph"/>
        <w:numPr>
          <w:ilvl w:val="0"/>
          <w:numId w:val="12"/>
        </w:numPr>
        <w:tabs>
          <w:tab w:val="left" w:pos="360"/>
          <w:tab w:val="left" w:pos="720"/>
        </w:tabs>
        <w:spacing w:before="18" w:after="0" w:line="317" w:lineRule="exact"/>
        <w:ind w:right="72"/>
        <w:jc w:val="both"/>
        <w:textAlignment w:val="baseline"/>
        <w:rPr>
          <w:rFonts w:ascii="Times New Roman" w:eastAsia="Times New Roman" w:hAnsi="Times New Roman" w:cs="Times New Roman"/>
          <w:color w:val="000000"/>
          <w:sz w:val="24"/>
          <w:lang w:val="en-US"/>
        </w:rPr>
      </w:pPr>
      <w:r w:rsidRPr="00F661BE">
        <w:rPr>
          <w:rFonts w:ascii="Times New Roman" w:eastAsia="Times New Roman" w:hAnsi="Times New Roman" w:cs="Times New Roman"/>
          <w:color w:val="000000"/>
          <w:sz w:val="24"/>
          <w:lang w:val="en-US"/>
        </w:rPr>
        <w:t xml:space="preserve">“constitutional corporations” as defined under section 5 </w:t>
      </w:r>
      <w:r>
        <w:rPr>
          <w:rFonts w:ascii="Times New Roman" w:eastAsia="Times New Roman" w:hAnsi="Times New Roman" w:cs="Times New Roman"/>
          <w:color w:val="000000"/>
          <w:sz w:val="24"/>
          <w:lang w:val="en-US"/>
        </w:rPr>
        <w:t>and</w:t>
      </w:r>
      <w:r w:rsidRPr="00F661BE">
        <w:rPr>
          <w:rFonts w:ascii="Times New Roman" w:eastAsia="Times New Roman" w:hAnsi="Times New Roman" w:cs="Times New Roman"/>
          <w:color w:val="000000"/>
          <w:sz w:val="24"/>
          <w:lang w:val="en-US"/>
        </w:rPr>
        <w:t xml:space="preserve"> paragraph 40(2)(a) of the Act; and</w:t>
      </w:r>
    </w:p>
    <w:p w:rsidR="00F661BE" w:rsidRPr="00F661BE" w:rsidRDefault="00F661BE" w:rsidP="00F661BE">
      <w:pPr>
        <w:pStyle w:val="ListParagraph"/>
        <w:numPr>
          <w:ilvl w:val="0"/>
          <w:numId w:val="12"/>
        </w:numPr>
        <w:tabs>
          <w:tab w:val="left" w:pos="360"/>
          <w:tab w:val="left" w:pos="720"/>
        </w:tabs>
        <w:spacing w:before="19" w:after="0" w:line="317" w:lineRule="exact"/>
        <w:ind w:right="648"/>
        <w:textAlignment w:val="baseline"/>
        <w:rPr>
          <w:rFonts w:ascii="Times New Roman" w:eastAsia="Times New Roman" w:hAnsi="Times New Roman" w:cs="Times New Roman"/>
          <w:color w:val="000000"/>
          <w:sz w:val="24"/>
          <w:lang w:val="en-US"/>
        </w:rPr>
      </w:pPr>
      <w:r w:rsidRPr="00F661BE">
        <w:rPr>
          <w:rFonts w:ascii="Times New Roman" w:eastAsia="Times New Roman" w:hAnsi="Times New Roman" w:cs="Times New Roman"/>
          <w:color w:val="000000"/>
          <w:sz w:val="24"/>
          <w:lang w:val="en-US"/>
        </w:rPr>
        <w:t xml:space="preserve">“Australian controlling corporations” as defined under section 5 </w:t>
      </w:r>
      <w:r>
        <w:rPr>
          <w:rFonts w:ascii="Times New Roman" w:eastAsia="Times New Roman" w:hAnsi="Times New Roman" w:cs="Times New Roman"/>
          <w:color w:val="000000"/>
          <w:sz w:val="24"/>
          <w:lang w:val="en-US"/>
        </w:rPr>
        <w:t>and</w:t>
      </w:r>
      <w:r w:rsidRPr="00F661BE">
        <w:rPr>
          <w:rFonts w:ascii="Times New Roman" w:eastAsia="Times New Roman" w:hAnsi="Times New Roman" w:cs="Times New Roman"/>
          <w:color w:val="000000"/>
          <w:sz w:val="24"/>
          <w:lang w:val="en-US"/>
        </w:rPr>
        <w:t xml:space="preserve"> paragraph 8(2)(a) of the Act.</w:t>
      </w:r>
    </w:p>
    <w:p w:rsidR="00F661BE" w:rsidRPr="00583590" w:rsidRDefault="00F661BE" w:rsidP="00F661BE">
      <w:pPr>
        <w:spacing w:after="0" w:line="316" w:lineRule="exact"/>
        <w:ind w:right="1008"/>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As such, there are very few </w:t>
      </w:r>
      <w:r>
        <w:rPr>
          <w:rFonts w:ascii="Times New Roman" w:eastAsia="Times New Roman" w:hAnsi="Times New Roman" w:cs="Times New Roman"/>
          <w:color w:val="000000"/>
          <w:sz w:val="24"/>
          <w:lang w:val="en-US"/>
        </w:rPr>
        <w:t xml:space="preserve">(if any) </w:t>
      </w:r>
      <w:r w:rsidRPr="00583590">
        <w:rPr>
          <w:rFonts w:ascii="Times New Roman" w:eastAsia="Times New Roman" w:hAnsi="Times New Roman" w:cs="Times New Roman"/>
          <w:color w:val="000000"/>
          <w:sz w:val="24"/>
          <w:lang w:val="en-US"/>
        </w:rPr>
        <w:t xml:space="preserve">provisions of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that regulate and consequently limit the human rights of individuals.</w:t>
      </w:r>
    </w:p>
    <w:p w:rsidR="00F661BE" w:rsidRPr="00583590" w:rsidRDefault="00F661BE" w:rsidP="00F661BE">
      <w:pPr>
        <w:spacing w:before="366" w:after="0" w:line="274" w:lineRule="exact"/>
        <w:textAlignment w:val="baseline"/>
        <w:rPr>
          <w:rFonts w:ascii="Times New Roman" w:eastAsia="Times New Roman" w:hAnsi="Times New Roman" w:cs="Times New Roman"/>
          <w:b/>
          <w:color w:val="000000"/>
          <w:sz w:val="24"/>
          <w:lang w:val="en-US"/>
        </w:rPr>
      </w:pPr>
      <w:r w:rsidRPr="00583590">
        <w:rPr>
          <w:rFonts w:ascii="Times New Roman" w:eastAsia="Times New Roman" w:hAnsi="Times New Roman" w:cs="Times New Roman"/>
          <w:b/>
          <w:color w:val="000000"/>
          <w:sz w:val="24"/>
          <w:lang w:val="en-US"/>
        </w:rPr>
        <w:t>Right to an adequate standard of living – Article 11 ICESCR</w:t>
      </w:r>
    </w:p>
    <w:p w:rsidR="00F661BE" w:rsidRDefault="00F661BE" w:rsidP="002E0810">
      <w:pPr>
        <w:spacing w:after="0" w:line="317" w:lineRule="exact"/>
        <w:ind w:right="357"/>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Despite the fact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does not generally regulate the conduct of individuals, it nevertheless engages positively with the right to an adequate standard of living and to continuous improvement of living conditions. This is achieved by alleviating the risks to fuel supply currently borne by Government and consumers.</w:t>
      </w:r>
      <w:r w:rsidRPr="00F661BE">
        <w:rPr>
          <w:rFonts w:ascii="Times New Roman" w:eastAsia="Times New Roman" w:hAnsi="Times New Roman" w:cs="Times New Roman"/>
          <w:color w:val="000000"/>
          <w:sz w:val="24"/>
          <w:lang w:val="en-US"/>
        </w:rPr>
        <w:t xml:space="preserve"> </w:t>
      </w:r>
    </w:p>
    <w:p w:rsidR="00F661BE" w:rsidRPr="00583590" w:rsidRDefault="00F661BE" w:rsidP="00F661BE">
      <w:pPr>
        <w:spacing w:before="417" w:after="0" w:line="317" w:lineRule="exact"/>
        <w:ind w:right="360"/>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will support domestic </w:t>
      </w:r>
      <w:r w:rsidR="00777039" w:rsidRPr="00583590">
        <w:rPr>
          <w:rFonts w:ascii="Times New Roman" w:eastAsia="Times New Roman" w:hAnsi="Times New Roman" w:cs="Times New Roman"/>
          <w:color w:val="000000"/>
          <w:sz w:val="24"/>
          <w:lang w:val="en-US"/>
        </w:rPr>
        <w:t>refiner</w:t>
      </w:r>
      <w:r w:rsidR="00777039">
        <w:rPr>
          <w:rFonts w:ascii="Times New Roman" w:eastAsia="Times New Roman" w:hAnsi="Times New Roman" w:cs="Times New Roman"/>
          <w:color w:val="000000"/>
          <w:sz w:val="24"/>
          <w:lang w:val="en-US"/>
        </w:rPr>
        <w:t>y operators</w:t>
      </w:r>
      <w:r w:rsidR="00777039" w:rsidRPr="00583590">
        <w:rPr>
          <w:rFonts w:ascii="Times New Roman" w:eastAsia="Times New Roman" w:hAnsi="Times New Roman" w:cs="Times New Roman"/>
          <w:color w:val="000000"/>
          <w:sz w:val="24"/>
          <w:lang w:val="en-US"/>
        </w:rPr>
        <w:t xml:space="preserve"> </w:t>
      </w:r>
      <w:r w:rsidRPr="00583590">
        <w:rPr>
          <w:rFonts w:ascii="Times New Roman" w:eastAsia="Times New Roman" w:hAnsi="Times New Roman" w:cs="Times New Roman"/>
          <w:color w:val="000000"/>
          <w:sz w:val="24"/>
          <w:lang w:val="en-US"/>
        </w:rPr>
        <w:t>to convert crude oil to key transport fuel products thereby supporting fuel-dependent and critical industries as well as Australian households.</w:t>
      </w:r>
    </w:p>
    <w:p w:rsidR="00F661BE" w:rsidRDefault="00F661BE" w:rsidP="00F661BE">
      <w:pPr>
        <w:spacing w:before="320" w:after="0" w:line="317" w:lineRule="exact"/>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Ensuring the ongoing commercial viability of domestic fuel refiners w</w:t>
      </w:r>
      <w:r>
        <w:rPr>
          <w:rFonts w:ascii="Times New Roman" w:eastAsia="Times New Roman" w:hAnsi="Times New Roman" w:cs="Times New Roman"/>
          <w:color w:val="000000"/>
          <w:sz w:val="24"/>
          <w:lang w:val="en-US"/>
        </w:rPr>
        <w:t>ill</w:t>
      </w:r>
      <w:r w:rsidRPr="00583590">
        <w:rPr>
          <w:rFonts w:ascii="Times New Roman" w:eastAsia="Times New Roman" w:hAnsi="Times New Roman" w:cs="Times New Roman"/>
          <w:color w:val="000000"/>
          <w:sz w:val="24"/>
          <w:lang w:val="en-US"/>
        </w:rPr>
        <w:t xml:space="preserve"> offer protection during extreme disruptions to fuel supply to Australia. The proposed reforms are therefore likely to ensure the availability and accessibility of the energy resources that are essential to the realisation of the right to an adequate standard of living. They will also help to fulfil </w:t>
      </w:r>
      <w:r w:rsidRPr="00583590">
        <w:rPr>
          <w:rFonts w:ascii="Times New Roman" w:eastAsia="Times New Roman" w:hAnsi="Times New Roman" w:cs="Times New Roman"/>
          <w:color w:val="000000"/>
          <w:sz w:val="24"/>
          <w:lang w:val="en-US"/>
        </w:rPr>
        <w:lastRenderedPageBreak/>
        <w:t>Australia’s obligation under Article 2.1 of the ICESCR to take reasonable measures within its available resources to progressively secure b</w:t>
      </w:r>
      <w:r>
        <w:rPr>
          <w:rFonts w:ascii="Times New Roman" w:eastAsia="Times New Roman" w:hAnsi="Times New Roman" w:cs="Times New Roman"/>
          <w:color w:val="000000"/>
          <w:sz w:val="24"/>
          <w:lang w:val="en-US"/>
        </w:rPr>
        <w:t>roader enjoyment of this right.</w:t>
      </w:r>
    </w:p>
    <w:p w:rsidR="002E0810" w:rsidRPr="00583590" w:rsidRDefault="002E0810" w:rsidP="002E0810">
      <w:pPr>
        <w:spacing w:before="365" w:after="0" w:line="274" w:lineRule="exact"/>
        <w:textAlignment w:val="baseline"/>
        <w:rPr>
          <w:rFonts w:ascii="Times New Roman" w:eastAsia="Times New Roman" w:hAnsi="Times New Roman" w:cs="Times New Roman"/>
          <w:b/>
          <w:color w:val="000000"/>
          <w:sz w:val="24"/>
          <w:lang w:val="en-US"/>
        </w:rPr>
      </w:pPr>
      <w:r w:rsidRPr="00583590">
        <w:rPr>
          <w:rFonts w:ascii="Times New Roman" w:eastAsia="Times New Roman" w:hAnsi="Times New Roman" w:cs="Times New Roman"/>
          <w:b/>
          <w:color w:val="000000"/>
          <w:sz w:val="24"/>
          <w:lang w:val="en-US"/>
        </w:rPr>
        <w:t>Right to privacy – Article 17 ICCPR</w:t>
      </w:r>
    </w:p>
    <w:p w:rsidR="002E0810" w:rsidRPr="00583590" w:rsidRDefault="002E0810" w:rsidP="002E0810">
      <w:pPr>
        <w:spacing w:after="0" w:line="316" w:lineRule="exact"/>
        <w:ind w:right="72"/>
        <w:jc w:val="both"/>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While noting that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will primarily regulate the conduct of entities that are unlikely to be individuals, out of an abundance of caution, consideration has been given to the possibility that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engages the right to privacy of individuals.</w:t>
      </w:r>
    </w:p>
    <w:p w:rsidR="002E0810" w:rsidRDefault="002E0810" w:rsidP="002E0810">
      <w:pPr>
        <w:spacing w:before="320" w:after="0" w:line="317" w:lineRule="exact"/>
        <w:ind w:right="72"/>
        <w:textAlignment w:val="baseline"/>
        <w:rPr>
          <w:rFonts w:ascii="Times New Roman" w:eastAsia="Times New Roman" w:hAnsi="Times New Roman" w:cs="Times New Roman"/>
          <w:color w:val="000000"/>
          <w:sz w:val="24"/>
          <w:lang w:val="en-US"/>
        </w:rPr>
      </w:pPr>
      <w:r w:rsidRPr="00EA1B83">
        <w:rPr>
          <w:rFonts w:ascii="Times New Roman" w:eastAsia="Times New Roman" w:hAnsi="Times New Roman" w:cs="Times New Roman"/>
          <w:color w:val="000000"/>
          <w:sz w:val="24"/>
          <w:lang w:val="en-US"/>
        </w:rPr>
        <w:t xml:space="preserve">Under </w:t>
      </w:r>
      <w:r w:rsidRPr="00025ACD">
        <w:rPr>
          <w:rFonts w:ascii="Times New Roman" w:eastAsia="Times New Roman" w:hAnsi="Times New Roman" w:cs="Times New Roman"/>
          <w:color w:val="000000"/>
          <w:sz w:val="24"/>
          <w:lang w:val="en-US"/>
        </w:rPr>
        <w:t>Part 6 (Reporting and notification obligations) of the Rule, persons (i.e. refinery</w:t>
      </w:r>
      <w:r>
        <w:rPr>
          <w:rFonts w:ascii="Times New Roman" w:eastAsia="Times New Roman" w:hAnsi="Times New Roman" w:cs="Times New Roman"/>
          <w:color w:val="000000"/>
          <w:sz w:val="24"/>
          <w:lang w:val="en-US"/>
        </w:rPr>
        <w:t xml:space="preserve"> operators)</w:t>
      </w:r>
      <w:r w:rsidRPr="00583590">
        <w:rPr>
          <w:rFonts w:ascii="Times New Roman" w:eastAsia="Times New Roman" w:hAnsi="Times New Roman" w:cs="Times New Roman"/>
          <w:color w:val="000000"/>
          <w:sz w:val="24"/>
          <w:lang w:val="en-US"/>
        </w:rPr>
        <w:t xml:space="preserve"> will be subject to various mandatory reporting</w:t>
      </w:r>
      <w:r>
        <w:rPr>
          <w:rFonts w:ascii="Times New Roman" w:eastAsia="Times New Roman" w:hAnsi="Times New Roman" w:cs="Times New Roman"/>
          <w:color w:val="000000"/>
          <w:sz w:val="24"/>
          <w:lang w:val="en-US"/>
        </w:rPr>
        <w:t xml:space="preserve"> </w:t>
      </w:r>
      <w:r w:rsidRPr="00583590">
        <w:rPr>
          <w:rFonts w:ascii="Times New Roman" w:eastAsia="Times New Roman" w:hAnsi="Times New Roman" w:cs="Times New Roman"/>
          <w:color w:val="000000"/>
          <w:sz w:val="24"/>
          <w:lang w:val="en-US"/>
        </w:rPr>
        <w:t xml:space="preserve">and notification obligations. </w:t>
      </w:r>
    </w:p>
    <w:p w:rsidR="00B53ED9" w:rsidRPr="00B53ED9" w:rsidRDefault="002E0810" w:rsidP="002E0810">
      <w:pPr>
        <w:spacing w:before="320" w:after="0" w:line="317" w:lineRule="exact"/>
        <w:ind w:right="72"/>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w:t>
      </w:r>
      <w:r w:rsidRPr="00583590">
        <w:rPr>
          <w:rFonts w:ascii="Times New Roman" w:eastAsia="Times New Roman" w:hAnsi="Times New Roman" w:cs="Times New Roman"/>
          <w:color w:val="000000"/>
          <w:sz w:val="24"/>
          <w:lang w:val="en-US"/>
        </w:rPr>
        <w:t>he nature of the information required to be provided under these clauses will almost solely relate to refinery operations, fuel production volumes, and other matters relating to the business of refining fuel</w:t>
      </w:r>
      <w:r>
        <w:rPr>
          <w:rFonts w:ascii="Times New Roman" w:eastAsia="Times New Roman" w:hAnsi="Times New Roman" w:cs="Times New Roman"/>
          <w:color w:val="000000"/>
          <w:sz w:val="24"/>
          <w:lang w:val="en-US"/>
        </w:rPr>
        <w:t xml:space="preserve">. </w:t>
      </w:r>
      <w:r w:rsidR="00B53ED9" w:rsidRPr="00B53ED9">
        <w:rPr>
          <w:rFonts w:ascii="Times New Roman" w:eastAsia="Times New Roman" w:hAnsi="Times New Roman" w:cs="Times New Roman"/>
          <w:color w:val="000000"/>
          <w:sz w:val="24"/>
          <w:lang w:val="en-US"/>
        </w:rPr>
        <w:t>For example, under s</w:t>
      </w:r>
      <w:r w:rsidR="004C095B" w:rsidRPr="00B53ED9">
        <w:rPr>
          <w:rFonts w:ascii="Times New Roman" w:eastAsia="Times New Roman" w:hAnsi="Times New Roman" w:cs="Times New Roman"/>
          <w:color w:val="000000"/>
          <w:sz w:val="24"/>
          <w:lang w:val="en-US"/>
        </w:rPr>
        <w:t>ection</w:t>
      </w:r>
      <w:r w:rsidR="00B53ED9" w:rsidRPr="00B53ED9">
        <w:rPr>
          <w:rFonts w:ascii="Times New Roman" w:eastAsia="Times New Roman" w:hAnsi="Times New Roman" w:cs="Times New Roman"/>
          <w:color w:val="000000"/>
          <w:sz w:val="24"/>
          <w:lang w:val="en-US"/>
        </w:rPr>
        <w:t>s</w:t>
      </w:r>
      <w:r w:rsidR="004C095B" w:rsidRPr="00B53ED9">
        <w:rPr>
          <w:rFonts w:ascii="Times New Roman" w:eastAsia="Times New Roman" w:hAnsi="Times New Roman" w:cs="Times New Roman"/>
          <w:color w:val="000000"/>
          <w:sz w:val="24"/>
          <w:lang w:val="en-US"/>
        </w:rPr>
        <w:t xml:space="preserve"> 16</w:t>
      </w:r>
      <w:r w:rsidR="00B53ED9" w:rsidRPr="00B53ED9">
        <w:rPr>
          <w:rFonts w:ascii="Times New Roman" w:eastAsia="Times New Roman" w:hAnsi="Times New Roman" w:cs="Times New Roman"/>
          <w:color w:val="000000"/>
          <w:sz w:val="24"/>
          <w:lang w:val="en-US"/>
        </w:rPr>
        <w:t>, 17 and 18 of the Rule, refinery operators are required to report or notify the Secretary of the following:</w:t>
      </w:r>
    </w:p>
    <w:p w:rsidR="00B53ED9" w:rsidRPr="00B53ED9" w:rsidRDefault="004C095B" w:rsidP="00B53ED9">
      <w:pPr>
        <w:pStyle w:val="ListParagraph"/>
        <w:numPr>
          <w:ilvl w:val="0"/>
          <w:numId w:val="19"/>
        </w:numPr>
        <w:spacing w:before="320" w:after="0" w:line="317" w:lineRule="exact"/>
        <w:ind w:right="72"/>
        <w:textAlignment w:val="baseline"/>
        <w:rPr>
          <w:rFonts w:ascii="Times New Roman" w:eastAsia="Times New Roman" w:hAnsi="Times New Roman" w:cs="Times New Roman"/>
          <w:color w:val="000000"/>
          <w:sz w:val="24"/>
          <w:lang w:val="en-US"/>
        </w:rPr>
      </w:pPr>
      <w:r w:rsidRPr="00B53ED9">
        <w:rPr>
          <w:rFonts w:ascii="Times New Roman" w:eastAsia="Times New Roman" w:hAnsi="Times New Roman" w:cs="Times New Roman"/>
          <w:color w:val="000000"/>
          <w:sz w:val="24"/>
          <w:lang w:val="en-US"/>
        </w:rPr>
        <w:t xml:space="preserve">reasons why a refinery has failed to meet the refining requirements under </w:t>
      </w:r>
      <w:r w:rsidR="00D05943">
        <w:rPr>
          <w:rFonts w:ascii="Times New Roman" w:eastAsia="Times New Roman" w:hAnsi="Times New Roman" w:cs="Times New Roman"/>
          <w:color w:val="000000"/>
          <w:sz w:val="24"/>
          <w:lang w:val="en-US"/>
        </w:rPr>
        <w:t>sub</w:t>
      </w:r>
      <w:r w:rsidRPr="00B53ED9">
        <w:rPr>
          <w:rFonts w:ascii="Times New Roman" w:eastAsia="Times New Roman" w:hAnsi="Times New Roman" w:cs="Times New Roman"/>
          <w:color w:val="000000"/>
          <w:sz w:val="24"/>
          <w:lang w:val="en-US"/>
        </w:rPr>
        <w:t>sec</w:t>
      </w:r>
      <w:r w:rsidR="00B53ED9" w:rsidRPr="00B53ED9">
        <w:rPr>
          <w:rFonts w:ascii="Times New Roman" w:eastAsia="Times New Roman" w:hAnsi="Times New Roman" w:cs="Times New Roman"/>
          <w:color w:val="000000"/>
          <w:sz w:val="24"/>
          <w:lang w:val="en-US"/>
        </w:rPr>
        <w:t>tion 7</w:t>
      </w:r>
      <w:r w:rsidR="00D05943">
        <w:rPr>
          <w:rFonts w:ascii="Times New Roman" w:eastAsia="Times New Roman" w:hAnsi="Times New Roman" w:cs="Times New Roman"/>
          <w:color w:val="000000"/>
          <w:sz w:val="24"/>
          <w:lang w:val="en-US"/>
        </w:rPr>
        <w:t>(2)</w:t>
      </w:r>
      <w:r w:rsidR="00B53ED9" w:rsidRPr="00B53ED9">
        <w:rPr>
          <w:rFonts w:ascii="Times New Roman" w:eastAsia="Times New Roman" w:hAnsi="Times New Roman" w:cs="Times New Roman"/>
          <w:color w:val="000000"/>
          <w:sz w:val="24"/>
          <w:lang w:val="en-US"/>
        </w:rPr>
        <w:t xml:space="preserve"> </w:t>
      </w:r>
      <w:r w:rsidR="00227E93">
        <w:rPr>
          <w:rFonts w:ascii="Times New Roman" w:eastAsia="Times New Roman" w:hAnsi="Times New Roman" w:cs="Times New Roman"/>
          <w:color w:val="000000"/>
          <w:sz w:val="24"/>
          <w:lang w:val="en-US"/>
        </w:rPr>
        <w:t xml:space="preserve">of the Rule </w:t>
      </w:r>
      <w:r w:rsidR="00B53ED9" w:rsidRPr="00B53ED9">
        <w:rPr>
          <w:rFonts w:ascii="Times New Roman" w:eastAsia="Times New Roman" w:hAnsi="Times New Roman" w:cs="Times New Roman"/>
          <w:color w:val="000000"/>
          <w:sz w:val="24"/>
          <w:lang w:val="en-US"/>
        </w:rPr>
        <w:t>in the preceding quarter;</w:t>
      </w:r>
      <w:r w:rsidR="00B53ED9">
        <w:rPr>
          <w:rFonts w:ascii="Times New Roman" w:eastAsia="Times New Roman" w:hAnsi="Times New Roman" w:cs="Times New Roman"/>
          <w:color w:val="000000"/>
          <w:sz w:val="24"/>
          <w:lang w:val="en-US"/>
        </w:rPr>
        <w:t xml:space="preserve"> </w:t>
      </w:r>
    </w:p>
    <w:p w:rsidR="00B53ED9" w:rsidRPr="00B53ED9" w:rsidRDefault="004C095B" w:rsidP="00B53ED9">
      <w:pPr>
        <w:pStyle w:val="ListParagraph"/>
        <w:numPr>
          <w:ilvl w:val="0"/>
          <w:numId w:val="19"/>
        </w:numPr>
        <w:spacing w:before="320" w:after="0" w:line="317" w:lineRule="exact"/>
        <w:ind w:right="72"/>
        <w:textAlignment w:val="baseline"/>
        <w:rPr>
          <w:rFonts w:ascii="Times New Roman" w:eastAsia="Times New Roman" w:hAnsi="Times New Roman" w:cs="Times New Roman"/>
          <w:color w:val="000000"/>
          <w:sz w:val="24"/>
          <w:lang w:val="en-US"/>
        </w:rPr>
      </w:pPr>
      <w:r w:rsidRPr="00B53ED9">
        <w:rPr>
          <w:rFonts w:ascii="Times New Roman" w:eastAsia="Times New Roman" w:hAnsi="Times New Roman" w:cs="Times New Roman"/>
          <w:color w:val="000000"/>
          <w:sz w:val="24"/>
          <w:lang w:val="en-US"/>
        </w:rPr>
        <w:t>reasons why no FSSP fuel was refined at a committed refinery in the preceding quarter</w:t>
      </w:r>
      <w:r w:rsidR="00B53ED9" w:rsidRPr="00B53ED9">
        <w:rPr>
          <w:rFonts w:ascii="Times New Roman" w:eastAsia="Times New Roman" w:hAnsi="Times New Roman" w:cs="Times New Roman"/>
          <w:color w:val="000000"/>
          <w:sz w:val="24"/>
          <w:lang w:val="en-US"/>
        </w:rPr>
        <w:t>;</w:t>
      </w:r>
      <w:r w:rsidRPr="00B53ED9">
        <w:rPr>
          <w:rFonts w:ascii="Times New Roman" w:eastAsia="Times New Roman" w:hAnsi="Times New Roman" w:cs="Times New Roman"/>
          <w:color w:val="000000"/>
          <w:sz w:val="24"/>
          <w:lang w:val="en-US"/>
        </w:rPr>
        <w:t xml:space="preserve"> </w:t>
      </w:r>
    </w:p>
    <w:p w:rsidR="002C2D4C" w:rsidRPr="00B53ED9" w:rsidRDefault="002C2D4C" w:rsidP="002C2D4C">
      <w:pPr>
        <w:pStyle w:val="ListParagraph"/>
        <w:numPr>
          <w:ilvl w:val="0"/>
          <w:numId w:val="19"/>
        </w:numPr>
        <w:spacing w:before="320" w:after="0" w:line="317" w:lineRule="exact"/>
        <w:ind w:right="72"/>
        <w:textAlignment w:val="baseline"/>
        <w:rPr>
          <w:rFonts w:ascii="Times New Roman" w:eastAsia="Times New Roman" w:hAnsi="Times New Roman" w:cs="Times New Roman"/>
          <w:color w:val="000000"/>
          <w:sz w:val="24"/>
          <w:lang w:val="en-US"/>
        </w:rPr>
      </w:pPr>
      <w:r w:rsidRPr="002C2D4C">
        <w:rPr>
          <w:rFonts w:ascii="Times New Roman" w:eastAsia="Times New Roman" w:hAnsi="Times New Roman" w:cs="Times New Roman"/>
          <w:color w:val="000000"/>
          <w:sz w:val="24"/>
          <w:lang w:val="en-US"/>
        </w:rPr>
        <w:t xml:space="preserve">specific kinds of information relating to either </w:t>
      </w:r>
      <w:r>
        <w:rPr>
          <w:rFonts w:ascii="Times New Roman" w:eastAsia="Times New Roman" w:hAnsi="Times New Roman" w:cs="Times New Roman"/>
          <w:color w:val="000000"/>
          <w:sz w:val="24"/>
          <w:lang w:val="en-US"/>
        </w:rPr>
        <w:t>a</w:t>
      </w:r>
      <w:r w:rsidRPr="002C2D4C">
        <w:rPr>
          <w:rFonts w:ascii="Times New Roman" w:eastAsia="Times New Roman" w:hAnsi="Times New Roman" w:cs="Times New Roman"/>
          <w:color w:val="000000"/>
          <w:sz w:val="24"/>
          <w:lang w:val="en-US"/>
        </w:rPr>
        <w:t xml:space="preserve"> force majeure event or material adverse change, as applicable, including evidence to support a conclusion that the event or change has caused the committed refinery to become commercially or operationally unviable, any steps taken or proposed to be taken to prevent or limit th</w:t>
      </w:r>
      <w:r>
        <w:rPr>
          <w:rFonts w:ascii="Times New Roman" w:eastAsia="Times New Roman" w:hAnsi="Times New Roman" w:cs="Times New Roman"/>
          <w:color w:val="000000"/>
          <w:sz w:val="24"/>
          <w:lang w:val="en-US"/>
        </w:rPr>
        <w:t xml:space="preserve">e effect of the event or change, </w:t>
      </w:r>
      <w:r w:rsidRPr="002C2D4C">
        <w:rPr>
          <w:rFonts w:ascii="Times New Roman" w:eastAsia="Times New Roman" w:hAnsi="Times New Roman" w:cs="Times New Roman"/>
          <w:color w:val="000000"/>
          <w:sz w:val="24"/>
          <w:lang w:val="en-US"/>
        </w:rPr>
        <w:t>and the costs of addressing the event or change</w:t>
      </w:r>
      <w:r>
        <w:rPr>
          <w:rFonts w:ascii="Times New Roman" w:eastAsia="Times New Roman" w:hAnsi="Times New Roman" w:cs="Times New Roman"/>
          <w:color w:val="000000"/>
          <w:sz w:val="24"/>
          <w:lang w:val="en-US"/>
        </w:rPr>
        <w:t>;</w:t>
      </w:r>
    </w:p>
    <w:p w:rsidR="00B53ED9" w:rsidRPr="00B53ED9" w:rsidRDefault="004C095B" w:rsidP="00B53ED9">
      <w:pPr>
        <w:pStyle w:val="ListParagraph"/>
        <w:numPr>
          <w:ilvl w:val="0"/>
          <w:numId w:val="19"/>
        </w:numPr>
        <w:spacing w:before="320" w:after="0" w:line="317" w:lineRule="exact"/>
        <w:ind w:right="72"/>
        <w:textAlignment w:val="baseline"/>
        <w:rPr>
          <w:rFonts w:ascii="Times New Roman" w:eastAsia="Times New Roman" w:hAnsi="Times New Roman" w:cs="Times New Roman"/>
          <w:color w:val="000000"/>
          <w:sz w:val="24"/>
          <w:lang w:val="en-US"/>
        </w:rPr>
      </w:pPr>
      <w:r w:rsidRPr="00B53ED9">
        <w:rPr>
          <w:rFonts w:ascii="Times New Roman" w:eastAsia="Times New Roman" w:hAnsi="Times New Roman" w:cs="Times New Roman"/>
          <w:color w:val="000000"/>
          <w:sz w:val="24"/>
          <w:lang w:val="en-US"/>
        </w:rPr>
        <w:t>if a force majeure event or material adverse change has occurred, or is likely to occur, that has the potential to result in the closure of</w:t>
      </w:r>
      <w:r w:rsidR="00B53ED9">
        <w:rPr>
          <w:rFonts w:ascii="Times New Roman" w:eastAsia="Times New Roman" w:hAnsi="Times New Roman" w:cs="Times New Roman"/>
          <w:color w:val="000000"/>
          <w:sz w:val="24"/>
          <w:lang w:val="en-US"/>
        </w:rPr>
        <w:t xml:space="preserve"> the refinery</w:t>
      </w:r>
      <w:r w:rsidRPr="00B53ED9">
        <w:rPr>
          <w:rFonts w:ascii="Times New Roman" w:eastAsia="Times New Roman" w:hAnsi="Times New Roman" w:cs="Times New Roman"/>
          <w:color w:val="000000"/>
          <w:sz w:val="24"/>
          <w:lang w:val="en-US"/>
        </w:rPr>
        <w:t xml:space="preserve">; </w:t>
      </w:r>
    </w:p>
    <w:p w:rsidR="004C095B" w:rsidRPr="00B53ED9" w:rsidRDefault="00B53ED9" w:rsidP="00B53ED9">
      <w:pPr>
        <w:pStyle w:val="ListParagraph"/>
        <w:numPr>
          <w:ilvl w:val="0"/>
          <w:numId w:val="19"/>
        </w:numPr>
        <w:spacing w:before="320" w:after="0" w:line="317" w:lineRule="exact"/>
        <w:ind w:right="72"/>
        <w:textAlignment w:val="baseline"/>
        <w:rPr>
          <w:rFonts w:ascii="Times New Roman" w:eastAsia="Times New Roman" w:hAnsi="Times New Roman" w:cs="Times New Roman"/>
          <w:color w:val="000000"/>
          <w:sz w:val="24"/>
          <w:lang w:val="en-US"/>
        </w:rPr>
      </w:pPr>
      <w:r w:rsidRPr="00B53ED9">
        <w:rPr>
          <w:rFonts w:ascii="Times New Roman" w:eastAsia="Times New Roman" w:hAnsi="Times New Roman" w:cs="Times New Roman"/>
          <w:color w:val="000000"/>
          <w:sz w:val="24"/>
          <w:lang w:val="en-US"/>
        </w:rPr>
        <w:t xml:space="preserve">if a </w:t>
      </w:r>
      <w:r w:rsidR="004C095B" w:rsidRPr="00B53ED9">
        <w:rPr>
          <w:rFonts w:ascii="Times New Roman" w:eastAsia="Times New Roman" w:hAnsi="Times New Roman" w:cs="Times New Roman"/>
          <w:color w:val="000000"/>
          <w:sz w:val="24"/>
          <w:lang w:val="en-US"/>
        </w:rPr>
        <w:t>change has occurred, or is likely to occur, for an Australian controlling corporation who has provided a deed of security for the refinery operator that impacts, or is likely to impact, the ability for that corporation to fulfil its obligations under the deed.</w:t>
      </w:r>
    </w:p>
    <w:p w:rsidR="002E0810" w:rsidRPr="00583590" w:rsidRDefault="002E0810" w:rsidP="00B53ED9">
      <w:pPr>
        <w:spacing w:before="320" w:after="0" w:line="317" w:lineRule="exact"/>
        <w:ind w:right="72"/>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It is highly unlikely any </w:t>
      </w:r>
      <w:r w:rsidRPr="00583590">
        <w:rPr>
          <w:rFonts w:ascii="Times New Roman" w:eastAsia="Times New Roman" w:hAnsi="Times New Roman" w:cs="Times New Roman"/>
          <w:color w:val="000000"/>
          <w:sz w:val="24"/>
          <w:lang w:val="en-US"/>
        </w:rPr>
        <w:t xml:space="preserve">personal information about identifiable individuals </w:t>
      </w:r>
      <w:r>
        <w:rPr>
          <w:rFonts w:ascii="Times New Roman" w:eastAsia="Times New Roman" w:hAnsi="Times New Roman" w:cs="Times New Roman"/>
          <w:color w:val="000000"/>
          <w:sz w:val="24"/>
          <w:lang w:val="en-US"/>
        </w:rPr>
        <w:t>will be collected</w:t>
      </w:r>
      <w:r w:rsidRPr="00583590">
        <w:rPr>
          <w:rFonts w:ascii="Times New Roman" w:eastAsia="Times New Roman" w:hAnsi="Times New Roman" w:cs="Times New Roman"/>
          <w:color w:val="000000"/>
          <w:sz w:val="24"/>
          <w:lang w:val="en-US"/>
        </w:rPr>
        <w:t xml:space="preserve"> under </w:t>
      </w:r>
      <w:r w:rsidR="004C095B">
        <w:rPr>
          <w:rFonts w:ascii="Times New Roman" w:eastAsia="Times New Roman" w:hAnsi="Times New Roman" w:cs="Times New Roman"/>
          <w:color w:val="000000"/>
          <w:sz w:val="24"/>
          <w:lang w:val="en-US"/>
        </w:rPr>
        <w:t xml:space="preserve">any of the abovementioned </w:t>
      </w:r>
      <w:r w:rsidR="00B53ED9">
        <w:rPr>
          <w:rFonts w:ascii="Times New Roman" w:eastAsia="Times New Roman" w:hAnsi="Times New Roman" w:cs="Times New Roman"/>
          <w:color w:val="000000"/>
          <w:sz w:val="24"/>
          <w:lang w:val="en-US"/>
        </w:rPr>
        <w:t xml:space="preserve">reporting and notification </w:t>
      </w:r>
      <w:r w:rsidR="004C095B">
        <w:rPr>
          <w:rFonts w:ascii="Times New Roman" w:eastAsia="Times New Roman" w:hAnsi="Times New Roman" w:cs="Times New Roman"/>
          <w:color w:val="000000"/>
          <w:sz w:val="24"/>
          <w:lang w:val="en-US"/>
        </w:rPr>
        <w:t xml:space="preserve">provisions of </w:t>
      </w:r>
      <w:r w:rsidRPr="00583590">
        <w:rPr>
          <w:rFonts w:ascii="Times New Roman" w:eastAsia="Times New Roman" w:hAnsi="Times New Roman" w:cs="Times New Roman"/>
          <w:color w:val="000000"/>
          <w:sz w:val="24"/>
          <w:lang w:val="en-US"/>
        </w:rPr>
        <w:t xml:space="preserve">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w:t>
      </w:r>
      <w:r w:rsidR="00B53ED9">
        <w:rPr>
          <w:rFonts w:ascii="Times New Roman" w:eastAsia="Times New Roman" w:hAnsi="Times New Roman" w:cs="Times New Roman"/>
          <w:color w:val="000000"/>
          <w:sz w:val="24"/>
          <w:lang w:val="en-US"/>
        </w:rPr>
        <w:t xml:space="preserve"> Therefore</w:t>
      </w:r>
      <w:r w:rsidR="004C095B" w:rsidRPr="004C095B">
        <w:rPr>
          <w:rFonts w:ascii="Times New Roman" w:eastAsia="Times New Roman" w:hAnsi="Times New Roman" w:cs="Times New Roman"/>
          <w:color w:val="000000"/>
          <w:sz w:val="24"/>
          <w:lang w:val="en-US"/>
        </w:rPr>
        <w:t xml:space="preserve">, it </w:t>
      </w:r>
      <w:r w:rsidR="007D434E">
        <w:rPr>
          <w:rFonts w:ascii="Times New Roman" w:eastAsia="Times New Roman" w:hAnsi="Times New Roman" w:cs="Times New Roman"/>
          <w:color w:val="000000"/>
          <w:sz w:val="24"/>
          <w:lang w:val="en-US"/>
        </w:rPr>
        <w:t>is</w:t>
      </w:r>
      <w:r w:rsidR="004C095B" w:rsidRPr="004C095B">
        <w:rPr>
          <w:rFonts w:ascii="Times New Roman" w:eastAsia="Times New Roman" w:hAnsi="Times New Roman" w:cs="Times New Roman"/>
          <w:color w:val="000000"/>
          <w:sz w:val="24"/>
          <w:lang w:val="en-US"/>
        </w:rPr>
        <w:t xml:space="preserve"> unlikely t</w:t>
      </w:r>
      <w:r w:rsidRPr="004C095B">
        <w:rPr>
          <w:rFonts w:ascii="Times New Roman" w:eastAsia="Times New Roman" w:hAnsi="Times New Roman" w:cs="Times New Roman"/>
          <w:color w:val="000000"/>
          <w:sz w:val="24"/>
          <w:lang w:val="en-US"/>
        </w:rPr>
        <w:t>he Rule engage</w:t>
      </w:r>
      <w:r w:rsidR="004C095B" w:rsidRPr="004C095B">
        <w:rPr>
          <w:rFonts w:ascii="Times New Roman" w:eastAsia="Times New Roman" w:hAnsi="Times New Roman" w:cs="Times New Roman"/>
          <w:color w:val="000000"/>
          <w:sz w:val="24"/>
          <w:lang w:val="en-US"/>
        </w:rPr>
        <w:t>s</w:t>
      </w:r>
      <w:r w:rsidRPr="004C095B">
        <w:rPr>
          <w:rFonts w:ascii="Times New Roman" w:eastAsia="Times New Roman" w:hAnsi="Times New Roman" w:cs="Times New Roman"/>
          <w:color w:val="000000"/>
          <w:sz w:val="24"/>
          <w:lang w:val="en-US"/>
        </w:rPr>
        <w:t xml:space="preserve"> </w:t>
      </w:r>
      <w:r w:rsidR="004C095B" w:rsidRPr="004C095B">
        <w:rPr>
          <w:rFonts w:ascii="Times New Roman" w:eastAsia="Times New Roman" w:hAnsi="Times New Roman" w:cs="Times New Roman"/>
          <w:color w:val="000000"/>
          <w:sz w:val="24"/>
          <w:lang w:val="en-US"/>
        </w:rPr>
        <w:t>or</w:t>
      </w:r>
      <w:r w:rsidRPr="004C095B">
        <w:rPr>
          <w:rFonts w:ascii="Times New Roman" w:eastAsia="Times New Roman" w:hAnsi="Times New Roman" w:cs="Times New Roman"/>
          <w:color w:val="000000"/>
          <w:sz w:val="24"/>
          <w:lang w:val="en-US"/>
        </w:rPr>
        <w:t xml:space="preserve"> limit</w:t>
      </w:r>
      <w:r w:rsidR="004C095B" w:rsidRPr="004C095B">
        <w:rPr>
          <w:rFonts w:ascii="Times New Roman" w:eastAsia="Times New Roman" w:hAnsi="Times New Roman" w:cs="Times New Roman"/>
          <w:color w:val="000000"/>
          <w:sz w:val="24"/>
          <w:lang w:val="en-US"/>
        </w:rPr>
        <w:t>s</w:t>
      </w:r>
      <w:r w:rsidRPr="004C095B">
        <w:rPr>
          <w:rFonts w:ascii="Times New Roman" w:eastAsia="Times New Roman" w:hAnsi="Times New Roman" w:cs="Times New Roman"/>
          <w:color w:val="000000"/>
          <w:sz w:val="24"/>
          <w:lang w:val="en-US"/>
        </w:rPr>
        <w:t xml:space="preserve"> the right to privacy.</w:t>
      </w:r>
    </w:p>
    <w:p w:rsidR="005209D5" w:rsidRPr="00583590" w:rsidRDefault="005209D5" w:rsidP="005209D5">
      <w:pPr>
        <w:spacing w:before="366" w:after="0" w:line="274" w:lineRule="exact"/>
        <w:textAlignment w:val="baseline"/>
        <w:rPr>
          <w:rFonts w:ascii="Times New Roman" w:eastAsia="Times New Roman" w:hAnsi="Times New Roman" w:cs="Times New Roman"/>
          <w:b/>
          <w:color w:val="000000"/>
          <w:sz w:val="24"/>
          <w:lang w:val="en-US"/>
        </w:rPr>
      </w:pPr>
      <w:r w:rsidRPr="00583590">
        <w:rPr>
          <w:rFonts w:ascii="Times New Roman" w:eastAsia="Times New Roman" w:hAnsi="Times New Roman" w:cs="Times New Roman"/>
          <w:b/>
          <w:color w:val="000000"/>
          <w:sz w:val="24"/>
          <w:lang w:val="en-US"/>
        </w:rPr>
        <w:t>Right not to incriminate oneself – Article 14(3)(g) ICCPR</w:t>
      </w:r>
    </w:p>
    <w:p w:rsidR="005209D5" w:rsidRDefault="005209D5" w:rsidP="005209D5">
      <w:pPr>
        <w:spacing w:before="3" w:after="0" w:line="316" w:lineRule="exact"/>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t xml:space="preserve">While noting the matters referred to above regarding the fact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will primarily regulate entities that are not individuals, for completeness consideration has been given to whether the obligations established under the </w:t>
      </w:r>
      <w:r>
        <w:rPr>
          <w:rFonts w:ascii="Times New Roman" w:eastAsia="Times New Roman" w:hAnsi="Times New Roman" w:cs="Times New Roman"/>
          <w:color w:val="000000"/>
          <w:sz w:val="24"/>
          <w:lang w:val="en-US"/>
        </w:rPr>
        <w:t xml:space="preserve">Rule to report </w:t>
      </w:r>
      <w:r w:rsidRPr="00583590">
        <w:rPr>
          <w:rFonts w:ascii="Times New Roman" w:eastAsia="Times New Roman" w:hAnsi="Times New Roman" w:cs="Times New Roman"/>
          <w:color w:val="000000"/>
          <w:sz w:val="24"/>
          <w:lang w:val="en-US"/>
        </w:rPr>
        <w:t>or notify certain matters potentially engage the right not to incriminate oneself.</w:t>
      </w:r>
    </w:p>
    <w:p w:rsidR="005209D5" w:rsidRPr="00583590" w:rsidRDefault="005209D5" w:rsidP="005209D5">
      <w:pPr>
        <w:spacing w:before="3" w:after="0" w:line="316" w:lineRule="exact"/>
        <w:textAlignment w:val="baseline"/>
        <w:rPr>
          <w:rFonts w:ascii="Times New Roman" w:eastAsia="Times New Roman" w:hAnsi="Times New Roman" w:cs="Times New Roman"/>
          <w:color w:val="000000"/>
          <w:sz w:val="24"/>
          <w:lang w:val="en-US"/>
        </w:rPr>
      </w:pPr>
    </w:p>
    <w:p w:rsidR="005209D5" w:rsidRPr="005209D5" w:rsidRDefault="005209D5" w:rsidP="005209D5">
      <w:pPr>
        <w:spacing w:before="5" w:after="0" w:line="316" w:lineRule="exact"/>
        <w:ind w:right="144"/>
        <w:textAlignment w:val="baseline"/>
        <w:rPr>
          <w:rFonts w:ascii="Times New Roman" w:eastAsia="Times New Roman" w:hAnsi="Times New Roman" w:cs="Times New Roman"/>
          <w:color w:val="000000"/>
          <w:sz w:val="24"/>
          <w:lang w:val="en-US"/>
        </w:rPr>
      </w:pPr>
      <w:r w:rsidRPr="00583590">
        <w:rPr>
          <w:rFonts w:ascii="Times New Roman" w:eastAsia="Times New Roman" w:hAnsi="Times New Roman" w:cs="Times New Roman"/>
          <w:color w:val="000000"/>
          <w:sz w:val="24"/>
          <w:lang w:val="en-US"/>
        </w:rPr>
        <w:lastRenderedPageBreak/>
        <w:t xml:space="preserve">It is noted that any obligation to “report” </w:t>
      </w:r>
      <w:r w:rsidR="00B53ED9">
        <w:rPr>
          <w:rFonts w:ascii="Times New Roman" w:eastAsia="Times New Roman" w:hAnsi="Times New Roman" w:cs="Times New Roman"/>
          <w:color w:val="000000"/>
          <w:sz w:val="24"/>
          <w:lang w:val="en-US"/>
        </w:rPr>
        <w:t xml:space="preserve">or “notify” specified matters </w:t>
      </w:r>
      <w:r w:rsidRPr="00583590">
        <w:rPr>
          <w:rFonts w:ascii="Times New Roman" w:eastAsia="Times New Roman" w:hAnsi="Times New Roman" w:cs="Times New Roman"/>
          <w:color w:val="000000"/>
          <w:sz w:val="24"/>
          <w:lang w:val="en-US"/>
        </w:rPr>
        <w:t xml:space="preserve">is intended to only relate to information relevant to the FSSP scheme and it is not the policy intention that the relevant </w:t>
      </w:r>
      <w:r w:rsidRPr="00EA1B83">
        <w:rPr>
          <w:rFonts w:ascii="Times New Roman" w:eastAsia="Times New Roman" w:hAnsi="Times New Roman" w:cs="Times New Roman"/>
          <w:color w:val="000000"/>
          <w:sz w:val="24"/>
          <w:lang w:val="en-US"/>
        </w:rPr>
        <w:t xml:space="preserve">sections (see </w:t>
      </w:r>
      <w:r w:rsidRPr="00025ACD">
        <w:rPr>
          <w:rFonts w:ascii="Times New Roman" w:eastAsia="Times New Roman" w:hAnsi="Times New Roman" w:cs="Times New Roman"/>
          <w:color w:val="000000"/>
          <w:sz w:val="24"/>
          <w:lang w:val="en-US"/>
        </w:rPr>
        <w:t>Part 6</w:t>
      </w:r>
      <w:r w:rsidR="00227E93" w:rsidRPr="00025ACD">
        <w:rPr>
          <w:rFonts w:ascii="Times New Roman" w:eastAsia="Times New Roman" w:hAnsi="Times New Roman" w:cs="Times New Roman"/>
          <w:color w:val="000000"/>
          <w:sz w:val="24"/>
          <w:lang w:val="en-US"/>
        </w:rPr>
        <w:t xml:space="preserve"> of</w:t>
      </w:r>
      <w:r w:rsidR="00227E93">
        <w:rPr>
          <w:rFonts w:ascii="Times New Roman" w:eastAsia="Times New Roman" w:hAnsi="Times New Roman" w:cs="Times New Roman"/>
          <w:color w:val="000000"/>
          <w:sz w:val="24"/>
          <w:lang w:val="en-US"/>
        </w:rPr>
        <w:t xml:space="preserve"> the Rule</w:t>
      </w:r>
      <w:r>
        <w:rPr>
          <w:rFonts w:ascii="Times New Roman" w:eastAsia="Times New Roman" w:hAnsi="Times New Roman" w:cs="Times New Roman"/>
          <w:color w:val="000000"/>
          <w:sz w:val="24"/>
          <w:lang w:val="en-US"/>
        </w:rPr>
        <w:t xml:space="preserve">) </w:t>
      </w:r>
      <w:r w:rsidRPr="00583590">
        <w:rPr>
          <w:rFonts w:ascii="Times New Roman" w:eastAsia="Times New Roman" w:hAnsi="Times New Roman" w:cs="Times New Roman"/>
          <w:color w:val="000000"/>
          <w:sz w:val="24"/>
          <w:lang w:val="en-US"/>
        </w:rPr>
        <w:t xml:space="preserve">would abrogate ordinary common law privileges, such as the privileges against self-incrimination, self-exposure to a civil penalty and legal professional privilege. Accordingly, the </w:t>
      </w:r>
      <w:r>
        <w:rPr>
          <w:rFonts w:ascii="Times New Roman" w:eastAsia="Times New Roman" w:hAnsi="Times New Roman" w:cs="Times New Roman"/>
          <w:color w:val="000000"/>
          <w:sz w:val="24"/>
          <w:lang w:val="en-US"/>
        </w:rPr>
        <w:t>Rule</w:t>
      </w:r>
      <w:r w:rsidRPr="00583590">
        <w:rPr>
          <w:rFonts w:ascii="Times New Roman" w:eastAsia="Times New Roman" w:hAnsi="Times New Roman" w:cs="Times New Roman"/>
          <w:color w:val="000000"/>
          <w:sz w:val="24"/>
          <w:lang w:val="en-US"/>
        </w:rPr>
        <w:t xml:space="preserve"> does not limit the right of individuals not to incriminate oneself.</w:t>
      </w:r>
    </w:p>
    <w:p w:rsidR="00547F8D" w:rsidRPr="00547F8D" w:rsidRDefault="00547F8D" w:rsidP="00204848">
      <w:pPr>
        <w:spacing w:before="240" w:after="0"/>
        <w:rPr>
          <w:rFonts w:ascii="Times New Roman" w:hAnsi="Times New Roman" w:cs="Times New Roman"/>
          <w:b/>
          <w:sz w:val="24"/>
          <w:szCs w:val="24"/>
        </w:rPr>
      </w:pPr>
      <w:r w:rsidRPr="00547F8D">
        <w:rPr>
          <w:rFonts w:ascii="Times New Roman" w:hAnsi="Times New Roman" w:cs="Times New Roman"/>
          <w:b/>
          <w:sz w:val="24"/>
          <w:szCs w:val="24"/>
        </w:rPr>
        <w:t>Conclusion</w:t>
      </w:r>
    </w:p>
    <w:p w:rsidR="0091211E" w:rsidRDefault="005209D5">
      <w:pPr>
        <w:spacing w:after="758" w:line="315" w:lineRule="exact"/>
        <w:textAlignment w:val="baseline"/>
        <w:rPr>
          <w:rFonts w:ascii="Times New Roman" w:eastAsia="Times New Roman" w:hAnsi="Times New Roman" w:cs="Times New Roman"/>
          <w:color w:val="000000"/>
          <w:sz w:val="24"/>
          <w:lang w:val="en-US"/>
        </w:rPr>
      </w:pPr>
      <w:r>
        <w:rPr>
          <w:rFonts w:ascii="Times New Roman" w:hAnsi="Times New Roman" w:cs="Times New Roman"/>
          <w:sz w:val="24"/>
          <w:szCs w:val="24"/>
        </w:rPr>
        <w:t>This instrument is</w:t>
      </w:r>
      <w:r w:rsidR="00547F8D" w:rsidRPr="00547F8D">
        <w:rPr>
          <w:rFonts w:ascii="Times New Roman" w:hAnsi="Times New Roman" w:cs="Times New Roman"/>
          <w:sz w:val="24"/>
          <w:szCs w:val="24"/>
        </w:rPr>
        <w:t xml:space="preserve"> co</w:t>
      </w:r>
      <w:r>
        <w:rPr>
          <w:rFonts w:ascii="Times New Roman" w:hAnsi="Times New Roman" w:cs="Times New Roman"/>
          <w:sz w:val="24"/>
          <w:szCs w:val="24"/>
        </w:rPr>
        <w:t xml:space="preserve">mpatible with human rights </w:t>
      </w:r>
      <w:r w:rsidR="00583590" w:rsidRPr="00583590">
        <w:rPr>
          <w:rFonts w:ascii="Times New Roman" w:eastAsia="Times New Roman" w:hAnsi="Times New Roman" w:cs="Times New Roman"/>
          <w:color w:val="000000"/>
          <w:sz w:val="24"/>
          <w:lang w:val="en-US"/>
        </w:rPr>
        <w:t xml:space="preserve">because it considerably promotes the protection of the rights to an adequate standard of living and to continuous improvement of living conditions. While there are very few provisions of the </w:t>
      </w:r>
      <w:r>
        <w:rPr>
          <w:rFonts w:ascii="Times New Roman" w:eastAsia="Times New Roman" w:hAnsi="Times New Roman" w:cs="Times New Roman"/>
          <w:color w:val="000000"/>
          <w:sz w:val="24"/>
          <w:lang w:val="en-US"/>
        </w:rPr>
        <w:t>Rule</w:t>
      </w:r>
      <w:r w:rsidR="00583590" w:rsidRPr="00583590">
        <w:rPr>
          <w:rFonts w:ascii="Times New Roman" w:eastAsia="Times New Roman" w:hAnsi="Times New Roman" w:cs="Times New Roman"/>
          <w:color w:val="000000"/>
          <w:sz w:val="24"/>
          <w:lang w:val="en-US"/>
        </w:rPr>
        <w:t xml:space="preserve"> that regulate or engage the human rights of individuals, to the extent that it may limit human rights, those limitations are reasonable, necessary and proportionate.</w:t>
      </w:r>
    </w:p>
    <w:p w:rsidR="002B7A3A" w:rsidRPr="00547F8D" w:rsidRDefault="002B7A3A" w:rsidP="002B7A3A">
      <w:pPr>
        <w:spacing w:before="120" w:after="120"/>
        <w:jc w:val="center"/>
        <w:rPr>
          <w:rFonts w:ascii="Times New Roman" w:hAnsi="Times New Roman" w:cs="Times New Roman"/>
          <w:sz w:val="24"/>
          <w:szCs w:val="24"/>
        </w:rPr>
      </w:pPr>
    </w:p>
    <w:p w:rsidR="002B7A3A" w:rsidRDefault="002B7A3A" w:rsidP="002B7A3A">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rsidR="0091211E" w:rsidRDefault="002B7A3A" w:rsidP="00B13C76">
      <w:pPr>
        <w:spacing w:after="758" w:line="315" w:lineRule="exact"/>
        <w:jc w:val="center"/>
        <w:textAlignment w:val="baseline"/>
        <w:rPr>
          <w:rFonts w:ascii="Times New Roman" w:eastAsia="Times New Roman" w:hAnsi="Times New Roman" w:cs="Times New Roman"/>
          <w:color w:val="000000"/>
          <w:sz w:val="24"/>
          <w:lang w:val="en-US"/>
        </w:rPr>
        <w:sectPr w:rsidR="0091211E" w:rsidSect="002424DC">
          <w:pgSz w:w="11906" w:h="16838"/>
          <w:pgMar w:top="1440" w:right="1440" w:bottom="1440" w:left="1440" w:header="708" w:footer="708" w:gutter="0"/>
          <w:cols w:space="708"/>
          <w:titlePg/>
          <w:docGrid w:linePitch="360"/>
        </w:sectPr>
      </w:pPr>
      <w:r w:rsidRPr="00876C4F">
        <w:rPr>
          <w:rFonts w:ascii="Times New Roman" w:hAnsi="Times New Roman" w:cs="Times New Roman"/>
          <w:b/>
          <w:sz w:val="24"/>
          <w:szCs w:val="24"/>
        </w:rPr>
        <w:t>Minister for Energy and Emissions Reduction</w:t>
      </w:r>
    </w:p>
    <w:p w:rsidR="00B515E8" w:rsidRPr="00EF6CD9" w:rsidRDefault="00B515E8" w:rsidP="0091211E">
      <w:pPr>
        <w:rPr>
          <w:lang w:val="en-US"/>
        </w:rPr>
      </w:pPr>
    </w:p>
    <w:p w:rsidR="00F80E47" w:rsidRPr="00FC0BDE" w:rsidRDefault="00F80E47" w:rsidP="00F80E47">
      <w:pPr>
        <w:pStyle w:val="Title"/>
        <w:rPr>
          <w:rFonts w:asciiTheme="minorHAnsi" w:hAnsiTheme="minorHAnsi" w:cstheme="minorHAnsi"/>
          <w:sz w:val="36"/>
          <w:szCs w:val="36"/>
        </w:rPr>
      </w:pPr>
      <w:bookmarkStart w:id="1" w:name="_Toc19023741"/>
      <w:bookmarkStart w:id="2" w:name="_Toc19107846"/>
      <w:r w:rsidRPr="00FC0BDE">
        <w:rPr>
          <w:rFonts w:asciiTheme="minorHAnsi" w:hAnsiTheme="minorHAnsi" w:cstheme="minorHAnsi"/>
          <w:sz w:val="36"/>
          <w:szCs w:val="36"/>
        </w:rPr>
        <w:t>Fuel Security RIS</w:t>
      </w:r>
      <w:bookmarkEnd w:id="1"/>
      <w:bookmarkEnd w:id="2"/>
      <w:r w:rsidRPr="00FC0BDE">
        <w:rPr>
          <w:rFonts w:asciiTheme="minorHAnsi" w:hAnsiTheme="minorHAnsi" w:cstheme="minorHAnsi"/>
          <w:sz w:val="36"/>
          <w:szCs w:val="36"/>
        </w:rPr>
        <w:t xml:space="preserve"> – Addendum in relation to Fuel Security Services Payment (FSSP) Rule and Petroleum and Other Fuels Reporting (POFR) Amendment FSSP Rule</w:t>
      </w:r>
    </w:p>
    <w:p w:rsidR="00F80E47" w:rsidRPr="00FC0BDE" w:rsidRDefault="00F80E47" w:rsidP="00F80E47">
      <w:pPr>
        <w:pStyle w:val="Heading4"/>
        <w:rPr>
          <w:rFonts w:asciiTheme="minorHAnsi" w:hAnsiTheme="minorHAnsi" w:cstheme="minorHAnsi"/>
          <w:sz w:val="24"/>
          <w:szCs w:val="24"/>
        </w:rPr>
      </w:pPr>
      <w:r w:rsidRPr="00FC0BDE">
        <w:rPr>
          <w:rFonts w:asciiTheme="minorHAnsi" w:hAnsiTheme="minorHAnsi" w:cstheme="minorHAnsi"/>
          <w:sz w:val="24"/>
          <w:szCs w:val="24"/>
        </w:rPr>
        <w:t>Outline</w:t>
      </w:r>
    </w:p>
    <w:p w:rsidR="00F80E47" w:rsidRDefault="00F80E47" w:rsidP="00F80E47">
      <w:r>
        <w:t xml:space="preserve">On 26 May 2021, the Government published a Regulation Impact Statement (RIS) attached to the </w:t>
      </w:r>
      <w:r w:rsidRPr="00D17EC6">
        <w:rPr>
          <w:i/>
        </w:rPr>
        <w:t>Fuel Security Act 2021</w:t>
      </w:r>
      <w:r>
        <w:t xml:space="preserve"> (the Act). This RIS addendum provides additional information and analysis on one measure of the Act, the Fuel Security Services Payment (FSSP). The addendum addresses the estimated regulatory costs and benefits associated with the FSSP to affected entities. </w:t>
      </w:r>
    </w:p>
    <w:p w:rsidR="00F80E47" w:rsidRDefault="00F80E47" w:rsidP="00F80E47">
      <w:r>
        <w:t xml:space="preserve">This addendum notes that the regulatory costs will be minor in comparison to the financial support and benefits that will be received by affected entities.   </w:t>
      </w:r>
    </w:p>
    <w:p w:rsidR="00F80E47" w:rsidRPr="007C57B3" w:rsidRDefault="00F80E47" w:rsidP="00F80E47">
      <w:pPr>
        <w:spacing w:after="40"/>
        <w:rPr>
          <w:u w:val="single"/>
        </w:rPr>
      </w:pPr>
      <w:r w:rsidRPr="007C57B3">
        <w:rPr>
          <w:u w:val="single"/>
        </w:rPr>
        <w:t>About the FSSP</w:t>
      </w:r>
    </w:p>
    <w:p w:rsidR="00F80E47" w:rsidRDefault="00F80E47" w:rsidP="00F80E47">
      <w:r w:rsidRPr="00EF778A">
        <w:t>The Government’s FSSP</w:t>
      </w:r>
      <w:r>
        <w:t xml:space="preserve"> measure intends</w:t>
      </w:r>
      <w:r w:rsidRPr="00EF778A">
        <w:t xml:space="preserve"> to </w:t>
      </w:r>
      <w:r>
        <w:t xml:space="preserve">support and </w:t>
      </w:r>
      <w:r w:rsidRPr="00EF778A">
        <w:t xml:space="preserve">maintain an onshore, sovereign refining capability </w:t>
      </w:r>
      <w:r>
        <w:t>by providing a capped production payment to refineries on a cent per litre basis sufficient to ensure they do not make a loss</w:t>
      </w:r>
      <w:r w:rsidRPr="00A818A9">
        <w:t xml:space="preserve"> </w:t>
      </w:r>
      <w:r w:rsidRPr="00EF778A">
        <w:t>for primary transport fuels (petrol, diesel and jet fuel)</w:t>
      </w:r>
      <w:r>
        <w:t xml:space="preserve">.  Payments would not be made to refiners during times when they are making a profit. </w:t>
      </w:r>
    </w:p>
    <w:p w:rsidR="00F80E47" w:rsidRDefault="00F80E47" w:rsidP="00F80E47">
      <w:r>
        <w:t>The FSSP r</w:t>
      </w:r>
      <w:r w:rsidRPr="00EF778A">
        <w:t>ecogni</w:t>
      </w:r>
      <w:r>
        <w:t>ses</w:t>
      </w:r>
      <w:r w:rsidRPr="00EF778A">
        <w:t xml:space="preserve"> the </w:t>
      </w:r>
      <w:r>
        <w:t xml:space="preserve">critical role refineries play </w:t>
      </w:r>
      <w:r w:rsidRPr="00EF778A">
        <w:t>to Australia</w:t>
      </w:r>
      <w:r>
        <w:t>’s fuel security framework</w:t>
      </w:r>
      <w:r w:rsidRPr="00EF778A">
        <w:t xml:space="preserve">. Other </w:t>
      </w:r>
      <w:r>
        <w:t xml:space="preserve">important </w:t>
      </w:r>
      <w:r w:rsidRPr="00EF778A">
        <w:t xml:space="preserve">benefits </w:t>
      </w:r>
      <w:r>
        <w:t xml:space="preserve">achieved through the </w:t>
      </w:r>
      <w:r w:rsidRPr="00EF778A">
        <w:t>FSSP include retain</w:t>
      </w:r>
      <w:r>
        <w:t>ing jobs in the refinery sector</w:t>
      </w:r>
      <w:r w:rsidRPr="00EF778A">
        <w:t xml:space="preserve"> and maintaining support for both upstream and downstream sectors</w:t>
      </w:r>
      <w:r>
        <w:t>, such as the agricultural industry and the petrochemical industry.</w:t>
      </w:r>
    </w:p>
    <w:p w:rsidR="00F80E47" w:rsidRDefault="00F80E47" w:rsidP="00F80E47">
      <w:r w:rsidRPr="00EF778A">
        <w:t>In return</w:t>
      </w:r>
      <w:r>
        <w:t xml:space="preserve"> for funding support, refiners will make a </w:t>
      </w:r>
      <w:r w:rsidRPr="00EF778A">
        <w:t xml:space="preserve">commitment to continue </w:t>
      </w:r>
      <w:r>
        <w:t>refining</w:t>
      </w:r>
      <w:r w:rsidRPr="00EF778A">
        <w:t xml:space="preserve"> until at least 30 June 2027</w:t>
      </w:r>
      <w:r>
        <w:t>,</w:t>
      </w:r>
      <w:r w:rsidRPr="00EF778A">
        <w:t xml:space="preserve"> wi</w:t>
      </w:r>
      <w:r>
        <w:t xml:space="preserve">th an option to extend to 2030. </w:t>
      </w:r>
    </w:p>
    <w:p w:rsidR="00F80E47" w:rsidRDefault="00F80E47" w:rsidP="00F80E47">
      <w:r>
        <w:t>T</w:t>
      </w:r>
      <w:r w:rsidRPr="00EF778A">
        <w:t>h</w:t>
      </w:r>
      <w:r>
        <w:t>e</w:t>
      </w:r>
      <w:r w:rsidRPr="00EF778A">
        <w:t xml:space="preserve"> </w:t>
      </w:r>
      <w:r>
        <w:t>FSSP will</w:t>
      </w:r>
      <w:r w:rsidRPr="00EF778A">
        <w:t xml:space="preserve"> be </w:t>
      </w:r>
      <w:r>
        <w:t>variable</w:t>
      </w:r>
      <w:r w:rsidRPr="00EF778A">
        <w:t xml:space="preserve"> and tied to external market conditions, switching on and off to provide support only when refinery margins are poor.</w:t>
      </w:r>
    </w:p>
    <w:p w:rsidR="00F80E47" w:rsidRPr="00EF6CD9" w:rsidRDefault="00F80E47" w:rsidP="00F80E47">
      <w:pPr>
        <w:pStyle w:val="Heading4"/>
        <w:rPr>
          <w:rFonts w:asciiTheme="minorHAnsi" w:hAnsiTheme="minorHAnsi" w:cstheme="minorHAnsi"/>
          <w:sz w:val="24"/>
        </w:rPr>
      </w:pPr>
      <w:r w:rsidRPr="00EF6CD9">
        <w:rPr>
          <w:rFonts w:asciiTheme="minorHAnsi" w:hAnsiTheme="minorHAnsi" w:cstheme="minorHAnsi"/>
          <w:sz w:val="24"/>
        </w:rPr>
        <w:t>Requirements for applicants receiving FSSP</w:t>
      </w:r>
    </w:p>
    <w:p w:rsidR="00F80E47" w:rsidRPr="009B7023" w:rsidRDefault="00F80E47" w:rsidP="00F80E47">
      <w:r>
        <w:t xml:space="preserve">The FSSP poses limited ongoing regulatory impost on affected entities. Importantly, it is a voluntary scheme whereby refiners may apply to be included, and in doing so accept the regulatory impost associated under the </w:t>
      </w:r>
      <w:r w:rsidRPr="009F1EC4">
        <w:t xml:space="preserve">Act </w:t>
      </w:r>
      <w:r>
        <w:t>and the Fuel Security (Fuel Security Services Payment) Rule 2021 (the Rule). The anticipated regulatory impost is detailed below.</w:t>
      </w:r>
    </w:p>
    <w:p w:rsidR="00F80E47" w:rsidRPr="00A720C5" w:rsidRDefault="00F80E47" w:rsidP="00F80E47">
      <w:pPr>
        <w:spacing w:after="40"/>
        <w:rPr>
          <w:u w:val="single"/>
        </w:rPr>
      </w:pPr>
      <w:r w:rsidRPr="00A720C5">
        <w:rPr>
          <w:u w:val="single"/>
        </w:rPr>
        <w:t>Applications</w:t>
      </w:r>
    </w:p>
    <w:p w:rsidR="00F80E47" w:rsidRDefault="00F80E47" w:rsidP="00F80E47">
      <w:r>
        <w:t>Eligible FSSP industry participants will be required to make a one-off application to be approved by the relevant Minister to receive the support. Applicants will have to adhere to certain criteria prescribed by the Act and the Rule, including but not limited to providing basic business details of the entity, historical data on refining of FSSP fuels, and either a security from their parent companies or a bank guarantee in relation to the commitment to fulfil repayment obligations under the Act.</w:t>
      </w:r>
    </w:p>
    <w:p w:rsidR="00F80E47" w:rsidRDefault="00F80E47" w:rsidP="00F80E47">
      <w:pPr>
        <w:rPr>
          <w:u w:val="single"/>
        </w:rPr>
      </w:pPr>
    </w:p>
    <w:p w:rsidR="00F80E47" w:rsidRPr="00A720C5" w:rsidRDefault="00F80E47" w:rsidP="00F80E47">
      <w:pPr>
        <w:spacing w:after="40"/>
        <w:rPr>
          <w:u w:val="single"/>
        </w:rPr>
      </w:pPr>
      <w:r>
        <w:rPr>
          <w:u w:val="single"/>
        </w:rPr>
        <w:lastRenderedPageBreak/>
        <w:t>Re</w:t>
      </w:r>
      <w:r w:rsidRPr="00A720C5">
        <w:rPr>
          <w:u w:val="single"/>
        </w:rPr>
        <w:t>porting</w:t>
      </w:r>
      <w:r>
        <w:rPr>
          <w:u w:val="single"/>
        </w:rPr>
        <w:t xml:space="preserve"> and payments</w:t>
      </w:r>
    </w:p>
    <w:p w:rsidR="00F80E47" w:rsidRDefault="00F80E47" w:rsidP="00F80E47">
      <w:r>
        <w:t xml:space="preserve">If approved, refiners will be required to report production volumes of FSSP fuels to receive a quarterly payment (subject to profit margins). The report must be provided to the Secretary shortly after the end of each quarter. </w:t>
      </w:r>
    </w:p>
    <w:p w:rsidR="00F80E47" w:rsidRDefault="00F80E47" w:rsidP="00F80E47">
      <w:r>
        <w:t xml:space="preserve">Given refiners can leverage monthly production data they currently report under the </w:t>
      </w:r>
      <w:r w:rsidRPr="00E85FFC">
        <w:rPr>
          <w:i/>
        </w:rPr>
        <w:t>Petroleum and Other Fuels Reporting Act 2017</w:t>
      </w:r>
      <w:r>
        <w:t xml:space="preserve"> (POFR Act) to prepare the FSSP quarterly report, the additional reporting burden is expected to be minimal. </w:t>
      </w:r>
    </w:p>
    <w:p w:rsidR="00F80E47" w:rsidRDefault="00F80E47" w:rsidP="00F80E47">
      <w:r>
        <w:t>Approved FSSP participants will be paid quarterly in arrears. The FSSP payment rate will be calculated by the Department of Industry, Science, Energy and Resources, in accordance with the method prescribed by the Rule, at the end of each quarter. The rate will applied to the production volumes of FSSP fuels the refiner produced during that period.</w:t>
      </w:r>
    </w:p>
    <w:p w:rsidR="00F80E47" w:rsidRDefault="00F80E47" w:rsidP="00F80E47">
      <w:r>
        <w:t xml:space="preserve">Additionally, it is intended that refiners will be required to submit an audit report by 30 September 2022 for the first financial year of payments (starting 1 July 2021). Subsequent audit reports may be required if there are concerns about the accuracy of data </w:t>
      </w:r>
      <w:r w:rsidRPr="00E443D0">
        <w:t>reported under the POFR Act.</w:t>
      </w:r>
      <w:r>
        <w:t xml:space="preserve"> </w:t>
      </w:r>
    </w:p>
    <w:p w:rsidR="00F80E47" w:rsidRDefault="00F80E47" w:rsidP="00F80E47">
      <w:r w:rsidRPr="00647CDD">
        <w:t xml:space="preserve">A registered greenhouse and energy auditor must prepare the audit report in accordance with the requirements for reasonable assurance engagements under the </w:t>
      </w:r>
      <w:r w:rsidRPr="00011206">
        <w:rPr>
          <w:i/>
        </w:rPr>
        <w:t>National Greenhouse and Energy Reporting (Audit) Determination 2009</w:t>
      </w:r>
      <w:r>
        <w:t>.</w:t>
      </w:r>
    </w:p>
    <w:p w:rsidR="00F80E47" w:rsidRPr="000C40B8" w:rsidRDefault="00F80E47" w:rsidP="00F80E47">
      <w:pPr>
        <w:pStyle w:val="Heading4"/>
        <w:rPr>
          <w:rFonts w:asciiTheme="minorHAnsi" w:hAnsiTheme="minorHAnsi" w:cstheme="minorHAnsi"/>
          <w:sz w:val="24"/>
          <w:szCs w:val="24"/>
        </w:rPr>
      </w:pPr>
      <w:r w:rsidRPr="000C40B8">
        <w:rPr>
          <w:rFonts w:asciiTheme="minorHAnsi" w:hAnsiTheme="minorHAnsi" w:cstheme="minorHAnsi"/>
          <w:sz w:val="24"/>
          <w:szCs w:val="24"/>
        </w:rPr>
        <w:t>Number of entities that would benefit from the FSSP</w:t>
      </w:r>
    </w:p>
    <w:p w:rsidR="00F80E47" w:rsidRDefault="00F80E47" w:rsidP="00F80E47">
      <w:r>
        <w:t xml:space="preserve">Under eligibility arrangements it is likely only the two major oil refineries will be eligible for the FSSP. However, the Act </w:t>
      </w:r>
      <w:r w:rsidRPr="003478F2">
        <w:t>allow</w:t>
      </w:r>
      <w:r>
        <w:t>s</w:t>
      </w:r>
      <w:r w:rsidRPr="003478F2">
        <w:t xml:space="preserve"> new market entrants to </w:t>
      </w:r>
      <w:r>
        <w:t>receive the FSSP, if criteria under the Rule are</w:t>
      </w:r>
      <w:r w:rsidRPr="003478F2">
        <w:t xml:space="preserve"> met.</w:t>
      </w:r>
    </w:p>
    <w:p w:rsidR="00F80E47" w:rsidRDefault="00F80E47" w:rsidP="00F80E47">
      <w:r>
        <w:t xml:space="preserve">The two major oil refineries, Ampol and Viva Energy, currently employ an estimated 1,250 workers. These jobs will benefit from additional security as a result of the FSSP. </w:t>
      </w:r>
    </w:p>
    <w:p w:rsidR="00F80E47" w:rsidRDefault="00F80E47" w:rsidP="00F80E47">
      <w:r>
        <w:t xml:space="preserve">In addition, the FSSP will support jobs directly and indirectly in the petrochemical industry. For example, the LyondellBasell polypropylene plant, which relies on Geelong’s Viva refinery, employs approximately 2,055 Australians directly and indirectly. </w:t>
      </w:r>
    </w:p>
    <w:p w:rsidR="00F80E47" w:rsidRPr="000C40B8" w:rsidRDefault="00F80E47" w:rsidP="00F80E47">
      <w:pPr>
        <w:pStyle w:val="Heading4"/>
        <w:rPr>
          <w:rFonts w:ascii="Calibri" w:hAnsi="Calibri" w:cs="Calibri"/>
          <w:sz w:val="24"/>
          <w:szCs w:val="24"/>
        </w:rPr>
      </w:pPr>
      <w:r w:rsidRPr="000C40B8">
        <w:rPr>
          <w:rFonts w:ascii="Calibri" w:hAnsi="Calibri" w:cs="Calibri"/>
          <w:sz w:val="24"/>
          <w:szCs w:val="24"/>
        </w:rPr>
        <w:t xml:space="preserve">Obligations that would be placed on participating refineries </w:t>
      </w:r>
    </w:p>
    <w:p w:rsidR="00F80E47" w:rsidRDefault="00F80E47" w:rsidP="00F80E47">
      <w:r>
        <w:t xml:space="preserve">The primary ongoing obligation of the scheme requires approved FSSP participants to commit to repaying </w:t>
      </w:r>
      <w:r w:rsidRPr="00E15ECC">
        <w:t>amounts received if the refinery ceases refining FSSP fuels before the end of their commitment period.</w:t>
      </w:r>
      <w:r>
        <w:t xml:space="preserve"> Only under very limited circumstances, that have caused refineries to be operationally or commercially unviable for a continued period, refiners will not be required to repay amounts received. </w:t>
      </w:r>
    </w:p>
    <w:p w:rsidR="00F80E47" w:rsidRDefault="00F80E47" w:rsidP="00F80E47">
      <w:r>
        <w:t>There would be some administration impost on refineries associated with repayments, but only in these unlikely circumstances as noted above.</w:t>
      </w:r>
    </w:p>
    <w:p w:rsidR="00F80E47" w:rsidRPr="000C40B8" w:rsidRDefault="00F80E47" w:rsidP="00F80E47">
      <w:pPr>
        <w:pStyle w:val="Heading4"/>
        <w:rPr>
          <w:rFonts w:ascii="Calibri" w:hAnsi="Calibri" w:cs="Calibri"/>
          <w:sz w:val="24"/>
          <w:szCs w:val="24"/>
        </w:rPr>
      </w:pPr>
      <w:r w:rsidRPr="000C40B8">
        <w:rPr>
          <w:rFonts w:ascii="Calibri" w:hAnsi="Calibri" w:cs="Calibri"/>
          <w:sz w:val="24"/>
          <w:szCs w:val="24"/>
        </w:rPr>
        <w:t xml:space="preserve">Anticipated participation costs and benefits </w:t>
      </w:r>
    </w:p>
    <w:p w:rsidR="000C40B8" w:rsidRDefault="00F80E47" w:rsidP="00F80E47">
      <w:r>
        <w:t xml:space="preserve">Regulatory and administrative costs for participants are expected to be minimal. The benefits in the form of payments when they are needed, would significantly outweigh the regulatory impost. </w:t>
      </w:r>
    </w:p>
    <w:p w:rsidR="00F80E47" w:rsidRDefault="00F80E47" w:rsidP="00F80E47">
      <w:r>
        <w:lastRenderedPageBreak/>
        <w:t>To reduce the regulatory burden, FSSP production information will be based on data refiners are already required to submit under the POFR Act, as well as the additional quarterly production report based on the same or similar information.</w:t>
      </w:r>
    </w:p>
    <w:p w:rsidR="00F80E47" w:rsidRPr="000C40B8" w:rsidRDefault="00F80E47" w:rsidP="00F80E47">
      <w:pPr>
        <w:pStyle w:val="Heading6"/>
        <w:rPr>
          <w:rFonts w:asciiTheme="minorHAnsi" w:hAnsiTheme="minorHAnsi" w:cstheme="minorHAnsi"/>
        </w:rPr>
      </w:pPr>
      <w:r w:rsidRPr="000C40B8">
        <w:rPr>
          <w:rFonts w:asciiTheme="minorHAnsi" w:hAnsiTheme="minorHAnsi" w:cstheme="minorHAnsi"/>
        </w:rPr>
        <w:t xml:space="preserve">One-off costs </w:t>
      </w:r>
    </w:p>
    <w:p w:rsidR="00F80E47" w:rsidRPr="004C5B13" w:rsidRDefault="00F80E47" w:rsidP="00F80E47">
      <w:pPr>
        <w:spacing w:after="40"/>
      </w:pPr>
      <w:r w:rsidRPr="00B91C2A">
        <w:rPr>
          <w:i/>
        </w:rPr>
        <w:t>Applications for the FSSP</w:t>
      </w:r>
      <w:r>
        <w:rPr>
          <w:i/>
        </w:rPr>
        <w:t xml:space="preserve"> (anticipated costs)</w:t>
      </w:r>
      <w:r w:rsidRPr="004C5B13">
        <w:t>:</w:t>
      </w:r>
    </w:p>
    <w:p w:rsidR="00F80E47" w:rsidRDefault="00F80E47" w:rsidP="00F80E47">
      <w:pPr>
        <w:pStyle w:val="ListParagraph"/>
        <w:numPr>
          <w:ilvl w:val="0"/>
          <w:numId w:val="26"/>
        </w:numPr>
        <w:spacing w:after="120" w:line="259" w:lineRule="auto"/>
        <w:ind w:left="714" w:hanging="357"/>
      </w:pPr>
      <w:r>
        <w:t>T</w:t>
      </w:r>
      <w:r w:rsidRPr="003A108D">
        <w:t xml:space="preserve">he application will </w:t>
      </w:r>
      <w:r>
        <w:t xml:space="preserve">likely </w:t>
      </w:r>
      <w:r w:rsidRPr="003A108D">
        <w:t>take one</w:t>
      </w:r>
      <w:r>
        <w:t xml:space="preserve"> to two</w:t>
      </w:r>
      <w:r w:rsidRPr="003A108D">
        <w:t xml:space="preserve"> </w:t>
      </w:r>
      <w:r>
        <w:t xml:space="preserve">people up to one week </w:t>
      </w:r>
      <w:r w:rsidRPr="003A108D">
        <w:t>(full time) to write the application</w:t>
      </w:r>
      <w:r>
        <w:t xml:space="preserve"> and collate supporting materials, including quality assurance and legal checks. Two eligible refiners will make applications (total up to 140 hours).</w:t>
      </w:r>
    </w:p>
    <w:p w:rsidR="00F80E47" w:rsidRDefault="00F80E47" w:rsidP="00F80E47">
      <w:pPr>
        <w:pStyle w:val="ListParagraph"/>
        <w:numPr>
          <w:ilvl w:val="0"/>
          <w:numId w:val="26"/>
        </w:numPr>
        <w:spacing w:after="120" w:line="259" w:lineRule="auto"/>
        <w:ind w:left="714" w:hanging="357"/>
      </w:pPr>
      <w:r>
        <w:t>Senior executive clearances for the application within each organisation, will take around half a day each x2 entities (total up to 8 hours).</w:t>
      </w:r>
    </w:p>
    <w:p w:rsidR="00F80E47" w:rsidRPr="00BE6437" w:rsidRDefault="00F80E47" w:rsidP="00F80E47">
      <w:pPr>
        <w:spacing w:after="120"/>
      </w:pPr>
      <w:r w:rsidRPr="00BE6437">
        <w:t xml:space="preserve">Total anticipated costs – approximately </w:t>
      </w:r>
      <w:r w:rsidRPr="00160DB9">
        <w:t>$11,000</w:t>
      </w:r>
      <w:r>
        <w:t>.</w:t>
      </w:r>
      <w:r>
        <w:rPr>
          <w:rStyle w:val="FootnoteReference"/>
        </w:rPr>
        <w:footnoteReference w:id="2"/>
      </w:r>
    </w:p>
    <w:p w:rsidR="00F80E47" w:rsidRDefault="00F80E47" w:rsidP="00F80E47">
      <w:pPr>
        <w:spacing w:after="40"/>
      </w:pPr>
      <w:r w:rsidRPr="00B91C2A">
        <w:rPr>
          <w:i/>
        </w:rPr>
        <w:t>Audit reports</w:t>
      </w:r>
      <w:r>
        <w:t>:</w:t>
      </w:r>
    </w:p>
    <w:p w:rsidR="00F80E47" w:rsidRDefault="00F80E47" w:rsidP="00F80E47">
      <w:pPr>
        <w:pStyle w:val="ListParagraph"/>
        <w:numPr>
          <w:ilvl w:val="0"/>
          <w:numId w:val="26"/>
        </w:numPr>
        <w:spacing w:after="160" w:line="259" w:lineRule="auto"/>
      </w:pPr>
      <w:r>
        <w:t>Procuring and requesting an auditor will take approximately one full day x2 entities (15</w:t>
      </w:r>
      <w:r w:rsidRPr="006A4404">
        <w:t xml:space="preserve"> hours</w:t>
      </w:r>
      <w:r>
        <w:t>)</w:t>
      </w:r>
    </w:p>
    <w:p w:rsidR="00F80E47" w:rsidRDefault="00F80E47" w:rsidP="00F80E47">
      <w:pPr>
        <w:pStyle w:val="ListParagraph"/>
        <w:numPr>
          <w:ilvl w:val="0"/>
          <w:numId w:val="26"/>
        </w:numPr>
        <w:spacing w:after="160" w:line="259" w:lineRule="auto"/>
      </w:pPr>
      <w:r>
        <w:t xml:space="preserve">Estimated average registered greenhouse energy auditor fees x2 entities </w:t>
      </w:r>
      <w:r w:rsidRPr="005A5387">
        <w:t>($55,000)</w:t>
      </w:r>
    </w:p>
    <w:p w:rsidR="00F80E47" w:rsidRDefault="00F80E47" w:rsidP="00F80E47">
      <w:pPr>
        <w:pStyle w:val="ListParagraph"/>
        <w:numPr>
          <w:ilvl w:val="0"/>
          <w:numId w:val="26"/>
        </w:numPr>
        <w:spacing w:after="160" w:line="259" w:lineRule="auto"/>
      </w:pPr>
      <w:r>
        <w:t>Clearance timeframes, including through senior executive to verify the audit report would be up to one full day x2 entities (15</w:t>
      </w:r>
      <w:r w:rsidRPr="006A4404">
        <w:t xml:space="preserve"> hours)</w:t>
      </w:r>
      <w:r>
        <w:t xml:space="preserve"> </w:t>
      </w:r>
    </w:p>
    <w:p w:rsidR="00F80E47" w:rsidRPr="00BE6437" w:rsidRDefault="00F80E47" w:rsidP="00F80E47">
      <w:pPr>
        <w:spacing w:after="120"/>
      </w:pPr>
      <w:r w:rsidRPr="00BE6437">
        <w:t xml:space="preserve">Total anticipated costs – approximately </w:t>
      </w:r>
      <w:r w:rsidRPr="00160DB9">
        <w:t>$112,000.</w:t>
      </w:r>
      <w:r w:rsidRPr="00160DB9">
        <w:rPr>
          <w:rStyle w:val="FootnoteReference"/>
        </w:rPr>
        <w:t xml:space="preserve"> </w:t>
      </w:r>
      <w:r>
        <w:rPr>
          <w:rStyle w:val="FootnoteReference"/>
        </w:rPr>
        <w:footnoteReference w:id="3"/>
      </w:r>
    </w:p>
    <w:p w:rsidR="00F80E47" w:rsidRPr="000C40B8" w:rsidRDefault="00F80E47" w:rsidP="00F80E47">
      <w:pPr>
        <w:pStyle w:val="Heading6"/>
        <w:rPr>
          <w:rFonts w:asciiTheme="minorHAnsi" w:hAnsiTheme="minorHAnsi" w:cstheme="minorHAnsi"/>
        </w:rPr>
      </w:pPr>
      <w:r w:rsidRPr="000C40B8">
        <w:rPr>
          <w:rFonts w:asciiTheme="minorHAnsi" w:hAnsiTheme="minorHAnsi" w:cstheme="minorHAnsi"/>
        </w:rPr>
        <w:t>Ongoing costs</w:t>
      </w:r>
    </w:p>
    <w:p w:rsidR="00F80E47" w:rsidRDefault="00F80E47" w:rsidP="00F80E47">
      <w:pPr>
        <w:spacing w:after="40"/>
      </w:pPr>
      <w:r w:rsidRPr="00B91C2A">
        <w:rPr>
          <w:i/>
        </w:rPr>
        <w:t>Quarterly reports</w:t>
      </w:r>
      <w:r>
        <w:t>:</w:t>
      </w:r>
    </w:p>
    <w:p w:rsidR="00F80E47" w:rsidRDefault="00F80E47" w:rsidP="00F80E47">
      <w:pPr>
        <w:pStyle w:val="ListParagraph"/>
        <w:numPr>
          <w:ilvl w:val="0"/>
          <w:numId w:val="26"/>
        </w:numPr>
        <w:spacing w:after="160" w:line="259" w:lineRule="auto"/>
      </w:pPr>
      <w:r>
        <w:t>Assuming the quarterly reports of FSSP production volumes will take one person one day, to write up the quarterly report x2 entities (15 hours)</w:t>
      </w:r>
    </w:p>
    <w:p w:rsidR="00F80E47" w:rsidRDefault="00F80E47" w:rsidP="00F80E47">
      <w:pPr>
        <w:pStyle w:val="ListParagraph"/>
        <w:numPr>
          <w:ilvl w:val="0"/>
          <w:numId w:val="26"/>
        </w:numPr>
        <w:spacing w:after="120" w:line="259" w:lineRule="auto"/>
        <w:ind w:left="714" w:hanging="357"/>
      </w:pPr>
      <w:r>
        <w:t>Clearance timeframes, including through senior executive for reporting, will take around half a day x2 entities (8 hours)</w:t>
      </w:r>
    </w:p>
    <w:p w:rsidR="00F80E47" w:rsidRDefault="00F80E47" w:rsidP="00F80E47">
      <w:pPr>
        <w:pStyle w:val="ListParagraph"/>
        <w:numPr>
          <w:ilvl w:val="0"/>
          <w:numId w:val="26"/>
        </w:numPr>
        <w:spacing w:after="160" w:line="259" w:lineRule="auto"/>
      </w:pPr>
      <w:r>
        <w:t>Over the commitment period and including option to extend (9 years)</w:t>
      </w:r>
    </w:p>
    <w:p w:rsidR="00F80E47" w:rsidRDefault="00F80E47" w:rsidP="00F80E47">
      <w:pPr>
        <w:spacing w:after="120"/>
      </w:pPr>
      <w:r w:rsidRPr="00BE6437">
        <w:t xml:space="preserve">Total anticipated costs – approximately </w:t>
      </w:r>
      <w:r w:rsidRPr="00160DB9">
        <w:t>$60,000</w:t>
      </w:r>
      <w:r>
        <w:t>.</w:t>
      </w:r>
      <w:r>
        <w:rPr>
          <w:rStyle w:val="FootnoteReference"/>
        </w:rPr>
        <w:footnoteReference w:id="4"/>
      </w:r>
    </w:p>
    <w:p w:rsidR="00F80E47" w:rsidRPr="000C40B8" w:rsidRDefault="00F80E47" w:rsidP="00F80E47">
      <w:pPr>
        <w:pStyle w:val="Heading6"/>
        <w:rPr>
          <w:rFonts w:asciiTheme="minorHAnsi" w:hAnsiTheme="minorHAnsi" w:cstheme="minorHAnsi"/>
        </w:rPr>
      </w:pPr>
      <w:r w:rsidRPr="000C40B8">
        <w:rPr>
          <w:rFonts w:asciiTheme="minorHAnsi" w:hAnsiTheme="minorHAnsi" w:cstheme="minorHAnsi"/>
        </w:rPr>
        <w:t xml:space="preserve">Other costs </w:t>
      </w:r>
    </w:p>
    <w:p w:rsidR="00F80E47" w:rsidRPr="004354F9" w:rsidRDefault="00F80E47" w:rsidP="00F80E47">
      <w:pPr>
        <w:spacing w:after="120"/>
        <w:rPr>
          <w:i/>
        </w:rPr>
      </w:pPr>
      <w:r>
        <w:t xml:space="preserve">Other costs are expected to be minimal given the infrequency and improbability of these circumstances occurring and as such have not been estimated. These would include matters such as making an </w:t>
      </w:r>
      <w:r w:rsidRPr="00D57AA7">
        <w:t xml:space="preserve">application to vary </w:t>
      </w:r>
      <w:r>
        <w:t xml:space="preserve">a </w:t>
      </w:r>
      <w:r w:rsidRPr="00D57AA7">
        <w:t>commitment period</w:t>
      </w:r>
      <w:r>
        <w:t>, or exercising a right to extend a commitment period.</w:t>
      </w:r>
    </w:p>
    <w:p w:rsidR="00F80E47" w:rsidRPr="000C40B8" w:rsidRDefault="00F80E47" w:rsidP="00F80E47">
      <w:pPr>
        <w:pStyle w:val="Heading6"/>
        <w:spacing w:before="0"/>
        <w:rPr>
          <w:rFonts w:asciiTheme="minorHAnsi" w:hAnsiTheme="minorHAnsi" w:cstheme="minorHAnsi"/>
        </w:rPr>
      </w:pPr>
      <w:r w:rsidRPr="000C40B8">
        <w:rPr>
          <w:rFonts w:asciiTheme="minorHAnsi" w:hAnsiTheme="minorHAnsi" w:cstheme="minorHAnsi"/>
        </w:rPr>
        <w:t>Benefits to refiners</w:t>
      </w:r>
    </w:p>
    <w:p w:rsidR="00F80E47" w:rsidRPr="00282315" w:rsidRDefault="00F80E47" w:rsidP="00F80E47">
      <w:pPr>
        <w:rPr>
          <w:rFonts w:eastAsiaTheme="majorEastAsia" w:cstheme="minorHAnsi"/>
        </w:rPr>
      </w:pPr>
      <w:r>
        <w:rPr>
          <w:rFonts w:eastAsiaTheme="majorEastAsia" w:cstheme="minorHAnsi"/>
        </w:rPr>
        <w:t>Combined, the approved FSSP participants may receive up</w:t>
      </w:r>
      <w:r w:rsidRPr="00282315">
        <w:rPr>
          <w:rFonts w:eastAsiaTheme="majorEastAsia" w:cstheme="minorHAnsi"/>
        </w:rPr>
        <w:t xml:space="preserve"> to</w:t>
      </w:r>
      <w:r>
        <w:rPr>
          <w:rFonts w:eastAsiaTheme="majorEastAsia" w:cstheme="minorHAnsi"/>
        </w:rPr>
        <w:t xml:space="preserve"> the full</w:t>
      </w:r>
      <w:r w:rsidRPr="00282315">
        <w:rPr>
          <w:rFonts w:eastAsiaTheme="majorEastAsia" w:cstheme="minorHAnsi"/>
        </w:rPr>
        <w:t xml:space="preserve"> $2.047 billion</w:t>
      </w:r>
      <w:r>
        <w:rPr>
          <w:rFonts w:eastAsiaTheme="majorEastAsia" w:cstheme="minorHAnsi"/>
        </w:rPr>
        <w:t xml:space="preserve"> in appropriated funding during any loss-making periods from 1 July 2021 to 30 June 2030 (should the option to extend get exercised), although receiving this full amount is very unlikely. </w:t>
      </w:r>
    </w:p>
    <w:p w:rsidR="00F80E47" w:rsidRPr="000C40B8" w:rsidRDefault="00F80E47" w:rsidP="00F80E47">
      <w:pPr>
        <w:pStyle w:val="Heading4"/>
        <w:rPr>
          <w:rFonts w:asciiTheme="minorHAnsi" w:hAnsiTheme="minorHAnsi" w:cstheme="minorHAnsi"/>
          <w:sz w:val="24"/>
        </w:rPr>
      </w:pPr>
      <w:r w:rsidRPr="000C40B8">
        <w:rPr>
          <w:rFonts w:asciiTheme="minorHAnsi" w:hAnsiTheme="minorHAnsi" w:cstheme="minorHAnsi"/>
          <w:sz w:val="24"/>
        </w:rPr>
        <w:lastRenderedPageBreak/>
        <w:t>Regulation impact summary</w:t>
      </w:r>
    </w:p>
    <w:p w:rsidR="00F80E47" w:rsidRDefault="00F80E47" w:rsidP="00F80E47">
      <w:pPr>
        <w:rPr>
          <w:rFonts w:eastAsiaTheme="majorEastAsia" w:cstheme="minorHAnsi"/>
        </w:rPr>
      </w:pPr>
      <w:r w:rsidRPr="00282315">
        <w:rPr>
          <w:rFonts w:eastAsiaTheme="majorEastAsia" w:cstheme="minorHAnsi"/>
        </w:rPr>
        <w:t xml:space="preserve">The FSSP provides a </w:t>
      </w:r>
      <w:r>
        <w:rPr>
          <w:rFonts w:eastAsiaTheme="majorEastAsia" w:cstheme="minorHAnsi"/>
        </w:rPr>
        <w:t xml:space="preserve">significant </w:t>
      </w:r>
      <w:r w:rsidRPr="00282315">
        <w:rPr>
          <w:rFonts w:eastAsiaTheme="majorEastAsia" w:cstheme="minorHAnsi"/>
        </w:rPr>
        <w:t xml:space="preserve">positive </w:t>
      </w:r>
      <w:r>
        <w:rPr>
          <w:rFonts w:eastAsiaTheme="majorEastAsia" w:cstheme="minorHAnsi"/>
        </w:rPr>
        <w:t xml:space="preserve">financial impact to refiners which far outweighs the minor regulatory impost. </w:t>
      </w:r>
      <w:r w:rsidRPr="00282315">
        <w:rPr>
          <w:rFonts w:eastAsiaTheme="majorEastAsia" w:cstheme="minorHAnsi"/>
        </w:rPr>
        <w:t xml:space="preserve"> </w:t>
      </w:r>
    </w:p>
    <w:p w:rsidR="00F80E47" w:rsidRPr="00D12A37" w:rsidRDefault="00F80E47" w:rsidP="00F80E47">
      <w:pPr>
        <w:rPr>
          <w:rFonts w:eastAsiaTheme="majorEastAsia" w:cstheme="minorHAnsi"/>
        </w:rPr>
      </w:pPr>
      <w:r w:rsidRPr="00282315">
        <w:rPr>
          <w:rFonts w:eastAsiaTheme="majorEastAsia" w:cstheme="minorHAnsi"/>
        </w:rPr>
        <w:t xml:space="preserve">The total </w:t>
      </w:r>
      <w:r>
        <w:rPr>
          <w:rFonts w:eastAsiaTheme="majorEastAsia" w:cstheme="minorHAnsi"/>
        </w:rPr>
        <w:t>regulatory burden</w:t>
      </w:r>
      <w:r w:rsidRPr="00282315">
        <w:rPr>
          <w:rFonts w:eastAsiaTheme="majorEastAsia" w:cstheme="minorHAnsi"/>
        </w:rPr>
        <w:t xml:space="preserve"> of the FSSP </w:t>
      </w:r>
      <w:r>
        <w:rPr>
          <w:rFonts w:eastAsiaTheme="majorEastAsia" w:cstheme="minorHAnsi"/>
        </w:rPr>
        <w:t xml:space="preserve">is expected to be less than </w:t>
      </w:r>
      <w:r w:rsidRPr="00160DB9">
        <w:rPr>
          <w:rFonts w:eastAsiaTheme="majorEastAsia" w:cstheme="minorHAnsi"/>
        </w:rPr>
        <w:t>$200,000</w:t>
      </w:r>
      <w:r>
        <w:rPr>
          <w:rFonts w:eastAsiaTheme="majorEastAsia" w:cstheme="minorHAnsi"/>
        </w:rPr>
        <w:t xml:space="preserve"> per eligible entity</w:t>
      </w:r>
      <w:r w:rsidRPr="00282315">
        <w:rPr>
          <w:rFonts w:eastAsiaTheme="majorEastAsia" w:cstheme="minorHAnsi"/>
        </w:rPr>
        <w:t xml:space="preserve"> over the next </w:t>
      </w:r>
      <w:r>
        <w:rPr>
          <w:rFonts w:eastAsiaTheme="majorEastAsia" w:cstheme="minorHAnsi"/>
        </w:rPr>
        <w:t>nine years</w:t>
      </w:r>
      <w:r w:rsidRPr="00282315">
        <w:rPr>
          <w:rFonts w:eastAsiaTheme="majorEastAsia" w:cstheme="minorHAnsi"/>
        </w:rPr>
        <w:t>.</w:t>
      </w:r>
      <w:r>
        <w:rPr>
          <w:rStyle w:val="FootnoteReference"/>
          <w:rFonts w:eastAsiaTheme="majorEastAsia" w:cstheme="minorHAnsi"/>
        </w:rPr>
        <w:footnoteReference w:id="5"/>
      </w:r>
      <w:r w:rsidRPr="00282315">
        <w:rPr>
          <w:rFonts w:eastAsiaTheme="majorEastAsia" w:cstheme="minorHAnsi"/>
        </w:rPr>
        <w:t xml:space="preserve"> </w:t>
      </w:r>
      <w:r>
        <w:rPr>
          <w:rFonts w:eastAsiaTheme="majorEastAsia" w:cstheme="minorHAnsi"/>
        </w:rPr>
        <w:t>While t</w:t>
      </w:r>
      <w:r w:rsidRPr="00282315">
        <w:rPr>
          <w:rFonts w:eastAsiaTheme="majorEastAsia" w:cstheme="minorHAnsi"/>
        </w:rPr>
        <w:t>he total</w:t>
      </w:r>
      <w:r>
        <w:rPr>
          <w:rFonts w:eastAsiaTheme="majorEastAsia" w:cstheme="minorHAnsi"/>
        </w:rPr>
        <w:t xml:space="preserve"> potential</w:t>
      </w:r>
      <w:r w:rsidRPr="00282315">
        <w:rPr>
          <w:rFonts w:eastAsiaTheme="majorEastAsia" w:cstheme="minorHAnsi"/>
        </w:rPr>
        <w:t xml:space="preserve"> </w:t>
      </w:r>
      <w:r>
        <w:rPr>
          <w:rFonts w:eastAsiaTheme="majorEastAsia" w:cstheme="minorHAnsi"/>
        </w:rPr>
        <w:t xml:space="preserve">financial </w:t>
      </w:r>
      <w:r w:rsidRPr="00282315">
        <w:rPr>
          <w:rFonts w:eastAsiaTheme="majorEastAsia" w:cstheme="minorHAnsi"/>
        </w:rPr>
        <w:t xml:space="preserve">benefit of the FSSP </w:t>
      </w:r>
      <w:r>
        <w:rPr>
          <w:rFonts w:eastAsiaTheme="majorEastAsia" w:cstheme="minorHAnsi"/>
        </w:rPr>
        <w:t>would only be capped by the</w:t>
      </w:r>
      <w:r w:rsidRPr="00282315">
        <w:rPr>
          <w:rFonts w:eastAsiaTheme="majorEastAsia" w:cstheme="minorHAnsi"/>
        </w:rPr>
        <w:t xml:space="preserve"> </w:t>
      </w:r>
      <w:r>
        <w:rPr>
          <w:rFonts w:eastAsiaTheme="majorEastAsia" w:cstheme="minorHAnsi"/>
        </w:rPr>
        <w:t>$2.047</w:t>
      </w:r>
      <w:r w:rsidRPr="00282315">
        <w:rPr>
          <w:rFonts w:eastAsiaTheme="majorEastAsia" w:cstheme="minorHAnsi"/>
        </w:rPr>
        <w:t xml:space="preserve"> billion</w:t>
      </w:r>
      <w:r>
        <w:rPr>
          <w:rFonts w:eastAsiaTheme="majorEastAsia" w:cstheme="minorHAnsi"/>
        </w:rPr>
        <w:t xml:space="preserve"> appropriated to the scheme</w:t>
      </w:r>
      <w:r w:rsidRPr="00282315">
        <w:rPr>
          <w:rFonts w:eastAsiaTheme="majorEastAsia" w:cstheme="minorHAnsi"/>
        </w:rPr>
        <w:t>.</w:t>
      </w:r>
    </w:p>
    <w:p w:rsidR="00F80E47" w:rsidRPr="00583590" w:rsidRDefault="00F80E47" w:rsidP="00F076F3">
      <w:pPr>
        <w:spacing w:after="758" w:line="315" w:lineRule="exact"/>
        <w:textAlignment w:val="baseline"/>
        <w:rPr>
          <w:rFonts w:ascii="Times New Roman" w:eastAsia="Times New Roman" w:hAnsi="Times New Roman" w:cs="Times New Roman"/>
          <w:color w:val="000000"/>
          <w:sz w:val="24"/>
          <w:lang w:val="en-US"/>
        </w:rPr>
      </w:pPr>
    </w:p>
    <w:sectPr w:rsidR="00F80E47" w:rsidRPr="00583590" w:rsidSect="002424D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BE" w:rsidRDefault="008B2DBE" w:rsidP="002E1C43">
      <w:pPr>
        <w:spacing w:after="0" w:line="240" w:lineRule="auto"/>
      </w:pPr>
      <w:r>
        <w:separator/>
      </w:r>
    </w:p>
  </w:endnote>
  <w:endnote w:type="continuationSeparator" w:id="0">
    <w:p w:rsidR="008B2DBE" w:rsidRDefault="008B2DBE" w:rsidP="002E1C43">
      <w:pPr>
        <w:spacing w:after="0" w:line="240" w:lineRule="auto"/>
      </w:pPr>
      <w:r>
        <w:continuationSeparator/>
      </w:r>
    </w:p>
  </w:endnote>
  <w:endnote w:type="continuationNotice" w:id="1">
    <w:p w:rsidR="008B2DBE" w:rsidRDefault="008B2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600954"/>
      <w:docPartObj>
        <w:docPartGallery w:val="Page Numbers (Bottom of Page)"/>
        <w:docPartUnique/>
      </w:docPartObj>
    </w:sdtPr>
    <w:sdtEndPr>
      <w:rPr>
        <w:noProof/>
      </w:rPr>
    </w:sdtEndPr>
    <w:sdtContent>
      <w:p w:rsidR="006E109C" w:rsidRDefault="006E109C">
        <w:pPr>
          <w:pStyle w:val="Footer"/>
          <w:jc w:val="center"/>
        </w:pPr>
        <w:r>
          <w:fldChar w:fldCharType="begin"/>
        </w:r>
        <w:r>
          <w:instrText xml:space="preserve"> PAGE   \* MERGEFORMAT </w:instrText>
        </w:r>
        <w:r>
          <w:fldChar w:fldCharType="separate"/>
        </w:r>
        <w:r w:rsidR="00961B47">
          <w:rPr>
            <w:noProof/>
          </w:rPr>
          <w:t>29</w:t>
        </w:r>
        <w:r>
          <w:rPr>
            <w:noProof/>
          </w:rPr>
          <w:fldChar w:fldCharType="end"/>
        </w:r>
      </w:p>
    </w:sdtContent>
  </w:sdt>
  <w:p w:rsidR="006E109C" w:rsidRDefault="006E1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BE" w:rsidRDefault="008B2DBE" w:rsidP="002E1C43">
      <w:pPr>
        <w:spacing w:after="0" w:line="240" w:lineRule="auto"/>
      </w:pPr>
      <w:r>
        <w:separator/>
      </w:r>
    </w:p>
  </w:footnote>
  <w:footnote w:type="continuationSeparator" w:id="0">
    <w:p w:rsidR="008B2DBE" w:rsidRDefault="008B2DBE" w:rsidP="002E1C43">
      <w:pPr>
        <w:spacing w:after="0" w:line="240" w:lineRule="auto"/>
      </w:pPr>
      <w:r>
        <w:continuationSeparator/>
      </w:r>
    </w:p>
  </w:footnote>
  <w:footnote w:type="continuationNotice" w:id="1">
    <w:p w:rsidR="008B2DBE" w:rsidRDefault="008B2DBE">
      <w:pPr>
        <w:spacing w:after="0" w:line="240" w:lineRule="auto"/>
      </w:pPr>
    </w:p>
  </w:footnote>
  <w:footnote w:id="2">
    <w:p w:rsidR="006E109C" w:rsidRPr="00160DB9" w:rsidRDefault="006E109C" w:rsidP="00F80E47">
      <w:pPr>
        <w:pStyle w:val="FootnoteText"/>
        <w:rPr>
          <w:sz w:val="18"/>
          <w:szCs w:val="18"/>
        </w:rPr>
      </w:pPr>
      <w:r w:rsidRPr="00160DB9">
        <w:rPr>
          <w:rStyle w:val="FootnoteReference"/>
          <w:sz w:val="18"/>
          <w:szCs w:val="18"/>
        </w:rPr>
        <w:footnoteRef/>
      </w:r>
      <w:r w:rsidRPr="00160DB9">
        <w:rPr>
          <w:sz w:val="18"/>
          <w:szCs w:val="18"/>
        </w:rPr>
        <w:t xml:space="preserve"> The anticipated costs have been calculated according to the Office of Best Practice Regulation – Regulatory Burden Measurement Framework. The default hourly wage cost of $73.05 has been used. </w:t>
      </w:r>
    </w:p>
  </w:footnote>
  <w:footnote w:id="3">
    <w:p w:rsidR="006E109C" w:rsidRPr="00160DB9" w:rsidRDefault="006E109C" w:rsidP="00F80E47">
      <w:pPr>
        <w:pStyle w:val="FootnoteText"/>
        <w:rPr>
          <w:sz w:val="18"/>
          <w:szCs w:val="18"/>
        </w:rPr>
      </w:pPr>
      <w:r w:rsidRPr="00160DB9">
        <w:rPr>
          <w:rStyle w:val="FootnoteReference"/>
          <w:sz w:val="18"/>
          <w:szCs w:val="18"/>
        </w:rPr>
        <w:footnoteRef/>
      </w:r>
      <w:r w:rsidRPr="00160DB9">
        <w:rPr>
          <w:sz w:val="18"/>
          <w:szCs w:val="18"/>
        </w:rPr>
        <w:t xml:space="preserve"> Ibid.</w:t>
      </w:r>
    </w:p>
  </w:footnote>
  <w:footnote w:id="4">
    <w:p w:rsidR="006E109C" w:rsidRPr="00160DB9" w:rsidRDefault="006E109C" w:rsidP="00F80E47">
      <w:pPr>
        <w:pStyle w:val="FootnoteText"/>
        <w:rPr>
          <w:sz w:val="18"/>
          <w:szCs w:val="18"/>
        </w:rPr>
      </w:pPr>
      <w:r w:rsidRPr="00160DB9">
        <w:rPr>
          <w:rStyle w:val="FootnoteReference"/>
          <w:sz w:val="18"/>
          <w:szCs w:val="18"/>
        </w:rPr>
        <w:footnoteRef/>
      </w:r>
      <w:r w:rsidRPr="00160DB9">
        <w:rPr>
          <w:sz w:val="18"/>
          <w:szCs w:val="18"/>
        </w:rPr>
        <w:t xml:space="preserve"> Ibid.</w:t>
      </w:r>
    </w:p>
  </w:footnote>
  <w:footnote w:id="5">
    <w:p w:rsidR="006E109C" w:rsidRDefault="006E109C" w:rsidP="00F80E47">
      <w:pPr>
        <w:pStyle w:val="FootnoteText"/>
      </w:pPr>
      <w:r w:rsidRPr="00160DB9">
        <w:rPr>
          <w:rStyle w:val="FootnoteReference"/>
          <w:sz w:val="18"/>
          <w:szCs w:val="18"/>
        </w:rPr>
        <w:footnoteRef/>
      </w:r>
      <w:r w:rsidRPr="00160DB9">
        <w:rPr>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FA"/>
    <w:multiLevelType w:val="hybridMultilevel"/>
    <w:tmpl w:val="EE98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85E1F"/>
    <w:multiLevelType w:val="hybridMultilevel"/>
    <w:tmpl w:val="CB2E2BCE"/>
    <w:lvl w:ilvl="0" w:tplc="821E20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06D7B"/>
    <w:multiLevelType w:val="hybridMultilevel"/>
    <w:tmpl w:val="D0C2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A1EF9"/>
    <w:multiLevelType w:val="hybridMultilevel"/>
    <w:tmpl w:val="F894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F45EA"/>
    <w:multiLevelType w:val="hybridMultilevel"/>
    <w:tmpl w:val="1C10012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A41C95"/>
    <w:multiLevelType w:val="hybridMultilevel"/>
    <w:tmpl w:val="52F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A4568"/>
    <w:multiLevelType w:val="hybridMultilevel"/>
    <w:tmpl w:val="E1BA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33BF4"/>
    <w:multiLevelType w:val="hybridMultilevel"/>
    <w:tmpl w:val="7F98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33E5E"/>
    <w:multiLevelType w:val="hybridMultilevel"/>
    <w:tmpl w:val="9812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73E54"/>
    <w:multiLevelType w:val="hybridMultilevel"/>
    <w:tmpl w:val="D2FA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06D65"/>
    <w:multiLevelType w:val="hybridMultilevel"/>
    <w:tmpl w:val="F03CF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E6C30"/>
    <w:multiLevelType w:val="hybridMultilevel"/>
    <w:tmpl w:val="05C80924"/>
    <w:lvl w:ilvl="0" w:tplc="62D85F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3246A8"/>
    <w:multiLevelType w:val="hybridMultilevel"/>
    <w:tmpl w:val="C6181A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782562"/>
    <w:multiLevelType w:val="hybridMultilevel"/>
    <w:tmpl w:val="B79ED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319CB"/>
    <w:multiLevelType w:val="hybridMultilevel"/>
    <w:tmpl w:val="5492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15549"/>
    <w:multiLevelType w:val="hybridMultilevel"/>
    <w:tmpl w:val="A4281B5C"/>
    <w:lvl w:ilvl="0" w:tplc="0C090019">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4C7A1DAF"/>
    <w:multiLevelType w:val="hybridMultilevel"/>
    <w:tmpl w:val="F9220F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52501F84"/>
    <w:multiLevelType w:val="hybridMultilevel"/>
    <w:tmpl w:val="A7FA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7669A"/>
    <w:multiLevelType w:val="hybridMultilevel"/>
    <w:tmpl w:val="D484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73612"/>
    <w:multiLevelType w:val="hybridMultilevel"/>
    <w:tmpl w:val="35A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E1D8F"/>
    <w:multiLevelType w:val="hybridMultilevel"/>
    <w:tmpl w:val="D30E4FE4"/>
    <w:lvl w:ilvl="0" w:tplc="F4BEB66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E452E6"/>
    <w:multiLevelType w:val="hybridMultilevel"/>
    <w:tmpl w:val="0280321A"/>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74696F"/>
    <w:multiLevelType w:val="hybridMultilevel"/>
    <w:tmpl w:val="1FA6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07158E"/>
    <w:multiLevelType w:val="hybridMultilevel"/>
    <w:tmpl w:val="1808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6D1DAD"/>
    <w:multiLevelType w:val="hybridMultilevel"/>
    <w:tmpl w:val="61E03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73603C"/>
    <w:multiLevelType w:val="hybridMultilevel"/>
    <w:tmpl w:val="68D6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8A7B63"/>
    <w:multiLevelType w:val="hybridMultilevel"/>
    <w:tmpl w:val="8AA4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0C0129"/>
    <w:multiLevelType w:val="hybridMultilevel"/>
    <w:tmpl w:val="3C3C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BC6D32"/>
    <w:multiLevelType w:val="hybridMultilevel"/>
    <w:tmpl w:val="CFCC6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9A274D"/>
    <w:multiLevelType w:val="hybridMultilevel"/>
    <w:tmpl w:val="BB94D6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25"/>
  </w:num>
  <w:num w:numId="5">
    <w:abstractNumId w:val="23"/>
  </w:num>
  <w:num w:numId="6">
    <w:abstractNumId w:val="9"/>
  </w:num>
  <w:num w:numId="7">
    <w:abstractNumId w:val="0"/>
  </w:num>
  <w:num w:numId="8">
    <w:abstractNumId w:val="31"/>
  </w:num>
  <w:num w:numId="9">
    <w:abstractNumId w:val="4"/>
  </w:num>
  <w:num w:numId="10">
    <w:abstractNumId w:val="24"/>
  </w:num>
  <w:num w:numId="11">
    <w:abstractNumId w:val="8"/>
  </w:num>
  <w:num w:numId="12">
    <w:abstractNumId w:val="20"/>
  </w:num>
  <w:num w:numId="13">
    <w:abstractNumId w:val="12"/>
  </w:num>
  <w:num w:numId="14">
    <w:abstractNumId w:val="26"/>
  </w:num>
  <w:num w:numId="15">
    <w:abstractNumId w:val="3"/>
  </w:num>
  <w:num w:numId="16">
    <w:abstractNumId w:val="17"/>
  </w:num>
  <w:num w:numId="17">
    <w:abstractNumId w:val="27"/>
  </w:num>
  <w:num w:numId="18">
    <w:abstractNumId w:val="2"/>
  </w:num>
  <w:num w:numId="19">
    <w:abstractNumId w:val="5"/>
  </w:num>
  <w:num w:numId="20">
    <w:abstractNumId w:val="15"/>
  </w:num>
  <w:num w:numId="21">
    <w:abstractNumId w:val="1"/>
  </w:num>
  <w:num w:numId="22">
    <w:abstractNumId w:val="22"/>
  </w:num>
  <w:num w:numId="23">
    <w:abstractNumId w:val="29"/>
  </w:num>
  <w:num w:numId="24">
    <w:abstractNumId w:val="7"/>
  </w:num>
  <w:num w:numId="25">
    <w:abstractNumId w:val="18"/>
  </w:num>
  <w:num w:numId="26">
    <w:abstractNumId w:val="21"/>
  </w:num>
  <w:num w:numId="27">
    <w:abstractNumId w:val="28"/>
  </w:num>
  <w:num w:numId="28">
    <w:abstractNumId w:val="6"/>
  </w:num>
  <w:num w:numId="29">
    <w:abstractNumId w:val="16"/>
  </w:num>
  <w:num w:numId="30">
    <w:abstractNumId w:val="11"/>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821"/>
    <w:rsid w:val="00005FF1"/>
    <w:rsid w:val="000111CD"/>
    <w:rsid w:val="00015F44"/>
    <w:rsid w:val="00022716"/>
    <w:rsid w:val="0002534E"/>
    <w:rsid w:val="000255AE"/>
    <w:rsid w:val="00025ACD"/>
    <w:rsid w:val="00025C83"/>
    <w:rsid w:val="00026F47"/>
    <w:rsid w:val="00030A89"/>
    <w:rsid w:val="00034CA6"/>
    <w:rsid w:val="00044973"/>
    <w:rsid w:val="00046175"/>
    <w:rsid w:val="000500EF"/>
    <w:rsid w:val="0005189B"/>
    <w:rsid w:val="000520CB"/>
    <w:rsid w:val="00052411"/>
    <w:rsid w:val="00052AC2"/>
    <w:rsid w:val="00055A5A"/>
    <w:rsid w:val="00061106"/>
    <w:rsid w:val="00062AAD"/>
    <w:rsid w:val="00064712"/>
    <w:rsid w:val="00065139"/>
    <w:rsid w:val="00067A80"/>
    <w:rsid w:val="00076763"/>
    <w:rsid w:val="00076865"/>
    <w:rsid w:val="00082DE5"/>
    <w:rsid w:val="00083405"/>
    <w:rsid w:val="00090FCA"/>
    <w:rsid w:val="0009216B"/>
    <w:rsid w:val="0009443E"/>
    <w:rsid w:val="0009625C"/>
    <w:rsid w:val="000A75FB"/>
    <w:rsid w:val="000B193B"/>
    <w:rsid w:val="000B67F7"/>
    <w:rsid w:val="000B7466"/>
    <w:rsid w:val="000C40B8"/>
    <w:rsid w:val="000C5DF5"/>
    <w:rsid w:val="000D0E22"/>
    <w:rsid w:val="000D2975"/>
    <w:rsid w:val="000D53E3"/>
    <w:rsid w:val="000D7D38"/>
    <w:rsid w:val="000E2D19"/>
    <w:rsid w:val="000E7D99"/>
    <w:rsid w:val="000F2312"/>
    <w:rsid w:val="000F5DCF"/>
    <w:rsid w:val="0010026A"/>
    <w:rsid w:val="0010245F"/>
    <w:rsid w:val="00107737"/>
    <w:rsid w:val="00114505"/>
    <w:rsid w:val="001177E1"/>
    <w:rsid w:val="00120844"/>
    <w:rsid w:val="001216EF"/>
    <w:rsid w:val="00122F9E"/>
    <w:rsid w:val="00123EF8"/>
    <w:rsid w:val="00125CDA"/>
    <w:rsid w:val="00127409"/>
    <w:rsid w:val="00127A57"/>
    <w:rsid w:val="00136CB8"/>
    <w:rsid w:val="0013767C"/>
    <w:rsid w:val="001501EC"/>
    <w:rsid w:val="00153835"/>
    <w:rsid w:val="00153F7B"/>
    <w:rsid w:val="001564A8"/>
    <w:rsid w:val="0015714A"/>
    <w:rsid w:val="00157F97"/>
    <w:rsid w:val="00161854"/>
    <w:rsid w:val="0016667B"/>
    <w:rsid w:val="00166A6B"/>
    <w:rsid w:val="001737BF"/>
    <w:rsid w:val="00175312"/>
    <w:rsid w:val="00175D39"/>
    <w:rsid w:val="00175E12"/>
    <w:rsid w:val="00176597"/>
    <w:rsid w:val="001824C3"/>
    <w:rsid w:val="00184315"/>
    <w:rsid w:val="00184362"/>
    <w:rsid w:val="00184A0A"/>
    <w:rsid w:val="00185FC3"/>
    <w:rsid w:val="00190EA4"/>
    <w:rsid w:val="00190F8F"/>
    <w:rsid w:val="00194AC5"/>
    <w:rsid w:val="001A0F71"/>
    <w:rsid w:val="001A6C8E"/>
    <w:rsid w:val="001B24DD"/>
    <w:rsid w:val="001B67BD"/>
    <w:rsid w:val="001C0C19"/>
    <w:rsid w:val="001C475A"/>
    <w:rsid w:val="001C6167"/>
    <w:rsid w:val="001C74A0"/>
    <w:rsid w:val="001D0BC9"/>
    <w:rsid w:val="001D1C13"/>
    <w:rsid w:val="001D2DCC"/>
    <w:rsid w:val="001D39F4"/>
    <w:rsid w:val="001D7C6C"/>
    <w:rsid w:val="001E06DE"/>
    <w:rsid w:val="001E0B9F"/>
    <w:rsid w:val="001E1595"/>
    <w:rsid w:val="001E59B0"/>
    <w:rsid w:val="001E5C0A"/>
    <w:rsid w:val="001F30A4"/>
    <w:rsid w:val="00200B81"/>
    <w:rsid w:val="00204848"/>
    <w:rsid w:val="0020787A"/>
    <w:rsid w:val="00207DB6"/>
    <w:rsid w:val="00210C70"/>
    <w:rsid w:val="00211E53"/>
    <w:rsid w:val="00214092"/>
    <w:rsid w:val="00215CE3"/>
    <w:rsid w:val="0022031A"/>
    <w:rsid w:val="002235EB"/>
    <w:rsid w:val="0022627A"/>
    <w:rsid w:val="0022752B"/>
    <w:rsid w:val="00227E93"/>
    <w:rsid w:val="00230254"/>
    <w:rsid w:val="00232804"/>
    <w:rsid w:val="00234BD7"/>
    <w:rsid w:val="00237636"/>
    <w:rsid w:val="0024174B"/>
    <w:rsid w:val="002424DC"/>
    <w:rsid w:val="00246543"/>
    <w:rsid w:val="0025070B"/>
    <w:rsid w:val="00251386"/>
    <w:rsid w:val="00251543"/>
    <w:rsid w:val="00253876"/>
    <w:rsid w:val="002622CE"/>
    <w:rsid w:val="0026238C"/>
    <w:rsid w:val="0026406D"/>
    <w:rsid w:val="002643EE"/>
    <w:rsid w:val="0026447C"/>
    <w:rsid w:val="002703D2"/>
    <w:rsid w:val="00270412"/>
    <w:rsid w:val="002802F3"/>
    <w:rsid w:val="0028065C"/>
    <w:rsid w:val="00281157"/>
    <w:rsid w:val="00281CBD"/>
    <w:rsid w:val="00282DC5"/>
    <w:rsid w:val="00291DDA"/>
    <w:rsid w:val="002964AC"/>
    <w:rsid w:val="002B196F"/>
    <w:rsid w:val="002B2109"/>
    <w:rsid w:val="002B7A3A"/>
    <w:rsid w:val="002C1607"/>
    <w:rsid w:val="002C1D7F"/>
    <w:rsid w:val="002C2D4C"/>
    <w:rsid w:val="002C70FC"/>
    <w:rsid w:val="002D1464"/>
    <w:rsid w:val="002D3EDB"/>
    <w:rsid w:val="002E0810"/>
    <w:rsid w:val="002E1C43"/>
    <w:rsid w:val="002E3652"/>
    <w:rsid w:val="002E3895"/>
    <w:rsid w:val="002E4882"/>
    <w:rsid w:val="002E5A1B"/>
    <w:rsid w:val="002E5BB8"/>
    <w:rsid w:val="002E5CC1"/>
    <w:rsid w:val="002E658F"/>
    <w:rsid w:val="002E7182"/>
    <w:rsid w:val="002E7C5E"/>
    <w:rsid w:val="002F2513"/>
    <w:rsid w:val="002F4EE7"/>
    <w:rsid w:val="002F69D5"/>
    <w:rsid w:val="002F6FC0"/>
    <w:rsid w:val="00300EA4"/>
    <w:rsid w:val="00302C8F"/>
    <w:rsid w:val="00304642"/>
    <w:rsid w:val="00305426"/>
    <w:rsid w:val="00305DAD"/>
    <w:rsid w:val="00312010"/>
    <w:rsid w:val="00313410"/>
    <w:rsid w:val="00313A06"/>
    <w:rsid w:val="0032349E"/>
    <w:rsid w:val="003276EA"/>
    <w:rsid w:val="00332222"/>
    <w:rsid w:val="00334378"/>
    <w:rsid w:val="003379D9"/>
    <w:rsid w:val="003409AF"/>
    <w:rsid w:val="00344246"/>
    <w:rsid w:val="0035045D"/>
    <w:rsid w:val="003537B3"/>
    <w:rsid w:val="00355DAF"/>
    <w:rsid w:val="00366EF0"/>
    <w:rsid w:val="00373B46"/>
    <w:rsid w:val="00381900"/>
    <w:rsid w:val="003821EA"/>
    <w:rsid w:val="0038472E"/>
    <w:rsid w:val="00384D70"/>
    <w:rsid w:val="0039109A"/>
    <w:rsid w:val="00392C00"/>
    <w:rsid w:val="00393AAA"/>
    <w:rsid w:val="00394256"/>
    <w:rsid w:val="003A08B5"/>
    <w:rsid w:val="003A4A62"/>
    <w:rsid w:val="003A7591"/>
    <w:rsid w:val="003B3482"/>
    <w:rsid w:val="003B5E1D"/>
    <w:rsid w:val="003C1BD1"/>
    <w:rsid w:val="003C53CE"/>
    <w:rsid w:val="003C6762"/>
    <w:rsid w:val="003D490E"/>
    <w:rsid w:val="003E0EDC"/>
    <w:rsid w:val="003E2080"/>
    <w:rsid w:val="003F0B0A"/>
    <w:rsid w:val="003F510A"/>
    <w:rsid w:val="003F65FB"/>
    <w:rsid w:val="00403D9D"/>
    <w:rsid w:val="004040BE"/>
    <w:rsid w:val="00404E2E"/>
    <w:rsid w:val="00405005"/>
    <w:rsid w:val="00405A20"/>
    <w:rsid w:val="004062A8"/>
    <w:rsid w:val="00406A44"/>
    <w:rsid w:val="00411258"/>
    <w:rsid w:val="004123C4"/>
    <w:rsid w:val="00413530"/>
    <w:rsid w:val="00422BA1"/>
    <w:rsid w:val="00435E81"/>
    <w:rsid w:val="0044000E"/>
    <w:rsid w:val="0044492D"/>
    <w:rsid w:val="0045638F"/>
    <w:rsid w:val="004579DF"/>
    <w:rsid w:val="0046181D"/>
    <w:rsid w:val="00471AF3"/>
    <w:rsid w:val="00472E6A"/>
    <w:rsid w:val="00473996"/>
    <w:rsid w:val="0048045B"/>
    <w:rsid w:val="0048249E"/>
    <w:rsid w:val="00483646"/>
    <w:rsid w:val="0049109A"/>
    <w:rsid w:val="0049413E"/>
    <w:rsid w:val="00496469"/>
    <w:rsid w:val="00496D92"/>
    <w:rsid w:val="0049701D"/>
    <w:rsid w:val="004A209C"/>
    <w:rsid w:val="004A36EB"/>
    <w:rsid w:val="004A45D5"/>
    <w:rsid w:val="004A4EA8"/>
    <w:rsid w:val="004A531F"/>
    <w:rsid w:val="004A671C"/>
    <w:rsid w:val="004A6F1C"/>
    <w:rsid w:val="004B0339"/>
    <w:rsid w:val="004B152D"/>
    <w:rsid w:val="004B46ED"/>
    <w:rsid w:val="004C095B"/>
    <w:rsid w:val="004C4B6D"/>
    <w:rsid w:val="004C6224"/>
    <w:rsid w:val="004C7817"/>
    <w:rsid w:val="004D0551"/>
    <w:rsid w:val="004D1219"/>
    <w:rsid w:val="004D295B"/>
    <w:rsid w:val="004D35E1"/>
    <w:rsid w:val="004D7E74"/>
    <w:rsid w:val="004E1055"/>
    <w:rsid w:val="004E3241"/>
    <w:rsid w:val="004F3A1E"/>
    <w:rsid w:val="004F70DA"/>
    <w:rsid w:val="004F71A5"/>
    <w:rsid w:val="00504D2D"/>
    <w:rsid w:val="005115B4"/>
    <w:rsid w:val="00511811"/>
    <w:rsid w:val="0051237B"/>
    <w:rsid w:val="0051277C"/>
    <w:rsid w:val="00514460"/>
    <w:rsid w:val="005209D5"/>
    <w:rsid w:val="00523EE8"/>
    <w:rsid w:val="0052621D"/>
    <w:rsid w:val="00526279"/>
    <w:rsid w:val="00527B3B"/>
    <w:rsid w:val="00531FBB"/>
    <w:rsid w:val="00533E9B"/>
    <w:rsid w:val="005365F2"/>
    <w:rsid w:val="00537DE3"/>
    <w:rsid w:val="00541054"/>
    <w:rsid w:val="00543F6D"/>
    <w:rsid w:val="0054706B"/>
    <w:rsid w:val="00547F8D"/>
    <w:rsid w:val="00552846"/>
    <w:rsid w:val="00553EBD"/>
    <w:rsid w:val="00557003"/>
    <w:rsid w:val="00562770"/>
    <w:rsid w:val="005662B1"/>
    <w:rsid w:val="00573458"/>
    <w:rsid w:val="0057345C"/>
    <w:rsid w:val="005739D5"/>
    <w:rsid w:val="005769D9"/>
    <w:rsid w:val="00577735"/>
    <w:rsid w:val="00580F08"/>
    <w:rsid w:val="005814F9"/>
    <w:rsid w:val="00581689"/>
    <w:rsid w:val="005817E3"/>
    <w:rsid w:val="00582533"/>
    <w:rsid w:val="00583590"/>
    <w:rsid w:val="00583EE9"/>
    <w:rsid w:val="005859AB"/>
    <w:rsid w:val="005877A5"/>
    <w:rsid w:val="00591312"/>
    <w:rsid w:val="00591537"/>
    <w:rsid w:val="00596F34"/>
    <w:rsid w:val="005A19CB"/>
    <w:rsid w:val="005A3FDF"/>
    <w:rsid w:val="005A551D"/>
    <w:rsid w:val="005A5BC7"/>
    <w:rsid w:val="005A621E"/>
    <w:rsid w:val="005A6770"/>
    <w:rsid w:val="005B09D1"/>
    <w:rsid w:val="005B3E84"/>
    <w:rsid w:val="005B7FA4"/>
    <w:rsid w:val="005D63B1"/>
    <w:rsid w:val="005D7D1F"/>
    <w:rsid w:val="005E011B"/>
    <w:rsid w:val="005E08A9"/>
    <w:rsid w:val="005E0AE4"/>
    <w:rsid w:val="005E1327"/>
    <w:rsid w:val="005E34AF"/>
    <w:rsid w:val="005E483B"/>
    <w:rsid w:val="005E54E7"/>
    <w:rsid w:val="005F612A"/>
    <w:rsid w:val="005F6AFF"/>
    <w:rsid w:val="00602772"/>
    <w:rsid w:val="00607458"/>
    <w:rsid w:val="00613347"/>
    <w:rsid w:val="00613521"/>
    <w:rsid w:val="006171D1"/>
    <w:rsid w:val="006214D3"/>
    <w:rsid w:val="00622B1D"/>
    <w:rsid w:val="00624982"/>
    <w:rsid w:val="006317E1"/>
    <w:rsid w:val="0063523B"/>
    <w:rsid w:val="006355CD"/>
    <w:rsid w:val="0064241E"/>
    <w:rsid w:val="006472E0"/>
    <w:rsid w:val="006638E0"/>
    <w:rsid w:val="00666C28"/>
    <w:rsid w:val="00667CE4"/>
    <w:rsid w:val="006702B2"/>
    <w:rsid w:val="006745C3"/>
    <w:rsid w:val="00680A25"/>
    <w:rsid w:val="00682BAB"/>
    <w:rsid w:val="00687DEB"/>
    <w:rsid w:val="00693173"/>
    <w:rsid w:val="006956C3"/>
    <w:rsid w:val="006A11BD"/>
    <w:rsid w:val="006A1705"/>
    <w:rsid w:val="006A2160"/>
    <w:rsid w:val="006A3AFF"/>
    <w:rsid w:val="006A7C1C"/>
    <w:rsid w:val="006B0170"/>
    <w:rsid w:val="006B13EE"/>
    <w:rsid w:val="006B2EB6"/>
    <w:rsid w:val="006C0640"/>
    <w:rsid w:val="006C1245"/>
    <w:rsid w:val="006C282D"/>
    <w:rsid w:val="006C344A"/>
    <w:rsid w:val="006C774F"/>
    <w:rsid w:val="006D7EA5"/>
    <w:rsid w:val="006E109C"/>
    <w:rsid w:val="006E31F6"/>
    <w:rsid w:val="006F0DB4"/>
    <w:rsid w:val="006F2BC7"/>
    <w:rsid w:val="006F31D9"/>
    <w:rsid w:val="006F3722"/>
    <w:rsid w:val="006F4D4E"/>
    <w:rsid w:val="006F5CA6"/>
    <w:rsid w:val="006F6B08"/>
    <w:rsid w:val="007051CE"/>
    <w:rsid w:val="00707BCC"/>
    <w:rsid w:val="00712A41"/>
    <w:rsid w:val="007136AC"/>
    <w:rsid w:val="00724263"/>
    <w:rsid w:val="0072540E"/>
    <w:rsid w:val="00727110"/>
    <w:rsid w:val="00727FA0"/>
    <w:rsid w:val="007317AA"/>
    <w:rsid w:val="0073313C"/>
    <w:rsid w:val="00735819"/>
    <w:rsid w:val="00743291"/>
    <w:rsid w:val="00743628"/>
    <w:rsid w:val="00745189"/>
    <w:rsid w:val="00745FF7"/>
    <w:rsid w:val="00750C9E"/>
    <w:rsid w:val="00750D58"/>
    <w:rsid w:val="00757B63"/>
    <w:rsid w:val="00757EF1"/>
    <w:rsid w:val="007631E8"/>
    <w:rsid w:val="00763AC0"/>
    <w:rsid w:val="00764286"/>
    <w:rsid w:val="00770606"/>
    <w:rsid w:val="00774C23"/>
    <w:rsid w:val="007758F3"/>
    <w:rsid w:val="007766EF"/>
    <w:rsid w:val="00777039"/>
    <w:rsid w:val="00782656"/>
    <w:rsid w:val="007828D9"/>
    <w:rsid w:val="007903B7"/>
    <w:rsid w:val="0079502D"/>
    <w:rsid w:val="007A2C2B"/>
    <w:rsid w:val="007A4D17"/>
    <w:rsid w:val="007A59EC"/>
    <w:rsid w:val="007B2E3A"/>
    <w:rsid w:val="007C2D56"/>
    <w:rsid w:val="007D434E"/>
    <w:rsid w:val="007D5F7A"/>
    <w:rsid w:val="007D6A4A"/>
    <w:rsid w:val="007D6EAC"/>
    <w:rsid w:val="007E6391"/>
    <w:rsid w:val="007F2008"/>
    <w:rsid w:val="007F31B5"/>
    <w:rsid w:val="007F4C08"/>
    <w:rsid w:val="007F7123"/>
    <w:rsid w:val="00801638"/>
    <w:rsid w:val="00803B7A"/>
    <w:rsid w:val="008154EC"/>
    <w:rsid w:val="00816117"/>
    <w:rsid w:val="00817C10"/>
    <w:rsid w:val="008313B3"/>
    <w:rsid w:val="00840E2F"/>
    <w:rsid w:val="00841C34"/>
    <w:rsid w:val="008433D2"/>
    <w:rsid w:val="00844B9A"/>
    <w:rsid w:val="00852B5F"/>
    <w:rsid w:val="00856BD6"/>
    <w:rsid w:val="00863E55"/>
    <w:rsid w:val="00864F6C"/>
    <w:rsid w:val="00870732"/>
    <w:rsid w:val="00872772"/>
    <w:rsid w:val="008765FD"/>
    <w:rsid w:val="00882263"/>
    <w:rsid w:val="0088715C"/>
    <w:rsid w:val="00896CC6"/>
    <w:rsid w:val="008A1025"/>
    <w:rsid w:val="008A38B0"/>
    <w:rsid w:val="008B0553"/>
    <w:rsid w:val="008B1030"/>
    <w:rsid w:val="008B2DBE"/>
    <w:rsid w:val="008B53DE"/>
    <w:rsid w:val="008B7DA4"/>
    <w:rsid w:val="008C0F8E"/>
    <w:rsid w:val="008C4B3F"/>
    <w:rsid w:val="008C637A"/>
    <w:rsid w:val="008C7F6A"/>
    <w:rsid w:val="008D03C0"/>
    <w:rsid w:val="008D11DB"/>
    <w:rsid w:val="008D6802"/>
    <w:rsid w:val="008E2083"/>
    <w:rsid w:val="008F0C06"/>
    <w:rsid w:val="008F2298"/>
    <w:rsid w:val="009022CE"/>
    <w:rsid w:val="00904CBD"/>
    <w:rsid w:val="00906DA8"/>
    <w:rsid w:val="0091211E"/>
    <w:rsid w:val="009138FD"/>
    <w:rsid w:val="00926F01"/>
    <w:rsid w:val="009271BA"/>
    <w:rsid w:val="00932B9E"/>
    <w:rsid w:val="00936EB0"/>
    <w:rsid w:val="0093798D"/>
    <w:rsid w:val="00941451"/>
    <w:rsid w:val="00942CAF"/>
    <w:rsid w:val="00942F49"/>
    <w:rsid w:val="00951EFA"/>
    <w:rsid w:val="009522C4"/>
    <w:rsid w:val="009573A1"/>
    <w:rsid w:val="00961884"/>
    <w:rsid w:val="00961B47"/>
    <w:rsid w:val="00971258"/>
    <w:rsid w:val="00971587"/>
    <w:rsid w:val="00974A4C"/>
    <w:rsid w:val="0098024A"/>
    <w:rsid w:val="0098506E"/>
    <w:rsid w:val="00986DD1"/>
    <w:rsid w:val="009949E1"/>
    <w:rsid w:val="00995CD9"/>
    <w:rsid w:val="00995F4D"/>
    <w:rsid w:val="009976D8"/>
    <w:rsid w:val="009A0FCF"/>
    <w:rsid w:val="009A5A55"/>
    <w:rsid w:val="009A634C"/>
    <w:rsid w:val="009A66CF"/>
    <w:rsid w:val="009B12A3"/>
    <w:rsid w:val="009B4A53"/>
    <w:rsid w:val="009C3793"/>
    <w:rsid w:val="009E0C5E"/>
    <w:rsid w:val="009E14CD"/>
    <w:rsid w:val="009E5162"/>
    <w:rsid w:val="009E61D2"/>
    <w:rsid w:val="009E7BCB"/>
    <w:rsid w:val="009E7BE3"/>
    <w:rsid w:val="009F0AE6"/>
    <w:rsid w:val="009F4984"/>
    <w:rsid w:val="009F6C0E"/>
    <w:rsid w:val="009F7827"/>
    <w:rsid w:val="009F7FBF"/>
    <w:rsid w:val="00A02753"/>
    <w:rsid w:val="00A03DAE"/>
    <w:rsid w:val="00A03F55"/>
    <w:rsid w:val="00A05630"/>
    <w:rsid w:val="00A11BE0"/>
    <w:rsid w:val="00A168FA"/>
    <w:rsid w:val="00A22B9D"/>
    <w:rsid w:val="00A30C76"/>
    <w:rsid w:val="00A32790"/>
    <w:rsid w:val="00A32B24"/>
    <w:rsid w:val="00A333D6"/>
    <w:rsid w:val="00A340E6"/>
    <w:rsid w:val="00A34800"/>
    <w:rsid w:val="00A36F02"/>
    <w:rsid w:val="00A43285"/>
    <w:rsid w:val="00A45E52"/>
    <w:rsid w:val="00A46F06"/>
    <w:rsid w:val="00A554C1"/>
    <w:rsid w:val="00A57396"/>
    <w:rsid w:val="00A63402"/>
    <w:rsid w:val="00A64998"/>
    <w:rsid w:val="00A7160D"/>
    <w:rsid w:val="00A71C5D"/>
    <w:rsid w:val="00A747F7"/>
    <w:rsid w:val="00A910DD"/>
    <w:rsid w:val="00A9188E"/>
    <w:rsid w:val="00A93D4E"/>
    <w:rsid w:val="00A970F9"/>
    <w:rsid w:val="00AA2DCA"/>
    <w:rsid w:val="00AA5B2C"/>
    <w:rsid w:val="00AA7A3F"/>
    <w:rsid w:val="00AB2E8D"/>
    <w:rsid w:val="00AB62B0"/>
    <w:rsid w:val="00AB642E"/>
    <w:rsid w:val="00AB6F39"/>
    <w:rsid w:val="00AB7838"/>
    <w:rsid w:val="00AC3DAF"/>
    <w:rsid w:val="00AD147F"/>
    <w:rsid w:val="00AD2437"/>
    <w:rsid w:val="00AD3F99"/>
    <w:rsid w:val="00AD6739"/>
    <w:rsid w:val="00AD6B4A"/>
    <w:rsid w:val="00AD7A1C"/>
    <w:rsid w:val="00AE0655"/>
    <w:rsid w:val="00AE1040"/>
    <w:rsid w:val="00AF2B27"/>
    <w:rsid w:val="00AF5C34"/>
    <w:rsid w:val="00B06EBF"/>
    <w:rsid w:val="00B13C76"/>
    <w:rsid w:val="00B17421"/>
    <w:rsid w:val="00B21B44"/>
    <w:rsid w:val="00B23812"/>
    <w:rsid w:val="00B26359"/>
    <w:rsid w:val="00B26CEA"/>
    <w:rsid w:val="00B274F1"/>
    <w:rsid w:val="00B2779A"/>
    <w:rsid w:val="00B30E4C"/>
    <w:rsid w:val="00B3400D"/>
    <w:rsid w:val="00B35813"/>
    <w:rsid w:val="00B36620"/>
    <w:rsid w:val="00B41596"/>
    <w:rsid w:val="00B416AE"/>
    <w:rsid w:val="00B45C54"/>
    <w:rsid w:val="00B47875"/>
    <w:rsid w:val="00B515E8"/>
    <w:rsid w:val="00B53ED9"/>
    <w:rsid w:val="00B5407D"/>
    <w:rsid w:val="00B54C41"/>
    <w:rsid w:val="00B55965"/>
    <w:rsid w:val="00B57839"/>
    <w:rsid w:val="00B631CF"/>
    <w:rsid w:val="00B6710B"/>
    <w:rsid w:val="00B722DB"/>
    <w:rsid w:val="00B7231A"/>
    <w:rsid w:val="00B73A36"/>
    <w:rsid w:val="00B75974"/>
    <w:rsid w:val="00B86FDD"/>
    <w:rsid w:val="00B902D2"/>
    <w:rsid w:val="00B9133F"/>
    <w:rsid w:val="00B92A89"/>
    <w:rsid w:val="00B93711"/>
    <w:rsid w:val="00B94850"/>
    <w:rsid w:val="00B960D9"/>
    <w:rsid w:val="00B96229"/>
    <w:rsid w:val="00B964B4"/>
    <w:rsid w:val="00BA0322"/>
    <w:rsid w:val="00BA07D6"/>
    <w:rsid w:val="00BB0B02"/>
    <w:rsid w:val="00BB643E"/>
    <w:rsid w:val="00BC0613"/>
    <w:rsid w:val="00BC10C2"/>
    <w:rsid w:val="00BC416C"/>
    <w:rsid w:val="00BD2D4E"/>
    <w:rsid w:val="00BD2F23"/>
    <w:rsid w:val="00BD3AD4"/>
    <w:rsid w:val="00BD5CFF"/>
    <w:rsid w:val="00BD61D0"/>
    <w:rsid w:val="00BD7869"/>
    <w:rsid w:val="00BE7213"/>
    <w:rsid w:val="00BF3A82"/>
    <w:rsid w:val="00BF402A"/>
    <w:rsid w:val="00BF40C8"/>
    <w:rsid w:val="00C144A1"/>
    <w:rsid w:val="00C15361"/>
    <w:rsid w:val="00C2157D"/>
    <w:rsid w:val="00C22158"/>
    <w:rsid w:val="00C22E18"/>
    <w:rsid w:val="00C23DA2"/>
    <w:rsid w:val="00C2591A"/>
    <w:rsid w:val="00C260FE"/>
    <w:rsid w:val="00C26153"/>
    <w:rsid w:val="00C27918"/>
    <w:rsid w:val="00C3361D"/>
    <w:rsid w:val="00C33631"/>
    <w:rsid w:val="00C350CF"/>
    <w:rsid w:val="00C365BC"/>
    <w:rsid w:val="00C367FF"/>
    <w:rsid w:val="00C41DF5"/>
    <w:rsid w:val="00C46399"/>
    <w:rsid w:val="00C539C5"/>
    <w:rsid w:val="00C5668B"/>
    <w:rsid w:val="00C6083D"/>
    <w:rsid w:val="00C61906"/>
    <w:rsid w:val="00C643A2"/>
    <w:rsid w:val="00C6559A"/>
    <w:rsid w:val="00C76D1F"/>
    <w:rsid w:val="00C875AC"/>
    <w:rsid w:val="00C87738"/>
    <w:rsid w:val="00C946EF"/>
    <w:rsid w:val="00C96DE3"/>
    <w:rsid w:val="00C97E11"/>
    <w:rsid w:val="00CA0EE6"/>
    <w:rsid w:val="00CA41EE"/>
    <w:rsid w:val="00CA701D"/>
    <w:rsid w:val="00CA7C1F"/>
    <w:rsid w:val="00CB2F78"/>
    <w:rsid w:val="00CB3048"/>
    <w:rsid w:val="00CB57C6"/>
    <w:rsid w:val="00CB5CC2"/>
    <w:rsid w:val="00CB5DEE"/>
    <w:rsid w:val="00CB66F2"/>
    <w:rsid w:val="00CB7F53"/>
    <w:rsid w:val="00CC3E1B"/>
    <w:rsid w:val="00CD4E9E"/>
    <w:rsid w:val="00CF0736"/>
    <w:rsid w:val="00D011E2"/>
    <w:rsid w:val="00D02EA2"/>
    <w:rsid w:val="00D048CC"/>
    <w:rsid w:val="00D04EB6"/>
    <w:rsid w:val="00D05943"/>
    <w:rsid w:val="00D14B7C"/>
    <w:rsid w:val="00D23194"/>
    <w:rsid w:val="00D27C3E"/>
    <w:rsid w:val="00D31811"/>
    <w:rsid w:val="00D44DD3"/>
    <w:rsid w:val="00D45DFF"/>
    <w:rsid w:val="00D463A6"/>
    <w:rsid w:val="00D4676D"/>
    <w:rsid w:val="00D57D73"/>
    <w:rsid w:val="00D67618"/>
    <w:rsid w:val="00D71144"/>
    <w:rsid w:val="00D71ADA"/>
    <w:rsid w:val="00D73597"/>
    <w:rsid w:val="00D8358F"/>
    <w:rsid w:val="00D83635"/>
    <w:rsid w:val="00D872D2"/>
    <w:rsid w:val="00D90827"/>
    <w:rsid w:val="00D94313"/>
    <w:rsid w:val="00D948B5"/>
    <w:rsid w:val="00DA0D04"/>
    <w:rsid w:val="00DA0FC4"/>
    <w:rsid w:val="00DA2ABA"/>
    <w:rsid w:val="00DA4D4B"/>
    <w:rsid w:val="00DB3097"/>
    <w:rsid w:val="00DC0897"/>
    <w:rsid w:val="00DC37C4"/>
    <w:rsid w:val="00DC513B"/>
    <w:rsid w:val="00DD304E"/>
    <w:rsid w:val="00DD4065"/>
    <w:rsid w:val="00DD5104"/>
    <w:rsid w:val="00DE0257"/>
    <w:rsid w:val="00DE0CC4"/>
    <w:rsid w:val="00DE2B1E"/>
    <w:rsid w:val="00DF4C22"/>
    <w:rsid w:val="00DF5B1C"/>
    <w:rsid w:val="00DF6C6C"/>
    <w:rsid w:val="00DF6DEA"/>
    <w:rsid w:val="00DF72FB"/>
    <w:rsid w:val="00DF78AE"/>
    <w:rsid w:val="00E00487"/>
    <w:rsid w:val="00E00829"/>
    <w:rsid w:val="00E03DFB"/>
    <w:rsid w:val="00E13B88"/>
    <w:rsid w:val="00E14F3C"/>
    <w:rsid w:val="00E209E4"/>
    <w:rsid w:val="00E25383"/>
    <w:rsid w:val="00E274DF"/>
    <w:rsid w:val="00E27646"/>
    <w:rsid w:val="00E3043A"/>
    <w:rsid w:val="00E32795"/>
    <w:rsid w:val="00E33FA9"/>
    <w:rsid w:val="00E34B53"/>
    <w:rsid w:val="00E433A7"/>
    <w:rsid w:val="00E467AA"/>
    <w:rsid w:val="00E510A6"/>
    <w:rsid w:val="00E5390C"/>
    <w:rsid w:val="00E53E8E"/>
    <w:rsid w:val="00E57BAE"/>
    <w:rsid w:val="00E66EEF"/>
    <w:rsid w:val="00E7206E"/>
    <w:rsid w:val="00E743E3"/>
    <w:rsid w:val="00E74C18"/>
    <w:rsid w:val="00E7658A"/>
    <w:rsid w:val="00E80BAF"/>
    <w:rsid w:val="00E862CF"/>
    <w:rsid w:val="00E869DA"/>
    <w:rsid w:val="00E86ED7"/>
    <w:rsid w:val="00E87ED0"/>
    <w:rsid w:val="00E87FC2"/>
    <w:rsid w:val="00E96413"/>
    <w:rsid w:val="00EA055E"/>
    <w:rsid w:val="00EA0B71"/>
    <w:rsid w:val="00EA1B83"/>
    <w:rsid w:val="00EA7012"/>
    <w:rsid w:val="00EA7D2B"/>
    <w:rsid w:val="00EB0B2A"/>
    <w:rsid w:val="00EC0BE1"/>
    <w:rsid w:val="00EC4C06"/>
    <w:rsid w:val="00EE0D1C"/>
    <w:rsid w:val="00EE64F1"/>
    <w:rsid w:val="00EF13DE"/>
    <w:rsid w:val="00EF33ED"/>
    <w:rsid w:val="00EF6ABF"/>
    <w:rsid w:val="00EF6CD9"/>
    <w:rsid w:val="00F01A2B"/>
    <w:rsid w:val="00F01B00"/>
    <w:rsid w:val="00F03EE4"/>
    <w:rsid w:val="00F04126"/>
    <w:rsid w:val="00F05F4B"/>
    <w:rsid w:val="00F076F3"/>
    <w:rsid w:val="00F11C69"/>
    <w:rsid w:val="00F14F8F"/>
    <w:rsid w:val="00F22226"/>
    <w:rsid w:val="00F226DE"/>
    <w:rsid w:val="00F240D4"/>
    <w:rsid w:val="00F33191"/>
    <w:rsid w:val="00F4151E"/>
    <w:rsid w:val="00F415CB"/>
    <w:rsid w:val="00F46871"/>
    <w:rsid w:val="00F50610"/>
    <w:rsid w:val="00F52713"/>
    <w:rsid w:val="00F54710"/>
    <w:rsid w:val="00F56465"/>
    <w:rsid w:val="00F63986"/>
    <w:rsid w:val="00F661BE"/>
    <w:rsid w:val="00F71673"/>
    <w:rsid w:val="00F71ADE"/>
    <w:rsid w:val="00F73AE9"/>
    <w:rsid w:val="00F80E47"/>
    <w:rsid w:val="00F8421B"/>
    <w:rsid w:val="00F86BB3"/>
    <w:rsid w:val="00F87608"/>
    <w:rsid w:val="00F9480E"/>
    <w:rsid w:val="00F97921"/>
    <w:rsid w:val="00FA3780"/>
    <w:rsid w:val="00FA777E"/>
    <w:rsid w:val="00FB0348"/>
    <w:rsid w:val="00FC0BDE"/>
    <w:rsid w:val="00FD13A3"/>
    <w:rsid w:val="00FD1593"/>
    <w:rsid w:val="00FD2A17"/>
    <w:rsid w:val="00FD2A38"/>
    <w:rsid w:val="00FD6299"/>
    <w:rsid w:val="00FD76F4"/>
    <w:rsid w:val="00FE1EDC"/>
    <w:rsid w:val="00FE31B7"/>
    <w:rsid w:val="00FE692F"/>
    <w:rsid w:val="00FE7B6F"/>
    <w:rsid w:val="00FF0F13"/>
    <w:rsid w:val="00FF1AE6"/>
    <w:rsid w:val="00FF6D79"/>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80E47"/>
    <w:pPr>
      <w:keepNext/>
      <w:keepLines/>
      <w:spacing w:before="40" w:after="0" w:line="259" w:lineRule="auto"/>
      <w:outlineLvl w:val="3"/>
    </w:pPr>
    <w:rPr>
      <w:rFonts w:asciiTheme="majorHAnsi" w:eastAsiaTheme="majorEastAsia" w:hAnsiTheme="majorHAnsi" w:cstheme="majorBidi"/>
      <w:iCs/>
      <w:color w:val="1F497D" w:themeColor="text2"/>
      <w:sz w:val="28"/>
      <w:szCs w:val="28"/>
    </w:rPr>
  </w:style>
  <w:style w:type="paragraph" w:styleId="Heading6">
    <w:name w:val="heading 6"/>
    <w:basedOn w:val="Normal"/>
    <w:next w:val="Normal"/>
    <w:link w:val="Heading6Char"/>
    <w:uiPriority w:val="9"/>
    <w:unhideWhenUsed/>
    <w:qFormat/>
    <w:rsid w:val="00F80E47"/>
    <w:pPr>
      <w:keepNext/>
      <w:keepLines/>
      <w:spacing w:before="40" w:after="0" w:line="259" w:lineRule="auto"/>
      <w:outlineLvl w:val="5"/>
    </w:pPr>
    <w:rPr>
      <w:rFonts w:asciiTheme="majorHAnsi" w:eastAsiaTheme="majorEastAsia" w:hAnsiTheme="majorHAnsi" w:cstheme="majorBid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1A"/>
    <w:pPr>
      <w:ind w:left="720"/>
      <w:contextualSpacing/>
    </w:pPr>
  </w:style>
  <w:style w:type="paragraph" w:styleId="FootnoteText">
    <w:name w:val="footnote text"/>
    <w:basedOn w:val="Normal"/>
    <w:link w:val="FootnoteTextChar"/>
    <w:uiPriority w:val="99"/>
    <w:semiHidden/>
    <w:unhideWhenUsed/>
    <w:rsid w:val="002E1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C43"/>
    <w:rPr>
      <w:sz w:val="20"/>
      <w:szCs w:val="20"/>
    </w:rPr>
  </w:style>
  <w:style w:type="character" w:styleId="FootnoteReference">
    <w:name w:val="footnote reference"/>
    <w:basedOn w:val="DefaultParagraphFont"/>
    <w:uiPriority w:val="99"/>
    <w:semiHidden/>
    <w:unhideWhenUsed/>
    <w:rsid w:val="002E1C43"/>
    <w:rPr>
      <w:vertAlign w:val="superscript"/>
    </w:rPr>
  </w:style>
  <w:style w:type="character" w:styleId="CommentReference">
    <w:name w:val="annotation reference"/>
    <w:basedOn w:val="DefaultParagraphFont"/>
    <w:uiPriority w:val="99"/>
    <w:semiHidden/>
    <w:unhideWhenUsed/>
    <w:rsid w:val="00581689"/>
    <w:rPr>
      <w:sz w:val="16"/>
      <w:szCs w:val="16"/>
    </w:rPr>
  </w:style>
  <w:style w:type="paragraph" w:styleId="CommentText">
    <w:name w:val="annotation text"/>
    <w:basedOn w:val="Normal"/>
    <w:link w:val="CommentTextChar"/>
    <w:uiPriority w:val="99"/>
    <w:unhideWhenUsed/>
    <w:rsid w:val="00581689"/>
    <w:pPr>
      <w:spacing w:line="240" w:lineRule="auto"/>
    </w:pPr>
    <w:rPr>
      <w:sz w:val="20"/>
      <w:szCs w:val="20"/>
    </w:rPr>
  </w:style>
  <w:style w:type="character" w:customStyle="1" w:styleId="CommentTextChar">
    <w:name w:val="Comment Text Char"/>
    <w:basedOn w:val="DefaultParagraphFont"/>
    <w:link w:val="CommentText"/>
    <w:uiPriority w:val="99"/>
    <w:rsid w:val="00581689"/>
    <w:rPr>
      <w:sz w:val="20"/>
      <w:szCs w:val="20"/>
    </w:rPr>
  </w:style>
  <w:style w:type="paragraph" w:styleId="CommentSubject">
    <w:name w:val="annotation subject"/>
    <w:basedOn w:val="CommentText"/>
    <w:next w:val="CommentText"/>
    <w:link w:val="CommentSubjectChar"/>
    <w:uiPriority w:val="99"/>
    <w:semiHidden/>
    <w:unhideWhenUsed/>
    <w:rsid w:val="00581689"/>
    <w:rPr>
      <w:b/>
      <w:bCs/>
    </w:rPr>
  </w:style>
  <w:style w:type="character" w:customStyle="1" w:styleId="CommentSubjectChar">
    <w:name w:val="Comment Subject Char"/>
    <w:basedOn w:val="CommentTextChar"/>
    <w:link w:val="CommentSubject"/>
    <w:uiPriority w:val="99"/>
    <w:semiHidden/>
    <w:rsid w:val="00581689"/>
    <w:rPr>
      <w:b/>
      <w:bCs/>
      <w:sz w:val="20"/>
      <w:szCs w:val="20"/>
    </w:rPr>
  </w:style>
  <w:style w:type="paragraph" w:styleId="BalloonText">
    <w:name w:val="Balloon Text"/>
    <w:basedOn w:val="Normal"/>
    <w:link w:val="BalloonTextChar"/>
    <w:uiPriority w:val="99"/>
    <w:semiHidden/>
    <w:unhideWhenUsed/>
    <w:rsid w:val="00581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89"/>
    <w:rPr>
      <w:rFonts w:ascii="Segoe UI" w:hAnsi="Segoe UI" w:cs="Segoe UI"/>
      <w:sz w:val="18"/>
      <w:szCs w:val="18"/>
    </w:rPr>
  </w:style>
  <w:style w:type="paragraph" w:styleId="Header">
    <w:name w:val="header"/>
    <w:basedOn w:val="Normal"/>
    <w:link w:val="HeaderChar"/>
    <w:uiPriority w:val="99"/>
    <w:unhideWhenUsed/>
    <w:rsid w:val="0075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F1"/>
  </w:style>
  <w:style w:type="paragraph" w:styleId="Footer">
    <w:name w:val="footer"/>
    <w:basedOn w:val="Normal"/>
    <w:link w:val="FooterChar"/>
    <w:uiPriority w:val="99"/>
    <w:unhideWhenUsed/>
    <w:rsid w:val="0075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F1"/>
  </w:style>
  <w:style w:type="character" w:styleId="Hyperlink">
    <w:name w:val="Hyperlink"/>
    <w:basedOn w:val="DefaultParagraphFont"/>
    <w:uiPriority w:val="99"/>
    <w:unhideWhenUsed/>
    <w:rsid w:val="008154EC"/>
    <w:rPr>
      <w:color w:val="0000FF" w:themeColor="hyperlink"/>
      <w:u w:val="single"/>
    </w:rPr>
  </w:style>
  <w:style w:type="paragraph" w:styleId="Revision">
    <w:name w:val="Revision"/>
    <w:hidden/>
    <w:uiPriority w:val="99"/>
    <w:semiHidden/>
    <w:rsid w:val="00C946EF"/>
    <w:pPr>
      <w:spacing w:after="0" w:line="240" w:lineRule="auto"/>
    </w:pPr>
  </w:style>
  <w:style w:type="paragraph" w:customStyle="1" w:styleId="chunk">
    <w:name w:val="chunk"/>
    <w:basedOn w:val="Normal"/>
    <w:rsid w:val="006F5C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F5CA6"/>
    <w:rPr>
      <w:i/>
      <w:iCs/>
    </w:rPr>
  </w:style>
  <w:style w:type="character" w:styleId="Strong">
    <w:name w:val="Strong"/>
    <w:basedOn w:val="DefaultParagraphFont"/>
    <w:uiPriority w:val="22"/>
    <w:qFormat/>
    <w:rsid w:val="006F5CA6"/>
    <w:rPr>
      <w:b/>
      <w:bCs/>
    </w:rPr>
  </w:style>
  <w:style w:type="paragraph" w:customStyle="1" w:styleId="def">
    <w:name w:val="def"/>
    <w:basedOn w:val="Normal"/>
    <w:rsid w:val="006F5C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F80E47"/>
    <w:rPr>
      <w:rFonts w:asciiTheme="majorHAnsi" w:eastAsiaTheme="majorEastAsia" w:hAnsiTheme="majorHAnsi" w:cstheme="majorBidi"/>
      <w:iCs/>
      <w:color w:val="1F497D" w:themeColor="text2"/>
      <w:sz w:val="28"/>
      <w:szCs w:val="28"/>
    </w:rPr>
  </w:style>
  <w:style w:type="character" w:customStyle="1" w:styleId="Heading6Char">
    <w:name w:val="Heading 6 Char"/>
    <w:basedOn w:val="DefaultParagraphFont"/>
    <w:link w:val="Heading6"/>
    <w:uiPriority w:val="9"/>
    <w:rsid w:val="00F80E47"/>
    <w:rPr>
      <w:rFonts w:asciiTheme="majorHAnsi" w:eastAsiaTheme="majorEastAsia" w:hAnsiTheme="majorHAnsi" w:cstheme="majorBidi"/>
      <w:color w:val="1F497D" w:themeColor="text2"/>
    </w:rPr>
  </w:style>
  <w:style w:type="paragraph" w:styleId="Title">
    <w:name w:val="Title"/>
    <w:basedOn w:val="Normal"/>
    <w:next w:val="Normal"/>
    <w:link w:val="TitleChar"/>
    <w:uiPriority w:val="10"/>
    <w:qFormat/>
    <w:rsid w:val="00F80E47"/>
    <w:pPr>
      <w:pBdr>
        <w:bottom w:val="single" w:sz="8" w:space="1" w:color="1F497D" w:themeColor="text2"/>
      </w:pBdr>
      <w:spacing w:before="360" w:after="120" w:line="240" w:lineRule="auto"/>
      <w:contextualSpacing/>
      <w:outlineLvl w:val="0"/>
    </w:pPr>
    <w:rPr>
      <w:rFonts w:asciiTheme="majorHAnsi" w:eastAsiaTheme="majorEastAsia" w:hAnsiTheme="majorHAnsi" w:cstheme="majorBidi"/>
      <w:color w:val="1F497D" w:themeColor="text2"/>
      <w:spacing w:val="-10"/>
      <w:kern w:val="28"/>
      <w:sz w:val="56"/>
      <w:szCs w:val="72"/>
    </w:rPr>
  </w:style>
  <w:style w:type="character" w:customStyle="1" w:styleId="TitleChar">
    <w:name w:val="Title Char"/>
    <w:basedOn w:val="DefaultParagraphFont"/>
    <w:link w:val="Title"/>
    <w:uiPriority w:val="10"/>
    <w:rsid w:val="00F80E47"/>
    <w:rPr>
      <w:rFonts w:asciiTheme="majorHAnsi" w:eastAsiaTheme="majorEastAsia" w:hAnsiTheme="majorHAnsi" w:cstheme="majorBidi"/>
      <w:color w:val="1F497D" w:themeColor="text2"/>
      <w:spacing w:val="-10"/>
      <w:kern w:val="28"/>
      <w:sz w:val="56"/>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1691">
      <w:bodyDiv w:val="1"/>
      <w:marLeft w:val="0"/>
      <w:marRight w:val="0"/>
      <w:marTop w:val="0"/>
      <w:marBottom w:val="0"/>
      <w:divBdr>
        <w:top w:val="none" w:sz="0" w:space="0" w:color="auto"/>
        <w:left w:val="none" w:sz="0" w:space="0" w:color="auto"/>
        <w:bottom w:val="none" w:sz="0" w:space="0" w:color="auto"/>
        <w:right w:val="none" w:sz="0" w:space="0" w:color="auto"/>
      </w:divBdr>
    </w:div>
    <w:div w:id="702750483">
      <w:bodyDiv w:val="1"/>
      <w:marLeft w:val="0"/>
      <w:marRight w:val="0"/>
      <w:marTop w:val="0"/>
      <w:marBottom w:val="0"/>
      <w:divBdr>
        <w:top w:val="none" w:sz="0" w:space="0" w:color="auto"/>
        <w:left w:val="none" w:sz="0" w:space="0" w:color="auto"/>
        <w:bottom w:val="none" w:sz="0" w:space="0" w:color="auto"/>
        <w:right w:val="none" w:sz="0" w:space="0" w:color="auto"/>
      </w:divBdr>
    </w:div>
    <w:div w:id="18626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rba.gov.au" TargetMode="External"/><Relationship Id="rId2" Type="http://schemas.openxmlformats.org/officeDocument/2006/relationships/customXml" Target="../customXml/item2.xml"/><Relationship Id="rId16" Type="http://schemas.openxmlformats.org/officeDocument/2006/relationships/hyperlink" Target="https://www.spglobal.com/platts/" TargetMode="External"/><Relationship Id="rId20" Type="http://schemas.openxmlformats.org/officeDocument/2006/relationships/hyperlink" Target="https://www.aph.gov.au/Parliamentary_Business/Committees/Joint/Human_Rights/Guidance_Notes_and_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383</Value>
      <Value>150</Value>
      <Value>59</Value>
      <Value>275</Value>
      <Value>323</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803d03d9-f24d-497a-bb88-13a7511ff07a</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a36bd50b-1532-4c22-b385-5c082c960938">SEF43VY7DDAF-750892886-115</_dlc_DocId>
    <_dlc_DocIdUrl xmlns="a36bd50b-1532-4c22-b385-5c082c960938">
      <Url>http://dochub/div/corporate/businessfunctions/legalservices/practicemgmt/toolstemplates/_layouts/15/DocIdRedir.aspx?ID=SEF43VY7DDAF-750892886-115</Url>
      <Description>SEF43VY7DDAF-750892886-115</Description>
    </_dlc_DocIdUrl>
    <b35197c3e83b4648a7123a57f421e83e xmlns="d92934b5-032c-4da3-958e-788fdb9771c1">
      <Terms xmlns="http://schemas.microsoft.com/office/infopath/2007/PartnerControls"/>
    </b35197c3e83b4648a7123a57f421e83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f6a6876770fe920a439d29499c8ba147">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f7f97242c02b47becc1a631b8c169106"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3:b35197c3e83b4648a7123a57f421e83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35197c3e83b4648a7123a57f421e83e" ma:index="25" nillable="true" ma:taxonomy="true" ma:internalName="b35197c3e83b4648a7123a57f421e83e" ma:taxonomyFieldName="DocHub_FuelSecurityLegislationWorkTopics" ma:displayName="Fuel Security Legislation Work Topics" ma:indexed="true" ma:default="" ma:fieldId="{b35197c3-e83b-4648-a712-3a57f421e83e}" ma:sspId="fb0313f7-9433-48c0-866e-9e0bbee59a50" ma:termSetId="5bde1f9d-e10a-4f76-8f32-2bd6d1adfb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http://schemas.microsoft.com/sharepoint/v3"/>
    <ds:schemaRef ds:uri="a36bd50b-1532-4c22-b385-5c082c960938"/>
    <ds:schemaRef ds:uri="d92934b5-032c-4da3-958e-788fdb9771c1"/>
    <ds:schemaRef ds:uri="http://schemas.microsoft.com/sharepoint/v4"/>
  </ds:schemaRefs>
</ds:datastoreItem>
</file>

<file path=customXml/itemProps2.xml><?xml version="1.0" encoding="utf-8"?>
<ds:datastoreItem xmlns:ds="http://schemas.openxmlformats.org/officeDocument/2006/customXml" ds:itemID="{08F83984-DB4D-4330-8257-5FDB93CE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46916-A889-4636-83F7-69502EABD60E}">
  <ds:schemaRefs>
    <ds:schemaRef ds:uri="http://schemas.microsoft.com/sharepoint/events"/>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3A7ED002-C03B-40C8-A9CC-9C149374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6852</TotalTime>
  <Pages>30</Pages>
  <Words>10980</Words>
  <Characters>62587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Osborne, Lea</cp:lastModifiedBy>
  <cp:revision>306</cp:revision>
  <cp:lastPrinted>2021-06-29T22:16:00Z</cp:lastPrinted>
  <dcterms:created xsi:type="dcterms:W3CDTF">2021-06-02T07:10:00Z</dcterms:created>
  <dcterms:modified xsi:type="dcterms:W3CDTF">2021-07-22T05:37:00Z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150;#2017|5f6de30b-6e1e-4c09-9e51-982258231536</vt:lpwstr>
  </property>
  <property fmtid="{D5CDD505-2E9C-101B-9397-08002B2CF9AE}" pid="5" name="DocHub_LegalToolPurpose">
    <vt:lpwstr/>
  </property>
  <property fmtid="{D5CDD505-2E9C-101B-9397-08002B2CF9AE}" pid="6" name="DocHub_WorkActivity">
    <vt:lpwstr>275;#Legislation and Regulation|6cbc66f5-f4a2-4565-a58b-d5f2d2ac9bd0</vt:lpwstr>
  </property>
  <property fmtid="{D5CDD505-2E9C-101B-9397-08002B2CF9AE}" pid="7" name="DocHub_Keywords">
    <vt:lpwstr>383;#legislative|5e869634-89cb-4ffc-9135-3cf69ffe805a</vt:lpwstr>
  </property>
  <property fmtid="{D5CDD505-2E9C-101B-9397-08002B2CF9AE}" pid="8" name="DocHub_DocumentType">
    <vt:lpwstr>59;#Template|9b48ba34-650a-488d-9fe8-e5181e10b797</vt:lpwstr>
  </property>
  <property fmtid="{D5CDD505-2E9C-101B-9397-08002B2CF9AE}" pid="9" name="DocHub_SecurityClassification">
    <vt:lpwstr>323;#Sensitive: Legal|803d03d9-f24d-497a-bb88-13a7511ff07a</vt:lpwstr>
  </property>
  <property fmtid="{D5CDD505-2E9C-101B-9397-08002B2CF9AE}" pid="10" name="_dlc_DocIdItemGuid">
    <vt:lpwstr>52736cf9-9c50-45e5-8fc4-4b02fff03d5b</vt:lpwstr>
  </property>
  <property fmtid="{D5CDD505-2E9C-101B-9397-08002B2CF9AE}" pid="11" name="DocHub_FuelSecurityLegislationWorkTopics">
    <vt:lpwstr/>
  </property>
</Properties>
</file>