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14:anchorId="1C9AD8CC" wp14:editId="1C9AD8CD">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634D19" w:rsidP="00F81A21">
      <w:pPr>
        <w:pStyle w:val="ShortT"/>
      </w:pPr>
      <w:r>
        <w:t>Fuel Security</w:t>
      </w:r>
      <w:r w:rsidR="00225D68">
        <w:t xml:space="preserve"> (</w:t>
      </w:r>
      <w:r>
        <w:t>Fuel Security Services Payment</w:t>
      </w:r>
      <w:r w:rsidR="00225D68">
        <w:t xml:space="preserve">) </w:t>
      </w:r>
      <w:r w:rsidR="001E0380">
        <w:t>Rule</w:t>
      </w:r>
      <w:r>
        <w:t xml:space="preserve"> 2021</w:t>
      </w:r>
    </w:p>
    <w:p w:rsidR="00F81A21" w:rsidRPr="002A0313" w:rsidRDefault="00F81A21" w:rsidP="00F81A21">
      <w:pPr>
        <w:pStyle w:val="SignCoverPageStart"/>
        <w:rPr>
          <w:szCs w:val="22"/>
        </w:rPr>
      </w:pPr>
      <w:r w:rsidRPr="002A0313">
        <w:rPr>
          <w:szCs w:val="22"/>
        </w:rPr>
        <w:t xml:space="preserve">I, </w:t>
      </w:r>
      <w:r w:rsidR="00634D19">
        <w:rPr>
          <w:szCs w:val="22"/>
        </w:rPr>
        <w:t>Angus Taylor</w:t>
      </w:r>
      <w:r w:rsidRPr="002A0313">
        <w:rPr>
          <w:szCs w:val="22"/>
        </w:rPr>
        <w:t xml:space="preserve">, Minister for </w:t>
      </w:r>
      <w:r w:rsidR="00634D19">
        <w:rPr>
          <w:szCs w:val="22"/>
        </w:rPr>
        <w:t>Energy and Emissions Reduction</w:t>
      </w:r>
      <w:r w:rsidRPr="002A0313">
        <w:rPr>
          <w:szCs w:val="22"/>
        </w:rPr>
        <w:t xml:space="preserve">, make the following </w:t>
      </w:r>
      <w:r w:rsidR="00634D19">
        <w:rPr>
          <w:szCs w:val="22"/>
        </w:rPr>
        <w:t>instrument</w:t>
      </w:r>
      <w:r w:rsidRPr="002A0313">
        <w:rPr>
          <w:szCs w:val="22"/>
        </w:rPr>
        <w:t>.</w:t>
      </w:r>
    </w:p>
    <w:p w:rsidR="00F81A21" w:rsidRPr="002A0313" w:rsidRDefault="00F81A21" w:rsidP="00F81A21">
      <w:pPr>
        <w:keepNext/>
        <w:spacing w:before="300" w:line="240" w:lineRule="atLeast"/>
        <w:ind w:right="397"/>
        <w:jc w:val="both"/>
        <w:rPr>
          <w:szCs w:val="22"/>
        </w:rPr>
      </w:pPr>
      <w:r w:rsidRPr="002A0313">
        <w:rPr>
          <w:szCs w:val="22"/>
        </w:rPr>
        <w:t>Dated</w:t>
      </w:r>
      <w:r w:rsidR="008F51FA">
        <w:rPr>
          <w:szCs w:val="22"/>
        </w:rPr>
        <w:t>: 21 July 2021</w:t>
      </w:r>
      <w:bookmarkStart w:id="0" w:name="_GoBack"/>
      <w:bookmarkEnd w:id="0"/>
      <w:r w:rsidRPr="002A0313">
        <w:rPr>
          <w:szCs w:val="22"/>
        </w:rPr>
        <w:tab/>
      </w:r>
      <w:r w:rsidRPr="002A0313">
        <w:rPr>
          <w:szCs w:val="22"/>
        </w:rPr>
        <w:tab/>
      </w:r>
      <w:r w:rsidRPr="002A0313">
        <w:rPr>
          <w:szCs w:val="22"/>
        </w:rPr>
        <w:tab/>
      </w:r>
      <w:r w:rsidRPr="002A0313">
        <w:rPr>
          <w:szCs w:val="22"/>
        </w:rPr>
        <w:tab/>
      </w:r>
      <w:bookmarkStart w:id="1" w:name="BKCheck15B_1"/>
      <w:bookmarkEnd w:id="1"/>
    </w:p>
    <w:p w:rsidR="00F81A21" w:rsidRPr="002A0313" w:rsidRDefault="00634D19" w:rsidP="009121A5">
      <w:pPr>
        <w:keepNext/>
        <w:tabs>
          <w:tab w:val="left" w:pos="3402"/>
        </w:tabs>
        <w:spacing w:before="1440" w:line="300" w:lineRule="atLeast"/>
        <w:ind w:right="397"/>
        <w:rPr>
          <w:szCs w:val="22"/>
        </w:rPr>
      </w:pPr>
      <w:r>
        <w:rPr>
          <w:szCs w:val="22"/>
        </w:rPr>
        <w:t>Angus Taylor</w:t>
      </w:r>
      <w:r w:rsidR="00F81A21" w:rsidRPr="002A0313">
        <w:rPr>
          <w:szCs w:val="22"/>
        </w:rPr>
        <w:t xml:space="preserve"> </w:t>
      </w:r>
    </w:p>
    <w:p w:rsidR="00F81A21" w:rsidRPr="002A0313" w:rsidRDefault="00F81A21" w:rsidP="00F81A21">
      <w:pPr>
        <w:pStyle w:val="SignCoverPageEnd"/>
        <w:rPr>
          <w:szCs w:val="22"/>
        </w:rPr>
      </w:pPr>
      <w:r w:rsidRPr="002A0313">
        <w:rPr>
          <w:szCs w:val="22"/>
        </w:rPr>
        <w:t xml:space="preserve">Minister for </w:t>
      </w:r>
      <w:r w:rsidR="00634D19">
        <w:rPr>
          <w:szCs w:val="22"/>
        </w:rPr>
        <w:t>Energy and Emissions Reduction</w:t>
      </w:r>
    </w:p>
    <w:p w:rsidR="00F47AAB" w:rsidRDefault="00F47AAB">
      <w:pPr>
        <w:spacing w:line="240" w:lineRule="auto"/>
      </w:pPr>
      <w:r>
        <w:br w:type="page"/>
      </w:r>
    </w:p>
    <w:p w:rsidR="00F81A21" w:rsidRPr="002A0313" w:rsidRDefault="00F81A21" w:rsidP="00F81A21"/>
    <w:p w:rsidR="00F81A21" w:rsidRPr="002A0313" w:rsidRDefault="00F81A21" w:rsidP="00F81A21">
      <w:pPr>
        <w:pStyle w:val="Header"/>
        <w:tabs>
          <w:tab w:val="clear" w:pos="4150"/>
          <w:tab w:val="clear" w:pos="8307"/>
        </w:tabs>
      </w:pPr>
      <w:r w:rsidRPr="002A0313">
        <w:rPr>
          <w:rStyle w:val="CharChapNo"/>
        </w:rPr>
        <w:t xml:space="preserve"> </w:t>
      </w:r>
      <w:r w:rsidRPr="002A0313">
        <w:rPr>
          <w:rStyle w:val="CharChapText"/>
        </w:rPr>
        <w:t xml:space="preserve"> </w:t>
      </w:r>
    </w:p>
    <w:p w:rsidR="00F47AAB" w:rsidRPr="002A0313" w:rsidRDefault="00F47AAB" w:rsidP="00F47AAB">
      <w:pPr>
        <w:rPr>
          <w:sz w:val="36"/>
        </w:rPr>
      </w:pPr>
      <w:r w:rsidRPr="002A0313">
        <w:rPr>
          <w:sz w:val="36"/>
        </w:rPr>
        <w:t>Contents</w:t>
      </w:r>
    </w:p>
    <w:bookmarkStart w:id="2" w:name="BKCheck15B_2"/>
    <w:bookmarkEnd w:id="2"/>
    <w:p w:rsidR="004C496A" w:rsidRDefault="004C496A">
      <w:pPr>
        <w:pStyle w:val="TOC2"/>
        <w:rPr>
          <w:rFonts w:asciiTheme="minorHAnsi" w:eastAsiaTheme="minorEastAsia" w:hAnsiTheme="minorHAnsi" w:cstheme="minorBidi"/>
          <w:b w:val="0"/>
          <w:noProof/>
          <w:kern w:val="0"/>
          <w:sz w:val="22"/>
          <w:szCs w:val="22"/>
        </w:rPr>
      </w:pPr>
      <w:r>
        <w:fldChar w:fldCharType="begin"/>
      </w:r>
      <w:r>
        <w:instrText xml:space="preserve"> TOC \o1-9 </w:instrText>
      </w:r>
      <w:r>
        <w:fldChar w:fldCharType="separate"/>
      </w:r>
      <w:r>
        <w:rPr>
          <w:noProof/>
        </w:rPr>
        <w:t>Part 1—Preliminary</w:t>
      </w:r>
      <w:r>
        <w:rPr>
          <w:noProof/>
        </w:rPr>
        <w:tab/>
      </w:r>
      <w:r>
        <w:rPr>
          <w:noProof/>
        </w:rPr>
        <w:fldChar w:fldCharType="begin"/>
      </w:r>
      <w:r>
        <w:rPr>
          <w:noProof/>
        </w:rPr>
        <w:instrText xml:space="preserve"> PAGEREF _Toc76720046 \h </w:instrText>
      </w:r>
      <w:r>
        <w:rPr>
          <w:noProof/>
        </w:rPr>
      </w:r>
      <w:r>
        <w:rPr>
          <w:noProof/>
        </w:rPr>
        <w:fldChar w:fldCharType="separate"/>
      </w:r>
      <w:r w:rsidR="004353DB">
        <w:rPr>
          <w:noProof/>
        </w:rPr>
        <w:t>3</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_Toc76720047 \h </w:instrText>
      </w:r>
      <w:r>
        <w:rPr>
          <w:noProof/>
        </w:rPr>
      </w:r>
      <w:r>
        <w:rPr>
          <w:noProof/>
        </w:rPr>
        <w:fldChar w:fldCharType="separate"/>
      </w:r>
      <w:r w:rsidR="004353DB">
        <w:rPr>
          <w:noProof/>
        </w:rPr>
        <w:t>3</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_Toc76720048 \h </w:instrText>
      </w:r>
      <w:r>
        <w:rPr>
          <w:noProof/>
        </w:rPr>
      </w:r>
      <w:r>
        <w:rPr>
          <w:noProof/>
        </w:rPr>
        <w:fldChar w:fldCharType="separate"/>
      </w:r>
      <w:r w:rsidR="004353DB">
        <w:rPr>
          <w:noProof/>
        </w:rPr>
        <w:t>3</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_Toc76720049 \h </w:instrText>
      </w:r>
      <w:r>
        <w:rPr>
          <w:noProof/>
        </w:rPr>
      </w:r>
      <w:r>
        <w:rPr>
          <w:noProof/>
        </w:rPr>
        <w:fldChar w:fldCharType="separate"/>
      </w:r>
      <w:r w:rsidR="004353DB">
        <w:rPr>
          <w:noProof/>
        </w:rPr>
        <w:t>3</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_Toc76720050 \h </w:instrText>
      </w:r>
      <w:r>
        <w:rPr>
          <w:noProof/>
        </w:rPr>
      </w:r>
      <w:r>
        <w:rPr>
          <w:noProof/>
        </w:rPr>
        <w:fldChar w:fldCharType="separate"/>
      </w:r>
      <w:r w:rsidR="004353DB">
        <w:rPr>
          <w:noProof/>
        </w:rPr>
        <w:t>3</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5  FSSP fuel</w:t>
      </w:r>
      <w:r>
        <w:rPr>
          <w:noProof/>
        </w:rPr>
        <w:tab/>
      </w:r>
      <w:r>
        <w:rPr>
          <w:noProof/>
        </w:rPr>
        <w:fldChar w:fldCharType="begin"/>
      </w:r>
      <w:r>
        <w:rPr>
          <w:noProof/>
        </w:rPr>
        <w:instrText xml:space="preserve"> PAGEREF _Toc76720051 \h </w:instrText>
      </w:r>
      <w:r>
        <w:rPr>
          <w:noProof/>
        </w:rPr>
      </w:r>
      <w:r>
        <w:rPr>
          <w:noProof/>
        </w:rPr>
        <w:fldChar w:fldCharType="separate"/>
      </w:r>
      <w:r w:rsidR="004353DB">
        <w:rPr>
          <w:noProof/>
        </w:rPr>
        <w:t>4</w:t>
      </w:r>
      <w:r>
        <w:rPr>
          <w:noProof/>
        </w:rPr>
        <w:fldChar w:fldCharType="end"/>
      </w:r>
    </w:p>
    <w:p w:rsidR="004C496A" w:rsidRDefault="004C496A">
      <w:pPr>
        <w:pStyle w:val="TOC2"/>
        <w:rPr>
          <w:rFonts w:asciiTheme="minorHAnsi" w:eastAsiaTheme="minorEastAsia" w:hAnsiTheme="minorHAnsi" w:cstheme="minorBidi"/>
          <w:b w:val="0"/>
          <w:noProof/>
          <w:kern w:val="0"/>
          <w:sz w:val="22"/>
          <w:szCs w:val="22"/>
        </w:rPr>
      </w:pPr>
      <w:r>
        <w:rPr>
          <w:noProof/>
        </w:rPr>
        <w:t>Part 2—Applications for fuel security services payment</w:t>
      </w:r>
      <w:r>
        <w:rPr>
          <w:noProof/>
        </w:rPr>
        <w:tab/>
      </w:r>
      <w:r>
        <w:rPr>
          <w:noProof/>
        </w:rPr>
        <w:fldChar w:fldCharType="begin"/>
      </w:r>
      <w:r>
        <w:rPr>
          <w:noProof/>
        </w:rPr>
        <w:instrText xml:space="preserve"> PAGEREF _Toc76720052 \h </w:instrText>
      </w:r>
      <w:r>
        <w:rPr>
          <w:noProof/>
        </w:rPr>
      </w:r>
      <w:r>
        <w:rPr>
          <w:noProof/>
        </w:rPr>
        <w:fldChar w:fldCharType="separate"/>
      </w:r>
      <w:r w:rsidR="004353DB">
        <w:rPr>
          <w:noProof/>
        </w:rPr>
        <w:t>4</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6  Applications for fuel security services payment</w:t>
      </w:r>
      <w:r>
        <w:rPr>
          <w:noProof/>
        </w:rPr>
        <w:tab/>
      </w:r>
      <w:r>
        <w:rPr>
          <w:noProof/>
        </w:rPr>
        <w:fldChar w:fldCharType="begin"/>
      </w:r>
      <w:r>
        <w:rPr>
          <w:noProof/>
        </w:rPr>
        <w:instrText xml:space="preserve"> PAGEREF _Toc76720053 \h </w:instrText>
      </w:r>
      <w:r>
        <w:rPr>
          <w:noProof/>
        </w:rPr>
      </w:r>
      <w:r>
        <w:rPr>
          <w:noProof/>
        </w:rPr>
        <w:fldChar w:fldCharType="separate"/>
      </w:r>
      <w:r w:rsidR="004353DB">
        <w:rPr>
          <w:noProof/>
        </w:rPr>
        <w:t>4</w:t>
      </w:r>
      <w:r>
        <w:rPr>
          <w:noProof/>
        </w:rPr>
        <w:fldChar w:fldCharType="end"/>
      </w:r>
    </w:p>
    <w:p w:rsidR="004C496A" w:rsidRDefault="004C496A">
      <w:pPr>
        <w:pStyle w:val="TOC2"/>
        <w:rPr>
          <w:rFonts w:asciiTheme="minorHAnsi" w:eastAsiaTheme="minorEastAsia" w:hAnsiTheme="minorHAnsi" w:cstheme="minorBidi"/>
          <w:b w:val="0"/>
          <w:noProof/>
          <w:kern w:val="0"/>
          <w:sz w:val="22"/>
          <w:szCs w:val="22"/>
        </w:rPr>
      </w:pPr>
      <w:r>
        <w:rPr>
          <w:noProof/>
        </w:rPr>
        <w:t>Part 3—Eligibility decision</w:t>
      </w:r>
      <w:r>
        <w:rPr>
          <w:noProof/>
        </w:rPr>
        <w:tab/>
      </w:r>
      <w:r>
        <w:rPr>
          <w:noProof/>
        </w:rPr>
        <w:fldChar w:fldCharType="begin"/>
      </w:r>
      <w:r>
        <w:rPr>
          <w:noProof/>
        </w:rPr>
        <w:instrText xml:space="preserve"> PAGEREF _Toc76720054 \h </w:instrText>
      </w:r>
      <w:r>
        <w:rPr>
          <w:noProof/>
        </w:rPr>
      </w:r>
      <w:r>
        <w:rPr>
          <w:noProof/>
        </w:rPr>
        <w:fldChar w:fldCharType="separate"/>
      </w:r>
      <w:r w:rsidR="004353DB">
        <w:rPr>
          <w:noProof/>
        </w:rPr>
        <w:t>5</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7  Requirements for refining of FSSP Fuel</w:t>
      </w:r>
      <w:r>
        <w:rPr>
          <w:noProof/>
        </w:rPr>
        <w:tab/>
      </w:r>
      <w:r>
        <w:rPr>
          <w:noProof/>
        </w:rPr>
        <w:fldChar w:fldCharType="begin"/>
      </w:r>
      <w:r>
        <w:rPr>
          <w:noProof/>
        </w:rPr>
        <w:instrText xml:space="preserve"> PAGEREF _Toc76720055 \h </w:instrText>
      </w:r>
      <w:r>
        <w:rPr>
          <w:noProof/>
        </w:rPr>
      </w:r>
      <w:r>
        <w:rPr>
          <w:noProof/>
        </w:rPr>
        <w:fldChar w:fldCharType="separate"/>
      </w:r>
      <w:r w:rsidR="004353DB">
        <w:rPr>
          <w:noProof/>
        </w:rPr>
        <w:t>5</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8  General requirements to approve applications</w:t>
      </w:r>
      <w:r>
        <w:rPr>
          <w:noProof/>
        </w:rPr>
        <w:tab/>
      </w:r>
      <w:r>
        <w:rPr>
          <w:noProof/>
        </w:rPr>
        <w:fldChar w:fldCharType="begin"/>
      </w:r>
      <w:r>
        <w:rPr>
          <w:noProof/>
        </w:rPr>
        <w:instrText xml:space="preserve"> PAGEREF _Toc76720056 \h </w:instrText>
      </w:r>
      <w:r>
        <w:rPr>
          <w:noProof/>
        </w:rPr>
      </w:r>
      <w:r>
        <w:rPr>
          <w:noProof/>
        </w:rPr>
        <w:fldChar w:fldCharType="separate"/>
      </w:r>
      <w:r w:rsidR="004353DB">
        <w:rPr>
          <w:noProof/>
        </w:rPr>
        <w:t>6</w:t>
      </w:r>
      <w:r>
        <w:rPr>
          <w:noProof/>
        </w:rPr>
        <w:fldChar w:fldCharType="end"/>
      </w:r>
    </w:p>
    <w:p w:rsidR="004C496A" w:rsidRDefault="004C496A">
      <w:pPr>
        <w:pStyle w:val="TOC2"/>
        <w:rPr>
          <w:rFonts w:asciiTheme="minorHAnsi" w:eastAsiaTheme="minorEastAsia" w:hAnsiTheme="minorHAnsi" w:cstheme="minorBidi"/>
          <w:b w:val="0"/>
          <w:noProof/>
          <w:kern w:val="0"/>
          <w:sz w:val="22"/>
          <w:szCs w:val="22"/>
        </w:rPr>
      </w:pPr>
      <w:r>
        <w:rPr>
          <w:noProof/>
        </w:rPr>
        <w:t>Part 4—Commitment periods</w:t>
      </w:r>
      <w:r>
        <w:rPr>
          <w:noProof/>
        </w:rPr>
        <w:tab/>
      </w:r>
      <w:r>
        <w:rPr>
          <w:noProof/>
        </w:rPr>
        <w:fldChar w:fldCharType="begin"/>
      </w:r>
      <w:r>
        <w:rPr>
          <w:noProof/>
        </w:rPr>
        <w:instrText xml:space="preserve"> PAGEREF _Toc76720057 \h </w:instrText>
      </w:r>
      <w:r>
        <w:rPr>
          <w:noProof/>
        </w:rPr>
      </w:r>
      <w:r>
        <w:rPr>
          <w:noProof/>
        </w:rPr>
        <w:fldChar w:fldCharType="separate"/>
      </w:r>
      <w:r w:rsidR="004353DB">
        <w:rPr>
          <w:noProof/>
        </w:rPr>
        <w:t>6</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9  Initial commitment period</w:t>
      </w:r>
      <w:r>
        <w:rPr>
          <w:noProof/>
        </w:rPr>
        <w:tab/>
      </w:r>
      <w:r>
        <w:rPr>
          <w:noProof/>
        </w:rPr>
        <w:fldChar w:fldCharType="begin"/>
      </w:r>
      <w:r>
        <w:rPr>
          <w:noProof/>
        </w:rPr>
        <w:instrText xml:space="preserve"> PAGEREF _Toc76720058 \h </w:instrText>
      </w:r>
      <w:r>
        <w:rPr>
          <w:noProof/>
        </w:rPr>
      </w:r>
      <w:r>
        <w:rPr>
          <w:noProof/>
        </w:rPr>
        <w:fldChar w:fldCharType="separate"/>
      </w:r>
      <w:r w:rsidR="004353DB">
        <w:rPr>
          <w:noProof/>
        </w:rPr>
        <w:t>6</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10  Variation or termination of commitment period</w:t>
      </w:r>
      <w:r>
        <w:rPr>
          <w:noProof/>
        </w:rPr>
        <w:tab/>
      </w:r>
      <w:r>
        <w:rPr>
          <w:noProof/>
        </w:rPr>
        <w:fldChar w:fldCharType="begin"/>
      </w:r>
      <w:r>
        <w:rPr>
          <w:noProof/>
        </w:rPr>
        <w:instrText xml:space="preserve"> PAGEREF _Toc76720059 \h </w:instrText>
      </w:r>
      <w:r>
        <w:rPr>
          <w:noProof/>
        </w:rPr>
      </w:r>
      <w:r>
        <w:rPr>
          <w:noProof/>
        </w:rPr>
        <w:fldChar w:fldCharType="separate"/>
      </w:r>
      <w:r w:rsidR="004353DB">
        <w:rPr>
          <w:noProof/>
        </w:rPr>
        <w:t>6</w:t>
      </w:r>
      <w:r>
        <w:rPr>
          <w:noProof/>
        </w:rPr>
        <w:fldChar w:fldCharType="end"/>
      </w:r>
    </w:p>
    <w:p w:rsidR="004C496A" w:rsidRDefault="004C496A">
      <w:pPr>
        <w:pStyle w:val="TOC2"/>
        <w:rPr>
          <w:rFonts w:asciiTheme="minorHAnsi" w:eastAsiaTheme="minorEastAsia" w:hAnsiTheme="minorHAnsi" w:cstheme="minorBidi"/>
          <w:b w:val="0"/>
          <w:noProof/>
          <w:kern w:val="0"/>
          <w:sz w:val="22"/>
          <w:szCs w:val="22"/>
        </w:rPr>
      </w:pPr>
      <w:r>
        <w:rPr>
          <w:noProof/>
        </w:rPr>
        <w:t>Part 5—Payment of fuel security services payment</w:t>
      </w:r>
      <w:r>
        <w:rPr>
          <w:noProof/>
        </w:rPr>
        <w:tab/>
      </w:r>
      <w:r>
        <w:rPr>
          <w:noProof/>
        </w:rPr>
        <w:fldChar w:fldCharType="begin"/>
      </w:r>
      <w:r>
        <w:rPr>
          <w:noProof/>
        </w:rPr>
        <w:instrText xml:space="preserve"> PAGEREF _Toc76720060 \h </w:instrText>
      </w:r>
      <w:r>
        <w:rPr>
          <w:noProof/>
        </w:rPr>
      </w:r>
      <w:r>
        <w:rPr>
          <w:noProof/>
        </w:rPr>
        <w:fldChar w:fldCharType="separate"/>
      </w:r>
      <w:r w:rsidR="004353DB">
        <w:rPr>
          <w:noProof/>
        </w:rPr>
        <w:t>7</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11  Circumstances when fuel security services payment is not payable</w:t>
      </w:r>
      <w:r>
        <w:rPr>
          <w:noProof/>
        </w:rPr>
        <w:tab/>
      </w:r>
      <w:r>
        <w:rPr>
          <w:noProof/>
        </w:rPr>
        <w:fldChar w:fldCharType="begin"/>
      </w:r>
      <w:r>
        <w:rPr>
          <w:noProof/>
        </w:rPr>
        <w:instrText xml:space="preserve"> PAGEREF _Toc76720061 \h </w:instrText>
      </w:r>
      <w:r>
        <w:rPr>
          <w:noProof/>
        </w:rPr>
      </w:r>
      <w:r>
        <w:rPr>
          <w:noProof/>
        </w:rPr>
        <w:fldChar w:fldCharType="separate"/>
      </w:r>
      <w:r w:rsidR="004353DB">
        <w:rPr>
          <w:noProof/>
        </w:rPr>
        <w:t>7</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12  Rate of fuel security services payment</w:t>
      </w:r>
      <w:r>
        <w:rPr>
          <w:noProof/>
        </w:rPr>
        <w:tab/>
      </w:r>
      <w:r>
        <w:rPr>
          <w:noProof/>
        </w:rPr>
        <w:fldChar w:fldCharType="begin"/>
      </w:r>
      <w:r>
        <w:rPr>
          <w:noProof/>
        </w:rPr>
        <w:instrText xml:space="preserve"> PAGEREF _Toc76720062 \h </w:instrText>
      </w:r>
      <w:r>
        <w:rPr>
          <w:noProof/>
        </w:rPr>
      </w:r>
      <w:r>
        <w:rPr>
          <w:noProof/>
        </w:rPr>
        <w:fldChar w:fldCharType="separate"/>
      </w:r>
      <w:r w:rsidR="004353DB">
        <w:rPr>
          <w:noProof/>
        </w:rPr>
        <w:t>7</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13  Determining quantity of FSSP fuel</w:t>
      </w:r>
      <w:r>
        <w:rPr>
          <w:noProof/>
        </w:rPr>
        <w:tab/>
      </w:r>
      <w:r>
        <w:rPr>
          <w:noProof/>
        </w:rPr>
        <w:fldChar w:fldCharType="begin"/>
      </w:r>
      <w:r>
        <w:rPr>
          <w:noProof/>
        </w:rPr>
        <w:instrText xml:space="preserve"> PAGEREF _Toc76720063 \h </w:instrText>
      </w:r>
      <w:r>
        <w:rPr>
          <w:noProof/>
        </w:rPr>
      </w:r>
      <w:r>
        <w:rPr>
          <w:noProof/>
        </w:rPr>
        <w:fldChar w:fldCharType="separate"/>
      </w:r>
      <w:r w:rsidR="004353DB">
        <w:rPr>
          <w:noProof/>
        </w:rPr>
        <w:t>10</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14  Process for fuel security services payments</w:t>
      </w:r>
      <w:r>
        <w:rPr>
          <w:noProof/>
        </w:rPr>
        <w:tab/>
      </w:r>
      <w:r>
        <w:rPr>
          <w:noProof/>
        </w:rPr>
        <w:fldChar w:fldCharType="begin"/>
      </w:r>
      <w:r>
        <w:rPr>
          <w:noProof/>
        </w:rPr>
        <w:instrText xml:space="preserve"> PAGEREF _Toc76720064 \h </w:instrText>
      </w:r>
      <w:r>
        <w:rPr>
          <w:noProof/>
        </w:rPr>
      </w:r>
      <w:r>
        <w:rPr>
          <w:noProof/>
        </w:rPr>
        <w:fldChar w:fldCharType="separate"/>
      </w:r>
      <w:r w:rsidR="004353DB">
        <w:rPr>
          <w:noProof/>
        </w:rPr>
        <w:t>10</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15  Publication of information</w:t>
      </w:r>
      <w:r>
        <w:rPr>
          <w:noProof/>
        </w:rPr>
        <w:tab/>
      </w:r>
      <w:r>
        <w:rPr>
          <w:noProof/>
        </w:rPr>
        <w:fldChar w:fldCharType="begin"/>
      </w:r>
      <w:r>
        <w:rPr>
          <w:noProof/>
        </w:rPr>
        <w:instrText xml:space="preserve"> PAGEREF _Toc76720065 \h </w:instrText>
      </w:r>
      <w:r>
        <w:rPr>
          <w:noProof/>
        </w:rPr>
      </w:r>
      <w:r>
        <w:rPr>
          <w:noProof/>
        </w:rPr>
        <w:fldChar w:fldCharType="separate"/>
      </w:r>
      <w:r w:rsidR="004353DB">
        <w:rPr>
          <w:noProof/>
        </w:rPr>
        <w:t>10</w:t>
      </w:r>
      <w:r>
        <w:rPr>
          <w:noProof/>
        </w:rPr>
        <w:fldChar w:fldCharType="end"/>
      </w:r>
    </w:p>
    <w:p w:rsidR="004C496A" w:rsidRDefault="004C496A">
      <w:pPr>
        <w:pStyle w:val="TOC2"/>
        <w:rPr>
          <w:rFonts w:asciiTheme="minorHAnsi" w:eastAsiaTheme="minorEastAsia" w:hAnsiTheme="minorHAnsi" w:cstheme="minorBidi"/>
          <w:b w:val="0"/>
          <w:noProof/>
          <w:kern w:val="0"/>
          <w:sz w:val="22"/>
          <w:szCs w:val="22"/>
        </w:rPr>
      </w:pPr>
      <w:r>
        <w:rPr>
          <w:noProof/>
        </w:rPr>
        <w:t>Part 6—Reporting and notification obligations</w:t>
      </w:r>
      <w:r>
        <w:rPr>
          <w:noProof/>
        </w:rPr>
        <w:tab/>
      </w:r>
      <w:r>
        <w:rPr>
          <w:noProof/>
        </w:rPr>
        <w:fldChar w:fldCharType="begin"/>
      </w:r>
      <w:r>
        <w:rPr>
          <w:noProof/>
        </w:rPr>
        <w:instrText xml:space="preserve"> PAGEREF _Toc76720066 \h </w:instrText>
      </w:r>
      <w:r>
        <w:rPr>
          <w:noProof/>
        </w:rPr>
      </w:r>
      <w:r>
        <w:rPr>
          <w:noProof/>
        </w:rPr>
        <w:fldChar w:fldCharType="separate"/>
      </w:r>
      <w:r w:rsidR="004353DB">
        <w:rPr>
          <w:noProof/>
        </w:rPr>
        <w:t>11</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16  Reporting refinery operation—general</w:t>
      </w:r>
      <w:r>
        <w:rPr>
          <w:noProof/>
        </w:rPr>
        <w:tab/>
      </w:r>
      <w:r>
        <w:rPr>
          <w:noProof/>
        </w:rPr>
        <w:fldChar w:fldCharType="begin"/>
      </w:r>
      <w:r>
        <w:rPr>
          <w:noProof/>
        </w:rPr>
        <w:instrText xml:space="preserve"> PAGEREF _Toc76720067 \h </w:instrText>
      </w:r>
      <w:r>
        <w:rPr>
          <w:noProof/>
        </w:rPr>
      </w:r>
      <w:r>
        <w:rPr>
          <w:noProof/>
        </w:rPr>
        <w:fldChar w:fldCharType="separate"/>
      </w:r>
      <w:r w:rsidR="004353DB">
        <w:rPr>
          <w:noProof/>
        </w:rPr>
        <w:t>11</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17  Reporting refinery operation—closure circumstances</w:t>
      </w:r>
      <w:r>
        <w:rPr>
          <w:noProof/>
        </w:rPr>
        <w:tab/>
      </w:r>
      <w:r>
        <w:rPr>
          <w:noProof/>
        </w:rPr>
        <w:fldChar w:fldCharType="begin"/>
      </w:r>
      <w:r>
        <w:rPr>
          <w:noProof/>
        </w:rPr>
        <w:instrText xml:space="preserve"> PAGEREF _Toc76720068 \h </w:instrText>
      </w:r>
      <w:r>
        <w:rPr>
          <w:noProof/>
        </w:rPr>
      </w:r>
      <w:r>
        <w:rPr>
          <w:noProof/>
        </w:rPr>
        <w:fldChar w:fldCharType="separate"/>
      </w:r>
      <w:r w:rsidR="004353DB">
        <w:rPr>
          <w:noProof/>
        </w:rPr>
        <w:t>11</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18  Notification</w:t>
      </w:r>
      <w:r>
        <w:rPr>
          <w:noProof/>
        </w:rPr>
        <w:tab/>
      </w:r>
      <w:r>
        <w:rPr>
          <w:noProof/>
        </w:rPr>
        <w:fldChar w:fldCharType="begin"/>
      </w:r>
      <w:r>
        <w:rPr>
          <w:noProof/>
        </w:rPr>
        <w:instrText xml:space="preserve"> PAGEREF _Toc76720069 \h </w:instrText>
      </w:r>
      <w:r>
        <w:rPr>
          <w:noProof/>
        </w:rPr>
      </w:r>
      <w:r>
        <w:rPr>
          <w:noProof/>
        </w:rPr>
        <w:fldChar w:fldCharType="separate"/>
      </w:r>
      <w:r w:rsidR="004353DB">
        <w:rPr>
          <w:noProof/>
        </w:rPr>
        <w:t>11</w:t>
      </w:r>
      <w:r>
        <w:rPr>
          <w:noProof/>
        </w:rPr>
        <w:fldChar w:fldCharType="end"/>
      </w:r>
    </w:p>
    <w:p w:rsidR="004C496A" w:rsidRDefault="004C496A">
      <w:pPr>
        <w:pStyle w:val="TOC2"/>
        <w:rPr>
          <w:rFonts w:asciiTheme="minorHAnsi" w:eastAsiaTheme="minorEastAsia" w:hAnsiTheme="minorHAnsi" w:cstheme="minorBidi"/>
          <w:b w:val="0"/>
          <w:noProof/>
          <w:kern w:val="0"/>
          <w:sz w:val="22"/>
          <w:szCs w:val="22"/>
        </w:rPr>
      </w:pPr>
      <w:r>
        <w:rPr>
          <w:noProof/>
        </w:rPr>
        <w:t>Part 7—Repayment obligations</w:t>
      </w:r>
      <w:r>
        <w:rPr>
          <w:noProof/>
        </w:rPr>
        <w:tab/>
      </w:r>
      <w:r>
        <w:rPr>
          <w:noProof/>
        </w:rPr>
        <w:fldChar w:fldCharType="begin"/>
      </w:r>
      <w:r>
        <w:rPr>
          <w:noProof/>
        </w:rPr>
        <w:instrText xml:space="preserve"> PAGEREF _Toc76720070 \h </w:instrText>
      </w:r>
      <w:r>
        <w:rPr>
          <w:noProof/>
        </w:rPr>
      </w:r>
      <w:r>
        <w:rPr>
          <w:noProof/>
        </w:rPr>
        <w:fldChar w:fldCharType="separate"/>
      </w:r>
      <w:r w:rsidR="004353DB">
        <w:rPr>
          <w:noProof/>
        </w:rPr>
        <w:t>12</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19  Waiver of debts and payment by instalments</w:t>
      </w:r>
      <w:r>
        <w:rPr>
          <w:noProof/>
        </w:rPr>
        <w:tab/>
      </w:r>
      <w:r>
        <w:rPr>
          <w:noProof/>
        </w:rPr>
        <w:fldChar w:fldCharType="begin"/>
      </w:r>
      <w:r>
        <w:rPr>
          <w:noProof/>
        </w:rPr>
        <w:instrText xml:space="preserve"> PAGEREF _Toc76720071 \h </w:instrText>
      </w:r>
      <w:r>
        <w:rPr>
          <w:noProof/>
        </w:rPr>
      </w:r>
      <w:r>
        <w:rPr>
          <w:noProof/>
        </w:rPr>
        <w:fldChar w:fldCharType="separate"/>
      </w:r>
      <w:r w:rsidR="004353DB">
        <w:rPr>
          <w:noProof/>
        </w:rPr>
        <w:t>12</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20  Circumstances when repayment obligation does not apply</w:t>
      </w:r>
      <w:r>
        <w:rPr>
          <w:noProof/>
        </w:rPr>
        <w:tab/>
      </w:r>
      <w:r>
        <w:rPr>
          <w:noProof/>
        </w:rPr>
        <w:fldChar w:fldCharType="begin"/>
      </w:r>
      <w:r>
        <w:rPr>
          <w:noProof/>
        </w:rPr>
        <w:instrText xml:space="preserve"> PAGEREF _Toc76720072 \h </w:instrText>
      </w:r>
      <w:r>
        <w:rPr>
          <w:noProof/>
        </w:rPr>
      </w:r>
      <w:r>
        <w:rPr>
          <w:noProof/>
        </w:rPr>
        <w:fldChar w:fldCharType="separate"/>
      </w:r>
      <w:r w:rsidR="004353DB">
        <w:rPr>
          <w:noProof/>
        </w:rPr>
        <w:t>12</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21  Partial repayment circumstances</w:t>
      </w:r>
      <w:r>
        <w:rPr>
          <w:noProof/>
        </w:rPr>
        <w:tab/>
      </w:r>
      <w:r>
        <w:rPr>
          <w:noProof/>
        </w:rPr>
        <w:fldChar w:fldCharType="begin"/>
      </w:r>
      <w:r>
        <w:rPr>
          <w:noProof/>
        </w:rPr>
        <w:instrText xml:space="preserve"> PAGEREF _Toc76720073 \h </w:instrText>
      </w:r>
      <w:r>
        <w:rPr>
          <w:noProof/>
        </w:rPr>
      </w:r>
      <w:r>
        <w:rPr>
          <w:noProof/>
        </w:rPr>
        <w:fldChar w:fldCharType="separate"/>
      </w:r>
      <w:r w:rsidR="004353DB">
        <w:rPr>
          <w:noProof/>
        </w:rPr>
        <w:t>14</w:t>
      </w:r>
      <w:r>
        <w:rPr>
          <w:noProof/>
        </w:rPr>
        <w:fldChar w:fldCharType="end"/>
      </w:r>
    </w:p>
    <w:p w:rsidR="004C496A" w:rsidRDefault="004C496A">
      <w:pPr>
        <w:pStyle w:val="TOC5"/>
        <w:rPr>
          <w:rFonts w:asciiTheme="minorHAnsi" w:eastAsiaTheme="minorEastAsia" w:hAnsiTheme="minorHAnsi" w:cstheme="minorBidi"/>
          <w:noProof/>
          <w:kern w:val="0"/>
          <w:sz w:val="22"/>
          <w:szCs w:val="22"/>
        </w:rPr>
      </w:pPr>
      <w:r>
        <w:rPr>
          <w:noProof/>
        </w:rPr>
        <w:t>22  Extension of period of cessation</w:t>
      </w:r>
      <w:r>
        <w:rPr>
          <w:noProof/>
        </w:rPr>
        <w:tab/>
      </w:r>
      <w:r>
        <w:rPr>
          <w:noProof/>
        </w:rPr>
        <w:fldChar w:fldCharType="begin"/>
      </w:r>
      <w:r>
        <w:rPr>
          <w:noProof/>
        </w:rPr>
        <w:instrText xml:space="preserve"> PAGEREF _Toc76720074 \h </w:instrText>
      </w:r>
      <w:r>
        <w:rPr>
          <w:noProof/>
        </w:rPr>
      </w:r>
      <w:r>
        <w:rPr>
          <w:noProof/>
        </w:rPr>
        <w:fldChar w:fldCharType="separate"/>
      </w:r>
      <w:r w:rsidR="004353DB">
        <w:rPr>
          <w:noProof/>
        </w:rPr>
        <w:t>15</w:t>
      </w:r>
      <w:r>
        <w:rPr>
          <w:noProof/>
        </w:rPr>
        <w:fldChar w:fldCharType="end"/>
      </w:r>
    </w:p>
    <w:p w:rsidR="00536929" w:rsidRDefault="004C496A" w:rsidP="004C496A">
      <w:pPr>
        <w:spacing w:line="240" w:lineRule="auto"/>
      </w:pPr>
      <w:r>
        <w:fldChar w:fldCharType="end"/>
      </w:r>
      <w:r w:rsidR="00536929">
        <w:br w:type="page"/>
      </w:r>
    </w:p>
    <w:p w:rsidR="00F47AAB" w:rsidRDefault="00BB6D03" w:rsidP="00C46149">
      <w:pPr>
        <w:pStyle w:val="h2Part"/>
      </w:pPr>
      <w:bookmarkStart w:id="3" w:name="_Toc76720046"/>
      <w:r>
        <w:lastRenderedPageBreak/>
        <w:t>Part 1</w:t>
      </w:r>
      <w:r w:rsidR="00C46149">
        <w:t>—</w:t>
      </w:r>
      <w:bookmarkStart w:id="4" w:name="_Toc405889304"/>
      <w:r w:rsidR="00F47AAB">
        <w:t>Preliminary</w:t>
      </w:r>
      <w:bookmarkEnd w:id="3"/>
      <w:bookmarkEnd w:id="4"/>
    </w:p>
    <w:p w:rsidR="00F47AAB" w:rsidRPr="002A0313" w:rsidRDefault="00BB6D03" w:rsidP="00AD7BE4">
      <w:pPr>
        <w:pStyle w:val="h5Section"/>
      </w:pPr>
      <w:bookmarkStart w:id="5" w:name="_Toc405889305"/>
      <w:bookmarkStart w:id="6" w:name="_Toc76720047"/>
      <w:r>
        <w:t>1</w:t>
      </w:r>
      <w:r w:rsidR="00AD7BE4">
        <w:t xml:space="preserve"> </w:t>
      </w:r>
      <w:r w:rsidR="004040B2">
        <w:t xml:space="preserve"> </w:t>
      </w:r>
      <w:r w:rsidR="00F47AAB" w:rsidRPr="002A0313">
        <w:t>Name</w:t>
      </w:r>
      <w:bookmarkEnd w:id="5"/>
      <w:bookmarkEnd w:id="6"/>
    </w:p>
    <w:p w:rsidR="00F47AAB" w:rsidRDefault="00F47AAB" w:rsidP="00F47AAB">
      <w:pPr>
        <w:pStyle w:val="tMain"/>
      </w:pPr>
      <w:r w:rsidRPr="002A0313">
        <w:tab/>
      </w:r>
      <w:r w:rsidRPr="002A0313">
        <w:tab/>
        <w:t>This</w:t>
      </w:r>
      <w:r w:rsidR="001E0380">
        <w:t xml:space="preserve"> instrument</w:t>
      </w:r>
      <w:r w:rsidRPr="002A0313">
        <w:t xml:space="preserve"> is the </w:t>
      </w:r>
      <w:bookmarkStart w:id="7" w:name="BKCheck15B_3"/>
      <w:bookmarkEnd w:id="7"/>
      <w:r w:rsidR="00BB6D03">
        <w:rPr>
          <w:i/>
          <w:noProof/>
        </w:rPr>
        <w:t>Fuel Security (Fuel Security Services Payment) Rule 2021</w:t>
      </w:r>
      <w:r w:rsidRPr="002A0313">
        <w:t>.</w:t>
      </w:r>
    </w:p>
    <w:p w:rsidR="00AD7BE4" w:rsidRPr="002A0313" w:rsidRDefault="00BB6D03" w:rsidP="00AD7BE4">
      <w:pPr>
        <w:pStyle w:val="h5Section"/>
      </w:pPr>
      <w:bookmarkStart w:id="8" w:name="_Toc405889306"/>
      <w:bookmarkStart w:id="9" w:name="_Toc76720048"/>
      <w:r>
        <w:t>2</w:t>
      </w:r>
      <w:r w:rsidR="00AD7BE4">
        <w:t xml:space="preserve">  </w:t>
      </w:r>
      <w:r w:rsidR="00AD7BE4" w:rsidRPr="002A0313">
        <w:t>Commencement</w:t>
      </w:r>
      <w:bookmarkEnd w:id="8"/>
      <w:bookmarkEnd w:id="9"/>
    </w:p>
    <w:p w:rsidR="00AD7BE4" w:rsidRPr="002A0313" w:rsidRDefault="00AD7BE4" w:rsidP="00AD7BE4">
      <w:pPr>
        <w:pStyle w:val="tMain"/>
      </w:pPr>
      <w:r>
        <w:tab/>
      </w:r>
      <w:r>
        <w:tab/>
      </w:r>
      <w:r w:rsidRPr="002A0313">
        <w:t xml:space="preserve">This </w:t>
      </w:r>
      <w:r w:rsidR="00634D19">
        <w:t>instrument</w:t>
      </w:r>
      <w:r w:rsidRPr="002A0313">
        <w:t xml:space="preserve"> commences on the day after it is registered.</w:t>
      </w:r>
    </w:p>
    <w:p w:rsidR="00AD7BE4" w:rsidRPr="002A0313" w:rsidRDefault="00BB6D03" w:rsidP="00AD7BE4">
      <w:pPr>
        <w:pStyle w:val="h5Section"/>
      </w:pPr>
      <w:bookmarkStart w:id="10" w:name="_Toc405889307"/>
      <w:bookmarkStart w:id="11" w:name="_Toc76720049"/>
      <w:r>
        <w:t>3</w:t>
      </w:r>
      <w:r w:rsidR="00AD7BE4">
        <w:t xml:space="preserve">  </w:t>
      </w:r>
      <w:r w:rsidR="00AD7BE4" w:rsidRPr="002A0313">
        <w:t>Authority</w:t>
      </w:r>
      <w:bookmarkEnd w:id="10"/>
      <w:bookmarkEnd w:id="11"/>
    </w:p>
    <w:p w:rsidR="00AD7BE4" w:rsidRPr="002A0313" w:rsidRDefault="00AD7BE4" w:rsidP="00AD7BE4">
      <w:pPr>
        <w:pStyle w:val="tMain"/>
      </w:pPr>
      <w:r>
        <w:tab/>
      </w:r>
      <w:r>
        <w:tab/>
      </w:r>
      <w:r w:rsidRPr="002A0313">
        <w:t xml:space="preserve">This </w:t>
      </w:r>
      <w:r w:rsidR="00634D19">
        <w:t xml:space="preserve">instrument is made </w:t>
      </w:r>
      <w:r w:rsidR="000B3F0C">
        <w:t>under subsection 84</w:t>
      </w:r>
      <w:r w:rsidRPr="002A0313">
        <w:t xml:space="preserve">(1) of the </w:t>
      </w:r>
      <w:r w:rsidR="00634D19">
        <w:rPr>
          <w:i/>
        </w:rPr>
        <w:t>Fuel Security Act 2021</w:t>
      </w:r>
      <w:r w:rsidRPr="002A0313">
        <w:t>.</w:t>
      </w:r>
    </w:p>
    <w:p w:rsidR="00AD7BE4" w:rsidRPr="002A0313" w:rsidRDefault="00BB6D03" w:rsidP="00AD7BE4">
      <w:pPr>
        <w:pStyle w:val="h5Section"/>
      </w:pPr>
      <w:bookmarkStart w:id="12" w:name="_Toc405889309"/>
      <w:bookmarkStart w:id="13" w:name="_Toc76720050"/>
      <w:r>
        <w:t>4</w:t>
      </w:r>
      <w:r w:rsidR="00AD7BE4">
        <w:t xml:space="preserve">  </w:t>
      </w:r>
      <w:r w:rsidR="00AD7BE4" w:rsidRPr="002A0313">
        <w:t>Definitions</w:t>
      </w:r>
      <w:bookmarkEnd w:id="12"/>
      <w:bookmarkEnd w:id="13"/>
    </w:p>
    <w:p w:rsidR="00380FB2" w:rsidRDefault="00AD7BE4" w:rsidP="00DF0EE1">
      <w:pPr>
        <w:pStyle w:val="tMain"/>
      </w:pPr>
      <w:r>
        <w:tab/>
      </w:r>
      <w:r>
        <w:tab/>
      </w:r>
      <w:r w:rsidRPr="002A0313">
        <w:t xml:space="preserve">In this </w:t>
      </w:r>
      <w:r w:rsidR="00372DF1">
        <w:t>instrument</w:t>
      </w:r>
      <w:r w:rsidRPr="002A0313">
        <w:t>:</w:t>
      </w:r>
    </w:p>
    <w:p w:rsidR="00380FB2" w:rsidRDefault="00380FB2" w:rsidP="00380FB2">
      <w:pPr>
        <w:pStyle w:val="tDefn"/>
      </w:pPr>
      <w:r w:rsidRPr="00380FB2">
        <w:rPr>
          <w:b/>
          <w:i/>
        </w:rPr>
        <w:t>Act</w:t>
      </w:r>
      <w:r w:rsidRPr="002A0313">
        <w:t xml:space="preserve"> means </w:t>
      </w:r>
      <w:r w:rsidRPr="009E1396">
        <w:t xml:space="preserve">the </w:t>
      </w:r>
      <w:r w:rsidR="00634D19" w:rsidRPr="00634D19">
        <w:rPr>
          <w:i/>
        </w:rPr>
        <w:t>Fuel Security Act 2021</w:t>
      </w:r>
      <w:r w:rsidRPr="002A0313">
        <w:t>.</w:t>
      </w:r>
    </w:p>
    <w:p w:rsidR="00E34DE9" w:rsidRPr="00E34DE9" w:rsidRDefault="00E34DE9" w:rsidP="00380FB2">
      <w:pPr>
        <w:pStyle w:val="tDefn"/>
      </w:pPr>
      <w:r>
        <w:rPr>
          <w:b/>
          <w:i/>
        </w:rPr>
        <w:t>average</w:t>
      </w:r>
      <w:r>
        <w:t xml:space="preserve"> is the mean of values.</w:t>
      </w:r>
    </w:p>
    <w:p w:rsidR="00397CC2" w:rsidRDefault="00397CC2" w:rsidP="00380FB2">
      <w:pPr>
        <w:pStyle w:val="tDefn"/>
        <w:rPr>
          <w:b/>
          <w:i/>
        </w:rPr>
      </w:pPr>
      <w:r>
        <w:rPr>
          <w:b/>
          <w:i/>
        </w:rPr>
        <w:t xml:space="preserve">bank </w:t>
      </w:r>
      <w:r w:rsidRPr="00397CC2">
        <w:t xml:space="preserve">means </w:t>
      </w:r>
      <w:r>
        <w:rPr>
          <w:color w:val="000000"/>
          <w:szCs w:val="22"/>
          <w:shd w:val="clear" w:color="auto" w:fill="FFFFFF"/>
        </w:rPr>
        <w:t>a body corporate that is an authorised deposit-taking institution for the purposes of the </w:t>
      </w:r>
      <w:r>
        <w:rPr>
          <w:i/>
          <w:iCs/>
          <w:color w:val="000000"/>
          <w:szCs w:val="22"/>
          <w:shd w:val="clear" w:color="auto" w:fill="FFFFFF"/>
        </w:rPr>
        <w:t>Banking Act 1959.</w:t>
      </w:r>
    </w:p>
    <w:p w:rsidR="00ED7811" w:rsidRDefault="00ED7811" w:rsidP="00ED7811">
      <w:pPr>
        <w:pStyle w:val="tDefn"/>
      </w:pPr>
      <w:r>
        <w:rPr>
          <w:b/>
          <w:i/>
        </w:rPr>
        <w:t>blendstock</w:t>
      </w:r>
      <w:r>
        <w:t xml:space="preserve"> means a finished product imported to the refinery that is added to, or mixed with, a refined finished product produced at the refinery before it is sold.</w:t>
      </w:r>
    </w:p>
    <w:p w:rsidR="00ED7811" w:rsidRPr="000B3F0C" w:rsidRDefault="00ED7811" w:rsidP="00ED7811">
      <w:pPr>
        <w:pStyle w:val="nMain"/>
      </w:pPr>
      <w:r>
        <w:t xml:space="preserve">Note: </w:t>
      </w:r>
      <w:r>
        <w:tab/>
        <w:t>It does not include a feedstock transformed at the refinery into FSSP fuels and other products.</w:t>
      </w:r>
    </w:p>
    <w:p w:rsidR="002323DB" w:rsidRPr="002323DB" w:rsidRDefault="002323DB" w:rsidP="00380FB2">
      <w:pPr>
        <w:pStyle w:val="tDefn"/>
      </w:pPr>
      <w:r>
        <w:rPr>
          <w:b/>
          <w:i/>
        </w:rPr>
        <w:t>close</w:t>
      </w:r>
      <w:r>
        <w:t>, in relation to a refinery, means when the refinery ceases to refine all FSSP</w:t>
      </w:r>
      <w:r w:rsidR="000B3F0C">
        <w:t xml:space="preserve"> fuels</w:t>
      </w:r>
      <w:r>
        <w:t xml:space="preserve"> under paragraph 50(1)(a) of the Act.</w:t>
      </w:r>
    </w:p>
    <w:p w:rsidR="00CD18AA" w:rsidRPr="00CD18AA" w:rsidRDefault="00CD18AA" w:rsidP="00380FB2">
      <w:pPr>
        <w:pStyle w:val="tDefn"/>
      </w:pPr>
      <w:r>
        <w:rPr>
          <w:b/>
          <w:i/>
        </w:rPr>
        <w:t xml:space="preserve">cpl </w:t>
      </w:r>
      <w:r>
        <w:t>means cents per litre.</w:t>
      </w:r>
    </w:p>
    <w:p w:rsidR="002F11C8" w:rsidRDefault="002F11C8" w:rsidP="00380FB2">
      <w:pPr>
        <w:pStyle w:val="tDefn"/>
      </w:pPr>
      <w:r>
        <w:rPr>
          <w:b/>
          <w:i/>
        </w:rPr>
        <w:t>EBITDA</w:t>
      </w:r>
      <w:r>
        <w:t xml:space="preserve"> means earnings before</w:t>
      </w:r>
      <w:r w:rsidRPr="002F11C8">
        <w:t xml:space="preserve"> interest, taxes, depreciation, and amortization</w:t>
      </w:r>
      <w:r>
        <w:t>.</w:t>
      </w:r>
    </w:p>
    <w:p w:rsidR="0043183D" w:rsidRPr="002F11C8" w:rsidRDefault="0043183D" w:rsidP="0043183D">
      <w:pPr>
        <w:pStyle w:val="tDefn"/>
      </w:pPr>
      <w:r>
        <w:rPr>
          <w:b/>
          <w:i/>
        </w:rPr>
        <w:t>EBIT</w:t>
      </w:r>
      <w:r>
        <w:t xml:space="preserve"> means earnings before</w:t>
      </w:r>
      <w:r w:rsidRPr="002F11C8">
        <w:t xml:space="preserve"> inter</w:t>
      </w:r>
      <w:r>
        <w:t>est and taxes.</w:t>
      </w:r>
    </w:p>
    <w:p w:rsidR="00714247" w:rsidRPr="00714247" w:rsidRDefault="00714247" w:rsidP="00380FB2">
      <w:pPr>
        <w:pStyle w:val="tDefn"/>
        <w:rPr>
          <w:b/>
        </w:rPr>
      </w:pPr>
      <w:r>
        <w:rPr>
          <w:b/>
          <w:i/>
        </w:rPr>
        <w:t>feedstock</w:t>
      </w:r>
      <w:r>
        <w:rPr>
          <w:b/>
        </w:rPr>
        <w:t xml:space="preserve"> </w:t>
      </w:r>
      <w:r w:rsidRPr="00714247">
        <w:t>means crude oil</w:t>
      </w:r>
      <w:r>
        <w:t xml:space="preserve">, condensate, </w:t>
      </w:r>
      <w:r w:rsidR="00073AE9">
        <w:t>vegetable or animal oils</w:t>
      </w:r>
      <w:r w:rsidR="00073AE9" w:rsidRPr="00714247">
        <w:t xml:space="preserve"> </w:t>
      </w:r>
      <w:r w:rsidR="00073AE9">
        <w:t>and fats</w:t>
      </w:r>
      <w:r w:rsidRPr="00714247">
        <w:t xml:space="preserve"> and other hydrocarbon inputs</w:t>
      </w:r>
      <w:r>
        <w:t xml:space="preserve"> that are transformed at a refinery into petroleum products.</w:t>
      </w:r>
    </w:p>
    <w:p w:rsidR="00BC3CF2" w:rsidRDefault="00BC3CF2" w:rsidP="00380FB2">
      <w:pPr>
        <w:pStyle w:val="tDefn"/>
        <w:rPr>
          <w:b/>
          <w:i/>
        </w:rPr>
      </w:pPr>
      <w:r>
        <w:rPr>
          <w:b/>
          <w:i/>
        </w:rPr>
        <w:t>force majeure</w:t>
      </w:r>
      <w:r w:rsidR="00001B29">
        <w:rPr>
          <w:b/>
          <w:i/>
        </w:rPr>
        <w:t xml:space="preserve"> event</w:t>
      </w:r>
      <w:r>
        <w:rPr>
          <w:b/>
          <w:i/>
        </w:rPr>
        <w:t>—</w:t>
      </w:r>
      <w:r w:rsidRPr="00BC3CF2">
        <w:t xml:space="preserve">see subsection </w:t>
      </w:r>
      <w:r w:rsidR="00BB6D03">
        <w:t>20</w:t>
      </w:r>
      <w:r w:rsidRPr="00BC3CF2">
        <w:t>(3).</w:t>
      </w:r>
    </w:p>
    <w:p w:rsidR="002F5F38" w:rsidRPr="002F5F38" w:rsidRDefault="002F5F38" w:rsidP="00380FB2">
      <w:pPr>
        <w:pStyle w:val="tDefn"/>
      </w:pPr>
      <w:r>
        <w:rPr>
          <w:b/>
          <w:i/>
        </w:rPr>
        <w:t xml:space="preserve">guidelines </w:t>
      </w:r>
      <w:r>
        <w:t xml:space="preserve">means the </w:t>
      </w:r>
      <w:r w:rsidRPr="002F5F38">
        <w:rPr>
          <w:i/>
        </w:rPr>
        <w:t>Fuel Security (Fuel Security Services Payment) Guidelines 2021</w:t>
      </w:r>
      <w:r w:rsidR="000B6E1F">
        <w:rPr>
          <w:i/>
        </w:rPr>
        <w:t xml:space="preserve"> </w:t>
      </w:r>
      <w:r w:rsidR="000B6E1F">
        <w:t>as in force from time to time</w:t>
      </w:r>
      <w:r>
        <w:t xml:space="preserve">. </w:t>
      </w:r>
    </w:p>
    <w:p w:rsidR="00DF0EE1" w:rsidRPr="00DF0EE1" w:rsidRDefault="00DF0EE1" w:rsidP="00380FB2">
      <w:pPr>
        <w:pStyle w:val="tDefn"/>
        <w:rPr>
          <w:b/>
        </w:rPr>
      </w:pPr>
      <w:r>
        <w:rPr>
          <w:b/>
          <w:i/>
        </w:rPr>
        <w:t>FQS Act</w:t>
      </w:r>
      <w:r>
        <w:rPr>
          <w:b/>
        </w:rPr>
        <w:t xml:space="preserve"> </w:t>
      </w:r>
      <w:r w:rsidRPr="00DF0EE1">
        <w:t xml:space="preserve">means the </w:t>
      </w:r>
      <w:r w:rsidRPr="00DF0EE1">
        <w:rPr>
          <w:i/>
        </w:rPr>
        <w:t>Fuel Quality Standards Act 2000</w:t>
      </w:r>
      <w:r w:rsidR="00397CC2">
        <w:rPr>
          <w:i/>
        </w:rPr>
        <w:t>.</w:t>
      </w:r>
    </w:p>
    <w:p w:rsidR="0067237D" w:rsidRPr="0067237D" w:rsidRDefault="00DB4705" w:rsidP="00380FB2">
      <w:pPr>
        <w:pStyle w:val="tDefn"/>
      </w:pPr>
      <w:r>
        <w:rPr>
          <w:b/>
          <w:i/>
        </w:rPr>
        <w:t>investment grade credit</w:t>
      </w:r>
      <w:r w:rsidR="0067237D">
        <w:rPr>
          <w:b/>
          <w:i/>
        </w:rPr>
        <w:t xml:space="preserve"> rating</w:t>
      </w:r>
      <w:r w:rsidR="0067237D">
        <w:t xml:space="preserve"> means a credit rating from a recognised ratings agency, such as Standard and Poor’s, that is regarded in financial markets as of investment grade, typically a BBB- or higher grade.</w:t>
      </w:r>
    </w:p>
    <w:p w:rsidR="00BC3CF2" w:rsidRPr="00BC3CF2" w:rsidRDefault="00BC3CF2" w:rsidP="00380FB2">
      <w:pPr>
        <w:pStyle w:val="tDefn"/>
      </w:pPr>
      <w:r>
        <w:rPr>
          <w:b/>
          <w:i/>
        </w:rPr>
        <w:t>material adverse change</w:t>
      </w:r>
      <w:r>
        <w:t xml:space="preserve">—see subsection </w:t>
      </w:r>
      <w:r w:rsidR="00BB6D03">
        <w:t>20</w:t>
      </w:r>
      <w:r>
        <w:t>(5).</w:t>
      </w:r>
    </w:p>
    <w:p w:rsidR="00156688" w:rsidRPr="00156688" w:rsidRDefault="00156688" w:rsidP="00380FB2">
      <w:pPr>
        <w:pStyle w:val="tDefn"/>
        <w:rPr>
          <w:b/>
        </w:rPr>
      </w:pPr>
      <w:r>
        <w:rPr>
          <w:b/>
          <w:i/>
        </w:rPr>
        <w:t>milestone report</w:t>
      </w:r>
      <w:r>
        <w:rPr>
          <w:b/>
        </w:rPr>
        <w:t xml:space="preserve"> </w:t>
      </w:r>
      <w:r w:rsidRPr="00156688">
        <w:t>m</w:t>
      </w:r>
      <w:r>
        <w:t>eans the milestone report under the</w:t>
      </w:r>
      <w:r w:rsidRPr="00156688">
        <w:t xml:space="preserve"> guidelines and any subsequent report</w:t>
      </w:r>
      <w:r w:rsidR="00870761">
        <w:t>s</w:t>
      </w:r>
      <w:r w:rsidRPr="00156688">
        <w:t xml:space="preserve"> of a similar nature.</w:t>
      </w:r>
      <w:r>
        <w:rPr>
          <w:b/>
        </w:rPr>
        <w:t xml:space="preserve"> </w:t>
      </w:r>
    </w:p>
    <w:p w:rsidR="00B8447E" w:rsidRPr="00B8447E" w:rsidRDefault="00B8447E" w:rsidP="00380FB2">
      <w:pPr>
        <w:pStyle w:val="tDefn"/>
      </w:pPr>
      <w:r>
        <w:rPr>
          <w:b/>
          <w:i/>
        </w:rPr>
        <w:t>POFR Act</w:t>
      </w:r>
      <w:r>
        <w:t xml:space="preserve"> means the </w:t>
      </w:r>
      <w:r w:rsidRPr="00B47F12">
        <w:rPr>
          <w:i/>
        </w:rPr>
        <w:t xml:space="preserve">Petroleum and Other Fuels Reporting </w:t>
      </w:r>
      <w:r>
        <w:rPr>
          <w:i/>
        </w:rPr>
        <w:t>Act</w:t>
      </w:r>
      <w:r w:rsidRPr="00B47F12">
        <w:rPr>
          <w:i/>
        </w:rPr>
        <w:t xml:space="preserve"> 2017</w:t>
      </w:r>
      <w:r>
        <w:rPr>
          <w:i/>
        </w:rPr>
        <w:t>.</w:t>
      </w:r>
    </w:p>
    <w:p w:rsidR="00B47F12" w:rsidRDefault="00B47F12" w:rsidP="00380FB2">
      <w:pPr>
        <w:pStyle w:val="tDefn"/>
        <w:rPr>
          <w:i/>
        </w:rPr>
      </w:pPr>
      <w:r>
        <w:rPr>
          <w:b/>
          <w:i/>
        </w:rPr>
        <w:lastRenderedPageBreak/>
        <w:t>POFR r</w:t>
      </w:r>
      <w:r w:rsidRPr="00B47F12">
        <w:rPr>
          <w:b/>
          <w:i/>
        </w:rPr>
        <w:t>ules</w:t>
      </w:r>
      <w:r>
        <w:t xml:space="preserve"> means the </w:t>
      </w:r>
      <w:r w:rsidRPr="00B47F12">
        <w:rPr>
          <w:i/>
        </w:rPr>
        <w:t>Petroleum and Other Fuels Reporting Rules 2017</w:t>
      </w:r>
      <w:r w:rsidR="00DF0EE1">
        <w:rPr>
          <w:i/>
        </w:rPr>
        <w:t>.</w:t>
      </w:r>
    </w:p>
    <w:p w:rsidR="00E0397C" w:rsidRDefault="00E0397C" w:rsidP="00380FB2">
      <w:pPr>
        <w:pStyle w:val="tDefn"/>
      </w:pPr>
      <w:r>
        <w:rPr>
          <w:b/>
          <w:i/>
        </w:rPr>
        <w:t>refinery operator</w:t>
      </w:r>
      <w:r>
        <w:t xml:space="preserve"> </w:t>
      </w:r>
      <w:r w:rsidR="00BC2A25">
        <w:t xml:space="preserve">means </w:t>
      </w:r>
      <w:r>
        <w:t>the person eligible for fuel security services payments for a refinery</w:t>
      </w:r>
      <w:r w:rsidR="00BC2A25">
        <w:t xml:space="preserve"> and any other entity with operational control of the refinery</w:t>
      </w:r>
      <w:r>
        <w:t>.</w:t>
      </w:r>
    </w:p>
    <w:p w:rsidR="006E538C" w:rsidRPr="006E538C" w:rsidRDefault="006E538C" w:rsidP="00380FB2">
      <w:pPr>
        <w:pStyle w:val="tDefn"/>
      </w:pPr>
      <w:r>
        <w:rPr>
          <w:b/>
          <w:i/>
        </w:rPr>
        <w:t>relevant independent analysis</w:t>
      </w:r>
      <w:r>
        <w:t xml:space="preserve">—see </w:t>
      </w:r>
      <w:r w:rsidR="00ED7811">
        <w:t>subsection 20(10</w:t>
      </w:r>
      <w:r>
        <w:t>).</w:t>
      </w:r>
    </w:p>
    <w:p w:rsidR="00BC2A25" w:rsidRDefault="00BC2A25" w:rsidP="00380FB2">
      <w:pPr>
        <w:pStyle w:val="tDefn"/>
      </w:pPr>
      <w:r w:rsidRPr="00BC2A25">
        <w:rPr>
          <w:b/>
          <w:i/>
        </w:rPr>
        <w:t>related refinery entity</w:t>
      </w:r>
      <w:r w:rsidR="001D45A8">
        <w:t xml:space="preserve"> means</w:t>
      </w:r>
      <w:r>
        <w:t xml:space="preserve">: </w:t>
      </w:r>
    </w:p>
    <w:p w:rsidR="00BC2A25" w:rsidRDefault="00BC2A25" w:rsidP="00BC2A25">
      <w:pPr>
        <w:pStyle w:val="tPara"/>
      </w:pPr>
      <w:r>
        <w:tab/>
        <w:t>(a)</w:t>
      </w:r>
      <w:r>
        <w:tab/>
        <w:t xml:space="preserve">the Australian controlling corporation for a refinery operator; </w:t>
      </w:r>
      <w:r w:rsidR="005D34EA">
        <w:t>and</w:t>
      </w:r>
    </w:p>
    <w:p w:rsidR="00BC2A25" w:rsidRDefault="00BC2A25" w:rsidP="00BC2A25">
      <w:pPr>
        <w:pStyle w:val="tPara"/>
      </w:pPr>
      <w:r>
        <w:tab/>
        <w:t>(b)</w:t>
      </w:r>
      <w:r>
        <w:tab/>
      </w:r>
      <w:r w:rsidR="00815805">
        <w:t xml:space="preserve">any </w:t>
      </w:r>
      <w:r>
        <w:t>other entit</w:t>
      </w:r>
      <w:r w:rsidR="00815805">
        <w:t>y which</w:t>
      </w:r>
      <w:r>
        <w:t xml:space="preserve"> own</w:t>
      </w:r>
      <w:r w:rsidR="00815805">
        <w:t>s</w:t>
      </w:r>
      <w:r>
        <w:t xml:space="preserve"> the refinery; and </w:t>
      </w:r>
    </w:p>
    <w:p w:rsidR="00BC2A25" w:rsidRPr="00BC2A25" w:rsidRDefault="00BC2A25" w:rsidP="00BC2A25">
      <w:pPr>
        <w:pStyle w:val="tPara"/>
        <w:rPr>
          <w:b/>
          <w:i/>
        </w:rPr>
      </w:pPr>
      <w:r>
        <w:tab/>
        <w:t>(c)</w:t>
      </w:r>
      <w:r>
        <w:tab/>
      </w:r>
      <w:r w:rsidR="00815805">
        <w:t>any related body</w:t>
      </w:r>
      <w:r>
        <w:t xml:space="preserve"> corpor</w:t>
      </w:r>
      <w:r w:rsidR="00815805">
        <w:t>ate of the refinery operator which is</w:t>
      </w:r>
      <w:r>
        <w:t xml:space="preserve"> able to control or </w:t>
      </w:r>
      <w:r w:rsidR="00815805">
        <w:t>exert significant influence over</w:t>
      </w:r>
      <w:r>
        <w:t xml:space="preserve"> the operation of the refinery.</w:t>
      </w:r>
    </w:p>
    <w:p w:rsidR="00DF0EE1" w:rsidRDefault="00DF0EE1" w:rsidP="00380FB2">
      <w:pPr>
        <w:pStyle w:val="tDefn"/>
        <w:rPr>
          <w:i/>
        </w:rPr>
      </w:pPr>
      <w:r w:rsidRPr="00DF0EE1">
        <w:rPr>
          <w:b/>
          <w:i/>
        </w:rPr>
        <w:t>RON</w:t>
      </w:r>
      <w:r>
        <w:rPr>
          <w:i/>
        </w:rPr>
        <w:t xml:space="preserve"> </w:t>
      </w:r>
      <w:r w:rsidRPr="00DF0EE1">
        <w:t>means research octane number.</w:t>
      </w:r>
      <w:r>
        <w:rPr>
          <w:i/>
        </w:rPr>
        <w:t xml:space="preserve"> </w:t>
      </w:r>
    </w:p>
    <w:p w:rsidR="0036220E" w:rsidRDefault="0036220E" w:rsidP="00380FB2">
      <w:pPr>
        <w:pStyle w:val="tDefn"/>
      </w:pPr>
      <w:r w:rsidRPr="0036220E">
        <w:rPr>
          <w:b/>
          <w:i/>
        </w:rPr>
        <w:t>TRPPP</w:t>
      </w:r>
      <w:r>
        <w:rPr>
          <w:i/>
        </w:rPr>
        <w:t xml:space="preserve"> </w:t>
      </w:r>
      <w:r w:rsidRPr="0036220E">
        <w:t>means the Temporary Refinery Production Payment Program established by the</w:t>
      </w:r>
      <w:r>
        <w:rPr>
          <w:i/>
        </w:rPr>
        <w:t xml:space="preserve"> Industry Research and Development (Temporary Refinery Production Payment Program) Instrument 2021. </w:t>
      </w:r>
    </w:p>
    <w:p w:rsidR="00B47F12" w:rsidRPr="002A0313" w:rsidRDefault="00BB6D03" w:rsidP="00B47F12">
      <w:pPr>
        <w:pStyle w:val="h5Section"/>
      </w:pPr>
      <w:bookmarkStart w:id="14" w:name="_Toc76720051"/>
      <w:r>
        <w:t>5</w:t>
      </w:r>
      <w:r w:rsidR="000B3F0C">
        <w:t xml:space="preserve">  FSSP f</w:t>
      </w:r>
      <w:r w:rsidR="00B47F12">
        <w:t>uel</w:t>
      </w:r>
      <w:bookmarkEnd w:id="14"/>
    </w:p>
    <w:p w:rsidR="00B47F12" w:rsidRDefault="00B47F12" w:rsidP="00B47F12">
      <w:pPr>
        <w:pStyle w:val="tMain"/>
      </w:pPr>
      <w:r>
        <w:tab/>
      </w:r>
      <w:r w:rsidR="00BB6D03">
        <w:t>(1)</w:t>
      </w:r>
      <w:r>
        <w:tab/>
        <w:t>This section prescribes requirements to be met for FSSP fuels f</w:t>
      </w:r>
      <w:r w:rsidR="006E29CF">
        <w:t>or the definition of “FSSP fuel</w:t>
      </w:r>
      <w:r>
        <w:t>” in the Act.</w:t>
      </w:r>
    </w:p>
    <w:p w:rsidR="00DF0EE1" w:rsidRDefault="00DF0EE1" w:rsidP="00BC2A25">
      <w:pPr>
        <w:pStyle w:val="tMain"/>
      </w:pPr>
      <w:r>
        <w:tab/>
      </w:r>
      <w:r w:rsidR="00BB6D03">
        <w:t>(2)</w:t>
      </w:r>
      <w:r>
        <w:tab/>
      </w:r>
      <w:r w:rsidR="002C037D">
        <w:t>Gasoline and diesel</w:t>
      </w:r>
      <w:r>
        <w:t xml:space="preserve"> must be</w:t>
      </w:r>
      <w:r w:rsidR="00BC2A25">
        <w:t xml:space="preserve"> </w:t>
      </w:r>
      <w:r>
        <w:t xml:space="preserve">able to be </w:t>
      </w:r>
      <w:r w:rsidR="001008C7">
        <w:t>supplied</w:t>
      </w:r>
      <w:r w:rsidR="00BC2A25">
        <w:t xml:space="preserve"> and used</w:t>
      </w:r>
      <w:r w:rsidR="001008C7">
        <w:t xml:space="preserve"> </w:t>
      </w:r>
      <w:r>
        <w:t xml:space="preserve">for </w:t>
      </w:r>
      <w:r w:rsidR="002C037D">
        <w:t>road transport</w:t>
      </w:r>
      <w:r w:rsidR="000F3049">
        <w:t xml:space="preserve"> </w:t>
      </w:r>
      <w:r>
        <w:t>consistent with the FQS Act.</w:t>
      </w:r>
    </w:p>
    <w:p w:rsidR="00B47F12" w:rsidRDefault="00B47F12" w:rsidP="00B47F12">
      <w:pPr>
        <w:pStyle w:val="tMain"/>
      </w:pPr>
      <w:r>
        <w:tab/>
      </w:r>
      <w:r w:rsidR="00BB6D03">
        <w:t>(3)</w:t>
      </w:r>
      <w:r>
        <w:tab/>
        <w:t>Gasoline must be one of the following as reported under the POFR rules:</w:t>
      </w:r>
    </w:p>
    <w:p w:rsidR="00B47F12" w:rsidRDefault="00B47F12" w:rsidP="00B47F12">
      <w:pPr>
        <w:pStyle w:val="tPara"/>
      </w:pPr>
      <w:r>
        <w:tab/>
      </w:r>
      <w:r w:rsidR="00BB6D03">
        <w:t>(a)</w:t>
      </w:r>
      <w:r>
        <w:tab/>
        <w:t>regular unleaded—less than RON 95;</w:t>
      </w:r>
    </w:p>
    <w:p w:rsidR="00B47F12" w:rsidRDefault="00B47F12" w:rsidP="00B47F12">
      <w:pPr>
        <w:pStyle w:val="tPara"/>
      </w:pPr>
      <w:r>
        <w:tab/>
      </w:r>
      <w:r w:rsidR="00BB6D03">
        <w:t>(b)</w:t>
      </w:r>
      <w:r>
        <w:tab/>
        <w:t>premium unleaded—RON 95 to less than RON 98;</w:t>
      </w:r>
    </w:p>
    <w:p w:rsidR="00B47F12" w:rsidRDefault="00B47F12" w:rsidP="00B47F12">
      <w:pPr>
        <w:pStyle w:val="tPara"/>
      </w:pPr>
      <w:r>
        <w:tab/>
      </w:r>
      <w:r w:rsidR="00BB6D03">
        <w:t>(c)</w:t>
      </w:r>
      <w:r>
        <w:tab/>
        <w:t xml:space="preserve">premium unleaded—RON 98 or higher. </w:t>
      </w:r>
    </w:p>
    <w:p w:rsidR="00B47F12" w:rsidRDefault="00B47F12" w:rsidP="00B47F12">
      <w:pPr>
        <w:pStyle w:val="tMain"/>
      </w:pPr>
      <w:r>
        <w:tab/>
      </w:r>
      <w:r w:rsidR="00BB6D03">
        <w:t>(4)</w:t>
      </w:r>
      <w:r>
        <w:tab/>
        <w:t>Diesel must be one of the following as reported under the POFR rules:</w:t>
      </w:r>
    </w:p>
    <w:p w:rsidR="00B47F12" w:rsidRDefault="00B47F12" w:rsidP="00B47F12">
      <w:pPr>
        <w:pStyle w:val="tPara"/>
      </w:pPr>
      <w:r>
        <w:tab/>
      </w:r>
      <w:r w:rsidR="00BB6D03">
        <w:t>(a)</w:t>
      </w:r>
      <w:r>
        <w:tab/>
        <w:t>regular diesel;</w:t>
      </w:r>
    </w:p>
    <w:p w:rsidR="00B47F12" w:rsidRDefault="00B47F12" w:rsidP="00B47F12">
      <w:pPr>
        <w:pStyle w:val="tPara"/>
      </w:pPr>
      <w:r>
        <w:tab/>
      </w:r>
      <w:r w:rsidR="00BB6D03">
        <w:t>(b)</w:t>
      </w:r>
      <w:r>
        <w:tab/>
        <w:t>premium diesel.</w:t>
      </w:r>
    </w:p>
    <w:p w:rsidR="002C037D" w:rsidRDefault="00B47F12" w:rsidP="00B47F12">
      <w:pPr>
        <w:pStyle w:val="tMain"/>
      </w:pPr>
      <w:r>
        <w:tab/>
      </w:r>
      <w:r w:rsidR="00BB6D03">
        <w:t>(5)</w:t>
      </w:r>
      <w:r>
        <w:tab/>
        <w:t>Kerosene must be</w:t>
      </w:r>
      <w:r w:rsidR="002C037D">
        <w:t>:</w:t>
      </w:r>
      <w:r>
        <w:t xml:space="preserve"> </w:t>
      </w:r>
    </w:p>
    <w:p w:rsidR="002C037D" w:rsidRDefault="002C037D" w:rsidP="00B47F12">
      <w:pPr>
        <w:pStyle w:val="tPara"/>
      </w:pPr>
      <w:r>
        <w:tab/>
      </w:r>
      <w:r w:rsidR="00BB6D03">
        <w:t>(a)</w:t>
      </w:r>
      <w:r>
        <w:tab/>
      </w:r>
      <w:r w:rsidR="00B47F12">
        <w:t>jet fuel a</w:t>
      </w:r>
      <w:r>
        <w:t>s reported under the POFR rules; and</w:t>
      </w:r>
    </w:p>
    <w:p w:rsidR="00B47F12" w:rsidRDefault="002C037D" w:rsidP="002C037D">
      <w:pPr>
        <w:pStyle w:val="tPara"/>
      </w:pPr>
      <w:r>
        <w:tab/>
      </w:r>
      <w:r w:rsidR="00BB6D03">
        <w:t>(b)</w:t>
      </w:r>
      <w:r>
        <w:tab/>
        <w:t>saleable for air transport purposes in Australia.</w:t>
      </w:r>
    </w:p>
    <w:p w:rsidR="00380FB2" w:rsidRPr="002A0313" w:rsidRDefault="00BB6D03" w:rsidP="00372DF1">
      <w:pPr>
        <w:pStyle w:val="h2Part"/>
      </w:pPr>
      <w:bookmarkStart w:id="15" w:name="_Toc405889310"/>
      <w:bookmarkStart w:id="16" w:name="_Toc76720052"/>
      <w:r>
        <w:rPr>
          <w:rStyle w:val="CharPartNo"/>
        </w:rPr>
        <w:t>Part 2</w:t>
      </w:r>
      <w:r w:rsidR="00380FB2">
        <w:rPr>
          <w:rStyle w:val="CharPartNo"/>
        </w:rPr>
        <w:t>—</w:t>
      </w:r>
      <w:bookmarkEnd w:id="15"/>
      <w:r w:rsidR="00634D19">
        <w:rPr>
          <w:rStyle w:val="CharPartText"/>
        </w:rPr>
        <w:t>Applications</w:t>
      </w:r>
      <w:r w:rsidR="00380FB2" w:rsidRPr="002A0313">
        <w:rPr>
          <w:rStyle w:val="CharDivNo"/>
        </w:rPr>
        <w:t xml:space="preserve"> </w:t>
      </w:r>
      <w:r w:rsidR="00AE34A9">
        <w:rPr>
          <w:rStyle w:val="CharDivNo"/>
        </w:rPr>
        <w:t>for fuel security services payment</w:t>
      </w:r>
      <w:bookmarkEnd w:id="16"/>
      <w:r w:rsidR="00380FB2" w:rsidRPr="002A0313">
        <w:rPr>
          <w:rStyle w:val="CharDivText"/>
        </w:rPr>
        <w:t xml:space="preserve"> </w:t>
      </w:r>
    </w:p>
    <w:p w:rsidR="00380FB2" w:rsidRPr="002A0313" w:rsidRDefault="00BB6D03" w:rsidP="00380FB2">
      <w:pPr>
        <w:pStyle w:val="h5Section"/>
      </w:pPr>
      <w:bookmarkStart w:id="17" w:name="_Toc405889311"/>
      <w:bookmarkStart w:id="18" w:name="_Toc76720053"/>
      <w:r>
        <w:t>6</w:t>
      </w:r>
      <w:r w:rsidR="00380FB2">
        <w:t xml:space="preserve">  </w:t>
      </w:r>
      <w:bookmarkEnd w:id="17"/>
      <w:r w:rsidR="005E6942">
        <w:t>Applications</w:t>
      </w:r>
      <w:r w:rsidR="00AE34A9">
        <w:t xml:space="preserve"> for fuel security services payment</w:t>
      </w:r>
      <w:bookmarkEnd w:id="18"/>
    </w:p>
    <w:p w:rsidR="00AD7BE4" w:rsidRDefault="000E2406" w:rsidP="000E2406">
      <w:pPr>
        <w:pStyle w:val="tMain"/>
      </w:pPr>
      <w:r>
        <w:tab/>
      </w:r>
      <w:r w:rsidR="00BB6D03">
        <w:t>(1)</w:t>
      </w:r>
      <w:r>
        <w:tab/>
      </w:r>
      <w:r w:rsidR="00F852F2">
        <w:t>For paragraph 39(3)(b) of the Act, applications must meet the requirements, an</w:t>
      </w:r>
      <w:r w:rsidR="000B3F0C">
        <w:t>d</w:t>
      </w:r>
      <w:r w:rsidR="00F852F2">
        <w:t xml:space="preserve"> include </w:t>
      </w:r>
      <w:r w:rsidR="001E0380">
        <w:t xml:space="preserve">the </w:t>
      </w:r>
      <w:r w:rsidR="00F852F2">
        <w:t>information, required by this section.</w:t>
      </w:r>
    </w:p>
    <w:p w:rsidR="00F852F2" w:rsidRDefault="00F852F2" w:rsidP="00F852F2">
      <w:pPr>
        <w:pStyle w:val="nMain"/>
      </w:pPr>
      <w:r>
        <w:t>Note:</w:t>
      </w:r>
      <w:r>
        <w:tab/>
      </w:r>
      <w:r w:rsidR="00C919B2">
        <w:t>Under subsection 39(2) of the Act the application must also include the person’</w:t>
      </w:r>
      <w:r w:rsidR="001F5128">
        <w:t>s</w:t>
      </w:r>
      <w:r w:rsidR="00C919B2">
        <w:t xml:space="preserve"> consent to the imposition of repayment obligations under section 50.</w:t>
      </w:r>
      <w:r w:rsidR="0036220E">
        <w:t xml:space="preserve"> Paragraph 39(3</w:t>
      </w:r>
      <w:r w:rsidR="006E538C">
        <w:t>)(a</w:t>
      </w:r>
      <w:r w:rsidR="00852773">
        <w:t>) of the Act requires applications to be in a form</w:t>
      </w:r>
      <w:r w:rsidR="002B49F4">
        <w:t xml:space="preserve"> (if any)</w:t>
      </w:r>
      <w:r w:rsidR="00852773">
        <w:t xml:space="preserve"> approved by the Secretary under section 81 of the Act.</w:t>
      </w:r>
    </w:p>
    <w:p w:rsidR="00F852F2" w:rsidRDefault="00F852F2" w:rsidP="00F852F2">
      <w:pPr>
        <w:pStyle w:val="tMain"/>
      </w:pPr>
      <w:r>
        <w:tab/>
      </w:r>
      <w:r w:rsidR="00BB6D03">
        <w:t>(2)</w:t>
      </w:r>
      <w:r>
        <w:tab/>
        <w:t>An application must:</w:t>
      </w:r>
    </w:p>
    <w:p w:rsidR="00F852F2" w:rsidRDefault="00F852F2" w:rsidP="00F852F2">
      <w:pPr>
        <w:pStyle w:val="tPara"/>
      </w:pPr>
      <w:r>
        <w:tab/>
      </w:r>
      <w:r w:rsidR="00BB6D03">
        <w:t>(a)</w:t>
      </w:r>
      <w:r w:rsidR="000B3F0C">
        <w:tab/>
        <w:t>set out the applicant’s cont</w:t>
      </w:r>
      <w:r>
        <w:t>act details and Australian Company Number;</w:t>
      </w:r>
      <w:r w:rsidR="00B93555">
        <w:t xml:space="preserve"> and</w:t>
      </w:r>
    </w:p>
    <w:p w:rsidR="00F852F2" w:rsidRDefault="00F852F2" w:rsidP="00F852F2">
      <w:pPr>
        <w:pStyle w:val="tPara"/>
      </w:pPr>
      <w:r>
        <w:tab/>
      </w:r>
      <w:r w:rsidR="00BB6D03">
        <w:t>(b)</w:t>
      </w:r>
      <w:r>
        <w:tab/>
        <w:t xml:space="preserve">provide evidence that the applicant </w:t>
      </w:r>
      <w:r w:rsidR="00071808">
        <w:t>and refinery meet</w:t>
      </w:r>
      <w:r>
        <w:t xml:space="preserve"> the </w:t>
      </w:r>
      <w:r w:rsidR="00071808">
        <w:t>requirements</w:t>
      </w:r>
      <w:r>
        <w:t xml:space="preserve"> relevant to the Minister’s decision under subsection 40(2) of the Act;</w:t>
      </w:r>
      <w:r w:rsidR="00B93555">
        <w:t xml:space="preserve"> and</w:t>
      </w:r>
    </w:p>
    <w:p w:rsidR="00AE34A9" w:rsidRPr="00F77994" w:rsidRDefault="00AE34A9" w:rsidP="00AE34A9">
      <w:pPr>
        <w:pStyle w:val="tPara"/>
      </w:pPr>
      <w:r>
        <w:tab/>
      </w:r>
      <w:r w:rsidR="00BB6D03">
        <w:t>(c)</w:t>
      </w:r>
      <w:r>
        <w:tab/>
        <w:t>inc</w:t>
      </w:r>
      <w:r w:rsidRPr="00F77994">
        <w:t>lude:</w:t>
      </w:r>
    </w:p>
    <w:p w:rsidR="00AE34A9" w:rsidRPr="00F77994" w:rsidRDefault="00AE34A9" w:rsidP="00AE34A9">
      <w:pPr>
        <w:pStyle w:val="tSubpara"/>
      </w:pPr>
      <w:r w:rsidRPr="00F77994">
        <w:lastRenderedPageBreak/>
        <w:tab/>
      </w:r>
      <w:r w:rsidR="00BB6D03">
        <w:t>(i)</w:t>
      </w:r>
      <w:r w:rsidRPr="00F77994">
        <w:tab/>
      </w:r>
      <w:r w:rsidR="00BC2A25">
        <w:t>if the refin</w:t>
      </w:r>
      <w:r w:rsidR="0036220E">
        <w:t>ery is not eligible under the TR</w:t>
      </w:r>
      <w:r w:rsidR="00BC2A25">
        <w:t>PP</w:t>
      </w:r>
      <w:r w:rsidR="0036220E">
        <w:t>P</w:t>
      </w:r>
      <w:r w:rsidR="00BC2A25">
        <w:t>—</w:t>
      </w:r>
      <w:r w:rsidRPr="00F77994">
        <w:t xml:space="preserve">historic information to support the refining of FSSP fuels meeting the requirements of section </w:t>
      </w:r>
      <w:r w:rsidR="00BB6D03">
        <w:t>5</w:t>
      </w:r>
      <w:r w:rsidRPr="00F77994">
        <w:t>; or</w:t>
      </w:r>
    </w:p>
    <w:p w:rsidR="00AE34A9" w:rsidRPr="005949C0" w:rsidRDefault="00AE34A9" w:rsidP="00AE34A9">
      <w:pPr>
        <w:pStyle w:val="tSubpara"/>
      </w:pPr>
      <w:r w:rsidRPr="00F77994">
        <w:tab/>
      </w:r>
      <w:r w:rsidR="00BB6D03">
        <w:t>(ii)</w:t>
      </w:r>
      <w:r w:rsidRPr="00F77994">
        <w:tab/>
        <w:t xml:space="preserve">if the refinery is new—a detailed explanation of how it will refine FSSP fuels meeting the </w:t>
      </w:r>
      <w:r w:rsidRPr="005949C0">
        <w:t xml:space="preserve">requirements of section </w:t>
      </w:r>
      <w:r w:rsidR="00BB6D03">
        <w:t>5</w:t>
      </w:r>
      <w:r w:rsidRPr="005949C0">
        <w:t xml:space="preserve"> and relevant regulatory approvals for the refinery; and</w:t>
      </w:r>
    </w:p>
    <w:p w:rsidR="00F607B3" w:rsidRPr="005949C0" w:rsidRDefault="00F607B3" w:rsidP="00F607B3">
      <w:pPr>
        <w:pStyle w:val="tPara"/>
      </w:pPr>
      <w:r w:rsidRPr="005949C0">
        <w:tab/>
      </w:r>
      <w:r w:rsidR="00BB6D03">
        <w:t>(d)</w:t>
      </w:r>
      <w:r w:rsidRPr="005949C0">
        <w:tab/>
        <w:t xml:space="preserve">outline the applicant’s </w:t>
      </w:r>
      <w:r w:rsidR="00ED3ACF" w:rsidRPr="005949C0">
        <w:t xml:space="preserve">operational and other risk mitigation policies and procedures, </w:t>
      </w:r>
      <w:r w:rsidR="0036220E">
        <w:t>such as</w:t>
      </w:r>
      <w:r w:rsidR="00ED3ACF" w:rsidRPr="005949C0">
        <w:t xml:space="preserve"> its insurance arrangements,</w:t>
      </w:r>
      <w:r w:rsidRPr="005949C0">
        <w:t xml:space="preserve"> that </w:t>
      </w:r>
      <w:r w:rsidR="0036220E">
        <w:t xml:space="preserve">seek to </w:t>
      </w:r>
      <w:r w:rsidRPr="005949C0">
        <w:t xml:space="preserve">mitigate the likelihood of the circumstances in section </w:t>
      </w:r>
      <w:r w:rsidR="00BB6D03">
        <w:t>20</w:t>
      </w:r>
      <w:r w:rsidRPr="005949C0">
        <w:t xml:space="preserve"> arising; and</w:t>
      </w:r>
    </w:p>
    <w:p w:rsidR="00F852F2" w:rsidRPr="005949C0" w:rsidRDefault="00F852F2" w:rsidP="00F852F2">
      <w:pPr>
        <w:pStyle w:val="tPara"/>
      </w:pPr>
      <w:r w:rsidRPr="005949C0">
        <w:tab/>
      </w:r>
      <w:r w:rsidR="00BB6D03">
        <w:t>(e)</w:t>
      </w:r>
      <w:r w:rsidRPr="005949C0">
        <w:tab/>
      </w:r>
      <w:r w:rsidR="00C919B2" w:rsidRPr="005949C0">
        <w:t>include a security relating to the fulfilment of any requirements to repay fuel security services payment</w:t>
      </w:r>
      <w:r w:rsidR="00B93555" w:rsidRPr="005949C0">
        <w:t xml:space="preserve"> covered by subsection (3); and</w:t>
      </w:r>
    </w:p>
    <w:p w:rsidR="00EF1AA1" w:rsidRPr="005949C0" w:rsidRDefault="00B93555" w:rsidP="00EF1AA1">
      <w:pPr>
        <w:pStyle w:val="tPara"/>
      </w:pPr>
      <w:r w:rsidRPr="005949C0">
        <w:tab/>
      </w:r>
      <w:r w:rsidR="00BB6D03">
        <w:t>(f)</w:t>
      </w:r>
      <w:r w:rsidRPr="005949C0">
        <w:tab/>
        <w:t>state the intended end date for the commitment period as the end of a quarter</w:t>
      </w:r>
      <w:r w:rsidR="009A0FFB" w:rsidRPr="005949C0">
        <w:t>:</w:t>
      </w:r>
    </w:p>
    <w:p w:rsidR="00EF1AA1" w:rsidRPr="005949C0" w:rsidRDefault="00EF1AA1" w:rsidP="00EF1AA1">
      <w:pPr>
        <w:pStyle w:val="tSubpara"/>
      </w:pPr>
      <w:r w:rsidRPr="005949C0">
        <w:tab/>
      </w:r>
      <w:r w:rsidR="00BB6D03">
        <w:t>(i)</w:t>
      </w:r>
      <w:r w:rsidRPr="005949C0">
        <w:tab/>
        <w:t xml:space="preserve">no earlier than the quarter ending 30 June 2027; and </w:t>
      </w:r>
    </w:p>
    <w:p w:rsidR="00EF1AA1" w:rsidRPr="005949C0" w:rsidRDefault="00EF1AA1" w:rsidP="00EF1AA1">
      <w:pPr>
        <w:pStyle w:val="tSubpara"/>
      </w:pPr>
      <w:r w:rsidRPr="005949C0">
        <w:tab/>
      </w:r>
      <w:r w:rsidR="00BB6D03">
        <w:t>(ii)</w:t>
      </w:r>
      <w:r w:rsidRPr="005949C0">
        <w:tab/>
        <w:t>no later than the quarter ending 30 June 2030; and</w:t>
      </w:r>
    </w:p>
    <w:p w:rsidR="00B93555" w:rsidRPr="005949C0" w:rsidRDefault="00B93555" w:rsidP="00B93555">
      <w:pPr>
        <w:pStyle w:val="tPara"/>
      </w:pPr>
      <w:r w:rsidRPr="005949C0">
        <w:tab/>
      </w:r>
      <w:r w:rsidR="00BB6D03">
        <w:t>(g)</w:t>
      </w:r>
      <w:r w:rsidRPr="005949C0">
        <w:tab/>
        <w:t>if any parameter for the calculation of fuel security services payments must be determined—include that parameter and the basis of its calculation; and</w:t>
      </w:r>
    </w:p>
    <w:p w:rsidR="00B93555" w:rsidRPr="005949C0" w:rsidRDefault="00B93555" w:rsidP="00B93555">
      <w:pPr>
        <w:pStyle w:val="tPara"/>
      </w:pPr>
      <w:r w:rsidRPr="005949C0">
        <w:tab/>
      </w:r>
      <w:r w:rsidR="00BB6D03">
        <w:t>(h)</w:t>
      </w:r>
      <w:r w:rsidRPr="005949C0">
        <w:tab/>
        <w:t xml:space="preserve">include the applicant’s </w:t>
      </w:r>
      <w:r w:rsidR="00221B3D" w:rsidRPr="005949C0">
        <w:t>intention</w:t>
      </w:r>
      <w:r w:rsidRPr="005949C0">
        <w:t xml:space="preserve"> to cooperate with the Department in relation to the </w:t>
      </w:r>
      <w:r w:rsidR="00156688">
        <w:t>milestone report</w:t>
      </w:r>
      <w:r w:rsidRPr="005949C0">
        <w:t xml:space="preserve"> for fuel security services payments</w:t>
      </w:r>
      <w:r w:rsidR="00691D8F" w:rsidRPr="005949C0">
        <w:t>, including through access to appropriate financial information relating to the refinery</w:t>
      </w:r>
      <w:r w:rsidR="0036220E">
        <w:t>’s margin and the preparation of the milestone report</w:t>
      </w:r>
      <w:r w:rsidRPr="005949C0">
        <w:t>; and</w:t>
      </w:r>
    </w:p>
    <w:p w:rsidR="00B93555" w:rsidRPr="005949C0" w:rsidRDefault="00B93555" w:rsidP="00B93555">
      <w:pPr>
        <w:pStyle w:val="tPara"/>
      </w:pPr>
      <w:r w:rsidRPr="005949C0">
        <w:tab/>
      </w:r>
      <w:r w:rsidR="00BB6D03">
        <w:t>(i)</w:t>
      </w:r>
      <w:r w:rsidRPr="005949C0">
        <w:tab/>
      </w:r>
      <w:r w:rsidR="00B8447E" w:rsidRPr="005949C0">
        <w:t>specify</w:t>
      </w:r>
      <w:r w:rsidRPr="005949C0">
        <w:t xml:space="preserve"> the</w:t>
      </w:r>
      <w:r w:rsidR="00DB1461" w:rsidRPr="005949C0">
        <w:t xml:space="preserve"> applicant’s</w:t>
      </w:r>
      <w:r w:rsidRPr="005949C0">
        <w:t xml:space="preserve"> bank account</w:t>
      </w:r>
      <w:r w:rsidR="00DB1461" w:rsidRPr="005949C0">
        <w:t xml:space="preserve"> and </w:t>
      </w:r>
      <w:r w:rsidR="00EF2985">
        <w:t xml:space="preserve">any other relevant </w:t>
      </w:r>
      <w:r w:rsidR="00DB1461" w:rsidRPr="005949C0">
        <w:t>details for receiving fuel security services payments.</w:t>
      </w:r>
    </w:p>
    <w:p w:rsidR="00B93555" w:rsidRPr="005949C0" w:rsidRDefault="00B93555" w:rsidP="00B93555">
      <w:pPr>
        <w:pStyle w:val="tMain"/>
      </w:pPr>
      <w:r w:rsidRPr="005949C0">
        <w:tab/>
      </w:r>
      <w:r w:rsidR="00BB6D03">
        <w:t>(3)</w:t>
      </w:r>
      <w:r w:rsidR="00ED3ACF" w:rsidRPr="005949C0">
        <w:tab/>
        <w:t>For paragraph (2)(e</w:t>
      </w:r>
      <w:r w:rsidRPr="005949C0">
        <w:t>), one of the following forms of security must be included:</w:t>
      </w:r>
    </w:p>
    <w:p w:rsidR="00B93555" w:rsidRPr="005949C0" w:rsidRDefault="00B93555" w:rsidP="00B93555">
      <w:pPr>
        <w:pStyle w:val="tPara"/>
      </w:pPr>
      <w:r w:rsidRPr="005949C0">
        <w:tab/>
      </w:r>
      <w:r w:rsidR="00BB6D03">
        <w:t>(a)</w:t>
      </w:r>
      <w:r w:rsidR="00397CC2" w:rsidRPr="005949C0">
        <w:tab/>
        <w:t>a deed by the Australian controlling corporation for the applicant that:</w:t>
      </w:r>
    </w:p>
    <w:p w:rsidR="00397CC2" w:rsidRPr="005949C0" w:rsidRDefault="00397CC2" w:rsidP="00397CC2">
      <w:pPr>
        <w:pStyle w:val="tSubpara"/>
      </w:pPr>
      <w:r w:rsidRPr="005949C0">
        <w:tab/>
      </w:r>
      <w:r w:rsidR="00BB6D03">
        <w:t>(i)</w:t>
      </w:r>
      <w:r w:rsidRPr="005949C0">
        <w:tab/>
        <w:t>is enforceable by the Commonwealth of Australia;</w:t>
      </w:r>
      <w:r w:rsidR="0032396F" w:rsidRPr="005949C0">
        <w:t xml:space="preserve"> and</w:t>
      </w:r>
    </w:p>
    <w:p w:rsidR="0032396F" w:rsidRPr="005949C0" w:rsidRDefault="00397CC2" w:rsidP="00397CC2">
      <w:pPr>
        <w:pStyle w:val="tSubpara"/>
      </w:pPr>
      <w:r w:rsidRPr="005949C0">
        <w:tab/>
      </w:r>
      <w:r w:rsidR="00BB6D03">
        <w:t>(ii)</w:t>
      </w:r>
      <w:r w:rsidRPr="005949C0">
        <w:tab/>
        <w:t xml:space="preserve">guarantees that the Australian controlling corporation will pay any debt due under section 50 of the Act by the applicant that has not been paid </w:t>
      </w:r>
      <w:r w:rsidR="005D34EA">
        <w:t>at the time</w:t>
      </w:r>
      <w:r w:rsidRPr="005949C0">
        <w:t xml:space="preserve"> it becomes due and payable;</w:t>
      </w:r>
      <w:r w:rsidR="00926D9B" w:rsidRPr="005949C0">
        <w:t xml:space="preserve"> </w:t>
      </w:r>
      <w:r w:rsidR="0032396F" w:rsidRPr="005949C0">
        <w:t>and</w:t>
      </w:r>
    </w:p>
    <w:p w:rsidR="00397CC2" w:rsidRPr="005949C0" w:rsidRDefault="0032396F" w:rsidP="0032396F">
      <w:pPr>
        <w:pStyle w:val="tSubpara"/>
      </w:pPr>
      <w:r w:rsidRPr="005949C0">
        <w:tab/>
      </w:r>
      <w:r w:rsidR="00BB6D03">
        <w:t>(iii)</w:t>
      </w:r>
      <w:r w:rsidRPr="005949C0">
        <w:tab/>
      </w:r>
      <w:r w:rsidR="00ED3ACF" w:rsidRPr="005949C0">
        <w:t>requires the provision of a replacement guarantee in the event that the Australian controlling corporation is</w:t>
      </w:r>
      <w:r w:rsidR="0036220E">
        <w:t>,</w:t>
      </w:r>
      <w:r w:rsidR="00ED3ACF" w:rsidRPr="005949C0">
        <w:t xml:space="preserve"> or </w:t>
      </w:r>
      <w:r w:rsidR="0036220E">
        <w:t>is</w:t>
      </w:r>
      <w:r w:rsidR="00815805">
        <w:t xml:space="preserve"> reasonably</w:t>
      </w:r>
      <w:r w:rsidR="0036220E">
        <w:t xml:space="preserve"> likely to be,</w:t>
      </w:r>
      <w:r w:rsidR="00ED3ACF" w:rsidRPr="005949C0">
        <w:t xml:space="preserve"> unable to meet the obligations guaranteed under subparagraph (ii)</w:t>
      </w:r>
      <w:r w:rsidR="00F607B3" w:rsidRPr="005949C0">
        <w:t xml:space="preserve">; </w:t>
      </w:r>
      <w:r w:rsidR="00926D9B" w:rsidRPr="005949C0">
        <w:t>or</w:t>
      </w:r>
    </w:p>
    <w:p w:rsidR="00C919B2" w:rsidRPr="005949C0" w:rsidRDefault="00397CC2" w:rsidP="000F3049">
      <w:pPr>
        <w:pStyle w:val="tPara"/>
      </w:pPr>
      <w:r w:rsidRPr="005949C0">
        <w:tab/>
      </w:r>
      <w:r w:rsidR="00BB6D03">
        <w:t>(b)</w:t>
      </w:r>
      <w:r w:rsidRPr="005949C0">
        <w:tab/>
        <w:t xml:space="preserve">a bank guarantee issued by a bank covering the payment of any debt due under section 50 of the Act by the applicant that has not been paid </w:t>
      </w:r>
      <w:r w:rsidR="005D34EA">
        <w:t>at the time</w:t>
      </w:r>
      <w:r w:rsidRPr="005949C0">
        <w:t xml:space="preserve"> it becomes due and payable.</w:t>
      </w:r>
    </w:p>
    <w:p w:rsidR="00B93555" w:rsidRPr="005949C0" w:rsidRDefault="00BB6D03" w:rsidP="00B93555">
      <w:pPr>
        <w:pStyle w:val="h2Part"/>
        <w:rPr>
          <w:rStyle w:val="CharPartText"/>
        </w:rPr>
      </w:pPr>
      <w:bookmarkStart w:id="19" w:name="_Toc76720054"/>
      <w:r>
        <w:rPr>
          <w:rStyle w:val="CharPartNo"/>
        </w:rPr>
        <w:t>Part 3</w:t>
      </w:r>
      <w:r w:rsidR="00B93555" w:rsidRPr="005949C0">
        <w:rPr>
          <w:rStyle w:val="CharPartNo"/>
        </w:rPr>
        <w:t>—</w:t>
      </w:r>
      <w:r w:rsidR="00AE34A9" w:rsidRPr="005949C0">
        <w:rPr>
          <w:rStyle w:val="CharPartText"/>
        </w:rPr>
        <w:t>Eligibility d</w:t>
      </w:r>
      <w:r w:rsidR="00B93555" w:rsidRPr="005949C0">
        <w:rPr>
          <w:rStyle w:val="CharPartText"/>
        </w:rPr>
        <w:t>ecision</w:t>
      </w:r>
      <w:bookmarkEnd w:id="19"/>
    </w:p>
    <w:p w:rsidR="00DB1461" w:rsidRPr="005949C0" w:rsidRDefault="00BB6D03" w:rsidP="00DB1461">
      <w:pPr>
        <w:pStyle w:val="h5Section"/>
      </w:pPr>
      <w:bookmarkStart w:id="20" w:name="_Toc76720055"/>
      <w:r>
        <w:t>7</w:t>
      </w:r>
      <w:r w:rsidR="00DB1461" w:rsidRPr="005949C0">
        <w:t xml:space="preserve">  Requirements for refining of FSSP Fuel</w:t>
      </w:r>
      <w:bookmarkEnd w:id="20"/>
    </w:p>
    <w:p w:rsidR="00DB1461" w:rsidRPr="005949C0" w:rsidRDefault="00DB1461" w:rsidP="00DB1461">
      <w:pPr>
        <w:pStyle w:val="tMain"/>
      </w:pPr>
      <w:r w:rsidRPr="005949C0">
        <w:tab/>
      </w:r>
      <w:r w:rsidR="00BB6D03">
        <w:t>(1)</w:t>
      </w:r>
      <w:r w:rsidRPr="005949C0">
        <w:tab/>
        <w:t>For paragraph 40(2)(c) of</w:t>
      </w:r>
      <w:r w:rsidR="008E1B23">
        <w:t xml:space="preserve"> the Act, refining of FSSP fuel</w:t>
      </w:r>
      <w:r w:rsidRPr="005949C0">
        <w:t xml:space="preserve"> must meet the requirements of this section.</w:t>
      </w:r>
    </w:p>
    <w:p w:rsidR="00DB1461" w:rsidRPr="005949C0" w:rsidRDefault="00DB1461" w:rsidP="00DB1461">
      <w:pPr>
        <w:pStyle w:val="tMain"/>
      </w:pPr>
      <w:r w:rsidRPr="005949C0">
        <w:tab/>
      </w:r>
      <w:r w:rsidR="00BB6D03">
        <w:t>(2)</w:t>
      </w:r>
      <w:r w:rsidR="000B3F0C" w:rsidRPr="005949C0">
        <w:tab/>
        <w:t>The refining</w:t>
      </w:r>
      <w:r w:rsidRPr="005949C0">
        <w:t xml:space="preserve"> must involve the transformation of crude oil, with other feedstocks, into gasoline, diesel and kerosene meeting the requirements to be an FSSP fuel.</w:t>
      </w:r>
    </w:p>
    <w:p w:rsidR="009A2840" w:rsidRPr="005949C0" w:rsidRDefault="009A2840" w:rsidP="009A2840">
      <w:pPr>
        <w:pStyle w:val="nMain"/>
      </w:pPr>
      <w:r w:rsidRPr="005949C0">
        <w:t>Note:</w:t>
      </w:r>
      <w:r w:rsidRPr="005949C0">
        <w:tab/>
        <w:t>T</w:t>
      </w:r>
      <w:r w:rsidR="00691D8F" w:rsidRPr="005949C0">
        <w:t>he crude oil and feedstocks may</w:t>
      </w:r>
      <w:r w:rsidRPr="005949C0">
        <w:t xml:space="preserve"> come from domestic or international sources. The requirements to be an FSSP fuel are set out in section </w:t>
      </w:r>
      <w:r w:rsidR="00BB6D03">
        <w:t>5</w:t>
      </w:r>
      <w:r w:rsidRPr="005949C0">
        <w:t>.</w:t>
      </w:r>
    </w:p>
    <w:p w:rsidR="00DB1461" w:rsidRPr="005949C0" w:rsidRDefault="009A2840" w:rsidP="009A2840">
      <w:pPr>
        <w:pStyle w:val="tMain"/>
      </w:pPr>
      <w:r w:rsidRPr="005949C0">
        <w:tab/>
      </w:r>
      <w:r w:rsidR="00BB6D03">
        <w:t>(3)</w:t>
      </w:r>
      <w:r w:rsidRPr="005949C0">
        <w:tab/>
      </w:r>
      <w:r w:rsidR="000C10EF">
        <w:t xml:space="preserve">At the time of the application under section 39 of the Act, </w:t>
      </w:r>
      <w:r w:rsidRPr="005949C0">
        <w:t xml:space="preserve">FSSP fuels must constitute a majority of the </w:t>
      </w:r>
      <w:r w:rsidR="00852773" w:rsidRPr="005949C0">
        <w:t xml:space="preserve">annual </w:t>
      </w:r>
      <w:r w:rsidRPr="005949C0">
        <w:t>output of the refinery.</w:t>
      </w:r>
    </w:p>
    <w:p w:rsidR="00B93555" w:rsidRPr="005949C0" w:rsidRDefault="00BB6D03" w:rsidP="00B93555">
      <w:pPr>
        <w:pStyle w:val="h5Section"/>
      </w:pPr>
      <w:bookmarkStart w:id="21" w:name="_Toc76720056"/>
      <w:r>
        <w:lastRenderedPageBreak/>
        <w:t>8</w:t>
      </w:r>
      <w:r w:rsidR="00B93555" w:rsidRPr="005949C0">
        <w:t xml:space="preserve">  </w:t>
      </w:r>
      <w:r w:rsidR="00DB1461" w:rsidRPr="005949C0">
        <w:t>General requirements to approve applications</w:t>
      </w:r>
      <w:bookmarkEnd w:id="21"/>
    </w:p>
    <w:p w:rsidR="00B93555" w:rsidRPr="005949C0" w:rsidRDefault="00B93555" w:rsidP="00B93555">
      <w:pPr>
        <w:pStyle w:val="tMain"/>
      </w:pPr>
      <w:r w:rsidRPr="005949C0">
        <w:tab/>
      </w:r>
      <w:r w:rsidR="00BB6D03">
        <w:t>(1)</w:t>
      </w:r>
      <w:r w:rsidR="00DB1461" w:rsidRPr="005949C0">
        <w:tab/>
        <w:t>For paragraph 40(2)(d</w:t>
      </w:r>
      <w:r w:rsidRPr="005949C0">
        <w:t>) of the Act, applications must meet the requirements</w:t>
      </w:r>
      <w:r w:rsidR="00DB1461" w:rsidRPr="005949C0">
        <w:t xml:space="preserve"> </w:t>
      </w:r>
      <w:r w:rsidRPr="005949C0">
        <w:t>required by this section</w:t>
      </w:r>
      <w:r w:rsidR="00DB1461" w:rsidRPr="005949C0">
        <w:t xml:space="preserve"> to be approved</w:t>
      </w:r>
      <w:r w:rsidRPr="005949C0">
        <w:t>.</w:t>
      </w:r>
    </w:p>
    <w:p w:rsidR="00B93555" w:rsidRPr="005949C0" w:rsidRDefault="00B93555" w:rsidP="00B93555">
      <w:pPr>
        <w:pStyle w:val="nMain"/>
      </w:pPr>
      <w:r w:rsidRPr="005949C0">
        <w:t>N</w:t>
      </w:r>
      <w:r w:rsidR="00DB1461" w:rsidRPr="005949C0">
        <w:t>ote:</w:t>
      </w:r>
      <w:r w:rsidR="00DB1461" w:rsidRPr="005949C0">
        <w:tab/>
        <w:t>Under subsection 40(2) of the Act the applicant</w:t>
      </w:r>
      <w:r w:rsidRPr="005949C0">
        <w:t xml:space="preserve"> must also </w:t>
      </w:r>
      <w:r w:rsidR="00DB1461" w:rsidRPr="005949C0">
        <w:t xml:space="preserve">be a constitutional corporation, refine FSSP fuel at a refinery in Australia and refine fuel consistent with the requirements in section </w:t>
      </w:r>
      <w:r w:rsidR="00BB6D03">
        <w:t>7</w:t>
      </w:r>
      <w:r w:rsidRPr="005949C0">
        <w:t>.</w:t>
      </w:r>
    </w:p>
    <w:p w:rsidR="00926D9B" w:rsidRPr="005949C0" w:rsidRDefault="00B93555" w:rsidP="00071808">
      <w:pPr>
        <w:pStyle w:val="tMain"/>
      </w:pPr>
      <w:r w:rsidRPr="005949C0">
        <w:tab/>
      </w:r>
      <w:r w:rsidR="00BB6D03">
        <w:t>(2)</w:t>
      </w:r>
      <w:r w:rsidR="009A2840" w:rsidRPr="005949C0">
        <w:tab/>
      </w:r>
      <w:r w:rsidR="00AE34A9" w:rsidRPr="005949C0">
        <w:t>The Minister must not grant the application unless satisfied that</w:t>
      </w:r>
      <w:r w:rsidR="00926D9B" w:rsidRPr="005949C0">
        <w:t>:</w:t>
      </w:r>
      <w:r w:rsidR="00AE34A9" w:rsidRPr="005949C0">
        <w:t xml:space="preserve"> </w:t>
      </w:r>
    </w:p>
    <w:p w:rsidR="00B93555" w:rsidRPr="005949C0" w:rsidRDefault="00926D9B" w:rsidP="00926D9B">
      <w:pPr>
        <w:pStyle w:val="tPara"/>
      </w:pPr>
      <w:r w:rsidRPr="005949C0">
        <w:tab/>
      </w:r>
      <w:r w:rsidR="00BB6D03">
        <w:t>(a)</w:t>
      </w:r>
      <w:r w:rsidRPr="005949C0">
        <w:tab/>
      </w:r>
      <w:r w:rsidR="00AE34A9" w:rsidRPr="005949C0">
        <w:t xml:space="preserve">the applicant has the </w:t>
      </w:r>
      <w:r w:rsidR="00982331">
        <w:t>capability</w:t>
      </w:r>
      <w:r w:rsidR="00AE34A9" w:rsidRPr="005949C0">
        <w:t xml:space="preserve"> </w:t>
      </w:r>
      <w:r w:rsidR="008E1B23">
        <w:t>to refine FSSP fuel</w:t>
      </w:r>
      <w:r w:rsidR="00AE34A9" w:rsidRPr="005949C0">
        <w:t xml:space="preserve"> at the refinery</w:t>
      </w:r>
      <w:r w:rsidR="00982331">
        <w:t xml:space="preserve"> and has the intention to do so</w:t>
      </w:r>
      <w:r w:rsidR="00AE34A9" w:rsidRPr="005949C0">
        <w:t xml:space="preserve"> for the du</w:t>
      </w:r>
      <w:r w:rsidRPr="005949C0">
        <w:t>ration of the commitment period; and</w:t>
      </w:r>
    </w:p>
    <w:p w:rsidR="00F607B3" w:rsidRPr="005949C0" w:rsidRDefault="00F607B3" w:rsidP="00F607B3">
      <w:pPr>
        <w:pStyle w:val="tPara"/>
      </w:pPr>
      <w:r w:rsidRPr="005949C0">
        <w:tab/>
      </w:r>
      <w:r w:rsidR="00BB6D03">
        <w:t>(b)</w:t>
      </w:r>
      <w:r w:rsidRPr="005949C0">
        <w:tab/>
        <w:t xml:space="preserve">the security provided for </w:t>
      </w:r>
      <w:r w:rsidR="00C84788" w:rsidRPr="005949C0">
        <w:t xml:space="preserve">under </w:t>
      </w:r>
      <w:r w:rsidRPr="005949C0">
        <w:t xml:space="preserve">subsection </w:t>
      </w:r>
      <w:r w:rsidR="00BB6D03">
        <w:t>6</w:t>
      </w:r>
      <w:r w:rsidRPr="005949C0">
        <w:t>(3) is suf</w:t>
      </w:r>
      <w:r w:rsidR="00C84788" w:rsidRPr="005949C0">
        <w:t>ficient to mitigate the risks of</w:t>
      </w:r>
      <w:r w:rsidRPr="005949C0">
        <w:t xml:space="preserve"> non-repayment</w:t>
      </w:r>
      <w:r w:rsidR="0067237D">
        <w:t>, hav</w:t>
      </w:r>
      <w:r w:rsidR="000C10EF">
        <w:t>ing regard to the creditworthiness</w:t>
      </w:r>
      <w:r w:rsidR="00815805">
        <w:t xml:space="preserve"> </w:t>
      </w:r>
      <w:r w:rsidR="0067237D">
        <w:t xml:space="preserve">of the person providing </w:t>
      </w:r>
      <w:r w:rsidR="00815805">
        <w:t>t</w:t>
      </w:r>
      <w:r w:rsidR="0067237D">
        <w:t>he security and other relevant matters</w:t>
      </w:r>
      <w:r w:rsidRPr="005949C0">
        <w:t>; and</w:t>
      </w:r>
    </w:p>
    <w:p w:rsidR="00B93555" w:rsidRPr="005949C0" w:rsidRDefault="00926D9B" w:rsidP="00926D9B">
      <w:pPr>
        <w:pStyle w:val="tPara"/>
      </w:pPr>
      <w:r w:rsidRPr="005949C0">
        <w:tab/>
      </w:r>
      <w:r w:rsidR="00BB6D03">
        <w:t>(c)</w:t>
      </w:r>
      <w:r w:rsidRPr="005949C0">
        <w:tab/>
      </w:r>
      <w:r w:rsidR="009E1A71" w:rsidRPr="005949C0">
        <w:t xml:space="preserve">the applicant </w:t>
      </w:r>
      <w:r w:rsidR="00982331">
        <w:t>intends to</w:t>
      </w:r>
      <w:r w:rsidR="00691D8F" w:rsidRPr="005949C0">
        <w:t xml:space="preserve"> cooperate with the Department in relation to the </w:t>
      </w:r>
      <w:r w:rsidR="00156688">
        <w:t>preparation of the milestone report</w:t>
      </w:r>
      <w:r w:rsidR="00691D8F" w:rsidRPr="005949C0">
        <w:t xml:space="preserve"> for fuel security services payments, </w:t>
      </w:r>
      <w:r w:rsidR="00982331" w:rsidRPr="005949C0">
        <w:t>including through access to appropriate financial information relating to the refinery</w:t>
      </w:r>
      <w:r w:rsidR="00982331">
        <w:t>’s margin and the preparation of the milestone report;</w:t>
      </w:r>
      <w:r w:rsidR="00982331" w:rsidRPr="005949C0">
        <w:t xml:space="preserve"> </w:t>
      </w:r>
      <w:r w:rsidRPr="005949C0">
        <w:t>and</w:t>
      </w:r>
    </w:p>
    <w:p w:rsidR="00926D9B" w:rsidRPr="005949C0" w:rsidRDefault="00926D9B" w:rsidP="00926D9B">
      <w:pPr>
        <w:pStyle w:val="tPara"/>
      </w:pPr>
      <w:r w:rsidRPr="005949C0">
        <w:tab/>
      </w:r>
      <w:r w:rsidR="00BB6D03">
        <w:t>(d)</w:t>
      </w:r>
      <w:r w:rsidRPr="005949C0">
        <w:tab/>
        <w:t>the approval of the application would not result in two persons being eligible for fuel security services payments for the same refinery and quarter; and</w:t>
      </w:r>
    </w:p>
    <w:p w:rsidR="00926D9B" w:rsidRDefault="00926D9B" w:rsidP="00926D9B">
      <w:pPr>
        <w:pStyle w:val="tPara"/>
      </w:pPr>
      <w:r w:rsidRPr="005949C0">
        <w:tab/>
      </w:r>
      <w:r w:rsidR="00BB6D03">
        <w:t>(e)</w:t>
      </w:r>
      <w:r w:rsidRPr="005949C0">
        <w:tab/>
        <w:t>the applicant was not previously approved under section 40 of the Act for the same refinery.</w:t>
      </w:r>
    </w:p>
    <w:p w:rsidR="006235E3" w:rsidRPr="005949C0" w:rsidRDefault="0067237D" w:rsidP="006235E3">
      <w:pPr>
        <w:pStyle w:val="tMain"/>
      </w:pPr>
      <w:r w:rsidRPr="005949C0">
        <w:tab/>
      </w:r>
      <w:r w:rsidR="00BB6D03">
        <w:t>(3)</w:t>
      </w:r>
      <w:r>
        <w:tab/>
        <w:t>For paragraph (2)(b)</w:t>
      </w:r>
      <w:r w:rsidR="000C10EF">
        <w:t xml:space="preserve"> and without limiting other relevant matters</w:t>
      </w:r>
      <w:r w:rsidRPr="005949C0">
        <w:t xml:space="preserve">, </w:t>
      </w:r>
      <w:r>
        <w:t>an investment g</w:t>
      </w:r>
      <w:r w:rsidR="000C10EF">
        <w:t>rade credit rating of the person</w:t>
      </w:r>
      <w:r>
        <w:t xml:space="preserve"> providing the security is prima facie evidence of the </w:t>
      </w:r>
      <w:r w:rsidR="000C10EF">
        <w:t>sufficiency of the creditworthiness of the person providing the security</w:t>
      </w:r>
      <w:r>
        <w:t>.</w:t>
      </w:r>
    </w:p>
    <w:p w:rsidR="00634D19" w:rsidRPr="005949C0" w:rsidRDefault="00BB6D03" w:rsidP="00372DF1">
      <w:pPr>
        <w:pStyle w:val="h2Part"/>
      </w:pPr>
      <w:bookmarkStart w:id="22" w:name="_Toc76720057"/>
      <w:r>
        <w:rPr>
          <w:rStyle w:val="CharPartNo"/>
        </w:rPr>
        <w:t>Part 4</w:t>
      </w:r>
      <w:r w:rsidR="00634D19" w:rsidRPr="005949C0">
        <w:rPr>
          <w:rStyle w:val="CharPartNo"/>
        </w:rPr>
        <w:t>—</w:t>
      </w:r>
      <w:r w:rsidR="00634D19" w:rsidRPr="005949C0">
        <w:rPr>
          <w:rStyle w:val="CharPartText"/>
        </w:rPr>
        <w:t>Commitment periods</w:t>
      </w:r>
      <w:bookmarkEnd w:id="22"/>
      <w:r w:rsidR="00634D19" w:rsidRPr="005949C0">
        <w:rPr>
          <w:rStyle w:val="CharDivNo"/>
        </w:rPr>
        <w:t xml:space="preserve"> </w:t>
      </w:r>
      <w:r w:rsidR="00634D19" w:rsidRPr="005949C0">
        <w:rPr>
          <w:rStyle w:val="CharDivText"/>
        </w:rPr>
        <w:t xml:space="preserve"> </w:t>
      </w:r>
    </w:p>
    <w:p w:rsidR="00634D19" w:rsidRPr="005949C0" w:rsidRDefault="00BB6D03" w:rsidP="00634D19">
      <w:pPr>
        <w:pStyle w:val="h5Section"/>
      </w:pPr>
      <w:bookmarkStart w:id="23" w:name="_Toc76720058"/>
      <w:r>
        <w:t>9</w:t>
      </w:r>
      <w:r w:rsidR="00634D19" w:rsidRPr="005949C0">
        <w:t xml:space="preserve">  Initial commitment period</w:t>
      </w:r>
      <w:bookmarkEnd w:id="23"/>
    </w:p>
    <w:p w:rsidR="00EF1AA1" w:rsidRPr="005949C0" w:rsidRDefault="00634D19" w:rsidP="00634D19">
      <w:pPr>
        <w:pStyle w:val="tMain"/>
      </w:pPr>
      <w:r w:rsidRPr="005949C0">
        <w:tab/>
      </w:r>
      <w:r w:rsidRPr="005949C0">
        <w:tab/>
        <w:t xml:space="preserve">For </w:t>
      </w:r>
      <w:r w:rsidR="00C4661A" w:rsidRPr="005949C0">
        <w:t>paragraph 41</w:t>
      </w:r>
      <w:r w:rsidRPr="005949C0">
        <w:t>(1)</w:t>
      </w:r>
      <w:r w:rsidR="00C4661A" w:rsidRPr="005949C0">
        <w:t>(a)</w:t>
      </w:r>
      <w:r w:rsidRPr="005949C0">
        <w:t xml:space="preserve"> of the Act, a commitment period specified in a notice</w:t>
      </w:r>
      <w:r w:rsidR="00982331">
        <w:t xml:space="preserve"> to a person under subsection 40</w:t>
      </w:r>
      <w:r w:rsidRPr="005949C0">
        <w:t xml:space="preserve">(3) </w:t>
      </w:r>
      <w:r w:rsidR="000B3F0C" w:rsidRPr="005949C0">
        <w:t xml:space="preserve">of the Act </w:t>
      </w:r>
      <w:r w:rsidRPr="005949C0">
        <w:t xml:space="preserve">must end </w:t>
      </w:r>
      <w:r w:rsidR="00DE26BB" w:rsidRPr="005949C0">
        <w:t>at the end of a quarter</w:t>
      </w:r>
      <w:r w:rsidR="00EF1AA1" w:rsidRPr="005949C0">
        <w:t xml:space="preserve"> requested by the applicant</w:t>
      </w:r>
      <w:r w:rsidR="00982331">
        <w:t xml:space="preserve"> in their application</w:t>
      </w:r>
      <w:r w:rsidR="00EF1AA1" w:rsidRPr="005949C0">
        <w:t xml:space="preserve"> that is:</w:t>
      </w:r>
    </w:p>
    <w:p w:rsidR="00EF1AA1" w:rsidRPr="005949C0" w:rsidRDefault="00EF1AA1" w:rsidP="00EF1AA1">
      <w:pPr>
        <w:pStyle w:val="tPara"/>
      </w:pPr>
      <w:r w:rsidRPr="005949C0">
        <w:tab/>
      </w:r>
      <w:r w:rsidR="00BB6D03">
        <w:t>(a)</w:t>
      </w:r>
      <w:r w:rsidRPr="005949C0">
        <w:tab/>
        <w:t>no earlier than the quarter ending</w:t>
      </w:r>
      <w:r w:rsidR="00634D19" w:rsidRPr="005949C0">
        <w:t xml:space="preserve"> 30 June 2027</w:t>
      </w:r>
      <w:r w:rsidRPr="005949C0">
        <w:t xml:space="preserve">; and </w:t>
      </w:r>
    </w:p>
    <w:p w:rsidR="00634D19" w:rsidRPr="005949C0" w:rsidRDefault="00EF1AA1" w:rsidP="00EF1AA1">
      <w:pPr>
        <w:pStyle w:val="tPara"/>
      </w:pPr>
      <w:r w:rsidRPr="005949C0">
        <w:tab/>
      </w:r>
      <w:r w:rsidR="00BB6D03">
        <w:t>(b)</w:t>
      </w:r>
      <w:r w:rsidRPr="005949C0">
        <w:tab/>
        <w:t>no later than the quarter ending 30 June 2030</w:t>
      </w:r>
      <w:r w:rsidR="00634D19" w:rsidRPr="005949C0">
        <w:t xml:space="preserve">. </w:t>
      </w:r>
    </w:p>
    <w:p w:rsidR="00634D19" w:rsidRPr="005949C0" w:rsidRDefault="00BB6D03" w:rsidP="00634D19">
      <w:pPr>
        <w:pStyle w:val="h5Section"/>
      </w:pPr>
      <w:bookmarkStart w:id="24" w:name="_Toc76720059"/>
      <w:r>
        <w:t>10</w:t>
      </w:r>
      <w:r w:rsidR="00ED3ACF" w:rsidRPr="005949C0">
        <w:t xml:space="preserve">  Variation or termination of</w:t>
      </w:r>
      <w:r w:rsidR="00634D19" w:rsidRPr="005949C0">
        <w:t xml:space="preserve"> commitment period</w:t>
      </w:r>
      <w:bookmarkEnd w:id="24"/>
    </w:p>
    <w:p w:rsidR="00115AB3" w:rsidRDefault="00634D19" w:rsidP="00115AB3">
      <w:pPr>
        <w:pStyle w:val="tMain"/>
      </w:pPr>
      <w:r w:rsidRPr="005949C0">
        <w:tab/>
      </w:r>
      <w:r w:rsidR="00BB6D03">
        <w:t>(1)</w:t>
      </w:r>
      <w:r w:rsidR="00C4661A" w:rsidRPr="005949C0">
        <w:tab/>
        <w:t>For subsection 41(3</w:t>
      </w:r>
      <w:r w:rsidRPr="005949C0">
        <w:t>) of the Act, the requirements in this section are prescribed.</w:t>
      </w:r>
    </w:p>
    <w:p w:rsidR="00115AB3" w:rsidRPr="005949C0" w:rsidRDefault="00115AB3" w:rsidP="00115AB3">
      <w:pPr>
        <w:pStyle w:val="tMain"/>
      </w:pPr>
      <w:r>
        <w:tab/>
      </w:r>
      <w:r w:rsidR="00BB6D03">
        <w:t>(2)</w:t>
      </w:r>
      <w:r>
        <w:tab/>
        <w:t>A commitment period must not be varied or terminated other than as prescribed under subsection (3) or (4).</w:t>
      </w:r>
    </w:p>
    <w:p w:rsidR="00982331" w:rsidRDefault="00634D19" w:rsidP="00115AB3">
      <w:pPr>
        <w:pStyle w:val="tMain"/>
      </w:pPr>
      <w:r w:rsidRPr="005949C0">
        <w:tab/>
      </w:r>
      <w:r w:rsidR="00BB6D03">
        <w:t>(3)</w:t>
      </w:r>
      <w:r w:rsidRPr="005949C0">
        <w:tab/>
      </w:r>
      <w:r w:rsidR="00982331">
        <w:t>If an application under subsection 41(2)</w:t>
      </w:r>
      <w:r w:rsidR="002B49F4">
        <w:t xml:space="preserve"> of the Act</w:t>
      </w:r>
      <w:r w:rsidR="00982331">
        <w:t xml:space="preserve"> is made to r</w:t>
      </w:r>
      <w:r w:rsidR="00115AB3">
        <w:t>equest a variation to extend a</w:t>
      </w:r>
      <w:r w:rsidR="00982331">
        <w:t xml:space="preserve"> commitment period to 30 June 2030, the Minister must approve the application</w:t>
      </w:r>
      <w:r w:rsidR="00115AB3">
        <w:t xml:space="preserve"> and extend the period to 30 June 2030</w:t>
      </w:r>
      <w:r w:rsidR="00982331">
        <w:t xml:space="preserve"> unless satisfied that the requirements of subsection 40(2) of the Act (other than paragraph 8(2)(e) of this instrument) are no longer met.</w:t>
      </w:r>
    </w:p>
    <w:p w:rsidR="00372DF1" w:rsidRPr="005949C0" w:rsidRDefault="00115AB3" w:rsidP="000C10EF">
      <w:pPr>
        <w:pStyle w:val="tMain"/>
      </w:pPr>
      <w:r w:rsidRPr="005949C0">
        <w:tab/>
      </w:r>
      <w:r w:rsidR="00BB6D03">
        <w:t>(4)</w:t>
      </w:r>
      <w:r w:rsidRPr="005949C0">
        <w:tab/>
      </w:r>
      <w:r>
        <w:t>If an application under subsection 41(2)</w:t>
      </w:r>
      <w:r w:rsidR="002B49F4">
        <w:t xml:space="preserve"> of the Act</w:t>
      </w:r>
      <w:r>
        <w:t xml:space="preserve"> is made to request a variation to terminate or shorten a commitment period to a date specified in the application, the Minister must approve the application and make the termination or variation if:</w:t>
      </w:r>
    </w:p>
    <w:p w:rsidR="00F77994" w:rsidRPr="005949C0" w:rsidRDefault="00372DF1" w:rsidP="00372DF1">
      <w:pPr>
        <w:pStyle w:val="tPara"/>
      </w:pPr>
      <w:r w:rsidRPr="005949C0">
        <w:tab/>
      </w:r>
      <w:r w:rsidR="00BB6D03">
        <w:t>(a)</w:t>
      </w:r>
      <w:r w:rsidRPr="005949C0">
        <w:tab/>
        <w:t>the Minister is satisfied</w:t>
      </w:r>
      <w:r w:rsidR="00F77994" w:rsidRPr="005949C0">
        <w:t>:</w:t>
      </w:r>
      <w:r w:rsidR="007F3D55" w:rsidRPr="005949C0">
        <w:t xml:space="preserve"> </w:t>
      </w:r>
    </w:p>
    <w:p w:rsidR="00F77994" w:rsidRPr="005949C0" w:rsidRDefault="00F77994" w:rsidP="00F77994">
      <w:pPr>
        <w:pStyle w:val="tSubpara"/>
      </w:pPr>
      <w:r w:rsidRPr="005949C0">
        <w:tab/>
      </w:r>
      <w:r w:rsidR="00BB6D03">
        <w:t>(i)</w:t>
      </w:r>
      <w:r w:rsidRPr="005949C0">
        <w:tab/>
        <w:t xml:space="preserve">information required to be reported by section </w:t>
      </w:r>
      <w:r w:rsidR="00BB6D03">
        <w:t>17</w:t>
      </w:r>
      <w:r w:rsidRPr="005949C0">
        <w:t xml:space="preserve"> has been provided to the Minister; and</w:t>
      </w:r>
    </w:p>
    <w:p w:rsidR="00372DF1" w:rsidRPr="005949C0" w:rsidRDefault="00F77994" w:rsidP="00F77994">
      <w:pPr>
        <w:pStyle w:val="tSubpara"/>
      </w:pPr>
      <w:r w:rsidRPr="005949C0">
        <w:lastRenderedPageBreak/>
        <w:tab/>
      </w:r>
      <w:r w:rsidR="00BB6D03">
        <w:t>(ii)</w:t>
      </w:r>
      <w:r w:rsidRPr="005949C0">
        <w:tab/>
      </w:r>
      <w:r w:rsidR="007F3D55" w:rsidRPr="005949C0">
        <w:t xml:space="preserve">the circumstances for when repayment would not be required in section </w:t>
      </w:r>
      <w:r w:rsidR="00BB6D03">
        <w:t>20</w:t>
      </w:r>
      <w:r w:rsidR="007F3D55" w:rsidRPr="005949C0">
        <w:t xml:space="preserve"> </w:t>
      </w:r>
      <w:r w:rsidR="002323DB" w:rsidRPr="005949C0">
        <w:t xml:space="preserve">would be met if the refinery closed on the last day of the varied </w:t>
      </w:r>
      <w:r w:rsidR="00ED3ACF" w:rsidRPr="005949C0">
        <w:t xml:space="preserve">or terminated </w:t>
      </w:r>
      <w:r w:rsidR="002323DB" w:rsidRPr="005949C0">
        <w:t>commitment period</w:t>
      </w:r>
      <w:r w:rsidR="00372DF1" w:rsidRPr="005949C0">
        <w:t>; or</w:t>
      </w:r>
    </w:p>
    <w:p w:rsidR="00372DF1" w:rsidRPr="005949C0" w:rsidRDefault="00372DF1" w:rsidP="00372DF1">
      <w:pPr>
        <w:pStyle w:val="tPara"/>
      </w:pPr>
      <w:r w:rsidRPr="005949C0">
        <w:tab/>
      </w:r>
      <w:r w:rsidR="00BB6D03">
        <w:t>(b)</w:t>
      </w:r>
      <w:r w:rsidRPr="005949C0">
        <w:tab/>
        <w:t xml:space="preserve">all payments made under Part 3 of the Act in relation to the </w:t>
      </w:r>
      <w:r w:rsidR="00115AB3">
        <w:t xml:space="preserve">committed </w:t>
      </w:r>
      <w:r w:rsidRPr="005949C0">
        <w:t>refinery</w:t>
      </w:r>
      <w:r w:rsidR="00F821B6" w:rsidRPr="005949C0">
        <w:t xml:space="preserve"> that would be repayable under section </w:t>
      </w:r>
      <w:r w:rsidR="00BB6D03">
        <w:t>21</w:t>
      </w:r>
      <w:r w:rsidR="00C4661A" w:rsidRPr="005949C0">
        <w:t xml:space="preserve"> </w:t>
      </w:r>
      <w:r w:rsidRPr="005949C0">
        <w:t>have been repaid to the Commonwealth</w:t>
      </w:r>
      <w:r w:rsidR="00C4661A" w:rsidRPr="005949C0">
        <w:t xml:space="preserve"> (assuming the repayment day was the start of the 120 day period for that section</w:t>
      </w:r>
      <w:r w:rsidR="00926D9B" w:rsidRPr="005949C0">
        <w:t xml:space="preserve"> and the period was not varied under this section</w:t>
      </w:r>
      <w:r w:rsidR="00C4661A" w:rsidRPr="005949C0">
        <w:t>)</w:t>
      </w:r>
      <w:r w:rsidR="006D1934">
        <w:t xml:space="preserve"> and no further fuel security services payments would be made </w:t>
      </w:r>
      <w:r w:rsidR="007B363E">
        <w:t xml:space="preserve">to the applicant </w:t>
      </w:r>
      <w:r w:rsidR="006D1934">
        <w:t>after the variation or termination</w:t>
      </w:r>
      <w:r w:rsidRPr="005949C0">
        <w:t>; or</w:t>
      </w:r>
    </w:p>
    <w:p w:rsidR="00372DF1" w:rsidRPr="005949C0" w:rsidRDefault="00372DF1" w:rsidP="00372DF1">
      <w:pPr>
        <w:pStyle w:val="tPara"/>
      </w:pPr>
      <w:r w:rsidRPr="005949C0">
        <w:tab/>
      </w:r>
      <w:r w:rsidR="00BB6D03">
        <w:t>(c)</w:t>
      </w:r>
      <w:r w:rsidRPr="005949C0">
        <w:tab/>
        <w:t xml:space="preserve">the </w:t>
      </w:r>
      <w:r w:rsidR="001E0958" w:rsidRPr="005949C0">
        <w:t xml:space="preserve">Minister is satisfied that the </w:t>
      </w:r>
      <w:r w:rsidRPr="005949C0">
        <w:t>Act</w:t>
      </w:r>
      <w:r w:rsidR="00C4661A" w:rsidRPr="005949C0">
        <w:t>, this instrument</w:t>
      </w:r>
      <w:r w:rsidRPr="005949C0">
        <w:t xml:space="preserve"> or guidelines made under subsection 4</w:t>
      </w:r>
      <w:r w:rsidR="00C4661A" w:rsidRPr="005949C0">
        <w:t>3</w:t>
      </w:r>
      <w:r w:rsidRPr="005949C0">
        <w:t xml:space="preserve">(4) </w:t>
      </w:r>
      <w:r w:rsidR="000B3F0C" w:rsidRPr="005949C0">
        <w:t>of the Act have been</w:t>
      </w:r>
      <w:r w:rsidRPr="005949C0">
        <w:t xml:space="preserve"> amended to materially reduce </w:t>
      </w:r>
      <w:r w:rsidR="001E0958" w:rsidRPr="005949C0">
        <w:t>the paymen</w:t>
      </w:r>
      <w:r w:rsidRPr="005949C0">
        <w:t xml:space="preserve">ts under Part 3 of the Act </w:t>
      </w:r>
      <w:r w:rsidR="001E0958" w:rsidRPr="005949C0">
        <w:t xml:space="preserve">in respect of the </w:t>
      </w:r>
      <w:r w:rsidR="00115AB3">
        <w:t xml:space="preserve">committed </w:t>
      </w:r>
      <w:r w:rsidR="001E0958" w:rsidRPr="005949C0">
        <w:t>refinery</w:t>
      </w:r>
      <w:r w:rsidR="005E6942" w:rsidRPr="005949C0">
        <w:t xml:space="preserve"> </w:t>
      </w:r>
      <w:r w:rsidR="00115AB3">
        <w:t>in the 18</w:t>
      </w:r>
      <w:r w:rsidR="001E0958" w:rsidRPr="005949C0">
        <w:t>0 days befo</w:t>
      </w:r>
      <w:r w:rsidR="00C4661A" w:rsidRPr="005949C0">
        <w:t>re a</w:t>
      </w:r>
      <w:r w:rsidR="00FC06EF" w:rsidRPr="005949C0">
        <w:t>n application</w:t>
      </w:r>
      <w:r w:rsidR="00C4661A" w:rsidRPr="005949C0">
        <w:t xml:space="preserve"> under subsection 41(2</w:t>
      </w:r>
      <w:r w:rsidR="001E0958" w:rsidRPr="005949C0">
        <w:t xml:space="preserve">) of the Act to terminate or vary the period. </w:t>
      </w:r>
    </w:p>
    <w:p w:rsidR="00A86F09" w:rsidRPr="005949C0" w:rsidRDefault="00A86F09" w:rsidP="00A86F09">
      <w:pPr>
        <w:pStyle w:val="tMain"/>
      </w:pPr>
      <w:r w:rsidRPr="005949C0">
        <w:tab/>
      </w:r>
      <w:r w:rsidR="00BB6D03">
        <w:t>(5)</w:t>
      </w:r>
      <w:r w:rsidRPr="005949C0">
        <w:tab/>
        <w:t>The end date of a commitment period varied</w:t>
      </w:r>
      <w:r w:rsidR="00852773" w:rsidRPr="005949C0">
        <w:t xml:space="preserve"> or terminated</w:t>
      </w:r>
      <w:r w:rsidRPr="005949C0">
        <w:t xml:space="preserve"> in accordance with subsection 10(3) may be before the date of the application </w:t>
      </w:r>
      <w:r w:rsidR="00115AB3">
        <w:t>under subsection 41</w:t>
      </w:r>
      <w:r w:rsidRPr="005949C0">
        <w:t>(2) of the Act</w:t>
      </w:r>
      <w:r w:rsidR="004A05F0" w:rsidRPr="004A05F0">
        <w:t xml:space="preserve"> </w:t>
      </w:r>
      <w:r w:rsidR="004A05F0">
        <w:t>if requested in that application</w:t>
      </w:r>
      <w:r w:rsidRPr="005949C0">
        <w:t>.</w:t>
      </w:r>
    </w:p>
    <w:p w:rsidR="00DD6301" w:rsidRPr="005949C0" w:rsidRDefault="00BB6D03" w:rsidP="00DD6301">
      <w:pPr>
        <w:pStyle w:val="h2Part"/>
      </w:pPr>
      <w:bookmarkStart w:id="25" w:name="_Toc76720060"/>
      <w:r>
        <w:rPr>
          <w:rStyle w:val="CharPartNo"/>
        </w:rPr>
        <w:t>Part 5</w:t>
      </w:r>
      <w:r w:rsidR="009A2840" w:rsidRPr="005949C0">
        <w:rPr>
          <w:rStyle w:val="CharPartNo"/>
        </w:rPr>
        <w:t>—</w:t>
      </w:r>
      <w:r w:rsidR="009A2840" w:rsidRPr="005949C0">
        <w:rPr>
          <w:rStyle w:val="CharPartText"/>
        </w:rPr>
        <w:t>Payment of fuel security services payment</w:t>
      </w:r>
      <w:bookmarkEnd w:id="25"/>
      <w:r w:rsidR="009A2840" w:rsidRPr="005949C0">
        <w:rPr>
          <w:rStyle w:val="CharDivNo"/>
        </w:rPr>
        <w:t xml:space="preserve"> </w:t>
      </w:r>
      <w:r w:rsidR="009A2840" w:rsidRPr="005949C0">
        <w:rPr>
          <w:rStyle w:val="CharDivText"/>
        </w:rPr>
        <w:t xml:space="preserve"> </w:t>
      </w:r>
    </w:p>
    <w:p w:rsidR="00DD6301" w:rsidRPr="005949C0" w:rsidRDefault="00BB6D03" w:rsidP="00DD6301">
      <w:pPr>
        <w:pStyle w:val="h5Section"/>
      </w:pPr>
      <w:bookmarkStart w:id="26" w:name="_Toc76720061"/>
      <w:r>
        <w:t>11</w:t>
      </w:r>
      <w:r w:rsidR="00DD6301" w:rsidRPr="005949C0">
        <w:t xml:space="preserve">  Circumstances when fuel security services payment is not payable</w:t>
      </w:r>
      <w:bookmarkEnd w:id="26"/>
    </w:p>
    <w:p w:rsidR="004C2F1E" w:rsidRDefault="00DD6301" w:rsidP="00DD6301">
      <w:pPr>
        <w:pStyle w:val="tMain"/>
      </w:pPr>
      <w:r w:rsidRPr="005949C0">
        <w:tab/>
      </w:r>
      <w:r w:rsidR="00BB6D03">
        <w:t>(1)</w:t>
      </w:r>
      <w:r w:rsidRPr="005949C0">
        <w:tab/>
        <w:t>For paragraph 42(2)(c) of the Act, fuel security services pay</w:t>
      </w:r>
      <w:r w:rsidR="0016259E">
        <w:t>ment is</w:t>
      </w:r>
      <w:r w:rsidRPr="005949C0">
        <w:t xml:space="preserve"> not payable</w:t>
      </w:r>
      <w:r w:rsidR="004A05F0">
        <w:t xml:space="preserve"> to a person for a quarter</w:t>
      </w:r>
      <w:r w:rsidR="004C2F1E">
        <w:t xml:space="preserve"> in accordance with subsection (2) or (3).</w:t>
      </w:r>
    </w:p>
    <w:p w:rsidR="00DD6301" w:rsidRPr="005949C0" w:rsidRDefault="00DD6301" w:rsidP="004C2F1E">
      <w:pPr>
        <w:pStyle w:val="tMain"/>
      </w:pPr>
      <w:r w:rsidRPr="005949C0">
        <w:t xml:space="preserve"> </w:t>
      </w:r>
      <w:r w:rsidR="004C2F1E" w:rsidRPr="005949C0">
        <w:tab/>
      </w:r>
      <w:r w:rsidR="00BB6D03">
        <w:t>(2)</w:t>
      </w:r>
      <w:r w:rsidR="004C2F1E" w:rsidRPr="005949C0">
        <w:tab/>
      </w:r>
      <w:r w:rsidR="004C2F1E">
        <w:t>F</w:t>
      </w:r>
      <w:r w:rsidR="004C2F1E" w:rsidRPr="005949C0">
        <w:t>uel security services pay</w:t>
      </w:r>
      <w:r w:rsidR="004C2F1E">
        <w:t>ment is</w:t>
      </w:r>
      <w:r w:rsidR="004C2F1E" w:rsidRPr="005949C0">
        <w:t xml:space="preserve"> not payable</w:t>
      </w:r>
      <w:r w:rsidR="004C2F1E">
        <w:t xml:space="preserve"> if</w:t>
      </w:r>
      <w:r w:rsidR="008A51B0">
        <w:t>:</w:t>
      </w:r>
    </w:p>
    <w:p w:rsidR="00DD6301" w:rsidRDefault="00DD6301" w:rsidP="00DD6301">
      <w:pPr>
        <w:pStyle w:val="tPara"/>
      </w:pPr>
      <w:r w:rsidRPr="005949C0">
        <w:tab/>
      </w:r>
      <w:r w:rsidR="00BB6D03">
        <w:t>(a)</w:t>
      </w:r>
      <w:r w:rsidR="004C2F1E">
        <w:tab/>
      </w:r>
      <w:r w:rsidR="008E1B23">
        <w:t>refining of fuel</w:t>
      </w:r>
      <w:r w:rsidR="004A05F0">
        <w:t xml:space="preserve"> by the committed refinery</w:t>
      </w:r>
      <w:r w:rsidR="004C2F1E">
        <w:t xml:space="preserve"> during the quarter</w:t>
      </w:r>
      <w:r w:rsidRPr="005949C0">
        <w:t xml:space="preserve"> no longer meets the requirements of </w:t>
      </w:r>
      <w:r w:rsidR="000C10EF">
        <w:t>sub</w:t>
      </w:r>
      <w:r w:rsidRPr="005949C0">
        <w:t xml:space="preserve">section </w:t>
      </w:r>
      <w:r w:rsidR="00BB6D03">
        <w:t>7</w:t>
      </w:r>
      <w:r w:rsidR="000C10EF">
        <w:t>(2)</w:t>
      </w:r>
      <w:r w:rsidR="004C2F1E">
        <w:t>; and</w:t>
      </w:r>
    </w:p>
    <w:p w:rsidR="004C2F1E" w:rsidRDefault="004C2F1E" w:rsidP="004C2F1E">
      <w:pPr>
        <w:pStyle w:val="tPara"/>
      </w:pPr>
      <w:r>
        <w:tab/>
      </w:r>
      <w:r w:rsidR="00BB6D03">
        <w:t>(b)</w:t>
      </w:r>
      <w:r>
        <w:tab/>
        <w:t xml:space="preserve">any breach of the requirements of subsection 7(2) does not relate to a temporary cessation of the production of one or more FSSP fuels. </w:t>
      </w:r>
    </w:p>
    <w:p w:rsidR="004C2F1E" w:rsidRDefault="004C2F1E" w:rsidP="009163ED">
      <w:pPr>
        <w:pStyle w:val="tMain"/>
      </w:pPr>
      <w:r w:rsidRPr="005949C0">
        <w:tab/>
      </w:r>
      <w:r w:rsidR="00BB6D03">
        <w:t>(3)</w:t>
      </w:r>
      <w:r w:rsidRPr="005949C0">
        <w:tab/>
      </w:r>
      <w:r>
        <w:t>F</w:t>
      </w:r>
      <w:r w:rsidRPr="005949C0">
        <w:t>uel security services pay</w:t>
      </w:r>
      <w:r>
        <w:t>ment is</w:t>
      </w:r>
      <w:r w:rsidRPr="005949C0">
        <w:t xml:space="preserve"> not payable</w:t>
      </w:r>
      <w:r>
        <w:t xml:space="preserve"> if</w:t>
      </w:r>
      <w:r w:rsidR="009163ED">
        <w:t>:</w:t>
      </w:r>
    </w:p>
    <w:p w:rsidR="004C2F1E" w:rsidRDefault="009163ED" w:rsidP="009163ED">
      <w:pPr>
        <w:pStyle w:val="tPara"/>
      </w:pPr>
      <w:r>
        <w:tab/>
      </w:r>
      <w:r w:rsidR="00BB6D03">
        <w:t>(a)</w:t>
      </w:r>
      <w:r>
        <w:tab/>
      </w:r>
      <w:r w:rsidR="004C2F1E">
        <w:t>if the person providing the security for subsection 6(3) previously h</w:t>
      </w:r>
      <w:r>
        <w:t>ad an investment grade credit</w:t>
      </w:r>
      <w:r w:rsidR="004C2F1E">
        <w:t xml:space="preserve"> rating—the rating is no longer an investment grade credit rating; </w:t>
      </w:r>
      <w:r>
        <w:t>and</w:t>
      </w:r>
    </w:p>
    <w:p w:rsidR="004C2F1E" w:rsidRDefault="009163ED" w:rsidP="009163ED">
      <w:pPr>
        <w:pStyle w:val="tPara"/>
      </w:pPr>
      <w:r>
        <w:tab/>
      </w:r>
      <w:r w:rsidR="00BB6D03">
        <w:t>(b)</w:t>
      </w:r>
      <w:r>
        <w:tab/>
      </w:r>
      <w:r w:rsidR="004C2F1E">
        <w:t>the person providing the security</w:t>
      </w:r>
      <w:r w:rsidR="00164F9B" w:rsidRPr="00164F9B">
        <w:t xml:space="preserve"> </w:t>
      </w:r>
      <w:r w:rsidR="00164F9B">
        <w:t>for subsection 6(3)</w:t>
      </w:r>
      <w:r w:rsidR="004C2F1E">
        <w:t xml:space="preserve"> is reasonably likely to be unable to meet the repayment obligations guaranteed by the security; and</w:t>
      </w:r>
    </w:p>
    <w:p w:rsidR="004C2F1E" w:rsidRPr="005949C0" w:rsidRDefault="004C2F1E" w:rsidP="009163ED">
      <w:pPr>
        <w:pStyle w:val="tPara"/>
      </w:pPr>
      <w:r>
        <w:tab/>
      </w:r>
      <w:r w:rsidR="00BB6D03">
        <w:t>(c)</w:t>
      </w:r>
      <w:r>
        <w:tab/>
        <w:t xml:space="preserve">an appropriate replacement security has not been provided to the Secretary. </w:t>
      </w:r>
    </w:p>
    <w:p w:rsidR="00C10809" w:rsidRPr="005949C0" w:rsidRDefault="00DD6301" w:rsidP="00C10809">
      <w:pPr>
        <w:pStyle w:val="tMain"/>
      </w:pPr>
      <w:r w:rsidRPr="005949C0">
        <w:tab/>
      </w:r>
      <w:r w:rsidR="00BB6D03">
        <w:t>(4)</w:t>
      </w:r>
      <w:r w:rsidR="004C2F1E">
        <w:tab/>
        <w:t>However, if</w:t>
      </w:r>
      <w:r w:rsidR="009163ED">
        <w:t xml:space="preserve"> subsection (3) applied to a quarter and an appropriate replacement security is subsequently provided to the Secretary, fuel security services payments are then payable</w:t>
      </w:r>
      <w:r w:rsidR="00164F9B">
        <w:t xml:space="preserve"> for the quarters to which subsection (3) applied</w:t>
      </w:r>
      <w:r w:rsidR="009163ED">
        <w:t xml:space="preserve">. </w:t>
      </w:r>
    </w:p>
    <w:p w:rsidR="00C10809" w:rsidRDefault="00C10809" w:rsidP="00C10809">
      <w:pPr>
        <w:pStyle w:val="tMain"/>
      </w:pPr>
      <w:r w:rsidRPr="005949C0">
        <w:tab/>
      </w:r>
      <w:r w:rsidR="00BB6D03">
        <w:t>(5)</w:t>
      </w:r>
      <w:r>
        <w:tab/>
        <w:t xml:space="preserve">For paragraph (3)(c) and subsection (4), an </w:t>
      </w:r>
      <w:r w:rsidRPr="0059783B">
        <w:rPr>
          <w:b/>
          <w:i/>
        </w:rPr>
        <w:t>appropriate replacement security</w:t>
      </w:r>
      <w:r>
        <w:t xml:space="preserve"> includes:</w:t>
      </w:r>
    </w:p>
    <w:p w:rsidR="00C10809" w:rsidRDefault="00C10809" w:rsidP="00C10809">
      <w:pPr>
        <w:pStyle w:val="tPara"/>
      </w:pPr>
      <w:r>
        <w:tab/>
      </w:r>
      <w:r w:rsidR="00BB6D03">
        <w:t>(a)</w:t>
      </w:r>
      <w:r>
        <w:tab/>
        <w:t xml:space="preserve">a bank guarantee covered by paragraph </w:t>
      </w:r>
      <w:r w:rsidR="0059783B">
        <w:t>6(3)(b); or</w:t>
      </w:r>
    </w:p>
    <w:p w:rsidR="00C10809" w:rsidRDefault="0059783B" w:rsidP="004C496A">
      <w:pPr>
        <w:pStyle w:val="tPara"/>
      </w:pPr>
      <w:r>
        <w:tab/>
      </w:r>
      <w:r w:rsidR="00BB6D03">
        <w:t>(b)</w:t>
      </w:r>
      <w:r w:rsidR="00D34C75">
        <w:tab/>
        <w:t>a guarantee provided in accordance with</w:t>
      </w:r>
      <w:r w:rsidR="004C496A">
        <w:t xml:space="preserve"> subparagraph 6(3)(a)(iii).</w:t>
      </w:r>
    </w:p>
    <w:p w:rsidR="0016259E" w:rsidRPr="005949C0" w:rsidRDefault="0016259E" w:rsidP="0016259E">
      <w:pPr>
        <w:pStyle w:val="tMain"/>
      </w:pPr>
      <w:r w:rsidRPr="005949C0">
        <w:tab/>
      </w:r>
      <w:r w:rsidR="00BB6D03">
        <w:t>(6)</w:t>
      </w:r>
      <w:r w:rsidRPr="005949C0">
        <w:tab/>
      </w:r>
      <w:r>
        <w:t xml:space="preserve">A decision that fuel security services payment is not payable to a person for a quarter because of this section or subsection 42(2) of the Act is taken to be a reviewable decision under Division 2 of Part 5 of the Act, with the Secretary being the responsible person for that decision. </w:t>
      </w:r>
    </w:p>
    <w:p w:rsidR="00EC5385" w:rsidRPr="005949C0" w:rsidRDefault="00BB6D03" w:rsidP="00EC5385">
      <w:pPr>
        <w:pStyle w:val="h5Section"/>
      </w:pPr>
      <w:bookmarkStart w:id="27" w:name="_Toc76720062"/>
      <w:r>
        <w:t>12</w:t>
      </w:r>
      <w:r w:rsidR="00EC5385" w:rsidRPr="005949C0">
        <w:t xml:space="preserve">  Rate of fuel security services payment</w:t>
      </w:r>
      <w:bookmarkEnd w:id="27"/>
    </w:p>
    <w:p w:rsidR="00EC5385" w:rsidRPr="005949C0" w:rsidRDefault="00EC5385" w:rsidP="00EC5385">
      <w:pPr>
        <w:pStyle w:val="tMain"/>
      </w:pPr>
      <w:r w:rsidRPr="005949C0">
        <w:tab/>
      </w:r>
      <w:r w:rsidR="00BB6D03">
        <w:t>(1)</w:t>
      </w:r>
      <w:r w:rsidRPr="005949C0">
        <w:tab/>
        <w:t>For subsection 43(1) of the Act, the number of cents per litre for</w:t>
      </w:r>
      <w:r w:rsidR="003B2DC6" w:rsidRPr="005949C0">
        <w:t xml:space="preserve"> each FSSP fuel is</w:t>
      </w:r>
      <w:r w:rsidRPr="005949C0">
        <w:t>:</w:t>
      </w:r>
    </w:p>
    <w:p w:rsidR="00EC5385" w:rsidRPr="005949C0" w:rsidRDefault="00EC5385" w:rsidP="00EC5385">
      <w:pPr>
        <w:pStyle w:val="tPara"/>
      </w:pPr>
      <w:r w:rsidRPr="005949C0">
        <w:lastRenderedPageBreak/>
        <w:tab/>
      </w:r>
      <w:r w:rsidR="00BB6D03">
        <w:t>(a)</w:t>
      </w:r>
      <w:r w:rsidRPr="005949C0">
        <w:tab/>
      </w:r>
      <w:r w:rsidR="002150E5" w:rsidRPr="005949C0">
        <w:t xml:space="preserve">if </w:t>
      </w:r>
      <w:r w:rsidRPr="005949C0">
        <w:t xml:space="preserve">the </w:t>
      </w:r>
      <w:r w:rsidR="003B2DC6" w:rsidRPr="005949C0">
        <w:t>rate (</w:t>
      </w:r>
      <w:r w:rsidR="003B2DC6" w:rsidRPr="005949C0">
        <w:rPr>
          <w:b/>
          <w:i/>
        </w:rPr>
        <w:t>R</w:t>
      </w:r>
      <w:r w:rsidR="003B2DC6" w:rsidRPr="005949C0">
        <w:t>)</w:t>
      </w:r>
      <w:r w:rsidRPr="005949C0">
        <w:t xml:space="preserve"> worked out under subsection (2)</w:t>
      </w:r>
      <w:r w:rsidR="003B2DC6" w:rsidRPr="005949C0">
        <w:t xml:space="preserve"> is equal to or greater than 1.8</w:t>
      </w:r>
      <w:r w:rsidR="002150E5" w:rsidRPr="005949C0">
        <w:t>—</w:t>
      </w:r>
      <w:r w:rsidR="003B2DC6" w:rsidRPr="005949C0">
        <w:t>1.8 cpl</w:t>
      </w:r>
      <w:r w:rsidRPr="005949C0">
        <w:t>; and</w:t>
      </w:r>
    </w:p>
    <w:p w:rsidR="002150E5" w:rsidRPr="005949C0" w:rsidRDefault="002150E5" w:rsidP="002150E5">
      <w:pPr>
        <w:pStyle w:val="tPara"/>
      </w:pPr>
      <w:r w:rsidRPr="005949C0">
        <w:tab/>
      </w:r>
      <w:r w:rsidR="00BB6D03">
        <w:t>(b)</w:t>
      </w:r>
      <w:r w:rsidRPr="005949C0">
        <w:tab/>
        <w:t xml:space="preserve">if the </w:t>
      </w:r>
      <w:r w:rsidR="003B2DC6" w:rsidRPr="005949C0">
        <w:t>rate</w:t>
      </w:r>
      <w:r w:rsidR="002B49F4">
        <w:t xml:space="preserve"> </w:t>
      </w:r>
      <w:r w:rsidR="002B49F4" w:rsidRPr="005949C0">
        <w:t>(</w:t>
      </w:r>
      <w:r w:rsidR="002B49F4" w:rsidRPr="005949C0">
        <w:rPr>
          <w:b/>
          <w:i/>
        </w:rPr>
        <w:t>R</w:t>
      </w:r>
      <w:r w:rsidR="002B49F4" w:rsidRPr="005949C0">
        <w:t xml:space="preserve">) </w:t>
      </w:r>
      <w:r w:rsidRPr="005949C0">
        <w:t xml:space="preserve">worked out under subsection (2) is </w:t>
      </w:r>
      <w:r w:rsidR="003B2DC6" w:rsidRPr="005949C0">
        <w:t>between</w:t>
      </w:r>
      <w:r w:rsidR="00CD18AA" w:rsidRPr="005949C0">
        <w:t xml:space="preserve"> 0</w:t>
      </w:r>
      <w:r w:rsidR="003B2DC6" w:rsidRPr="005949C0">
        <w:t xml:space="preserve"> and 1.8 cpl—that amount</w:t>
      </w:r>
      <w:r w:rsidRPr="005949C0">
        <w:t>; and</w:t>
      </w:r>
    </w:p>
    <w:p w:rsidR="00EC5385" w:rsidRPr="005949C0" w:rsidRDefault="00EC5385" w:rsidP="00057DAB">
      <w:pPr>
        <w:pStyle w:val="tPara"/>
      </w:pPr>
      <w:r w:rsidRPr="005949C0">
        <w:tab/>
      </w:r>
      <w:r w:rsidR="00BB6D03">
        <w:t>(c)</w:t>
      </w:r>
      <w:r w:rsidR="003B2DC6" w:rsidRPr="005949C0">
        <w:tab/>
        <w:t xml:space="preserve">if the rate </w:t>
      </w:r>
      <w:r w:rsidR="002B49F4" w:rsidRPr="005949C0">
        <w:t>(</w:t>
      </w:r>
      <w:r w:rsidR="002B49F4" w:rsidRPr="005949C0">
        <w:rPr>
          <w:b/>
          <w:i/>
        </w:rPr>
        <w:t>R</w:t>
      </w:r>
      <w:r w:rsidR="002B49F4" w:rsidRPr="005949C0">
        <w:t xml:space="preserve">) </w:t>
      </w:r>
      <w:r w:rsidR="003B2DC6" w:rsidRPr="005949C0">
        <w:t>worked out under subsection (2) is</w:t>
      </w:r>
      <w:r w:rsidR="00057DAB" w:rsidRPr="005949C0">
        <w:t xml:space="preserve"> equal to or less than 0—0 cpl.</w:t>
      </w:r>
    </w:p>
    <w:p w:rsidR="002150E5" w:rsidRPr="005949C0" w:rsidRDefault="00EC5385" w:rsidP="002F5F38">
      <w:pPr>
        <w:pStyle w:val="tMain"/>
      </w:pPr>
      <w:r w:rsidRPr="005949C0">
        <w:tab/>
      </w:r>
      <w:r w:rsidR="00BB6D03">
        <w:t>(2)</w:t>
      </w:r>
      <w:r w:rsidR="003B2DC6" w:rsidRPr="005949C0">
        <w:tab/>
        <w:t>For subsection (1)</w:t>
      </w:r>
      <w:r w:rsidRPr="005949C0">
        <w:t xml:space="preserve">, the </w:t>
      </w:r>
      <w:r w:rsidR="003B2DC6" w:rsidRPr="005949C0">
        <w:t>rate</w:t>
      </w:r>
      <w:r w:rsidRPr="005949C0">
        <w:t xml:space="preserve"> is given by the following </w:t>
      </w:r>
      <w:r w:rsidR="002150E5" w:rsidRPr="005949C0">
        <w:t>formula</w:t>
      </w:r>
      <w:r w:rsidRPr="005949C0">
        <w:t>:</w:t>
      </w:r>
    </w:p>
    <w:p w:rsidR="002150E5" w:rsidRPr="005949C0" w:rsidRDefault="00CD18AA" w:rsidP="002150E5">
      <w:pPr>
        <w:pStyle w:val="tDefn"/>
        <w:rPr>
          <w:sz w:val="28"/>
          <w:szCs w:val="28"/>
        </w:rPr>
      </w:pPr>
      <m:oMathPara>
        <m:oMathParaPr>
          <m:jc m:val="left"/>
        </m:oMathParaPr>
        <m:oMath>
          <m:r>
            <m:rPr>
              <m:sty m:val="p"/>
            </m:rPr>
            <w:rPr>
              <w:rFonts w:ascii="Cambria Math" w:hAnsi="Cambria Math" w:cs="Cambria Math"/>
              <w:sz w:val="28"/>
              <w:szCs w:val="28"/>
            </w:rPr>
            <m:t xml:space="preserve">R=6.4 cpl- </m:t>
          </m:r>
          <m:f>
            <m:fPr>
              <m:ctrlPr>
                <w:rPr>
                  <w:rFonts w:ascii="Cambria Math" w:hAnsi="Cambria Math" w:cs="Cambria Math"/>
                  <w:sz w:val="28"/>
                  <w:szCs w:val="28"/>
                </w:rPr>
              </m:ctrlPr>
            </m:fPr>
            <m:num>
              <m:nary>
                <m:naryPr>
                  <m:chr m:val="∑"/>
                  <m:limLoc m:val="undOvr"/>
                  <m:supHide m:val="1"/>
                  <m:ctrlPr>
                    <w:rPr>
                      <w:rFonts w:ascii="Cambria Math" w:hAnsi="Cambria Math" w:cs="Cambria Math"/>
                      <w:sz w:val="28"/>
                      <w:szCs w:val="28"/>
                    </w:rPr>
                  </m:ctrlPr>
                </m:naryPr>
                <m:sub>
                  <m:r>
                    <m:rPr>
                      <m:sty m:val="p"/>
                    </m:rPr>
                    <w:rPr>
                      <w:rFonts w:ascii="Cambria Math" w:hAnsi="Cambria Math" w:cs="Cambria Math"/>
                      <w:sz w:val="28"/>
                      <w:szCs w:val="28"/>
                    </w:rPr>
                    <m:t>t</m:t>
                  </m:r>
                </m:sub>
                <m:sup/>
                <m:e>
                  <m:sSub>
                    <m:sSubPr>
                      <m:ctrlPr>
                        <w:rPr>
                          <w:rFonts w:ascii="Cambria Math" w:hAnsi="Cambria Math" w:cs="Cambria Math"/>
                          <w:sz w:val="28"/>
                          <w:szCs w:val="28"/>
                        </w:rPr>
                      </m:ctrlPr>
                    </m:sSubPr>
                    <m:e>
                      <m:r>
                        <m:rPr>
                          <m:sty m:val="p"/>
                        </m:rPr>
                        <w:rPr>
                          <w:rFonts w:ascii="Cambria Math" w:hAnsi="Cambria Math" w:cs="Cambria Math"/>
                          <w:sz w:val="28"/>
                          <w:szCs w:val="28"/>
                        </w:rPr>
                        <m:t>MM</m:t>
                      </m:r>
                    </m:e>
                    <m:sub>
                      <m:r>
                        <m:rPr>
                          <m:sty m:val="p"/>
                        </m:rPr>
                        <w:rPr>
                          <w:rFonts w:ascii="Cambria Math" w:hAnsi="Cambria Math" w:cs="Cambria Math"/>
                          <w:sz w:val="28"/>
                          <w:szCs w:val="28"/>
                        </w:rPr>
                        <m:t>t</m:t>
                      </m:r>
                    </m:sub>
                  </m:sSub>
                </m:e>
              </m:nary>
            </m:num>
            <m:den>
              <m:r>
                <m:rPr>
                  <m:sty m:val="p"/>
                </m:rPr>
                <w:rPr>
                  <w:rFonts w:ascii="Cambria Math" w:hAnsi="Cambria Math" w:cs="Cambria Math"/>
                  <w:sz w:val="28"/>
                  <w:szCs w:val="28"/>
                </w:rPr>
                <m:t>3</m:t>
              </m:r>
            </m:den>
          </m:f>
        </m:oMath>
      </m:oMathPara>
    </w:p>
    <w:p w:rsidR="00511AA9" w:rsidRPr="00511AA9" w:rsidRDefault="002150E5" w:rsidP="00511AA9">
      <w:pPr>
        <w:pStyle w:val="subsection2"/>
        <w:shd w:val="clear" w:color="auto" w:fill="FFFFFF"/>
        <w:rPr>
          <w:szCs w:val="22"/>
        </w:rPr>
      </w:pPr>
      <w:r w:rsidRPr="005949C0">
        <w:rPr>
          <w:szCs w:val="22"/>
        </w:rPr>
        <w:t>where:</w:t>
      </w:r>
    </w:p>
    <w:p w:rsidR="00511AA9" w:rsidRPr="005949C0" w:rsidRDefault="00511AA9" w:rsidP="00511AA9">
      <w:pPr>
        <w:pStyle w:val="tDefn"/>
      </w:pPr>
      <w:r w:rsidRPr="005949C0">
        <w:rPr>
          <w:b/>
          <w:i/>
        </w:rPr>
        <w:t>R</w:t>
      </w:r>
      <w:r w:rsidRPr="005949C0">
        <w:rPr>
          <w:b/>
          <w:i/>
          <w:vertAlign w:val="subscript"/>
        </w:rPr>
        <w:t xml:space="preserve"> </w:t>
      </w:r>
      <w:r w:rsidRPr="005949C0">
        <w:t>is the rate of the fuel security services payment in cpl</w:t>
      </w:r>
      <w:r w:rsidR="0057498E">
        <w:t xml:space="preserve"> for a quarter</w:t>
      </w:r>
      <w:r w:rsidR="00714247">
        <w:t>,</w:t>
      </w:r>
      <w:r w:rsidRPr="005949C0">
        <w:t xml:space="preserve"> rounded to two decimal places.</w:t>
      </w:r>
    </w:p>
    <w:p w:rsidR="00511AA9" w:rsidRDefault="00511AA9" w:rsidP="00511AA9">
      <w:pPr>
        <w:pStyle w:val="tDefn"/>
      </w:pPr>
      <w:r>
        <w:rPr>
          <w:b/>
          <w:i/>
        </w:rPr>
        <w:t>MM</w:t>
      </w:r>
      <w:r w:rsidR="00475C7C">
        <w:rPr>
          <w:b/>
          <w:i/>
          <w:vertAlign w:val="subscript"/>
        </w:rPr>
        <w:t>t</w:t>
      </w:r>
      <w:r w:rsidRPr="005949C0">
        <w:t xml:space="preserve"> is the </w:t>
      </w:r>
      <w:r>
        <w:t>margin marker for each month (</w:t>
      </w:r>
      <w:r w:rsidRPr="00511AA9">
        <w:rPr>
          <w:b/>
          <w:i/>
        </w:rPr>
        <w:t>t</w:t>
      </w:r>
      <w:r>
        <w:t>) in the quarter</w:t>
      </w:r>
      <w:r w:rsidR="0057498E">
        <w:t>, determined under subsection (3)</w:t>
      </w:r>
      <w:r>
        <w:t>.</w:t>
      </w:r>
    </w:p>
    <w:p w:rsidR="00511AA9" w:rsidRPr="005949C0" w:rsidRDefault="00511AA9" w:rsidP="00511AA9">
      <w:pPr>
        <w:pStyle w:val="tMain"/>
      </w:pPr>
      <w:r w:rsidRPr="005949C0">
        <w:tab/>
      </w:r>
      <w:r w:rsidR="00BB6D03">
        <w:t>(3)</w:t>
      </w:r>
      <w:r w:rsidR="008A51B0">
        <w:tab/>
        <w:t>For subsection (2</w:t>
      </w:r>
      <w:r w:rsidRPr="005949C0">
        <w:t>)</w:t>
      </w:r>
      <w:r>
        <w:t xml:space="preserve">, </w:t>
      </w:r>
      <w:r w:rsidRPr="00511AA9">
        <w:rPr>
          <w:b/>
          <w:i/>
        </w:rPr>
        <w:t>MM</w:t>
      </w:r>
      <w:r w:rsidRPr="005949C0">
        <w:t xml:space="preserve"> </w:t>
      </w:r>
      <w:r w:rsidR="001B4954">
        <w:t xml:space="preserve">for a month </w:t>
      </w:r>
      <w:r w:rsidRPr="005949C0">
        <w:t>is given by the following formula:</w:t>
      </w:r>
    </w:p>
    <w:p w:rsidR="00511AA9" w:rsidRPr="005949C0" w:rsidRDefault="00511AA9" w:rsidP="00511AA9">
      <w:pPr>
        <w:pStyle w:val="tDefn"/>
        <w:rPr>
          <w:sz w:val="28"/>
          <w:szCs w:val="28"/>
        </w:rPr>
      </w:pPr>
      <m:oMathPara>
        <m:oMathParaPr>
          <m:jc m:val="left"/>
        </m:oMathParaPr>
        <m:oMath>
          <m:r>
            <m:rPr>
              <m:sty m:val="p"/>
            </m:rPr>
            <w:rPr>
              <w:rFonts w:ascii="Cambria Math" w:hAnsi="Cambria Math" w:cs="Cambria Math"/>
              <w:sz w:val="28"/>
              <w:szCs w:val="28"/>
            </w:rPr>
            <m:t>MM=</m:t>
          </m:r>
          <m:r>
            <m:rPr>
              <m:sty m:val="p"/>
            </m:rPr>
            <w:rPr>
              <w:rFonts w:ascii="Cambria Math" w:hAnsi="Cambria Math"/>
              <w:sz w:val="28"/>
              <w:szCs w:val="28"/>
            </w:rPr>
            <m:t>FP-CP+BD+SRF-SC</m:t>
          </m:r>
        </m:oMath>
      </m:oMathPara>
    </w:p>
    <w:p w:rsidR="00511AA9" w:rsidRPr="00511AA9" w:rsidRDefault="00511AA9" w:rsidP="00511AA9">
      <w:pPr>
        <w:pStyle w:val="subsection2"/>
        <w:shd w:val="clear" w:color="auto" w:fill="FFFFFF"/>
        <w:rPr>
          <w:szCs w:val="22"/>
        </w:rPr>
      </w:pPr>
      <w:r w:rsidRPr="005949C0">
        <w:rPr>
          <w:szCs w:val="22"/>
        </w:rPr>
        <w:t>where:</w:t>
      </w:r>
    </w:p>
    <w:p w:rsidR="002150E5" w:rsidRPr="005949C0" w:rsidRDefault="002150E5" w:rsidP="002150E5">
      <w:pPr>
        <w:pStyle w:val="tDefn"/>
      </w:pPr>
      <w:r w:rsidRPr="005949C0">
        <w:rPr>
          <w:b/>
          <w:i/>
        </w:rPr>
        <w:t>FP</w:t>
      </w:r>
      <w:r w:rsidRPr="005949C0">
        <w:t xml:space="preserve"> is the assumed price of FSSP fuels and fuel oil applicable to the</w:t>
      </w:r>
      <w:r w:rsidR="00221B3D" w:rsidRPr="005949C0">
        <w:t xml:space="preserve"> refinery</w:t>
      </w:r>
      <w:r w:rsidR="001B4954">
        <w:t xml:space="preserve"> for the month</w:t>
      </w:r>
      <w:r w:rsidR="00221B3D" w:rsidRPr="005949C0">
        <w:t>, based on an average price weighted by</w:t>
      </w:r>
      <w:r w:rsidRPr="005949C0">
        <w:t xml:space="preserve"> yield</w:t>
      </w:r>
      <w:r w:rsidR="000B6E1F" w:rsidRPr="005949C0">
        <w:t xml:space="preserve"> of each fuel</w:t>
      </w:r>
      <w:r w:rsidR="00D3052B" w:rsidRPr="005949C0">
        <w:t>, in cpl,</w:t>
      </w:r>
      <w:r w:rsidR="00511AA9">
        <w:t xml:space="preserve"> determined under subsection (4</w:t>
      </w:r>
      <w:r w:rsidRPr="005949C0">
        <w:t>).</w:t>
      </w:r>
    </w:p>
    <w:p w:rsidR="002150E5" w:rsidRPr="005949C0" w:rsidRDefault="002150E5" w:rsidP="002150E5">
      <w:pPr>
        <w:pStyle w:val="tDefn"/>
      </w:pPr>
      <w:r w:rsidRPr="005949C0">
        <w:rPr>
          <w:b/>
          <w:i/>
        </w:rPr>
        <w:t xml:space="preserve">CP </w:t>
      </w:r>
      <w:r w:rsidR="00CD18AA" w:rsidRPr="005949C0">
        <w:t>is the average pr</w:t>
      </w:r>
      <w:r w:rsidR="001B4954">
        <w:t>ice of crude oil for the month</w:t>
      </w:r>
      <w:r w:rsidR="00CD18AA" w:rsidRPr="005949C0">
        <w:t xml:space="preserve">, in cpl, converted to litres and Australian dollars, from the </w:t>
      </w:r>
      <w:r w:rsidR="00511AA9">
        <w:t>monthly</w:t>
      </w:r>
      <w:r w:rsidR="00D3052B" w:rsidRPr="005949C0">
        <w:t xml:space="preserve"> </w:t>
      </w:r>
      <w:r w:rsidR="002C39A1" w:rsidRPr="005949C0">
        <w:t>“</w:t>
      </w:r>
      <w:r w:rsidR="00D3052B" w:rsidRPr="005949C0">
        <w:t>Kimanis (Asia close)</w:t>
      </w:r>
      <w:r w:rsidR="002C39A1" w:rsidRPr="005949C0">
        <w:t>”</w:t>
      </w:r>
      <w:r w:rsidR="00D3052B" w:rsidRPr="005949C0">
        <w:t xml:space="preserve"> price published by S&amp;P Global Platts (Platts code: AASCL00) in U</w:t>
      </w:r>
      <w:r w:rsidR="00877559">
        <w:t>nited States dollars per barrel</w:t>
      </w:r>
      <w:r w:rsidR="00D3052B" w:rsidRPr="005949C0">
        <w:t>.</w:t>
      </w:r>
    </w:p>
    <w:p w:rsidR="00163388" w:rsidRDefault="002F5F38" w:rsidP="002150E5">
      <w:pPr>
        <w:pStyle w:val="tDefn"/>
      </w:pPr>
      <w:r w:rsidRPr="005949C0">
        <w:rPr>
          <w:b/>
          <w:i/>
        </w:rPr>
        <w:t>BD</w:t>
      </w:r>
      <w:r w:rsidRPr="005949C0">
        <w:t xml:space="preserve"> is the basis differential</w:t>
      </w:r>
      <w:r w:rsidR="00D3052B" w:rsidRPr="005949C0">
        <w:t>, in cpl,</w:t>
      </w:r>
      <w:r w:rsidRPr="005949C0">
        <w:t xml:space="preserve"> representing the historical differences between the margin marker in the guidelines and the margins of the refinery either</w:t>
      </w:r>
      <w:r w:rsidR="00163388">
        <w:t>:</w:t>
      </w:r>
      <w:r w:rsidRPr="005949C0">
        <w:t xml:space="preserve"> </w:t>
      </w:r>
    </w:p>
    <w:p w:rsidR="00163388" w:rsidRDefault="00163388" w:rsidP="00163388">
      <w:pPr>
        <w:pStyle w:val="tPara"/>
      </w:pPr>
      <w:r>
        <w:tab/>
        <w:t>(a)</w:t>
      </w:r>
      <w:r>
        <w:tab/>
      </w:r>
      <w:r w:rsidR="002F5F38" w:rsidRPr="005949C0">
        <w:t xml:space="preserve">specified in the guidelines for the refinery </w:t>
      </w:r>
      <w:r w:rsidR="00981CED">
        <w:t>(and converted from dollars per barrel to cpl)</w:t>
      </w:r>
      <w:r>
        <w:t>;</w:t>
      </w:r>
      <w:r w:rsidR="00981CED">
        <w:t xml:space="preserve"> </w:t>
      </w:r>
      <w:r w:rsidR="002F5F38" w:rsidRPr="005949C0">
        <w:t xml:space="preserve">or </w:t>
      </w:r>
    </w:p>
    <w:p w:rsidR="002F5F38" w:rsidRPr="005949C0" w:rsidRDefault="00163388" w:rsidP="00163388">
      <w:pPr>
        <w:pStyle w:val="tPara"/>
      </w:pPr>
      <w:r>
        <w:tab/>
        <w:t>(b)</w:t>
      </w:r>
      <w:r>
        <w:tab/>
        <w:t>if not specified in the guidelines—</w:t>
      </w:r>
      <w:r w:rsidR="002F5F38" w:rsidRPr="005949C0">
        <w:t>determined by the Minister in approving an application under section 40 of the Act</w:t>
      </w:r>
      <w:r w:rsidR="003B2DC6" w:rsidRPr="005949C0">
        <w:t>, taking into account the operating environment for each refinery</w:t>
      </w:r>
      <w:r w:rsidR="002F5F38" w:rsidRPr="005949C0">
        <w:t>.</w:t>
      </w:r>
      <w:r w:rsidR="00981CED">
        <w:t xml:space="preserve"> </w:t>
      </w:r>
    </w:p>
    <w:p w:rsidR="002F5F38" w:rsidRPr="005949C0" w:rsidRDefault="00526A27" w:rsidP="002150E5">
      <w:pPr>
        <w:pStyle w:val="tDefn"/>
      </w:pPr>
      <w:r w:rsidRPr="005949C0">
        <w:rPr>
          <w:b/>
          <w:i/>
        </w:rPr>
        <w:t>SR</w:t>
      </w:r>
      <w:r w:rsidR="002F5F38" w:rsidRPr="005949C0">
        <w:rPr>
          <w:b/>
          <w:i/>
        </w:rPr>
        <w:t>F</w:t>
      </w:r>
      <w:r w:rsidR="002F5F38" w:rsidRPr="005949C0">
        <w:t xml:space="preserve"> is the </w:t>
      </w:r>
      <w:r w:rsidR="00D3052B" w:rsidRPr="005949C0">
        <w:t>cost of shipping refined fuel from Singapore</w:t>
      </w:r>
      <w:r w:rsidR="002D675F" w:rsidRPr="005949C0">
        <w:t xml:space="preserve"> for the product mix of the refinery</w:t>
      </w:r>
      <w:r w:rsidR="001B4954">
        <w:t xml:space="preserve"> for the month</w:t>
      </w:r>
      <w:r w:rsidR="00D3052B" w:rsidRPr="005949C0">
        <w:t>, in cpl,</w:t>
      </w:r>
      <w:r w:rsidR="002F5F38" w:rsidRPr="005949C0">
        <w:t xml:space="preserve"> </w:t>
      </w:r>
      <w:r w:rsidR="00917C4D" w:rsidRPr="005949C0">
        <w:t>determined under</w:t>
      </w:r>
      <w:r w:rsidR="00511AA9">
        <w:t xml:space="preserve"> subsection (5</w:t>
      </w:r>
      <w:r w:rsidR="002F5F38" w:rsidRPr="005949C0">
        <w:t>)</w:t>
      </w:r>
      <w:r w:rsidR="00D3052B" w:rsidRPr="005949C0">
        <w:t>.</w:t>
      </w:r>
    </w:p>
    <w:p w:rsidR="002F5F38" w:rsidRDefault="00526A27" w:rsidP="002150E5">
      <w:pPr>
        <w:pStyle w:val="tDefn"/>
      </w:pPr>
      <w:r w:rsidRPr="005949C0">
        <w:rPr>
          <w:b/>
          <w:i/>
        </w:rPr>
        <w:t>SC</w:t>
      </w:r>
      <w:r w:rsidR="002F5F38" w:rsidRPr="005949C0">
        <w:t xml:space="preserve"> is the</w:t>
      </w:r>
      <w:r w:rsidR="00556A40" w:rsidRPr="005949C0">
        <w:t xml:space="preserve"> </w:t>
      </w:r>
      <w:r w:rsidR="00D3052B" w:rsidRPr="005949C0">
        <w:t>cost of shipping crude oil from Indonesia</w:t>
      </w:r>
      <w:r w:rsidR="001B4954">
        <w:t xml:space="preserve"> for the month</w:t>
      </w:r>
      <w:r w:rsidR="00D3052B" w:rsidRPr="005949C0">
        <w:t>, in cpl,</w:t>
      </w:r>
      <w:r w:rsidR="00511AA9">
        <w:t xml:space="preserve"> determined under subsection (6</w:t>
      </w:r>
      <w:r w:rsidR="002F5F38" w:rsidRPr="005949C0">
        <w:t>).</w:t>
      </w:r>
    </w:p>
    <w:p w:rsidR="002F5F38" w:rsidRDefault="002F5F38" w:rsidP="002F5F38">
      <w:pPr>
        <w:pStyle w:val="tMain"/>
      </w:pPr>
      <w:r>
        <w:tab/>
      </w:r>
      <w:r w:rsidR="00BB6D03">
        <w:t>(4)</w:t>
      </w:r>
      <w:r w:rsidR="0057498E">
        <w:tab/>
        <w:t>For subsection (3</w:t>
      </w:r>
      <w:r>
        <w:t>)</w:t>
      </w:r>
      <w:r w:rsidR="00071808">
        <w:t>,</w:t>
      </w:r>
      <w:r>
        <w:t xml:space="preserve"> </w:t>
      </w:r>
      <w:r w:rsidRPr="002F5F38">
        <w:rPr>
          <w:b/>
          <w:i/>
        </w:rPr>
        <w:t>FP</w:t>
      </w:r>
      <w:r>
        <w:t xml:space="preserve"> is given by the following formula:</w:t>
      </w:r>
    </w:p>
    <w:p w:rsidR="002F5F38" w:rsidRPr="00437592" w:rsidRDefault="00437592" w:rsidP="002F5F38">
      <w:pPr>
        <w:pStyle w:val="tDefn"/>
        <w:rPr>
          <w:sz w:val="28"/>
          <w:szCs w:val="28"/>
        </w:rPr>
      </w:pPr>
      <m:oMathPara>
        <m:oMathParaPr>
          <m:jc m:val="left"/>
        </m:oMathParaPr>
        <m:oMath>
          <m:r>
            <m:rPr>
              <m:sty m:val="p"/>
            </m:rPr>
            <w:rPr>
              <w:rFonts w:ascii="Cambria Math" w:hAnsi="Cambria Math" w:cs="Cambria Math"/>
              <w:sz w:val="28"/>
              <w:szCs w:val="28"/>
            </w:rPr>
            <m:t xml:space="preserve">FP= </m:t>
          </m:r>
          <m:nary>
            <m:naryPr>
              <m:chr m:val="∑"/>
              <m:limLoc m:val="undOvr"/>
              <m:supHide m:val="1"/>
              <m:ctrlPr>
                <w:rPr>
                  <w:rFonts w:ascii="Cambria Math" w:hAnsi="Cambria Math" w:cs="Cambria Math"/>
                  <w:sz w:val="28"/>
                  <w:szCs w:val="28"/>
                </w:rPr>
              </m:ctrlPr>
            </m:naryPr>
            <m:sub>
              <m:r>
                <m:rPr>
                  <m:sty m:val="p"/>
                </m:rPr>
                <w:rPr>
                  <w:rFonts w:ascii="Cambria Math" w:hAnsi="Cambria Math" w:cs="Cambria Math"/>
                  <w:sz w:val="28"/>
                  <w:szCs w:val="28"/>
                </w:rPr>
                <m:t>f</m:t>
              </m:r>
            </m:sub>
            <m:sup/>
            <m:e>
              <m:sSub>
                <m:sSubPr>
                  <m:ctrlPr>
                    <w:rPr>
                      <w:rFonts w:ascii="Cambria Math" w:hAnsi="Cambria Math" w:cs="Cambria Math"/>
                      <w:sz w:val="28"/>
                      <w:szCs w:val="28"/>
                    </w:rPr>
                  </m:ctrlPr>
                </m:sSubPr>
                <m:e>
                  <m:r>
                    <m:rPr>
                      <m:sty m:val="p"/>
                    </m:rPr>
                    <w:rPr>
                      <w:rFonts w:ascii="Cambria Math" w:hAnsi="Cambria Math" w:cs="Cambria Math"/>
                      <w:sz w:val="28"/>
                      <w:szCs w:val="28"/>
                    </w:rPr>
                    <m:t>P</m:t>
                  </m:r>
                </m:e>
                <m:sub>
                  <m:r>
                    <m:rPr>
                      <m:sty m:val="p"/>
                    </m:rPr>
                    <w:rPr>
                      <w:rFonts w:ascii="Cambria Math" w:hAnsi="Cambria Math" w:cs="Cambria Math"/>
                      <w:sz w:val="28"/>
                      <w:szCs w:val="28"/>
                    </w:rPr>
                    <m:t>f</m:t>
                  </m:r>
                </m:sub>
              </m:sSub>
            </m:e>
          </m:nary>
          <m:r>
            <m:rPr>
              <m:sty m:val="p"/>
            </m:rPr>
            <w:rPr>
              <w:rFonts w:ascii="Cambria Math" w:hAnsi="Cambria Math" w:cs="Cambria Math"/>
              <w:sz w:val="28"/>
              <w:szCs w:val="28"/>
            </w:rPr>
            <m:t xml:space="preserve"> ×</m:t>
          </m:r>
          <m:sSub>
            <m:sSubPr>
              <m:ctrlPr>
                <w:rPr>
                  <w:rFonts w:ascii="Cambria Math" w:hAnsi="Cambria Math" w:cs="Cambria Math"/>
                  <w:sz w:val="28"/>
                  <w:szCs w:val="28"/>
                </w:rPr>
              </m:ctrlPr>
            </m:sSubPr>
            <m:e>
              <m:r>
                <m:rPr>
                  <m:sty m:val="p"/>
                </m:rPr>
                <w:rPr>
                  <w:rFonts w:ascii="Cambria Math" w:hAnsi="Cambria Math" w:cs="Cambria Math"/>
                  <w:sz w:val="28"/>
                  <w:szCs w:val="28"/>
                </w:rPr>
                <m:t>Y</m:t>
              </m:r>
            </m:e>
            <m:sub>
              <m:r>
                <m:rPr>
                  <m:sty m:val="p"/>
                </m:rPr>
                <w:rPr>
                  <w:rFonts w:ascii="Cambria Math" w:hAnsi="Cambria Math" w:cs="Cambria Math"/>
                  <w:sz w:val="28"/>
                  <w:szCs w:val="28"/>
                </w:rPr>
                <m:t>f</m:t>
              </m:r>
            </m:sub>
          </m:sSub>
        </m:oMath>
      </m:oMathPara>
    </w:p>
    <w:p w:rsidR="00071808" w:rsidRPr="00B32A45" w:rsidRDefault="00071808" w:rsidP="00071808">
      <w:pPr>
        <w:pStyle w:val="subsection2"/>
        <w:shd w:val="clear" w:color="auto" w:fill="FFFFFF"/>
        <w:rPr>
          <w:szCs w:val="22"/>
        </w:rPr>
      </w:pPr>
      <w:r w:rsidRPr="00B32A45">
        <w:rPr>
          <w:szCs w:val="22"/>
        </w:rPr>
        <w:t>where:</w:t>
      </w:r>
    </w:p>
    <w:p w:rsidR="00D3052B" w:rsidRDefault="00CD18AA" w:rsidP="003B2DC6">
      <w:pPr>
        <w:pStyle w:val="tDefn"/>
      </w:pPr>
      <w:r>
        <w:rPr>
          <w:b/>
          <w:i/>
        </w:rPr>
        <w:t xml:space="preserve">f </w:t>
      </w:r>
      <w:r w:rsidR="003B2DC6">
        <w:t>is the fuel types being:</w:t>
      </w:r>
    </w:p>
    <w:p w:rsidR="00D3052B" w:rsidRDefault="00D3052B" w:rsidP="00D3052B">
      <w:pPr>
        <w:pStyle w:val="tPara"/>
      </w:pPr>
      <w:r>
        <w:tab/>
      </w:r>
      <w:r w:rsidR="00BB6D03">
        <w:t>(a)</w:t>
      </w:r>
      <w:r>
        <w:tab/>
        <w:t>gasoline;</w:t>
      </w:r>
    </w:p>
    <w:p w:rsidR="00D3052B" w:rsidRDefault="00D3052B" w:rsidP="00D3052B">
      <w:pPr>
        <w:pStyle w:val="tPara"/>
      </w:pPr>
      <w:r>
        <w:tab/>
      </w:r>
      <w:r w:rsidR="00BB6D03">
        <w:t>(b)</w:t>
      </w:r>
      <w:r>
        <w:tab/>
        <w:t>diesel;</w:t>
      </w:r>
    </w:p>
    <w:p w:rsidR="00D3052B" w:rsidRDefault="00D3052B" w:rsidP="00D3052B">
      <w:pPr>
        <w:pStyle w:val="tPara"/>
      </w:pPr>
      <w:r>
        <w:tab/>
      </w:r>
      <w:r w:rsidR="00BB6D03">
        <w:t>(c)</w:t>
      </w:r>
      <w:r>
        <w:tab/>
        <w:t>kerosene;</w:t>
      </w:r>
    </w:p>
    <w:p w:rsidR="00D3052B" w:rsidRDefault="00D3052B" w:rsidP="00D3052B">
      <w:pPr>
        <w:pStyle w:val="tPara"/>
      </w:pPr>
      <w:r>
        <w:lastRenderedPageBreak/>
        <w:tab/>
      </w:r>
      <w:r w:rsidR="00BB6D03">
        <w:t>(d)</w:t>
      </w:r>
      <w:r>
        <w:tab/>
        <w:t>fuel oil;</w:t>
      </w:r>
    </w:p>
    <w:p w:rsidR="00CD18AA" w:rsidRPr="00CD18AA" w:rsidRDefault="00D3052B" w:rsidP="00D3052B">
      <w:pPr>
        <w:pStyle w:val="tPara"/>
      </w:pPr>
      <w:r>
        <w:tab/>
      </w:r>
      <w:r w:rsidR="00BB6D03">
        <w:t>(e)</w:t>
      </w:r>
      <w:r>
        <w:tab/>
        <w:t>marine fuel oil.</w:t>
      </w:r>
    </w:p>
    <w:p w:rsidR="00D3052B" w:rsidRDefault="00071808" w:rsidP="00071808">
      <w:pPr>
        <w:pStyle w:val="tDefn"/>
      </w:pPr>
      <w:r w:rsidRPr="00221B3D">
        <w:rPr>
          <w:b/>
          <w:i/>
        </w:rPr>
        <w:t>P</w:t>
      </w:r>
      <w:r w:rsidR="004074D0" w:rsidRPr="00221B3D">
        <w:rPr>
          <w:b/>
          <w:i/>
          <w:vertAlign w:val="subscript"/>
        </w:rPr>
        <w:t>f</w:t>
      </w:r>
      <w:r w:rsidR="00221B3D">
        <w:rPr>
          <w:b/>
          <w:i/>
        </w:rPr>
        <w:t xml:space="preserve"> </w:t>
      </w:r>
      <w:r w:rsidRPr="00221B3D">
        <w:t>is</w:t>
      </w:r>
      <w:r w:rsidR="00953469">
        <w:t xml:space="preserve"> the</w:t>
      </w:r>
      <w:r w:rsidR="00CD18AA">
        <w:t xml:space="preserve"> price of the fuel type </w:t>
      </w:r>
      <w:r w:rsidR="00917C4D" w:rsidRPr="002B49F4">
        <w:rPr>
          <w:b/>
          <w:i/>
        </w:rPr>
        <w:t>f</w:t>
      </w:r>
      <w:r w:rsidR="00917C4D">
        <w:t xml:space="preserve"> </w:t>
      </w:r>
      <w:r w:rsidR="0057498E">
        <w:t>for the month</w:t>
      </w:r>
      <w:r w:rsidR="00CD18AA">
        <w:t>, in cpl, converted to Australian dollars</w:t>
      </w:r>
      <w:r w:rsidR="00D3052B">
        <w:t xml:space="preserve"> and litres</w:t>
      </w:r>
      <w:r w:rsidR="00917C4D">
        <w:t>,</w:t>
      </w:r>
      <w:r w:rsidR="00D3052B">
        <w:t xml:space="preserve"> from the </w:t>
      </w:r>
      <w:r w:rsidR="0057498E">
        <w:t>monthly average</w:t>
      </w:r>
      <w:r w:rsidR="00D3052B">
        <w:t xml:space="preserve"> price of</w:t>
      </w:r>
      <w:r w:rsidR="004074D0">
        <w:t xml:space="preserve"> the following</w:t>
      </w:r>
      <w:r w:rsidR="00D3052B">
        <w:t>:</w:t>
      </w:r>
    </w:p>
    <w:p w:rsidR="00071808" w:rsidRDefault="00D3052B" w:rsidP="00D3052B">
      <w:pPr>
        <w:pStyle w:val="tPara"/>
      </w:pPr>
      <w:r>
        <w:tab/>
        <w:t>(a)</w:t>
      </w:r>
      <w:r>
        <w:tab/>
        <w:t>for gasoline—</w:t>
      </w:r>
      <w:r w:rsidR="002C39A1">
        <w:t>“</w:t>
      </w:r>
      <w:r>
        <w:t>G</w:t>
      </w:r>
      <w:r w:rsidRPr="00D3052B">
        <w:t>asoline Unl 95 FOB Spore Cargo</w:t>
      </w:r>
      <w:r w:rsidR="002C39A1">
        <w:t>”</w:t>
      </w:r>
      <w:r>
        <w:t xml:space="preserve"> published by S&amp;P Global Platts (</w:t>
      </w:r>
      <w:r w:rsidRPr="00D3052B">
        <w:t xml:space="preserve">Platts code: </w:t>
      </w:r>
      <w:r>
        <w:t>PGAEZ00) in United States dollars per barrel;</w:t>
      </w:r>
    </w:p>
    <w:p w:rsidR="002C39A1" w:rsidRDefault="002C39A1" w:rsidP="002C39A1">
      <w:pPr>
        <w:pStyle w:val="tPara"/>
      </w:pPr>
      <w:r>
        <w:tab/>
        <w:t>(b)</w:t>
      </w:r>
      <w:r>
        <w:tab/>
        <w:t>for diesel—“Gasoil 0.001% S (10 ppm) FOB Spore Cargo” published by S&amp;P Global Platts (</w:t>
      </w:r>
      <w:r w:rsidRPr="00D3052B">
        <w:t xml:space="preserve">Platts code: </w:t>
      </w:r>
      <w:r w:rsidRPr="002C39A1">
        <w:t>AAOVC00</w:t>
      </w:r>
      <w:r>
        <w:t>) in United States dollars per barrel;</w:t>
      </w:r>
    </w:p>
    <w:p w:rsidR="002C39A1" w:rsidRDefault="002C39A1" w:rsidP="002C39A1">
      <w:pPr>
        <w:pStyle w:val="tPara"/>
      </w:pPr>
      <w:r>
        <w:tab/>
        <w:t>(c)</w:t>
      </w:r>
      <w:r>
        <w:tab/>
        <w:t>for kerosene—“Jet Kero FOB Spore Cargo” published by S&amp;P Global Platts (</w:t>
      </w:r>
      <w:r w:rsidRPr="00D3052B">
        <w:t xml:space="preserve">Platts code: </w:t>
      </w:r>
      <w:r w:rsidRPr="002C39A1">
        <w:t>PJABF00</w:t>
      </w:r>
      <w:r>
        <w:t>) in United States dollars per barrel</w:t>
      </w:r>
      <w:r w:rsidR="004074D0">
        <w:t>;</w:t>
      </w:r>
    </w:p>
    <w:p w:rsidR="002C39A1" w:rsidRDefault="002C39A1" w:rsidP="002C39A1">
      <w:pPr>
        <w:pStyle w:val="tPara"/>
      </w:pPr>
      <w:r>
        <w:tab/>
        <w:t>(d)</w:t>
      </w:r>
      <w:r>
        <w:tab/>
        <w:t>for fuel oil—“FO 380 CST 3.5% S FOB Spore Cargo” published by S&amp;P Global Platts (</w:t>
      </w:r>
      <w:r w:rsidRPr="00D3052B">
        <w:t xml:space="preserve">Platts code: </w:t>
      </w:r>
      <w:r>
        <w:t xml:space="preserve">PPXDK00) in </w:t>
      </w:r>
      <w:r w:rsidR="003B2DC6">
        <w:t>United States dollars per tonne</w:t>
      </w:r>
      <w:r w:rsidR="004074D0">
        <w:t>;</w:t>
      </w:r>
    </w:p>
    <w:p w:rsidR="002C39A1" w:rsidRDefault="002C39A1" w:rsidP="002C39A1">
      <w:pPr>
        <w:pStyle w:val="tPara"/>
      </w:pPr>
      <w:r>
        <w:tab/>
        <w:t>(e)</w:t>
      </w:r>
      <w:r>
        <w:tab/>
        <w:t>for marine fuel oil—“FOB Spore Marine Fuel 0.5% Cargo” published by S&amp;P Global Platts (</w:t>
      </w:r>
      <w:r w:rsidRPr="00D3052B">
        <w:t>Platts code:</w:t>
      </w:r>
      <w:r>
        <w:t xml:space="preserve"> AMFSA00) in </w:t>
      </w:r>
      <w:r w:rsidR="003B2DC6">
        <w:t>United States dollars per tonne</w:t>
      </w:r>
      <w:r w:rsidR="004074D0">
        <w:t>.</w:t>
      </w:r>
    </w:p>
    <w:p w:rsidR="00756155" w:rsidRDefault="00756155" w:rsidP="00756155">
      <w:pPr>
        <w:pStyle w:val="nPara"/>
      </w:pPr>
      <w:r>
        <w:t>Note:</w:t>
      </w:r>
      <w:r>
        <w:tab/>
        <w:t>The values in paragraph</w:t>
      </w:r>
      <w:r w:rsidR="001F710D">
        <w:t>s</w:t>
      </w:r>
      <w:r>
        <w:t xml:space="preserve"> (d) and (e) must first be converted from tonn</w:t>
      </w:r>
      <w:r w:rsidR="004A05F0">
        <w:t>es to barrels under paragraph (7</w:t>
      </w:r>
      <w:r>
        <w:t>)(c) before being conver</w:t>
      </w:r>
      <w:r w:rsidR="004A05F0">
        <w:t>ted to litres under paragraph (7</w:t>
      </w:r>
      <w:r>
        <w:t>)(b).</w:t>
      </w:r>
    </w:p>
    <w:p w:rsidR="00163388" w:rsidRDefault="00071808" w:rsidP="00071808">
      <w:pPr>
        <w:pStyle w:val="tDefn"/>
      </w:pPr>
      <w:r w:rsidRPr="00071808">
        <w:rPr>
          <w:b/>
          <w:i/>
        </w:rPr>
        <w:t>Y</w:t>
      </w:r>
      <w:r w:rsidR="004074D0">
        <w:rPr>
          <w:b/>
          <w:i/>
          <w:vertAlign w:val="subscript"/>
        </w:rPr>
        <w:t>f</w:t>
      </w:r>
      <w:r>
        <w:t xml:space="preserve"> is the yield of </w:t>
      </w:r>
      <w:r w:rsidR="00D3052B">
        <w:t xml:space="preserve">fuel type </w:t>
      </w:r>
      <w:r w:rsidR="00D3052B" w:rsidRPr="002B49F4">
        <w:rPr>
          <w:b/>
          <w:i/>
        </w:rPr>
        <w:t>f</w:t>
      </w:r>
      <w:r w:rsidRPr="002B49F4">
        <w:rPr>
          <w:b/>
          <w:i/>
        </w:rPr>
        <w:t xml:space="preserve"> </w:t>
      </w:r>
      <w:r>
        <w:t>for the refinery, expressed as a percentage</w:t>
      </w:r>
      <w:r w:rsidR="00ED3ACF">
        <w:t xml:space="preserve"> of </w:t>
      </w:r>
      <w:r w:rsidR="00E47F4A">
        <w:t xml:space="preserve">the volume of fuel type </w:t>
      </w:r>
      <w:r w:rsidR="00E47F4A" w:rsidRPr="002B49F4">
        <w:rPr>
          <w:b/>
          <w:i/>
        </w:rPr>
        <w:t>f</w:t>
      </w:r>
      <w:r w:rsidR="00E47F4A">
        <w:t xml:space="preserve"> from an equivalent volume of crude oil</w:t>
      </w:r>
      <w:r>
        <w:t>, either</w:t>
      </w:r>
      <w:r w:rsidR="00163388">
        <w:t>:</w:t>
      </w:r>
    </w:p>
    <w:p w:rsidR="00163388" w:rsidRDefault="00163388" w:rsidP="00163388">
      <w:pPr>
        <w:pStyle w:val="tPara"/>
      </w:pPr>
      <w:r>
        <w:tab/>
        <w:t>(a)</w:t>
      </w:r>
      <w:r>
        <w:tab/>
      </w:r>
      <w:r w:rsidR="00071808">
        <w:t>specified in the guidelines for the refinery</w:t>
      </w:r>
      <w:r>
        <w:t>;</w:t>
      </w:r>
      <w:r w:rsidR="00071808">
        <w:t xml:space="preserve"> or </w:t>
      </w:r>
    </w:p>
    <w:p w:rsidR="00071808" w:rsidRDefault="00163388" w:rsidP="00163388">
      <w:pPr>
        <w:pStyle w:val="tPara"/>
      </w:pPr>
      <w:r>
        <w:tab/>
        <w:t>(b)</w:t>
      </w:r>
      <w:r>
        <w:tab/>
        <w:t>if not specified in the guidelines—</w:t>
      </w:r>
      <w:r w:rsidR="00071808">
        <w:t>determined by the Minister in approving an application under section 40 of the Act.</w:t>
      </w:r>
    </w:p>
    <w:p w:rsidR="002F5F38" w:rsidRPr="002150E5" w:rsidRDefault="002F5F38" w:rsidP="002F5F38">
      <w:pPr>
        <w:pStyle w:val="tMain"/>
      </w:pPr>
      <w:r>
        <w:tab/>
      </w:r>
      <w:r w:rsidR="00BB6D03">
        <w:t>(5)</w:t>
      </w:r>
      <w:r w:rsidR="0057498E">
        <w:tab/>
        <w:t>For subsection (3</w:t>
      </w:r>
      <w:r>
        <w:t>)</w:t>
      </w:r>
      <w:r w:rsidR="00071808">
        <w:t>,</w:t>
      </w:r>
      <w:r>
        <w:t xml:space="preserve"> </w:t>
      </w:r>
      <w:r w:rsidR="00526A27">
        <w:rPr>
          <w:b/>
          <w:i/>
        </w:rPr>
        <w:t>SRF</w:t>
      </w:r>
      <w:r w:rsidR="004074D0">
        <w:t xml:space="preserve"> is the amount given</w:t>
      </w:r>
      <w:r>
        <w:t xml:space="preserve"> by the following formula</w:t>
      </w:r>
      <w:r w:rsidR="004074D0">
        <w:t xml:space="preserve"> (in United States dollars per barrel)</w:t>
      </w:r>
      <w:r w:rsidR="00F31F0D">
        <w:t>,</w:t>
      </w:r>
      <w:r w:rsidR="00526A27">
        <w:t xml:space="preserve"> converted to Australian dollars and litres</w:t>
      </w:r>
      <w:r w:rsidR="00F31F0D">
        <w:t xml:space="preserve"> and expressed in cpl</w:t>
      </w:r>
      <w:r>
        <w:t>:</w:t>
      </w:r>
    </w:p>
    <w:p w:rsidR="00526A27" w:rsidRPr="00437592" w:rsidRDefault="00526A27" w:rsidP="00526A27">
      <w:pPr>
        <w:pStyle w:val="tDefn"/>
        <w:rPr>
          <w:sz w:val="28"/>
          <w:szCs w:val="28"/>
        </w:rPr>
      </w:pPr>
      <m:oMathPara>
        <m:oMathParaPr>
          <m:jc m:val="left"/>
        </m:oMathParaPr>
        <m:oMath>
          <m:r>
            <m:rPr>
              <m:sty m:val="p"/>
            </m:rPr>
            <w:rPr>
              <w:rFonts w:ascii="Cambria Math" w:hAnsi="Cambria Math" w:cs="Cambria Math"/>
              <w:sz w:val="28"/>
              <w:szCs w:val="28"/>
            </w:rPr>
            <m:t xml:space="preserve">SRF= </m:t>
          </m:r>
          <m:f>
            <m:fPr>
              <m:ctrlPr>
                <w:rPr>
                  <w:rFonts w:ascii="Cambria Math" w:hAnsi="Cambria Math" w:cs="Cambria Math"/>
                  <w:sz w:val="28"/>
                  <w:szCs w:val="28"/>
                </w:rPr>
              </m:ctrlPr>
            </m:fPr>
            <m:num>
              <m:r>
                <m:rPr>
                  <m:sty m:val="p"/>
                </m:rPr>
                <w:rPr>
                  <w:rFonts w:ascii="Cambria Math" w:hAnsi="Cambria Math" w:cs="Cambria Math"/>
                  <w:sz w:val="28"/>
                  <w:szCs w:val="28"/>
                </w:rPr>
                <m:t>CF</m:t>
              </m:r>
            </m:num>
            <m:den>
              <m:nary>
                <m:naryPr>
                  <m:chr m:val="∑"/>
                  <m:limLoc m:val="undOvr"/>
                  <m:supHide m:val="1"/>
                  <m:ctrlPr>
                    <w:rPr>
                      <w:rFonts w:ascii="Cambria Math" w:hAnsi="Cambria Math" w:cs="Cambria Math"/>
                      <w:sz w:val="28"/>
                      <w:szCs w:val="28"/>
                    </w:rPr>
                  </m:ctrlPr>
                </m:naryPr>
                <m:sub>
                  <m:r>
                    <m:rPr>
                      <m:sty m:val="p"/>
                    </m:rPr>
                    <w:rPr>
                      <w:rFonts w:ascii="Cambria Math" w:hAnsi="Cambria Math" w:cs="Cambria Math"/>
                      <w:sz w:val="28"/>
                      <w:szCs w:val="28"/>
                    </w:rPr>
                    <m:t>f</m:t>
                  </m:r>
                </m:sub>
                <m:sup/>
                <m:e>
                  <m:sSub>
                    <m:sSubPr>
                      <m:ctrlPr>
                        <w:rPr>
                          <w:rFonts w:ascii="Cambria Math" w:hAnsi="Cambria Math" w:cs="Cambria Math"/>
                          <w:sz w:val="28"/>
                          <w:szCs w:val="28"/>
                        </w:rPr>
                      </m:ctrlPr>
                    </m:sSubPr>
                    <m:e>
                      <m:r>
                        <m:rPr>
                          <m:sty m:val="p"/>
                        </m:rPr>
                        <w:rPr>
                          <w:rFonts w:ascii="Cambria Math" w:hAnsi="Cambria Math" w:cs="Cambria Math"/>
                          <w:sz w:val="28"/>
                          <w:szCs w:val="28"/>
                        </w:rPr>
                        <m:t>SV</m:t>
                      </m:r>
                    </m:e>
                    <m:sub>
                      <m:r>
                        <m:rPr>
                          <m:sty m:val="p"/>
                        </m:rPr>
                        <w:rPr>
                          <w:rFonts w:ascii="Cambria Math" w:hAnsi="Cambria Math" w:cs="Cambria Math"/>
                          <w:sz w:val="28"/>
                          <w:szCs w:val="28"/>
                        </w:rPr>
                        <m:t>f</m:t>
                      </m:r>
                    </m:sub>
                  </m:sSub>
                </m:e>
              </m:nary>
              <m:r>
                <m:rPr>
                  <m:sty m:val="p"/>
                </m:rPr>
                <w:rPr>
                  <w:rFonts w:ascii="Cambria Math" w:hAnsi="Cambria Math" w:cs="Cambria Math"/>
                  <w:sz w:val="28"/>
                  <w:szCs w:val="28"/>
                </w:rPr>
                <m:t xml:space="preserve"> ×</m:t>
              </m:r>
              <m:sSub>
                <m:sSubPr>
                  <m:ctrlPr>
                    <w:rPr>
                      <w:rFonts w:ascii="Cambria Math" w:hAnsi="Cambria Math" w:cs="Cambria Math"/>
                      <w:sz w:val="28"/>
                      <w:szCs w:val="28"/>
                    </w:rPr>
                  </m:ctrlPr>
                </m:sSubPr>
                <m:e>
                  <m:r>
                    <m:rPr>
                      <m:sty m:val="p"/>
                    </m:rPr>
                    <w:rPr>
                      <w:rFonts w:ascii="Cambria Math" w:hAnsi="Cambria Math" w:cs="Cambria Math"/>
                      <w:sz w:val="28"/>
                      <w:szCs w:val="28"/>
                    </w:rPr>
                    <m:t>Y</m:t>
                  </m:r>
                </m:e>
                <m:sub>
                  <m:r>
                    <m:rPr>
                      <m:sty m:val="p"/>
                    </m:rPr>
                    <w:rPr>
                      <w:rFonts w:ascii="Cambria Math" w:hAnsi="Cambria Math" w:cs="Cambria Math"/>
                      <w:sz w:val="28"/>
                      <w:szCs w:val="28"/>
                    </w:rPr>
                    <m:t>f</m:t>
                  </m:r>
                </m:sub>
              </m:sSub>
            </m:den>
          </m:f>
        </m:oMath>
      </m:oMathPara>
    </w:p>
    <w:p w:rsidR="00526A27" w:rsidRPr="00B32A45" w:rsidRDefault="00526A27" w:rsidP="00526A27">
      <w:pPr>
        <w:pStyle w:val="subsection2"/>
        <w:shd w:val="clear" w:color="auto" w:fill="FFFFFF"/>
        <w:rPr>
          <w:szCs w:val="22"/>
        </w:rPr>
      </w:pPr>
      <w:r w:rsidRPr="00B32A45">
        <w:rPr>
          <w:szCs w:val="22"/>
        </w:rPr>
        <w:t>where:</w:t>
      </w:r>
    </w:p>
    <w:p w:rsidR="00526A27" w:rsidRPr="00526A27" w:rsidRDefault="00526A27" w:rsidP="00526A27">
      <w:pPr>
        <w:pStyle w:val="tDefn"/>
      </w:pPr>
      <w:r>
        <w:rPr>
          <w:b/>
          <w:i/>
        </w:rPr>
        <w:t xml:space="preserve">CF </w:t>
      </w:r>
      <w:r>
        <w:t>is</w:t>
      </w:r>
      <w:r w:rsidR="00714247">
        <w:t xml:space="preserve"> </w:t>
      </w:r>
      <w:r w:rsidR="002C39A1">
        <w:t>the</w:t>
      </w:r>
      <w:r>
        <w:t xml:space="preserve"> </w:t>
      </w:r>
      <w:r w:rsidR="002C39A1">
        <w:t>Singapore – Australia freight cost</w:t>
      </w:r>
      <w:r>
        <w:t xml:space="preserve"> </w:t>
      </w:r>
      <w:r w:rsidR="002C39A1">
        <w:t>for refined fuels</w:t>
      </w:r>
      <w:r w:rsidR="0057498E">
        <w:t xml:space="preserve"> for the month</w:t>
      </w:r>
      <w:r w:rsidR="002C39A1">
        <w:t xml:space="preserve"> </w:t>
      </w:r>
      <w:r>
        <w:t xml:space="preserve">from the </w:t>
      </w:r>
      <w:r w:rsidR="0057498E">
        <w:t>m</w:t>
      </w:r>
      <w:r w:rsidR="0025365A">
        <w:t>ont</w:t>
      </w:r>
      <w:r w:rsidR="0057498E">
        <w:t>hly average</w:t>
      </w:r>
      <w:r>
        <w:t xml:space="preserve"> </w:t>
      </w:r>
      <w:r w:rsidR="002C39A1">
        <w:t>“Clean Singapore-Australia 30kt MR $/mt”</w:t>
      </w:r>
      <w:r>
        <w:t xml:space="preserve"> price published by S&amp;P Global Platts (</w:t>
      </w:r>
      <w:r w:rsidRPr="00D3052B">
        <w:t xml:space="preserve">Platts code: </w:t>
      </w:r>
      <w:r w:rsidR="002C39A1" w:rsidRPr="002C39A1">
        <w:t>AAJPV00</w:t>
      </w:r>
      <w:r>
        <w:t>) in U</w:t>
      </w:r>
      <w:r w:rsidR="001E3998">
        <w:t>nited States dollars per tonne</w:t>
      </w:r>
      <w:r>
        <w:t xml:space="preserve"> of refined fuel.</w:t>
      </w:r>
    </w:p>
    <w:p w:rsidR="00526A27" w:rsidRDefault="00526A27" w:rsidP="00526A27">
      <w:pPr>
        <w:pStyle w:val="tDefn"/>
      </w:pPr>
      <w:r>
        <w:rPr>
          <w:b/>
          <w:i/>
        </w:rPr>
        <w:t xml:space="preserve">f </w:t>
      </w:r>
      <w:r>
        <w:t>is the fuel types under subsect</w:t>
      </w:r>
      <w:r w:rsidR="0057498E">
        <w:t>ion (4</w:t>
      </w:r>
      <w:r>
        <w:t>).</w:t>
      </w:r>
    </w:p>
    <w:p w:rsidR="00526A27" w:rsidRDefault="00526A27" w:rsidP="00526A27">
      <w:pPr>
        <w:pStyle w:val="tDefn"/>
      </w:pPr>
      <w:r w:rsidRPr="00526A27">
        <w:rPr>
          <w:b/>
          <w:i/>
        </w:rPr>
        <w:t>SV</w:t>
      </w:r>
      <w:r>
        <w:rPr>
          <w:b/>
          <w:i/>
        </w:rPr>
        <w:t xml:space="preserve"> </w:t>
      </w:r>
      <w:r w:rsidR="00EB1039">
        <w:t>is a specific</w:t>
      </w:r>
      <w:r>
        <w:t xml:space="preserve"> volume conversion for the fuel</w:t>
      </w:r>
      <w:r w:rsidR="00834A7E">
        <w:t>, in barrels per tonne,</w:t>
      </w:r>
      <w:r>
        <w:t xml:space="preserve"> being</w:t>
      </w:r>
      <w:r w:rsidR="002C39A1">
        <w:t xml:space="preserve"> the following</w:t>
      </w:r>
      <w:r>
        <w:t>:</w:t>
      </w:r>
    </w:p>
    <w:p w:rsidR="00526A27" w:rsidRDefault="001E3998" w:rsidP="00526A27">
      <w:pPr>
        <w:pStyle w:val="tPara"/>
      </w:pPr>
      <w:r>
        <w:tab/>
        <w:t>(a)</w:t>
      </w:r>
      <w:r>
        <w:tab/>
        <w:t>for gasoline—8.5</w:t>
      </w:r>
      <w:r w:rsidR="002C39A1">
        <w:t>;</w:t>
      </w:r>
    </w:p>
    <w:p w:rsidR="00526A27" w:rsidRDefault="001E3998" w:rsidP="002C39A1">
      <w:pPr>
        <w:pStyle w:val="tPara"/>
        <w:tabs>
          <w:tab w:val="left" w:pos="1700"/>
          <w:tab w:val="left" w:pos="2125"/>
          <w:tab w:val="left" w:pos="2550"/>
          <w:tab w:val="left" w:pos="2975"/>
          <w:tab w:val="left" w:pos="3680"/>
        </w:tabs>
      </w:pPr>
      <w:r>
        <w:tab/>
        <w:t>(b)</w:t>
      </w:r>
      <w:r>
        <w:tab/>
        <w:t>for diesel—7.45</w:t>
      </w:r>
      <w:r w:rsidR="002C39A1">
        <w:t>;</w:t>
      </w:r>
    </w:p>
    <w:p w:rsidR="00526A27" w:rsidRDefault="00526A27" w:rsidP="00526A27">
      <w:pPr>
        <w:pStyle w:val="tPara"/>
      </w:pPr>
      <w:r>
        <w:tab/>
        <w:t>(c)</w:t>
      </w:r>
      <w:r>
        <w:tab/>
        <w:t>for ker</w:t>
      </w:r>
      <w:r w:rsidR="001E3998">
        <w:t>osene—7.9</w:t>
      </w:r>
      <w:r w:rsidR="002C39A1">
        <w:t>;</w:t>
      </w:r>
    </w:p>
    <w:p w:rsidR="00526A27" w:rsidRDefault="00526A27" w:rsidP="00526A27">
      <w:pPr>
        <w:pStyle w:val="tPara"/>
      </w:pPr>
      <w:r>
        <w:tab/>
        <w:t>(d)</w:t>
      </w:r>
      <w:r>
        <w:tab/>
        <w:t>for fuel oil—6.35</w:t>
      </w:r>
      <w:r w:rsidR="002C39A1">
        <w:t>;</w:t>
      </w:r>
    </w:p>
    <w:p w:rsidR="00526A27" w:rsidRPr="00526A27" w:rsidRDefault="001E3998" w:rsidP="00526A27">
      <w:pPr>
        <w:pStyle w:val="tPara"/>
      </w:pPr>
      <w:r>
        <w:tab/>
        <w:t>(e)</w:t>
      </w:r>
      <w:r>
        <w:tab/>
        <w:t>for marine fuel oil—6.35</w:t>
      </w:r>
      <w:r w:rsidR="002C39A1">
        <w:t>.</w:t>
      </w:r>
    </w:p>
    <w:p w:rsidR="002F5F38" w:rsidRDefault="00526A27" w:rsidP="002C39A1">
      <w:pPr>
        <w:pStyle w:val="tDefn"/>
      </w:pPr>
      <w:r w:rsidRPr="00526A27">
        <w:rPr>
          <w:b/>
          <w:i/>
        </w:rPr>
        <w:t>Y</w:t>
      </w:r>
      <w:r>
        <w:t xml:space="preserve"> is the </w:t>
      </w:r>
      <w:r w:rsidR="001E3998">
        <w:t xml:space="preserve">refinery’s </w:t>
      </w:r>
      <w:r>
        <w:t>yield of each</w:t>
      </w:r>
      <w:r w:rsidR="0057498E">
        <w:t xml:space="preserve"> fuel type</w:t>
      </w:r>
      <w:r w:rsidR="0057498E" w:rsidRPr="001F710D">
        <w:rPr>
          <w:b/>
          <w:i/>
        </w:rPr>
        <w:t xml:space="preserve"> f</w:t>
      </w:r>
      <w:r w:rsidR="0057498E">
        <w:t xml:space="preserve"> under subsection (4</w:t>
      </w:r>
      <w:r>
        <w:t>).</w:t>
      </w:r>
    </w:p>
    <w:p w:rsidR="002F5F38" w:rsidRDefault="002F5F38" w:rsidP="002F5F38">
      <w:pPr>
        <w:pStyle w:val="tMain"/>
      </w:pPr>
      <w:r>
        <w:tab/>
      </w:r>
      <w:r w:rsidR="00BB6D03">
        <w:t>(6)</w:t>
      </w:r>
      <w:r w:rsidR="0057498E">
        <w:tab/>
        <w:t>For subsection (3</w:t>
      </w:r>
      <w:r>
        <w:t>)</w:t>
      </w:r>
      <w:r w:rsidR="00071808">
        <w:t>,</w:t>
      </w:r>
      <w:r>
        <w:t xml:space="preserve"> </w:t>
      </w:r>
      <w:r w:rsidR="002C39A1">
        <w:rPr>
          <w:b/>
          <w:i/>
        </w:rPr>
        <w:t>SC</w:t>
      </w:r>
      <w:r>
        <w:t xml:space="preserve"> is given by the following formula</w:t>
      </w:r>
      <w:r w:rsidR="004074D0">
        <w:t xml:space="preserve"> (in United States dollars per barrel)</w:t>
      </w:r>
      <w:r w:rsidR="00F31F0D">
        <w:t>,</w:t>
      </w:r>
      <w:r w:rsidR="002C39A1">
        <w:t xml:space="preserve"> converted to Australian dollars and litres</w:t>
      </w:r>
      <w:r w:rsidR="00F31F0D">
        <w:t xml:space="preserve"> and expressed in cpl</w:t>
      </w:r>
      <w:r>
        <w:t>:</w:t>
      </w:r>
    </w:p>
    <w:p w:rsidR="002C39A1" w:rsidRPr="00172784" w:rsidRDefault="00172784" w:rsidP="002C39A1">
      <w:pPr>
        <w:pStyle w:val="tDefn"/>
        <w:rPr>
          <w:sz w:val="28"/>
          <w:szCs w:val="28"/>
        </w:rPr>
      </w:pPr>
      <m:oMathPara>
        <m:oMathParaPr>
          <m:jc m:val="left"/>
        </m:oMathParaPr>
        <m:oMath>
          <m:r>
            <m:rPr>
              <m:sty m:val="p"/>
            </m:rPr>
            <w:rPr>
              <w:rFonts w:ascii="Cambria Math" w:hAnsi="Cambria Math" w:cs="Cambria Math"/>
              <w:sz w:val="28"/>
              <w:szCs w:val="28"/>
            </w:rPr>
            <m:t xml:space="preserve">SC= </m:t>
          </m:r>
          <m:f>
            <m:fPr>
              <m:ctrlPr>
                <w:rPr>
                  <w:rFonts w:ascii="Cambria Math" w:hAnsi="Cambria Math" w:cs="Cambria Math"/>
                  <w:sz w:val="28"/>
                  <w:szCs w:val="28"/>
                </w:rPr>
              </m:ctrlPr>
            </m:fPr>
            <m:num>
              <m:r>
                <m:rPr>
                  <m:sty m:val="p"/>
                </m:rPr>
                <w:rPr>
                  <w:rFonts w:ascii="Cambria Math" w:hAnsi="Cambria Math" w:cs="Cambria Math"/>
                  <w:sz w:val="28"/>
                  <w:szCs w:val="28"/>
                </w:rPr>
                <m:t>DF</m:t>
              </m:r>
            </m:num>
            <m:den>
              <m:r>
                <m:rPr>
                  <m:sty m:val="p"/>
                </m:rPr>
                <w:rPr>
                  <w:rFonts w:ascii="Cambria Math" w:hAnsi="Cambria Math" w:cs="Cambria Math"/>
                  <w:sz w:val="28"/>
                  <w:szCs w:val="28"/>
                </w:rPr>
                <m:t>SV</m:t>
              </m:r>
            </m:den>
          </m:f>
        </m:oMath>
      </m:oMathPara>
    </w:p>
    <w:p w:rsidR="002C39A1" w:rsidRPr="00526A27" w:rsidRDefault="002C39A1" w:rsidP="002C39A1">
      <w:pPr>
        <w:pStyle w:val="tDefn"/>
      </w:pPr>
      <w:r w:rsidRPr="00172784">
        <w:rPr>
          <w:b/>
          <w:i/>
        </w:rPr>
        <w:t>DF</w:t>
      </w:r>
      <w:r>
        <w:rPr>
          <w:b/>
          <w:i/>
        </w:rPr>
        <w:t xml:space="preserve"> </w:t>
      </w:r>
      <w:r w:rsidR="00714247">
        <w:t xml:space="preserve">is </w:t>
      </w:r>
      <w:r>
        <w:t>the Indonesia – Australia freight cost for crude oil</w:t>
      </w:r>
      <w:r w:rsidR="00714247">
        <w:t xml:space="preserve"> for the month</w:t>
      </w:r>
      <w:r>
        <w:t xml:space="preserve"> from the </w:t>
      </w:r>
      <w:r w:rsidR="0057498E">
        <w:t>monthly average</w:t>
      </w:r>
      <w:r>
        <w:t xml:space="preserve"> “Dirty Indonesia-Australia 80kt $/mt” price published by S&amp;P Global Platts (</w:t>
      </w:r>
      <w:r w:rsidRPr="00D3052B">
        <w:t xml:space="preserve">Platts code: </w:t>
      </w:r>
      <w:r>
        <w:t>TDABC0</w:t>
      </w:r>
      <w:r w:rsidR="00ED3ACF">
        <w:t>0) in United States dollars per tonne</w:t>
      </w:r>
      <w:r>
        <w:t xml:space="preserve"> of crude oil.</w:t>
      </w:r>
    </w:p>
    <w:p w:rsidR="002C39A1" w:rsidRDefault="002C39A1" w:rsidP="002C39A1">
      <w:pPr>
        <w:pStyle w:val="tDefn"/>
      </w:pPr>
      <w:r w:rsidRPr="00172784">
        <w:rPr>
          <w:b/>
          <w:i/>
        </w:rPr>
        <w:lastRenderedPageBreak/>
        <w:t>SV</w:t>
      </w:r>
      <w:r>
        <w:rPr>
          <w:b/>
          <w:i/>
        </w:rPr>
        <w:t xml:space="preserve"> </w:t>
      </w:r>
      <w:r w:rsidR="00EB1039">
        <w:t>is a specific</w:t>
      </w:r>
      <w:r>
        <w:t xml:space="preserve"> volume conversion for the crude oil</w:t>
      </w:r>
      <w:r w:rsidR="00834A7E">
        <w:t>, in barrels per tonne,</w:t>
      </w:r>
      <w:r>
        <w:t xml:space="preserve"> being 7.67.</w:t>
      </w:r>
    </w:p>
    <w:p w:rsidR="00917C4D" w:rsidRDefault="00D3052B" w:rsidP="00D3052B">
      <w:pPr>
        <w:pStyle w:val="tMain"/>
      </w:pPr>
      <w:r>
        <w:tab/>
      </w:r>
      <w:r w:rsidR="00BB6D03">
        <w:t>(7)</w:t>
      </w:r>
      <w:r>
        <w:tab/>
      </w:r>
      <w:r w:rsidR="00917C4D">
        <w:t xml:space="preserve">For this section: </w:t>
      </w:r>
    </w:p>
    <w:p w:rsidR="00D3052B" w:rsidRDefault="00917C4D" w:rsidP="00917C4D">
      <w:pPr>
        <w:pStyle w:val="tPara"/>
      </w:pPr>
      <w:r>
        <w:tab/>
      </w:r>
      <w:r w:rsidR="00BB6D03">
        <w:t>(a)</w:t>
      </w:r>
      <w:r>
        <w:tab/>
        <w:t>a</w:t>
      </w:r>
      <w:r w:rsidR="00D3052B">
        <w:t xml:space="preserve">n amount in United States dollars is converted to Australian dollars by multiplying </w:t>
      </w:r>
      <w:r>
        <w:t xml:space="preserve">the amount </w:t>
      </w:r>
      <w:r w:rsidR="00D3052B">
        <w:t xml:space="preserve">by the </w:t>
      </w:r>
      <w:r w:rsidR="0057498E">
        <w:t>monthly average</w:t>
      </w:r>
      <w:r>
        <w:t xml:space="preserve"> exchange rates published by the Reserve Bank of Australia for the</w:t>
      </w:r>
      <w:r w:rsidR="0057498E">
        <w:t xml:space="preserve"> month</w:t>
      </w:r>
      <w:r>
        <w:t>; and</w:t>
      </w:r>
    </w:p>
    <w:p w:rsidR="00917C4D" w:rsidRDefault="00917C4D" w:rsidP="00917C4D">
      <w:pPr>
        <w:pStyle w:val="tPara"/>
      </w:pPr>
      <w:r>
        <w:tab/>
      </w:r>
      <w:r w:rsidR="00BB6D03">
        <w:t>(b)</w:t>
      </w:r>
      <w:r>
        <w:tab/>
        <w:t xml:space="preserve">a barrel is converted to litres by multiplying the number of barrels by </w:t>
      </w:r>
      <w:r w:rsidRPr="00917C4D">
        <w:t>158.987295</w:t>
      </w:r>
      <w:r w:rsidR="003B2DC6">
        <w:t>;</w:t>
      </w:r>
      <w:r w:rsidR="002F11C8">
        <w:t xml:space="preserve"> and</w:t>
      </w:r>
    </w:p>
    <w:p w:rsidR="003B2DC6" w:rsidRDefault="003B2DC6" w:rsidP="003B2DC6">
      <w:pPr>
        <w:pStyle w:val="tPara"/>
      </w:pPr>
      <w:r>
        <w:tab/>
      </w:r>
      <w:r w:rsidR="00BB6D03">
        <w:t>(c)</w:t>
      </w:r>
      <w:r>
        <w:tab/>
        <w:t xml:space="preserve">a tonne is converted to </w:t>
      </w:r>
      <w:r w:rsidR="00756155">
        <w:t>barrels</w:t>
      </w:r>
      <w:r>
        <w:t xml:space="preserve"> by multiplying</w:t>
      </w:r>
      <w:r w:rsidR="004A05F0">
        <w:t xml:space="preserve"> the number of tonnes</w:t>
      </w:r>
      <w:r>
        <w:t xml:space="preserve"> by the specific volu</w:t>
      </w:r>
      <w:r w:rsidR="009C4BDB">
        <w:t>me for the fuel in subsection (5</w:t>
      </w:r>
      <w:r>
        <w:t>);</w:t>
      </w:r>
      <w:r w:rsidR="002F11C8">
        <w:t xml:space="preserve"> and</w:t>
      </w:r>
    </w:p>
    <w:p w:rsidR="003B2DC6" w:rsidRDefault="003B2DC6" w:rsidP="003B2DC6">
      <w:pPr>
        <w:pStyle w:val="tPara"/>
      </w:pPr>
      <w:r>
        <w:tab/>
      </w:r>
      <w:r w:rsidR="00BB6D03">
        <w:t>(d)</w:t>
      </w:r>
      <w:r>
        <w:tab/>
      </w:r>
      <w:r w:rsidR="0057498E">
        <w:t xml:space="preserve">if a monthly average is not published for a value, </w:t>
      </w:r>
      <w:r>
        <w:t xml:space="preserve">an average of </w:t>
      </w:r>
      <w:r w:rsidR="0057498E">
        <w:t xml:space="preserve">daily published </w:t>
      </w:r>
      <w:r>
        <w:t xml:space="preserve">values in a </w:t>
      </w:r>
      <w:r w:rsidR="0057498E">
        <w:t>month</w:t>
      </w:r>
      <w:r>
        <w:t xml:space="preserve"> is</w:t>
      </w:r>
      <w:r w:rsidR="0057498E">
        <w:t xml:space="preserve"> calculated as</w:t>
      </w:r>
      <w:r>
        <w:t xml:space="preserve"> the mean of the values for each day where any day without a published value is </w:t>
      </w:r>
      <w:r w:rsidR="006E538C">
        <w:t>excluded from the calculation</w:t>
      </w:r>
      <w:r>
        <w:t>;</w:t>
      </w:r>
      <w:r w:rsidR="002F11C8">
        <w:t xml:space="preserve"> and</w:t>
      </w:r>
    </w:p>
    <w:p w:rsidR="003B2DC6" w:rsidRDefault="003B2DC6" w:rsidP="003B2DC6">
      <w:pPr>
        <w:pStyle w:val="tPara"/>
      </w:pPr>
      <w:r>
        <w:tab/>
      </w:r>
      <w:r w:rsidR="00BB6D03">
        <w:t>(e)</w:t>
      </w:r>
      <w:r>
        <w:tab/>
        <w:t>if S&amp;P Global Platts modifies</w:t>
      </w:r>
      <w:r w:rsidR="004A05F0">
        <w:t xml:space="preserve"> or ceases to publish a</w:t>
      </w:r>
      <w:r>
        <w:t xml:space="preserve"> classification or code for a value, the most equivalent or similar published value must be used to determine that value.</w:t>
      </w:r>
    </w:p>
    <w:p w:rsidR="004A05F0" w:rsidRDefault="004A05F0" w:rsidP="004A05F0">
      <w:pPr>
        <w:pStyle w:val="tMain"/>
      </w:pPr>
      <w:r>
        <w:tab/>
      </w:r>
      <w:r w:rsidR="00BB6D03">
        <w:t>(8)</w:t>
      </w:r>
      <w:r>
        <w:tab/>
        <w:t xml:space="preserve">If the circumstance in paragraph (7)(e) arises, the Secretary must consult with each person eligible for fuel security services payments about the most equivalent or similar published value before first using that value to calculate fuel security services payments. </w:t>
      </w:r>
    </w:p>
    <w:p w:rsidR="00DD6301" w:rsidRDefault="00BB6D03" w:rsidP="00DD6301">
      <w:pPr>
        <w:pStyle w:val="h5Section"/>
      </w:pPr>
      <w:bookmarkStart w:id="28" w:name="_Toc76720063"/>
      <w:r>
        <w:t>13</w:t>
      </w:r>
      <w:r w:rsidR="00DD6301">
        <w:t xml:space="preserve">  Determining quantity of FSSP fuel</w:t>
      </w:r>
      <w:bookmarkEnd w:id="28"/>
    </w:p>
    <w:p w:rsidR="00DD6301" w:rsidRDefault="00DD6301" w:rsidP="00DD6301">
      <w:pPr>
        <w:pStyle w:val="tMain"/>
      </w:pPr>
      <w:r>
        <w:tab/>
      </w:r>
      <w:r>
        <w:tab/>
        <w:t>For subsection 43(3) of the Act, the number of litres of FSS</w:t>
      </w:r>
      <w:r w:rsidR="008E1B23">
        <w:t>P fuel</w:t>
      </w:r>
      <w:r>
        <w:t xml:space="preserve"> refined by a person in a quarter must:</w:t>
      </w:r>
    </w:p>
    <w:p w:rsidR="00DD6301" w:rsidRDefault="00DD6301" w:rsidP="00DD6301">
      <w:pPr>
        <w:pStyle w:val="tPara"/>
      </w:pPr>
      <w:r>
        <w:tab/>
      </w:r>
      <w:r w:rsidR="00BB6D03">
        <w:t>(a)</w:t>
      </w:r>
      <w:r>
        <w:tab/>
        <w:t>be measured consistently with requirements for the sale of those fuels in Australia and reporting of information relating to those fuels under the POFR rules; and</w:t>
      </w:r>
    </w:p>
    <w:p w:rsidR="00DD6301" w:rsidRDefault="00DD6301" w:rsidP="00DD6301">
      <w:pPr>
        <w:pStyle w:val="tPara"/>
      </w:pPr>
      <w:r>
        <w:tab/>
      </w:r>
      <w:r w:rsidR="00BB6D03">
        <w:t>(b)</w:t>
      </w:r>
      <w:r>
        <w:tab/>
        <w:t>not include the volume of any blendstocks; and</w:t>
      </w:r>
    </w:p>
    <w:p w:rsidR="00DD6301" w:rsidRDefault="00DD6301" w:rsidP="00DD6301">
      <w:pPr>
        <w:pStyle w:val="tPara"/>
      </w:pPr>
      <w:r>
        <w:tab/>
      </w:r>
      <w:r w:rsidR="00BB6D03">
        <w:t>(c)</w:t>
      </w:r>
      <w:r>
        <w:tab/>
        <w:t>not include any volume of fuel from the refinery which does not meet the requirements to be an FSSP fuel.</w:t>
      </w:r>
    </w:p>
    <w:p w:rsidR="00226E7C" w:rsidRDefault="00BB6D03" w:rsidP="00226E7C">
      <w:pPr>
        <w:pStyle w:val="h5Section"/>
      </w:pPr>
      <w:bookmarkStart w:id="29" w:name="_Toc76720064"/>
      <w:r>
        <w:t>14</w:t>
      </w:r>
      <w:r w:rsidR="00226E7C">
        <w:t xml:space="preserve">  </w:t>
      </w:r>
      <w:r w:rsidR="00DD6301">
        <w:t>Process for</w:t>
      </w:r>
      <w:r w:rsidR="00226E7C">
        <w:t xml:space="preserve"> fuel security services payment</w:t>
      </w:r>
      <w:r w:rsidR="00953469">
        <w:t>s</w:t>
      </w:r>
      <w:bookmarkEnd w:id="29"/>
    </w:p>
    <w:p w:rsidR="00226E7C" w:rsidRDefault="00226E7C" w:rsidP="00226E7C">
      <w:pPr>
        <w:pStyle w:val="tMain"/>
      </w:pPr>
      <w:r>
        <w:tab/>
      </w:r>
      <w:r w:rsidR="00BB6D03">
        <w:t>(1)</w:t>
      </w:r>
      <w:r>
        <w:tab/>
        <w:t xml:space="preserve">For section 45 of the Act, </w:t>
      </w:r>
      <w:r w:rsidR="00953469">
        <w:t>the fuel security services payment is</w:t>
      </w:r>
      <w:r>
        <w:t xml:space="preserve"> payable for a quarter</w:t>
      </w:r>
      <w:r w:rsidR="00BB5DAF">
        <w:t xml:space="preserve"> </w:t>
      </w:r>
      <w:r>
        <w:t>after the Secretary is satisfi</w:t>
      </w:r>
      <w:r w:rsidR="008E1B23">
        <w:t>ed with the volume of FSSP fuel</w:t>
      </w:r>
      <w:r>
        <w:t xml:space="preserve"> refined</w:t>
      </w:r>
      <w:r w:rsidR="00953469">
        <w:t xml:space="preserve"> at a committed refinery</w:t>
      </w:r>
      <w:r>
        <w:t xml:space="preserve"> in the quarter meeting the requirements under section</w:t>
      </w:r>
      <w:r w:rsidR="001F710D">
        <w:t>s</w:t>
      </w:r>
      <w:r>
        <w:t xml:space="preserve"> </w:t>
      </w:r>
      <w:r w:rsidR="00BB6D03">
        <w:t>5</w:t>
      </w:r>
      <w:r w:rsidR="00DD6301">
        <w:t xml:space="preserve"> and </w:t>
      </w:r>
      <w:r w:rsidR="00BB6D03">
        <w:t>13</w:t>
      </w:r>
      <w:r>
        <w:t xml:space="preserve"> and reported under the POFR Act for the refinery.</w:t>
      </w:r>
    </w:p>
    <w:p w:rsidR="00226E7C" w:rsidRDefault="00226E7C" w:rsidP="00226E7C">
      <w:pPr>
        <w:pStyle w:val="tMain"/>
      </w:pPr>
      <w:r>
        <w:tab/>
      </w:r>
      <w:r w:rsidR="00BB6D03">
        <w:t>(2)</w:t>
      </w:r>
      <w:r>
        <w:tab/>
        <w:t>The payments are to be made:</w:t>
      </w:r>
    </w:p>
    <w:p w:rsidR="00226E7C" w:rsidRDefault="00226E7C" w:rsidP="00226E7C">
      <w:pPr>
        <w:pStyle w:val="tPara"/>
      </w:pPr>
      <w:r>
        <w:tab/>
      </w:r>
      <w:r w:rsidR="00BB6D03">
        <w:t>(a)</w:t>
      </w:r>
      <w:r>
        <w:tab/>
        <w:t>to the bank account nominated in the application; or</w:t>
      </w:r>
    </w:p>
    <w:p w:rsidR="00226E7C" w:rsidRDefault="00226E7C" w:rsidP="00226E7C">
      <w:pPr>
        <w:pStyle w:val="tPara"/>
      </w:pPr>
      <w:r>
        <w:tab/>
      </w:r>
      <w:r w:rsidR="00BB6D03">
        <w:t>(b)</w:t>
      </w:r>
      <w:r>
        <w:tab/>
        <w:t>if an authorised representative</w:t>
      </w:r>
      <w:r w:rsidR="00953469">
        <w:t xml:space="preserve"> of the person</w:t>
      </w:r>
      <w:r>
        <w:t xml:space="preserve"> provides updated bank account details—to that account.</w:t>
      </w:r>
    </w:p>
    <w:p w:rsidR="00BB5DAF" w:rsidRDefault="00BB5DAF" w:rsidP="003D1415">
      <w:pPr>
        <w:pStyle w:val="tMain"/>
      </w:pPr>
      <w:r>
        <w:tab/>
      </w:r>
      <w:r w:rsidR="00BB6D03">
        <w:t>(3)</w:t>
      </w:r>
      <w:r>
        <w:tab/>
        <w:t xml:space="preserve">The </w:t>
      </w:r>
      <w:r w:rsidR="00714247">
        <w:t>Secretary must make payments under subsection (1)</w:t>
      </w:r>
      <w:r w:rsidR="004A05F0">
        <w:t xml:space="preserve"> as soon as practicable, and</w:t>
      </w:r>
      <w:r w:rsidR="00714247">
        <w:t xml:space="preserve"> no later than 30 days</w:t>
      </w:r>
      <w:r w:rsidR="004A05F0">
        <w:t>,</w:t>
      </w:r>
      <w:r w:rsidR="00714247">
        <w:t xml:space="preserve"> after</w:t>
      </w:r>
      <w:r w:rsidR="009F1611">
        <w:t xml:space="preserve"> receiving</w:t>
      </w:r>
      <w:r w:rsidR="00944957">
        <w:t xml:space="preserve"> the</w:t>
      </w:r>
      <w:r w:rsidR="009F1611">
        <w:t xml:space="preserve"> relevant information </w:t>
      </w:r>
      <w:r w:rsidR="00944957">
        <w:t>and</w:t>
      </w:r>
      <w:r w:rsidR="00714247">
        <w:t xml:space="preserve"> </w:t>
      </w:r>
      <w:r w:rsidR="00D669AF">
        <w:t>becoming satisfied under that subsection</w:t>
      </w:r>
      <w:r w:rsidR="00714247">
        <w:t xml:space="preserve">. </w:t>
      </w:r>
    </w:p>
    <w:p w:rsidR="00226E7C" w:rsidRDefault="00BB6D03" w:rsidP="00226E7C">
      <w:pPr>
        <w:pStyle w:val="h5Section"/>
      </w:pPr>
      <w:bookmarkStart w:id="30" w:name="_Toc76720065"/>
      <w:r>
        <w:t>15</w:t>
      </w:r>
      <w:r w:rsidR="00226E7C">
        <w:t xml:space="preserve">  Publication of information</w:t>
      </w:r>
      <w:bookmarkEnd w:id="30"/>
    </w:p>
    <w:p w:rsidR="00372DF1" w:rsidRDefault="00226E7C" w:rsidP="001C1D02">
      <w:pPr>
        <w:pStyle w:val="tMain"/>
      </w:pPr>
      <w:r>
        <w:tab/>
      </w:r>
      <w:r>
        <w:tab/>
        <w:t xml:space="preserve">For paragraph 46(b) of the Act, the Secretary must publish on the Department’s website </w:t>
      </w:r>
      <w:r w:rsidR="00926D9B">
        <w:t>the total amount of fuel security services payments for the preceding quarter within 14 days after those amounts are paid.</w:t>
      </w:r>
    </w:p>
    <w:p w:rsidR="00EB5317" w:rsidRPr="002A0313" w:rsidRDefault="00BB6D03" w:rsidP="00EB5317">
      <w:pPr>
        <w:pStyle w:val="h2Part"/>
      </w:pPr>
      <w:bookmarkStart w:id="31" w:name="_Toc76720066"/>
      <w:r>
        <w:rPr>
          <w:rStyle w:val="CharPartNo"/>
        </w:rPr>
        <w:lastRenderedPageBreak/>
        <w:t>Part 6</w:t>
      </w:r>
      <w:r w:rsidR="00EB5317">
        <w:rPr>
          <w:rStyle w:val="CharPartNo"/>
        </w:rPr>
        <w:t>—</w:t>
      </w:r>
      <w:r w:rsidR="00EB5317">
        <w:rPr>
          <w:rStyle w:val="CharPartText"/>
        </w:rPr>
        <w:t xml:space="preserve">Reporting </w:t>
      </w:r>
      <w:r w:rsidR="00286557">
        <w:rPr>
          <w:rStyle w:val="CharPartText"/>
        </w:rPr>
        <w:t xml:space="preserve">and notification </w:t>
      </w:r>
      <w:r w:rsidR="00EB5317">
        <w:rPr>
          <w:rStyle w:val="CharPartText"/>
        </w:rPr>
        <w:t>obligations</w:t>
      </w:r>
      <w:bookmarkEnd w:id="31"/>
      <w:r w:rsidR="00EB5317" w:rsidRPr="002A0313">
        <w:rPr>
          <w:rStyle w:val="CharDivNo"/>
        </w:rPr>
        <w:t xml:space="preserve"> </w:t>
      </w:r>
      <w:r w:rsidR="00EB5317" w:rsidRPr="002A0313">
        <w:rPr>
          <w:rStyle w:val="CharDivText"/>
        </w:rPr>
        <w:t xml:space="preserve"> </w:t>
      </w:r>
    </w:p>
    <w:p w:rsidR="00EB5317" w:rsidRDefault="00BB6D03" w:rsidP="00EB5317">
      <w:pPr>
        <w:pStyle w:val="h5Section"/>
      </w:pPr>
      <w:bookmarkStart w:id="32" w:name="_Toc76720067"/>
      <w:r>
        <w:t>16</w:t>
      </w:r>
      <w:r w:rsidR="00EB5317">
        <w:t xml:space="preserve">  Reporting refinery operation</w:t>
      </w:r>
      <w:r w:rsidR="00522647">
        <w:t>—general</w:t>
      </w:r>
      <w:bookmarkEnd w:id="32"/>
      <w:r w:rsidR="00522647">
        <w:t xml:space="preserve"> </w:t>
      </w:r>
    </w:p>
    <w:p w:rsidR="006C685B" w:rsidRDefault="00EB5317" w:rsidP="00EB5317">
      <w:pPr>
        <w:pStyle w:val="tMain"/>
      </w:pPr>
      <w:r>
        <w:tab/>
      </w:r>
      <w:r w:rsidR="00BB6D03">
        <w:t>(1)</w:t>
      </w:r>
      <w:r w:rsidR="006C685B">
        <w:tab/>
        <w:t>For paragraph</w:t>
      </w:r>
      <w:r>
        <w:t xml:space="preserve"> 47</w:t>
      </w:r>
      <w:r w:rsidR="006C685B">
        <w:t>(2</w:t>
      </w:r>
      <w:r>
        <w:t>)</w:t>
      </w:r>
      <w:r w:rsidR="006C685B">
        <w:t>(a) of the Act, a</w:t>
      </w:r>
      <w:r>
        <w:t xml:space="preserve"> person must report</w:t>
      </w:r>
      <w:r w:rsidR="006C685B">
        <w:t xml:space="preserve">: </w:t>
      </w:r>
    </w:p>
    <w:p w:rsidR="00EB5317" w:rsidRPr="00F77994" w:rsidRDefault="006C685B" w:rsidP="006C685B">
      <w:pPr>
        <w:pStyle w:val="tPara"/>
      </w:pPr>
      <w:r>
        <w:tab/>
      </w:r>
      <w:r w:rsidR="00BB6D03">
        <w:t>(a)</w:t>
      </w:r>
      <w:r w:rsidRPr="00F77994">
        <w:tab/>
        <w:t xml:space="preserve">if the operation of the </w:t>
      </w:r>
      <w:r w:rsidR="00D669AF">
        <w:t xml:space="preserve">committed </w:t>
      </w:r>
      <w:r w:rsidRPr="00F77994">
        <w:t xml:space="preserve">refinery does not meet the requirements of </w:t>
      </w:r>
      <w:r w:rsidR="001F710D">
        <w:t>sub</w:t>
      </w:r>
      <w:r w:rsidRPr="00F77994">
        <w:t xml:space="preserve">section </w:t>
      </w:r>
      <w:r w:rsidR="00BB6D03">
        <w:t>7</w:t>
      </w:r>
      <w:r w:rsidR="001F710D">
        <w:t>(2)</w:t>
      </w:r>
      <w:r w:rsidRPr="00F77994">
        <w:t xml:space="preserve"> in the previous quarter—the reasons why these requirements were not met; or</w:t>
      </w:r>
    </w:p>
    <w:p w:rsidR="006C685B" w:rsidRDefault="006C685B" w:rsidP="006C685B">
      <w:pPr>
        <w:pStyle w:val="tPara"/>
      </w:pPr>
      <w:r w:rsidRPr="00F77994">
        <w:tab/>
      </w:r>
      <w:r w:rsidR="00BB6D03">
        <w:t>(b)</w:t>
      </w:r>
      <w:r w:rsidRPr="00F77994">
        <w:tab/>
        <w:t>if there was no time in the quarter at which the person refined any FSSP fuel at the committed refinery—th</w:t>
      </w:r>
      <w:r w:rsidR="00C761B9">
        <w:t>e reasons why this was the case; or</w:t>
      </w:r>
    </w:p>
    <w:p w:rsidR="00C761B9" w:rsidRPr="00F77994" w:rsidRDefault="00C761B9" w:rsidP="006C685B">
      <w:pPr>
        <w:pStyle w:val="tPara"/>
      </w:pPr>
      <w:r>
        <w:tab/>
        <w:t>(c)</w:t>
      </w:r>
      <w:r>
        <w:tab/>
        <w:t>if subsection 11(3) applies to a quarter—why the subsection applies and whether a replacement security is likely to be provided.</w:t>
      </w:r>
    </w:p>
    <w:p w:rsidR="006C685B" w:rsidRPr="00F77994" w:rsidRDefault="006C685B" w:rsidP="006C685B">
      <w:pPr>
        <w:pStyle w:val="tMain"/>
      </w:pPr>
      <w:r w:rsidRPr="00F77994">
        <w:tab/>
      </w:r>
      <w:r w:rsidR="00BB6D03">
        <w:t>(2)</w:t>
      </w:r>
      <w:r w:rsidRPr="00F77994">
        <w:tab/>
        <w:t xml:space="preserve">For paragraph 47(2)(c) of the Act, </w:t>
      </w:r>
      <w:r w:rsidR="00D669AF">
        <w:t xml:space="preserve">any </w:t>
      </w:r>
      <w:r w:rsidRPr="00F77994">
        <w:t>report</w:t>
      </w:r>
      <w:r w:rsidR="00E4038B" w:rsidRPr="00F77994">
        <w:t xml:space="preserve">s </w:t>
      </w:r>
      <w:r w:rsidR="00D669AF">
        <w:t xml:space="preserve">required </w:t>
      </w:r>
      <w:r w:rsidR="00E4038B" w:rsidRPr="00F77994">
        <w:t>under subsection (1)</w:t>
      </w:r>
      <w:r w:rsidRPr="00F77994">
        <w:t xml:space="preserve"> must be provided within </w:t>
      </w:r>
      <w:r w:rsidR="00C761B9">
        <w:t>21</w:t>
      </w:r>
      <w:r w:rsidRPr="00F77994">
        <w:t xml:space="preserve"> days of the end of the quarter.</w:t>
      </w:r>
    </w:p>
    <w:p w:rsidR="006C685B" w:rsidRPr="00F77994" w:rsidRDefault="006C685B" w:rsidP="006C685B">
      <w:pPr>
        <w:pStyle w:val="tMain"/>
      </w:pPr>
      <w:r w:rsidRPr="00F77994">
        <w:tab/>
      </w:r>
      <w:r w:rsidR="00BB6D03">
        <w:t>(3)</w:t>
      </w:r>
      <w:r w:rsidRPr="00F77994">
        <w:tab/>
        <w:t xml:space="preserve">However, subsection (1) does not apply if the person has notified the Commonwealth </w:t>
      </w:r>
      <w:r w:rsidR="000F3049" w:rsidRPr="00F77994">
        <w:t xml:space="preserve">under section 48 </w:t>
      </w:r>
      <w:r w:rsidR="00756155" w:rsidRPr="00F77994">
        <w:t xml:space="preserve">of the Act </w:t>
      </w:r>
      <w:r w:rsidR="000F3049" w:rsidRPr="00F77994">
        <w:t xml:space="preserve">of an event </w:t>
      </w:r>
      <w:r w:rsidRPr="00F77994">
        <w:t>that</w:t>
      </w:r>
      <w:r w:rsidR="000F3049" w:rsidRPr="00F77994">
        <w:t xml:space="preserve"> has the effect t</w:t>
      </w:r>
      <w:r w:rsidR="00073AE9">
        <w:t>hat the person will no longer be</w:t>
      </w:r>
      <w:r w:rsidR="000F3049" w:rsidRPr="00F77994">
        <w:t xml:space="preserve"> eligible for fuel security services payments for the rest of their commitment period.</w:t>
      </w:r>
    </w:p>
    <w:p w:rsidR="00EB5317" w:rsidRPr="00F77994" w:rsidRDefault="006C685B" w:rsidP="006C685B">
      <w:pPr>
        <w:pStyle w:val="nMain"/>
      </w:pPr>
      <w:r w:rsidRPr="00F77994">
        <w:t>Note:</w:t>
      </w:r>
      <w:r w:rsidRPr="00F77994">
        <w:tab/>
        <w:t>Additional repor</w:t>
      </w:r>
      <w:r w:rsidR="008E1B23">
        <w:t>ting of the volume of FSSP fuel</w:t>
      </w:r>
      <w:r w:rsidRPr="00F77994">
        <w:t xml:space="preserve"> </w:t>
      </w:r>
      <w:r w:rsidR="001E3998" w:rsidRPr="00F77994">
        <w:t xml:space="preserve">refined </w:t>
      </w:r>
      <w:r w:rsidRPr="00F77994">
        <w:t xml:space="preserve">in each quarter is required under the </w:t>
      </w:r>
      <w:r w:rsidR="001E3998" w:rsidRPr="00F77994">
        <w:t xml:space="preserve">POFR Act and </w:t>
      </w:r>
      <w:r w:rsidRPr="00F77994">
        <w:t>POFR rules.</w:t>
      </w:r>
    </w:p>
    <w:p w:rsidR="00522647" w:rsidRPr="00F77994" w:rsidRDefault="00BB6D03" w:rsidP="00522647">
      <w:pPr>
        <w:pStyle w:val="h5Section"/>
      </w:pPr>
      <w:bookmarkStart w:id="33" w:name="_Toc76720068"/>
      <w:r>
        <w:t>17</w:t>
      </w:r>
      <w:r w:rsidR="00522647" w:rsidRPr="00F77994">
        <w:t xml:space="preserve">  Reporting refinery operation—closure circumstances</w:t>
      </w:r>
      <w:bookmarkEnd w:id="33"/>
    </w:p>
    <w:p w:rsidR="00522647" w:rsidRPr="00F77994" w:rsidRDefault="00522647" w:rsidP="00522647">
      <w:pPr>
        <w:pStyle w:val="tMain"/>
      </w:pPr>
      <w:r w:rsidRPr="00F77994">
        <w:tab/>
      </w:r>
      <w:r w:rsidR="00BB6D03">
        <w:t>(1)</w:t>
      </w:r>
      <w:r w:rsidRPr="00F77994">
        <w:tab/>
        <w:t>For paragraph 47(2)(a) of the Act, a person must</w:t>
      </w:r>
      <w:r w:rsidR="00DD6301" w:rsidRPr="00F77994">
        <w:t xml:space="preserve"> provide a</w:t>
      </w:r>
      <w:r w:rsidRPr="00F77994">
        <w:t xml:space="preserve"> report </w:t>
      </w:r>
      <w:r w:rsidR="00DD6301" w:rsidRPr="00F77994">
        <w:t xml:space="preserve">with </w:t>
      </w:r>
      <w:r w:rsidRPr="00F77994">
        <w:t>the following information if they consider</w:t>
      </w:r>
      <w:r w:rsidR="00ED3ACF">
        <w:t xml:space="preserve"> that</w:t>
      </w:r>
      <w:r w:rsidRPr="00F77994">
        <w:t xml:space="preserve"> a circumstance has occurred where the obligation to repay under </w:t>
      </w:r>
      <w:r w:rsidR="00ED3ACF">
        <w:t>subsection 50(1) of the Act would</w:t>
      </w:r>
      <w:r w:rsidRPr="00F77994">
        <w:t xml:space="preserve"> not arise if the refinery closed</w:t>
      </w:r>
      <w:r w:rsidR="00CA010F">
        <w:t xml:space="preserve"> or has already closed</w:t>
      </w:r>
      <w:r w:rsidRPr="00F77994">
        <w:t>:</w:t>
      </w:r>
    </w:p>
    <w:p w:rsidR="00522647" w:rsidRPr="00F77994" w:rsidRDefault="00522647" w:rsidP="00522647">
      <w:pPr>
        <w:pStyle w:val="tPara"/>
      </w:pPr>
      <w:r w:rsidRPr="00F77994">
        <w:tab/>
      </w:r>
      <w:r w:rsidR="00BB6D03">
        <w:t>(a)</w:t>
      </w:r>
      <w:r w:rsidRPr="00F77994">
        <w:tab/>
        <w:t>the nature of the circumstance and why they consi</w:t>
      </w:r>
      <w:r w:rsidR="00ED3ACF">
        <w:t>der the obligation to repay would</w:t>
      </w:r>
      <w:r w:rsidRPr="00F77994">
        <w:t xml:space="preserve"> not arise</w:t>
      </w:r>
      <w:r w:rsidR="00286557" w:rsidRPr="00F77994">
        <w:t>;</w:t>
      </w:r>
    </w:p>
    <w:p w:rsidR="00286557" w:rsidRDefault="00286557" w:rsidP="00286557">
      <w:pPr>
        <w:pStyle w:val="tPara"/>
      </w:pPr>
      <w:r w:rsidRPr="00F77994">
        <w:tab/>
      </w:r>
      <w:r w:rsidR="00BB6D03">
        <w:t>(b)</w:t>
      </w:r>
      <w:r w:rsidRPr="00F77994">
        <w:tab/>
        <w:t>the steps taken</w:t>
      </w:r>
      <w:r w:rsidR="001859C6">
        <w:t xml:space="preserve"> and proposed to be taken</w:t>
      </w:r>
      <w:r w:rsidRPr="00F77994">
        <w:t xml:space="preserve"> by the refiner</w:t>
      </w:r>
      <w:r w:rsidR="00CA010F">
        <w:t xml:space="preserve">y operator </w:t>
      </w:r>
      <w:r w:rsidR="00D669AF">
        <w:t xml:space="preserve">and related refinery entities </w:t>
      </w:r>
      <w:r w:rsidR="00CA010F">
        <w:t>to prevent or limit</w:t>
      </w:r>
      <w:r w:rsidRPr="00F77994">
        <w:t xml:space="preserve"> the effect of the circumstance, including those outlined in the information provided under paragraph </w:t>
      </w:r>
      <w:r w:rsidR="00BB6D03">
        <w:t>6</w:t>
      </w:r>
      <w:r w:rsidRPr="00F77994">
        <w:t xml:space="preserve">(2)(d), and why further steps were not </w:t>
      </w:r>
      <w:r w:rsidR="001859C6">
        <w:t xml:space="preserve">or cannot be </w:t>
      </w:r>
      <w:r w:rsidRPr="00F77994">
        <w:t>taken;</w:t>
      </w:r>
    </w:p>
    <w:p w:rsidR="001D61EF" w:rsidRPr="00F77994" w:rsidRDefault="001D61EF" w:rsidP="001D61EF">
      <w:pPr>
        <w:pStyle w:val="tPara"/>
      </w:pPr>
      <w:r>
        <w:tab/>
      </w:r>
      <w:r w:rsidR="00BB6D03">
        <w:t>(c)</w:t>
      </w:r>
      <w:r>
        <w:tab/>
        <w:t xml:space="preserve">the costs associated with addressing any force majeure </w:t>
      </w:r>
      <w:r w:rsidR="00001B29">
        <w:t>event or material adverse change</w:t>
      </w:r>
      <w:r>
        <w:t>, including relevant supporting documentation of those costs;</w:t>
      </w:r>
    </w:p>
    <w:p w:rsidR="00522647" w:rsidRPr="00F77994" w:rsidRDefault="00522647" w:rsidP="00522647">
      <w:pPr>
        <w:pStyle w:val="tPara"/>
      </w:pPr>
      <w:r w:rsidRPr="00F77994">
        <w:tab/>
      </w:r>
      <w:r w:rsidR="00BB6D03">
        <w:t>(d)</w:t>
      </w:r>
      <w:r w:rsidRPr="00F77994">
        <w:tab/>
        <w:t xml:space="preserve">the </w:t>
      </w:r>
      <w:r w:rsidR="00D8655D">
        <w:t xml:space="preserve">relevant independent </w:t>
      </w:r>
      <w:r w:rsidRPr="00F77994">
        <w:t xml:space="preserve">analysis </w:t>
      </w:r>
      <w:r w:rsidR="001859C6">
        <w:t xml:space="preserve">required by paragraph </w:t>
      </w:r>
      <w:r w:rsidR="00BB6D03">
        <w:t>20</w:t>
      </w:r>
      <w:r w:rsidR="006235E3">
        <w:t>(2)(c) or (4)(d</w:t>
      </w:r>
      <w:r w:rsidR="001859C6">
        <w:t>)</w:t>
      </w:r>
      <w:r w:rsidR="00286557" w:rsidRPr="00F77994">
        <w:t>;</w:t>
      </w:r>
    </w:p>
    <w:p w:rsidR="00522647" w:rsidRPr="00F77994" w:rsidRDefault="00522647" w:rsidP="00522647">
      <w:pPr>
        <w:pStyle w:val="tPara"/>
      </w:pPr>
      <w:r w:rsidRPr="00F77994">
        <w:tab/>
      </w:r>
      <w:r w:rsidR="00BB6D03">
        <w:t>(e)</w:t>
      </w:r>
      <w:r w:rsidRPr="00F77994">
        <w:tab/>
      </w:r>
      <w:r w:rsidR="00286557" w:rsidRPr="00F77994">
        <w:t xml:space="preserve">unless otherwise agreed with the Secretary, </w:t>
      </w:r>
      <w:r w:rsidRPr="00F77994">
        <w:t>the data</w:t>
      </w:r>
      <w:r w:rsidR="00286557" w:rsidRPr="00F77994">
        <w:t xml:space="preserve"> and information used to support the analysis</w:t>
      </w:r>
      <w:r w:rsidR="000D117C">
        <w:t xml:space="preserve"> provided under paragraph (d)</w:t>
      </w:r>
      <w:r w:rsidR="00286557" w:rsidRPr="00F77994">
        <w:t>.</w:t>
      </w:r>
    </w:p>
    <w:p w:rsidR="00ED3ACF" w:rsidRPr="00F77994" w:rsidRDefault="00522647" w:rsidP="00ED3ACF">
      <w:pPr>
        <w:pStyle w:val="tMain"/>
      </w:pPr>
      <w:r w:rsidRPr="00F77994">
        <w:tab/>
      </w:r>
      <w:r w:rsidR="00BB6D03">
        <w:t>(2)</w:t>
      </w:r>
      <w:r w:rsidRPr="00F77994">
        <w:tab/>
        <w:t>For paragraph 47(2)(c) of the Act, the reports under subsection (1) must be provided as soon as practicable aft</w:t>
      </w:r>
      <w:r w:rsidR="00ED3ACF">
        <w:t>er the circumstance has arisen</w:t>
      </w:r>
      <w:r w:rsidR="006E538C">
        <w:t xml:space="preserve"> and the relevant independent analysis has been prepared</w:t>
      </w:r>
      <w:r w:rsidRPr="00F77994">
        <w:t>.</w:t>
      </w:r>
    </w:p>
    <w:p w:rsidR="00286557" w:rsidRPr="00F77994" w:rsidRDefault="00BB6D03" w:rsidP="00286557">
      <w:pPr>
        <w:pStyle w:val="h5Section"/>
      </w:pPr>
      <w:bookmarkStart w:id="34" w:name="_Toc76720069"/>
      <w:r>
        <w:t>18</w:t>
      </w:r>
      <w:r w:rsidR="00286557" w:rsidRPr="00F77994">
        <w:t xml:space="preserve">  Notification</w:t>
      </w:r>
      <w:bookmarkEnd w:id="34"/>
    </w:p>
    <w:p w:rsidR="00286557" w:rsidRPr="005949C0" w:rsidRDefault="00286557" w:rsidP="00286557">
      <w:pPr>
        <w:pStyle w:val="tMain"/>
      </w:pPr>
      <w:r w:rsidRPr="00F77994">
        <w:tab/>
      </w:r>
      <w:r w:rsidR="00BB6D03">
        <w:t>(1)</w:t>
      </w:r>
      <w:r w:rsidRPr="00F77994">
        <w:tab/>
        <w:t xml:space="preserve">For paragraph 48(1)(f) of </w:t>
      </w:r>
      <w:r w:rsidRPr="005949C0">
        <w:t>the Act, an event covered by subsection (2) is prescribed.</w:t>
      </w:r>
    </w:p>
    <w:p w:rsidR="00286557" w:rsidRPr="00F77994" w:rsidRDefault="00BC3CF2" w:rsidP="008A71F9">
      <w:pPr>
        <w:pStyle w:val="tMain"/>
      </w:pPr>
      <w:r w:rsidRPr="005949C0">
        <w:tab/>
      </w:r>
      <w:r w:rsidR="00BB6D03">
        <w:t>(2)</w:t>
      </w:r>
      <w:r w:rsidRPr="005949C0">
        <w:tab/>
        <w:t xml:space="preserve">A force majeure event </w:t>
      </w:r>
      <w:r w:rsidR="00001B29">
        <w:t>or material adverse change</w:t>
      </w:r>
      <w:r w:rsidRPr="005949C0">
        <w:t xml:space="preserve"> has occurred, or is</w:t>
      </w:r>
      <w:r w:rsidR="00D669AF">
        <w:t xml:space="preserve"> very</w:t>
      </w:r>
      <w:r w:rsidRPr="005949C0">
        <w:t xml:space="preserve"> likely to occur, that has the potential to result in the closure of the refinery.</w:t>
      </w:r>
      <w:r w:rsidR="002A053A" w:rsidRPr="00F77994">
        <w:t xml:space="preserve"> </w:t>
      </w:r>
    </w:p>
    <w:p w:rsidR="00D669AF" w:rsidRDefault="002A053A" w:rsidP="002A053A">
      <w:pPr>
        <w:pStyle w:val="tMain"/>
      </w:pPr>
      <w:r w:rsidRPr="00F77994">
        <w:tab/>
      </w:r>
      <w:r w:rsidR="00BB6D03">
        <w:t>(3)</w:t>
      </w:r>
      <w:r w:rsidRPr="00F77994">
        <w:tab/>
        <w:t xml:space="preserve">For paragraph 48(3)(c) of the Act, the notice </w:t>
      </w:r>
      <w:r w:rsidR="00BB5DAF">
        <w:t>must be provided</w:t>
      </w:r>
      <w:r w:rsidR="00D669AF">
        <w:t xml:space="preserve"> by the later of:</w:t>
      </w:r>
      <w:r w:rsidR="00BB5DAF">
        <w:t xml:space="preserve"> </w:t>
      </w:r>
    </w:p>
    <w:p w:rsidR="00D669AF" w:rsidRDefault="00D669AF" w:rsidP="00D669AF">
      <w:pPr>
        <w:pStyle w:val="tPara"/>
      </w:pPr>
      <w:r>
        <w:tab/>
      </w:r>
      <w:r w:rsidR="00BB6D03">
        <w:t>(a)</w:t>
      </w:r>
      <w:r>
        <w:tab/>
      </w:r>
      <w:r w:rsidR="00BB5DAF">
        <w:t>14</w:t>
      </w:r>
      <w:r w:rsidR="002A053A" w:rsidRPr="00F77994">
        <w:t xml:space="preserve"> days after the event occurs</w:t>
      </w:r>
      <w:r>
        <w:t>;</w:t>
      </w:r>
      <w:r w:rsidR="00BB5DAF">
        <w:t xml:space="preserve"> or </w:t>
      </w:r>
    </w:p>
    <w:p w:rsidR="00286557" w:rsidRDefault="00D669AF" w:rsidP="00D669AF">
      <w:pPr>
        <w:pStyle w:val="tPara"/>
      </w:pPr>
      <w:r>
        <w:lastRenderedPageBreak/>
        <w:tab/>
      </w:r>
      <w:r w:rsidR="00BB6D03">
        <w:t>(b)</w:t>
      </w:r>
      <w:r>
        <w:tab/>
      </w:r>
      <w:r w:rsidR="008C706B">
        <w:t>if under subsection (2)</w:t>
      </w:r>
      <w:r>
        <w:t xml:space="preserve"> the impact of the force majeure </w:t>
      </w:r>
      <w:r w:rsidR="00815805">
        <w:t xml:space="preserve">event </w:t>
      </w:r>
      <w:r>
        <w:t xml:space="preserve">or material adverse change on the operation of the committed refinery is not clear—14 days after </w:t>
      </w:r>
      <w:r w:rsidR="00BB5DAF">
        <w:t>the</w:t>
      </w:r>
      <w:r>
        <w:t xml:space="preserve"> person forms a conclusion</w:t>
      </w:r>
      <w:r w:rsidR="00BB5DAF">
        <w:t xml:space="preserve"> that the event or change has the potential to result in the closure of the refinery</w:t>
      </w:r>
      <w:r w:rsidR="002A053A" w:rsidRPr="00F77994">
        <w:t>.</w:t>
      </w:r>
    </w:p>
    <w:p w:rsidR="00E53849" w:rsidRPr="002A0313" w:rsidRDefault="00BB6D03" w:rsidP="00E53849">
      <w:pPr>
        <w:pStyle w:val="h2Part"/>
      </w:pPr>
      <w:bookmarkStart w:id="35" w:name="_Toc76720070"/>
      <w:r>
        <w:rPr>
          <w:rStyle w:val="CharPartNo"/>
        </w:rPr>
        <w:t>Part 7</w:t>
      </w:r>
      <w:r w:rsidR="00E53849">
        <w:rPr>
          <w:rStyle w:val="CharPartNo"/>
        </w:rPr>
        <w:t>—</w:t>
      </w:r>
      <w:r w:rsidR="00E53849">
        <w:rPr>
          <w:rStyle w:val="CharPartText"/>
        </w:rPr>
        <w:t>Repayment obligations</w:t>
      </w:r>
      <w:bookmarkEnd w:id="35"/>
      <w:r w:rsidR="00E53849" w:rsidRPr="002A0313">
        <w:rPr>
          <w:rStyle w:val="CharDivNo"/>
        </w:rPr>
        <w:t xml:space="preserve"> </w:t>
      </w:r>
      <w:r w:rsidR="00E53849" w:rsidRPr="002A0313">
        <w:rPr>
          <w:rStyle w:val="CharDivText"/>
        </w:rPr>
        <w:t xml:space="preserve"> </w:t>
      </w:r>
    </w:p>
    <w:p w:rsidR="00F852F2" w:rsidRDefault="00BB6D03" w:rsidP="00F852F2">
      <w:pPr>
        <w:pStyle w:val="h5Section"/>
      </w:pPr>
      <w:bookmarkStart w:id="36" w:name="_Toc76720071"/>
      <w:r>
        <w:t>19</w:t>
      </w:r>
      <w:r w:rsidR="00F852F2">
        <w:t xml:space="preserve">  Waiver </w:t>
      </w:r>
      <w:r w:rsidR="00953469">
        <w:t xml:space="preserve">of debts </w:t>
      </w:r>
      <w:r w:rsidR="00F852F2">
        <w:t>and payment by instalments</w:t>
      </w:r>
      <w:bookmarkEnd w:id="36"/>
    </w:p>
    <w:p w:rsidR="00F852F2" w:rsidRDefault="00F852F2" w:rsidP="006C5823">
      <w:pPr>
        <w:pStyle w:val="tDefn"/>
      </w:pPr>
      <w:r>
        <w:t xml:space="preserve">A decision by the Secretary under paragraph </w:t>
      </w:r>
      <w:r w:rsidR="00386680">
        <w:t>50</w:t>
      </w:r>
      <w:r w:rsidR="00953469">
        <w:t xml:space="preserve">(6)(b) or </w:t>
      </w:r>
      <w:r>
        <w:t xml:space="preserve">(c) </w:t>
      </w:r>
      <w:r w:rsidR="00953469">
        <w:t xml:space="preserve">of the Act </w:t>
      </w:r>
      <w:r>
        <w:t>must take into account</w:t>
      </w:r>
      <w:r w:rsidR="00B8447E">
        <w:t>,</w:t>
      </w:r>
      <w:r>
        <w:t xml:space="preserve"> and be consistent with</w:t>
      </w:r>
      <w:r w:rsidR="00B8447E">
        <w:t>,</w:t>
      </w:r>
      <w:r>
        <w:t xml:space="preserve"> the </w:t>
      </w:r>
      <w:r w:rsidRPr="00F852F2">
        <w:rPr>
          <w:i/>
        </w:rPr>
        <w:t>Public Governance, Performance and Accountability Act 201</w:t>
      </w:r>
      <w:r w:rsidR="004353DB">
        <w:rPr>
          <w:i/>
        </w:rPr>
        <w:t>3</w:t>
      </w:r>
      <w:r>
        <w:t xml:space="preserve"> and relevant rules and guidelines under that Act.</w:t>
      </w:r>
    </w:p>
    <w:p w:rsidR="00695E89" w:rsidRPr="002A0313" w:rsidRDefault="00BB6D03" w:rsidP="00695E89">
      <w:pPr>
        <w:pStyle w:val="h5Section"/>
      </w:pPr>
      <w:bookmarkStart w:id="37" w:name="_Toc76720072"/>
      <w:r>
        <w:t>20</w:t>
      </w:r>
      <w:r w:rsidR="00695E89">
        <w:t xml:space="preserve">  Circumstances when repayment</w:t>
      </w:r>
      <w:r w:rsidR="00953469">
        <w:t xml:space="preserve"> obligation</w:t>
      </w:r>
      <w:r w:rsidR="00695E89">
        <w:t xml:space="preserve"> does not apply</w:t>
      </w:r>
      <w:bookmarkEnd w:id="37"/>
    </w:p>
    <w:p w:rsidR="00695E89" w:rsidRDefault="00695E89" w:rsidP="00695E89">
      <w:pPr>
        <w:pStyle w:val="tMain"/>
      </w:pPr>
      <w:r>
        <w:tab/>
      </w:r>
      <w:r w:rsidR="00BB6D03">
        <w:t>(1)</w:t>
      </w:r>
      <w:r w:rsidR="00C4661A">
        <w:tab/>
        <w:t>For subsection 51</w:t>
      </w:r>
      <w:r>
        <w:t xml:space="preserve">(1) of the Act, this section prescribes circumstances </w:t>
      </w:r>
      <w:r w:rsidR="00953469">
        <w:t xml:space="preserve">in which </w:t>
      </w:r>
      <w:r>
        <w:t>the obligat</w:t>
      </w:r>
      <w:r w:rsidR="00C4661A">
        <w:t>ion to repay under subsection 50</w:t>
      </w:r>
      <w:r>
        <w:t>(1) of the Act does not apply.</w:t>
      </w:r>
    </w:p>
    <w:p w:rsidR="00A86F09" w:rsidRDefault="00A86F09" w:rsidP="00A86F09">
      <w:pPr>
        <w:pStyle w:val="nMain"/>
      </w:pPr>
      <w:r>
        <w:t>Note:</w:t>
      </w:r>
      <w:r>
        <w:tab/>
        <w:t xml:space="preserve">A person may also apply under subsection 41(2) of the Act to terminate their commitment period which would avoid the application of repayment obligations. If the circumstances in this section are met, the Minister can approve that termination under paragraph </w:t>
      </w:r>
      <w:r w:rsidR="00BB6D03">
        <w:t>10</w:t>
      </w:r>
      <w:r w:rsidR="00726008">
        <w:t>(4</w:t>
      </w:r>
      <w:r>
        <w:t>)(a). Decisions on applications to vary</w:t>
      </w:r>
      <w:r w:rsidR="005973C4">
        <w:t xml:space="preserve"> or terminate</w:t>
      </w:r>
      <w:r>
        <w:t xml:space="preserve"> a commitment period are reviewable decisions under Division 2 of Part 5 of the Act.</w:t>
      </w:r>
    </w:p>
    <w:p w:rsidR="00FC06EF" w:rsidRDefault="00FC06EF" w:rsidP="00FC06EF">
      <w:pPr>
        <w:pStyle w:val="h6Subsec"/>
      </w:pPr>
      <w:r>
        <w:t>Force majeure</w:t>
      </w:r>
    </w:p>
    <w:p w:rsidR="00695E89" w:rsidRPr="005949C0" w:rsidRDefault="00695E89" w:rsidP="00695E89">
      <w:pPr>
        <w:pStyle w:val="tMain"/>
      </w:pPr>
      <w:r>
        <w:tab/>
      </w:r>
      <w:r w:rsidR="00BB6D03">
        <w:t>(2)</w:t>
      </w:r>
      <w:r w:rsidR="00C4661A">
        <w:tab/>
      </w:r>
      <w:r w:rsidR="00C4661A" w:rsidRPr="005949C0">
        <w:t>Repayment under subsection 50</w:t>
      </w:r>
      <w:r w:rsidRPr="005949C0">
        <w:t>(1) does not apply if the Minister is satisfied that:</w:t>
      </w:r>
    </w:p>
    <w:p w:rsidR="001859C6" w:rsidRPr="005949C0" w:rsidRDefault="001859C6" w:rsidP="001859C6">
      <w:pPr>
        <w:pStyle w:val="tPara"/>
      </w:pPr>
      <w:r w:rsidRPr="005949C0">
        <w:tab/>
      </w:r>
      <w:r w:rsidR="00BB6D03">
        <w:t>(a)</w:t>
      </w:r>
      <w:r w:rsidRPr="005949C0">
        <w:tab/>
        <w:t xml:space="preserve">the refinery is operationally unviable or commercially unviable as the result of a force majeure event that the refinery operator: </w:t>
      </w:r>
    </w:p>
    <w:p w:rsidR="001859C6" w:rsidRPr="005949C0" w:rsidRDefault="001859C6" w:rsidP="001859C6">
      <w:pPr>
        <w:pStyle w:val="tSubpara"/>
      </w:pPr>
      <w:r w:rsidRPr="005949C0">
        <w:tab/>
      </w:r>
      <w:r w:rsidR="00BB6D03">
        <w:t>(i)</w:t>
      </w:r>
      <w:r w:rsidRPr="005949C0">
        <w:tab/>
        <w:t xml:space="preserve">could not have </w:t>
      </w:r>
      <w:r w:rsidR="008C706B">
        <w:t xml:space="preserve">reasonably </w:t>
      </w:r>
      <w:r w:rsidRPr="005949C0">
        <w:t>prevented; or</w:t>
      </w:r>
    </w:p>
    <w:p w:rsidR="001859C6" w:rsidRPr="005949C0" w:rsidRDefault="001859C6" w:rsidP="001859C6">
      <w:pPr>
        <w:pStyle w:val="tSubpara"/>
      </w:pPr>
      <w:r w:rsidRPr="005949C0">
        <w:tab/>
      </w:r>
      <w:r w:rsidR="00BB6D03">
        <w:t>(ii)</w:t>
      </w:r>
      <w:r w:rsidRPr="005949C0">
        <w:tab/>
        <w:t xml:space="preserve">cannot </w:t>
      </w:r>
      <w:r w:rsidR="008C706B">
        <w:t xml:space="preserve">reasonably </w:t>
      </w:r>
      <w:r w:rsidRPr="005949C0">
        <w:t>limit the effect of;</w:t>
      </w:r>
    </w:p>
    <w:p w:rsidR="001859C6" w:rsidRDefault="001859C6" w:rsidP="001859C6">
      <w:pPr>
        <w:pStyle w:val="tPara"/>
      </w:pPr>
      <w:r w:rsidRPr="005949C0">
        <w:t xml:space="preserve"> </w:t>
      </w:r>
      <w:r w:rsidRPr="005949C0">
        <w:tab/>
      </w:r>
      <w:r w:rsidRPr="005949C0">
        <w:tab/>
        <w:t xml:space="preserve">notwithstanding the refinery operator having taken </w:t>
      </w:r>
      <w:r w:rsidR="008C706B">
        <w:t>appropriate</w:t>
      </w:r>
      <w:r w:rsidRPr="005949C0">
        <w:t xml:space="preserve"> steps which a prudent, experienced and reasonable person in the circumstances of the refinery operator would have taken; and</w:t>
      </w:r>
    </w:p>
    <w:p w:rsidR="008C706B" w:rsidRPr="005949C0" w:rsidRDefault="008C706B" w:rsidP="008C706B">
      <w:pPr>
        <w:pStyle w:val="tPara"/>
      </w:pPr>
      <w:r>
        <w:tab/>
      </w:r>
      <w:r w:rsidR="00BB6D03">
        <w:t>(b)</w:t>
      </w:r>
      <w:r>
        <w:tab/>
        <w:t>related refinery entities have not unreasonably stopped</w:t>
      </w:r>
      <w:r w:rsidR="00A71C73">
        <w:t>,</w:t>
      </w:r>
      <w:r>
        <w:t xml:space="preserve"> or impeded the ability for</w:t>
      </w:r>
      <w:r w:rsidR="00A71C73">
        <w:t>,</w:t>
      </w:r>
      <w:r>
        <w:t xml:space="preserve"> the refinery operator</w:t>
      </w:r>
      <w:r w:rsidR="00A71C73">
        <w:t xml:space="preserve"> taking</w:t>
      </w:r>
      <w:r w:rsidR="005D34EA">
        <w:t xml:space="preserve"> </w:t>
      </w:r>
      <w:r>
        <w:t>appropriate steps under paragraph (a); and</w:t>
      </w:r>
    </w:p>
    <w:p w:rsidR="00FC06EF" w:rsidRDefault="00FC06EF" w:rsidP="00FC06EF">
      <w:pPr>
        <w:pStyle w:val="tPara"/>
      </w:pPr>
      <w:r w:rsidRPr="005949C0">
        <w:tab/>
      </w:r>
      <w:r w:rsidR="00BB6D03">
        <w:t>(c)</w:t>
      </w:r>
      <w:r w:rsidRPr="005949C0">
        <w:tab/>
      </w:r>
      <w:r w:rsidR="00A71C73">
        <w:t xml:space="preserve">relevant independent analysis </w:t>
      </w:r>
      <w:r w:rsidRPr="005949C0">
        <w:t>is provided</w:t>
      </w:r>
      <w:r w:rsidR="00D863DB" w:rsidRPr="005949C0">
        <w:t xml:space="preserve"> by the person subject to</w:t>
      </w:r>
      <w:r w:rsidR="00FF69BF">
        <w:t xml:space="preserve"> the</w:t>
      </w:r>
      <w:r w:rsidR="00D863DB" w:rsidRPr="005949C0">
        <w:t xml:space="preserve"> repayment</w:t>
      </w:r>
      <w:r w:rsidRPr="005949C0">
        <w:t xml:space="preserve"> to the Minister to</w:t>
      </w:r>
      <w:r w:rsidR="00945E70" w:rsidRPr="005949C0">
        <w:t xml:space="preserve"> evidence paragraph (2)(a)</w:t>
      </w:r>
      <w:r w:rsidRPr="005949C0">
        <w:t>.</w:t>
      </w:r>
    </w:p>
    <w:p w:rsidR="00372DF1" w:rsidRDefault="007E4FBF" w:rsidP="007E4FBF">
      <w:pPr>
        <w:pStyle w:val="tMain"/>
      </w:pPr>
      <w:r>
        <w:tab/>
      </w:r>
      <w:r w:rsidR="00BB6D03">
        <w:t>(3)</w:t>
      </w:r>
      <w:r>
        <w:tab/>
        <w:t xml:space="preserve">For paragraph (2)(a), a </w:t>
      </w:r>
      <w:r w:rsidRPr="007E4FBF">
        <w:rPr>
          <w:b/>
          <w:i/>
        </w:rPr>
        <w:t>force majeure event</w:t>
      </w:r>
      <w:r>
        <w:t xml:space="preserve"> is one of the following events:</w:t>
      </w:r>
    </w:p>
    <w:p w:rsidR="007E4FBF" w:rsidRDefault="007E4FBF" w:rsidP="007E4FBF">
      <w:pPr>
        <w:pStyle w:val="tPara"/>
      </w:pPr>
      <w:r>
        <w:tab/>
      </w:r>
      <w:r w:rsidR="00BB6D03">
        <w:t>(a)</w:t>
      </w:r>
      <w:r>
        <w:tab/>
        <w:t>fire, flood, earthquake, weather events or acts of God</w:t>
      </w:r>
      <w:r w:rsidR="00120518">
        <w:t>;</w:t>
      </w:r>
    </w:p>
    <w:p w:rsidR="007E4FBF" w:rsidRDefault="007E4FBF" w:rsidP="007E4FBF">
      <w:pPr>
        <w:pStyle w:val="tPara"/>
      </w:pPr>
      <w:r>
        <w:tab/>
      </w:r>
      <w:r w:rsidR="00BB6D03">
        <w:t>(b)</w:t>
      </w:r>
      <w:r>
        <w:tab/>
        <w:t>war or other state of armed hostilities, act of terrorism, act of sabotage, national emergency, embargo, closure of federal, state or other administrative borders, or actions by customs</w:t>
      </w:r>
      <w:r w:rsidR="00120518">
        <w:t>;</w:t>
      </w:r>
    </w:p>
    <w:p w:rsidR="007E4FBF" w:rsidRDefault="007E4FBF" w:rsidP="007E4FBF">
      <w:pPr>
        <w:pStyle w:val="tPara"/>
      </w:pPr>
      <w:r>
        <w:tab/>
      </w:r>
      <w:r w:rsidR="00BB6D03">
        <w:t>(c)</w:t>
      </w:r>
      <w:r>
        <w:tab/>
      </w:r>
      <w:r w:rsidR="00120518">
        <w:t xml:space="preserve">extended </w:t>
      </w:r>
      <w:r>
        <w:t>unavailability of essential services such as electricity, gas or water</w:t>
      </w:r>
      <w:r w:rsidR="00120518">
        <w:t>;</w:t>
      </w:r>
    </w:p>
    <w:p w:rsidR="007E4FBF" w:rsidRDefault="007E4FBF" w:rsidP="007E4FBF">
      <w:pPr>
        <w:pStyle w:val="tPara"/>
      </w:pPr>
      <w:r>
        <w:tab/>
      </w:r>
      <w:r w:rsidR="00BB6D03">
        <w:t>(d)</w:t>
      </w:r>
      <w:r>
        <w:tab/>
        <w:t>curtailment or failure of the supplies of feedstocks</w:t>
      </w:r>
      <w:r w:rsidR="00163388">
        <w:t>, blendstocks</w:t>
      </w:r>
      <w:r>
        <w:t xml:space="preserve"> or raw materials from any of the refiner’s</w:t>
      </w:r>
      <w:r w:rsidR="002323DB">
        <w:t>,</w:t>
      </w:r>
      <w:r>
        <w:t xml:space="preserve"> or any of its suppliers</w:t>
      </w:r>
      <w:r w:rsidR="002323DB">
        <w:t>’,</w:t>
      </w:r>
      <w:r>
        <w:t xml:space="preserve"> sources of supply</w:t>
      </w:r>
      <w:r w:rsidR="00120518">
        <w:t>;</w:t>
      </w:r>
    </w:p>
    <w:p w:rsidR="007E4FBF" w:rsidRDefault="007E4FBF" w:rsidP="007E4FBF">
      <w:pPr>
        <w:pStyle w:val="tPara"/>
      </w:pPr>
      <w:r>
        <w:tab/>
      </w:r>
      <w:r w:rsidR="00BB6D03">
        <w:t>(e)</w:t>
      </w:r>
      <w:r>
        <w:tab/>
        <w:t>equipment or mechanical breakdown</w:t>
      </w:r>
      <w:r w:rsidR="005D34EA">
        <w:t>, such as those leading to an unplanned shutdown</w:t>
      </w:r>
      <w:r w:rsidR="00120518">
        <w:t>;</w:t>
      </w:r>
    </w:p>
    <w:p w:rsidR="007E4FBF" w:rsidRDefault="007E4FBF" w:rsidP="007E4FBF">
      <w:pPr>
        <w:pStyle w:val="tPara"/>
      </w:pPr>
      <w:r>
        <w:tab/>
      </w:r>
      <w:r w:rsidR="00BB6D03">
        <w:t>(f)</w:t>
      </w:r>
      <w:r>
        <w:tab/>
        <w:t>a restraint, restriction, direction or request by any government agency</w:t>
      </w:r>
      <w:r w:rsidR="005973C4">
        <w:t>,</w:t>
      </w:r>
      <w:r>
        <w:t xml:space="preserve"> body or department, court, tribunal, administrative authority or stock exchange</w:t>
      </w:r>
      <w:r w:rsidR="00120518">
        <w:t>;</w:t>
      </w:r>
    </w:p>
    <w:p w:rsidR="007E4FBF" w:rsidRDefault="007E4FBF" w:rsidP="007E4FBF">
      <w:pPr>
        <w:pStyle w:val="tPara"/>
      </w:pPr>
      <w:r>
        <w:tab/>
      </w:r>
      <w:r w:rsidR="00BB6D03">
        <w:t>(g)</w:t>
      </w:r>
      <w:r>
        <w:tab/>
        <w:t>a strike, lockout, boycott, work ban or other industrial action (whether or not the refiner is party to it or would be able to influence or procure its settlement)</w:t>
      </w:r>
      <w:r w:rsidR="00120518">
        <w:t>;</w:t>
      </w:r>
    </w:p>
    <w:p w:rsidR="007E4FBF" w:rsidRDefault="007E4FBF" w:rsidP="007E4FBF">
      <w:pPr>
        <w:pStyle w:val="tPara"/>
      </w:pPr>
      <w:r>
        <w:tab/>
      </w:r>
      <w:r w:rsidR="00BB6D03">
        <w:t>(h)</w:t>
      </w:r>
      <w:r>
        <w:tab/>
      </w:r>
      <w:r w:rsidR="001E0380">
        <w:t>an epidemic, pandemic or similar public health concern</w:t>
      </w:r>
      <w:r w:rsidR="00120518">
        <w:t>;</w:t>
      </w:r>
    </w:p>
    <w:p w:rsidR="007E4FBF" w:rsidRDefault="007E4FBF" w:rsidP="007E4FBF">
      <w:pPr>
        <w:pStyle w:val="tPara"/>
      </w:pPr>
      <w:r>
        <w:lastRenderedPageBreak/>
        <w:tab/>
      </w:r>
      <w:r w:rsidR="00BB6D03">
        <w:t>(i)</w:t>
      </w:r>
      <w:r w:rsidR="004850CA">
        <w:tab/>
        <w:t>an</w:t>
      </w:r>
      <w:r w:rsidR="005D34EA">
        <w:t>y other</w:t>
      </w:r>
      <w:r>
        <w:t xml:space="preserve"> event or circumstance</w:t>
      </w:r>
      <w:r w:rsidR="00120518">
        <w:t xml:space="preserve"> impacting the operation of the refinery</w:t>
      </w:r>
      <w:r>
        <w:t xml:space="preserve"> </w:t>
      </w:r>
      <w:r w:rsidR="007F3D55">
        <w:t xml:space="preserve">that is </w:t>
      </w:r>
      <w:r>
        <w:t>beyond the reasonable control of the refiner</w:t>
      </w:r>
      <w:r w:rsidR="007F3D55">
        <w:t>y operator</w:t>
      </w:r>
      <w:r w:rsidR="008C706B">
        <w:t xml:space="preserve"> and related refinery entities</w:t>
      </w:r>
      <w:r>
        <w:t>.</w:t>
      </w:r>
    </w:p>
    <w:p w:rsidR="00FC06EF" w:rsidRPr="00FC06EF" w:rsidRDefault="00FC06EF" w:rsidP="00FC06EF">
      <w:pPr>
        <w:pStyle w:val="h6Subsec"/>
      </w:pPr>
      <w:r w:rsidRPr="00FC06EF">
        <w:t>Material adverse change</w:t>
      </w:r>
    </w:p>
    <w:p w:rsidR="00FC06EF" w:rsidRDefault="00FC06EF" w:rsidP="00FC06EF">
      <w:pPr>
        <w:pStyle w:val="tMain"/>
      </w:pPr>
      <w:r>
        <w:tab/>
      </w:r>
      <w:r w:rsidR="00BB6D03">
        <w:t>(4)</w:t>
      </w:r>
      <w:r>
        <w:tab/>
        <w:t>Repayment under subsection 50(1)</w:t>
      </w:r>
      <w:r w:rsidR="00953469">
        <w:t xml:space="preserve"> of the Act </w:t>
      </w:r>
      <w:r>
        <w:t>does not apply if the Minister is satisfied that:</w:t>
      </w:r>
    </w:p>
    <w:p w:rsidR="001F130C" w:rsidRDefault="001859C6" w:rsidP="001F130C">
      <w:pPr>
        <w:pStyle w:val="tPara"/>
      </w:pPr>
      <w:r>
        <w:tab/>
      </w:r>
      <w:r w:rsidR="00BB6D03">
        <w:t>(a)</w:t>
      </w:r>
      <w:r w:rsidR="008C706B">
        <w:tab/>
      </w:r>
      <w:r w:rsidR="00001B29">
        <w:t>a material adverse change</w:t>
      </w:r>
      <w:r>
        <w:t xml:space="preserve"> </w:t>
      </w:r>
      <w:r w:rsidR="001F130C">
        <w:t>has occurred; and</w:t>
      </w:r>
    </w:p>
    <w:p w:rsidR="008C706B" w:rsidRDefault="001F130C" w:rsidP="001F130C">
      <w:pPr>
        <w:pStyle w:val="tPara"/>
      </w:pPr>
      <w:r>
        <w:tab/>
      </w:r>
      <w:r w:rsidR="00BB6D03">
        <w:t>(b)</w:t>
      </w:r>
      <w:r>
        <w:tab/>
        <w:t>if the material adverse change is covered by paragraph (5)(a), (b) or (d)—the refinery operator has</w:t>
      </w:r>
      <w:r w:rsidR="001859C6">
        <w:t xml:space="preserve"> taken </w:t>
      </w:r>
      <w:r w:rsidR="008C706B">
        <w:t>appropriate</w:t>
      </w:r>
      <w:r w:rsidR="001859C6">
        <w:t xml:space="preserve"> steps</w:t>
      </w:r>
      <w:r>
        <w:t>, before and after the change,</w:t>
      </w:r>
      <w:r w:rsidR="001859C6">
        <w:t xml:space="preserve"> which a prudent, experienced and reasonable person in the circumstances of the refinery operator would have taken</w:t>
      </w:r>
      <w:r>
        <w:t xml:space="preserve"> to mitigate or otherwise address the consequences of the situation</w:t>
      </w:r>
      <w:r w:rsidR="001859C6">
        <w:t>; and</w:t>
      </w:r>
    </w:p>
    <w:p w:rsidR="008C706B" w:rsidRDefault="008C706B" w:rsidP="008C706B">
      <w:pPr>
        <w:pStyle w:val="tPara"/>
      </w:pPr>
      <w:r>
        <w:tab/>
      </w:r>
      <w:r w:rsidR="00BB6D03">
        <w:t>(c)</w:t>
      </w:r>
      <w:r>
        <w:tab/>
        <w:t>related refinery entities have not unreasonably stopped</w:t>
      </w:r>
      <w:r w:rsidR="005D34EA">
        <w:t>,</w:t>
      </w:r>
      <w:r>
        <w:t xml:space="preserve"> or impeded the ability for</w:t>
      </w:r>
      <w:r w:rsidR="005D34EA">
        <w:t>,</w:t>
      </w:r>
      <w:r>
        <w:t xml:space="preserve"> the refinery operator</w:t>
      </w:r>
      <w:r w:rsidR="005D34EA">
        <w:t xml:space="preserve"> taking</w:t>
      </w:r>
      <w:r>
        <w:t xml:space="preserve"> appr</w:t>
      </w:r>
      <w:r w:rsidR="001F130C">
        <w:t>opriate steps under paragraph (b</w:t>
      </w:r>
      <w:r>
        <w:t>); and</w:t>
      </w:r>
    </w:p>
    <w:p w:rsidR="00120518" w:rsidRDefault="00FC06EF" w:rsidP="00120518">
      <w:pPr>
        <w:pStyle w:val="tPara"/>
      </w:pPr>
      <w:r>
        <w:tab/>
      </w:r>
      <w:r w:rsidR="00BB6D03">
        <w:t>(d)</w:t>
      </w:r>
      <w:r>
        <w:tab/>
      </w:r>
      <w:r w:rsidR="00D8655D">
        <w:t xml:space="preserve">relevant independent analysis </w:t>
      </w:r>
      <w:r w:rsidR="00D8655D" w:rsidRPr="005949C0">
        <w:t xml:space="preserve">is provided </w:t>
      </w:r>
      <w:r w:rsidR="00945E70">
        <w:t xml:space="preserve">by the person subject to </w:t>
      </w:r>
      <w:r w:rsidR="00FF69BF">
        <w:t xml:space="preserve">the </w:t>
      </w:r>
      <w:r w:rsidR="00945E70">
        <w:t xml:space="preserve">repayment </w:t>
      </w:r>
      <w:r>
        <w:t>to the Ministe</w:t>
      </w:r>
      <w:r w:rsidR="00120518">
        <w:t>r to evidence:</w:t>
      </w:r>
    </w:p>
    <w:p w:rsidR="00120518" w:rsidRDefault="00120518" w:rsidP="00120518">
      <w:pPr>
        <w:pStyle w:val="tSubpara"/>
      </w:pPr>
      <w:r>
        <w:tab/>
      </w:r>
      <w:r w:rsidR="00BB6D03">
        <w:t>(i)</w:t>
      </w:r>
      <w:r>
        <w:tab/>
      </w:r>
      <w:r w:rsidR="008F55EC">
        <w:t>paragraph (4</w:t>
      </w:r>
      <w:r w:rsidR="00945E70">
        <w:t>)(a)</w:t>
      </w:r>
      <w:r>
        <w:t>; and</w:t>
      </w:r>
    </w:p>
    <w:p w:rsidR="00FC06EF" w:rsidRDefault="00120518" w:rsidP="00120518">
      <w:pPr>
        <w:pStyle w:val="tSubpara"/>
      </w:pPr>
      <w:r>
        <w:tab/>
      </w:r>
      <w:r w:rsidR="00BB6D03">
        <w:t>(ii)</w:t>
      </w:r>
      <w:r>
        <w:tab/>
        <w:t xml:space="preserve">if paragraphs </w:t>
      </w:r>
      <w:r w:rsidR="001F130C">
        <w:t xml:space="preserve">(4)(b) or </w:t>
      </w:r>
      <w:r w:rsidR="00BB1533">
        <w:t>(5)(a), (b),</w:t>
      </w:r>
      <w:r>
        <w:t xml:space="preserve"> (c)</w:t>
      </w:r>
      <w:r w:rsidR="00BB1533">
        <w:t xml:space="preserve"> or (f)</w:t>
      </w:r>
      <w:r>
        <w:t xml:space="preserve"> apply—those paragraphs. </w:t>
      </w:r>
    </w:p>
    <w:p w:rsidR="007E4FBF" w:rsidRDefault="007E4FBF" w:rsidP="007E4FBF">
      <w:pPr>
        <w:pStyle w:val="tMain"/>
      </w:pPr>
      <w:r>
        <w:tab/>
      </w:r>
      <w:r w:rsidR="00BB6D03">
        <w:t>(5)</w:t>
      </w:r>
      <w:r w:rsidR="00FC06EF">
        <w:tab/>
        <w:t>For paragraph (4</w:t>
      </w:r>
      <w:r>
        <w:t xml:space="preserve">)(a), a </w:t>
      </w:r>
      <w:r>
        <w:rPr>
          <w:b/>
          <w:i/>
        </w:rPr>
        <w:t>material adverse change</w:t>
      </w:r>
      <w:r>
        <w:t xml:space="preserve"> is one of the following circumstances:</w:t>
      </w:r>
    </w:p>
    <w:p w:rsidR="007E4FBF" w:rsidRDefault="007E4FBF" w:rsidP="007E4FBF">
      <w:pPr>
        <w:pStyle w:val="tPara"/>
      </w:pPr>
      <w:r>
        <w:tab/>
      </w:r>
      <w:r w:rsidR="00BB6D03">
        <w:t>(a)</w:t>
      </w:r>
      <w:r>
        <w:tab/>
        <w:t xml:space="preserve">the refinery has operated </w:t>
      </w:r>
      <w:r w:rsidR="00AF6396">
        <w:t xml:space="preserve">continuously </w:t>
      </w:r>
      <w:r w:rsidR="000B0704">
        <w:t>below a</w:t>
      </w:r>
      <w:r w:rsidR="00C71407">
        <w:t xml:space="preserve"> </w:t>
      </w:r>
      <w:r w:rsidR="00D34C75">
        <w:t>quarterly</w:t>
      </w:r>
      <w:r>
        <w:t xml:space="preserve"> margin of 4.6 cents per litre</w:t>
      </w:r>
      <w:r w:rsidR="008C706B">
        <w:t xml:space="preserve"> (not taking into account fuel security services payments)</w:t>
      </w:r>
      <w:r>
        <w:t xml:space="preserve"> for at least 9 months</w:t>
      </w:r>
      <w:r w:rsidR="00671A7E">
        <w:t xml:space="preserve"> before a decision to close the refinery</w:t>
      </w:r>
      <w:r>
        <w:t>;</w:t>
      </w:r>
    </w:p>
    <w:p w:rsidR="00633EEB" w:rsidRDefault="007E4FBF" w:rsidP="00633EEB">
      <w:pPr>
        <w:pStyle w:val="tPara"/>
      </w:pPr>
      <w:r>
        <w:tab/>
      </w:r>
      <w:r w:rsidR="00BB6D03">
        <w:t>(b)</w:t>
      </w:r>
      <w:r>
        <w:tab/>
        <w:t>the refinery</w:t>
      </w:r>
      <w:r w:rsidR="00B94452">
        <w:t xml:space="preserve"> operations have</w:t>
      </w:r>
      <w:r>
        <w:t xml:space="preserve"> recorded losses of at least $60 million in a continuous period of 9 months or less</w:t>
      </w:r>
      <w:r w:rsidR="006C5823">
        <w:t xml:space="preserve"> </w:t>
      </w:r>
      <w:r w:rsidR="008B75AC">
        <w:t>prior to</w:t>
      </w:r>
      <w:r w:rsidR="006C5823">
        <w:t xml:space="preserve"> a decision to close the refinery;</w:t>
      </w:r>
    </w:p>
    <w:p w:rsidR="00633EEB" w:rsidRDefault="00633EEB" w:rsidP="00633EEB">
      <w:pPr>
        <w:pStyle w:val="nPara"/>
      </w:pPr>
      <w:r>
        <w:t>Note:</w:t>
      </w:r>
      <w:r>
        <w:tab/>
        <w:t>The occurrence of losses would take into account fuel security services payments and other support for the refinery</w:t>
      </w:r>
      <w:r w:rsidR="008B75AC">
        <w:t>, such as financial support provided by the Commonwealth government</w:t>
      </w:r>
      <w:r>
        <w:t xml:space="preserve">. </w:t>
      </w:r>
    </w:p>
    <w:p w:rsidR="00120518" w:rsidRDefault="00120518" w:rsidP="00120518">
      <w:pPr>
        <w:pStyle w:val="tPara"/>
      </w:pPr>
      <w:r>
        <w:tab/>
      </w:r>
      <w:r w:rsidR="00BB6D03">
        <w:t>(c)</w:t>
      </w:r>
      <w:r>
        <w:tab/>
        <w:t xml:space="preserve">a </w:t>
      </w:r>
      <w:r w:rsidR="00EC5E3C">
        <w:t>regulatory change event;</w:t>
      </w:r>
    </w:p>
    <w:p w:rsidR="007E4FBF" w:rsidRDefault="007E4FBF" w:rsidP="006C5823">
      <w:pPr>
        <w:pStyle w:val="tPara"/>
      </w:pPr>
      <w:r>
        <w:tab/>
      </w:r>
      <w:r w:rsidR="00BB6D03">
        <w:t>(d)</w:t>
      </w:r>
      <w:r>
        <w:tab/>
      </w:r>
      <w:r w:rsidR="008B75AC">
        <w:t xml:space="preserve">the refinery </w:t>
      </w:r>
      <w:r w:rsidR="00F77994" w:rsidRPr="00F77994">
        <w:t xml:space="preserve">and its employees have failed to make an enterprise agreement within the meaning of the </w:t>
      </w:r>
      <w:r w:rsidR="00F77994" w:rsidRPr="00F77994">
        <w:rPr>
          <w:i/>
        </w:rPr>
        <w:t>Fair Work Act 2009</w:t>
      </w:r>
      <w:r w:rsidR="00F77994" w:rsidRPr="00F77994">
        <w:t xml:space="preserve"> </w:t>
      </w:r>
      <w:r w:rsidR="00671A7E">
        <w:t>in circumstances where:</w:t>
      </w:r>
    </w:p>
    <w:p w:rsidR="00671A7E" w:rsidRDefault="00671A7E" w:rsidP="00671A7E">
      <w:pPr>
        <w:pStyle w:val="tSubpara"/>
      </w:pPr>
      <w:r>
        <w:tab/>
      </w:r>
      <w:r w:rsidR="00BB6D03">
        <w:t>(i)</w:t>
      </w:r>
      <w:r w:rsidR="00F77994">
        <w:tab/>
        <w:t>the</w:t>
      </w:r>
      <w:r w:rsidR="008B75AC">
        <w:t xml:space="preserve"> refinery (including its</w:t>
      </w:r>
      <w:r>
        <w:t xml:space="preserve"> bargaining</w:t>
      </w:r>
      <w:r w:rsidR="00F77994">
        <w:t xml:space="preserve"> representative</w:t>
      </w:r>
      <w:r w:rsidR="008B75AC">
        <w:t>s)</w:t>
      </w:r>
      <w:r w:rsidR="00F77994">
        <w:t xml:space="preserve"> </w:t>
      </w:r>
      <w:r>
        <w:t>have</w:t>
      </w:r>
      <w:r w:rsidR="000B58A6">
        <w:t xml:space="preserve"> met the </w:t>
      </w:r>
      <w:r w:rsidR="000B58A6" w:rsidRPr="000B58A6">
        <w:t>good faith bargaining requirements</w:t>
      </w:r>
      <w:r w:rsidR="000B58A6">
        <w:t xml:space="preserve"> in the </w:t>
      </w:r>
      <w:r w:rsidR="000B58A6" w:rsidRPr="000B58A6">
        <w:rPr>
          <w:i/>
        </w:rPr>
        <w:t>Fair Work Act 2009</w:t>
      </w:r>
      <w:r w:rsidR="000B58A6">
        <w:t>; and</w:t>
      </w:r>
    </w:p>
    <w:p w:rsidR="000B58A6" w:rsidRDefault="000B58A6" w:rsidP="000B58A6">
      <w:pPr>
        <w:pStyle w:val="tSubpara"/>
      </w:pPr>
      <w:r>
        <w:tab/>
      </w:r>
      <w:r w:rsidR="00BB6D03">
        <w:t>(ii)</w:t>
      </w:r>
      <w:r>
        <w:tab/>
        <w:t xml:space="preserve">all dispute resolution processes under the </w:t>
      </w:r>
      <w:r w:rsidRPr="000B58A6">
        <w:rPr>
          <w:i/>
        </w:rPr>
        <w:t>Fair Work Act 2009</w:t>
      </w:r>
      <w:r>
        <w:t xml:space="preserve"> have been ex</w:t>
      </w:r>
      <w:r w:rsidR="00F77994">
        <w:t>hausted in an attempt to</w:t>
      </w:r>
      <w:r w:rsidR="00FC2312">
        <w:t xml:space="preserve"> make</w:t>
      </w:r>
      <w:r w:rsidR="00F77994">
        <w:t xml:space="preserve"> the enterprise</w:t>
      </w:r>
      <w:r>
        <w:t xml:space="preserve"> agreement; and</w:t>
      </w:r>
    </w:p>
    <w:p w:rsidR="000B58A6" w:rsidRPr="000B58A6" w:rsidRDefault="000B58A6" w:rsidP="000B58A6">
      <w:pPr>
        <w:pStyle w:val="tSubpara"/>
      </w:pPr>
      <w:r>
        <w:tab/>
      </w:r>
      <w:r w:rsidR="00BB6D03">
        <w:t>(iii)</w:t>
      </w:r>
      <w:r>
        <w:tab/>
        <w:t xml:space="preserve">the decision to close the refinery is directly related to the </w:t>
      </w:r>
      <w:r w:rsidR="00EC5E3C">
        <w:t>failure to make an</w:t>
      </w:r>
      <w:r w:rsidR="00F77994">
        <w:t xml:space="preserve"> enterprise</w:t>
      </w:r>
      <w:r w:rsidR="007F3D55">
        <w:t xml:space="preserve"> agreement;</w:t>
      </w:r>
    </w:p>
    <w:p w:rsidR="00634D19" w:rsidRDefault="006C5823" w:rsidP="006C5823">
      <w:pPr>
        <w:pStyle w:val="tPara"/>
      </w:pPr>
      <w:r>
        <w:tab/>
      </w:r>
      <w:r w:rsidR="00BB6D03">
        <w:t>(e)</w:t>
      </w:r>
      <w:r>
        <w:tab/>
      </w:r>
      <w:r w:rsidR="005B45A0">
        <w:t xml:space="preserve">an amendment to the Act or this instrument that has the effect that </w:t>
      </w:r>
      <w:r>
        <w:t>fuel security services payments are no longer available to the refinery for the rem</w:t>
      </w:r>
      <w:r w:rsidR="007F7F92">
        <w:t>ainder of its commitment period;</w:t>
      </w:r>
    </w:p>
    <w:p w:rsidR="00CB1C03" w:rsidRDefault="00CB1C03" w:rsidP="00CB1C03">
      <w:pPr>
        <w:pStyle w:val="tPara"/>
      </w:pPr>
      <w:r>
        <w:tab/>
      </w:r>
      <w:r w:rsidR="00BB6D03">
        <w:t>(f)</w:t>
      </w:r>
      <w:r>
        <w:tab/>
      </w:r>
      <w:r w:rsidRPr="005949C0">
        <w:t xml:space="preserve">the </w:t>
      </w:r>
      <w:r>
        <w:t xml:space="preserve">Act or </w:t>
      </w:r>
      <w:r w:rsidRPr="005949C0">
        <w:t xml:space="preserve">this instrument </w:t>
      </w:r>
      <w:r>
        <w:t>was</w:t>
      </w:r>
      <w:r w:rsidRPr="005949C0">
        <w:t xml:space="preserve"> amended to materially reduce the payments under Part 3 of the Act in respect of the refinery</w:t>
      </w:r>
      <w:r w:rsidR="00BB1533">
        <w:t xml:space="preserve"> over the remainder of its commitment period</w:t>
      </w:r>
      <w:r w:rsidRPr="005949C0">
        <w:t xml:space="preserve"> </w:t>
      </w:r>
      <w:r>
        <w:t>in the 18</w:t>
      </w:r>
      <w:r w:rsidRPr="005949C0">
        <w:t xml:space="preserve">0 days before </w:t>
      </w:r>
      <w:r w:rsidR="00BB1533">
        <w:t>a decision to close the refinery</w:t>
      </w:r>
      <w:r w:rsidRPr="005949C0">
        <w:t>.</w:t>
      </w:r>
    </w:p>
    <w:p w:rsidR="00EC5E3C" w:rsidRDefault="00EC5E3C" w:rsidP="00EC5E3C">
      <w:pPr>
        <w:pStyle w:val="h6Subsec"/>
      </w:pPr>
      <w:r>
        <w:t>Regulatory change event</w:t>
      </w:r>
    </w:p>
    <w:p w:rsidR="00EC5E3C" w:rsidRDefault="00EC5E3C" w:rsidP="00EC5E3C">
      <w:pPr>
        <w:pStyle w:val="tMain"/>
      </w:pPr>
      <w:r>
        <w:tab/>
      </w:r>
      <w:r w:rsidR="00BB6D03">
        <w:t>(6)</w:t>
      </w:r>
      <w:r>
        <w:tab/>
        <w:t xml:space="preserve">For paragraph (5)(c), a </w:t>
      </w:r>
      <w:r w:rsidRPr="00D8655D">
        <w:rPr>
          <w:b/>
          <w:i/>
        </w:rPr>
        <w:t>regulatory change event</w:t>
      </w:r>
      <w:r>
        <w:t xml:space="preserve"> occurs if:</w:t>
      </w:r>
    </w:p>
    <w:p w:rsidR="00EC5E3C" w:rsidRDefault="00EC5E3C" w:rsidP="00EC5E3C">
      <w:pPr>
        <w:pStyle w:val="tPara"/>
      </w:pPr>
      <w:r>
        <w:tab/>
      </w:r>
      <w:r w:rsidR="00BB6D03">
        <w:t>(a)</w:t>
      </w:r>
      <w:r>
        <w:tab/>
      </w:r>
      <w:r w:rsidR="00D8655D">
        <w:t xml:space="preserve">there is </w:t>
      </w:r>
      <w:r>
        <w:t xml:space="preserve">a </w:t>
      </w:r>
      <w:r w:rsidR="00163388">
        <w:t>change to Commonwealth, State,</w:t>
      </w:r>
      <w:r>
        <w:t xml:space="preserve"> Territory</w:t>
      </w:r>
      <w:r w:rsidR="00163388">
        <w:t xml:space="preserve"> or local government</w:t>
      </w:r>
      <w:r>
        <w:t xml:space="preserve"> regulatory settings (including relevant laws</w:t>
      </w:r>
      <w:r w:rsidR="00163388">
        <w:t>,</w:t>
      </w:r>
      <w:r>
        <w:t xml:space="preserve"> subordinate legislation</w:t>
      </w:r>
      <w:r w:rsidR="00163388">
        <w:t xml:space="preserve"> or regulatory approvals</w:t>
      </w:r>
      <w:r>
        <w:t>) that materially increases costs for the refinery; and</w:t>
      </w:r>
    </w:p>
    <w:p w:rsidR="00EC5E3C" w:rsidRDefault="00EC5E3C" w:rsidP="00EC5E3C">
      <w:pPr>
        <w:pStyle w:val="tPara"/>
      </w:pPr>
      <w:r>
        <w:tab/>
      </w:r>
      <w:r w:rsidR="00BB6D03">
        <w:t>(b)</w:t>
      </w:r>
      <w:r>
        <w:tab/>
        <w:t xml:space="preserve">the change is not a change to fuel quality standards that the refinery has been funded, or offered funding, </w:t>
      </w:r>
      <w:r w:rsidR="008B75AC">
        <w:t xml:space="preserve">by the Commonwealth </w:t>
      </w:r>
      <w:r>
        <w:t>to implement; and</w:t>
      </w:r>
    </w:p>
    <w:p w:rsidR="00EC5E3C" w:rsidRDefault="00EC5E3C" w:rsidP="00EC5E3C">
      <w:pPr>
        <w:pStyle w:val="tPara"/>
      </w:pPr>
      <w:r>
        <w:lastRenderedPageBreak/>
        <w:tab/>
      </w:r>
      <w:r w:rsidR="00BB6D03">
        <w:t>(c)</w:t>
      </w:r>
      <w:r>
        <w:tab/>
        <w:t>the impact of the change makes the refinery commercially unviable.</w:t>
      </w:r>
    </w:p>
    <w:p w:rsidR="00120518" w:rsidRDefault="00120518" w:rsidP="00120518">
      <w:pPr>
        <w:pStyle w:val="h6Subsec"/>
      </w:pPr>
      <w:r>
        <w:t>Commercially unviable</w:t>
      </w:r>
    </w:p>
    <w:p w:rsidR="006C5823" w:rsidRDefault="006C5823" w:rsidP="006C5823">
      <w:pPr>
        <w:pStyle w:val="tMain"/>
      </w:pPr>
      <w:r>
        <w:tab/>
      </w:r>
      <w:r w:rsidR="00BB6D03">
        <w:t>(7)</w:t>
      </w:r>
      <w:r>
        <w:tab/>
        <w:t>For subsection (2)</w:t>
      </w:r>
      <w:r w:rsidR="00120518">
        <w:t xml:space="preserve"> and </w:t>
      </w:r>
      <w:r w:rsidR="00EC5E3C">
        <w:t>paragraph (6)(c</w:t>
      </w:r>
      <w:r w:rsidR="00120518">
        <w:t>)</w:t>
      </w:r>
      <w:r>
        <w:t xml:space="preserve">, a refinery is </w:t>
      </w:r>
      <w:r>
        <w:rPr>
          <w:b/>
          <w:i/>
        </w:rPr>
        <w:t>commercially unviable</w:t>
      </w:r>
      <w:r>
        <w:t xml:space="preserve"> if the continued operation of the refinery is </w:t>
      </w:r>
      <w:r w:rsidR="008B75AC">
        <w:t xml:space="preserve">reasonably </w:t>
      </w:r>
      <w:r>
        <w:t>likely to result in:</w:t>
      </w:r>
    </w:p>
    <w:p w:rsidR="006C5823" w:rsidRDefault="006C5823" w:rsidP="006C5823">
      <w:pPr>
        <w:pStyle w:val="tPara"/>
      </w:pPr>
      <w:r>
        <w:tab/>
      </w:r>
      <w:r w:rsidR="00BB6D03">
        <w:t>(a)</w:t>
      </w:r>
      <w:r>
        <w:tab/>
        <w:t>the refinery operating continuo</w:t>
      </w:r>
      <w:r w:rsidR="006E538C">
        <w:t>usly</w:t>
      </w:r>
      <w:r w:rsidR="001E3998">
        <w:t xml:space="preserve"> </w:t>
      </w:r>
      <w:r w:rsidR="006E538C">
        <w:t xml:space="preserve">below </w:t>
      </w:r>
      <w:r w:rsidR="000B0704">
        <w:t xml:space="preserve">a </w:t>
      </w:r>
      <w:r w:rsidR="00D34C75">
        <w:t>quarterly</w:t>
      </w:r>
      <w:r w:rsidR="008B75AC">
        <w:t xml:space="preserve"> </w:t>
      </w:r>
      <w:r w:rsidR="001E3998">
        <w:t xml:space="preserve">margin </w:t>
      </w:r>
      <w:r w:rsidR="006E538C">
        <w:t>of</w:t>
      </w:r>
      <w:r w:rsidR="001E3998">
        <w:t xml:space="preserve"> 4.6 </w:t>
      </w:r>
      <w:r>
        <w:t>cents per litre</w:t>
      </w:r>
      <w:r w:rsidR="008C706B">
        <w:t xml:space="preserve"> (not taking into account fuel security services payments)</w:t>
      </w:r>
      <w:r>
        <w:t xml:space="preserve"> for at least the next 9 months; or</w:t>
      </w:r>
    </w:p>
    <w:p w:rsidR="00D8655D" w:rsidRDefault="006C5823" w:rsidP="00D8655D">
      <w:pPr>
        <w:pStyle w:val="tPara"/>
      </w:pPr>
      <w:r>
        <w:tab/>
      </w:r>
      <w:r w:rsidR="00BB6D03">
        <w:t>(b)</w:t>
      </w:r>
      <w:r>
        <w:tab/>
        <w:t>the refinery</w:t>
      </w:r>
      <w:r w:rsidR="00EC5E3C">
        <w:t xml:space="preserve"> operations</w:t>
      </w:r>
      <w:r>
        <w:t xml:space="preserve"> recording losses of at least $60 million </w:t>
      </w:r>
      <w:r w:rsidR="00120518">
        <w:t>with</w:t>
      </w:r>
      <w:r w:rsidR="001C1D02">
        <w:t>in the next 9 months; or</w:t>
      </w:r>
      <w:r w:rsidR="00D8655D" w:rsidRPr="00D8655D">
        <w:t xml:space="preserve"> </w:t>
      </w:r>
    </w:p>
    <w:p w:rsidR="006C5823" w:rsidRDefault="00D8655D" w:rsidP="00D8655D">
      <w:pPr>
        <w:pStyle w:val="nPara"/>
      </w:pPr>
      <w:r>
        <w:t>Note:</w:t>
      </w:r>
      <w:r>
        <w:tab/>
      </w:r>
      <w:r w:rsidR="008B75AC">
        <w:t xml:space="preserve">The expectation of losses </w:t>
      </w:r>
      <w:r>
        <w:t>would take into account fuel security services payments and other support for the refinery</w:t>
      </w:r>
      <w:r w:rsidR="008B75AC">
        <w:t>, such as financial support provided by the Commonwealth</w:t>
      </w:r>
      <w:r>
        <w:t xml:space="preserve">. </w:t>
      </w:r>
    </w:p>
    <w:p w:rsidR="008B75AC" w:rsidRDefault="001C1D02" w:rsidP="008B75AC">
      <w:pPr>
        <w:pStyle w:val="tPara"/>
      </w:pPr>
      <w:r>
        <w:tab/>
      </w:r>
      <w:r w:rsidR="00BB6D03">
        <w:t>(c)</w:t>
      </w:r>
      <w:r w:rsidR="000B1CC9">
        <w:tab/>
      </w:r>
      <w:r w:rsidR="00D8655D" w:rsidRPr="00D8655D">
        <w:t xml:space="preserve">the refinery operations not achieving a commercial return on investment (such that the </w:t>
      </w:r>
      <w:r w:rsidR="00D8655D">
        <w:t>net present value (NPV)</w:t>
      </w:r>
      <w:r w:rsidR="00913A47">
        <w:t xml:space="preserve"> of the asset would be </w:t>
      </w:r>
      <w:r w:rsidR="00D8655D" w:rsidRPr="00D8655D">
        <w:t>less</w:t>
      </w:r>
      <w:r w:rsidR="009F1611">
        <w:t xml:space="preserve"> </w:t>
      </w:r>
      <w:r w:rsidR="00913A47">
        <w:t xml:space="preserve">than zero </w:t>
      </w:r>
      <w:r w:rsidR="009F1611">
        <w:t>over the refinery’s commitment period</w:t>
      </w:r>
      <w:r w:rsidR="00D8655D">
        <w:t>)</w:t>
      </w:r>
      <w:r w:rsidR="008B75AC">
        <w:t>; or</w:t>
      </w:r>
    </w:p>
    <w:p w:rsidR="001A0737" w:rsidRDefault="008B75AC" w:rsidP="001A0737">
      <w:pPr>
        <w:pStyle w:val="tPara"/>
        <w:ind w:hanging="368"/>
      </w:pPr>
      <w:r>
        <w:t>(d)</w:t>
      </w:r>
      <w:r>
        <w:tab/>
      </w:r>
      <w:r w:rsidRPr="00FC2A40">
        <w:t>material ongoing losses that the Minister considers sufficient to make the refinery unviable</w:t>
      </w:r>
      <w:r>
        <w:t xml:space="preserve"> from a commercial perspective</w:t>
      </w:r>
      <w:r w:rsidRPr="00FC2A40">
        <w:t>.</w:t>
      </w:r>
    </w:p>
    <w:p w:rsidR="001A0737" w:rsidRDefault="001F130C" w:rsidP="001F130C">
      <w:pPr>
        <w:pStyle w:val="tMain"/>
      </w:pPr>
      <w:r>
        <w:tab/>
      </w:r>
      <w:r w:rsidR="00BB6D03">
        <w:t>(8)</w:t>
      </w:r>
      <w:r>
        <w:tab/>
      </w:r>
      <w:r w:rsidR="00AA4A1A">
        <w:t>For subsections</w:t>
      </w:r>
      <w:r w:rsidR="001A0737" w:rsidRPr="00FC2A40">
        <w:t xml:space="preserve"> (5) and (</w:t>
      </w:r>
      <w:r w:rsidR="001A0737">
        <w:t>7</w:t>
      </w:r>
      <w:r w:rsidR="001A0737" w:rsidRPr="00FC2A40">
        <w:t xml:space="preserve">), </w:t>
      </w:r>
      <w:r w:rsidR="001A0737" w:rsidRPr="00FC2A40">
        <w:rPr>
          <w:b/>
          <w:i/>
        </w:rPr>
        <w:t xml:space="preserve">losses </w:t>
      </w:r>
      <w:r w:rsidR="001A0737" w:rsidRPr="00FC2A40">
        <w:t>means EBIT</w:t>
      </w:r>
      <w:r w:rsidR="001A0737">
        <w:t>DA</w:t>
      </w:r>
      <w:r w:rsidR="001A0737" w:rsidRPr="00FC2A40">
        <w:t xml:space="preserve"> minus normalised capital expenditure, where </w:t>
      </w:r>
      <w:r w:rsidR="001A0737" w:rsidRPr="00FC2A40">
        <w:rPr>
          <w:b/>
          <w:i/>
        </w:rPr>
        <w:t>normalised capital expenditure</w:t>
      </w:r>
      <w:r w:rsidR="001A0737" w:rsidRPr="00FC2A40">
        <w:t xml:space="preserve"> means the average capital expenditure across a 5 year period</w:t>
      </w:r>
      <w:r w:rsidR="001A0737">
        <w:t xml:space="preserve"> (which ends at the end of the 9 month or less period under paragraph </w:t>
      </w:r>
      <w:r w:rsidR="00AA4A1A">
        <w:t>(</w:t>
      </w:r>
      <w:r w:rsidR="001A0737">
        <w:t>5</w:t>
      </w:r>
      <w:r w:rsidR="00AA4A1A">
        <w:t>)</w:t>
      </w:r>
      <w:r w:rsidR="001A0737">
        <w:t xml:space="preserve">(b) or the 9 month period under paragraph </w:t>
      </w:r>
      <w:r w:rsidR="00AA4A1A">
        <w:t>(</w:t>
      </w:r>
      <w:r w:rsidR="001A0737">
        <w:t>7</w:t>
      </w:r>
      <w:r w:rsidR="00AA4A1A">
        <w:t>)</w:t>
      </w:r>
      <w:r w:rsidR="001A0737">
        <w:t>(b), as applicable)</w:t>
      </w:r>
      <w:r w:rsidR="001A0737" w:rsidRPr="00FC2A40">
        <w:t xml:space="preserve">, and </w:t>
      </w:r>
      <w:r w:rsidR="00AA4A1A">
        <w:t xml:space="preserve">is </w:t>
      </w:r>
      <w:r w:rsidR="001A0737" w:rsidRPr="00FC2A40">
        <w:t>pro rata adjusted to the relevant period of assessment.</w:t>
      </w:r>
    </w:p>
    <w:p w:rsidR="00953469" w:rsidRDefault="00953469" w:rsidP="00953469">
      <w:pPr>
        <w:pStyle w:val="h6Subsec"/>
      </w:pPr>
      <w:r>
        <w:t>Operationally unviable</w:t>
      </w:r>
    </w:p>
    <w:p w:rsidR="00EC5E3C" w:rsidRDefault="00953469" w:rsidP="00EC5E3C">
      <w:pPr>
        <w:pStyle w:val="tMain"/>
      </w:pPr>
      <w:r>
        <w:tab/>
      </w:r>
      <w:r w:rsidR="00BB6D03">
        <w:t>(9)</w:t>
      </w:r>
      <w:r w:rsidR="00A71C73">
        <w:tab/>
        <w:t>For paragraph (2)(a</w:t>
      </w:r>
      <w:r>
        <w:t xml:space="preserve">), a refinery is </w:t>
      </w:r>
      <w:r>
        <w:rPr>
          <w:b/>
          <w:i/>
        </w:rPr>
        <w:t>operationally unviable</w:t>
      </w:r>
      <w:r>
        <w:t xml:space="preserve"> if</w:t>
      </w:r>
      <w:r w:rsidR="002F11C8">
        <w:t xml:space="preserve"> it is not </w:t>
      </w:r>
      <w:r w:rsidR="00EC5E3C">
        <w:t xml:space="preserve">reasonably </w:t>
      </w:r>
      <w:r w:rsidR="002F11C8">
        <w:t>practicable</w:t>
      </w:r>
      <w:r w:rsidR="003D1415">
        <w:t xml:space="preserve"> for operational reasons</w:t>
      </w:r>
      <w:r w:rsidR="002F11C8">
        <w:t xml:space="preserve"> to operate the refinery, or bring the refinery back into operation, on an ongoing basis</w:t>
      </w:r>
      <w:r w:rsidR="00AF6396">
        <w:t xml:space="preserve"> in substantially the same manner as prior to the force majeure event.</w:t>
      </w:r>
    </w:p>
    <w:p w:rsidR="00A71C73" w:rsidRDefault="00A71C73" w:rsidP="00A71C73">
      <w:pPr>
        <w:pStyle w:val="h6Subsec"/>
      </w:pPr>
      <w:r>
        <w:t>Relevant independent analysis</w:t>
      </w:r>
    </w:p>
    <w:p w:rsidR="00A71C73" w:rsidRDefault="00A71C73" w:rsidP="00A71C73">
      <w:pPr>
        <w:pStyle w:val="tMain"/>
      </w:pPr>
      <w:r>
        <w:tab/>
      </w:r>
      <w:r w:rsidR="00BB6D03">
        <w:t>(10)</w:t>
      </w:r>
      <w:r w:rsidR="005973C4">
        <w:tab/>
        <w:t>For paragraph (2)(c) and (4)(d</w:t>
      </w:r>
      <w:r>
        <w:t xml:space="preserve">), </w:t>
      </w:r>
      <w:r w:rsidRPr="00D8655D">
        <w:rPr>
          <w:b/>
          <w:i/>
        </w:rPr>
        <w:t>relevant independent analysis</w:t>
      </w:r>
      <w:r>
        <w:t xml:space="preserve"> must include </w:t>
      </w:r>
      <w:r w:rsidRPr="005949C0">
        <w:t>independent engineering, operational, market and financial analysis</w:t>
      </w:r>
      <w:r>
        <w:t xml:space="preserve"> that is: </w:t>
      </w:r>
    </w:p>
    <w:p w:rsidR="00A71C73" w:rsidRDefault="00A71C73" w:rsidP="00A71C73">
      <w:pPr>
        <w:pStyle w:val="tPara"/>
      </w:pPr>
      <w:r>
        <w:tab/>
      </w:r>
      <w:r w:rsidR="00BB6D03">
        <w:t>(a)</w:t>
      </w:r>
      <w:r>
        <w:tab/>
      </w:r>
      <w:r w:rsidRPr="005949C0">
        <w:t>prepared by appropriately qualified experts with access to</w:t>
      </w:r>
      <w:r>
        <w:t>:</w:t>
      </w:r>
      <w:r w:rsidRPr="005949C0">
        <w:t xml:space="preserve"> </w:t>
      </w:r>
    </w:p>
    <w:p w:rsidR="00A71C73" w:rsidRDefault="00A71C73" w:rsidP="00A71C73">
      <w:pPr>
        <w:pStyle w:val="tSubpara"/>
      </w:pPr>
      <w:r>
        <w:tab/>
      </w:r>
      <w:r w:rsidR="00BB6D03">
        <w:t>(i)</w:t>
      </w:r>
      <w:r>
        <w:tab/>
      </w:r>
      <w:r w:rsidRPr="005949C0">
        <w:t>all relevant records of the refinery operator</w:t>
      </w:r>
      <w:r>
        <w:t xml:space="preserve">; </w:t>
      </w:r>
      <w:r w:rsidR="00D8655D">
        <w:t>and</w:t>
      </w:r>
    </w:p>
    <w:p w:rsidR="00A71C73" w:rsidRDefault="00A71C73" w:rsidP="00A71C73">
      <w:pPr>
        <w:pStyle w:val="tSubpara"/>
      </w:pPr>
      <w:r>
        <w:tab/>
        <w:t>(ii)</w:t>
      </w:r>
      <w:r>
        <w:tab/>
        <w:t>EBIT and EBITDA for the refinery;</w:t>
      </w:r>
      <w:r w:rsidR="00D8655D">
        <w:t xml:space="preserve"> and</w:t>
      </w:r>
    </w:p>
    <w:p w:rsidR="00A71C73" w:rsidRDefault="00A71C73" w:rsidP="00A71C73">
      <w:pPr>
        <w:pStyle w:val="tPara"/>
      </w:pPr>
      <w:r>
        <w:tab/>
      </w:r>
      <w:r w:rsidR="00BB6D03">
        <w:t>(b)</w:t>
      </w:r>
      <w:r>
        <w:tab/>
      </w:r>
      <w:r w:rsidR="008B75AC">
        <w:t xml:space="preserve">relevant and </w:t>
      </w:r>
      <w:r>
        <w:t xml:space="preserve">proportionate to the </w:t>
      </w:r>
      <w:r w:rsidR="00D8655D">
        <w:t>matters which need to be evidenced.</w:t>
      </w:r>
    </w:p>
    <w:p w:rsidR="00386680" w:rsidRPr="002A0313" w:rsidRDefault="00BB6D03" w:rsidP="00386680">
      <w:pPr>
        <w:pStyle w:val="h5Section"/>
      </w:pPr>
      <w:bookmarkStart w:id="38" w:name="_Toc76720073"/>
      <w:r>
        <w:t>21</w:t>
      </w:r>
      <w:r w:rsidR="00386680">
        <w:t xml:space="preserve">  Partial repayment circumstances</w:t>
      </w:r>
      <w:bookmarkEnd w:id="38"/>
    </w:p>
    <w:p w:rsidR="00386680" w:rsidRDefault="00386680" w:rsidP="00386680">
      <w:pPr>
        <w:pStyle w:val="tMain"/>
      </w:pPr>
      <w:r>
        <w:tab/>
      </w:r>
      <w:r w:rsidR="00BB6D03">
        <w:t>(1)</w:t>
      </w:r>
      <w:r>
        <w:tab/>
        <w:t>For subsection 51(2) of the Act, this section prescribes circumstances when an amount less than the total amount under paragraph 50(2)(a) of the Act is repayable and how to calculate that lesser repayable amount.</w:t>
      </w:r>
    </w:p>
    <w:p w:rsidR="00386680" w:rsidRDefault="00386680" w:rsidP="00386680">
      <w:pPr>
        <w:pStyle w:val="tMain"/>
      </w:pPr>
      <w:r>
        <w:tab/>
      </w:r>
      <w:r w:rsidR="00BB6D03">
        <w:t>(2)</w:t>
      </w:r>
      <w:r>
        <w:tab/>
        <w:t>A lesser amount calculated under subsection (3) is repayable, in the circumstances where the start of the 120 day period under subsection 50(1) of the Act occurs after 1 J</w:t>
      </w:r>
      <w:r w:rsidR="009E1A71">
        <w:t>anuary 2022 and before 30 June 2</w:t>
      </w:r>
      <w:r>
        <w:t>030.</w:t>
      </w:r>
    </w:p>
    <w:p w:rsidR="00386680" w:rsidRPr="00783B24" w:rsidRDefault="00386680" w:rsidP="00386680">
      <w:pPr>
        <w:pStyle w:val="tMain"/>
      </w:pPr>
      <w:r>
        <w:tab/>
      </w:r>
      <w:r w:rsidR="00BB6D03">
        <w:t>(3)</w:t>
      </w:r>
      <w:r>
        <w:tab/>
        <w:t>The repayable amount (</w:t>
      </w:r>
      <w:r w:rsidRPr="00783B24">
        <w:rPr>
          <w:b/>
          <w:i/>
        </w:rPr>
        <w:t>RA</w:t>
      </w:r>
      <w:r>
        <w:t>) for paragraph 50(2)(b) of the Act is given by the following formula:</w:t>
      </w:r>
    </w:p>
    <w:p w:rsidR="00386680" w:rsidRPr="00217B5D" w:rsidRDefault="00386680" w:rsidP="00386680">
      <w:pPr>
        <w:pStyle w:val="tDefn"/>
        <w:rPr>
          <w:sz w:val="28"/>
          <w:szCs w:val="28"/>
        </w:rPr>
      </w:pPr>
      <m:oMath>
        <m:r>
          <m:rPr>
            <m:sty m:val="p"/>
          </m:rPr>
          <w:rPr>
            <w:rFonts w:ascii="Cambria Math" w:hAnsi="Cambria Math" w:cs="Cambria Math"/>
            <w:sz w:val="28"/>
            <w:szCs w:val="28"/>
          </w:rPr>
          <m:t>RA=</m:t>
        </m:r>
        <m:f>
          <m:fPr>
            <m:ctrlPr>
              <w:rPr>
                <w:rFonts w:ascii="Cambria Math" w:hAnsi="Cambria Math"/>
                <w:sz w:val="28"/>
                <w:szCs w:val="28"/>
              </w:rPr>
            </m:ctrlPr>
          </m:fPr>
          <m:num>
            <m:r>
              <m:rPr>
                <m:sty m:val="p"/>
              </m:rPr>
              <w:rPr>
                <w:rFonts w:ascii="Cambria Math" w:hAnsi="Cambria Math" w:cs="Cambria Math"/>
                <w:sz w:val="28"/>
                <w:szCs w:val="28"/>
              </w:rPr>
              <m:t>RC</m:t>
            </m:r>
          </m:num>
          <m:den>
            <m:r>
              <m:rPr>
                <m:sty m:val="p"/>
              </m:rPr>
              <w:rPr>
                <w:rFonts w:ascii="Cambria Math" w:hAnsi="Cambria Math" w:cs="Cambria Math"/>
                <w:sz w:val="28"/>
                <w:szCs w:val="28"/>
              </w:rPr>
              <m:t>CP</m:t>
            </m:r>
          </m:den>
        </m:f>
        <m:r>
          <w:rPr>
            <w:rFonts w:ascii="Cambria Math" w:hAnsi="Cambria Math"/>
            <w:sz w:val="28"/>
            <w:szCs w:val="28"/>
          </w:rPr>
          <m:t xml:space="preserve"> ×</m:t>
        </m:r>
        <m:r>
          <m:rPr>
            <m:sty m:val="p"/>
          </m:rPr>
          <w:rPr>
            <w:rFonts w:ascii="Cambria Math" w:hAnsi="Cambria Math"/>
            <w:sz w:val="28"/>
            <w:szCs w:val="28"/>
          </w:rPr>
          <m:t>TP</m:t>
        </m:r>
      </m:oMath>
      <w:r>
        <w:rPr>
          <w:sz w:val="28"/>
          <w:szCs w:val="28"/>
        </w:rPr>
        <w:t xml:space="preserve"> </w:t>
      </w:r>
    </w:p>
    <w:p w:rsidR="00386680" w:rsidRPr="00B32A45" w:rsidRDefault="00386680" w:rsidP="00386680">
      <w:pPr>
        <w:pStyle w:val="subsection2"/>
        <w:shd w:val="clear" w:color="auto" w:fill="FFFFFF"/>
        <w:rPr>
          <w:szCs w:val="22"/>
        </w:rPr>
      </w:pPr>
      <w:r w:rsidRPr="00B32A45">
        <w:rPr>
          <w:szCs w:val="22"/>
        </w:rPr>
        <w:lastRenderedPageBreak/>
        <w:t>where:</w:t>
      </w:r>
    </w:p>
    <w:p w:rsidR="00386680" w:rsidRDefault="00386680" w:rsidP="00386680">
      <w:pPr>
        <w:pStyle w:val="tDefn"/>
      </w:pPr>
      <w:r>
        <w:rPr>
          <w:b/>
          <w:i/>
        </w:rPr>
        <w:t>RC</w:t>
      </w:r>
      <w:r w:rsidRPr="00B32A45">
        <w:rPr>
          <w:b/>
          <w:i/>
          <w:vertAlign w:val="subscript"/>
        </w:rPr>
        <w:t xml:space="preserve"> </w:t>
      </w:r>
      <w:r>
        <w:t>is the days remaining in the commitment period for the committed refinery after the start of the 120 day period under subsection 50(1) of the Act.</w:t>
      </w:r>
    </w:p>
    <w:p w:rsidR="00386680" w:rsidRDefault="00386680" w:rsidP="00386680">
      <w:pPr>
        <w:pStyle w:val="tDefn"/>
      </w:pPr>
      <w:r w:rsidRPr="002A2E80">
        <w:rPr>
          <w:b/>
          <w:i/>
        </w:rPr>
        <w:t>CP</w:t>
      </w:r>
      <w:r>
        <w:t xml:space="preserve"> is the total number of days in the commitment period for the committed refinery starting from the first day of the first quarter the</w:t>
      </w:r>
      <w:r w:rsidR="008F55EC">
        <w:t xml:space="preserve"> person subject to subsection 50(1)</w:t>
      </w:r>
      <w:r w:rsidR="009E1A71">
        <w:t xml:space="preserve"> of the Act</w:t>
      </w:r>
      <w:r>
        <w:t xml:space="preserve"> was eligible for fuel security services payments for the </w:t>
      </w:r>
      <w:r w:rsidR="008F55EC">
        <w:t>refinery</w:t>
      </w:r>
      <w:r>
        <w:t>.</w:t>
      </w:r>
    </w:p>
    <w:p w:rsidR="00386680" w:rsidRDefault="00386680" w:rsidP="00386680">
      <w:pPr>
        <w:pStyle w:val="tDefn"/>
      </w:pPr>
      <w:r w:rsidRPr="002A2E80">
        <w:rPr>
          <w:b/>
          <w:i/>
        </w:rPr>
        <w:t>TP</w:t>
      </w:r>
      <w:r>
        <w:t xml:space="preserve"> is the total amount of fuel security services payments paid to the person subject to subsection 50(1) of the Act</w:t>
      </w:r>
      <w:r w:rsidR="00F36D5D">
        <w:t xml:space="preserve"> in respect of the committed refinery</w:t>
      </w:r>
      <w:r>
        <w:t>.</w:t>
      </w:r>
    </w:p>
    <w:p w:rsidR="00695E89" w:rsidRPr="002A0313" w:rsidRDefault="00BB6D03" w:rsidP="00695E89">
      <w:pPr>
        <w:pStyle w:val="h5Section"/>
      </w:pPr>
      <w:bookmarkStart w:id="39" w:name="_Toc76720074"/>
      <w:r>
        <w:t>22</w:t>
      </w:r>
      <w:r w:rsidR="00695E89">
        <w:t xml:space="preserve">  Extension of period of cessation</w:t>
      </w:r>
      <w:bookmarkEnd w:id="39"/>
    </w:p>
    <w:p w:rsidR="00695E89" w:rsidRDefault="00695E89" w:rsidP="00695E89">
      <w:pPr>
        <w:pStyle w:val="tMain"/>
      </w:pPr>
      <w:r>
        <w:tab/>
      </w:r>
      <w:r w:rsidR="00BB6D03">
        <w:t>(1)</w:t>
      </w:r>
      <w:r w:rsidR="00C4661A">
        <w:tab/>
        <w:t>For section 52</w:t>
      </w:r>
      <w:r>
        <w:t xml:space="preserve"> of the Act, this section prescribes circumstances </w:t>
      </w:r>
      <w:r w:rsidR="00FF47BD">
        <w:t xml:space="preserve">when the Secretary may extend the </w:t>
      </w:r>
      <w:r w:rsidR="00C4661A">
        <w:t>120</w:t>
      </w:r>
      <w:r w:rsidR="00FF47BD">
        <w:t xml:space="preserve"> day </w:t>
      </w:r>
      <w:r w:rsidR="00C4661A">
        <w:t>period mentioned in paragraph 50</w:t>
      </w:r>
      <w:r w:rsidR="00FF47BD">
        <w:t>(1)(b) of the Act</w:t>
      </w:r>
      <w:r>
        <w:t>.</w:t>
      </w:r>
    </w:p>
    <w:p w:rsidR="00FF47BD" w:rsidRDefault="00695E89" w:rsidP="00FF47BD">
      <w:pPr>
        <w:pStyle w:val="tMain"/>
      </w:pPr>
      <w:r>
        <w:tab/>
      </w:r>
      <w:r w:rsidR="00BB6D03">
        <w:t>(2)</w:t>
      </w:r>
      <w:r>
        <w:tab/>
      </w:r>
      <w:r w:rsidR="00FF47BD">
        <w:t xml:space="preserve">The Secretary may extend the period if satisfied that: </w:t>
      </w:r>
    </w:p>
    <w:p w:rsidR="00695E89" w:rsidRDefault="00FF47BD" w:rsidP="00FF47BD">
      <w:pPr>
        <w:pStyle w:val="tPara"/>
      </w:pPr>
      <w:r>
        <w:tab/>
      </w:r>
      <w:r w:rsidR="00BB6D03">
        <w:t>(a)</w:t>
      </w:r>
      <w:r>
        <w:tab/>
        <w:t>the refinery operator is taking, and will continue to take, reasonable steps</w:t>
      </w:r>
      <w:r w:rsidR="008E1B23">
        <w:t xml:space="preserve"> to continue refining FSSP fuel</w:t>
      </w:r>
      <w:r>
        <w:t xml:space="preserve"> at the refinery</w:t>
      </w:r>
      <w:r w:rsidR="00902AC2">
        <w:t xml:space="preserve"> as soon as</w:t>
      </w:r>
      <w:r w:rsidR="006E538C">
        <w:t xml:space="preserve"> reasonably</w:t>
      </w:r>
      <w:r w:rsidR="00902AC2">
        <w:t xml:space="preserve"> practicable</w:t>
      </w:r>
      <w:r>
        <w:t>;</w:t>
      </w:r>
      <w:r w:rsidR="00DE004B">
        <w:t xml:space="preserve"> and</w:t>
      </w:r>
    </w:p>
    <w:p w:rsidR="00FF47BD" w:rsidRDefault="00FF47BD" w:rsidP="00FF47BD">
      <w:pPr>
        <w:pStyle w:val="tPara"/>
      </w:pPr>
      <w:r>
        <w:tab/>
      </w:r>
      <w:r w:rsidR="00BB6D03">
        <w:t>(b)</w:t>
      </w:r>
      <w:r>
        <w:tab/>
        <w:t>the refinery is expecte</w:t>
      </w:r>
      <w:r w:rsidR="008E1B23">
        <w:t>d to restart refining FSSP fuel</w:t>
      </w:r>
      <w:r>
        <w:t>:</w:t>
      </w:r>
    </w:p>
    <w:p w:rsidR="00FF47BD" w:rsidRDefault="00FF47BD" w:rsidP="00FF47BD">
      <w:pPr>
        <w:pStyle w:val="tSubpara"/>
      </w:pPr>
      <w:r>
        <w:tab/>
      </w:r>
      <w:r w:rsidR="00BB6D03">
        <w:t>(i)</w:t>
      </w:r>
      <w:r>
        <w:tab/>
        <w:t xml:space="preserve">within 60 days after the end of the </w:t>
      </w:r>
      <w:r w:rsidR="00C4661A">
        <w:t>period mentioned in paragraph 50</w:t>
      </w:r>
      <w:r>
        <w:t>(1)(b) of the Act;</w:t>
      </w:r>
      <w:r w:rsidR="00DE004B">
        <w:t xml:space="preserve"> or</w:t>
      </w:r>
    </w:p>
    <w:p w:rsidR="00FF47BD" w:rsidRDefault="00FF47BD" w:rsidP="00FF47BD">
      <w:pPr>
        <w:pStyle w:val="tSubpara"/>
      </w:pPr>
      <w:r>
        <w:tab/>
      </w:r>
      <w:r w:rsidR="00BB6D03">
        <w:t>(ii)</w:t>
      </w:r>
      <w:r>
        <w:tab/>
        <w:t xml:space="preserve">if essential maintenance or capital works need longer than the period in subparagraph (i)—as soon as </w:t>
      </w:r>
      <w:r w:rsidR="006E538C">
        <w:t xml:space="preserve">reasonably </w:t>
      </w:r>
      <w:r>
        <w:t xml:space="preserve">practicable after that maintenance or capital works are completed. </w:t>
      </w:r>
    </w:p>
    <w:p w:rsidR="00B94452" w:rsidRDefault="00B94452" w:rsidP="00B94452">
      <w:pPr>
        <w:pStyle w:val="tMain"/>
      </w:pPr>
      <w:r>
        <w:tab/>
      </w:r>
      <w:r w:rsidR="00BB6D03">
        <w:t>(3)</w:t>
      </w:r>
      <w:r>
        <w:tab/>
        <w:t xml:space="preserve">Without limiting subsection (2), if the refinery is conducting a scheduled maintenance turnaround notified to the Secretary in advance of its commencement, the Secretary may extend the period if satisfied that: </w:t>
      </w:r>
    </w:p>
    <w:p w:rsidR="00B94452" w:rsidRDefault="00B94452" w:rsidP="00B94452">
      <w:pPr>
        <w:pStyle w:val="tPara"/>
      </w:pPr>
      <w:r>
        <w:tab/>
      </w:r>
      <w:r w:rsidR="00BB6D03">
        <w:t>(a)</w:t>
      </w:r>
      <w:r>
        <w:tab/>
        <w:t>the extension is appropriate to allow for the completion of the maintenance; and</w:t>
      </w:r>
    </w:p>
    <w:p w:rsidR="00B94452" w:rsidRDefault="00B94452" w:rsidP="00B94452">
      <w:pPr>
        <w:pStyle w:val="tPara"/>
      </w:pPr>
      <w:r>
        <w:tab/>
      </w:r>
      <w:r w:rsidR="00BB6D03">
        <w:t>(b)</w:t>
      </w:r>
      <w:r>
        <w:tab/>
        <w:t xml:space="preserve">the refinery operator is expected to resume refining FSSP fuel at the refinery as soon as practicable after the completion of the maintenance. </w:t>
      </w:r>
    </w:p>
    <w:p w:rsidR="007D6E07" w:rsidRPr="00B8447E" w:rsidRDefault="007D6E07" w:rsidP="005E6942">
      <w:pPr>
        <w:spacing w:line="240" w:lineRule="auto"/>
        <w:rPr>
          <w:rFonts w:ascii="Arial" w:hAnsi="Arial"/>
          <w:b/>
          <w:color w:val="7030A0"/>
          <w:sz w:val="28"/>
          <w:szCs w:val="28"/>
        </w:rPr>
      </w:pPr>
    </w:p>
    <w:sectPr w:rsidR="007D6E07" w:rsidRPr="00B8447E" w:rsidSect="00B13564">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FB" w:rsidRDefault="007400FB">
      <w:r>
        <w:separator/>
      </w:r>
    </w:p>
  </w:endnote>
  <w:endnote w:type="continuationSeparator" w:id="0">
    <w:p w:rsidR="007400FB" w:rsidRDefault="0074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6D1934" w:rsidRDefault="006D1934" w:rsidP="009818F6">
        <w:pPr>
          <w:pStyle w:val="Footer"/>
          <w:pBdr>
            <w:top w:val="single" w:sz="4" w:space="1" w:color="auto"/>
          </w:pBdr>
          <w:jc w:val="right"/>
        </w:pPr>
        <w:r>
          <w:rPr>
            <w:noProof/>
          </w:rPr>
          <w:fldChar w:fldCharType="begin"/>
        </w:r>
        <w:r>
          <w:rPr>
            <w:noProof/>
          </w:rPr>
          <w:instrText xml:space="preserve"> PAGE   \* MERGEFORMAT </w:instrText>
        </w:r>
        <w:r>
          <w:rPr>
            <w:noProof/>
          </w:rPr>
          <w:fldChar w:fldCharType="separate"/>
        </w:r>
        <w:r w:rsidR="008F51FA">
          <w:rPr>
            <w:noProof/>
          </w:rPr>
          <w:t>15</w:t>
        </w:r>
        <w:r>
          <w:rPr>
            <w:noProof/>
          </w:rPr>
          <w:fldChar w:fldCharType="end"/>
        </w:r>
      </w:p>
    </w:sdtContent>
  </w:sdt>
  <w:p w:rsidR="006D1934" w:rsidRDefault="006D1934" w:rsidP="004C496A">
    <w:pPr>
      <w:pStyle w:val="Header"/>
    </w:pPr>
    <w:r>
      <w:rPr>
        <w:noProof/>
      </w:rPr>
      <w:fldChar w:fldCharType="begin"/>
    </w:r>
    <w:r>
      <w:rPr>
        <w:noProof/>
      </w:rPr>
      <w:instrText xml:space="preserve"> STYLEREF  ShortT  \* MERGEFORMAT </w:instrText>
    </w:r>
    <w:r>
      <w:rPr>
        <w:noProof/>
      </w:rPr>
      <w:fldChar w:fldCharType="separate"/>
    </w:r>
    <w:r w:rsidR="008F51FA">
      <w:rPr>
        <w:noProof/>
      </w:rPr>
      <w:t>Fuel Security (Fuel Security Services Payment) Rule 2021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FB" w:rsidRDefault="007400FB">
      <w:r>
        <w:separator/>
      </w:r>
    </w:p>
  </w:footnote>
  <w:footnote w:type="continuationSeparator" w:id="0">
    <w:p w:rsidR="007400FB" w:rsidRDefault="00740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2"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A4E7422"/>
    <w:multiLevelType w:val="hybridMultilevel"/>
    <w:tmpl w:val="1840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2"/>
  </w:num>
  <w:num w:numId="5">
    <w:abstractNumId w:val="26"/>
  </w:num>
  <w:num w:numId="6">
    <w:abstractNumId w:val="20"/>
  </w:num>
  <w:num w:numId="7">
    <w:abstractNumId w:val="13"/>
  </w:num>
  <w:num w:numId="8">
    <w:abstractNumId w:val="19"/>
  </w:num>
  <w:num w:numId="9">
    <w:abstractNumId w:val="33"/>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2"/>
  </w:num>
  <w:num w:numId="21">
    <w:abstractNumId w:val="17"/>
  </w:num>
  <w:num w:numId="2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1B29"/>
    <w:rsid w:val="00002024"/>
    <w:rsid w:val="000039D7"/>
    <w:rsid w:val="00012088"/>
    <w:rsid w:val="00012B72"/>
    <w:rsid w:val="00014257"/>
    <w:rsid w:val="000248C7"/>
    <w:rsid w:val="000258A0"/>
    <w:rsid w:val="00030FCF"/>
    <w:rsid w:val="00031189"/>
    <w:rsid w:val="000320F2"/>
    <w:rsid w:val="00036984"/>
    <w:rsid w:val="0003757F"/>
    <w:rsid w:val="0003764D"/>
    <w:rsid w:val="00041037"/>
    <w:rsid w:val="00041E62"/>
    <w:rsid w:val="0004373B"/>
    <w:rsid w:val="0004479F"/>
    <w:rsid w:val="00044D8C"/>
    <w:rsid w:val="000453D0"/>
    <w:rsid w:val="00046216"/>
    <w:rsid w:val="00050664"/>
    <w:rsid w:val="00051826"/>
    <w:rsid w:val="00051EA8"/>
    <w:rsid w:val="0005423E"/>
    <w:rsid w:val="00056020"/>
    <w:rsid w:val="00057DAB"/>
    <w:rsid w:val="00057DAD"/>
    <w:rsid w:val="00060287"/>
    <w:rsid w:val="00063C97"/>
    <w:rsid w:val="00064F51"/>
    <w:rsid w:val="00066A91"/>
    <w:rsid w:val="00071808"/>
    <w:rsid w:val="000731B2"/>
    <w:rsid w:val="00073AE9"/>
    <w:rsid w:val="00074AB4"/>
    <w:rsid w:val="000813F8"/>
    <w:rsid w:val="00082BCD"/>
    <w:rsid w:val="00090D8B"/>
    <w:rsid w:val="000967FA"/>
    <w:rsid w:val="00097203"/>
    <w:rsid w:val="000974E1"/>
    <w:rsid w:val="000978C5"/>
    <w:rsid w:val="000A25C2"/>
    <w:rsid w:val="000A4314"/>
    <w:rsid w:val="000A71D4"/>
    <w:rsid w:val="000A7903"/>
    <w:rsid w:val="000B042A"/>
    <w:rsid w:val="000B0704"/>
    <w:rsid w:val="000B177D"/>
    <w:rsid w:val="000B1CC9"/>
    <w:rsid w:val="000B2B15"/>
    <w:rsid w:val="000B3F0C"/>
    <w:rsid w:val="000B4DA5"/>
    <w:rsid w:val="000B58A6"/>
    <w:rsid w:val="000B5DCB"/>
    <w:rsid w:val="000B6E1F"/>
    <w:rsid w:val="000C10EF"/>
    <w:rsid w:val="000C2287"/>
    <w:rsid w:val="000C2440"/>
    <w:rsid w:val="000C61CF"/>
    <w:rsid w:val="000D117C"/>
    <w:rsid w:val="000D2D22"/>
    <w:rsid w:val="000D2FFA"/>
    <w:rsid w:val="000D40E2"/>
    <w:rsid w:val="000D5F02"/>
    <w:rsid w:val="000D628D"/>
    <w:rsid w:val="000D7205"/>
    <w:rsid w:val="000E2406"/>
    <w:rsid w:val="000E2AF3"/>
    <w:rsid w:val="000E2E9E"/>
    <w:rsid w:val="000E2F82"/>
    <w:rsid w:val="000E4D39"/>
    <w:rsid w:val="000E750C"/>
    <w:rsid w:val="000F0319"/>
    <w:rsid w:val="000F081D"/>
    <w:rsid w:val="000F2EBE"/>
    <w:rsid w:val="000F3049"/>
    <w:rsid w:val="000F31F8"/>
    <w:rsid w:val="000F39FE"/>
    <w:rsid w:val="001002F7"/>
    <w:rsid w:val="001008C7"/>
    <w:rsid w:val="00102896"/>
    <w:rsid w:val="001032F0"/>
    <w:rsid w:val="001055A9"/>
    <w:rsid w:val="00107E81"/>
    <w:rsid w:val="001104D5"/>
    <w:rsid w:val="0011343D"/>
    <w:rsid w:val="00115AB3"/>
    <w:rsid w:val="00120518"/>
    <w:rsid w:val="00121A23"/>
    <w:rsid w:val="00123118"/>
    <w:rsid w:val="00124559"/>
    <w:rsid w:val="001245D0"/>
    <w:rsid w:val="001300B0"/>
    <w:rsid w:val="00133C9C"/>
    <w:rsid w:val="001369B9"/>
    <w:rsid w:val="00137A06"/>
    <w:rsid w:val="00140EBC"/>
    <w:rsid w:val="00142EC4"/>
    <w:rsid w:val="0014387D"/>
    <w:rsid w:val="001443B4"/>
    <w:rsid w:val="00144E82"/>
    <w:rsid w:val="001476F6"/>
    <w:rsid w:val="001532D6"/>
    <w:rsid w:val="00154AA1"/>
    <w:rsid w:val="0015548C"/>
    <w:rsid w:val="00156688"/>
    <w:rsid w:val="0016259E"/>
    <w:rsid w:val="00163388"/>
    <w:rsid w:val="00164F9B"/>
    <w:rsid w:val="00170675"/>
    <w:rsid w:val="001719D0"/>
    <w:rsid w:val="0017277C"/>
    <w:rsid w:val="00172784"/>
    <w:rsid w:val="00172839"/>
    <w:rsid w:val="00174847"/>
    <w:rsid w:val="0017505D"/>
    <w:rsid w:val="001776B2"/>
    <w:rsid w:val="00182E3C"/>
    <w:rsid w:val="00182E6C"/>
    <w:rsid w:val="00184268"/>
    <w:rsid w:val="00184B5E"/>
    <w:rsid w:val="001859C6"/>
    <w:rsid w:val="00187A61"/>
    <w:rsid w:val="00190042"/>
    <w:rsid w:val="00190AB5"/>
    <w:rsid w:val="00194039"/>
    <w:rsid w:val="00195069"/>
    <w:rsid w:val="00196DA5"/>
    <w:rsid w:val="001979DC"/>
    <w:rsid w:val="001A0018"/>
    <w:rsid w:val="001A0737"/>
    <w:rsid w:val="001A15AC"/>
    <w:rsid w:val="001A562A"/>
    <w:rsid w:val="001A5CB2"/>
    <w:rsid w:val="001B0571"/>
    <w:rsid w:val="001B0B41"/>
    <w:rsid w:val="001B2D72"/>
    <w:rsid w:val="001B4173"/>
    <w:rsid w:val="001B4954"/>
    <w:rsid w:val="001B644D"/>
    <w:rsid w:val="001B7250"/>
    <w:rsid w:val="001B7C15"/>
    <w:rsid w:val="001C0768"/>
    <w:rsid w:val="001C1A73"/>
    <w:rsid w:val="001C1D02"/>
    <w:rsid w:val="001C3392"/>
    <w:rsid w:val="001C3788"/>
    <w:rsid w:val="001C6AD2"/>
    <w:rsid w:val="001D07AE"/>
    <w:rsid w:val="001D45A8"/>
    <w:rsid w:val="001D61EF"/>
    <w:rsid w:val="001E0380"/>
    <w:rsid w:val="001E0958"/>
    <w:rsid w:val="001E0960"/>
    <w:rsid w:val="001E1B02"/>
    <w:rsid w:val="001E2866"/>
    <w:rsid w:val="001E3998"/>
    <w:rsid w:val="001E4824"/>
    <w:rsid w:val="001E647F"/>
    <w:rsid w:val="001F130C"/>
    <w:rsid w:val="001F373E"/>
    <w:rsid w:val="001F43D4"/>
    <w:rsid w:val="001F50EC"/>
    <w:rsid w:val="001F5128"/>
    <w:rsid w:val="001F5AF2"/>
    <w:rsid w:val="001F710D"/>
    <w:rsid w:val="00201A33"/>
    <w:rsid w:val="00210328"/>
    <w:rsid w:val="00210C28"/>
    <w:rsid w:val="0021145F"/>
    <w:rsid w:val="00213788"/>
    <w:rsid w:val="002146BA"/>
    <w:rsid w:val="002150E5"/>
    <w:rsid w:val="0021764C"/>
    <w:rsid w:val="00217A90"/>
    <w:rsid w:val="00217C89"/>
    <w:rsid w:val="00220F1C"/>
    <w:rsid w:val="00221B3D"/>
    <w:rsid w:val="002221BC"/>
    <w:rsid w:val="00223A01"/>
    <w:rsid w:val="00225D68"/>
    <w:rsid w:val="0022621E"/>
    <w:rsid w:val="00226E7C"/>
    <w:rsid w:val="002274CF"/>
    <w:rsid w:val="002309B3"/>
    <w:rsid w:val="00232329"/>
    <w:rsid w:val="002323DB"/>
    <w:rsid w:val="00233BC0"/>
    <w:rsid w:val="00234173"/>
    <w:rsid w:val="00235521"/>
    <w:rsid w:val="00235E1E"/>
    <w:rsid w:val="00236630"/>
    <w:rsid w:val="00240E9E"/>
    <w:rsid w:val="0024155A"/>
    <w:rsid w:val="00241798"/>
    <w:rsid w:val="002432A9"/>
    <w:rsid w:val="00243924"/>
    <w:rsid w:val="00246A83"/>
    <w:rsid w:val="00246C4C"/>
    <w:rsid w:val="002472BC"/>
    <w:rsid w:val="0025365A"/>
    <w:rsid w:val="00254817"/>
    <w:rsid w:val="00255070"/>
    <w:rsid w:val="00255165"/>
    <w:rsid w:val="00257896"/>
    <w:rsid w:val="002642D5"/>
    <w:rsid w:val="00265192"/>
    <w:rsid w:val="00265CB8"/>
    <w:rsid w:val="00266DC8"/>
    <w:rsid w:val="00274E2B"/>
    <w:rsid w:val="00275E7D"/>
    <w:rsid w:val="00280B8E"/>
    <w:rsid w:val="002832F4"/>
    <w:rsid w:val="0028502C"/>
    <w:rsid w:val="00286557"/>
    <w:rsid w:val="0028786B"/>
    <w:rsid w:val="00293143"/>
    <w:rsid w:val="00293320"/>
    <w:rsid w:val="00294058"/>
    <w:rsid w:val="00294245"/>
    <w:rsid w:val="00294DE8"/>
    <w:rsid w:val="002A053A"/>
    <w:rsid w:val="002A0596"/>
    <w:rsid w:val="002A18C9"/>
    <w:rsid w:val="002A2E80"/>
    <w:rsid w:val="002A3283"/>
    <w:rsid w:val="002A5322"/>
    <w:rsid w:val="002A6992"/>
    <w:rsid w:val="002A7E6F"/>
    <w:rsid w:val="002B0EAC"/>
    <w:rsid w:val="002B172D"/>
    <w:rsid w:val="002B292B"/>
    <w:rsid w:val="002B3521"/>
    <w:rsid w:val="002B49F4"/>
    <w:rsid w:val="002C037D"/>
    <w:rsid w:val="002C3465"/>
    <w:rsid w:val="002C39A1"/>
    <w:rsid w:val="002C5E7F"/>
    <w:rsid w:val="002C7581"/>
    <w:rsid w:val="002D675F"/>
    <w:rsid w:val="002E2E64"/>
    <w:rsid w:val="002E39E0"/>
    <w:rsid w:val="002E7EE0"/>
    <w:rsid w:val="002F0C47"/>
    <w:rsid w:val="002F11C8"/>
    <w:rsid w:val="002F242B"/>
    <w:rsid w:val="002F467E"/>
    <w:rsid w:val="002F4A68"/>
    <w:rsid w:val="002F5F38"/>
    <w:rsid w:val="002F664A"/>
    <w:rsid w:val="00301367"/>
    <w:rsid w:val="00301C22"/>
    <w:rsid w:val="00304507"/>
    <w:rsid w:val="00306EFA"/>
    <w:rsid w:val="003075F1"/>
    <w:rsid w:val="0031117B"/>
    <w:rsid w:val="00311AD7"/>
    <w:rsid w:val="003127F8"/>
    <w:rsid w:val="00321884"/>
    <w:rsid w:val="00322CCD"/>
    <w:rsid w:val="0032396F"/>
    <w:rsid w:val="003257CA"/>
    <w:rsid w:val="0032598E"/>
    <w:rsid w:val="00327822"/>
    <w:rsid w:val="00331757"/>
    <w:rsid w:val="0033258A"/>
    <w:rsid w:val="00332C68"/>
    <w:rsid w:val="00333A4F"/>
    <w:rsid w:val="00335540"/>
    <w:rsid w:val="00340AA4"/>
    <w:rsid w:val="0034760F"/>
    <w:rsid w:val="00350078"/>
    <w:rsid w:val="0035186D"/>
    <w:rsid w:val="00352B83"/>
    <w:rsid w:val="00352DE5"/>
    <w:rsid w:val="00354E4F"/>
    <w:rsid w:val="0036220E"/>
    <w:rsid w:val="00364922"/>
    <w:rsid w:val="00371E2D"/>
    <w:rsid w:val="00372DF1"/>
    <w:rsid w:val="00377DAC"/>
    <w:rsid w:val="00380FB2"/>
    <w:rsid w:val="00382276"/>
    <w:rsid w:val="00386680"/>
    <w:rsid w:val="0039016F"/>
    <w:rsid w:val="00390572"/>
    <w:rsid w:val="00390A97"/>
    <w:rsid w:val="00390B03"/>
    <w:rsid w:val="003939A2"/>
    <w:rsid w:val="0039749E"/>
    <w:rsid w:val="00397CC2"/>
    <w:rsid w:val="003A080E"/>
    <w:rsid w:val="003A34AE"/>
    <w:rsid w:val="003A4CFF"/>
    <w:rsid w:val="003A5620"/>
    <w:rsid w:val="003A6158"/>
    <w:rsid w:val="003A644D"/>
    <w:rsid w:val="003A72A8"/>
    <w:rsid w:val="003B114C"/>
    <w:rsid w:val="003B2DC6"/>
    <w:rsid w:val="003B3DB9"/>
    <w:rsid w:val="003B4E23"/>
    <w:rsid w:val="003B7386"/>
    <w:rsid w:val="003B777A"/>
    <w:rsid w:val="003C1E61"/>
    <w:rsid w:val="003C32EE"/>
    <w:rsid w:val="003C452F"/>
    <w:rsid w:val="003D1415"/>
    <w:rsid w:val="003D1FE2"/>
    <w:rsid w:val="003D7C75"/>
    <w:rsid w:val="003E0AF3"/>
    <w:rsid w:val="003E1765"/>
    <w:rsid w:val="003E2DCB"/>
    <w:rsid w:val="003E3108"/>
    <w:rsid w:val="003E352A"/>
    <w:rsid w:val="003E49CC"/>
    <w:rsid w:val="003E5C76"/>
    <w:rsid w:val="003E6641"/>
    <w:rsid w:val="003E7BF9"/>
    <w:rsid w:val="003F58A1"/>
    <w:rsid w:val="003F61C0"/>
    <w:rsid w:val="003F7EF1"/>
    <w:rsid w:val="0040186F"/>
    <w:rsid w:val="00402812"/>
    <w:rsid w:val="004040B2"/>
    <w:rsid w:val="00404E41"/>
    <w:rsid w:val="0040665C"/>
    <w:rsid w:val="00406C4A"/>
    <w:rsid w:val="004074D0"/>
    <w:rsid w:val="004077A2"/>
    <w:rsid w:val="00407A73"/>
    <w:rsid w:val="00412098"/>
    <w:rsid w:val="00412EE5"/>
    <w:rsid w:val="00416635"/>
    <w:rsid w:val="004209C2"/>
    <w:rsid w:val="00423DA5"/>
    <w:rsid w:val="00430D5F"/>
    <w:rsid w:val="0043183D"/>
    <w:rsid w:val="004327A6"/>
    <w:rsid w:val="00433AE2"/>
    <w:rsid w:val="004353DB"/>
    <w:rsid w:val="00435726"/>
    <w:rsid w:val="00435DA0"/>
    <w:rsid w:val="00436098"/>
    <w:rsid w:val="00436219"/>
    <w:rsid w:val="00436C5C"/>
    <w:rsid w:val="00437592"/>
    <w:rsid w:val="00441379"/>
    <w:rsid w:val="00442227"/>
    <w:rsid w:val="004428F7"/>
    <w:rsid w:val="00442D45"/>
    <w:rsid w:val="00444507"/>
    <w:rsid w:val="00444584"/>
    <w:rsid w:val="004503EC"/>
    <w:rsid w:val="00452C13"/>
    <w:rsid w:val="00461441"/>
    <w:rsid w:val="00463E97"/>
    <w:rsid w:val="004649D1"/>
    <w:rsid w:val="00475C7C"/>
    <w:rsid w:val="00475CF2"/>
    <w:rsid w:val="00476141"/>
    <w:rsid w:val="00476C74"/>
    <w:rsid w:val="00477BB5"/>
    <w:rsid w:val="004803D4"/>
    <w:rsid w:val="004833DB"/>
    <w:rsid w:val="004842E7"/>
    <w:rsid w:val="004850CA"/>
    <w:rsid w:val="00487B34"/>
    <w:rsid w:val="00491433"/>
    <w:rsid w:val="004938A3"/>
    <w:rsid w:val="004971E4"/>
    <w:rsid w:val="004A05F0"/>
    <w:rsid w:val="004A0C1B"/>
    <w:rsid w:val="004A37E5"/>
    <w:rsid w:val="004B4EA7"/>
    <w:rsid w:val="004B5B4A"/>
    <w:rsid w:val="004B644E"/>
    <w:rsid w:val="004C1309"/>
    <w:rsid w:val="004C144E"/>
    <w:rsid w:val="004C1A87"/>
    <w:rsid w:val="004C2F1E"/>
    <w:rsid w:val="004C496A"/>
    <w:rsid w:val="004C5AFE"/>
    <w:rsid w:val="004C6902"/>
    <w:rsid w:val="004D256F"/>
    <w:rsid w:val="004E1067"/>
    <w:rsid w:val="004F0122"/>
    <w:rsid w:val="004F17F7"/>
    <w:rsid w:val="004F2FAE"/>
    <w:rsid w:val="004F5362"/>
    <w:rsid w:val="00500012"/>
    <w:rsid w:val="00502DD0"/>
    <w:rsid w:val="00505FCA"/>
    <w:rsid w:val="00507791"/>
    <w:rsid w:val="00510D57"/>
    <w:rsid w:val="00511AA9"/>
    <w:rsid w:val="00511EAF"/>
    <w:rsid w:val="00515F6B"/>
    <w:rsid w:val="00517E97"/>
    <w:rsid w:val="00521933"/>
    <w:rsid w:val="00522647"/>
    <w:rsid w:val="00526A27"/>
    <w:rsid w:val="005276E4"/>
    <w:rsid w:val="00531C0C"/>
    <w:rsid w:val="00532D74"/>
    <w:rsid w:val="005352DD"/>
    <w:rsid w:val="00536929"/>
    <w:rsid w:val="00537B4E"/>
    <w:rsid w:val="00540465"/>
    <w:rsid w:val="00547E30"/>
    <w:rsid w:val="0055370A"/>
    <w:rsid w:val="00554B06"/>
    <w:rsid w:val="00555654"/>
    <w:rsid w:val="005556A2"/>
    <w:rsid w:val="00556A40"/>
    <w:rsid w:val="00562634"/>
    <w:rsid w:val="00567070"/>
    <w:rsid w:val="00571ACA"/>
    <w:rsid w:val="0057498E"/>
    <w:rsid w:val="00574D2B"/>
    <w:rsid w:val="00582C28"/>
    <w:rsid w:val="00583629"/>
    <w:rsid w:val="00584F3F"/>
    <w:rsid w:val="0058653A"/>
    <w:rsid w:val="00586C23"/>
    <w:rsid w:val="00592607"/>
    <w:rsid w:val="00594537"/>
    <w:rsid w:val="005949C0"/>
    <w:rsid w:val="00595849"/>
    <w:rsid w:val="005973C4"/>
    <w:rsid w:val="0059783B"/>
    <w:rsid w:val="005A0240"/>
    <w:rsid w:val="005A0814"/>
    <w:rsid w:val="005A6EA9"/>
    <w:rsid w:val="005B29AD"/>
    <w:rsid w:val="005B42FE"/>
    <w:rsid w:val="005B4588"/>
    <w:rsid w:val="005B45A0"/>
    <w:rsid w:val="005B5048"/>
    <w:rsid w:val="005B52E3"/>
    <w:rsid w:val="005B5536"/>
    <w:rsid w:val="005B63B2"/>
    <w:rsid w:val="005B7033"/>
    <w:rsid w:val="005D010C"/>
    <w:rsid w:val="005D1FCA"/>
    <w:rsid w:val="005D34EA"/>
    <w:rsid w:val="005D4CA5"/>
    <w:rsid w:val="005D53E0"/>
    <w:rsid w:val="005D7C25"/>
    <w:rsid w:val="005E017E"/>
    <w:rsid w:val="005E0910"/>
    <w:rsid w:val="005E3F4F"/>
    <w:rsid w:val="005E4601"/>
    <w:rsid w:val="005E6942"/>
    <w:rsid w:val="005E736A"/>
    <w:rsid w:val="005F1B55"/>
    <w:rsid w:val="005F1DF4"/>
    <w:rsid w:val="005F253E"/>
    <w:rsid w:val="005F27EF"/>
    <w:rsid w:val="005F60DB"/>
    <w:rsid w:val="006006CF"/>
    <w:rsid w:val="00601F58"/>
    <w:rsid w:val="00602E88"/>
    <w:rsid w:val="00604125"/>
    <w:rsid w:val="00605ADC"/>
    <w:rsid w:val="00606ADD"/>
    <w:rsid w:val="00610DA3"/>
    <w:rsid w:val="006122E1"/>
    <w:rsid w:val="006147BE"/>
    <w:rsid w:val="006161F8"/>
    <w:rsid w:val="00616491"/>
    <w:rsid w:val="006235E3"/>
    <w:rsid w:val="00623FA5"/>
    <w:rsid w:val="0062440A"/>
    <w:rsid w:val="0062512C"/>
    <w:rsid w:val="00630D06"/>
    <w:rsid w:val="00633EEB"/>
    <w:rsid w:val="0063445A"/>
    <w:rsid w:val="00634D19"/>
    <w:rsid w:val="006376CC"/>
    <w:rsid w:val="00641007"/>
    <w:rsid w:val="00642695"/>
    <w:rsid w:val="00642C1E"/>
    <w:rsid w:val="006448E4"/>
    <w:rsid w:val="0064647A"/>
    <w:rsid w:val="0064667D"/>
    <w:rsid w:val="00646D73"/>
    <w:rsid w:val="0065130D"/>
    <w:rsid w:val="00652BBE"/>
    <w:rsid w:val="00653F9B"/>
    <w:rsid w:val="0065413D"/>
    <w:rsid w:val="006574AB"/>
    <w:rsid w:val="00662B72"/>
    <w:rsid w:val="006630BA"/>
    <w:rsid w:val="00663ADA"/>
    <w:rsid w:val="00665AEC"/>
    <w:rsid w:val="00666AB2"/>
    <w:rsid w:val="0066733F"/>
    <w:rsid w:val="00671A7E"/>
    <w:rsid w:val="0067237D"/>
    <w:rsid w:val="006738A8"/>
    <w:rsid w:val="006775C7"/>
    <w:rsid w:val="00680B7C"/>
    <w:rsid w:val="0068239C"/>
    <w:rsid w:val="006829B7"/>
    <w:rsid w:val="0068442B"/>
    <w:rsid w:val="00685DC9"/>
    <w:rsid w:val="00691D8F"/>
    <w:rsid w:val="00692892"/>
    <w:rsid w:val="006937F1"/>
    <w:rsid w:val="006948D4"/>
    <w:rsid w:val="00695E89"/>
    <w:rsid w:val="006961BC"/>
    <w:rsid w:val="006A0E83"/>
    <w:rsid w:val="006A1924"/>
    <w:rsid w:val="006A37A5"/>
    <w:rsid w:val="006A44B5"/>
    <w:rsid w:val="006A45FF"/>
    <w:rsid w:val="006B17DB"/>
    <w:rsid w:val="006B404D"/>
    <w:rsid w:val="006C030F"/>
    <w:rsid w:val="006C1EA8"/>
    <w:rsid w:val="006C2838"/>
    <w:rsid w:val="006C4A30"/>
    <w:rsid w:val="006C5823"/>
    <w:rsid w:val="006C685B"/>
    <w:rsid w:val="006C7992"/>
    <w:rsid w:val="006C7EEA"/>
    <w:rsid w:val="006D0A68"/>
    <w:rsid w:val="006D1934"/>
    <w:rsid w:val="006D315F"/>
    <w:rsid w:val="006D6000"/>
    <w:rsid w:val="006D7611"/>
    <w:rsid w:val="006E12A9"/>
    <w:rsid w:val="006E2406"/>
    <w:rsid w:val="006E29CF"/>
    <w:rsid w:val="006E538C"/>
    <w:rsid w:val="006E75CF"/>
    <w:rsid w:val="006F05FC"/>
    <w:rsid w:val="006F166C"/>
    <w:rsid w:val="006F1BB4"/>
    <w:rsid w:val="006F335D"/>
    <w:rsid w:val="006F39FC"/>
    <w:rsid w:val="006F3F95"/>
    <w:rsid w:val="006F59B9"/>
    <w:rsid w:val="006F6CBF"/>
    <w:rsid w:val="006F7EF6"/>
    <w:rsid w:val="00700043"/>
    <w:rsid w:val="00701FD7"/>
    <w:rsid w:val="007042B4"/>
    <w:rsid w:val="00711DAC"/>
    <w:rsid w:val="00714247"/>
    <w:rsid w:val="00720B8F"/>
    <w:rsid w:val="00722E06"/>
    <w:rsid w:val="0072459D"/>
    <w:rsid w:val="007249E6"/>
    <w:rsid w:val="00726008"/>
    <w:rsid w:val="0072656B"/>
    <w:rsid w:val="007275FE"/>
    <w:rsid w:val="0073065D"/>
    <w:rsid w:val="00730DC0"/>
    <w:rsid w:val="007330A3"/>
    <w:rsid w:val="00734F95"/>
    <w:rsid w:val="007351F3"/>
    <w:rsid w:val="00736F58"/>
    <w:rsid w:val="007400FB"/>
    <w:rsid w:val="00741738"/>
    <w:rsid w:val="00746DC8"/>
    <w:rsid w:val="00747AD3"/>
    <w:rsid w:val="00754E6A"/>
    <w:rsid w:val="007551B7"/>
    <w:rsid w:val="007557A9"/>
    <w:rsid w:val="00756155"/>
    <w:rsid w:val="00757BFF"/>
    <w:rsid w:val="007661CD"/>
    <w:rsid w:val="00767F90"/>
    <w:rsid w:val="007701BF"/>
    <w:rsid w:val="0077116C"/>
    <w:rsid w:val="0077150B"/>
    <w:rsid w:val="0077308C"/>
    <w:rsid w:val="00774156"/>
    <w:rsid w:val="00775C14"/>
    <w:rsid w:val="007760FD"/>
    <w:rsid w:val="00777BB6"/>
    <w:rsid w:val="00783B24"/>
    <w:rsid w:val="00785341"/>
    <w:rsid w:val="007856B2"/>
    <w:rsid w:val="007934F1"/>
    <w:rsid w:val="0079534B"/>
    <w:rsid w:val="007963EC"/>
    <w:rsid w:val="00797355"/>
    <w:rsid w:val="007A15D9"/>
    <w:rsid w:val="007A2B63"/>
    <w:rsid w:val="007A337B"/>
    <w:rsid w:val="007A4C5E"/>
    <w:rsid w:val="007A567A"/>
    <w:rsid w:val="007A5A4C"/>
    <w:rsid w:val="007A6FD4"/>
    <w:rsid w:val="007B0407"/>
    <w:rsid w:val="007B1945"/>
    <w:rsid w:val="007B1C64"/>
    <w:rsid w:val="007B363E"/>
    <w:rsid w:val="007B5D87"/>
    <w:rsid w:val="007B6A59"/>
    <w:rsid w:val="007C1C1D"/>
    <w:rsid w:val="007C31EF"/>
    <w:rsid w:val="007C5D94"/>
    <w:rsid w:val="007C6401"/>
    <w:rsid w:val="007C6E3D"/>
    <w:rsid w:val="007D261A"/>
    <w:rsid w:val="007D6E07"/>
    <w:rsid w:val="007D7127"/>
    <w:rsid w:val="007D729A"/>
    <w:rsid w:val="007D798D"/>
    <w:rsid w:val="007E238A"/>
    <w:rsid w:val="007E4FBF"/>
    <w:rsid w:val="007E6966"/>
    <w:rsid w:val="007E753F"/>
    <w:rsid w:val="007F096A"/>
    <w:rsid w:val="007F11B3"/>
    <w:rsid w:val="007F3D55"/>
    <w:rsid w:val="007F434A"/>
    <w:rsid w:val="007F7F92"/>
    <w:rsid w:val="0080020C"/>
    <w:rsid w:val="00805150"/>
    <w:rsid w:val="0080541C"/>
    <w:rsid w:val="00806905"/>
    <w:rsid w:val="008077BA"/>
    <w:rsid w:val="00810255"/>
    <w:rsid w:val="00812F65"/>
    <w:rsid w:val="008136FA"/>
    <w:rsid w:val="008142D4"/>
    <w:rsid w:val="008145A8"/>
    <w:rsid w:val="0081483E"/>
    <w:rsid w:val="00814DB1"/>
    <w:rsid w:val="00815805"/>
    <w:rsid w:val="0081779B"/>
    <w:rsid w:val="008205BA"/>
    <w:rsid w:val="00821543"/>
    <w:rsid w:val="0082171E"/>
    <w:rsid w:val="0082191F"/>
    <w:rsid w:val="00822056"/>
    <w:rsid w:val="00824B62"/>
    <w:rsid w:val="00831BAE"/>
    <w:rsid w:val="0083235A"/>
    <w:rsid w:val="00832BF7"/>
    <w:rsid w:val="00834A7E"/>
    <w:rsid w:val="00851E2D"/>
    <w:rsid w:val="00852773"/>
    <w:rsid w:val="00852794"/>
    <w:rsid w:val="00855DE5"/>
    <w:rsid w:val="00855EFC"/>
    <w:rsid w:val="00856E2A"/>
    <w:rsid w:val="00857B4E"/>
    <w:rsid w:val="00862F94"/>
    <w:rsid w:val="00863979"/>
    <w:rsid w:val="00866271"/>
    <w:rsid w:val="008671B1"/>
    <w:rsid w:val="008678EB"/>
    <w:rsid w:val="00870761"/>
    <w:rsid w:val="00870824"/>
    <w:rsid w:val="00872A40"/>
    <w:rsid w:val="00873E84"/>
    <w:rsid w:val="00876AE2"/>
    <w:rsid w:val="00877559"/>
    <w:rsid w:val="00880AB9"/>
    <w:rsid w:val="008858BF"/>
    <w:rsid w:val="00886D9E"/>
    <w:rsid w:val="00895A75"/>
    <w:rsid w:val="00897BB9"/>
    <w:rsid w:val="008A1585"/>
    <w:rsid w:val="008A17E3"/>
    <w:rsid w:val="008A28B4"/>
    <w:rsid w:val="008A4262"/>
    <w:rsid w:val="008A51B0"/>
    <w:rsid w:val="008A71F9"/>
    <w:rsid w:val="008B23EF"/>
    <w:rsid w:val="008B3176"/>
    <w:rsid w:val="008B3541"/>
    <w:rsid w:val="008B3830"/>
    <w:rsid w:val="008B3BA5"/>
    <w:rsid w:val="008B5D95"/>
    <w:rsid w:val="008B75AC"/>
    <w:rsid w:val="008C4A9D"/>
    <w:rsid w:val="008C6C78"/>
    <w:rsid w:val="008C706B"/>
    <w:rsid w:val="008C7668"/>
    <w:rsid w:val="008D3B2B"/>
    <w:rsid w:val="008D6654"/>
    <w:rsid w:val="008D6A9D"/>
    <w:rsid w:val="008E1B23"/>
    <w:rsid w:val="008E1C73"/>
    <w:rsid w:val="008E24DA"/>
    <w:rsid w:val="008E38D7"/>
    <w:rsid w:val="008F3A94"/>
    <w:rsid w:val="008F51FA"/>
    <w:rsid w:val="008F55EC"/>
    <w:rsid w:val="008F58D2"/>
    <w:rsid w:val="0090080B"/>
    <w:rsid w:val="00902A2B"/>
    <w:rsid w:val="00902AC2"/>
    <w:rsid w:val="00903370"/>
    <w:rsid w:val="00904115"/>
    <w:rsid w:val="0090466A"/>
    <w:rsid w:val="00905441"/>
    <w:rsid w:val="00910CDE"/>
    <w:rsid w:val="009121A5"/>
    <w:rsid w:val="00912F84"/>
    <w:rsid w:val="00913A47"/>
    <w:rsid w:val="00913D7D"/>
    <w:rsid w:val="00915D39"/>
    <w:rsid w:val="009163ED"/>
    <w:rsid w:val="0091668E"/>
    <w:rsid w:val="0091674D"/>
    <w:rsid w:val="00917469"/>
    <w:rsid w:val="00917C4D"/>
    <w:rsid w:val="009218BA"/>
    <w:rsid w:val="009249F0"/>
    <w:rsid w:val="00926D9B"/>
    <w:rsid w:val="00931772"/>
    <w:rsid w:val="009317A2"/>
    <w:rsid w:val="0093199E"/>
    <w:rsid w:val="009319D5"/>
    <w:rsid w:val="00933869"/>
    <w:rsid w:val="0093516C"/>
    <w:rsid w:val="0093569B"/>
    <w:rsid w:val="009359F9"/>
    <w:rsid w:val="00944957"/>
    <w:rsid w:val="00945645"/>
    <w:rsid w:val="00945E70"/>
    <w:rsid w:val="00952109"/>
    <w:rsid w:val="00953469"/>
    <w:rsid w:val="0095384A"/>
    <w:rsid w:val="00953ABB"/>
    <w:rsid w:val="00962A76"/>
    <w:rsid w:val="009646BA"/>
    <w:rsid w:val="00964948"/>
    <w:rsid w:val="009676EF"/>
    <w:rsid w:val="009679CE"/>
    <w:rsid w:val="00974EE4"/>
    <w:rsid w:val="009768DD"/>
    <w:rsid w:val="0097758B"/>
    <w:rsid w:val="009778BB"/>
    <w:rsid w:val="009817E2"/>
    <w:rsid w:val="009818F6"/>
    <w:rsid w:val="00981B44"/>
    <w:rsid w:val="00981CED"/>
    <w:rsid w:val="00982331"/>
    <w:rsid w:val="00982D68"/>
    <w:rsid w:val="0098596B"/>
    <w:rsid w:val="009917F3"/>
    <w:rsid w:val="00993854"/>
    <w:rsid w:val="00996158"/>
    <w:rsid w:val="009A0F10"/>
    <w:rsid w:val="009A0FFB"/>
    <w:rsid w:val="009A274B"/>
    <w:rsid w:val="009A2840"/>
    <w:rsid w:val="009B0BA1"/>
    <w:rsid w:val="009B0CCE"/>
    <w:rsid w:val="009B36F4"/>
    <w:rsid w:val="009B4188"/>
    <w:rsid w:val="009C2745"/>
    <w:rsid w:val="009C4BDB"/>
    <w:rsid w:val="009C6F1A"/>
    <w:rsid w:val="009D0428"/>
    <w:rsid w:val="009D7DF2"/>
    <w:rsid w:val="009E012E"/>
    <w:rsid w:val="009E1396"/>
    <w:rsid w:val="009E1A71"/>
    <w:rsid w:val="009E5AE6"/>
    <w:rsid w:val="009E5F58"/>
    <w:rsid w:val="009E7EF5"/>
    <w:rsid w:val="009F02DE"/>
    <w:rsid w:val="009F1611"/>
    <w:rsid w:val="009F3A92"/>
    <w:rsid w:val="009F6BF2"/>
    <w:rsid w:val="009F75F7"/>
    <w:rsid w:val="00A0120A"/>
    <w:rsid w:val="00A03D2A"/>
    <w:rsid w:val="00A1077C"/>
    <w:rsid w:val="00A11EA3"/>
    <w:rsid w:val="00A14C78"/>
    <w:rsid w:val="00A170DC"/>
    <w:rsid w:val="00A20C49"/>
    <w:rsid w:val="00A22771"/>
    <w:rsid w:val="00A22C2F"/>
    <w:rsid w:val="00A2382C"/>
    <w:rsid w:val="00A24756"/>
    <w:rsid w:val="00A252F3"/>
    <w:rsid w:val="00A265A4"/>
    <w:rsid w:val="00A362C4"/>
    <w:rsid w:val="00A3639A"/>
    <w:rsid w:val="00A41D37"/>
    <w:rsid w:val="00A42666"/>
    <w:rsid w:val="00A42F93"/>
    <w:rsid w:val="00A44801"/>
    <w:rsid w:val="00A44F49"/>
    <w:rsid w:val="00A46D59"/>
    <w:rsid w:val="00A5656D"/>
    <w:rsid w:val="00A56B83"/>
    <w:rsid w:val="00A607E1"/>
    <w:rsid w:val="00A60A98"/>
    <w:rsid w:val="00A66511"/>
    <w:rsid w:val="00A67FE0"/>
    <w:rsid w:val="00A71C73"/>
    <w:rsid w:val="00A7572D"/>
    <w:rsid w:val="00A76A86"/>
    <w:rsid w:val="00A77A5B"/>
    <w:rsid w:val="00A80659"/>
    <w:rsid w:val="00A81153"/>
    <w:rsid w:val="00A81445"/>
    <w:rsid w:val="00A81C2C"/>
    <w:rsid w:val="00A82DA0"/>
    <w:rsid w:val="00A8320B"/>
    <w:rsid w:val="00A853AC"/>
    <w:rsid w:val="00A8563B"/>
    <w:rsid w:val="00A85E28"/>
    <w:rsid w:val="00A86F09"/>
    <w:rsid w:val="00A87458"/>
    <w:rsid w:val="00A874C1"/>
    <w:rsid w:val="00A97217"/>
    <w:rsid w:val="00AA013F"/>
    <w:rsid w:val="00AA1056"/>
    <w:rsid w:val="00AA1B9A"/>
    <w:rsid w:val="00AA27E9"/>
    <w:rsid w:val="00AA4A1A"/>
    <w:rsid w:val="00AA5BA0"/>
    <w:rsid w:val="00AA795C"/>
    <w:rsid w:val="00AB20E2"/>
    <w:rsid w:val="00AB24D7"/>
    <w:rsid w:val="00AB3A76"/>
    <w:rsid w:val="00AB55B1"/>
    <w:rsid w:val="00AB6123"/>
    <w:rsid w:val="00AC2FC4"/>
    <w:rsid w:val="00AC386C"/>
    <w:rsid w:val="00AC4663"/>
    <w:rsid w:val="00AC5CE2"/>
    <w:rsid w:val="00AC7BFF"/>
    <w:rsid w:val="00AD012D"/>
    <w:rsid w:val="00AD2D6F"/>
    <w:rsid w:val="00AD69C3"/>
    <w:rsid w:val="00AD6B86"/>
    <w:rsid w:val="00AD7325"/>
    <w:rsid w:val="00AD7BE4"/>
    <w:rsid w:val="00AD7C65"/>
    <w:rsid w:val="00AE0494"/>
    <w:rsid w:val="00AE0499"/>
    <w:rsid w:val="00AE34A9"/>
    <w:rsid w:val="00AE5361"/>
    <w:rsid w:val="00AF0943"/>
    <w:rsid w:val="00AF1FE5"/>
    <w:rsid w:val="00AF2964"/>
    <w:rsid w:val="00AF2EE9"/>
    <w:rsid w:val="00AF61A3"/>
    <w:rsid w:val="00AF6396"/>
    <w:rsid w:val="00B011A0"/>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15458"/>
    <w:rsid w:val="00B213B0"/>
    <w:rsid w:val="00B242D8"/>
    <w:rsid w:val="00B26513"/>
    <w:rsid w:val="00B34972"/>
    <w:rsid w:val="00B34B31"/>
    <w:rsid w:val="00B3769C"/>
    <w:rsid w:val="00B427F4"/>
    <w:rsid w:val="00B429AE"/>
    <w:rsid w:val="00B435E8"/>
    <w:rsid w:val="00B4554B"/>
    <w:rsid w:val="00B47F12"/>
    <w:rsid w:val="00B50554"/>
    <w:rsid w:val="00B515EC"/>
    <w:rsid w:val="00B52136"/>
    <w:rsid w:val="00B57BDA"/>
    <w:rsid w:val="00B63CFC"/>
    <w:rsid w:val="00B65044"/>
    <w:rsid w:val="00B66073"/>
    <w:rsid w:val="00B67AB5"/>
    <w:rsid w:val="00B67F74"/>
    <w:rsid w:val="00B74C48"/>
    <w:rsid w:val="00B81F73"/>
    <w:rsid w:val="00B83263"/>
    <w:rsid w:val="00B83E51"/>
    <w:rsid w:val="00B8447E"/>
    <w:rsid w:val="00B85F75"/>
    <w:rsid w:val="00B9319C"/>
    <w:rsid w:val="00B93555"/>
    <w:rsid w:val="00B9396B"/>
    <w:rsid w:val="00B94452"/>
    <w:rsid w:val="00B949E1"/>
    <w:rsid w:val="00B95097"/>
    <w:rsid w:val="00B9645B"/>
    <w:rsid w:val="00B9648D"/>
    <w:rsid w:val="00B97EC5"/>
    <w:rsid w:val="00BA2BA8"/>
    <w:rsid w:val="00BA538F"/>
    <w:rsid w:val="00BB0081"/>
    <w:rsid w:val="00BB1533"/>
    <w:rsid w:val="00BB5DAF"/>
    <w:rsid w:val="00BB5E10"/>
    <w:rsid w:val="00BB66BB"/>
    <w:rsid w:val="00BB6C06"/>
    <w:rsid w:val="00BB6D03"/>
    <w:rsid w:val="00BC08D8"/>
    <w:rsid w:val="00BC1CEF"/>
    <w:rsid w:val="00BC2A25"/>
    <w:rsid w:val="00BC3CF2"/>
    <w:rsid w:val="00BC5541"/>
    <w:rsid w:val="00BC5BAD"/>
    <w:rsid w:val="00BD028E"/>
    <w:rsid w:val="00BD0966"/>
    <w:rsid w:val="00BD1DEF"/>
    <w:rsid w:val="00BD3EFC"/>
    <w:rsid w:val="00BD4771"/>
    <w:rsid w:val="00BE19D1"/>
    <w:rsid w:val="00BE2F59"/>
    <w:rsid w:val="00BE3866"/>
    <w:rsid w:val="00BE4B17"/>
    <w:rsid w:val="00BE4D1D"/>
    <w:rsid w:val="00BE5C95"/>
    <w:rsid w:val="00BE5ECB"/>
    <w:rsid w:val="00BF0B49"/>
    <w:rsid w:val="00BF22AD"/>
    <w:rsid w:val="00BF267A"/>
    <w:rsid w:val="00BF3151"/>
    <w:rsid w:val="00BF5A69"/>
    <w:rsid w:val="00C015F9"/>
    <w:rsid w:val="00C0452A"/>
    <w:rsid w:val="00C1001D"/>
    <w:rsid w:val="00C10809"/>
    <w:rsid w:val="00C10D9D"/>
    <w:rsid w:val="00C15E51"/>
    <w:rsid w:val="00C24192"/>
    <w:rsid w:val="00C24200"/>
    <w:rsid w:val="00C24437"/>
    <w:rsid w:val="00C25DDA"/>
    <w:rsid w:val="00C30B6A"/>
    <w:rsid w:val="00C31DA1"/>
    <w:rsid w:val="00C32253"/>
    <w:rsid w:val="00C3317E"/>
    <w:rsid w:val="00C354F5"/>
    <w:rsid w:val="00C4311A"/>
    <w:rsid w:val="00C448DB"/>
    <w:rsid w:val="00C46149"/>
    <w:rsid w:val="00C4661A"/>
    <w:rsid w:val="00C4706E"/>
    <w:rsid w:val="00C4756B"/>
    <w:rsid w:val="00C51861"/>
    <w:rsid w:val="00C53AF7"/>
    <w:rsid w:val="00C557D7"/>
    <w:rsid w:val="00C557E3"/>
    <w:rsid w:val="00C55AEA"/>
    <w:rsid w:val="00C56940"/>
    <w:rsid w:val="00C65A78"/>
    <w:rsid w:val="00C70056"/>
    <w:rsid w:val="00C70F97"/>
    <w:rsid w:val="00C71407"/>
    <w:rsid w:val="00C746A5"/>
    <w:rsid w:val="00C75BDA"/>
    <w:rsid w:val="00C761B9"/>
    <w:rsid w:val="00C76958"/>
    <w:rsid w:val="00C80828"/>
    <w:rsid w:val="00C823F0"/>
    <w:rsid w:val="00C84119"/>
    <w:rsid w:val="00C84788"/>
    <w:rsid w:val="00C857AB"/>
    <w:rsid w:val="00C919B2"/>
    <w:rsid w:val="00C9544E"/>
    <w:rsid w:val="00C958CD"/>
    <w:rsid w:val="00C96C6E"/>
    <w:rsid w:val="00CA010F"/>
    <w:rsid w:val="00CA18FA"/>
    <w:rsid w:val="00CA38F1"/>
    <w:rsid w:val="00CA63C6"/>
    <w:rsid w:val="00CA6694"/>
    <w:rsid w:val="00CA7091"/>
    <w:rsid w:val="00CA72BF"/>
    <w:rsid w:val="00CB0DAA"/>
    <w:rsid w:val="00CB1905"/>
    <w:rsid w:val="00CB1C03"/>
    <w:rsid w:val="00CB5128"/>
    <w:rsid w:val="00CB57BD"/>
    <w:rsid w:val="00CB6981"/>
    <w:rsid w:val="00CB6E3E"/>
    <w:rsid w:val="00CC0A47"/>
    <w:rsid w:val="00CC1713"/>
    <w:rsid w:val="00CC1C01"/>
    <w:rsid w:val="00CC401D"/>
    <w:rsid w:val="00CC4FB2"/>
    <w:rsid w:val="00CC525F"/>
    <w:rsid w:val="00CC66AF"/>
    <w:rsid w:val="00CC7A76"/>
    <w:rsid w:val="00CC7D50"/>
    <w:rsid w:val="00CD18AA"/>
    <w:rsid w:val="00CD41FC"/>
    <w:rsid w:val="00CD52AD"/>
    <w:rsid w:val="00CD718B"/>
    <w:rsid w:val="00CD7982"/>
    <w:rsid w:val="00CE0E1B"/>
    <w:rsid w:val="00CE4770"/>
    <w:rsid w:val="00CE53C6"/>
    <w:rsid w:val="00CF0278"/>
    <w:rsid w:val="00CF0D0C"/>
    <w:rsid w:val="00CF1717"/>
    <w:rsid w:val="00D037C8"/>
    <w:rsid w:val="00D07184"/>
    <w:rsid w:val="00D11105"/>
    <w:rsid w:val="00D11416"/>
    <w:rsid w:val="00D1186A"/>
    <w:rsid w:val="00D11A96"/>
    <w:rsid w:val="00D130AB"/>
    <w:rsid w:val="00D14D2D"/>
    <w:rsid w:val="00D15268"/>
    <w:rsid w:val="00D1660C"/>
    <w:rsid w:val="00D17C79"/>
    <w:rsid w:val="00D22A70"/>
    <w:rsid w:val="00D27AE6"/>
    <w:rsid w:val="00D3052B"/>
    <w:rsid w:val="00D34349"/>
    <w:rsid w:val="00D34C75"/>
    <w:rsid w:val="00D36752"/>
    <w:rsid w:val="00D45207"/>
    <w:rsid w:val="00D45CD7"/>
    <w:rsid w:val="00D518B9"/>
    <w:rsid w:val="00D52AF5"/>
    <w:rsid w:val="00D5358F"/>
    <w:rsid w:val="00D613F8"/>
    <w:rsid w:val="00D62499"/>
    <w:rsid w:val="00D65D78"/>
    <w:rsid w:val="00D669AF"/>
    <w:rsid w:val="00D67B29"/>
    <w:rsid w:val="00D71798"/>
    <w:rsid w:val="00D7186D"/>
    <w:rsid w:val="00D74CD2"/>
    <w:rsid w:val="00D76B53"/>
    <w:rsid w:val="00D77B2A"/>
    <w:rsid w:val="00D80172"/>
    <w:rsid w:val="00D84041"/>
    <w:rsid w:val="00D863DB"/>
    <w:rsid w:val="00D8655D"/>
    <w:rsid w:val="00D868F7"/>
    <w:rsid w:val="00D87FA9"/>
    <w:rsid w:val="00D91AFB"/>
    <w:rsid w:val="00D95B92"/>
    <w:rsid w:val="00DA741B"/>
    <w:rsid w:val="00DB1461"/>
    <w:rsid w:val="00DB33AC"/>
    <w:rsid w:val="00DB4705"/>
    <w:rsid w:val="00DB51E8"/>
    <w:rsid w:val="00DB6A32"/>
    <w:rsid w:val="00DC1DD3"/>
    <w:rsid w:val="00DC26AB"/>
    <w:rsid w:val="00DC518B"/>
    <w:rsid w:val="00DC51B8"/>
    <w:rsid w:val="00DC5391"/>
    <w:rsid w:val="00DC7F39"/>
    <w:rsid w:val="00DD179D"/>
    <w:rsid w:val="00DD1855"/>
    <w:rsid w:val="00DD19B7"/>
    <w:rsid w:val="00DD2247"/>
    <w:rsid w:val="00DD320E"/>
    <w:rsid w:val="00DD409F"/>
    <w:rsid w:val="00DD6301"/>
    <w:rsid w:val="00DD7FCE"/>
    <w:rsid w:val="00DE004B"/>
    <w:rsid w:val="00DE0439"/>
    <w:rsid w:val="00DE26BB"/>
    <w:rsid w:val="00DE2A48"/>
    <w:rsid w:val="00DE398E"/>
    <w:rsid w:val="00DE4D9D"/>
    <w:rsid w:val="00DE54F4"/>
    <w:rsid w:val="00DE6D67"/>
    <w:rsid w:val="00DE763F"/>
    <w:rsid w:val="00DE781C"/>
    <w:rsid w:val="00DF0EE1"/>
    <w:rsid w:val="00DF4B1F"/>
    <w:rsid w:val="00DF6B41"/>
    <w:rsid w:val="00DF6D02"/>
    <w:rsid w:val="00DF7867"/>
    <w:rsid w:val="00E03555"/>
    <w:rsid w:val="00E0397C"/>
    <w:rsid w:val="00E05CDC"/>
    <w:rsid w:val="00E062EC"/>
    <w:rsid w:val="00E071E3"/>
    <w:rsid w:val="00E1180C"/>
    <w:rsid w:val="00E126A8"/>
    <w:rsid w:val="00E1350C"/>
    <w:rsid w:val="00E161D0"/>
    <w:rsid w:val="00E1642F"/>
    <w:rsid w:val="00E21569"/>
    <w:rsid w:val="00E223E4"/>
    <w:rsid w:val="00E24217"/>
    <w:rsid w:val="00E24EB7"/>
    <w:rsid w:val="00E2567C"/>
    <w:rsid w:val="00E2756B"/>
    <w:rsid w:val="00E3004D"/>
    <w:rsid w:val="00E3018C"/>
    <w:rsid w:val="00E34DE9"/>
    <w:rsid w:val="00E4038B"/>
    <w:rsid w:val="00E44A6C"/>
    <w:rsid w:val="00E456B7"/>
    <w:rsid w:val="00E4776F"/>
    <w:rsid w:val="00E47F4A"/>
    <w:rsid w:val="00E500A9"/>
    <w:rsid w:val="00E53849"/>
    <w:rsid w:val="00E55AAA"/>
    <w:rsid w:val="00E61DB3"/>
    <w:rsid w:val="00E66C13"/>
    <w:rsid w:val="00E67D61"/>
    <w:rsid w:val="00E70D20"/>
    <w:rsid w:val="00E71606"/>
    <w:rsid w:val="00E721F7"/>
    <w:rsid w:val="00E751CC"/>
    <w:rsid w:val="00E75C0C"/>
    <w:rsid w:val="00E76371"/>
    <w:rsid w:val="00E77A18"/>
    <w:rsid w:val="00E85790"/>
    <w:rsid w:val="00E86BC7"/>
    <w:rsid w:val="00E86D84"/>
    <w:rsid w:val="00E91055"/>
    <w:rsid w:val="00E91CA9"/>
    <w:rsid w:val="00E929A7"/>
    <w:rsid w:val="00E95A42"/>
    <w:rsid w:val="00E95AD0"/>
    <w:rsid w:val="00EA1C89"/>
    <w:rsid w:val="00EA2681"/>
    <w:rsid w:val="00EB1039"/>
    <w:rsid w:val="00EB3CF3"/>
    <w:rsid w:val="00EB46A7"/>
    <w:rsid w:val="00EB5317"/>
    <w:rsid w:val="00EB54E0"/>
    <w:rsid w:val="00EB580C"/>
    <w:rsid w:val="00EB6664"/>
    <w:rsid w:val="00EC1DDF"/>
    <w:rsid w:val="00EC3426"/>
    <w:rsid w:val="00EC4093"/>
    <w:rsid w:val="00EC4E1C"/>
    <w:rsid w:val="00EC5385"/>
    <w:rsid w:val="00EC5E3C"/>
    <w:rsid w:val="00EC69E0"/>
    <w:rsid w:val="00ED045B"/>
    <w:rsid w:val="00ED3ACF"/>
    <w:rsid w:val="00ED3F58"/>
    <w:rsid w:val="00ED7811"/>
    <w:rsid w:val="00ED7A59"/>
    <w:rsid w:val="00EE0535"/>
    <w:rsid w:val="00EE21DA"/>
    <w:rsid w:val="00EE252D"/>
    <w:rsid w:val="00EE2A83"/>
    <w:rsid w:val="00EE680B"/>
    <w:rsid w:val="00EF158B"/>
    <w:rsid w:val="00EF1AA1"/>
    <w:rsid w:val="00EF2985"/>
    <w:rsid w:val="00EF2A67"/>
    <w:rsid w:val="00EF3ED7"/>
    <w:rsid w:val="00EF577F"/>
    <w:rsid w:val="00F00132"/>
    <w:rsid w:val="00F00AF4"/>
    <w:rsid w:val="00F01417"/>
    <w:rsid w:val="00F02887"/>
    <w:rsid w:val="00F036E7"/>
    <w:rsid w:val="00F05AF8"/>
    <w:rsid w:val="00F071AA"/>
    <w:rsid w:val="00F07FCE"/>
    <w:rsid w:val="00F1019A"/>
    <w:rsid w:val="00F10AF5"/>
    <w:rsid w:val="00F11AA5"/>
    <w:rsid w:val="00F154C9"/>
    <w:rsid w:val="00F20D0F"/>
    <w:rsid w:val="00F23209"/>
    <w:rsid w:val="00F24565"/>
    <w:rsid w:val="00F258D4"/>
    <w:rsid w:val="00F27A4B"/>
    <w:rsid w:val="00F31F0D"/>
    <w:rsid w:val="00F32661"/>
    <w:rsid w:val="00F363D1"/>
    <w:rsid w:val="00F36BF5"/>
    <w:rsid w:val="00F36BF7"/>
    <w:rsid w:val="00F36D5D"/>
    <w:rsid w:val="00F44F07"/>
    <w:rsid w:val="00F47AAB"/>
    <w:rsid w:val="00F53F72"/>
    <w:rsid w:val="00F5456F"/>
    <w:rsid w:val="00F54777"/>
    <w:rsid w:val="00F55476"/>
    <w:rsid w:val="00F56B03"/>
    <w:rsid w:val="00F607B3"/>
    <w:rsid w:val="00F616CC"/>
    <w:rsid w:val="00F67704"/>
    <w:rsid w:val="00F70555"/>
    <w:rsid w:val="00F7166E"/>
    <w:rsid w:val="00F71C56"/>
    <w:rsid w:val="00F72871"/>
    <w:rsid w:val="00F72BBC"/>
    <w:rsid w:val="00F74A75"/>
    <w:rsid w:val="00F75E3A"/>
    <w:rsid w:val="00F76C83"/>
    <w:rsid w:val="00F77994"/>
    <w:rsid w:val="00F81A21"/>
    <w:rsid w:val="00F821B6"/>
    <w:rsid w:val="00F8292D"/>
    <w:rsid w:val="00F82AEF"/>
    <w:rsid w:val="00F852F2"/>
    <w:rsid w:val="00F86E27"/>
    <w:rsid w:val="00F874F7"/>
    <w:rsid w:val="00F87CFE"/>
    <w:rsid w:val="00F87E5A"/>
    <w:rsid w:val="00F9005A"/>
    <w:rsid w:val="00F91213"/>
    <w:rsid w:val="00F91E13"/>
    <w:rsid w:val="00F9743A"/>
    <w:rsid w:val="00FA07AA"/>
    <w:rsid w:val="00FA59B5"/>
    <w:rsid w:val="00FA5BB2"/>
    <w:rsid w:val="00FB0858"/>
    <w:rsid w:val="00FB19D9"/>
    <w:rsid w:val="00FB2137"/>
    <w:rsid w:val="00FB6A2B"/>
    <w:rsid w:val="00FC06EF"/>
    <w:rsid w:val="00FC08C9"/>
    <w:rsid w:val="00FC10AD"/>
    <w:rsid w:val="00FC2312"/>
    <w:rsid w:val="00FC2581"/>
    <w:rsid w:val="00FC3534"/>
    <w:rsid w:val="00FC4D72"/>
    <w:rsid w:val="00FC56C6"/>
    <w:rsid w:val="00FC6116"/>
    <w:rsid w:val="00FC7871"/>
    <w:rsid w:val="00FD1BA2"/>
    <w:rsid w:val="00FD279E"/>
    <w:rsid w:val="00FD3A91"/>
    <w:rsid w:val="00FD3F90"/>
    <w:rsid w:val="00FD5602"/>
    <w:rsid w:val="00FD6428"/>
    <w:rsid w:val="00FD6C39"/>
    <w:rsid w:val="00FD7512"/>
    <w:rsid w:val="00FE005B"/>
    <w:rsid w:val="00FE522A"/>
    <w:rsid w:val="00FE63E0"/>
    <w:rsid w:val="00FF167D"/>
    <w:rsid w:val="00FF1EB0"/>
    <w:rsid w:val="00FF47BD"/>
    <w:rsid w:val="00FF6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
    <w:basedOn w:val="OPCParaBase"/>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
    <w:basedOn w:val="OPCParaBase"/>
    <w:uiPriority w:val="99"/>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783B24"/>
    <w:rPr>
      <w:sz w:val="22"/>
    </w:rPr>
  </w:style>
  <w:style w:type="character" w:customStyle="1" w:styleId="charSubscript">
    <w:name w:val="charSubscript"/>
    <w:rsid w:val="00783B24"/>
    <w:rPr>
      <w:color w:val="auto"/>
      <w:sz w:val="20"/>
      <w:vertAlign w:val="subscript"/>
    </w:rPr>
  </w:style>
  <w:style w:type="character" w:styleId="CommentReference">
    <w:name w:val="annotation reference"/>
    <w:basedOn w:val="DefaultParagraphFont"/>
    <w:uiPriority w:val="99"/>
    <w:semiHidden/>
    <w:unhideWhenUsed/>
    <w:rsid w:val="00ED3A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861893345">
      <w:bodyDiv w:val="1"/>
      <w:marLeft w:val="0"/>
      <w:marRight w:val="0"/>
      <w:marTop w:val="0"/>
      <w:marBottom w:val="0"/>
      <w:divBdr>
        <w:top w:val="none" w:sz="0" w:space="0" w:color="auto"/>
        <w:left w:val="none" w:sz="0" w:space="0" w:color="auto"/>
        <w:bottom w:val="none" w:sz="0" w:space="0" w:color="auto"/>
        <w:right w:val="none" w:sz="0" w:space="0" w:color="auto"/>
      </w:divBdr>
    </w:div>
    <w:div w:id="1244222442">
      <w:bodyDiv w:val="1"/>
      <w:marLeft w:val="0"/>
      <w:marRight w:val="0"/>
      <w:marTop w:val="0"/>
      <w:marBottom w:val="0"/>
      <w:divBdr>
        <w:top w:val="none" w:sz="0" w:space="0" w:color="auto"/>
        <w:left w:val="none" w:sz="0" w:space="0" w:color="auto"/>
        <w:bottom w:val="none" w:sz="0" w:space="0" w:color="auto"/>
        <w:right w:val="none" w:sz="0" w:space="0" w:color="auto"/>
      </w:divBdr>
    </w:div>
    <w:div w:id="1623458728">
      <w:bodyDiv w:val="1"/>
      <w:marLeft w:val="0"/>
      <w:marRight w:val="0"/>
      <w:marTop w:val="0"/>
      <w:marBottom w:val="0"/>
      <w:divBdr>
        <w:top w:val="none" w:sz="0" w:space="0" w:color="auto"/>
        <w:left w:val="none" w:sz="0" w:space="0" w:color="auto"/>
        <w:bottom w:val="none" w:sz="0" w:space="0" w:color="auto"/>
        <w:right w:val="none" w:sz="0" w:space="0" w:color="auto"/>
      </w:divBdr>
    </w:div>
    <w:div w:id="16588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9ECB-F322-465A-9AE6-B52E1A59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2021-07-09T00:43:00Z</dcterms:created>
  <dcterms:modified xsi:type="dcterms:W3CDTF">2021-07-22T02:39:00Z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