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8464E" w14:textId="77777777" w:rsidR="005C06BC" w:rsidRPr="00A31D39" w:rsidRDefault="005C06BC" w:rsidP="00196B23">
      <w:pPr>
        <w:pStyle w:val="Title"/>
        <w:jc w:val="left"/>
      </w:pPr>
      <w:r w:rsidRPr="00A31D39">
        <w:t>Explanatory Statement</w:t>
      </w:r>
    </w:p>
    <w:p w14:paraId="47DE02AA" w14:textId="0FDE1BF0" w:rsidR="00641D94" w:rsidRPr="00A53AF6" w:rsidRDefault="00AC6D1F" w:rsidP="00641D94">
      <w:pPr>
        <w:pStyle w:val="ShortT"/>
        <w:rPr>
          <w:i/>
          <w:sz w:val="22"/>
          <w:szCs w:val="28"/>
        </w:rPr>
      </w:pPr>
      <w:r w:rsidRPr="00AC6D1F">
        <w:rPr>
          <w:i/>
          <w:sz w:val="32"/>
        </w:rPr>
        <w:t>National Vocational Education and Training Regulator (Financial Viability Risk Assessment Requirements) Instrument 2021</w:t>
      </w:r>
    </w:p>
    <w:p w14:paraId="2B1915FE" w14:textId="1EC5E6A4" w:rsidR="003349AC" w:rsidRDefault="005C06BC" w:rsidP="000A7B92">
      <w:pPr>
        <w:pStyle w:val="Heading2"/>
        <w:spacing w:after="240"/>
      </w:pPr>
      <w:r w:rsidRPr="00A31D39">
        <w:t xml:space="preserve">Purpose and </w:t>
      </w:r>
      <w:r w:rsidR="00CE110B" w:rsidRPr="00A31D39">
        <w:t>Authority</w:t>
      </w:r>
    </w:p>
    <w:p w14:paraId="7C6D69C4" w14:textId="4247E166" w:rsidR="007B5009" w:rsidRPr="00B6448E" w:rsidRDefault="008A4C02" w:rsidP="000A7B92">
      <w:pPr>
        <w:rPr>
          <w:b/>
        </w:rPr>
      </w:pPr>
      <w:r w:rsidRPr="00B6448E">
        <w:t xml:space="preserve">The </w:t>
      </w:r>
      <w:r w:rsidR="009A17CA" w:rsidRPr="009A17CA">
        <w:rPr>
          <w:i/>
        </w:rPr>
        <w:t>National Vocational Education and Training Regulator (Financial Viability Risk Assessment Requirements) Instrument 2021</w:t>
      </w:r>
      <w:r w:rsidR="00090A17">
        <w:rPr>
          <w:iCs/>
        </w:rPr>
        <w:t xml:space="preserve"> (</w:t>
      </w:r>
      <w:r w:rsidR="00B639ED">
        <w:rPr>
          <w:iCs/>
        </w:rPr>
        <w:t>the Instrument</w:t>
      </w:r>
      <w:r w:rsidR="00617576">
        <w:rPr>
          <w:iCs/>
        </w:rPr>
        <w:t xml:space="preserve">) </w:t>
      </w:r>
      <w:r w:rsidR="00E80CC3">
        <w:t>is</w:t>
      </w:r>
      <w:r w:rsidR="0087485C" w:rsidRPr="00B6448E">
        <w:t xml:space="preserve"> made under </w:t>
      </w:r>
      <w:r w:rsidR="00EE3B97">
        <w:t>sub</w:t>
      </w:r>
      <w:r w:rsidR="00BB73CE" w:rsidRPr="00BB73CE">
        <w:t>section 158</w:t>
      </w:r>
      <w:r w:rsidR="00406D2E">
        <w:t>(1)</w:t>
      </w:r>
      <w:r w:rsidR="00BB73CE" w:rsidRPr="00BB73CE">
        <w:t xml:space="preserve"> of the </w:t>
      </w:r>
      <w:r w:rsidR="00BB73CE" w:rsidRPr="002A0461">
        <w:rPr>
          <w:i/>
          <w:iCs/>
        </w:rPr>
        <w:t>National Vocational Education and Training Regulator Act 2011</w:t>
      </w:r>
      <w:r w:rsidR="00981935" w:rsidRPr="00B6448E">
        <w:t xml:space="preserve"> (</w:t>
      </w:r>
      <w:r w:rsidR="0087485C" w:rsidRPr="00B6448E">
        <w:t>NVETR</w:t>
      </w:r>
      <w:r w:rsidR="00A53AF6">
        <w:t xml:space="preserve"> </w:t>
      </w:r>
      <w:r w:rsidR="00981935" w:rsidRPr="00B6448E">
        <w:t xml:space="preserve">Act). </w:t>
      </w:r>
      <w:r w:rsidR="0021643D" w:rsidRPr="0021643D">
        <w:t>That subsection requires the National VET Regulator</w:t>
      </w:r>
      <w:r w:rsidR="00173F9D">
        <w:t xml:space="preserve"> (also known as the Chief Executive Officer of the Australian Skills Quality Authority or ASQA)</w:t>
      </w:r>
      <w:r w:rsidR="0021643D" w:rsidRPr="0021643D">
        <w:t xml:space="preserve">, by legislative instrument, to make requirements relating to the financial viability of NVR registered training organisations. </w:t>
      </w:r>
      <w:bookmarkStart w:id="0" w:name="_Hlk76630375"/>
      <w:r w:rsidR="0021643D" w:rsidRPr="0021643D">
        <w:t xml:space="preserve">Subsection 158(2) of the </w:t>
      </w:r>
      <w:r w:rsidR="00E54555">
        <w:t xml:space="preserve">NVETR </w:t>
      </w:r>
      <w:r w:rsidR="0021643D" w:rsidRPr="0021643D">
        <w:t>Act provides the Financial Viability Risk Assessment Requirements</w:t>
      </w:r>
      <w:r w:rsidR="002B2F99">
        <w:t xml:space="preserve"> means the requirements under subsection (1) (the Requirements)</w:t>
      </w:r>
      <w:bookmarkEnd w:id="0"/>
      <w:r w:rsidR="0021643D" w:rsidRPr="0021643D">
        <w:t>.</w:t>
      </w:r>
    </w:p>
    <w:p w14:paraId="224210CF" w14:textId="77777777" w:rsidR="00A53AF6" w:rsidRDefault="00A53AF6" w:rsidP="000A7B92"/>
    <w:p w14:paraId="487220A3" w14:textId="7A897FA7" w:rsidR="002B2F99" w:rsidRDefault="00E80CC3" w:rsidP="0063684C">
      <w:r w:rsidRPr="00A53AF6">
        <w:t xml:space="preserve">The </w:t>
      </w:r>
      <w:r w:rsidR="00266610">
        <w:t xml:space="preserve">Instrument </w:t>
      </w:r>
      <w:r w:rsidR="007E1268">
        <w:t>remake</w:t>
      </w:r>
      <w:r w:rsidR="0015482C">
        <w:t>s</w:t>
      </w:r>
      <w:r w:rsidR="00490D60">
        <w:t xml:space="preserve"> the</w:t>
      </w:r>
      <w:r w:rsidR="008A4C02" w:rsidRPr="00A53AF6">
        <w:t xml:space="preserve"> </w:t>
      </w:r>
      <w:r w:rsidR="0063684C" w:rsidRPr="0063684C">
        <w:rPr>
          <w:i/>
        </w:rPr>
        <w:t>Financial Viability Risk Assessment Requirements 2011</w:t>
      </w:r>
      <w:r w:rsidR="00A53AF6" w:rsidRPr="00ED65DA">
        <w:rPr>
          <w:i/>
        </w:rPr>
        <w:t xml:space="preserve"> </w:t>
      </w:r>
      <w:r>
        <w:t>(</w:t>
      </w:r>
      <w:r w:rsidR="00B639ED">
        <w:t>the former</w:t>
      </w:r>
      <w:r>
        <w:t xml:space="preserve"> </w:t>
      </w:r>
      <w:r w:rsidR="00266610">
        <w:t>Instrument) in the same terms (save for form changes associated with new templates) and repeals the former Instrumen</w:t>
      </w:r>
      <w:r w:rsidR="002B2F99">
        <w:t>t.</w:t>
      </w:r>
    </w:p>
    <w:p w14:paraId="04AC46C3" w14:textId="77777777" w:rsidR="002B2F99" w:rsidRDefault="002B2F99" w:rsidP="0063684C"/>
    <w:p w14:paraId="5B8B970F" w14:textId="5D5AEFBE" w:rsidR="007E5A1E" w:rsidRDefault="00F35F2A" w:rsidP="0063684C">
      <w:r>
        <w:rPr>
          <w:color w:val="000000"/>
          <w:shd w:val="clear" w:color="auto" w:fill="FFFFFF"/>
        </w:rPr>
        <w:t>The </w:t>
      </w:r>
      <w:r>
        <w:rPr>
          <w:i/>
          <w:iCs/>
          <w:color w:val="000000"/>
          <w:shd w:val="clear" w:color="auto" w:fill="FFFFFF"/>
        </w:rPr>
        <w:t>Legislation Act 2003</w:t>
      </w:r>
      <w:r>
        <w:rPr>
          <w:color w:val="000000"/>
          <w:shd w:val="clear" w:color="auto" w:fill="FFFFFF"/>
        </w:rPr>
        <w:t xml:space="preserve"> provides that all legislative instruments, other than exempt instruments, progressively sunset according to the timetable in section 50 of that Act. </w:t>
      </w:r>
      <w:r>
        <w:t>Sunsetting legislative instruments generally cease to have effect after ten years unless further action is taken to extend their operation, such as remaking the instrument.</w:t>
      </w:r>
    </w:p>
    <w:p w14:paraId="29DD9FA0" w14:textId="01708C48" w:rsidR="00B56B4C" w:rsidRDefault="00B56B4C" w:rsidP="0063684C"/>
    <w:p w14:paraId="55C24973" w14:textId="04842110" w:rsidR="00B56B4C" w:rsidRDefault="00B56B4C" w:rsidP="0063684C">
      <w:r>
        <w:t xml:space="preserve">The </w:t>
      </w:r>
      <w:r w:rsidR="0072497E">
        <w:t>former</w:t>
      </w:r>
      <w:r>
        <w:t xml:space="preserve"> </w:t>
      </w:r>
      <w:r w:rsidR="002B2F99">
        <w:t xml:space="preserve">Instrument </w:t>
      </w:r>
      <w:r>
        <w:t>sunset</w:t>
      </w:r>
      <w:r w:rsidR="002B2F99">
        <w:t>s</w:t>
      </w:r>
      <w:r>
        <w:t xml:space="preserve"> on </w:t>
      </w:r>
      <w:r w:rsidR="00E57D44">
        <w:t xml:space="preserve">1 October 2021. </w:t>
      </w:r>
    </w:p>
    <w:p w14:paraId="0053129D" w14:textId="0DFDC244" w:rsidR="00022F7E" w:rsidRDefault="00022F7E" w:rsidP="0063684C"/>
    <w:p w14:paraId="5512715F" w14:textId="45992AAF" w:rsidR="00022F7E" w:rsidRDefault="00022F7E" w:rsidP="00022F7E">
      <w:r>
        <w:t xml:space="preserve">The </w:t>
      </w:r>
      <w:r w:rsidR="0072497E">
        <w:t>Instrument</w:t>
      </w:r>
      <w:r>
        <w:t xml:space="preserve"> form</w:t>
      </w:r>
      <w:r w:rsidR="0072497E">
        <w:t>s</w:t>
      </w:r>
      <w:r>
        <w:t xml:space="preserve"> part of the VET Quality Framework. As defined in section 3 of the </w:t>
      </w:r>
      <w:r w:rsidR="0072497E">
        <w:t xml:space="preserve">NVETR </w:t>
      </w:r>
      <w:r>
        <w:t>Act, the VET Quality Framework is comprised of the Standards for NVR Registered Training Organisations, the Australian Qualifications Framework, the Fit and Proper Person Requirements, the Financial Viability Risk Assessment Requirements and the Data Provision Requirements.</w:t>
      </w:r>
    </w:p>
    <w:p w14:paraId="3F943722" w14:textId="77777777" w:rsidR="00022F7E" w:rsidRDefault="00022F7E" w:rsidP="00022F7E"/>
    <w:p w14:paraId="3413E33A" w14:textId="4F3BF130" w:rsidR="00022F7E" w:rsidRDefault="00022F7E" w:rsidP="00022F7E">
      <w:r>
        <w:t xml:space="preserve">The </w:t>
      </w:r>
      <w:r w:rsidR="0072497E">
        <w:t>Instrument</w:t>
      </w:r>
      <w:r>
        <w:t xml:space="preserve"> appl</w:t>
      </w:r>
      <w:r w:rsidR="0072497E">
        <w:t>ies</w:t>
      </w:r>
      <w:r>
        <w:t xml:space="preserve"> to all NVR registered training organisations from 1 July 2011</w:t>
      </w:r>
      <w:r w:rsidR="002B2F99">
        <w:t>. T</w:t>
      </w:r>
      <w:r>
        <w:t xml:space="preserve">he </w:t>
      </w:r>
      <w:r w:rsidRPr="00C57593">
        <w:rPr>
          <w:i/>
          <w:iCs/>
        </w:rPr>
        <w:t>National Vocational Education and Training Regulator (Transitional Provisions) Act 2011</w:t>
      </w:r>
      <w:r>
        <w:t xml:space="preserve"> sets out the dates from which state and territory registered training organisations are taken to be NVR registered training organisations for the purposes of the </w:t>
      </w:r>
      <w:r w:rsidR="002B2F99">
        <w:t xml:space="preserve">NVETR </w:t>
      </w:r>
      <w:r>
        <w:t xml:space="preserve">Act. NVR registered training organisations must comply with the Requirements as a condition of registration under section 24 of the </w:t>
      </w:r>
      <w:r w:rsidR="00C57593">
        <w:t xml:space="preserve">NVETR </w:t>
      </w:r>
      <w:r>
        <w:t>Act.</w:t>
      </w:r>
    </w:p>
    <w:p w14:paraId="7A00F3AB" w14:textId="77777777" w:rsidR="00022F7E" w:rsidRDefault="00022F7E" w:rsidP="00022F7E"/>
    <w:p w14:paraId="5B126B24" w14:textId="3C945B13" w:rsidR="00022F7E" w:rsidRDefault="00022F7E" w:rsidP="00022F7E">
      <w:r>
        <w:t xml:space="preserve">Further, </w:t>
      </w:r>
      <w:r w:rsidR="003E7E06">
        <w:t xml:space="preserve">the National VET Regulator </w:t>
      </w:r>
      <w:r>
        <w:t xml:space="preserve">is required to consider whether an applicant for registration under the </w:t>
      </w:r>
      <w:r w:rsidR="00C57593">
        <w:t xml:space="preserve">NVETR </w:t>
      </w:r>
      <w:r>
        <w:t xml:space="preserve">Act complies with the </w:t>
      </w:r>
      <w:r w:rsidR="002B2F99">
        <w:t xml:space="preserve">VET Quality Framework and the applicable conditions of registration </w:t>
      </w:r>
      <w:r w:rsidR="00DA01A9">
        <w:t xml:space="preserve">including section 24. </w:t>
      </w:r>
    </w:p>
    <w:p w14:paraId="75E9F06B" w14:textId="77777777" w:rsidR="000A7B92" w:rsidRDefault="000A7B92" w:rsidP="000A7B92">
      <w:pPr>
        <w:rPr>
          <w:lang w:eastAsia="en-AU"/>
        </w:rPr>
      </w:pPr>
    </w:p>
    <w:p w14:paraId="43982E44" w14:textId="77777777" w:rsidR="000A7B92" w:rsidRDefault="008A4C02" w:rsidP="000A7B92">
      <w:pPr>
        <w:pStyle w:val="Heading2"/>
        <w:spacing w:before="0" w:after="240"/>
      </w:pPr>
      <w:r w:rsidRPr="00A31D39">
        <w:t xml:space="preserve">Commencement </w:t>
      </w:r>
    </w:p>
    <w:p w14:paraId="49894262" w14:textId="4B9818E7" w:rsidR="0057455E" w:rsidRDefault="00902C91" w:rsidP="003E104A">
      <w:r w:rsidRPr="000A7B92">
        <w:t>The</w:t>
      </w:r>
      <w:r w:rsidR="00E80CC3" w:rsidRPr="000A7B92">
        <w:t xml:space="preserve"> </w:t>
      </w:r>
      <w:r w:rsidR="00BF7B66">
        <w:t>Instrument</w:t>
      </w:r>
      <w:r w:rsidR="00F52068" w:rsidRPr="000A7B92">
        <w:t xml:space="preserve"> </w:t>
      </w:r>
      <w:r w:rsidR="005670D0" w:rsidRPr="000A7B92">
        <w:t>commence</w:t>
      </w:r>
      <w:r w:rsidR="00E80CC3" w:rsidRPr="000A7B92">
        <w:t>s</w:t>
      </w:r>
      <w:r w:rsidR="005670D0" w:rsidRPr="000A7B92">
        <w:t xml:space="preserve"> from</w:t>
      </w:r>
      <w:r w:rsidR="007E117C" w:rsidRPr="000A7B92">
        <w:t xml:space="preserve"> </w:t>
      </w:r>
      <w:r w:rsidR="00DA01A9" w:rsidRPr="00DA01A9">
        <w:t xml:space="preserve">the day </w:t>
      </w:r>
      <w:r w:rsidR="00810493">
        <w:t xml:space="preserve">after </w:t>
      </w:r>
      <w:r w:rsidR="00DA01A9" w:rsidRPr="00DA01A9">
        <w:t>it is registered</w:t>
      </w:r>
      <w:r w:rsidR="005611E2">
        <w:t xml:space="preserve"> on the Federal Register of </w:t>
      </w:r>
      <w:r w:rsidR="00B43BE6">
        <w:t>Legislation.</w:t>
      </w:r>
      <w:r w:rsidR="005670D0" w:rsidRPr="000A7B92">
        <w:t xml:space="preserve"> </w:t>
      </w:r>
    </w:p>
    <w:p w14:paraId="6617D2C9" w14:textId="77777777" w:rsidR="000A7B92" w:rsidRPr="000A7B92" w:rsidRDefault="000A7B92" w:rsidP="000A7B92">
      <w:pPr>
        <w:rPr>
          <w:lang w:eastAsia="en-AU"/>
        </w:rPr>
      </w:pPr>
    </w:p>
    <w:p w14:paraId="597C9F6C" w14:textId="77777777" w:rsidR="00AE4ABD" w:rsidRDefault="008A4C02" w:rsidP="000A7B92">
      <w:pPr>
        <w:pStyle w:val="Heading2"/>
        <w:spacing w:before="0" w:after="240"/>
      </w:pPr>
      <w:r w:rsidRPr="00A31D39">
        <w:lastRenderedPageBreak/>
        <w:t>Consultation</w:t>
      </w:r>
    </w:p>
    <w:p w14:paraId="2CA65840" w14:textId="77777777" w:rsidR="00173F9D" w:rsidRDefault="00DA01A9" w:rsidP="006A1F60">
      <w:r>
        <w:t>T</w:t>
      </w:r>
      <w:r w:rsidR="00DA5FCE">
        <w:t xml:space="preserve">he Instrument </w:t>
      </w:r>
      <w:r>
        <w:t xml:space="preserve">remakes the former Instrument so there are no changes to the content of </w:t>
      </w:r>
      <w:r w:rsidR="007E3633">
        <w:t xml:space="preserve">the </w:t>
      </w:r>
      <w:r>
        <w:t xml:space="preserve">Requirements.  </w:t>
      </w:r>
      <w:r w:rsidR="00173F9D">
        <w:t xml:space="preserve">ASQA </w:t>
      </w:r>
      <w:r>
        <w:t xml:space="preserve">meets regularly with key external stakeholders through various forums </w:t>
      </w:r>
      <w:r w:rsidR="00F36802">
        <w:t>where remaking</w:t>
      </w:r>
      <w:r w:rsidR="007E3633">
        <w:t xml:space="preserve"> the Instrument has been discussed</w:t>
      </w:r>
      <w:r w:rsidR="00F36802">
        <w:t xml:space="preserve">.  </w:t>
      </w:r>
    </w:p>
    <w:p w14:paraId="48FB7248" w14:textId="77777777" w:rsidR="00173F9D" w:rsidRDefault="00173F9D" w:rsidP="006A1F60"/>
    <w:p w14:paraId="696367A0" w14:textId="687B76AA" w:rsidR="00DA01A9" w:rsidRDefault="00DA01A9" w:rsidP="006A1F60"/>
    <w:p w14:paraId="6B72221A" w14:textId="77777777" w:rsidR="008A4C02" w:rsidRPr="00A31D39" w:rsidRDefault="008A4C02" w:rsidP="000A7B92">
      <w:pPr>
        <w:pStyle w:val="Heading2"/>
        <w:spacing w:before="0" w:after="240"/>
      </w:pPr>
      <w:r w:rsidRPr="00A31D39">
        <w:t>Regulation Impact Statement</w:t>
      </w:r>
    </w:p>
    <w:p w14:paraId="3BAB0C64" w14:textId="03841FA5" w:rsidR="00AE4ABD" w:rsidRDefault="00AE4ABD" w:rsidP="006A1F60">
      <w:r>
        <w:t xml:space="preserve">The Office of Best Practice Regulation (OBPR) has confirmed that </w:t>
      </w:r>
      <w:r w:rsidR="00A838EA">
        <w:t xml:space="preserve">as the Instrument is unlikely to have more than a minor regulatory impact, a </w:t>
      </w:r>
      <w:r w:rsidR="002B12EB">
        <w:t xml:space="preserve">Regulatory </w:t>
      </w:r>
      <w:r>
        <w:t xml:space="preserve">Impact Statement </w:t>
      </w:r>
      <w:r w:rsidR="005E0A36">
        <w:t>is not required</w:t>
      </w:r>
      <w:r>
        <w:t>. OBPR reference</w:t>
      </w:r>
      <w:r w:rsidR="00356AF4">
        <w:t>:</w:t>
      </w:r>
      <w:r>
        <w:t xml:space="preserve"> </w:t>
      </w:r>
      <w:r w:rsidR="005611E2">
        <w:t>44217</w:t>
      </w:r>
      <w:r w:rsidR="00356AF4">
        <w:t>.</w:t>
      </w:r>
    </w:p>
    <w:p w14:paraId="27171325" w14:textId="77777777" w:rsidR="000A7B92" w:rsidRPr="000A7B92" w:rsidRDefault="000A7B92" w:rsidP="000A7B92"/>
    <w:p w14:paraId="601BA69A" w14:textId="64E46A90" w:rsidR="000A7B92" w:rsidRDefault="009131E0" w:rsidP="000A7B92">
      <w:pPr>
        <w:pStyle w:val="Heading2"/>
        <w:spacing w:before="0" w:after="240"/>
      </w:pPr>
      <w:r>
        <w:t>Disallowance</w:t>
      </w:r>
    </w:p>
    <w:p w14:paraId="3A71B7F6" w14:textId="46797C0A" w:rsidR="00574AE2" w:rsidRDefault="00574AE2" w:rsidP="006A1F60">
      <w:pPr>
        <w:rPr>
          <w:lang w:eastAsia="en-AU"/>
        </w:rPr>
      </w:pPr>
      <w:r>
        <w:rPr>
          <w:lang w:eastAsia="en-AU"/>
        </w:rPr>
        <w:t>Subsection 158(4) of the NVETR Act provides that despite anything in section 44 of the Legislation Act</w:t>
      </w:r>
      <w:r w:rsidR="00822ECC">
        <w:rPr>
          <w:lang w:eastAsia="en-AU"/>
        </w:rPr>
        <w:t>,</w:t>
      </w:r>
      <w:r>
        <w:rPr>
          <w:lang w:eastAsia="en-AU"/>
        </w:rPr>
        <w:t xml:space="preserve"> section 42 </w:t>
      </w:r>
      <w:r w:rsidR="00B43BE6">
        <w:rPr>
          <w:lang w:eastAsia="en-AU"/>
        </w:rPr>
        <w:t xml:space="preserve">of that Act </w:t>
      </w:r>
      <w:r>
        <w:rPr>
          <w:lang w:eastAsia="en-AU"/>
        </w:rPr>
        <w:t xml:space="preserve">(disallowance) applies to the Requirements. </w:t>
      </w:r>
    </w:p>
    <w:p w14:paraId="3B1FAA8B" w14:textId="77777777" w:rsidR="00574AE2" w:rsidRDefault="00574AE2" w:rsidP="006A1F60">
      <w:pPr>
        <w:rPr>
          <w:lang w:eastAsia="en-AU"/>
        </w:rPr>
      </w:pPr>
    </w:p>
    <w:p w14:paraId="26A20FD9" w14:textId="5F8AF777" w:rsidR="00574AE2" w:rsidRDefault="00574AE2" w:rsidP="006A1F60">
      <w:pPr>
        <w:rPr>
          <w:lang w:eastAsia="en-AU"/>
        </w:rPr>
      </w:pPr>
      <w:r>
        <w:rPr>
          <w:lang w:eastAsia="en-AU"/>
        </w:rPr>
        <w:t>Accordingly, the Instrument is subject to disallowance.</w:t>
      </w:r>
    </w:p>
    <w:p w14:paraId="5F76C138" w14:textId="77777777" w:rsidR="00574AE2" w:rsidRDefault="00574AE2" w:rsidP="006A1F60">
      <w:pPr>
        <w:rPr>
          <w:lang w:eastAsia="en-AU"/>
        </w:rPr>
      </w:pPr>
    </w:p>
    <w:p w14:paraId="6F3A1DD8" w14:textId="6C4F1C0C" w:rsidR="008A4C02" w:rsidRPr="009131E0" w:rsidRDefault="009131E0" w:rsidP="00196B23">
      <w:r w:rsidRPr="009131E0">
        <w:rPr>
          <w:lang w:eastAsia="en-AU"/>
        </w:rPr>
        <w:t xml:space="preserve"> </w:t>
      </w:r>
      <w:r w:rsidR="008A4C02" w:rsidRPr="009131E0">
        <w:br w:type="page"/>
      </w:r>
    </w:p>
    <w:p w14:paraId="2397D384" w14:textId="77777777" w:rsidR="008148C3" w:rsidRPr="008148C3" w:rsidRDefault="0072746A" w:rsidP="00196B23">
      <w:pPr>
        <w:pStyle w:val="Title"/>
        <w:jc w:val="left"/>
      </w:pPr>
      <w:r w:rsidRPr="00A31D39">
        <w:lastRenderedPageBreak/>
        <w:t xml:space="preserve">Abbreviations used in this Explanatory </w:t>
      </w:r>
      <w:r w:rsidR="00BC410F" w:rsidRPr="00A31D39">
        <w:t>Statement</w:t>
      </w:r>
    </w:p>
    <w:p w14:paraId="129A4619" w14:textId="3F79C1AC" w:rsidR="00F52068" w:rsidRDefault="00B639ED" w:rsidP="00F52068">
      <w:pPr>
        <w:rPr>
          <w:i/>
        </w:rPr>
      </w:pPr>
      <w:r>
        <w:rPr>
          <w:b/>
        </w:rPr>
        <w:t>the Instrument</w:t>
      </w:r>
      <w:r w:rsidR="00F52068" w:rsidRPr="00A31D39">
        <w:t xml:space="preserve"> means the</w:t>
      </w:r>
      <w:r w:rsidR="005D1BA4" w:rsidRPr="005D1BA4">
        <w:rPr>
          <w:b/>
          <w:i/>
        </w:rPr>
        <w:t xml:space="preserve"> </w:t>
      </w:r>
      <w:r w:rsidR="00EB2910" w:rsidRPr="009A17CA">
        <w:rPr>
          <w:i/>
        </w:rPr>
        <w:t>National Vocational Education and Training Regulator (Financial Viability Risk Assessment Requirements) Instrument 2021</w:t>
      </w:r>
      <w:r w:rsidR="00EB2910">
        <w:rPr>
          <w:i/>
        </w:rPr>
        <w:t>.</w:t>
      </w:r>
    </w:p>
    <w:p w14:paraId="3D07AE43" w14:textId="77777777" w:rsidR="00B639ED" w:rsidRDefault="00B639ED" w:rsidP="00F52068">
      <w:pPr>
        <w:rPr>
          <w:i/>
        </w:rPr>
      </w:pPr>
    </w:p>
    <w:p w14:paraId="4E381AF3" w14:textId="7B479B44" w:rsidR="00B639ED" w:rsidRDefault="00B639ED" w:rsidP="00F52068">
      <w:r>
        <w:rPr>
          <w:b/>
        </w:rPr>
        <w:t xml:space="preserve">the former </w:t>
      </w:r>
      <w:r w:rsidR="00F832B1">
        <w:rPr>
          <w:b/>
        </w:rPr>
        <w:t xml:space="preserve">Instrument </w:t>
      </w:r>
      <w:r w:rsidRPr="00A31D39">
        <w:t>means the</w:t>
      </w:r>
      <w:r>
        <w:rPr>
          <w:i/>
        </w:rPr>
        <w:t xml:space="preserve"> </w:t>
      </w:r>
      <w:r w:rsidRPr="0063684C">
        <w:rPr>
          <w:i/>
        </w:rPr>
        <w:t>Financial Viability Risk Assessment Requirements 2011</w:t>
      </w:r>
      <w:r>
        <w:t>.</w:t>
      </w:r>
    </w:p>
    <w:p w14:paraId="051C6755" w14:textId="2DB4E373" w:rsidR="00F832B1" w:rsidRDefault="00F832B1" w:rsidP="00F52068"/>
    <w:p w14:paraId="0F8675C4" w14:textId="3B744052" w:rsidR="00F832B1" w:rsidRPr="00F832B1" w:rsidRDefault="00F832B1" w:rsidP="00F52068">
      <w:r>
        <w:rPr>
          <w:b/>
          <w:bCs/>
        </w:rPr>
        <w:t xml:space="preserve">the Requirements </w:t>
      </w:r>
      <w:r>
        <w:t xml:space="preserve">means the </w:t>
      </w:r>
      <w:r w:rsidRPr="0021643D">
        <w:t>Financial Viability Risk Assessment Requirements</w:t>
      </w:r>
      <w:r>
        <w:t xml:space="preserve"> as made under subsection 158(1) of the NVETR Act </w:t>
      </w:r>
    </w:p>
    <w:p w14:paraId="437FEA13" w14:textId="77777777" w:rsidR="00D26941" w:rsidRDefault="00D26941" w:rsidP="00F52068"/>
    <w:p w14:paraId="1D43AF33" w14:textId="77777777" w:rsidR="00F52068" w:rsidRDefault="00D26941" w:rsidP="00F52068">
      <w:pPr>
        <w:rPr>
          <w:i/>
        </w:rPr>
      </w:pPr>
      <w:r>
        <w:rPr>
          <w:b/>
        </w:rPr>
        <w:t>NVETR Act</w:t>
      </w:r>
      <w:r>
        <w:t xml:space="preserve"> means the </w:t>
      </w:r>
      <w:r>
        <w:rPr>
          <w:i/>
        </w:rPr>
        <w:t>National Vocational Education and Train</w:t>
      </w:r>
      <w:r w:rsidR="005D1BA4">
        <w:rPr>
          <w:i/>
        </w:rPr>
        <w:t>ing Regulator Act 2011</w:t>
      </w:r>
      <w:r w:rsidR="00E80CC3">
        <w:rPr>
          <w:i/>
        </w:rPr>
        <w:t>.</w:t>
      </w:r>
    </w:p>
    <w:p w14:paraId="48A4F844" w14:textId="77777777" w:rsidR="00D26941" w:rsidRDefault="00D26941" w:rsidP="00F52068"/>
    <w:p w14:paraId="3A3F044F" w14:textId="77777777" w:rsidR="00B23859" w:rsidRDefault="00B23859" w:rsidP="00196B23">
      <w:r>
        <w:br w:type="page"/>
      </w:r>
    </w:p>
    <w:p w14:paraId="1E950EA9" w14:textId="49C35CE7" w:rsidR="00B23859" w:rsidRPr="00A31D39" w:rsidRDefault="00C3064E" w:rsidP="00196B23">
      <w:pPr>
        <w:pStyle w:val="Title"/>
        <w:jc w:val="left"/>
      </w:pPr>
      <w:r>
        <w:lastRenderedPageBreak/>
        <w:t xml:space="preserve">Detailed </w:t>
      </w:r>
      <w:r w:rsidR="00B23859">
        <w:t xml:space="preserve">Explanation of </w:t>
      </w:r>
      <w:r w:rsidR="008248F5">
        <w:t xml:space="preserve">Amendments and Provisions </w:t>
      </w:r>
    </w:p>
    <w:p w14:paraId="0FD66C1E" w14:textId="4A3710B9" w:rsidR="008248F5" w:rsidRPr="008248F5" w:rsidRDefault="008248F5" w:rsidP="00196B23">
      <w:pPr>
        <w:rPr>
          <w:b/>
          <w:bCs/>
          <w:szCs w:val="24"/>
          <w:lang w:eastAsia="en-AU"/>
        </w:rPr>
      </w:pPr>
      <w:r w:rsidRPr="008248F5">
        <w:rPr>
          <w:b/>
          <w:bCs/>
          <w:szCs w:val="24"/>
          <w:lang w:eastAsia="en-AU"/>
        </w:rPr>
        <w:t>AMENDMENTS</w:t>
      </w:r>
    </w:p>
    <w:p w14:paraId="3D8968BE" w14:textId="77777777" w:rsidR="008248F5" w:rsidRDefault="008248F5" w:rsidP="00196B23">
      <w:pPr>
        <w:rPr>
          <w:szCs w:val="24"/>
          <w:lang w:eastAsia="en-AU"/>
        </w:rPr>
      </w:pPr>
    </w:p>
    <w:p w14:paraId="03F60F5E" w14:textId="4111383A" w:rsidR="000D5E73" w:rsidRPr="000D5E73" w:rsidRDefault="00F832B1" w:rsidP="00196B23">
      <w:pPr>
        <w:rPr>
          <w:szCs w:val="24"/>
          <w:lang w:eastAsia="en-AU"/>
        </w:rPr>
      </w:pPr>
      <w:r w:rsidRPr="000D5E73">
        <w:rPr>
          <w:szCs w:val="24"/>
          <w:lang w:eastAsia="en-AU"/>
        </w:rPr>
        <w:t xml:space="preserve">There are no amendments to </w:t>
      </w:r>
      <w:r w:rsidR="000D5E73" w:rsidRPr="000D5E73">
        <w:rPr>
          <w:szCs w:val="24"/>
          <w:lang w:eastAsia="en-AU"/>
        </w:rPr>
        <w:t xml:space="preserve">the </w:t>
      </w:r>
      <w:r w:rsidR="00C3064E">
        <w:rPr>
          <w:szCs w:val="24"/>
          <w:lang w:eastAsia="en-AU"/>
        </w:rPr>
        <w:t xml:space="preserve">Requirements </w:t>
      </w:r>
      <w:r w:rsidR="000D5E73" w:rsidRPr="000D5E73">
        <w:rPr>
          <w:szCs w:val="24"/>
          <w:lang w:eastAsia="en-AU"/>
        </w:rPr>
        <w:t>of the former Instrument</w:t>
      </w:r>
      <w:r w:rsidR="00A838EA">
        <w:rPr>
          <w:szCs w:val="24"/>
          <w:lang w:eastAsia="en-AU"/>
        </w:rPr>
        <w:t>.</w:t>
      </w:r>
    </w:p>
    <w:p w14:paraId="62C9E581" w14:textId="44A0644F" w:rsidR="000D5E73" w:rsidRDefault="000D5E73" w:rsidP="00196B23">
      <w:pPr>
        <w:rPr>
          <w:szCs w:val="24"/>
          <w:highlight w:val="yellow"/>
          <w:lang w:eastAsia="en-AU"/>
        </w:rPr>
      </w:pPr>
    </w:p>
    <w:p w14:paraId="26FBE30D" w14:textId="6C730B36" w:rsidR="008248F5" w:rsidRDefault="008248F5" w:rsidP="008248F5">
      <w:pPr>
        <w:pStyle w:val="ShortT"/>
        <w:rPr>
          <w:sz w:val="24"/>
          <w:szCs w:val="24"/>
        </w:rPr>
      </w:pPr>
      <w:r>
        <w:rPr>
          <w:sz w:val="24"/>
          <w:szCs w:val="24"/>
        </w:rPr>
        <w:t>PROVISIONS</w:t>
      </w:r>
    </w:p>
    <w:p w14:paraId="14821540" w14:textId="77777777" w:rsidR="008248F5" w:rsidRPr="008248F5" w:rsidRDefault="008248F5" w:rsidP="008248F5">
      <w:pPr>
        <w:rPr>
          <w:lang w:eastAsia="en-AU"/>
        </w:rPr>
      </w:pPr>
    </w:p>
    <w:p w14:paraId="3C4EDD8F" w14:textId="50E793E4" w:rsidR="008248F5" w:rsidRPr="008248F5" w:rsidRDefault="00FC2083" w:rsidP="008248F5">
      <w:pPr>
        <w:pStyle w:val="ShortT"/>
        <w:rPr>
          <w:sz w:val="24"/>
          <w:szCs w:val="24"/>
          <w:u w:val="single"/>
        </w:rPr>
      </w:pPr>
      <w:r w:rsidRPr="008248F5">
        <w:rPr>
          <w:sz w:val="24"/>
          <w:szCs w:val="24"/>
          <w:u w:val="single"/>
        </w:rPr>
        <w:t>P</w:t>
      </w:r>
      <w:r w:rsidR="008248F5" w:rsidRPr="008248F5">
        <w:rPr>
          <w:sz w:val="24"/>
          <w:szCs w:val="24"/>
          <w:u w:val="single"/>
        </w:rPr>
        <w:t xml:space="preserve">art 1 – Preliminary </w:t>
      </w:r>
    </w:p>
    <w:p w14:paraId="5AB70C2F" w14:textId="77777777" w:rsidR="008248F5" w:rsidRPr="008248F5" w:rsidRDefault="008248F5" w:rsidP="008248F5">
      <w:pPr>
        <w:rPr>
          <w:lang w:eastAsia="en-AU"/>
        </w:rPr>
      </w:pPr>
    </w:p>
    <w:p w14:paraId="05B2E626" w14:textId="4269943E" w:rsidR="00FC2083" w:rsidRDefault="00FC2083" w:rsidP="00F94FF1">
      <w:pPr>
        <w:rPr>
          <w:szCs w:val="24"/>
          <w:lang w:eastAsia="en-AU"/>
        </w:rPr>
      </w:pPr>
      <w:r>
        <w:rPr>
          <w:szCs w:val="24"/>
          <w:lang w:eastAsia="en-AU"/>
        </w:rPr>
        <w:t xml:space="preserve">Sections 1 to </w:t>
      </w:r>
      <w:r w:rsidR="008248F5">
        <w:rPr>
          <w:szCs w:val="24"/>
          <w:lang w:eastAsia="en-AU"/>
        </w:rPr>
        <w:t>4</w:t>
      </w:r>
      <w:r>
        <w:rPr>
          <w:szCs w:val="24"/>
          <w:lang w:eastAsia="en-AU"/>
        </w:rPr>
        <w:t xml:space="preserve"> of the Instrument are formal provisions providing for the name, commencement, </w:t>
      </w:r>
      <w:proofErr w:type="gramStart"/>
      <w:r>
        <w:rPr>
          <w:szCs w:val="24"/>
          <w:lang w:eastAsia="en-AU"/>
        </w:rPr>
        <w:t>authority</w:t>
      </w:r>
      <w:proofErr w:type="gramEnd"/>
      <w:r>
        <w:rPr>
          <w:szCs w:val="24"/>
          <w:lang w:eastAsia="en-AU"/>
        </w:rPr>
        <w:t xml:space="preserve"> </w:t>
      </w:r>
      <w:r w:rsidR="008248F5">
        <w:rPr>
          <w:szCs w:val="24"/>
          <w:lang w:eastAsia="en-AU"/>
        </w:rPr>
        <w:t xml:space="preserve">and definitions for </w:t>
      </w:r>
      <w:r>
        <w:rPr>
          <w:szCs w:val="24"/>
          <w:lang w:eastAsia="en-AU"/>
        </w:rPr>
        <w:t>the Instrument</w:t>
      </w:r>
      <w:r w:rsidR="00A838EA">
        <w:rPr>
          <w:szCs w:val="24"/>
          <w:lang w:eastAsia="en-AU"/>
        </w:rPr>
        <w:t>.</w:t>
      </w:r>
    </w:p>
    <w:p w14:paraId="53312104" w14:textId="77777777" w:rsidR="00FC2083" w:rsidRDefault="00FC2083" w:rsidP="00F94FF1">
      <w:pPr>
        <w:rPr>
          <w:szCs w:val="24"/>
          <w:lang w:eastAsia="en-AU"/>
        </w:rPr>
      </w:pPr>
    </w:p>
    <w:p w14:paraId="529276A6" w14:textId="6768E8BC" w:rsidR="00FC2083" w:rsidRDefault="00FC2083" w:rsidP="00F94FF1">
      <w:pPr>
        <w:rPr>
          <w:i/>
          <w:iCs/>
        </w:rPr>
      </w:pPr>
      <w:r w:rsidRPr="00FC2083">
        <w:rPr>
          <w:b/>
          <w:bCs/>
          <w:szCs w:val="24"/>
          <w:lang w:eastAsia="en-AU"/>
        </w:rPr>
        <w:t>Section 1</w:t>
      </w:r>
      <w:r>
        <w:rPr>
          <w:szCs w:val="24"/>
          <w:lang w:eastAsia="en-AU"/>
        </w:rPr>
        <w:t xml:space="preserve"> states the name of the Instrument as </w:t>
      </w:r>
      <w:bookmarkStart w:id="1" w:name="_Hlk76039601"/>
      <w:r>
        <w:rPr>
          <w:szCs w:val="24"/>
          <w:lang w:eastAsia="en-AU"/>
        </w:rPr>
        <w:t xml:space="preserve">the </w:t>
      </w:r>
      <w:r w:rsidRPr="00FC2083">
        <w:rPr>
          <w:i/>
          <w:iCs/>
        </w:rPr>
        <w:t>National Vocational Education and Training Regulator (Financial Viability Risk Assessment Requirements) Instrument 2021</w:t>
      </w:r>
      <w:bookmarkEnd w:id="1"/>
      <w:r w:rsidR="00A838EA">
        <w:rPr>
          <w:i/>
          <w:iCs/>
        </w:rPr>
        <w:t>.</w:t>
      </w:r>
    </w:p>
    <w:p w14:paraId="12F5444E" w14:textId="77777777" w:rsidR="00FC2083" w:rsidRDefault="00FC2083" w:rsidP="00F94FF1">
      <w:pPr>
        <w:rPr>
          <w:i/>
          <w:iCs/>
        </w:rPr>
      </w:pPr>
    </w:p>
    <w:p w14:paraId="4D0E782C" w14:textId="3EB568D0" w:rsidR="00FC2083" w:rsidRDefault="00FC2083" w:rsidP="00F94FF1">
      <w:r>
        <w:rPr>
          <w:b/>
          <w:bCs/>
        </w:rPr>
        <w:t xml:space="preserve">Section 2 </w:t>
      </w:r>
      <w:r>
        <w:t>provides for the Instrument to commence on the day</w:t>
      </w:r>
      <w:r w:rsidR="00955540">
        <w:t xml:space="preserve"> after</w:t>
      </w:r>
      <w:r>
        <w:t xml:space="preserve"> it is registered on the Federal Register of Legislation</w:t>
      </w:r>
      <w:r w:rsidR="00A838EA">
        <w:t>.</w:t>
      </w:r>
      <w:r>
        <w:t xml:space="preserve"> </w:t>
      </w:r>
    </w:p>
    <w:p w14:paraId="0D2A1BFB" w14:textId="77777777" w:rsidR="00FC2083" w:rsidRDefault="00FC2083" w:rsidP="00F94FF1"/>
    <w:p w14:paraId="6515C88C" w14:textId="5082B859" w:rsidR="00FC2083" w:rsidRDefault="00FC2083" w:rsidP="00F94FF1">
      <w:pPr>
        <w:rPr>
          <w:szCs w:val="24"/>
          <w:lang w:eastAsia="en-AU"/>
        </w:rPr>
      </w:pPr>
      <w:r w:rsidRPr="00FC2083">
        <w:rPr>
          <w:b/>
          <w:bCs/>
          <w:szCs w:val="24"/>
          <w:lang w:eastAsia="en-AU"/>
        </w:rPr>
        <w:t>Section 3</w:t>
      </w:r>
      <w:r>
        <w:rPr>
          <w:szCs w:val="24"/>
          <w:lang w:eastAsia="en-AU"/>
        </w:rPr>
        <w:t xml:space="preserve"> states that the Instrument is made under subsection 158(1) of the NVETR Act</w:t>
      </w:r>
      <w:r w:rsidR="00A838EA">
        <w:rPr>
          <w:szCs w:val="24"/>
          <w:lang w:eastAsia="en-AU"/>
        </w:rPr>
        <w:t>.</w:t>
      </w:r>
    </w:p>
    <w:p w14:paraId="28A2BA12" w14:textId="77777777" w:rsidR="00FC2083" w:rsidRDefault="00FC2083" w:rsidP="00F94FF1">
      <w:pPr>
        <w:rPr>
          <w:szCs w:val="24"/>
          <w:lang w:eastAsia="en-AU"/>
        </w:rPr>
      </w:pPr>
    </w:p>
    <w:p w14:paraId="73C77F8C" w14:textId="41E6FE6E" w:rsidR="008248F5" w:rsidRDefault="008248F5" w:rsidP="00F94FF1">
      <w:pPr>
        <w:rPr>
          <w:szCs w:val="24"/>
          <w:lang w:eastAsia="en-AU"/>
        </w:rPr>
      </w:pPr>
      <w:r w:rsidRPr="008248F5">
        <w:rPr>
          <w:b/>
          <w:bCs/>
          <w:szCs w:val="24"/>
          <w:lang w:eastAsia="en-AU"/>
        </w:rPr>
        <w:t>Section 4</w:t>
      </w:r>
      <w:r>
        <w:rPr>
          <w:szCs w:val="24"/>
          <w:lang w:eastAsia="en-AU"/>
        </w:rPr>
        <w:t xml:space="preserve"> provides for definitions as used in the Instrument</w:t>
      </w:r>
      <w:r w:rsidR="00A838EA">
        <w:rPr>
          <w:szCs w:val="24"/>
          <w:lang w:eastAsia="en-AU"/>
        </w:rPr>
        <w:t>.</w:t>
      </w:r>
    </w:p>
    <w:p w14:paraId="71153451" w14:textId="0EDFDE2D" w:rsidR="008248F5" w:rsidRDefault="008248F5" w:rsidP="00F94FF1">
      <w:pPr>
        <w:rPr>
          <w:szCs w:val="24"/>
          <w:lang w:eastAsia="en-AU"/>
        </w:rPr>
      </w:pPr>
    </w:p>
    <w:p w14:paraId="3D5B0F6F" w14:textId="77777777" w:rsidR="008248F5" w:rsidRDefault="008248F5" w:rsidP="00F94FF1">
      <w:pPr>
        <w:rPr>
          <w:szCs w:val="24"/>
          <w:lang w:eastAsia="en-AU"/>
        </w:rPr>
      </w:pPr>
    </w:p>
    <w:p w14:paraId="6BF29844" w14:textId="77E7B38B" w:rsidR="008248F5" w:rsidRPr="008248F5" w:rsidRDefault="008248F5" w:rsidP="00F94FF1">
      <w:pPr>
        <w:rPr>
          <w:b/>
          <w:bCs/>
          <w:szCs w:val="24"/>
          <w:u w:val="single"/>
          <w:lang w:eastAsia="en-AU"/>
        </w:rPr>
      </w:pPr>
      <w:r w:rsidRPr="008248F5">
        <w:rPr>
          <w:b/>
          <w:bCs/>
          <w:szCs w:val="24"/>
          <w:u w:val="single"/>
          <w:lang w:eastAsia="en-AU"/>
        </w:rPr>
        <w:t xml:space="preserve">Part 2 – Context and Intent of the Requirements </w:t>
      </w:r>
    </w:p>
    <w:p w14:paraId="7AB81B7F" w14:textId="77777777" w:rsidR="008248F5" w:rsidRDefault="008248F5" w:rsidP="00F94FF1">
      <w:pPr>
        <w:rPr>
          <w:szCs w:val="24"/>
          <w:lang w:eastAsia="en-AU"/>
        </w:rPr>
      </w:pPr>
    </w:p>
    <w:p w14:paraId="48FE8AD7" w14:textId="55BBA278" w:rsidR="003D6696" w:rsidRDefault="008248F5" w:rsidP="00F94FF1">
      <w:pPr>
        <w:rPr>
          <w:szCs w:val="24"/>
          <w:lang w:eastAsia="en-AU"/>
        </w:rPr>
      </w:pPr>
      <w:r w:rsidRPr="003D6696">
        <w:rPr>
          <w:b/>
          <w:bCs/>
          <w:szCs w:val="24"/>
          <w:lang w:eastAsia="en-AU"/>
        </w:rPr>
        <w:t>S</w:t>
      </w:r>
      <w:r w:rsidR="003D6696">
        <w:rPr>
          <w:b/>
          <w:bCs/>
          <w:szCs w:val="24"/>
          <w:lang w:eastAsia="en-AU"/>
        </w:rPr>
        <w:t xml:space="preserve">ubsection 5(1) </w:t>
      </w:r>
      <w:r>
        <w:rPr>
          <w:szCs w:val="24"/>
          <w:lang w:eastAsia="en-AU"/>
        </w:rPr>
        <w:t xml:space="preserve">provides that the </w:t>
      </w:r>
      <w:r w:rsidR="003D6696">
        <w:rPr>
          <w:szCs w:val="24"/>
          <w:lang w:eastAsia="en-AU"/>
        </w:rPr>
        <w:t>National VET Regulator is required</w:t>
      </w:r>
      <w:r w:rsidR="00955540">
        <w:rPr>
          <w:szCs w:val="24"/>
          <w:lang w:eastAsia="en-AU"/>
        </w:rPr>
        <w:t xml:space="preserve"> to</w:t>
      </w:r>
      <w:r w:rsidR="003D6696">
        <w:rPr>
          <w:szCs w:val="24"/>
          <w:lang w:eastAsia="en-AU"/>
        </w:rPr>
        <w:t xml:space="preserve"> make requirements relating to the financial viability of NVR registered training organisations, to be known as the “Financial Viability Risk Assessment Requirements”</w:t>
      </w:r>
      <w:r w:rsidR="00A838EA">
        <w:rPr>
          <w:szCs w:val="24"/>
          <w:lang w:eastAsia="en-AU"/>
        </w:rPr>
        <w:t>.</w:t>
      </w:r>
    </w:p>
    <w:p w14:paraId="5BE12773" w14:textId="77777777" w:rsidR="003D6696" w:rsidRDefault="003D6696" w:rsidP="00F94FF1">
      <w:pPr>
        <w:rPr>
          <w:szCs w:val="24"/>
          <w:lang w:eastAsia="en-AU"/>
        </w:rPr>
      </w:pPr>
    </w:p>
    <w:p w14:paraId="6DAABFD9" w14:textId="1A54ADA3" w:rsidR="003D6696" w:rsidRDefault="003D6696" w:rsidP="00F94FF1">
      <w:pPr>
        <w:rPr>
          <w:szCs w:val="24"/>
          <w:lang w:eastAsia="en-AU"/>
        </w:rPr>
      </w:pPr>
      <w:r w:rsidRPr="003D6696">
        <w:rPr>
          <w:b/>
          <w:bCs/>
          <w:szCs w:val="24"/>
          <w:lang w:eastAsia="en-AU"/>
        </w:rPr>
        <w:t>Subsection 5(2)</w:t>
      </w:r>
      <w:r>
        <w:rPr>
          <w:szCs w:val="24"/>
          <w:lang w:eastAsia="en-AU"/>
        </w:rPr>
        <w:t xml:space="preserve"> provides that </w:t>
      </w:r>
      <w:r w:rsidR="00FC2083">
        <w:rPr>
          <w:szCs w:val="24"/>
          <w:lang w:eastAsia="en-AU"/>
        </w:rPr>
        <w:t xml:space="preserve">the </w:t>
      </w:r>
      <w:r>
        <w:rPr>
          <w:szCs w:val="24"/>
          <w:lang w:eastAsia="en-AU"/>
        </w:rPr>
        <w:t>Instrument applies to NVR registered training organisations and section 24 of the NVETR Act makes it a condition of registration that these organisations must satisfy the Requirements</w:t>
      </w:r>
      <w:r w:rsidR="00A838EA">
        <w:rPr>
          <w:szCs w:val="24"/>
          <w:lang w:eastAsia="en-AU"/>
        </w:rPr>
        <w:t>.</w:t>
      </w:r>
    </w:p>
    <w:p w14:paraId="65EA244A" w14:textId="77777777" w:rsidR="003D6696" w:rsidRDefault="003D6696" w:rsidP="00F94FF1">
      <w:pPr>
        <w:rPr>
          <w:szCs w:val="24"/>
          <w:lang w:eastAsia="en-AU"/>
        </w:rPr>
      </w:pPr>
    </w:p>
    <w:p w14:paraId="657C1651" w14:textId="6FDC6AB6" w:rsidR="003D6696" w:rsidRDefault="003D6696" w:rsidP="00F94FF1">
      <w:pPr>
        <w:rPr>
          <w:szCs w:val="24"/>
          <w:lang w:eastAsia="en-AU"/>
        </w:rPr>
      </w:pPr>
      <w:r w:rsidRPr="003D6696">
        <w:rPr>
          <w:b/>
          <w:bCs/>
          <w:szCs w:val="24"/>
          <w:lang w:eastAsia="en-AU"/>
        </w:rPr>
        <w:t>Subsection 6(1)</w:t>
      </w:r>
      <w:r>
        <w:rPr>
          <w:szCs w:val="24"/>
          <w:lang w:eastAsia="en-AU"/>
        </w:rPr>
        <w:t xml:space="preserve"> provides that the National VET Regulator requires an NVR registered training organisation to demonstrate its financial viability at any point in time, upon request</w:t>
      </w:r>
      <w:r w:rsidR="00A838EA">
        <w:rPr>
          <w:szCs w:val="24"/>
          <w:lang w:eastAsia="en-AU"/>
        </w:rPr>
        <w:t>.</w:t>
      </w:r>
    </w:p>
    <w:p w14:paraId="61D39E4A" w14:textId="77777777" w:rsidR="003D6696" w:rsidRDefault="003D6696" w:rsidP="00F94FF1">
      <w:pPr>
        <w:rPr>
          <w:szCs w:val="24"/>
          <w:lang w:eastAsia="en-AU"/>
        </w:rPr>
      </w:pPr>
    </w:p>
    <w:p w14:paraId="6C205227" w14:textId="4B45371F" w:rsidR="00401D3A" w:rsidRDefault="003D6696" w:rsidP="00F94FF1">
      <w:pPr>
        <w:rPr>
          <w:szCs w:val="24"/>
          <w:lang w:eastAsia="en-AU"/>
        </w:rPr>
      </w:pPr>
      <w:r w:rsidRPr="003D6696">
        <w:rPr>
          <w:b/>
          <w:bCs/>
          <w:szCs w:val="24"/>
          <w:lang w:eastAsia="en-AU"/>
        </w:rPr>
        <w:t xml:space="preserve">Subsection 6(2) </w:t>
      </w:r>
      <w:r>
        <w:rPr>
          <w:szCs w:val="24"/>
          <w:lang w:eastAsia="en-AU"/>
        </w:rPr>
        <w:t xml:space="preserve">provides that the assessment of an organisation’s financial viability is directed at evaluating the likelihood of its business continuity, and its capacity to achieve quality outcomes and in particular, the assessment informs a judgement about whether the organisation has the financial resources to </w:t>
      </w:r>
      <w:r w:rsidR="00401D3A">
        <w:rPr>
          <w:szCs w:val="24"/>
          <w:lang w:eastAsia="en-AU"/>
        </w:rPr>
        <w:t>do each of the things listed in (a) to (e).</w:t>
      </w:r>
    </w:p>
    <w:p w14:paraId="396087D0" w14:textId="47471173" w:rsidR="00401D3A" w:rsidRDefault="00401D3A" w:rsidP="00F94FF1">
      <w:pPr>
        <w:rPr>
          <w:szCs w:val="24"/>
          <w:lang w:eastAsia="en-AU"/>
        </w:rPr>
      </w:pPr>
    </w:p>
    <w:p w14:paraId="0C754F48" w14:textId="0B6F4338" w:rsidR="00401D3A" w:rsidRDefault="00401D3A" w:rsidP="00F94FF1">
      <w:pPr>
        <w:rPr>
          <w:szCs w:val="24"/>
          <w:lang w:eastAsia="en-AU"/>
        </w:rPr>
      </w:pPr>
    </w:p>
    <w:p w14:paraId="46726873" w14:textId="29AFA24A" w:rsidR="00401D3A" w:rsidRPr="00401D3A" w:rsidRDefault="00401D3A" w:rsidP="00F94FF1">
      <w:pPr>
        <w:rPr>
          <w:b/>
          <w:bCs/>
          <w:szCs w:val="24"/>
          <w:u w:val="single"/>
          <w:lang w:eastAsia="en-AU"/>
        </w:rPr>
      </w:pPr>
      <w:r w:rsidRPr="00401D3A">
        <w:rPr>
          <w:b/>
          <w:bCs/>
          <w:szCs w:val="24"/>
          <w:u w:val="single"/>
          <w:lang w:eastAsia="en-AU"/>
        </w:rPr>
        <w:t>Part 3 – Financial viability risk assessment requirements</w:t>
      </w:r>
    </w:p>
    <w:p w14:paraId="2CBD0A89" w14:textId="77777777" w:rsidR="00401D3A" w:rsidRDefault="00401D3A" w:rsidP="00F94FF1">
      <w:pPr>
        <w:rPr>
          <w:szCs w:val="24"/>
          <w:lang w:eastAsia="en-AU"/>
        </w:rPr>
      </w:pPr>
    </w:p>
    <w:p w14:paraId="25747D64" w14:textId="134DF321" w:rsidR="0080249C" w:rsidRDefault="00401D3A" w:rsidP="00F94FF1">
      <w:r w:rsidRPr="00401D3A">
        <w:rPr>
          <w:b/>
          <w:bCs/>
          <w:szCs w:val="24"/>
          <w:lang w:eastAsia="en-AU"/>
        </w:rPr>
        <w:t>Subsection 7(1)</w:t>
      </w:r>
      <w:r>
        <w:rPr>
          <w:szCs w:val="24"/>
          <w:lang w:eastAsia="en-AU"/>
        </w:rPr>
        <w:t xml:space="preserve"> provides that an organisation </w:t>
      </w:r>
      <w:r w:rsidRPr="001B415F">
        <w:t xml:space="preserve">seeking registration must submit to an assessment of financial viability risk by a qualified independent </w:t>
      </w:r>
      <w:r w:rsidR="0080249C" w:rsidRPr="001B415F">
        <w:t xml:space="preserve">financial </w:t>
      </w:r>
      <w:r w:rsidR="0080249C">
        <w:t>auditor</w:t>
      </w:r>
      <w:r w:rsidRPr="001B415F">
        <w:t xml:space="preserve"> </w:t>
      </w:r>
      <w:r>
        <w:t xml:space="preserve">(as defined in section 4) </w:t>
      </w:r>
      <w:r w:rsidRPr="001B415F">
        <w:t>nominated by the N</w:t>
      </w:r>
      <w:r>
        <w:t>ational VET Regulator</w:t>
      </w:r>
      <w:r w:rsidRPr="001B415F">
        <w:t xml:space="preserve">, as part of the assessment of the application for </w:t>
      </w:r>
      <w:r w:rsidRPr="001B415F">
        <w:lastRenderedPageBreak/>
        <w:t>registration</w:t>
      </w:r>
      <w:r w:rsidR="0080249C">
        <w:t xml:space="preserve"> and under </w:t>
      </w:r>
      <w:r w:rsidR="0080249C" w:rsidRPr="0080249C">
        <w:rPr>
          <w:b/>
          <w:bCs/>
        </w:rPr>
        <w:t>subsection 7(3)</w:t>
      </w:r>
      <w:r w:rsidR="0080249C">
        <w:t xml:space="preserve"> this applies to </w:t>
      </w:r>
      <w:r w:rsidR="0080249C" w:rsidRPr="001B415F">
        <w:t>parent organisations, affiliated companies or organisations that have a vested interest in the organisation.</w:t>
      </w:r>
    </w:p>
    <w:p w14:paraId="425A1FA2" w14:textId="74636DB4" w:rsidR="00401D3A" w:rsidRDefault="0080249C" w:rsidP="00F94FF1">
      <w:r>
        <w:t xml:space="preserve"> </w:t>
      </w:r>
    </w:p>
    <w:p w14:paraId="5EDC07F0" w14:textId="400E50A7" w:rsidR="00401D3A" w:rsidRPr="00401D3A" w:rsidRDefault="00401D3A" w:rsidP="00F94FF1">
      <w:pPr>
        <w:rPr>
          <w:szCs w:val="24"/>
          <w:lang w:eastAsia="en-AU"/>
        </w:rPr>
      </w:pPr>
      <w:r w:rsidRPr="00401D3A">
        <w:rPr>
          <w:b/>
          <w:bCs/>
        </w:rPr>
        <w:t xml:space="preserve">Subsection 7(2) </w:t>
      </w:r>
      <w:r w:rsidR="004F0E4D">
        <w:t xml:space="preserve">provides that the assessment will include </w:t>
      </w:r>
      <w:r w:rsidR="004F0E4D" w:rsidRPr="001B415F">
        <w:t>an assessment of the source and reliability of the evidence supporting the assumptions underlying the projections</w:t>
      </w:r>
      <w:r w:rsidR="00A838EA">
        <w:t>.</w:t>
      </w:r>
      <w:r w:rsidR="0080249C">
        <w:t xml:space="preserve"> </w:t>
      </w:r>
    </w:p>
    <w:p w14:paraId="3A884BD0" w14:textId="00FB277E" w:rsidR="00401D3A" w:rsidRDefault="00401D3A" w:rsidP="00F94FF1">
      <w:pPr>
        <w:rPr>
          <w:szCs w:val="24"/>
          <w:lang w:eastAsia="en-AU"/>
        </w:rPr>
      </w:pPr>
    </w:p>
    <w:p w14:paraId="3E26CF29" w14:textId="30750771" w:rsidR="0080249C" w:rsidRDefault="008E49B2" w:rsidP="00F94FF1">
      <w:r w:rsidRPr="008E49B2">
        <w:rPr>
          <w:b/>
          <w:bCs/>
          <w:szCs w:val="24"/>
          <w:lang w:eastAsia="en-AU"/>
        </w:rPr>
        <w:t>S</w:t>
      </w:r>
      <w:r w:rsidR="00BC4D70">
        <w:rPr>
          <w:b/>
          <w:bCs/>
          <w:szCs w:val="24"/>
          <w:lang w:eastAsia="en-AU"/>
        </w:rPr>
        <w:t>ection</w:t>
      </w:r>
      <w:r w:rsidRPr="008E49B2">
        <w:rPr>
          <w:b/>
          <w:bCs/>
          <w:szCs w:val="24"/>
          <w:lang w:eastAsia="en-AU"/>
        </w:rPr>
        <w:t xml:space="preserve"> 8</w:t>
      </w:r>
      <w:r>
        <w:rPr>
          <w:szCs w:val="24"/>
          <w:lang w:eastAsia="en-AU"/>
        </w:rPr>
        <w:t xml:space="preserve"> provides that an</w:t>
      </w:r>
      <w:r w:rsidRPr="002E22AF">
        <w:t xml:space="preserve"> NVR registered training organisation must submit to an assessment of financial viability risk by a qualified independent financial auditor nominated by </w:t>
      </w:r>
      <w:r w:rsidR="00BC4D70">
        <w:t>the National VET Regulator</w:t>
      </w:r>
      <w:r w:rsidR="00840502">
        <w:t xml:space="preserve"> or</w:t>
      </w:r>
      <w:r w:rsidR="00BC4D70">
        <w:t xml:space="preserve"> </w:t>
      </w:r>
      <w:r>
        <w:t>a</w:t>
      </w:r>
      <w:r w:rsidRPr="002E22AF">
        <w:t>t other times during the registration period as determined by the N</w:t>
      </w:r>
      <w:r>
        <w:t xml:space="preserve">ational VET Regulator </w:t>
      </w:r>
      <w:r w:rsidRPr="002E22AF">
        <w:t>in accordance with the Risk Assessment Framework</w:t>
      </w:r>
      <w:r w:rsidR="00BC4D70">
        <w:t xml:space="preserve"> and this obligation applies to parent organisations, affiliated companies or organisations that have a vested interest in the organisation</w:t>
      </w:r>
      <w:r w:rsidR="00A838EA">
        <w:t>.</w:t>
      </w:r>
    </w:p>
    <w:p w14:paraId="1A343649" w14:textId="60133C13" w:rsidR="00BC4D70" w:rsidRDefault="00BC4D70" w:rsidP="00F94FF1"/>
    <w:p w14:paraId="5CF48F86" w14:textId="14AB3459" w:rsidR="00BC4D70" w:rsidRDefault="00BC4D70" w:rsidP="00F94FF1">
      <w:pPr>
        <w:rPr>
          <w:szCs w:val="24"/>
          <w:lang w:eastAsia="en-AU"/>
        </w:rPr>
      </w:pPr>
      <w:r w:rsidRPr="00BC4D70">
        <w:rPr>
          <w:b/>
          <w:bCs/>
          <w:szCs w:val="24"/>
          <w:lang w:eastAsia="en-AU"/>
        </w:rPr>
        <w:t>Section 9</w:t>
      </w:r>
      <w:r>
        <w:rPr>
          <w:szCs w:val="24"/>
          <w:lang w:eastAsia="en-AU"/>
        </w:rPr>
        <w:t xml:space="preserve"> provides that where it considers the financial viability risk of an organisation is low the National VET regulator may waive the requirement for a financial viability risk assessment</w:t>
      </w:r>
      <w:r w:rsidR="001321B6">
        <w:rPr>
          <w:szCs w:val="24"/>
          <w:lang w:eastAsia="en-AU"/>
        </w:rPr>
        <w:t xml:space="preserve"> but this does not </w:t>
      </w:r>
      <w:r w:rsidR="004E31E8">
        <w:rPr>
          <w:szCs w:val="24"/>
          <w:lang w:eastAsia="en-AU"/>
        </w:rPr>
        <w:t>remove the obligation in section 8 to submit to a future assessment if the National VET Regulator requires it</w:t>
      </w:r>
      <w:r w:rsidR="00A838EA">
        <w:rPr>
          <w:szCs w:val="24"/>
          <w:lang w:eastAsia="en-AU"/>
        </w:rPr>
        <w:t>.</w:t>
      </w:r>
    </w:p>
    <w:p w14:paraId="24AA8E70" w14:textId="3E2725F2" w:rsidR="004E31E8" w:rsidRDefault="004E31E8" w:rsidP="00F94FF1">
      <w:pPr>
        <w:rPr>
          <w:szCs w:val="24"/>
          <w:lang w:eastAsia="en-AU"/>
        </w:rPr>
      </w:pPr>
    </w:p>
    <w:p w14:paraId="7EE784C9" w14:textId="77777777" w:rsidR="004E31E8" w:rsidRDefault="004E31E8" w:rsidP="00F94FF1">
      <w:pPr>
        <w:rPr>
          <w:szCs w:val="24"/>
          <w:lang w:eastAsia="en-AU"/>
        </w:rPr>
      </w:pPr>
    </w:p>
    <w:p w14:paraId="26AD1AD5" w14:textId="17D978C0" w:rsidR="0080249C" w:rsidRPr="00525E69" w:rsidRDefault="004E31E8" w:rsidP="00F94FF1">
      <w:pPr>
        <w:rPr>
          <w:b/>
          <w:bCs/>
          <w:szCs w:val="24"/>
          <w:u w:val="single"/>
          <w:lang w:eastAsia="en-AU"/>
        </w:rPr>
      </w:pPr>
      <w:r w:rsidRPr="00525E69">
        <w:rPr>
          <w:b/>
          <w:bCs/>
          <w:szCs w:val="24"/>
          <w:u w:val="single"/>
          <w:lang w:eastAsia="en-AU"/>
        </w:rPr>
        <w:t>Part 4 – Form and content of financial viability risk assessment</w:t>
      </w:r>
    </w:p>
    <w:p w14:paraId="2C709686" w14:textId="764B4B8C" w:rsidR="0080249C" w:rsidRDefault="0080249C" w:rsidP="00F94FF1">
      <w:pPr>
        <w:rPr>
          <w:szCs w:val="24"/>
          <w:lang w:eastAsia="en-AU"/>
        </w:rPr>
      </w:pPr>
    </w:p>
    <w:p w14:paraId="419E34E4" w14:textId="11739D04" w:rsidR="0080249C" w:rsidRPr="00525E69" w:rsidRDefault="00525E69" w:rsidP="00F94FF1">
      <w:pPr>
        <w:rPr>
          <w:szCs w:val="24"/>
          <w:lang w:eastAsia="en-AU"/>
        </w:rPr>
      </w:pPr>
      <w:r w:rsidRPr="00525E69">
        <w:rPr>
          <w:b/>
          <w:bCs/>
          <w:szCs w:val="24"/>
          <w:lang w:eastAsia="en-AU"/>
        </w:rPr>
        <w:t xml:space="preserve">Section 10 </w:t>
      </w:r>
      <w:r>
        <w:rPr>
          <w:szCs w:val="24"/>
          <w:lang w:eastAsia="en-AU"/>
        </w:rPr>
        <w:t xml:space="preserve">provides </w:t>
      </w:r>
      <w:r w:rsidR="00A65AF5">
        <w:rPr>
          <w:szCs w:val="24"/>
          <w:lang w:eastAsia="en-AU"/>
        </w:rPr>
        <w:t>that f</w:t>
      </w:r>
      <w:r w:rsidR="00A65AF5" w:rsidRPr="000B563D">
        <w:t>inancial data and information must be submitted to the qualified independent financial auditor nominated by the N</w:t>
      </w:r>
      <w:r w:rsidR="00A65AF5">
        <w:t xml:space="preserve">ational VET Regulator </w:t>
      </w:r>
      <w:r w:rsidR="00A65AF5" w:rsidRPr="000B563D">
        <w:t>in a format that is in accordance with Australian Accounting Standards</w:t>
      </w:r>
      <w:r w:rsidR="00A838EA">
        <w:t>.</w:t>
      </w:r>
    </w:p>
    <w:p w14:paraId="14E928BA" w14:textId="4FCC13DA" w:rsidR="0080249C" w:rsidRDefault="0080249C" w:rsidP="00F94FF1">
      <w:pPr>
        <w:rPr>
          <w:szCs w:val="24"/>
          <w:lang w:eastAsia="en-AU"/>
        </w:rPr>
      </w:pPr>
    </w:p>
    <w:p w14:paraId="63227972" w14:textId="0703F9F3" w:rsidR="0080249C" w:rsidRDefault="00A65AF5" w:rsidP="00F94FF1">
      <w:pPr>
        <w:rPr>
          <w:szCs w:val="24"/>
          <w:lang w:eastAsia="en-AU"/>
        </w:rPr>
      </w:pPr>
      <w:r w:rsidRPr="00CE5592">
        <w:rPr>
          <w:b/>
          <w:bCs/>
          <w:szCs w:val="24"/>
          <w:lang w:eastAsia="en-AU"/>
        </w:rPr>
        <w:t>Section 11</w:t>
      </w:r>
      <w:r>
        <w:rPr>
          <w:szCs w:val="24"/>
          <w:lang w:eastAsia="en-AU"/>
        </w:rPr>
        <w:t xml:space="preserve"> provides that </w:t>
      </w:r>
      <w:r w:rsidR="00D306ED">
        <w:rPr>
          <w:szCs w:val="24"/>
          <w:lang w:eastAsia="en-AU"/>
        </w:rPr>
        <w:t xml:space="preserve">assessment of </w:t>
      </w:r>
      <w:r w:rsidR="00D77E85">
        <w:rPr>
          <w:szCs w:val="24"/>
          <w:lang w:eastAsia="en-AU"/>
        </w:rPr>
        <w:t xml:space="preserve">financial viability risk is undertaken by assessing common indicators of financial </w:t>
      </w:r>
      <w:r w:rsidR="00CE5592">
        <w:rPr>
          <w:szCs w:val="24"/>
          <w:lang w:eastAsia="en-AU"/>
        </w:rPr>
        <w:t xml:space="preserve">performance and position and may include </w:t>
      </w:r>
      <w:r w:rsidR="003E7E06">
        <w:rPr>
          <w:szCs w:val="24"/>
          <w:lang w:eastAsia="en-AU"/>
        </w:rPr>
        <w:t xml:space="preserve">but </w:t>
      </w:r>
      <w:r w:rsidR="00CE5592">
        <w:rPr>
          <w:szCs w:val="24"/>
          <w:lang w:eastAsia="en-AU"/>
        </w:rPr>
        <w:t>is not limited to the indicators as listed a) through to j)</w:t>
      </w:r>
      <w:r w:rsidR="00A838EA">
        <w:rPr>
          <w:szCs w:val="24"/>
          <w:lang w:eastAsia="en-AU"/>
        </w:rPr>
        <w:t>.</w:t>
      </w:r>
    </w:p>
    <w:p w14:paraId="5B4B1CB3" w14:textId="6B98E1C8" w:rsidR="00CE5592" w:rsidRDefault="00CE5592" w:rsidP="00F94FF1">
      <w:pPr>
        <w:rPr>
          <w:szCs w:val="24"/>
          <w:lang w:eastAsia="en-AU"/>
        </w:rPr>
      </w:pPr>
    </w:p>
    <w:p w14:paraId="631A9EEE" w14:textId="1C358387" w:rsidR="00CE5592" w:rsidRDefault="00BD0055" w:rsidP="00F94FF1">
      <w:pPr>
        <w:rPr>
          <w:szCs w:val="24"/>
          <w:lang w:eastAsia="en-AU"/>
        </w:rPr>
      </w:pPr>
      <w:r w:rsidRPr="00A037AB">
        <w:rPr>
          <w:b/>
          <w:bCs/>
          <w:szCs w:val="24"/>
          <w:lang w:eastAsia="en-AU"/>
        </w:rPr>
        <w:t>Section 12</w:t>
      </w:r>
      <w:r>
        <w:rPr>
          <w:szCs w:val="24"/>
          <w:lang w:eastAsia="en-AU"/>
        </w:rPr>
        <w:t xml:space="preserve"> provides that </w:t>
      </w:r>
      <w:r w:rsidR="00A037AB">
        <w:rPr>
          <w:szCs w:val="24"/>
          <w:lang w:eastAsia="en-AU"/>
        </w:rPr>
        <w:t>i</w:t>
      </w:r>
      <w:r w:rsidR="00A037AB" w:rsidRPr="00B72107">
        <w:t xml:space="preserve">ndependent reviews of financial projections will have regard to the Australian Audit and Assurance Standards, </w:t>
      </w:r>
      <w:r w:rsidR="00A037AB" w:rsidRPr="001B415F">
        <w:rPr>
          <w:i/>
          <w:iCs/>
        </w:rPr>
        <w:t xml:space="preserve">AUS 804 The Audit of Prospective Financial Information </w:t>
      </w:r>
      <w:r w:rsidR="00A037AB" w:rsidRPr="001B415F">
        <w:t>and</w:t>
      </w:r>
      <w:r w:rsidR="00A037AB" w:rsidRPr="001B415F">
        <w:rPr>
          <w:i/>
          <w:iCs/>
        </w:rPr>
        <w:t xml:space="preserve"> ASAE 3000 Assurance Engagements Other than Audits or Reviews of Historical Financial Information</w:t>
      </w:r>
      <w:r w:rsidR="00A838EA">
        <w:rPr>
          <w:i/>
          <w:iCs/>
        </w:rPr>
        <w:t>.</w:t>
      </w:r>
    </w:p>
    <w:p w14:paraId="29385B91" w14:textId="30F28F1E" w:rsidR="00A65AF5" w:rsidRDefault="00A65AF5" w:rsidP="00F94FF1">
      <w:pPr>
        <w:rPr>
          <w:szCs w:val="24"/>
          <w:lang w:eastAsia="en-AU"/>
        </w:rPr>
      </w:pPr>
    </w:p>
    <w:p w14:paraId="64693123" w14:textId="30A59779" w:rsidR="00A037AB" w:rsidRDefault="00A037AB" w:rsidP="00F94FF1">
      <w:pPr>
        <w:rPr>
          <w:szCs w:val="24"/>
          <w:lang w:eastAsia="en-AU"/>
        </w:rPr>
      </w:pPr>
      <w:r w:rsidRPr="00A037AB">
        <w:rPr>
          <w:b/>
          <w:bCs/>
          <w:szCs w:val="24"/>
          <w:lang w:eastAsia="en-AU"/>
        </w:rPr>
        <w:t>Section 13</w:t>
      </w:r>
      <w:r>
        <w:rPr>
          <w:szCs w:val="24"/>
          <w:lang w:eastAsia="en-AU"/>
        </w:rPr>
        <w:t xml:space="preserve"> provides that information </w:t>
      </w:r>
      <w:r w:rsidR="00A0215B">
        <w:rPr>
          <w:szCs w:val="24"/>
          <w:lang w:eastAsia="en-AU"/>
        </w:rPr>
        <w:t>that could be used to assess the common indicators in section 11</w:t>
      </w:r>
      <w:r w:rsidR="005248BC">
        <w:rPr>
          <w:szCs w:val="24"/>
          <w:lang w:eastAsia="en-AU"/>
        </w:rPr>
        <w:t xml:space="preserve"> and to </w:t>
      </w:r>
      <w:proofErr w:type="gramStart"/>
      <w:r w:rsidR="005248BC">
        <w:rPr>
          <w:szCs w:val="24"/>
          <w:lang w:eastAsia="en-AU"/>
        </w:rPr>
        <w:t>make a determination</w:t>
      </w:r>
      <w:proofErr w:type="gramEnd"/>
      <w:r w:rsidR="005248BC">
        <w:rPr>
          <w:szCs w:val="24"/>
          <w:lang w:eastAsia="en-AU"/>
        </w:rPr>
        <w:t xml:space="preserve"> about financial viability risk may include but is not limited to th</w:t>
      </w:r>
      <w:r w:rsidR="00924F2B">
        <w:rPr>
          <w:szCs w:val="24"/>
          <w:lang w:eastAsia="en-AU"/>
        </w:rPr>
        <w:t xml:space="preserve">at listed in (a) </w:t>
      </w:r>
      <w:r w:rsidR="00B87A36">
        <w:rPr>
          <w:szCs w:val="24"/>
          <w:lang w:eastAsia="en-AU"/>
        </w:rPr>
        <w:t>through to (o).</w:t>
      </w:r>
    </w:p>
    <w:p w14:paraId="5BB0DAFE" w14:textId="2ACE1A8A" w:rsidR="00B87A36" w:rsidRDefault="00B87A36" w:rsidP="00F94FF1">
      <w:pPr>
        <w:rPr>
          <w:szCs w:val="24"/>
          <w:lang w:eastAsia="en-AU"/>
        </w:rPr>
      </w:pPr>
    </w:p>
    <w:p w14:paraId="3FDCF8EC" w14:textId="4C03A118" w:rsidR="00B87A36" w:rsidRDefault="00262B69" w:rsidP="00F94FF1">
      <w:r w:rsidRPr="00E926CD">
        <w:rPr>
          <w:b/>
          <w:bCs/>
          <w:szCs w:val="24"/>
          <w:lang w:eastAsia="en-AU"/>
        </w:rPr>
        <w:t>Section 14</w:t>
      </w:r>
      <w:r>
        <w:rPr>
          <w:szCs w:val="24"/>
          <w:lang w:eastAsia="en-AU"/>
        </w:rPr>
        <w:t xml:space="preserve"> provides that </w:t>
      </w:r>
      <w:r w:rsidR="00E926CD">
        <w:rPr>
          <w:szCs w:val="24"/>
          <w:lang w:eastAsia="en-AU"/>
        </w:rPr>
        <w:t>in</w:t>
      </w:r>
      <w:r w:rsidR="00E926CD" w:rsidRPr="008F3A20">
        <w:t xml:space="preserve"> managing the financial viability risk of an organisation, the N</w:t>
      </w:r>
      <w:r w:rsidR="00E926CD">
        <w:t xml:space="preserve">ational VET Regulator </w:t>
      </w:r>
      <w:r w:rsidR="00E926CD" w:rsidRPr="008F3A20">
        <w:t>may take into consideration the size and scope of its operations</w:t>
      </w:r>
      <w:r w:rsidR="00A838EA">
        <w:t>.</w:t>
      </w:r>
    </w:p>
    <w:p w14:paraId="6FBD5D1B" w14:textId="77777777" w:rsidR="006523B5" w:rsidRDefault="006523B5" w:rsidP="00F94FF1">
      <w:pPr>
        <w:rPr>
          <w:szCs w:val="24"/>
          <w:lang w:eastAsia="en-AU"/>
        </w:rPr>
      </w:pPr>
    </w:p>
    <w:p w14:paraId="44E30F31" w14:textId="77777777" w:rsidR="007274C8" w:rsidRDefault="007274C8" w:rsidP="00196B23">
      <w:pPr>
        <w:rPr>
          <w:b/>
          <w:bCs/>
          <w:u w:val="single"/>
        </w:rPr>
      </w:pPr>
    </w:p>
    <w:p w14:paraId="3D8053E5" w14:textId="78B4A321" w:rsidR="007274C8" w:rsidRPr="00A13307" w:rsidRDefault="007274C8" w:rsidP="00196B23">
      <w:pPr>
        <w:rPr>
          <w:b/>
          <w:bCs/>
          <w:u w:val="single"/>
        </w:rPr>
      </w:pPr>
      <w:r w:rsidRPr="00A13307">
        <w:rPr>
          <w:b/>
          <w:bCs/>
          <w:u w:val="single"/>
        </w:rPr>
        <w:t>Schedule 1 – Repeals</w:t>
      </w:r>
    </w:p>
    <w:p w14:paraId="3173848B" w14:textId="77777777" w:rsidR="007274C8" w:rsidRDefault="007274C8" w:rsidP="00196B23"/>
    <w:p w14:paraId="00BFBEA6" w14:textId="0546659B" w:rsidR="005C06BC" w:rsidRPr="00A31D39" w:rsidRDefault="007274C8" w:rsidP="00196B23">
      <w:r w:rsidRPr="00A13307">
        <w:rPr>
          <w:b/>
          <w:bCs/>
        </w:rPr>
        <w:t>Section 1</w:t>
      </w:r>
      <w:r>
        <w:t xml:space="preserve"> of Schedule 1 repeals the whole of the former instrument.</w:t>
      </w:r>
      <w:r w:rsidR="005C06BC" w:rsidRPr="00A31D39">
        <w:br w:type="page"/>
      </w:r>
    </w:p>
    <w:p w14:paraId="57019835" w14:textId="77777777" w:rsidR="00AB1556" w:rsidRPr="00A31D39" w:rsidRDefault="00AB1556" w:rsidP="00196B23">
      <w:pPr>
        <w:pStyle w:val="Title"/>
        <w:jc w:val="left"/>
        <w:rPr>
          <w:rFonts w:eastAsiaTheme="majorEastAsia"/>
        </w:rPr>
      </w:pPr>
      <w:r w:rsidRPr="00A31D39">
        <w:rPr>
          <w:rFonts w:eastAsiaTheme="majorEastAsia"/>
        </w:rPr>
        <w:lastRenderedPageBreak/>
        <w:t>Statement of Compatibility with Human Rights</w:t>
      </w:r>
    </w:p>
    <w:p w14:paraId="3655E9A9" w14:textId="148918FD" w:rsidR="00D06624" w:rsidRPr="00B87450" w:rsidRDefault="00D06624" w:rsidP="00D06624">
      <w:pPr>
        <w:pStyle w:val="Heading2"/>
        <w:jc w:val="center"/>
        <w:rPr>
          <w:b w:val="0"/>
          <w:sz w:val="22"/>
        </w:rPr>
      </w:pPr>
      <w:r w:rsidRPr="00B87450">
        <w:rPr>
          <w:b w:val="0"/>
          <w:i/>
          <w:iCs w:val="0"/>
          <w:color w:val="000000"/>
          <w:sz w:val="24"/>
        </w:rPr>
        <w:t>Prepared in accordance with Part 3 of the Human Rights (Parliamentary Scrutiny) Act 2011</w:t>
      </w:r>
      <w:r w:rsidR="004D152D">
        <w:rPr>
          <w:b w:val="0"/>
          <w:i/>
          <w:iCs w:val="0"/>
          <w:color w:val="000000"/>
          <w:sz w:val="24"/>
        </w:rPr>
        <w:t xml:space="preserve"> and at the request of the Parliamentary Joint Committee on Human Rights</w:t>
      </w:r>
    </w:p>
    <w:p w14:paraId="7BC717A5" w14:textId="05773CDF" w:rsidR="00D06624" w:rsidRPr="00B87450" w:rsidRDefault="00D06624" w:rsidP="00D06624">
      <w:pPr>
        <w:pStyle w:val="Heading2"/>
        <w:spacing w:after="240"/>
        <w:rPr>
          <w:sz w:val="24"/>
        </w:rPr>
      </w:pPr>
      <w:r>
        <w:rPr>
          <w:sz w:val="24"/>
        </w:rPr>
        <w:t>Summary of instrument</w:t>
      </w:r>
    </w:p>
    <w:p w14:paraId="7E2EDFFE" w14:textId="17E91905" w:rsidR="001502AC" w:rsidRPr="00B6448E" w:rsidRDefault="001502AC" w:rsidP="001502AC">
      <w:pPr>
        <w:rPr>
          <w:b/>
        </w:rPr>
      </w:pPr>
      <w:r w:rsidRPr="00B6448E">
        <w:t xml:space="preserve">The </w:t>
      </w:r>
      <w:r>
        <w:rPr>
          <w:iCs/>
        </w:rPr>
        <w:t xml:space="preserve">Instrument </w:t>
      </w:r>
      <w:r>
        <w:t>is</w:t>
      </w:r>
      <w:r w:rsidRPr="00B6448E">
        <w:t xml:space="preserve"> made under </w:t>
      </w:r>
      <w:r>
        <w:t>sub</w:t>
      </w:r>
      <w:r w:rsidRPr="00BB73CE">
        <w:t>section 158</w:t>
      </w:r>
      <w:r>
        <w:t>(1)</w:t>
      </w:r>
      <w:r w:rsidRPr="00BB73CE">
        <w:t xml:space="preserve"> of the </w:t>
      </w:r>
      <w:r w:rsidRPr="00B6448E">
        <w:t>NVETR</w:t>
      </w:r>
      <w:r>
        <w:t xml:space="preserve"> </w:t>
      </w:r>
      <w:r w:rsidRPr="00B6448E">
        <w:t xml:space="preserve">Act. </w:t>
      </w:r>
      <w:r w:rsidRPr="0021643D">
        <w:t xml:space="preserve">That subsection requires the National VET Regulator, by legislative instrument, to make requirements relating to the financial viability of NVR registered training organisations. Subsection 158(2) of the </w:t>
      </w:r>
      <w:r>
        <w:t xml:space="preserve">NVETR </w:t>
      </w:r>
      <w:r w:rsidRPr="0021643D">
        <w:t>Act provides that the requirements are to be known as the Financial Viability Risk Assessment Requirements.</w:t>
      </w:r>
    </w:p>
    <w:p w14:paraId="48D7F870" w14:textId="77777777" w:rsidR="00D06624" w:rsidRDefault="00D06624" w:rsidP="00D06624"/>
    <w:p w14:paraId="070AC524" w14:textId="766D6944" w:rsidR="00D06624" w:rsidRDefault="00A701F9" w:rsidP="00D06624">
      <w:r w:rsidRPr="00A53AF6">
        <w:t xml:space="preserve">The </w:t>
      </w:r>
      <w:r>
        <w:t xml:space="preserve">purpose of the </w:t>
      </w:r>
      <w:r w:rsidR="00BF7B66">
        <w:t>Instrument</w:t>
      </w:r>
      <w:r w:rsidRPr="00A53AF6">
        <w:t xml:space="preserve"> </w:t>
      </w:r>
      <w:r>
        <w:t>is to repeal and remake</w:t>
      </w:r>
      <w:r w:rsidRPr="00A53AF6">
        <w:t xml:space="preserve"> </w:t>
      </w:r>
      <w:r>
        <w:t xml:space="preserve">the former </w:t>
      </w:r>
      <w:r w:rsidR="00822ECC">
        <w:t xml:space="preserve">Instrument </w:t>
      </w:r>
      <w:r w:rsidR="00600AAB">
        <w:t>before its sunsets on 1 October 2021.</w:t>
      </w:r>
    </w:p>
    <w:p w14:paraId="314139E4" w14:textId="6431F086" w:rsidR="00D06624" w:rsidRDefault="00D06624" w:rsidP="00D06624">
      <w:pPr>
        <w:rPr>
          <w:szCs w:val="24"/>
          <w:lang w:eastAsia="en-AU"/>
        </w:rPr>
      </w:pPr>
    </w:p>
    <w:p w14:paraId="5802883C" w14:textId="77777777" w:rsidR="00E51EEE" w:rsidRPr="007009AB" w:rsidRDefault="00E51EEE" w:rsidP="00E51EEE">
      <w:pPr>
        <w:pStyle w:val="Heading2"/>
        <w:spacing w:before="0" w:after="240"/>
        <w:rPr>
          <w:sz w:val="24"/>
          <w:szCs w:val="24"/>
          <w:lang w:eastAsia="en-AU"/>
        </w:rPr>
      </w:pPr>
      <w:r w:rsidRPr="00B87450">
        <w:rPr>
          <w:sz w:val="24"/>
          <w:szCs w:val="24"/>
          <w:lang w:eastAsia="en-AU"/>
        </w:rPr>
        <w:t>Analysis of h</w:t>
      </w:r>
      <w:r w:rsidRPr="007009AB">
        <w:rPr>
          <w:sz w:val="24"/>
          <w:szCs w:val="24"/>
          <w:lang w:eastAsia="en-AU"/>
        </w:rPr>
        <w:t>uman rights implications</w:t>
      </w:r>
    </w:p>
    <w:p w14:paraId="743153A4" w14:textId="77777777" w:rsidR="00E51EEE" w:rsidRPr="000B5155" w:rsidRDefault="00E51EEE" w:rsidP="00E51EEE">
      <w:pPr>
        <w:rPr>
          <w:b/>
          <w:i/>
          <w:lang w:eastAsia="en-AU"/>
        </w:rPr>
      </w:pPr>
      <w:r w:rsidRPr="000B5155">
        <w:rPr>
          <w:i/>
          <w:szCs w:val="24"/>
          <w:lang w:eastAsia="en-AU"/>
        </w:rPr>
        <w:t>Right</w:t>
      </w:r>
      <w:r w:rsidRPr="000B5155">
        <w:rPr>
          <w:i/>
          <w:lang w:eastAsia="en-AU"/>
        </w:rPr>
        <w:t xml:space="preserve"> to education</w:t>
      </w:r>
    </w:p>
    <w:p w14:paraId="23629F5C" w14:textId="6F44FC1A" w:rsidR="00E51EEE" w:rsidRPr="007009AB" w:rsidRDefault="00E51EEE" w:rsidP="00E51EEE">
      <w:pPr>
        <w:spacing w:line="300" w:lineRule="atLeast"/>
        <w:rPr>
          <w:color w:val="000000"/>
          <w:lang w:eastAsia="en-AU"/>
        </w:rPr>
      </w:pPr>
      <w:r w:rsidRPr="007009AB">
        <w:rPr>
          <w:color w:val="000000"/>
          <w:lang w:eastAsia="en-AU"/>
        </w:rPr>
        <w:t>The</w:t>
      </w:r>
      <w:r>
        <w:rPr>
          <w:color w:val="000000"/>
          <w:lang w:eastAsia="en-AU"/>
        </w:rPr>
        <w:t xml:space="preserve"> </w:t>
      </w:r>
      <w:r w:rsidR="00FE4333">
        <w:rPr>
          <w:color w:val="000000"/>
          <w:lang w:eastAsia="en-AU"/>
        </w:rPr>
        <w:t>Instrument</w:t>
      </w:r>
      <w:r w:rsidRPr="007009AB">
        <w:rPr>
          <w:color w:val="000000"/>
          <w:lang w:eastAsia="en-AU"/>
        </w:rPr>
        <w:t xml:space="preserve"> engages the right to education contained in Article 13 of the </w:t>
      </w:r>
      <w:r w:rsidRPr="007009AB">
        <w:rPr>
          <w:i/>
          <w:color w:val="000000"/>
          <w:lang w:eastAsia="en-AU"/>
        </w:rPr>
        <w:t>International Covenant on Economic, Social and Cultural Right</w:t>
      </w:r>
      <w:r>
        <w:rPr>
          <w:i/>
          <w:color w:val="000000"/>
          <w:lang w:eastAsia="en-AU"/>
        </w:rPr>
        <w:t>s</w:t>
      </w:r>
      <w:r>
        <w:rPr>
          <w:color w:val="000000"/>
          <w:lang w:eastAsia="en-AU"/>
        </w:rPr>
        <w:t>.</w:t>
      </w:r>
      <w:r w:rsidRPr="007009AB">
        <w:rPr>
          <w:color w:val="000000"/>
          <w:lang w:eastAsia="en-AU"/>
        </w:rPr>
        <w:t xml:space="preserve"> </w:t>
      </w:r>
    </w:p>
    <w:p w14:paraId="19884BBD" w14:textId="77777777" w:rsidR="00E51EEE" w:rsidRPr="007009AB" w:rsidRDefault="00E51EEE" w:rsidP="00E51EEE">
      <w:pPr>
        <w:spacing w:line="300" w:lineRule="atLeast"/>
        <w:rPr>
          <w:color w:val="000000"/>
          <w:szCs w:val="24"/>
          <w:lang w:eastAsia="en-AU"/>
        </w:rPr>
      </w:pPr>
      <w:r w:rsidRPr="007009AB">
        <w:rPr>
          <w:color w:val="000000"/>
          <w:szCs w:val="24"/>
          <w:lang w:eastAsia="en-AU"/>
        </w:rPr>
        <w:t> </w:t>
      </w:r>
    </w:p>
    <w:p w14:paraId="1CCE57CC" w14:textId="7A28F97B" w:rsidR="00E51EEE" w:rsidRDefault="00E51EEE" w:rsidP="00E51EEE">
      <w:pPr>
        <w:spacing w:line="300" w:lineRule="atLeast"/>
        <w:rPr>
          <w:color w:val="000000"/>
          <w:lang w:eastAsia="en-AU"/>
        </w:rPr>
      </w:pPr>
      <w:r w:rsidRPr="005604B9">
        <w:rPr>
          <w:color w:val="000000"/>
          <w:szCs w:val="24"/>
          <w:lang w:eastAsia="en-AU"/>
        </w:rPr>
        <w:t>Article 13</w:t>
      </w:r>
      <w:r>
        <w:rPr>
          <w:color w:val="000000"/>
          <w:szCs w:val="24"/>
          <w:lang w:eastAsia="en-AU"/>
        </w:rPr>
        <w:t xml:space="preserve"> </w:t>
      </w:r>
      <w:r w:rsidRPr="005604B9">
        <w:rPr>
          <w:color w:val="000000"/>
          <w:szCs w:val="24"/>
          <w:lang w:eastAsia="en-AU"/>
        </w:rPr>
        <w:t>recognises that</w:t>
      </w:r>
      <w:r w:rsidRPr="005604B9">
        <w:rPr>
          <w:color w:val="000000"/>
          <w:szCs w:val="24"/>
        </w:rPr>
        <w:t xml:space="preserve"> education shall be directed to the full development of the human personality and the sense of its </w:t>
      </w:r>
      <w:r w:rsidR="00600AAB" w:rsidRPr="005604B9">
        <w:rPr>
          <w:color w:val="000000"/>
          <w:szCs w:val="24"/>
        </w:rPr>
        <w:t>dignity and</w:t>
      </w:r>
      <w:r w:rsidRPr="005604B9">
        <w:rPr>
          <w:color w:val="000000"/>
          <w:szCs w:val="24"/>
        </w:rPr>
        <w:t xml:space="preserve"> shall strengthen the respect for human rights and fundamental freedoms</w:t>
      </w:r>
      <w:r>
        <w:rPr>
          <w:rFonts w:ascii="Verdana" w:hAnsi="Verdana"/>
          <w:color w:val="000000"/>
          <w:sz w:val="19"/>
          <w:szCs w:val="19"/>
        </w:rPr>
        <w:t>.</w:t>
      </w:r>
      <w:r>
        <w:rPr>
          <w:color w:val="000000"/>
          <w:lang w:eastAsia="en-AU"/>
        </w:rPr>
        <w:t xml:space="preserve"> </w:t>
      </w:r>
    </w:p>
    <w:p w14:paraId="330AE130" w14:textId="77777777" w:rsidR="00E51EEE" w:rsidRDefault="00E51EEE" w:rsidP="00E51EEE">
      <w:pPr>
        <w:spacing w:line="300" w:lineRule="atLeast"/>
        <w:rPr>
          <w:color w:val="000000"/>
          <w:lang w:eastAsia="en-AU"/>
        </w:rPr>
      </w:pPr>
    </w:p>
    <w:p w14:paraId="436DAB21" w14:textId="77777777" w:rsidR="00E51EEE" w:rsidRPr="007009AB" w:rsidRDefault="00E51EEE" w:rsidP="00E51EEE">
      <w:pPr>
        <w:spacing w:line="300" w:lineRule="atLeast"/>
        <w:rPr>
          <w:color w:val="000000"/>
          <w:lang w:eastAsia="en-AU"/>
        </w:rPr>
      </w:pPr>
      <w:r>
        <w:rPr>
          <w:color w:val="000000"/>
          <w:lang w:eastAsia="en-AU"/>
        </w:rPr>
        <w:t>In addition, paragraph 13(2)(b) recognises</w:t>
      </w:r>
      <w:r w:rsidRPr="007009AB">
        <w:rPr>
          <w:color w:val="000000"/>
          <w:lang w:eastAsia="en-AU"/>
        </w:rPr>
        <w:t xml:space="preserve"> that secondary education, in all its different forms, including technical and vocational secondary education shall be made generally available and accessible to all by every appropriate means and in particular by the progressive introduction of free education.</w:t>
      </w:r>
    </w:p>
    <w:p w14:paraId="614AEFC5" w14:textId="77777777" w:rsidR="00E51EEE" w:rsidRPr="007009AB" w:rsidRDefault="00E51EEE" w:rsidP="00E51EEE">
      <w:pPr>
        <w:spacing w:line="300" w:lineRule="atLeast"/>
        <w:rPr>
          <w:color w:val="000000"/>
          <w:lang w:eastAsia="en-AU"/>
        </w:rPr>
      </w:pPr>
      <w:r w:rsidRPr="007009AB">
        <w:rPr>
          <w:color w:val="000000"/>
          <w:lang w:eastAsia="en-AU"/>
        </w:rPr>
        <w:t> </w:t>
      </w:r>
    </w:p>
    <w:p w14:paraId="12DD5028" w14:textId="77777777" w:rsidR="00E51EEE" w:rsidRDefault="00E51EEE" w:rsidP="00E51EEE">
      <w:pPr>
        <w:spacing w:line="300" w:lineRule="atLeast"/>
        <w:rPr>
          <w:i/>
          <w:color w:val="000000"/>
          <w:lang w:eastAsia="en-AU"/>
        </w:rPr>
      </w:pPr>
      <w:r>
        <w:rPr>
          <w:i/>
          <w:color w:val="000000"/>
          <w:lang w:eastAsia="en-AU"/>
        </w:rPr>
        <w:t>Right to work</w:t>
      </w:r>
    </w:p>
    <w:p w14:paraId="4F58BE1C" w14:textId="1CE1A251" w:rsidR="00E51EEE" w:rsidRDefault="00E51EEE" w:rsidP="00E51EEE">
      <w:pPr>
        <w:spacing w:line="300" w:lineRule="atLeast"/>
        <w:rPr>
          <w:color w:val="000000"/>
          <w:lang w:eastAsia="en-AU"/>
        </w:rPr>
      </w:pPr>
      <w:r>
        <w:rPr>
          <w:color w:val="000000"/>
          <w:lang w:eastAsia="en-AU"/>
        </w:rPr>
        <w:t xml:space="preserve">The </w:t>
      </w:r>
      <w:r w:rsidR="00FE4333">
        <w:rPr>
          <w:color w:val="000000"/>
          <w:lang w:eastAsia="en-AU"/>
        </w:rPr>
        <w:t>Instrument</w:t>
      </w:r>
      <w:r>
        <w:rPr>
          <w:color w:val="000000"/>
          <w:lang w:eastAsia="en-AU"/>
        </w:rPr>
        <w:t xml:space="preserve"> engages the right to work contained in Article 6 of the </w:t>
      </w:r>
      <w:r w:rsidRPr="007009AB">
        <w:rPr>
          <w:i/>
          <w:color w:val="000000"/>
          <w:lang w:eastAsia="en-AU"/>
        </w:rPr>
        <w:t>International Covenant on Economic, Social and Cultural Right</w:t>
      </w:r>
      <w:r>
        <w:rPr>
          <w:i/>
          <w:color w:val="000000"/>
          <w:lang w:eastAsia="en-AU"/>
        </w:rPr>
        <w:t>s</w:t>
      </w:r>
      <w:r>
        <w:rPr>
          <w:color w:val="000000"/>
          <w:lang w:eastAsia="en-AU"/>
        </w:rPr>
        <w:t>.</w:t>
      </w:r>
    </w:p>
    <w:p w14:paraId="1A821F20" w14:textId="77777777" w:rsidR="00E51EEE" w:rsidRDefault="00E51EEE" w:rsidP="00E51EEE">
      <w:pPr>
        <w:spacing w:line="300" w:lineRule="atLeast"/>
        <w:rPr>
          <w:color w:val="000000"/>
          <w:lang w:eastAsia="en-AU"/>
        </w:rPr>
      </w:pPr>
    </w:p>
    <w:p w14:paraId="0CF0D822" w14:textId="77777777" w:rsidR="00E51EEE" w:rsidRDefault="00E51EEE" w:rsidP="00E51EEE">
      <w:pPr>
        <w:spacing w:line="300" w:lineRule="atLeast"/>
        <w:rPr>
          <w:color w:val="000000"/>
          <w:szCs w:val="24"/>
        </w:rPr>
      </w:pPr>
      <w:r w:rsidRPr="00B26C76">
        <w:rPr>
          <w:color w:val="000000"/>
          <w:szCs w:val="24"/>
          <w:lang w:eastAsia="en-AU"/>
        </w:rPr>
        <w:t xml:space="preserve">Article 6 recognises that </w:t>
      </w:r>
      <w:proofErr w:type="gramStart"/>
      <w:r w:rsidRPr="00B26C76">
        <w:rPr>
          <w:color w:val="000000"/>
          <w:szCs w:val="24"/>
          <w:lang w:eastAsia="en-AU"/>
        </w:rPr>
        <w:t>in order to</w:t>
      </w:r>
      <w:proofErr w:type="gramEnd"/>
      <w:r w:rsidRPr="00B26C76">
        <w:rPr>
          <w:color w:val="000000"/>
          <w:szCs w:val="24"/>
          <w:lang w:eastAsia="en-AU"/>
        </w:rPr>
        <w:t xml:space="preserve"> fully achieve the realisation of the right to work, there should be available </w:t>
      </w:r>
      <w:r w:rsidRPr="00B26C76">
        <w:rPr>
          <w:color w:val="000000"/>
          <w:szCs w:val="24"/>
        </w:rPr>
        <w:t xml:space="preserve">technical and vocational guidance and training programmes, policies and techniques. </w:t>
      </w:r>
    </w:p>
    <w:p w14:paraId="6FFC1425" w14:textId="07FEF1AF" w:rsidR="00E51EEE" w:rsidRDefault="00E51EEE" w:rsidP="00E51EEE">
      <w:pPr>
        <w:spacing w:line="300" w:lineRule="atLeast"/>
        <w:rPr>
          <w:color w:val="000000"/>
          <w:lang w:eastAsia="en-AU"/>
        </w:rPr>
      </w:pPr>
    </w:p>
    <w:p w14:paraId="29CC6300" w14:textId="613167B7" w:rsidR="0080341E" w:rsidRDefault="00E51EEE" w:rsidP="004D152D">
      <w:pPr>
        <w:rPr>
          <w:lang w:eastAsia="en-AU"/>
        </w:rPr>
      </w:pPr>
      <w:r w:rsidRPr="00E51EEE">
        <w:rPr>
          <w:color w:val="000000"/>
          <w:lang w:eastAsia="en-AU"/>
        </w:rPr>
        <w:t xml:space="preserve">The objective of the </w:t>
      </w:r>
      <w:r w:rsidR="00E25473">
        <w:rPr>
          <w:color w:val="000000"/>
          <w:lang w:eastAsia="en-AU"/>
        </w:rPr>
        <w:t>Instrument</w:t>
      </w:r>
      <w:r w:rsidRPr="00E51EEE">
        <w:rPr>
          <w:color w:val="000000"/>
          <w:lang w:eastAsia="en-AU"/>
        </w:rPr>
        <w:t xml:space="preserve"> is to ensure </w:t>
      </w:r>
      <w:r>
        <w:rPr>
          <w:lang w:eastAsia="en-AU"/>
        </w:rPr>
        <w:t xml:space="preserve">that </w:t>
      </w:r>
      <w:r w:rsidR="0080341E" w:rsidRPr="0080341E">
        <w:rPr>
          <w:lang w:eastAsia="en-AU"/>
        </w:rPr>
        <w:t>a</w:t>
      </w:r>
      <w:r w:rsidR="00534809">
        <w:rPr>
          <w:lang w:eastAsia="en-AU"/>
        </w:rPr>
        <w:t>n</w:t>
      </w:r>
      <w:r w:rsidR="0080341E" w:rsidRPr="0080341E">
        <w:rPr>
          <w:lang w:eastAsia="en-AU"/>
        </w:rPr>
        <w:t xml:space="preserve"> NVR registered training organisation </w:t>
      </w:r>
      <w:proofErr w:type="gramStart"/>
      <w:r w:rsidR="0080341E">
        <w:rPr>
          <w:lang w:eastAsia="en-AU"/>
        </w:rPr>
        <w:t xml:space="preserve">is able </w:t>
      </w:r>
      <w:r w:rsidR="0080341E" w:rsidRPr="0080341E">
        <w:rPr>
          <w:lang w:eastAsia="en-AU"/>
        </w:rPr>
        <w:t>to</w:t>
      </w:r>
      <w:proofErr w:type="gramEnd"/>
      <w:r w:rsidR="0080341E" w:rsidRPr="0080341E">
        <w:rPr>
          <w:lang w:eastAsia="en-AU"/>
        </w:rPr>
        <w:t xml:space="preserve"> demonstrate its financial viability at any point in time</w:t>
      </w:r>
      <w:r w:rsidR="00A4285E">
        <w:rPr>
          <w:lang w:eastAsia="en-AU"/>
        </w:rPr>
        <w:t xml:space="preserve"> and properly manage any risks going to its continued financial solvency as a going concern. Maintaining financial viability </w:t>
      </w:r>
      <w:r w:rsidR="00AC1A82">
        <w:rPr>
          <w:lang w:eastAsia="en-AU"/>
        </w:rPr>
        <w:t>impacts on an organisation’s capacity to achieve quality outcomes</w:t>
      </w:r>
      <w:r w:rsidR="00A4285E">
        <w:rPr>
          <w:lang w:eastAsia="en-AU"/>
        </w:rPr>
        <w:t xml:space="preserve"> for students undertaking a course of vocational education and training with the organisation</w:t>
      </w:r>
      <w:r w:rsidR="00AC1A82">
        <w:rPr>
          <w:lang w:eastAsia="en-AU"/>
        </w:rPr>
        <w:t xml:space="preserve">. </w:t>
      </w:r>
    </w:p>
    <w:p w14:paraId="53E79591" w14:textId="77777777" w:rsidR="00E51EEE" w:rsidRDefault="00E51EEE" w:rsidP="00E51EEE">
      <w:pPr>
        <w:spacing w:line="300" w:lineRule="atLeast"/>
        <w:rPr>
          <w:color w:val="000000"/>
          <w:lang w:eastAsia="en-AU"/>
        </w:rPr>
      </w:pPr>
    </w:p>
    <w:p w14:paraId="7C02B86B" w14:textId="334D7826" w:rsidR="004D152D" w:rsidRPr="00484EB5" w:rsidRDefault="00E51EEE" w:rsidP="00484EB5">
      <w:pPr>
        <w:spacing w:line="300" w:lineRule="atLeast"/>
        <w:rPr>
          <w:color w:val="000000"/>
          <w:lang w:eastAsia="en-AU"/>
        </w:rPr>
      </w:pPr>
      <w:r>
        <w:rPr>
          <w:color w:val="000000"/>
          <w:lang w:eastAsia="en-AU"/>
        </w:rPr>
        <w:t>This objective is aimed at supporting the vocational education and training sector, and therefore promotes both the right to education and the right to work.</w:t>
      </w:r>
    </w:p>
    <w:p w14:paraId="7A35B5C8" w14:textId="77777777" w:rsidR="004D152D" w:rsidRDefault="004D152D" w:rsidP="00E51EEE">
      <w:pPr>
        <w:rPr>
          <w:b/>
        </w:rPr>
      </w:pPr>
    </w:p>
    <w:p w14:paraId="50F4AF7D" w14:textId="738CC385" w:rsidR="00E51EEE" w:rsidRDefault="00E51EEE" w:rsidP="00E51EEE">
      <w:pPr>
        <w:rPr>
          <w:b/>
        </w:rPr>
      </w:pPr>
      <w:r>
        <w:rPr>
          <w:b/>
        </w:rPr>
        <w:lastRenderedPageBreak/>
        <w:t>Conclusion</w:t>
      </w:r>
    </w:p>
    <w:p w14:paraId="55FD1EE2" w14:textId="77777777" w:rsidR="00E51EEE" w:rsidRDefault="00E51EEE" w:rsidP="00E51EEE">
      <w:pPr>
        <w:rPr>
          <w:b/>
        </w:rPr>
      </w:pPr>
    </w:p>
    <w:p w14:paraId="6A96A116" w14:textId="77777777" w:rsidR="00E51EEE" w:rsidRPr="00C404B3" w:rsidRDefault="00E51EEE" w:rsidP="00E51EEE">
      <w:pPr>
        <w:rPr>
          <w:color w:val="FF0000"/>
        </w:rPr>
      </w:pPr>
      <w:r>
        <w:rPr>
          <w:color w:val="000000"/>
        </w:rPr>
        <w:t xml:space="preserve">This instrument is compatible with the human rights and freedoms recognised or declared in the international instruments listed in section 3 of the </w:t>
      </w:r>
      <w:r>
        <w:rPr>
          <w:rFonts w:ascii="&amp;quot" w:hAnsi="&amp;quot"/>
          <w:i/>
          <w:iCs/>
          <w:color w:val="000000"/>
        </w:rPr>
        <w:t>Human Rights (Parliamentary Scrutiny) Act 2011</w:t>
      </w:r>
      <w:r>
        <w:rPr>
          <w:color w:val="000000"/>
        </w:rPr>
        <w:t>.</w:t>
      </w:r>
    </w:p>
    <w:p w14:paraId="6AE52E2D" w14:textId="77777777" w:rsidR="00D06624" w:rsidRDefault="00D06624" w:rsidP="00D06624">
      <w:pPr>
        <w:rPr>
          <w:szCs w:val="24"/>
          <w:lang w:eastAsia="en-AU"/>
        </w:rPr>
      </w:pPr>
    </w:p>
    <w:p w14:paraId="308E63FB" w14:textId="1C27EF01" w:rsidR="00D06624" w:rsidRDefault="00D06624" w:rsidP="00D06624">
      <w:pPr>
        <w:rPr>
          <w:szCs w:val="24"/>
          <w:lang w:eastAsia="en-AU"/>
        </w:rPr>
      </w:pPr>
    </w:p>
    <w:p w14:paraId="4308C99D" w14:textId="77777777" w:rsidR="00D06624" w:rsidRDefault="00D06624" w:rsidP="00D06624">
      <w:pPr>
        <w:rPr>
          <w:szCs w:val="24"/>
          <w:lang w:eastAsia="en-AU"/>
        </w:rPr>
      </w:pPr>
    </w:p>
    <w:p w14:paraId="0310025D" w14:textId="77777777" w:rsidR="00D06624" w:rsidRDefault="00D06624" w:rsidP="00A30DB0">
      <w:pPr>
        <w:rPr>
          <w:lang w:eastAsia="en-AU"/>
        </w:rPr>
      </w:pPr>
    </w:p>
    <w:p w14:paraId="0D24535D" w14:textId="77777777" w:rsidR="002C634B" w:rsidRDefault="002C634B" w:rsidP="00A30DB0">
      <w:pPr>
        <w:rPr>
          <w:lang w:eastAsia="en-AU"/>
        </w:rPr>
      </w:pPr>
    </w:p>
    <w:p w14:paraId="459EC1A5" w14:textId="77777777" w:rsidR="002C634B" w:rsidRPr="00A30DB0" w:rsidRDefault="002C634B" w:rsidP="00A30DB0">
      <w:pPr>
        <w:rPr>
          <w:lang w:eastAsia="en-AU"/>
        </w:rPr>
      </w:pPr>
    </w:p>
    <w:p w14:paraId="7677ACE2" w14:textId="77777777" w:rsidR="00AB1CAA" w:rsidRPr="00BC410F" w:rsidRDefault="00AB1CAA" w:rsidP="00196B23"/>
    <w:sectPr w:rsidR="00AB1CAA" w:rsidRPr="00BC410F" w:rsidSect="00B4410E">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79B67" w14:textId="77777777" w:rsidR="002049E5" w:rsidRDefault="002049E5" w:rsidP="00AC09DB">
      <w:r>
        <w:separator/>
      </w:r>
    </w:p>
  </w:endnote>
  <w:endnote w:type="continuationSeparator" w:id="0">
    <w:p w14:paraId="066F6E2B" w14:textId="77777777" w:rsidR="002049E5" w:rsidRDefault="002049E5" w:rsidP="00AC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F0184" w14:textId="77777777" w:rsidR="001F27E4" w:rsidRDefault="001F27E4" w:rsidP="00AC09DB">
    <w:pPr>
      <w:pStyle w:val="Footer"/>
      <w:pBdr>
        <w:top w:val="single" w:sz="4" w:space="1" w:color="D9D9D9" w:themeColor="background1" w:themeShade="D9"/>
      </w:pBdr>
      <w:jc w:val="center"/>
    </w:pPr>
  </w:p>
  <w:p w14:paraId="11C9E2D9" w14:textId="4EDF7407" w:rsidR="001F27E4" w:rsidRDefault="002049E5"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1F27E4">
          <w:fldChar w:fldCharType="begin"/>
        </w:r>
        <w:r w:rsidR="001F27E4">
          <w:instrText xml:space="preserve"> PAGE   \* MERGEFORMAT </w:instrText>
        </w:r>
        <w:r w:rsidR="001F27E4">
          <w:fldChar w:fldCharType="separate"/>
        </w:r>
        <w:r w:rsidR="00ED6C93" w:rsidRPr="00ED6C93">
          <w:rPr>
            <w:b/>
            <w:bCs/>
            <w:noProof/>
          </w:rPr>
          <w:t>1</w:t>
        </w:r>
        <w:r w:rsidR="001F27E4">
          <w:rPr>
            <w:b/>
            <w:bCs/>
            <w:noProof/>
          </w:rPr>
          <w:fldChar w:fldCharType="end"/>
        </w:r>
        <w:r w:rsidR="001F27E4">
          <w:rPr>
            <w:b/>
            <w:bCs/>
          </w:rPr>
          <w:t xml:space="preserve"> </w:t>
        </w:r>
      </w:sdtContent>
    </w:sdt>
  </w:p>
  <w:p w14:paraId="09105F29" w14:textId="77777777" w:rsidR="001F27E4" w:rsidRDefault="001F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E4EA9" w14:textId="77777777" w:rsidR="002049E5" w:rsidRDefault="002049E5" w:rsidP="00AC09DB">
      <w:r>
        <w:separator/>
      </w:r>
    </w:p>
  </w:footnote>
  <w:footnote w:type="continuationSeparator" w:id="0">
    <w:p w14:paraId="11D4C28D" w14:textId="77777777" w:rsidR="002049E5" w:rsidRDefault="002049E5" w:rsidP="00AC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163"/>
    <w:multiLevelType w:val="hybridMultilevel"/>
    <w:tmpl w:val="BA26D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2EA7FE6"/>
    <w:multiLevelType w:val="hybridMultilevel"/>
    <w:tmpl w:val="3D02E3B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891F86"/>
    <w:multiLevelType w:val="hybridMultilevel"/>
    <w:tmpl w:val="087E21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60E0506"/>
    <w:multiLevelType w:val="hybridMultilevel"/>
    <w:tmpl w:val="B21084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0153252"/>
    <w:multiLevelType w:val="hybridMultilevel"/>
    <w:tmpl w:val="F90A795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30D5F"/>
    <w:multiLevelType w:val="hybridMultilevel"/>
    <w:tmpl w:val="4F7CDF84"/>
    <w:lvl w:ilvl="0" w:tplc="227C70A2">
      <w:start w:val="3"/>
      <w:numFmt w:val="bullet"/>
      <w:lvlText w:val="-"/>
      <w:lvlJc w:val="left"/>
      <w:pPr>
        <w:ind w:left="720" w:hanging="360"/>
      </w:pPr>
      <w:rPr>
        <w:rFonts w:ascii="&amp;quot" w:eastAsia="Times New Roman" w:hAnsi="&amp;qu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C158B"/>
    <w:multiLevelType w:val="hybridMultilevel"/>
    <w:tmpl w:val="5FB62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50EC7"/>
    <w:multiLevelType w:val="hybridMultilevel"/>
    <w:tmpl w:val="27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36A7D"/>
    <w:multiLevelType w:val="hybridMultilevel"/>
    <w:tmpl w:val="0340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2010D"/>
    <w:multiLevelType w:val="hybridMultilevel"/>
    <w:tmpl w:val="14E26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E1FB7"/>
    <w:multiLevelType w:val="hybridMultilevel"/>
    <w:tmpl w:val="BC045E2A"/>
    <w:lvl w:ilvl="0" w:tplc="13EA7E8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56F5C56"/>
    <w:multiLevelType w:val="hybridMultilevel"/>
    <w:tmpl w:val="3F06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2C42B9"/>
    <w:multiLevelType w:val="hybridMultilevel"/>
    <w:tmpl w:val="F3583B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A4C5BA7"/>
    <w:multiLevelType w:val="hybridMultilevel"/>
    <w:tmpl w:val="A546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16FDF"/>
    <w:multiLevelType w:val="hybridMultilevel"/>
    <w:tmpl w:val="277A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90099"/>
    <w:multiLevelType w:val="hybridMultilevel"/>
    <w:tmpl w:val="FE243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F488E"/>
    <w:multiLevelType w:val="hybridMultilevel"/>
    <w:tmpl w:val="75466D78"/>
    <w:lvl w:ilvl="0" w:tplc="13EA7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FD2E4A"/>
    <w:multiLevelType w:val="hybridMultilevel"/>
    <w:tmpl w:val="1DF252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3A6701"/>
    <w:multiLevelType w:val="hybridMultilevel"/>
    <w:tmpl w:val="A5B2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3266D"/>
    <w:multiLevelType w:val="hybridMultilevel"/>
    <w:tmpl w:val="8280C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520F1E"/>
    <w:multiLevelType w:val="hybridMultilevel"/>
    <w:tmpl w:val="59E2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05C1E"/>
    <w:multiLevelType w:val="hybridMultilevel"/>
    <w:tmpl w:val="4DBE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05D1B"/>
    <w:multiLevelType w:val="hybridMultilevel"/>
    <w:tmpl w:val="1DDA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8C7998"/>
    <w:multiLevelType w:val="hybridMultilevel"/>
    <w:tmpl w:val="11DE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BC2314"/>
    <w:multiLevelType w:val="hybridMultilevel"/>
    <w:tmpl w:val="7E3A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6EB40B5"/>
    <w:multiLevelType w:val="hybridMultilevel"/>
    <w:tmpl w:val="1D42D8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580335A1"/>
    <w:multiLevelType w:val="hybridMultilevel"/>
    <w:tmpl w:val="678A8A02"/>
    <w:lvl w:ilvl="0" w:tplc="179078D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58A73B2C"/>
    <w:multiLevelType w:val="hybridMultilevel"/>
    <w:tmpl w:val="A88A504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1" w15:restartNumberingAfterBreak="0">
    <w:nsid w:val="62B87907"/>
    <w:multiLevelType w:val="hybridMultilevel"/>
    <w:tmpl w:val="A444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608B8"/>
    <w:multiLevelType w:val="hybridMultilevel"/>
    <w:tmpl w:val="792E668C"/>
    <w:lvl w:ilvl="0" w:tplc="13EA7E8A">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5DF6494"/>
    <w:multiLevelType w:val="multilevel"/>
    <w:tmpl w:val="A316FE50"/>
    <w:numStyleLink w:val="ChapterList"/>
  </w:abstractNum>
  <w:abstractNum w:abstractNumId="34"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B364D6"/>
    <w:multiLevelType w:val="hybridMultilevel"/>
    <w:tmpl w:val="75E4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40057C"/>
    <w:multiLevelType w:val="hybridMultilevel"/>
    <w:tmpl w:val="18D044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1C30DEB"/>
    <w:multiLevelType w:val="hybridMultilevel"/>
    <w:tmpl w:val="234A40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7305605B"/>
    <w:multiLevelType w:val="hybridMultilevel"/>
    <w:tmpl w:val="8FE838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5B4AA3"/>
    <w:multiLevelType w:val="hybridMultilevel"/>
    <w:tmpl w:val="3404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272990"/>
    <w:multiLevelType w:val="hybridMultilevel"/>
    <w:tmpl w:val="5E72A82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9DE7B6F"/>
    <w:multiLevelType w:val="hybridMultilevel"/>
    <w:tmpl w:val="D7162014"/>
    <w:lvl w:ilvl="0" w:tplc="0C090001">
      <w:start w:val="2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760EB"/>
    <w:multiLevelType w:val="hybridMultilevel"/>
    <w:tmpl w:val="BC045E2A"/>
    <w:lvl w:ilvl="0" w:tplc="13EA7E8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3" w15:restartNumberingAfterBreak="0">
    <w:nsid w:val="7B5113BC"/>
    <w:multiLevelType w:val="hybridMultilevel"/>
    <w:tmpl w:val="A4AE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F8347F"/>
    <w:multiLevelType w:val="hybridMultilevel"/>
    <w:tmpl w:val="43E4FE78"/>
    <w:lvl w:ilvl="0" w:tplc="10FE260E">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4"/>
  </w:num>
  <w:num w:numId="4">
    <w:abstractNumId w:val="27"/>
  </w:num>
  <w:num w:numId="5">
    <w:abstractNumId w:val="23"/>
  </w:num>
  <w:num w:numId="6">
    <w:abstractNumId w:val="9"/>
  </w:num>
  <w:num w:numId="7">
    <w:abstractNumId w:val="22"/>
  </w:num>
  <w:num w:numId="8">
    <w:abstractNumId w:val="17"/>
  </w:num>
  <w:num w:numId="9">
    <w:abstractNumId w:val="43"/>
  </w:num>
  <w:num w:numId="10">
    <w:abstractNumId w:val="5"/>
  </w:num>
  <w:num w:numId="11">
    <w:abstractNumId w:val="26"/>
  </w:num>
  <w:num w:numId="12">
    <w:abstractNumId w:val="20"/>
  </w:num>
  <w:num w:numId="13">
    <w:abstractNumId w:val="11"/>
  </w:num>
  <w:num w:numId="14">
    <w:abstractNumId w:val="39"/>
  </w:num>
  <w:num w:numId="15">
    <w:abstractNumId w:val="2"/>
  </w:num>
  <w:num w:numId="16">
    <w:abstractNumId w:val="35"/>
  </w:num>
  <w:num w:numId="17">
    <w:abstractNumId w:val="25"/>
  </w:num>
  <w:num w:numId="18">
    <w:abstractNumId w:val="8"/>
  </w:num>
  <w:num w:numId="19">
    <w:abstractNumId w:val="44"/>
  </w:num>
  <w:num w:numId="20">
    <w:abstractNumId w:val="1"/>
  </w:num>
  <w:num w:numId="21">
    <w:abstractNumId w:val="28"/>
  </w:num>
  <w:num w:numId="22">
    <w:abstractNumId w:val="7"/>
  </w:num>
  <w:num w:numId="23">
    <w:abstractNumId w:val="3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1"/>
  </w:num>
  <w:num w:numId="25">
    <w:abstractNumId w:val="10"/>
  </w:num>
  <w:num w:numId="26">
    <w:abstractNumId w:val="32"/>
  </w:num>
  <w:num w:numId="27">
    <w:abstractNumId w:val="42"/>
  </w:num>
  <w:num w:numId="28">
    <w:abstractNumId w:val="33"/>
  </w:num>
  <w:num w:numId="29">
    <w:abstractNumId w:val="38"/>
  </w:num>
  <w:num w:numId="30">
    <w:abstractNumId w:val="16"/>
  </w:num>
  <w:num w:numId="31">
    <w:abstractNumId w:val="41"/>
  </w:num>
  <w:num w:numId="32">
    <w:abstractNumId w:val="37"/>
  </w:num>
  <w:num w:numId="33">
    <w:abstractNumId w:val="0"/>
  </w:num>
  <w:num w:numId="34">
    <w:abstractNumId w:val="44"/>
  </w:num>
  <w:num w:numId="35">
    <w:abstractNumId w:val="6"/>
  </w:num>
  <w:num w:numId="36">
    <w:abstractNumId w:val="19"/>
  </w:num>
  <w:num w:numId="37">
    <w:abstractNumId w:val="36"/>
  </w:num>
  <w:num w:numId="38">
    <w:abstractNumId w:val="30"/>
  </w:num>
  <w:num w:numId="39">
    <w:abstractNumId w:val="3"/>
  </w:num>
  <w:num w:numId="40">
    <w:abstractNumId w:val="40"/>
  </w:num>
  <w:num w:numId="41">
    <w:abstractNumId w:val="4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5"/>
  </w:num>
  <w:num w:numId="45">
    <w:abstractNumId w:val="12"/>
  </w:num>
  <w:num w:numId="46">
    <w:abstractNumId w:val="13"/>
  </w:num>
  <w:num w:numId="47">
    <w:abstractNumId w:val="2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AC"/>
    <w:rsid w:val="00000A9D"/>
    <w:rsid w:val="00003F6C"/>
    <w:rsid w:val="000043F6"/>
    <w:rsid w:val="000150E6"/>
    <w:rsid w:val="000209EA"/>
    <w:rsid w:val="00022F7E"/>
    <w:rsid w:val="00025508"/>
    <w:rsid w:val="0002570E"/>
    <w:rsid w:val="000414B8"/>
    <w:rsid w:val="00047182"/>
    <w:rsid w:val="00052757"/>
    <w:rsid w:val="00054018"/>
    <w:rsid w:val="0006026C"/>
    <w:rsid w:val="0006561C"/>
    <w:rsid w:val="000668B0"/>
    <w:rsid w:val="00066DEE"/>
    <w:rsid w:val="0007240B"/>
    <w:rsid w:val="00080EB4"/>
    <w:rsid w:val="00083A2A"/>
    <w:rsid w:val="00086029"/>
    <w:rsid w:val="00090A17"/>
    <w:rsid w:val="000927F3"/>
    <w:rsid w:val="00097318"/>
    <w:rsid w:val="000A1F80"/>
    <w:rsid w:val="000A6FE1"/>
    <w:rsid w:val="000A7B92"/>
    <w:rsid w:val="000B092B"/>
    <w:rsid w:val="000B2AF8"/>
    <w:rsid w:val="000B3553"/>
    <w:rsid w:val="000B7C69"/>
    <w:rsid w:val="000C60F9"/>
    <w:rsid w:val="000C622E"/>
    <w:rsid w:val="000D5E73"/>
    <w:rsid w:val="000E259B"/>
    <w:rsid w:val="000E2E3F"/>
    <w:rsid w:val="000E4693"/>
    <w:rsid w:val="000E5F8D"/>
    <w:rsid w:val="000E6953"/>
    <w:rsid w:val="000F0389"/>
    <w:rsid w:val="000F1C63"/>
    <w:rsid w:val="000F73DC"/>
    <w:rsid w:val="0010050A"/>
    <w:rsid w:val="00104831"/>
    <w:rsid w:val="0010595F"/>
    <w:rsid w:val="00107A00"/>
    <w:rsid w:val="00120DFF"/>
    <w:rsid w:val="00123EB7"/>
    <w:rsid w:val="001262A7"/>
    <w:rsid w:val="001314B8"/>
    <w:rsid w:val="0013150A"/>
    <w:rsid w:val="001321B6"/>
    <w:rsid w:val="00133919"/>
    <w:rsid w:val="00141CB8"/>
    <w:rsid w:val="0014363F"/>
    <w:rsid w:val="00144580"/>
    <w:rsid w:val="00144647"/>
    <w:rsid w:val="001502AC"/>
    <w:rsid w:val="001505FF"/>
    <w:rsid w:val="00150BB5"/>
    <w:rsid w:val="00151979"/>
    <w:rsid w:val="001519F2"/>
    <w:rsid w:val="00151B5C"/>
    <w:rsid w:val="00151E72"/>
    <w:rsid w:val="0015355D"/>
    <w:rsid w:val="0015482C"/>
    <w:rsid w:val="00163474"/>
    <w:rsid w:val="001721AD"/>
    <w:rsid w:val="00173F9D"/>
    <w:rsid w:val="00176873"/>
    <w:rsid w:val="00176A40"/>
    <w:rsid w:val="0017719F"/>
    <w:rsid w:val="00180ADB"/>
    <w:rsid w:val="00196B23"/>
    <w:rsid w:val="001A5938"/>
    <w:rsid w:val="001B1D4E"/>
    <w:rsid w:val="001B56BD"/>
    <w:rsid w:val="001B56C2"/>
    <w:rsid w:val="001B60CC"/>
    <w:rsid w:val="001D3A58"/>
    <w:rsid w:val="001D5FB5"/>
    <w:rsid w:val="001E25F1"/>
    <w:rsid w:val="001E39A5"/>
    <w:rsid w:val="001E4AE8"/>
    <w:rsid w:val="001E6F92"/>
    <w:rsid w:val="001F27E4"/>
    <w:rsid w:val="001F2B72"/>
    <w:rsid w:val="001F3887"/>
    <w:rsid w:val="001F4E62"/>
    <w:rsid w:val="001F5FF2"/>
    <w:rsid w:val="001F6536"/>
    <w:rsid w:val="00201AE7"/>
    <w:rsid w:val="00204196"/>
    <w:rsid w:val="002049E5"/>
    <w:rsid w:val="00210A9F"/>
    <w:rsid w:val="00213994"/>
    <w:rsid w:val="0021643D"/>
    <w:rsid w:val="00217CA4"/>
    <w:rsid w:val="002246FB"/>
    <w:rsid w:val="00224833"/>
    <w:rsid w:val="00226F77"/>
    <w:rsid w:val="0024443F"/>
    <w:rsid w:val="002519F2"/>
    <w:rsid w:val="00253EC7"/>
    <w:rsid w:val="00256897"/>
    <w:rsid w:val="00257B13"/>
    <w:rsid w:val="00260DEC"/>
    <w:rsid w:val="00262B69"/>
    <w:rsid w:val="002646A9"/>
    <w:rsid w:val="00266610"/>
    <w:rsid w:val="00266C74"/>
    <w:rsid w:val="00267BFE"/>
    <w:rsid w:val="002739B7"/>
    <w:rsid w:val="00275CE0"/>
    <w:rsid w:val="00277302"/>
    <w:rsid w:val="002813B7"/>
    <w:rsid w:val="00285A27"/>
    <w:rsid w:val="00287BA1"/>
    <w:rsid w:val="00287C07"/>
    <w:rsid w:val="00287FE3"/>
    <w:rsid w:val="00290D7A"/>
    <w:rsid w:val="002A0461"/>
    <w:rsid w:val="002A4DD7"/>
    <w:rsid w:val="002A6205"/>
    <w:rsid w:val="002A7332"/>
    <w:rsid w:val="002B0B43"/>
    <w:rsid w:val="002B12EB"/>
    <w:rsid w:val="002B2F99"/>
    <w:rsid w:val="002B32FB"/>
    <w:rsid w:val="002C559A"/>
    <w:rsid w:val="002C634B"/>
    <w:rsid w:val="002C6504"/>
    <w:rsid w:val="002C6F75"/>
    <w:rsid w:val="002D4C5C"/>
    <w:rsid w:val="002E0D1E"/>
    <w:rsid w:val="002E6C86"/>
    <w:rsid w:val="002F1E06"/>
    <w:rsid w:val="002F68F2"/>
    <w:rsid w:val="0030101D"/>
    <w:rsid w:val="003035B5"/>
    <w:rsid w:val="00316FA4"/>
    <w:rsid w:val="003249A1"/>
    <w:rsid w:val="003249C0"/>
    <w:rsid w:val="0033240B"/>
    <w:rsid w:val="003349AC"/>
    <w:rsid w:val="00340A35"/>
    <w:rsid w:val="00344A14"/>
    <w:rsid w:val="0035377E"/>
    <w:rsid w:val="00353BFD"/>
    <w:rsid w:val="0035472C"/>
    <w:rsid w:val="00356AF4"/>
    <w:rsid w:val="00363381"/>
    <w:rsid w:val="00376029"/>
    <w:rsid w:val="003772ED"/>
    <w:rsid w:val="003802D0"/>
    <w:rsid w:val="00397423"/>
    <w:rsid w:val="003A14AD"/>
    <w:rsid w:val="003A450B"/>
    <w:rsid w:val="003A69C5"/>
    <w:rsid w:val="003A77EB"/>
    <w:rsid w:val="003B05B5"/>
    <w:rsid w:val="003B204B"/>
    <w:rsid w:val="003B2E60"/>
    <w:rsid w:val="003C5CFF"/>
    <w:rsid w:val="003C7AAB"/>
    <w:rsid w:val="003D5ED0"/>
    <w:rsid w:val="003D6696"/>
    <w:rsid w:val="003E104A"/>
    <w:rsid w:val="003E7E06"/>
    <w:rsid w:val="003F60C0"/>
    <w:rsid w:val="003F78FA"/>
    <w:rsid w:val="0040174F"/>
    <w:rsid w:val="00401D3A"/>
    <w:rsid w:val="00404B01"/>
    <w:rsid w:val="00406D2E"/>
    <w:rsid w:val="0041000D"/>
    <w:rsid w:val="0042170C"/>
    <w:rsid w:val="00424799"/>
    <w:rsid w:val="00433DF7"/>
    <w:rsid w:val="004437E5"/>
    <w:rsid w:val="00444FBB"/>
    <w:rsid w:val="00451AAC"/>
    <w:rsid w:val="0045788A"/>
    <w:rsid w:val="00461D73"/>
    <w:rsid w:val="00462C8B"/>
    <w:rsid w:val="00480651"/>
    <w:rsid w:val="00484EB5"/>
    <w:rsid w:val="00485011"/>
    <w:rsid w:val="00490D60"/>
    <w:rsid w:val="00491598"/>
    <w:rsid w:val="004A179A"/>
    <w:rsid w:val="004A76DA"/>
    <w:rsid w:val="004B0427"/>
    <w:rsid w:val="004B15FD"/>
    <w:rsid w:val="004B7259"/>
    <w:rsid w:val="004C171F"/>
    <w:rsid w:val="004D152D"/>
    <w:rsid w:val="004D5A1E"/>
    <w:rsid w:val="004E0952"/>
    <w:rsid w:val="004E1056"/>
    <w:rsid w:val="004E1B70"/>
    <w:rsid w:val="004E31E8"/>
    <w:rsid w:val="004E7CF2"/>
    <w:rsid w:val="004F0E4D"/>
    <w:rsid w:val="004F1770"/>
    <w:rsid w:val="004F2BEE"/>
    <w:rsid w:val="004F44E2"/>
    <w:rsid w:val="0050347D"/>
    <w:rsid w:val="00503632"/>
    <w:rsid w:val="00504FF6"/>
    <w:rsid w:val="005068EA"/>
    <w:rsid w:val="00512557"/>
    <w:rsid w:val="005126AB"/>
    <w:rsid w:val="005138ED"/>
    <w:rsid w:val="00514303"/>
    <w:rsid w:val="0051514B"/>
    <w:rsid w:val="0051710D"/>
    <w:rsid w:val="00522C9A"/>
    <w:rsid w:val="00523034"/>
    <w:rsid w:val="005244BA"/>
    <w:rsid w:val="005248BC"/>
    <w:rsid w:val="00525E69"/>
    <w:rsid w:val="00531B76"/>
    <w:rsid w:val="00532B68"/>
    <w:rsid w:val="005335FD"/>
    <w:rsid w:val="005336F0"/>
    <w:rsid w:val="00534809"/>
    <w:rsid w:val="0053555B"/>
    <w:rsid w:val="00537679"/>
    <w:rsid w:val="00537690"/>
    <w:rsid w:val="00553C47"/>
    <w:rsid w:val="00560EAD"/>
    <w:rsid w:val="005611E2"/>
    <w:rsid w:val="00566F80"/>
    <w:rsid w:val="005670D0"/>
    <w:rsid w:val="005710E1"/>
    <w:rsid w:val="00573E89"/>
    <w:rsid w:val="00573F34"/>
    <w:rsid w:val="0057455E"/>
    <w:rsid w:val="00574AE2"/>
    <w:rsid w:val="0057528D"/>
    <w:rsid w:val="00582676"/>
    <w:rsid w:val="005837C6"/>
    <w:rsid w:val="0059224F"/>
    <w:rsid w:val="00597483"/>
    <w:rsid w:val="005A7A87"/>
    <w:rsid w:val="005B2D32"/>
    <w:rsid w:val="005C06BC"/>
    <w:rsid w:val="005C244C"/>
    <w:rsid w:val="005C43D7"/>
    <w:rsid w:val="005D1BA4"/>
    <w:rsid w:val="005D236C"/>
    <w:rsid w:val="005D6291"/>
    <w:rsid w:val="005E0A36"/>
    <w:rsid w:val="005E194C"/>
    <w:rsid w:val="005E70EF"/>
    <w:rsid w:val="005F1F8B"/>
    <w:rsid w:val="005F42B5"/>
    <w:rsid w:val="005F4587"/>
    <w:rsid w:val="005F7484"/>
    <w:rsid w:val="00600AAB"/>
    <w:rsid w:val="00600D4B"/>
    <w:rsid w:val="0061113A"/>
    <w:rsid w:val="00614E75"/>
    <w:rsid w:val="006164C4"/>
    <w:rsid w:val="00617576"/>
    <w:rsid w:val="006222AD"/>
    <w:rsid w:val="00623199"/>
    <w:rsid w:val="006305BE"/>
    <w:rsid w:val="006307C9"/>
    <w:rsid w:val="0063442F"/>
    <w:rsid w:val="0063684C"/>
    <w:rsid w:val="006372F6"/>
    <w:rsid w:val="00641D94"/>
    <w:rsid w:val="006423C3"/>
    <w:rsid w:val="00643DD0"/>
    <w:rsid w:val="00645B74"/>
    <w:rsid w:val="00651309"/>
    <w:rsid w:val="006523B5"/>
    <w:rsid w:val="0066263C"/>
    <w:rsid w:val="00664E53"/>
    <w:rsid w:val="00671D14"/>
    <w:rsid w:val="00675DD5"/>
    <w:rsid w:val="00680819"/>
    <w:rsid w:val="006866D2"/>
    <w:rsid w:val="006869E9"/>
    <w:rsid w:val="006939C9"/>
    <w:rsid w:val="006A0920"/>
    <w:rsid w:val="006A11EB"/>
    <w:rsid w:val="006A1F60"/>
    <w:rsid w:val="006A7BC0"/>
    <w:rsid w:val="006B26E4"/>
    <w:rsid w:val="006B4EE8"/>
    <w:rsid w:val="006C461C"/>
    <w:rsid w:val="006D11A9"/>
    <w:rsid w:val="006D400F"/>
    <w:rsid w:val="006D5825"/>
    <w:rsid w:val="006D7AC5"/>
    <w:rsid w:val="006E3F5F"/>
    <w:rsid w:val="006F4C0E"/>
    <w:rsid w:val="00723C27"/>
    <w:rsid w:val="007241F7"/>
    <w:rsid w:val="0072497E"/>
    <w:rsid w:val="0072746A"/>
    <w:rsid w:val="007274C8"/>
    <w:rsid w:val="007308B9"/>
    <w:rsid w:val="00732A1D"/>
    <w:rsid w:val="00732F8A"/>
    <w:rsid w:val="00737AB0"/>
    <w:rsid w:val="00742F1F"/>
    <w:rsid w:val="00745098"/>
    <w:rsid w:val="007466DB"/>
    <w:rsid w:val="00750D51"/>
    <w:rsid w:val="00751025"/>
    <w:rsid w:val="0075486C"/>
    <w:rsid w:val="00762DE4"/>
    <w:rsid w:val="00766811"/>
    <w:rsid w:val="00766987"/>
    <w:rsid w:val="00781474"/>
    <w:rsid w:val="00782F3C"/>
    <w:rsid w:val="007839CC"/>
    <w:rsid w:val="00785FD4"/>
    <w:rsid w:val="00791D05"/>
    <w:rsid w:val="007A2D5B"/>
    <w:rsid w:val="007A33D9"/>
    <w:rsid w:val="007B4348"/>
    <w:rsid w:val="007B5009"/>
    <w:rsid w:val="007B500F"/>
    <w:rsid w:val="007C4801"/>
    <w:rsid w:val="007C6D96"/>
    <w:rsid w:val="007D367C"/>
    <w:rsid w:val="007D3DE9"/>
    <w:rsid w:val="007D434E"/>
    <w:rsid w:val="007E117C"/>
    <w:rsid w:val="007E1268"/>
    <w:rsid w:val="007E3633"/>
    <w:rsid w:val="007E5A1E"/>
    <w:rsid w:val="007F01A2"/>
    <w:rsid w:val="007F6923"/>
    <w:rsid w:val="0080249C"/>
    <w:rsid w:val="0080341E"/>
    <w:rsid w:val="0080542E"/>
    <w:rsid w:val="00810493"/>
    <w:rsid w:val="00810D5C"/>
    <w:rsid w:val="00811362"/>
    <w:rsid w:val="008148C3"/>
    <w:rsid w:val="00820370"/>
    <w:rsid w:val="00820645"/>
    <w:rsid w:val="00822ECC"/>
    <w:rsid w:val="00823760"/>
    <w:rsid w:val="0082417A"/>
    <w:rsid w:val="0082480E"/>
    <w:rsid w:val="008248F5"/>
    <w:rsid w:val="00826A55"/>
    <w:rsid w:val="00827600"/>
    <w:rsid w:val="0083451A"/>
    <w:rsid w:val="00836B27"/>
    <w:rsid w:val="00840502"/>
    <w:rsid w:val="0084303B"/>
    <w:rsid w:val="008512EC"/>
    <w:rsid w:val="008533A7"/>
    <w:rsid w:val="00860365"/>
    <w:rsid w:val="008637A9"/>
    <w:rsid w:val="008647C9"/>
    <w:rsid w:val="0086522B"/>
    <w:rsid w:val="00870F7D"/>
    <w:rsid w:val="00872CBD"/>
    <w:rsid w:val="00872FA9"/>
    <w:rsid w:val="0087485C"/>
    <w:rsid w:val="00880225"/>
    <w:rsid w:val="008912DB"/>
    <w:rsid w:val="0089483F"/>
    <w:rsid w:val="008A392F"/>
    <w:rsid w:val="008A3C0D"/>
    <w:rsid w:val="008A4C02"/>
    <w:rsid w:val="008B1088"/>
    <w:rsid w:val="008C44A9"/>
    <w:rsid w:val="008E27BF"/>
    <w:rsid w:val="008E49B2"/>
    <w:rsid w:val="008E75C9"/>
    <w:rsid w:val="008E7EEB"/>
    <w:rsid w:val="008F169A"/>
    <w:rsid w:val="008F4F1F"/>
    <w:rsid w:val="00902C91"/>
    <w:rsid w:val="00903F68"/>
    <w:rsid w:val="00910DDC"/>
    <w:rsid w:val="00911A65"/>
    <w:rsid w:val="00912244"/>
    <w:rsid w:val="009131E0"/>
    <w:rsid w:val="00913F5E"/>
    <w:rsid w:val="00916B6E"/>
    <w:rsid w:val="00917C95"/>
    <w:rsid w:val="009205FE"/>
    <w:rsid w:val="00924F2B"/>
    <w:rsid w:val="00926E47"/>
    <w:rsid w:val="00926FC5"/>
    <w:rsid w:val="00927226"/>
    <w:rsid w:val="00930EA7"/>
    <w:rsid w:val="0093434E"/>
    <w:rsid w:val="00936EB5"/>
    <w:rsid w:val="00941F60"/>
    <w:rsid w:val="009427FB"/>
    <w:rsid w:val="00955540"/>
    <w:rsid w:val="00955A5B"/>
    <w:rsid w:val="00957740"/>
    <w:rsid w:val="00967291"/>
    <w:rsid w:val="009674C1"/>
    <w:rsid w:val="00974EFF"/>
    <w:rsid w:val="00981935"/>
    <w:rsid w:val="009835B9"/>
    <w:rsid w:val="00993951"/>
    <w:rsid w:val="009A0E48"/>
    <w:rsid w:val="009A17CA"/>
    <w:rsid w:val="009A26A6"/>
    <w:rsid w:val="009A4B43"/>
    <w:rsid w:val="009A7101"/>
    <w:rsid w:val="009B10DE"/>
    <w:rsid w:val="009B172C"/>
    <w:rsid w:val="009C2985"/>
    <w:rsid w:val="009D1089"/>
    <w:rsid w:val="009D48AB"/>
    <w:rsid w:val="009D67F0"/>
    <w:rsid w:val="009E37BA"/>
    <w:rsid w:val="009F05ED"/>
    <w:rsid w:val="00A0215B"/>
    <w:rsid w:val="00A037AB"/>
    <w:rsid w:val="00A13307"/>
    <w:rsid w:val="00A13F27"/>
    <w:rsid w:val="00A2153A"/>
    <w:rsid w:val="00A22ADC"/>
    <w:rsid w:val="00A24509"/>
    <w:rsid w:val="00A30DB0"/>
    <w:rsid w:val="00A31D39"/>
    <w:rsid w:val="00A35BAC"/>
    <w:rsid w:val="00A379A5"/>
    <w:rsid w:val="00A4285E"/>
    <w:rsid w:val="00A42BDB"/>
    <w:rsid w:val="00A453B7"/>
    <w:rsid w:val="00A53AF6"/>
    <w:rsid w:val="00A55D07"/>
    <w:rsid w:val="00A5713B"/>
    <w:rsid w:val="00A64D0D"/>
    <w:rsid w:val="00A65AF5"/>
    <w:rsid w:val="00A701F9"/>
    <w:rsid w:val="00A838EA"/>
    <w:rsid w:val="00A84D76"/>
    <w:rsid w:val="00A90354"/>
    <w:rsid w:val="00A91C6E"/>
    <w:rsid w:val="00A92D9E"/>
    <w:rsid w:val="00A94197"/>
    <w:rsid w:val="00A94E3A"/>
    <w:rsid w:val="00A96E8C"/>
    <w:rsid w:val="00A96F3F"/>
    <w:rsid w:val="00AA19D4"/>
    <w:rsid w:val="00AA5C3C"/>
    <w:rsid w:val="00AB0442"/>
    <w:rsid w:val="00AB1556"/>
    <w:rsid w:val="00AB1CAA"/>
    <w:rsid w:val="00AB1FDB"/>
    <w:rsid w:val="00AB2225"/>
    <w:rsid w:val="00AB6FB1"/>
    <w:rsid w:val="00AC09DB"/>
    <w:rsid w:val="00AC0B64"/>
    <w:rsid w:val="00AC1A82"/>
    <w:rsid w:val="00AC3930"/>
    <w:rsid w:val="00AC609E"/>
    <w:rsid w:val="00AC6D1F"/>
    <w:rsid w:val="00AE238A"/>
    <w:rsid w:val="00AE30DF"/>
    <w:rsid w:val="00AE4ABD"/>
    <w:rsid w:val="00AF549F"/>
    <w:rsid w:val="00AF6099"/>
    <w:rsid w:val="00AF6C7C"/>
    <w:rsid w:val="00AF784F"/>
    <w:rsid w:val="00B016E3"/>
    <w:rsid w:val="00B03AB9"/>
    <w:rsid w:val="00B06088"/>
    <w:rsid w:val="00B07208"/>
    <w:rsid w:val="00B14E1E"/>
    <w:rsid w:val="00B17D21"/>
    <w:rsid w:val="00B23859"/>
    <w:rsid w:val="00B2424F"/>
    <w:rsid w:val="00B30353"/>
    <w:rsid w:val="00B3109E"/>
    <w:rsid w:val="00B33675"/>
    <w:rsid w:val="00B43BE6"/>
    <w:rsid w:val="00B43C0F"/>
    <w:rsid w:val="00B4410E"/>
    <w:rsid w:val="00B5460B"/>
    <w:rsid w:val="00B5462F"/>
    <w:rsid w:val="00B556EC"/>
    <w:rsid w:val="00B56B4C"/>
    <w:rsid w:val="00B56F6E"/>
    <w:rsid w:val="00B639ED"/>
    <w:rsid w:val="00B64431"/>
    <w:rsid w:val="00B6448E"/>
    <w:rsid w:val="00B7301E"/>
    <w:rsid w:val="00B76E4F"/>
    <w:rsid w:val="00B77DCD"/>
    <w:rsid w:val="00B803DF"/>
    <w:rsid w:val="00B86A88"/>
    <w:rsid w:val="00B87A36"/>
    <w:rsid w:val="00B90DB4"/>
    <w:rsid w:val="00B93782"/>
    <w:rsid w:val="00B95635"/>
    <w:rsid w:val="00B96639"/>
    <w:rsid w:val="00BA0A90"/>
    <w:rsid w:val="00BA2E9B"/>
    <w:rsid w:val="00BA3F5B"/>
    <w:rsid w:val="00BA3FC5"/>
    <w:rsid w:val="00BB062B"/>
    <w:rsid w:val="00BB0E95"/>
    <w:rsid w:val="00BB73CE"/>
    <w:rsid w:val="00BC2F50"/>
    <w:rsid w:val="00BC410F"/>
    <w:rsid w:val="00BC4D70"/>
    <w:rsid w:val="00BC79F0"/>
    <w:rsid w:val="00BD0055"/>
    <w:rsid w:val="00BD5AAF"/>
    <w:rsid w:val="00BD5B73"/>
    <w:rsid w:val="00BD6CF2"/>
    <w:rsid w:val="00BE0C98"/>
    <w:rsid w:val="00BF3223"/>
    <w:rsid w:val="00BF7B66"/>
    <w:rsid w:val="00BF7D20"/>
    <w:rsid w:val="00C04BEB"/>
    <w:rsid w:val="00C04C29"/>
    <w:rsid w:val="00C04EF1"/>
    <w:rsid w:val="00C129D7"/>
    <w:rsid w:val="00C1440A"/>
    <w:rsid w:val="00C15ED9"/>
    <w:rsid w:val="00C17FD9"/>
    <w:rsid w:val="00C20AC1"/>
    <w:rsid w:val="00C3064E"/>
    <w:rsid w:val="00C312DB"/>
    <w:rsid w:val="00C32C95"/>
    <w:rsid w:val="00C33B8C"/>
    <w:rsid w:val="00C4450A"/>
    <w:rsid w:val="00C5187F"/>
    <w:rsid w:val="00C5256C"/>
    <w:rsid w:val="00C56E25"/>
    <w:rsid w:val="00C57593"/>
    <w:rsid w:val="00C62449"/>
    <w:rsid w:val="00C6617D"/>
    <w:rsid w:val="00C67AB6"/>
    <w:rsid w:val="00C7392B"/>
    <w:rsid w:val="00C73D2A"/>
    <w:rsid w:val="00C74A0B"/>
    <w:rsid w:val="00C7631C"/>
    <w:rsid w:val="00C81ACD"/>
    <w:rsid w:val="00C840A1"/>
    <w:rsid w:val="00CA1050"/>
    <w:rsid w:val="00CA147C"/>
    <w:rsid w:val="00CA4CF1"/>
    <w:rsid w:val="00CA7B05"/>
    <w:rsid w:val="00CB063C"/>
    <w:rsid w:val="00CB78FF"/>
    <w:rsid w:val="00CC120B"/>
    <w:rsid w:val="00CC2A3F"/>
    <w:rsid w:val="00CC42F7"/>
    <w:rsid w:val="00CC7B57"/>
    <w:rsid w:val="00CD298F"/>
    <w:rsid w:val="00CE110B"/>
    <w:rsid w:val="00CE263E"/>
    <w:rsid w:val="00CE413C"/>
    <w:rsid w:val="00CE5592"/>
    <w:rsid w:val="00CE671A"/>
    <w:rsid w:val="00D0089F"/>
    <w:rsid w:val="00D00954"/>
    <w:rsid w:val="00D03E83"/>
    <w:rsid w:val="00D0411B"/>
    <w:rsid w:val="00D06624"/>
    <w:rsid w:val="00D14573"/>
    <w:rsid w:val="00D16678"/>
    <w:rsid w:val="00D235A6"/>
    <w:rsid w:val="00D23F45"/>
    <w:rsid w:val="00D262CD"/>
    <w:rsid w:val="00D26941"/>
    <w:rsid w:val="00D306ED"/>
    <w:rsid w:val="00D37391"/>
    <w:rsid w:val="00D37916"/>
    <w:rsid w:val="00D41E8F"/>
    <w:rsid w:val="00D4421A"/>
    <w:rsid w:val="00D51116"/>
    <w:rsid w:val="00D65861"/>
    <w:rsid w:val="00D703AA"/>
    <w:rsid w:val="00D70983"/>
    <w:rsid w:val="00D727E4"/>
    <w:rsid w:val="00D75CA3"/>
    <w:rsid w:val="00D77E85"/>
    <w:rsid w:val="00D825AA"/>
    <w:rsid w:val="00D83730"/>
    <w:rsid w:val="00D8602A"/>
    <w:rsid w:val="00D87B50"/>
    <w:rsid w:val="00DA01A9"/>
    <w:rsid w:val="00DA0F19"/>
    <w:rsid w:val="00DA4AAF"/>
    <w:rsid w:val="00DA5FCE"/>
    <w:rsid w:val="00DB6769"/>
    <w:rsid w:val="00DB7D8A"/>
    <w:rsid w:val="00DC504E"/>
    <w:rsid w:val="00DC6284"/>
    <w:rsid w:val="00DD1B09"/>
    <w:rsid w:val="00DD3F2E"/>
    <w:rsid w:val="00DD5782"/>
    <w:rsid w:val="00DD7070"/>
    <w:rsid w:val="00DE6DC1"/>
    <w:rsid w:val="00DE7BD7"/>
    <w:rsid w:val="00DF57B5"/>
    <w:rsid w:val="00E1090E"/>
    <w:rsid w:val="00E1560F"/>
    <w:rsid w:val="00E20325"/>
    <w:rsid w:val="00E23614"/>
    <w:rsid w:val="00E25473"/>
    <w:rsid w:val="00E25F4E"/>
    <w:rsid w:val="00E276C6"/>
    <w:rsid w:val="00E404D1"/>
    <w:rsid w:val="00E447F7"/>
    <w:rsid w:val="00E5181F"/>
    <w:rsid w:val="00E51EEE"/>
    <w:rsid w:val="00E54555"/>
    <w:rsid w:val="00E57D44"/>
    <w:rsid w:val="00E57EB5"/>
    <w:rsid w:val="00E65DE5"/>
    <w:rsid w:val="00E728E1"/>
    <w:rsid w:val="00E80CC3"/>
    <w:rsid w:val="00E814D1"/>
    <w:rsid w:val="00E82388"/>
    <w:rsid w:val="00E91D26"/>
    <w:rsid w:val="00E926CD"/>
    <w:rsid w:val="00E934BE"/>
    <w:rsid w:val="00E93CBB"/>
    <w:rsid w:val="00E96F71"/>
    <w:rsid w:val="00EA3EA2"/>
    <w:rsid w:val="00EB2910"/>
    <w:rsid w:val="00EC58B0"/>
    <w:rsid w:val="00EC76C5"/>
    <w:rsid w:val="00ED28E6"/>
    <w:rsid w:val="00ED65DA"/>
    <w:rsid w:val="00ED6C93"/>
    <w:rsid w:val="00EE245A"/>
    <w:rsid w:val="00EE3B97"/>
    <w:rsid w:val="00EE41A2"/>
    <w:rsid w:val="00EE5C11"/>
    <w:rsid w:val="00EE7081"/>
    <w:rsid w:val="00F000C2"/>
    <w:rsid w:val="00F10876"/>
    <w:rsid w:val="00F114A4"/>
    <w:rsid w:val="00F2240D"/>
    <w:rsid w:val="00F27217"/>
    <w:rsid w:val="00F30EBB"/>
    <w:rsid w:val="00F35F2A"/>
    <w:rsid w:val="00F36802"/>
    <w:rsid w:val="00F428F4"/>
    <w:rsid w:val="00F45B4A"/>
    <w:rsid w:val="00F52068"/>
    <w:rsid w:val="00F56DA5"/>
    <w:rsid w:val="00F574A8"/>
    <w:rsid w:val="00F61AAD"/>
    <w:rsid w:val="00F630D6"/>
    <w:rsid w:val="00F73017"/>
    <w:rsid w:val="00F732F7"/>
    <w:rsid w:val="00F752D7"/>
    <w:rsid w:val="00F816E0"/>
    <w:rsid w:val="00F832B1"/>
    <w:rsid w:val="00F847CB"/>
    <w:rsid w:val="00F84B6F"/>
    <w:rsid w:val="00F915CB"/>
    <w:rsid w:val="00F94509"/>
    <w:rsid w:val="00F94FF1"/>
    <w:rsid w:val="00FA05E3"/>
    <w:rsid w:val="00FA37D5"/>
    <w:rsid w:val="00FA7E64"/>
    <w:rsid w:val="00FB2109"/>
    <w:rsid w:val="00FB61F7"/>
    <w:rsid w:val="00FB6203"/>
    <w:rsid w:val="00FC0212"/>
    <w:rsid w:val="00FC2083"/>
    <w:rsid w:val="00FC5755"/>
    <w:rsid w:val="00FD163F"/>
    <w:rsid w:val="00FD16BC"/>
    <w:rsid w:val="00FD1FEE"/>
    <w:rsid w:val="00FD459A"/>
    <w:rsid w:val="00FD6C9D"/>
    <w:rsid w:val="00FE2354"/>
    <w:rsid w:val="00FE4333"/>
    <w:rsid w:val="00FF1341"/>
    <w:rsid w:val="00FF37A2"/>
    <w:rsid w:val="00FF5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link w:val="Heading2Char"/>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24"/>
      </w:numPr>
      <w:spacing w:before="120" w:after="120"/>
    </w:pPr>
    <w:rPr>
      <w:sz w:val="22"/>
      <w:lang w:eastAsia="en-AU"/>
    </w:rPr>
  </w:style>
  <w:style w:type="paragraph" w:customStyle="1" w:styleId="ChapterHeading">
    <w:name w:val="Chapter Heading"/>
    <w:next w:val="Heading2"/>
    <w:rsid w:val="00D51116"/>
    <w:pPr>
      <w:numPr>
        <w:numId w:val="24"/>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24"/>
      </w:numPr>
    </w:pPr>
  </w:style>
  <w:style w:type="paragraph" w:customStyle="1" w:styleId="Diagram">
    <w:name w:val="Diagram"/>
    <w:basedOn w:val="Normal"/>
    <w:next w:val="Normal"/>
    <w:rsid w:val="00D51116"/>
    <w:pPr>
      <w:keepNext/>
      <w:numPr>
        <w:ilvl w:val="2"/>
        <w:numId w:val="24"/>
      </w:numPr>
    </w:pPr>
    <w:rPr>
      <w:b/>
      <w:sz w:val="22"/>
      <w:lang w:eastAsia="en-AU"/>
    </w:rPr>
  </w:style>
  <w:style w:type="paragraph" w:customStyle="1" w:styleId="ExampleHeading">
    <w:name w:val="Example Heading"/>
    <w:basedOn w:val="Normal"/>
    <w:next w:val="Normal"/>
    <w:rsid w:val="00D51116"/>
    <w:pPr>
      <w:keepNext/>
      <w:numPr>
        <w:ilvl w:val="3"/>
        <w:numId w:val="24"/>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24"/>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 w:type="character" w:customStyle="1" w:styleId="bumpedfont15">
    <w:name w:val="bumpedfont15"/>
    <w:basedOn w:val="DefaultParagraphFont"/>
    <w:rsid w:val="000150E6"/>
  </w:style>
  <w:style w:type="paragraph" w:customStyle="1" w:styleId="subsection">
    <w:name w:val="subsection"/>
    <w:aliases w:val="ss,Subsection"/>
    <w:basedOn w:val="Normal"/>
    <w:link w:val="subsectionChar"/>
    <w:rsid w:val="00257B1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257B13"/>
    <w:rPr>
      <w:sz w:val="22"/>
    </w:rPr>
  </w:style>
  <w:style w:type="paragraph" w:customStyle="1" w:styleId="ShortT">
    <w:name w:val="ShortT"/>
    <w:basedOn w:val="Normal"/>
    <w:next w:val="Normal"/>
    <w:qFormat/>
    <w:rsid w:val="00641D94"/>
    <w:rPr>
      <w:b/>
      <w:sz w:val="40"/>
      <w:lang w:eastAsia="en-AU"/>
    </w:rPr>
  </w:style>
  <w:style w:type="paragraph" w:styleId="FootnoteText">
    <w:name w:val="footnote text"/>
    <w:basedOn w:val="Normal"/>
    <w:link w:val="FootnoteTextChar"/>
    <w:uiPriority w:val="99"/>
    <w:semiHidden/>
    <w:unhideWhenUsed/>
    <w:rsid w:val="00B016E3"/>
    <w:rPr>
      <w:sz w:val="20"/>
    </w:rPr>
  </w:style>
  <w:style w:type="character" w:customStyle="1" w:styleId="FootnoteTextChar">
    <w:name w:val="Footnote Text Char"/>
    <w:basedOn w:val="DefaultParagraphFont"/>
    <w:link w:val="FootnoteText"/>
    <w:uiPriority w:val="99"/>
    <w:semiHidden/>
    <w:rsid w:val="00B016E3"/>
    <w:rPr>
      <w:lang w:eastAsia="en-US"/>
    </w:rPr>
  </w:style>
  <w:style w:type="character" w:styleId="FootnoteReference">
    <w:name w:val="footnote reference"/>
    <w:basedOn w:val="DefaultParagraphFont"/>
    <w:uiPriority w:val="99"/>
    <w:semiHidden/>
    <w:unhideWhenUsed/>
    <w:rsid w:val="00B016E3"/>
    <w:rPr>
      <w:vertAlign w:val="superscript"/>
    </w:rPr>
  </w:style>
  <w:style w:type="paragraph" w:customStyle="1" w:styleId="paragraph">
    <w:name w:val="paragraph"/>
    <w:basedOn w:val="Normal"/>
    <w:rsid w:val="00751025"/>
    <w:pPr>
      <w:spacing w:before="100" w:beforeAutospacing="1" w:after="100" w:afterAutospacing="1"/>
    </w:pPr>
    <w:rPr>
      <w:szCs w:val="24"/>
      <w:lang w:eastAsia="en-AU"/>
    </w:rPr>
  </w:style>
  <w:style w:type="paragraph" w:customStyle="1" w:styleId="ActHead9">
    <w:name w:val="ActHead 9"/>
    <w:aliases w:val="aat"/>
    <w:basedOn w:val="Normal"/>
    <w:next w:val="Normal"/>
    <w:qFormat/>
    <w:rsid w:val="00A53AF6"/>
    <w:pPr>
      <w:keepNext/>
      <w:keepLines/>
      <w:spacing w:before="280"/>
      <w:ind w:left="1134" w:hanging="1134"/>
      <w:outlineLvl w:val="8"/>
    </w:pPr>
    <w:rPr>
      <w:b/>
      <w:i/>
      <w:kern w:val="28"/>
      <w:sz w:val="28"/>
      <w:lang w:eastAsia="en-AU"/>
    </w:rPr>
  </w:style>
  <w:style w:type="character" w:customStyle="1" w:styleId="Heading2Char">
    <w:name w:val="Heading 2 Char"/>
    <w:basedOn w:val="DefaultParagraphFont"/>
    <w:link w:val="Heading2"/>
    <w:rsid w:val="00D06624"/>
    <w:rPr>
      <w:rFonts w:cs="Arial"/>
      <w:b/>
      <w:bCs/>
      <w:iCs/>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8329">
      <w:bodyDiv w:val="1"/>
      <w:marLeft w:val="0"/>
      <w:marRight w:val="0"/>
      <w:marTop w:val="0"/>
      <w:marBottom w:val="0"/>
      <w:divBdr>
        <w:top w:val="none" w:sz="0" w:space="0" w:color="auto"/>
        <w:left w:val="none" w:sz="0" w:space="0" w:color="auto"/>
        <w:bottom w:val="none" w:sz="0" w:space="0" w:color="auto"/>
        <w:right w:val="none" w:sz="0" w:space="0" w:color="auto"/>
      </w:divBdr>
    </w:div>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3446">
      <w:bodyDiv w:val="1"/>
      <w:marLeft w:val="0"/>
      <w:marRight w:val="0"/>
      <w:marTop w:val="0"/>
      <w:marBottom w:val="0"/>
      <w:divBdr>
        <w:top w:val="none" w:sz="0" w:space="0" w:color="auto"/>
        <w:left w:val="none" w:sz="0" w:space="0" w:color="auto"/>
        <w:bottom w:val="none" w:sz="0" w:space="0" w:color="auto"/>
        <w:right w:val="none" w:sz="0" w:space="0" w:color="auto"/>
      </w:divBdr>
      <w:divsChild>
        <w:div w:id="1242326470">
          <w:marLeft w:val="0"/>
          <w:marRight w:val="0"/>
          <w:marTop w:val="0"/>
          <w:marBottom w:val="0"/>
          <w:divBdr>
            <w:top w:val="none" w:sz="0" w:space="0" w:color="auto"/>
            <w:left w:val="none" w:sz="0" w:space="0" w:color="auto"/>
            <w:bottom w:val="none" w:sz="0" w:space="0" w:color="auto"/>
            <w:right w:val="none" w:sz="0" w:space="0" w:color="auto"/>
          </w:divBdr>
          <w:divsChild>
            <w:div w:id="1213661479">
              <w:marLeft w:val="0"/>
              <w:marRight w:val="0"/>
              <w:marTop w:val="0"/>
              <w:marBottom w:val="0"/>
              <w:divBdr>
                <w:top w:val="none" w:sz="0" w:space="0" w:color="auto"/>
                <w:left w:val="none" w:sz="0" w:space="0" w:color="auto"/>
                <w:bottom w:val="none" w:sz="0" w:space="0" w:color="auto"/>
                <w:right w:val="none" w:sz="0" w:space="0" w:color="auto"/>
              </w:divBdr>
              <w:divsChild>
                <w:div w:id="1501193628">
                  <w:marLeft w:val="0"/>
                  <w:marRight w:val="0"/>
                  <w:marTop w:val="0"/>
                  <w:marBottom w:val="0"/>
                  <w:divBdr>
                    <w:top w:val="none" w:sz="0" w:space="0" w:color="auto"/>
                    <w:left w:val="none" w:sz="0" w:space="0" w:color="auto"/>
                    <w:bottom w:val="none" w:sz="0" w:space="0" w:color="auto"/>
                    <w:right w:val="none" w:sz="0" w:space="0" w:color="auto"/>
                  </w:divBdr>
                  <w:divsChild>
                    <w:div w:id="1466581419">
                      <w:marLeft w:val="0"/>
                      <w:marRight w:val="0"/>
                      <w:marTop w:val="0"/>
                      <w:marBottom w:val="0"/>
                      <w:divBdr>
                        <w:top w:val="none" w:sz="0" w:space="0" w:color="auto"/>
                        <w:left w:val="none" w:sz="0" w:space="0" w:color="auto"/>
                        <w:bottom w:val="none" w:sz="0" w:space="0" w:color="auto"/>
                        <w:right w:val="none" w:sz="0" w:space="0" w:color="auto"/>
                      </w:divBdr>
                      <w:divsChild>
                        <w:div w:id="864059123">
                          <w:marLeft w:val="0"/>
                          <w:marRight w:val="0"/>
                          <w:marTop w:val="0"/>
                          <w:marBottom w:val="0"/>
                          <w:divBdr>
                            <w:top w:val="none" w:sz="0" w:space="0" w:color="auto"/>
                            <w:left w:val="none" w:sz="0" w:space="0" w:color="auto"/>
                            <w:bottom w:val="none" w:sz="0" w:space="0" w:color="auto"/>
                            <w:right w:val="none" w:sz="0" w:space="0" w:color="auto"/>
                          </w:divBdr>
                          <w:divsChild>
                            <w:div w:id="132260784">
                              <w:marLeft w:val="0"/>
                              <w:marRight w:val="0"/>
                              <w:marTop w:val="0"/>
                              <w:marBottom w:val="0"/>
                              <w:divBdr>
                                <w:top w:val="none" w:sz="0" w:space="0" w:color="auto"/>
                                <w:left w:val="none" w:sz="0" w:space="0" w:color="auto"/>
                                <w:bottom w:val="none" w:sz="0" w:space="0" w:color="auto"/>
                                <w:right w:val="none" w:sz="0" w:space="0" w:color="auto"/>
                              </w:divBdr>
                              <w:divsChild>
                                <w:div w:id="929117294">
                                  <w:marLeft w:val="0"/>
                                  <w:marRight w:val="0"/>
                                  <w:marTop w:val="0"/>
                                  <w:marBottom w:val="0"/>
                                  <w:divBdr>
                                    <w:top w:val="none" w:sz="0" w:space="0" w:color="auto"/>
                                    <w:left w:val="none" w:sz="0" w:space="0" w:color="auto"/>
                                    <w:bottom w:val="none" w:sz="0" w:space="0" w:color="auto"/>
                                    <w:right w:val="none" w:sz="0" w:space="0" w:color="auto"/>
                                  </w:divBdr>
                                  <w:divsChild>
                                    <w:div w:id="89281416">
                                      <w:marLeft w:val="0"/>
                                      <w:marRight w:val="0"/>
                                      <w:marTop w:val="0"/>
                                      <w:marBottom w:val="0"/>
                                      <w:divBdr>
                                        <w:top w:val="none" w:sz="0" w:space="0" w:color="auto"/>
                                        <w:left w:val="none" w:sz="0" w:space="0" w:color="auto"/>
                                        <w:bottom w:val="none" w:sz="0" w:space="0" w:color="auto"/>
                                        <w:right w:val="none" w:sz="0" w:space="0" w:color="auto"/>
                                      </w:divBdr>
                                      <w:divsChild>
                                        <w:div w:id="831526643">
                                          <w:marLeft w:val="0"/>
                                          <w:marRight w:val="0"/>
                                          <w:marTop w:val="0"/>
                                          <w:marBottom w:val="0"/>
                                          <w:divBdr>
                                            <w:top w:val="none" w:sz="0" w:space="0" w:color="auto"/>
                                            <w:left w:val="none" w:sz="0" w:space="0" w:color="auto"/>
                                            <w:bottom w:val="none" w:sz="0" w:space="0" w:color="auto"/>
                                            <w:right w:val="none" w:sz="0" w:space="0" w:color="auto"/>
                                          </w:divBdr>
                                          <w:divsChild>
                                            <w:div w:id="444808965">
                                              <w:marLeft w:val="0"/>
                                              <w:marRight w:val="0"/>
                                              <w:marTop w:val="0"/>
                                              <w:marBottom w:val="0"/>
                                              <w:divBdr>
                                                <w:top w:val="none" w:sz="0" w:space="0" w:color="auto"/>
                                                <w:left w:val="none" w:sz="0" w:space="0" w:color="auto"/>
                                                <w:bottom w:val="none" w:sz="0" w:space="0" w:color="auto"/>
                                                <w:right w:val="none" w:sz="0" w:space="0" w:color="auto"/>
                                              </w:divBdr>
                                              <w:divsChild>
                                                <w:div w:id="644352982">
                                                  <w:marLeft w:val="0"/>
                                                  <w:marRight w:val="0"/>
                                                  <w:marTop w:val="0"/>
                                                  <w:marBottom w:val="0"/>
                                                  <w:divBdr>
                                                    <w:top w:val="none" w:sz="0" w:space="0" w:color="auto"/>
                                                    <w:left w:val="none" w:sz="0" w:space="0" w:color="auto"/>
                                                    <w:bottom w:val="none" w:sz="0" w:space="0" w:color="auto"/>
                                                    <w:right w:val="none" w:sz="0" w:space="0" w:color="auto"/>
                                                  </w:divBdr>
                                                  <w:divsChild>
                                                    <w:div w:id="1573464041">
                                                      <w:marLeft w:val="0"/>
                                                      <w:marRight w:val="0"/>
                                                      <w:marTop w:val="0"/>
                                                      <w:marBottom w:val="0"/>
                                                      <w:divBdr>
                                                        <w:top w:val="none" w:sz="0" w:space="0" w:color="auto"/>
                                                        <w:left w:val="none" w:sz="0" w:space="0" w:color="auto"/>
                                                        <w:bottom w:val="none" w:sz="0" w:space="0" w:color="auto"/>
                                                        <w:right w:val="none" w:sz="0" w:space="0" w:color="auto"/>
                                                      </w:divBdr>
                                                      <w:divsChild>
                                                        <w:div w:id="18179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645503">
      <w:bodyDiv w:val="1"/>
      <w:marLeft w:val="0"/>
      <w:marRight w:val="0"/>
      <w:marTop w:val="0"/>
      <w:marBottom w:val="0"/>
      <w:divBdr>
        <w:top w:val="none" w:sz="0" w:space="0" w:color="auto"/>
        <w:left w:val="none" w:sz="0" w:space="0" w:color="auto"/>
        <w:bottom w:val="none" w:sz="0" w:space="0" w:color="auto"/>
        <w:right w:val="none" w:sz="0" w:space="0" w:color="auto"/>
      </w:divBdr>
    </w:div>
    <w:div w:id="983198758">
      <w:bodyDiv w:val="1"/>
      <w:marLeft w:val="0"/>
      <w:marRight w:val="0"/>
      <w:marTop w:val="0"/>
      <w:marBottom w:val="0"/>
      <w:divBdr>
        <w:top w:val="none" w:sz="0" w:space="0" w:color="auto"/>
        <w:left w:val="none" w:sz="0" w:space="0" w:color="auto"/>
        <w:bottom w:val="none" w:sz="0" w:space="0" w:color="auto"/>
        <w:right w:val="none" w:sz="0" w:space="0" w:color="auto"/>
      </w:divBdr>
      <w:divsChild>
        <w:div w:id="1023242086">
          <w:marLeft w:val="0"/>
          <w:marRight w:val="0"/>
          <w:marTop w:val="0"/>
          <w:marBottom w:val="0"/>
          <w:divBdr>
            <w:top w:val="none" w:sz="0" w:space="0" w:color="auto"/>
            <w:left w:val="none" w:sz="0" w:space="0" w:color="auto"/>
            <w:bottom w:val="none" w:sz="0" w:space="0" w:color="auto"/>
            <w:right w:val="none" w:sz="0" w:space="0" w:color="auto"/>
          </w:divBdr>
          <w:divsChild>
            <w:div w:id="377510226">
              <w:marLeft w:val="0"/>
              <w:marRight w:val="0"/>
              <w:marTop w:val="0"/>
              <w:marBottom w:val="0"/>
              <w:divBdr>
                <w:top w:val="none" w:sz="0" w:space="0" w:color="auto"/>
                <w:left w:val="none" w:sz="0" w:space="0" w:color="auto"/>
                <w:bottom w:val="none" w:sz="0" w:space="0" w:color="auto"/>
                <w:right w:val="none" w:sz="0" w:space="0" w:color="auto"/>
              </w:divBdr>
              <w:divsChild>
                <w:div w:id="1198155937">
                  <w:marLeft w:val="0"/>
                  <w:marRight w:val="0"/>
                  <w:marTop w:val="0"/>
                  <w:marBottom w:val="0"/>
                  <w:divBdr>
                    <w:top w:val="none" w:sz="0" w:space="0" w:color="auto"/>
                    <w:left w:val="none" w:sz="0" w:space="0" w:color="auto"/>
                    <w:bottom w:val="none" w:sz="0" w:space="0" w:color="auto"/>
                    <w:right w:val="none" w:sz="0" w:space="0" w:color="auto"/>
                  </w:divBdr>
                  <w:divsChild>
                    <w:div w:id="2133354999">
                      <w:marLeft w:val="0"/>
                      <w:marRight w:val="0"/>
                      <w:marTop w:val="0"/>
                      <w:marBottom w:val="0"/>
                      <w:divBdr>
                        <w:top w:val="none" w:sz="0" w:space="0" w:color="auto"/>
                        <w:left w:val="none" w:sz="0" w:space="0" w:color="auto"/>
                        <w:bottom w:val="none" w:sz="0" w:space="0" w:color="auto"/>
                        <w:right w:val="none" w:sz="0" w:space="0" w:color="auto"/>
                      </w:divBdr>
                      <w:divsChild>
                        <w:div w:id="1737241083">
                          <w:marLeft w:val="0"/>
                          <w:marRight w:val="0"/>
                          <w:marTop w:val="0"/>
                          <w:marBottom w:val="0"/>
                          <w:divBdr>
                            <w:top w:val="none" w:sz="0" w:space="0" w:color="auto"/>
                            <w:left w:val="none" w:sz="0" w:space="0" w:color="auto"/>
                            <w:bottom w:val="none" w:sz="0" w:space="0" w:color="auto"/>
                            <w:right w:val="none" w:sz="0" w:space="0" w:color="auto"/>
                          </w:divBdr>
                          <w:divsChild>
                            <w:div w:id="152188547">
                              <w:marLeft w:val="0"/>
                              <w:marRight w:val="0"/>
                              <w:marTop w:val="0"/>
                              <w:marBottom w:val="0"/>
                              <w:divBdr>
                                <w:top w:val="none" w:sz="0" w:space="0" w:color="auto"/>
                                <w:left w:val="none" w:sz="0" w:space="0" w:color="auto"/>
                                <w:bottom w:val="none" w:sz="0" w:space="0" w:color="auto"/>
                                <w:right w:val="none" w:sz="0" w:space="0" w:color="auto"/>
                              </w:divBdr>
                              <w:divsChild>
                                <w:div w:id="108816505">
                                  <w:marLeft w:val="0"/>
                                  <w:marRight w:val="0"/>
                                  <w:marTop w:val="0"/>
                                  <w:marBottom w:val="0"/>
                                  <w:divBdr>
                                    <w:top w:val="none" w:sz="0" w:space="0" w:color="auto"/>
                                    <w:left w:val="none" w:sz="0" w:space="0" w:color="auto"/>
                                    <w:bottom w:val="none" w:sz="0" w:space="0" w:color="auto"/>
                                    <w:right w:val="none" w:sz="0" w:space="0" w:color="auto"/>
                                  </w:divBdr>
                                  <w:divsChild>
                                    <w:div w:id="1720201573">
                                      <w:marLeft w:val="0"/>
                                      <w:marRight w:val="0"/>
                                      <w:marTop w:val="0"/>
                                      <w:marBottom w:val="0"/>
                                      <w:divBdr>
                                        <w:top w:val="none" w:sz="0" w:space="0" w:color="auto"/>
                                        <w:left w:val="none" w:sz="0" w:space="0" w:color="auto"/>
                                        <w:bottom w:val="none" w:sz="0" w:space="0" w:color="auto"/>
                                        <w:right w:val="none" w:sz="0" w:space="0" w:color="auto"/>
                                      </w:divBdr>
                                      <w:divsChild>
                                        <w:div w:id="829173969">
                                          <w:marLeft w:val="0"/>
                                          <w:marRight w:val="0"/>
                                          <w:marTop w:val="0"/>
                                          <w:marBottom w:val="0"/>
                                          <w:divBdr>
                                            <w:top w:val="none" w:sz="0" w:space="0" w:color="auto"/>
                                            <w:left w:val="none" w:sz="0" w:space="0" w:color="auto"/>
                                            <w:bottom w:val="none" w:sz="0" w:space="0" w:color="auto"/>
                                            <w:right w:val="none" w:sz="0" w:space="0" w:color="auto"/>
                                          </w:divBdr>
                                          <w:divsChild>
                                            <w:div w:id="829757640">
                                              <w:marLeft w:val="0"/>
                                              <w:marRight w:val="0"/>
                                              <w:marTop w:val="0"/>
                                              <w:marBottom w:val="0"/>
                                              <w:divBdr>
                                                <w:top w:val="none" w:sz="0" w:space="0" w:color="auto"/>
                                                <w:left w:val="none" w:sz="0" w:space="0" w:color="auto"/>
                                                <w:bottom w:val="none" w:sz="0" w:space="0" w:color="auto"/>
                                                <w:right w:val="none" w:sz="0" w:space="0" w:color="auto"/>
                                              </w:divBdr>
                                              <w:divsChild>
                                                <w:div w:id="993919087">
                                                  <w:marLeft w:val="0"/>
                                                  <w:marRight w:val="0"/>
                                                  <w:marTop w:val="0"/>
                                                  <w:marBottom w:val="0"/>
                                                  <w:divBdr>
                                                    <w:top w:val="none" w:sz="0" w:space="0" w:color="auto"/>
                                                    <w:left w:val="none" w:sz="0" w:space="0" w:color="auto"/>
                                                    <w:bottom w:val="none" w:sz="0" w:space="0" w:color="auto"/>
                                                    <w:right w:val="none" w:sz="0" w:space="0" w:color="auto"/>
                                                  </w:divBdr>
                                                  <w:divsChild>
                                                    <w:div w:id="444270194">
                                                      <w:marLeft w:val="0"/>
                                                      <w:marRight w:val="0"/>
                                                      <w:marTop w:val="0"/>
                                                      <w:marBottom w:val="0"/>
                                                      <w:divBdr>
                                                        <w:top w:val="none" w:sz="0" w:space="0" w:color="auto"/>
                                                        <w:left w:val="none" w:sz="0" w:space="0" w:color="auto"/>
                                                        <w:bottom w:val="none" w:sz="0" w:space="0" w:color="auto"/>
                                                        <w:right w:val="none" w:sz="0" w:space="0" w:color="auto"/>
                                                      </w:divBdr>
                                                      <w:divsChild>
                                                        <w:div w:id="18863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57572081">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570792">
      <w:bodyDiv w:val="1"/>
      <w:marLeft w:val="0"/>
      <w:marRight w:val="0"/>
      <w:marTop w:val="0"/>
      <w:marBottom w:val="0"/>
      <w:divBdr>
        <w:top w:val="none" w:sz="0" w:space="0" w:color="auto"/>
        <w:left w:val="none" w:sz="0" w:space="0" w:color="auto"/>
        <w:bottom w:val="none" w:sz="0" w:space="0" w:color="auto"/>
        <w:right w:val="none" w:sz="0" w:space="0" w:color="auto"/>
      </w:divBdr>
    </w:div>
    <w:div w:id="1314795384">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5891">
      <w:bodyDiv w:val="1"/>
      <w:marLeft w:val="0"/>
      <w:marRight w:val="0"/>
      <w:marTop w:val="0"/>
      <w:marBottom w:val="0"/>
      <w:divBdr>
        <w:top w:val="none" w:sz="0" w:space="0" w:color="auto"/>
        <w:left w:val="none" w:sz="0" w:space="0" w:color="auto"/>
        <w:bottom w:val="none" w:sz="0" w:space="0" w:color="auto"/>
        <w:right w:val="none" w:sz="0" w:space="0" w:color="auto"/>
      </w:divBdr>
    </w:div>
    <w:div w:id="1823695717">
      <w:bodyDiv w:val="1"/>
      <w:marLeft w:val="0"/>
      <w:marRight w:val="0"/>
      <w:marTop w:val="0"/>
      <w:marBottom w:val="0"/>
      <w:divBdr>
        <w:top w:val="none" w:sz="0" w:space="0" w:color="auto"/>
        <w:left w:val="none" w:sz="0" w:space="0" w:color="auto"/>
        <w:bottom w:val="none" w:sz="0" w:space="0" w:color="auto"/>
        <w:right w:val="none" w:sz="0" w:space="0" w:color="auto"/>
      </w:divBdr>
    </w:div>
    <w:div w:id="1898280288">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103340">
      <w:bodyDiv w:val="1"/>
      <w:marLeft w:val="0"/>
      <w:marRight w:val="0"/>
      <w:marTop w:val="0"/>
      <w:marBottom w:val="0"/>
      <w:divBdr>
        <w:top w:val="none" w:sz="0" w:space="0" w:color="auto"/>
        <w:left w:val="none" w:sz="0" w:space="0" w:color="auto"/>
        <w:bottom w:val="none" w:sz="0" w:space="0" w:color="auto"/>
        <w:right w:val="none" w:sz="0" w:space="0" w:color="auto"/>
      </w:divBdr>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customXml" Target="/customXML/item6.xml" Id="R361f730601d048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DD8C3B5D349746ACA8633941FF0DC2A2" version="1.0.0">
  <systemFields>
    <field name="Objective-Id">
      <value order="0">A4112906</value>
    </field>
    <field name="Objective-Title">
      <value order="0">2021-07-26 NVR Act - ES - FVRAR LI 2021 FINAL</value>
    </field>
    <field name="Objective-Description">
      <value order="0"/>
    </field>
    <field name="Objective-CreationStamp">
      <value order="0">2021-07-25T04:39:14Z</value>
    </field>
    <field name="Objective-IsApproved">
      <value order="0">false</value>
    </field>
    <field name="Objective-IsPublished">
      <value order="0">true</value>
    </field>
    <field name="Objective-DatePublished">
      <value order="0">2021-07-27T00:55:17Z</value>
    </field>
    <field name="Objective-ModificationStamp">
      <value order="0">2021-07-27T00:55:17Z</value>
    </field>
    <field name="Objective-Owner">
      <value order="0">PRITCHARD,John</value>
    </field>
    <field name="Objective-Path">
      <value order="0">Objective Global Folder:Legal Services:Reviewing:FVRAR - 2020/21 review:Correspondence - Internal</value>
    </field>
    <field name="Objective-Parent">
      <value order="0">Correspondence - Internal</value>
    </field>
    <field name="Objective-State">
      <value order="0">Published</value>
    </field>
    <field name="Objective-VersionId">
      <value order="0">vA4742495</value>
    </field>
    <field name="Objective-Version">
      <value order="0">3.0</value>
    </field>
    <field name="Objective-VersionNumber">
      <value order="0">3</value>
    </field>
    <field name="Objective-VersionComment">
      <value order="0"/>
    </field>
    <field name="Objective-FileNumber">
      <value order="0">qA270651</value>
    </field>
    <field name="Objective-Classification">
      <value order="0">Internal User Access</value>
    </field>
    <field name="Objective-Caveats">
      <value order="0"/>
    </field>
  </systemFields>
  <catalogues>
    <catalogue name="ASQA Document Type Catalogue" type="type" ori="id:cA12">
      <field name="Objective-ASQA Area Creating">
        <value order="0"/>
      </field>
      <field name="Objective-Description/Comment">
        <value order="0"/>
      </field>
      <field name="Objective-Network Date Modified">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68FC976122C347801CE4072903EC06" ma:contentTypeVersion="" ma:contentTypeDescription="PDMS Document Site Content Type" ma:contentTypeScope="" ma:versionID="de348d096c3d652f3a22c960d4926d04">
  <xsd:schema xmlns:xsd="http://www.w3.org/2001/XMLSchema" xmlns:xs="http://www.w3.org/2001/XMLSchema" xmlns:p="http://schemas.microsoft.com/office/2006/metadata/properties" xmlns:ns2="387533B1-FA5D-4064-98F1-7F80588BCCE4" targetNamespace="http://schemas.microsoft.com/office/2006/metadata/properties" ma:root="true" ma:fieldsID="fb2c222abe5bf5e6e231a4181e5ef8f0" ns2:_="">
    <xsd:import namespace="387533B1-FA5D-4064-98F1-7F80588BCCE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33B1-FA5D-4064-98F1-7F80588BCCE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87533B1-FA5D-4064-98F1-7F80588BCCE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F9D7-11BA-4992-8CE7-7BF13707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33B1-FA5D-4064-98F1-7F80588BC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C415E-745E-42B9-871E-8EE48F073C0D}">
  <ds:schemaRefs>
    <ds:schemaRef ds:uri="http://schemas.microsoft.com/sharepoint/v3/contenttype/forms"/>
  </ds:schemaRefs>
</ds:datastoreItem>
</file>

<file path=customXml/itemProps4.xml><?xml version="1.0" encoding="utf-8"?>
<ds:datastoreItem xmlns:ds="http://schemas.openxmlformats.org/officeDocument/2006/customXml" ds:itemID="{0B6F671A-FC98-4580-8131-04B8B01AC471}">
  <ds:schemaRefs>
    <ds:schemaRef ds:uri="http://schemas.microsoft.com/office/2006/metadata/properties"/>
    <ds:schemaRef ds:uri="http://schemas.microsoft.com/office/infopath/2007/PartnerControls"/>
    <ds:schemaRef ds:uri="387533B1-FA5D-4064-98F1-7F80588BCCE4"/>
  </ds:schemaRefs>
</ds:datastoreItem>
</file>

<file path=customXml/itemProps5.xml><?xml version="1.0" encoding="utf-8"?>
<ds:datastoreItem xmlns:ds="http://schemas.openxmlformats.org/officeDocument/2006/customXml" ds:itemID="{3B87F2E8-1B95-4F1B-A908-86A5AE88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2021-07-25T04:39:00Z</dcterms:created>
  <dcterms:modified xsi:type="dcterms:W3CDTF">2021-07-27T00:55:00Z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0x010100266966F133664895A6EE3632470D45F500F568FC976122C347801CE4072903EC06</vt:lpwstr>
  </property>
  <property fmtid="{D5CDD505-2E9C-101B-9397-08002B2CF9AE}" pid="3" name="Objective-Id">
    <vt:lpwstr>A4112906</vt:lpwstr>
  </property>
  <property fmtid="{D5CDD505-2E9C-101B-9397-08002B2CF9AE}" pid="4" name="Objective-Title">
    <vt:lpwstr>2021-07-26 NVR Act - ES - FVRAR LI 2021 FINAL</vt:lpwstr>
  </property>
  <property fmtid="{D5CDD505-2E9C-101B-9397-08002B2CF9AE}" pid="5" name="Objective-Description">
    <vt:lpwstr/>
  </property>
  <property fmtid="{D5CDD505-2E9C-101B-9397-08002B2CF9AE}" pid="6" name="Objective-CreationStamp">
    <vt:filetime>2021-07-25T04:39:14Z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2021-07-27T00:55:17Z</vt:filetime>
  </property>
  <property fmtid="{D5CDD505-2E9C-101B-9397-08002B2CF9AE}" pid="10" name="Objective-ModificationStamp">
    <vt:filetime>2021-07-27T00:55:17Z</vt:filetime>
  </property>
  <property fmtid="{D5CDD505-2E9C-101B-9397-08002B2CF9AE}" pid="11" name="Objective-Owner">
    <vt:lpwstr>PRITCHARD,John</vt:lpwstr>
  </property>
  <property fmtid="{D5CDD505-2E9C-101B-9397-08002B2CF9AE}" pid="12" name="Objective-Path">
    <vt:lpwstr>Objective Global Folder:Legal Services:Reviewing:FVRAR - 2020/21 review:Correspondence - Internal</vt:lpwstr>
  </property>
  <property fmtid="{D5CDD505-2E9C-101B-9397-08002B2CF9AE}" pid="13" name="Objective-Parent">
    <vt:lpwstr>Correspondence - Internal</vt:lpwstr>
  </property>
  <property fmtid="{D5CDD505-2E9C-101B-9397-08002B2CF9AE}" pid="14" name="Objective-State">
    <vt:lpwstr>Published</vt:lpwstr>
  </property>
  <property fmtid="{D5CDD505-2E9C-101B-9397-08002B2CF9AE}" pid="15" name="Objective-VersionId">
    <vt:lpwstr>vA4742495</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qA270651</vt:lpwstr>
  </property>
  <property fmtid="{D5CDD505-2E9C-101B-9397-08002B2CF9AE}" pid="20" name="Objective-Classification">
    <vt:lpwstr>Internal User Access</vt:lpwstr>
  </property>
  <property fmtid="{D5CDD505-2E9C-101B-9397-08002B2CF9AE}" pid="21" name="Objective-Caveats">
    <vt:lpwstr/>
  </property>
  <property fmtid="{D5CDD505-2E9C-101B-9397-08002B2CF9AE}" pid="22" name="Objective-ASQA Area Creating">
    <vt:lpwstr/>
  </property>
  <property fmtid="{D5CDD505-2E9C-101B-9397-08002B2CF9AE}" pid="23" name="Objective-Description/Comment">
    <vt:lpwstr/>
  </property>
  <property fmtid="{D5CDD505-2E9C-101B-9397-08002B2CF9AE}" pid="24" name="Objective-Network Date Modified">
    <vt:lpwstr/>
  </property>
</Properties>
</file>