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921E" w14:textId="5B8184A7" w:rsidR="002B1DB3" w:rsidRPr="005D1ABF" w:rsidRDefault="001813AC" w:rsidP="005D1A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D1ABF">
        <w:rPr>
          <w:rFonts w:ascii="Times New Roman" w:hAnsi="Times New Roman" w:cs="Times New Roman"/>
          <w:b/>
          <w:caps/>
          <w:sz w:val="24"/>
          <w:szCs w:val="24"/>
          <w:u w:val="single"/>
        </w:rPr>
        <w:t>Explanatory Statement</w:t>
      </w:r>
    </w:p>
    <w:p w14:paraId="42455ACC" w14:textId="77777777" w:rsidR="005D1ABF" w:rsidRPr="005D1ABF" w:rsidRDefault="005D1ABF" w:rsidP="005D1A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79B90C0A" w14:textId="574964BD" w:rsidR="002B1DB3" w:rsidRPr="00605359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5359">
        <w:rPr>
          <w:rFonts w:ascii="Times New Roman" w:hAnsi="Times New Roman" w:cs="Times New Roman"/>
          <w:sz w:val="24"/>
          <w:szCs w:val="24"/>
          <w:u w:val="single"/>
        </w:rPr>
        <w:t xml:space="preserve">Issued by Authority of the </w:t>
      </w:r>
      <w:r w:rsidR="00470AE8" w:rsidRPr="00605359">
        <w:rPr>
          <w:rFonts w:ascii="Times New Roman" w:hAnsi="Times New Roman" w:cs="Times New Roman"/>
          <w:sz w:val="24"/>
          <w:szCs w:val="24"/>
          <w:u w:val="single"/>
        </w:rPr>
        <w:t xml:space="preserve">Minister for </w:t>
      </w:r>
      <w:r w:rsidR="00AB5AE8" w:rsidRPr="00605359">
        <w:rPr>
          <w:rFonts w:ascii="Times New Roman" w:hAnsi="Times New Roman" w:cs="Times New Roman"/>
          <w:sz w:val="24"/>
          <w:szCs w:val="24"/>
          <w:u w:val="single"/>
        </w:rPr>
        <w:t xml:space="preserve">Resources and </w:t>
      </w:r>
      <w:r w:rsidR="00387B76" w:rsidRPr="00605359">
        <w:rPr>
          <w:rFonts w:ascii="Times New Roman" w:hAnsi="Times New Roman" w:cs="Times New Roman"/>
          <w:sz w:val="24"/>
          <w:szCs w:val="24"/>
          <w:u w:val="single"/>
        </w:rPr>
        <w:t xml:space="preserve">Water </w:t>
      </w:r>
    </w:p>
    <w:p w14:paraId="4B0FC3DC" w14:textId="77777777" w:rsidR="002B1DB3" w:rsidRPr="00605359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D99BE0" w14:textId="2D8C65B2" w:rsidR="002B1DB3" w:rsidRPr="004F006F" w:rsidRDefault="00AB5AE8" w:rsidP="005D1ABF">
      <w:pPr>
        <w:spacing w:after="0" w:line="240" w:lineRule="auto"/>
        <w:jc w:val="center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4F006F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Water </w:t>
      </w:r>
      <w:r w:rsidR="002B1DB3" w:rsidRPr="004F006F">
        <w:rPr>
          <w:rFonts w:ascii="Times New Roman" w:hAnsi="Times New Roman" w:cs="Times New Roman"/>
          <w:i/>
          <w:snapToGrid w:val="0"/>
          <w:sz w:val="24"/>
          <w:szCs w:val="24"/>
        </w:rPr>
        <w:t>Act </w:t>
      </w:r>
      <w:r w:rsidRPr="004F006F">
        <w:rPr>
          <w:rFonts w:ascii="Times New Roman" w:hAnsi="Times New Roman" w:cs="Times New Roman"/>
          <w:i/>
          <w:snapToGrid w:val="0"/>
          <w:sz w:val="24"/>
          <w:szCs w:val="24"/>
        </w:rPr>
        <w:t>2007</w:t>
      </w:r>
      <w:r w:rsidR="00416E5A" w:rsidRPr="004F006F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</w:p>
    <w:p w14:paraId="553DA8C1" w14:textId="77777777" w:rsidR="002B1DB3" w:rsidRPr="004F006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8FC88" w14:textId="583E6FBC" w:rsidR="001C09FB" w:rsidRPr="00605359" w:rsidRDefault="00B80236" w:rsidP="005D1A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Hlk77950964"/>
      <w:bookmarkStart w:id="1" w:name="_Hlk78366060"/>
      <w:r w:rsidRPr="00605359">
        <w:rPr>
          <w:rFonts w:ascii="Times New Roman" w:hAnsi="Times New Roman" w:cs="Times New Roman"/>
          <w:i/>
          <w:sz w:val="24"/>
          <w:szCs w:val="24"/>
        </w:rPr>
        <w:t xml:space="preserve">Water (Remuneration </w:t>
      </w:r>
      <w:r w:rsidR="0058239B">
        <w:rPr>
          <w:rFonts w:ascii="Times New Roman" w:hAnsi="Times New Roman" w:cs="Times New Roman"/>
          <w:i/>
          <w:sz w:val="24"/>
          <w:szCs w:val="24"/>
        </w:rPr>
        <w:t xml:space="preserve">and Allowances </w:t>
      </w:r>
      <w:r w:rsidR="0099230A" w:rsidRPr="00605359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Pr="00605359">
        <w:rPr>
          <w:rFonts w:ascii="Times New Roman" w:hAnsi="Times New Roman" w:cs="Times New Roman"/>
          <w:i/>
          <w:sz w:val="24"/>
          <w:szCs w:val="24"/>
        </w:rPr>
        <w:t>the Inspector-General of Water Compliance) Determination 2021</w:t>
      </w:r>
      <w:bookmarkEnd w:id="0"/>
    </w:p>
    <w:bookmarkEnd w:id="1"/>
    <w:p w14:paraId="1C5CCBC7" w14:textId="77777777" w:rsidR="00B80236" w:rsidRPr="005D1ABF" w:rsidRDefault="00B80236" w:rsidP="005D1A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CE39A6" w14:textId="4FF9E510" w:rsidR="00191F99" w:rsidRDefault="00191F99" w:rsidP="00191F99">
      <w:pPr>
        <w:tabs>
          <w:tab w:val="left" w:pos="1701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Legislative Authority </w:t>
      </w:r>
    </w:p>
    <w:p w14:paraId="40D56A22" w14:textId="77777777" w:rsidR="00191F99" w:rsidRPr="00605359" w:rsidRDefault="00191F99" w:rsidP="00605359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0932494C" w14:textId="069550AD" w:rsidR="00E379CE" w:rsidRDefault="00E379CE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E379CE">
        <w:rPr>
          <w:rFonts w:ascii="Times New Roman" w:hAnsi="Times New Roman" w:cs="Times New Roman"/>
          <w:sz w:val="24"/>
        </w:rPr>
        <w:t xml:space="preserve">The </w:t>
      </w:r>
      <w:r w:rsidRPr="00605359">
        <w:rPr>
          <w:rFonts w:ascii="Times New Roman" w:hAnsi="Times New Roman" w:cs="Times New Roman"/>
          <w:i/>
          <w:iCs/>
          <w:sz w:val="24"/>
        </w:rPr>
        <w:t>Water Act 2007</w:t>
      </w:r>
      <w:r w:rsidRPr="00E379CE">
        <w:rPr>
          <w:rFonts w:ascii="Times New Roman" w:hAnsi="Times New Roman" w:cs="Times New Roman"/>
          <w:sz w:val="24"/>
        </w:rPr>
        <w:t xml:space="preserve"> (Water Act) makes provision for the management of the water resources of the Murray-Darling Basin, and for other matters of national interest in relation to water and water information, and for related purposes.</w:t>
      </w:r>
    </w:p>
    <w:p w14:paraId="59F4B664" w14:textId="1C05FE6F" w:rsidR="00583E6E" w:rsidRDefault="00583E6E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CFEB594" w14:textId="33FA0D87" w:rsidR="00583E6E" w:rsidRPr="00BC1FEB" w:rsidRDefault="00583E6E" w:rsidP="00605359">
      <w:pPr>
        <w:spacing w:after="0" w:line="240" w:lineRule="auto"/>
        <w:ind w:right="91"/>
        <w:rPr>
          <w:rFonts w:ascii="Times New Roman" w:hAnsi="Times New Roman" w:cs="Times New Roman"/>
          <w:iCs/>
          <w:sz w:val="24"/>
        </w:rPr>
      </w:pPr>
      <w:bookmarkStart w:id="2" w:name="_Hlk78368058"/>
      <w:r>
        <w:rPr>
          <w:rFonts w:ascii="Times New Roman" w:hAnsi="Times New Roman" w:cs="Times New Roman"/>
          <w:sz w:val="24"/>
        </w:rPr>
        <w:t xml:space="preserve">The </w:t>
      </w:r>
      <w:r w:rsidRPr="004F006F">
        <w:rPr>
          <w:rFonts w:ascii="Times New Roman" w:hAnsi="Times New Roman" w:cs="Times New Roman"/>
          <w:i/>
          <w:snapToGrid w:val="0"/>
          <w:sz w:val="24"/>
          <w:szCs w:val="24"/>
        </w:rPr>
        <w:t>Water Legislation Amendment (Inspector-General of Water Compliance and Other Measures) Act 2021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(Amendment Act),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once commenced, will amend the Water Act </w:t>
      </w:r>
      <w:r>
        <w:rPr>
          <w:rFonts w:ascii="Times New Roman" w:hAnsi="Times New Roman" w:cs="Times New Roman"/>
          <w:sz w:val="24"/>
          <w:szCs w:val="24"/>
        </w:rPr>
        <w:t xml:space="preserve">by establishing the role of an Inspector-General of Water Compliance (Inspector-General). </w:t>
      </w:r>
      <w:r w:rsidRPr="00044130">
        <w:rPr>
          <w:rFonts w:ascii="Times New Roman" w:eastAsia="Times New Roman" w:hAnsi="Times New Roman" w:cs="Times New Roman"/>
          <w:sz w:val="24"/>
          <w:lang w:eastAsia="en-AU"/>
        </w:rPr>
        <w:t>The role of the Inspector-General is to monitor, and provide independent oversight of, water compliance</w:t>
      </w:r>
      <w:r>
        <w:rPr>
          <w:rFonts w:ascii="Times New Roman" w:eastAsia="Times New Roman" w:hAnsi="Times New Roman" w:cs="Times New Roman"/>
          <w:sz w:val="24"/>
          <w:lang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across the Basin Plan. The Amendment Act will commence on 5 August 2021. </w:t>
      </w:r>
    </w:p>
    <w:p w14:paraId="55500D07" w14:textId="77777777" w:rsidR="00E379CE" w:rsidRDefault="00E379CE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4F4C732" w14:textId="7316ED0D" w:rsidR="00A35BD6" w:rsidRDefault="00583E6E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Amendment Act </w:t>
      </w:r>
      <w:r w:rsidR="00A35BD6">
        <w:rPr>
          <w:rFonts w:ascii="Times New Roman" w:hAnsi="Times New Roman" w:cs="Times New Roman"/>
          <w:sz w:val="24"/>
        </w:rPr>
        <w:t>inserts a new s</w:t>
      </w:r>
      <w:r>
        <w:rPr>
          <w:rFonts w:ascii="Times New Roman" w:hAnsi="Times New Roman" w:cs="Times New Roman"/>
          <w:sz w:val="24"/>
        </w:rPr>
        <w:t xml:space="preserve">ection 215L </w:t>
      </w:r>
      <w:r w:rsidR="00A35BD6">
        <w:rPr>
          <w:rFonts w:ascii="Times New Roman" w:hAnsi="Times New Roman" w:cs="Times New Roman"/>
          <w:sz w:val="24"/>
        </w:rPr>
        <w:t xml:space="preserve">that deals with the remuneration and allowances </w:t>
      </w:r>
      <w:r w:rsidR="00E9099E">
        <w:rPr>
          <w:rFonts w:ascii="Times New Roman" w:hAnsi="Times New Roman" w:cs="Times New Roman"/>
          <w:sz w:val="24"/>
        </w:rPr>
        <w:t>to be paid to</w:t>
      </w:r>
      <w:r w:rsidR="00A35BD6">
        <w:rPr>
          <w:rFonts w:ascii="Times New Roman" w:hAnsi="Times New Roman" w:cs="Times New Roman"/>
          <w:sz w:val="24"/>
        </w:rPr>
        <w:t xml:space="preserve"> the Inspector-General. </w:t>
      </w:r>
    </w:p>
    <w:p w14:paraId="6C681A57" w14:textId="77777777" w:rsidR="00A35BD6" w:rsidRDefault="00A35BD6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DE1E856" w14:textId="026592D4" w:rsidR="00A35BD6" w:rsidRDefault="00A35BD6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Subsection 215L(1) provides that </w:t>
      </w:r>
      <w:r>
        <w:rPr>
          <w:rFonts w:ascii="Times New Roman" w:hAnsi="Times New Roman"/>
          <w:sz w:val="24"/>
          <w:szCs w:val="24"/>
        </w:rPr>
        <w:t>the Inspector-General is to be paid the remuneration that</w:t>
      </w:r>
      <w:r w:rsidRPr="004C6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4C6655">
        <w:rPr>
          <w:rFonts w:ascii="Times New Roman" w:hAnsi="Times New Roman"/>
          <w:sz w:val="24"/>
          <w:szCs w:val="24"/>
        </w:rPr>
        <w:t>determined by the Remuneration Tribunal</w:t>
      </w:r>
      <w:r w:rsidR="00840E07">
        <w:rPr>
          <w:rFonts w:ascii="Times New Roman" w:hAnsi="Times New Roman"/>
          <w:sz w:val="24"/>
          <w:szCs w:val="24"/>
        </w:rPr>
        <w:t xml:space="preserve"> (Tribunal)</w:t>
      </w:r>
      <w:r w:rsidRPr="004C66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If no determination of that remuneration by the Tribunal is in operation, the Inspector-General is to be paid the remuneration that is determined under subsection 215L(5).</w:t>
      </w:r>
      <w:r w:rsidR="00E9099E" w:rsidRPr="00E9099E">
        <w:rPr>
          <w:rFonts w:ascii="Times New Roman" w:hAnsi="Times New Roman" w:cs="Times New Roman"/>
          <w:sz w:val="24"/>
        </w:rPr>
        <w:t xml:space="preserve"> </w:t>
      </w:r>
      <w:r w:rsidR="00E9099E">
        <w:rPr>
          <w:rFonts w:ascii="Times New Roman" w:hAnsi="Times New Roman" w:cs="Times New Roman"/>
          <w:sz w:val="24"/>
        </w:rPr>
        <w:t>S</w:t>
      </w:r>
      <w:r w:rsidR="00E9099E" w:rsidRPr="00B80236">
        <w:rPr>
          <w:rFonts w:ascii="Times New Roman" w:hAnsi="Times New Roman" w:cs="Times New Roman"/>
          <w:sz w:val="24"/>
        </w:rPr>
        <w:t>ubsection 215L(5)</w:t>
      </w:r>
      <w:r w:rsidR="000C3F25">
        <w:rPr>
          <w:rFonts w:ascii="Times New Roman" w:hAnsi="Times New Roman" w:cs="Times New Roman"/>
          <w:sz w:val="24"/>
        </w:rPr>
        <w:t>(a)</w:t>
      </w:r>
      <w:r w:rsidR="00E9099E">
        <w:rPr>
          <w:rFonts w:ascii="Times New Roman" w:hAnsi="Times New Roman" w:cs="Times New Roman"/>
          <w:sz w:val="24"/>
        </w:rPr>
        <w:t xml:space="preserve"> provides that </w:t>
      </w:r>
      <w:r w:rsidR="00E9099E" w:rsidRPr="00B80236">
        <w:rPr>
          <w:rFonts w:ascii="Times New Roman" w:hAnsi="Times New Roman" w:cs="Times New Roman"/>
          <w:sz w:val="24"/>
        </w:rPr>
        <w:t xml:space="preserve">the </w:t>
      </w:r>
      <w:r w:rsidR="00E9099E">
        <w:rPr>
          <w:rFonts w:ascii="Times New Roman" w:hAnsi="Times New Roman" w:cs="Times New Roman"/>
          <w:sz w:val="24"/>
        </w:rPr>
        <w:t>Minister may, by legislative instrument, determine remuneration for the purposes of subsection 215L(1).</w:t>
      </w:r>
    </w:p>
    <w:p w14:paraId="0A82FB85" w14:textId="5DF7DC7B" w:rsidR="00A35BD6" w:rsidRDefault="00A35BD6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DF97D" w14:textId="7C39D1B7" w:rsidR="001C09FB" w:rsidRDefault="00A35BD6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Subsection 215L(2) provides </w:t>
      </w:r>
      <w:r>
        <w:rPr>
          <w:rFonts w:ascii="Times New Roman" w:hAnsi="Times New Roman"/>
          <w:sz w:val="24"/>
          <w:szCs w:val="24"/>
        </w:rPr>
        <w:t>that the Inspector-General is to be paid the allowances that are determined under subsection 215L(5).</w:t>
      </w:r>
      <w:r w:rsidR="000C3F25">
        <w:rPr>
          <w:rFonts w:ascii="Times New Roman" w:hAnsi="Times New Roman" w:cs="Times New Roman"/>
          <w:sz w:val="24"/>
        </w:rPr>
        <w:t xml:space="preserve"> </w:t>
      </w:r>
      <w:r w:rsidR="00B80236">
        <w:rPr>
          <w:rFonts w:ascii="Times New Roman" w:hAnsi="Times New Roman" w:cs="Times New Roman"/>
          <w:sz w:val="24"/>
        </w:rPr>
        <w:t>S</w:t>
      </w:r>
      <w:r w:rsidR="00B80236" w:rsidRPr="00B80236">
        <w:rPr>
          <w:rFonts w:ascii="Times New Roman" w:hAnsi="Times New Roman" w:cs="Times New Roman"/>
          <w:sz w:val="24"/>
        </w:rPr>
        <w:t>ubsection 215L(5)</w:t>
      </w:r>
      <w:r w:rsidR="000C3F25"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 xml:space="preserve"> </w:t>
      </w:r>
      <w:r w:rsidR="00B80236">
        <w:rPr>
          <w:rFonts w:ascii="Times New Roman" w:hAnsi="Times New Roman" w:cs="Times New Roman"/>
          <w:sz w:val="24"/>
        </w:rPr>
        <w:t xml:space="preserve">provides that </w:t>
      </w:r>
      <w:r w:rsidR="00B80236" w:rsidRPr="00B80236">
        <w:rPr>
          <w:rFonts w:ascii="Times New Roman" w:hAnsi="Times New Roman" w:cs="Times New Roman"/>
          <w:sz w:val="24"/>
        </w:rPr>
        <w:t xml:space="preserve">the </w:t>
      </w:r>
      <w:r w:rsidR="00B80236">
        <w:rPr>
          <w:rFonts w:ascii="Times New Roman" w:hAnsi="Times New Roman" w:cs="Times New Roman"/>
          <w:sz w:val="24"/>
        </w:rPr>
        <w:t xml:space="preserve">Minister may, by legislative instrument, determine </w:t>
      </w:r>
      <w:r>
        <w:rPr>
          <w:rFonts w:ascii="Times New Roman" w:hAnsi="Times New Roman" w:cs="Times New Roman"/>
          <w:sz w:val="24"/>
        </w:rPr>
        <w:t xml:space="preserve">allowances for </w:t>
      </w:r>
      <w:r w:rsidR="00B80236">
        <w:rPr>
          <w:rFonts w:ascii="Times New Roman" w:hAnsi="Times New Roman" w:cs="Times New Roman"/>
          <w:sz w:val="24"/>
        </w:rPr>
        <w:t>the purposes of subsection 215L(2)</w:t>
      </w:r>
      <w:r>
        <w:rPr>
          <w:rFonts w:ascii="Times New Roman" w:hAnsi="Times New Roman" w:cs="Times New Roman"/>
          <w:sz w:val="24"/>
        </w:rPr>
        <w:t>.</w:t>
      </w:r>
    </w:p>
    <w:bookmarkEnd w:id="2"/>
    <w:p w14:paraId="6E2DC801" w14:textId="56557397" w:rsidR="00B80236" w:rsidRDefault="00B80236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7404E82" w14:textId="3AB95CA0" w:rsidR="00191F99" w:rsidRDefault="00191F99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Purpose </w:t>
      </w:r>
    </w:p>
    <w:p w14:paraId="74232CB4" w14:textId="77777777" w:rsidR="00191F99" w:rsidRPr="00605359" w:rsidRDefault="00191F99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44D9155E" w14:textId="16F9D514" w:rsidR="000D6DB1" w:rsidRDefault="003D1A84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bookmarkStart w:id="3" w:name="_Hlk78369047"/>
      <w:r>
        <w:rPr>
          <w:rFonts w:ascii="Times New Roman" w:hAnsi="Times New Roman" w:cs="Times New Roman"/>
          <w:sz w:val="24"/>
        </w:rPr>
        <w:t>T</w:t>
      </w:r>
      <w:r w:rsidR="001C09FB" w:rsidRPr="009E6C8D">
        <w:rPr>
          <w:rFonts w:ascii="Times New Roman" w:hAnsi="Times New Roman" w:cs="Times New Roman"/>
          <w:sz w:val="24"/>
        </w:rPr>
        <w:t>he purpose of the</w:t>
      </w:r>
      <w:r w:rsidR="006A253A">
        <w:rPr>
          <w:rFonts w:ascii="Times New Roman" w:hAnsi="Times New Roman" w:cs="Times New Roman"/>
          <w:sz w:val="24"/>
        </w:rPr>
        <w:t xml:space="preserve"> </w:t>
      </w:r>
      <w:r w:rsidR="00D05F1D" w:rsidRPr="00D05F1D">
        <w:rPr>
          <w:rFonts w:ascii="Times New Roman" w:hAnsi="Times New Roman" w:cs="Times New Roman"/>
          <w:i/>
          <w:iCs/>
          <w:sz w:val="24"/>
        </w:rPr>
        <w:t>Water (Remuneration and Allowances of the Inspector General of Water Compliance) Determination 2021</w:t>
      </w:r>
      <w:r w:rsidR="00D05F1D">
        <w:rPr>
          <w:rFonts w:ascii="Times New Roman" w:hAnsi="Times New Roman" w:cs="Times New Roman"/>
          <w:i/>
          <w:iCs/>
          <w:sz w:val="24"/>
        </w:rPr>
        <w:t xml:space="preserve"> </w:t>
      </w:r>
      <w:r w:rsidR="00445DCC">
        <w:rPr>
          <w:rFonts w:ascii="Times New Roman" w:hAnsi="Times New Roman" w:cs="Times New Roman"/>
          <w:sz w:val="24"/>
        </w:rPr>
        <w:t>(Determination) i</w:t>
      </w:r>
      <w:r w:rsidR="006A253A">
        <w:rPr>
          <w:rFonts w:ascii="Times New Roman" w:hAnsi="Times New Roman" w:cs="Times New Roman"/>
          <w:sz w:val="24"/>
        </w:rPr>
        <w:t>s</w:t>
      </w:r>
      <w:r w:rsidR="00B80236">
        <w:rPr>
          <w:rFonts w:ascii="Times New Roman" w:hAnsi="Times New Roman" w:cs="Times New Roman"/>
          <w:sz w:val="24"/>
        </w:rPr>
        <w:t xml:space="preserve"> </w:t>
      </w:r>
      <w:r w:rsidR="00B80236" w:rsidDel="00D05F1D">
        <w:rPr>
          <w:rFonts w:ascii="Times New Roman" w:hAnsi="Times New Roman" w:cs="Times New Roman"/>
          <w:sz w:val="24"/>
        </w:rPr>
        <w:t xml:space="preserve">for the Minister </w:t>
      </w:r>
      <w:r w:rsidR="00B80236">
        <w:rPr>
          <w:rFonts w:ascii="Times New Roman" w:hAnsi="Times New Roman" w:cs="Times New Roman"/>
          <w:sz w:val="24"/>
        </w:rPr>
        <w:t>to determine the remuneration</w:t>
      </w:r>
      <w:r w:rsidR="00A35BD6">
        <w:rPr>
          <w:rFonts w:ascii="Times New Roman" w:hAnsi="Times New Roman" w:cs="Times New Roman"/>
          <w:sz w:val="24"/>
        </w:rPr>
        <w:t xml:space="preserve"> </w:t>
      </w:r>
      <w:r w:rsidR="004D18C2">
        <w:rPr>
          <w:rFonts w:ascii="Times New Roman" w:hAnsi="Times New Roman" w:cs="Times New Roman"/>
          <w:sz w:val="24"/>
        </w:rPr>
        <w:t xml:space="preserve">to be paid to </w:t>
      </w:r>
      <w:r w:rsidR="00B80236">
        <w:rPr>
          <w:rFonts w:ascii="Times New Roman" w:hAnsi="Times New Roman" w:cs="Times New Roman"/>
          <w:sz w:val="24"/>
        </w:rPr>
        <w:t>the Inspector-General</w:t>
      </w:r>
      <w:r w:rsidR="00474BF3">
        <w:rPr>
          <w:rFonts w:ascii="Times New Roman" w:hAnsi="Times New Roman" w:cs="Times New Roman"/>
          <w:sz w:val="24"/>
        </w:rPr>
        <w:t xml:space="preserve"> for the purposes of subsection 215L(1) and</w:t>
      </w:r>
      <w:r w:rsidR="008D55E3">
        <w:rPr>
          <w:rFonts w:ascii="Times New Roman" w:hAnsi="Times New Roman" w:cs="Times New Roman"/>
          <w:sz w:val="24"/>
        </w:rPr>
        <w:t xml:space="preserve"> the allowances to be paid to the Inspector-General </w:t>
      </w:r>
      <w:r w:rsidR="009F0197">
        <w:rPr>
          <w:rFonts w:ascii="Times New Roman" w:hAnsi="Times New Roman" w:cs="Times New Roman"/>
          <w:sz w:val="24"/>
        </w:rPr>
        <w:t>for the purposes of subsection</w:t>
      </w:r>
      <w:r w:rsidR="00474BF3">
        <w:rPr>
          <w:rFonts w:ascii="Times New Roman" w:hAnsi="Times New Roman" w:cs="Times New Roman"/>
          <w:sz w:val="24"/>
        </w:rPr>
        <w:t xml:space="preserve"> 215L(2)</w:t>
      </w:r>
      <w:r w:rsidR="00445DCC">
        <w:rPr>
          <w:rFonts w:ascii="Times New Roman" w:hAnsi="Times New Roman" w:cs="Times New Roman"/>
          <w:sz w:val="24"/>
        </w:rPr>
        <w:t xml:space="preserve">. </w:t>
      </w:r>
    </w:p>
    <w:bookmarkEnd w:id="3"/>
    <w:p w14:paraId="68C97A31" w14:textId="0476F9A5" w:rsidR="00B80236" w:rsidRDefault="00B80236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353D2FB" w14:textId="6E8C7F18" w:rsidR="00191F99" w:rsidRDefault="00191F99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Background</w:t>
      </w:r>
    </w:p>
    <w:p w14:paraId="1EF4BCE6" w14:textId="77777777" w:rsidR="00191F99" w:rsidRPr="00605359" w:rsidRDefault="00191F99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46F039E5" w14:textId="18037E40" w:rsidR="00565E6B" w:rsidRDefault="00BC2224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24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4" w:name="_Hlk77943967"/>
      <w:r w:rsidRPr="00BC2224">
        <w:rPr>
          <w:rFonts w:ascii="Times New Roman" w:hAnsi="Times New Roman" w:cs="Times New Roman"/>
          <w:sz w:val="24"/>
          <w:szCs w:val="24"/>
        </w:rPr>
        <w:t xml:space="preserve">Amendment Act </w:t>
      </w:r>
      <w:r w:rsidR="00A35BD6">
        <w:rPr>
          <w:rFonts w:ascii="Times New Roman" w:hAnsi="Times New Roman" w:cs="Times New Roman"/>
          <w:sz w:val="24"/>
          <w:szCs w:val="24"/>
        </w:rPr>
        <w:t>received Royal Assent</w:t>
      </w:r>
      <w:r w:rsidRPr="00BC2224">
        <w:rPr>
          <w:rFonts w:ascii="Times New Roman" w:hAnsi="Times New Roman" w:cs="Times New Roman"/>
          <w:sz w:val="24"/>
          <w:szCs w:val="24"/>
        </w:rPr>
        <w:t xml:space="preserve"> on 30 June 2021</w:t>
      </w:r>
      <w:r w:rsidR="00A35BD6">
        <w:rPr>
          <w:rFonts w:ascii="Times New Roman" w:hAnsi="Times New Roman" w:cs="Times New Roman"/>
          <w:sz w:val="24"/>
          <w:szCs w:val="24"/>
        </w:rPr>
        <w:t xml:space="preserve">. The </w:t>
      </w:r>
      <w:r w:rsidR="00A35BD6" w:rsidRPr="00605359">
        <w:rPr>
          <w:rFonts w:ascii="Times New Roman" w:hAnsi="Times New Roman" w:cs="Times New Roman"/>
          <w:i/>
          <w:iCs/>
          <w:sz w:val="24"/>
          <w:szCs w:val="24"/>
        </w:rPr>
        <w:t xml:space="preserve">Water Legislation Amendment (Inspector‑General of Water Compliance and Other Measures) Commencement Proclamation 2021 </w:t>
      </w:r>
      <w:r w:rsidR="00A35BD6">
        <w:rPr>
          <w:rFonts w:ascii="Times New Roman" w:hAnsi="Times New Roman" w:cs="Times New Roman"/>
          <w:sz w:val="24"/>
          <w:szCs w:val="24"/>
        </w:rPr>
        <w:t xml:space="preserve">fixes 5 August 2021 as the day on which the whole of the </w:t>
      </w:r>
      <w:r w:rsidR="00565E6B">
        <w:rPr>
          <w:rFonts w:ascii="Times New Roman" w:hAnsi="Times New Roman" w:cs="Times New Roman"/>
          <w:sz w:val="24"/>
          <w:szCs w:val="24"/>
        </w:rPr>
        <w:t xml:space="preserve">Amendment Act commences. </w:t>
      </w:r>
    </w:p>
    <w:p w14:paraId="2A74179D" w14:textId="218FF320" w:rsidR="00565E6B" w:rsidRDefault="00565E6B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C9674" w14:textId="57370A50" w:rsidR="00A94CBA" w:rsidRDefault="00BC2224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bookmarkStart w:id="5" w:name="_Hlk77944161"/>
      <w:bookmarkEnd w:id="4"/>
      <w:r w:rsidRPr="00BC2224">
        <w:rPr>
          <w:rFonts w:ascii="Times New Roman" w:hAnsi="Times New Roman" w:cs="Times New Roman"/>
          <w:sz w:val="24"/>
          <w:szCs w:val="24"/>
        </w:rPr>
        <w:lastRenderedPageBreak/>
        <w:t>The Amendment Act inserts a new section 215B into the Water Act, which provides that there is to be an Inspector-General</w:t>
      </w:r>
      <w:r w:rsidR="00565E6B">
        <w:rPr>
          <w:rFonts w:ascii="Times New Roman" w:hAnsi="Times New Roman" w:cs="Times New Roman"/>
          <w:sz w:val="24"/>
          <w:szCs w:val="24"/>
        </w:rPr>
        <w:t xml:space="preserve">. </w:t>
      </w:r>
      <w:r w:rsidR="003924B3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4392CC13" w14:textId="77777777" w:rsidR="00565E6B" w:rsidRDefault="00565E6B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C40C5B0" w14:textId="4BF681B7" w:rsidR="00191F99" w:rsidRDefault="00191F99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Impact and Effect</w:t>
      </w:r>
    </w:p>
    <w:p w14:paraId="4ADB39E0" w14:textId="77777777" w:rsidR="00191F99" w:rsidRPr="00605359" w:rsidRDefault="00191F99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25C6A2BD" w14:textId="305BCCAF" w:rsidR="00771F54" w:rsidRDefault="0047290F" w:rsidP="001D552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bookmarkStart w:id="6" w:name="_Hlk78369217"/>
      <w:r>
        <w:rPr>
          <w:rFonts w:ascii="Times New Roman" w:hAnsi="Times New Roman" w:cs="Times New Roman"/>
          <w:sz w:val="24"/>
        </w:rPr>
        <w:t xml:space="preserve">It is intended that an </w:t>
      </w:r>
      <w:r w:rsidR="001D5528">
        <w:rPr>
          <w:rFonts w:ascii="Times New Roman" w:hAnsi="Times New Roman" w:cs="Times New Roman"/>
          <w:sz w:val="24"/>
        </w:rPr>
        <w:t xml:space="preserve">Inspector-General will be appointed </w:t>
      </w:r>
      <w:r>
        <w:rPr>
          <w:rFonts w:ascii="Times New Roman" w:hAnsi="Times New Roman" w:cs="Times New Roman"/>
          <w:sz w:val="24"/>
        </w:rPr>
        <w:t xml:space="preserve">with </w:t>
      </w:r>
      <w:r w:rsidRPr="0047290F">
        <w:rPr>
          <w:rFonts w:ascii="Times New Roman" w:hAnsi="Times New Roman" w:cs="Times New Roman"/>
          <w:sz w:val="24"/>
        </w:rPr>
        <w:t xml:space="preserve">effect on </w:t>
      </w:r>
      <w:r w:rsidR="001D5528" w:rsidRPr="0047290F">
        <w:rPr>
          <w:rFonts w:ascii="Times New Roman" w:hAnsi="Times New Roman" w:cs="Times New Roman"/>
          <w:sz w:val="24"/>
        </w:rPr>
        <w:t>5 August 2021.</w:t>
      </w:r>
      <w:r w:rsidR="00771F54" w:rsidRPr="00771F54">
        <w:rPr>
          <w:rFonts w:ascii="Times New Roman" w:hAnsi="Times New Roman" w:cs="Times New Roman"/>
          <w:sz w:val="24"/>
        </w:rPr>
        <w:t xml:space="preserve"> </w:t>
      </w:r>
      <w:r w:rsidR="00771F54">
        <w:rPr>
          <w:rFonts w:ascii="Times New Roman" w:hAnsi="Times New Roman" w:cs="Times New Roman"/>
          <w:sz w:val="24"/>
        </w:rPr>
        <w:t xml:space="preserve">No determination by the Remuneration Tribunal will be in operation by 5 August 2021. </w:t>
      </w:r>
      <w:r w:rsidR="001B66BC">
        <w:rPr>
          <w:rFonts w:ascii="Times New Roman" w:hAnsi="Times New Roman" w:cs="Times New Roman"/>
          <w:sz w:val="24"/>
        </w:rPr>
        <w:t xml:space="preserve">The </w:t>
      </w:r>
      <w:r w:rsidR="00503069">
        <w:rPr>
          <w:rFonts w:ascii="Times New Roman" w:hAnsi="Times New Roman" w:cs="Times New Roman"/>
          <w:sz w:val="24"/>
        </w:rPr>
        <w:t>D</w:t>
      </w:r>
      <w:r w:rsidR="001B66BC">
        <w:rPr>
          <w:rFonts w:ascii="Times New Roman" w:hAnsi="Times New Roman" w:cs="Times New Roman"/>
          <w:sz w:val="24"/>
        </w:rPr>
        <w:t>etermination will enable the Inspector-General to receive the remuneration and allowances determined by the Minister</w:t>
      </w:r>
      <w:r w:rsidR="00503069">
        <w:rPr>
          <w:rFonts w:ascii="Times New Roman" w:hAnsi="Times New Roman" w:cs="Times New Roman"/>
          <w:sz w:val="24"/>
        </w:rPr>
        <w:t xml:space="preserve">. </w:t>
      </w:r>
    </w:p>
    <w:bookmarkEnd w:id="6"/>
    <w:p w14:paraId="38DDBBBC" w14:textId="77777777" w:rsidR="00191F99" w:rsidRDefault="00191F99" w:rsidP="001D552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18FCB84E" w14:textId="0D52B45B" w:rsidR="0033007C" w:rsidRDefault="00191F99" w:rsidP="001D552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Consultation </w:t>
      </w:r>
    </w:p>
    <w:p w14:paraId="5C1ADB0F" w14:textId="77777777" w:rsidR="00191F99" w:rsidRPr="00605359" w:rsidRDefault="00191F99" w:rsidP="001D5528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24273396" w14:textId="6659B7F3" w:rsidR="00935D7F" w:rsidRPr="00033176" w:rsidRDefault="00605359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176">
        <w:rPr>
          <w:rFonts w:ascii="Times New Roman" w:hAnsi="Times New Roman" w:cs="Times New Roman"/>
          <w:sz w:val="24"/>
          <w:szCs w:val="24"/>
        </w:rPr>
        <w:t xml:space="preserve">The Office of Best Practice Regulation (OBPR) advised the proposal would appear to be </w:t>
      </w:r>
      <w:r w:rsidRPr="00033176">
        <w:rPr>
          <w:rFonts w:ascii="Times New Roman" w:hAnsi="Times New Roman" w:cs="Times New Roman"/>
          <w:sz w:val="24"/>
          <w:szCs w:val="24"/>
        </w:rPr>
        <w:br/>
        <w:t>non-regulatory and a Regulation Impact Statement is not required (OBPR ID 44286). The department consulted with the Australian Public Service Commission</w:t>
      </w:r>
      <w:r w:rsidR="00A03B43">
        <w:rPr>
          <w:rFonts w:ascii="Times New Roman" w:hAnsi="Times New Roman" w:cs="Times New Roman"/>
          <w:sz w:val="24"/>
          <w:szCs w:val="24"/>
        </w:rPr>
        <w:t xml:space="preserve"> in the drafting of the Determination</w:t>
      </w:r>
      <w:r w:rsidR="00033176" w:rsidRPr="00033176">
        <w:rPr>
          <w:rFonts w:ascii="Times New Roman" w:hAnsi="Times New Roman" w:cs="Times New Roman"/>
          <w:sz w:val="24"/>
          <w:szCs w:val="24"/>
        </w:rPr>
        <w:t>.</w:t>
      </w:r>
      <w:r w:rsidR="005064A5">
        <w:rPr>
          <w:rFonts w:ascii="Times New Roman" w:hAnsi="Times New Roman" w:cs="Times New Roman"/>
          <w:sz w:val="24"/>
          <w:szCs w:val="24"/>
        </w:rPr>
        <w:t xml:space="preserve"> </w:t>
      </w:r>
      <w:r w:rsidR="005064A5" w:rsidRPr="005064A5">
        <w:rPr>
          <w:rFonts w:ascii="Times New Roman" w:hAnsi="Times New Roman" w:cs="Times New Roman"/>
          <w:sz w:val="24"/>
          <w:szCs w:val="24"/>
        </w:rPr>
        <w:t>Th</w:t>
      </w:r>
      <w:r w:rsidR="005064A5">
        <w:rPr>
          <w:rFonts w:ascii="Times New Roman" w:hAnsi="Times New Roman" w:cs="Times New Roman"/>
          <w:sz w:val="24"/>
          <w:szCs w:val="24"/>
        </w:rPr>
        <w:t>e</w:t>
      </w:r>
      <w:r w:rsidR="005064A5" w:rsidRPr="005064A5">
        <w:rPr>
          <w:rFonts w:ascii="Times New Roman" w:hAnsi="Times New Roman" w:cs="Times New Roman"/>
          <w:sz w:val="24"/>
          <w:szCs w:val="24"/>
        </w:rPr>
        <w:t xml:space="preserve"> </w:t>
      </w:r>
      <w:r w:rsidR="005064A5">
        <w:rPr>
          <w:rFonts w:ascii="Times New Roman" w:hAnsi="Times New Roman" w:cs="Times New Roman"/>
          <w:sz w:val="24"/>
          <w:szCs w:val="24"/>
        </w:rPr>
        <w:t>D</w:t>
      </w:r>
      <w:r w:rsidR="005064A5" w:rsidRPr="005064A5">
        <w:rPr>
          <w:rFonts w:ascii="Times New Roman" w:hAnsi="Times New Roman" w:cs="Times New Roman"/>
          <w:sz w:val="24"/>
          <w:szCs w:val="24"/>
        </w:rPr>
        <w:t>etermination</w:t>
      </w:r>
      <w:r w:rsidR="005064A5">
        <w:rPr>
          <w:rFonts w:ascii="Times New Roman" w:hAnsi="Times New Roman" w:cs="Times New Roman"/>
          <w:sz w:val="24"/>
          <w:szCs w:val="24"/>
        </w:rPr>
        <w:t xml:space="preserve"> </w:t>
      </w:r>
      <w:r w:rsidR="002D66A4">
        <w:rPr>
          <w:rFonts w:ascii="Times New Roman" w:hAnsi="Times New Roman" w:cs="Times New Roman"/>
          <w:sz w:val="24"/>
          <w:szCs w:val="24"/>
        </w:rPr>
        <w:t>will apply</w:t>
      </w:r>
      <w:r w:rsidR="005064A5">
        <w:rPr>
          <w:rFonts w:ascii="Times New Roman" w:hAnsi="Times New Roman" w:cs="Times New Roman"/>
          <w:sz w:val="24"/>
          <w:szCs w:val="24"/>
        </w:rPr>
        <w:t xml:space="preserve"> only to the appointee to the role of </w:t>
      </w:r>
      <w:r w:rsidR="00952A08">
        <w:rPr>
          <w:rFonts w:ascii="Times New Roman" w:hAnsi="Times New Roman" w:cs="Times New Roman"/>
          <w:sz w:val="24"/>
          <w:szCs w:val="24"/>
        </w:rPr>
        <w:br/>
      </w:r>
      <w:r w:rsidR="005064A5">
        <w:rPr>
          <w:rFonts w:ascii="Times New Roman" w:hAnsi="Times New Roman" w:cs="Times New Roman"/>
          <w:sz w:val="24"/>
          <w:szCs w:val="24"/>
        </w:rPr>
        <w:t>Inspector-General and</w:t>
      </w:r>
      <w:r w:rsidR="005064A5" w:rsidRPr="005064A5">
        <w:rPr>
          <w:rFonts w:ascii="Times New Roman" w:hAnsi="Times New Roman" w:cs="Times New Roman"/>
          <w:sz w:val="24"/>
          <w:szCs w:val="24"/>
        </w:rPr>
        <w:t xml:space="preserve"> </w:t>
      </w:r>
      <w:r w:rsidR="005064A5">
        <w:rPr>
          <w:rFonts w:ascii="Times New Roman" w:hAnsi="Times New Roman" w:cs="Times New Roman"/>
          <w:sz w:val="24"/>
          <w:szCs w:val="24"/>
        </w:rPr>
        <w:t xml:space="preserve">broader </w:t>
      </w:r>
      <w:r w:rsidR="005064A5" w:rsidRPr="005064A5">
        <w:rPr>
          <w:rFonts w:ascii="Times New Roman" w:hAnsi="Times New Roman" w:cs="Times New Roman"/>
          <w:sz w:val="24"/>
          <w:szCs w:val="24"/>
        </w:rPr>
        <w:t xml:space="preserve">consultation was not </w:t>
      </w:r>
      <w:r w:rsidR="00332D2B">
        <w:rPr>
          <w:rFonts w:ascii="Times New Roman" w:hAnsi="Times New Roman" w:cs="Times New Roman"/>
          <w:sz w:val="24"/>
          <w:szCs w:val="24"/>
        </w:rPr>
        <w:t>undertaken</w:t>
      </w:r>
      <w:r w:rsidR="005064A5" w:rsidRPr="005064A5">
        <w:rPr>
          <w:rFonts w:ascii="Times New Roman" w:hAnsi="Times New Roman" w:cs="Times New Roman"/>
          <w:sz w:val="24"/>
          <w:szCs w:val="24"/>
        </w:rPr>
        <w:t>.</w:t>
      </w:r>
    </w:p>
    <w:p w14:paraId="6EB10779" w14:textId="77777777" w:rsidR="00605359" w:rsidRDefault="00605359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0561CBA6" w14:textId="3AE8B2FE" w:rsidR="00191F99" w:rsidRDefault="00191F99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Details/Operation</w:t>
      </w:r>
    </w:p>
    <w:p w14:paraId="0C2788A7" w14:textId="63B221FE" w:rsidR="008F6D65" w:rsidRDefault="008F6D6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3CEF75F" w14:textId="4F8B2590" w:rsidR="008F6D65" w:rsidRPr="008F6D65" w:rsidRDefault="008F6D6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05359">
        <w:rPr>
          <w:rFonts w:ascii="Times New Roman" w:hAnsi="Times New Roman" w:cs="Times New Roman"/>
          <w:bCs/>
          <w:sz w:val="24"/>
        </w:rPr>
        <w:t xml:space="preserve">Details of the </w:t>
      </w:r>
      <w:r>
        <w:rPr>
          <w:rFonts w:ascii="Times New Roman" w:hAnsi="Times New Roman" w:cs="Times New Roman"/>
          <w:bCs/>
          <w:sz w:val="24"/>
        </w:rPr>
        <w:t>Determination</w:t>
      </w:r>
      <w:r w:rsidRPr="00605359">
        <w:rPr>
          <w:rFonts w:ascii="Times New Roman" w:hAnsi="Times New Roman" w:cs="Times New Roman"/>
          <w:bCs/>
          <w:sz w:val="24"/>
        </w:rPr>
        <w:t xml:space="preserve"> are set out at </w:t>
      </w:r>
      <w:r w:rsidRPr="00605359">
        <w:rPr>
          <w:rFonts w:ascii="Times New Roman" w:hAnsi="Times New Roman" w:cs="Times New Roman"/>
          <w:bCs/>
          <w:sz w:val="24"/>
          <w:u w:val="single"/>
        </w:rPr>
        <w:t>Attachment A</w:t>
      </w:r>
      <w:r w:rsidRPr="00605359">
        <w:rPr>
          <w:rFonts w:ascii="Times New Roman" w:hAnsi="Times New Roman" w:cs="Times New Roman"/>
          <w:bCs/>
          <w:sz w:val="24"/>
        </w:rPr>
        <w:t xml:space="preserve">. </w:t>
      </w:r>
    </w:p>
    <w:p w14:paraId="70AF659C" w14:textId="2E404378" w:rsidR="008F6D65" w:rsidRPr="00605359" w:rsidRDefault="008F6D65" w:rsidP="003D1A84">
      <w:pPr>
        <w:pStyle w:val="Normal-em"/>
        <w:spacing w:after="0" w:line="240" w:lineRule="auto"/>
        <w:rPr>
          <w:b/>
          <w:bCs/>
          <w:iCs/>
          <w:color w:val="auto"/>
          <w:szCs w:val="24"/>
        </w:rPr>
      </w:pPr>
    </w:p>
    <w:p w14:paraId="3E4180FF" w14:textId="79D8ECB3" w:rsidR="00E76AB5" w:rsidRDefault="008F6D6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Other</w:t>
      </w:r>
    </w:p>
    <w:p w14:paraId="11FD9AD9" w14:textId="77777777" w:rsidR="000D3CA4" w:rsidRPr="00605359" w:rsidRDefault="000D3CA4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0435C193" w14:textId="549C0C02" w:rsidR="00935D7F" w:rsidRPr="00E76AB5" w:rsidRDefault="008F6D65" w:rsidP="00935D7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Determination </w:t>
      </w:r>
      <w:r w:rsidR="00935D7F" w:rsidRPr="00E0086A">
        <w:rPr>
          <w:rFonts w:ascii="Times New Roman" w:hAnsi="Times New Roman" w:cs="Times New Roman"/>
          <w:sz w:val="24"/>
          <w:szCs w:val="24"/>
        </w:rPr>
        <w:t xml:space="preserve">is compatible with the human rights and freedoms recognised or declared under section 3 of the </w:t>
      </w:r>
      <w:r w:rsidR="00935D7F" w:rsidRPr="00E76AB5">
        <w:rPr>
          <w:rFonts w:ascii="Times New Roman" w:hAnsi="Times New Roman" w:cs="Times New Roman"/>
          <w:i/>
          <w:sz w:val="24"/>
          <w:szCs w:val="24"/>
        </w:rPr>
        <w:t>Human Rights (Parliamentary Scrutiny) Act 2011.</w:t>
      </w:r>
      <w:r w:rsidR="00935D7F" w:rsidRPr="00E76AB5">
        <w:rPr>
          <w:rFonts w:ascii="Times New Roman" w:hAnsi="Times New Roman" w:cs="Times New Roman"/>
          <w:sz w:val="24"/>
          <w:szCs w:val="24"/>
        </w:rPr>
        <w:t xml:space="preserve"> A full statement of compatibility is set out in </w:t>
      </w:r>
      <w:r w:rsidR="00935D7F" w:rsidRPr="00E76AB5">
        <w:rPr>
          <w:rFonts w:ascii="Times New Roman" w:hAnsi="Times New Roman" w:cs="Times New Roman"/>
          <w:sz w:val="24"/>
          <w:szCs w:val="24"/>
          <w:u w:val="single"/>
        </w:rPr>
        <w:t xml:space="preserve">Attachment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935D7F" w:rsidRPr="00E76AB5">
        <w:rPr>
          <w:rFonts w:ascii="Times New Roman" w:hAnsi="Times New Roman" w:cs="Times New Roman"/>
          <w:sz w:val="24"/>
          <w:szCs w:val="24"/>
        </w:rPr>
        <w:t>.</w:t>
      </w:r>
    </w:p>
    <w:p w14:paraId="1D4FD5A2" w14:textId="77777777" w:rsidR="00935D7F" w:rsidRPr="00E76AB5" w:rsidRDefault="00935D7F" w:rsidP="00935D7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3684B" w14:textId="38F4565F" w:rsidR="00935D7F" w:rsidRPr="00E76AB5" w:rsidRDefault="00935D7F" w:rsidP="00935D7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5">
        <w:rPr>
          <w:rFonts w:ascii="Times New Roman" w:hAnsi="Times New Roman" w:cs="Times New Roman"/>
          <w:sz w:val="24"/>
          <w:szCs w:val="24"/>
        </w:rPr>
        <w:t xml:space="preserve">The </w:t>
      </w:r>
      <w:r w:rsidRPr="00E0086A">
        <w:rPr>
          <w:rFonts w:ascii="Times New Roman" w:hAnsi="Times New Roman" w:cs="Times New Roman"/>
          <w:sz w:val="24"/>
          <w:szCs w:val="24"/>
        </w:rPr>
        <w:t>Determination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AB5">
        <w:rPr>
          <w:rFonts w:ascii="Times New Roman" w:hAnsi="Times New Roman" w:cs="Times New Roman"/>
          <w:sz w:val="24"/>
          <w:szCs w:val="24"/>
        </w:rPr>
        <w:t xml:space="preserve">is a legislative instrument for the purposes of the </w:t>
      </w:r>
      <w:r>
        <w:rPr>
          <w:rFonts w:ascii="Times New Roman" w:hAnsi="Times New Roman" w:cs="Times New Roman"/>
          <w:i/>
          <w:sz w:val="24"/>
          <w:szCs w:val="24"/>
        </w:rPr>
        <w:t xml:space="preserve">Legislation </w:t>
      </w:r>
      <w:r w:rsidRPr="00E76AB5">
        <w:rPr>
          <w:rFonts w:ascii="Times New Roman" w:hAnsi="Times New Roman" w:cs="Times New Roman"/>
          <w:i/>
          <w:sz w:val="24"/>
          <w:szCs w:val="24"/>
        </w:rPr>
        <w:t>Act 2003</w:t>
      </w:r>
      <w:r w:rsidRPr="00E76AB5">
        <w:rPr>
          <w:rFonts w:ascii="Times New Roman" w:hAnsi="Times New Roman" w:cs="Times New Roman"/>
          <w:sz w:val="24"/>
          <w:szCs w:val="24"/>
        </w:rPr>
        <w:t>.</w:t>
      </w:r>
    </w:p>
    <w:p w14:paraId="52A9199F" w14:textId="77777777" w:rsidR="00E76AB5" w:rsidRDefault="00E76AB5" w:rsidP="00E76AB5">
      <w:pPr>
        <w:pStyle w:val="Normal-em"/>
        <w:spacing w:after="0" w:line="240" w:lineRule="auto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br w:type="page"/>
      </w:r>
    </w:p>
    <w:p w14:paraId="54D4BC9E" w14:textId="4D1C4B32" w:rsidR="00191F99" w:rsidRPr="005D1ABF" w:rsidRDefault="00191F99" w:rsidP="00191F99">
      <w:pPr>
        <w:pStyle w:val="Normal-em"/>
        <w:spacing w:after="0" w:line="240" w:lineRule="auto"/>
        <w:jc w:val="right"/>
        <w:rPr>
          <w:b/>
          <w:caps/>
          <w:szCs w:val="24"/>
          <w:u w:val="single"/>
        </w:rPr>
      </w:pPr>
      <w:r w:rsidRPr="005D1ABF">
        <w:rPr>
          <w:b/>
          <w:caps/>
          <w:szCs w:val="24"/>
          <w:u w:val="single"/>
        </w:rPr>
        <w:lastRenderedPageBreak/>
        <w:t>Attachment</w:t>
      </w:r>
      <w:r>
        <w:rPr>
          <w:b/>
          <w:caps/>
          <w:szCs w:val="24"/>
          <w:u w:val="single"/>
        </w:rPr>
        <w:t xml:space="preserve"> A</w:t>
      </w:r>
    </w:p>
    <w:p w14:paraId="0054CFA5" w14:textId="77777777" w:rsidR="00191F99" w:rsidRPr="005D1ABF" w:rsidRDefault="00191F99" w:rsidP="00191F99">
      <w:pPr>
        <w:pStyle w:val="Normal-em"/>
        <w:spacing w:after="0" w:line="240" w:lineRule="auto"/>
        <w:rPr>
          <w:color w:val="auto"/>
          <w:szCs w:val="24"/>
        </w:rPr>
      </w:pPr>
    </w:p>
    <w:p w14:paraId="50AEA30A" w14:textId="1DFF3600" w:rsidR="00191F99" w:rsidRPr="00605359" w:rsidRDefault="00191F99" w:rsidP="00191F99">
      <w:pPr>
        <w:pStyle w:val="Normal-em"/>
        <w:spacing w:after="0" w:line="240" w:lineRule="auto"/>
        <w:rPr>
          <w:b/>
          <w:i/>
          <w:color w:val="auto"/>
          <w:szCs w:val="24"/>
          <w:u w:val="single"/>
        </w:rPr>
      </w:pPr>
      <w:r w:rsidRPr="00E379CE">
        <w:rPr>
          <w:b/>
          <w:iCs/>
          <w:color w:val="auto"/>
          <w:szCs w:val="24"/>
          <w:u w:val="single"/>
        </w:rPr>
        <w:t xml:space="preserve">Details of the </w:t>
      </w:r>
      <w:r w:rsidRPr="00605359">
        <w:rPr>
          <w:b/>
          <w:i/>
          <w:color w:val="auto"/>
          <w:szCs w:val="24"/>
          <w:u w:val="single"/>
        </w:rPr>
        <w:t>Water (Remuneration and Allowances of the Inspector General of Water Compliance) Determination 2021</w:t>
      </w:r>
    </w:p>
    <w:p w14:paraId="56B19604" w14:textId="77777777" w:rsidR="00191F99" w:rsidRPr="00E379CE" w:rsidRDefault="00191F99" w:rsidP="00191F99">
      <w:pPr>
        <w:pStyle w:val="Normal-em"/>
        <w:spacing w:after="0" w:line="240" w:lineRule="auto"/>
        <w:rPr>
          <w:color w:val="auto"/>
          <w:szCs w:val="24"/>
        </w:rPr>
      </w:pPr>
    </w:p>
    <w:p w14:paraId="75D50871" w14:textId="77777777" w:rsidR="00191F99" w:rsidRPr="00E379CE" w:rsidRDefault="00191F99" w:rsidP="00191F99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E379CE">
        <w:rPr>
          <w:color w:val="auto"/>
          <w:szCs w:val="24"/>
          <w:u w:val="single"/>
        </w:rPr>
        <w:t>Section 1 – Name</w:t>
      </w:r>
    </w:p>
    <w:p w14:paraId="08B1D3F6" w14:textId="77777777" w:rsidR="00191F99" w:rsidRPr="00E379CE" w:rsidRDefault="00191F99" w:rsidP="00191F99">
      <w:pPr>
        <w:pStyle w:val="Normal-em"/>
        <w:spacing w:after="0" w:line="240" w:lineRule="auto"/>
        <w:ind w:left="1440" w:hanging="1440"/>
        <w:rPr>
          <w:b/>
          <w:color w:val="auto"/>
          <w:szCs w:val="24"/>
        </w:rPr>
      </w:pPr>
    </w:p>
    <w:p w14:paraId="291D300D" w14:textId="355144ED" w:rsidR="00191F99" w:rsidRPr="00E379CE" w:rsidRDefault="00191F99" w:rsidP="00191F99">
      <w:pPr>
        <w:pStyle w:val="Normal-em"/>
        <w:spacing w:after="0" w:line="240" w:lineRule="auto"/>
        <w:rPr>
          <w:i/>
          <w:iCs/>
          <w:color w:val="auto"/>
          <w:szCs w:val="24"/>
        </w:rPr>
      </w:pPr>
      <w:r w:rsidRPr="00E379CE">
        <w:rPr>
          <w:color w:val="auto"/>
          <w:szCs w:val="24"/>
        </w:rPr>
        <w:t>This section provides that the name of th</w:t>
      </w:r>
      <w:r w:rsidR="008F6D65" w:rsidRPr="00E379CE">
        <w:rPr>
          <w:color w:val="auto"/>
          <w:szCs w:val="24"/>
        </w:rPr>
        <w:t>is instrument</w:t>
      </w:r>
      <w:r w:rsidRPr="00E379CE">
        <w:rPr>
          <w:color w:val="auto"/>
          <w:szCs w:val="24"/>
        </w:rPr>
        <w:t xml:space="preserve"> is the </w:t>
      </w:r>
      <w:r w:rsidR="008F6D65" w:rsidRPr="00605359">
        <w:rPr>
          <w:i/>
          <w:iCs/>
          <w:color w:val="auto"/>
          <w:szCs w:val="24"/>
        </w:rPr>
        <w:t>Water (Remuneration and Allowances of the Inspector General of Water Compliance) Determination 2021</w:t>
      </w:r>
      <w:r w:rsidR="00CE753E">
        <w:rPr>
          <w:i/>
          <w:iCs/>
          <w:color w:val="auto"/>
          <w:szCs w:val="24"/>
        </w:rPr>
        <w:t xml:space="preserve"> </w:t>
      </w:r>
      <w:r w:rsidR="00CE753E">
        <w:rPr>
          <w:color w:val="auto"/>
          <w:szCs w:val="24"/>
        </w:rPr>
        <w:t>(Determination)</w:t>
      </w:r>
      <w:r w:rsidR="008F6D65" w:rsidRPr="00605359">
        <w:rPr>
          <w:color w:val="auto"/>
          <w:szCs w:val="24"/>
        </w:rPr>
        <w:t>.</w:t>
      </w:r>
    </w:p>
    <w:p w14:paraId="5FC93897" w14:textId="77777777" w:rsidR="00191F99" w:rsidRPr="00E379CE" w:rsidRDefault="00191F99" w:rsidP="00191F99">
      <w:pPr>
        <w:pStyle w:val="Normal-em"/>
        <w:spacing w:after="0" w:line="240" w:lineRule="auto"/>
        <w:rPr>
          <w:color w:val="auto"/>
          <w:szCs w:val="24"/>
        </w:rPr>
      </w:pPr>
    </w:p>
    <w:p w14:paraId="458CD8D7" w14:textId="77777777" w:rsidR="00191F99" w:rsidRPr="00E379CE" w:rsidRDefault="00191F99" w:rsidP="00191F99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E379CE">
        <w:rPr>
          <w:color w:val="auto"/>
          <w:szCs w:val="24"/>
          <w:u w:val="single"/>
        </w:rPr>
        <w:t>Section 2 – Commencement</w:t>
      </w:r>
    </w:p>
    <w:p w14:paraId="47677DBB" w14:textId="77777777" w:rsidR="00191F99" w:rsidRPr="00E379CE" w:rsidRDefault="00191F99" w:rsidP="00191F99">
      <w:pPr>
        <w:pStyle w:val="Normal-em"/>
        <w:spacing w:after="0" w:line="240" w:lineRule="auto"/>
        <w:rPr>
          <w:color w:val="auto"/>
          <w:szCs w:val="24"/>
        </w:rPr>
      </w:pPr>
    </w:p>
    <w:p w14:paraId="684F4FAA" w14:textId="09CDF53E" w:rsidR="00191F99" w:rsidRPr="00E379CE" w:rsidRDefault="00191F99" w:rsidP="00191F99">
      <w:pPr>
        <w:pStyle w:val="Normal-em"/>
        <w:spacing w:after="0" w:line="240" w:lineRule="auto"/>
        <w:rPr>
          <w:color w:val="auto"/>
          <w:szCs w:val="24"/>
          <w:highlight w:val="yellow"/>
        </w:rPr>
      </w:pPr>
      <w:r w:rsidRPr="00E379CE">
        <w:rPr>
          <w:color w:val="auto"/>
          <w:szCs w:val="24"/>
        </w:rPr>
        <w:t xml:space="preserve">This section provides </w:t>
      </w:r>
      <w:r w:rsidR="008F6D65" w:rsidRPr="00E379CE">
        <w:rPr>
          <w:color w:val="auto"/>
          <w:szCs w:val="24"/>
        </w:rPr>
        <w:t xml:space="preserve">that the whole of the Determination commences at the same time as </w:t>
      </w:r>
      <w:r w:rsidR="00CE753E">
        <w:rPr>
          <w:color w:val="auto"/>
          <w:szCs w:val="24"/>
        </w:rPr>
        <w:t>t</w:t>
      </w:r>
      <w:r w:rsidR="008F6D65" w:rsidRPr="00E379CE">
        <w:rPr>
          <w:color w:val="auto"/>
          <w:szCs w:val="24"/>
        </w:rPr>
        <w:t xml:space="preserve">he </w:t>
      </w:r>
      <w:r w:rsidR="008F6D65" w:rsidRPr="00E379CE">
        <w:rPr>
          <w:i/>
          <w:iCs/>
          <w:color w:val="auto"/>
          <w:szCs w:val="24"/>
        </w:rPr>
        <w:t>Water Legislation Amendment (Inspector-General of Water Compliance and Other Measures) Act 2021</w:t>
      </w:r>
      <w:r w:rsidR="008F6D65" w:rsidRPr="00E379CE">
        <w:rPr>
          <w:color w:val="auto"/>
          <w:szCs w:val="24"/>
        </w:rPr>
        <w:t xml:space="preserve">. </w:t>
      </w:r>
    </w:p>
    <w:p w14:paraId="45B019B4" w14:textId="77777777" w:rsidR="00191F99" w:rsidRPr="00E379CE" w:rsidRDefault="00191F99" w:rsidP="00191F99">
      <w:pPr>
        <w:pStyle w:val="Normal-em"/>
        <w:spacing w:after="0" w:line="240" w:lineRule="auto"/>
        <w:rPr>
          <w:color w:val="auto"/>
          <w:szCs w:val="24"/>
        </w:rPr>
      </w:pPr>
    </w:p>
    <w:p w14:paraId="0FD6EC47" w14:textId="77777777" w:rsidR="00191F99" w:rsidRPr="00E379CE" w:rsidRDefault="00191F99" w:rsidP="00191F99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E379CE">
        <w:rPr>
          <w:color w:val="auto"/>
          <w:szCs w:val="24"/>
          <w:u w:val="single"/>
        </w:rPr>
        <w:t xml:space="preserve">Section 3 – Authority </w:t>
      </w:r>
    </w:p>
    <w:p w14:paraId="43332A1F" w14:textId="77777777" w:rsidR="00191F99" w:rsidRPr="00E379CE" w:rsidRDefault="00191F99" w:rsidP="00191F99">
      <w:pPr>
        <w:pStyle w:val="Normal-em"/>
        <w:spacing w:after="0" w:line="240" w:lineRule="auto"/>
        <w:rPr>
          <w:color w:val="auto"/>
          <w:szCs w:val="24"/>
        </w:rPr>
      </w:pPr>
    </w:p>
    <w:p w14:paraId="1CE3C84C" w14:textId="1AF2D094" w:rsidR="00191F99" w:rsidRPr="00E379CE" w:rsidRDefault="00191F99" w:rsidP="00191F99">
      <w:pPr>
        <w:pStyle w:val="Normal-em"/>
        <w:spacing w:after="0" w:line="240" w:lineRule="auto"/>
        <w:rPr>
          <w:iCs/>
          <w:color w:val="auto"/>
          <w:szCs w:val="24"/>
        </w:rPr>
      </w:pPr>
      <w:r w:rsidRPr="00E379CE">
        <w:rPr>
          <w:color w:val="auto"/>
          <w:szCs w:val="24"/>
        </w:rPr>
        <w:t>This section provides that the</w:t>
      </w:r>
      <w:r w:rsidR="008F6D65" w:rsidRPr="00E379CE">
        <w:rPr>
          <w:color w:val="auto"/>
          <w:szCs w:val="24"/>
        </w:rPr>
        <w:t xml:space="preserve"> Determination</w:t>
      </w:r>
      <w:r w:rsidRPr="00E379CE">
        <w:rPr>
          <w:color w:val="auto"/>
          <w:szCs w:val="24"/>
        </w:rPr>
        <w:t xml:space="preserve"> is made under</w:t>
      </w:r>
      <w:r w:rsidR="008F6D65" w:rsidRPr="00E379CE">
        <w:rPr>
          <w:color w:val="auto"/>
          <w:szCs w:val="24"/>
        </w:rPr>
        <w:t xml:space="preserve"> subsection 215</w:t>
      </w:r>
      <w:proofErr w:type="gramStart"/>
      <w:r w:rsidR="008F6D65" w:rsidRPr="00E379CE">
        <w:rPr>
          <w:color w:val="auto"/>
          <w:szCs w:val="24"/>
        </w:rPr>
        <w:t>L(</w:t>
      </w:r>
      <w:proofErr w:type="gramEnd"/>
      <w:r w:rsidR="008F6D65" w:rsidRPr="00E379CE">
        <w:rPr>
          <w:color w:val="auto"/>
          <w:szCs w:val="24"/>
        </w:rPr>
        <w:t xml:space="preserve">5) of the </w:t>
      </w:r>
      <w:r w:rsidR="00952A08">
        <w:rPr>
          <w:color w:val="auto"/>
          <w:szCs w:val="24"/>
        </w:rPr>
        <w:br/>
      </w:r>
      <w:r w:rsidR="008F6D65" w:rsidRPr="00E379CE">
        <w:rPr>
          <w:i/>
          <w:iCs/>
          <w:color w:val="auto"/>
          <w:szCs w:val="24"/>
        </w:rPr>
        <w:t>Water Act 2007</w:t>
      </w:r>
      <w:r w:rsidRPr="00E379CE">
        <w:rPr>
          <w:color w:val="auto"/>
          <w:szCs w:val="24"/>
        </w:rPr>
        <w:t>.</w:t>
      </w:r>
    </w:p>
    <w:p w14:paraId="6987C7B3" w14:textId="77777777" w:rsidR="00191F99" w:rsidRPr="00E379CE" w:rsidRDefault="00191F99" w:rsidP="00191F99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190511CB" w14:textId="6C8E8EF7" w:rsidR="00191F99" w:rsidRPr="00E379CE" w:rsidRDefault="00191F99" w:rsidP="00191F99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E379CE">
        <w:rPr>
          <w:color w:val="auto"/>
          <w:szCs w:val="24"/>
          <w:u w:val="single"/>
        </w:rPr>
        <w:t xml:space="preserve">Section 4 – </w:t>
      </w:r>
      <w:r w:rsidR="008F6D65" w:rsidRPr="00E379CE">
        <w:rPr>
          <w:color w:val="auto"/>
          <w:szCs w:val="24"/>
          <w:u w:val="single"/>
        </w:rPr>
        <w:t>Remuneration and allowances</w:t>
      </w:r>
    </w:p>
    <w:p w14:paraId="72886492" w14:textId="77777777" w:rsidR="00191F99" w:rsidRPr="00E379CE" w:rsidRDefault="00191F99" w:rsidP="00191F99">
      <w:pPr>
        <w:pStyle w:val="Normal-em"/>
        <w:spacing w:after="0" w:line="240" w:lineRule="auto"/>
        <w:rPr>
          <w:color w:val="auto"/>
          <w:szCs w:val="24"/>
        </w:rPr>
      </w:pPr>
    </w:p>
    <w:p w14:paraId="75872E58" w14:textId="3D460764" w:rsidR="00191F99" w:rsidRPr="00605359" w:rsidRDefault="00191F99" w:rsidP="00191F99">
      <w:pPr>
        <w:pStyle w:val="Normal-em"/>
        <w:spacing w:after="0" w:line="240" w:lineRule="auto"/>
        <w:rPr>
          <w:color w:val="auto"/>
          <w:szCs w:val="24"/>
        </w:rPr>
      </w:pPr>
      <w:r w:rsidRPr="00E379CE">
        <w:rPr>
          <w:color w:val="auto"/>
          <w:szCs w:val="24"/>
        </w:rPr>
        <w:t xml:space="preserve">This section provides the </w:t>
      </w:r>
      <w:r w:rsidR="006468D2" w:rsidRPr="00E379CE">
        <w:rPr>
          <w:color w:val="auto"/>
          <w:szCs w:val="24"/>
        </w:rPr>
        <w:t>determination of remuneration and allowances to be paid to the Inspector-General of Water Compliance (Inspector-General).</w:t>
      </w:r>
    </w:p>
    <w:p w14:paraId="5C790DE5" w14:textId="77777777" w:rsidR="00B62371" w:rsidRPr="00605359" w:rsidRDefault="00B62371" w:rsidP="00191F99">
      <w:pPr>
        <w:pStyle w:val="Normal-em"/>
        <w:spacing w:after="0" w:line="240" w:lineRule="auto"/>
        <w:rPr>
          <w:color w:val="auto"/>
          <w:szCs w:val="24"/>
        </w:rPr>
      </w:pPr>
    </w:p>
    <w:p w14:paraId="4CCEB8B0" w14:textId="77777777" w:rsidR="00857019" w:rsidRDefault="00E379CE" w:rsidP="00191F99">
      <w:pPr>
        <w:pStyle w:val="Normal-em"/>
        <w:spacing w:after="0" w:line="240" w:lineRule="auto"/>
        <w:rPr>
          <w:color w:val="auto"/>
          <w:szCs w:val="24"/>
        </w:rPr>
      </w:pPr>
      <w:r w:rsidRPr="00605359">
        <w:rPr>
          <w:color w:val="auto"/>
          <w:szCs w:val="24"/>
        </w:rPr>
        <w:t>Subsection 4(1) p</w:t>
      </w:r>
      <w:r w:rsidR="00B62371">
        <w:rPr>
          <w:color w:val="auto"/>
          <w:szCs w:val="24"/>
        </w:rPr>
        <w:t xml:space="preserve">rovides </w:t>
      </w:r>
      <w:r w:rsidR="00D4128E">
        <w:rPr>
          <w:color w:val="auto"/>
          <w:szCs w:val="24"/>
        </w:rPr>
        <w:t xml:space="preserve">that the Inspector-General is to be paid the same </w:t>
      </w:r>
      <w:r w:rsidR="00B62371">
        <w:rPr>
          <w:color w:val="auto"/>
          <w:szCs w:val="24"/>
        </w:rPr>
        <w:t xml:space="preserve">remuneration and allowances </w:t>
      </w:r>
      <w:r w:rsidR="00D4128E">
        <w:rPr>
          <w:color w:val="auto"/>
          <w:szCs w:val="24"/>
        </w:rPr>
        <w:t>as if</w:t>
      </w:r>
      <w:r w:rsidR="00857019">
        <w:rPr>
          <w:color w:val="auto"/>
          <w:szCs w:val="24"/>
        </w:rPr>
        <w:t>:</w:t>
      </w:r>
    </w:p>
    <w:p w14:paraId="56EE53BF" w14:textId="420838E2" w:rsidR="00857019" w:rsidRDefault="00A75B4E" w:rsidP="00857019">
      <w:pPr>
        <w:pStyle w:val="Normal-em"/>
        <w:numPr>
          <w:ilvl w:val="0"/>
          <w:numId w:val="22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a reference in the </w:t>
      </w:r>
      <w:r w:rsidR="00CD35B3" w:rsidRPr="00605359">
        <w:rPr>
          <w:i/>
          <w:iCs/>
          <w:color w:val="auto"/>
          <w:szCs w:val="24"/>
        </w:rPr>
        <w:t>Remuneration Tribunal (Remuneration and Allowances for Holders of Full time Public Office) Determination 2021</w:t>
      </w:r>
      <w:r w:rsidR="001C69AE">
        <w:rPr>
          <w:i/>
          <w:iCs/>
          <w:color w:val="auto"/>
          <w:szCs w:val="24"/>
        </w:rPr>
        <w:t xml:space="preserve"> </w:t>
      </w:r>
      <w:r w:rsidR="001C69AE" w:rsidRPr="001C69AE">
        <w:rPr>
          <w:color w:val="auto"/>
          <w:szCs w:val="24"/>
        </w:rPr>
        <w:t>(</w:t>
      </w:r>
      <w:r w:rsidR="00B82E91">
        <w:rPr>
          <w:color w:val="auto"/>
          <w:szCs w:val="24"/>
        </w:rPr>
        <w:t>Remuneration Tribunal</w:t>
      </w:r>
      <w:r w:rsidR="001C69AE" w:rsidRPr="00605359">
        <w:rPr>
          <w:color w:val="auto"/>
          <w:szCs w:val="24"/>
        </w:rPr>
        <w:t xml:space="preserve"> Determination)</w:t>
      </w:r>
      <w:r w:rsidR="00CD35B3">
        <w:rPr>
          <w:i/>
          <w:iCs/>
          <w:color w:val="auto"/>
          <w:szCs w:val="24"/>
        </w:rPr>
        <w:t xml:space="preserve"> </w:t>
      </w:r>
      <w:r w:rsidR="00B62371">
        <w:rPr>
          <w:color w:val="auto"/>
          <w:szCs w:val="24"/>
        </w:rPr>
        <w:t xml:space="preserve">to </w:t>
      </w:r>
      <w:r w:rsidR="00CD35B3">
        <w:rPr>
          <w:color w:val="auto"/>
          <w:szCs w:val="24"/>
        </w:rPr>
        <w:t xml:space="preserve">an officer holder included a reference to the Inspector-General; and </w:t>
      </w:r>
    </w:p>
    <w:p w14:paraId="45656181" w14:textId="22EC5D07" w:rsidR="00857019" w:rsidRDefault="00BB2D39" w:rsidP="00857019">
      <w:pPr>
        <w:pStyle w:val="Normal-em"/>
        <w:numPr>
          <w:ilvl w:val="0"/>
          <w:numId w:val="22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Table 2A in section 10 of the </w:t>
      </w:r>
      <w:r w:rsidR="00B82E91">
        <w:rPr>
          <w:color w:val="auto"/>
          <w:szCs w:val="24"/>
        </w:rPr>
        <w:t>Remuneration Tribunal</w:t>
      </w:r>
      <w:r w:rsidR="00B82E91" w:rsidRPr="00A41E85">
        <w:rPr>
          <w:color w:val="auto"/>
          <w:szCs w:val="24"/>
        </w:rPr>
        <w:t xml:space="preserve"> Determination</w:t>
      </w:r>
      <w:r w:rsidR="00B82E91">
        <w:rPr>
          <w:color w:val="auto"/>
          <w:szCs w:val="24"/>
        </w:rPr>
        <w:t>:</w:t>
      </w:r>
    </w:p>
    <w:p w14:paraId="0D8C4B3D" w14:textId="77777777" w:rsidR="00857019" w:rsidRDefault="00857019" w:rsidP="00857019">
      <w:pPr>
        <w:pStyle w:val="Normal-em"/>
        <w:numPr>
          <w:ilvl w:val="1"/>
          <w:numId w:val="22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included a reference in column 1 to the office of the Inspector-General; and </w:t>
      </w:r>
    </w:p>
    <w:p w14:paraId="457C8412" w14:textId="5A2F1AC1" w:rsidR="00E379CE" w:rsidRDefault="00857019" w:rsidP="00857019">
      <w:pPr>
        <w:pStyle w:val="Normal-em"/>
        <w:numPr>
          <w:ilvl w:val="1"/>
          <w:numId w:val="22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a reference in column 2 to a total remuneration (per year) of $360,250 for that office.</w:t>
      </w:r>
    </w:p>
    <w:p w14:paraId="5C2255C6" w14:textId="2C4169D8" w:rsidR="00857019" w:rsidRDefault="00857019" w:rsidP="00857019">
      <w:pPr>
        <w:pStyle w:val="Normal-em"/>
        <w:spacing w:after="0" w:line="240" w:lineRule="auto"/>
        <w:rPr>
          <w:color w:val="auto"/>
          <w:szCs w:val="24"/>
        </w:rPr>
      </w:pPr>
    </w:p>
    <w:p w14:paraId="64863FEF" w14:textId="6CFB4C7B" w:rsidR="00857019" w:rsidRDefault="00857019" w:rsidP="00857019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The reference </w:t>
      </w:r>
      <w:r w:rsidR="00747E77">
        <w:rPr>
          <w:color w:val="auto"/>
          <w:szCs w:val="24"/>
        </w:rPr>
        <w:t xml:space="preserve">to the </w:t>
      </w:r>
      <w:r w:rsidR="00A66FC2">
        <w:rPr>
          <w:color w:val="auto"/>
          <w:szCs w:val="24"/>
        </w:rPr>
        <w:t>Remuneration Tribunal</w:t>
      </w:r>
      <w:r w:rsidR="00A66FC2" w:rsidRPr="00A41E85">
        <w:rPr>
          <w:color w:val="auto"/>
          <w:szCs w:val="24"/>
        </w:rPr>
        <w:t xml:space="preserve"> Determination</w:t>
      </w:r>
      <w:r w:rsidR="00747E77">
        <w:rPr>
          <w:color w:val="auto"/>
          <w:szCs w:val="24"/>
        </w:rPr>
        <w:t xml:space="preserve"> means a</w:t>
      </w:r>
      <w:r w:rsidR="00E33453">
        <w:rPr>
          <w:color w:val="auto"/>
          <w:szCs w:val="24"/>
        </w:rPr>
        <w:t xml:space="preserve"> reference in the </w:t>
      </w:r>
      <w:r w:rsidR="00D048B1">
        <w:rPr>
          <w:color w:val="auto"/>
          <w:szCs w:val="24"/>
        </w:rPr>
        <w:t>Remuneration Tribunal</w:t>
      </w:r>
      <w:r w:rsidR="00D048B1" w:rsidRPr="00A41E85">
        <w:rPr>
          <w:color w:val="auto"/>
          <w:szCs w:val="24"/>
        </w:rPr>
        <w:t xml:space="preserve"> Determination</w:t>
      </w:r>
      <w:r w:rsidR="00E33453">
        <w:rPr>
          <w:color w:val="auto"/>
          <w:szCs w:val="24"/>
        </w:rPr>
        <w:t xml:space="preserve"> as in force at the commencement of the Determination. </w:t>
      </w:r>
    </w:p>
    <w:p w14:paraId="244E3314" w14:textId="2007DFAF" w:rsidR="00786C8C" w:rsidRDefault="00786C8C" w:rsidP="00857019">
      <w:pPr>
        <w:pStyle w:val="Normal-em"/>
        <w:spacing w:after="0" w:line="240" w:lineRule="auto"/>
        <w:rPr>
          <w:color w:val="auto"/>
          <w:szCs w:val="24"/>
        </w:rPr>
      </w:pPr>
    </w:p>
    <w:p w14:paraId="13CDE0B7" w14:textId="15767802" w:rsidR="00786C8C" w:rsidRPr="00CD35B3" w:rsidRDefault="00786C8C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The effect of this subsection is that the total remuneration (per year) </w:t>
      </w:r>
      <w:r w:rsidR="00CB1A4A">
        <w:rPr>
          <w:color w:val="auto"/>
          <w:szCs w:val="24"/>
        </w:rPr>
        <w:t>i</w:t>
      </w:r>
      <w:r>
        <w:rPr>
          <w:color w:val="auto"/>
          <w:szCs w:val="24"/>
        </w:rPr>
        <w:t>s $360,250.</w:t>
      </w:r>
    </w:p>
    <w:p w14:paraId="0CF028F9" w14:textId="77777777" w:rsidR="00B62371" w:rsidRPr="00605359" w:rsidRDefault="00B62371" w:rsidP="00191F99">
      <w:pPr>
        <w:pStyle w:val="Normal-em"/>
        <w:spacing w:after="0" w:line="240" w:lineRule="auto"/>
        <w:rPr>
          <w:color w:val="auto"/>
          <w:szCs w:val="24"/>
        </w:rPr>
      </w:pPr>
    </w:p>
    <w:p w14:paraId="1A0038BF" w14:textId="2F76D05E" w:rsidR="009D5019" w:rsidRDefault="00E379CE" w:rsidP="009D5019">
      <w:pPr>
        <w:pStyle w:val="Normal-em"/>
        <w:spacing w:after="0" w:line="240" w:lineRule="auto"/>
        <w:rPr>
          <w:iCs/>
          <w:color w:val="auto"/>
          <w:szCs w:val="24"/>
        </w:rPr>
      </w:pPr>
      <w:r w:rsidRPr="00605359">
        <w:rPr>
          <w:iCs/>
          <w:color w:val="auto"/>
          <w:szCs w:val="24"/>
        </w:rPr>
        <w:t xml:space="preserve">Subsection 4(2) provides </w:t>
      </w:r>
      <w:r w:rsidR="009D5019">
        <w:rPr>
          <w:iCs/>
          <w:color w:val="auto"/>
          <w:szCs w:val="24"/>
        </w:rPr>
        <w:t xml:space="preserve">that the Inspector-General is to be paid the same </w:t>
      </w:r>
      <w:r w:rsidRPr="00605359">
        <w:rPr>
          <w:iCs/>
          <w:color w:val="auto"/>
          <w:szCs w:val="24"/>
        </w:rPr>
        <w:t xml:space="preserve">allowances in relation to travel for business pertaining to or required by the office </w:t>
      </w:r>
      <w:r w:rsidR="004241A3">
        <w:rPr>
          <w:iCs/>
          <w:color w:val="auto"/>
          <w:szCs w:val="24"/>
        </w:rPr>
        <w:t xml:space="preserve">as if: </w:t>
      </w:r>
    </w:p>
    <w:p w14:paraId="7C248322" w14:textId="61252B71" w:rsidR="004241A3" w:rsidRPr="00605359" w:rsidRDefault="004241A3" w:rsidP="004241A3">
      <w:pPr>
        <w:pStyle w:val="Normal-em"/>
        <w:numPr>
          <w:ilvl w:val="0"/>
          <w:numId w:val="22"/>
        </w:numPr>
        <w:spacing w:after="0" w:line="240" w:lineRule="auto"/>
        <w:rPr>
          <w:iCs/>
          <w:color w:val="auto"/>
          <w:szCs w:val="24"/>
        </w:rPr>
      </w:pPr>
      <w:r>
        <w:rPr>
          <w:iCs/>
          <w:color w:val="auto"/>
          <w:szCs w:val="24"/>
        </w:rPr>
        <w:t xml:space="preserve">a reference in Parts 4, 5 and 6 of the </w:t>
      </w:r>
      <w:r w:rsidR="000E2D96">
        <w:rPr>
          <w:i/>
        </w:rPr>
        <w:t xml:space="preserve">Remuneration Tribunal (Official Travel) Determination 2019 </w:t>
      </w:r>
      <w:r w:rsidR="000E2D96">
        <w:rPr>
          <w:iCs/>
        </w:rPr>
        <w:t xml:space="preserve">(Official Travel Determination) to an office holder included a reference to the Inspector-General; and </w:t>
      </w:r>
    </w:p>
    <w:p w14:paraId="6A0066C3" w14:textId="5E8CF718" w:rsidR="000E2D96" w:rsidRPr="00605359" w:rsidRDefault="00187A7E" w:rsidP="004241A3">
      <w:pPr>
        <w:pStyle w:val="Normal-em"/>
        <w:numPr>
          <w:ilvl w:val="0"/>
          <w:numId w:val="22"/>
        </w:numPr>
        <w:spacing w:after="0" w:line="240" w:lineRule="auto"/>
        <w:rPr>
          <w:iCs/>
          <w:color w:val="auto"/>
          <w:szCs w:val="24"/>
        </w:rPr>
      </w:pPr>
      <w:r>
        <w:rPr>
          <w:iCs/>
        </w:rPr>
        <w:t xml:space="preserve">the travel tier specified for the Inspector-General for the purposes of the Official Travel Determination was </w:t>
      </w:r>
      <w:r w:rsidR="00D84A74">
        <w:rPr>
          <w:iCs/>
        </w:rPr>
        <w:t>t</w:t>
      </w:r>
      <w:r>
        <w:rPr>
          <w:iCs/>
        </w:rPr>
        <w:t xml:space="preserve">ier 2. </w:t>
      </w:r>
    </w:p>
    <w:p w14:paraId="7ED91032" w14:textId="684F4885" w:rsidR="00187A7E" w:rsidRDefault="00187A7E" w:rsidP="00187A7E">
      <w:pPr>
        <w:pStyle w:val="Normal-em"/>
        <w:spacing w:after="0" w:line="240" w:lineRule="auto"/>
        <w:rPr>
          <w:iCs/>
        </w:rPr>
      </w:pPr>
    </w:p>
    <w:p w14:paraId="197256C8" w14:textId="77777777" w:rsidR="002609D5" w:rsidRDefault="00187A7E" w:rsidP="00187A7E">
      <w:pPr>
        <w:pStyle w:val="Normal-em"/>
        <w:spacing w:after="0" w:line="240" w:lineRule="auto"/>
        <w:rPr>
          <w:iCs/>
        </w:rPr>
      </w:pPr>
      <w:r>
        <w:rPr>
          <w:iCs/>
        </w:rPr>
        <w:lastRenderedPageBreak/>
        <w:t>The reference to Official Travel Determination means a reference in the Official Travel Determination as in force at the commencement of the Determination.</w:t>
      </w:r>
    </w:p>
    <w:p w14:paraId="5EF8F987" w14:textId="77777777" w:rsidR="002609D5" w:rsidRDefault="002609D5" w:rsidP="00187A7E">
      <w:pPr>
        <w:pStyle w:val="Normal-em"/>
        <w:spacing w:after="0" w:line="240" w:lineRule="auto"/>
        <w:rPr>
          <w:iCs/>
        </w:rPr>
      </w:pPr>
    </w:p>
    <w:p w14:paraId="449E07FC" w14:textId="1ADC7B7B" w:rsidR="00187A7E" w:rsidRDefault="002609D5" w:rsidP="00187A7E">
      <w:pPr>
        <w:pStyle w:val="Normal-em"/>
        <w:spacing w:after="0" w:line="240" w:lineRule="auto"/>
        <w:rPr>
          <w:iCs/>
          <w:color w:val="auto"/>
          <w:szCs w:val="24"/>
        </w:rPr>
      </w:pPr>
      <w:r>
        <w:rPr>
          <w:iCs/>
        </w:rPr>
        <w:t xml:space="preserve">Part 4 of the Official Travel Determination </w:t>
      </w:r>
      <w:r w:rsidR="00E5453A" w:rsidRPr="005F6B97">
        <w:rPr>
          <w:iCs/>
          <w:color w:val="auto"/>
          <w:szCs w:val="24"/>
        </w:rPr>
        <w:t>sets out travel expenses and travel allowance.</w:t>
      </w:r>
    </w:p>
    <w:p w14:paraId="1779CAF1" w14:textId="366B4E4D" w:rsidR="00E5453A" w:rsidRDefault="00E5453A" w:rsidP="00187A7E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4DA7B624" w14:textId="4AAB5625" w:rsidR="00E5453A" w:rsidRDefault="00E5453A" w:rsidP="00187A7E">
      <w:pPr>
        <w:pStyle w:val="Normal-em"/>
        <w:spacing w:after="0" w:line="240" w:lineRule="auto"/>
        <w:rPr>
          <w:iCs/>
          <w:color w:val="auto"/>
          <w:szCs w:val="24"/>
        </w:rPr>
      </w:pPr>
      <w:r>
        <w:rPr>
          <w:iCs/>
        </w:rPr>
        <w:t>Part 5 of the Official Travel Determination</w:t>
      </w:r>
      <w:r w:rsidR="00CB1096" w:rsidRPr="00CB1096">
        <w:rPr>
          <w:iCs/>
          <w:color w:val="auto"/>
          <w:szCs w:val="24"/>
        </w:rPr>
        <w:t xml:space="preserve"> </w:t>
      </w:r>
      <w:r w:rsidR="00CB1096" w:rsidRPr="005F6B97">
        <w:rPr>
          <w:iCs/>
          <w:color w:val="auto"/>
          <w:szCs w:val="24"/>
        </w:rPr>
        <w:t>provides provisions for official travel by motor vehicle, including motor vehicle allowance.</w:t>
      </w:r>
    </w:p>
    <w:p w14:paraId="2A149B44" w14:textId="739540AA" w:rsidR="00CB1096" w:rsidRDefault="00CB1096" w:rsidP="00187A7E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3FDEA61B" w14:textId="2222C454" w:rsidR="00CB1096" w:rsidRDefault="00CB1096">
      <w:pPr>
        <w:pStyle w:val="Normal-em"/>
        <w:spacing w:after="0" w:line="240" w:lineRule="auto"/>
        <w:rPr>
          <w:iCs/>
          <w:color w:val="auto"/>
          <w:szCs w:val="24"/>
        </w:rPr>
      </w:pPr>
      <w:r>
        <w:rPr>
          <w:iCs/>
          <w:color w:val="auto"/>
          <w:szCs w:val="24"/>
        </w:rPr>
        <w:t xml:space="preserve">Part 6 </w:t>
      </w:r>
      <w:r>
        <w:rPr>
          <w:iCs/>
        </w:rPr>
        <w:t>of the Official Travel Determination</w:t>
      </w:r>
      <w:r w:rsidR="00882E84" w:rsidRPr="00882E84">
        <w:rPr>
          <w:iCs/>
          <w:szCs w:val="24"/>
        </w:rPr>
        <w:t xml:space="preserve"> </w:t>
      </w:r>
      <w:r w:rsidR="00882E84" w:rsidRPr="005F6B97">
        <w:rPr>
          <w:iCs/>
          <w:szCs w:val="24"/>
        </w:rPr>
        <w:t>provides rates of travel allowance.</w:t>
      </w:r>
    </w:p>
    <w:p w14:paraId="3A51DA0D" w14:textId="71270740" w:rsidR="00B62371" w:rsidRDefault="00B62371" w:rsidP="00191F99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6B41FFD4" w14:textId="7D9CC43E" w:rsidR="00191F99" w:rsidRPr="00605359" w:rsidRDefault="00B62371" w:rsidP="00605359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The effect of this </w:t>
      </w:r>
      <w:r w:rsidR="00882E84">
        <w:rPr>
          <w:color w:val="auto"/>
          <w:szCs w:val="24"/>
        </w:rPr>
        <w:t>sub</w:t>
      </w:r>
      <w:r>
        <w:rPr>
          <w:color w:val="auto"/>
          <w:szCs w:val="24"/>
        </w:rPr>
        <w:t xml:space="preserve">section is </w:t>
      </w:r>
      <w:r w:rsidR="00CE753E">
        <w:rPr>
          <w:color w:val="auto"/>
          <w:szCs w:val="24"/>
        </w:rPr>
        <w:t xml:space="preserve">that </w:t>
      </w:r>
      <w:r w:rsidR="009009F4">
        <w:rPr>
          <w:color w:val="auto"/>
          <w:szCs w:val="24"/>
        </w:rPr>
        <w:t xml:space="preserve">the </w:t>
      </w:r>
      <w:r>
        <w:rPr>
          <w:color w:val="auto"/>
          <w:szCs w:val="24"/>
        </w:rPr>
        <w:t>allowances in relation to travel for business pertaining to</w:t>
      </w:r>
      <w:r w:rsidR="005D1C16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or required by</w:t>
      </w:r>
      <w:r w:rsidR="005D1C16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the duties of the office </w:t>
      </w:r>
      <w:r w:rsidR="005D1C16">
        <w:rPr>
          <w:color w:val="auto"/>
          <w:szCs w:val="24"/>
        </w:rPr>
        <w:t xml:space="preserve">of </w:t>
      </w:r>
      <w:r w:rsidR="009009F4">
        <w:rPr>
          <w:color w:val="auto"/>
          <w:szCs w:val="24"/>
        </w:rPr>
        <w:t xml:space="preserve">the Inspector-General is paid </w:t>
      </w:r>
      <w:r w:rsidR="00C75CDA">
        <w:rPr>
          <w:color w:val="auto"/>
          <w:szCs w:val="24"/>
        </w:rPr>
        <w:t>in accordance with</w:t>
      </w:r>
      <w:r w:rsidR="009009F4">
        <w:rPr>
          <w:color w:val="auto"/>
          <w:szCs w:val="24"/>
        </w:rPr>
        <w:t xml:space="preserve"> </w:t>
      </w:r>
      <w:r w:rsidR="00D84A74">
        <w:rPr>
          <w:color w:val="auto"/>
          <w:szCs w:val="24"/>
        </w:rPr>
        <w:t>t</w:t>
      </w:r>
      <w:r w:rsidR="009009F4">
        <w:rPr>
          <w:color w:val="auto"/>
          <w:szCs w:val="24"/>
        </w:rPr>
        <w:t>ier 2</w:t>
      </w:r>
      <w:r w:rsidR="00C75CDA">
        <w:rPr>
          <w:color w:val="auto"/>
          <w:szCs w:val="24"/>
        </w:rPr>
        <w:t xml:space="preserve"> of the </w:t>
      </w:r>
      <w:r w:rsidR="00C75CDA">
        <w:rPr>
          <w:iCs/>
        </w:rPr>
        <w:t>Official Travel Determination</w:t>
      </w:r>
      <w:r w:rsidR="009009F4">
        <w:rPr>
          <w:color w:val="auto"/>
          <w:szCs w:val="24"/>
        </w:rPr>
        <w:t xml:space="preserve">. </w:t>
      </w:r>
      <w:r w:rsidR="00191F99">
        <w:rPr>
          <w:b/>
          <w:caps/>
          <w:szCs w:val="24"/>
          <w:u w:val="single"/>
        </w:rPr>
        <w:br w:type="page"/>
      </w:r>
    </w:p>
    <w:p w14:paraId="2CBD8A13" w14:textId="10A23BB4" w:rsidR="00935D7F" w:rsidRPr="005D1ABF" w:rsidRDefault="00935D7F" w:rsidP="00935D7F">
      <w:pPr>
        <w:pStyle w:val="Normal-em"/>
        <w:spacing w:after="0" w:line="240" w:lineRule="auto"/>
        <w:jc w:val="right"/>
        <w:rPr>
          <w:b/>
          <w:caps/>
          <w:szCs w:val="24"/>
          <w:u w:val="single"/>
        </w:rPr>
      </w:pPr>
      <w:r w:rsidRPr="005D1ABF">
        <w:rPr>
          <w:b/>
          <w:caps/>
          <w:szCs w:val="24"/>
          <w:u w:val="single"/>
        </w:rPr>
        <w:lastRenderedPageBreak/>
        <w:t>Attachment</w:t>
      </w:r>
      <w:r w:rsidR="003D1A84">
        <w:rPr>
          <w:b/>
          <w:caps/>
          <w:szCs w:val="24"/>
          <w:u w:val="single"/>
        </w:rPr>
        <w:t xml:space="preserve"> </w:t>
      </w:r>
      <w:r w:rsidR="00191F99">
        <w:rPr>
          <w:b/>
          <w:caps/>
          <w:szCs w:val="24"/>
          <w:u w:val="single"/>
        </w:rPr>
        <w:t>B</w:t>
      </w:r>
    </w:p>
    <w:p w14:paraId="7CC08E2A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AE955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14:paraId="5D760FF5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154F1F0C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7A813" w14:textId="408C5D18" w:rsidR="002B1DB3" w:rsidRPr="00605359" w:rsidRDefault="003924B3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359">
        <w:rPr>
          <w:rFonts w:ascii="Times New Roman" w:hAnsi="Times New Roman" w:cs="Times New Roman"/>
          <w:b/>
          <w:bCs/>
          <w:sz w:val="24"/>
          <w:szCs w:val="24"/>
        </w:rPr>
        <w:t xml:space="preserve">Water (Remuneration </w:t>
      </w:r>
      <w:r w:rsidR="00E6798F">
        <w:rPr>
          <w:rFonts w:ascii="Times New Roman" w:hAnsi="Times New Roman" w:cs="Times New Roman"/>
          <w:b/>
          <w:bCs/>
          <w:sz w:val="24"/>
          <w:szCs w:val="24"/>
        </w:rPr>
        <w:t xml:space="preserve">and Allowances </w:t>
      </w:r>
      <w:r w:rsidR="0099230A" w:rsidRPr="00605359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605359">
        <w:rPr>
          <w:rFonts w:ascii="Times New Roman" w:hAnsi="Times New Roman" w:cs="Times New Roman"/>
          <w:b/>
          <w:bCs/>
          <w:sz w:val="24"/>
          <w:szCs w:val="24"/>
        </w:rPr>
        <w:t>the Inspector-General of Water Compliance) Determination 2021</w:t>
      </w:r>
    </w:p>
    <w:p w14:paraId="7E25593B" w14:textId="77777777" w:rsidR="003924B3" w:rsidRPr="005D1ABF" w:rsidRDefault="003924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7C4DC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5D1ABF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5D1ABF">
        <w:rPr>
          <w:rFonts w:ascii="Times New Roman" w:hAnsi="Times New Roman" w:cs="Times New Roman"/>
          <w:sz w:val="24"/>
          <w:szCs w:val="24"/>
        </w:rPr>
        <w:t>.</w:t>
      </w:r>
    </w:p>
    <w:p w14:paraId="51F7EB3C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8494B" w14:textId="77777777" w:rsidR="002B1DB3" w:rsidRPr="005D1ABF" w:rsidRDefault="002B1DB3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Overview of the Legislative Instrument</w:t>
      </w:r>
    </w:p>
    <w:p w14:paraId="6BF09CAF" w14:textId="77777777" w:rsidR="002B1DB3" w:rsidRPr="003924B3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49D84" w14:textId="4C561BB7" w:rsidR="00CE753E" w:rsidRDefault="003924B3" w:rsidP="003924B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24">
        <w:rPr>
          <w:rFonts w:ascii="Times New Roman" w:hAnsi="Times New Roman" w:cs="Times New Roman"/>
          <w:sz w:val="24"/>
          <w:szCs w:val="24"/>
        </w:rPr>
        <w:t xml:space="preserve">The </w:t>
      </w:r>
      <w:r w:rsidRPr="00BC2224">
        <w:rPr>
          <w:rFonts w:ascii="Times New Roman" w:hAnsi="Times New Roman" w:cs="Times New Roman"/>
          <w:i/>
          <w:iCs/>
          <w:sz w:val="24"/>
          <w:szCs w:val="24"/>
        </w:rPr>
        <w:t>Water Legislation Amendment (Inspector-General of Water Compliance and Other Measures) Act 2021</w:t>
      </w:r>
      <w:r w:rsidRPr="00BC2224">
        <w:rPr>
          <w:rFonts w:ascii="Times New Roman" w:hAnsi="Times New Roman" w:cs="Times New Roman"/>
          <w:sz w:val="24"/>
          <w:szCs w:val="24"/>
        </w:rPr>
        <w:t xml:space="preserve"> (Amendment Act) was enacted on 30 June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BE2077" w14:textId="77777777" w:rsidR="00CE753E" w:rsidRDefault="00CE753E" w:rsidP="003924B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5208E" w14:textId="0D5331F7" w:rsidR="00CE753E" w:rsidRPr="005F6B97" w:rsidRDefault="00CE753E" w:rsidP="00CE753E">
      <w:pPr>
        <w:spacing w:after="0" w:line="240" w:lineRule="auto"/>
        <w:ind w:right="91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Once commenced, t</w:t>
      </w:r>
      <w:r w:rsidR="003924B3" w:rsidRPr="00BC2224">
        <w:rPr>
          <w:rFonts w:ascii="Times New Roman" w:hAnsi="Times New Roman" w:cs="Times New Roman"/>
          <w:sz w:val="24"/>
          <w:szCs w:val="24"/>
        </w:rPr>
        <w:t>he Amendment</w:t>
      </w:r>
      <w:r w:rsidR="003924B3">
        <w:rPr>
          <w:rFonts w:ascii="Times New Roman" w:hAnsi="Times New Roman" w:cs="Times New Roman"/>
          <w:sz w:val="24"/>
          <w:szCs w:val="24"/>
        </w:rPr>
        <w:t> </w:t>
      </w:r>
      <w:r w:rsidR="003924B3" w:rsidRPr="00BC2224">
        <w:rPr>
          <w:rFonts w:ascii="Times New Roman" w:hAnsi="Times New Roman" w:cs="Times New Roman"/>
          <w:sz w:val="24"/>
          <w:szCs w:val="24"/>
        </w:rPr>
        <w:t xml:space="preserve">Act </w:t>
      </w:r>
      <w:r>
        <w:rPr>
          <w:rFonts w:ascii="Times New Roman" w:hAnsi="Times New Roman" w:cs="Times New Roman"/>
          <w:sz w:val="24"/>
          <w:szCs w:val="24"/>
        </w:rPr>
        <w:t xml:space="preserve">will amend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Water </w:t>
      </w:r>
      <w:r w:rsidRPr="00CE753E">
        <w:rPr>
          <w:rFonts w:ascii="Times New Roman" w:hAnsi="Times New Roman" w:cs="Times New Roman"/>
          <w:i/>
          <w:iCs/>
          <w:sz w:val="24"/>
          <w:szCs w:val="24"/>
        </w:rPr>
        <w:t>Act 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(Water Act) by establishing the role of an Inspector-General of Water Compliance (Inspector-General). </w:t>
      </w:r>
      <w:r w:rsidRPr="00044130">
        <w:rPr>
          <w:rFonts w:ascii="Times New Roman" w:eastAsia="Times New Roman" w:hAnsi="Times New Roman" w:cs="Times New Roman"/>
          <w:sz w:val="24"/>
          <w:lang w:eastAsia="en-AU"/>
        </w:rPr>
        <w:t>The role of the Inspector-General is to monitor, and provide independent oversight of, water compliance</w:t>
      </w:r>
      <w:r>
        <w:rPr>
          <w:rFonts w:ascii="Times New Roman" w:eastAsia="Times New Roman" w:hAnsi="Times New Roman" w:cs="Times New Roman"/>
          <w:sz w:val="24"/>
          <w:lang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across the Basin Plan. The Amendment Act will commence on 5 August 2021. </w:t>
      </w:r>
    </w:p>
    <w:p w14:paraId="4BC1BCB5" w14:textId="77777777" w:rsidR="00CE753E" w:rsidRDefault="00CE753E" w:rsidP="003924B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AFF87" w14:textId="02216AE0" w:rsidR="00CE753E" w:rsidRDefault="00CE753E" w:rsidP="003924B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 Act </w:t>
      </w:r>
      <w:r w:rsidR="003924B3" w:rsidRPr="00CE753E">
        <w:rPr>
          <w:rFonts w:ascii="Times New Roman" w:hAnsi="Times New Roman" w:cs="Times New Roman"/>
          <w:sz w:val="24"/>
          <w:szCs w:val="24"/>
        </w:rPr>
        <w:t>insert</w:t>
      </w:r>
      <w:r w:rsidR="00D84A74">
        <w:rPr>
          <w:rFonts w:ascii="Times New Roman" w:hAnsi="Times New Roman" w:cs="Times New Roman"/>
          <w:sz w:val="24"/>
          <w:szCs w:val="24"/>
        </w:rPr>
        <w:t>s</w:t>
      </w:r>
      <w:r w:rsidR="003924B3" w:rsidRPr="00BC2224">
        <w:rPr>
          <w:rFonts w:ascii="Times New Roman" w:hAnsi="Times New Roman" w:cs="Times New Roman"/>
          <w:sz w:val="24"/>
          <w:szCs w:val="24"/>
        </w:rPr>
        <w:t xml:space="preserve"> a new section 215B into the Water Act which provides that there is to be an Inspector-General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2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E60DC" w14:textId="6AB6ABEA" w:rsidR="00CE753E" w:rsidRDefault="00CE753E" w:rsidP="003924B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BB790" w14:textId="570DB9AA" w:rsidR="000D3CA4" w:rsidRDefault="00CE753E" w:rsidP="000D3CA4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The Amendment Act also insert</w:t>
      </w:r>
      <w:r w:rsidR="00D84A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new section 215L </w:t>
      </w:r>
      <w:r w:rsidR="000D3CA4">
        <w:rPr>
          <w:rFonts w:ascii="Times New Roman" w:hAnsi="Times New Roman" w:cs="Times New Roman"/>
          <w:sz w:val="24"/>
        </w:rPr>
        <w:t xml:space="preserve">that deals with the remuneration and allowances of the Inspector-General. </w:t>
      </w:r>
    </w:p>
    <w:p w14:paraId="5E2D69E4" w14:textId="0F4426F9" w:rsidR="000D3CA4" w:rsidRDefault="000D3CA4" w:rsidP="000D3CA4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876E250" w14:textId="77777777" w:rsidR="00F24D15" w:rsidRDefault="00F24D15" w:rsidP="00F24D1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Subsection 215L(1) provides that </w:t>
      </w:r>
      <w:r>
        <w:rPr>
          <w:rFonts w:ascii="Times New Roman" w:hAnsi="Times New Roman"/>
          <w:sz w:val="24"/>
          <w:szCs w:val="24"/>
        </w:rPr>
        <w:t>the Inspector-General is to be paid the remuneration that</w:t>
      </w:r>
      <w:r w:rsidRPr="004C6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4C6655">
        <w:rPr>
          <w:rFonts w:ascii="Times New Roman" w:hAnsi="Times New Roman"/>
          <w:sz w:val="24"/>
          <w:szCs w:val="24"/>
        </w:rPr>
        <w:t>determined by the Remuneration Tribunal</w:t>
      </w:r>
      <w:r>
        <w:rPr>
          <w:rFonts w:ascii="Times New Roman" w:hAnsi="Times New Roman"/>
          <w:sz w:val="24"/>
          <w:szCs w:val="24"/>
        </w:rPr>
        <w:t xml:space="preserve"> (Tribunal)</w:t>
      </w:r>
      <w:r w:rsidRPr="004C66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If no determination of that remuneration by the Tribunal is in operation, the Inspector-General is to be paid the remuneration that is determined under subsection 215L(5).</w:t>
      </w:r>
      <w:r w:rsidRPr="00E909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</w:t>
      </w:r>
      <w:r w:rsidRPr="00B80236">
        <w:rPr>
          <w:rFonts w:ascii="Times New Roman" w:hAnsi="Times New Roman" w:cs="Times New Roman"/>
          <w:sz w:val="24"/>
        </w:rPr>
        <w:t>ubsection 215L(5)</w:t>
      </w:r>
      <w:r>
        <w:rPr>
          <w:rFonts w:ascii="Times New Roman" w:hAnsi="Times New Roman" w:cs="Times New Roman"/>
          <w:sz w:val="24"/>
        </w:rPr>
        <w:t xml:space="preserve">(a) provides that </w:t>
      </w:r>
      <w:r w:rsidRPr="00B80236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Minister may, by legislative instrument, determine remuneration for the purposes of subsection 215L(1).</w:t>
      </w:r>
    </w:p>
    <w:p w14:paraId="03D4FEB1" w14:textId="77777777" w:rsidR="00F24D15" w:rsidRDefault="00F24D15" w:rsidP="00F24D1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20463" w14:textId="1D3B87DF" w:rsidR="000D3CA4" w:rsidRDefault="00F24D15" w:rsidP="00F24D1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Subsection 215L(2) provides </w:t>
      </w:r>
      <w:r>
        <w:rPr>
          <w:rFonts w:ascii="Times New Roman" w:hAnsi="Times New Roman"/>
          <w:sz w:val="24"/>
          <w:szCs w:val="24"/>
        </w:rPr>
        <w:t>that the Inspector-General is to be paid the allowances that are determined under subsection 215L(5).</w:t>
      </w:r>
      <w:r>
        <w:rPr>
          <w:rFonts w:ascii="Times New Roman" w:hAnsi="Times New Roman" w:cs="Times New Roman"/>
          <w:sz w:val="24"/>
        </w:rPr>
        <w:t xml:space="preserve"> S</w:t>
      </w:r>
      <w:r w:rsidRPr="00B80236">
        <w:rPr>
          <w:rFonts w:ascii="Times New Roman" w:hAnsi="Times New Roman" w:cs="Times New Roman"/>
          <w:sz w:val="24"/>
        </w:rPr>
        <w:t>ubsection 215L(5)</w:t>
      </w:r>
      <w:r>
        <w:rPr>
          <w:rFonts w:ascii="Times New Roman" w:hAnsi="Times New Roman" w:cs="Times New Roman"/>
          <w:sz w:val="24"/>
        </w:rPr>
        <w:t xml:space="preserve">(b) provides that </w:t>
      </w:r>
      <w:r w:rsidRPr="00B80236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Minister may, by legislative instrument, determine allowances for the purposes of subsection 215L(2).</w:t>
      </w:r>
    </w:p>
    <w:p w14:paraId="345BB965" w14:textId="7377FCC4" w:rsidR="002B1DB3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83265" w14:textId="4387538A" w:rsidR="00D84A74" w:rsidRDefault="00D84A74" w:rsidP="00D84A74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intended that an Inspector-General will be appointed with </w:t>
      </w:r>
      <w:r w:rsidRPr="0047290F">
        <w:rPr>
          <w:rFonts w:ascii="Times New Roman" w:hAnsi="Times New Roman" w:cs="Times New Roman"/>
          <w:sz w:val="24"/>
        </w:rPr>
        <w:t>effect on 5 August 2021.</w:t>
      </w:r>
      <w:r w:rsidRPr="00771F54">
        <w:rPr>
          <w:rFonts w:ascii="Times New Roman" w:hAnsi="Times New Roman" w:cs="Times New Roman"/>
          <w:sz w:val="24"/>
        </w:rPr>
        <w:t xml:space="preserve"> </w:t>
      </w:r>
      <w:r w:rsidR="009729B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No determination by the Remuneration Tribunal will be in operation by 5 August 2021. </w:t>
      </w:r>
    </w:p>
    <w:p w14:paraId="135218F9" w14:textId="77777777" w:rsidR="00D84A74" w:rsidRDefault="00D84A74" w:rsidP="00D84A74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D28F2BF" w14:textId="192E35F2" w:rsidR="00D84A74" w:rsidRPr="00D84A74" w:rsidRDefault="00D84A74" w:rsidP="009729B1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9E6C8D">
        <w:rPr>
          <w:rFonts w:ascii="Times New Roman" w:hAnsi="Times New Roman" w:cs="Times New Roman"/>
          <w:sz w:val="24"/>
        </w:rPr>
        <w:t>he purpose of the</w:t>
      </w:r>
      <w:r>
        <w:rPr>
          <w:rFonts w:ascii="Times New Roman" w:hAnsi="Times New Roman" w:cs="Times New Roman"/>
          <w:sz w:val="24"/>
        </w:rPr>
        <w:t xml:space="preserve"> </w:t>
      </w:r>
      <w:r w:rsidRPr="00D05F1D">
        <w:rPr>
          <w:rFonts w:ascii="Times New Roman" w:hAnsi="Times New Roman" w:cs="Times New Roman"/>
          <w:i/>
          <w:iCs/>
          <w:sz w:val="24"/>
        </w:rPr>
        <w:t>Water (Remuneration and Allowances of the Inspector General of Water Compliance) Determination 2021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is </w:t>
      </w:r>
      <w:r w:rsidDel="00D05F1D">
        <w:rPr>
          <w:rFonts w:ascii="Times New Roman" w:hAnsi="Times New Roman" w:cs="Times New Roman"/>
          <w:sz w:val="24"/>
        </w:rPr>
        <w:t xml:space="preserve">for the Minister </w:t>
      </w:r>
      <w:r>
        <w:rPr>
          <w:rFonts w:ascii="Times New Roman" w:hAnsi="Times New Roman" w:cs="Times New Roman"/>
          <w:sz w:val="24"/>
        </w:rPr>
        <w:t xml:space="preserve">to determine the remuneration to be paid to the Inspector-General for the purposes of subsection 215L(1) and the allowances to be paid to the Inspector-General for the purposes of subsection 215L(2). This will enable the Inspector-General to receive remuneration and allowances from the date of appointment. </w:t>
      </w:r>
    </w:p>
    <w:p w14:paraId="125092B0" w14:textId="77777777" w:rsidR="00D84A74" w:rsidRPr="005D1ABF" w:rsidRDefault="00D84A74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2564" w14:textId="77777777" w:rsidR="002B1DB3" w:rsidRPr="005D1ABF" w:rsidRDefault="002B1DB3" w:rsidP="009729B1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lastRenderedPageBreak/>
        <w:t>Human rights implications</w:t>
      </w:r>
    </w:p>
    <w:p w14:paraId="587FB3C1" w14:textId="77777777" w:rsidR="00583E6E" w:rsidRDefault="00583E6E" w:rsidP="009729B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B5507" w14:textId="02036D2B" w:rsidR="002B1DB3" w:rsidRPr="00D67088" w:rsidRDefault="002B1DB3" w:rsidP="009729B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088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14:paraId="2757B74E" w14:textId="77777777" w:rsidR="00935D7F" w:rsidRDefault="00935D7F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A8E7C" w14:textId="4F8473B5" w:rsidR="002B1DB3" w:rsidRPr="005D1ABF" w:rsidRDefault="002B1DB3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12B4599" w14:textId="77777777" w:rsidR="00583E6E" w:rsidRDefault="00583E6E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90A81" w14:textId="361FE89B" w:rsidR="002B1DB3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p w14:paraId="2FAE6489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94366" w14:textId="1A59C86C" w:rsidR="003F2B62" w:rsidRPr="003F2B62" w:rsidRDefault="003F2B62" w:rsidP="003F2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B62">
        <w:rPr>
          <w:rFonts w:ascii="Times New Roman" w:hAnsi="Times New Roman" w:cs="Times New Roman"/>
          <w:b/>
          <w:bCs/>
          <w:sz w:val="24"/>
          <w:szCs w:val="24"/>
        </w:rPr>
        <w:t xml:space="preserve">The Hon. </w:t>
      </w:r>
      <w:r w:rsidR="00935D7F">
        <w:rPr>
          <w:rFonts w:ascii="Times New Roman" w:hAnsi="Times New Roman" w:cs="Times New Roman"/>
          <w:b/>
          <w:bCs/>
          <w:sz w:val="24"/>
          <w:szCs w:val="24"/>
        </w:rPr>
        <w:t>Keith Pitt</w:t>
      </w:r>
      <w:r w:rsidRPr="003F2B62">
        <w:rPr>
          <w:rFonts w:ascii="Times New Roman" w:hAnsi="Times New Roman" w:cs="Times New Roman"/>
          <w:b/>
          <w:bCs/>
          <w:sz w:val="24"/>
          <w:szCs w:val="24"/>
        </w:rPr>
        <w:t xml:space="preserve"> MP</w:t>
      </w:r>
    </w:p>
    <w:p w14:paraId="1CCB67EF" w14:textId="691202CD" w:rsidR="00FA26FF" w:rsidRPr="005D1ABF" w:rsidRDefault="00390CCA" w:rsidP="00033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Minister for </w:t>
      </w:r>
      <w:r w:rsidR="00935D7F">
        <w:rPr>
          <w:rFonts w:ascii="Times New Roman" w:hAnsi="Times New Roman" w:cs="Times New Roman"/>
          <w:b/>
          <w:bCs/>
          <w:sz w:val="24"/>
          <w:szCs w:val="24"/>
        </w:rPr>
        <w:t xml:space="preserve">Resources and </w:t>
      </w:r>
      <w:r>
        <w:rPr>
          <w:rFonts w:ascii="Times New Roman" w:hAnsi="Times New Roman" w:cs="Times New Roman"/>
          <w:b/>
          <w:bCs/>
          <w:sz w:val="24"/>
          <w:szCs w:val="24"/>
        </w:rPr>
        <w:t>Water Resources</w:t>
      </w:r>
      <w:r w:rsidR="00B80A1E" w:rsidRPr="005D1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A26FF" w:rsidRPr="005D1ABF" w:rsidSect="001C09F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284" w:footer="3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877E" w14:textId="77777777" w:rsidR="00B2432C" w:rsidRDefault="00B2432C" w:rsidP="00151C54">
      <w:r>
        <w:separator/>
      </w:r>
    </w:p>
  </w:endnote>
  <w:endnote w:type="continuationSeparator" w:id="0">
    <w:p w14:paraId="62C5561C" w14:textId="77777777" w:rsidR="00B2432C" w:rsidRDefault="00B2432C" w:rsidP="00151C54">
      <w:r>
        <w:continuationSeparator/>
      </w:r>
    </w:p>
  </w:endnote>
  <w:endnote w:type="continuationNotice" w:id="1">
    <w:p w14:paraId="64E4682B" w14:textId="77777777" w:rsidR="00B2432C" w:rsidRDefault="00B24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2933" w14:textId="77777777" w:rsidR="00273C11" w:rsidRPr="00273C11" w:rsidRDefault="00273C11" w:rsidP="00273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58A" w14:textId="77777777" w:rsidR="00273C11" w:rsidRPr="00273C11" w:rsidRDefault="00273C11" w:rsidP="00273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30C9" w14:textId="77777777" w:rsidR="00B2432C" w:rsidRDefault="00B2432C" w:rsidP="00151C54">
      <w:r>
        <w:separator/>
      </w:r>
    </w:p>
  </w:footnote>
  <w:footnote w:type="continuationSeparator" w:id="0">
    <w:p w14:paraId="06FB44DE" w14:textId="77777777" w:rsidR="00B2432C" w:rsidRDefault="00B2432C" w:rsidP="00151C54">
      <w:r>
        <w:continuationSeparator/>
      </w:r>
    </w:p>
  </w:footnote>
  <w:footnote w:type="continuationNotice" w:id="1">
    <w:p w14:paraId="060879B0" w14:textId="77777777" w:rsidR="00B2432C" w:rsidRDefault="00B243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441E" w14:textId="77777777" w:rsidR="00273C11" w:rsidRPr="00273C11" w:rsidRDefault="00273C11" w:rsidP="00273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2337" w14:textId="77777777" w:rsidR="00273C11" w:rsidRPr="005D1ABF" w:rsidRDefault="00273C11" w:rsidP="005D1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3AF6"/>
    <w:multiLevelType w:val="hybridMultilevel"/>
    <w:tmpl w:val="5398782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178EE"/>
    <w:multiLevelType w:val="hybridMultilevel"/>
    <w:tmpl w:val="CE2E531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1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41B02C67"/>
    <w:multiLevelType w:val="hybridMultilevel"/>
    <w:tmpl w:val="28AC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873532"/>
    <w:multiLevelType w:val="hybridMultilevel"/>
    <w:tmpl w:val="0DA60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>
      <w:start w:val="1"/>
      <w:numFmt w:val="lowerRoman"/>
      <w:lvlText w:val="%3."/>
      <w:lvlJc w:val="right"/>
      <w:pPr>
        <w:ind w:left="2793" w:hanging="180"/>
      </w:pPr>
    </w:lvl>
    <w:lvl w:ilvl="3" w:tplc="0C09000F">
      <w:start w:val="1"/>
      <w:numFmt w:val="decimal"/>
      <w:lvlText w:val="%4."/>
      <w:lvlJc w:val="left"/>
      <w:pPr>
        <w:ind w:left="3513" w:hanging="360"/>
      </w:pPr>
    </w:lvl>
    <w:lvl w:ilvl="4" w:tplc="0C090019">
      <w:start w:val="1"/>
      <w:numFmt w:val="lowerLetter"/>
      <w:lvlText w:val="%5."/>
      <w:lvlJc w:val="left"/>
      <w:pPr>
        <w:ind w:left="4233" w:hanging="360"/>
      </w:pPr>
    </w:lvl>
    <w:lvl w:ilvl="5" w:tplc="0C09001B">
      <w:start w:val="1"/>
      <w:numFmt w:val="lowerRoman"/>
      <w:lvlText w:val="%6."/>
      <w:lvlJc w:val="right"/>
      <w:pPr>
        <w:ind w:left="4953" w:hanging="180"/>
      </w:pPr>
    </w:lvl>
    <w:lvl w:ilvl="6" w:tplc="0C09000F">
      <w:start w:val="1"/>
      <w:numFmt w:val="decimal"/>
      <w:lvlText w:val="%7."/>
      <w:lvlJc w:val="left"/>
      <w:pPr>
        <w:ind w:left="5673" w:hanging="360"/>
      </w:pPr>
    </w:lvl>
    <w:lvl w:ilvl="7" w:tplc="0C090019">
      <w:start w:val="1"/>
      <w:numFmt w:val="lowerLetter"/>
      <w:lvlText w:val="%8."/>
      <w:lvlJc w:val="left"/>
      <w:pPr>
        <w:ind w:left="6393" w:hanging="360"/>
      </w:pPr>
    </w:lvl>
    <w:lvl w:ilvl="8" w:tplc="0C09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62B4E"/>
    <w:multiLevelType w:val="hybridMultilevel"/>
    <w:tmpl w:val="0798B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6"/>
  </w:num>
  <w:num w:numId="11">
    <w:abstractNumId w:val="18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0"/>
  </w:num>
  <w:num w:numId="15">
    <w:abstractNumId w:val="15"/>
  </w:num>
  <w:num w:numId="16">
    <w:abstractNumId w:val="19"/>
  </w:num>
  <w:num w:numId="17">
    <w:abstractNumId w:val="14"/>
  </w:num>
  <w:num w:numId="18">
    <w:abstractNumId w:val="12"/>
  </w:num>
  <w:num w:numId="19">
    <w:abstractNumId w:val="5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14"/>
    <w:rsid w:val="000223C5"/>
    <w:rsid w:val="00027942"/>
    <w:rsid w:val="00031F70"/>
    <w:rsid w:val="00033176"/>
    <w:rsid w:val="00035636"/>
    <w:rsid w:val="00046A5E"/>
    <w:rsid w:val="000503F4"/>
    <w:rsid w:val="00056D67"/>
    <w:rsid w:val="000629B8"/>
    <w:rsid w:val="000645AB"/>
    <w:rsid w:val="00076E1B"/>
    <w:rsid w:val="000858BB"/>
    <w:rsid w:val="00092F2C"/>
    <w:rsid w:val="000962BA"/>
    <w:rsid w:val="000976DB"/>
    <w:rsid w:val="000A52A2"/>
    <w:rsid w:val="000A65F6"/>
    <w:rsid w:val="000B129E"/>
    <w:rsid w:val="000C3693"/>
    <w:rsid w:val="000C3F25"/>
    <w:rsid w:val="000D07B5"/>
    <w:rsid w:val="000D3CA4"/>
    <w:rsid w:val="000D6DB1"/>
    <w:rsid w:val="000D78D6"/>
    <w:rsid w:val="000E2D96"/>
    <w:rsid w:val="000F08F2"/>
    <w:rsid w:val="000F6760"/>
    <w:rsid w:val="00102163"/>
    <w:rsid w:val="001125D9"/>
    <w:rsid w:val="00113C4E"/>
    <w:rsid w:val="0012062A"/>
    <w:rsid w:val="00127498"/>
    <w:rsid w:val="0012775E"/>
    <w:rsid w:val="001372D1"/>
    <w:rsid w:val="0013789E"/>
    <w:rsid w:val="00147559"/>
    <w:rsid w:val="00151C54"/>
    <w:rsid w:val="00153032"/>
    <w:rsid w:val="00161CE2"/>
    <w:rsid w:val="001669D6"/>
    <w:rsid w:val="001746B7"/>
    <w:rsid w:val="00175BD8"/>
    <w:rsid w:val="00180DEF"/>
    <w:rsid w:val="001813AC"/>
    <w:rsid w:val="0018228A"/>
    <w:rsid w:val="00187A7E"/>
    <w:rsid w:val="00191F99"/>
    <w:rsid w:val="001A5CE3"/>
    <w:rsid w:val="001B66BC"/>
    <w:rsid w:val="001C09FB"/>
    <w:rsid w:val="001C69AE"/>
    <w:rsid w:val="001C7A8A"/>
    <w:rsid w:val="001D006D"/>
    <w:rsid w:val="001D5528"/>
    <w:rsid w:val="001E1A14"/>
    <w:rsid w:val="001E6727"/>
    <w:rsid w:val="001F47AF"/>
    <w:rsid w:val="001F5A48"/>
    <w:rsid w:val="00203AAB"/>
    <w:rsid w:val="00212630"/>
    <w:rsid w:val="00224D28"/>
    <w:rsid w:val="002609D5"/>
    <w:rsid w:val="00271C2E"/>
    <w:rsid w:val="002737B5"/>
    <w:rsid w:val="00273C11"/>
    <w:rsid w:val="00284AA8"/>
    <w:rsid w:val="00294340"/>
    <w:rsid w:val="0029727D"/>
    <w:rsid w:val="002A500B"/>
    <w:rsid w:val="002B1DB3"/>
    <w:rsid w:val="002B208B"/>
    <w:rsid w:val="002B2B54"/>
    <w:rsid w:val="002B7A17"/>
    <w:rsid w:val="002D2972"/>
    <w:rsid w:val="002D3CE5"/>
    <w:rsid w:val="002D41BA"/>
    <w:rsid w:val="002D553B"/>
    <w:rsid w:val="002D66A4"/>
    <w:rsid w:val="002E1343"/>
    <w:rsid w:val="002F2F4C"/>
    <w:rsid w:val="003015AF"/>
    <w:rsid w:val="003064B1"/>
    <w:rsid w:val="003228F6"/>
    <w:rsid w:val="0033007C"/>
    <w:rsid w:val="00332D2B"/>
    <w:rsid w:val="00336054"/>
    <w:rsid w:val="0034613E"/>
    <w:rsid w:val="003710C0"/>
    <w:rsid w:val="003869BF"/>
    <w:rsid w:val="00387B76"/>
    <w:rsid w:val="00390CCA"/>
    <w:rsid w:val="003924B3"/>
    <w:rsid w:val="0039298F"/>
    <w:rsid w:val="003A2479"/>
    <w:rsid w:val="003A3A60"/>
    <w:rsid w:val="003B5695"/>
    <w:rsid w:val="003D1A84"/>
    <w:rsid w:val="003D6D6F"/>
    <w:rsid w:val="003E0906"/>
    <w:rsid w:val="003E5CA0"/>
    <w:rsid w:val="003F2B62"/>
    <w:rsid w:val="00402F72"/>
    <w:rsid w:val="004105CA"/>
    <w:rsid w:val="00416E5A"/>
    <w:rsid w:val="00417598"/>
    <w:rsid w:val="004223EC"/>
    <w:rsid w:val="004241A3"/>
    <w:rsid w:val="00442785"/>
    <w:rsid w:val="00445DCC"/>
    <w:rsid w:val="004565E0"/>
    <w:rsid w:val="004607C8"/>
    <w:rsid w:val="00461420"/>
    <w:rsid w:val="00462F50"/>
    <w:rsid w:val="00470AE8"/>
    <w:rsid w:val="0047290F"/>
    <w:rsid w:val="00474BF3"/>
    <w:rsid w:val="00483CF0"/>
    <w:rsid w:val="00485C1E"/>
    <w:rsid w:val="004A3A20"/>
    <w:rsid w:val="004B0DD7"/>
    <w:rsid w:val="004C276E"/>
    <w:rsid w:val="004C4387"/>
    <w:rsid w:val="004C5892"/>
    <w:rsid w:val="004C7450"/>
    <w:rsid w:val="004D18C2"/>
    <w:rsid w:val="004D257B"/>
    <w:rsid w:val="004E21DC"/>
    <w:rsid w:val="004E5E21"/>
    <w:rsid w:val="004E6468"/>
    <w:rsid w:val="004F006F"/>
    <w:rsid w:val="0050279C"/>
    <w:rsid w:val="00503069"/>
    <w:rsid w:val="005064A5"/>
    <w:rsid w:val="0051250F"/>
    <w:rsid w:val="00524522"/>
    <w:rsid w:val="00543544"/>
    <w:rsid w:val="00547846"/>
    <w:rsid w:val="005505AB"/>
    <w:rsid w:val="00565E6B"/>
    <w:rsid w:val="005664BC"/>
    <w:rsid w:val="00572C90"/>
    <w:rsid w:val="0058239B"/>
    <w:rsid w:val="00582E28"/>
    <w:rsid w:val="00583E6E"/>
    <w:rsid w:val="00587EB9"/>
    <w:rsid w:val="005902E8"/>
    <w:rsid w:val="005A0AB8"/>
    <w:rsid w:val="005B0205"/>
    <w:rsid w:val="005B6B55"/>
    <w:rsid w:val="005B7015"/>
    <w:rsid w:val="005B759C"/>
    <w:rsid w:val="005C1AC3"/>
    <w:rsid w:val="005C7337"/>
    <w:rsid w:val="005D1ABF"/>
    <w:rsid w:val="005D1C16"/>
    <w:rsid w:val="005D53EF"/>
    <w:rsid w:val="005E3D4B"/>
    <w:rsid w:val="005F66F2"/>
    <w:rsid w:val="006022C4"/>
    <w:rsid w:val="00605359"/>
    <w:rsid w:val="006058AA"/>
    <w:rsid w:val="00611B66"/>
    <w:rsid w:val="006168F9"/>
    <w:rsid w:val="006327D8"/>
    <w:rsid w:val="00633472"/>
    <w:rsid w:val="006400BC"/>
    <w:rsid w:val="006468D2"/>
    <w:rsid w:val="0064772B"/>
    <w:rsid w:val="00650566"/>
    <w:rsid w:val="00652426"/>
    <w:rsid w:val="00653C86"/>
    <w:rsid w:val="006553D3"/>
    <w:rsid w:val="00681FEE"/>
    <w:rsid w:val="00690055"/>
    <w:rsid w:val="006A253A"/>
    <w:rsid w:val="006A320D"/>
    <w:rsid w:val="006E6178"/>
    <w:rsid w:val="00700F91"/>
    <w:rsid w:val="00720AEC"/>
    <w:rsid w:val="00725DC1"/>
    <w:rsid w:val="00734BCB"/>
    <w:rsid w:val="00745BFD"/>
    <w:rsid w:val="00747E77"/>
    <w:rsid w:val="007613B7"/>
    <w:rsid w:val="00767639"/>
    <w:rsid w:val="00767D95"/>
    <w:rsid w:val="00771F54"/>
    <w:rsid w:val="00784976"/>
    <w:rsid w:val="00786C8C"/>
    <w:rsid w:val="00794F9C"/>
    <w:rsid w:val="007A4E7A"/>
    <w:rsid w:val="007B3C0B"/>
    <w:rsid w:val="007B3C56"/>
    <w:rsid w:val="007C45D8"/>
    <w:rsid w:val="007E3EC4"/>
    <w:rsid w:val="007F21BF"/>
    <w:rsid w:val="00813B12"/>
    <w:rsid w:val="008224BE"/>
    <w:rsid w:val="0082572E"/>
    <w:rsid w:val="008300B9"/>
    <w:rsid w:val="00840E07"/>
    <w:rsid w:val="00841053"/>
    <w:rsid w:val="0085100D"/>
    <w:rsid w:val="00857019"/>
    <w:rsid w:val="00857038"/>
    <w:rsid w:val="00870140"/>
    <w:rsid w:val="00870516"/>
    <w:rsid w:val="00877C5B"/>
    <w:rsid w:val="00882C59"/>
    <w:rsid w:val="00882E84"/>
    <w:rsid w:val="00896EBE"/>
    <w:rsid w:val="0089780D"/>
    <w:rsid w:val="008A2EB0"/>
    <w:rsid w:val="008B2D71"/>
    <w:rsid w:val="008B370D"/>
    <w:rsid w:val="008B73F3"/>
    <w:rsid w:val="008C1C7B"/>
    <w:rsid w:val="008C3F1D"/>
    <w:rsid w:val="008D29F0"/>
    <w:rsid w:val="008D4378"/>
    <w:rsid w:val="008D55E3"/>
    <w:rsid w:val="008F6D65"/>
    <w:rsid w:val="009009F4"/>
    <w:rsid w:val="00904E6A"/>
    <w:rsid w:val="009152CA"/>
    <w:rsid w:val="00922C40"/>
    <w:rsid w:val="00935D7F"/>
    <w:rsid w:val="00952A08"/>
    <w:rsid w:val="00961052"/>
    <w:rsid w:val="00961FB9"/>
    <w:rsid w:val="009729B1"/>
    <w:rsid w:val="00973468"/>
    <w:rsid w:val="009908D6"/>
    <w:rsid w:val="0099230A"/>
    <w:rsid w:val="00992814"/>
    <w:rsid w:val="00995D93"/>
    <w:rsid w:val="009A11A2"/>
    <w:rsid w:val="009A38F6"/>
    <w:rsid w:val="009B3BDE"/>
    <w:rsid w:val="009D5019"/>
    <w:rsid w:val="009E61C5"/>
    <w:rsid w:val="009F0197"/>
    <w:rsid w:val="009F7C62"/>
    <w:rsid w:val="00A024B3"/>
    <w:rsid w:val="00A03B43"/>
    <w:rsid w:val="00A045A6"/>
    <w:rsid w:val="00A10F66"/>
    <w:rsid w:val="00A351C1"/>
    <w:rsid w:val="00A35BD6"/>
    <w:rsid w:val="00A37FDF"/>
    <w:rsid w:val="00A411AF"/>
    <w:rsid w:val="00A426C7"/>
    <w:rsid w:val="00A438F9"/>
    <w:rsid w:val="00A57A31"/>
    <w:rsid w:val="00A629BA"/>
    <w:rsid w:val="00A66FC2"/>
    <w:rsid w:val="00A75B4E"/>
    <w:rsid w:val="00A806A9"/>
    <w:rsid w:val="00A92EDB"/>
    <w:rsid w:val="00A94CBA"/>
    <w:rsid w:val="00AA5F01"/>
    <w:rsid w:val="00AB5AE8"/>
    <w:rsid w:val="00AC4507"/>
    <w:rsid w:val="00AD4432"/>
    <w:rsid w:val="00AD48AB"/>
    <w:rsid w:val="00AD490E"/>
    <w:rsid w:val="00B030B7"/>
    <w:rsid w:val="00B20EBE"/>
    <w:rsid w:val="00B2432C"/>
    <w:rsid w:val="00B26C7F"/>
    <w:rsid w:val="00B37AB7"/>
    <w:rsid w:val="00B452D1"/>
    <w:rsid w:val="00B57443"/>
    <w:rsid w:val="00B62371"/>
    <w:rsid w:val="00B65C14"/>
    <w:rsid w:val="00B66DFF"/>
    <w:rsid w:val="00B80236"/>
    <w:rsid w:val="00B80A1E"/>
    <w:rsid w:val="00B82E91"/>
    <w:rsid w:val="00BA0B39"/>
    <w:rsid w:val="00BB2D39"/>
    <w:rsid w:val="00BB4AD3"/>
    <w:rsid w:val="00BB4CD3"/>
    <w:rsid w:val="00BB7041"/>
    <w:rsid w:val="00BC12A9"/>
    <w:rsid w:val="00BC1FEB"/>
    <w:rsid w:val="00BC2224"/>
    <w:rsid w:val="00BC2241"/>
    <w:rsid w:val="00BC6B2F"/>
    <w:rsid w:val="00BD34E3"/>
    <w:rsid w:val="00BD3594"/>
    <w:rsid w:val="00BE213E"/>
    <w:rsid w:val="00BE523F"/>
    <w:rsid w:val="00BE6861"/>
    <w:rsid w:val="00C06F49"/>
    <w:rsid w:val="00C142FA"/>
    <w:rsid w:val="00C154F5"/>
    <w:rsid w:val="00C20F5F"/>
    <w:rsid w:val="00C32367"/>
    <w:rsid w:val="00C36CC7"/>
    <w:rsid w:val="00C463C2"/>
    <w:rsid w:val="00C52CC5"/>
    <w:rsid w:val="00C55BA8"/>
    <w:rsid w:val="00C57334"/>
    <w:rsid w:val="00C6304F"/>
    <w:rsid w:val="00C75CDA"/>
    <w:rsid w:val="00C81402"/>
    <w:rsid w:val="00C832AB"/>
    <w:rsid w:val="00C86CF9"/>
    <w:rsid w:val="00C9474A"/>
    <w:rsid w:val="00CA6B81"/>
    <w:rsid w:val="00CB1096"/>
    <w:rsid w:val="00CB1A4A"/>
    <w:rsid w:val="00CB26E2"/>
    <w:rsid w:val="00CB7632"/>
    <w:rsid w:val="00CD1A71"/>
    <w:rsid w:val="00CD35B3"/>
    <w:rsid w:val="00CD7150"/>
    <w:rsid w:val="00CE72E2"/>
    <w:rsid w:val="00CE73AE"/>
    <w:rsid w:val="00CE753E"/>
    <w:rsid w:val="00CF1E27"/>
    <w:rsid w:val="00CF2006"/>
    <w:rsid w:val="00CF7161"/>
    <w:rsid w:val="00D048B1"/>
    <w:rsid w:val="00D0550D"/>
    <w:rsid w:val="00D05F1D"/>
    <w:rsid w:val="00D076DD"/>
    <w:rsid w:val="00D121A6"/>
    <w:rsid w:val="00D212E0"/>
    <w:rsid w:val="00D4128E"/>
    <w:rsid w:val="00D45E13"/>
    <w:rsid w:val="00D557BA"/>
    <w:rsid w:val="00D67088"/>
    <w:rsid w:val="00D70F10"/>
    <w:rsid w:val="00D76927"/>
    <w:rsid w:val="00D84A74"/>
    <w:rsid w:val="00D93E42"/>
    <w:rsid w:val="00DA2671"/>
    <w:rsid w:val="00DA4A03"/>
    <w:rsid w:val="00DD2C31"/>
    <w:rsid w:val="00DE2764"/>
    <w:rsid w:val="00DE6B9D"/>
    <w:rsid w:val="00DF0A1E"/>
    <w:rsid w:val="00DF3F6E"/>
    <w:rsid w:val="00DF47EC"/>
    <w:rsid w:val="00E11670"/>
    <w:rsid w:val="00E17A7C"/>
    <w:rsid w:val="00E33453"/>
    <w:rsid w:val="00E34976"/>
    <w:rsid w:val="00E379CE"/>
    <w:rsid w:val="00E502FE"/>
    <w:rsid w:val="00E507E0"/>
    <w:rsid w:val="00E52ED2"/>
    <w:rsid w:val="00E5453A"/>
    <w:rsid w:val="00E552D3"/>
    <w:rsid w:val="00E555F7"/>
    <w:rsid w:val="00E57D7B"/>
    <w:rsid w:val="00E67872"/>
    <w:rsid w:val="00E6798F"/>
    <w:rsid w:val="00E70274"/>
    <w:rsid w:val="00E76AB5"/>
    <w:rsid w:val="00E77CED"/>
    <w:rsid w:val="00E9099E"/>
    <w:rsid w:val="00E922D3"/>
    <w:rsid w:val="00E9571B"/>
    <w:rsid w:val="00EA7474"/>
    <w:rsid w:val="00EC1050"/>
    <w:rsid w:val="00EC1511"/>
    <w:rsid w:val="00EC4AD6"/>
    <w:rsid w:val="00EC4D6A"/>
    <w:rsid w:val="00ED3452"/>
    <w:rsid w:val="00EE0A3F"/>
    <w:rsid w:val="00EE5253"/>
    <w:rsid w:val="00EF2B5A"/>
    <w:rsid w:val="00EF7C81"/>
    <w:rsid w:val="00F11BB3"/>
    <w:rsid w:val="00F12365"/>
    <w:rsid w:val="00F24D15"/>
    <w:rsid w:val="00F83D80"/>
    <w:rsid w:val="00F95723"/>
    <w:rsid w:val="00FA26FF"/>
    <w:rsid w:val="00FA3E8D"/>
    <w:rsid w:val="00FA6239"/>
    <w:rsid w:val="00FA65D3"/>
    <w:rsid w:val="00FB3978"/>
    <w:rsid w:val="00FB4B41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5DD1F1A"/>
  <w15:docId w15:val="{4F4C1582-89CE-4AB5-9FA6-5FBFDAD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72E"/>
  </w:style>
  <w:style w:type="paragraph" w:styleId="Heading1">
    <w:name w:val="heading 1"/>
    <w:basedOn w:val="Normal"/>
    <w:next w:val="Normal"/>
    <w:link w:val="Heading1Char"/>
    <w:uiPriority w:val="9"/>
    <w:qFormat/>
    <w:rsid w:val="008257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7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/>
      <w:ind w:left="567" w:hanging="425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257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2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5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7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2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2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2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2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2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7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57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2572E"/>
    <w:rPr>
      <w:b/>
      <w:bCs/>
    </w:rPr>
  </w:style>
  <w:style w:type="character" w:styleId="Emphasis">
    <w:name w:val="Emphasis"/>
    <w:basedOn w:val="DefaultParagraphFont"/>
    <w:uiPriority w:val="20"/>
    <w:qFormat/>
    <w:rsid w:val="0082572E"/>
    <w:rPr>
      <w:i/>
      <w:iCs/>
    </w:rPr>
  </w:style>
  <w:style w:type="paragraph" w:styleId="NoSpacing">
    <w:name w:val="No Spacing"/>
    <w:uiPriority w:val="1"/>
    <w:qFormat/>
    <w:rsid w:val="008257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57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7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2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2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57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57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57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57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57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72E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E552D3"/>
    <w:rPr>
      <w:color w:val="800080" w:themeColor="followedHyperlink"/>
      <w:u w:val="single"/>
    </w:rPr>
  </w:style>
  <w:style w:type="character" w:customStyle="1" w:styleId="Advisorytext">
    <w:name w:val="Advisory text"/>
    <w:basedOn w:val="DefaultParagraphFont"/>
    <w:uiPriority w:val="99"/>
    <w:rsid w:val="006468D2"/>
    <w:rPr>
      <w:color w:val="FF0000"/>
    </w:rPr>
  </w:style>
  <w:style w:type="paragraph" w:customStyle="1" w:styleId="paragraphsub">
    <w:name w:val="paragraph(sub)"/>
    <w:aliases w:val="aa"/>
    <w:basedOn w:val="Normal"/>
    <w:rsid w:val="006468D2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 w:val="22"/>
      <w:lang w:eastAsia="en-AU"/>
    </w:rPr>
  </w:style>
  <w:style w:type="paragraph" w:customStyle="1" w:styleId="paragraph">
    <w:name w:val="paragraph"/>
    <w:aliases w:val="a"/>
    <w:basedOn w:val="Normal"/>
    <w:rsid w:val="006468D2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 w:val="22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6468D2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68D2"/>
    <w:rPr>
      <w:rFonts w:ascii="Times New Roman" w:eastAsia="Times New Roman" w:hAnsi="Times New Roman" w:cs="Times New Roman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11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CA1DBDEA73A6F44B5CC28D0E932BEAB" ma:contentTypeVersion="" ma:contentTypeDescription="PDMS Document Site Content Type" ma:contentTypeScope="" ma:versionID="ae6956fdbc8c6faeb5b76571e602e3e1">
  <xsd:schema xmlns:xsd="http://www.w3.org/2001/XMLSchema" xmlns:xs="http://www.w3.org/2001/XMLSchema" xmlns:p="http://schemas.microsoft.com/office/2006/metadata/properties" xmlns:ns2="14F1B2E4-18B0-46C5-906E-C86A7CD891CD" targetNamespace="http://schemas.microsoft.com/office/2006/metadata/properties" ma:root="true" ma:fieldsID="a18d0b59663d7090fc463efec9216058" ns2:_="">
    <xsd:import namespace="14F1B2E4-18B0-46C5-906E-C86A7CD891C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1B2E4-18B0-46C5-906E-C86A7CD891C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4F1B2E4-18B0-46C5-906E-C86A7CD891CD" xsi:nil="true"/>
  </documentManagement>
</p:properties>
</file>

<file path=customXml/itemProps1.xml><?xml version="1.0" encoding="utf-8"?>
<ds:datastoreItem xmlns:ds="http://schemas.openxmlformats.org/officeDocument/2006/customXml" ds:itemID="{29BA1E6E-5369-4D44-B719-C4C9B8591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30D73-9EE2-44BD-8EC3-0AA1E3B15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182676-5795-4243-811F-3E9D9C680F48}"/>
</file>

<file path=customXml/itemProps4.xml><?xml version="1.0" encoding="utf-8"?>
<ds:datastoreItem xmlns:ds="http://schemas.openxmlformats.org/officeDocument/2006/customXml" ds:itemID="{70D76F6B-2443-4C21-B236-691EFEE1D975}">
  <ds:schemaRefs>
    <ds:schemaRef ds:uri="http://schemas.microsoft.com/office/2006/metadata/properties"/>
    <ds:schemaRef ds:uri="http://schemas.microsoft.com/office/infopath/2007/PartnerControls"/>
    <ds:schemaRef ds:uri="85cf8989-dae7-4ccc-a9ed-d1047c35d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Meritt Nassif</dc:creator>
  <cp:lastModifiedBy>Marina, Angel</cp:lastModifiedBy>
  <cp:revision>3</cp:revision>
  <cp:lastPrinted>2012-12-13T05:35:00Z</cp:lastPrinted>
  <dcterms:created xsi:type="dcterms:W3CDTF">2021-08-02T01:25:00Z</dcterms:created>
  <dcterms:modified xsi:type="dcterms:W3CDTF">2021-08-02T01:30:00Z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0x010100266966F133664895A6EE3632470D45F500DCA1DBDEA73A6F44B5CC28D0E932BEAB</vt:lpwstr>
  </property>
</Properties>
</file>