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6EE504EC" w:rsidR="00486185" w:rsidRPr="000B2A05" w:rsidRDefault="00486185" w:rsidP="00D758BD">
      <w:pPr>
        <w:pStyle w:val="ActHead6"/>
        <w:jc w:val="center"/>
      </w:pPr>
      <w:bookmarkStart w:id="0" w:name="_GoBack"/>
      <w:bookmarkEnd w:id="0"/>
      <w:r w:rsidRPr="000B2A05">
        <w:t>EXPLANATORY STATEMENT</w:t>
      </w:r>
    </w:p>
    <w:p w14:paraId="6626F329" w14:textId="4DC3FDFC" w:rsidR="009A6866" w:rsidRPr="000B2A05" w:rsidRDefault="009A6866" w:rsidP="00D758BD">
      <w:pPr>
        <w:pStyle w:val="Heading6"/>
        <w:jc w:val="center"/>
      </w:pPr>
      <w:r w:rsidRPr="000B2A05">
        <w:t xml:space="preserve">Defence Determination, Conditions of service Amendment </w:t>
      </w:r>
      <w:r w:rsidR="000C3AA3" w:rsidRPr="000B2A05">
        <w:t>Determination 2021</w:t>
      </w:r>
      <w:r w:rsidR="00BE28F0" w:rsidRPr="000B2A05">
        <w:t xml:space="preserve"> (No. 1</w:t>
      </w:r>
      <w:r w:rsidR="000B2A05" w:rsidRPr="000B2A05">
        <w:t>5</w:t>
      </w:r>
      <w:r w:rsidRPr="000B2A05">
        <w:t>)</w:t>
      </w:r>
    </w:p>
    <w:p w14:paraId="383649D3" w14:textId="34CCAD04" w:rsidR="001E51FE" w:rsidRPr="000B2A05" w:rsidRDefault="001E51FE" w:rsidP="00EC45EE">
      <w:pPr>
        <w:pStyle w:val="Sectiontext"/>
        <w:tabs>
          <w:tab w:val="left" w:pos="7380"/>
        </w:tabs>
      </w:pPr>
      <w:r w:rsidRPr="000B2A05">
        <w:t xml:space="preserve">This Determination amends Defence Determination 2016/19, Conditions of service (the Principal Determination), made under section 58B of the </w:t>
      </w:r>
      <w:r w:rsidRPr="000B2A05">
        <w:rPr>
          <w:i/>
        </w:rPr>
        <w:t>Defence Act 1903</w:t>
      </w:r>
      <w:r w:rsidR="00FA083A" w:rsidRPr="000B2A05">
        <w:t xml:space="preserve"> </w:t>
      </w:r>
      <w:r w:rsidRPr="000B2A05">
        <w:t xml:space="preserve">and in accordance with subsection 33(3) of the </w:t>
      </w:r>
      <w:r w:rsidRPr="000B2A05">
        <w:rPr>
          <w:i/>
        </w:rPr>
        <w:t>Acts Interpretation Act 1901</w:t>
      </w:r>
      <w:r w:rsidR="00557413" w:rsidRPr="000B2A05">
        <w:t xml:space="preserve"> (AI</w:t>
      </w:r>
      <w:r w:rsidRPr="000B2A05">
        <w:t xml:space="preserve"> Act). </w:t>
      </w:r>
    </w:p>
    <w:p w14:paraId="15BAF105" w14:textId="249698CB" w:rsidR="001E51FE" w:rsidRPr="000B2A05" w:rsidRDefault="001E51FE" w:rsidP="001E51FE">
      <w:pPr>
        <w:pStyle w:val="Sectiontext"/>
        <w:tabs>
          <w:tab w:val="left" w:pos="7380"/>
        </w:tabs>
      </w:pPr>
      <w:r w:rsidRPr="000B2A05">
        <w:t xml:space="preserve">Determinations made under section 58B of the Defence Act are disallowable legislative instruments subject to the </w:t>
      </w:r>
      <w:r w:rsidRPr="000B2A05">
        <w:rPr>
          <w:i/>
        </w:rPr>
        <w:t>Legislation Act 2003</w:t>
      </w:r>
      <w:r w:rsidR="00724541" w:rsidRPr="000B2A05">
        <w:rPr>
          <w:i/>
        </w:rPr>
        <w:t xml:space="preserve"> </w:t>
      </w:r>
      <w:r w:rsidR="00724541" w:rsidRPr="000B2A05">
        <w:rPr>
          <w:iCs/>
        </w:rPr>
        <w:t>(Legislation Act)</w:t>
      </w:r>
      <w:r w:rsidRPr="000B2A05">
        <w:t>. These instruments are also subject to the interpret</w:t>
      </w:r>
      <w:r w:rsidR="00557413" w:rsidRPr="000B2A05">
        <w:t>ation principles in the AI</w:t>
      </w:r>
      <w:r w:rsidRPr="000B2A05">
        <w:t xml:space="preserve"> Act. </w:t>
      </w:r>
    </w:p>
    <w:p w14:paraId="0FF6B57A" w14:textId="144F5D1A" w:rsidR="00F46ABF" w:rsidRPr="000B2A05" w:rsidRDefault="007952E9" w:rsidP="00263C24">
      <w:pPr>
        <w:pStyle w:val="Sectiontext"/>
        <w:rPr>
          <w:snapToGrid w:val="0"/>
        </w:rPr>
      </w:pPr>
      <w:r w:rsidRPr="000B2A05">
        <w:rPr>
          <w:snapToGrid w:val="0"/>
        </w:rPr>
        <w:t>This Determination amends the Principal Determination</w:t>
      </w:r>
      <w:r w:rsidR="00F46ABF" w:rsidRPr="000B2A05">
        <w:rPr>
          <w:snapToGrid w:val="0"/>
        </w:rPr>
        <w:t xml:space="preserve"> which provides benefits</w:t>
      </w:r>
      <w:r w:rsidRPr="000B2A05">
        <w:rPr>
          <w:snapToGrid w:val="0"/>
        </w:rPr>
        <w:t xml:space="preserve"> for members of the</w:t>
      </w:r>
      <w:r w:rsidR="00F46ABF" w:rsidRPr="000B2A05">
        <w:rPr>
          <w:snapToGrid w:val="0"/>
        </w:rPr>
        <w:t xml:space="preserve"> Australian Defence Force (ADF) and their families as a part of the member’s conditions of service. The Principal Determination provides a range of benefits that recognise the unique nature of military service and the obligation and limitations that military service places on members and their families. Members undertake service in both the domestic and overseas environments, including on deployments. Specific benefits are provided for each environment.</w:t>
      </w:r>
    </w:p>
    <w:p w14:paraId="5AD87D2E" w14:textId="77777777" w:rsidR="00D758BD" w:rsidRPr="000B2A05" w:rsidRDefault="00D758BD" w:rsidP="00D758BD">
      <w:pPr>
        <w:pStyle w:val="Sectiontext"/>
        <w:jc w:val="center"/>
        <w:rPr>
          <w:b/>
          <w:snapToGrid w:val="0"/>
        </w:rPr>
      </w:pPr>
      <w:r w:rsidRPr="000B2A05">
        <w:rPr>
          <w:b/>
          <w:snapToGrid w:val="0"/>
        </w:rPr>
        <w:t>Purpose</w:t>
      </w:r>
    </w:p>
    <w:p w14:paraId="7C016ABC" w14:textId="7B6B46CE" w:rsidR="00F46ABF" w:rsidRPr="000B2A05" w:rsidRDefault="001E51FE" w:rsidP="000B2A05">
      <w:pPr>
        <w:pStyle w:val="Sectiontext"/>
        <w:rPr>
          <w:snapToGrid w:val="0"/>
        </w:rPr>
      </w:pPr>
      <w:r w:rsidRPr="000B2A05">
        <w:rPr>
          <w:snapToGrid w:val="0"/>
        </w:rPr>
        <w:t>The purpose of this Determination is to</w:t>
      </w:r>
      <w:r w:rsidR="00F46ABF" w:rsidRPr="000B2A05">
        <w:rPr>
          <w:snapToGrid w:val="0"/>
        </w:rPr>
        <w:t xml:space="preserve"> </w:t>
      </w:r>
      <w:r w:rsidR="000B2A05" w:rsidRPr="000B2A05">
        <w:rPr>
          <w:snapToGrid w:val="0"/>
        </w:rPr>
        <w:t>provide</w:t>
      </w:r>
      <w:r w:rsidR="00A12BB4" w:rsidRPr="000B2A05">
        <w:rPr>
          <w:snapToGrid w:val="0"/>
        </w:rPr>
        <w:t xml:space="preserve"> benefits for members who are on a long-term posting overseas in response to, and recognition of, the additional difficulties experienced as a consequence of the COVID-19 pandemic in overseas locations. These benefits also align, where possible, the conditions of service of a member with the benefits of an employee of the Department of Foreign Affairs and Trade (DFAT).</w:t>
      </w:r>
    </w:p>
    <w:p w14:paraId="1110C50C" w14:textId="77777777" w:rsidR="00172267" w:rsidRPr="000B2A05" w:rsidRDefault="00172267" w:rsidP="00172267">
      <w:pPr>
        <w:pStyle w:val="Sectiontext"/>
        <w:jc w:val="center"/>
        <w:rPr>
          <w:b/>
          <w:snapToGrid w:val="0"/>
        </w:rPr>
      </w:pPr>
      <w:r w:rsidRPr="000B2A05">
        <w:rPr>
          <w:b/>
          <w:snapToGrid w:val="0"/>
        </w:rPr>
        <w:t>Operational details</w:t>
      </w:r>
    </w:p>
    <w:p w14:paraId="4B642344" w14:textId="77777777" w:rsidR="00172267" w:rsidRPr="000B2A05" w:rsidRDefault="00172267" w:rsidP="00172267">
      <w:pPr>
        <w:pStyle w:val="Sectiontext"/>
        <w:rPr>
          <w:snapToGrid w:val="0"/>
        </w:rPr>
      </w:pPr>
      <w:r w:rsidRPr="000B2A05">
        <w:rPr>
          <w:snapToGrid w:val="0"/>
        </w:rPr>
        <w:t>Details of the operation of the Determination are provided at annex A.</w:t>
      </w:r>
    </w:p>
    <w:p w14:paraId="5BA9D399" w14:textId="77777777" w:rsidR="00172267" w:rsidRPr="000B2A05" w:rsidRDefault="00172267" w:rsidP="00172267">
      <w:pPr>
        <w:pStyle w:val="Sectiontext"/>
        <w:jc w:val="center"/>
        <w:rPr>
          <w:b/>
          <w:snapToGrid w:val="0"/>
        </w:rPr>
      </w:pPr>
      <w:r w:rsidRPr="000B2A05">
        <w:rPr>
          <w:b/>
          <w:snapToGrid w:val="0"/>
        </w:rPr>
        <w:t>Human rights compatibility</w:t>
      </w:r>
    </w:p>
    <w:p w14:paraId="1D278401" w14:textId="67E074CF" w:rsidR="00172267" w:rsidRPr="000B2A05" w:rsidRDefault="00172267" w:rsidP="00172267">
      <w:pPr>
        <w:pStyle w:val="Sectiontext"/>
        <w:rPr>
          <w:snapToGrid w:val="0"/>
        </w:rPr>
      </w:pPr>
      <w:r w:rsidRPr="000B2A05">
        <w:rPr>
          <w:snapToGrid w:val="0"/>
        </w:rPr>
        <w:t xml:space="preserve">The statement of compatibility under subsection 9(1) of the </w:t>
      </w:r>
      <w:r w:rsidRPr="000B2A05">
        <w:rPr>
          <w:i/>
          <w:snapToGrid w:val="0"/>
        </w:rPr>
        <w:t>Human Righ</w:t>
      </w:r>
      <w:r w:rsidR="00F45276" w:rsidRPr="000B2A05">
        <w:rPr>
          <w:i/>
          <w:snapToGrid w:val="0"/>
        </w:rPr>
        <w:t>ts (Parliamentary Scrutiny) Act </w:t>
      </w:r>
      <w:r w:rsidRPr="000B2A05">
        <w:rPr>
          <w:i/>
          <w:snapToGrid w:val="0"/>
        </w:rPr>
        <w:t>2011</w:t>
      </w:r>
      <w:r w:rsidRPr="000B2A05">
        <w:rPr>
          <w:snapToGrid w:val="0"/>
        </w:rPr>
        <w:t xml:space="preserve"> for this Determination is at annex B.</w:t>
      </w:r>
    </w:p>
    <w:p w14:paraId="03388303" w14:textId="77777777" w:rsidR="00172267" w:rsidRPr="000B2A05" w:rsidRDefault="00172267" w:rsidP="00172267">
      <w:pPr>
        <w:pStyle w:val="Sectiontext"/>
        <w:jc w:val="center"/>
        <w:rPr>
          <w:b/>
          <w:snapToGrid w:val="0"/>
        </w:rPr>
      </w:pPr>
      <w:r w:rsidRPr="000B2A05">
        <w:rPr>
          <w:b/>
          <w:snapToGrid w:val="0"/>
        </w:rPr>
        <w:t>Review options</w:t>
      </w:r>
    </w:p>
    <w:p w14:paraId="30F43976" w14:textId="44C98D24" w:rsidR="00F46ABF" w:rsidRPr="000B2A05" w:rsidRDefault="00F46ABF" w:rsidP="00263C24">
      <w:pPr>
        <w:pStyle w:val="Sectiontext"/>
        <w:rPr>
          <w:snapToGrid w:val="0"/>
        </w:rPr>
      </w:pPr>
      <w:r w:rsidRPr="000B2A05">
        <w:rPr>
          <w:snapToGrid w:val="0"/>
        </w:rPr>
        <w:t xml:space="preserve">Decisions that are made under the Principal Determination, as amended by this Determination, may be subject to inquiry under the ADF redress of grievance system provided under Part 7 of the </w:t>
      </w:r>
      <w:r w:rsidRPr="000B2A05">
        <w:rPr>
          <w:i/>
          <w:snapToGrid w:val="0"/>
        </w:rPr>
        <w:t>Defence Regulation 2016</w:t>
      </w:r>
      <w:r w:rsidRPr="000B2A05">
        <w:rPr>
          <w:snapToGrid w:val="0"/>
        </w:rPr>
        <w:t>. Also, a person may make a complaint to the Defence Force Ombudsman.</w:t>
      </w:r>
    </w:p>
    <w:p w14:paraId="77FA3371" w14:textId="1EFCF2C7" w:rsidR="00BE28F0" w:rsidRPr="00A03A45" w:rsidRDefault="00BE28F0" w:rsidP="00A03A45">
      <w:pPr>
        <w:pStyle w:val="Sectiontext"/>
        <w:jc w:val="center"/>
        <w:rPr>
          <w:b/>
          <w:snapToGrid w:val="0"/>
        </w:rPr>
      </w:pPr>
      <w:r w:rsidRPr="00A03A45">
        <w:rPr>
          <w:b/>
          <w:snapToGrid w:val="0"/>
        </w:rPr>
        <w:t>Consultation</w:t>
      </w:r>
    </w:p>
    <w:p w14:paraId="1620A2E0" w14:textId="7F5A073F" w:rsidR="00BE28F0" w:rsidRPr="000B2A05" w:rsidRDefault="00BE28F0" w:rsidP="000B2A05">
      <w:pPr>
        <w:pStyle w:val="Sectiontext"/>
        <w:rPr>
          <w:snapToGrid w:val="0"/>
        </w:rPr>
      </w:pPr>
      <w:r w:rsidRPr="000B2A05">
        <w:rPr>
          <w:snapToGrid w:val="0"/>
        </w:rPr>
        <w:t xml:space="preserve">Before this Determination was made, the </w:t>
      </w:r>
      <w:r w:rsidR="000B2A05" w:rsidRPr="000B2A05">
        <w:rPr>
          <w:snapToGrid w:val="0"/>
        </w:rPr>
        <w:t xml:space="preserve">consultation was </w:t>
      </w:r>
      <w:r w:rsidRPr="000B2A05">
        <w:rPr>
          <w:snapToGrid w:val="0"/>
        </w:rPr>
        <w:t>with the Departme</w:t>
      </w:r>
      <w:r w:rsidR="00330BAD" w:rsidRPr="000B2A05">
        <w:rPr>
          <w:snapToGrid w:val="0"/>
        </w:rPr>
        <w:t>nt of Foreign Affairs and Trade</w:t>
      </w:r>
      <w:r w:rsidRPr="000B2A05">
        <w:rPr>
          <w:snapToGrid w:val="0"/>
        </w:rPr>
        <w:t xml:space="preserve"> and the Directorate of Overseas and Attaché Management</w:t>
      </w:r>
      <w:r w:rsidR="000B2A05" w:rsidRPr="000B2A05">
        <w:rPr>
          <w:snapToGrid w:val="0"/>
        </w:rPr>
        <w:t>, the Defence COVID-19 taskforce</w:t>
      </w:r>
      <w:r w:rsidRPr="000B2A05">
        <w:rPr>
          <w:snapToGrid w:val="0"/>
        </w:rPr>
        <w:t>.</w:t>
      </w:r>
    </w:p>
    <w:p w14:paraId="7D151D46" w14:textId="77777777" w:rsidR="00BE28F0" w:rsidRPr="000B2A05" w:rsidRDefault="00BE28F0" w:rsidP="00BE28F0">
      <w:pPr>
        <w:pStyle w:val="Sectiontext"/>
        <w:rPr>
          <w:snapToGrid w:val="0"/>
        </w:rPr>
      </w:pPr>
      <w:r w:rsidRPr="000B2A05">
        <w:rPr>
          <w:snapToGrid w:val="0"/>
        </w:rPr>
        <w:t>The rule maker was satisfied that further external consultation was not required.</w:t>
      </w:r>
    </w:p>
    <w:p w14:paraId="5E100868" w14:textId="77777777" w:rsidR="00BE28F0" w:rsidRPr="000B2A05" w:rsidRDefault="00BE28F0" w:rsidP="00BE28F0">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109CE" w:rsidRPr="000B2A05" w14:paraId="38CD9A7F" w14:textId="77777777" w:rsidTr="006109CE">
        <w:tc>
          <w:tcPr>
            <w:tcW w:w="4672" w:type="dxa"/>
          </w:tcPr>
          <w:p w14:paraId="36EBFD4F" w14:textId="41F5C444" w:rsidR="006109CE" w:rsidRPr="000B2A05" w:rsidRDefault="006109CE" w:rsidP="001739E7">
            <w:pPr>
              <w:keepNext/>
              <w:jc w:val="right"/>
              <w:rPr>
                <w:rFonts w:ascii="Arial" w:hAnsi="Arial" w:cs="Arial"/>
                <w:b/>
                <w:sz w:val="20"/>
              </w:rPr>
            </w:pPr>
            <w:r w:rsidRPr="000B2A05">
              <w:rPr>
                <w:rFonts w:ascii="Arial" w:hAnsi="Arial" w:cs="Arial"/>
                <w:b/>
                <w:sz w:val="20"/>
              </w:rPr>
              <w:lastRenderedPageBreak/>
              <w:t>Approved by:</w:t>
            </w:r>
          </w:p>
        </w:tc>
        <w:tc>
          <w:tcPr>
            <w:tcW w:w="4673" w:type="dxa"/>
          </w:tcPr>
          <w:p w14:paraId="69395469" w14:textId="77777777" w:rsidR="006109CE" w:rsidRPr="000B2A05" w:rsidRDefault="006109CE" w:rsidP="006109CE">
            <w:pPr>
              <w:keepNext/>
              <w:jc w:val="right"/>
              <w:rPr>
                <w:rFonts w:ascii="Arial" w:hAnsi="Arial" w:cs="Arial"/>
                <w:b/>
                <w:sz w:val="20"/>
              </w:rPr>
            </w:pPr>
            <w:r w:rsidRPr="000B2A05">
              <w:rPr>
                <w:rFonts w:ascii="Arial" w:hAnsi="Arial" w:cs="Arial"/>
                <w:b/>
                <w:sz w:val="20"/>
              </w:rPr>
              <w:t>Fiona Louise McSpeerin</w:t>
            </w:r>
          </w:p>
          <w:p w14:paraId="57681E8E" w14:textId="77777777" w:rsidR="006109CE" w:rsidRPr="000B2A05" w:rsidRDefault="006109CE" w:rsidP="006109CE">
            <w:pPr>
              <w:keepNext/>
              <w:jc w:val="right"/>
              <w:rPr>
                <w:rFonts w:ascii="Arial" w:hAnsi="Arial" w:cs="Arial"/>
                <w:sz w:val="20"/>
              </w:rPr>
            </w:pPr>
            <w:r w:rsidRPr="000B2A05">
              <w:rPr>
                <w:rFonts w:ascii="Arial" w:hAnsi="Arial" w:cs="Arial"/>
                <w:sz w:val="20"/>
              </w:rPr>
              <w:t>Assistant Secretary</w:t>
            </w:r>
          </w:p>
          <w:p w14:paraId="50690254" w14:textId="77777777" w:rsidR="006109CE" w:rsidRPr="000B2A05" w:rsidRDefault="006109CE" w:rsidP="006109CE">
            <w:pPr>
              <w:keepNext/>
              <w:jc w:val="right"/>
              <w:rPr>
                <w:rFonts w:ascii="Arial" w:hAnsi="Arial" w:cs="Arial"/>
                <w:sz w:val="20"/>
              </w:rPr>
            </w:pPr>
            <w:r w:rsidRPr="000B2A05">
              <w:rPr>
                <w:rFonts w:ascii="Arial" w:hAnsi="Arial" w:cs="Arial"/>
                <w:sz w:val="20"/>
              </w:rPr>
              <w:t>People Policy and Employment Conditions</w:t>
            </w:r>
          </w:p>
          <w:p w14:paraId="1661963F" w14:textId="77777777" w:rsidR="006109CE" w:rsidRPr="000B2A05" w:rsidRDefault="006109CE" w:rsidP="001739E7">
            <w:pPr>
              <w:keepNext/>
              <w:jc w:val="right"/>
              <w:rPr>
                <w:rFonts w:ascii="Arial" w:hAnsi="Arial" w:cs="Arial"/>
                <w:b/>
                <w:sz w:val="20"/>
              </w:rPr>
            </w:pPr>
          </w:p>
        </w:tc>
      </w:tr>
      <w:tr w:rsidR="006109CE" w:rsidRPr="000B2A05" w14:paraId="6D642A20" w14:textId="77777777" w:rsidTr="006109CE">
        <w:tc>
          <w:tcPr>
            <w:tcW w:w="4672" w:type="dxa"/>
          </w:tcPr>
          <w:p w14:paraId="42ACC909" w14:textId="3D0554E5" w:rsidR="006109CE" w:rsidRPr="000B2A05" w:rsidRDefault="006109CE" w:rsidP="001739E7">
            <w:pPr>
              <w:keepNext/>
              <w:jc w:val="right"/>
              <w:rPr>
                <w:rFonts w:ascii="Arial" w:hAnsi="Arial" w:cs="Arial"/>
                <w:b/>
                <w:sz w:val="20"/>
              </w:rPr>
            </w:pPr>
            <w:r w:rsidRPr="000B2A05">
              <w:rPr>
                <w:rFonts w:ascii="Arial" w:hAnsi="Arial" w:cs="Arial"/>
                <w:b/>
                <w:sz w:val="20"/>
              </w:rPr>
              <w:t>Authority:</w:t>
            </w:r>
          </w:p>
        </w:tc>
        <w:tc>
          <w:tcPr>
            <w:tcW w:w="4673" w:type="dxa"/>
          </w:tcPr>
          <w:p w14:paraId="79A9425F" w14:textId="13B3267C" w:rsidR="006109CE" w:rsidRPr="000B2A05" w:rsidRDefault="006109CE" w:rsidP="001739E7">
            <w:pPr>
              <w:keepNext/>
              <w:jc w:val="right"/>
              <w:rPr>
                <w:rFonts w:ascii="Arial" w:hAnsi="Arial" w:cs="Arial"/>
                <w:b/>
                <w:sz w:val="20"/>
              </w:rPr>
            </w:pPr>
            <w:r w:rsidRPr="000B2A05">
              <w:rPr>
                <w:rFonts w:ascii="Arial" w:hAnsi="Arial" w:cs="Arial"/>
                <w:sz w:val="20"/>
              </w:rPr>
              <w:t xml:space="preserve">Section 58B of the </w:t>
            </w:r>
            <w:r w:rsidRPr="000B2A05">
              <w:rPr>
                <w:rFonts w:ascii="Arial" w:hAnsi="Arial" w:cs="Arial"/>
                <w:sz w:val="20"/>
              </w:rPr>
              <w:br/>
            </w:r>
            <w:r w:rsidRPr="000B2A05">
              <w:rPr>
                <w:rFonts w:ascii="Arial" w:hAnsi="Arial" w:cs="Arial"/>
                <w:i/>
                <w:sz w:val="20"/>
              </w:rPr>
              <w:t>Defence Act 1903</w:t>
            </w:r>
          </w:p>
        </w:tc>
      </w:tr>
    </w:tbl>
    <w:p w14:paraId="64A16BC2" w14:textId="77777777" w:rsidR="001739E7" w:rsidRPr="000B2A05" w:rsidRDefault="001739E7" w:rsidP="001739E7">
      <w:pPr>
        <w:tabs>
          <w:tab w:val="left" w:pos="8130"/>
        </w:tabs>
        <w:rPr>
          <w:rFonts w:ascii="Arial" w:hAnsi="Arial" w:cs="Arial"/>
          <w:sz w:val="20"/>
          <w:lang w:eastAsia="en-AU"/>
        </w:rPr>
      </w:pPr>
    </w:p>
    <w:p w14:paraId="216DFEA0" w14:textId="6B6CA33D" w:rsidR="001739E7" w:rsidRPr="000B2A05" w:rsidRDefault="001739E7" w:rsidP="001739E7">
      <w:pPr>
        <w:tabs>
          <w:tab w:val="left" w:pos="8130"/>
        </w:tabs>
        <w:rPr>
          <w:lang w:eastAsia="en-AU"/>
        </w:rPr>
        <w:sectPr w:rsidR="001739E7" w:rsidRPr="000B2A05"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377EC921" w14:textId="1546A47E" w:rsidR="001739E7" w:rsidRPr="000B2A05" w:rsidRDefault="001739E7" w:rsidP="001739E7">
      <w:pPr>
        <w:pStyle w:val="Sectiontext"/>
        <w:jc w:val="right"/>
        <w:rPr>
          <w:b/>
          <w:snapToGrid w:val="0"/>
        </w:rPr>
      </w:pPr>
      <w:r w:rsidRPr="000B2A05">
        <w:rPr>
          <w:b/>
          <w:snapToGrid w:val="0"/>
        </w:rPr>
        <w:lastRenderedPageBreak/>
        <w:t>Annex A</w:t>
      </w:r>
    </w:p>
    <w:p w14:paraId="50D1BA68" w14:textId="6A466F67" w:rsidR="001739E7" w:rsidRPr="000B2A05" w:rsidRDefault="001739E7" w:rsidP="001739E7">
      <w:pPr>
        <w:pStyle w:val="Sectiontext"/>
        <w:jc w:val="center"/>
        <w:rPr>
          <w:b/>
          <w:bCs/>
          <w:i/>
          <w:noProof/>
          <w:snapToGrid w:val="0"/>
          <w:lang w:val="en-US"/>
        </w:rPr>
      </w:pPr>
      <w:r w:rsidRPr="000B2A05">
        <w:rPr>
          <w:b/>
          <w:i/>
          <w:snapToGrid w:val="0"/>
        </w:rPr>
        <w:fldChar w:fldCharType="begin"/>
      </w:r>
      <w:r w:rsidRPr="000B2A05">
        <w:rPr>
          <w:b/>
          <w:i/>
          <w:snapToGrid w:val="0"/>
        </w:rPr>
        <w:instrText xml:space="preserve"> STYLEREF  "Heading 6,ES-HRS Title"  \* MERGEFORMAT </w:instrText>
      </w:r>
      <w:r w:rsidRPr="000B2A05">
        <w:rPr>
          <w:b/>
          <w:i/>
          <w:snapToGrid w:val="0"/>
        </w:rPr>
        <w:fldChar w:fldCharType="separate"/>
      </w:r>
      <w:r w:rsidR="000B2A05" w:rsidRPr="000B2A05">
        <w:rPr>
          <w:b/>
          <w:bCs/>
          <w:i/>
          <w:noProof/>
          <w:snapToGrid w:val="0"/>
          <w:lang w:val="en-US"/>
        </w:rPr>
        <w:t xml:space="preserve">Defence Determination, Conditions of service Amendment Determination 2021 </w:t>
      </w:r>
      <w:r w:rsidR="000B2A05" w:rsidRPr="000B2A05">
        <w:rPr>
          <w:b/>
          <w:i/>
          <w:noProof/>
          <w:snapToGrid w:val="0"/>
        </w:rPr>
        <w:t>(No. 15)</w:t>
      </w:r>
      <w:r w:rsidRPr="000B2A05">
        <w:rPr>
          <w:b/>
          <w:i/>
          <w:snapToGrid w:val="0"/>
        </w:rPr>
        <w:fldChar w:fldCharType="end"/>
      </w:r>
      <w:r w:rsidRPr="000B2A05">
        <w:rPr>
          <w:b/>
          <w:bCs/>
          <w:i/>
          <w:noProof/>
          <w:snapToGrid w:val="0"/>
          <w:lang w:val="en-US"/>
        </w:rPr>
        <w:t xml:space="preserve"> Operational details</w:t>
      </w:r>
    </w:p>
    <w:p w14:paraId="72CBBB6B" w14:textId="77777777" w:rsidR="001E51FE" w:rsidRPr="000B2A05" w:rsidRDefault="001E51FE" w:rsidP="001E51FE">
      <w:pPr>
        <w:pStyle w:val="Sectiontext"/>
        <w:rPr>
          <w:snapToGrid w:val="0"/>
        </w:rPr>
      </w:pPr>
      <w:r w:rsidRPr="000B2A05">
        <w:rPr>
          <w:snapToGrid w:val="0"/>
        </w:rPr>
        <w:t>Section 1 of this Determination sets out the manner in which this Determination may be cited.</w:t>
      </w:r>
    </w:p>
    <w:p w14:paraId="4507BEAD" w14:textId="02281E9E" w:rsidR="00F46ABF" w:rsidRPr="000B2A05" w:rsidRDefault="00CB5822" w:rsidP="00263C24">
      <w:pPr>
        <w:pStyle w:val="Sectiontext"/>
        <w:rPr>
          <w:snapToGrid w:val="0"/>
        </w:rPr>
      </w:pPr>
      <w:r w:rsidRPr="000B2A05">
        <w:rPr>
          <w:snapToGrid w:val="0"/>
        </w:rPr>
        <w:t>Section 2</w:t>
      </w:r>
      <w:r w:rsidR="00F46ABF" w:rsidRPr="000B2A05">
        <w:rPr>
          <w:snapToGrid w:val="0"/>
        </w:rPr>
        <w:t xml:space="preserve"> provides the</w:t>
      </w:r>
      <w:r w:rsidR="00A03A45">
        <w:rPr>
          <w:snapToGrid w:val="0"/>
        </w:rPr>
        <w:t xml:space="preserve"> instrument commences on 5 August 2021</w:t>
      </w:r>
      <w:r w:rsidR="000B2A05" w:rsidRPr="000B2A05">
        <w:rPr>
          <w:snapToGrid w:val="0"/>
        </w:rPr>
        <w:t>.</w:t>
      </w:r>
    </w:p>
    <w:p w14:paraId="66C3A9CC" w14:textId="42E6939A" w:rsidR="001E51FE" w:rsidRPr="000B2A05" w:rsidRDefault="001E51FE" w:rsidP="001E51FE">
      <w:pPr>
        <w:pStyle w:val="Sectiontext"/>
        <w:rPr>
          <w:snapToGrid w:val="0"/>
        </w:rPr>
      </w:pPr>
      <w:r w:rsidRPr="000B2A05">
        <w:rPr>
          <w:snapToGrid w:val="0"/>
        </w:rPr>
        <w:t>Section 3 provides that this instrument has authority under section 58B of the Defence Act.</w:t>
      </w:r>
    </w:p>
    <w:p w14:paraId="7B55DD4F" w14:textId="77777777" w:rsidR="001E51FE" w:rsidRPr="000B2A05" w:rsidRDefault="001E51FE" w:rsidP="001E51FE">
      <w:pPr>
        <w:pStyle w:val="Sectiontext"/>
        <w:rPr>
          <w:snapToGrid w:val="0"/>
        </w:rPr>
      </w:pPr>
      <w:r w:rsidRPr="000B2A05">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418D3D9F" w14:textId="34F591C2" w:rsidR="009E54C2" w:rsidRPr="000B2A05" w:rsidRDefault="009E54C2" w:rsidP="009E54C2">
      <w:pPr>
        <w:pStyle w:val="Sectiontext"/>
        <w:rPr>
          <w:i/>
          <w:snapToGrid w:val="0"/>
          <w:u w:val="single"/>
        </w:rPr>
      </w:pPr>
      <w:r w:rsidRPr="000B2A05">
        <w:rPr>
          <w:i/>
          <w:snapToGrid w:val="0"/>
          <w:u w:val="single"/>
        </w:rPr>
        <w:t xml:space="preserve">Schedule </w:t>
      </w:r>
      <w:r w:rsidR="000B2A05" w:rsidRPr="000B2A05">
        <w:rPr>
          <w:i/>
          <w:snapToGrid w:val="0"/>
          <w:u w:val="single"/>
        </w:rPr>
        <w:t>1</w:t>
      </w:r>
      <w:r w:rsidRPr="000B2A05">
        <w:rPr>
          <w:rFonts w:cs="Arial"/>
          <w:i/>
          <w:snapToGrid w:val="0"/>
          <w:u w:val="single"/>
        </w:rPr>
        <w:t>—</w:t>
      </w:r>
      <w:r w:rsidRPr="000B2A05">
        <w:rPr>
          <w:i/>
          <w:snapToGrid w:val="0"/>
          <w:u w:val="single"/>
        </w:rPr>
        <w:t>COVID-19 overseas conditions amendments</w:t>
      </w:r>
    </w:p>
    <w:p w14:paraId="102437B3" w14:textId="37570B33" w:rsidR="00A12BB4" w:rsidRPr="000B2A05" w:rsidRDefault="00A12BB4" w:rsidP="00A12BB4">
      <w:pPr>
        <w:pStyle w:val="Sectiontext"/>
        <w:rPr>
          <w:snapToGrid w:val="0"/>
        </w:rPr>
      </w:pPr>
      <w:r w:rsidRPr="000B2A05">
        <w:rPr>
          <w:snapToGrid w:val="0"/>
        </w:rPr>
        <w:t xml:space="preserve">Section 1 inserts section 14A.2.7 into the Principal Determination. The new section provides a payment to a member for quarantine costs for </w:t>
      </w:r>
      <w:proofErr w:type="spellStart"/>
      <w:r w:rsidRPr="000B2A05">
        <w:rPr>
          <w:snapToGrid w:val="0"/>
        </w:rPr>
        <w:t>themself</w:t>
      </w:r>
      <w:proofErr w:type="spellEnd"/>
      <w:r w:rsidRPr="000B2A05">
        <w:rPr>
          <w:snapToGrid w:val="0"/>
        </w:rPr>
        <w:t xml:space="preserve"> and their dependants who accompanied them to the posting location overseas. The benefit is available for to members and the dependants accompanying them who travel at their own expense to Australia and are required to go into quarantine. The benefit is limited to people who do not have a specific travel benefit for the person travelling at the time of booking their travel to Australia and can only be paid once for each person. The member is not el</w:t>
      </w:r>
      <w:r w:rsidR="00263C24" w:rsidRPr="000B2A05">
        <w:rPr>
          <w:snapToGrid w:val="0"/>
        </w:rPr>
        <w:t>igible for the benefit after 30 </w:t>
      </w:r>
      <w:r w:rsidRPr="000B2A05">
        <w:rPr>
          <w:snapToGrid w:val="0"/>
        </w:rPr>
        <w:t>June 2022.</w:t>
      </w:r>
    </w:p>
    <w:p w14:paraId="587983AD" w14:textId="144617B4" w:rsidR="00A12BB4" w:rsidRPr="000B2A05" w:rsidRDefault="00A12BB4" w:rsidP="00A12BB4">
      <w:pPr>
        <w:pStyle w:val="Sectiontext"/>
        <w:rPr>
          <w:snapToGrid w:val="0"/>
        </w:rPr>
      </w:pPr>
      <w:r w:rsidRPr="000B2A05">
        <w:rPr>
          <w:snapToGrid w:val="0"/>
        </w:rPr>
        <w:t>Section 2 inserts Part 3 into Chapter 14A of the Principal Determination</w:t>
      </w:r>
      <w:r w:rsidR="00D220BB" w:rsidRPr="000B2A05">
        <w:rPr>
          <w:snapToGrid w:val="0"/>
        </w:rPr>
        <w:t xml:space="preserve">. </w:t>
      </w:r>
      <w:r w:rsidRPr="000B2A05">
        <w:rPr>
          <w:snapToGrid w:val="0"/>
        </w:rPr>
        <w:t>The part provides a one off payment in response COVID-19 restrictions that is payable after the end of the member’s posting. Specifically, the part provides a payment to specific members who are on a long-term posting overseas that will end before 30 June 2022. To be eligible for the benefit, the member’s posting must not end as a consequence of a request of the member and the decision maker must be satisfied that the member was not able to travel using an assisted leave travel benefit under Chapter 16 Part 4 of the Principal Determination. This may be because of operational reasons, COVID-19 restrictions and the related reduction in flights. The amount of the benefit is dependent on where they are posted to and starts at AUD 750 for members posted to a location in the pacific or South East Asia, increasing to a maximum benefit of AUD 2,500 for members posted to a location in Africa. This benefit reflects DFAT’s assisted leave travel cash-out benefit available to its employees.</w:t>
      </w:r>
    </w:p>
    <w:p w14:paraId="48BD5FC9" w14:textId="37249D67" w:rsidR="00A12BB4" w:rsidRPr="000B2A05" w:rsidRDefault="00A12BB4" w:rsidP="00A12BB4">
      <w:pPr>
        <w:pStyle w:val="Sectiontext"/>
        <w:rPr>
          <w:snapToGrid w:val="0"/>
        </w:rPr>
      </w:pPr>
      <w:r w:rsidRPr="000B2A05">
        <w:rPr>
          <w:snapToGrid w:val="0"/>
        </w:rPr>
        <w:t>Section 3 amends section 15.5.39 of the Principal Determination, which provides travel benefits for members and their dependants to return to Australia in between sequential long-term postings overseas. Section 15.5.39 is largely remade in full, however new provisions have been added to provide an ability to increase the period in which the travel must be taken. This has been increased for member’s dependants during the COVID-19 pandemic as a consequence of travel restrictions. Subsections 9 and 10 of section 15.5.39 have been omitted and remade in section 15.3.39A.</w:t>
      </w:r>
    </w:p>
    <w:p w14:paraId="241076FE" w14:textId="77777777" w:rsidR="00A12BB4" w:rsidRPr="000B2A05" w:rsidRDefault="00A12BB4" w:rsidP="00A12BB4">
      <w:pPr>
        <w:pStyle w:val="Sectiontext"/>
        <w:rPr>
          <w:snapToGrid w:val="0"/>
        </w:rPr>
      </w:pPr>
      <w:r w:rsidRPr="000B2A05">
        <w:rPr>
          <w:snapToGrid w:val="0"/>
        </w:rPr>
        <w:t>Section 4 inserts section 15.6.17B into the Principal Determination. The new section provides additional education support for members who are eligible for other types of education assistance for a dependant who is a child. The benefit provides a reimbursement for the cost of up to 10 days of education support up to a maximum of AUD 135 a day. The benefit is only available to a member until 30 June 2022.</w:t>
      </w:r>
    </w:p>
    <w:p w14:paraId="26B1A100" w14:textId="55B7E661" w:rsidR="00A12BB4" w:rsidRPr="000B2A05" w:rsidRDefault="00A12BB4" w:rsidP="00A12BB4">
      <w:pPr>
        <w:pStyle w:val="Sectiontext"/>
        <w:rPr>
          <w:snapToGrid w:val="0"/>
        </w:rPr>
      </w:pPr>
      <w:r w:rsidRPr="000B2A05">
        <w:rPr>
          <w:snapToGrid w:val="0"/>
        </w:rPr>
        <w:t xml:space="preserve">Section 5 inserts section 16.4.11A into the Principal Determination. The new section applies to a member on a long-term posting overseas in a hardship location and provides them with a one off accommodation benefit to offset their assisted leave travel benefit to travel within the country to which they are posted. The benefit is available to a member when they rent commercially available accommodation, which includes accommodation available on internet platforms such as </w:t>
      </w:r>
      <w:r w:rsidR="00D220BB" w:rsidRPr="000B2A05">
        <w:rPr>
          <w:snapToGrid w:val="0"/>
        </w:rPr>
        <w:t>Airbnb</w:t>
      </w:r>
      <w:r w:rsidRPr="000B2A05">
        <w:rPr>
          <w:snapToGrid w:val="0"/>
        </w:rPr>
        <w:t>. The amount of the benefit is AUD 1,200 for every 7 day period plus AUD 200 for every other day</w:t>
      </w:r>
      <w:r w:rsidR="00D220BB" w:rsidRPr="000B2A05">
        <w:rPr>
          <w:snapToGrid w:val="0"/>
        </w:rPr>
        <w:t xml:space="preserve">. </w:t>
      </w:r>
      <w:r w:rsidRPr="000B2A05">
        <w:rPr>
          <w:snapToGrid w:val="0"/>
        </w:rPr>
        <w:t xml:space="preserve">A </w:t>
      </w:r>
      <w:r w:rsidRPr="000B2A05">
        <w:rPr>
          <w:snapToGrid w:val="0"/>
        </w:rPr>
        <w:lastRenderedPageBreak/>
        <w:t>member with 9 days of accommodation would be eligible for AUD 1600 ($1200 + 2 x $200), where as a member with 4 days of accommodation would be eligible for AUD 800 (4x $200). The benefit is only available to a member until 31 December 2021.</w:t>
      </w:r>
    </w:p>
    <w:p w14:paraId="077A55B8" w14:textId="4E9EFB48" w:rsidR="00A12BB4" w:rsidRPr="000B2A05" w:rsidRDefault="00A12BB4" w:rsidP="00A12BB4">
      <w:pPr>
        <w:pStyle w:val="Sectiontext"/>
        <w:rPr>
          <w:i/>
          <w:snapToGrid w:val="0"/>
          <w:u w:val="single"/>
        </w:rPr>
      </w:pPr>
      <w:r w:rsidRPr="000B2A05">
        <w:rPr>
          <w:i/>
          <w:snapToGrid w:val="0"/>
          <w:u w:val="single"/>
        </w:rPr>
        <w:t xml:space="preserve">Schedule </w:t>
      </w:r>
      <w:r w:rsidR="000B2A05" w:rsidRPr="000B2A05">
        <w:rPr>
          <w:i/>
          <w:snapToGrid w:val="0"/>
          <w:u w:val="single"/>
        </w:rPr>
        <w:t>2</w:t>
      </w:r>
      <w:r w:rsidRPr="000B2A05">
        <w:rPr>
          <w:rFonts w:cs="Arial"/>
          <w:i/>
          <w:snapToGrid w:val="0"/>
          <w:u w:val="single"/>
        </w:rPr>
        <w:t>—</w:t>
      </w:r>
      <w:r w:rsidRPr="000B2A05">
        <w:rPr>
          <w:i/>
          <w:snapToGrid w:val="0"/>
          <w:u w:val="single"/>
        </w:rPr>
        <w:t>Transitional provisions</w:t>
      </w:r>
    </w:p>
    <w:p w14:paraId="7B3729B7" w14:textId="51E94A66" w:rsidR="00A12BB4" w:rsidRPr="000B2A05" w:rsidRDefault="00A12BB4" w:rsidP="00A12BB4">
      <w:pPr>
        <w:pStyle w:val="Sectiontext"/>
        <w:rPr>
          <w:snapToGrid w:val="0"/>
        </w:rPr>
      </w:pPr>
      <w:r w:rsidRPr="000B2A05">
        <w:rPr>
          <w:snapToGrid w:val="0"/>
        </w:rPr>
        <w:t>Section 1 provides the definition of Defence Determination that applies throughout this Schedule</w:t>
      </w:r>
      <w:r w:rsidR="00D220BB" w:rsidRPr="000B2A05">
        <w:rPr>
          <w:snapToGrid w:val="0"/>
        </w:rPr>
        <w:t xml:space="preserve">. </w:t>
      </w:r>
      <w:r w:rsidRPr="000B2A05">
        <w:rPr>
          <w:snapToGrid w:val="0"/>
        </w:rPr>
        <w:t>It means the Defence Determination 2016/19, Conditions of service, is in force immediately after the commencement of Schedule 5 of this Determination</w:t>
      </w:r>
    </w:p>
    <w:p w14:paraId="0E484253" w14:textId="4CF105CC" w:rsidR="00A12BB4" w:rsidRPr="000B2A05" w:rsidRDefault="00A12BB4" w:rsidP="00A12BB4">
      <w:pPr>
        <w:pStyle w:val="Sectiontext"/>
        <w:rPr>
          <w:snapToGrid w:val="0"/>
        </w:rPr>
      </w:pPr>
      <w:r w:rsidRPr="000B2A05">
        <w:rPr>
          <w:snapToGrid w:val="0"/>
        </w:rPr>
        <w:t>Section 2 provides a transitional benefit for quarantine costs relating to private travel to Australia that occurred between 1 July 2021 and the commencement of Schedule 5 of this Determination. The member is eligible for an amount that they would have received under section 14A.2.7 of the Defence Determination</w:t>
      </w:r>
      <w:r w:rsidR="00D220BB" w:rsidRPr="000B2A05">
        <w:rPr>
          <w:snapToGrid w:val="0"/>
        </w:rPr>
        <w:t xml:space="preserve">. </w:t>
      </w:r>
      <w:r w:rsidRPr="000B2A05">
        <w:rPr>
          <w:snapToGrid w:val="0"/>
        </w:rPr>
        <w:t>If the member receives a benefit in relation into a person under this section, the member is not eligible for the benefit under section 14A.2.7 of the Defence Determination in relation to the same person.</w:t>
      </w:r>
    </w:p>
    <w:p w14:paraId="052532E9" w14:textId="7C9A00C8" w:rsidR="00A12BB4" w:rsidRPr="000B2A05" w:rsidRDefault="00A12BB4" w:rsidP="00A12BB4">
      <w:pPr>
        <w:pStyle w:val="Sectiontext"/>
        <w:rPr>
          <w:snapToGrid w:val="0"/>
        </w:rPr>
      </w:pPr>
      <w:r w:rsidRPr="000B2A05">
        <w:rPr>
          <w:snapToGrid w:val="0"/>
        </w:rPr>
        <w:t>Section 3 provides a transitional benefit for members who would have received additional benefits under section 15.3.39 of the Defence Determination for travel taken between 1 July 2021 and the commencement of Schedule 5 of this Determination. The member is eligible for excess baggage benefits under section 14.4.11 of the Defence Determination in relation to that travel.</w:t>
      </w:r>
    </w:p>
    <w:p w14:paraId="7F1ED66E" w14:textId="4C5E3D5A" w:rsidR="00A12BB4" w:rsidRPr="000B2A05" w:rsidRDefault="00A12BB4" w:rsidP="00A12BB4">
      <w:pPr>
        <w:pStyle w:val="Sectiontext"/>
        <w:rPr>
          <w:snapToGrid w:val="0"/>
        </w:rPr>
      </w:pPr>
      <w:r w:rsidRPr="000B2A05">
        <w:rPr>
          <w:snapToGrid w:val="0"/>
        </w:rPr>
        <w:t>Section 4 provides a transitional benefit for a reimbursement of education support costs for services received between 1 July 2021 and the commencement of Schedule 5 of this Determination. To be eligible for the benefit the member would need to be eligible for a type of education assistance under the Defence Determination. For each day the member receives the benefit under this section, the number of days the member can receive the benefit for under section 15.6.17B of the Defence Determination is reduced by 1.</w:t>
      </w:r>
    </w:p>
    <w:p w14:paraId="5D15263B" w14:textId="17656526" w:rsidR="00A12BB4" w:rsidRPr="000B2A05" w:rsidRDefault="00A12BB4" w:rsidP="00A12BB4">
      <w:pPr>
        <w:pStyle w:val="Sectiontext"/>
        <w:rPr>
          <w:snapToGrid w:val="0"/>
        </w:rPr>
      </w:pPr>
      <w:r w:rsidRPr="000B2A05">
        <w:rPr>
          <w:snapToGrid w:val="0"/>
        </w:rPr>
        <w:t xml:space="preserve">Section 5 provides a transitional benefit for members who would have been eligible for a benefit under section 16.4.11A of the Defence Determination between 1 July 2021 and the commencement of </w:t>
      </w:r>
      <w:r w:rsidRPr="000B2A05">
        <w:t>Schedule 5</w:t>
      </w:r>
      <w:r w:rsidRPr="000B2A05">
        <w:rPr>
          <w:snapToGrid w:val="0"/>
        </w:rPr>
        <w:t xml:space="preserve"> of this Determination. The benefit provides accommodation assistance at the same rates of the member would have received under the Defence Determination</w:t>
      </w:r>
      <w:r w:rsidR="00D220BB" w:rsidRPr="000B2A05">
        <w:rPr>
          <w:snapToGrid w:val="0"/>
        </w:rPr>
        <w:t xml:space="preserve">. </w:t>
      </w:r>
      <w:r w:rsidRPr="000B2A05">
        <w:rPr>
          <w:snapToGrid w:val="0"/>
        </w:rPr>
        <w:t>If the member receives a benefit under this section, the member ceases to be eligible for the benefit under section 16.4.11A for the Defence Determination.</w:t>
      </w:r>
    </w:p>
    <w:p w14:paraId="084D0489" w14:textId="77777777" w:rsidR="00A12BB4" w:rsidRPr="000B2A05" w:rsidRDefault="00A12BB4" w:rsidP="001E51FE">
      <w:pPr>
        <w:pStyle w:val="Sectiontext"/>
        <w:jc w:val="center"/>
        <w:rPr>
          <w:rFonts w:cs="Arial"/>
          <w:b/>
          <w:color w:val="000000"/>
        </w:rPr>
      </w:pPr>
    </w:p>
    <w:p w14:paraId="2831585B" w14:textId="77777777" w:rsidR="001E51FE" w:rsidRPr="000B2A05" w:rsidRDefault="001E51FE" w:rsidP="001E51FE">
      <w:pPr>
        <w:pStyle w:val="Sectiontext"/>
        <w:jc w:val="center"/>
        <w:rPr>
          <w:b/>
        </w:rPr>
        <w:sectPr w:rsidR="001E51FE" w:rsidRPr="000B2A05" w:rsidSect="00BE28F0">
          <w:pgSz w:w="11907" w:h="16839"/>
          <w:pgMar w:top="1134" w:right="1134" w:bottom="992" w:left="1418" w:header="720" w:footer="709" w:gutter="0"/>
          <w:cols w:space="708"/>
          <w:titlePg/>
          <w:docGrid w:linePitch="360"/>
        </w:sectPr>
      </w:pPr>
    </w:p>
    <w:p w14:paraId="6858A9A6" w14:textId="77777777" w:rsidR="001739E7" w:rsidRPr="000B2A05" w:rsidRDefault="001739E7" w:rsidP="001739E7">
      <w:pPr>
        <w:pStyle w:val="Sectiontext"/>
        <w:jc w:val="right"/>
        <w:rPr>
          <w:b/>
          <w:bCs/>
          <w:noProof/>
          <w:snapToGrid w:val="0"/>
          <w:lang w:val="en-US"/>
        </w:rPr>
      </w:pPr>
      <w:r w:rsidRPr="000B2A05">
        <w:rPr>
          <w:b/>
          <w:bCs/>
          <w:noProof/>
          <w:snapToGrid w:val="0"/>
          <w:lang w:val="en-US"/>
        </w:rPr>
        <w:lastRenderedPageBreak/>
        <w:t>Annex B</w:t>
      </w:r>
    </w:p>
    <w:p w14:paraId="01FC46FC" w14:textId="49D33C78" w:rsidR="00BE28F0" w:rsidRPr="000B2A05" w:rsidRDefault="00BE28F0" w:rsidP="00BE28F0">
      <w:pPr>
        <w:pStyle w:val="BlockText-Plain"/>
        <w:jc w:val="center"/>
        <w:rPr>
          <w:b/>
          <w:i/>
          <w:snapToGrid w:val="0"/>
        </w:rPr>
      </w:pPr>
      <w:r w:rsidRPr="000B2A05">
        <w:rPr>
          <w:b/>
          <w:i/>
          <w:snapToGrid w:val="0"/>
        </w:rPr>
        <w:fldChar w:fldCharType="begin"/>
      </w:r>
      <w:r w:rsidRPr="000B2A05">
        <w:rPr>
          <w:b/>
          <w:i/>
          <w:snapToGrid w:val="0"/>
        </w:rPr>
        <w:instrText xml:space="preserve"> STYLEREF  "Heading 6,ES-HRS Title"  \* MERGEFORMAT </w:instrText>
      </w:r>
      <w:r w:rsidRPr="000B2A05">
        <w:rPr>
          <w:b/>
          <w:i/>
          <w:snapToGrid w:val="0"/>
        </w:rPr>
        <w:fldChar w:fldCharType="separate"/>
      </w:r>
      <w:r w:rsidR="000B2A05" w:rsidRPr="000B2A05">
        <w:rPr>
          <w:b/>
          <w:bCs/>
          <w:i/>
          <w:noProof/>
          <w:snapToGrid w:val="0"/>
          <w:lang w:val="en-US"/>
        </w:rPr>
        <w:t xml:space="preserve">Defence Determination, Conditions of service Amendment Determination 2021 </w:t>
      </w:r>
      <w:r w:rsidR="000B2A05" w:rsidRPr="000B2A05">
        <w:rPr>
          <w:b/>
          <w:i/>
          <w:noProof/>
          <w:snapToGrid w:val="0"/>
        </w:rPr>
        <w:t>(No. 15)</w:t>
      </w:r>
      <w:r w:rsidRPr="000B2A05">
        <w:rPr>
          <w:b/>
          <w:i/>
          <w:snapToGrid w:val="0"/>
        </w:rPr>
        <w:fldChar w:fldCharType="end"/>
      </w:r>
    </w:p>
    <w:p w14:paraId="49EA8A70" w14:textId="08165A00" w:rsidR="00486185" w:rsidRPr="000B2A05" w:rsidRDefault="00486185" w:rsidP="00486185">
      <w:pPr>
        <w:pStyle w:val="Sectiontext"/>
        <w:jc w:val="center"/>
        <w:rPr>
          <w:b/>
          <w:bCs/>
          <w:i/>
          <w:noProof/>
          <w:snapToGrid w:val="0"/>
          <w:lang w:val="en-US"/>
        </w:rPr>
      </w:pPr>
      <w:r w:rsidRPr="000B2A05">
        <w:rPr>
          <w:b/>
          <w:bCs/>
          <w:i/>
          <w:noProof/>
          <w:snapToGrid w:val="0"/>
          <w:lang w:val="en-US"/>
        </w:rPr>
        <w:t>Statement of Compatibility with Human Rights</w:t>
      </w:r>
      <w:r w:rsidR="00BE28F0" w:rsidRPr="000B2A05">
        <w:rPr>
          <w:b/>
          <w:i/>
          <w:noProof/>
          <w:snapToGrid w:val="0"/>
        </w:rPr>
        <w:t xml:space="preserve"> </w:t>
      </w:r>
    </w:p>
    <w:p w14:paraId="45CDD6BC" w14:textId="77777777" w:rsidR="00486185" w:rsidRPr="000B2A05" w:rsidRDefault="00486185" w:rsidP="00486185">
      <w:pPr>
        <w:pStyle w:val="Sectiontext"/>
        <w:jc w:val="center"/>
        <w:rPr>
          <w:i/>
          <w:snapToGrid w:val="0"/>
        </w:rPr>
      </w:pPr>
      <w:r w:rsidRPr="000B2A05">
        <w:rPr>
          <w:i/>
          <w:snapToGrid w:val="0"/>
        </w:rPr>
        <w:t>Prepared in accordance with Part 3 of the Human Rights (Parliamentary Scrutiny) Act 2011</w:t>
      </w:r>
    </w:p>
    <w:p w14:paraId="06067794" w14:textId="77777777" w:rsidR="001E51FE" w:rsidRPr="000B2A05" w:rsidRDefault="001E51FE" w:rsidP="007753AD">
      <w:pPr>
        <w:spacing w:after="200" w:line="240" w:lineRule="auto"/>
        <w:rPr>
          <w:rFonts w:ascii="Arial" w:hAnsi="Arial" w:cs="Arial"/>
          <w:b/>
          <w:sz w:val="20"/>
        </w:rPr>
      </w:pPr>
      <w:r w:rsidRPr="000B2A05">
        <w:rPr>
          <w:rFonts w:ascii="Arial" w:hAnsi="Arial" w:cs="Arial"/>
          <w:b/>
          <w:sz w:val="20"/>
        </w:rPr>
        <w:t>Overview of the Determination</w:t>
      </w:r>
    </w:p>
    <w:p w14:paraId="1083172F" w14:textId="7ED14073" w:rsidR="00BE28F0" w:rsidRPr="000B2A05" w:rsidRDefault="00BE28F0" w:rsidP="000B2A05">
      <w:pPr>
        <w:pStyle w:val="Sectiontext"/>
        <w:rPr>
          <w:snapToGrid w:val="0"/>
        </w:rPr>
      </w:pPr>
      <w:r w:rsidRPr="000B2A05">
        <w:rPr>
          <w:snapToGrid w:val="0"/>
        </w:rPr>
        <w:t xml:space="preserve">The purpose of this Determination is to </w:t>
      </w:r>
      <w:r w:rsidR="000B2A05" w:rsidRPr="000B2A05">
        <w:rPr>
          <w:snapToGrid w:val="0"/>
        </w:rPr>
        <w:t>p</w:t>
      </w:r>
      <w:r w:rsidRPr="000B2A05">
        <w:rPr>
          <w:snapToGrid w:val="0"/>
        </w:rPr>
        <w:t>rovide benefits for members who are on a long-term posting overseas in response to, and recognition of, the additional difficulties experienced as a consequence of the COVID-19 pandemic in overseas locations. These benefits also align, where possible, the conditions of service of a member with the benefits of an employee of the Department of Foreign Affairs and Trade (DFAT).</w:t>
      </w:r>
    </w:p>
    <w:p w14:paraId="38FFFAF4" w14:textId="2FF8AB9A" w:rsidR="001E51FE" w:rsidRPr="000B2A05" w:rsidRDefault="001E51FE" w:rsidP="007753AD">
      <w:pPr>
        <w:spacing w:after="200" w:line="240" w:lineRule="auto"/>
        <w:rPr>
          <w:rFonts w:ascii="Arial" w:hAnsi="Arial" w:cs="Arial"/>
          <w:b/>
          <w:sz w:val="20"/>
        </w:rPr>
      </w:pPr>
      <w:r w:rsidRPr="000B2A05">
        <w:rPr>
          <w:rFonts w:ascii="Arial" w:hAnsi="Arial" w:cs="Arial"/>
          <w:b/>
          <w:sz w:val="20"/>
        </w:rPr>
        <w:t>Human rights implications</w:t>
      </w:r>
    </w:p>
    <w:p w14:paraId="4F4B2D7E" w14:textId="77777777" w:rsidR="001E51FE" w:rsidRPr="000B2A05" w:rsidRDefault="001E51FE" w:rsidP="007753AD">
      <w:pPr>
        <w:spacing w:after="200" w:line="240" w:lineRule="auto"/>
        <w:rPr>
          <w:rFonts w:ascii="Arial" w:hAnsi="Arial" w:cs="Arial"/>
          <w:sz w:val="24"/>
          <w:szCs w:val="24"/>
        </w:rPr>
      </w:pPr>
      <w:r w:rsidRPr="000B2A05">
        <w:rPr>
          <w:rFonts w:ascii="Arial" w:hAnsi="Arial" w:cs="Arial"/>
          <w:i/>
          <w:sz w:val="20"/>
        </w:rPr>
        <w:t>Right to the enjoyment of just and favourable conditions of work</w:t>
      </w:r>
    </w:p>
    <w:p w14:paraId="121D2639" w14:textId="77777777" w:rsidR="001E51FE" w:rsidRPr="000B2A05" w:rsidRDefault="001E51FE" w:rsidP="007753AD">
      <w:pPr>
        <w:pStyle w:val="Sectiontext"/>
        <w:rPr>
          <w:snapToGrid w:val="0"/>
        </w:rPr>
      </w:pPr>
      <w:r w:rsidRPr="000B2A05">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6FE8C13D" w14:textId="77777777" w:rsidR="002A3EC7" w:rsidRPr="000B2A05" w:rsidRDefault="002A3EC7" w:rsidP="007753AD">
      <w:pPr>
        <w:spacing w:after="200" w:line="240" w:lineRule="auto"/>
        <w:rPr>
          <w:rFonts w:ascii="Arial" w:hAnsi="Arial" w:cs="Arial"/>
          <w:sz w:val="24"/>
          <w:szCs w:val="24"/>
        </w:rPr>
      </w:pPr>
      <w:r w:rsidRPr="000B2A05">
        <w:rPr>
          <w:rFonts w:ascii="Arial" w:hAnsi="Arial" w:cs="Arial"/>
          <w:i/>
          <w:sz w:val="20"/>
        </w:rPr>
        <w:t>Right to an adequate standard of living</w:t>
      </w:r>
    </w:p>
    <w:p w14:paraId="4F4A3E37" w14:textId="77777777" w:rsidR="002A3EC7" w:rsidRPr="000B2A05" w:rsidRDefault="002A3EC7" w:rsidP="007753AD">
      <w:pPr>
        <w:pStyle w:val="Sectiontext"/>
        <w:rPr>
          <w:snapToGrid w:val="0"/>
        </w:rPr>
      </w:pPr>
      <w:r w:rsidRPr="000B2A05">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463F6230" w14:textId="5D70440F" w:rsidR="006109CE" w:rsidRPr="000B2A05" w:rsidRDefault="006109CE" w:rsidP="007132F5">
      <w:pPr>
        <w:shd w:val="clear" w:color="auto" w:fill="FFFFFF"/>
        <w:spacing w:before="100" w:beforeAutospacing="1" w:after="200" w:line="240" w:lineRule="auto"/>
        <w:rPr>
          <w:rFonts w:ascii="Arial" w:hAnsi="Arial" w:cs="Arial"/>
          <w:b/>
          <w:iCs/>
          <w:sz w:val="20"/>
        </w:rPr>
      </w:pPr>
      <w:r w:rsidRPr="000B2A05">
        <w:rPr>
          <w:rFonts w:ascii="Arial" w:hAnsi="Arial" w:cs="Arial"/>
          <w:b/>
          <w:iCs/>
          <w:sz w:val="20"/>
        </w:rPr>
        <w:t>Assessment of compatibility</w:t>
      </w:r>
    </w:p>
    <w:p w14:paraId="0C2F2D5D" w14:textId="0BE85449" w:rsidR="00A12BB4" w:rsidRPr="000B2A05" w:rsidRDefault="000B2A05" w:rsidP="00A12BB4">
      <w:pPr>
        <w:shd w:val="clear" w:color="auto" w:fill="FFFFFF"/>
        <w:spacing w:before="100" w:beforeAutospacing="1" w:after="200" w:line="240" w:lineRule="auto"/>
        <w:rPr>
          <w:rFonts w:ascii="Arial" w:hAnsi="Arial" w:cs="Arial"/>
          <w:iCs/>
          <w:sz w:val="20"/>
        </w:rPr>
      </w:pPr>
      <w:r w:rsidRPr="000B2A05">
        <w:rPr>
          <w:rFonts w:ascii="Arial" w:hAnsi="Arial" w:cs="Arial"/>
          <w:iCs/>
          <w:sz w:val="20"/>
        </w:rPr>
        <w:t>T</w:t>
      </w:r>
      <w:r w:rsidR="006109CE" w:rsidRPr="000B2A05">
        <w:rPr>
          <w:rFonts w:ascii="Arial" w:hAnsi="Arial" w:cs="Arial"/>
          <w:iCs/>
          <w:sz w:val="20"/>
        </w:rPr>
        <w:t xml:space="preserve">he Determination </w:t>
      </w:r>
      <w:r w:rsidR="006109CE" w:rsidRPr="000B2A05">
        <w:rPr>
          <w:rFonts w:ascii="Arial" w:hAnsi="Arial" w:cs="Arial"/>
          <w:sz w:val="20"/>
        </w:rPr>
        <w:t>is compatible with human as</w:t>
      </w:r>
      <w:r w:rsidR="00A12BB4" w:rsidRPr="000B2A05">
        <w:rPr>
          <w:rFonts w:ascii="Arial" w:hAnsi="Arial" w:cs="Arial"/>
          <w:iCs/>
          <w:sz w:val="20"/>
        </w:rPr>
        <w:t xml:space="preserve"> provides additional benefits to members who are on long-term posting overseas and their families as a part of the member’s conditions of service.</w:t>
      </w:r>
      <w:r w:rsidR="00D220BB" w:rsidRPr="000B2A05">
        <w:rPr>
          <w:rFonts w:ascii="Arial" w:hAnsi="Arial" w:cs="Arial"/>
          <w:iCs/>
          <w:sz w:val="20"/>
        </w:rPr>
        <w:t xml:space="preserve"> These schedules </w:t>
      </w:r>
      <w:r w:rsidR="00A12BB4" w:rsidRPr="000B2A05">
        <w:rPr>
          <w:rFonts w:ascii="Arial" w:hAnsi="Arial" w:cs="Arial"/>
          <w:iCs/>
          <w:sz w:val="20"/>
        </w:rPr>
        <w:t>recognises that the COVID-19 pandemic has provided additional stresses on members and their families, particularly in relation to their ability to travel to Australia and responds accordingly.</w:t>
      </w:r>
    </w:p>
    <w:p w14:paraId="494DEA52" w14:textId="77777777" w:rsidR="001E51FE" w:rsidRPr="000B2A05" w:rsidRDefault="001E51FE" w:rsidP="007753AD">
      <w:pPr>
        <w:spacing w:after="200" w:line="240" w:lineRule="auto"/>
        <w:rPr>
          <w:rFonts w:ascii="Arial" w:hAnsi="Arial" w:cs="Arial"/>
          <w:b/>
          <w:sz w:val="20"/>
        </w:rPr>
      </w:pPr>
      <w:r w:rsidRPr="000B2A05">
        <w:rPr>
          <w:rFonts w:ascii="Arial" w:hAnsi="Arial" w:cs="Arial"/>
          <w:b/>
          <w:sz w:val="20"/>
        </w:rPr>
        <w:t>Conclusion</w:t>
      </w:r>
    </w:p>
    <w:p w14:paraId="0D9B7F39" w14:textId="77777777" w:rsidR="006109CE" w:rsidRPr="00A575F1" w:rsidRDefault="006109CE" w:rsidP="006109CE">
      <w:pPr>
        <w:pStyle w:val="Sectiontext"/>
        <w:rPr>
          <w:snapToGrid w:val="0"/>
        </w:rPr>
      </w:pPr>
      <w:r w:rsidRPr="000B2A05">
        <w:rPr>
          <w:snapToGrid w:val="0"/>
        </w:rPr>
        <w:t xml:space="preserve">This Determination is compatible with the human rights and freedoms recognised or declared in the international instruments listed in section 3 of the </w:t>
      </w:r>
      <w:r w:rsidRPr="000B2A05">
        <w:rPr>
          <w:i/>
          <w:snapToGrid w:val="0"/>
        </w:rPr>
        <w:t>Human Rights (Parliamentary Scrutiny) Act 2011</w:t>
      </w:r>
      <w:r w:rsidRPr="000B2A05">
        <w:rPr>
          <w:snapToGrid w:val="0"/>
        </w:rPr>
        <w:t>.</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BE28F0">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DA0E" w14:textId="77777777" w:rsidR="00157590" w:rsidRDefault="00157590" w:rsidP="0048364F">
      <w:pPr>
        <w:spacing w:line="240" w:lineRule="auto"/>
      </w:pPr>
      <w:r>
        <w:separator/>
      </w:r>
    </w:p>
  </w:endnote>
  <w:endnote w:type="continuationSeparator" w:id="0">
    <w:p w14:paraId="4542A2C9" w14:textId="77777777" w:rsidR="00157590" w:rsidRDefault="0015759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75C1EFD7" w:rsidR="00FA083A" w:rsidRDefault="00FA083A">
        <w:pPr>
          <w:pStyle w:val="Footer"/>
          <w:jc w:val="right"/>
        </w:pPr>
        <w:r>
          <w:fldChar w:fldCharType="begin"/>
        </w:r>
        <w:r>
          <w:instrText xml:space="preserve"> PAGE   \* MERGEFORMAT </w:instrText>
        </w:r>
        <w:r>
          <w:fldChar w:fldCharType="separate"/>
        </w:r>
        <w:r w:rsidR="001008D1">
          <w:rPr>
            <w:noProof/>
          </w:rPr>
          <w:t>3</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rFonts w:ascii="Arial" w:hAnsi="Arial" w:cs="Arial"/>
        <w:noProof/>
        <w:sz w:val="20"/>
        <w:szCs w:val="20"/>
      </w:rPr>
    </w:sdtEndPr>
    <w:sdtContent>
      <w:p w14:paraId="15A37926" w14:textId="6900F830" w:rsidR="00FA083A" w:rsidRPr="00D220BB" w:rsidRDefault="00FA083A">
        <w:pPr>
          <w:pStyle w:val="Footer"/>
          <w:jc w:val="right"/>
          <w:rPr>
            <w:rFonts w:ascii="Arial" w:hAnsi="Arial" w:cs="Arial"/>
            <w:sz w:val="20"/>
            <w:szCs w:val="20"/>
          </w:rPr>
        </w:pPr>
        <w:r w:rsidRPr="00D220BB">
          <w:rPr>
            <w:rFonts w:ascii="Arial" w:hAnsi="Arial" w:cs="Arial"/>
            <w:sz w:val="20"/>
            <w:szCs w:val="20"/>
          </w:rPr>
          <w:fldChar w:fldCharType="begin"/>
        </w:r>
        <w:r w:rsidRPr="00D220BB">
          <w:rPr>
            <w:rFonts w:ascii="Arial" w:hAnsi="Arial" w:cs="Arial"/>
            <w:sz w:val="20"/>
            <w:szCs w:val="20"/>
          </w:rPr>
          <w:instrText xml:space="preserve"> PAGE   \* MERGEFORMAT </w:instrText>
        </w:r>
        <w:r w:rsidRPr="00D220BB">
          <w:rPr>
            <w:rFonts w:ascii="Arial" w:hAnsi="Arial" w:cs="Arial"/>
            <w:sz w:val="20"/>
            <w:szCs w:val="20"/>
          </w:rPr>
          <w:fldChar w:fldCharType="separate"/>
        </w:r>
        <w:r w:rsidR="001008D1">
          <w:rPr>
            <w:rFonts w:ascii="Arial" w:hAnsi="Arial" w:cs="Arial"/>
            <w:noProof/>
            <w:sz w:val="20"/>
            <w:szCs w:val="20"/>
          </w:rPr>
          <w:t>1</w:t>
        </w:r>
        <w:r w:rsidRPr="00D220BB">
          <w:rPr>
            <w:rFonts w:ascii="Arial" w:hAnsi="Arial" w:cs="Arial"/>
            <w:noProof/>
            <w:sz w:val="20"/>
            <w:szCs w:val="20"/>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883D1" w14:textId="77777777" w:rsidR="00157590" w:rsidRDefault="00157590" w:rsidP="0048364F">
      <w:pPr>
        <w:spacing w:line="240" w:lineRule="auto"/>
      </w:pPr>
      <w:r>
        <w:separator/>
      </w:r>
    </w:p>
  </w:footnote>
  <w:footnote w:type="continuationSeparator" w:id="0">
    <w:p w14:paraId="25896046" w14:textId="77777777" w:rsidR="00157590" w:rsidRDefault="0015759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2"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E7786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8B0849"/>
    <w:multiLevelType w:val="hybridMultilevel"/>
    <w:tmpl w:val="2C726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0F40BE"/>
    <w:multiLevelType w:val="hybridMultilevel"/>
    <w:tmpl w:val="0CA43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B2A05"/>
    <w:rsid w:val="000C3AA3"/>
    <w:rsid w:val="000C4941"/>
    <w:rsid w:val="000C696D"/>
    <w:rsid w:val="000D05EF"/>
    <w:rsid w:val="000D3FB9"/>
    <w:rsid w:val="000D5485"/>
    <w:rsid w:val="000E598E"/>
    <w:rsid w:val="000E5A3D"/>
    <w:rsid w:val="000F0ADA"/>
    <w:rsid w:val="000F21C1"/>
    <w:rsid w:val="001008D1"/>
    <w:rsid w:val="0010745C"/>
    <w:rsid w:val="001122FF"/>
    <w:rsid w:val="00115635"/>
    <w:rsid w:val="00116410"/>
    <w:rsid w:val="00157590"/>
    <w:rsid w:val="00160BD7"/>
    <w:rsid w:val="001643C9"/>
    <w:rsid w:val="00164901"/>
    <w:rsid w:val="00165568"/>
    <w:rsid w:val="00166082"/>
    <w:rsid w:val="00166C2F"/>
    <w:rsid w:val="001716C9"/>
    <w:rsid w:val="00172267"/>
    <w:rsid w:val="001739E7"/>
    <w:rsid w:val="001818D0"/>
    <w:rsid w:val="00184261"/>
    <w:rsid w:val="00193461"/>
    <w:rsid w:val="001939E1"/>
    <w:rsid w:val="0019452E"/>
    <w:rsid w:val="00195382"/>
    <w:rsid w:val="001A3B9F"/>
    <w:rsid w:val="001A5520"/>
    <w:rsid w:val="001A65C0"/>
    <w:rsid w:val="001B7A5D"/>
    <w:rsid w:val="001C69C4"/>
    <w:rsid w:val="001D6B30"/>
    <w:rsid w:val="001D75D3"/>
    <w:rsid w:val="001E0A8D"/>
    <w:rsid w:val="001E1F03"/>
    <w:rsid w:val="001E3590"/>
    <w:rsid w:val="001E51FE"/>
    <w:rsid w:val="001E7407"/>
    <w:rsid w:val="001F1A46"/>
    <w:rsid w:val="00201D27"/>
    <w:rsid w:val="0021153A"/>
    <w:rsid w:val="0021243D"/>
    <w:rsid w:val="0022229F"/>
    <w:rsid w:val="002245A6"/>
    <w:rsid w:val="002302EA"/>
    <w:rsid w:val="00237614"/>
    <w:rsid w:val="00240749"/>
    <w:rsid w:val="002468D7"/>
    <w:rsid w:val="002470E8"/>
    <w:rsid w:val="00247E97"/>
    <w:rsid w:val="00256C81"/>
    <w:rsid w:val="00263C24"/>
    <w:rsid w:val="00285CDD"/>
    <w:rsid w:val="00291167"/>
    <w:rsid w:val="0029489E"/>
    <w:rsid w:val="00297ECB"/>
    <w:rsid w:val="002A3EC7"/>
    <w:rsid w:val="002B1B7A"/>
    <w:rsid w:val="002C152A"/>
    <w:rsid w:val="002C71AE"/>
    <w:rsid w:val="002D043A"/>
    <w:rsid w:val="00316459"/>
    <w:rsid w:val="0031713F"/>
    <w:rsid w:val="003222D1"/>
    <w:rsid w:val="0032750F"/>
    <w:rsid w:val="00330BAD"/>
    <w:rsid w:val="003415D3"/>
    <w:rsid w:val="003442F6"/>
    <w:rsid w:val="00346335"/>
    <w:rsid w:val="00352B0F"/>
    <w:rsid w:val="003561B0"/>
    <w:rsid w:val="00397893"/>
    <w:rsid w:val="003A15AC"/>
    <w:rsid w:val="003B0627"/>
    <w:rsid w:val="003C5F2B"/>
    <w:rsid w:val="003C7D35"/>
    <w:rsid w:val="003D0BFE"/>
    <w:rsid w:val="003D5700"/>
    <w:rsid w:val="003F506B"/>
    <w:rsid w:val="003F6A2A"/>
    <w:rsid w:val="003F6F52"/>
    <w:rsid w:val="004022CA"/>
    <w:rsid w:val="004116CD"/>
    <w:rsid w:val="00414ADE"/>
    <w:rsid w:val="00424CA9"/>
    <w:rsid w:val="004257BB"/>
    <w:rsid w:val="0044291A"/>
    <w:rsid w:val="00454ABA"/>
    <w:rsid w:val="004600B0"/>
    <w:rsid w:val="00460499"/>
    <w:rsid w:val="00460FBA"/>
    <w:rsid w:val="00474835"/>
    <w:rsid w:val="004819C7"/>
    <w:rsid w:val="0048364F"/>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C61C3"/>
    <w:rsid w:val="005D1A20"/>
    <w:rsid w:val="005D5EA1"/>
    <w:rsid w:val="005E098C"/>
    <w:rsid w:val="005E1F8D"/>
    <w:rsid w:val="005E317F"/>
    <w:rsid w:val="005E61D3"/>
    <w:rsid w:val="00600219"/>
    <w:rsid w:val="006065DA"/>
    <w:rsid w:val="00606AA4"/>
    <w:rsid w:val="0061058B"/>
    <w:rsid w:val="006109CE"/>
    <w:rsid w:val="006252AD"/>
    <w:rsid w:val="00640402"/>
    <w:rsid w:val="00640F78"/>
    <w:rsid w:val="00655D6A"/>
    <w:rsid w:val="00656DE9"/>
    <w:rsid w:val="00672876"/>
    <w:rsid w:val="00677CC2"/>
    <w:rsid w:val="00685F42"/>
    <w:rsid w:val="0069207B"/>
    <w:rsid w:val="00697CB2"/>
    <w:rsid w:val="006A297B"/>
    <w:rsid w:val="006A304E"/>
    <w:rsid w:val="006B7006"/>
    <w:rsid w:val="006C7F8C"/>
    <w:rsid w:val="006D7AB9"/>
    <w:rsid w:val="00700B2C"/>
    <w:rsid w:val="00713084"/>
    <w:rsid w:val="007132F5"/>
    <w:rsid w:val="00717463"/>
    <w:rsid w:val="00720FC2"/>
    <w:rsid w:val="00722E89"/>
    <w:rsid w:val="00724541"/>
    <w:rsid w:val="00731E00"/>
    <w:rsid w:val="007339C7"/>
    <w:rsid w:val="007440B7"/>
    <w:rsid w:val="00747993"/>
    <w:rsid w:val="007551C1"/>
    <w:rsid w:val="007634AD"/>
    <w:rsid w:val="007715C9"/>
    <w:rsid w:val="00774EDD"/>
    <w:rsid w:val="007753AD"/>
    <w:rsid w:val="007757EC"/>
    <w:rsid w:val="007952E9"/>
    <w:rsid w:val="007A6863"/>
    <w:rsid w:val="007B7E65"/>
    <w:rsid w:val="007C78B4"/>
    <w:rsid w:val="007E0853"/>
    <w:rsid w:val="007E32B6"/>
    <w:rsid w:val="007E3976"/>
    <w:rsid w:val="007E486B"/>
    <w:rsid w:val="007E7D4A"/>
    <w:rsid w:val="007F48ED"/>
    <w:rsid w:val="007F5E3F"/>
    <w:rsid w:val="00810548"/>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4E0A"/>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E54C2"/>
    <w:rsid w:val="009F1229"/>
    <w:rsid w:val="00A003BB"/>
    <w:rsid w:val="00A03A45"/>
    <w:rsid w:val="00A06860"/>
    <w:rsid w:val="00A07DDE"/>
    <w:rsid w:val="00A12BB4"/>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78CE"/>
    <w:rsid w:val="00AA7B26"/>
    <w:rsid w:val="00AC767C"/>
    <w:rsid w:val="00AD3467"/>
    <w:rsid w:val="00AD5641"/>
    <w:rsid w:val="00AF33DB"/>
    <w:rsid w:val="00AF4678"/>
    <w:rsid w:val="00AF6E41"/>
    <w:rsid w:val="00B032D8"/>
    <w:rsid w:val="00B039C8"/>
    <w:rsid w:val="00B05D72"/>
    <w:rsid w:val="00B20990"/>
    <w:rsid w:val="00B23FAF"/>
    <w:rsid w:val="00B26ED7"/>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6E79"/>
    <w:rsid w:val="00BC00AA"/>
    <w:rsid w:val="00BE28F0"/>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22"/>
    <w:rsid w:val="00CB58EF"/>
    <w:rsid w:val="00CC3872"/>
    <w:rsid w:val="00CE0A93"/>
    <w:rsid w:val="00CF0BB2"/>
    <w:rsid w:val="00D12B0D"/>
    <w:rsid w:val="00D13441"/>
    <w:rsid w:val="00D15A4D"/>
    <w:rsid w:val="00D220BB"/>
    <w:rsid w:val="00D243A3"/>
    <w:rsid w:val="00D33440"/>
    <w:rsid w:val="00D52EFE"/>
    <w:rsid w:val="00D55AEE"/>
    <w:rsid w:val="00D567A2"/>
    <w:rsid w:val="00D56A0D"/>
    <w:rsid w:val="00D63EF6"/>
    <w:rsid w:val="00D66518"/>
    <w:rsid w:val="00D70DFB"/>
    <w:rsid w:val="00D71EEA"/>
    <w:rsid w:val="00D735CD"/>
    <w:rsid w:val="00D758BD"/>
    <w:rsid w:val="00D766DF"/>
    <w:rsid w:val="00D84477"/>
    <w:rsid w:val="00D85475"/>
    <w:rsid w:val="00D90841"/>
    <w:rsid w:val="00D94896"/>
    <w:rsid w:val="00D954D8"/>
    <w:rsid w:val="00DA2439"/>
    <w:rsid w:val="00DA6F05"/>
    <w:rsid w:val="00DB64FC"/>
    <w:rsid w:val="00DC50CC"/>
    <w:rsid w:val="00DE149E"/>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45276"/>
    <w:rsid w:val="00F46ABF"/>
    <w:rsid w:val="00F677A9"/>
    <w:rsid w:val="00F8121C"/>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F4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purl.org/dc/terms/"/>
    <ds:schemaRef ds:uri="http://schemas.openxmlformats.org/package/2006/metadata/core-properties"/>
    <ds:schemaRef ds:uri="8a6f563f-2bdb-41f3-82d1-8dc8753557f6"/>
    <ds:schemaRef ds:uri="http://schemas.microsoft.com/office/2006/documentManagement/types"/>
    <ds:schemaRef ds:uri="http://schemas.microsoft.com/office/infopath/2007/PartnerControls"/>
    <ds:schemaRef ds:uri="http://purl.org/dc/elements/1.1/"/>
    <ds:schemaRef ds:uri="http://schemas.microsoft.com/office/2006/metadata/properties"/>
    <ds:schemaRef ds:uri="d4956981-af34-43b5-9bb9-127b84748104"/>
    <ds:schemaRef ds:uri="http://www.w3.org/XML/1998/namespace"/>
    <ds:schemaRef ds:uri="http://purl.org/dc/dcmitype/"/>
  </ds:schemaRefs>
</ds:datastoreItem>
</file>

<file path=customXml/itemProps4.xml><?xml version="1.0" encoding="utf-8"?>
<ds:datastoreItem xmlns:ds="http://schemas.openxmlformats.org/officeDocument/2006/customXml" ds:itemID="{AC5C5B19-BB3E-44D6-A3E3-FC5A9B1B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4</Pages>
  <Words>1669</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Farrell, Jeremy MR</cp:lastModifiedBy>
  <cp:revision>2</cp:revision>
  <cp:lastPrinted>2021-07-28T04:48:00Z</cp:lastPrinted>
  <dcterms:created xsi:type="dcterms:W3CDTF">2021-08-05T01:26:00Z</dcterms:created>
  <dcterms:modified xsi:type="dcterms:W3CDTF">2021-08-05T01:26:00Z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BN33854062</vt:lpwstr>
  </property>
  <property fmtid="{D5CDD505-2E9C-101B-9397-08002B2CF9AE}" pid="4" name="Objective-Title">
    <vt:lpwstr>COVID-19 Overseas conditions ES</vt:lpwstr>
  </property>
  <property fmtid="{D5CDD505-2E9C-101B-9397-08002B2CF9AE}" pid="5" name="Objective-Comment">
    <vt:lpwstr/>
  </property>
  <property fmtid="{D5CDD505-2E9C-101B-9397-08002B2CF9AE}" pid="6" name="Objective-CreationStamp">
    <vt:filetime>2021-07-30T05:07:14Z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2021-08-04T04:56:44Z</vt:filetime>
  </property>
  <property fmtid="{D5CDD505-2E9C-101B-9397-08002B2CF9AE}" pid="11" name="Objective-Owner">
    <vt:lpwstr>McCulloch, Michael Mr 1</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Drafting and Engagement - Defence Determination 58B Amendment (Overseas COVID-19 amendments 2021) - 2021/15</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