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5BE5" w14:textId="77777777" w:rsidR="00F109D4" w:rsidRPr="007E5098" w:rsidRDefault="00F109D4" w:rsidP="00647BB7">
      <w:pPr>
        <w:pStyle w:val="Heading1"/>
        <w:spacing w:after="360"/>
        <w:rPr>
          <w:rFonts w:ascii="Times New Roman" w:hAnsi="Times New Roman"/>
          <w:sz w:val="24"/>
          <w:szCs w:val="24"/>
        </w:rPr>
      </w:pPr>
      <w:r w:rsidRPr="007E5098">
        <w:rPr>
          <w:rFonts w:ascii="Times New Roman" w:hAnsi="Times New Roman"/>
          <w:sz w:val="24"/>
          <w:szCs w:val="24"/>
        </w:rPr>
        <w:t>EXPLANATORY STATEMENT</w:t>
      </w:r>
    </w:p>
    <w:p w14:paraId="65134024" w14:textId="3B147532" w:rsidR="001376AD" w:rsidRPr="007E5098" w:rsidRDefault="00F109D4" w:rsidP="001376AD">
      <w:pPr>
        <w:pStyle w:val="Heading2"/>
        <w:jc w:val="center"/>
        <w:rPr>
          <w:sz w:val="24"/>
          <w:szCs w:val="24"/>
        </w:rPr>
      </w:pPr>
      <w:r w:rsidRPr="007E5098">
        <w:rPr>
          <w:sz w:val="24"/>
          <w:szCs w:val="24"/>
        </w:rPr>
        <w:t>Issued by authority of the</w:t>
      </w:r>
      <w:r w:rsidR="00076178" w:rsidRPr="007E5098">
        <w:rPr>
          <w:sz w:val="24"/>
          <w:szCs w:val="24"/>
        </w:rPr>
        <w:t xml:space="preserve"> </w:t>
      </w:r>
      <w:sdt>
        <w:sdtPr>
          <w:rPr>
            <w:sz w:val="24"/>
            <w:szCs w:val="24"/>
          </w:rPr>
          <w:id w:val="435951383"/>
          <w:placeholder>
            <w:docPart w:val="E3760A041F174BE3ACA821B854FDB2D6"/>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9A65CE" w:rsidRPr="007E5098">
            <w:rPr>
              <w:sz w:val="24"/>
              <w:szCs w:val="24"/>
            </w:rPr>
            <w:t>Treasurer</w:t>
          </w:r>
        </w:sdtContent>
      </w:sdt>
    </w:p>
    <w:p w14:paraId="05AFB3DB" w14:textId="2DD7A44A" w:rsidR="00742D62" w:rsidRPr="007E5098" w:rsidRDefault="00742D62" w:rsidP="00742D62">
      <w:pPr>
        <w:spacing w:before="0" w:after="240"/>
        <w:jc w:val="center"/>
        <w:rPr>
          <w:i/>
        </w:rPr>
      </w:pPr>
      <w:r w:rsidRPr="007E5098">
        <w:rPr>
          <w:i/>
        </w:rPr>
        <w:t>Superannuation Industry (Supervision) Act 1993</w:t>
      </w:r>
    </w:p>
    <w:p w14:paraId="095A9CF2" w14:textId="77777777" w:rsidR="001376AD" w:rsidRPr="007E5098" w:rsidRDefault="001376AD" w:rsidP="001376AD">
      <w:pPr>
        <w:spacing w:before="240"/>
        <w:jc w:val="center"/>
        <w:rPr>
          <w:i/>
          <w:iCs/>
        </w:rPr>
      </w:pPr>
      <w:bookmarkStart w:id="0" w:name="_Hlk77678966"/>
      <w:r w:rsidRPr="007E5098">
        <w:rPr>
          <w:i/>
          <w:iCs/>
        </w:rPr>
        <w:t>Superannuation Industry (Supervision) Amendment (Your Future, Your Super—Improving Accountability and Member Outcomes) Regulations 2021</w:t>
      </w:r>
    </w:p>
    <w:bookmarkEnd w:id="0"/>
    <w:p w14:paraId="75F49802" w14:textId="383FF9B0" w:rsidR="00F109D4" w:rsidRPr="007E5098" w:rsidRDefault="00742D62" w:rsidP="00647BB7">
      <w:pPr>
        <w:spacing w:before="240"/>
      </w:pPr>
      <w:r w:rsidRPr="007E5098">
        <w:t xml:space="preserve">Subsection 353(1) of the </w:t>
      </w:r>
      <w:r w:rsidRPr="007E5098">
        <w:rPr>
          <w:i/>
        </w:rPr>
        <w:t>Superannuation Industry (Supervision) Act 1993</w:t>
      </w:r>
      <w:r w:rsidRPr="007E5098">
        <w:t xml:space="preserve"> provide</w:t>
      </w:r>
      <w:r w:rsidR="00AF718F" w:rsidRPr="007E5098">
        <w:t>s</w:t>
      </w:r>
      <w:r w:rsidRPr="007E5098">
        <w:t xml:space="preserve"> that the Governor-General may make regulations prescribing matters required or permitted by the Act to be prescribed, or necessary or convenient to be prescribed for carrying out or giving effect to the Act.</w:t>
      </w:r>
      <w:r w:rsidR="00CA3576" w:rsidRPr="007E5098">
        <w:t xml:space="preserve"> </w:t>
      </w:r>
    </w:p>
    <w:p w14:paraId="0287A517" w14:textId="77A140FC" w:rsidR="00CC191E" w:rsidRPr="007E5098" w:rsidRDefault="00742D62" w:rsidP="001376AD">
      <w:pPr>
        <w:spacing w:before="240"/>
      </w:pPr>
      <w:r w:rsidRPr="007E5098">
        <w:rPr>
          <w:szCs w:val="23"/>
        </w:rPr>
        <w:t xml:space="preserve">The </w:t>
      </w:r>
      <w:r w:rsidRPr="007E5098">
        <w:rPr>
          <w:i/>
          <w:szCs w:val="23"/>
        </w:rPr>
        <w:t>Treasury Laws Amendment (Improving Accountability and Member Outcomes in Superannuation Measures No. 1) Act 2019</w:t>
      </w:r>
      <w:r w:rsidR="00CC191E" w:rsidRPr="007E5098">
        <w:rPr>
          <w:szCs w:val="23"/>
        </w:rPr>
        <w:t xml:space="preserve"> </w:t>
      </w:r>
      <w:r w:rsidR="00BD4ACC" w:rsidRPr="007E5098">
        <w:rPr>
          <w:szCs w:val="23"/>
        </w:rPr>
        <w:t xml:space="preserve">(the Amending Act) </w:t>
      </w:r>
      <w:r w:rsidR="00F20BE6" w:rsidRPr="007E5098">
        <w:rPr>
          <w:szCs w:val="23"/>
        </w:rPr>
        <w:t xml:space="preserve">introduced measures </w:t>
      </w:r>
      <w:r w:rsidRPr="007E5098">
        <w:rPr>
          <w:szCs w:val="23"/>
        </w:rPr>
        <w:t>to increase the amount and quality of information available to superannuation fund members</w:t>
      </w:r>
      <w:r w:rsidR="00847553" w:rsidRPr="007E5098">
        <w:rPr>
          <w:szCs w:val="23"/>
        </w:rPr>
        <w:t xml:space="preserve"> </w:t>
      </w:r>
      <w:r w:rsidRPr="007E5098">
        <w:rPr>
          <w:szCs w:val="23"/>
        </w:rPr>
        <w:t>and other stakeholders.</w:t>
      </w:r>
      <w:r w:rsidR="00A95466" w:rsidRPr="007E5098">
        <w:rPr>
          <w:szCs w:val="23"/>
        </w:rPr>
        <w:t xml:space="preserve"> </w:t>
      </w:r>
      <w:r w:rsidR="003736F2" w:rsidRPr="007E5098">
        <w:rPr>
          <w:szCs w:val="23"/>
        </w:rPr>
        <w:t>These included the</w:t>
      </w:r>
      <w:r w:rsidR="00CC191E" w:rsidRPr="007E5098">
        <w:rPr>
          <w:szCs w:val="23"/>
        </w:rPr>
        <w:t xml:space="preserve"> requirement for superannuation funds to hold ‘annual members’ meetings’, which provide </w:t>
      </w:r>
      <w:r w:rsidR="00A95466" w:rsidRPr="007E5098">
        <w:rPr>
          <w:szCs w:val="23"/>
        </w:rPr>
        <w:t>a forum where the key aspects of the fund are discussed and where members may ask questions about the fund’s performance and operations.</w:t>
      </w:r>
      <w:r w:rsidR="00CC191E" w:rsidRPr="007E5098">
        <w:rPr>
          <w:szCs w:val="23"/>
        </w:rPr>
        <w:t xml:space="preserve"> Other amendments in the Act strengthened the </w:t>
      </w:r>
      <w:r w:rsidR="00CC191E" w:rsidRPr="007E5098">
        <w:t xml:space="preserve">rules prohibiting the use of goods or services by a trustee to influence an employer’s decision to nominate a superannuation fund as their default fund, or to encourage their employees to nominate the fund as their chosen of fund. </w:t>
      </w:r>
    </w:p>
    <w:p w14:paraId="28D51436" w14:textId="561125DC" w:rsidR="00CC191E" w:rsidRPr="007E5098" w:rsidRDefault="00F015EE" w:rsidP="001376AD">
      <w:pPr>
        <w:spacing w:before="240"/>
        <w:rPr>
          <w:i/>
          <w:iCs/>
        </w:rPr>
      </w:pPr>
      <w:r w:rsidRPr="007E5098">
        <w:rPr>
          <w:szCs w:val="23"/>
        </w:rPr>
        <w:t xml:space="preserve">The </w:t>
      </w:r>
      <w:r w:rsidR="001376AD" w:rsidRPr="007E5098">
        <w:rPr>
          <w:i/>
          <w:iCs/>
        </w:rPr>
        <w:t xml:space="preserve">Superannuation Industry (Supervision) Amendment (Your Future, Your Super—Improving Accountability and Member Outcomes) Regulations 2021 </w:t>
      </w:r>
      <w:r w:rsidRPr="007E5098">
        <w:rPr>
          <w:szCs w:val="23"/>
        </w:rPr>
        <w:t>(the Regulation</w:t>
      </w:r>
      <w:r w:rsidR="00256F4F" w:rsidRPr="007E5098">
        <w:rPr>
          <w:szCs w:val="23"/>
        </w:rPr>
        <w:t>s</w:t>
      </w:r>
      <w:r w:rsidRPr="007E5098">
        <w:rPr>
          <w:szCs w:val="23"/>
        </w:rPr>
        <w:t xml:space="preserve">) </w:t>
      </w:r>
      <w:r w:rsidR="00CC191E" w:rsidRPr="007E5098">
        <w:rPr>
          <w:szCs w:val="23"/>
        </w:rPr>
        <w:t>support the above amendments</w:t>
      </w:r>
      <w:r w:rsidR="00847553" w:rsidRPr="007E5098">
        <w:rPr>
          <w:szCs w:val="23"/>
        </w:rPr>
        <w:t xml:space="preserve">. </w:t>
      </w:r>
    </w:p>
    <w:p w14:paraId="554957F1" w14:textId="1EED0760" w:rsidR="00F015EE" w:rsidRPr="007E5098" w:rsidRDefault="00F015EE" w:rsidP="001376AD">
      <w:pPr>
        <w:rPr>
          <w:szCs w:val="23"/>
        </w:rPr>
      </w:pPr>
      <w:r w:rsidRPr="007E5098">
        <w:rPr>
          <w:szCs w:val="23"/>
        </w:rPr>
        <w:t xml:space="preserve">Schedule </w:t>
      </w:r>
      <w:r w:rsidR="00355979" w:rsidRPr="007E5098">
        <w:rPr>
          <w:szCs w:val="23"/>
        </w:rPr>
        <w:t>1</w:t>
      </w:r>
      <w:r w:rsidRPr="007E5098">
        <w:rPr>
          <w:szCs w:val="23"/>
        </w:rPr>
        <w:t xml:space="preserve"> to the Regulation</w:t>
      </w:r>
      <w:r w:rsidR="00256F4F" w:rsidRPr="007E5098">
        <w:rPr>
          <w:szCs w:val="23"/>
        </w:rPr>
        <w:t>s</w:t>
      </w:r>
      <w:r w:rsidRPr="007E5098">
        <w:rPr>
          <w:szCs w:val="23"/>
        </w:rPr>
        <w:t xml:space="preserve"> prescribes the information that must be provided with a notice for an </w:t>
      </w:r>
      <w:r w:rsidR="008107D7" w:rsidRPr="007E5098">
        <w:rPr>
          <w:szCs w:val="23"/>
        </w:rPr>
        <w:t>annual members meeting</w:t>
      </w:r>
      <w:r w:rsidRPr="007E5098">
        <w:rPr>
          <w:szCs w:val="23"/>
        </w:rPr>
        <w:t>.</w:t>
      </w:r>
      <w:r w:rsidR="00D20260" w:rsidRPr="007E5098">
        <w:rPr>
          <w:szCs w:val="23"/>
        </w:rPr>
        <w:t xml:space="preserve"> These requirements apply in relation to an annual members’ meeting for each year of income that ends on or after the commencement of the schedule. </w:t>
      </w:r>
    </w:p>
    <w:p w14:paraId="79BF96F5" w14:textId="48074658" w:rsidR="00F015EE" w:rsidRPr="007E5098" w:rsidRDefault="00F015EE" w:rsidP="001376AD">
      <w:pPr>
        <w:rPr>
          <w:szCs w:val="23"/>
        </w:rPr>
      </w:pPr>
      <w:r w:rsidRPr="007E5098">
        <w:rPr>
          <w:szCs w:val="23"/>
        </w:rPr>
        <w:t xml:space="preserve">Schedule </w:t>
      </w:r>
      <w:r w:rsidR="00355979" w:rsidRPr="007E5098">
        <w:rPr>
          <w:szCs w:val="23"/>
        </w:rPr>
        <w:t>2</w:t>
      </w:r>
      <w:r w:rsidRPr="007E5098">
        <w:rPr>
          <w:szCs w:val="23"/>
        </w:rPr>
        <w:t xml:space="preserve"> to the Regulation</w:t>
      </w:r>
      <w:r w:rsidR="00256F4F" w:rsidRPr="007E5098">
        <w:rPr>
          <w:szCs w:val="23"/>
        </w:rPr>
        <w:t>s</w:t>
      </w:r>
      <w:r w:rsidRPr="007E5098">
        <w:rPr>
          <w:szCs w:val="23"/>
        </w:rPr>
        <w:t xml:space="preserve"> removes an </w:t>
      </w:r>
      <w:r w:rsidR="008107D7" w:rsidRPr="007E5098">
        <w:rPr>
          <w:szCs w:val="23"/>
        </w:rPr>
        <w:t>exception</w:t>
      </w:r>
      <w:r w:rsidRPr="007E5098">
        <w:rPr>
          <w:szCs w:val="23"/>
        </w:rPr>
        <w:t xml:space="preserve"> </w:t>
      </w:r>
      <w:r w:rsidR="008107D7" w:rsidRPr="007E5098">
        <w:rPr>
          <w:szCs w:val="23"/>
        </w:rPr>
        <w:t xml:space="preserve">to the revised prohibition </w:t>
      </w:r>
      <w:r w:rsidRPr="007E5098">
        <w:rPr>
          <w:szCs w:val="23"/>
        </w:rPr>
        <w:t>i</w:t>
      </w:r>
      <w:r w:rsidR="008107D7" w:rsidRPr="007E5098">
        <w:rPr>
          <w:szCs w:val="23"/>
        </w:rPr>
        <w:t>nfluencing</w:t>
      </w:r>
      <w:r w:rsidRPr="007E5098">
        <w:t xml:space="preserve"> employers</w:t>
      </w:r>
      <w:r w:rsidRPr="007E5098">
        <w:rPr>
          <w:szCs w:val="23"/>
        </w:rPr>
        <w:t>.</w:t>
      </w:r>
    </w:p>
    <w:p w14:paraId="5A22727D" w14:textId="00A1111A" w:rsidR="00D20260" w:rsidRPr="007E5098" w:rsidRDefault="00D20260" w:rsidP="001376AD">
      <w:pPr>
        <w:rPr>
          <w:szCs w:val="23"/>
        </w:rPr>
      </w:pPr>
      <w:r w:rsidRPr="007E5098">
        <w:rPr>
          <w:szCs w:val="23"/>
        </w:rPr>
        <w:t xml:space="preserve">The proposed amendments and explanatory statement were released for public consultation for four weeks, from 28 April </w:t>
      </w:r>
      <w:r w:rsidR="003F15F4" w:rsidRPr="007E5098">
        <w:rPr>
          <w:szCs w:val="23"/>
        </w:rPr>
        <w:t xml:space="preserve">2021 </w:t>
      </w:r>
      <w:r w:rsidRPr="007E5098">
        <w:rPr>
          <w:szCs w:val="23"/>
        </w:rPr>
        <w:t xml:space="preserve">to 25 May 2021. In response to stakeholder comments changes were made to the regulations and explanatory statement to clarify what information registerable superannuation entity (RSE) licensees must attach to the notice, and to ensure RSE licensees provide meaningful information to members. </w:t>
      </w:r>
    </w:p>
    <w:p w14:paraId="460F301C" w14:textId="77777777" w:rsidR="00F015EE" w:rsidRPr="007E5098" w:rsidRDefault="00F015EE" w:rsidP="00F015EE">
      <w:pPr>
        <w:rPr>
          <w:szCs w:val="23"/>
          <w:u w:val="single"/>
        </w:rPr>
      </w:pPr>
      <w:r w:rsidRPr="007E5098">
        <w:rPr>
          <w:szCs w:val="23"/>
        </w:rPr>
        <w:t xml:space="preserve">Details of the Regulations are set out in </w:t>
      </w:r>
      <w:r w:rsidRPr="007E5098">
        <w:rPr>
          <w:szCs w:val="23"/>
          <w:u w:val="single"/>
        </w:rPr>
        <w:t>Attachment A</w:t>
      </w:r>
      <w:r w:rsidRPr="007E5098">
        <w:rPr>
          <w:szCs w:val="23"/>
        </w:rPr>
        <w:t>.</w:t>
      </w:r>
    </w:p>
    <w:p w14:paraId="4FB58CCB" w14:textId="12F4D8FC" w:rsidR="00F015EE" w:rsidRPr="007E5098" w:rsidRDefault="00F015EE" w:rsidP="00F015EE">
      <w:pPr>
        <w:rPr>
          <w:szCs w:val="23"/>
        </w:rPr>
      </w:pPr>
      <w:r w:rsidRPr="007E5098">
        <w:rPr>
          <w:szCs w:val="23"/>
        </w:rPr>
        <w:t>The Regulation</w:t>
      </w:r>
      <w:r w:rsidR="00657C39" w:rsidRPr="007E5098">
        <w:rPr>
          <w:szCs w:val="23"/>
        </w:rPr>
        <w:t>s</w:t>
      </w:r>
      <w:r w:rsidRPr="007E5098">
        <w:rPr>
          <w:szCs w:val="23"/>
        </w:rPr>
        <w:t xml:space="preserve"> </w:t>
      </w:r>
      <w:r w:rsidR="00657C39" w:rsidRPr="007E5098">
        <w:rPr>
          <w:szCs w:val="23"/>
        </w:rPr>
        <w:t>are</w:t>
      </w:r>
      <w:r w:rsidRPr="007E5098">
        <w:rPr>
          <w:szCs w:val="23"/>
        </w:rPr>
        <w:t xml:space="preserve"> a legislative instrument for the purposes of the </w:t>
      </w:r>
      <w:r w:rsidRPr="007E5098">
        <w:rPr>
          <w:i/>
          <w:szCs w:val="23"/>
        </w:rPr>
        <w:t>Legislation Act</w:t>
      </w:r>
      <w:r w:rsidR="00060642" w:rsidRPr="007E5098">
        <w:rPr>
          <w:i/>
          <w:szCs w:val="23"/>
        </w:rPr>
        <w:t> </w:t>
      </w:r>
      <w:r w:rsidRPr="007E5098">
        <w:rPr>
          <w:i/>
          <w:szCs w:val="23"/>
        </w:rPr>
        <w:t>2003</w:t>
      </w:r>
      <w:r w:rsidRPr="007E5098">
        <w:rPr>
          <w:szCs w:val="23"/>
        </w:rPr>
        <w:t>.</w:t>
      </w:r>
    </w:p>
    <w:p w14:paraId="579CB898" w14:textId="7FE4E5CC" w:rsidR="006D2419" w:rsidRPr="007E5098" w:rsidRDefault="00F015EE" w:rsidP="003616D3">
      <w:pPr>
        <w:rPr>
          <w:szCs w:val="23"/>
        </w:rPr>
      </w:pPr>
      <w:r w:rsidRPr="007E5098">
        <w:rPr>
          <w:szCs w:val="23"/>
        </w:rPr>
        <w:t>The Regulation</w:t>
      </w:r>
      <w:r w:rsidR="00722CC6" w:rsidRPr="007E5098">
        <w:rPr>
          <w:szCs w:val="23"/>
        </w:rPr>
        <w:t>s</w:t>
      </w:r>
      <w:r w:rsidRPr="007E5098">
        <w:rPr>
          <w:szCs w:val="23"/>
        </w:rPr>
        <w:t xml:space="preserve"> commence the day after the instrument is registered.</w:t>
      </w:r>
    </w:p>
    <w:p w14:paraId="16EFC66D" w14:textId="0216B256" w:rsidR="003B6634" w:rsidRPr="007E5098" w:rsidRDefault="003B6634" w:rsidP="003B6634">
      <w:pPr>
        <w:rPr>
          <w:sz w:val="22"/>
        </w:rPr>
      </w:pPr>
      <w:r w:rsidRPr="007E5098">
        <w:t>A regulation impact statement (RIS) was undertaken in relation to the primary legislation, the</w:t>
      </w:r>
      <w:r w:rsidR="00BD4ACC" w:rsidRPr="007E5098">
        <w:t xml:space="preserve"> Amending Act</w:t>
      </w:r>
      <w:r w:rsidRPr="007E5098">
        <w:rPr>
          <w:i/>
          <w:iCs/>
        </w:rPr>
        <w:t xml:space="preserve">. </w:t>
      </w:r>
      <w:r w:rsidRPr="007E5098">
        <w:t>The scope of that RIS included any regulations which would prescribe information to be provided to members.</w:t>
      </w:r>
    </w:p>
    <w:p w14:paraId="079C0AEF" w14:textId="7D6BE4AC" w:rsidR="003B6634" w:rsidRPr="007E5098" w:rsidRDefault="003B6634" w:rsidP="003B6634">
      <w:r w:rsidRPr="007E5098">
        <w:lastRenderedPageBreak/>
        <w:t>The regulatory impact for the primary law measures, including any regulations made, were estimated to have a start-up cost of $8.5 million and ongoing costs of $13.7 million which result in an estimated annual compliance cost impact, averaged over 10</w:t>
      </w:r>
      <w:r w:rsidR="003F15F4" w:rsidRPr="007E5098">
        <w:t> </w:t>
      </w:r>
      <w:r w:rsidRPr="007E5098">
        <w:t xml:space="preserve">years, of $14.6 million. </w:t>
      </w:r>
    </w:p>
    <w:p w14:paraId="51C32ED1" w14:textId="7269AAB9" w:rsidR="003B6634" w:rsidRPr="007E5098" w:rsidRDefault="003B6634" w:rsidP="003B6634">
      <w:r w:rsidRPr="007E5098">
        <w:t>The RIS can be found in the Revised Explanatory Memorandum to the</w:t>
      </w:r>
      <w:r w:rsidR="00BD4ACC" w:rsidRPr="007E5098">
        <w:t xml:space="preserve"> Amending Act</w:t>
      </w:r>
      <w:r w:rsidRPr="007E5098">
        <w:rPr>
          <w:i/>
          <w:iCs/>
        </w:rPr>
        <w:t xml:space="preserve">. </w:t>
      </w:r>
      <w:r w:rsidR="007E70A5" w:rsidRPr="007E5098">
        <w:rPr>
          <w:rStyle w:val="FootnoteReference"/>
        </w:rPr>
        <w:footnoteReference w:id="2"/>
      </w:r>
    </w:p>
    <w:p w14:paraId="5BDE0EB5" w14:textId="28D30639" w:rsidR="00BF5588" w:rsidRPr="007E5098" w:rsidRDefault="006245E8" w:rsidP="003616D3">
      <w:pPr>
        <w:rPr>
          <w:szCs w:val="23"/>
        </w:rPr>
      </w:pPr>
      <w:r w:rsidRPr="007E5098">
        <w:rPr>
          <w:szCs w:val="23"/>
        </w:rPr>
        <w:t xml:space="preserve">A </w:t>
      </w:r>
      <w:r w:rsidR="001A1299" w:rsidRPr="007E5098">
        <w:rPr>
          <w:szCs w:val="23"/>
        </w:rPr>
        <w:t>s</w:t>
      </w:r>
      <w:r w:rsidRPr="007E5098">
        <w:rPr>
          <w:szCs w:val="23"/>
        </w:rPr>
        <w:t xml:space="preserve">tatement of </w:t>
      </w:r>
      <w:r w:rsidR="001A1299" w:rsidRPr="007E5098">
        <w:rPr>
          <w:szCs w:val="23"/>
        </w:rPr>
        <w:t>c</w:t>
      </w:r>
      <w:r w:rsidRPr="007E5098">
        <w:rPr>
          <w:szCs w:val="23"/>
        </w:rPr>
        <w:t xml:space="preserve">ompatibility with </w:t>
      </w:r>
      <w:r w:rsidR="001A1299" w:rsidRPr="007E5098">
        <w:rPr>
          <w:szCs w:val="23"/>
        </w:rPr>
        <w:t>h</w:t>
      </w:r>
      <w:r w:rsidRPr="007E5098">
        <w:rPr>
          <w:szCs w:val="23"/>
        </w:rPr>
        <w:t xml:space="preserve">uman </w:t>
      </w:r>
      <w:r w:rsidR="001A1299" w:rsidRPr="007E5098">
        <w:rPr>
          <w:szCs w:val="23"/>
        </w:rPr>
        <w:t>r</w:t>
      </w:r>
      <w:r w:rsidRPr="007E5098">
        <w:rPr>
          <w:szCs w:val="23"/>
        </w:rPr>
        <w:t xml:space="preserve">ights is at </w:t>
      </w:r>
      <w:r w:rsidRPr="007E5098">
        <w:rPr>
          <w:szCs w:val="23"/>
          <w:u w:val="single"/>
        </w:rPr>
        <w:t>Attachment B.</w:t>
      </w:r>
    </w:p>
    <w:p w14:paraId="74586270" w14:textId="2E4420F4" w:rsidR="00EA4DD8" w:rsidRPr="007E5098" w:rsidRDefault="006D2419" w:rsidP="00A46C6F">
      <w:pPr>
        <w:pageBreakBefore/>
        <w:spacing w:before="240"/>
        <w:ind w:left="5040" w:firstLine="720"/>
        <w:jc w:val="center"/>
        <w:rPr>
          <w:b/>
          <w:u w:val="single"/>
        </w:rPr>
      </w:pPr>
      <w:r w:rsidRPr="007E5098">
        <w:rPr>
          <w:b/>
          <w:u w:val="single"/>
        </w:rPr>
        <w:lastRenderedPageBreak/>
        <w:t>A</w:t>
      </w:r>
      <w:r w:rsidR="00EA4DD8" w:rsidRPr="007E5098">
        <w:rPr>
          <w:b/>
          <w:u w:val="single"/>
        </w:rPr>
        <w:t xml:space="preserve">TTACHMENT </w:t>
      </w:r>
      <w:r w:rsidR="00F015EE" w:rsidRPr="007E5098">
        <w:rPr>
          <w:b/>
          <w:u w:val="single"/>
        </w:rPr>
        <w:t>A</w:t>
      </w:r>
    </w:p>
    <w:p w14:paraId="7DC550C1" w14:textId="755E8968" w:rsidR="00EA4DD8" w:rsidRPr="007E5098" w:rsidRDefault="00EA4DD8" w:rsidP="00EA4DD8">
      <w:pPr>
        <w:spacing w:before="240"/>
        <w:ind w:right="91"/>
        <w:rPr>
          <w:b/>
          <w:bCs/>
          <w:szCs w:val="24"/>
          <w:u w:val="single"/>
        </w:rPr>
      </w:pPr>
      <w:r w:rsidRPr="007E5098">
        <w:rPr>
          <w:b/>
          <w:bCs/>
          <w:u w:val="single"/>
        </w:rPr>
        <w:t xml:space="preserve">Details of the </w:t>
      </w:r>
      <w:r w:rsidR="00471EB3" w:rsidRPr="007E5098">
        <w:rPr>
          <w:b/>
          <w:i/>
          <w:u w:val="single"/>
        </w:rPr>
        <w:t>Superannuation Industry (Supervision) Amendment (Your Future, Your Super—Improving Accountability and Member Outcomes) Regulations 2021</w:t>
      </w:r>
    </w:p>
    <w:p w14:paraId="15B7F5E0" w14:textId="77777777" w:rsidR="00EA4DD8" w:rsidRPr="007E5098" w:rsidRDefault="00EA4DD8" w:rsidP="00EA4DD8">
      <w:pPr>
        <w:spacing w:before="240"/>
        <w:rPr>
          <w:rFonts w:ascii="Calibri" w:hAnsi="Calibri"/>
          <w:sz w:val="22"/>
          <w:szCs w:val="22"/>
          <w:u w:val="single"/>
          <w:lang w:eastAsia="en-US"/>
        </w:rPr>
      </w:pPr>
      <w:r w:rsidRPr="007E5098">
        <w:rPr>
          <w:u w:val="single"/>
        </w:rPr>
        <w:t>Section 1 – Name of the Regulations</w:t>
      </w:r>
    </w:p>
    <w:p w14:paraId="4D604C4B" w14:textId="0D9D429A" w:rsidR="00EA4DD8" w:rsidRPr="007E5098" w:rsidRDefault="00EA4DD8" w:rsidP="00EA4DD8">
      <w:pPr>
        <w:spacing w:before="240"/>
      </w:pPr>
      <w:r w:rsidRPr="007E5098">
        <w:t xml:space="preserve">This section provides that the name of the Regulations is the </w:t>
      </w:r>
      <w:r w:rsidR="00471EB3" w:rsidRPr="007E5098">
        <w:rPr>
          <w:i/>
        </w:rPr>
        <w:t>Superannuation Industry (Supervision) Amendment (Your Future, Your Super—Improving Accountability and Member Outcomes) Regulations 2021</w:t>
      </w:r>
      <w:r w:rsidR="00061277" w:rsidRPr="007E5098">
        <w:rPr>
          <w:i/>
        </w:rPr>
        <w:t xml:space="preserve">. </w:t>
      </w:r>
    </w:p>
    <w:p w14:paraId="025BC2C0" w14:textId="77777777" w:rsidR="00EA4DD8" w:rsidRPr="007E5098" w:rsidRDefault="00EA4DD8" w:rsidP="00EA4DD8">
      <w:pPr>
        <w:spacing w:before="240"/>
        <w:ind w:right="91"/>
        <w:rPr>
          <w:u w:val="single"/>
        </w:rPr>
      </w:pPr>
      <w:r w:rsidRPr="007E5098">
        <w:rPr>
          <w:u w:val="single"/>
        </w:rPr>
        <w:t>Section 2 – Commencement</w:t>
      </w:r>
    </w:p>
    <w:p w14:paraId="154AE9A3" w14:textId="77777777" w:rsidR="00EA4DD8" w:rsidRPr="007E5098" w:rsidRDefault="000C533D" w:rsidP="00EA4DD8">
      <w:pPr>
        <w:spacing w:before="240"/>
        <w:ind w:right="91"/>
      </w:pPr>
      <w:r w:rsidRPr="007E5098">
        <w:t>T</w:t>
      </w:r>
      <w:r w:rsidR="00EA4DD8" w:rsidRPr="007E5098">
        <w:t xml:space="preserve">he Regulations commence on </w:t>
      </w:r>
      <w:r w:rsidRPr="007E5098">
        <w:t xml:space="preserve">the day after the instrument </w:t>
      </w:r>
      <w:r w:rsidR="00EA4DD8" w:rsidRPr="007E5098">
        <w:t>is registered on the Federal Register of Legislation.</w:t>
      </w:r>
    </w:p>
    <w:p w14:paraId="75F1DA4C" w14:textId="77777777" w:rsidR="00EA4DD8" w:rsidRPr="007E5098" w:rsidRDefault="00EA4DD8" w:rsidP="00EA4DD8">
      <w:pPr>
        <w:spacing w:before="240"/>
        <w:ind w:right="91"/>
        <w:rPr>
          <w:u w:val="single"/>
        </w:rPr>
      </w:pPr>
      <w:r w:rsidRPr="007E5098">
        <w:rPr>
          <w:u w:val="single"/>
        </w:rPr>
        <w:t>Section 3 – Authority</w:t>
      </w:r>
    </w:p>
    <w:p w14:paraId="5A507C69" w14:textId="25FA4152" w:rsidR="00EA4DD8" w:rsidRPr="007E5098" w:rsidRDefault="00EA4DD8" w:rsidP="00EA4DD8">
      <w:pPr>
        <w:spacing w:before="240"/>
        <w:ind w:right="91"/>
      </w:pPr>
      <w:r w:rsidRPr="007E5098">
        <w:t xml:space="preserve">The Regulations are made under the </w:t>
      </w:r>
      <w:r w:rsidR="008E616A" w:rsidRPr="007E5098">
        <w:rPr>
          <w:i/>
        </w:rPr>
        <w:t>Super</w:t>
      </w:r>
      <w:r w:rsidR="00842AAF" w:rsidRPr="007E5098">
        <w:rPr>
          <w:i/>
        </w:rPr>
        <w:t>annuation</w:t>
      </w:r>
      <w:r w:rsidR="00C14B12" w:rsidRPr="007E5098">
        <w:rPr>
          <w:i/>
        </w:rPr>
        <w:t xml:space="preserve"> </w:t>
      </w:r>
      <w:r w:rsidR="008E616A" w:rsidRPr="007E5098">
        <w:rPr>
          <w:i/>
        </w:rPr>
        <w:t>Industry (Supervision) Act 1993</w:t>
      </w:r>
      <w:r w:rsidR="00D9441E" w:rsidRPr="007E5098">
        <w:rPr>
          <w:i/>
        </w:rPr>
        <w:t xml:space="preserve"> </w:t>
      </w:r>
      <w:r w:rsidR="00D9441E" w:rsidRPr="007E5098">
        <w:t>(</w:t>
      </w:r>
      <w:r w:rsidR="008A4780" w:rsidRPr="007E5098">
        <w:t>the</w:t>
      </w:r>
      <w:r w:rsidR="00D9441E" w:rsidRPr="007E5098">
        <w:t xml:space="preserve"> Act)</w:t>
      </w:r>
      <w:r w:rsidRPr="007E5098">
        <w:t>.</w:t>
      </w:r>
    </w:p>
    <w:p w14:paraId="5CC1AA13" w14:textId="77777777" w:rsidR="00EA4DD8" w:rsidRPr="007E5098" w:rsidRDefault="00EA4DD8" w:rsidP="00EA4DD8">
      <w:pPr>
        <w:spacing w:before="240"/>
        <w:ind w:right="91"/>
        <w:rPr>
          <w:u w:val="single"/>
        </w:rPr>
      </w:pPr>
      <w:r w:rsidRPr="007E5098">
        <w:rPr>
          <w:u w:val="single"/>
        </w:rPr>
        <w:t>Section 4 – Schedule</w:t>
      </w:r>
      <w:r w:rsidR="004C6543" w:rsidRPr="007E5098">
        <w:rPr>
          <w:u w:val="single"/>
        </w:rPr>
        <w:t>s</w:t>
      </w:r>
    </w:p>
    <w:p w14:paraId="0CA68441" w14:textId="77777777" w:rsidR="003A3008" w:rsidRPr="007E5098" w:rsidRDefault="00EA4DD8" w:rsidP="003A3008">
      <w:pPr>
        <w:spacing w:before="240" w:after="200"/>
        <w:ind w:right="91"/>
      </w:pPr>
      <w:r w:rsidRPr="007E5098">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56DB565" w14:textId="1B995BAE" w:rsidR="00DB13D1" w:rsidRPr="007E5098" w:rsidRDefault="00DB13D1" w:rsidP="003616D3">
      <w:pPr>
        <w:spacing w:before="240"/>
        <w:ind w:right="91"/>
      </w:pPr>
      <w:r w:rsidRPr="007E5098">
        <w:rPr>
          <w:b/>
        </w:rPr>
        <w:t>Schedule</w:t>
      </w:r>
      <w:r w:rsidRPr="007E5098">
        <w:rPr>
          <w:b/>
          <w:iCs/>
        </w:rPr>
        <w:t xml:space="preserve"> </w:t>
      </w:r>
      <w:r w:rsidR="006445D5" w:rsidRPr="007E5098">
        <w:rPr>
          <w:b/>
          <w:iCs/>
        </w:rPr>
        <w:t>1</w:t>
      </w:r>
      <w:r w:rsidRPr="007E5098">
        <w:rPr>
          <w:rFonts w:ascii="Calibri" w:hAnsi="Calibri"/>
          <w:b/>
          <w:iCs/>
        </w:rPr>
        <w:t>—</w:t>
      </w:r>
      <w:r w:rsidR="00E37955" w:rsidRPr="007E5098">
        <w:rPr>
          <w:b/>
          <w:iCs/>
        </w:rPr>
        <w:t>Annual Members</w:t>
      </w:r>
      <w:r w:rsidR="00D1771F" w:rsidRPr="007E5098">
        <w:rPr>
          <w:b/>
          <w:iCs/>
        </w:rPr>
        <w:t>’</w:t>
      </w:r>
      <w:r w:rsidR="00E37955" w:rsidRPr="007E5098">
        <w:rPr>
          <w:b/>
          <w:iCs/>
        </w:rPr>
        <w:t xml:space="preserve"> Meeting Notice Requirements </w:t>
      </w:r>
      <w:r w:rsidRPr="007E5098">
        <w:rPr>
          <w:b/>
          <w:iCs/>
        </w:rPr>
        <w:t xml:space="preserve"> </w:t>
      </w:r>
    </w:p>
    <w:p w14:paraId="3CD4D4E9" w14:textId="59EAAEC4" w:rsidR="006C61C4" w:rsidRPr="007E5098" w:rsidRDefault="0073421C" w:rsidP="00765B0F">
      <w:pPr>
        <w:spacing w:before="240"/>
        <w:ind w:right="91"/>
        <w:rPr>
          <w:szCs w:val="23"/>
        </w:rPr>
      </w:pPr>
      <w:bookmarkStart w:id="1" w:name="_Hlk77339511"/>
      <w:r w:rsidRPr="007E5098">
        <w:rPr>
          <w:szCs w:val="23"/>
        </w:rPr>
        <w:t xml:space="preserve">Section 29P of the </w:t>
      </w:r>
      <w:r w:rsidR="00381E6D" w:rsidRPr="007E5098">
        <w:rPr>
          <w:szCs w:val="23"/>
        </w:rPr>
        <w:t>Act</w:t>
      </w:r>
      <w:r w:rsidRPr="007E5098">
        <w:rPr>
          <w:szCs w:val="23"/>
        </w:rPr>
        <w:t xml:space="preserve"> </w:t>
      </w:r>
      <w:r w:rsidR="0094660F" w:rsidRPr="007E5098">
        <w:rPr>
          <w:szCs w:val="23"/>
        </w:rPr>
        <w:t>requires that</w:t>
      </w:r>
      <w:r w:rsidRPr="007E5098">
        <w:rPr>
          <w:szCs w:val="23"/>
        </w:rPr>
        <w:t xml:space="preserve"> </w:t>
      </w:r>
      <w:r w:rsidR="006C61C4" w:rsidRPr="007E5098">
        <w:rPr>
          <w:szCs w:val="23"/>
        </w:rPr>
        <w:t>the</w:t>
      </w:r>
      <w:r w:rsidR="003E46F2" w:rsidRPr="007E5098">
        <w:rPr>
          <w:szCs w:val="23"/>
        </w:rPr>
        <w:t xml:space="preserve"> registerable superannuation entity</w:t>
      </w:r>
      <w:r w:rsidR="006C61C4" w:rsidRPr="007E5098">
        <w:rPr>
          <w:szCs w:val="23"/>
        </w:rPr>
        <w:t xml:space="preserve"> </w:t>
      </w:r>
      <w:r w:rsidR="003E46F2" w:rsidRPr="007E5098">
        <w:rPr>
          <w:szCs w:val="23"/>
        </w:rPr>
        <w:t>(</w:t>
      </w:r>
      <w:r w:rsidRPr="007E5098">
        <w:rPr>
          <w:szCs w:val="23"/>
        </w:rPr>
        <w:t>RSE</w:t>
      </w:r>
      <w:r w:rsidR="003E46F2" w:rsidRPr="007E5098">
        <w:rPr>
          <w:szCs w:val="23"/>
        </w:rPr>
        <w:t>)</w:t>
      </w:r>
      <w:r w:rsidRPr="007E5098">
        <w:rPr>
          <w:szCs w:val="23"/>
        </w:rPr>
        <w:t xml:space="preserve"> licensee of </w:t>
      </w:r>
      <w:r w:rsidR="006C61C4" w:rsidRPr="007E5098">
        <w:rPr>
          <w:szCs w:val="23"/>
        </w:rPr>
        <w:t>a</w:t>
      </w:r>
      <w:r w:rsidRPr="007E5098">
        <w:rPr>
          <w:szCs w:val="23"/>
        </w:rPr>
        <w:t xml:space="preserve"> </w:t>
      </w:r>
      <w:r w:rsidR="003E46F2" w:rsidRPr="007E5098">
        <w:rPr>
          <w:szCs w:val="23"/>
        </w:rPr>
        <w:t xml:space="preserve">RSE </w:t>
      </w:r>
      <w:r w:rsidRPr="007E5098">
        <w:rPr>
          <w:szCs w:val="23"/>
        </w:rPr>
        <w:t xml:space="preserve">hold an annual meeting of members </w:t>
      </w:r>
      <w:r w:rsidR="0094660F" w:rsidRPr="007E5098">
        <w:rPr>
          <w:szCs w:val="23"/>
        </w:rPr>
        <w:t xml:space="preserve">for each year of income of the entity. RSE licensees are also required to give notice of the meeting to all members of the </w:t>
      </w:r>
      <w:r w:rsidR="006E0783" w:rsidRPr="007E5098">
        <w:rPr>
          <w:szCs w:val="23"/>
        </w:rPr>
        <w:t>RSE</w:t>
      </w:r>
      <w:r w:rsidR="0094660F" w:rsidRPr="007E5098">
        <w:rPr>
          <w:szCs w:val="23"/>
        </w:rPr>
        <w:t xml:space="preserve">, and provide any information prescribed in regulations </w:t>
      </w:r>
      <w:r w:rsidR="00366562" w:rsidRPr="007E5098">
        <w:rPr>
          <w:szCs w:val="23"/>
        </w:rPr>
        <w:t xml:space="preserve">with the notice of the meeting. </w:t>
      </w:r>
    </w:p>
    <w:p w14:paraId="4BF8B3BA" w14:textId="578FCFD1" w:rsidR="00DD44F1" w:rsidRPr="007E5098" w:rsidRDefault="00DD44F1" w:rsidP="00765B0F">
      <w:pPr>
        <w:spacing w:before="240"/>
        <w:ind w:right="91"/>
        <w:rPr>
          <w:szCs w:val="23"/>
        </w:rPr>
      </w:pPr>
      <w:r w:rsidRPr="007E5098">
        <w:rPr>
          <w:szCs w:val="23"/>
        </w:rPr>
        <w:t xml:space="preserve">Annual </w:t>
      </w:r>
      <w:r w:rsidR="00D1771F" w:rsidRPr="007E5098">
        <w:rPr>
          <w:szCs w:val="23"/>
        </w:rPr>
        <w:t>m</w:t>
      </w:r>
      <w:r w:rsidRPr="007E5098">
        <w:rPr>
          <w:szCs w:val="23"/>
        </w:rPr>
        <w:t xml:space="preserve">embers’ </w:t>
      </w:r>
      <w:r w:rsidR="00D1771F" w:rsidRPr="007E5098">
        <w:rPr>
          <w:szCs w:val="23"/>
        </w:rPr>
        <w:t>m</w:t>
      </w:r>
      <w:r w:rsidRPr="007E5098">
        <w:rPr>
          <w:szCs w:val="23"/>
        </w:rPr>
        <w:t xml:space="preserve">eetings </w:t>
      </w:r>
      <w:r w:rsidR="00A0425E" w:rsidRPr="007E5098">
        <w:rPr>
          <w:szCs w:val="23"/>
        </w:rPr>
        <w:t xml:space="preserve">allow discussion of the key aspects of the fund and provide members with a forum to ask questions about all areas of the fund’s performance and operations. </w:t>
      </w:r>
    </w:p>
    <w:p w14:paraId="1F13D28B" w14:textId="72D37F55" w:rsidR="0073421C" w:rsidRPr="007E5098" w:rsidRDefault="006C61C4" w:rsidP="00765B0F">
      <w:pPr>
        <w:spacing w:before="240"/>
        <w:ind w:right="91"/>
        <w:rPr>
          <w:szCs w:val="23"/>
        </w:rPr>
      </w:pPr>
      <w:r w:rsidRPr="007E5098">
        <w:rPr>
          <w:szCs w:val="23"/>
        </w:rPr>
        <w:t xml:space="preserve">These </w:t>
      </w:r>
      <w:r w:rsidRPr="007E5098">
        <w:t>requirements</w:t>
      </w:r>
      <w:r w:rsidRPr="007E5098">
        <w:rPr>
          <w:szCs w:val="23"/>
        </w:rPr>
        <w:t xml:space="preserve"> do not apply to </w:t>
      </w:r>
      <w:r w:rsidRPr="007E5098">
        <w:t xml:space="preserve">a superannuation fund with less than </w:t>
      </w:r>
      <w:r w:rsidR="002F7756" w:rsidRPr="007E5098">
        <w:t xml:space="preserve">seven </w:t>
      </w:r>
      <w:r w:rsidRPr="007E5098">
        <w:t>members, an excluded approved deposit fund, a pooled superannuation trust, or an eligible rollover fund.</w:t>
      </w:r>
    </w:p>
    <w:p w14:paraId="5680EE85" w14:textId="6E73A98F" w:rsidR="00234C79" w:rsidRPr="007E5098" w:rsidRDefault="009713FB" w:rsidP="00765B0F">
      <w:pPr>
        <w:spacing w:before="240"/>
        <w:ind w:right="91"/>
      </w:pPr>
      <w:r w:rsidRPr="007E5098">
        <w:t>Schedule 1</w:t>
      </w:r>
      <w:r w:rsidR="00DB13D1" w:rsidRPr="007E5098">
        <w:t xml:space="preserve"> to the Regulations amend</w:t>
      </w:r>
      <w:r w:rsidR="00E37955" w:rsidRPr="007E5098">
        <w:t>s</w:t>
      </w:r>
      <w:r w:rsidR="00DB13D1" w:rsidRPr="007E5098">
        <w:t xml:space="preserve"> the </w:t>
      </w:r>
      <w:r w:rsidR="00DB13D1" w:rsidRPr="007E5098">
        <w:rPr>
          <w:i/>
        </w:rPr>
        <w:t>Superannuation Industry (Supervision) Regulations 1994</w:t>
      </w:r>
      <w:r w:rsidR="00292AE1" w:rsidRPr="007E5098">
        <w:rPr>
          <w:i/>
        </w:rPr>
        <w:t xml:space="preserve"> </w:t>
      </w:r>
      <w:r w:rsidR="00292AE1" w:rsidRPr="007E5098">
        <w:t>(SIS Regulations)</w:t>
      </w:r>
      <w:r w:rsidR="00DB13D1" w:rsidRPr="007E5098">
        <w:rPr>
          <w:i/>
        </w:rPr>
        <w:t xml:space="preserve"> </w:t>
      </w:r>
      <w:r w:rsidR="00DB13D1" w:rsidRPr="007E5098">
        <w:t xml:space="preserve">to prescribe </w:t>
      </w:r>
      <w:r w:rsidR="00B70EBB" w:rsidRPr="007E5098">
        <w:t>the</w:t>
      </w:r>
      <w:r w:rsidR="00333341" w:rsidRPr="007E5098">
        <w:t xml:space="preserve"> information</w:t>
      </w:r>
      <w:r w:rsidR="00B70EBB" w:rsidRPr="007E5098">
        <w:t xml:space="preserve"> that must be included with the notice of the meeting</w:t>
      </w:r>
      <w:r w:rsidR="004737E6" w:rsidRPr="007E5098">
        <w:t>.</w:t>
      </w:r>
      <w:r w:rsidR="00234C79" w:rsidRPr="007E5098">
        <w:t xml:space="preserve"> This information must be provided by </w:t>
      </w:r>
      <w:r w:rsidR="00292AE1" w:rsidRPr="007E5098">
        <w:t xml:space="preserve">the </w:t>
      </w:r>
      <w:r w:rsidR="00D1771F" w:rsidRPr="007E5098">
        <w:t>RSE</w:t>
      </w:r>
      <w:r w:rsidR="00292AE1" w:rsidRPr="007E5098">
        <w:t xml:space="preserve"> licensees for </w:t>
      </w:r>
      <w:r w:rsidR="00234C79" w:rsidRPr="007E5098">
        <w:t xml:space="preserve">all </w:t>
      </w:r>
      <w:r w:rsidR="00292AE1" w:rsidRPr="007E5098">
        <w:t>RSEs</w:t>
      </w:r>
      <w:r w:rsidR="006C61C4" w:rsidRPr="007E5098">
        <w:t xml:space="preserve"> that are required to hold an annual members’ meeting.</w:t>
      </w:r>
    </w:p>
    <w:p w14:paraId="2B4B3DDB" w14:textId="77777777" w:rsidR="00B70EBB" w:rsidRPr="007E5098" w:rsidRDefault="002F5559" w:rsidP="00765B0F">
      <w:pPr>
        <w:spacing w:before="240"/>
        <w:ind w:right="91"/>
      </w:pPr>
      <w:r w:rsidRPr="007E5098">
        <w:t xml:space="preserve">The amendments apply prospectively to any </w:t>
      </w:r>
      <w:r w:rsidR="003B0137" w:rsidRPr="007E5098">
        <w:t xml:space="preserve">notices </w:t>
      </w:r>
      <w:r w:rsidRPr="007E5098">
        <w:t xml:space="preserve">that </w:t>
      </w:r>
      <w:r w:rsidR="003B0137" w:rsidRPr="007E5098">
        <w:t>relat</w:t>
      </w:r>
      <w:r w:rsidRPr="007E5098">
        <w:t xml:space="preserve">e to a </w:t>
      </w:r>
      <w:r w:rsidR="003B0137" w:rsidRPr="007E5098">
        <w:t xml:space="preserve">year of income that ends on or after the amendments commence (being the day after the </w:t>
      </w:r>
      <w:r w:rsidR="00292AE1" w:rsidRPr="007E5098">
        <w:t xml:space="preserve">Regulations are </w:t>
      </w:r>
      <w:r w:rsidR="003B0137" w:rsidRPr="007E5098">
        <w:t>registered).</w:t>
      </w:r>
    </w:p>
    <w:p w14:paraId="0090D6B9" w14:textId="6C76F0B0" w:rsidR="00DB13D1" w:rsidRPr="007E5098" w:rsidRDefault="00234C79" w:rsidP="00765B0F">
      <w:pPr>
        <w:spacing w:before="240"/>
        <w:ind w:right="91"/>
      </w:pPr>
      <w:r w:rsidRPr="007E5098">
        <w:rPr>
          <w:i/>
        </w:rPr>
        <w:lastRenderedPageBreak/>
        <w:t>Information</w:t>
      </w:r>
      <w:r w:rsidRPr="007E5098">
        <w:rPr>
          <w:i/>
          <w:szCs w:val="23"/>
        </w:rPr>
        <w:t xml:space="preserve"> that must be provided with </w:t>
      </w:r>
      <w:r w:rsidR="00193045" w:rsidRPr="007E5098">
        <w:rPr>
          <w:i/>
          <w:szCs w:val="23"/>
        </w:rPr>
        <w:t xml:space="preserve">the </w:t>
      </w:r>
      <w:r w:rsidRPr="007E5098">
        <w:rPr>
          <w:i/>
          <w:szCs w:val="23"/>
        </w:rPr>
        <w:t>notice of annual members’ meetings</w:t>
      </w:r>
    </w:p>
    <w:p w14:paraId="4F8A3AB8" w14:textId="77777777" w:rsidR="00D47B1A" w:rsidRPr="007E5098" w:rsidRDefault="00234C79" w:rsidP="00765B0F">
      <w:pPr>
        <w:spacing w:before="240"/>
        <w:ind w:right="91"/>
      </w:pPr>
      <w:r w:rsidRPr="007E5098">
        <w:t xml:space="preserve">The amendments insert </w:t>
      </w:r>
      <w:r w:rsidR="00DB13D1" w:rsidRPr="007E5098">
        <w:t>Division 2.2 into Part 2 of the SIS</w:t>
      </w:r>
      <w:r w:rsidR="00A02F8D" w:rsidRPr="007E5098">
        <w:t xml:space="preserve"> Regulations, which sets out the requirements for information that must be provided with a notice of an annual members’ meeting. </w:t>
      </w:r>
      <w:r w:rsidR="007F0840" w:rsidRPr="007E5098">
        <w:t xml:space="preserve">Providing this </w:t>
      </w:r>
      <w:r w:rsidR="00D47B1A" w:rsidRPr="007E5098">
        <w:t xml:space="preserve">information </w:t>
      </w:r>
      <w:r w:rsidR="007F0840" w:rsidRPr="007E5098">
        <w:t xml:space="preserve">with the notice of an annual members’ meeting </w:t>
      </w:r>
      <w:r w:rsidR="00D47B1A" w:rsidRPr="007E5098">
        <w:t xml:space="preserve">empowers members by ensuring they are sufficiently informed and equipped to ask questions about all areas of the fund’s performance and operations at the annual members’ meeting. </w:t>
      </w:r>
      <w:r w:rsidR="00E5184A" w:rsidRPr="007E5098">
        <w:t>This is consistent with the Government’s broader objective of increasing transparency and accountability across the superannuation system, to ensure better member outcomes for all Australians.</w:t>
      </w:r>
    </w:p>
    <w:p w14:paraId="04FB7193" w14:textId="77777777" w:rsidR="00FB58D4" w:rsidRPr="007E5098" w:rsidRDefault="00FB58D4" w:rsidP="00765B0F">
      <w:pPr>
        <w:spacing w:before="240"/>
        <w:ind w:right="91"/>
      </w:pPr>
      <w:r w:rsidRPr="007E5098">
        <w:t xml:space="preserve">The information that </w:t>
      </w:r>
      <w:r w:rsidR="00E5184A" w:rsidRPr="007E5098">
        <w:t xml:space="preserve">trustees </w:t>
      </w:r>
      <w:r w:rsidRPr="007E5098">
        <w:t>must provide to</w:t>
      </w:r>
      <w:r w:rsidR="00D47B1A" w:rsidRPr="007E5098">
        <w:t xml:space="preserve"> each</w:t>
      </w:r>
      <w:r w:rsidRPr="007E5098">
        <w:t xml:space="preserve"> member includes</w:t>
      </w:r>
      <w:r w:rsidR="00D47B1A" w:rsidRPr="007E5098">
        <w:t xml:space="preserve"> the periodic statements that are already required to be given to the member,</w:t>
      </w:r>
      <w:r w:rsidRPr="007E5098">
        <w:t xml:space="preserve"> details of certain information that is already required to be made </w:t>
      </w:r>
      <w:r w:rsidR="0065371C" w:rsidRPr="007E5098">
        <w:t>publicly</w:t>
      </w:r>
      <w:r w:rsidRPr="007E5098">
        <w:t xml:space="preserve"> available</w:t>
      </w:r>
      <w:r w:rsidR="00292AE1" w:rsidRPr="007E5098">
        <w:t xml:space="preserve"> under the SIS Regulations</w:t>
      </w:r>
      <w:r w:rsidR="00D47B1A" w:rsidRPr="007E5098">
        <w:t xml:space="preserve">, and </w:t>
      </w:r>
      <w:r w:rsidRPr="007E5098">
        <w:t>other information relat</w:t>
      </w:r>
      <w:r w:rsidR="0065371C" w:rsidRPr="007E5098">
        <w:t>ing to expenditure by the fund.</w:t>
      </w:r>
    </w:p>
    <w:p w14:paraId="3D40D358" w14:textId="77777777" w:rsidR="00934795" w:rsidRPr="007E5098" w:rsidRDefault="00934795" w:rsidP="00765B0F">
      <w:pPr>
        <w:spacing w:before="240"/>
        <w:ind w:right="91"/>
      </w:pPr>
      <w:r w:rsidRPr="007E5098">
        <w:t xml:space="preserve">The amendments also allow for details to be provided about where information can be </w:t>
      </w:r>
      <w:r w:rsidR="00CB6304" w:rsidRPr="007E5098">
        <w:t>accessed by members</w:t>
      </w:r>
      <w:r w:rsidRPr="007E5098">
        <w:t xml:space="preserve"> </w:t>
      </w:r>
      <w:r w:rsidR="001F3ED3" w:rsidRPr="007E5098">
        <w:t>as an alternative to</w:t>
      </w:r>
      <w:r w:rsidRPr="007E5098">
        <w:t xml:space="preserve"> sepa</w:t>
      </w:r>
      <w:r w:rsidR="00CB6304" w:rsidRPr="007E5098">
        <w:t>rately providing the information</w:t>
      </w:r>
      <w:r w:rsidR="00937282" w:rsidRPr="007E5098">
        <w:t>.</w:t>
      </w:r>
    </w:p>
    <w:p w14:paraId="7AF8A09F" w14:textId="77777777" w:rsidR="002506B3" w:rsidRPr="007E5098" w:rsidRDefault="00B46B25" w:rsidP="00765B0F">
      <w:pPr>
        <w:spacing w:before="240"/>
        <w:ind w:right="91"/>
      </w:pPr>
      <w:r w:rsidRPr="007E5098">
        <w:t xml:space="preserve">The information that must </w:t>
      </w:r>
      <w:r w:rsidR="00292AE1" w:rsidRPr="007E5098">
        <w:t xml:space="preserve">be included with the annual members’ meeting notice and is </w:t>
      </w:r>
      <w:r w:rsidRPr="007E5098">
        <w:t>already</w:t>
      </w:r>
      <w:r w:rsidR="00292AE1" w:rsidRPr="007E5098">
        <w:t xml:space="preserve"> required to</w:t>
      </w:r>
      <w:r w:rsidRPr="007E5098">
        <w:t xml:space="preserve"> be made </w:t>
      </w:r>
      <w:r w:rsidR="0065371C" w:rsidRPr="007E5098">
        <w:t>publicly</w:t>
      </w:r>
      <w:r w:rsidRPr="007E5098">
        <w:t xml:space="preserve"> available</w:t>
      </w:r>
      <w:r w:rsidR="00292AE1" w:rsidRPr="007E5098">
        <w:t xml:space="preserve"> under the SIS Regulations</w:t>
      </w:r>
      <w:r w:rsidRPr="007E5098">
        <w:t xml:space="preserve"> </w:t>
      </w:r>
      <w:r w:rsidR="00D47B1A" w:rsidRPr="007E5098">
        <w:t>is:</w:t>
      </w:r>
    </w:p>
    <w:p w14:paraId="2F36E2CF" w14:textId="77777777" w:rsidR="00D47B1A" w:rsidRPr="007E5098" w:rsidRDefault="00FE4423" w:rsidP="00D47B1A">
      <w:pPr>
        <w:pStyle w:val="Bullet"/>
      </w:pPr>
      <w:r w:rsidRPr="007E5098">
        <w:t>a</w:t>
      </w:r>
      <w:r w:rsidR="00D47B1A" w:rsidRPr="007E5098">
        <w:t xml:space="preserve"> summary of each significant event or material change notice</w:t>
      </w:r>
      <w:r w:rsidR="00292AE1" w:rsidRPr="007E5098">
        <w:t xml:space="preserve"> (if any) given within the previous 2 </w:t>
      </w:r>
      <w:proofErr w:type="gramStart"/>
      <w:r w:rsidR="00292AE1" w:rsidRPr="007E5098">
        <w:t>years</w:t>
      </w:r>
      <w:r w:rsidR="00D47B1A" w:rsidRPr="007E5098">
        <w:t>;</w:t>
      </w:r>
      <w:proofErr w:type="gramEnd"/>
    </w:p>
    <w:p w14:paraId="67A7DA2A" w14:textId="77777777" w:rsidR="00D47B1A" w:rsidRPr="007E5098" w:rsidRDefault="00FE4423" w:rsidP="00D47B1A">
      <w:pPr>
        <w:pStyle w:val="Bullet"/>
      </w:pPr>
      <w:r w:rsidRPr="007E5098">
        <w:t>r</w:t>
      </w:r>
      <w:r w:rsidR="00D47B1A" w:rsidRPr="007E5098">
        <w:t xml:space="preserve">emuneration details of executive </w:t>
      </w:r>
      <w:proofErr w:type="gramStart"/>
      <w:r w:rsidR="00D47B1A" w:rsidRPr="007E5098">
        <w:t>officers;</w:t>
      </w:r>
      <w:proofErr w:type="gramEnd"/>
    </w:p>
    <w:p w14:paraId="2D697B97" w14:textId="77777777" w:rsidR="00D47B1A" w:rsidRPr="007E5098" w:rsidRDefault="00FE4423" w:rsidP="00D47B1A">
      <w:pPr>
        <w:pStyle w:val="Bullet"/>
      </w:pPr>
      <w:r w:rsidRPr="007E5098">
        <w:t>t</w:t>
      </w:r>
      <w:r w:rsidR="00D47B1A" w:rsidRPr="007E5098">
        <w:t>he annual report of the superannuation entity (where such a repo</w:t>
      </w:r>
      <w:r w:rsidRPr="007E5098">
        <w:t>rt is required to be produced</w:t>
      </w:r>
      <w:proofErr w:type="gramStart"/>
      <w:r w:rsidRPr="007E5098">
        <w:t>);</w:t>
      </w:r>
      <w:proofErr w:type="gramEnd"/>
    </w:p>
    <w:p w14:paraId="42B70CC6" w14:textId="77777777" w:rsidR="00FE4423" w:rsidRPr="007E5098" w:rsidRDefault="00FE4423" w:rsidP="00D47B1A">
      <w:pPr>
        <w:pStyle w:val="Bullet"/>
      </w:pPr>
      <w:r w:rsidRPr="007E5098">
        <w:t xml:space="preserve">the most recent annual outcomes determination for the superannuation entity. </w:t>
      </w:r>
    </w:p>
    <w:p w14:paraId="0371D542" w14:textId="77777777" w:rsidR="002506B3" w:rsidRPr="007E5098" w:rsidRDefault="00D47B1A" w:rsidP="00765B0F">
      <w:pPr>
        <w:spacing w:before="240"/>
        <w:ind w:right="91"/>
      </w:pPr>
      <w:r w:rsidRPr="007E5098">
        <w:t xml:space="preserve">The </w:t>
      </w:r>
      <w:r w:rsidR="00046F98" w:rsidRPr="007E5098">
        <w:t xml:space="preserve">other </w:t>
      </w:r>
      <w:r w:rsidRPr="007E5098">
        <w:t xml:space="preserve">information relating to the expenditure of the fund </w:t>
      </w:r>
      <w:r w:rsidR="00292AE1" w:rsidRPr="007E5098">
        <w:t xml:space="preserve">that must be included with the annual members meeting notice </w:t>
      </w:r>
      <w:r w:rsidR="004D4CA0" w:rsidRPr="007E5098">
        <w:t>relates to</w:t>
      </w:r>
      <w:r w:rsidRPr="007E5098">
        <w:t xml:space="preserve">: </w:t>
      </w:r>
    </w:p>
    <w:p w14:paraId="410F09D6" w14:textId="77777777" w:rsidR="004D4CA0" w:rsidRPr="007E5098" w:rsidRDefault="004D4CA0" w:rsidP="004D4CA0">
      <w:pPr>
        <w:pStyle w:val="Bullet"/>
      </w:pPr>
      <w:r w:rsidRPr="007E5098">
        <w:t xml:space="preserve">marketing </w:t>
      </w:r>
      <w:proofErr w:type="gramStart"/>
      <w:r w:rsidRPr="007E5098">
        <w:t>expenses;</w:t>
      </w:r>
      <w:proofErr w:type="gramEnd"/>
    </w:p>
    <w:p w14:paraId="78F92DCE" w14:textId="77777777" w:rsidR="004D4CA0" w:rsidRPr="007E5098" w:rsidRDefault="004D4CA0" w:rsidP="004D4CA0">
      <w:pPr>
        <w:pStyle w:val="Bullet"/>
      </w:pPr>
      <w:r w:rsidRPr="007E5098">
        <w:t xml:space="preserve">political </w:t>
      </w:r>
      <w:proofErr w:type="gramStart"/>
      <w:r w:rsidRPr="007E5098">
        <w:t>donations;</w:t>
      </w:r>
      <w:proofErr w:type="gramEnd"/>
    </w:p>
    <w:p w14:paraId="0A5F3A97" w14:textId="77777777" w:rsidR="004D4CA0" w:rsidRPr="007E5098" w:rsidRDefault="004D4CA0" w:rsidP="004D4CA0">
      <w:pPr>
        <w:pStyle w:val="Bullet"/>
      </w:pPr>
      <w:r w:rsidRPr="007E5098">
        <w:t>payments to industry bodies or trade associations; and</w:t>
      </w:r>
    </w:p>
    <w:p w14:paraId="025764FD" w14:textId="77777777" w:rsidR="004D4CA0" w:rsidRPr="007E5098" w:rsidRDefault="004D4CA0" w:rsidP="004D4CA0">
      <w:pPr>
        <w:pStyle w:val="Bullet"/>
      </w:pPr>
      <w:r w:rsidRPr="007E5098">
        <w:t>payments to related parties.</w:t>
      </w:r>
    </w:p>
    <w:p w14:paraId="6DC9DEE0" w14:textId="77777777" w:rsidR="00F8047C" w:rsidRPr="007E5098" w:rsidRDefault="00F8047C" w:rsidP="00765B0F">
      <w:pPr>
        <w:spacing w:before="240"/>
        <w:ind w:right="91"/>
      </w:pPr>
      <w:r w:rsidRPr="007E5098">
        <w:t>Further details about the types of information that must be provided are provided below.</w:t>
      </w:r>
    </w:p>
    <w:p w14:paraId="74783494" w14:textId="77777777" w:rsidR="00F8047C" w:rsidRPr="007E5098" w:rsidRDefault="00F8047C" w:rsidP="00765B0F">
      <w:pPr>
        <w:spacing w:before="240"/>
        <w:ind w:right="91"/>
        <w:rPr>
          <w:u w:val="single"/>
        </w:rPr>
      </w:pPr>
      <w:r w:rsidRPr="007E5098">
        <w:rPr>
          <w:u w:val="single"/>
        </w:rPr>
        <w:t xml:space="preserve">Providing details about </w:t>
      </w:r>
      <w:r w:rsidR="0065371C" w:rsidRPr="007E5098">
        <w:rPr>
          <w:u w:val="single"/>
        </w:rPr>
        <w:t>publicly</w:t>
      </w:r>
      <w:r w:rsidRPr="007E5098">
        <w:rPr>
          <w:u w:val="single"/>
        </w:rPr>
        <w:t xml:space="preserve"> available expenditure information</w:t>
      </w:r>
    </w:p>
    <w:p w14:paraId="4286169D" w14:textId="21D0E497" w:rsidR="00F02313" w:rsidRPr="007E5098" w:rsidRDefault="00F02313" w:rsidP="00F02313">
      <w:pPr>
        <w:spacing w:before="240"/>
        <w:ind w:right="91"/>
      </w:pPr>
      <w:r w:rsidRPr="007E5098">
        <w:t xml:space="preserve">The amendments allow for details to be provided about where information can be accessed by members as an alternative to </w:t>
      </w:r>
      <w:r w:rsidR="00193045" w:rsidRPr="007E5098">
        <w:t>providing the information separately</w:t>
      </w:r>
      <w:r w:rsidRPr="007E5098">
        <w:t>.</w:t>
      </w:r>
    </w:p>
    <w:p w14:paraId="2D1E60D3" w14:textId="77777777" w:rsidR="00DF6D0D" w:rsidRPr="007E5098" w:rsidRDefault="00F02313" w:rsidP="00765B0F">
      <w:pPr>
        <w:spacing w:before="240"/>
        <w:ind w:right="91"/>
      </w:pPr>
      <w:r w:rsidRPr="007E5098">
        <w:lastRenderedPageBreak/>
        <w:t xml:space="preserve">This would include information that is already </w:t>
      </w:r>
      <w:r w:rsidR="00A71483" w:rsidRPr="007E5098">
        <w:t>publicly</w:t>
      </w:r>
      <w:r w:rsidRPr="007E5098">
        <w:t xml:space="preserve"> available (either because it is required to be published under another provision, or is voluntarily published by the RSE licensee)</w:t>
      </w:r>
      <w:r w:rsidR="00DF6D0D" w:rsidRPr="007E5098">
        <w:t xml:space="preserve">, as well as information that is only accessible by members (for example through a member portal where the information can be accessed). </w:t>
      </w:r>
    </w:p>
    <w:p w14:paraId="017545B0" w14:textId="77777777" w:rsidR="00F02313" w:rsidRPr="007E5098" w:rsidRDefault="005131BB" w:rsidP="00765B0F">
      <w:pPr>
        <w:spacing w:before="240"/>
        <w:ind w:right="91"/>
      </w:pPr>
      <w:r w:rsidRPr="007E5098">
        <w:t xml:space="preserve">Allowing RSE licensees to provide these details instead of providing the information in full </w:t>
      </w:r>
      <w:proofErr w:type="gramStart"/>
      <w:r w:rsidRPr="007E5098">
        <w:t>with</w:t>
      </w:r>
      <w:proofErr w:type="gramEnd"/>
      <w:r w:rsidRPr="007E5098">
        <w:t xml:space="preserve"> a notice of an annual members’ </w:t>
      </w:r>
      <w:r w:rsidR="00292AE1" w:rsidRPr="007E5098">
        <w:t xml:space="preserve">meeting </w:t>
      </w:r>
      <w:r w:rsidR="00254A6C" w:rsidRPr="007E5098">
        <w:t>ensures that RSE licensees have appropriate flexibility in providing information to members</w:t>
      </w:r>
      <w:r w:rsidR="00A71483" w:rsidRPr="007E5098">
        <w:t xml:space="preserve"> in a user-friendly and cost effective manner</w:t>
      </w:r>
      <w:r w:rsidR="00254A6C" w:rsidRPr="007E5098">
        <w:t>.</w:t>
      </w:r>
      <w:r w:rsidR="00123237" w:rsidRPr="007E5098">
        <w:t xml:space="preserve"> </w:t>
      </w:r>
    </w:p>
    <w:p w14:paraId="0AFF2BE9" w14:textId="77777777" w:rsidR="00BE6D72" w:rsidRPr="007E5098" w:rsidRDefault="00BE6D72" w:rsidP="00765B0F">
      <w:pPr>
        <w:spacing w:before="240"/>
        <w:ind w:right="91"/>
        <w:rPr>
          <w:u w:val="single"/>
        </w:rPr>
      </w:pPr>
      <w:r w:rsidRPr="007E5098">
        <w:rPr>
          <w:u w:val="single"/>
        </w:rPr>
        <w:t>Short-form summary</w:t>
      </w:r>
      <w:r w:rsidR="006E39A8" w:rsidRPr="007E5098">
        <w:rPr>
          <w:u w:val="single"/>
        </w:rPr>
        <w:t xml:space="preserve"> of certain aggregate amounts</w:t>
      </w:r>
    </w:p>
    <w:p w14:paraId="7A443B3F" w14:textId="77777777" w:rsidR="005B5AD4" w:rsidRPr="007E5098" w:rsidRDefault="002506B3" w:rsidP="00765B0F">
      <w:pPr>
        <w:spacing w:before="240"/>
        <w:ind w:right="91"/>
      </w:pPr>
      <w:r w:rsidRPr="007E5098">
        <w:t xml:space="preserve">To assist members in understanding the information that is provided to them, RSE licensees must also provide members with a </w:t>
      </w:r>
      <w:r w:rsidR="003E1752" w:rsidRPr="007E5098">
        <w:t xml:space="preserve">short-form summary of certain information that is to be included with the notice. </w:t>
      </w:r>
    </w:p>
    <w:p w14:paraId="26A1CEAC" w14:textId="77777777" w:rsidR="005B5AD4" w:rsidRPr="007E5098" w:rsidRDefault="003E1752" w:rsidP="00765B0F">
      <w:pPr>
        <w:spacing w:before="240"/>
        <w:ind w:right="91"/>
      </w:pPr>
      <w:r w:rsidRPr="007E5098">
        <w:t xml:space="preserve">This </w:t>
      </w:r>
      <w:r w:rsidR="002506B3" w:rsidRPr="007E5098">
        <w:t>summary</w:t>
      </w:r>
      <w:r w:rsidRPr="007E5098">
        <w:t xml:space="preserve"> </w:t>
      </w:r>
      <w:r w:rsidR="005B5AD4" w:rsidRPr="007E5098">
        <w:t>is to include the aggregate amounts of certain categories of information that are to be disclosed to members</w:t>
      </w:r>
      <w:r w:rsidR="006E39A8" w:rsidRPr="007E5098">
        <w:t xml:space="preserve"> with the notice</w:t>
      </w:r>
      <w:r w:rsidR="005B5AD4" w:rsidRPr="007E5098">
        <w:t xml:space="preserve">. </w:t>
      </w:r>
      <w:r w:rsidR="006A48E0" w:rsidRPr="007E5098">
        <w:t>Th</w:t>
      </w:r>
      <w:r w:rsidR="006E39A8" w:rsidRPr="007E5098">
        <w:t>ese categories cover the remuneration details of executive officers, as well as the other categories of expenditure of the fund. Each amount is the aggregate amount relating to that disclosure item for the income year to which the annual members meeting relates.</w:t>
      </w:r>
    </w:p>
    <w:p w14:paraId="28825236" w14:textId="77777777" w:rsidR="003E1752" w:rsidRPr="007E5098" w:rsidRDefault="006E39A8" w:rsidP="00765B0F">
      <w:pPr>
        <w:spacing w:before="240"/>
        <w:ind w:right="91"/>
      </w:pPr>
      <w:r w:rsidRPr="007E5098">
        <w:t>To assist with readability, t</w:t>
      </w:r>
      <w:r w:rsidR="005B5AD4" w:rsidRPr="007E5098">
        <w:t xml:space="preserve">he summary </w:t>
      </w:r>
      <w:r w:rsidR="003E1752" w:rsidRPr="007E5098">
        <w:t xml:space="preserve">must be presented on a single page and be the only information </w:t>
      </w:r>
      <w:r w:rsidR="00A5650B" w:rsidRPr="007E5098">
        <w:t>that is presented on that page.</w:t>
      </w:r>
    </w:p>
    <w:p w14:paraId="2A989E29" w14:textId="77777777" w:rsidR="00A24677" w:rsidRPr="007E5098" w:rsidRDefault="00A24677" w:rsidP="00765B0F">
      <w:pPr>
        <w:spacing w:before="240"/>
        <w:ind w:right="91"/>
        <w:rPr>
          <w:u w:val="single"/>
        </w:rPr>
      </w:pPr>
      <w:r w:rsidRPr="007E5098">
        <w:rPr>
          <w:u w:val="single"/>
        </w:rPr>
        <w:t>Notices of significant events or material changes</w:t>
      </w:r>
    </w:p>
    <w:p w14:paraId="3BF85BBE" w14:textId="1CDA6599" w:rsidR="00A24677" w:rsidRPr="007E5098" w:rsidRDefault="00A24677" w:rsidP="00765B0F">
      <w:pPr>
        <w:spacing w:before="240"/>
        <w:ind w:right="91"/>
      </w:pPr>
      <w:r w:rsidRPr="007E5098">
        <w:t xml:space="preserve">Subsection 1017B(1A) in the </w:t>
      </w:r>
      <w:r w:rsidRPr="007E5098">
        <w:rPr>
          <w:i/>
        </w:rPr>
        <w:t>Corporations Act 2001</w:t>
      </w:r>
      <w:r w:rsidRPr="007E5098">
        <w:t xml:space="preserve"> </w:t>
      </w:r>
      <w:r w:rsidR="007972ED" w:rsidRPr="007E5098">
        <w:t xml:space="preserve">(the Corporations Act) </w:t>
      </w:r>
      <w:r w:rsidRPr="007E5098">
        <w:t>requires issuers of a financial product to notify the holder of the financial product of any significant event or a material change to the matters specified in a Product Disclosure Statement for the product. A summary of each significant event or material change notice that is given to product holders</w:t>
      </w:r>
      <w:r w:rsidR="00292AE1" w:rsidRPr="007E5098">
        <w:t xml:space="preserve"> within the previous 2 years</w:t>
      </w:r>
      <w:r w:rsidRPr="007E5098">
        <w:t xml:space="preserve"> must be made </w:t>
      </w:r>
      <w:r w:rsidR="0065371C" w:rsidRPr="007E5098">
        <w:t>publicly</w:t>
      </w:r>
      <w:r w:rsidRPr="007E5098">
        <w:t xml:space="preserve"> available </w:t>
      </w:r>
      <w:r w:rsidR="001C2C22" w:rsidRPr="007E5098">
        <w:t xml:space="preserve">on the website of the relevant RSE pursuant to regulations made under subsection 29QB(1) of the </w:t>
      </w:r>
      <w:r w:rsidR="00381E6D" w:rsidRPr="007E5098">
        <w:t>Act</w:t>
      </w:r>
      <w:r w:rsidR="001C2C22" w:rsidRPr="007E5098">
        <w:t xml:space="preserve">. </w:t>
      </w:r>
    </w:p>
    <w:p w14:paraId="41E4617D" w14:textId="77777777" w:rsidR="00A24677" w:rsidRPr="007E5098" w:rsidRDefault="00A24677" w:rsidP="00765B0F">
      <w:pPr>
        <w:spacing w:before="240"/>
        <w:ind w:right="91"/>
      </w:pPr>
      <w:r w:rsidRPr="007E5098">
        <w:t xml:space="preserve">The details of where such summaries are made </w:t>
      </w:r>
      <w:r w:rsidR="0065371C" w:rsidRPr="007E5098">
        <w:t>publicly</w:t>
      </w:r>
      <w:r w:rsidRPr="007E5098">
        <w:t xml:space="preserve"> available must be</w:t>
      </w:r>
      <w:r w:rsidR="001C2C22" w:rsidRPr="007E5098">
        <w:t xml:space="preserve"> included with the annual members’ meeting notice</w:t>
      </w:r>
      <w:r w:rsidRPr="007E5098">
        <w:t xml:space="preserve"> provided to members</w:t>
      </w:r>
      <w:r w:rsidR="001C2C22" w:rsidRPr="007E5098">
        <w:t xml:space="preserve">. </w:t>
      </w:r>
    </w:p>
    <w:p w14:paraId="717CCD9A" w14:textId="21AA7AD0" w:rsidR="00A24677" w:rsidRPr="007E5098" w:rsidRDefault="00A24677" w:rsidP="00765B0F">
      <w:pPr>
        <w:spacing w:before="240"/>
        <w:ind w:right="91"/>
        <w:rPr>
          <w:u w:val="single"/>
        </w:rPr>
      </w:pPr>
      <w:r w:rsidRPr="007E5098">
        <w:rPr>
          <w:u w:val="single"/>
        </w:rPr>
        <w:t xml:space="preserve">Remuneration details for executive officers of an RSE </w:t>
      </w:r>
      <w:r w:rsidR="00193045" w:rsidRPr="007E5098">
        <w:rPr>
          <w:u w:val="single"/>
        </w:rPr>
        <w:t>licensee</w:t>
      </w:r>
    </w:p>
    <w:p w14:paraId="5BE87AF0" w14:textId="77777777" w:rsidR="00A24677" w:rsidRPr="007E5098" w:rsidRDefault="00A24677" w:rsidP="00765B0F">
      <w:pPr>
        <w:spacing w:before="240"/>
        <w:ind w:right="91"/>
      </w:pPr>
      <w:r w:rsidRPr="007E5098">
        <w:t>The information provided with a</w:t>
      </w:r>
      <w:r w:rsidR="001C2C22" w:rsidRPr="007E5098">
        <w:t>n annual members’ meeting</w:t>
      </w:r>
      <w:r w:rsidRPr="007E5098">
        <w:t xml:space="preserve"> notice must specify where the remuneration details for </w:t>
      </w:r>
      <w:r w:rsidR="001C2C22" w:rsidRPr="007E5098">
        <w:t>the</w:t>
      </w:r>
      <w:r w:rsidRPr="007E5098">
        <w:t xml:space="preserve"> RSE </w:t>
      </w:r>
      <w:r w:rsidR="001C2C22" w:rsidRPr="007E5098">
        <w:t>licensee’s executives</w:t>
      </w:r>
      <w:r w:rsidRPr="007E5098">
        <w:t xml:space="preserve"> are made publicly available as at the time of the notice is given. </w:t>
      </w:r>
    </w:p>
    <w:p w14:paraId="00C13BE8" w14:textId="2B687666" w:rsidR="00A24677" w:rsidRPr="007E5098" w:rsidRDefault="00A24677" w:rsidP="00765B0F">
      <w:pPr>
        <w:spacing w:before="240"/>
        <w:ind w:right="91"/>
      </w:pPr>
      <w:r w:rsidRPr="007E5098">
        <w:t xml:space="preserve">Regulation 2.37 of the SIS Regulations sets out the requirements for reporting remuneration details for </w:t>
      </w:r>
      <w:r w:rsidR="00E3504B" w:rsidRPr="007E5098">
        <w:t xml:space="preserve">RSE licensee </w:t>
      </w:r>
      <w:r w:rsidRPr="007E5098">
        <w:t xml:space="preserve">executive officers and </w:t>
      </w:r>
      <w:r w:rsidR="00E3504B" w:rsidRPr="007E5098">
        <w:t xml:space="preserve">individual </w:t>
      </w:r>
      <w:r w:rsidRPr="007E5098">
        <w:t>trustees</w:t>
      </w:r>
      <w:r w:rsidR="00E3504B" w:rsidRPr="007E5098">
        <w:t xml:space="preserve"> on RSE websites</w:t>
      </w:r>
      <w:r w:rsidRPr="007E5098">
        <w:t>, including salary, bonuses, non</w:t>
      </w:r>
      <w:r w:rsidRPr="007E5098">
        <w:noBreakHyphen/>
        <w:t>monetary benefits, superannuation benefits, termination payments and other non</w:t>
      </w:r>
      <w:r w:rsidRPr="007E5098">
        <w:noBreakHyphen/>
        <w:t xml:space="preserve">monetary benefits as required under paragraph 29QB(1)(a) of the </w:t>
      </w:r>
      <w:r w:rsidR="00381E6D" w:rsidRPr="007E5098">
        <w:t>Act</w:t>
      </w:r>
      <w:r w:rsidRPr="007E5098">
        <w:t xml:space="preserve">. </w:t>
      </w:r>
    </w:p>
    <w:p w14:paraId="1023EA48" w14:textId="77777777" w:rsidR="00A24677" w:rsidRPr="007E5098" w:rsidRDefault="00A24677" w:rsidP="00765B0F">
      <w:pPr>
        <w:spacing w:before="240"/>
        <w:ind w:right="91"/>
      </w:pPr>
      <w:r w:rsidRPr="007E5098">
        <w:t xml:space="preserve">This information is consistent with the remuneration details that must be published in relation to the key management personnel of an ASX listed company. However, in </w:t>
      </w:r>
      <w:r w:rsidRPr="007E5098">
        <w:lastRenderedPageBreak/>
        <w:t>contrast to key management person</w:t>
      </w:r>
      <w:r w:rsidR="00E3504B" w:rsidRPr="007E5098">
        <w:t>ne</w:t>
      </w:r>
      <w:r w:rsidRPr="007E5098">
        <w:t>l the remuneration details in regulation 2.37 apply to all executive officers.</w:t>
      </w:r>
    </w:p>
    <w:p w14:paraId="4CDF8C12" w14:textId="77777777" w:rsidR="00A24677" w:rsidRPr="007E5098" w:rsidRDefault="00A24677" w:rsidP="00765B0F">
      <w:pPr>
        <w:spacing w:before="240"/>
        <w:ind w:right="91"/>
      </w:pPr>
      <w:r w:rsidRPr="007E5098">
        <w:t xml:space="preserve">This information must also be provided as an aggregate figure in the short-form summary document explained above. </w:t>
      </w:r>
    </w:p>
    <w:p w14:paraId="370D718F" w14:textId="77777777" w:rsidR="00A24677" w:rsidRPr="007E5098" w:rsidRDefault="00A24677" w:rsidP="00765B0F">
      <w:pPr>
        <w:spacing w:before="240"/>
        <w:ind w:right="91"/>
        <w:rPr>
          <w:u w:val="single"/>
        </w:rPr>
      </w:pPr>
      <w:r w:rsidRPr="007E5098">
        <w:rPr>
          <w:u w:val="single"/>
        </w:rPr>
        <w:t xml:space="preserve">Annual Report </w:t>
      </w:r>
    </w:p>
    <w:p w14:paraId="19CA4308" w14:textId="77777777" w:rsidR="00A24677" w:rsidRPr="007E5098" w:rsidRDefault="00A24677" w:rsidP="00765B0F">
      <w:pPr>
        <w:spacing w:before="240"/>
        <w:ind w:right="91"/>
      </w:pPr>
      <w:r w:rsidRPr="007E5098">
        <w:t xml:space="preserve">If the trustee or trustees of a </w:t>
      </w:r>
      <w:r w:rsidR="00E3504B" w:rsidRPr="007E5098">
        <w:t>RSE</w:t>
      </w:r>
      <w:r w:rsidRPr="007E5098">
        <w:t xml:space="preserve"> produces an annual report for the entity, the RSE licensee must provide the details of where the report is made </w:t>
      </w:r>
      <w:r w:rsidR="0065371C" w:rsidRPr="007E5098">
        <w:t>publicly</w:t>
      </w:r>
      <w:r w:rsidRPr="007E5098">
        <w:t xml:space="preserve"> available.</w:t>
      </w:r>
    </w:p>
    <w:p w14:paraId="7F7A59B4" w14:textId="77777777" w:rsidR="00A24677" w:rsidRPr="007E5098" w:rsidRDefault="00A24677" w:rsidP="00765B0F">
      <w:pPr>
        <w:spacing w:before="240"/>
        <w:ind w:right="91"/>
      </w:pPr>
      <w:r w:rsidRPr="007E5098">
        <w:t xml:space="preserve">This requirement reflects the fact that the production of annual reports is not mandatory for </w:t>
      </w:r>
      <w:r w:rsidR="00E3504B" w:rsidRPr="007E5098">
        <w:t>all RSEs</w:t>
      </w:r>
      <w:r w:rsidRPr="007E5098">
        <w:t xml:space="preserve">. However, to the extent they are produced, annual reports are </w:t>
      </w:r>
      <w:r w:rsidR="0065371C" w:rsidRPr="007E5098">
        <w:t>publicly</w:t>
      </w:r>
      <w:r w:rsidRPr="007E5098">
        <w:t xml:space="preserve"> accessible.</w:t>
      </w:r>
    </w:p>
    <w:p w14:paraId="13D03964" w14:textId="77777777" w:rsidR="00A24677" w:rsidRPr="007E5098" w:rsidRDefault="00A24677" w:rsidP="00765B0F">
      <w:pPr>
        <w:spacing w:before="240"/>
        <w:ind w:right="91"/>
        <w:rPr>
          <w:u w:val="single"/>
        </w:rPr>
      </w:pPr>
      <w:bookmarkStart w:id="2" w:name="_Hlk69466627"/>
      <w:r w:rsidRPr="007E5098">
        <w:rPr>
          <w:u w:val="single"/>
        </w:rPr>
        <w:t>Annual outcomes assessments</w:t>
      </w:r>
    </w:p>
    <w:p w14:paraId="3636737E" w14:textId="1A065B89" w:rsidR="00A24677" w:rsidRPr="007E5098" w:rsidRDefault="00A24677" w:rsidP="00765B0F">
      <w:pPr>
        <w:spacing w:before="240"/>
        <w:ind w:right="91"/>
        <w:rPr>
          <w:szCs w:val="23"/>
        </w:rPr>
      </w:pPr>
      <w:r w:rsidRPr="007E5098">
        <w:t>The</w:t>
      </w:r>
      <w:r w:rsidR="001B5171" w:rsidRPr="007E5098">
        <w:t xml:space="preserve"> Amending Act </w:t>
      </w:r>
      <w:r w:rsidRPr="007E5098">
        <w:rPr>
          <w:szCs w:val="23"/>
        </w:rPr>
        <w:t xml:space="preserve">imposed a requirement, through the covenants in section 52 of the </w:t>
      </w:r>
      <w:r w:rsidR="00381E6D" w:rsidRPr="007E5098">
        <w:rPr>
          <w:szCs w:val="23"/>
        </w:rPr>
        <w:t>Act</w:t>
      </w:r>
      <w:r w:rsidRPr="007E5098">
        <w:rPr>
          <w:szCs w:val="23"/>
        </w:rPr>
        <w:t xml:space="preserve">, on the trustees of a regulated superannuation fund </w:t>
      </w:r>
      <w:r w:rsidR="00FE56E8" w:rsidRPr="007E5098">
        <w:rPr>
          <w:szCs w:val="23"/>
        </w:rPr>
        <w:t xml:space="preserve">(other than regulated superannuation funds with no more than six members) </w:t>
      </w:r>
      <w:r w:rsidRPr="007E5098">
        <w:rPr>
          <w:szCs w:val="23"/>
        </w:rPr>
        <w:t xml:space="preserve">to make annual determinations for each </w:t>
      </w:r>
      <w:proofErr w:type="spellStart"/>
      <w:r w:rsidRPr="007E5098">
        <w:rPr>
          <w:szCs w:val="23"/>
        </w:rPr>
        <w:t>MySuper</w:t>
      </w:r>
      <w:proofErr w:type="spellEnd"/>
      <w:r w:rsidRPr="007E5098">
        <w:rPr>
          <w:szCs w:val="23"/>
        </w:rPr>
        <w:t xml:space="preserve"> product and choice product offered by </w:t>
      </w:r>
      <w:r w:rsidR="00FE56E8" w:rsidRPr="007E5098">
        <w:rPr>
          <w:szCs w:val="23"/>
        </w:rPr>
        <w:t xml:space="preserve">the </w:t>
      </w:r>
      <w:r w:rsidRPr="007E5098">
        <w:rPr>
          <w:szCs w:val="23"/>
        </w:rPr>
        <w:t xml:space="preserve">fund. </w:t>
      </w:r>
    </w:p>
    <w:p w14:paraId="61F96B28" w14:textId="77777777" w:rsidR="00A24677" w:rsidRPr="007E5098" w:rsidRDefault="00A24677" w:rsidP="00765B0F">
      <w:pPr>
        <w:spacing w:before="240"/>
        <w:ind w:right="91"/>
      </w:pPr>
      <w:r w:rsidRPr="007E5098">
        <w:t>Such determinations must be published on the fund’s website within 28 days of the time they are made.</w:t>
      </w:r>
    </w:p>
    <w:p w14:paraId="3890DB30" w14:textId="77777777" w:rsidR="00EE7F6E" w:rsidRPr="007E5098" w:rsidRDefault="00A24677" w:rsidP="00765B0F">
      <w:pPr>
        <w:spacing w:before="240"/>
        <w:ind w:right="91"/>
      </w:pPr>
      <w:r w:rsidRPr="007E5098">
        <w:t xml:space="preserve">The Regulations require details of where such determinations are or will be published to be provided to members. </w:t>
      </w:r>
    </w:p>
    <w:p w14:paraId="28358B5E" w14:textId="77777777" w:rsidR="00EE7F6E" w:rsidRPr="007E5098" w:rsidRDefault="00EE7F6E" w:rsidP="00765B0F">
      <w:pPr>
        <w:spacing w:before="240"/>
        <w:ind w:right="91"/>
      </w:pPr>
      <w:r w:rsidRPr="007E5098">
        <w:t xml:space="preserve">If a </w:t>
      </w:r>
      <w:r w:rsidR="00A24677" w:rsidRPr="007E5098">
        <w:t xml:space="preserve">determination </w:t>
      </w:r>
      <w:r w:rsidRPr="007E5098">
        <w:t>has</w:t>
      </w:r>
      <w:r w:rsidR="00A24677" w:rsidRPr="007E5098">
        <w:t xml:space="preserve"> been made</w:t>
      </w:r>
      <w:r w:rsidRPr="007E5098">
        <w:t xml:space="preserve"> but not yet published when the notice</w:t>
      </w:r>
      <w:r w:rsidR="00646FDD" w:rsidRPr="007E5098">
        <w:t xml:space="preserve"> is</w:t>
      </w:r>
      <w:r w:rsidRPr="007E5098">
        <w:t xml:space="preserve"> issued, but is</w:t>
      </w:r>
      <w:r w:rsidR="00A24677" w:rsidRPr="007E5098">
        <w:t xml:space="preserve"> </w:t>
      </w:r>
      <w:r w:rsidRPr="007E5098">
        <w:t>to be published before the meeting,</w:t>
      </w:r>
      <w:r w:rsidR="00A24677" w:rsidRPr="007E5098">
        <w:t xml:space="preserve"> </w:t>
      </w:r>
      <w:r w:rsidRPr="007E5098">
        <w:t xml:space="preserve">the </w:t>
      </w:r>
      <w:r w:rsidR="00A24677" w:rsidRPr="007E5098">
        <w:t xml:space="preserve">RSE licensee must provide information about where the determination will be made </w:t>
      </w:r>
      <w:r w:rsidR="0065371C" w:rsidRPr="007E5098">
        <w:t>publicly</w:t>
      </w:r>
      <w:r w:rsidR="00A24677" w:rsidRPr="007E5098">
        <w:t xml:space="preserve"> available. </w:t>
      </w:r>
      <w:r w:rsidRPr="007E5098">
        <w:t xml:space="preserve">This </w:t>
      </w:r>
      <w:proofErr w:type="gramStart"/>
      <w:r w:rsidRPr="007E5098">
        <w:t>takes into account</w:t>
      </w:r>
      <w:proofErr w:type="gramEnd"/>
      <w:r w:rsidRPr="007E5098">
        <w:t xml:space="preserve"> that the determination may be published in the time between the notice being issued and the meeting itself. </w:t>
      </w:r>
    </w:p>
    <w:p w14:paraId="29306134" w14:textId="77777777" w:rsidR="00136A2E" w:rsidRPr="007E5098" w:rsidRDefault="00A227ED" w:rsidP="00765B0F">
      <w:pPr>
        <w:spacing w:before="240"/>
        <w:ind w:right="91"/>
      </w:pPr>
      <w:r w:rsidRPr="007E5098">
        <w:t>If</w:t>
      </w:r>
      <w:r w:rsidR="003140CB" w:rsidRPr="007E5098">
        <w:t xml:space="preserve"> the most recent </w:t>
      </w:r>
      <w:r w:rsidR="008E200C" w:rsidRPr="007E5098">
        <w:t>determination</w:t>
      </w:r>
      <w:r w:rsidRPr="007E5098">
        <w:t xml:space="preserve"> will not be published before the meeting is held, </w:t>
      </w:r>
      <w:r w:rsidR="003140CB" w:rsidRPr="007E5098">
        <w:t xml:space="preserve">RSE licensees are required to provide members with details of how to access </w:t>
      </w:r>
      <w:r w:rsidRPr="007E5098">
        <w:t xml:space="preserve">the previous </w:t>
      </w:r>
      <w:r w:rsidR="00136A2E" w:rsidRPr="007E5098">
        <w:t xml:space="preserve">annual </w:t>
      </w:r>
      <w:r w:rsidR="008E200C" w:rsidRPr="007E5098">
        <w:t>determination.</w:t>
      </w:r>
      <w:r w:rsidR="000130BD" w:rsidRPr="007E5098">
        <w:t xml:space="preserve"> </w:t>
      </w:r>
      <w:r w:rsidR="00136A2E" w:rsidRPr="007E5098">
        <w:t xml:space="preserve">This </w:t>
      </w:r>
      <w:proofErr w:type="gramStart"/>
      <w:r w:rsidR="00136A2E" w:rsidRPr="007E5098">
        <w:t>takes into account</w:t>
      </w:r>
      <w:proofErr w:type="gramEnd"/>
      <w:r w:rsidR="00136A2E" w:rsidRPr="007E5098">
        <w:t xml:space="preserve"> that the timing of the meeting may not align with the timing of the annual determination. </w:t>
      </w:r>
    </w:p>
    <w:p w14:paraId="400DC961" w14:textId="77777777" w:rsidR="00A24677" w:rsidRPr="007E5098" w:rsidRDefault="00136A2E" w:rsidP="00765B0F">
      <w:pPr>
        <w:spacing w:before="240"/>
        <w:ind w:right="91"/>
      </w:pPr>
      <w:r w:rsidRPr="007E5098">
        <w:t>T</w:t>
      </w:r>
      <w:r w:rsidR="000130BD" w:rsidRPr="007E5098">
        <w:t xml:space="preserve">rustees </w:t>
      </w:r>
      <w:r w:rsidRPr="007E5098">
        <w:t>may</w:t>
      </w:r>
      <w:r w:rsidR="000130BD" w:rsidRPr="007E5098">
        <w:t xml:space="preserve"> </w:t>
      </w:r>
      <w:r w:rsidRPr="007E5098">
        <w:t xml:space="preserve">choose </w:t>
      </w:r>
      <w:r w:rsidR="000130BD" w:rsidRPr="007E5098">
        <w:t>to align the publication of their determinations so that they can be discussed at an annual members’ meeting</w:t>
      </w:r>
      <w:r w:rsidRPr="007E5098">
        <w:t xml:space="preserve">. </w:t>
      </w:r>
      <w:r w:rsidR="000130BD" w:rsidRPr="007E5098">
        <w:t xml:space="preserve"> </w:t>
      </w:r>
    </w:p>
    <w:bookmarkEnd w:id="2"/>
    <w:p w14:paraId="6BF35EA2" w14:textId="3E517A09" w:rsidR="00A24677" w:rsidRPr="007E5098" w:rsidRDefault="00A24677" w:rsidP="00765B0F">
      <w:pPr>
        <w:spacing w:before="240"/>
        <w:ind w:right="91"/>
        <w:rPr>
          <w:u w:val="single"/>
        </w:rPr>
      </w:pPr>
      <w:r w:rsidRPr="007E5098">
        <w:rPr>
          <w:u w:val="single"/>
        </w:rPr>
        <w:t>Periodic statements</w:t>
      </w:r>
      <w:r w:rsidR="00421F5F" w:rsidRPr="007E5098">
        <w:rPr>
          <w:u w:val="single"/>
        </w:rPr>
        <w:t xml:space="preserve"> and</w:t>
      </w:r>
      <w:r w:rsidR="00514F92" w:rsidRPr="007E5098">
        <w:rPr>
          <w:u w:val="single"/>
        </w:rPr>
        <w:t xml:space="preserve"> other</w:t>
      </w:r>
      <w:r w:rsidR="00421F5F" w:rsidRPr="007E5098">
        <w:rPr>
          <w:u w:val="single"/>
        </w:rPr>
        <w:t xml:space="preserve"> information</w:t>
      </w:r>
    </w:p>
    <w:p w14:paraId="7282693B" w14:textId="55D11A21" w:rsidR="00A24677" w:rsidRPr="007E5098" w:rsidRDefault="00A24677" w:rsidP="00765B0F">
      <w:pPr>
        <w:spacing w:before="240"/>
        <w:ind w:right="91"/>
      </w:pPr>
      <w:r w:rsidRPr="007E5098">
        <w:t xml:space="preserve">Section 1017D of the </w:t>
      </w:r>
      <w:r w:rsidRPr="007E5098">
        <w:rPr>
          <w:iCs/>
        </w:rPr>
        <w:t>Corporations Act</w:t>
      </w:r>
      <w:r w:rsidRPr="007E5098">
        <w:t xml:space="preserve"> require</w:t>
      </w:r>
      <w:r w:rsidR="00B80860" w:rsidRPr="007E5098">
        <w:t>s</w:t>
      </w:r>
      <w:r w:rsidRPr="007E5098">
        <w:t xml:space="preserve"> the issuer of certain financial products, including superannuation products, to provide periodic statements </w:t>
      </w:r>
      <w:r w:rsidR="00B80860" w:rsidRPr="007E5098">
        <w:t xml:space="preserve">to </w:t>
      </w:r>
      <w:r w:rsidRPr="007E5098">
        <w:t xml:space="preserve">the holders of those products. Section 1017DA of the </w:t>
      </w:r>
      <w:r w:rsidRPr="007E5098">
        <w:rPr>
          <w:iCs/>
        </w:rPr>
        <w:t>Corporations Act</w:t>
      </w:r>
      <w:r w:rsidR="007972ED" w:rsidRPr="007E5098">
        <w:rPr>
          <w:iCs/>
        </w:rPr>
        <w:t xml:space="preserve"> </w:t>
      </w:r>
      <w:r w:rsidRPr="007E5098">
        <w:t>allows for further requirements about providing</w:t>
      </w:r>
      <w:r w:rsidR="009D123A" w:rsidRPr="007E5098">
        <w:t xml:space="preserve"> other</w:t>
      </w:r>
      <w:r w:rsidRPr="007E5098">
        <w:t xml:space="preserve"> information to the holders of a superannuation product</w:t>
      </w:r>
      <w:r w:rsidR="00514F92" w:rsidRPr="007E5098">
        <w:t>.</w:t>
      </w:r>
    </w:p>
    <w:p w14:paraId="100BEA5B" w14:textId="19BD221A" w:rsidR="00A24677" w:rsidRPr="007E5098" w:rsidRDefault="00A24677" w:rsidP="00765B0F">
      <w:pPr>
        <w:spacing w:before="240"/>
        <w:ind w:right="91"/>
      </w:pPr>
      <w:r w:rsidRPr="007E5098">
        <w:t>The information provided with a notice must include either a copy of the most recent periodic statement</w:t>
      </w:r>
      <w:r w:rsidR="009C5501" w:rsidRPr="007E5098">
        <w:t xml:space="preserve"> or </w:t>
      </w:r>
      <w:r w:rsidR="007F7946" w:rsidRPr="007E5098">
        <w:t xml:space="preserve">recent </w:t>
      </w:r>
      <w:proofErr w:type="gramStart"/>
      <w:r w:rsidR="009C5501" w:rsidRPr="007E5098">
        <w:t xml:space="preserve">information </w:t>
      </w:r>
      <w:r w:rsidRPr="007E5098">
        <w:t xml:space="preserve"> </w:t>
      </w:r>
      <w:r w:rsidR="00E3504B" w:rsidRPr="007E5098">
        <w:t>given</w:t>
      </w:r>
      <w:proofErr w:type="gramEnd"/>
      <w:r w:rsidR="00E3504B" w:rsidRPr="007E5098">
        <w:t xml:space="preserve"> to the member </w:t>
      </w:r>
      <w:r w:rsidRPr="007E5098">
        <w:t xml:space="preserve">under these </w:t>
      </w:r>
      <w:r w:rsidRPr="007E5098">
        <w:lastRenderedPageBreak/>
        <w:t xml:space="preserve">provisions, or details about where </w:t>
      </w:r>
      <w:r w:rsidR="006146F4" w:rsidRPr="007E5098">
        <w:t xml:space="preserve">that </w:t>
      </w:r>
      <w:r w:rsidRPr="007E5098">
        <w:t xml:space="preserve">statement </w:t>
      </w:r>
      <w:r w:rsidR="007F7946" w:rsidRPr="007E5098">
        <w:t xml:space="preserve">or information </w:t>
      </w:r>
      <w:r w:rsidRPr="007E5098">
        <w:t>can be accessed by the member.</w:t>
      </w:r>
    </w:p>
    <w:p w14:paraId="342A6A85" w14:textId="77777777" w:rsidR="00205C8E" w:rsidRPr="007E5098" w:rsidRDefault="00205C8E" w:rsidP="00205C8E">
      <w:pPr>
        <w:spacing w:before="240"/>
        <w:ind w:right="91"/>
        <w:rPr>
          <w:szCs w:val="24"/>
          <w:u w:val="single"/>
        </w:rPr>
      </w:pPr>
      <w:r w:rsidRPr="007E5098">
        <w:rPr>
          <w:u w:val="single"/>
        </w:rPr>
        <w:t>Marketing and sponsorship expenses</w:t>
      </w:r>
    </w:p>
    <w:p w14:paraId="5A453267" w14:textId="6201CA06" w:rsidR="00AD3310" w:rsidRPr="007E5098" w:rsidRDefault="00205C8E" w:rsidP="00AD3310">
      <w:pPr>
        <w:spacing w:before="240"/>
        <w:ind w:right="91"/>
        <w:rPr>
          <w:rFonts w:ascii="Calibri" w:hAnsi="Calibri" w:cs="Calibri"/>
          <w:sz w:val="22"/>
          <w:szCs w:val="22"/>
          <w:lang w:eastAsia="en-US"/>
        </w:rPr>
      </w:pPr>
      <w:r w:rsidRPr="007E5098">
        <w:t xml:space="preserve">The information provided with a notice must include an itemised list </w:t>
      </w:r>
      <w:r w:rsidR="00EB7CAE" w:rsidRPr="007E5098">
        <w:t xml:space="preserve">of </w:t>
      </w:r>
      <w:r w:rsidR="00B73B8B" w:rsidRPr="007E5098">
        <w:t xml:space="preserve">the value of </w:t>
      </w:r>
      <w:r w:rsidR="00EB7CAE" w:rsidRPr="007E5098">
        <w:t>contracts entered into</w:t>
      </w:r>
      <w:r w:rsidRPr="007E5098">
        <w:t xml:space="preserve"> in relation to </w:t>
      </w:r>
      <w:r w:rsidR="00433D0F" w:rsidRPr="007E5098">
        <w:t xml:space="preserve">promotion, </w:t>
      </w:r>
      <w:r w:rsidRPr="007E5098">
        <w:t>marketing and sponsorship expenditure</w:t>
      </w:r>
      <w:r w:rsidR="00B73B8B" w:rsidRPr="007E5098">
        <w:t xml:space="preserve"> that are active in the year to which the annual members meeting relates</w:t>
      </w:r>
      <w:r w:rsidR="00E502DB" w:rsidRPr="007E5098">
        <w:t>, and the term of the contracts.</w:t>
      </w:r>
    </w:p>
    <w:p w14:paraId="2BAB7B33" w14:textId="2678A8BF" w:rsidR="00205C8E" w:rsidRPr="007E5098" w:rsidRDefault="00AD3310" w:rsidP="00205C8E">
      <w:pPr>
        <w:spacing w:before="240"/>
        <w:ind w:right="91"/>
        <w:rPr>
          <w:rFonts w:ascii="Calibri" w:hAnsi="Calibri" w:cs="Calibri"/>
          <w:sz w:val="22"/>
          <w:szCs w:val="22"/>
          <w:lang w:eastAsia="en-US"/>
        </w:rPr>
      </w:pPr>
      <w:r w:rsidRPr="007E5098">
        <w:t>Marketing</w:t>
      </w:r>
      <w:r w:rsidR="00205C8E" w:rsidRPr="007E5098">
        <w:t xml:space="preserve"> expenditure </w:t>
      </w:r>
      <w:r w:rsidRPr="007E5098">
        <w:t>can include</w:t>
      </w:r>
      <w:r w:rsidR="00205C8E" w:rsidRPr="007E5098">
        <w:t xml:space="preserve"> sponsorships</w:t>
      </w:r>
      <w:r w:rsidRPr="007E5098">
        <w:t xml:space="preserve">, expenditure on public facing materials to </w:t>
      </w:r>
      <w:r w:rsidR="00205C8E" w:rsidRPr="007E5098">
        <w:t>promote the entity or promote a particular view on behalf of the entity</w:t>
      </w:r>
      <w:r w:rsidRPr="007E5098">
        <w:t xml:space="preserve">, promotions to attract new members to the entity and advertisements on the investment options a fund offers or the investment strategy of a fund.  </w:t>
      </w:r>
    </w:p>
    <w:p w14:paraId="2C48A45F" w14:textId="7F706D2E" w:rsidR="00B73B8B" w:rsidRPr="007E5098" w:rsidRDefault="00205C8E" w:rsidP="00205C8E">
      <w:pPr>
        <w:spacing w:after="240"/>
        <w:rPr>
          <w:color w:val="000000" w:themeColor="text1"/>
        </w:rPr>
      </w:pPr>
      <w:r w:rsidRPr="007E5098">
        <w:rPr>
          <w:color w:val="000000" w:themeColor="text1"/>
        </w:rPr>
        <w:t>Disclosure will enable members to ask questions about the purpose and value of this expenditure.</w:t>
      </w:r>
      <w:r w:rsidR="00B73B8B" w:rsidRPr="007E5098">
        <w:rPr>
          <w:color w:val="000000" w:themeColor="text1"/>
        </w:rPr>
        <w:t xml:space="preserve"> The aggregate amount paid by the RSE </w:t>
      </w:r>
      <w:r w:rsidR="00193045" w:rsidRPr="007E5098">
        <w:rPr>
          <w:color w:val="000000" w:themeColor="text1"/>
        </w:rPr>
        <w:t>licensee</w:t>
      </w:r>
      <w:r w:rsidR="00B73B8B" w:rsidRPr="007E5098">
        <w:rPr>
          <w:color w:val="000000" w:themeColor="text1"/>
        </w:rPr>
        <w:t xml:space="preserve"> under marketing contracts in the year to which the annual members meeting relates mu</w:t>
      </w:r>
      <w:r w:rsidR="00D11A5C" w:rsidRPr="007E5098">
        <w:rPr>
          <w:color w:val="000000" w:themeColor="text1"/>
        </w:rPr>
        <w:t>st</w:t>
      </w:r>
      <w:r w:rsidR="00B73B8B" w:rsidRPr="007E5098">
        <w:rPr>
          <w:color w:val="000000" w:themeColor="text1"/>
        </w:rPr>
        <w:t xml:space="preserve"> be provided as an aggregate figure in the summary document. </w:t>
      </w:r>
    </w:p>
    <w:p w14:paraId="17914176" w14:textId="77777777" w:rsidR="00A24677" w:rsidRPr="007E5098" w:rsidRDefault="004C2A06" w:rsidP="00765B0F">
      <w:pPr>
        <w:spacing w:before="240"/>
        <w:ind w:right="91"/>
        <w:rPr>
          <w:u w:val="single"/>
        </w:rPr>
      </w:pPr>
      <w:r w:rsidRPr="007E5098">
        <w:rPr>
          <w:u w:val="single"/>
        </w:rPr>
        <w:t>P</w:t>
      </w:r>
      <w:r w:rsidR="00A24677" w:rsidRPr="007E5098">
        <w:rPr>
          <w:u w:val="single"/>
        </w:rPr>
        <w:t>olitical donations</w:t>
      </w:r>
    </w:p>
    <w:p w14:paraId="3A890291" w14:textId="77777777" w:rsidR="00A24677" w:rsidRPr="007E5098" w:rsidRDefault="00A24677" w:rsidP="00765B0F">
      <w:pPr>
        <w:spacing w:before="240"/>
        <w:ind w:right="91"/>
      </w:pPr>
      <w:r w:rsidRPr="007E5098">
        <w:t xml:space="preserve">The information provided with a notice must include an itemised list of all gifts (within the meaning of the </w:t>
      </w:r>
      <w:r w:rsidRPr="007E5098">
        <w:rPr>
          <w:i/>
        </w:rPr>
        <w:t>Commonwealth Electoral Act 1918</w:t>
      </w:r>
      <w:r w:rsidR="00E3504B" w:rsidRPr="007E5098">
        <w:t>)</w:t>
      </w:r>
      <w:r w:rsidRPr="007E5098">
        <w:t xml:space="preserve"> made by the trustee to political entities and/or those registered under s 287L of that Act. </w:t>
      </w:r>
    </w:p>
    <w:p w14:paraId="35343F15" w14:textId="77777777" w:rsidR="00E3504B" w:rsidRPr="007E5098" w:rsidRDefault="00A24677" w:rsidP="00765B0F">
      <w:pPr>
        <w:spacing w:before="240"/>
        <w:ind w:right="91"/>
        <w:rPr>
          <w:u w:val="single"/>
        </w:rPr>
      </w:pPr>
      <w:r w:rsidRPr="007E5098">
        <w:t xml:space="preserve">This information must also be provided as an aggregate figure in the short-form summary document explained above. </w:t>
      </w:r>
    </w:p>
    <w:p w14:paraId="3064CA44" w14:textId="77777777" w:rsidR="00A24677" w:rsidRPr="007E5098" w:rsidRDefault="004C2A06" w:rsidP="00765B0F">
      <w:pPr>
        <w:spacing w:before="240"/>
        <w:ind w:right="91"/>
        <w:rPr>
          <w:u w:val="single"/>
        </w:rPr>
      </w:pPr>
      <w:r w:rsidRPr="007E5098">
        <w:rPr>
          <w:u w:val="single"/>
        </w:rPr>
        <w:t>P</w:t>
      </w:r>
      <w:r w:rsidR="00A24677" w:rsidRPr="007E5098">
        <w:rPr>
          <w:u w:val="single"/>
        </w:rPr>
        <w:t xml:space="preserve">ayments to industry bodies or trade associations </w:t>
      </w:r>
    </w:p>
    <w:p w14:paraId="25B0710A" w14:textId="77777777" w:rsidR="00A24677" w:rsidRPr="007E5098" w:rsidRDefault="00A24677" w:rsidP="00765B0F">
      <w:pPr>
        <w:spacing w:before="240"/>
        <w:ind w:right="91"/>
      </w:pPr>
      <w:r w:rsidRPr="007E5098">
        <w:t xml:space="preserve">The information provided with a notice must include an itemised list of all payments made to industry bodies or trade associations, which are required to be registered under section 26 of the </w:t>
      </w:r>
      <w:r w:rsidRPr="007E5098">
        <w:rPr>
          <w:i/>
        </w:rPr>
        <w:t>Fair Work (Registered Organisations) Act 2009</w:t>
      </w:r>
      <w:r w:rsidRPr="007E5098">
        <w:t>.</w:t>
      </w:r>
    </w:p>
    <w:p w14:paraId="7CED5A68" w14:textId="77777777" w:rsidR="00A24677" w:rsidRPr="007E5098" w:rsidRDefault="00A24677" w:rsidP="00765B0F">
      <w:pPr>
        <w:spacing w:before="240"/>
        <w:ind w:right="91"/>
      </w:pPr>
      <w:r w:rsidRPr="007E5098">
        <w:t>This information must also be provided as an aggregate figure in the short-form summary document explained above.</w:t>
      </w:r>
    </w:p>
    <w:p w14:paraId="38B23673" w14:textId="77777777" w:rsidR="00A24677" w:rsidRPr="007E5098" w:rsidRDefault="004C2A06" w:rsidP="00765B0F">
      <w:pPr>
        <w:spacing w:before="240"/>
        <w:ind w:right="91"/>
        <w:rPr>
          <w:u w:val="single"/>
        </w:rPr>
      </w:pPr>
      <w:r w:rsidRPr="007E5098">
        <w:rPr>
          <w:u w:val="single"/>
        </w:rPr>
        <w:t>P</w:t>
      </w:r>
      <w:r w:rsidR="00A24677" w:rsidRPr="007E5098">
        <w:rPr>
          <w:u w:val="single"/>
        </w:rPr>
        <w:t>ayments to related parties</w:t>
      </w:r>
    </w:p>
    <w:p w14:paraId="27DFBE8F" w14:textId="35EEAEA8" w:rsidR="00A24677" w:rsidRPr="007E5098" w:rsidRDefault="00A24677" w:rsidP="00765B0F">
      <w:pPr>
        <w:spacing w:before="240"/>
        <w:ind w:right="91"/>
      </w:pPr>
      <w:r w:rsidRPr="007E5098">
        <w:t xml:space="preserve">The information provided with a notice must include an itemised list of all payments made to certain related parties. </w:t>
      </w:r>
      <w:r w:rsidR="00687ADC" w:rsidRPr="007E5098">
        <w:t>Relate</w:t>
      </w:r>
      <w:r w:rsidR="00963D2A" w:rsidRPr="007E5098">
        <w:t>d</w:t>
      </w:r>
      <w:r w:rsidR="00687ADC" w:rsidRPr="007E5098">
        <w:t xml:space="preserve"> parties include connected entities of the RSE licensee, an associated entity of a connected entity of the RSE, an entity over whom the RSE licensee has significant influence, and an entity that has significant influence over the RSE licensee. </w:t>
      </w:r>
    </w:p>
    <w:p w14:paraId="14B5ECDB" w14:textId="14BEF5FD" w:rsidR="00687ADC" w:rsidRPr="007E5098" w:rsidRDefault="005E4110" w:rsidP="00765B0F">
      <w:pPr>
        <w:spacing w:before="240"/>
        <w:ind w:right="91"/>
      </w:pPr>
      <w:r w:rsidRPr="007E5098">
        <w:t>Information about payments to entities</w:t>
      </w:r>
      <w:r w:rsidR="00687ADC" w:rsidRPr="007E5098">
        <w:t xml:space="preserve"> that share key management personnel or executive officers with the RSE licensee</w:t>
      </w:r>
      <w:r w:rsidR="004C52AD" w:rsidRPr="007E5098">
        <w:t>, or associates of those entities</w:t>
      </w:r>
      <w:r w:rsidRPr="007E5098">
        <w:t xml:space="preserve"> must also be disclosed. </w:t>
      </w:r>
    </w:p>
    <w:p w14:paraId="626E0412" w14:textId="5674D446" w:rsidR="00687ADC" w:rsidRPr="007E5098" w:rsidRDefault="00F00ABC" w:rsidP="00765B0F">
      <w:pPr>
        <w:spacing w:before="240"/>
        <w:ind w:right="91"/>
      </w:pPr>
      <w:r w:rsidRPr="007E5098">
        <w:lastRenderedPageBreak/>
        <w:t xml:space="preserve">The provision of this information in the notice is to ensure members have visibility over payments made to the related entities of the RSE and can ask questions </w:t>
      </w:r>
      <w:r w:rsidR="00EB7CAE" w:rsidRPr="007E5098">
        <w:t xml:space="preserve">about the purpose of such payments. </w:t>
      </w:r>
    </w:p>
    <w:p w14:paraId="4D9E3330" w14:textId="77777777" w:rsidR="00A24677" w:rsidRPr="007E5098" w:rsidRDefault="00A24677" w:rsidP="00765B0F">
      <w:pPr>
        <w:spacing w:before="240"/>
        <w:ind w:right="91"/>
      </w:pPr>
      <w:r w:rsidRPr="007E5098">
        <w:t xml:space="preserve">This information must also be provided as an aggregate figure in the summary document explained above. </w:t>
      </w:r>
    </w:p>
    <w:p w14:paraId="491E9DF7" w14:textId="77777777" w:rsidR="00A24677" w:rsidRPr="007E5098" w:rsidRDefault="00A24677" w:rsidP="00765B0F">
      <w:pPr>
        <w:spacing w:before="240"/>
        <w:ind w:right="91"/>
      </w:pPr>
      <w:r w:rsidRPr="007E5098">
        <w:rPr>
          <w:i/>
        </w:rPr>
        <w:t>Requirement for giving notice of annual members’ meetings</w:t>
      </w:r>
    </w:p>
    <w:p w14:paraId="369EEB4A" w14:textId="017BEEFA" w:rsidR="00A24677" w:rsidRPr="007E5098" w:rsidRDefault="00A24677" w:rsidP="00765B0F">
      <w:pPr>
        <w:spacing w:before="240"/>
        <w:ind w:right="91"/>
        <w:rPr>
          <w:szCs w:val="23"/>
        </w:rPr>
      </w:pPr>
      <w:r w:rsidRPr="007E5098">
        <w:t xml:space="preserve">Paragraph 29P(3)(c) of the </w:t>
      </w:r>
      <w:r w:rsidR="00381E6D" w:rsidRPr="007E5098">
        <w:t>Act</w:t>
      </w:r>
      <w:r w:rsidRPr="007E5098">
        <w:t xml:space="preserve"> </w:t>
      </w:r>
      <w:r w:rsidRPr="007E5098">
        <w:rPr>
          <w:szCs w:val="23"/>
        </w:rPr>
        <w:t xml:space="preserve">allows </w:t>
      </w:r>
      <w:r w:rsidR="00DD503C" w:rsidRPr="007E5098">
        <w:rPr>
          <w:szCs w:val="23"/>
        </w:rPr>
        <w:t>regulations</w:t>
      </w:r>
      <w:r w:rsidRPr="007E5098">
        <w:rPr>
          <w:szCs w:val="23"/>
        </w:rPr>
        <w:t xml:space="preserve"> to prescribe the </w:t>
      </w:r>
      <w:proofErr w:type="gramStart"/>
      <w:r w:rsidRPr="007E5098">
        <w:rPr>
          <w:szCs w:val="23"/>
        </w:rPr>
        <w:t>manner in which</w:t>
      </w:r>
      <w:proofErr w:type="gramEnd"/>
      <w:r w:rsidRPr="007E5098">
        <w:rPr>
          <w:szCs w:val="23"/>
        </w:rPr>
        <w:t xml:space="preserve"> an RSE licensee should provide a notice of an annual members’ meeting and other accompanying information to members. </w:t>
      </w:r>
    </w:p>
    <w:p w14:paraId="0D136E9F" w14:textId="0440FD1C" w:rsidR="00A24677" w:rsidRPr="007E5098" w:rsidRDefault="00A24677" w:rsidP="00765B0F">
      <w:pPr>
        <w:spacing w:before="240"/>
        <w:ind w:right="91"/>
        <w:rPr>
          <w:szCs w:val="23"/>
        </w:rPr>
      </w:pPr>
      <w:r w:rsidRPr="007E5098">
        <w:t>RSE</w:t>
      </w:r>
      <w:r w:rsidRPr="007E5098">
        <w:rPr>
          <w:szCs w:val="23"/>
        </w:rPr>
        <w:t xml:space="preserve"> licensees are generally required to provide information to members about the management, financial </w:t>
      </w:r>
      <w:proofErr w:type="gramStart"/>
      <w:r w:rsidRPr="007E5098">
        <w:rPr>
          <w:szCs w:val="23"/>
        </w:rPr>
        <w:t>condition</w:t>
      </w:r>
      <w:proofErr w:type="gramEnd"/>
      <w:r w:rsidRPr="007E5098">
        <w:rPr>
          <w:szCs w:val="23"/>
        </w:rPr>
        <w:t xml:space="preserve"> and investment performance of the fund under paragraph 1017DA(1)(a) of </w:t>
      </w:r>
      <w:r w:rsidR="00193045" w:rsidRPr="007E5098">
        <w:rPr>
          <w:szCs w:val="23"/>
        </w:rPr>
        <w:t>the Corporations Act</w:t>
      </w:r>
      <w:r w:rsidRPr="007E5098">
        <w:rPr>
          <w:szCs w:val="23"/>
        </w:rPr>
        <w:t>.</w:t>
      </w:r>
      <w:r w:rsidR="00FD7DA3" w:rsidRPr="007E5098">
        <w:rPr>
          <w:szCs w:val="23"/>
        </w:rPr>
        <w:t xml:space="preserve"> </w:t>
      </w:r>
      <w:r w:rsidR="00FD7DA3" w:rsidRPr="007E5098">
        <w:t>Regulation</w:t>
      </w:r>
      <w:r w:rsidR="00FD7DA3" w:rsidRPr="007E5098">
        <w:rPr>
          <w:szCs w:val="23"/>
        </w:rPr>
        <w:t xml:space="preserve"> 7.9.75A of the </w:t>
      </w:r>
      <w:r w:rsidR="00FD7DA3" w:rsidRPr="007E5098">
        <w:rPr>
          <w:i/>
          <w:szCs w:val="23"/>
        </w:rPr>
        <w:t>Corporations Regulations 2001</w:t>
      </w:r>
      <w:r w:rsidR="00FD7DA3" w:rsidRPr="007E5098">
        <w:rPr>
          <w:szCs w:val="23"/>
        </w:rPr>
        <w:t xml:space="preserve"> </w:t>
      </w:r>
      <w:r w:rsidR="007972ED" w:rsidRPr="007E5098">
        <w:rPr>
          <w:szCs w:val="23"/>
        </w:rPr>
        <w:t xml:space="preserve">(the Corporations Regulations) </w:t>
      </w:r>
      <w:r w:rsidR="00FD7DA3" w:rsidRPr="007E5098">
        <w:rPr>
          <w:szCs w:val="23"/>
        </w:rPr>
        <w:t xml:space="preserve">requires that the information provided under paragraph 1017DA(1)(a) </w:t>
      </w:r>
      <w:r w:rsidR="00193045" w:rsidRPr="007E5098">
        <w:rPr>
          <w:szCs w:val="23"/>
        </w:rPr>
        <w:t xml:space="preserve">of the Corporations Act </w:t>
      </w:r>
      <w:r w:rsidR="00FD7DA3" w:rsidRPr="007E5098">
        <w:rPr>
          <w:szCs w:val="23"/>
        </w:rPr>
        <w:t>be provided in writing, electronically or in a manner agreed by the member or member’s agent. This could include, for example, information being published on a fund</w:t>
      </w:r>
      <w:r w:rsidR="00EA3A98" w:rsidRPr="007E5098">
        <w:rPr>
          <w:szCs w:val="23"/>
        </w:rPr>
        <w:t>’s</w:t>
      </w:r>
      <w:r w:rsidR="00FD7DA3" w:rsidRPr="007E5098">
        <w:rPr>
          <w:szCs w:val="23"/>
        </w:rPr>
        <w:t xml:space="preserve"> website. </w:t>
      </w:r>
    </w:p>
    <w:p w14:paraId="3D87893A" w14:textId="2E616E0B" w:rsidR="002006F0" w:rsidRPr="007E5098" w:rsidRDefault="00A24677" w:rsidP="00765B0F">
      <w:pPr>
        <w:spacing w:before="240"/>
        <w:ind w:right="91"/>
        <w:rPr>
          <w:szCs w:val="23"/>
        </w:rPr>
      </w:pPr>
      <w:r w:rsidRPr="007E5098">
        <w:rPr>
          <w:szCs w:val="23"/>
        </w:rPr>
        <w:t xml:space="preserve">If an RSE licensee is required to provide information under paragraph 1017DA(1)(a) </w:t>
      </w:r>
      <w:r w:rsidR="00193045" w:rsidRPr="007E5098">
        <w:rPr>
          <w:szCs w:val="23"/>
        </w:rPr>
        <w:t xml:space="preserve">of the Corporations Act </w:t>
      </w:r>
      <w:r w:rsidRPr="007E5098">
        <w:rPr>
          <w:szCs w:val="23"/>
        </w:rPr>
        <w:t xml:space="preserve">in a particular manner to members, they must also provide notice of an annual members’ meeting and the accompanying information in the same way. </w:t>
      </w:r>
      <w:r w:rsidR="00FD7DA3" w:rsidRPr="007E5098">
        <w:rPr>
          <w:szCs w:val="23"/>
        </w:rPr>
        <w:t>For example, if the RSE</w:t>
      </w:r>
      <w:r w:rsidR="00193045" w:rsidRPr="007E5098">
        <w:rPr>
          <w:szCs w:val="23"/>
        </w:rPr>
        <w:t xml:space="preserve"> licensee</w:t>
      </w:r>
      <w:r w:rsidR="00FD7DA3" w:rsidRPr="007E5098">
        <w:rPr>
          <w:szCs w:val="23"/>
        </w:rPr>
        <w:t xml:space="preserve"> provides this information via email, they must also provide the </w:t>
      </w:r>
      <w:r w:rsidR="00CC6D3B" w:rsidRPr="007E5098">
        <w:rPr>
          <w:szCs w:val="23"/>
        </w:rPr>
        <w:t>a</w:t>
      </w:r>
      <w:r w:rsidR="00FD7DA3" w:rsidRPr="007E5098">
        <w:rPr>
          <w:szCs w:val="23"/>
        </w:rPr>
        <w:t xml:space="preserve">nnual </w:t>
      </w:r>
      <w:r w:rsidR="00CC6D3B" w:rsidRPr="007E5098">
        <w:rPr>
          <w:szCs w:val="23"/>
        </w:rPr>
        <w:t>m</w:t>
      </w:r>
      <w:r w:rsidR="00FD7DA3" w:rsidRPr="007E5098">
        <w:rPr>
          <w:szCs w:val="23"/>
        </w:rPr>
        <w:t xml:space="preserve">embers’ </w:t>
      </w:r>
      <w:r w:rsidR="00CC6D3B" w:rsidRPr="007E5098">
        <w:rPr>
          <w:szCs w:val="23"/>
        </w:rPr>
        <w:t>m</w:t>
      </w:r>
      <w:r w:rsidR="00FD7DA3" w:rsidRPr="007E5098">
        <w:rPr>
          <w:szCs w:val="23"/>
        </w:rPr>
        <w:t xml:space="preserve">eeting </w:t>
      </w:r>
      <w:r w:rsidR="00CC6D3B" w:rsidRPr="007E5098">
        <w:rPr>
          <w:szCs w:val="23"/>
        </w:rPr>
        <w:t>n</w:t>
      </w:r>
      <w:r w:rsidR="00FD7DA3" w:rsidRPr="007E5098">
        <w:rPr>
          <w:szCs w:val="23"/>
        </w:rPr>
        <w:t xml:space="preserve">otice via email. If the member has agreed a specific method of receiving information provided under </w:t>
      </w:r>
      <w:r w:rsidR="00CC6D3B" w:rsidRPr="007E5098">
        <w:rPr>
          <w:szCs w:val="23"/>
        </w:rPr>
        <w:t xml:space="preserve">paragraph </w:t>
      </w:r>
      <w:r w:rsidR="00FD7DA3" w:rsidRPr="007E5098">
        <w:rPr>
          <w:szCs w:val="23"/>
        </w:rPr>
        <w:t>1017DA(1)(a)</w:t>
      </w:r>
      <w:r w:rsidR="00193045" w:rsidRPr="007E5098">
        <w:rPr>
          <w:szCs w:val="23"/>
        </w:rPr>
        <w:t xml:space="preserve"> of the Corporations Act</w:t>
      </w:r>
      <w:r w:rsidR="00FD7DA3" w:rsidRPr="007E5098">
        <w:rPr>
          <w:szCs w:val="23"/>
        </w:rPr>
        <w:t xml:space="preserve">, the </w:t>
      </w:r>
      <w:r w:rsidR="00CC6D3B" w:rsidRPr="007E5098">
        <w:rPr>
          <w:szCs w:val="23"/>
        </w:rPr>
        <w:t>a</w:t>
      </w:r>
      <w:r w:rsidR="00FD7DA3" w:rsidRPr="007E5098">
        <w:rPr>
          <w:szCs w:val="23"/>
        </w:rPr>
        <w:t xml:space="preserve">nnual </w:t>
      </w:r>
      <w:r w:rsidR="00CC6D3B" w:rsidRPr="007E5098">
        <w:rPr>
          <w:szCs w:val="23"/>
        </w:rPr>
        <w:t>m</w:t>
      </w:r>
      <w:r w:rsidR="00FD7DA3" w:rsidRPr="007E5098">
        <w:rPr>
          <w:szCs w:val="23"/>
        </w:rPr>
        <w:t xml:space="preserve">embers’ </w:t>
      </w:r>
      <w:r w:rsidR="00CC6D3B" w:rsidRPr="007E5098">
        <w:rPr>
          <w:szCs w:val="23"/>
        </w:rPr>
        <w:t>m</w:t>
      </w:r>
      <w:r w:rsidR="00FD7DA3" w:rsidRPr="007E5098">
        <w:rPr>
          <w:szCs w:val="23"/>
        </w:rPr>
        <w:t xml:space="preserve">eeting </w:t>
      </w:r>
      <w:r w:rsidR="00CC6D3B" w:rsidRPr="007E5098">
        <w:rPr>
          <w:szCs w:val="23"/>
        </w:rPr>
        <w:t>n</w:t>
      </w:r>
      <w:r w:rsidR="00FD7DA3" w:rsidRPr="007E5098">
        <w:rPr>
          <w:szCs w:val="23"/>
        </w:rPr>
        <w:t xml:space="preserve">otice </w:t>
      </w:r>
      <w:r w:rsidR="00CC6D3B" w:rsidRPr="007E5098">
        <w:rPr>
          <w:szCs w:val="23"/>
        </w:rPr>
        <w:t xml:space="preserve">and accompanying information </w:t>
      </w:r>
      <w:r w:rsidR="00FD7DA3" w:rsidRPr="007E5098">
        <w:rPr>
          <w:szCs w:val="23"/>
        </w:rPr>
        <w:t xml:space="preserve">must also be provided in that manner. </w:t>
      </w:r>
    </w:p>
    <w:p w14:paraId="13A84A25" w14:textId="60234DEC" w:rsidR="00A24677" w:rsidRPr="007E5098" w:rsidRDefault="00A24677" w:rsidP="00765B0F">
      <w:pPr>
        <w:spacing w:before="240"/>
        <w:ind w:right="91"/>
        <w:rPr>
          <w:szCs w:val="23"/>
        </w:rPr>
      </w:pPr>
      <w:r w:rsidRPr="007E5098">
        <w:rPr>
          <w:szCs w:val="23"/>
        </w:rPr>
        <w:t xml:space="preserve">This ensures that RSE licensees have consistent obligations for providing information to members, and members do not need to </w:t>
      </w:r>
      <w:r w:rsidR="00C47C56" w:rsidRPr="007E5098">
        <w:rPr>
          <w:szCs w:val="23"/>
        </w:rPr>
        <w:t>enter</w:t>
      </w:r>
      <w:r w:rsidRPr="007E5098">
        <w:rPr>
          <w:szCs w:val="23"/>
        </w:rPr>
        <w:t xml:space="preserve"> separate arrangements for</w:t>
      </w:r>
      <w:r w:rsidR="00E3504B" w:rsidRPr="007E5098">
        <w:rPr>
          <w:szCs w:val="23"/>
        </w:rPr>
        <w:t xml:space="preserve"> providing</w:t>
      </w:r>
      <w:r w:rsidRPr="007E5098">
        <w:rPr>
          <w:szCs w:val="23"/>
        </w:rPr>
        <w:t xml:space="preserve"> such information. </w:t>
      </w:r>
    </w:p>
    <w:p w14:paraId="3A311946" w14:textId="603636C8" w:rsidR="002006F0" w:rsidRPr="007E5098" w:rsidRDefault="002006F0" w:rsidP="00765B0F">
      <w:pPr>
        <w:spacing w:before="240"/>
        <w:ind w:right="91"/>
        <w:rPr>
          <w:szCs w:val="23"/>
        </w:rPr>
      </w:pPr>
      <w:r w:rsidRPr="007E5098">
        <w:rPr>
          <w:szCs w:val="23"/>
        </w:rPr>
        <w:t xml:space="preserve">Where information provided under 1017DA(1)(a) </w:t>
      </w:r>
      <w:r w:rsidR="00193045" w:rsidRPr="007E5098">
        <w:rPr>
          <w:szCs w:val="23"/>
        </w:rPr>
        <w:t xml:space="preserve">of the Corporations Act </w:t>
      </w:r>
      <w:r w:rsidRPr="007E5098">
        <w:rPr>
          <w:szCs w:val="23"/>
        </w:rPr>
        <w:t xml:space="preserve">is made available on a website, regulation 7.9.75BA of the </w:t>
      </w:r>
      <w:r w:rsidRPr="007E5098">
        <w:rPr>
          <w:iCs/>
          <w:szCs w:val="23"/>
        </w:rPr>
        <w:t>Corporations Regulations</w:t>
      </w:r>
      <w:r w:rsidRPr="007E5098">
        <w:rPr>
          <w:szCs w:val="23"/>
        </w:rPr>
        <w:t xml:space="preserve"> provide that the trustee must ensure the information is readily accessible on that website and explain to the member how to access the information. </w:t>
      </w:r>
    </w:p>
    <w:p w14:paraId="01FBB38B" w14:textId="048A8824" w:rsidR="00A24677" w:rsidRPr="007E5098" w:rsidRDefault="00A24677" w:rsidP="00765B0F">
      <w:pPr>
        <w:spacing w:before="240"/>
        <w:ind w:right="91"/>
        <w:rPr>
          <w:szCs w:val="23"/>
        </w:rPr>
      </w:pPr>
      <w:r w:rsidRPr="007E5098">
        <w:t>Where</w:t>
      </w:r>
      <w:r w:rsidRPr="007E5098">
        <w:rPr>
          <w:szCs w:val="23"/>
        </w:rPr>
        <w:t xml:space="preserve"> an RSE licensee does not have to provide information under paragraph 1017DA(1)(a)</w:t>
      </w:r>
      <w:r w:rsidR="00193045" w:rsidRPr="007E5098">
        <w:rPr>
          <w:szCs w:val="23"/>
        </w:rPr>
        <w:t xml:space="preserve"> of the Corporations Act</w:t>
      </w:r>
      <w:r w:rsidRPr="007E5098">
        <w:rPr>
          <w:szCs w:val="23"/>
        </w:rPr>
        <w:t xml:space="preserve">, then the notice of an annual members’ meeting and the accompanying information must be provided in writing. </w:t>
      </w:r>
    </w:p>
    <w:p w14:paraId="30238382" w14:textId="23D7735C" w:rsidR="00A24677" w:rsidRPr="007E5098" w:rsidRDefault="00A24677" w:rsidP="00765B0F">
      <w:pPr>
        <w:spacing w:before="240"/>
        <w:ind w:right="91"/>
        <w:rPr>
          <w:szCs w:val="23"/>
        </w:rPr>
      </w:pPr>
      <w:r w:rsidRPr="007E5098">
        <w:rPr>
          <w:szCs w:val="23"/>
        </w:rPr>
        <w:t xml:space="preserve">In addition to providing information to members directly, the Regulations also require RSE licensees to make the notice of the </w:t>
      </w:r>
      <w:r w:rsidR="0065371C" w:rsidRPr="007E5098">
        <w:rPr>
          <w:szCs w:val="23"/>
        </w:rPr>
        <w:t>annual members meeting</w:t>
      </w:r>
      <w:r w:rsidRPr="007E5098">
        <w:rPr>
          <w:szCs w:val="23"/>
        </w:rPr>
        <w:t xml:space="preserve"> </w:t>
      </w:r>
      <w:r w:rsidR="0065371C" w:rsidRPr="007E5098">
        <w:rPr>
          <w:szCs w:val="23"/>
        </w:rPr>
        <w:t>publicly</w:t>
      </w:r>
      <w:r w:rsidRPr="007E5098">
        <w:rPr>
          <w:szCs w:val="23"/>
        </w:rPr>
        <w:t xml:space="preserve"> available, and readily accessible by members, on the </w:t>
      </w:r>
      <w:r w:rsidR="00193045" w:rsidRPr="007E5098">
        <w:rPr>
          <w:szCs w:val="23"/>
        </w:rPr>
        <w:t>RSE</w:t>
      </w:r>
      <w:r w:rsidRPr="007E5098">
        <w:rPr>
          <w:szCs w:val="23"/>
        </w:rPr>
        <w:t>’s website.</w:t>
      </w:r>
      <w:r w:rsidR="00123237" w:rsidRPr="007E5098">
        <w:rPr>
          <w:szCs w:val="23"/>
        </w:rPr>
        <w:t xml:space="preserve"> Where the RSE</w:t>
      </w:r>
      <w:r w:rsidR="00193045" w:rsidRPr="007E5098">
        <w:rPr>
          <w:szCs w:val="23"/>
        </w:rPr>
        <w:t xml:space="preserve"> licensee</w:t>
      </w:r>
      <w:r w:rsidR="00123237" w:rsidRPr="007E5098">
        <w:rPr>
          <w:szCs w:val="23"/>
        </w:rPr>
        <w:t xml:space="preserve"> chooses to provide the required informati</w:t>
      </w:r>
      <w:r w:rsidR="004A66EE" w:rsidRPr="007E5098">
        <w:rPr>
          <w:szCs w:val="23"/>
        </w:rPr>
        <w:t xml:space="preserve">on </w:t>
      </w:r>
      <w:r w:rsidR="0093487F" w:rsidRPr="007E5098">
        <w:rPr>
          <w:szCs w:val="23"/>
        </w:rPr>
        <w:t xml:space="preserve">to members </w:t>
      </w:r>
      <w:r w:rsidR="004A66EE" w:rsidRPr="007E5098">
        <w:rPr>
          <w:szCs w:val="23"/>
        </w:rPr>
        <w:t>via linking to a webpage</w:t>
      </w:r>
      <w:r w:rsidR="00123237" w:rsidRPr="007E5098">
        <w:rPr>
          <w:szCs w:val="23"/>
        </w:rPr>
        <w:t xml:space="preserve">, </w:t>
      </w:r>
      <w:r w:rsidR="004A66EE" w:rsidRPr="007E5098">
        <w:rPr>
          <w:szCs w:val="23"/>
        </w:rPr>
        <w:t>that webpage</w:t>
      </w:r>
      <w:r w:rsidR="00123237" w:rsidRPr="007E5098">
        <w:rPr>
          <w:szCs w:val="23"/>
        </w:rPr>
        <w:t xml:space="preserve"> must be active and viewable at and from the time the </w:t>
      </w:r>
      <w:r w:rsidR="0093487F" w:rsidRPr="007E5098">
        <w:rPr>
          <w:szCs w:val="23"/>
        </w:rPr>
        <w:t>a</w:t>
      </w:r>
      <w:r w:rsidR="00123237" w:rsidRPr="007E5098">
        <w:rPr>
          <w:szCs w:val="23"/>
        </w:rPr>
        <w:t xml:space="preserve">nnual </w:t>
      </w:r>
      <w:r w:rsidR="0093487F" w:rsidRPr="007E5098">
        <w:rPr>
          <w:szCs w:val="23"/>
        </w:rPr>
        <w:t>members’ m</w:t>
      </w:r>
      <w:r w:rsidR="00123237" w:rsidRPr="007E5098">
        <w:rPr>
          <w:szCs w:val="23"/>
        </w:rPr>
        <w:t xml:space="preserve">eeting </w:t>
      </w:r>
      <w:r w:rsidR="0093487F" w:rsidRPr="007E5098">
        <w:rPr>
          <w:szCs w:val="23"/>
        </w:rPr>
        <w:t>n</w:t>
      </w:r>
      <w:r w:rsidR="00123237" w:rsidRPr="007E5098">
        <w:rPr>
          <w:szCs w:val="23"/>
        </w:rPr>
        <w:t xml:space="preserve">otice is sent to members. </w:t>
      </w:r>
    </w:p>
    <w:p w14:paraId="5D78EBEB" w14:textId="77777777" w:rsidR="00732D8F" w:rsidRPr="007E5098" w:rsidRDefault="00732D8F" w:rsidP="00765B0F">
      <w:pPr>
        <w:spacing w:before="240"/>
        <w:ind w:right="91"/>
        <w:rPr>
          <w:i/>
          <w:szCs w:val="23"/>
        </w:rPr>
      </w:pPr>
      <w:r w:rsidRPr="007E5098">
        <w:rPr>
          <w:i/>
          <w:szCs w:val="23"/>
        </w:rPr>
        <w:lastRenderedPageBreak/>
        <w:t>Consequential amendments</w:t>
      </w:r>
    </w:p>
    <w:p w14:paraId="02FF711D" w14:textId="77777777" w:rsidR="007A4CF8" w:rsidRPr="007E5098" w:rsidRDefault="00AF313B" w:rsidP="00AF313B">
      <w:pPr>
        <w:spacing w:before="240"/>
        <w:ind w:right="91"/>
      </w:pPr>
      <w:r w:rsidRPr="007E5098">
        <w:t>The amendments expand existing regulation 2.04 of the</w:t>
      </w:r>
      <w:r w:rsidRPr="007E5098">
        <w:rPr>
          <w:i/>
        </w:rPr>
        <w:t xml:space="preserve"> </w:t>
      </w:r>
      <w:r w:rsidR="00E3504B" w:rsidRPr="007E5098">
        <w:t>SIS Regulations</w:t>
      </w:r>
      <w:r w:rsidRPr="007E5098">
        <w:t xml:space="preserve"> to include new Division 2.2. This ensures that RSE licensees are taken to have satisfied the requirements to provide information with notice of an annual members’ meeting </w:t>
      </w:r>
      <w:r w:rsidR="00732D8F" w:rsidRPr="007E5098">
        <w:t>if they</w:t>
      </w:r>
      <w:r w:rsidRPr="007E5098">
        <w:t xml:space="preserve"> have </w:t>
      </w:r>
      <w:r w:rsidR="00732D8F" w:rsidRPr="007E5098">
        <w:t>made reasonable s</w:t>
      </w:r>
      <w:r w:rsidRPr="007E5098">
        <w:t xml:space="preserve">teps to provide the information to members. </w:t>
      </w:r>
    </w:p>
    <w:p w14:paraId="1CA317BD" w14:textId="77777777" w:rsidR="00732D8F" w:rsidRPr="007E5098" w:rsidRDefault="00AF313B" w:rsidP="00AF313B">
      <w:pPr>
        <w:spacing w:before="240"/>
        <w:ind w:right="91"/>
        <w:rPr>
          <w:szCs w:val="23"/>
        </w:rPr>
      </w:pPr>
      <w:r w:rsidRPr="007E5098">
        <w:t>This treatment is consistent with the existing arrangements for information that is required to be given for each reporting</w:t>
      </w:r>
      <w:r w:rsidR="00CB4502" w:rsidRPr="007E5098">
        <w:t xml:space="preserve"> period under Division 2.4 and information on request under Division 2.5.</w:t>
      </w:r>
    </w:p>
    <w:p w14:paraId="0177D13B" w14:textId="77777777" w:rsidR="00FF3C9E" w:rsidRPr="007E5098" w:rsidRDefault="00FF3C9E" w:rsidP="00FF3C9E">
      <w:pPr>
        <w:spacing w:before="0" w:after="0"/>
      </w:pPr>
    </w:p>
    <w:p w14:paraId="20EA7618" w14:textId="6C9DEC1C" w:rsidR="00DB13D1" w:rsidRPr="007E5098" w:rsidRDefault="00DB13D1" w:rsidP="00FF3C9E">
      <w:pPr>
        <w:spacing w:before="0" w:after="0"/>
        <w:rPr>
          <w:b/>
          <w:bCs/>
        </w:rPr>
      </w:pPr>
      <w:r w:rsidRPr="007E5098">
        <w:rPr>
          <w:b/>
          <w:bCs/>
        </w:rPr>
        <w:t xml:space="preserve">Schedule </w:t>
      </w:r>
      <w:r w:rsidR="006445D5" w:rsidRPr="007E5098">
        <w:rPr>
          <w:b/>
          <w:bCs/>
        </w:rPr>
        <w:t>2</w:t>
      </w:r>
      <w:r w:rsidRPr="007E5098">
        <w:rPr>
          <w:b/>
          <w:bCs/>
        </w:rPr>
        <w:t xml:space="preserve"> – Use of goods or services to influence employers </w:t>
      </w:r>
    </w:p>
    <w:p w14:paraId="5DC13582" w14:textId="295AB7BE" w:rsidR="00DB13D1" w:rsidRPr="007E5098" w:rsidRDefault="00DB13D1" w:rsidP="00DB13D1">
      <w:pPr>
        <w:rPr>
          <w:szCs w:val="23"/>
        </w:rPr>
      </w:pPr>
      <w:r w:rsidRPr="007E5098">
        <w:t xml:space="preserve">Schedule </w:t>
      </w:r>
      <w:r w:rsidR="0043582D" w:rsidRPr="007E5098">
        <w:t>2</w:t>
      </w:r>
      <w:r w:rsidRPr="007E5098">
        <w:t xml:space="preserve"> to the Regulations amend</w:t>
      </w:r>
      <w:r w:rsidR="00EF0207" w:rsidRPr="007E5098">
        <w:t>s</w:t>
      </w:r>
      <w:r w:rsidRPr="007E5098">
        <w:t xml:space="preserve"> the SIS Regulations to remove an exemption from </w:t>
      </w:r>
      <w:r w:rsidRPr="007E5098">
        <w:rPr>
          <w:color w:val="000000"/>
          <w:shd w:val="clear" w:color="auto" w:fill="FFFFFF"/>
        </w:rPr>
        <w:t>section 68A of the </w:t>
      </w:r>
      <w:r w:rsidR="00381E6D" w:rsidRPr="007E5098">
        <w:rPr>
          <w:iCs/>
          <w:color w:val="000000"/>
          <w:shd w:val="clear" w:color="auto" w:fill="FFFFFF"/>
        </w:rPr>
        <w:t>Act</w:t>
      </w:r>
      <w:r w:rsidR="00205C8E" w:rsidRPr="007E5098">
        <w:rPr>
          <w:iCs/>
          <w:color w:val="000000"/>
          <w:shd w:val="clear" w:color="auto" w:fill="FFFFFF"/>
        </w:rPr>
        <w:t xml:space="preserve">. </w:t>
      </w:r>
    </w:p>
    <w:p w14:paraId="582E9E4E" w14:textId="11D60562" w:rsidR="00DB13D1" w:rsidRPr="007E5098" w:rsidRDefault="00DB13D1" w:rsidP="00DB13D1">
      <w:pPr>
        <w:rPr>
          <w:color w:val="000000"/>
          <w:shd w:val="clear" w:color="auto" w:fill="FFFFFF"/>
        </w:rPr>
      </w:pPr>
      <w:r w:rsidRPr="007E5098">
        <w:rPr>
          <w:szCs w:val="23"/>
        </w:rPr>
        <w:t>T</w:t>
      </w:r>
      <w:r w:rsidRPr="007E5098">
        <w:rPr>
          <w:color w:val="000000"/>
          <w:shd w:val="clear" w:color="auto" w:fill="FFFFFF"/>
        </w:rPr>
        <w:t>he general rule in section 68A of the </w:t>
      </w:r>
      <w:r w:rsidR="00381E6D" w:rsidRPr="007E5098">
        <w:rPr>
          <w:iCs/>
          <w:color w:val="000000"/>
          <w:shd w:val="clear" w:color="auto" w:fill="FFFFFF"/>
        </w:rPr>
        <w:t>Act</w:t>
      </w:r>
      <w:r w:rsidRPr="007E5098">
        <w:rPr>
          <w:i/>
          <w:iCs/>
          <w:color w:val="000000"/>
          <w:shd w:val="clear" w:color="auto" w:fill="FFFFFF"/>
        </w:rPr>
        <w:t> </w:t>
      </w:r>
      <w:r w:rsidRPr="007E5098">
        <w:rPr>
          <w:color w:val="000000"/>
          <w:shd w:val="clear" w:color="auto" w:fill="FFFFFF"/>
        </w:rPr>
        <w:t xml:space="preserve">originally prohibited </w:t>
      </w:r>
      <w:r w:rsidR="00205C8E" w:rsidRPr="007E5098">
        <w:rPr>
          <w:color w:val="000000"/>
          <w:shd w:val="clear" w:color="auto" w:fill="FFFFFF"/>
        </w:rPr>
        <w:t>the</w:t>
      </w:r>
      <w:r w:rsidRPr="007E5098">
        <w:rPr>
          <w:color w:val="000000"/>
          <w:shd w:val="clear" w:color="auto" w:fill="FFFFFF"/>
        </w:rPr>
        <w:t xml:space="preserve"> trustee or associate of </w:t>
      </w:r>
      <w:r w:rsidR="00205C8E" w:rsidRPr="007E5098">
        <w:rPr>
          <w:color w:val="000000"/>
          <w:shd w:val="clear" w:color="auto" w:fill="FFFFFF"/>
        </w:rPr>
        <w:t>the</w:t>
      </w:r>
      <w:r w:rsidRPr="007E5098">
        <w:rPr>
          <w:color w:val="000000"/>
          <w:shd w:val="clear" w:color="auto" w:fill="FFFFFF"/>
        </w:rPr>
        <w:t xml:space="preserve"> trustee </w:t>
      </w:r>
      <w:r w:rsidR="00205C8E" w:rsidRPr="007E5098">
        <w:rPr>
          <w:color w:val="000000"/>
          <w:shd w:val="clear" w:color="auto" w:fill="FFFFFF"/>
        </w:rPr>
        <w:t xml:space="preserve">of a regulated superannuation fund </w:t>
      </w:r>
      <w:r w:rsidRPr="007E5098">
        <w:rPr>
          <w:color w:val="000000"/>
          <w:shd w:val="clear" w:color="auto" w:fill="FFFFFF"/>
        </w:rPr>
        <w:t xml:space="preserve">from offering or refusing to supply a good or service to an employer on the condition that their employees must become members of the fund. </w:t>
      </w:r>
    </w:p>
    <w:p w14:paraId="0F7C0DA0" w14:textId="77777777" w:rsidR="00DB13D1" w:rsidRPr="007E5098" w:rsidRDefault="00DB13D1" w:rsidP="00DB13D1">
      <w:pPr>
        <w:rPr>
          <w:szCs w:val="23"/>
        </w:rPr>
      </w:pPr>
      <w:r w:rsidRPr="007E5098">
        <w:rPr>
          <w:szCs w:val="23"/>
        </w:rPr>
        <w:t xml:space="preserve">Regulation 13.18A of the SIS Regulations </w:t>
      </w:r>
      <w:r w:rsidRPr="007E5098">
        <w:rPr>
          <w:color w:val="000000"/>
          <w:shd w:val="clear" w:color="auto" w:fill="FFFFFF"/>
        </w:rPr>
        <w:t>prescribes exemptions from section 68A</w:t>
      </w:r>
      <w:r w:rsidR="00205C8E" w:rsidRPr="007E5098">
        <w:rPr>
          <w:color w:val="000000"/>
          <w:shd w:val="clear" w:color="auto" w:fill="FFFFFF"/>
        </w:rPr>
        <w:t>, including</w:t>
      </w:r>
      <w:r w:rsidRPr="007E5098">
        <w:rPr>
          <w:color w:val="000000"/>
          <w:shd w:val="clear" w:color="auto" w:fill="FFFFFF"/>
        </w:rPr>
        <w:t xml:space="preserve"> </w:t>
      </w:r>
      <w:r w:rsidR="00205C8E" w:rsidRPr="007E5098">
        <w:rPr>
          <w:color w:val="000000"/>
          <w:shd w:val="clear" w:color="auto" w:fill="FFFFFF"/>
        </w:rPr>
        <w:t xml:space="preserve">paragraph </w:t>
      </w:r>
      <w:r w:rsidRPr="007E5098">
        <w:rPr>
          <w:szCs w:val="23"/>
        </w:rPr>
        <w:t xml:space="preserve">13.18A(1)(d) </w:t>
      </w:r>
      <w:r w:rsidR="00205C8E" w:rsidRPr="007E5098">
        <w:rPr>
          <w:szCs w:val="23"/>
        </w:rPr>
        <w:t>that</w:t>
      </w:r>
      <w:r w:rsidRPr="007E5098">
        <w:rPr>
          <w:szCs w:val="23"/>
        </w:rPr>
        <w:t xml:space="preserve"> allows a trustee, or associate of the trustee to supply a good or service to an employer. However, the supply or offer must be available to all of the employer’s employees who are members of the fund and the terms of the supply or offer to each employee must be no less than the terms offered to the employer. </w:t>
      </w:r>
    </w:p>
    <w:p w14:paraId="25236D32" w14:textId="0B6E9471" w:rsidR="00DB13D1" w:rsidRPr="007E5098" w:rsidRDefault="00DB13D1" w:rsidP="00DB13D1">
      <w:pPr>
        <w:rPr>
          <w:color w:val="000000"/>
          <w:shd w:val="clear" w:color="auto" w:fill="FFFFFF"/>
        </w:rPr>
      </w:pPr>
      <w:r w:rsidRPr="007E5098">
        <w:rPr>
          <w:color w:val="000000"/>
          <w:shd w:val="clear" w:color="auto" w:fill="FFFFFF"/>
        </w:rPr>
        <w:t>These rules in section 68A of the </w:t>
      </w:r>
      <w:r w:rsidR="00381E6D" w:rsidRPr="007E5098">
        <w:rPr>
          <w:iCs/>
          <w:color w:val="000000"/>
          <w:shd w:val="clear" w:color="auto" w:fill="FFFFFF"/>
        </w:rPr>
        <w:t>Act</w:t>
      </w:r>
      <w:r w:rsidRPr="007E5098">
        <w:rPr>
          <w:i/>
          <w:iCs/>
          <w:color w:val="000000"/>
          <w:shd w:val="clear" w:color="auto" w:fill="FFFFFF"/>
        </w:rPr>
        <w:t> </w:t>
      </w:r>
      <w:r w:rsidRPr="007E5098">
        <w:rPr>
          <w:color w:val="000000"/>
          <w:shd w:val="clear" w:color="auto" w:fill="FFFFFF"/>
        </w:rPr>
        <w:t>were strengthened through Schedule 9 of the</w:t>
      </w:r>
      <w:r w:rsidR="00381E6D" w:rsidRPr="007E5098">
        <w:rPr>
          <w:color w:val="000000"/>
          <w:shd w:val="clear" w:color="auto" w:fill="FFFFFF"/>
        </w:rPr>
        <w:t xml:space="preserve"> Amending</w:t>
      </w:r>
      <w:r w:rsidRPr="007E5098">
        <w:rPr>
          <w:szCs w:val="23"/>
        </w:rPr>
        <w:t> Act</w:t>
      </w:r>
      <w:r w:rsidRPr="007E5098">
        <w:rPr>
          <w:iCs/>
          <w:color w:val="000000"/>
          <w:shd w:val="clear" w:color="auto" w:fill="FFFFFF"/>
        </w:rPr>
        <w:t>. The amendments</w:t>
      </w:r>
      <w:r w:rsidRPr="007E5098">
        <w:rPr>
          <w:color w:val="000000"/>
          <w:shd w:val="clear" w:color="auto" w:fill="FFFFFF"/>
        </w:rPr>
        <w:t xml:space="preserve"> replaced the previous prohibition on actual conditions on becoming a member with a lower standard about an offer being ‘reasonably expected to influence’ an employer’s choice to nominate the superannuation fund as the default </w:t>
      </w:r>
      <w:r w:rsidR="005F2194" w:rsidRPr="007E5098">
        <w:rPr>
          <w:color w:val="000000"/>
          <w:shd w:val="clear" w:color="auto" w:fill="FFFFFF"/>
        </w:rPr>
        <w:t>fund or</w:t>
      </w:r>
      <w:r w:rsidRPr="007E5098">
        <w:rPr>
          <w:color w:val="000000"/>
          <w:shd w:val="clear" w:color="auto" w:fill="FFFFFF"/>
        </w:rPr>
        <w:t xml:space="preserve"> encourage their employees to nominate the fund as their choice of fund.</w:t>
      </w:r>
    </w:p>
    <w:p w14:paraId="5B20E83C" w14:textId="710FED5D" w:rsidR="00DB13D1" w:rsidRPr="007E5098" w:rsidRDefault="00DB13D1" w:rsidP="00DB13D1">
      <w:pPr>
        <w:rPr>
          <w:szCs w:val="23"/>
        </w:rPr>
      </w:pPr>
      <w:r w:rsidRPr="007E5098">
        <w:rPr>
          <w:szCs w:val="23"/>
        </w:rPr>
        <w:t xml:space="preserve">Item 2 of Schedule </w:t>
      </w:r>
      <w:r w:rsidR="00532320" w:rsidRPr="007E5098">
        <w:rPr>
          <w:szCs w:val="23"/>
        </w:rPr>
        <w:t>2</w:t>
      </w:r>
      <w:r w:rsidRPr="007E5098">
        <w:rPr>
          <w:szCs w:val="23"/>
        </w:rPr>
        <w:t xml:space="preserve"> repeals paragraph 13.18A(1)(d), as it is not considered appropriate in the context of the new rules. The exception </w:t>
      </w:r>
      <w:proofErr w:type="gramStart"/>
      <w:r w:rsidRPr="007E5098">
        <w:rPr>
          <w:szCs w:val="23"/>
        </w:rPr>
        <w:t>was based on the assumption</w:t>
      </w:r>
      <w:proofErr w:type="gramEnd"/>
      <w:r w:rsidRPr="007E5098">
        <w:rPr>
          <w:szCs w:val="23"/>
        </w:rPr>
        <w:t xml:space="preserve"> that there are no issues with an employer receiving a supply if it is equally available to their employees who are members of the fund. </w:t>
      </w:r>
    </w:p>
    <w:p w14:paraId="187A342B" w14:textId="07D20642" w:rsidR="00DB13D1" w:rsidRPr="007E5098" w:rsidRDefault="00DB13D1" w:rsidP="00DB13D1">
      <w:pPr>
        <w:rPr>
          <w:szCs w:val="23"/>
        </w:rPr>
      </w:pPr>
      <w:r w:rsidRPr="007E5098">
        <w:rPr>
          <w:szCs w:val="23"/>
        </w:rPr>
        <w:t xml:space="preserve">The amendments </w:t>
      </w:r>
      <w:r w:rsidR="005F2194" w:rsidRPr="007E5098">
        <w:rPr>
          <w:szCs w:val="23"/>
        </w:rPr>
        <w:t>lower</w:t>
      </w:r>
      <w:r w:rsidRPr="007E5098">
        <w:rPr>
          <w:szCs w:val="23"/>
        </w:rPr>
        <w:t xml:space="preserve"> the threshold from an actual condition for employees to become fund members, to a likelihood of a supply influencing an employer </w:t>
      </w:r>
      <w:r w:rsidRPr="007E5098">
        <w:t>to select their fund as a default fund for their employees</w:t>
      </w:r>
      <w:r w:rsidR="00205C8E" w:rsidRPr="007E5098">
        <w:t>. This made</w:t>
      </w:r>
      <w:r w:rsidRPr="007E5098">
        <w:t xml:space="preserve"> th</w:t>
      </w:r>
      <w:r w:rsidR="00205C8E" w:rsidRPr="007E5098">
        <w:t>e</w:t>
      </w:r>
      <w:r w:rsidRPr="007E5098">
        <w:t xml:space="preserve"> exemption</w:t>
      </w:r>
      <w:r w:rsidR="00205C8E" w:rsidRPr="007E5098">
        <w:t xml:space="preserve"> in paragraph 13.18A(1)(d)</w:t>
      </w:r>
      <w:r w:rsidRPr="007E5098">
        <w:t xml:space="preserve"> in</w:t>
      </w:r>
      <w:r w:rsidRPr="007E5098">
        <w:rPr>
          <w:szCs w:val="23"/>
        </w:rPr>
        <w:t xml:space="preserve">appropriate. </w:t>
      </w:r>
    </w:p>
    <w:p w14:paraId="23301E74" w14:textId="1D11A2B9" w:rsidR="00DB13D1" w:rsidRPr="007E5098" w:rsidRDefault="00DB13D1" w:rsidP="00DB13D1">
      <w:pPr>
        <w:rPr>
          <w:color w:val="000000"/>
          <w:shd w:val="clear" w:color="auto" w:fill="FFFFFF"/>
        </w:rPr>
      </w:pPr>
      <w:r w:rsidRPr="007E5098">
        <w:rPr>
          <w:color w:val="000000"/>
          <w:shd w:val="clear" w:color="auto" w:fill="FFFFFF"/>
        </w:rPr>
        <w:t xml:space="preserve">For example, a fund may provide discounted computers or offer </w:t>
      </w:r>
      <w:r w:rsidR="005F2194" w:rsidRPr="007E5098">
        <w:rPr>
          <w:color w:val="000000"/>
          <w:shd w:val="clear" w:color="auto" w:fill="FFFFFF"/>
        </w:rPr>
        <w:t>low-cost</w:t>
      </w:r>
      <w:r w:rsidRPr="007E5098">
        <w:rPr>
          <w:color w:val="000000"/>
          <w:shd w:val="clear" w:color="auto" w:fill="FFFFFF"/>
        </w:rPr>
        <w:t xml:space="preserve"> insurance to an employer with an intent of influencing an employer’s decision to nominate the fund as a default fund for employees. This is not relevant to the fact that these benefits are also extended to employees who are member of the superannuation fund. The Regulations remove the exemption and disallow the ability of a trustee</w:t>
      </w:r>
      <w:r w:rsidR="00725D68" w:rsidRPr="007E5098">
        <w:rPr>
          <w:color w:val="000000"/>
          <w:shd w:val="clear" w:color="auto" w:fill="FFFFFF"/>
        </w:rPr>
        <w:t xml:space="preserve">, or associate of a trustee, </w:t>
      </w:r>
      <w:r w:rsidRPr="007E5098">
        <w:rPr>
          <w:color w:val="000000"/>
          <w:shd w:val="clear" w:color="auto" w:fill="FFFFFF"/>
        </w:rPr>
        <w:t xml:space="preserve">to influence an employer </w:t>
      </w:r>
      <w:proofErr w:type="gramStart"/>
      <w:r w:rsidRPr="007E5098">
        <w:rPr>
          <w:color w:val="000000"/>
          <w:shd w:val="clear" w:color="auto" w:fill="FFFFFF"/>
        </w:rPr>
        <w:t>through the use of</w:t>
      </w:r>
      <w:proofErr w:type="gramEnd"/>
      <w:r w:rsidRPr="007E5098">
        <w:rPr>
          <w:color w:val="000000"/>
          <w:shd w:val="clear" w:color="auto" w:fill="FFFFFF"/>
        </w:rPr>
        <w:t xml:space="preserve"> goods and services.</w:t>
      </w:r>
    </w:p>
    <w:p w14:paraId="4381F89B" w14:textId="6B55A5B5" w:rsidR="00B21475" w:rsidRPr="007E5098" w:rsidRDefault="00DB13D1" w:rsidP="003616D3">
      <w:pPr>
        <w:rPr>
          <w:color w:val="000000"/>
          <w:shd w:val="clear" w:color="auto" w:fill="FFFFFF"/>
        </w:rPr>
      </w:pPr>
      <w:r w:rsidRPr="007E5098">
        <w:rPr>
          <w:color w:val="000000"/>
          <w:shd w:val="clear" w:color="auto" w:fill="FFFFFF"/>
        </w:rPr>
        <w:lastRenderedPageBreak/>
        <w:t xml:space="preserve">Item 3 of Schedule </w:t>
      </w:r>
      <w:r w:rsidR="00532320" w:rsidRPr="007E5098">
        <w:rPr>
          <w:color w:val="000000"/>
          <w:shd w:val="clear" w:color="auto" w:fill="FFFFFF"/>
        </w:rPr>
        <w:t>2</w:t>
      </w:r>
      <w:r w:rsidRPr="007E5098">
        <w:rPr>
          <w:color w:val="000000"/>
          <w:shd w:val="clear" w:color="auto" w:fill="FFFFFF"/>
        </w:rPr>
        <w:t xml:space="preserve"> prescribes that the amendments made by this Schedule apply in relation to the provision of goods or services, or the refusal to provide goods or services</w:t>
      </w:r>
      <w:r w:rsidR="00177DE7" w:rsidRPr="007E5098">
        <w:rPr>
          <w:color w:val="000000"/>
          <w:shd w:val="clear" w:color="auto" w:fill="FFFFFF"/>
        </w:rPr>
        <w:t>,</w:t>
      </w:r>
      <w:r w:rsidRPr="007E5098">
        <w:rPr>
          <w:color w:val="000000"/>
          <w:shd w:val="clear" w:color="auto" w:fill="FFFFFF"/>
        </w:rPr>
        <w:t xml:space="preserve"> that occur on or after the commencement of the Regulatio</w:t>
      </w:r>
      <w:r w:rsidR="003616D3" w:rsidRPr="007E5098">
        <w:rPr>
          <w:color w:val="000000"/>
          <w:shd w:val="clear" w:color="auto" w:fill="FFFFFF"/>
        </w:rPr>
        <w:t xml:space="preserve">ns. </w:t>
      </w:r>
    </w:p>
    <w:bookmarkEnd w:id="1"/>
    <w:p w14:paraId="24BFCDCA" w14:textId="6D467E38" w:rsidR="00C47C56" w:rsidRPr="007E5098" w:rsidRDefault="00C47C56" w:rsidP="003616D3">
      <w:pPr>
        <w:rPr>
          <w:color w:val="000000"/>
          <w:shd w:val="clear" w:color="auto" w:fill="FFFFFF"/>
        </w:rPr>
      </w:pPr>
    </w:p>
    <w:p w14:paraId="75B3EECE" w14:textId="77777777" w:rsidR="003F15F4" w:rsidRPr="007E5098" w:rsidRDefault="003F15F4">
      <w:pPr>
        <w:spacing w:before="0" w:after="0"/>
        <w:rPr>
          <w:b/>
          <w:bCs/>
          <w:color w:val="000000"/>
          <w:u w:val="single"/>
        </w:rPr>
      </w:pPr>
      <w:r w:rsidRPr="007E5098">
        <w:rPr>
          <w:b/>
          <w:bCs/>
          <w:color w:val="000000"/>
          <w:u w:val="single"/>
        </w:rPr>
        <w:br w:type="page"/>
      </w:r>
    </w:p>
    <w:p w14:paraId="24F203E9" w14:textId="2F30943F" w:rsidR="00FF3C9E" w:rsidRPr="007E5098" w:rsidRDefault="00FF3C9E" w:rsidP="00FF3C9E">
      <w:pPr>
        <w:shd w:val="clear" w:color="auto" w:fill="FFFFFF"/>
        <w:spacing w:before="240"/>
        <w:jc w:val="right"/>
        <w:rPr>
          <w:color w:val="000000"/>
        </w:rPr>
      </w:pPr>
      <w:r w:rsidRPr="007E5098">
        <w:rPr>
          <w:b/>
          <w:bCs/>
          <w:color w:val="000000"/>
          <w:u w:val="single"/>
        </w:rPr>
        <w:lastRenderedPageBreak/>
        <w:t>ATTACHMENT B</w:t>
      </w:r>
    </w:p>
    <w:p w14:paraId="738CCF0B" w14:textId="77777777" w:rsidR="00FF3C9E" w:rsidRPr="007E5098" w:rsidRDefault="00FF3C9E" w:rsidP="00FF3C9E">
      <w:pPr>
        <w:pStyle w:val="Heading3"/>
        <w:shd w:val="clear" w:color="auto" w:fill="FFFFFF"/>
        <w:spacing w:line="264" w:lineRule="atLeast"/>
        <w:rPr>
          <w:color w:val="000000"/>
          <w:szCs w:val="24"/>
        </w:rPr>
      </w:pPr>
      <w:r w:rsidRPr="007E5098">
        <w:rPr>
          <w:color w:val="000000"/>
          <w:szCs w:val="24"/>
        </w:rPr>
        <w:t>Statement of Compatibility with Human Rights</w:t>
      </w:r>
    </w:p>
    <w:p w14:paraId="7BEFCB2F" w14:textId="77777777" w:rsidR="00FF3C9E" w:rsidRPr="007E5098" w:rsidRDefault="00FF3C9E" w:rsidP="00FF3C9E">
      <w:pPr>
        <w:shd w:val="clear" w:color="auto" w:fill="FFFFFF"/>
        <w:spacing w:before="240"/>
        <w:jc w:val="center"/>
        <w:rPr>
          <w:color w:val="000000"/>
          <w:szCs w:val="24"/>
        </w:rPr>
      </w:pPr>
      <w:r w:rsidRPr="007E5098">
        <w:rPr>
          <w:i/>
          <w:iCs/>
          <w:color w:val="000000"/>
        </w:rPr>
        <w:t>Prepared in accordance with Part 3 of the Human Rights (Parliamentary Scrutiny) Act 2011</w:t>
      </w:r>
    </w:p>
    <w:p w14:paraId="0D492AE1" w14:textId="77777777" w:rsidR="00471EB3" w:rsidRPr="007E5098" w:rsidRDefault="00471EB3" w:rsidP="00471EB3">
      <w:pPr>
        <w:shd w:val="clear" w:color="auto" w:fill="FFFFFF"/>
        <w:spacing w:before="240"/>
        <w:jc w:val="center"/>
        <w:rPr>
          <w:b/>
          <w:bCs/>
          <w:i/>
        </w:rPr>
      </w:pPr>
      <w:r w:rsidRPr="007E5098">
        <w:rPr>
          <w:b/>
          <w:bCs/>
          <w:i/>
        </w:rPr>
        <w:t>Superannuation Industry (Supervision) Amendment (Your Future, Your Super—Improving Accountability and Member Outcomes) Regulations 2021</w:t>
      </w:r>
    </w:p>
    <w:p w14:paraId="371E6370" w14:textId="3D916129" w:rsidR="00FF3C9E" w:rsidRPr="007E5098" w:rsidRDefault="00FF3C9E" w:rsidP="00FF3C9E">
      <w:pPr>
        <w:shd w:val="clear" w:color="auto" w:fill="FFFFFF"/>
        <w:spacing w:before="240"/>
        <w:rPr>
          <w:color w:val="000000"/>
          <w:szCs w:val="24"/>
        </w:rPr>
      </w:pPr>
      <w:r w:rsidRPr="007E5098">
        <w:rPr>
          <w:color w:val="000000"/>
        </w:rPr>
        <w:t>This Legislative Instrument is compatible with the human rights and freedoms recognised or declared in the international instruments listed in section 3 of the </w:t>
      </w:r>
      <w:r w:rsidRPr="007E5098">
        <w:rPr>
          <w:i/>
          <w:iCs/>
          <w:color w:val="000000"/>
        </w:rPr>
        <w:t>Human Rights (Parliamentary Scrutiny) Act 2011</w:t>
      </w:r>
      <w:r w:rsidRPr="007E5098">
        <w:rPr>
          <w:color w:val="000000"/>
        </w:rPr>
        <w:t>.</w:t>
      </w:r>
    </w:p>
    <w:p w14:paraId="23D99B8D" w14:textId="77777777" w:rsidR="00FF3C9E" w:rsidRPr="007E5098" w:rsidRDefault="00FF3C9E" w:rsidP="00FF3C9E">
      <w:pPr>
        <w:pStyle w:val="Heading3"/>
        <w:shd w:val="clear" w:color="auto" w:fill="FFFFFF"/>
        <w:spacing w:line="264" w:lineRule="atLeast"/>
        <w:rPr>
          <w:color w:val="000000"/>
          <w:szCs w:val="24"/>
        </w:rPr>
      </w:pPr>
      <w:r w:rsidRPr="007E5098">
        <w:rPr>
          <w:color w:val="000000"/>
          <w:szCs w:val="24"/>
        </w:rPr>
        <w:t>Overview of the Legislative Instrument</w:t>
      </w:r>
    </w:p>
    <w:p w14:paraId="6E313E38" w14:textId="641916C7" w:rsidR="00FF3C9E" w:rsidRPr="007E5098" w:rsidRDefault="00FF3C9E" w:rsidP="0043582D">
      <w:pPr>
        <w:spacing w:before="240"/>
        <w:ind w:right="91"/>
      </w:pPr>
      <w:r w:rsidRPr="007E5098">
        <w:rPr>
          <w:color w:val="000000"/>
        </w:rPr>
        <w:t xml:space="preserve">The Legislative Instrument </w:t>
      </w:r>
      <w:r w:rsidR="00AB2D4C" w:rsidRPr="007E5098">
        <w:rPr>
          <w:color w:val="000000"/>
        </w:rPr>
        <w:t xml:space="preserve">supports the amendments made by the </w:t>
      </w:r>
      <w:r w:rsidR="00AB2D4C" w:rsidRPr="007E5098">
        <w:rPr>
          <w:i/>
          <w:szCs w:val="23"/>
        </w:rPr>
        <w:t>Treasury Laws Amendment (Improving Accountability and Member Outcomes in Superannuation Measures No. 1) Act 2019</w:t>
      </w:r>
      <w:r w:rsidR="00834182" w:rsidRPr="007E5098">
        <w:rPr>
          <w:i/>
          <w:szCs w:val="23"/>
        </w:rPr>
        <w:t xml:space="preserve"> </w:t>
      </w:r>
      <w:r w:rsidR="00834182" w:rsidRPr="007E5098">
        <w:t xml:space="preserve">by amending the </w:t>
      </w:r>
      <w:r w:rsidR="00834182" w:rsidRPr="007E5098">
        <w:rPr>
          <w:i/>
        </w:rPr>
        <w:t xml:space="preserve">Superannuation Industry (Supervision) Regulations 1994 </w:t>
      </w:r>
      <w:r w:rsidR="00834182" w:rsidRPr="007E5098">
        <w:t>to prescribe the information that must be included with the notice of an annual members’ meeting</w:t>
      </w:r>
      <w:r w:rsidR="002E0E4B" w:rsidRPr="007E5098">
        <w:t xml:space="preserve"> and </w:t>
      </w:r>
      <w:r w:rsidR="0043582D" w:rsidRPr="007E5098">
        <w:t xml:space="preserve">to </w:t>
      </w:r>
      <w:r w:rsidR="002E0E4B" w:rsidRPr="007E5098">
        <w:rPr>
          <w:szCs w:val="23"/>
        </w:rPr>
        <w:t xml:space="preserve">remove an exception to the revised prohibition </w:t>
      </w:r>
      <w:r w:rsidR="00F50787" w:rsidRPr="007E5098">
        <w:rPr>
          <w:szCs w:val="23"/>
        </w:rPr>
        <w:t xml:space="preserve">upon using goods or services to influence </w:t>
      </w:r>
      <w:r w:rsidR="002E0E4B" w:rsidRPr="007E5098">
        <w:t>employers</w:t>
      </w:r>
      <w:r w:rsidR="002E0E4B" w:rsidRPr="007E5098">
        <w:rPr>
          <w:szCs w:val="23"/>
        </w:rPr>
        <w:t>.</w:t>
      </w:r>
    </w:p>
    <w:p w14:paraId="722CEDEA" w14:textId="77777777" w:rsidR="00FF3C9E" w:rsidRPr="007E5098" w:rsidRDefault="00FF3C9E" w:rsidP="00FF3C9E">
      <w:pPr>
        <w:pStyle w:val="Heading3"/>
        <w:shd w:val="clear" w:color="auto" w:fill="FFFFFF"/>
        <w:spacing w:line="264" w:lineRule="atLeast"/>
        <w:rPr>
          <w:color w:val="000000"/>
          <w:szCs w:val="24"/>
        </w:rPr>
      </w:pPr>
      <w:r w:rsidRPr="007E5098">
        <w:rPr>
          <w:color w:val="000000"/>
          <w:szCs w:val="24"/>
        </w:rPr>
        <w:t>Human rights implications</w:t>
      </w:r>
    </w:p>
    <w:p w14:paraId="725F9C95" w14:textId="149BB153" w:rsidR="00E70A39" w:rsidRPr="007E5098" w:rsidRDefault="00AE0D27" w:rsidP="00FF3C9E">
      <w:pPr>
        <w:pStyle w:val="Heading3"/>
        <w:shd w:val="clear" w:color="auto" w:fill="FFFFFF"/>
        <w:spacing w:line="264" w:lineRule="atLeast"/>
        <w:rPr>
          <w:b w:val="0"/>
          <w:bCs/>
          <w:color w:val="000000"/>
          <w:szCs w:val="24"/>
        </w:rPr>
      </w:pPr>
      <w:r w:rsidRPr="007E5098">
        <w:rPr>
          <w:b w:val="0"/>
          <w:bCs/>
          <w:color w:val="000000"/>
          <w:szCs w:val="24"/>
        </w:rPr>
        <w:t xml:space="preserve">This Legislative Instrument does not </w:t>
      </w:r>
      <w:r w:rsidR="005F2194" w:rsidRPr="007E5098">
        <w:rPr>
          <w:b w:val="0"/>
          <w:bCs/>
          <w:color w:val="000000"/>
          <w:szCs w:val="24"/>
        </w:rPr>
        <w:t>engage</w:t>
      </w:r>
      <w:r w:rsidRPr="007E5098">
        <w:rPr>
          <w:b w:val="0"/>
          <w:bCs/>
          <w:color w:val="000000"/>
          <w:szCs w:val="24"/>
        </w:rPr>
        <w:t xml:space="preserve"> any of the applicable rights or freedoms. </w:t>
      </w:r>
    </w:p>
    <w:p w14:paraId="396A647E" w14:textId="0D182567" w:rsidR="00FF3C9E" w:rsidRPr="007E5098" w:rsidRDefault="00FF3C9E" w:rsidP="00FF3C9E">
      <w:pPr>
        <w:pStyle w:val="Heading3"/>
        <w:shd w:val="clear" w:color="auto" w:fill="FFFFFF"/>
        <w:spacing w:line="264" w:lineRule="atLeast"/>
        <w:rPr>
          <w:color w:val="000000"/>
          <w:szCs w:val="24"/>
        </w:rPr>
      </w:pPr>
      <w:r w:rsidRPr="007E5098">
        <w:rPr>
          <w:color w:val="000000"/>
          <w:szCs w:val="24"/>
        </w:rPr>
        <w:t>Conclusion</w:t>
      </w:r>
    </w:p>
    <w:p w14:paraId="2DC3C7C5" w14:textId="69F5A8D2" w:rsidR="00C47C56" w:rsidRPr="007E5098" w:rsidRDefault="00FF3C9E" w:rsidP="007E5098">
      <w:pPr>
        <w:shd w:val="clear" w:color="auto" w:fill="FFFFFF"/>
        <w:spacing w:before="240"/>
        <w:rPr>
          <w:color w:val="000000"/>
          <w:szCs w:val="24"/>
        </w:rPr>
      </w:pPr>
      <w:r w:rsidRPr="007E5098">
        <w:rPr>
          <w:color w:val="000000"/>
        </w:rPr>
        <w:t>This Legislative Instrument is compatible with human rights as it does not raise any human rights issues.</w:t>
      </w:r>
    </w:p>
    <w:sectPr w:rsidR="00C47C56" w:rsidRPr="007E5098" w:rsidSect="003616D3">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06E96" w14:textId="77777777" w:rsidR="00EB70AB" w:rsidRDefault="00EB70AB" w:rsidP="00954679">
      <w:pPr>
        <w:spacing w:before="0" w:after="0"/>
      </w:pPr>
      <w:r>
        <w:separator/>
      </w:r>
    </w:p>
  </w:endnote>
  <w:endnote w:type="continuationSeparator" w:id="0">
    <w:p w14:paraId="6C545D14" w14:textId="77777777" w:rsidR="00EB70AB" w:rsidRDefault="00EB70AB" w:rsidP="00954679">
      <w:pPr>
        <w:spacing w:before="0" w:after="0"/>
      </w:pPr>
      <w:r>
        <w:continuationSeparator/>
      </w:r>
    </w:p>
  </w:endnote>
  <w:endnote w:type="continuationNotice" w:id="1">
    <w:p w14:paraId="0863E424" w14:textId="77777777" w:rsidR="00EB70AB" w:rsidRDefault="00EB70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25D1826" w14:textId="19FD6CED" w:rsidR="00EB70AB" w:rsidRDefault="00EB70AB"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991A8" w14:textId="77777777" w:rsidR="00EB70AB" w:rsidRDefault="00EB70AB" w:rsidP="00954679">
      <w:pPr>
        <w:spacing w:before="0" w:after="0"/>
      </w:pPr>
      <w:r>
        <w:separator/>
      </w:r>
    </w:p>
  </w:footnote>
  <w:footnote w:type="continuationSeparator" w:id="0">
    <w:p w14:paraId="0E959148" w14:textId="77777777" w:rsidR="00EB70AB" w:rsidRDefault="00EB70AB" w:rsidP="00954679">
      <w:pPr>
        <w:spacing w:before="0" w:after="0"/>
      </w:pPr>
      <w:r>
        <w:continuationSeparator/>
      </w:r>
    </w:p>
  </w:footnote>
  <w:footnote w:type="continuationNotice" w:id="1">
    <w:p w14:paraId="0040FD4D" w14:textId="77777777" w:rsidR="00EB70AB" w:rsidRDefault="00EB70AB">
      <w:pPr>
        <w:spacing w:before="0" w:after="0"/>
      </w:pPr>
    </w:p>
  </w:footnote>
  <w:footnote w:id="2">
    <w:p w14:paraId="264A55EA" w14:textId="07673A44" w:rsidR="007E70A5" w:rsidRDefault="007E70A5">
      <w:pPr>
        <w:pStyle w:val="FootnoteText"/>
      </w:pPr>
      <w:r>
        <w:rPr>
          <w:rStyle w:val="FootnoteReference"/>
        </w:rPr>
        <w:footnoteRef/>
      </w:r>
      <w:r>
        <w:t xml:space="preserve"> Available at </w:t>
      </w:r>
      <w:hyperlink r:id="rId1" w:history="1">
        <w:r w:rsidRPr="007E70A5">
          <w:rPr>
            <w:rStyle w:val="Hyperlink"/>
            <w:color w:val="auto"/>
          </w:rPr>
          <w:t>https://parlinfo.aph.gov.au/parlInfo/download/legislation/ems/s1089_ems_a4005a44-80b2-4de5-af80-d849a5013fd2/upload_pdf/699630.pdf;fileType=application%2Fpdf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955F3A"/>
    <w:multiLevelType w:val="hybridMultilevel"/>
    <w:tmpl w:val="F1E68396"/>
    <w:lvl w:ilvl="0" w:tplc="7DF00764">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211BD9"/>
    <w:multiLevelType w:val="hybridMultilevel"/>
    <w:tmpl w:val="65CE1E80"/>
    <w:lvl w:ilvl="0" w:tplc="FBE2924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3C824F4"/>
    <w:multiLevelType w:val="hybridMultilevel"/>
    <w:tmpl w:val="183AD2DE"/>
    <w:lvl w:ilvl="0" w:tplc="C810816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4DC66D4F"/>
    <w:multiLevelType w:val="hybridMultilevel"/>
    <w:tmpl w:val="19DE9E18"/>
    <w:lvl w:ilvl="0" w:tplc="74DA648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B874F8"/>
    <w:multiLevelType w:val="hybridMultilevel"/>
    <w:tmpl w:val="8B9C6238"/>
    <w:lvl w:ilvl="0" w:tplc="E7B4919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E467882"/>
    <w:multiLevelType w:val="hybridMultilevel"/>
    <w:tmpl w:val="8CD6844C"/>
    <w:lvl w:ilvl="0" w:tplc="37E4852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A43C0B"/>
    <w:multiLevelType w:val="multilevel"/>
    <w:tmpl w:val="EB2C91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976C38"/>
    <w:multiLevelType w:val="hybridMultilevel"/>
    <w:tmpl w:val="973E89A2"/>
    <w:lvl w:ilvl="0" w:tplc="CF8248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B16110"/>
    <w:multiLevelType w:val="multilevel"/>
    <w:tmpl w:val="EA32FE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0"/>
  </w:num>
  <w:num w:numId="4">
    <w:abstractNumId w:val="9"/>
  </w:num>
  <w:num w:numId="5">
    <w:abstractNumId w:val="4"/>
  </w:num>
  <w:num w:numId="6">
    <w:abstractNumId w:val="6"/>
  </w:num>
  <w:num w:numId="7">
    <w:abstractNumId w:val="7"/>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62"/>
    <w:rsid w:val="00005D8D"/>
    <w:rsid w:val="000130BD"/>
    <w:rsid w:val="00013390"/>
    <w:rsid w:val="00016EA2"/>
    <w:rsid w:val="000374CB"/>
    <w:rsid w:val="00046A4E"/>
    <w:rsid w:val="00046D20"/>
    <w:rsid w:val="00046F98"/>
    <w:rsid w:val="00047C17"/>
    <w:rsid w:val="000565E0"/>
    <w:rsid w:val="00060642"/>
    <w:rsid w:val="00061277"/>
    <w:rsid w:val="00070A0E"/>
    <w:rsid w:val="00073A5C"/>
    <w:rsid w:val="00076178"/>
    <w:rsid w:val="00077DE2"/>
    <w:rsid w:val="00085660"/>
    <w:rsid w:val="00095211"/>
    <w:rsid w:val="000B0ADE"/>
    <w:rsid w:val="000B39A1"/>
    <w:rsid w:val="000C10DF"/>
    <w:rsid w:val="000C1DD5"/>
    <w:rsid w:val="000C533D"/>
    <w:rsid w:val="000C6935"/>
    <w:rsid w:val="000C79FB"/>
    <w:rsid w:val="000D21D5"/>
    <w:rsid w:val="000D261B"/>
    <w:rsid w:val="000E32E3"/>
    <w:rsid w:val="000F7D6F"/>
    <w:rsid w:val="00100971"/>
    <w:rsid w:val="0010354D"/>
    <w:rsid w:val="001038E2"/>
    <w:rsid w:val="00113B45"/>
    <w:rsid w:val="00120F36"/>
    <w:rsid w:val="00123237"/>
    <w:rsid w:val="0012682D"/>
    <w:rsid w:val="001326F0"/>
    <w:rsid w:val="001368A6"/>
    <w:rsid w:val="00136A2E"/>
    <w:rsid w:val="001376AD"/>
    <w:rsid w:val="001521F1"/>
    <w:rsid w:val="0015256A"/>
    <w:rsid w:val="0015371E"/>
    <w:rsid w:val="001629E2"/>
    <w:rsid w:val="00165EBF"/>
    <w:rsid w:val="00167405"/>
    <w:rsid w:val="00174840"/>
    <w:rsid w:val="00176394"/>
    <w:rsid w:val="00177DE7"/>
    <w:rsid w:val="0019170E"/>
    <w:rsid w:val="00193045"/>
    <w:rsid w:val="00195710"/>
    <w:rsid w:val="0019575E"/>
    <w:rsid w:val="00196DFD"/>
    <w:rsid w:val="001A0F2B"/>
    <w:rsid w:val="001A1299"/>
    <w:rsid w:val="001A15BB"/>
    <w:rsid w:val="001B5171"/>
    <w:rsid w:val="001B7535"/>
    <w:rsid w:val="001C0F15"/>
    <w:rsid w:val="001C2C22"/>
    <w:rsid w:val="001C460F"/>
    <w:rsid w:val="001D4AA6"/>
    <w:rsid w:val="001E6A74"/>
    <w:rsid w:val="001F3ED3"/>
    <w:rsid w:val="001F41D0"/>
    <w:rsid w:val="001F5306"/>
    <w:rsid w:val="002006F0"/>
    <w:rsid w:val="00202A34"/>
    <w:rsid w:val="00202BCF"/>
    <w:rsid w:val="00205C8E"/>
    <w:rsid w:val="00207355"/>
    <w:rsid w:val="00210AA1"/>
    <w:rsid w:val="002129E4"/>
    <w:rsid w:val="00213121"/>
    <w:rsid w:val="0021448B"/>
    <w:rsid w:val="00220F16"/>
    <w:rsid w:val="00234C79"/>
    <w:rsid w:val="00242E04"/>
    <w:rsid w:val="002506B3"/>
    <w:rsid w:val="00254A6C"/>
    <w:rsid w:val="00254C5B"/>
    <w:rsid w:val="00256F4F"/>
    <w:rsid w:val="0026002C"/>
    <w:rsid w:val="00262FBC"/>
    <w:rsid w:val="0026679E"/>
    <w:rsid w:val="002711BC"/>
    <w:rsid w:val="00280950"/>
    <w:rsid w:val="00281377"/>
    <w:rsid w:val="002824B2"/>
    <w:rsid w:val="00292AE1"/>
    <w:rsid w:val="002954ED"/>
    <w:rsid w:val="0029739B"/>
    <w:rsid w:val="002A1F20"/>
    <w:rsid w:val="002A2AC1"/>
    <w:rsid w:val="002A39E3"/>
    <w:rsid w:val="002A7E1F"/>
    <w:rsid w:val="002C226C"/>
    <w:rsid w:val="002C5398"/>
    <w:rsid w:val="002E0E4B"/>
    <w:rsid w:val="002E106F"/>
    <w:rsid w:val="002E4E71"/>
    <w:rsid w:val="002F1B8B"/>
    <w:rsid w:val="002F5559"/>
    <w:rsid w:val="002F7756"/>
    <w:rsid w:val="003041FA"/>
    <w:rsid w:val="00306CB4"/>
    <w:rsid w:val="00307C39"/>
    <w:rsid w:val="00307CE6"/>
    <w:rsid w:val="0031046E"/>
    <w:rsid w:val="00313E09"/>
    <w:rsid w:val="003140CB"/>
    <w:rsid w:val="00316019"/>
    <w:rsid w:val="00320971"/>
    <w:rsid w:val="003247CC"/>
    <w:rsid w:val="00333341"/>
    <w:rsid w:val="003342CD"/>
    <w:rsid w:val="00335042"/>
    <w:rsid w:val="0035040A"/>
    <w:rsid w:val="0035195B"/>
    <w:rsid w:val="00352D71"/>
    <w:rsid w:val="00353D85"/>
    <w:rsid w:val="00355719"/>
    <w:rsid w:val="00355979"/>
    <w:rsid w:val="003575CF"/>
    <w:rsid w:val="003616D3"/>
    <w:rsid w:val="00362B70"/>
    <w:rsid w:val="0036486A"/>
    <w:rsid w:val="003656AC"/>
    <w:rsid w:val="00366562"/>
    <w:rsid w:val="00367C7A"/>
    <w:rsid w:val="00367E00"/>
    <w:rsid w:val="003736F2"/>
    <w:rsid w:val="00381E6D"/>
    <w:rsid w:val="00385B48"/>
    <w:rsid w:val="00392BBA"/>
    <w:rsid w:val="003954FD"/>
    <w:rsid w:val="00395607"/>
    <w:rsid w:val="003A1D9B"/>
    <w:rsid w:val="003A3008"/>
    <w:rsid w:val="003A44CF"/>
    <w:rsid w:val="003B0137"/>
    <w:rsid w:val="003B42F3"/>
    <w:rsid w:val="003B6634"/>
    <w:rsid w:val="003C03C5"/>
    <w:rsid w:val="003C3180"/>
    <w:rsid w:val="003C7907"/>
    <w:rsid w:val="003D60D7"/>
    <w:rsid w:val="003D7EB9"/>
    <w:rsid w:val="003E1752"/>
    <w:rsid w:val="003E1CE3"/>
    <w:rsid w:val="003E2DE3"/>
    <w:rsid w:val="003E46F2"/>
    <w:rsid w:val="003F15F4"/>
    <w:rsid w:val="003F2097"/>
    <w:rsid w:val="003F6EC5"/>
    <w:rsid w:val="00404E12"/>
    <w:rsid w:val="004114C5"/>
    <w:rsid w:val="00421F5F"/>
    <w:rsid w:val="0042205E"/>
    <w:rsid w:val="00433D0F"/>
    <w:rsid w:val="0043582D"/>
    <w:rsid w:val="00437390"/>
    <w:rsid w:val="00457BBD"/>
    <w:rsid w:val="00462095"/>
    <w:rsid w:val="00464821"/>
    <w:rsid w:val="00466B5E"/>
    <w:rsid w:val="00471CC8"/>
    <w:rsid w:val="00471EB3"/>
    <w:rsid w:val="004737E6"/>
    <w:rsid w:val="00482080"/>
    <w:rsid w:val="00482B81"/>
    <w:rsid w:val="00482D4C"/>
    <w:rsid w:val="00486284"/>
    <w:rsid w:val="00487383"/>
    <w:rsid w:val="004918A1"/>
    <w:rsid w:val="004A32ED"/>
    <w:rsid w:val="004A66EE"/>
    <w:rsid w:val="004B07B7"/>
    <w:rsid w:val="004B3C0F"/>
    <w:rsid w:val="004C05E4"/>
    <w:rsid w:val="004C2A06"/>
    <w:rsid w:val="004C52AD"/>
    <w:rsid w:val="004C6543"/>
    <w:rsid w:val="004D4CA0"/>
    <w:rsid w:val="004D5F33"/>
    <w:rsid w:val="004E01A5"/>
    <w:rsid w:val="004E39E1"/>
    <w:rsid w:val="004E616D"/>
    <w:rsid w:val="004F56D0"/>
    <w:rsid w:val="00503E44"/>
    <w:rsid w:val="00504EF2"/>
    <w:rsid w:val="005066B6"/>
    <w:rsid w:val="0051318A"/>
    <w:rsid w:val="005131BB"/>
    <w:rsid w:val="00513E0B"/>
    <w:rsid w:val="00514F92"/>
    <w:rsid w:val="00515283"/>
    <w:rsid w:val="0051588F"/>
    <w:rsid w:val="0052461A"/>
    <w:rsid w:val="005255E1"/>
    <w:rsid w:val="00527764"/>
    <w:rsid w:val="00532320"/>
    <w:rsid w:val="00533926"/>
    <w:rsid w:val="0055675D"/>
    <w:rsid w:val="005665AA"/>
    <w:rsid w:val="00566E8F"/>
    <w:rsid w:val="0057152E"/>
    <w:rsid w:val="00571B3F"/>
    <w:rsid w:val="0057422E"/>
    <w:rsid w:val="005748DC"/>
    <w:rsid w:val="00574A0B"/>
    <w:rsid w:val="00574C3E"/>
    <w:rsid w:val="00580C85"/>
    <w:rsid w:val="00582E5D"/>
    <w:rsid w:val="005833BE"/>
    <w:rsid w:val="00586175"/>
    <w:rsid w:val="00587941"/>
    <w:rsid w:val="00593398"/>
    <w:rsid w:val="005A5D80"/>
    <w:rsid w:val="005B021C"/>
    <w:rsid w:val="005B0CBD"/>
    <w:rsid w:val="005B5AD4"/>
    <w:rsid w:val="005C5B61"/>
    <w:rsid w:val="005D6421"/>
    <w:rsid w:val="005D7D5A"/>
    <w:rsid w:val="005E4110"/>
    <w:rsid w:val="005E4BAC"/>
    <w:rsid w:val="005E689B"/>
    <w:rsid w:val="005F2194"/>
    <w:rsid w:val="005F4DC6"/>
    <w:rsid w:val="006004A3"/>
    <w:rsid w:val="0060130D"/>
    <w:rsid w:val="00603E5F"/>
    <w:rsid w:val="006146F4"/>
    <w:rsid w:val="0061727D"/>
    <w:rsid w:val="006245E8"/>
    <w:rsid w:val="00625F12"/>
    <w:rsid w:val="00626DD4"/>
    <w:rsid w:val="00630CD9"/>
    <w:rsid w:val="006313EB"/>
    <w:rsid w:val="00634E82"/>
    <w:rsid w:val="0064129F"/>
    <w:rsid w:val="006445D5"/>
    <w:rsid w:val="00646DBB"/>
    <w:rsid w:val="00646FDD"/>
    <w:rsid w:val="00647BB7"/>
    <w:rsid w:val="0065371C"/>
    <w:rsid w:val="00657C39"/>
    <w:rsid w:val="00660C62"/>
    <w:rsid w:val="00662BBA"/>
    <w:rsid w:val="00680297"/>
    <w:rsid w:val="006873CE"/>
    <w:rsid w:val="00687ADC"/>
    <w:rsid w:val="00693530"/>
    <w:rsid w:val="006A0786"/>
    <w:rsid w:val="006A3262"/>
    <w:rsid w:val="006A48E0"/>
    <w:rsid w:val="006B6086"/>
    <w:rsid w:val="006B76F2"/>
    <w:rsid w:val="006C61C4"/>
    <w:rsid w:val="006C67F0"/>
    <w:rsid w:val="006D2419"/>
    <w:rsid w:val="006D2E40"/>
    <w:rsid w:val="006E0783"/>
    <w:rsid w:val="006E39A8"/>
    <w:rsid w:val="006E6179"/>
    <w:rsid w:val="00710E94"/>
    <w:rsid w:val="00722CC6"/>
    <w:rsid w:val="0072320E"/>
    <w:rsid w:val="00725D68"/>
    <w:rsid w:val="00727D8A"/>
    <w:rsid w:val="00731FEA"/>
    <w:rsid w:val="00732D8F"/>
    <w:rsid w:val="0073421C"/>
    <w:rsid w:val="00735614"/>
    <w:rsid w:val="00736F61"/>
    <w:rsid w:val="00742253"/>
    <w:rsid w:val="00742D62"/>
    <w:rsid w:val="007501A2"/>
    <w:rsid w:val="00761CD9"/>
    <w:rsid w:val="00764034"/>
    <w:rsid w:val="00765794"/>
    <w:rsid w:val="00765B0F"/>
    <w:rsid w:val="007662C7"/>
    <w:rsid w:val="00766819"/>
    <w:rsid w:val="00776306"/>
    <w:rsid w:val="00793833"/>
    <w:rsid w:val="007972ED"/>
    <w:rsid w:val="007A4CF8"/>
    <w:rsid w:val="007A55A7"/>
    <w:rsid w:val="007A786F"/>
    <w:rsid w:val="007B1F10"/>
    <w:rsid w:val="007B335E"/>
    <w:rsid w:val="007C4DDE"/>
    <w:rsid w:val="007E018D"/>
    <w:rsid w:val="007E5098"/>
    <w:rsid w:val="007E70A5"/>
    <w:rsid w:val="007F0840"/>
    <w:rsid w:val="007F1B71"/>
    <w:rsid w:val="007F2FD6"/>
    <w:rsid w:val="007F303A"/>
    <w:rsid w:val="007F7946"/>
    <w:rsid w:val="008073CC"/>
    <w:rsid w:val="00807E7D"/>
    <w:rsid w:val="008107D7"/>
    <w:rsid w:val="008172FF"/>
    <w:rsid w:val="008202D5"/>
    <w:rsid w:val="008314B7"/>
    <w:rsid w:val="00831675"/>
    <w:rsid w:val="00832578"/>
    <w:rsid w:val="00834182"/>
    <w:rsid w:val="008355D7"/>
    <w:rsid w:val="00842AAF"/>
    <w:rsid w:val="00847553"/>
    <w:rsid w:val="00852CC9"/>
    <w:rsid w:val="00855FDE"/>
    <w:rsid w:val="00876344"/>
    <w:rsid w:val="0088467C"/>
    <w:rsid w:val="00884A42"/>
    <w:rsid w:val="008918D3"/>
    <w:rsid w:val="00894579"/>
    <w:rsid w:val="008A4780"/>
    <w:rsid w:val="008A5B67"/>
    <w:rsid w:val="008A6372"/>
    <w:rsid w:val="008A7E6D"/>
    <w:rsid w:val="008B234C"/>
    <w:rsid w:val="008B2E4D"/>
    <w:rsid w:val="008D16F7"/>
    <w:rsid w:val="008D355F"/>
    <w:rsid w:val="008E1427"/>
    <w:rsid w:val="008E200C"/>
    <w:rsid w:val="008E2015"/>
    <w:rsid w:val="008E616A"/>
    <w:rsid w:val="008F4E18"/>
    <w:rsid w:val="009143A0"/>
    <w:rsid w:val="0092768B"/>
    <w:rsid w:val="00934795"/>
    <w:rsid w:val="0093487F"/>
    <w:rsid w:val="00936322"/>
    <w:rsid w:val="0093651C"/>
    <w:rsid w:val="00936902"/>
    <w:rsid w:val="00936FD7"/>
    <w:rsid w:val="00937282"/>
    <w:rsid w:val="0093770A"/>
    <w:rsid w:val="009422FE"/>
    <w:rsid w:val="00945E80"/>
    <w:rsid w:val="00946438"/>
    <w:rsid w:val="0094660F"/>
    <w:rsid w:val="009472FF"/>
    <w:rsid w:val="00950CE2"/>
    <w:rsid w:val="00952E2E"/>
    <w:rsid w:val="00954679"/>
    <w:rsid w:val="00960862"/>
    <w:rsid w:val="00963D2A"/>
    <w:rsid w:val="009713FB"/>
    <w:rsid w:val="0098255D"/>
    <w:rsid w:val="00982E23"/>
    <w:rsid w:val="00982ED1"/>
    <w:rsid w:val="00987712"/>
    <w:rsid w:val="00990D07"/>
    <w:rsid w:val="00991697"/>
    <w:rsid w:val="00993B89"/>
    <w:rsid w:val="009A65CE"/>
    <w:rsid w:val="009B5B0F"/>
    <w:rsid w:val="009C5501"/>
    <w:rsid w:val="009C613E"/>
    <w:rsid w:val="009C6A1E"/>
    <w:rsid w:val="009D0186"/>
    <w:rsid w:val="009D123A"/>
    <w:rsid w:val="009D2E88"/>
    <w:rsid w:val="009E2F86"/>
    <w:rsid w:val="009F5531"/>
    <w:rsid w:val="00A006A0"/>
    <w:rsid w:val="00A02F8D"/>
    <w:rsid w:val="00A036DA"/>
    <w:rsid w:val="00A0425E"/>
    <w:rsid w:val="00A12209"/>
    <w:rsid w:val="00A1347A"/>
    <w:rsid w:val="00A148A1"/>
    <w:rsid w:val="00A227ED"/>
    <w:rsid w:val="00A24677"/>
    <w:rsid w:val="00A26B4A"/>
    <w:rsid w:val="00A34B52"/>
    <w:rsid w:val="00A34D27"/>
    <w:rsid w:val="00A36DF3"/>
    <w:rsid w:val="00A46C6F"/>
    <w:rsid w:val="00A504F6"/>
    <w:rsid w:val="00A532DD"/>
    <w:rsid w:val="00A553DA"/>
    <w:rsid w:val="00A55A06"/>
    <w:rsid w:val="00A5650B"/>
    <w:rsid w:val="00A63C5E"/>
    <w:rsid w:val="00A65ABB"/>
    <w:rsid w:val="00A71483"/>
    <w:rsid w:val="00A71822"/>
    <w:rsid w:val="00A73234"/>
    <w:rsid w:val="00A80BCF"/>
    <w:rsid w:val="00A8117B"/>
    <w:rsid w:val="00A832E4"/>
    <w:rsid w:val="00A8369C"/>
    <w:rsid w:val="00A8477C"/>
    <w:rsid w:val="00A9176B"/>
    <w:rsid w:val="00A92713"/>
    <w:rsid w:val="00A95466"/>
    <w:rsid w:val="00AA1689"/>
    <w:rsid w:val="00AA5770"/>
    <w:rsid w:val="00AA752D"/>
    <w:rsid w:val="00AB2D4C"/>
    <w:rsid w:val="00AC1D15"/>
    <w:rsid w:val="00AC3C51"/>
    <w:rsid w:val="00AC5F1D"/>
    <w:rsid w:val="00AD2DDA"/>
    <w:rsid w:val="00AD3310"/>
    <w:rsid w:val="00AE0D27"/>
    <w:rsid w:val="00AE13F6"/>
    <w:rsid w:val="00AF313B"/>
    <w:rsid w:val="00AF382D"/>
    <w:rsid w:val="00AF6735"/>
    <w:rsid w:val="00AF718F"/>
    <w:rsid w:val="00B07B0C"/>
    <w:rsid w:val="00B21475"/>
    <w:rsid w:val="00B24DA6"/>
    <w:rsid w:val="00B25246"/>
    <w:rsid w:val="00B25563"/>
    <w:rsid w:val="00B26D48"/>
    <w:rsid w:val="00B325A9"/>
    <w:rsid w:val="00B33406"/>
    <w:rsid w:val="00B41897"/>
    <w:rsid w:val="00B42EE1"/>
    <w:rsid w:val="00B46642"/>
    <w:rsid w:val="00B46B25"/>
    <w:rsid w:val="00B51FF7"/>
    <w:rsid w:val="00B55A6B"/>
    <w:rsid w:val="00B64501"/>
    <w:rsid w:val="00B70EBB"/>
    <w:rsid w:val="00B71712"/>
    <w:rsid w:val="00B72298"/>
    <w:rsid w:val="00B73B8B"/>
    <w:rsid w:val="00B80860"/>
    <w:rsid w:val="00B8293D"/>
    <w:rsid w:val="00B90876"/>
    <w:rsid w:val="00B92478"/>
    <w:rsid w:val="00B95337"/>
    <w:rsid w:val="00BA38B6"/>
    <w:rsid w:val="00BA6188"/>
    <w:rsid w:val="00BB5D47"/>
    <w:rsid w:val="00BC2C8C"/>
    <w:rsid w:val="00BC68DB"/>
    <w:rsid w:val="00BC6AC5"/>
    <w:rsid w:val="00BD163F"/>
    <w:rsid w:val="00BD2832"/>
    <w:rsid w:val="00BD47C0"/>
    <w:rsid w:val="00BD4ACC"/>
    <w:rsid w:val="00BD61A2"/>
    <w:rsid w:val="00BE2B01"/>
    <w:rsid w:val="00BE484D"/>
    <w:rsid w:val="00BE5BC8"/>
    <w:rsid w:val="00BE6D72"/>
    <w:rsid w:val="00BF5588"/>
    <w:rsid w:val="00BF744E"/>
    <w:rsid w:val="00C07DED"/>
    <w:rsid w:val="00C14B12"/>
    <w:rsid w:val="00C20DD9"/>
    <w:rsid w:val="00C24689"/>
    <w:rsid w:val="00C37428"/>
    <w:rsid w:val="00C37E05"/>
    <w:rsid w:val="00C47C56"/>
    <w:rsid w:val="00C524CD"/>
    <w:rsid w:val="00C54109"/>
    <w:rsid w:val="00C55D29"/>
    <w:rsid w:val="00C86A2A"/>
    <w:rsid w:val="00C9302B"/>
    <w:rsid w:val="00CA0BE9"/>
    <w:rsid w:val="00CA138D"/>
    <w:rsid w:val="00CA297C"/>
    <w:rsid w:val="00CA3576"/>
    <w:rsid w:val="00CB4502"/>
    <w:rsid w:val="00CB5C95"/>
    <w:rsid w:val="00CB6304"/>
    <w:rsid w:val="00CB6CD2"/>
    <w:rsid w:val="00CB793B"/>
    <w:rsid w:val="00CC191E"/>
    <w:rsid w:val="00CC6393"/>
    <w:rsid w:val="00CC6D3B"/>
    <w:rsid w:val="00CC7641"/>
    <w:rsid w:val="00CD08DA"/>
    <w:rsid w:val="00CD59CA"/>
    <w:rsid w:val="00CF3390"/>
    <w:rsid w:val="00CF720E"/>
    <w:rsid w:val="00D05DA5"/>
    <w:rsid w:val="00D11A5C"/>
    <w:rsid w:val="00D13794"/>
    <w:rsid w:val="00D1771F"/>
    <w:rsid w:val="00D20260"/>
    <w:rsid w:val="00D24052"/>
    <w:rsid w:val="00D24386"/>
    <w:rsid w:val="00D25A60"/>
    <w:rsid w:val="00D31575"/>
    <w:rsid w:val="00D32506"/>
    <w:rsid w:val="00D3260D"/>
    <w:rsid w:val="00D329C8"/>
    <w:rsid w:val="00D34626"/>
    <w:rsid w:val="00D34FB4"/>
    <w:rsid w:val="00D4257A"/>
    <w:rsid w:val="00D47B1A"/>
    <w:rsid w:val="00D503FD"/>
    <w:rsid w:val="00D50B02"/>
    <w:rsid w:val="00D55AB7"/>
    <w:rsid w:val="00D57EC9"/>
    <w:rsid w:val="00D62579"/>
    <w:rsid w:val="00D62665"/>
    <w:rsid w:val="00D74E0B"/>
    <w:rsid w:val="00D82E47"/>
    <w:rsid w:val="00D92C90"/>
    <w:rsid w:val="00D93601"/>
    <w:rsid w:val="00D9441E"/>
    <w:rsid w:val="00D95E14"/>
    <w:rsid w:val="00DA1AC6"/>
    <w:rsid w:val="00DA32DB"/>
    <w:rsid w:val="00DA7BDD"/>
    <w:rsid w:val="00DB13D1"/>
    <w:rsid w:val="00DB3DDC"/>
    <w:rsid w:val="00DB3EAF"/>
    <w:rsid w:val="00DB5CC5"/>
    <w:rsid w:val="00DC08F2"/>
    <w:rsid w:val="00DC0CDE"/>
    <w:rsid w:val="00DC4D72"/>
    <w:rsid w:val="00DC6064"/>
    <w:rsid w:val="00DC6409"/>
    <w:rsid w:val="00DD25DB"/>
    <w:rsid w:val="00DD44F1"/>
    <w:rsid w:val="00DD503C"/>
    <w:rsid w:val="00DD6E66"/>
    <w:rsid w:val="00DE0591"/>
    <w:rsid w:val="00DF0736"/>
    <w:rsid w:val="00DF314A"/>
    <w:rsid w:val="00DF6D0D"/>
    <w:rsid w:val="00DF7B9D"/>
    <w:rsid w:val="00E0624D"/>
    <w:rsid w:val="00E066A2"/>
    <w:rsid w:val="00E118F8"/>
    <w:rsid w:val="00E13CFE"/>
    <w:rsid w:val="00E16C4B"/>
    <w:rsid w:val="00E223FD"/>
    <w:rsid w:val="00E27FB6"/>
    <w:rsid w:val="00E346A0"/>
    <w:rsid w:val="00E3504B"/>
    <w:rsid w:val="00E35093"/>
    <w:rsid w:val="00E37955"/>
    <w:rsid w:val="00E414C0"/>
    <w:rsid w:val="00E4438C"/>
    <w:rsid w:val="00E457F3"/>
    <w:rsid w:val="00E502DB"/>
    <w:rsid w:val="00E516FF"/>
    <w:rsid w:val="00E5184A"/>
    <w:rsid w:val="00E5639A"/>
    <w:rsid w:val="00E57B0D"/>
    <w:rsid w:val="00E61E96"/>
    <w:rsid w:val="00E64FC5"/>
    <w:rsid w:val="00E65AF9"/>
    <w:rsid w:val="00E70A39"/>
    <w:rsid w:val="00E75ACA"/>
    <w:rsid w:val="00E76678"/>
    <w:rsid w:val="00E822DA"/>
    <w:rsid w:val="00E94847"/>
    <w:rsid w:val="00E95AA9"/>
    <w:rsid w:val="00E9714C"/>
    <w:rsid w:val="00EA3A98"/>
    <w:rsid w:val="00EA4DD8"/>
    <w:rsid w:val="00EB2AEF"/>
    <w:rsid w:val="00EB32C0"/>
    <w:rsid w:val="00EB62AE"/>
    <w:rsid w:val="00EB70AB"/>
    <w:rsid w:val="00EB7CAE"/>
    <w:rsid w:val="00EB7E71"/>
    <w:rsid w:val="00EC3906"/>
    <w:rsid w:val="00EE7F6E"/>
    <w:rsid w:val="00EF0207"/>
    <w:rsid w:val="00EF545A"/>
    <w:rsid w:val="00F00ABC"/>
    <w:rsid w:val="00F015EE"/>
    <w:rsid w:val="00F02313"/>
    <w:rsid w:val="00F025DE"/>
    <w:rsid w:val="00F1001E"/>
    <w:rsid w:val="00F109D4"/>
    <w:rsid w:val="00F15EE9"/>
    <w:rsid w:val="00F20BE6"/>
    <w:rsid w:val="00F47585"/>
    <w:rsid w:val="00F50787"/>
    <w:rsid w:val="00F53BB9"/>
    <w:rsid w:val="00F5505D"/>
    <w:rsid w:val="00F61057"/>
    <w:rsid w:val="00F70582"/>
    <w:rsid w:val="00F716F6"/>
    <w:rsid w:val="00F729EC"/>
    <w:rsid w:val="00F8022B"/>
    <w:rsid w:val="00F8047C"/>
    <w:rsid w:val="00F85E6F"/>
    <w:rsid w:val="00F93194"/>
    <w:rsid w:val="00F94A32"/>
    <w:rsid w:val="00FA53CA"/>
    <w:rsid w:val="00FA6C50"/>
    <w:rsid w:val="00FB58D4"/>
    <w:rsid w:val="00FB7C5F"/>
    <w:rsid w:val="00FC017D"/>
    <w:rsid w:val="00FC39D8"/>
    <w:rsid w:val="00FD6D40"/>
    <w:rsid w:val="00FD7DA3"/>
    <w:rsid w:val="00FE04E4"/>
    <w:rsid w:val="00FE27F4"/>
    <w:rsid w:val="00FE4423"/>
    <w:rsid w:val="00FE56E8"/>
    <w:rsid w:val="00FE73F9"/>
    <w:rsid w:val="00FF1057"/>
    <w:rsid w:val="00FF3972"/>
    <w:rsid w:val="00FF3C9E"/>
    <w:rsid w:val="00FF3E25"/>
    <w:rsid w:val="00FF4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2FD8F"/>
  <w15:docId w15:val="{A3764A9B-F462-4C32-8114-F9E02441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E16C4B"/>
    <w:pPr>
      <w:ind w:left="720"/>
      <w:contextualSpacing/>
    </w:pPr>
  </w:style>
  <w:style w:type="table" w:styleId="TableGrid">
    <w:name w:val="Table Grid"/>
    <w:basedOn w:val="TableNormal"/>
    <w:uiPriority w:val="59"/>
    <w:rsid w:val="00B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24D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50B02"/>
    <w:rPr>
      <w:sz w:val="24"/>
    </w:rPr>
  </w:style>
  <w:style w:type="paragraph" w:customStyle="1" w:styleId="Heading1numbered">
    <w:name w:val="Heading 1 numbered"/>
    <w:basedOn w:val="Heading1"/>
    <w:uiPriority w:val="2"/>
    <w:qFormat/>
    <w:rsid w:val="009A65CE"/>
    <w:pPr>
      <w:keepLines/>
      <w:numPr>
        <w:numId w:val="11"/>
      </w:numPr>
      <w:tabs>
        <w:tab w:val="left" w:pos="567"/>
      </w:tabs>
      <w:spacing w:before="300" w:after="180"/>
      <w:jc w:val="left"/>
    </w:pPr>
    <w:rPr>
      <w:rFonts w:ascii="Calibri" w:eastAsiaTheme="majorEastAsia" w:hAnsi="Calibri" w:cstheme="majorBidi"/>
      <w:bCs/>
      <w:color w:val="1F497D" w:themeColor="text2"/>
      <w:kern w:val="0"/>
      <w:sz w:val="32"/>
      <w:szCs w:val="28"/>
      <w:u w:val="none"/>
      <w:lang w:eastAsia="en-US"/>
    </w:rPr>
  </w:style>
  <w:style w:type="paragraph" w:customStyle="1" w:styleId="CABParaSub">
    <w:name w:val="CAB Para Sub"/>
    <w:basedOn w:val="Normal"/>
    <w:link w:val="CABParaSubChar"/>
    <w:qFormat/>
    <w:rsid w:val="009A65CE"/>
    <w:pPr>
      <w:tabs>
        <w:tab w:val="left" w:pos="567"/>
      </w:tabs>
    </w:pPr>
    <w:rPr>
      <w:rFonts w:eastAsia="Calibri"/>
      <w:szCs w:val="24"/>
      <w:lang w:eastAsia="en-US"/>
    </w:rPr>
  </w:style>
  <w:style w:type="character" w:customStyle="1" w:styleId="CABParaSubChar">
    <w:name w:val="CAB Para Sub Char"/>
    <w:basedOn w:val="DefaultParagraphFont"/>
    <w:link w:val="CABParaSub"/>
    <w:rsid w:val="009A65CE"/>
    <w:rPr>
      <w:rFonts w:eastAsia="Calibri"/>
      <w:sz w:val="24"/>
      <w:szCs w:val="24"/>
      <w:lang w:eastAsia="en-US"/>
    </w:rPr>
  </w:style>
  <w:style w:type="table" w:styleId="PlainTable2">
    <w:name w:val="Plain Table 2"/>
    <w:basedOn w:val="TableNormal"/>
    <w:uiPriority w:val="42"/>
    <w:rsid w:val="00B2147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0">
    <w:name w:val="bullet"/>
    <w:basedOn w:val="Normal"/>
    <w:rsid w:val="00FF3C9E"/>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7E70A5"/>
    <w:pPr>
      <w:spacing w:before="0" w:after="0"/>
    </w:pPr>
    <w:rPr>
      <w:sz w:val="20"/>
    </w:rPr>
  </w:style>
  <w:style w:type="character" w:customStyle="1" w:styleId="FootnoteTextChar">
    <w:name w:val="Footnote Text Char"/>
    <w:basedOn w:val="DefaultParagraphFont"/>
    <w:link w:val="FootnoteText"/>
    <w:uiPriority w:val="99"/>
    <w:semiHidden/>
    <w:rsid w:val="007E70A5"/>
  </w:style>
  <w:style w:type="character" w:styleId="FootnoteReference">
    <w:name w:val="footnote reference"/>
    <w:basedOn w:val="DefaultParagraphFont"/>
    <w:uiPriority w:val="99"/>
    <w:semiHidden/>
    <w:unhideWhenUsed/>
    <w:rsid w:val="007E70A5"/>
    <w:rPr>
      <w:vertAlign w:val="superscript"/>
    </w:rPr>
  </w:style>
  <w:style w:type="character" w:styleId="UnresolvedMention">
    <w:name w:val="Unresolved Mention"/>
    <w:basedOn w:val="DefaultParagraphFont"/>
    <w:uiPriority w:val="99"/>
    <w:semiHidden/>
    <w:unhideWhenUsed/>
    <w:rsid w:val="007E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6697">
      <w:bodyDiv w:val="1"/>
      <w:marLeft w:val="0"/>
      <w:marRight w:val="0"/>
      <w:marTop w:val="0"/>
      <w:marBottom w:val="0"/>
      <w:divBdr>
        <w:top w:val="none" w:sz="0" w:space="0" w:color="auto"/>
        <w:left w:val="none" w:sz="0" w:space="0" w:color="auto"/>
        <w:bottom w:val="none" w:sz="0" w:space="0" w:color="auto"/>
        <w:right w:val="none" w:sz="0" w:space="0" w:color="auto"/>
      </w:divBdr>
    </w:div>
    <w:div w:id="1562515773">
      <w:bodyDiv w:val="1"/>
      <w:marLeft w:val="0"/>
      <w:marRight w:val="0"/>
      <w:marTop w:val="0"/>
      <w:marBottom w:val="0"/>
      <w:divBdr>
        <w:top w:val="none" w:sz="0" w:space="0" w:color="auto"/>
        <w:left w:val="none" w:sz="0" w:space="0" w:color="auto"/>
        <w:bottom w:val="none" w:sz="0" w:space="0" w:color="auto"/>
        <w:right w:val="none" w:sz="0" w:space="0" w:color="auto"/>
      </w:divBdr>
    </w:div>
    <w:div w:id="165190197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arlinfo.aph.gov.au/parlInfo/download/legislation/ems/s1089_ems_a4005a44-80b2-4de5-af80-d849a5013fd2/upload_pdf/699630.pdf;fileType=application%2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760A041F174BE3ACA821B854FDB2D6"/>
        <w:category>
          <w:name w:val="General"/>
          <w:gallery w:val="placeholder"/>
        </w:category>
        <w:types>
          <w:type w:val="bbPlcHdr"/>
        </w:types>
        <w:behaviors>
          <w:behavior w:val="content"/>
        </w:behaviors>
        <w:guid w:val="{EC7E5E26-555C-484C-825E-97C54DD980C9}"/>
      </w:docPartPr>
      <w:docPartBody>
        <w:p w:rsidR="00D907AB" w:rsidRDefault="00D907AB">
          <w:pPr>
            <w:pStyle w:val="E3760A041F174BE3ACA821B854FDB2D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AB"/>
    <w:rsid w:val="000D0D5E"/>
    <w:rsid w:val="001945BF"/>
    <w:rsid w:val="0023489C"/>
    <w:rsid w:val="002C2EC9"/>
    <w:rsid w:val="00315D3D"/>
    <w:rsid w:val="003179A7"/>
    <w:rsid w:val="003533B6"/>
    <w:rsid w:val="0041449B"/>
    <w:rsid w:val="004154DA"/>
    <w:rsid w:val="004E6D0D"/>
    <w:rsid w:val="00756BB8"/>
    <w:rsid w:val="008E0700"/>
    <w:rsid w:val="009C77B6"/>
    <w:rsid w:val="00A129A3"/>
    <w:rsid w:val="00A87867"/>
    <w:rsid w:val="00CC0CF5"/>
    <w:rsid w:val="00D907AB"/>
    <w:rsid w:val="00DD3DBC"/>
    <w:rsid w:val="00E34AE6"/>
    <w:rsid w:val="00F2799C"/>
    <w:rsid w:val="00F6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760A041F174BE3ACA821B854FDB2D6">
    <w:name w:val="E3760A041F174BE3ACA821B854FDB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2021RG-111-20818</_dlc_DocId>
    <_dlc_DocIdUrl xmlns="0f563589-9cf9-4143-b1eb-fb0534803d38">
      <Url>http://tweb/sites/rg/ldp/lmu/_layouts/15/DocIdRedir.aspx?ID=2021RG-111-20818</Url>
      <Description>2021RG-111-20818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9653" ma:contentTypeDescription=" " ma:contentTypeScope="" ma:versionID="591b0aa44fbb012ce348433547886ec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22BE7A37-3397-43E3-96B3-4333ED182198}">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C7E313EB-9694-4E9B-8101-48A481612DE4}">
  <ds:schemaRefs>
    <ds:schemaRef ds:uri="http://schemas.openxmlformats.org/officeDocument/2006/bibliography"/>
  </ds:schemaRefs>
</ds:datastoreItem>
</file>

<file path=customXml/itemProps4.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7F78A6BC-C649-43E1-B19C-AD12B0C16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F94A4F-5E3A-4355-B54B-7888BB0C0A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56</TotalTime>
  <Pages>11</Pages>
  <Words>3486</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Nock, Thomas</dc:creator>
  <cp:lastModifiedBy>Cooper, Faith</cp:lastModifiedBy>
  <cp:revision>31</cp:revision>
  <cp:lastPrinted>2021-07-20T04:54:00Z</cp:lastPrinted>
  <dcterms:created xsi:type="dcterms:W3CDTF">2021-07-20T06:31:00Z</dcterms:created>
  <dcterms:modified xsi:type="dcterms:W3CDTF">2021-08-03T04:48:00Z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c0bb4b6b-4801-43e9-89af-3465a14f4cb1</vt:lpwstr>
  </property>
  <property fmtid="{D5CDD505-2E9C-101B-9397-08002B2CF9AE}" pid="6" name="TSYTopic">
    <vt:lpwstr/>
  </property>
</Properties>
</file>