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36E532AD" w:rsidR="00715914" w:rsidRPr="00BA504E" w:rsidRDefault="00DA186E" w:rsidP="00F81539">
      <w:pPr>
        <w:rPr>
          <w:sz w:val="28"/>
        </w:rPr>
      </w:pPr>
      <w:r w:rsidRPr="00BA504E">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BA504E" w:rsidRDefault="00715914" w:rsidP="00F81539">
      <w:pPr>
        <w:rPr>
          <w:sz w:val="19"/>
        </w:rPr>
      </w:pPr>
    </w:p>
    <w:p w14:paraId="6D141519" w14:textId="6F946BF2" w:rsidR="00554826" w:rsidRPr="00BA504E" w:rsidRDefault="00F81539" w:rsidP="00F81539">
      <w:pPr>
        <w:pStyle w:val="ShortT"/>
      </w:pPr>
      <w:r w:rsidRPr="00BA504E">
        <w:t xml:space="preserve">Health Insurance Legislation Amendment (Section 3C General Medical Services – </w:t>
      </w:r>
      <w:r w:rsidR="000D536F" w:rsidRPr="00BA504E">
        <w:t>Cease GP Mental Health Treatment Plan Phone Services</w:t>
      </w:r>
      <w:r w:rsidRPr="00BA504E">
        <w:t>) Determination 2021</w:t>
      </w:r>
    </w:p>
    <w:p w14:paraId="367A4A2F" w14:textId="15AB92E5" w:rsidR="00554826" w:rsidRPr="00BA504E" w:rsidRDefault="00554826" w:rsidP="00F81539">
      <w:pPr>
        <w:pStyle w:val="SignCoverPageStart"/>
        <w:spacing w:before="240"/>
        <w:ind w:right="91"/>
        <w:rPr>
          <w:szCs w:val="22"/>
        </w:rPr>
      </w:pPr>
      <w:r w:rsidRPr="00BA504E">
        <w:rPr>
          <w:szCs w:val="22"/>
        </w:rPr>
        <w:t xml:space="preserve">I, </w:t>
      </w:r>
      <w:r w:rsidR="00A154B2" w:rsidRPr="00BA504E">
        <w:rPr>
          <w:szCs w:val="22"/>
        </w:rPr>
        <w:t xml:space="preserve">Megan </w:t>
      </w:r>
      <w:proofErr w:type="spellStart"/>
      <w:r w:rsidR="00A154B2" w:rsidRPr="00BA504E">
        <w:rPr>
          <w:szCs w:val="22"/>
        </w:rPr>
        <w:t>Keaney</w:t>
      </w:r>
      <w:proofErr w:type="spellEnd"/>
      <w:r w:rsidRPr="00BA504E">
        <w:rPr>
          <w:szCs w:val="22"/>
        </w:rPr>
        <w:t xml:space="preserve">, </w:t>
      </w:r>
      <w:r w:rsidR="00FF4480" w:rsidRPr="00BA504E">
        <w:rPr>
          <w:szCs w:val="22"/>
        </w:rPr>
        <w:t xml:space="preserve">delegate of the </w:t>
      </w:r>
      <w:r w:rsidR="009841B4" w:rsidRPr="00BA504E">
        <w:rPr>
          <w:szCs w:val="22"/>
        </w:rPr>
        <w:t>Minister for Health</w:t>
      </w:r>
      <w:r w:rsidR="00FE7510" w:rsidRPr="00BA504E">
        <w:rPr>
          <w:szCs w:val="22"/>
        </w:rPr>
        <w:t xml:space="preserve"> and Aged Care</w:t>
      </w:r>
      <w:r w:rsidR="009841B4" w:rsidRPr="00BA504E">
        <w:rPr>
          <w:szCs w:val="22"/>
        </w:rPr>
        <w:t xml:space="preserve">, </w:t>
      </w:r>
      <w:r w:rsidRPr="00BA504E">
        <w:rPr>
          <w:szCs w:val="22"/>
        </w:rPr>
        <w:t xml:space="preserve">make the following </w:t>
      </w:r>
      <w:r w:rsidR="009841B4" w:rsidRPr="00BA504E">
        <w:rPr>
          <w:szCs w:val="22"/>
        </w:rPr>
        <w:t>Determination</w:t>
      </w:r>
      <w:r w:rsidRPr="00BA504E">
        <w:rPr>
          <w:szCs w:val="22"/>
        </w:rPr>
        <w:t>.</w:t>
      </w:r>
    </w:p>
    <w:p w14:paraId="0C7CB3E3" w14:textId="6D63DC18" w:rsidR="00554826" w:rsidRPr="00BA504E" w:rsidRDefault="00554826" w:rsidP="00F81539">
      <w:pPr>
        <w:keepNext/>
        <w:spacing w:before="300" w:line="240" w:lineRule="atLeast"/>
        <w:ind w:right="397"/>
        <w:jc w:val="both"/>
        <w:rPr>
          <w:szCs w:val="22"/>
        </w:rPr>
      </w:pPr>
      <w:r w:rsidRPr="00BA504E">
        <w:rPr>
          <w:szCs w:val="22"/>
        </w:rPr>
        <w:t>Dated</w:t>
      </w:r>
      <w:r w:rsidRPr="00BA504E">
        <w:rPr>
          <w:szCs w:val="22"/>
        </w:rPr>
        <w:tab/>
      </w:r>
      <w:r w:rsidRPr="00BA504E">
        <w:rPr>
          <w:szCs w:val="22"/>
        </w:rPr>
        <w:tab/>
      </w:r>
      <w:r w:rsidR="00BA504E" w:rsidRPr="00BA504E">
        <w:rPr>
          <w:szCs w:val="22"/>
        </w:rPr>
        <w:t xml:space="preserve">5 </w:t>
      </w:r>
      <w:r w:rsidR="00A154B2" w:rsidRPr="00BA504E">
        <w:rPr>
          <w:szCs w:val="22"/>
        </w:rPr>
        <w:t>August 2021</w:t>
      </w:r>
    </w:p>
    <w:p w14:paraId="2285B6DF" w14:textId="77777777" w:rsidR="00A154B2" w:rsidRPr="00BA504E" w:rsidRDefault="00A154B2" w:rsidP="00A154B2">
      <w:pPr>
        <w:keepNext/>
        <w:tabs>
          <w:tab w:val="left" w:pos="3402"/>
        </w:tabs>
        <w:spacing w:before="1440" w:line="300" w:lineRule="atLeast"/>
        <w:ind w:right="397"/>
      </w:pPr>
      <w:r w:rsidRPr="00BA504E">
        <w:t xml:space="preserve">Megan </w:t>
      </w:r>
      <w:proofErr w:type="spellStart"/>
      <w:r w:rsidRPr="00BA504E">
        <w:t>Keaney</w:t>
      </w:r>
      <w:proofErr w:type="spellEnd"/>
    </w:p>
    <w:p w14:paraId="7EC55715" w14:textId="77777777" w:rsidR="00A154B2" w:rsidRPr="00BA504E" w:rsidRDefault="00A154B2" w:rsidP="00A154B2">
      <w:pPr>
        <w:pStyle w:val="SignCoverPageEnd"/>
        <w:ind w:right="91"/>
        <w:rPr>
          <w:sz w:val="22"/>
        </w:rPr>
      </w:pPr>
      <w:r w:rsidRPr="00BA504E">
        <w:rPr>
          <w:sz w:val="22"/>
        </w:rPr>
        <w:t>Acting First Assistant Secretary</w:t>
      </w:r>
    </w:p>
    <w:p w14:paraId="73AACB2B" w14:textId="77777777" w:rsidR="00A154B2" w:rsidRPr="00BA504E" w:rsidRDefault="00A154B2" w:rsidP="00A154B2">
      <w:pPr>
        <w:pStyle w:val="SignCoverPageEnd"/>
        <w:ind w:right="91"/>
        <w:rPr>
          <w:sz w:val="22"/>
        </w:rPr>
      </w:pPr>
      <w:r w:rsidRPr="00BA504E">
        <w:rPr>
          <w:sz w:val="22"/>
        </w:rPr>
        <w:t>Medical Benefits Division</w:t>
      </w:r>
    </w:p>
    <w:p w14:paraId="654BC19B" w14:textId="77777777" w:rsidR="00A154B2" w:rsidRPr="00BA504E" w:rsidRDefault="00A154B2" w:rsidP="00F81539">
      <w:pPr>
        <w:pStyle w:val="SignCoverPageEnd"/>
        <w:ind w:right="91"/>
        <w:rPr>
          <w:sz w:val="22"/>
        </w:rPr>
      </w:pPr>
      <w:r w:rsidRPr="00BA504E">
        <w:rPr>
          <w:sz w:val="22"/>
        </w:rPr>
        <w:t>Health Resourcing Group</w:t>
      </w:r>
    </w:p>
    <w:p w14:paraId="769BEDDD" w14:textId="4421F1F3" w:rsidR="00FF4480" w:rsidRPr="00BA504E" w:rsidRDefault="00FF4480" w:rsidP="00F81539">
      <w:pPr>
        <w:pStyle w:val="SignCoverPageEnd"/>
        <w:ind w:right="91"/>
        <w:rPr>
          <w:sz w:val="22"/>
        </w:rPr>
      </w:pPr>
      <w:r w:rsidRPr="00BA504E">
        <w:rPr>
          <w:sz w:val="22"/>
        </w:rPr>
        <w:t>Department of Health</w:t>
      </w:r>
    </w:p>
    <w:p w14:paraId="57012222" w14:textId="77777777" w:rsidR="00554826" w:rsidRPr="00BA504E" w:rsidRDefault="00554826" w:rsidP="00F81539"/>
    <w:p w14:paraId="61874D17" w14:textId="77777777" w:rsidR="00554826" w:rsidRPr="00BA504E" w:rsidRDefault="00554826" w:rsidP="00F81539"/>
    <w:p w14:paraId="1EA543EC" w14:textId="77777777" w:rsidR="00F6696E" w:rsidRPr="00BA504E" w:rsidRDefault="00F6696E" w:rsidP="00F81539"/>
    <w:p w14:paraId="452B8309" w14:textId="77777777" w:rsidR="00F6696E" w:rsidRPr="00BA504E" w:rsidRDefault="00F6696E" w:rsidP="00F81539">
      <w:pPr>
        <w:sectPr w:rsidR="00F6696E" w:rsidRPr="00BA504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BA504E" w:rsidRDefault="00715914" w:rsidP="00F81539">
      <w:pPr>
        <w:outlineLvl w:val="0"/>
        <w:rPr>
          <w:sz w:val="36"/>
        </w:rPr>
      </w:pPr>
      <w:r w:rsidRPr="00BA504E">
        <w:rPr>
          <w:sz w:val="36"/>
        </w:rPr>
        <w:lastRenderedPageBreak/>
        <w:t>Contents</w:t>
      </w:r>
    </w:p>
    <w:p w14:paraId="359B5221" w14:textId="0AEF4B8A" w:rsidR="00DB4767" w:rsidRPr="00BA504E" w:rsidRDefault="00B418CB" w:rsidP="00F81539">
      <w:pPr>
        <w:pStyle w:val="TOC5"/>
        <w:rPr>
          <w:rFonts w:asciiTheme="minorHAnsi" w:eastAsiaTheme="minorEastAsia" w:hAnsiTheme="minorHAnsi" w:cstheme="minorBidi"/>
          <w:noProof/>
          <w:kern w:val="0"/>
          <w:sz w:val="22"/>
          <w:szCs w:val="22"/>
        </w:rPr>
      </w:pPr>
      <w:r w:rsidRPr="00BA504E">
        <w:fldChar w:fldCharType="begin" w:fldLock="1"/>
      </w:r>
      <w:r w:rsidRPr="00BA504E">
        <w:instrText xml:space="preserve"> TOC \o "1-9" </w:instrText>
      </w:r>
      <w:r w:rsidRPr="00BA504E">
        <w:fldChar w:fldCharType="separate"/>
      </w:r>
      <w:r w:rsidR="00DB4767" w:rsidRPr="00BA504E">
        <w:rPr>
          <w:noProof/>
        </w:rPr>
        <w:t>1  Name</w:t>
      </w:r>
      <w:r w:rsidR="00DB4767" w:rsidRPr="00BA504E">
        <w:rPr>
          <w:noProof/>
        </w:rPr>
        <w:tab/>
      </w:r>
      <w:r w:rsidR="00DB4767" w:rsidRPr="00BA504E">
        <w:rPr>
          <w:noProof/>
        </w:rPr>
        <w:fldChar w:fldCharType="begin" w:fldLock="1"/>
      </w:r>
      <w:r w:rsidR="00DB4767" w:rsidRPr="00BA504E">
        <w:rPr>
          <w:noProof/>
        </w:rPr>
        <w:instrText xml:space="preserve"> PAGEREF _Toc20744772 \h </w:instrText>
      </w:r>
      <w:r w:rsidR="00DB4767" w:rsidRPr="00BA504E">
        <w:rPr>
          <w:noProof/>
        </w:rPr>
      </w:r>
      <w:r w:rsidR="00DB4767" w:rsidRPr="00BA504E">
        <w:rPr>
          <w:noProof/>
        </w:rPr>
        <w:fldChar w:fldCharType="separate"/>
      </w:r>
      <w:r w:rsidR="00DC3CB2" w:rsidRPr="00BA504E">
        <w:rPr>
          <w:noProof/>
        </w:rPr>
        <w:t>1</w:t>
      </w:r>
      <w:r w:rsidR="00DB4767" w:rsidRPr="00BA504E">
        <w:rPr>
          <w:noProof/>
        </w:rPr>
        <w:fldChar w:fldCharType="end"/>
      </w:r>
    </w:p>
    <w:p w14:paraId="22AA9D3F" w14:textId="1DEE893D" w:rsidR="00DB4767" w:rsidRPr="00BA504E" w:rsidRDefault="00DB4767" w:rsidP="00F81539">
      <w:pPr>
        <w:pStyle w:val="TOC5"/>
        <w:rPr>
          <w:rFonts w:asciiTheme="minorHAnsi" w:eastAsiaTheme="minorEastAsia" w:hAnsiTheme="minorHAnsi" w:cstheme="minorBidi"/>
          <w:noProof/>
          <w:kern w:val="0"/>
          <w:sz w:val="22"/>
          <w:szCs w:val="22"/>
        </w:rPr>
      </w:pPr>
      <w:r w:rsidRPr="00BA504E">
        <w:rPr>
          <w:noProof/>
        </w:rPr>
        <w:t>2  Commencement</w:t>
      </w:r>
      <w:r w:rsidRPr="00BA504E">
        <w:rPr>
          <w:noProof/>
        </w:rPr>
        <w:tab/>
      </w:r>
      <w:r w:rsidRPr="00BA504E">
        <w:rPr>
          <w:noProof/>
        </w:rPr>
        <w:fldChar w:fldCharType="begin" w:fldLock="1"/>
      </w:r>
      <w:r w:rsidRPr="00BA504E">
        <w:rPr>
          <w:noProof/>
        </w:rPr>
        <w:instrText xml:space="preserve"> PAGEREF _Toc20744773 \h </w:instrText>
      </w:r>
      <w:r w:rsidRPr="00BA504E">
        <w:rPr>
          <w:noProof/>
        </w:rPr>
      </w:r>
      <w:r w:rsidRPr="00BA504E">
        <w:rPr>
          <w:noProof/>
        </w:rPr>
        <w:fldChar w:fldCharType="separate"/>
      </w:r>
      <w:r w:rsidR="00DC3CB2" w:rsidRPr="00BA504E">
        <w:rPr>
          <w:noProof/>
        </w:rPr>
        <w:t>1</w:t>
      </w:r>
      <w:r w:rsidRPr="00BA504E">
        <w:rPr>
          <w:noProof/>
        </w:rPr>
        <w:fldChar w:fldCharType="end"/>
      </w:r>
    </w:p>
    <w:p w14:paraId="065F4AE3" w14:textId="026FCAC3" w:rsidR="00DB4767" w:rsidRPr="00BA504E" w:rsidRDefault="00DB4767" w:rsidP="00F81539">
      <w:pPr>
        <w:pStyle w:val="TOC5"/>
        <w:rPr>
          <w:rFonts w:asciiTheme="minorHAnsi" w:eastAsiaTheme="minorEastAsia" w:hAnsiTheme="minorHAnsi" w:cstheme="minorBidi"/>
          <w:noProof/>
          <w:kern w:val="0"/>
          <w:sz w:val="22"/>
          <w:szCs w:val="22"/>
        </w:rPr>
      </w:pPr>
      <w:r w:rsidRPr="00BA504E">
        <w:rPr>
          <w:noProof/>
        </w:rPr>
        <w:t>3  Authority</w:t>
      </w:r>
      <w:bookmarkStart w:id="0" w:name="_GoBack"/>
      <w:bookmarkEnd w:id="0"/>
      <w:r w:rsidRPr="00BA504E">
        <w:rPr>
          <w:noProof/>
        </w:rPr>
        <w:tab/>
      </w:r>
      <w:r w:rsidRPr="00BA504E">
        <w:rPr>
          <w:noProof/>
        </w:rPr>
        <w:fldChar w:fldCharType="begin" w:fldLock="1"/>
      </w:r>
      <w:r w:rsidRPr="00BA504E">
        <w:rPr>
          <w:noProof/>
        </w:rPr>
        <w:instrText xml:space="preserve"> PAGEREF _Toc20744774 \h </w:instrText>
      </w:r>
      <w:r w:rsidRPr="00BA504E">
        <w:rPr>
          <w:noProof/>
        </w:rPr>
      </w:r>
      <w:r w:rsidRPr="00BA504E">
        <w:rPr>
          <w:noProof/>
        </w:rPr>
        <w:fldChar w:fldCharType="separate"/>
      </w:r>
      <w:r w:rsidR="00DC3CB2" w:rsidRPr="00BA504E">
        <w:rPr>
          <w:noProof/>
        </w:rPr>
        <w:t>1</w:t>
      </w:r>
      <w:r w:rsidRPr="00BA504E">
        <w:rPr>
          <w:noProof/>
        </w:rPr>
        <w:fldChar w:fldCharType="end"/>
      </w:r>
    </w:p>
    <w:p w14:paraId="10C8A781" w14:textId="5993F2FD" w:rsidR="00DB4767" w:rsidRPr="00BA504E" w:rsidRDefault="00DB4767" w:rsidP="00F81539">
      <w:pPr>
        <w:pStyle w:val="TOC5"/>
        <w:rPr>
          <w:rFonts w:asciiTheme="minorHAnsi" w:eastAsiaTheme="minorEastAsia" w:hAnsiTheme="minorHAnsi" w:cstheme="minorBidi"/>
          <w:noProof/>
          <w:kern w:val="0"/>
          <w:sz w:val="22"/>
          <w:szCs w:val="22"/>
        </w:rPr>
      </w:pPr>
      <w:r w:rsidRPr="00BA504E">
        <w:rPr>
          <w:noProof/>
        </w:rPr>
        <w:t>4  Schedules</w:t>
      </w:r>
      <w:r w:rsidRPr="00BA504E">
        <w:rPr>
          <w:noProof/>
        </w:rPr>
        <w:tab/>
      </w:r>
      <w:r w:rsidRPr="00BA504E">
        <w:rPr>
          <w:noProof/>
        </w:rPr>
        <w:fldChar w:fldCharType="begin" w:fldLock="1"/>
      </w:r>
      <w:r w:rsidRPr="00BA504E">
        <w:rPr>
          <w:noProof/>
        </w:rPr>
        <w:instrText xml:space="preserve"> PAGEREF _Toc20744775 \h </w:instrText>
      </w:r>
      <w:r w:rsidRPr="00BA504E">
        <w:rPr>
          <w:noProof/>
        </w:rPr>
      </w:r>
      <w:r w:rsidRPr="00BA504E">
        <w:rPr>
          <w:noProof/>
        </w:rPr>
        <w:fldChar w:fldCharType="separate"/>
      </w:r>
      <w:r w:rsidR="00DC3CB2" w:rsidRPr="00BA504E">
        <w:rPr>
          <w:noProof/>
        </w:rPr>
        <w:t>1</w:t>
      </w:r>
      <w:r w:rsidRPr="00BA504E">
        <w:rPr>
          <w:noProof/>
        </w:rPr>
        <w:fldChar w:fldCharType="end"/>
      </w:r>
    </w:p>
    <w:p w14:paraId="7CCECCD0" w14:textId="232E671D" w:rsidR="00DB4767" w:rsidRPr="00BA504E" w:rsidRDefault="00DB4767" w:rsidP="00F81539">
      <w:pPr>
        <w:pStyle w:val="TOC5"/>
        <w:rPr>
          <w:rFonts w:asciiTheme="minorHAnsi" w:eastAsiaTheme="minorEastAsia" w:hAnsiTheme="minorHAnsi" w:cstheme="minorBidi"/>
          <w:noProof/>
          <w:kern w:val="0"/>
          <w:sz w:val="22"/>
          <w:szCs w:val="22"/>
        </w:rPr>
      </w:pPr>
      <w:r w:rsidRPr="00BA504E">
        <w:rPr>
          <w:noProof/>
        </w:rPr>
        <w:t>Schedule 1— Amendments</w:t>
      </w:r>
      <w:r w:rsidRPr="00BA504E">
        <w:rPr>
          <w:noProof/>
        </w:rPr>
        <w:tab/>
      </w:r>
      <w:r w:rsidRPr="00BA504E">
        <w:rPr>
          <w:noProof/>
        </w:rPr>
        <w:fldChar w:fldCharType="begin"/>
      </w:r>
      <w:r w:rsidRPr="00BA504E">
        <w:rPr>
          <w:noProof/>
        </w:rPr>
        <w:instrText xml:space="preserve"> PAGEREF _Toc20744776 \h </w:instrText>
      </w:r>
      <w:r w:rsidRPr="00BA504E">
        <w:rPr>
          <w:noProof/>
        </w:rPr>
      </w:r>
      <w:r w:rsidRPr="00BA504E">
        <w:rPr>
          <w:noProof/>
        </w:rPr>
        <w:fldChar w:fldCharType="separate"/>
      </w:r>
      <w:r w:rsidR="00DC3CB2" w:rsidRPr="00BA504E">
        <w:rPr>
          <w:noProof/>
        </w:rPr>
        <w:t>2</w:t>
      </w:r>
      <w:r w:rsidRPr="00BA504E">
        <w:rPr>
          <w:noProof/>
        </w:rPr>
        <w:fldChar w:fldCharType="end"/>
      </w:r>
    </w:p>
    <w:p w14:paraId="2494364F" w14:textId="77777777" w:rsidR="00F6696E" w:rsidRPr="00BA504E" w:rsidRDefault="00B418CB" w:rsidP="00F81539">
      <w:pPr>
        <w:outlineLvl w:val="0"/>
      </w:pPr>
      <w:r w:rsidRPr="00BA504E">
        <w:fldChar w:fldCharType="end"/>
      </w:r>
    </w:p>
    <w:p w14:paraId="64F43A28" w14:textId="77777777" w:rsidR="00F6696E" w:rsidRPr="00BA504E" w:rsidRDefault="00F6696E" w:rsidP="00F81539">
      <w:pPr>
        <w:outlineLvl w:val="0"/>
        <w:rPr>
          <w:sz w:val="20"/>
        </w:rPr>
      </w:pPr>
    </w:p>
    <w:p w14:paraId="0867F8FC" w14:textId="77777777" w:rsidR="00F6696E" w:rsidRPr="00BA504E" w:rsidRDefault="00F6696E" w:rsidP="00F81539">
      <w:pPr>
        <w:sectPr w:rsidR="00F6696E" w:rsidRPr="00BA504E"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BA504E" w:rsidRDefault="00554826" w:rsidP="00F81539">
      <w:pPr>
        <w:pStyle w:val="ActHead5"/>
      </w:pPr>
      <w:bookmarkStart w:id="1" w:name="_Toc20744772"/>
      <w:proofErr w:type="gramStart"/>
      <w:r w:rsidRPr="00BA504E">
        <w:lastRenderedPageBreak/>
        <w:t>1  Name</w:t>
      </w:r>
      <w:bookmarkEnd w:id="1"/>
      <w:proofErr w:type="gramEnd"/>
    </w:p>
    <w:p w14:paraId="5EF75D24" w14:textId="56605365" w:rsidR="00554826" w:rsidRPr="00BA504E" w:rsidRDefault="00554826" w:rsidP="00F81539">
      <w:pPr>
        <w:pStyle w:val="subsection"/>
        <w:tabs>
          <w:tab w:val="clear" w:pos="1021"/>
        </w:tabs>
        <w:ind w:left="709" w:hanging="709"/>
      </w:pPr>
      <w:r w:rsidRPr="00BA504E">
        <w:tab/>
      </w:r>
      <w:r w:rsidRPr="00BA504E">
        <w:tab/>
        <w:t xml:space="preserve">This instrument is the </w:t>
      </w:r>
      <w:bookmarkStart w:id="2" w:name="BKCheck15B_3"/>
      <w:bookmarkEnd w:id="2"/>
      <w:r w:rsidR="000D536F" w:rsidRPr="00BA504E">
        <w:rPr>
          <w:i/>
          <w:iCs/>
        </w:rPr>
        <w:t>Health Insurance Legislation Amendment (Section 3C General Medical Services – Cease GP Mental Health Treatment Plan Phone Services) Determination 2021</w:t>
      </w:r>
      <w:r w:rsidR="000D536F" w:rsidRPr="00BA504E">
        <w:t>.</w:t>
      </w:r>
    </w:p>
    <w:p w14:paraId="52BD1EFF" w14:textId="77777777" w:rsidR="00554826" w:rsidRPr="00BA504E" w:rsidRDefault="00554826" w:rsidP="00F81539">
      <w:pPr>
        <w:pStyle w:val="ActHead5"/>
      </w:pPr>
      <w:bookmarkStart w:id="3" w:name="_Toc20744773"/>
      <w:proofErr w:type="gramStart"/>
      <w:r w:rsidRPr="00BA504E">
        <w:t>2  Commencement</w:t>
      </w:r>
      <w:bookmarkEnd w:id="3"/>
      <w:proofErr w:type="gramEnd"/>
    </w:p>
    <w:p w14:paraId="3C5AEC36" w14:textId="77777777" w:rsidR="004940C4" w:rsidRPr="00BA504E" w:rsidRDefault="004940C4" w:rsidP="00F81539">
      <w:pPr>
        <w:pStyle w:val="subsection"/>
        <w:tabs>
          <w:tab w:val="left" w:pos="709"/>
        </w:tabs>
        <w:ind w:left="709" w:hanging="709"/>
      </w:pPr>
      <w:r w:rsidRPr="00BA504E">
        <w:t>(1)</w:t>
      </w:r>
      <w:r w:rsidRPr="00BA504E">
        <w:tab/>
      </w:r>
      <w:r w:rsidRPr="00BA504E">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BA504E" w:rsidRDefault="004940C4" w:rsidP="00F81539">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F4466C" w:rsidRPr="00BA504E" w14:paraId="2F3A7035" w14:textId="77777777" w:rsidTr="00F81539">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Commencement information</w:t>
            </w:r>
          </w:p>
        </w:tc>
      </w:tr>
      <w:tr w:rsidR="00F4466C" w:rsidRPr="00BA504E" w14:paraId="7B1560D1" w14:textId="77777777" w:rsidTr="00F81539">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Column 3</w:t>
            </w:r>
          </w:p>
        </w:tc>
      </w:tr>
      <w:tr w:rsidR="00F4466C" w:rsidRPr="00BA504E" w14:paraId="4A74A92F" w14:textId="77777777" w:rsidTr="00F81539">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BA504E" w:rsidRDefault="004940C4" w:rsidP="00F81539">
            <w:pPr>
              <w:keepNext/>
              <w:autoSpaceDE w:val="0"/>
              <w:autoSpaceDN w:val="0"/>
              <w:spacing w:before="60" w:line="240" w:lineRule="atLeast"/>
              <w:rPr>
                <w:rFonts w:eastAsia="Times New Roman" w:cs="Times New Roman"/>
                <w:b/>
                <w:sz w:val="20"/>
                <w:szCs w:val="24"/>
                <w:lang w:eastAsia="en-AU"/>
              </w:rPr>
            </w:pPr>
            <w:r w:rsidRPr="00BA504E">
              <w:rPr>
                <w:rFonts w:eastAsia="Times New Roman" w:cs="Times New Roman"/>
                <w:b/>
                <w:sz w:val="20"/>
                <w:szCs w:val="24"/>
                <w:lang w:eastAsia="en-AU"/>
              </w:rPr>
              <w:t>Date/Details</w:t>
            </w:r>
          </w:p>
        </w:tc>
      </w:tr>
      <w:tr w:rsidR="00F4466C" w:rsidRPr="00BA504E"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BA504E" w:rsidRDefault="004940C4" w:rsidP="00F81539">
            <w:pPr>
              <w:keepNext/>
              <w:autoSpaceDE w:val="0"/>
              <w:autoSpaceDN w:val="0"/>
              <w:spacing w:before="60" w:line="240" w:lineRule="atLeast"/>
              <w:rPr>
                <w:rFonts w:eastAsia="Times New Roman" w:cs="Times New Roman"/>
                <w:sz w:val="20"/>
                <w:szCs w:val="24"/>
                <w:lang w:eastAsia="en-AU"/>
              </w:rPr>
            </w:pPr>
            <w:r w:rsidRPr="00BA504E">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504BF8D5" w:rsidR="004940C4" w:rsidRPr="00BA504E" w:rsidRDefault="00DD34B6" w:rsidP="00F81539">
            <w:pPr>
              <w:keepNext/>
              <w:autoSpaceDE w:val="0"/>
              <w:autoSpaceDN w:val="0"/>
              <w:spacing w:before="60" w:line="240" w:lineRule="atLeast"/>
              <w:rPr>
                <w:rFonts w:eastAsia="Times New Roman" w:cs="Times New Roman"/>
                <w:sz w:val="20"/>
                <w:szCs w:val="24"/>
                <w:lang w:eastAsia="en-AU"/>
              </w:rPr>
            </w:pPr>
            <w:r w:rsidRPr="00BA504E">
              <w:rPr>
                <w:rFonts w:eastAsia="Times New Roman" w:cs="Times New Roman"/>
                <w:sz w:val="20"/>
                <w:szCs w:val="24"/>
                <w:lang w:eastAsia="en-AU"/>
              </w:rPr>
              <w:t>7 August 2021</w:t>
            </w:r>
          </w:p>
        </w:tc>
        <w:tc>
          <w:tcPr>
            <w:tcW w:w="1843" w:type="dxa"/>
            <w:tcBorders>
              <w:top w:val="single" w:sz="12" w:space="0" w:color="auto"/>
              <w:left w:val="nil"/>
              <w:bottom w:val="single" w:sz="12" w:space="0" w:color="auto"/>
              <w:right w:val="nil"/>
            </w:tcBorders>
          </w:tcPr>
          <w:p w14:paraId="391CC044" w14:textId="77777777" w:rsidR="004940C4" w:rsidRPr="00BA504E" w:rsidRDefault="004940C4" w:rsidP="00F81539">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BA504E" w:rsidRDefault="004940C4" w:rsidP="00F81539">
      <w:pPr>
        <w:pStyle w:val="subsection"/>
        <w:tabs>
          <w:tab w:val="left" w:pos="709"/>
        </w:tabs>
        <w:ind w:left="709" w:hanging="709"/>
        <w:rPr>
          <w:sz w:val="18"/>
          <w:szCs w:val="18"/>
        </w:rPr>
      </w:pPr>
      <w:r w:rsidRPr="00BA504E">
        <w:rPr>
          <w:sz w:val="18"/>
          <w:szCs w:val="18"/>
        </w:rPr>
        <w:tab/>
        <w:t>Note:</w:t>
      </w:r>
      <w:r w:rsidRPr="00BA504E">
        <w:rPr>
          <w:sz w:val="18"/>
          <w:szCs w:val="18"/>
        </w:rPr>
        <w:tab/>
        <w:t>This table relates only to the provisions of this instrument as originally made. It will not be amended to deal with any later amendments of this instrument.</w:t>
      </w:r>
    </w:p>
    <w:p w14:paraId="79380ADC" w14:textId="77777777" w:rsidR="004940C4" w:rsidRPr="00BA504E" w:rsidRDefault="004940C4" w:rsidP="00F81539">
      <w:pPr>
        <w:pStyle w:val="subsection"/>
        <w:tabs>
          <w:tab w:val="clear" w:pos="1021"/>
          <w:tab w:val="left" w:pos="709"/>
        </w:tabs>
        <w:ind w:left="709" w:hanging="709"/>
      </w:pPr>
      <w:r w:rsidRPr="00BA504E">
        <w:t>(2)</w:t>
      </w:r>
      <w:r w:rsidRPr="00BA504E">
        <w:tab/>
        <w:t>Any information in column 3 of the table is not part of this instrument. Information may be inserted in this column, or information in it may be edited, in any published version of this instrument.</w:t>
      </w:r>
    </w:p>
    <w:p w14:paraId="76058537" w14:textId="77777777" w:rsidR="00554826" w:rsidRPr="00BA504E" w:rsidRDefault="00554826" w:rsidP="00F81539">
      <w:pPr>
        <w:pStyle w:val="ActHead5"/>
      </w:pPr>
      <w:bookmarkStart w:id="4" w:name="_Toc20744774"/>
      <w:proofErr w:type="gramStart"/>
      <w:r w:rsidRPr="00BA504E">
        <w:t>3  Authority</w:t>
      </w:r>
      <w:bookmarkEnd w:id="4"/>
      <w:proofErr w:type="gramEnd"/>
    </w:p>
    <w:p w14:paraId="4CD49361" w14:textId="77777777" w:rsidR="00554826" w:rsidRPr="00BA504E" w:rsidRDefault="00554826" w:rsidP="00F81539">
      <w:pPr>
        <w:pStyle w:val="subsection"/>
        <w:tabs>
          <w:tab w:val="clear" w:pos="1021"/>
        </w:tabs>
        <w:ind w:left="709" w:hanging="709"/>
      </w:pPr>
      <w:r w:rsidRPr="00BA504E">
        <w:tab/>
      </w:r>
      <w:r w:rsidRPr="00BA504E">
        <w:tab/>
        <w:t xml:space="preserve">This instrument is </w:t>
      </w:r>
      <w:r w:rsidR="00FF4480" w:rsidRPr="00BA504E">
        <w:t xml:space="preserve">made under subsection </w:t>
      </w:r>
      <w:proofErr w:type="gramStart"/>
      <w:r w:rsidR="00FF4480" w:rsidRPr="00BA504E">
        <w:t>3C(</w:t>
      </w:r>
      <w:proofErr w:type="gramEnd"/>
      <w:r w:rsidR="00FF4480" w:rsidRPr="00BA504E">
        <w:t xml:space="preserve">1) of the </w:t>
      </w:r>
      <w:r w:rsidR="00FF4480" w:rsidRPr="00BA504E">
        <w:rPr>
          <w:i/>
        </w:rPr>
        <w:t>Health Insurance Act 1973</w:t>
      </w:r>
      <w:r w:rsidR="009D4587" w:rsidRPr="00BA504E">
        <w:t>.</w:t>
      </w:r>
    </w:p>
    <w:p w14:paraId="1226C895" w14:textId="77777777" w:rsidR="00554826" w:rsidRPr="00BA504E" w:rsidRDefault="00495AF2" w:rsidP="00F81539">
      <w:pPr>
        <w:pStyle w:val="ActHead5"/>
      </w:pPr>
      <w:bookmarkStart w:id="5" w:name="_Toc454781205"/>
      <w:bookmarkStart w:id="6" w:name="_Toc20744775"/>
      <w:proofErr w:type="gramStart"/>
      <w:r w:rsidRPr="00BA504E">
        <w:t>4</w:t>
      </w:r>
      <w:r w:rsidR="00554826" w:rsidRPr="00BA504E">
        <w:t xml:space="preserve">  Schedules</w:t>
      </w:r>
      <w:bookmarkEnd w:id="5"/>
      <w:bookmarkEnd w:id="6"/>
      <w:proofErr w:type="gramEnd"/>
    </w:p>
    <w:p w14:paraId="74E9B585" w14:textId="77777777" w:rsidR="00554826" w:rsidRPr="00BA504E" w:rsidRDefault="00554826" w:rsidP="00F81539">
      <w:pPr>
        <w:pStyle w:val="subsection"/>
        <w:tabs>
          <w:tab w:val="clear" w:pos="1021"/>
        </w:tabs>
        <w:ind w:left="709" w:hanging="709"/>
      </w:pPr>
      <w:r w:rsidRPr="00BA504E">
        <w:tab/>
      </w:r>
      <w:r w:rsidRPr="00BA504E">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BA504E" w:rsidRDefault="00554826" w:rsidP="00F81539">
      <w:pPr>
        <w:spacing w:line="240" w:lineRule="auto"/>
        <w:rPr>
          <w:rFonts w:eastAsia="Times New Roman" w:cs="Times New Roman"/>
          <w:lang w:eastAsia="en-AU"/>
        </w:rPr>
      </w:pPr>
      <w:r w:rsidRPr="00BA504E">
        <w:br w:type="page"/>
      </w:r>
    </w:p>
    <w:p w14:paraId="3B548A03" w14:textId="77777777" w:rsidR="00FF4480" w:rsidRPr="00BA504E" w:rsidRDefault="004E1307" w:rsidP="00F81539">
      <w:pPr>
        <w:pStyle w:val="ActHead5"/>
        <w:rPr>
          <w:rFonts w:ascii="Arial" w:hAnsi="Arial" w:cs="Arial"/>
        </w:rPr>
      </w:pPr>
      <w:bookmarkStart w:id="7" w:name="_Toc20744776"/>
      <w:r w:rsidRPr="00BA504E">
        <w:rPr>
          <w:rFonts w:ascii="Arial" w:hAnsi="Arial" w:cs="Arial"/>
        </w:rPr>
        <w:lastRenderedPageBreak/>
        <w:t xml:space="preserve">Schedule </w:t>
      </w:r>
      <w:r w:rsidR="00D6537E" w:rsidRPr="00BA504E">
        <w:rPr>
          <w:rFonts w:ascii="Arial" w:hAnsi="Arial" w:cs="Arial"/>
        </w:rPr>
        <w:t>1—</w:t>
      </w:r>
      <w:r w:rsidR="009D4587" w:rsidRPr="00BA504E">
        <w:rPr>
          <w:rFonts w:ascii="Arial" w:hAnsi="Arial" w:cs="Arial"/>
        </w:rPr>
        <w:t xml:space="preserve"> Amendments</w:t>
      </w:r>
      <w:bookmarkEnd w:id="7"/>
      <w:r w:rsidR="00B763B0" w:rsidRPr="00BA504E">
        <w:rPr>
          <w:rFonts w:ascii="Arial" w:hAnsi="Arial" w:cs="Arial"/>
        </w:rPr>
        <w:t xml:space="preserve"> </w:t>
      </w:r>
    </w:p>
    <w:p w14:paraId="7F8E8FDB" w14:textId="4B1FEA7D" w:rsidR="00BE7E6C" w:rsidRPr="00BA504E" w:rsidRDefault="00BE7E6C" w:rsidP="00BE7E6C">
      <w:pPr>
        <w:pStyle w:val="ItemHead"/>
        <w:ind w:left="0" w:firstLine="0"/>
        <w:rPr>
          <w:rFonts w:ascii="Times New Roman" w:hAnsi="Times New Roman"/>
          <w:b w:val="0"/>
          <w:bCs/>
          <w:i/>
          <w:iCs/>
          <w:lang w:eastAsia="en-US"/>
        </w:rPr>
      </w:pPr>
      <w:r w:rsidRPr="00BA504E">
        <w:rPr>
          <w:rFonts w:ascii="Times New Roman" w:hAnsi="Times New Roman"/>
          <w:b w:val="0"/>
          <w:bCs/>
          <w:i/>
          <w:iCs/>
          <w:lang w:eastAsia="en-US"/>
        </w:rPr>
        <w:t>Health Insurance (Section 3C General Medical – Expansion of GP and Allied Health Mental Health Services) Determination 2020</w:t>
      </w:r>
    </w:p>
    <w:p w14:paraId="4A576A09" w14:textId="30074C47" w:rsidR="005B3F55" w:rsidRPr="00BA504E" w:rsidRDefault="00516E94" w:rsidP="00F81539">
      <w:pPr>
        <w:pStyle w:val="ItemHead"/>
        <w:numPr>
          <w:ilvl w:val="0"/>
          <w:numId w:val="21"/>
        </w:numPr>
        <w:rPr>
          <w:lang w:eastAsia="en-US"/>
        </w:rPr>
      </w:pPr>
      <w:r w:rsidRPr="00BA504E">
        <w:rPr>
          <w:lang w:eastAsia="en-US"/>
        </w:rPr>
        <w:t xml:space="preserve">Section </w:t>
      </w:r>
      <w:r w:rsidR="000178B1" w:rsidRPr="00BA504E">
        <w:rPr>
          <w:lang w:eastAsia="en-US"/>
        </w:rPr>
        <w:t>5</w:t>
      </w:r>
      <w:r w:rsidRPr="00BA504E">
        <w:rPr>
          <w:lang w:eastAsia="en-US"/>
        </w:rPr>
        <w:t xml:space="preserve"> (</w:t>
      </w:r>
      <w:r w:rsidR="000178B1" w:rsidRPr="00BA504E">
        <w:rPr>
          <w:lang w:eastAsia="en-US"/>
        </w:rPr>
        <w:t xml:space="preserve">definition of </w:t>
      </w:r>
      <w:r w:rsidR="000178B1" w:rsidRPr="00BA504E">
        <w:rPr>
          <w:i/>
          <w:iCs/>
          <w:lang w:eastAsia="en-US"/>
        </w:rPr>
        <w:t>GP mental health treatment plan</w:t>
      </w:r>
      <w:r w:rsidRPr="00BA504E">
        <w:rPr>
          <w:lang w:eastAsia="en-US"/>
        </w:rPr>
        <w:t>)</w:t>
      </w:r>
    </w:p>
    <w:p w14:paraId="168BA993" w14:textId="0A79E8DA" w:rsidR="00FF4480" w:rsidRPr="00BA504E" w:rsidRDefault="00516E94" w:rsidP="00F81539">
      <w:pPr>
        <w:pStyle w:val="Item"/>
        <w:rPr>
          <w:lang w:eastAsia="en-US"/>
        </w:rPr>
      </w:pPr>
      <w:r w:rsidRPr="00BA504E">
        <w:rPr>
          <w:lang w:eastAsia="en-US"/>
        </w:rPr>
        <w:t xml:space="preserve">Repeal </w:t>
      </w:r>
      <w:r w:rsidR="000178B1" w:rsidRPr="00BA504E">
        <w:rPr>
          <w:lang w:eastAsia="en-US"/>
        </w:rPr>
        <w:t>paragraph (d)</w:t>
      </w:r>
      <w:r w:rsidRPr="00BA504E">
        <w:rPr>
          <w:lang w:eastAsia="en-US"/>
        </w:rPr>
        <w:t xml:space="preserve"> </w:t>
      </w:r>
      <w:r w:rsidR="000178B1" w:rsidRPr="00BA504E">
        <w:rPr>
          <w:lang w:eastAsia="en-US"/>
        </w:rPr>
        <w:t>of the definition</w:t>
      </w:r>
      <w:r w:rsidRPr="00BA504E">
        <w:rPr>
          <w:lang w:eastAsia="en-US"/>
        </w:rPr>
        <w:t>, substitute:</w:t>
      </w:r>
    </w:p>
    <w:p w14:paraId="6721E3F2" w14:textId="7B02BC53" w:rsidR="004A1C83" w:rsidRPr="00BA504E" w:rsidRDefault="000178B1" w:rsidP="00B478F7">
      <w:pPr>
        <w:pStyle w:val="definition0"/>
        <w:spacing w:before="40" w:beforeAutospacing="0" w:after="0" w:afterAutospacing="0"/>
        <w:ind w:left="1560" w:hanging="426"/>
        <w:rPr>
          <w:sz w:val="22"/>
          <w:szCs w:val="22"/>
        </w:rPr>
      </w:pPr>
      <w:r w:rsidRPr="00BA504E">
        <w:rPr>
          <w:sz w:val="22"/>
          <w:szCs w:val="22"/>
        </w:rPr>
        <w:t>(d) items 93400 to 9340</w:t>
      </w:r>
      <w:r w:rsidR="00947239" w:rsidRPr="00BA504E">
        <w:rPr>
          <w:sz w:val="22"/>
          <w:szCs w:val="22"/>
        </w:rPr>
        <w:t>7</w:t>
      </w:r>
      <w:r w:rsidRPr="00BA504E">
        <w:rPr>
          <w:sz w:val="22"/>
          <w:szCs w:val="22"/>
        </w:rPr>
        <w:t xml:space="preserve"> and 93431 to </w:t>
      </w:r>
      <w:r w:rsidR="00947239" w:rsidRPr="00BA504E">
        <w:rPr>
          <w:sz w:val="22"/>
          <w:szCs w:val="22"/>
        </w:rPr>
        <w:t>93438</w:t>
      </w:r>
      <w:r w:rsidRPr="00BA504E">
        <w:rPr>
          <w:sz w:val="22"/>
          <w:szCs w:val="22"/>
        </w:rPr>
        <w:t xml:space="preserve"> of this Determination</w:t>
      </w:r>
      <w:r w:rsidR="00C807B6" w:rsidRPr="00BA504E">
        <w:rPr>
          <w:sz w:val="22"/>
          <w:szCs w:val="22"/>
        </w:rPr>
        <w:t>.</w:t>
      </w:r>
    </w:p>
    <w:p w14:paraId="21231722" w14:textId="094E5697" w:rsidR="004A1C83" w:rsidRPr="00BA504E" w:rsidRDefault="004A1C83" w:rsidP="00F81539">
      <w:pPr>
        <w:pStyle w:val="ItemHead"/>
        <w:numPr>
          <w:ilvl w:val="0"/>
          <w:numId w:val="21"/>
        </w:numPr>
        <w:rPr>
          <w:lang w:eastAsia="en-US"/>
        </w:rPr>
      </w:pPr>
      <w:r w:rsidRPr="00BA504E">
        <w:rPr>
          <w:lang w:eastAsia="en-US"/>
        </w:rPr>
        <w:t>Subsections 10(3) and (4)</w:t>
      </w:r>
    </w:p>
    <w:p w14:paraId="5A3B49BE" w14:textId="510963B8" w:rsidR="004A1C83" w:rsidRPr="00BA504E" w:rsidRDefault="004A1C83" w:rsidP="00F81539">
      <w:pPr>
        <w:pStyle w:val="Item"/>
        <w:rPr>
          <w:lang w:eastAsia="en-US"/>
        </w:rPr>
      </w:pPr>
      <w:r w:rsidRPr="00BA504E">
        <w:rPr>
          <w:lang w:eastAsia="en-US"/>
        </w:rPr>
        <w:t>Repeal the subsections</w:t>
      </w:r>
      <w:r w:rsidR="004D328D" w:rsidRPr="00BA504E">
        <w:rPr>
          <w:lang w:eastAsia="en-US"/>
        </w:rPr>
        <w:t xml:space="preserve"> (excluding the subsection headings and notes)</w:t>
      </w:r>
      <w:r w:rsidRPr="00BA504E">
        <w:rPr>
          <w:lang w:eastAsia="en-US"/>
        </w:rPr>
        <w:t>, substitute:</w:t>
      </w:r>
    </w:p>
    <w:p w14:paraId="67696C7D" w14:textId="77AA29DC" w:rsidR="004A1C83" w:rsidRPr="00BA504E" w:rsidRDefault="004A1C83" w:rsidP="00F81539">
      <w:pPr>
        <w:pStyle w:val="subsection"/>
        <w:ind w:left="720" w:hanging="360"/>
        <w:rPr>
          <w:shd w:val="clear" w:color="auto" w:fill="FFFFFF"/>
        </w:rPr>
      </w:pPr>
      <w:r w:rsidRPr="00BA504E">
        <w:rPr>
          <w:rFonts w:eastAsiaTheme="minorHAnsi"/>
        </w:rPr>
        <w:t>(3)</w:t>
      </w:r>
      <w:r w:rsidRPr="00BA504E">
        <w:rPr>
          <w:rFonts w:eastAsiaTheme="minorHAnsi"/>
        </w:rPr>
        <w:tab/>
      </w:r>
      <w:r w:rsidRPr="00BA504E">
        <w:rPr>
          <w:shd w:val="clear" w:color="auto" w:fill="FFFFFF"/>
        </w:rPr>
        <w:t xml:space="preserve">Items 93400 to 93407 and 93431 to 93439 do not apply to a service to which items 80020, 80021, 80120, 80121, 80145, 80146, 80170 and 80171 of the </w:t>
      </w:r>
      <w:r w:rsidR="00B97BAA" w:rsidRPr="00BA504E">
        <w:rPr>
          <w:shd w:val="clear" w:color="auto" w:fill="FFFFFF"/>
        </w:rPr>
        <w:t>A</w:t>
      </w:r>
      <w:r w:rsidRPr="00BA504E">
        <w:rPr>
          <w:shd w:val="clear" w:color="auto" w:fill="FFFFFF"/>
        </w:rPr>
        <w:t xml:space="preserve">llied </w:t>
      </w:r>
      <w:r w:rsidR="00B97BAA" w:rsidRPr="00BA504E">
        <w:rPr>
          <w:shd w:val="clear" w:color="auto" w:fill="FFFFFF"/>
        </w:rPr>
        <w:t>H</w:t>
      </w:r>
      <w:r w:rsidRPr="00BA504E">
        <w:rPr>
          <w:shd w:val="clear" w:color="auto" w:fill="FFFFFF"/>
        </w:rPr>
        <w:t xml:space="preserve">ealth </w:t>
      </w:r>
      <w:r w:rsidR="00B97BAA" w:rsidRPr="00BA504E">
        <w:rPr>
          <w:shd w:val="clear" w:color="auto" w:fill="FFFFFF"/>
        </w:rPr>
        <w:t>S</w:t>
      </w:r>
      <w:r w:rsidRPr="00BA504E">
        <w:rPr>
          <w:shd w:val="clear" w:color="auto" w:fill="FFFFFF"/>
        </w:rPr>
        <w:t xml:space="preserve">ervices </w:t>
      </w:r>
      <w:r w:rsidR="00B97BAA" w:rsidRPr="00BA504E">
        <w:rPr>
          <w:shd w:val="clear" w:color="auto" w:fill="FFFFFF"/>
        </w:rPr>
        <w:t>D</w:t>
      </w:r>
      <w:r w:rsidRPr="00BA504E">
        <w:rPr>
          <w:shd w:val="clear" w:color="auto" w:fill="FFFFFF"/>
        </w:rPr>
        <w:t>etermination apply.</w:t>
      </w:r>
    </w:p>
    <w:p w14:paraId="0634EFE8" w14:textId="6ED90E2C" w:rsidR="004A1C83" w:rsidRPr="00BA504E" w:rsidRDefault="004A1C83" w:rsidP="00F81539">
      <w:pPr>
        <w:pStyle w:val="subsection"/>
        <w:ind w:left="720" w:hanging="360"/>
        <w:rPr>
          <w:shd w:val="clear" w:color="auto" w:fill="FFFFFF"/>
        </w:rPr>
      </w:pPr>
      <w:r w:rsidRPr="00BA504E">
        <w:rPr>
          <w:rFonts w:eastAsiaTheme="minorHAnsi"/>
        </w:rPr>
        <w:t>(4)</w:t>
      </w:r>
      <w:r w:rsidRPr="00BA504E">
        <w:rPr>
          <w:rFonts w:eastAsiaTheme="minorHAnsi"/>
        </w:rPr>
        <w:tab/>
      </w:r>
      <w:r w:rsidRPr="00BA504E">
        <w:rPr>
          <w:shd w:val="clear" w:color="auto" w:fill="FFFFFF"/>
        </w:rPr>
        <w:t>Items 93402, 93403, 93406, 93407, 93433, 93434, 93437 and 93438 apply only if the medical practitioner providing the service has successfully completed mental health skills training accredited by the General Practice Mental Health Standards Collaboration.</w:t>
      </w:r>
    </w:p>
    <w:p w14:paraId="5571D574" w14:textId="3355697D" w:rsidR="004D328D" w:rsidRPr="00BA504E" w:rsidRDefault="004D328D" w:rsidP="00F81539">
      <w:pPr>
        <w:pStyle w:val="ItemHead"/>
        <w:numPr>
          <w:ilvl w:val="0"/>
          <w:numId w:val="21"/>
        </w:numPr>
        <w:rPr>
          <w:lang w:eastAsia="en-US"/>
        </w:rPr>
      </w:pPr>
      <w:r w:rsidRPr="00BA504E">
        <w:rPr>
          <w:lang w:eastAsia="en-US"/>
        </w:rPr>
        <w:t xml:space="preserve">Schedule 2 (items </w:t>
      </w:r>
      <w:r w:rsidR="00F81539" w:rsidRPr="00BA504E">
        <w:rPr>
          <w:lang w:eastAsia="en-US"/>
        </w:rPr>
        <w:t>93408, 93409, 93410, 93411, 93439, 93440, 93441, 93442</w:t>
      </w:r>
      <w:r w:rsidRPr="00BA504E">
        <w:rPr>
          <w:lang w:eastAsia="en-US"/>
        </w:rPr>
        <w:t>)</w:t>
      </w:r>
    </w:p>
    <w:p w14:paraId="0AC8F2B7" w14:textId="1BD8B11F" w:rsidR="00DE4EF6" w:rsidRPr="00F4466C" w:rsidRDefault="004D328D" w:rsidP="00F4466C">
      <w:pPr>
        <w:pStyle w:val="Item"/>
        <w:rPr>
          <w:lang w:eastAsia="en-US"/>
        </w:rPr>
      </w:pPr>
      <w:r w:rsidRPr="00BA504E">
        <w:rPr>
          <w:lang w:eastAsia="en-US"/>
        </w:rPr>
        <w:t xml:space="preserve">Repeal the </w:t>
      </w:r>
      <w:r w:rsidR="00F81539" w:rsidRPr="00BA504E">
        <w:rPr>
          <w:lang w:eastAsia="en-US"/>
        </w:rPr>
        <w:t>items.</w:t>
      </w:r>
    </w:p>
    <w:sectPr w:rsidR="00DE4EF6" w:rsidRPr="00F4466C"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F81539" w:rsidRDefault="00F81539" w:rsidP="00715914">
      <w:pPr>
        <w:spacing w:line="240" w:lineRule="auto"/>
      </w:pPr>
      <w:r>
        <w:separator/>
      </w:r>
    </w:p>
  </w:endnote>
  <w:endnote w:type="continuationSeparator" w:id="0">
    <w:p w14:paraId="00C8CF1A" w14:textId="77777777" w:rsidR="00F81539" w:rsidRDefault="00F8153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F81539" w:rsidRPr="00E33C1C" w:rsidRDefault="00F8153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81539" w14:paraId="7A9C1507" w14:textId="77777777" w:rsidTr="00B33709">
      <w:tc>
        <w:tcPr>
          <w:tcW w:w="709" w:type="dxa"/>
          <w:tcBorders>
            <w:top w:val="nil"/>
            <w:left w:val="nil"/>
            <w:bottom w:val="nil"/>
            <w:right w:val="nil"/>
          </w:tcBorders>
        </w:tcPr>
        <w:p w14:paraId="72FF7035" w14:textId="77777777" w:rsidR="00F81539" w:rsidRDefault="00F8153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453A911B" w:rsidR="00F81539" w:rsidRPr="004E1307" w:rsidRDefault="00F8153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3CB2">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1383" w:type="dxa"/>
          <w:tcBorders>
            <w:top w:val="nil"/>
            <w:left w:val="nil"/>
            <w:bottom w:val="nil"/>
            <w:right w:val="nil"/>
          </w:tcBorders>
        </w:tcPr>
        <w:p w14:paraId="7963896D" w14:textId="77777777" w:rsidR="00F81539" w:rsidRDefault="00F81539" w:rsidP="00A369E3">
          <w:pPr>
            <w:spacing w:line="0" w:lineRule="atLeast"/>
            <w:jc w:val="right"/>
            <w:rPr>
              <w:sz w:val="18"/>
            </w:rPr>
          </w:pPr>
        </w:p>
      </w:tc>
    </w:tr>
    <w:tr w:rsidR="00F81539"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F81539" w:rsidRDefault="00F81539" w:rsidP="00A369E3">
          <w:pPr>
            <w:jc w:val="right"/>
            <w:rPr>
              <w:sz w:val="18"/>
            </w:rPr>
          </w:pPr>
        </w:p>
      </w:tc>
    </w:tr>
  </w:tbl>
  <w:p w14:paraId="41BC7DA5" w14:textId="77777777" w:rsidR="00F81539" w:rsidRPr="00ED79B6" w:rsidRDefault="00F8153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F81539" w:rsidRPr="00E33C1C" w:rsidRDefault="00F8153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81539" w14:paraId="547D1AC2" w14:textId="77777777" w:rsidTr="00A369E3">
      <w:tc>
        <w:tcPr>
          <w:tcW w:w="1384" w:type="dxa"/>
          <w:tcBorders>
            <w:top w:val="nil"/>
            <w:left w:val="nil"/>
            <w:bottom w:val="nil"/>
            <w:right w:val="nil"/>
          </w:tcBorders>
        </w:tcPr>
        <w:p w14:paraId="5588C78E" w14:textId="77777777" w:rsidR="00F81539" w:rsidRDefault="00F81539" w:rsidP="00A369E3">
          <w:pPr>
            <w:spacing w:line="0" w:lineRule="atLeast"/>
            <w:rPr>
              <w:sz w:val="18"/>
            </w:rPr>
          </w:pPr>
        </w:p>
      </w:tc>
      <w:tc>
        <w:tcPr>
          <w:tcW w:w="6379" w:type="dxa"/>
          <w:tcBorders>
            <w:top w:val="nil"/>
            <w:left w:val="nil"/>
            <w:bottom w:val="nil"/>
            <w:right w:val="nil"/>
          </w:tcBorders>
        </w:tcPr>
        <w:p w14:paraId="7B5C635B" w14:textId="385E46D7" w:rsidR="00F81539" w:rsidRDefault="00F8153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3CB2">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709" w:type="dxa"/>
          <w:tcBorders>
            <w:top w:val="nil"/>
            <w:left w:val="nil"/>
            <w:bottom w:val="nil"/>
            <w:right w:val="nil"/>
          </w:tcBorders>
        </w:tcPr>
        <w:p w14:paraId="225C92EC" w14:textId="77777777" w:rsidR="00F81539" w:rsidRDefault="00F8153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81539"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F81539" w:rsidRDefault="00F81539" w:rsidP="00A369E3">
          <w:pPr>
            <w:rPr>
              <w:sz w:val="18"/>
            </w:rPr>
          </w:pPr>
        </w:p>
      </w:tc>
    </w:tr>
  </w:tbl>
  <w:p w14:paraId="1B991271" w14:textId="77777777" w:rsidR="00F81539" w:rsidRPr="00ED79B6" w:rsidRDefault="00F8153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F81539" w:rsidRPr="00E33C1C" w:rsidRDefault="00F8153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F81539" w14:paraId="684E4D14" w14:textId="77777777" w:rsidTr="00B33709">
      <w:tc>
        <w:tcPr>
          <w:tcW w:w="1384" w:type="dxa"/>
          <w:tcBorders>
            <w:top w:val="nil"/>
            <w:left w:val="nil"/>
            <w:bottom w:val="nil"/>
            <w:right w:val="nil"/>
          </w:tcBorders>
        </w:tcPr>
        <w:p w14:paraId="5AB80F97" w14:textId="77777777" w:rsidR="00F81539" w:rsidRDefault="00F81539" w:rsidP="00A369E3">
          <w:pPr>
            <w:spacing w:line="0" w:lineRule="atLeast"/>
            <w:rPr>
              <w:sz w:val="18"/>
            </w:rPr>
          </w:pPr>
        </w:p>
      </w:tc>
      <w:tc>
        <w:tcPr>
          <w:tcW w:w="6379" w:type="dxa"/>
          <w:tcBorders>
            <w:top w:val="nil"/>
            <w:left w:val="nil"/>
            <w:bottom w:val="nil"/>
            <w:right w:val="nil"/>
          </w:tcBorders>
        </w:tcPr>
        <w:p w14:paraId="623B055F" w14:textId="77777777" w:rsidR="00F81539" w:rsidRDefault="00F81539" w:rsidP="00A369E3">
          <w:pPr>
            <w:spacing w:line="0" w:lineRule="atLeast"/>
            <w:jc w:val="center"/>
            <w:rPr>
              <w:sz w:val="18"/>
            </w:rPr>
          </w:pPr>
        </w:p>
      </w:tc>
      <w:tc>
        <w:tcPr>
          <w:tcW w:w="709" w:type="dxa"/>
          <w:tcBorders>
            <w:top w:val="nil"/>
            <w:left w:val="nil"/>
            <w:bottom w:val="nil"/>
            <w:right w:val="nil"/>
          </w:tcBorders>
        </w:tcPr>
        <w:p w14:paraId="0D49EE79" w14:textId="77777777" w:rsidR="00F81539" w:rsidRDefault="00F81539" w:rsidP="00A369E3">
          <w:pPr>
            <w:spacing w:line="0" w:lineRule="atLeast"/>
            <w:jc w:val="right"/>
            <w:rPr>
              <w:sz w:val="18"/>
            </w:rPr>
          </w:pPr>
        </w:p>
      </w:tc>
    </w:tr>
  </w:tbl>
  <w:p w14:paraId="1EEFF027" w14:textId="77777777" w:rsidR="00F81539" w:rsidRPr="00ED79B6" w:rsidRDefault="00F8153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F81539" w:rsidRPr="002B0EA5" w:rsidRDefault="00F8153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81539" w14:paraId="3C05DE38" w14:textId="77777777" w:rsidTr="000E05F9">
      <w:tc>
        <w:tcPr>
          <w:tcW w:w="365" w:type="pct"/>
        </w:tcPr>
        <w:p w14:paraId="66C24B85" w14:textId="77777777" w:rsidR="00F81539" w:rsidRDefault="00F8153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40E0378D" w:rsidR="00F81539" w:rsidRDefault="00F8153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3CB2">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947" w:type="pct"/>
        </w:tcPr>
        <w:p w14:paraId="6DD5BECE" w14:textId="77777777" w:rsidR="00F81539" w:rsidRDefault="00F81539" w:rsidP="000E05F9">
          <w:pPr>
            <w:spacing w:line="0" w:lineRule="atLeast"/>
            <w:jc w:val="right"/>
            <w:rPr>
              <w:sz w:val="18"/>
            </w:rPr>
          </w:pPr>
        </w:p>
      </w:tc>
    </w:tr>
    <w:tr w:rsidR="00F81539" w14:paraId="31FC1FAD" w14:textId="77777777" w:rsidTr="000E05F9">
      <w:tc>
        <w:tcPr>
          <w:tcW w:w="5000" w:type="pct"/>
          <w:gridSpan w:val="3"/>
        </w:tcPr>
        <w:p w14:paraId="482AEE13" w14:textId="77777777" w:rsidR="00F81539" w:rsidRDefault="00F81539" w:rsidP="000E05F9">
          <w:pPr>
            <w:jc w:val="right"/>
            <w:rPr>
              <w:sz w:val="18"/>
            </w:rPr>
          </w:pPr>
        </w:p>
      </w:tc>
    </w:tr>
  </w:tbl>
  <w:p w14:paraId="30580258" w14:textId="77777777" w:rsidR="00F81539" w:rsidRPr="00ED79B6" w:rsidRDefault="00F81539"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F81539" w:rsidRPr="002B0EA5" w:rsidRDefault="00F8153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81539" w14:paraId="16C96B4D" w14:textId="77777777" w:rsidTr="000E05F9">
      <w:tc>
        <w:tcPr>
          <w:tcW w:w="947" w:type="pct"/>
        </w:tcPr>
        <w:p w14:paraId="0850382C" w14:textId="77777777" w:rsidR="00F81539" w:rsidRDefault="00F81539" w:rsidP="000E05F9">
          <w:pPr>
            <w:spacing w:line="0" w:lineRule="atLeast"/>
            <w:rPr>
              <w:sz w:val="18"/>
            </w:rPr>
          </w:pPr>
        </w:p>
      </w:tc>
      <w:tc>
        <w:tcPr>
          <w:tcW w:w="3688" w:type="pct"/>
        </w:tcPr>
        <w:p w14:paraId="0887953A" w14:textId="3D4F3228" w:rsidR="00F81539" w:rsidRDefault="00F8153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504E">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365" w:type="pct"/>
        </w:tcPr>
        <w:p w14:paraId="5474901C" w14:textId="2613340A" w:rsidR="00F81539" w:rsidRDefault="00F8153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504E">
            <w:rPr>
              <w:i/>
              <w:noProof/>
              <w:sz w:val="18"/>
            </w:rPr>
            <w:t>i</w:t>
          </w:r>
          <w:r w:rsidRPr="00ED79B6">
            <w:rPr>
              <w:i/>
              <w:sz w:val="18"/>
            </w:rPr>
            <w:fldChar w:fldCharType="end"/>
          </w:r>
        </w:p>
      </w:tc>
    </w:tr>
    <w:tr w:rsidR="00F81539" w14:paraId="783563EC" w14:textId="77777777" w:rsidTr="000E05F9">
      <w:tc>
        <w:tcPr>
          <w:tcW w:w="5000" w:type="pct"/>
          <w:gridSpan w:val="3"/>
        </w:tcPr>
        <w:p w14:paraId="48261661" w14:textId="77777777" w:rsidR="00F81539" w:rsidRDefault="00F81539" w:rsidP="000E05F9">
          <w:pPr>
            <w:rPr>
              <w:sz w:val="18"/>
            </w:rPr>
          </w:pPr>
        </w:p>
      </w:tc>
    </w:tr>
  </w:tbl>
  <w:p w14:paraId="33474906" w14:textId="77777777" w:rsidR="00F81539" w:rsidRPr="00ED79B6" w:rsidRDefault="00F81539"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F81539" w:rsidRPr="002B0EA5" w:rsidRDefault="00F8153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81539" w14:paraId="44C0DBC8" w14:textId="77777777" w:rsidTr="000E05F9">
      <w:tc>
        <w:tcPr>
          <w:tcW w:w="365" w:type="pct"/>
        </w:tcPr>
        <w:p w14:paraId="25BE9428" w14:textId="00C3FC66" w:rsidR="00F81539" w:rsidRDefault="00F8153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504E">
            <w:rPr>
              <w:i/>
              <w:noProof/>
              <w:sz w:val="18"/>
            </w:rPr>
            <w:t>2</w:t>
          </w:r>
          <w:r w:rsidRPr="00ED79B6">
            <w:rPr>
              <w:i/>
              <w:sz w:val="18"/>
            </w:rPr>
            <w:fldChar w:fldCharType="end"/>
          </w:r>
        </w:p>
      </w:tc>
      <w:tc>
        <w:tcPr>
          <w:tcW w:w="3688" w:type="pct"/>
        </w:tcPr>
        <w:p w14:paraId="1B46842C" w14:textId="68E8CEDD" w:rsidR="00F81539" w:rsidRDefault="00F81539" w:rsidP="00F4466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504E">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947" w:type="pct"/>
        </w:tcPr>
        <w:p w14:paraId="7B4943F4" w14:textId="77777777" w:rsidR="00F81539" w:rsidRDefault="00F81539" w:rsidP="000E05F9">
          <w:pPr>
            <w:spacing w:line="0" w:lineRule="atLeast"/>
            <w:jc w:val="right"/>
            <w:rPr>
              <w:sz w:val="18"/>
            </w:rPr>
          </w:pPr>
        </w:p>
      </w:tc>
    </w:tr>
    <w:tr w:rsidR="00F81539" w14:paraId="145A34D1" w14:textId="77777777" w:rsidTr="000E05F9">
      <w:tc>
        <w:tcPr>
          <w:tcW w:w="5000" w:type="pct"/>
          <w:gridSpan w:val="3"/>
        </w:tcPr>
        <w:p w14:paraId="35BC501D" w14:textId="77777777" w:rsidR="00F81539" w:rsidRDefault="00F81539" w:rsidP="00F4466C">
          <w:pPr>
            <w:jc w:val="center"/>
            <w:rPr>
              <w:sz w:val="18"/>
            </w:rPr>
          </w:pPr>
        </w:p>
      </w:tc>
    </w:tr>
  </w:tbl>
  <w:p w14:paraId="63A8E5F4" w14:textId="77777777" w:rsidR="00F81539" w:rsidRPr="00ED79B6" w:rsidRDefault="00F81539"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F81539" w:rsidRPr="002B0EA5" w:rsidRDefault="00F8153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81539" w14:paraId="5DBDFC33" w14:textId="77777777" w:rsidTr="000E05F9">
      <w:tc>
        <w:tcPr>
          <w:tcW w:w="947" w:type="pct"/>
        </w:tcPr>
        <w:p w14:paraId="5B00D949" w14:textId="77777777" w:rsidR="00F81539" w:rsidRDefault="00F81539" w:rsidP="000E05F9">
          <w:pPr>
            <w:spacing w:line="0" w:lineRule="atLeast"/>
            <w:rPr>
              <w:sz w:val="18"/>
            </w:rPr>
          </w:pPr>
        </w:p>
      </w:tc>
      <w:tc>
        <w:tcPr>
          <w:tcW w:w="3688" w:type="pct"/>
        </w:tcPr>
        <w:p w14:paraId="4A9C99D0" w14:textId="3AF78110" w:rsidR="00F81539" w:rsidRDefault="00F8153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504E">
            <w:rPr>
              <w:i/>
              <w:noProof/>
              <w:sz w:val="18"/>
            </w:rPr>
            <w:t>Health Insurance Legislation Amendment (Section 3C General Medical Services – Cease GP Mental Health Treatment Plan Phone Services) Determination 2021</w:t>
          </w:r>
          <w:r w:rsidRPr="004E1307">
            <w:rPr>
              <w:i/>
              <w:sz w:val="18"/>
            </w:rPr>
            <w:fldChar w:fldCharType="end"/>
          </w:r>
        </w:p>
      </w:tc>
      <w:tc>
        <w:tcPr>
          <w:tcW w:w="365" w:type="pct"/>
        </w:tcPr>
        <w:p w14:paraId="74C5A7A9" w14:textId="7702D6B3" w:rsidR="00F81539" w:rsidRDefault="00F8153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504E">
            <w:rPr>
              <w:i/>
              <w:noProof/>
              <w:sz w:val="18"/>
            </w:rPr>
            <w:t>1</w:t>
          </w:r>
          <w:r w:rsidRPr="00ED79B6">
            <w:rPr>
              <w:i/>
              <w:sz w:val="18"/>
            </w:rPr>
            <w:fldChar w:fldCharType="end"/>
          </w:r>
        </w:p>
      </w:tc>
    </w:tr>
    <w:tr w:rsidR="00F81539" w14:paraId="5D550B5F" w14:textId="77777777" w:rsidTr="000E05F9">
      <w:tc>
        <w:tcPr>
          <w:tcW w:w="5000" w:type="pct"/>
          <w:gridSpan w:val="3"/>
        </w:tcPr>
        <w:p w14:paraId="5C810977" w14:textId="77777777" w:rsidR="00F81539" w:rsidRDefault="00F81539" w:rsidP="000E05F9">
          <w:pPr>
            <w:rPr>
              <w:sz w:val="18"/>
            </w:rPr>
          </w:pPr>
        </w:p>
      </w:tc>
    </w:tr>
  </w:tbl>
  <w:p w14:paraId="22A21FFE" w14:textId="77777777" w:rsidR="00F81539" w:rsidRPr="00ED79B6" w:rsidRDefault="00F81539"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F81539" w:rsidRDefault="00F81539" w:rsidP="00715914">
      <w:pPr>
        <w:spacing w:line="240" w:lineRule="auto"/>
      </w:pPr>
      <w:r>
        <w:separator/>
      </w:r>
    </w:p>
  </w:footnote>
  <w:footnote w:type="continuationSeparator" w:id="0">
    <w:p w14:paraId="12372923" w14:textId="77777777" w:rsidR="00F81539" w:rsidRDefault="00F8153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F81539" w:rsidRPr="005F1388" w:rsidRDefault="00F8153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F81539" w:rsidRPr="005F1388" w:rsidRDefault="00F8153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F81539" w:rsidRPr="00ED79B6" w:rsidRDefault="00F81539"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F81539" w:rsidRPr="00ED79B6" w:rsidRDefault="00F81539"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F81539" w:rsidRPr="00ED79B6" w:rsidRDefault="00F81539"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F81539" w:rsidRDefault="00F81539" w:rsidP="00715914">
    <w:pPr>
      <w:rPr>
        <w:sz w:val="20"/>
      </w:rPr>
    </w:pPr>
  </w:p>
  <w:p w14:paraId="6C624911" w14:textId="77777777" w:rsidR="00F81539" w:rsidRDefault="00F81539" w:rsidP="00715914">
    <w:pPr>
      <w:rPr>
        <w:sz w:val="20"/>
      </w:rPr>
    </w:pPr>
  </w:p>
  <w:p w14:paraId="1199FB21" w14:textId="77777777" w:rsidR="00F81539" w:rsidRPr="007A1328" w:rsidRDefault="00F81539" w:rsidP="00715914">
    <w:pPr>
      <w:rPr>
        <w:sz w:val="20"/>
      </w:rPr>
    </w:pPr>
  </w:p>
  <w:p w14:paraId="5B43CE78" w14:textId="77777777" w:rsidR="00F81539" w:rsidRPr="007A1328" w:rsidRDefault="00F81539" w:rsidP="00715914">
    <w:pPr>
      <w:rPr>
        <w:b/>
        <w:sz w:val="24"/>
      </w:rPr>
    </w:pPr>
  </w:p>
  <w:p w14:paraId="5354B53F" w14:textId="77777777" w:rsidR="00F81539" w:rsidRPr="007A1328" w:rsidRDefault="00F81539"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F81539" w:rsidRPr="007A1328" w:rsidRDefault="00F81539" w:rsidP="00715914">
    <w:pPr>
      <w:jc w:val="right"/>
      <w:rPr>
        <w:sz w:val="20"/>
      </w:rPr>
    </w:pPr>
  </w:p>
  <w:p w14:paraId="4D4D5754" w14:textId="77777777" w:rsidR="00F81539" w:rsidRPr="007A1328" w:rsidRDefault="00F81539" w:rsidP="00715914">
    <w:pPr>
      <w:jc w:val="right"/>
      <w:rPr>
        <w:sz w:val="20"/>
      </w:rPr>
    </w:pPr>
  </w:p>
  <w:p w14:paraId="2B1C22A9" w14:textId="77777777" w:rsidR="00F81539" w:rsidRPr="007A1328" w:rsidRDefault="00F81539" w:rsidP="00715914">
    <w:pPr>
      <w:jc w:val="right"/>
      <w:rPr>
        <w:sz w:val="20"/>
      </w:rPr>
    </w:pPr>
  </w:p>
  <w:p w14:paraId="716A6B82" w14:textId="77777777" w:rsidR="00F81539" w:rsidRPr="007A1328" w:rsidRDefault="00F81539" w:rsidP="00715914">
    <w:pPr>
      <w:jc w:val="right"/>
      <w:rPr>
        <w:b/>
        <w:sz w:val="24"/>
      </w:rPr>
    </w:pPr>
  </w:p>
  <w:p w14:paraId="1AAB4A52" w14:textId="77777777" w:rsidR="00F81539" w:rsidRPr="007A1328" w:rsidRDefault="00F8153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200F69"/>
    <w:multiLevelType w:val="hybridMultilevel"/>
    <w:tmpl w:val="9E828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10"/>
  </w:num>
  <w:num w:numId="15">
    <w:abstractNumId w:val="16"/>
  </w:num>
  <w:num w:numId="16">
    <w:abstractNumId w:val="12"/>
  </w:num>
  <w:num w:numId="17">
    <w:abstractNumId w:val="20"/>
  </w:num>
  <w:num w:numId="18">
    <w:abstractNumId w:val="14"/>
  </w:num>
  <w:num w:numId="19">
    <w:abstractNumId w:val="1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178B1"/>
    <w:rsid w:val="000258B1"/>
    <w:rsid w:val="00037A04"/>
    <w:rsid w:val="00040A89"/>
    <w:rsid w:val="0004338F"/>
    <w:rsid w:val="000437C1"/>
    <w:rsid w:val="0004455A"/>
    <w:rsid w:val="0005365D"/>
    <w:rsid w:val="000614BF"/>
    <w:rsid w:val="0006709C"/>
    <w:rsid w:val="0007420A"/>
    <w:rsid w:val="00074376"/>
    <w:rsid w:val="000872E3"/>
    <w:rsid w:val="000978F5"/>
    <w:rsid w:val="000B15CD"/>
    <w:rsid w:val="000B35EB"/>
    <w:rsid w:val="000D05EF"/>
    <w:rsid w:val="000D3246"/>
    <w:rsid w:val="000D536F"/>
    <w:rsid w:val="000E05F9"/>
    <w:rsid w:val="000E2261"/>
    <w:rsid w:val="000E78B7"/>
    <w:rsid w:val="000F21C1"/>
    <w:rsid w:val="001013CE"/>
    <w:rsid w:val="0010745C"/>
    <w:rsid w:val="00116469"/>
    <w:rsid w:val="00131922"/>
    <w:rsid w:val="00132CEB"/>
    <w:rsid w:val="001339B0"/>
    <w:rsid w:val="00142B62"/>
    <w:rsid w:val="001441B7"/>
    <w:rsid w:val="001516CB"/>
    <w:rsid w:val="00152336"/>
    <w:rsid w:val="00157B8B"/>
    <w:rsid w:val="00166C2F"/>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736C"/>
    <w:rsid w:val="00280E43"/>
    <w:rsid w:val="00281308"/>
    <w:rsid w:val="00283C8F"/>
    <w:rsid w:val="00283E94"/>
    <w:rsid w:val="00284719"/>
    <w:rsid w:val="00285A0F"/>
    <w:rsid w:val="00297ECB"/>
    <w:rsid w:val="002A7BCF"/>
    <w:rsid w:val="002C3FD1"/>
    <w:rsid w:val="002D043A"/>
    <w:rsid w:val="002D266B"/>
    <w:rsid w:val="002D6224"/>
    <w:rsid w:val="002F2EF1"/>
    <w:rsid w:val="00304F8B"/>
    <w:rsid w:val="00315049"/>
    <w:rsid w:val="00335BC6"/>
    <w:rsid w:val="003415D3"/>
    <w:rsid w:val="00344338"/>
    <w:rsid w:val="00344701"/>
    <w:rsid w:val="00347A5B"/>
    <w:rsid w:val="00352B0F"/>
    <w:rsid w:val="00355B22"/>
    <w:rsid w:val="00360459"/>
    <w:rsid w:val="0038049F"/>
    <w:rsid w:val="003820E6"/>
    <w:rsid w:val="003B0A72"/>
    <w:rsid w:val="003C170F"/>
    <w:rsid w:val="003C6231"/>
    <w:rsid w:val="003D0BFE"/>
    <w:rsid w:val="003D5700"/>
    <w:rsid w:val="003E2302"/>
    <w:rsid w:val="003E341B"/>
    <w:rsid w:val="003E4D00"/>
    <w:rsid w:val="003E73C0"/>
    <w:rsid w:val="0040393C"/>
    <w:rsid w:val="004116CD"/>
    <w:rsid w:val="00417EB9"/>
    <w:rsid w:val="00424CA9"/>
    <w:rsid w:val="004276DF"/>
    <w:rsid w:val="00431E9B"/>
    <w:rsid w:val="004379E3"/>
    <w:rsid w:val="0044015E"/>
    <w:rsid w:val="0044291A"/>
    <w:rsid w:val="00467661"/>
    <w:rsid w:val="00472DBE"/>
    <w:rsid w:val="00474A19"/>
    <w:rsid w:val="00477830"/>
    <w:rsid w:val="00481A23"/>
    <w:rsid w:val="00487764"/>
    <w:rsid w:val="004940C4"/>
    <w:rsid w:val="00495AF2"/>
    <w:rsid w:val="00496F97"/>
    <w:rsid w:val="004A1C83"/>
    <w:rsid w:val="004A438A"/>
    <w:rsid w:val="004B6C48"/>
    <w:rsid w:val="004C4E59"/>
    <w:rsid w:val="004C6809"/>
    <w:rsid w:val="004D328D"/>
    <w:rsid w:val="004E063A"/>
    <w:rsid w:val="004E1307"/>
    <w:rsid w:val="004E7BEC"/>
    <w:rsid w:val="00505D3D"/>
    <w:rsid w:val="00506AF6"/>
    <w:rsid w:val="00516B8D"/>
    <w:rsid w:val="00516E94"/>
    <w:rsid w:val="005303C8"/>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F7F"/>
    <w:rsid w:val="005F30B6"/>
    <w:rsid w:val="00600219"/>
    <w:rsid w:val="00604F2A"/>
    <w:rsid w:val="00606F09"/>
    <w:rsid w:val="00620076"/>
    <w:rsid w:val="00627E0A"/>
    <w:rsid w:val="00642331"/>
    <w:rsid w:val="006443F2"/>
    <w:rsid w:val="0065488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1D5D"/>
    <w:rsid w:val="007C2253"/>
    <w:rsid w:val="007D7911"/>
    <w:rsid w:val="007E163D"/>
    <w:rsid w:val="007E667A"/>
    <w:rsid w:val="007F28C9"/>
    <w:rsid w:val="007F51B2"/>
    <w:rsid w:val="008040DD"/>
    <w:rsid w:val="008117E9"/>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903422"/>
    <w:rsid w:val="00914E47"/>
    <w:rsid w:val="009254C3"/>
    <w:rsid w:val="00932377"/>
    <w:rsid w:val="00940229"/>
    <w:rsid w:val="00941236"/>
    <w:rsid w:val="00943FD5"/>
    <w:rsid w:val="00947239"/>
    <w:rsid w:val="00947D5A"/>
    <w:rsid w:val="009532A5"/>
    <w:rsid w:val="009545BD"/>
    <w:rsid w:val="009634B6"/>
    <w:rsid w:val="00964CF0"/>
    <w:rsid w:val="0097437C"/>
    <w:rsid w:val="00977806"/>
    <w:rsid w:val="00982242"/>
    <w:rsid w:val="009841B4"/>
    <w:rsid w:val="009868E9"/>
    <w:rsid w:val="009900A3"/>
    <w:rsid w:val="00995BB8"/>
    <w:rsid w:val="009A2865"/>
    <w:rsid w:val="009C1523"/>
    <w:rsid w:val="009C3413"/>
    <w:rsid w:val="009D4587"/>
    <w:rsid w:val="00A0441E"/>
    <w:rsid w:val="00A12128"/>
    <w:rsid w:val="00A154B2"/>
    <w:rsid w:val="00A22C98"/>
    <w:rsid w:val="00A231E2"/>
    <w:rsid w:val="00A250FB"/>
    <w:rsid w:val="00A369E3"/>
    <w:rsid w:val="00A42093"/>
    <w:rsid w:val="00A57600"/>
    <w:rsid w:val="00A606F0"/>
    <w:rsid w:val="00A64912"/>
    <w:rsid w:val="00A70A74"/>
    <w:rsid w:val="00A75FE9"/>
    <w:rsid w:val="00A907E6"/>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478F7"/>
    <w:rsid w:val="00B50ADC"/>
    <w:rsid w:val="00B566B1"/>
    <w:rsid w:val="00B63834"/>
    <w:rsid w:val="00B763B0"/>
    <w:rsid w:val="00B80199"/>
    <w:rsid w:val="00B83204"/>
    <w:rsid w:val="00B856E7"/>
    <w:rsid w:val="00B97BAA"/>
    <w:rsid w:val="00BA220B"/>
    <w:rsid w:val="00BA3A57"/>
    <w:rsid w:val="00BA504E"/>
    <w:rsid w:val="00BB1533"/>
    <w:rsid w:val="00BB4E1A"/>
    <w:rsid w:val="00BC015E"/>
    <w:rsid w:val="00BC76AC"/>
    <w:rsid w:val="00BD0ECB"/>
    <w:rsid w:val="00BD4186"/>
    <w:rsid w:val="00BE2155"/>
    <w:rsid w:val="00BE719A"/>
    <w:rsid w:val="00BE720A"/>
    <w:rsid w:val="00BE7E6C"/>
    <w:rsid w:val="00BF0D73"/>
    <w:rsid w:val="00BF2465"/>
    <w:rsid w:val="00C16619"/>
    <w:rsid w:val="00C25E7F"/>
    <w:rsid w:val="00C2746F"/>
    <w:rsid w:val="00C323D6"/>
    <w:rsid w:val="00C324A0"/>
    <w:rsid w:val="00C42BF8"/>
    <w:rsid w:val="00C50043"/>
    <w:rsid w:val="00C53948"/>
    <w:rsid w:val="00C6549B"/>
    <w:rsid w:val="00C7171E"/>
    <w:rsid w:val="00C7573B"/>
    <w:rsid w:val="00C807B6"/>
    <w:rsid w:val="00C97A54"/>
    <w:rsid w:val="00CA5B23"/>
    <w:rsid w:val="00CB602E"/>
    <w:rsid w:val="00CB7E90"/>
    <w:rsid w:val="00CE051D"/>
    <w:rsid w:val="00CE1335"/>
    <w:rsid w:val="00CE493D"/>
    <w:rsid w:val="00CF07FA"/>
    <w:rsid w:val="00CF0BB2"/>
    <w:rsid w:val="00CF3EE8"/>
    <w:rsid w:val="00D062B4"/>
    <w:rsid w:val="00D13441"/>
    <w:rsid w:val="00D150E7"/>
    <w:rsid w:val="00D26508"/>
    <w:rsid w:val="00D50EB1"/>
    <w:rsid w:val="00D52DC2"/>
    <w:rsid w:val="00D53BCC"/>
    <w:rsid w:val="00D54C9E"/>
    <w:rsid w:val="00D6537E"/>
    <w:rsid w:val="00D70DFB"/>
    <w:rsid w:val="00D766DF"/>
    <w:rsid w:val="00D8206C"/>
    <w:rsid w:val="00D83986"/>
    <w:rsid w:val="00D91F10"/>
    <w:rsid w:val="00DA186E"/>
    <w:rsid w:val="00DA4116"/>
    <w:rsid w:val="00DB251C"/>
    <w:rsid w:val="00DB4630"/>
    <w:rsid w:val="00DB4767"/>
    <w:rsid w:val="00DC3CB2"/>
    <w:rsid w:val="00DC4F88"/>
    <w:rsid w:val="00DD34B6"/>
    <w:rsid w:val="00DD397B"/>
    <w:rsid w:val="00DE107C"/>
    <w:rsid w:val="00DE33D1"/>
    <w:rsid w:val="00DE4EF6"/>
    <w:rsid w:val="00DE524C"/>
    <w:rsid w:val="00DF2388"/>
    <w:rsid w:val="00E05704"/>
    <w:rsid w:val="00E144E9"/>
    <w:rsid w:val="00E30E4F"/>
    <w:rsid w:val="00E338EF"/>
    <w:rsid w:val="00E544BB"/>
    <w:rsid w:val="00E70D71"/>
    <w:rsid w:val="00E72953"/>
    <w:rsid w:val="00E748AB"/>
    <w:rsid w:val="00E74DC7"/>
    <w:rsid w:val="00E8075A"/>
    <w:rsid w:val="00E8079E"/>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44B7"/>
    <w:rsid w:val="00F4466C"/>
    <w:rsid w:val="00F479C4"/>
    <w:rsid w:val="00F47E15"/>
    <w:rsid w:val="00F567F7"/>
    <w:rsid w:val="00F61E8A"/>
    <w:rsid w:val="00F6696E"/>
    <w:rsid w:val="00F73BD6"/>
    <w:rsid w:val="00F81539"/>
    <w:rsid w:val="00F823E1"/>
    <w:rsid w:val="00F83989"/>
    <w:rsid w:val="00F85099"/>
    <w:rsid w:val="00F9379C"/>
    <w:rsid w:val="00F9632C"/>
    <w:rsid w:val="00FA1E52"/>
    <w:rsid w:val="00FB5A08"/>
    <w:rsid w:val="00FC6A8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0178B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05835">
      <w:bodyDiv w:val="1"/>
      <w:marLeft w:val="0"/>
      <w:marRight w:val="0"/>
      <w:marTop w:val="0"/>
      <w:marBottom w:val="0"/>
      <w:divBdr>
        <w:top w:val="none" w:sz="0" w:space="0" w:color="auto"/>
        <w:left w:val="none" w:sz="0" w:space="0" w:color="auto"/>
        <w:bottom w:val="none" w:sz="0" w:space="0" w:color="auto"/>
        <w:right w:val="none" w:sz="0" w:space="0" w:color="auto"/>
      </w:divBdr>
    </w:div>
    <w:div w:id="1882134782">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9D405-2A96-48FC-91D1-1F382CD6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1</TotalTime>
  <Pages>6</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3</cp:revision>
  <cp:lastPrinted>2021-08-05T00:56:00Z</cp:lastPrinted>
  <dcterms:created xsi:type="dcterms:W3CDTF">2021-08-05T01:30:00Z</dcterms:created>
  <dcterms:modified xsi:type="dcterms:W3CDTF">2021-08-05T02:45:00Z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