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7BB64" w14:textId="77777777" w:rsidR="00B11BA1" w:rsidRPr="00E03185" w:rsidRDefault="00B11BA1" w:rsidP="00CD463E">
      <w:pPr>
        <w:keepNext/>
        <w:ind w:left="284"/>
        <w:jc w:val="center"/>
        <w:outlineLvl w:val="0"/>
        <w:rPr>
          <w:b/>
          <w:u w:val="single"/>
          <w:lang w:eastAsia="en-AU"/>
        </w:rPr>
      </w:pPr>
      <w:r w:rsidRPr="00E03185">
        <w:rPr>
          <w:b/>
          <w:u w:val="single"/>
          <w:lang w:eastAsia="en-AU"/>
        </w:rPr>
        <w:t>EXPLANATORY STATEMENT</w:t>
      </w:r>
    </w:p>
    <w:p w14:paraId="179C8BA0" w14:textId="77777777" w:rsidR="00B11BA1" w:rsidRPr="00E03185" w:rsidRDefault="00B11BA1" w:rsidP="00CD463E">
      <w:pPr>
        <w:rPr>
          <w:u w:val="single"/>
          <w:lang w:eastAsia="en-AU"/>
        </w:rPr>
      </w:pPr>
    </w:p>
    <w:p w14:paraId="6BA5379D" w14:textId="77777777" w:rsidR="00B11BA1" w:rsidRPr="00E03185" w:rsidRDefault="00B11BA1" w:rsidP="00CD463E">
      <w:pPr>
        <w:widowControl w:val="0"/>
        <w:tabs>
          <w:tab w:val="left" w:pos="993"/>
          <w:tab w:val="left" w:pos="1418"/>
        </w:tabs>
        <w:jc w:val="center"/>
        <w:rPr>
          <w:i/>
          <w:lang w:eastAsia="en-AU"/>
        </w:rPr>
      </w:pPr>
      <w:r w:rsidRPr="00E03185">
        <w:rPr>
          <w:i/>
          <w:lang w:eastAsia="en-AU"/>
        </w:rPr>
        <w:t>Health Insurance Act 1973</w:t>
      </w:r>
    </w:p>
    <w:p w14:paraId="3C536E9B" w14:textId="77777777" w:rsidR="00B11BA1" w:rsidRPr="00E03185" w:rsidRDefault="00B11BA1" w:rsidP="00CD463E">
      <w:pPr>
        <w:rPr>
          <w:i/>
        </w:rPr>
      </w:pPr>
    </w:p>
    <w:p w14:paraId="67C711CA" w14:textId="36560DA9" w:rsidR="00B11BA1" w:rsidRPr="00E03185" w:rsidRDefault="00B11BA1" w:rsidP="00CD463E">
      <w:pPr>
        <w:jc w:val="center"/>
        <w:rPr>
          <w:i/>
        </w:rPr>
      </w:pPr>
      <w:r w:rsidRPr="00E03185">
        <w:rPr>
          <w:i/>
        </w:rPr>
        <w:t xml:space="preserve">Health Insurance </w:t>
      </w:r>
      <w:r w:rsidR="00E70FE8" w:rsidRPr="00E03185">
        <w:rPr>
          <w:i/>
        </w:rPr>
        <w:t xml:space="preserve">(General Medical Services Table) Amendment </w:t>
      </w:r>
      <w:r w:rsidRPr="00E03185">
        <w:rPr>
          <w:i/>
        </w:rPr>
        <w:t xml:space="preserve">(2021 Measures No. </w:t>
      </w:r>
      <w:r w:rsidR="00B775B8" w:rsidRPr="00E03185">
        <w:rPr>
          <w:i/>
        </w:rPr>
        <w:t>2</w:t>
      </w:r>
      <w:r w:rsidRPr="00E03185">
        <w:rPr>
          <w:i/>
        </w:rPr>
        <w:t xml:space="preserve">) Regulations 2021 </w:t>
      </w:r>
    </w:p>
    <w:p w14:paraId="5B025849" w14:textId="77777777" w:rsidR="00B11BA1" w:rsidRPr="00E03185" w:rsidRDefault="00B11BA1" w:rsidP="00CD463E">
      <w:pPr>
        <w:jc w:val="center"/>
        <w:rPr>
          <w:i/>
        </w:rPr>
      </w:pPr>
    </w:p>
    <w:p w14:paraId="0401C390" w14:textId="745A46C2" w:rsidR="00B11BA1" w:rsidRPr="00E03185" w:rsidRDefault="00B11BA1" w:rsidP="00CD463E">
      <w:pPr>
        <w:ind w:right="-483"/>
        <w:rPr>
          <w:lang w:eastAsia="en-AU"/>
        </w:rPr>
      </w:pPr>
      <w:r w:rsidRPr="00E03185">
        <w:rPr>
          <w:lang w:eastAsia="en-AU"/>
        </w:rPr>
        <w:t xml:space="preserve">Subsection 133(1) of the </w:t>
      </w:r>
      <w:r w:rsidRPr="00E03185">
        <w:rPr>
          <w:i/>
          <w:lang w:eastAsia="en-AU"/>
        </w:rPr>
        <w:t>Health Insurance Act 1973</w:t>
      </w:r>
      <w:r w:rsidRPr="00E03185">
        <w:rPr>
          <w:lang w:eastAsia="en-AU"/>
        </w:rPr>
        <w:t xml:space="preserve"> (Act) provides that the Governor</w:t>
      </w:r>
      <w:r w:rsidR="00A51EE2" w:rsidRPr="00E03185">
        <w:rPr>
          <w:lang w:eastAsia="en-AU"/>
        </w:rPr>
        <w:noBreakHyphen/>
      </w:r>
      <w:r w:rsidRPr="00E03185">
        <w:rPr>
          <w:lang w:eastAsia="en-AU"/>
        </w:rPr>
        <w:t>General may make regulations, not inconsistent with the Act, prescribing all matters required or permitted by the Act to be prescribed, or necessary or convenient to be prescribed for carrying out or giving effect to the Act.</w:t>
      </w:r>
    </w:p>
    <w:p w14:paraId="52B81306" w14:textId="77777777" w:rsidR="00B11BA1" w:rsidRPr="00E03185" w:rsidRDefault="00B11BA1" w:rsidP="00CD463E">
      <w:pPr>
        <w:ind w:right="-483"/>
        <w:rPr>
          <w:color w:val="C0504D" w:themeColor="accent2"/>
          <w:spacing w:val="5"/>
          <w:lang w:eastAsia="en-AU"/>
        </w:rPr>
      </w:pPr>
    </w:p>
    <w:p w14:paraId="7ABEB15B" w14:textId="77777777" w:rsidR="00B11BA1" w:rsidRPr="00E03185" w:rsidRDefault="00B11BA1" w:rsidP="00CD463E">
      <w:pPr>
        <w:ind w:right="-483"/>
        <w:rPr>
          <w:lang w:eastAsia="en-AU"/>
        </w:rPr>
      </w:pPr>
      <w:r w:rsidRPr="00E03185">
        <w:rPr>
          <w:lang w:eastAsia="en-AU"/>
        </w:rPr>
        <w:t>Part II of the Act provides for the payment of Medicare benefits for professional services rendered to eligible persons. Section 9 of the Act provides that Medicare benefits be calculated by reference to the fees for medical services set out in prescribed tables.</w:t>
      </w:r>
    </w:p>
    <w:p w14:paraId="00A6EAA5" w14:textId="77777777" w:rsidR="00B11BA1" w:rsidRPr="00E03185" w:rsidRDefault="00B11BA1" w:rsidP="00CD463E">
      <w:pPr>
        <w:rPr>
          <w:lang w:eastAsia="en-AU"/>
        </w:rPr>
      </w:pPr>
    </w:p>
    <w:p w14:paraId="1E8475B7" w14:textId="1E56CD82" w:rsidR="00B11BA1" w:rsidRPr="00E03185" w:rsidRDefault="00B11BA1" w:rsidP="00CD463E">
      <w:pPr>
        <w:rPr>
          <w:lang w:eastAsia="en-AU"/>
        </w:rPr>
      </w:pPr>
      <w:r w:rsidRPr="00E03185">
        <w:rPr>
          <w:lang w:eastAsia="en-AU"/>
        </w:rPr>
        <w:t xml:space="preserve">Subsection 4(1) of the Act provides that regulations may prescribe a table of general medical services which sets out items of general medical services, the fees applicable for each item, and rules for interpreting the table. The table made under this subsection is referred to as the general medical services table (GMST). The most recent version of the regulations is the </w:t>
      </w:r>
      <w:r w:rsidRPr="00E03185">
        <w:rPr>
          <w:i/>
          <w:lang w:eastAsia="en-AU"/>
        </w:rPr>
        <w:t>Health Insurance (General Medical Services Table) Regulations 2021</w:t>
      </w:r>
      <w:r w:rsidRPr="00E03185">
        <w:rPr>
          <w:iCs/>
          <w:lang w:eastAsia="en-AU"/>
        </w:rPr>
        <w:t>.</w:t>
      </w:r>
    </w:p>
    <w:p w14:paraId="5AA4A2AE" w14:textId="77777777" w:rsidR="00B11BA1" w:rsidRPr="00E03185" w:rsidRDefault="00B11BA1" w:rsidP="00CD463E">
      <w:pPr>
        <w:rPr>
          <w:lang w:eastAsia="en-AU"/>
        </w:rPr>
      </w:pPr>
    </w:p>
    <w:p w14:paraId="05C631EA" w14:textId="77777777" w:rsidR="00B11BA1" w:rsidRPr="00E03185" w:rsidRDefault="00B11BA1" w:rsidP="00CD463E">
      <w:pPr>
        <w:rPr>
          <w:b/>
        </w:rPr>
      </w:pPr>
      <w:r w:rsidRPr="00E03185">
        <w:rPr>
          <w:b/>
        </w:rPr>
        <w:t>Purpose</w:t>
      </w:r>
    </w:p>
    <w:p w14:paraId="2D6A201D" w14:textId="36AE5D2D" w:rsidR="000F71F1" w:rsidRPr="00E03185" w:rsidRDefault="00B11BA1" w:rsidP="00CD463E">
      <w:r w:rsidRPr="00E03185">
        <w:t xml:space="preserve">The purpose of the </w:t>
      </w:r>
      <w:r w:rsidRPr="00E03185">
        <w:rPr>
          <w:i/>
        </w:rPr>
        <w:t xml:space="preserve">Health Insurance </w:t>
      </w:r>
      <w:r w:rsidR="00E70FE8" w:rsidRPr="00E03185">
        <w:rPr>
          <w:i/>
        </w:rPr>
        <w:t xml:space="preserve">(General Medical Services Table) Amendment (2021 Measures No. </w:t>
      </w:r>
      <w:r w:rsidR="00D25612" w:rsidRPr="00E03185">
        <w:rPr>
          <w:i/>
        </w:rPr>
        <w:t>2</w:t>
      </w:r>
      <w:r w:rsidR="00E70FE8" w:rsidRPr="00E03185">
        <w:rPr>
          <w:i/>
        </w:rPr>
        <w:t xml:space="preserve">) Regulations 2021 </w:t>
      </w:r>
      <w:r w:rsidRPr="00E03185">
        <w:t xml:space="preserve">(the Regulations) is to </w:t>
      </w:r>
      <w:r w:rsidR="000F71F1" w:rsidRPr="00E03185">
        <w:t>amend the general medical services table to make minor amendments to orthopaedic services to reflect the policy intent of the</w:t>
      </w:r>
      <w:r w:rsidR="00C64D4E" w:rsidRPr="00E03185">
        <w:t>se</w:t>
      </w:r>
      <w:r w:rsidR="000F71F1" w:rsidRPr="00E03185">
        <w:t xml:space="preserve"> services</w:t>
      </w:r>
      <w:r w:rsidR="00B959DD" w:rsidRPr="00E03185">
        <w:t>, which were recommended by the MBS Review Taskforce (the Taskforce)</w:t>
      </w:r>
      <w:r w:rsidR="000F71F1" w:rsidRPr="00E03185">
        <w:t>.</w:t>
      </w:r>
    </w:p>
    <w:p w14:paraId="5F71A1C7" w14:textId="77777777" w:rsidR="000F71F1" w:rsidRPr="00E03185" w:rsidRDefault="000F71F1" w:rsidP="00CD463E"/>
    <w:p w14:paraId="70E54B4A" w14:textId="641BF996" w:rsidR="00EE2B89" w:rsidRPr="00E03185" w:rsidRDefault="00EE2B89" w:rsidP="00CD463E">
      <w:pPr>
        <w:rPr>
          <w:color w:val="000000"/>
          <w:shd w:val="clear" w:color="auto" w:fill="FFFFFF"/>
        </w:rPr>
      </w:pPr>
      <w:r w:rsidRPr="00E03185">
        <w:rPr>
          <w:color w:val="000000"/>
          <w:shd w:val="clear" w:color="auto" w:fill="FFFFFF"/>
        </w:rPr>
        <w:t>In the 2020-21 Budget, the Government announced its response to the Taskforce recommendations on orthopaedic services under the </w:t>
      </w:r>
      <w:r w:rsidRPr="00E03185">
        <w:rPr>
          <w:i/>
          <w:iCs/>
          <w:color w:val="000000"/>
          <w:shd w:val="clear" w:color="auto" w:fill="FFFFFF"/>
        </w:rPr>
        <w:t>Guaranteeing Medicare — Medicare Benefits Schedule review</w:t>
      </w:r>
      <w:r w:rsidRPr="00E03185">
        <w:rPr>
          <w:color w:val="000000"/>
          <w:shd w:val="clear" w:color="auto" w:fill="FFFFFF"/>
        </w:rPr>
        <w:t xml:space="preserve"> measure. </w:t>
      </w:r>
    </w:p>
    <w:p w14:paraId="66AFE69A" w14:textId="77777777" w:rsidR="00EE2B89" w:rsidRPr="00E03185" w:rsidRDefault="00EE2B89" w:rsidP="00CD463E">
      <w:pPr>
        <w:rPr>
          <w:color w:val="000000"/>
          <w:shd w:val="clear" w:color="auto" w:fill="FFFFFF"/>
        </w:rPr>
      </w:pPr>
    </w:p>
    <w:p w14:paraId="6BFF75B2" w14:textId="0FC8B1E0" w:rsidR="00EE2B89" w:rsidRPr="00E03185" w:rsidRDefault="00EE2B89" w:rsidP="00CD463E">
      <w:r w:rsidRPr="00E03185">
        <w:rPr>
          <w:color w:val="000000"/>
          <w:shd w:val="clear" w:color="auto" w:fill="FFFFFF"/>
        </w:rPr>
        <w:t>The changes included restructuring the existing items to reflect contemporary practice, ensuring services are clinically appropriate and improving quality of care and safety for patients. The</w:t>
      </w:r>
      <w:r w:rsidR="00B959DD" w:rsidRPr="00E03185">
        <w:rPr>
          <w:color w:val="000000"/>
          <w:shd w:val="clear" w:color="auto" w:fill="FFFFFF"/>
        </w:rPr>
        <w:t>se</w:t>
      </w:r>
      <w:r w:rsidRPr="00E03185">
        <w:rPr>
          <w:color w:val="000000"/>
          <w:shd w:val="clear" w:color="auto" w:fill="FFFFFF"/>
        </w:rPr>
        <w:t xml:space="preserve"> changes were implemented on 1 July 2021 by the </w:t>
      </w:r>
      <w:r w:rsidRPr="00E03185">
        <w:rPr>
          <w:i/>
          <w:iCs/>
          <w:color w:val="000000"/>
          <w:shd w:val="clear" w:color="auto" w:fill="FFFFFF"/>
        </w:rPr>
        <w:t>Health Insurance (General Medical Services Table) Regulations 2021</w:t>
      </w:r>
      <w:r w:rsidR="00B959DD" w:rsidRPr="00E03185">
        <w:rPr>
          <w:i/>
          <w:iCs/>
          <w:color w:val="000000"/>
          <w:shd w:val="clear" w:color="auto" w:fill="FFFFFF"/>
        </w:rPr>
        <w:t>.</w:t>
      </w:r>
      <w:r w:rsidRPr="00E03185">
        <w:rPr>
          <w:color w:val="000000"/>
          <w:shd w:val="clear" w:color="auto" w:fill="FFFFFF"/>
        </w:rPr>
        <w:t xml:space="preserve"> </w:t>
      </w:r>
    </w:p>
    <w:p w14:paraId="0C6F6B43" w14:textId="77777777" w:rsidR="00EE2B89" w:rsidRPr="00E03185" w:rsidRDefault="00EE2B89" w:rsidP="00CD463E"/>
    <w:p w14:paraId="3EC8B561" w14:textId="131B895B" w:rsidR="00EE2B89" w:rsidRPr="00E03185" w:rsidRDefault="00EE2B89" w:rsidP="00EE2B89">
      <w:r w:rsidRPr="00E03185">
        <w:t xml:space="preserve">The Regulations will ensure that all </w:t>
      </w:r>
      <w:r w:rsidR="00C96982" w:rsidRPr="00E03185">
        <w:t xml:space="preserve">Tasforce </w:t>
      </w:r>
      <w:r w:rsidRPr="00E03185">
        <w:t xml:space="preserve">recommendations approved by </w:t>
      </w:r>
      <w:r w:rsidR="00C96982" w:rsidRPr="00E03185">
        <w:t xml:space="preserve">Government </w:t>
      </w:r>
      <w:r w:rsidRPr="00E03185">
        <w:t>are implemented by making the following minor amendments:</w:t>
      </w:r>
    </w:p>
    <w:p w14:paraId="2842F682" w14:textId="707A9C1C" w:rsidR="00EE2B89" w:rsidRPr="00E03185" w:rsidRDefault="00EE2B89" w:rsidP="00EE2B89">
      <w:pPr>
        <w:pStyle w:val="ListParagraph"/>
        <w:numPr>
          <w:ilvl w:val="0"/>
          <w:numId w:val="18"/>
        </w:numPr>
      </w:pPr>
      <w:r w:rsidRPr="00E03185">
        <w:t xml:space="preserve">Removing the reference to item 50303 from clause 5.10.25, as a 12 month restriction no longer applies to </w:t>
      </w:r>
      <w:r w:rsidR="00B959DD" w:rsidRPr="00E03185">
        <w:t xml:space="preserve">a service under </w:t>
      </w:r>
      <w:r w:rsidRPr="00E03185">
        <w:t>this item</w:t>
      </w:r>
      <w:r w:rsidR="00B959DD" w:rsidRPr="00E03185">
        <w:t>, which is for limb lengthening by gradual distraction.</w:t>
      </w:r>
    </w:p>
    <w:p w14:paraId="410DD54D" w14:textId="5782AB2E" w:rsidR="00EE2B89" w:rsidRPr="00E03185" w:rsidRDefault="00B5336E" w:rsidP="00AC4A8A">
      <w:pPr>
        <w:pStyle w:val="ListParagraph"/>
        <w:numPr>
          <w:ilvl w:val="0"/>
          <w:numId w:val="17"/>
        </w:numPr>
      </w:pPr>
      <w:r w:rsidRPr="00E03185">
        <w:t>Amending item 4</w:t>
      </w:r>
      <w:r w:rsidR="00EE2B89" w:rsidRPr="00E03185">
        <w:t>7069</w:t>
      </w:r>
      <w:r w:rsidRPr="00E03185">
        <w:t>, which is for the treatment of a dislocated toe,</w:t>
      </w:r>
      <w:r w:rsidR="00EE2B89" w:rsidRPr="00E03185">
        <w:t xml:space="preserve"> to clarify that the service is </w:t>
      </w:r>
      <w:r w:rsidRPr="00E03185">
        <w:t xml:space="preserve">to be performed </w:t>
      </w:r>
      <w:r w:rsidR="00EE2B89" w:rsidRPr="00E03185">
        <w:t>by a close</w:t>
      </w:r>
      <w:r w:rsidR="008547AF" w:rsidRPr="00E03185">
        <w:t>d</w:t>
      </w:r>
      <w:r w:rsidR="00EE2B89" w:rsidRPr="00E03185">
        <w:t xml:space="preserve"> reduction, as opposed to an open reduction.</w:t>
      </w:r>
    </w:p>
    <w:p w14:paraId="02D0DB2C" w14:textId="519BEA4D" w:rsidR="00B5336E" w:rsidRPr="00E03185" w:rsidRDefault="00B5336E" w:rsidP="00AC4A8A">
      <w:pPr>
        <w:pStyle w:val="ListParagraph"/>
        <w:numPr>
          <w:ilvl w:val="0"/>
          <w:numId w:val="17"/>
        </w:numPr>
      </w:pPr>
      <w:r w:rsidRPr="00E03185">
        <w:t>Amending item 49730, which is for joint surgery, to clarify that the service includes arthroscopy of the hindfoot and the first metatarsophalangeal joint, and that the ankle is excluded.</w:t>
      </w:r>
    </w:p>
    <w:p w14:paraId="4A29AFD9" w14:textId="3B7B9BA9" w:rsidR="00B11BA1" w:rsidRPr="00E03185" w:rsidRDefault="00B11BA1" w:rsidP="00CD463E">
      <w:pPr>
        <w:rPr>
          <w:b/>
        </w:rPr>
      </w:pPr>
      <w:r w:rsidRPr="00E03185">
        <w:rPr>
          <w:b/>
        </w:rPr>
        <w:lastRenderedPageBreak/>
        <w:t>Consultation</w:t>
      </w:r>
    </w:p>
    <w:p w14:paraId="76E64743" w14:textId="79B7F7E0" w:rsidR="00272356" w:rsidRPr="00E03185" w:rsidRDefault="00272356" w:rsidP="00272356">
      <w:pPr>
        <w:shd w:val="clear" w:color="auto" w:fill="FFFFFF"/>
        <w:rPr>
          <w:color w:val="000000"/>
        </w:rPr>
      </w:pPr>
      <w:r w:rsidRPr="00E03185">
        <w:rPr>
          <w:color w:val="000000"/>
        </w:rPr>
        <w:t>The MBS Review is conducted by expert committees and working groups focusing on specific areas of the M</w:t>
      </w:r>
      <w:r w:rsidR="00104AD6" w:rsidRPr="00E03185">
        <w:rPr>
          <w:color w:val="000000"/>
        </w:rPr>
        <w:t>edicare Benefits Schedule (M</w:t>
      </w:r>
      <w:r w:rsidRPr="00E03185">
        <w:rPr>
          <w:color w:val="000000"/>
        </w:rPr>
        <w:t>BS</w:t>
      </w:r>
      <w:r w:rsidR="00104AD6" w:rsidRPr="00E03185">
        <w:rPr>
          <w:color w:val="000000"/>
        </w:rPr>
        <w:t>)</w:t>
      </w:r>
      <w:r w:rsidRPr="00E03185">
        <w:rPr>
          <w:color w:val="000000"/>
        </w:rPr>
        <w:t xml:space="preserve">. The clinical committee reports were released for public consultation to inform the final Taskforce reports and recommendations to Government. </w:t>
      </w:r>
    </w:p>
    <w:p w14:paraId="7B48BA91" w14:textId="77777777" w:rsidR="00272356" w:rsidRPr="00E03185" w:rsidRDefault="00272356" w:rsidP="00272356">
      <w:pPr>
        <w:shd w:val="clear" w:color="auto" w:fill="FFFFFF"/>
        <w:rPr>
          <w:color w:val="000000"/>
        </w:rPr>
      </w:pPr>
    </w:p>
    <w:p w14:paraId="5E5ECD51" w14:textId="17CE68C4" w:rsidR="00272356" w:rsidRPr="00E03185" w:rsidRDefault="00272356" w:rsidP="00272356">
      <w:pPr>
        <w:shd w:val="clear" w:color="auto" w:fill="FFFFFF"/>
        <w:rPr>
          <w:color w:val="000000"/>
        </w:rPr>
      </w:pPr>
      <w:r w:rsidRPr="00E03185">
        <w:rPr>
          <w:color w:val="000000"/>
        </w:rPr>
        <w:t>The orthopaedic recommendations were informed through public consultation on the report of the Orthopaedic Clinical Committee.</w:t>
      </w:r>
      <w:r w:rsidR="00A00471" w:rsidRPr="00E03185">
        <w:rPr>
          <w:color w:val="000000"/>
        </w:rPr>
        <w:t xml:space="preserve"> </w:t>
      </w:r>
      <w:r w:rsidRPr="00E03185">
        <w:rPr>
          <w:color w:val="000000"/>
        </w:rPr>
        <w:t xml:space="preserve">The Orthopaedic Implementation Liaison Groups (OSILG) involving professional bodies and clinical experts have also been consulted to inform development of the Regulations. Further amendments arising from the OSILG recommendations were announced in Budget 2021-22 under the </w:t>
      </w:r>
      <w:r w:rsidRPr="00E03185">
        <w:rPr>
          <w:i/>
          <w:color w:val="000000"/>
        </w:rPr>
        <w:t>Guaranteeing Medicare: Updating the MBS</w:t>
      </w:r>
      <w:r w:rsidRPr="00E03185">
        <w:rPr>
          <w:color w:val="000000"/>
        </w:rPr>
        <w:t xml:space="preserve"> measure.</w:t>
      </w:r>
    </w:p>
    <w:p w14:paraId="6495D4FB" w14:textId="6318A0B6" w:rsidR="00B5336E" w:rsidRPr="00E03185" w:rsidRDefault="00B5336E" w:rsidP="00272356">
      <w:pPr>
        <w:shd w:val="clear" w:color="auto" w:fill="FFFFFF"/>
        <w:rPr>
          <w:color w:val="000000"/>
        </w:rPr>
      </w:pPr>
    </w:p>
    <w:p w14:paraId="42DA45CD" w14:textId="510273BB" w:rsidR="00B5336E" w:rsidRPr="00E03185" w:rsidRDefault="00B5336E" w:rsidP="00272356">
      <w:pPr>
        <w:shd w:val="clear" w:color="auto" w:fill="FFFFFF"/>
        <w:rPr>
          <w:color w:val="000000"/>
        </w:rPr>
      </w:pPr>
      <w:r w:rsidRPr="00E03185">
        <w:rPr>
          <w:color w:val="000000"/>
        </w:rPr>
        <w:t xml:space="preserve">Consultation on the Regulations was not undertaken as these changes are administrative in nature, as they will reflect the policy intent of the services. </w:t>
      </w:r>
    </w:p>
    <w:p w14:paraId="3A4FF63D" w14:textId="77777777" w:rsidR="00205701" w:rsidRPr="00E03185" w:rsidRDefault="00205701" w:rsidP="00CD463E">
      <w:pPr>
        <w:rPr>
          <w:color w:val="000000"/>
          <w:shd w:val="clear" w:color="auto" w:fill="FFFFFF"/>
        </w:rPr>
      </w:pPr>
    </w:p>
    <w:p w14:paraId="04A8D003" w14:textId="77777777" w:rsidR="00B11BA1" w:rsidRPr="00E03185" w:rsidRDefault="00B11BA1" w:rsidP="00CD463E">
      <w:pPr>
        <w:rPr>
          <w:lang w:eastAsia="en-AU"/>
        </w:rPr>
      </w:pPr>
      <w:r w:rsidRPr="00E03185">
        <w:rPr>
          <w:lang w:eastAsia="en-AU"/>
        </w:rPr>
        <w:t>Details of the Regulations</w:t>
      </w:r>
      <w:r w:rsidRPr="00E03185">
        <w:rPr>
          <w:i/>
          <w:lang w:eastAsia="en-AU"/>
        </w:rPr>
        <w:t xml:space="preserve"> </w:t>
      </w:r>
      <w:r w:rsidRPr="00E03185">
        <w:rPr>
          <w:lang w:eastAsia="en-AU"/>
        </w:rPr>
        <w:t xml:space="preserve">are set out in the </w:t>
      </w:r>
      <w:r w:rsidRPr="00E03185">
        <w:rPr>
          <w:u w:val="single"/>
          <w:lang w:eastAsia="en-AU"/>
        </w:rPr>
        <w:t>Attachment</w:t>
      </w:r>
      <w:r w:rsidRPr="00E03185">
        <w:rPr>
          <w:lang w:eastAsia="en-AU"/>
        </w:rPr>
        <w:t>.</w:t>
      </w:r>
    </w:p>
    <w:p w14:paraId="5B40A3FB" w14:textId="77777777" w:rsidR="00B11BA1" w:rsidRPr="00E03185" w:rsidRDefault="00B11BA1" w:rsidP="00CD463E">
      <w:pPr>
        <w:rPr>
          <w:lang w:eastAsia="en-AU"/>
        </w:rPr>
      </w:pPr>
    </w:p>
    <w:p w14:paraId="59DFCA6B" w14:textId="77777777" w:rsidR="00B11BA1" w:rsidRPr="00E03185" w:rsidRDefault="00B11BA1" w:rsidP="00CD463E">
      <w:pPr>
        <w:ind w:right="-341"/>
        <w:rPr>
          <w:lang w:eastAsia="en-AU"/>
        </w:rPr>
      </w:pPr>
      <w:r w:rsidRPr="00E03185">
        <w:rPr>
          <w:lang w:eastAsia="en-AU"/>
        </w:rPr>
        <w:t xml:space="preserve">The Regulations are a legislative instrument for the purposes of the </w:t>
      </w:r>
      <w:r w:rsidRPr="00E03185">
        <w:rPr>
          <w:i/>
          <w:iCs/>
          <w:lang w:eastAsia="en-AU"/>
        </w:rPr>
        <w:t>Legislation Act 2003</w:t>
      </w:r>
      <w:r w:rsidRPr="00E03185">
        <w:rPr>
          <w:lang w:eastAsia="en-AU"/>
        </w:rPr>
        <w:t>.</w:t>
      </w:r>
    </w:p>
    <w:p w14:paraId="79655CD5" w14:textId="77777777" w:rsidR="00B11BA1" w:rsidRPr="00E03185" w:rsidRDefault="00B11BA1" w:rsidP="00CD463E">
      <w:pPr>
        <w:rPr>
          <w:iCs/>
          <w:lang w:eastAsia="en-AU"/>
        </w:rPr>
      </w:pPr>
    </w:p>
    <w:p w14:paraId="170703EA" w14:textId="6131273D" w:rsidR="00205701" w:rsidRPr="00E03185" w:rsidRDefault="00205701" w:rsidP="00CD463E">
      <w:pPr>
        <w:rPr>
          <w:i/>
          <w:lang w:eastAsia="en-AU"/>
        </w:rPr>
      </w:pPr>
      <w:r w:rsidRPr="00E03185">
        <w:rPr>
          <w:lang w:eastAsia="en-AU"/>
        </w:rPr>
        <w:t>The Regulations commence</w:t>
      </w:r>
      <w:r w:rsidR="00216587" w:rsidRPr="00E03185">
        <w:rPr>
          <w:lang w:eastAsia="en-AU"/>
        </w:rPr>
        <w:t xml:space="preserve"> </w:t>
      </w:r>
      <w:r w:rsidR="00804C49" w:rsidRPr="00E03185">
        <w:rPr>
          <w:lang w:eastAsia="en-AU"/>
        </w:rPr>
        <w:t>the day after the instrument is registered</w:t>
      </w:r>
      <w:r w:rsidR="00B5336E" w:rsidRPr="00E03185">
        <w:rPr>
          <w:lang w:eastAsia="en-AU"/>
        </w:rPr>
        <w:t xml:space="preserve">. </w:t>
      </w:r>
    </w:p>
    <w:p w14:paraId="32F9E635" w14:textId="77777777" w:rsidR="00216587" w:rsidRPr="00E03185" w:rsidRDefault="00216587" w:rsidP="00CD463E">
      <w:pPr>
        <w:rPr>
          <w:lang w:eastAsia="en-AU"/>
        </w:rPr>
      </w:pPr>
    </w:p>
    <w:p w14:paraId="3CCAF9FC" w14:textId="77777777" w:rsidR="00216587" w:rsidRPr="00E03185" w:rsidRDefault="00216587" w:rsidP="00CD463E">
      <w:pPr>
        <w:rPr>
          <w:lang w:eastAsia="en-AU"/>
        </w:rPr>
      </w:pPr>
    </w:p>
    <w:p w14:paraId="706D0E90" w14:textId="77777777" w:rsidR="00B11BA1" w:rsidRPr="00E03185" w:rsidRDefault="00B11BA1" w:rsidP="00CD463E">
      <w:pPr>
        <w:tabs>
          <w:tab w:val="left" w:pos="4395"/>
          <w:tab w:val="left" w:pos="5670"/>
        </w:tabs>
        <w:ind w:left="284"/>
        <w:jc w:val="center"/>
        <w:rPr>
          <w:lang w:eastAsia="en-AU"/>
        </w:rPr>
      </w:pPr>
      <w:r w:rsidRPr="00E03185">
        <w:rPr>
          <w:lang w:eastAsia="en-AU"/>
        </w:rPr>
        <w:tab/>
      </w:r>
      <w:r w:rsidRPr="00E03185">
        <w:rPr>
          <w:u w:val="single"/>
          <w:lang w:eastAsia="en-AU"/>
        </w:rPr>
        <w:t>Authority</w:t>
      </w:r>
      <w:r w:rsidRPr="00E03185">
        <w:rPr>
          <w:lang w:eastAsia="en-AU"/>
        </w:rPr>
        <w:t xml:space="preserve">:  Subsection 133(1) of the </w:t>
      </w:r>
    </w:p>
    <w:p w14:paraId="22D4A473" w14:textId="77777777" w:rsidR="00B11BA1" w:rsidRPr="00E03185" w:rsidRDefault="00B11BA1" w:rsidP="00CD463E">
      <w:pPr>
        <w:tabs>
          <w:tab w:val="left" w:pos="4536"/>
        </w:tabs>
        <w:ind w:left="284"/>
        <w:jc w:val="center"/>
        <w:rPr>
          <w:lang w:eastAsia="en-AU"/>
        </w:rPr>
      </w:pPr>
      <w:r w:rsidRPr="00E03185">
        <w:rPr>
          <w:i/>
          <w:lang w:eastAsia="en-AU"/>
        </w:rPr>
        <w:t xml:space="preserve">                                                                                         Health Insurance Act 1973</w:t>
      </w:r>
      <w:r w:rsidRPr="00E03185">
        <w:rPr>
          <w:lang w:eastAsia="en-AU"/>
        </w:rPr>
        <w:t xml:space="preserve">  </w:t>
      </w:r>
    </w:p>
    <w:p w14:paraId="52B58640" w14:textId="77777777" w:rsidR="00B11BA1" w:rsidRPr="00E03185" w:rsidRDefault="00B11BA1" w:rsidP="00CD463E">
      <w:pPr>
        <w:rPr>
          <w:b/>
          <w:lang w:eastAsia="en-AU"/>
        </w:rPr>
      </w:pPr>
      <w:r w:rsidRPr="00E03185">
        <w:rPr>
          <w:b/>
          <w:lang w:eastAsia="en-AU"/>
        </w:rPr>
        <w:br w:type="page"/>
      </w:r>
      <w:r w:rsidRPr="00E03185">
        <w:rPr>
          <w:b/>
          <w:lang w:eastAsia="en-AU"/>
        </w:rPr>
        <w:lastRenderedPageBreak/>
        <w:t>ATTACHMENT</w:t>
      </w:r>
    </w:p>
    <w:p w14:paraId="18EC211D" w14:textId="77777777" w:rsidR="00B11BA1" w:rsidRPr="00E03185" w:rsidRDefault="00B11BA1" w:rsidP="00CD463E">
      <w:pPr>
        <w:ind w:left="284"/>
        <w:jc w:val="center"/>
        <w:rPr>
          <w:lang w:eastAsia="en-AU"/>
        </w:rPr>
      </w:pPr>
    </w:p>
    <w:p w14:paraId="35BF2389" w14:textId="268F5095" w:rsidR="00B11BA1" w:rsidRPr="00E03185" w:rsidRDefault="00B11BA1" w:rsidP="00CD463E">
      <w:pPr>
        <w:rPr>
          <w:b/>
          <w:i/>
          <w:lang w:eastAsia="en-AU"/>
        </w:rPr>
      </w:pPr>
      <w:r w:rsidRPr="00E03185">
        <w:rPr>
          <w:b/>
          <w:lang w:eastAsia="en-AU"/>
        </w:rPr>
        <w:t xml:space="preserve">Details of the </w:t>
      </w:r>
      <w:r w:rsidR="00E70FE8" w:rsidRPr="00E03185">
        <w:rPr>
          <w:b/>
          <w:i/>
        </w:rPr>
        <w:t xml:space="preserve">Health Insurance (General Medical Services Table) Amendment (2021 Measures No. </w:t>
      </w:r>
      <w:r w:rsidR="00B5336E" w:rsidRPr="00E03185">
        <w:rPr>
          <w:b/>
          <w:i/>
        </w:rPr>
        <w:t>2</w:t>
      </w:r>
      <w:r w:rsidR="00E70FE8" w:rsidRPr="00E03185">
        <w:rPr>
          <w:b/>
          <w:i/>
        </w:rPr>
        <w:t>) Regulations 2021</w:t>
      </w:r>
    </w:p>
    <w:p w14:paraId="00C31BFC" w14:textId="77777777" w:rsidR="00B11BA1" w:rsidRPr="00E03185" w:rsidRDefault="00B11BA1" w:rsidP="00CD463E">
      <w:pPr>
        <w:rPr>
          <w:b/>
          <w:i/>
          <w:lang w:eastAsia="en-AU"/>
        </w:rPr>
      </w:pPr>
    </w:p>
    <w:p w14:paraId="58154486" w14:textId="77777777" w:rsidR="00B11BA1" w:rsidRPr="00E03185" w:rsidRDefault="00B11BA1" w:rsidP="00CD463E">
      <w:pPr>
        <w:keepNext/>
        <w:tabs>
          <w:tab w:val="left" w:pos="284"/>
        </w:tabs>
        <w:outlineLvl w:val="0"/>
        <w:rPr>
          <w:u w:val="single"/>
          <w:lang w:eastAsia="en-AU"/>
        </w:rPr>
      </w:pPr>
      <w:r w:rsidRPr="00E03185">
        <w:rPr>
          <w:u w:val="single"/>
          <w:lang w:eastAsia="en-AU"/>
        </w:rPr>
        <w:t>Section 1 – Name</w:t>
      </w:r>
    </w:p>
    <w:p w14:paraId="42F2A870" w14:textId="77777777" w:rsidR="00B11BA1" w:rsidRPr="00E03185" w:rsidRDefault="00B11BA1" w:rsidP="00CD463E">
      <w:pPr>
        <w:keepNext/>
        <w:outlineLvl w:val="0"/>
        <w:rPr>
          <w:lang w:eastAsia="en-AU"/>
        </w:rPr>
      </w:pPr>
    </w:p>
    <w:p w14:paraId="7234BB3C" w14:textId="6F2CBF17" w:rsidR="00B11BA1" w:rsidRPr="00E03185" w:rsidRDefault="00B11BA1" w:rsidP="00CD463E">
      <w:pPr>
        <w:keepNext/>
        <w:outlineLvl w:val="0"/>
        <w:rPr>
          <w:lang w:eastAsia="en-AU"/>
        </w:rPr>
      </w:pPr>
      <w:r w:rsidRPr="00E03185">
        <w:rPr>
          <w:lang w:eastAsia="en-AU"/>
        </w:rPr>
        <w:t>This section provides for the Regulations to be referred to as the</w:t>
      </w:r>
      <w:r w:rsidRPr="00E03185">
        <w:rPr>
          <w:i/>
          <w:lang w:eastAsia="en-AU"/>
        </w:rPr>
        <w:t xml:space="preserve"> </w:t>
      </w:r>
      <w:r w:rsidR="00E70FE8" w:rsidRPr="00E03185">
        <w:rPr>
          <w:i/>
        </w:rPr>
        <w:t xml:space="preserve">Health Insurance (General Medical Services Table) Amendment (2021 Measures No. </w:t>
      </w:r>
      <w:r w:rsidR="00B5336E" w:rsidRPr="00E03185">
        <w:rPr>
          <w:i/>
        </w:rPr>
        <w:t>2</w:t>
      </w:r>
      <w:r w:rsidR="00E70FE8" w:rsidRPr="00E03185">
        <w:rPr>
          <w:i/>
        </w:rPr>
        <w:t>) Regulations 2021.</w:t>
      </w:r>
    </w:p>
    <w:p w14:paraId="6BFFD1DF" w14:textId="77777777" w:rsidR="00B11BA1" w:rsidRPr="00E03185" w:rsidRDefault="00B11BA1" w:rsidP="00CD463E">
      <w:pPr>
        <w:rPr>
          <w:lang w:eastAsia="en-AU"/>
        </w:rPr>
      </w:pPr>
    </w:p>
    <w:p w14:paraId="50235990" w14:textId="77777777" w:rsidR="00B11BA1" w:rsidRPr="00E03185" w:rsidRDefault="00B11BA1" w:rsidP="00CD463E">
      <w:pPr>
        <w:rPr>
          <w:u w:val="single"/>
          <w:lang w:eastAsia="en-AU"/>
        </w:rPr>
      </w:pPr>
      <w:r w:rsidRPr="00E03185">
        <w:rPr>
          <w:u w:val="single"/>
          <w:lang w:eastAsia="en-AU"/>
        </w:rPr>
        <w:t xml:space="preserve">Section 2 – Commencement </w:t>
      </w:r>
    </w:p>
    <w:p w14:paraId="772FC565" w14:textId="77777777" w:rsidR="00B11BA1" w:rsidRPr="00E03185" w:rsidRDefault="00B11BA1" w:rsidP="00CD463E">
      <w:pPr>
        <w:rPr>
          <w:lang w:eastAsia="en-AU"/>
        </w:rPr>
      </w:pPr>
    </w:p>
    <w:p w14:paraId="7EB4BCF5" w14:textId="28820CC0" w:rsidR="00B11BA1" w:rsidRPr="00E03185" w:rsidRDefault="003C5DF6" w:rsidP="00CD463E">
      <w:pPr>
        <w:rPr>
          <w:lang w:eastAsia="en-AU"/>
        </w:rPr>
      </w:pPr>
      <w:r w:rsidRPr="00E03185">
        <w:rPr>
          <w:lang w:eastAsia="en-AU"/>
        </w:rPr>
        <w:t>This section provides for the Regulations to commence</w:t>
      </w:r>
      <w:r w:rsidR="00804C49" w:rsidRPr="00E03185">
        <w:rPr>
          <w:lang w:eastAsia="en-AU"/>
        </w:rPr>
        <w:t xml:space="preserve"> the day after the instrument is registered.</w:t>
      </w:r>
    </w:p>
    <w:p w14:paraId="76C1FA36" w14:textId="77777777" w:rsidR="00B11BA1" w:rsidRPr="00E03185" w:rsidRDefault="00B11BA1" w:rsidP="00CD463E">
      <w:pPr>
        <w:rPr>
          <w:lang w:eastAsia="en-AU"/>
        </w:rPr>
      </w:pPr>
    </w:p>
    <w:p w14:paraId="0AA8E986" w14:textId="77777777" w:rsidR="00B11BA1" w:rsidRPr="00E03185" w:rsidRDefault="00B11BA1" w:rsidP="00CD463E">
      <w:pPr>
        <w:rPr>
          <w:u w:val="single"/>
          <w:lang w:eastAsia="en-AU"/>
        </w:rPr>
      </w:pPr>
      <w:r w:rsidRPr="00E03185">
        <w:rPr>
          <w:u w:val="single"/>
          <w:lang w:eastAsia="en-AU"/>
        </w:rPr>
        <w:t xml:space="preserve">Section 3 – Authority  </w:t>
      </w:r>
    </w:p>
    <w:p w14:paraId="0D136F8E" w14:textId="77777777" w:rsidR="00B11BA1" w:rsidRPr="00E03185" w:rsidRDefault="00B11BA1" w:rsidP="00CD463E">
      <w:pPr>
        <w:rPr>
          <w:lang w:eastAsia="en-AU"/>
        </w:rPr>
      </w:pPr>
    </w:p>
    <w:p w14:paraId="3DAB6511" w14:textId="77777777" w:rsidR="00B11BA1" w:rsidRPr="00E03185" w:rsidRDefault="00B11BA1" w:rsidP="00CD463E">
      <w:pPr>
        <w:ind w:right="-483"/>
        <w:rPr>
          <w:lang w:eastAsia="en-AU"/>
        </w:rPr>
      </w:pPr>
      <w:r w:rsidRPr="00E03185">
        <w:rPr>
          <w:lang w:eastAsia="en-AU"/>
        </w:rPr>
        <w:t xml:space="preserve">This section provides that the Regulations are made under the </w:t>
      </w:r>
      <w:r w:rsidRPr="00E03185">
        <w:rPr>
          <w:i/>
          <w:lang w:eastAsia="en-AU"/>
        </w:rPr>
        <w:t>Health Insurance Act 1973</w:t>
      </w:r>
      <w:r w:rsidRPr="00E03185">
        <w:rPr>
          <w:lang w:eastAsia="en-AU"/>
        </w:rPr>
        <w:t>.</w:t>
      </w:r>
    </w:p>
    <w:p w14:paraId="735105C7" w14:textId="77777777" w:rsidR="00B11BA1" w:rsidRPr="00E03185" w:rsidRDefault="00B11BA1" w:rsidP="00CD463E">
      <w:pPr>
        <w:tabs>
          <w:tab w:val="num" w:pos="1080"/>
        </w:tabs>
        <w:rPr>
          <w:lang w:eastAsia="en-AU"/>
        </w:rPr>
      </w:pPr>
    </w:p>
    <w:p w14:paraId="0657A3E0" w14:textId="77777777" w:rsidR="00B11BA1" w:rsidRPr="00E03185" w:rsidRDefault="00B11BA1" w:rsidP="00CD463E">
      <w:pPr>
        <w:tabs>
          <w:tab w:val="num" w:pos="1080"/>
        </w:tabs>
        <w:rPr>
          <w:u w:val="single"/>
          <w:lang w:eastAsia="en-AU"/>
        </w:rPr>
      </w:pPr>
      <w:r w:rsidRPr="00E03185">
        <w:rPr>
          <w:u w:val="single"/>
          <w:lang w:eastAsia="en-AU"/>
        </w:rPr>
        <w:t>Section 4 – Schedules</w:t>
      </w:r>
    </w:p>
    <w:p w14:paraId="6B367029" w14:textId="77777777" w:rsidR="00B11BA1" w:rsidRPr="00E03185" w:rsidRDefault="00B11BA1" w:rsidP="00CD463E">
      <w:pPr>
        <w:tabs>
          <w:tab w:val="num" w:pos="1080"/>
        </w:tabs>
        <w:rPr>
          <w:lang w:eastAsia="en-AU"/>
        </w:rPr>
      </w:pPr>
    </w:p>
    <w:p w14:paraId="2279C00B" w14:textId="77777777" w:rsidR="00B11BA1" w:rsidRPr="00E03185" w:rsidRDefault="00B11BA1" w:rsidP="00CD463E">
      <w:pPr>
        <w:tabs>
          <w:tab w:val="num" w:pos="1080"/>
        </w:tabs>
        <w:rPr>
          <w:lang w:eastAsia="en-AU"/>
        </w:rPr>
      </w:pPr>
      <w:r w:rsidRPr="00E03185">
        <w:rPr>
          <w:lang w:eastAsia="en-AU"/>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33C9363F" w14:textId="77777777" w:rsidR="00B11BA1" w:rsidRPr="00E03185" w:rsidRDefault="00B11BA1" w:rsidP="00CD463E">
      <w:pPr>
        <w:tabs>
          <w:tab w:val="num" w:pos="1080"/>
        </w:tabs>
        <w:rPr>
          <w:lang w:eastAsia="en-AU"/>
        </w:rPr>
      </w:pPr>
    </w:p>
    <w:p w14:paraId="4932D6F8" w14:textId="77777777" w:rsidR="00B11BA1" w:rsidRPr="00E03185" w:rsidRDefault="00B11BA1" w:rsidP="00CD463E">
      <w:pPr>
        <w:rPr>
          <w:u w:val="single"/>
        </w:rPr>
      </w:pPr>
      <w:r w:rsidRPr="00E03185">
        <w:rPr>
          <w:u w:val="single"/>
        </w:rPr>
        <w:t>Schedule 1 – Amendments</w:t>
      </w:r>
    </w:p>
    <w:p w14:paraId="3E6DB7E5" w14:textId="20644FAD" w:rsidR="00B11BA1" w:rsidRPr="00E03185" w:rsidRDefault="00B11BA1" w:rsidP="00CD463E">
      <w:pPr>
        <w:rPr>
          <w:u w:val="single"/>
        </w:rPr>
      </w:pPr>
    </w:p>
    <w:p w14:paraId="43515F50" w14:textId="40EEDF09" w:rsidR="00E70FE8" w:rsidRPr="00E03185" w:rsidRDefault="00E70FE8" w:rsidP="00CD463E">
      <w:pPr>
        <w:rPr>
          <w:b/>
          <w:i/>
        </w:rPr>
      </w:pPr>
      <w:r w:rsidRPr="00E03185">
        <w:rPr>
          <w:b/>
          <w:i/>
        </w:rPr>
        <w:t>Health Insurance (General Medical Services Table) Regulations 2021</w:t>
      </w:r>
    </w:p>
    <w:p w14:paraId="2168D347" w14:textId="77777777" w:rsidR="00E70FE8" w:rsidRPr="00E03185" w:rsidRDefault="00E70FE8" w:rsidP="00CD463E">
      <w:pPr>
        <w:rPr>
          <w:u w:val="single"/>
        </w:rPr>
      </w:pPr>
    </w:p>
    <w:p w14:paraId="064D8E9F" w14:textId="6AF1A600" w:rsidR="00804C49" w:rsidRPr="00E03185" w:rsidRDefault="00E70FE8" w:rsidP="00CD463E">
      <w:pPr>
        <w:rPr>
          <w:bCs/>
        </w:rPr>
      </w:pPr>
      <w:r w:rsidRPr="00E03185">
        <w:rPr>
          <w:b/>
        </w:rPr>
        <w:t xml:space="preserve">Item 1 </w:t>
      </w:r>
      <w:r w:rsidR="00804C49" w:rsidRPr="00E03185">
        <w:rPr>
          <w:bCs/>
        </w:rPr>
        <w:t xml:space="preserve">repeals and replaces clause 5.10.25 to remove the restriction that a service under item 50303 is applicable once in a 12 month period for each limb. The updated clause continues the restriction that items 50200 and 50201 do not apply if the same provider has provided the same service to a patient more than once in the previous 12 months. </w:t>
      </w:r>
    </w:p>
    <w:p w14:paraId="09B5239F" w14:textId="77777777" w:rsidR="00804C49" w:rsidRPr="00E03185" w:rsidRDefault="00804C49" w:rsidP="00CD463E">
      <w:pPr>
        <w:rPr>
          <w:bCs/>
        </w:rPr>
      </w:pPr>
    </w:p>
    <w:p w14:paraId="5A3DDE4A" w14:textId="2B15CBBA" w:rsidR="00804C49" w:rsidRPr="00E03185" w:rsidRDefault="00804C49" w:rsidP="00CD463E">
      <w:pPr>
        <w:rPr>
          <w:bCs/>
        </w:rPr>
      </w:pPr>
      <w:r w:rsidRPr="00E03185">
        <w:rPr>
          <w:b/>
        </w:rPr>
        <w:t>Item 2</w:t>
      </w:r>
      <w:r w:rsidRPr="00E03185">
        <w:rPr>
          <w:bCs/>
        </w:rPr>
        <w:t xml:space="preserve"> amends the item descriptor of item 47069 to provide that the service is performed by a closed reduction, instead of an open reduction.</w:t>
      </w:r>
    </w:p>
    <w:p w14:paraId="7E356B85" w14:textId="626ABC0F" w:rsidR="00804C49" w:rsidRPr="00E03185" w:rsidRDefault="00804C49" w:rsidP="00CD463E">
      <w:pPr>
        <w:rPr>
          <w:bCs/>
        </w:rPr>
      </w:pPr>
    </w:p>
    <w:p w14:paraId="33BD7746" w14:textId="01B3AF9C" w:rsidR="00804C49" w:rsidRPr="00E03185" w:rsidRDefault="00804C49" w:rsidP="00CD463E">
      <w:pPr>
        <w:rPr>
          <w:bCs/>
        </w:rPr>
      </w:pPr>
      <w:r w:rsidRPr="00E03185">
        <w:rPr>
          <w:b/>
        </w:rPr>
        <w:t>Item 3</w:t>
      </w:r>
      <w:r w:rsidRPr="00E03185">
        <w:rPr>
          <w:bCs/>
        </w:rPr>
        <w:t xml:space="preserve"> amends the item descriptor of item 49730 to provide that the service includes arthroscopy of the hindfoot and the first metatarsophalangeal joint, and that the ankle is excluded.</w:t>
      </w:r>
    </w:p>
    <w:p w14:paraId="2A1F26F1" w14:textId="77777777" w:rsidR="00804C49" w:rsidRPr="00E03185" w:rsidRDefault="00804C49" w:rsidP="00CD463E">
      <w:pPr>
        <w:rPr>
          <w:bCs/>
        </w:rPr>
      </w:pPr>
    </w:p>
    <w:p w14:paraId="542A4B94" w14:textId="77777777" w:rsidR="00E70FE8" w:rsidRPr="00E03185" w:rsidRDefault="00E70FE8" w:rsidP="00CD463E"/>
    <w:p w14:paraId="53AD0189" w14:textId="77777777" w:rsidR="003C5DF6" w:rsidRPr="00E03185" w:rsidRDefault="003C5DF6">
      <w:pPr>
        <w:rPr>
          <w:b/>
          <w:lang w:eastAsia="en-AU"/>
        </w:rPr>
      </w:pPr>
      <w:r w:rsidRPr="00E03185">
        <w:rPr>
          <w:b/>
          <w:lang w:eastAsia="en-AU"/>
        </w:rPr>
        <w:br w:type="page"/>
      </w:r>
    </w:p>
    <w:p w14:paraId="7BB889CA" w14:textId="4EF9793D" w:rsidR="00B11BA1" w:rsidRPr="00E03185" w:rsidRDefault="00B11BA1" w:rsidP="00CD463E">
      <w:pPr>
        <w:spacing w:before="120" w:after="120"/>
        <w:jc w:val="center"/>
        <w:rPr>
          <w:b/>
          <w:lang w:eastAsia="en-AU"/>
        </w:rPr>
      </w:pPr>
      <w:r w:rsidRPr="00E03185">
        <w:rPr>
          <w:b/>
          <w:lang w:eastAsia="en-AU"/>
        </w:rPr>
        <w:lastRenderedPageBreak/>
        <w:t>Statement of Compatibility with Human Rights</w:t>
      </w:r>
    </w:p>
    <w:p w14:paraId="718B00FE" w14:textId="77777777" w:rsidR="00B11BA1" w:rsidRPr="00E03185" w:rsidRDefault="00B11BA1" w:rsidP="00CD463E">
      <w:pPr>
        <w:spacing w:before="120" w:after="120"/>
        <w:jc w:val="center"/>
        <w:rPr>
          <w:lang w:eastAsia="en-AU"/>
        </w:rPr>
      </w:pPr>
      <w:r w:rsidRPr="00E03185">
        <w:rPr>
          <w:i/>
          <w:lang w:eastAsia="en-AU"/>
        </w:rPr>
        <w:t>Prepared in accordance with Part 3 of the Human Rights (Parliamentary Scrutiny) Act 2011</w:t>
      </w:r>
    </w:p>
    <w:p w14:paraId="269FADF8" w14:textId="6F47D52A" w:rsidR="00E31C57" w:rsidRPr="00E03185" w:rsidRDefault="00E31C57" w:rsidP="00E31C57">
      <w:pPr>
        <w:tabs>
          <w:tab w:val="left" w:pos="1418"/>
        </w:tabs>
        <w:ind w:left="851"/>
        <w:jc w:val="center"/>
        <w:rPr>
          <w:b/>
          <w:i/>
          <w:lang w:eastAsia="en-AU"/>
        </w:rPr>
      </w:pPr>
      <w:r w:rsidRPr="00E03185">
        <w:rPr>
          <w:b/>
          <w:i/>
          <w:lang w:eastAsia="en-AU"/>
        </w:rPr>
        <w:t xml:space="preserve">Health Insurance (General Medical Services Table) Amendment (2021 Measures No. </w:t>
      </w:r>
      <w:r w:rsidR="00B5336E" w:rsidRPr="00E03185">
        <w:rPr>
          <w:b/>
          <w:i/>
          <w:lang w:eastAsia="en-AU"/>
        </w:rPr>
        <w:t>2</w:t>
      </w:r>
      <w:r w:rsidRPr="00E03185">
        <w:rPr>
          <w:b/>
          <w:i/>
          <w:lang w:eastAsia="en-AU"/>
        </w:rPr>
        <w:t xml:space="preserve">) Regulations 2021 </w:t>
      </w:r>
    </w:p>
    <w:p w14:paraId="53888896" w14:textId="77777777" w:rsidR="00B11BA1" w:rsidRPr="00E03185" w:rsidRDefault="00B11BA1" w:rsidP="00CD463E">
      <w:pPr>
        <w:tabs>
          <w:tab w:val="left" w:pos="1418"/>
        </w:tabs>
        <w:ind w:left="851"/>
        <w:jc w:val="center"/>
        <w:rPr>
          <w:b/>
          <w:i/>
          <w:lang w:eastAsia="en-AU"/>
        </w:rPr>
      </w:pPr>
    </w:p>
    <w:p w14:paraId="37ECD06A" w14:textId="77777777" w:rsidR="00B11BA1" w:rsidRPr="00E03185" w:rsidRDefault="00B11BA1" w:rsidP="00CD463E">
      <w:pPr>
        <w:jc w:val="center"/>
        <w:rPr>
          <w:lang w:eastAsia="en-AU"/>
        </w:rPr>
      </w:pPr>
      <w:r w:rsidRPr="00E03185">
        <w:rPr>
          <w:lang w:eastAsia="en-AU"/>
        </w:rPr>
        <w:t xml:space="preserve">This Regulation is compatible with the human rights and freedoms recognised or declared in the international instruments listed in section 3 of the </w:t>
      </w:r>
      <w:r w:rsidRPr="00E03185">
        <w:rPr>
          <w:i/>
          <w:lang w:eastAsia="en-AU"/>
        </w:rPr>
        <w:t>Human Rights (Parliamentary Scrutiny) Act 2011</w:t>
      </w:r>
      <w:r w:rsidRPr="00E03185">
        <w:rPr>
          <w:lang w:eastAsia="en-AU"/>
        </w:rPr>
        <w:t>.</w:t>
      </w:r>
    </w:p>
    <w:p w14:paraId="130437E5" w14:textId="77777777" w:rsidR="00B11BA1" w:rsidRPr="00E03185" w:rsidRDefault="00B11BA1" w:rsidP="00CD463E">
      <w:pPr>
        <w:spacing w:before="120" w:after="120"/>
        <w:ind w:right="-483"/>
        <w:rPr>
          <w:b/>
          <w:lang w:eastAsia="en-AU"/>
        </w:rPr>
      </w:pPr>
      <w:r w:rsidRPr="00E03185">
        <w:rPr>
          <w:b/>
          <w:lang w:eastAsia="en-AU"/>
        </w:rPr>
        <w:t>Overview of the Disallowable Legislative Instrument</w:t>
      </w:r>
    </w:p>
    <w:p w14:paraId="0CAC0B02" w14:textId="77777777" w:rsidR="008A1935" w:rsidRPr="00E03185" w:rsidRDefault="008A1935" w:rsidP="008A1935">
      <w:r w:rsidRPr="00E03185">
        <w:t xml:space="preserve">The purpose of the </w:t>
      </w:r>
      <w:r w:rsidRPr="00E03185">
        <w:rPr>
          <w:i/>
        </w:rPr>
        <w:t xml:space="preserve">Health Insurance (General Medical Services Table) Amendment (2021 Measures No. 2) Regulations 2021 </w:t>
      </w:r>
      <w:r w:rsidRPr="00E03185">
        <w:t>(the Regulations) is to amend the general medical services table to make minor amendments to orthopaedic services to reflect the policy intent of these services, which were recommended by the MBS Review Taskforce (the Taskforce).</w:t>
      </w:r>
    </w:p>
    <w:p w14:paraId="3F2F0BCA" w14:textId="77777777" w:rsidR="008A1935" w:rsidRPr="00E03185" w:rsidRDefault="008A1935" w:rsidP="008A1935"/>
    <w:p w14:paraId="0AE429D7" w14:textId="77777777" w:rsidR="008A1935" w:rsidRPr="00E03185" w:rsidRDefault="008A1935" w:rsidP="008A1935">
      <w:pPr>
        <w:rPr>
          <w:color w:val="000000"/>
          <w:shd w:val="clear" w:color="auto" w:fill="FFFFFF"/>
        </w:rPr>
      </w:pPr>
      <w:r w:rsidRPr="00E03185">
        <w:rPr>
          <w:color w:val="000000"/>
          <w:shd w:val="clear" w:color="auto" w:fill="FFFFFF"/>
        </w:rPr>
        <w:t>In the 2020-21 Budget, the Government announced its response to the Taskforce recommendations on orthopaedic services under the </w:t>
      </w:r>
      <w:r w:rsidRPr="00E03185">
        <w:rPr>
          <w:i/>
          <w:iCs/>
          <w:color w:val="000000"/>
          <w:shd w:val="clear" w:color="auto" w:fill="FFFFFF"/>
        </w:rPr>
        <w:t>Guaranteeing Medicare — Medicare Benefits Schedule review</w:t>
      </w:r>
      <w:r w:rsidRPr="00E03185">
        <w:rPr>
          <w:color w:val="000000"/>
          <w:shd w:val="clear" w:color="auto" w:fill="FFFFFF"/>
        </w:rPr>
        <w:t xml:space="preserve"> measure. </w:t>
      </w:r>
    </w:p>
    <w:p w14:paraId="6E25CE55" w14:textId="77777777" w:rsidR="008A1935" w:rsidRPr="00E03185" w:rsidRDefault="008A1935" w:rsidP="008A1935">
      <w:pPr>
        <w:rPr>
          <w:color w:val="000000"/>
          <w:shd w:val="clear" w:color="auto" w:fill="FFFFFF"/>
        </w:rPr>
      </w:pPr>
    </w:p>
    <w:p w14:paraId="3B6979AE" w14:textId="77777777" w:rsidR="008A1935" w:rsidRPr="00E03185" w:rsidRDefault="008A1935" w:rsidP="008A1935">
      <w:r w:rsidRPr="00E03185">
        <w:rPr>
          <w:color w:val="000000"/>
          <w:shd w:val="clear" w:color="auto" w:fill="FFFFFF"/>
        </w:rPr>
        <w:t xml:space="preserve">The changes included restructuring the existing items to reflect contemporary practice, ensuring services are clinically appropriate and improving quality of care and safety for patients. These changes were implemented on 1 July 2021 by the </w:t>
      </w:r>
      <w:r w:rsidRPr="00E03185">
        <w:rPr>
          <w:i/>
          <w:iCs/>
          <w:color w:val="000000"/>
          <w:shd w:val="clear" w:color="auto" w:fill="FFFFFF"/>
        </w:rPr>
        <w:t>Health Insurance (General Medical Services Table) Regulations 2021.</w:t>
      </w:r>
      <w:r w:rsidRPr="00E03185">
        <w:rPr>
          <w:color w:val="000000"/>
          <w:shd w:val="clear" w:color="auto" w:fill="FFFFFF"/>
        </w:rPr>
        <w:t xml:space="preserve"> </w:t>
      </w:r>
    </w:p>
    <w:p w14:paraId="586DEA24" w14:textId="77777777" w:rsidR="008A1935" w:rsidRPr="00E03185" w:rsidRDefault="008A1935" w:rsidP="008A1935"/>
    <w:p w14:paraId="0BBC506E" w14:textId="49F42155" w:rsidR="008A1935" w:rsidRPr="00E03185" w:rsidRDefault="008A1935" w:rsidP="008A1935">
      <w:r w:rsidRPr="00E03185">
        <w:t xml:space="preserve">The Regulations will ensure that all </w:t>
      </w:r>
      <w:r w:rsidR="00C96982" w:rsidRPr="00E03185">
        <w:t xml:space="preserve">Taskforce </w:t>
      </w:r>
      <w:r w:rsidRPr="00E03185">
        <w:t xml:space="preserve">recommendations approved by </w:t>
      </w:r>
      <w:r w:rsidR="00C96982" w:rsidRPr="00E03185">
        <w:t>Government</w:t>
      </w:r>
      <w:r w:rsidRPr="00E03185">
        <w:t xml:space="preserve"> are implemented by making the following minor amendments:</w:t>
      </w:r>
    </w:p>
    <w:p w14:paraId="52664E46" w14:textId="77777777" w:rsidR="008A1935" w:rsidRPr="00E03185" w:rsidRDefault="008A1935" w:rsidP="008A1935">
      <w:pPr>
        <w:pStyle w:val="ListParagraph"/>
        <w:numPr>
          <w:ilvl w:val="0"/>
          <w:numId w:val="18"/>
        </w:numPr>
      </w:pPr>
      <w:r w:rsidRPr="00E03185">
        <w:t>Removing the reference to item 50303 from clause 5.10.25, as a 12 month restriction no longer applies to a service under this item, which is for limb lengthening by gradual distraction.</w:t>
      </w:r>
    </w:p>
    <w:p w14:paraId="39D5A3C1" w14:textId="77777777" w:rsidR="008A1935" w:rsidRPr="00E03185" w:rsidRDefault="008A1935" w:rsidP="008A1935">
      <w:pPr>
        <w:pStyle w:val="ListParagraph"/>
        <w:numPr>
          <w:ilvl w:val="0"/>
          <w:numId w:val="17"/>
        </w:numPr>
      </w:pPr>
      <w:r w:rsidRPr="00E03185">
        <w:t>Amending item 47069, which is for the treatment of a dislocated toe, to clarify that the service is to be performed by a closed reduction, as opposed to an open reduction.</w:t>
      </w:r>
    </w:p>
    <w:p w14:paraId="53F7F229" w14:textId="77777777" w:rsidR="008A1935" w:rsidRPr="00E03185" w:rsidRDefault="008A1935" w:rsidP="008A1935">
      <w:pPr>
        <w:pStyle w:val="ListParagraph"/>
        <w:numPr>
          <w:ilvl w:val="0"/>
          <w:numId w:val="17"/>
        </w:numPr>
      </w:pPr>
      <w:r w:rsidRPr="00E03185">
        <w:t>Amending item 49730, which is for joint surgery, to clarify that the service includes arthroscopy of the hindfoot and the first metatarsophalangeal joint, and that the ankle is excluded.</w:t>
      </w:r>
    </w:p>
    <w:p w14:paraId="7705A45E" w14:textId="77777777" w:rsidR="00B11BA1" w:rsidRPr="00E03185" w:rsidRDefault="00B11BA1" w:rsidP="00CD463E">
      <w:pPr>
        <w:spacing w:before="120" w:after="120"/>
        <w:rPr>
          <w:b/>
          <w:lang w:eastAsia="en-AU"/>
        </w:rPr>
      </w:pPr>
      <w:r w:rsidRPr="00E03185">
        <w:rPr>
          <w:b/>
          <w:lang w:eastAsia="en-AU"/>
        </w:rPr>
        <w:t>Human rights implications</w:t>
      </w:r>
    </w:p>
    <w:p w14:paraId="2E7F94EC" w14:textId="77777777" w:rsidR="00B11BA1" w:rsidRPr="00E03185" w:rsidRDefault="00B11BA1" w:rsidP="00CD463E">
      <w:pPr>
        <w:spacing w:before="120" w:after="120"/>
        <w:rPr>
          <w:lang w:eastAsia="en-AU"/>
        </w:rPr>
      </w:pPr>
      <w:r w:rsidRPr="00E03185">
        <w:rPr>
          <w:lang w:eastAsia="en-AU"/>
        </w:rPr>
        <w:t xml:space="preserve">The Regulations engage Articles 9 and 12 of the International Covenant on Economic Social and Cultural Rights (ICESCR), specifically the rights to health and social security. </w:t>
      </w:r>
    </w:p>
    <w:p w14:paraId="6F80F56D" w14:textId="77777777" w:rsidR="00B11BA1" w:rsidRPr="00E03185" w:rsidRDefault="00B11BA1" w:rsidP="00CD463E">
      <w:pPr>
        <w:spacing w:before="120" w:after="120"/>
        <w:rPr>
          <w:i/>
          <w:lang w:eastAsia="en-AU"/>
        </w:rPr>
      </w:pPr>
      <w:r w:rsidRPr="00E03185">
        <w:rPr>
          <w:i/>
          <w:lang w:eastAsia="en-AU"/>
        </w:rPr>
        <w:t>The Right to Health</w:t>
      </w:r>
    </w:p>
    <w:p w14:paraId="415452AE" w14:textId="77777777" w:rsidR="00B11BA1" w:rsidRPr="00E03185" w:rsidRDefault="00B11BA1" w:rsidP="00CD463E">
      <w:pPr>
        <w:spacing w:before="120" w:after="120"/>
        <w:rPr>
          <w:lang w:eastAsia="en-AU"/>
        </w:rPr>
      </w:pPr>
      <w:r w:rsidRPr="00E03185">
        <w:rPr>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t>
      </w:r>
      <w:r w:rsidRPr="00E03185">
        <w:rPr>
          <w:lang w:eastAsia="en-AU"/>
        </w:rPr>
        <w:lastRenderedPageBreak/>
        <w:t xml:space="preserve">which provides equality of opportunity for people to enjoy the highest attainable level of health. </w:t>
      </w:r>
    </w:p>
    <w:p w14:paraId="5AF4AF42" w14:textId="77777777" w:rsidR="00B11BA1" w:rsidRPr="00E03185" w:rsidRDefault="00B11BA1" w:rsidP="00CD463E">
      <w:pPr>
        <w:spacing w:before="120" w:after="120"/>
        <w:rPr>
          <w:lang w:eastAsia="en-AU"/>
        </w:rPr>
      </w:pPr>
      <w:r w:rsidRPr="00E03185">
        <w:rPr>
          <w:lang w:eastAsia="en-AU"/>
        </w:rPr>
        <w:t xml:space="preserve">The Committee reports that the </w:t>
      </w:r>
      <w:r w:rsidRPr="00E03185">
        <w:rPr>
          <w:i/>
          <w:lang w:eastAsia="en-AU"/>
        </w:rPr>
        <w:t>‘highest attainable standard of health’</w:t>
      </w:r>
      <w:r w:rsidRPr="00E03185">
        <w:rPr>
          <w:lang w:eastAsia="en-AU"/>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77F44CD7" w14:textId="77777777" w:rsidR="00B11BA1" w:rsidRPr="00E03185" w:rsidRDefault="00B11BA1" w:rsidP="00CD463E">
      <w:pPr>
        <w:spacing w:before="120" w:after="120"/>
        <w:rPr>
          <w:i/>
          <w:lang w:eastAsia="en-AU"/>
        </w:rPr>
      </w:pPr>
      <w:r w:rsidRPr="00E03185">
        <w:rPr>
          <w:i/>
          <w:lang w:eastAsia="en-AU"/>
        </w:rPr>
        <w:t xml:space="preserve">The Right to Social Security </w:t>
      </w:r>
    </w:p>
    <w:p w14:paraId="7234DA73" w14:textId="77777777" w:rsidR="00B11BA1" w:rsidRPr="00E03185" w:rsidRDefault="00B11BA1" w:rsidP="00CD463E">
      <w:pPr>
        <w:spacing w:before="120" w:after="120"/>
        <w:rPr>
          <w:lang w:eastAsia="en-AU"/>
        </w:rPr>
      </w:pPr>
      <w:r w:rsidRPr="00E03185">
        <w:rPr>
          <w:lang w:eastAsia="en-AU"/>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70AD61D7" w14:textId="49746192" w:rsidR="00B11BA1" w:rsidRPr="00E03185" w:rsidRDefault="00B11BA1" w:rsidP="00CD463E">
      <w:pPr>
        <w:spacing w:before="120" w:after="120"/>
        <w:rPr>
          <w:lang w:eastAsia="en-AU"/>
        </w:rPr>
      </w:pPr>
      <w:r w:rsidRPr="00E03185">
        <w:rPr>
          <w:lang w:eastAsia="en-AU"/>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0CA9F107" w14:textId="77777777" w:rsidR="00FA4B55" w:rsidRPr="00E03185" w:rsidRDefault="00FA4B55" w:rsidP="00FA4B55">
      <w:pPr>
        <w:shd w:val="clear" w:color="auto" w:fill="FFFFFF"/>
        <w:spacing w:before="120" w:after="120"/>
        <w:rPr>
          <w:color w:val="000000"/>
          <w:lang w:eastAsia="en-AU"/>
        </w:rPr>
      </w:pPr>
      <w:r w:rsidRPr="00E03185">
        <w:rPr>
          <w:i/>
          <w:iCs/>
          <w:color w:val="000000"/>
        </w:rPr>
        <w:t>The right of equality and non-discrimination</w:t>
      </w:r>
    </w:p>
    <w:p w14:paraId="6E906239" w14:textId="77777777" w:rsidR="00FA4B55" w:rsidRPr="00E03185" w:rsidRDefault="00FA4B55" w:rsidP="00FA4B55">
      <w:pPr>
        <w:shd w:val="clear" w:color="auto" w:fill="FFFFFF"/>
        <w:spacing w:before="120" w:after="120"/>
        <w:rPr>
          <w:color w:val="000000"/>
        </w:rPr>
      </w:pPr>
      <w:r w:rsidRPr="00E03185">
        <w:rPr>
          <w:color w:val="000000"/>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468F5CE2" w14:textId="77777777" w:rsidR="00B11BA1" w:rsidRPr="00E03185" w:rsidRDefault="00B11BA1" w:rsidP="00CD463E">
      <w:pPr>
        <w:spacing w:before="120" w:after="120"/>
        <w:rPr>
          <w:lang w:eastAsia="en-AU"/>
        </w:rPr>
      </w:pPr>
      <w:r w:rsidRPr="00E03185">
        <w:rPr>
          <w:u w:val="single"/>
          <w:lang w:eastAsia="en-AU"/>
        </w:rPr>
        <w:t xml:space="preserve">Analysis </w:t>
      </w:r>
    </w:p>
    <w:p w14:paraId="04EB139C" w14:textId="64724610" w:rsidR="00B11BA1" w:rsidRPr="00E03185" w:rsidRDefault="00B11BA1" w:rsidP="00CD463E">
      <w:pPr>
        <w:spacing w:before="120" w:after="120"/>
        <w:rPr>
          <w:lang w:eastAsia="en-AU"/>
        </w:rPr>
      </w:pPr>
      <w:r w:rsidRPr="00E03185">
        <w:rPr>
          <w:lang w:eastAsia="en-AU"/>
        </w:rPr>
        <w:t>The Regulations maintain rights to health and social security by ensuring access to publicly subsidised general medical services</w:t>
      </w:r>
      <w:r w:rsidR="003C5DF6" w:rsidRPr="00E03185">
        <w:rPr>
          <w:lang w:eastAsia="en-AU"/>
        </w:rPr>
        <w:t xml:space="preserve"> </w:t>
      </w:r>
      <w:r w:rsidRPr="00E03185">
        <w:rPr>
          <w:lang w:eastAsia="en-AU"/>
        </w:rPr>
        <w:t>are clinically and cost-effective.</w:t>
      </w:r>
    </w:p>
    <w:p w14:paraId="495C026A" w14:textId="77777777" w:rsidR="00B11BA1" w:rsidRPr="00E03185" w:rsidRDefault="00B11BA1" w:rsidP="00CD463E">
      <w:pPr>
        <w:spacing w:before="120" w:after="120" w:line="276" w:lineRule="auto"/>
        <w:rPr>
          <w:rFonts w:eastAsia="Calibri"/>
          <w:b/>
        </w:rPr>
      </w:pPr>
      <w:r w:rsidRPr="00E03185">
        <w:rPr>
          <w:rFonts w:eastAsia="Calibri"/>
          <w:b/>
        </w:rPr>
        <w:t xml:space="preserve">Conclusion </w:t>
      </w:r>
    </w:p>
    <w:p w14:paraId="69D585EE" w14:textId="77777777" w:rsidR="00B11BA1" w:rsidRPr="00E03185" w:rsidRDefault="00B11BA1" w:rsidP="00CD463E">
      <w:pPr>
        <w:spacing w:before="120" w:after="120"/>
        <w:rPr>
          <w:lang w:eastAsia="en-AU"/>
        </w:rPr>
      </w:pPr>
      <w:r w:rsidRPr="00E03185">
        <w:rPr>
          <w:lang w:eastAsia="en-AU"/>
        </w:rPr>
        <w:t>This instrument is compatible with human rights because it maintains existing arrangements and the protection of human rights.</w:t>
      </w:r>
    </w:p>
    <w:p w14:paraId="3F7FEB1B" w14:textId="77777777" w:rsidR="00B11BA1" w:rsidRPr="00E03185" w:rsidRDefault="00B11BA1" w:rsidP="00CD463E">
      <w:pPr>
        <w:rPr>
          <w:rFonts w:eastAsia="Calibri"/>
        </w:rPr>
      </w:pPr>
    </w:p>
    <w:p w14:paraId="296B3703" w14:textId="77777777" w:rsidR="00B11BA1" w:rsidRPr="00E03185" w:rsidRDefault="00B11BA1" w:rsidP="00CD463E">
      <w:pPr>
        <w:spacing w:before="120" w:after="120" w:line="276" w:lineRule="auto"/>
        <w:jc w:val="center"/>
        <w:rPr>
          <w:rFonts w:eastAsia="Calibri"/>
          <w:b/>
          <w:bCs/>
        </w:rPr>
      </w:pPr>
      <w:r w:rsidRPr="00E03185">
        <w:rPr>
          <w:rFonts w:eastAsia="Calibri"/>
          <w:b/>
          <w:bCs/>
        </w:rPr>
        <w:t>Greg Hunt</w:t>
      </w:r>
    </w:p>
    <w:p w14:paraId="112A3D84" w14:textId="77777777" w:rsidR="00B11BA1" w:rsidRPr="00B23EA8" w:rsidRDefault="00B11BA1" w:rsidP="00CD463E">
      <w:pPr>
        <w:spacing w:before="120" w:after="120" w:line="276" w:lineRule="auto"/>
        <w:jc w:val="center"/>
        <w:rPr>
          <w:rFonts w:eastAsia="Calibri"/>
        </w:rPr>
      </w:pPr>
      <w:r w:rsidRPr="00E03185">
        <w:rPr>
          <w:rFonts w:eastAsia="Calibri"/>
          <w:b/>
          <w:bCs/>
        </w:rPr>
        <w:t>Minister for Health and Aged Care</w:t>
      </w:r>
      <w:bookmarkStart w:id="0" w:name="_GoBack"/>
      <w:bookmarkEnd w:id="0"/>
    </w:p>
    <w:p w14:paraId="3952A7FA" w14:textId="710C6CD2" w:rsidR="00353D9A" w:rsidRPr="00B11BA1" w:rsidRDefault="00353D9A" w:rsidP="00CD463E">
      <w:pPr>
        <w:rPr>
          <w:rFonts w:eastAsia="Calibri"/>
        </w:rPr>
      </w:pPr>
    </w:p>
    <w:sectPr w:rsidR="00353D9A" w:rsidRPr="00B11BA1" w:rsidSect="00905A7B">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FF9A4" w14:textId="77777777" w:rsidR="00AF5078" w:rsidRDefault="00AF5078" w:rsidP="001868CC">
      <w:r>
        <w:separator/>
      </w:r>
    </w:p>
  </w:endnote>
  <w:endnote w:type="continuationSeparator" w:id="0">
    <w:p w14:paraId="4FEF5C3B" w14:textId="77777777" w:rsidR="00AF5078" w:rsidRDefault="00AF5078" w:rsidP="0018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1E3C7" w14:textId="77777777" w:rsidR="00AF5078" w:rsidRDefault="00AF5078" w:rsidP="001868CC">
      <w:r>
        <w:separator/>
      </w:r>
    </w:p>
  </w:footnote>
  <w:footnote w:type="continuationSeparator" w:id="0">
    <w:p w14:paraId="5835A20F" w14:textId="77777777" w:rsidR="00AF5078" w:rsidRDefault="00AF5078" w:rsidP="00186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146137"/>
      <w:docPartObj>
        <w:docPartGallery w:val="Page Numbers (Top of Page)"/>
        <w:docPartUnique/>
      </w:docPartObj>
    </w:sdtPr>
    <w:sdtEndPr>
      <w:rPr>
        <w:noProof/>
      </w:rPr>
    </w:sdtEndPr>
    <w:sdtContent>
      <w:p w14:paraId="69F1645A" w14:textId="1B67C027" w:rsidR="00AF5078" w:rsidRDefault="00AF5078">
        <w:pPr>
          <w:pStyle w:val="Header"/>
          <w:jc w:val="center"/>
        </w:pPr>
        <w:r>
          <w:fldChar w:fldCharType="begin"/>
        </w:r>
        <w:r>
          <w:instrText xml:space="preserve"> PAGE   \* MERGEFORMAT </w:instrText>
        </w:r>
        <w:r>
          <w:fldChar w:fldCharType="separate"/>
        </w:r>
        <w:r w:rsidR="00E03185">
          <w:rPr>
            <w:noProof/>
          </w:rPr>
          <w:t>1</w:t>
        </w:r>
        <w:r>
          <w:rPr>
            <w:noProof/>
          </w:rPr>
          <w:fldChar w:fldCharType="end"/>
        </w:r>
      </w:p>
    </w:sdtContent>
  </w:sdt>
  <w:p w14:paraId="6CA3CE6C" w14:textId="77777777" w:rsidR="00AF5078" w:rsidRDefault="00AF5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604"/>
    <w:multiLevelType w:val="hybridMultilevel"/>
    <w:tmpl w:val="1EA26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FD4AC7"/>
    <w:multiLevelType w:val="hybridMultilevel"/>
    <w:tmpl w:val="A34C1D2E"/>
    <w:lvl w:ilvl="0" w:tplc="0C09001B">
      <w:start w:val="1"/>
      <w:numFmt w:val="lowerRoman"/>
      <w:lvlText w:val="%1."/>
      <w:lvlJc w:val="right"/>
      <w:pPr>
        <w:ind w:left="720" w:hanging="360"/>
      </w:pPr>
    </w:lvl>
    <w:lvl w:ilvl="1" w:tplc="0C09001B">
      <w:start w:val="1"/>
      <w:numFmt w:val="lowerRoman"/>
      <w:lvlText w:val="%2."/>
      <w:lvlJc w:val="right"/>
      <w:pPr>
        <w:ind w:left="1440" w:hanging="360"/>
      </w:pPr>
    </w:lvl>
    <w:lvl w:ilvl="2" w:tplc="CF84847C">
      <w:start w:val="1"/>
      <w:numFmt w:val="lowerLetter"/>
      <w:lvlText w:val="(%3)"/>
      <w:lvlJc w:val="left"/>
      <w:pPr>
        <w:ind w:left="36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3A5A89"/>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4907B83"/>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B9C6D07"/>
    <w:multiLevelType w:val="hybridMultilevel"/>
    <w:tmpl w:val="F3106808"/>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170796"/>
    <w:multiLevelType w:val="hybridMultilevel"/>
    <w:tmpl w:val="65C6D91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BF75755"/>
    <w:multiLevelType w:val="hybridMultilevel"/>
    <w:tmpl w:val="1BAE4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8865D4"/>
    <w:multiLevelType w:val="hybridMultilevel"/>
    <w:tmpl w:val="80C0C5B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A715258"/>
    <w:multiLevelType w:val="hybridMultilevel"/>
    <w:tmpl w:val="1276A4A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E9D2DA1"/>
    <w:multiLevelType w:val="hybridMultilevel"/>
    <w:tmpl w:val="60028388"/>
    <w:lvl w:ilvl="0" w:tplc="0C090017">
      <w:start w:val="1"/>
      <w:numFmt w:val="lowerLetter"/>
      <w:lvlText w:val="%1)"/>
      <w:lvlJc w:val="left"/>
      <w:pPr>
        <w:ind w:left="720" w:hanging="360"/>
      </w:pPr>
    </w:lvl>
    <w:lvl w:ilvl="1" w:tplc="9F62F036">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319364A"/>
    <w:multiLevelType w:val="hybridMultilevel"/>
    <w:tmpl w:val="EE0E2F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38675A9"/>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616C3FD6"/>
    <w:multiLevelType w:val="hybridMultilevel"/>
    <w:tmpl w:val="F9060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377321"/>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699A7A17"/>
    <w:multiLevelType w:val="hybridMultilevel"/>
    <w:tmpl w:val="1276A4A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9E41FDB"/>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69E65AC4"/>
    <w:multiLevelType w:val="hybridMultilevel"/>
    <w:tmpl w:val="CAF0E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843D4D"/>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2"/>
  </w:num>
  <w:num w:numId="2">
    <w:abstractNumId w:val="16"/>
  </w:num>
  <w:num w:numId="3">
    <w:abstractNumId w:val="14"/>
  </w:num>
  <w:num w:numId="4">
    <w:abstractNumId w:val="10"/>
  </w:num>
  <w:num w:numId="5">
    <w:abstractNumId w:val="8"/>
  </w:num>
  <w:num w:numId="6">
    <w:abstractNumId w:val="9"/>
  </w:num>
  <w:num w:numId="7">
    <w:abstractNumId w:val="4"/>
  </w:num>
  <w:num w:numId="8">
    <w:abstractNumId w:val="1"/>
  </w:num>
  <w:num w:numId="9">
    <w:abstractNumId w:val="15"/>
  </w:num>
  <w:num w:numId="10">
    <w:abstractNumId w:val="7"/>
  </w:num>
  <w:num w:numId="11">
    <w:abstractNumId w:val="17"/>
  </w:num>
  <w:num w:numId="12">
    <w:abstractNumId w:val="3"/>
  </w:num>
  <w:num w:numId="13">
    <w:abstractNumId w:val="2"/>
  </w:num>
  <w:num w:numId="14">
    <w:abstractNumId w:val="11"/>
  </w:num>
  <w:num w:numId="15">
    <w:abstractNumId w:val="13"/>
  </w:num>
  <w:num w:numId="16">
    <w:abstractNumId w:val="5"/>
  </w:num>
  <w:num w:numId="17">
    <w:abstractNumId w:val="6"/>
  </w:num>
  <w:num w:numId="1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8CC"/>
    <w:rsid w:val="000023E5"/>
    <w:rsid w:val="00002B2B"/>
    <w:rsid w:val="00002F8F"/>
    <w:rsid w:val="00003743"/>
    <w:rsid w:val="00003747"/>
    <w:rsid w:val="000071A4"/>
    <w:rsid w:val="00010C7B"/>
    <w:rsid w:val="0001226F"/>
    <w:rsid w:val="0001368B"/>
    <w:rsid w:val="000147B1"/>
    <w:rsid w:val="00017F8C"/>
    <w:rsid w:val="00020491"/>
    <w:rsid w:val="00020B86"/>
    <w:rsid w:val="00020F96"/>
    <w:rsid w:val="00022590"/>
    <w:rsid w:val="00030D05"/>
    <w:rsid w:val="00031095"/>
    <w:rsid w:val="00036958"/>
    <w:rsid w:val="00036A0F"/>
    <w:rsid w:val="00040086"/>
    <w:rsid w:val="00040321"/>
    <w:rsid w:val="0004211F"/>
    <w:rsid w:val="000507A2"/>
    <w:rsid w:val="00050B68"/>
    <w:rsid w:val="000522A4"/>
    <w:rsid w:val="0005240A"/>
    <w:rsid w:val="00057511"/>
    <w:rsid w:val="00057CC4"/>
    <w:rsid w:val="00057EAC"/>
    <w:rsid w:val="000642E3"/>
    <w:rsid w:val="000666F7"/>
    <w:rsid w:val="00066E72"/>
    <w:rsid w:val="00066FE1"/>
    <w:rsid w:val="00067456"/>
    <w:rsid w:val="000706E7"/>
    <w:rsid w:val="00071611"/>
    <w:rsid w:val="00074F8F"/>
    <w:rsid w:val="000752AA"/>
    <w:rsid w:val="00075D47"/>
    <w:rsid w:val="00081450"/>
    <w:rsid w:val="00081838"/>
    <w:rsid w:val="00085E5B"/>
    <w:rsid w:val="000903DD"/>
    <w:rsid w:val="000911D8"/>
    <w:rsid w:val="00091302"/>
    <w:rsid w:val="000913D8"/>
    <w:rsid w:val="000942F3"/>
    <w:rsid w:val="00096E5E"/>
    <w:rsid w:val="000A299F"/>
    <w:rsid w:val="000A3529"/>
    <w:rsid w:val="000A4297"/>
    <w:rsid w:val="000A54E7"/>
    <w:rsid w:val="000A59A8"/>
    <w:rsid w:val="000A767D"/>
    <w:rsid w:val="000B03D0"/>
    <w:rsid w:val="000B0DBC"/>
    <w:rsid w:val="000B3C00"/>
    <w:rsid w:val="000B40AE"/>
    <w:rsid w:val="000B42FE"/>
    <w:rsid w:val="000B594D"/>
    <w:rsid w:val="000B738C"/>
    <w:rsid w:val="000C5A1C"/>
    <w:rsid w:val="000C5B4F"/>
    <w:rsid w:val="000C6ECA"/>
    <w:rsid w:val="000C702D"/>
    <w:rsid w:val="000D1701"/>
    <w:rsid w:val="000D18A9"/>
    <w:rsid w:val="000D50ED"/>
    <w:rsid w:val="000E053C"/>
    <w:rsid w:val="000E26C0"/>
    <w:rsid w:val="000E6238"/>
    <w:rsid w:val="000F06AB"/>
    <w:rsid w:val="000F12AD"/>
    <w:rsid w:val="000F20F4"/>
    <w:rsid w:val="000F3984"/>
    <w:rsid w:val="000F71F1"/>
    <w:rsid w:val="000F78E2"/>
    <w:rsid w:val="00101B3D"/>
    <w:rsid w:val="00101CD5"/>
    <w:rsid w:val="00104AD6"/>
    <w:rsid w:val="00106093"/>
    <w:rsid w:val="00111839"/>
    <w:rsid w:val="00117858"/>
    <w:rsid w:val="00121E4E"/>
    <w:rsid w:val="00123197"/>
    <w:rsid w:val="00123AFC"/>
    <w:rsid w:val="00124C82"/>
    <w:rsid w:val="00124DA2"/>
    <w:rsid w:val="00125047"/>
    <w:rsid w:val="00125104"/>
    <w:rsid w:val="00126FF1"/>
    <w:rsid w:val="00130749"/>
    <w:rsid w:val="00130898"/>
    <w:rsid w:val="00130912"/>
    <w:rsid w:val="0013281C"/>
    <w:rsid w:val="001334B8"/>
    <w:rsid w:val="001375CA"/>
    <w:rsid w:val="00137B9F"/>
    <w:rsid w:val="00140401"/>
    <w:rsid w:val="001438A6"/>
    <w:rsid w:val="00143A76"/>
    <w:rsid w:val="00144688"/>
    <w:rsid w:val="00147180"/>
    <w:rsid w:val="0015318D"/>
    <w:rsid w:val="001537A1"/>
    <w:rsid w:val="00162C97"/>
    <w:rsid w:val="00163DE4"/>
    <w:rsid w:val="001645EE"/>
    <w:rsid w:val="00166E21"/>
    <w:rsid w:val="00170E68"/>
    <w:rsid w:val="001712E9"/>
    <w:rsid w:val="001720C6"/>
    <w:rsid w:val="00172918"/>
    <w:rsid w:val="00173D09"/>
    <w:rsid w:val="0017656A"/>
    <w:rsid w:val="00180743"/>
    <w:rsid w:val="00180C94"/>
    <w:rsid w:val="00180D6F"/>
    <w:rsid w:val="00181E3B"/>
    <w:rsid w:val="00182147"/>
    <w:rsid w:val="001825D2"/>
    <w:rsid w:val="00182699"/>
    <w:rsid w:val="0018414F"/>
    <w:rsid w:val="00184DB0"/>
    <w:rsid w:val="00184F74"/>
    <w:rsid w:val="00185A70"/>
    <w:rsid w:val="001868CC"/>
    <w:rsid w:val="001920E8"/>
    <w:rsid w:val="00192429"/>
    <w:rsid w:val="00195A20"/>
    <w:rsid w:val="001A2AD4"/>
    <w:rsid w:val="001B3443"/>
    <w:rsid w:val="001B44E8"/>
    <w:rsid w:val="001B5D32"/>
    <w:rsid w:val="001C1DBB"/>
    <w:rsid w:val="001C2F6A"/>
    <w:rsid w:val="001C6406"/>
    <w:rsid w:val="001C701B"/>
    <w:rsid w:val="001C7F38"/>
    <w:rsid w:val="001D2947"/>
    <w:rsid w:val="001D54DC"/>
    <w:rsid w:val="001D5752"/>
    <w:rsid w:val="001D632E"/>
    <w:rsid w:val="001D6902"/>
    <w:rsid w:val="001D71B4"/>
    <w:rsid w:val="001D7E33"/>
    <w:rsid w:val="001E3F12"/>
    <w:rsid w:val="001E433F"/>
    <w:rsid w:val="001E460D"/>
    <w:rsid w:val="001E59D8"/>
    <w:rsid w:val="001E5D09"/>
    <w:rsid w:val="001E5F1B"/>
    <w:rsid w:val="001E7660"/>
    <w:rsid w:val="001F44A8"/>
    <w:rsid w:val="001F498D"/>
    <w:rsid w:val="001F4B5E"/>
    <w:rsid w:val="001F4F1C"/>
    <w:rsid w:val="001F57E0"/>
    <w:rsid w:val="00200E47"/>
    <w:rsid w:val="0020256D"/>
    <w:rsid w:val="00202F53"/>
    <w:rsid w:val="00205701"/>
    <w:rsid w:val="00210AA0"/>
    <w:rsid w:val="00211144"/>
    <w:rsid w:val="00213004"/>
    <w:rsid w:val="002140D6"/>
    <w:rsid w:val="002143D4"/>
    <w:rsid w:val="00216587"/>
    <w:rsid w:val="0022104C"/>
    <w:rsid w:val="00221F65"/>
    <w:rsid w:val="00222F55"/>
    <w:rsid w:val="002242D2"/>
    <w:rsid w:val="002272A2"/>
    <w:rsid w:val="00230DC0"/>
    <w:rsid w:val="00231EC3"/>
    <w:rsid w:val="00232B0E"/>
    <w:rsid w:val="0023603A"/>
    <w:rsid w:val="00240217"/>
    <w:rsid w:val="00240360"/>
    <w:rsid w:val="00246273"/>
    <w:rsid w:val="00246CE1"/>
    <w:rsid w:val="00246F96"/>
    <w:rsid w:val="0024751C"/>
    <w:rsid w:val="00247F9B"/>
    <w:rsid w:val="00251D1F"/>
    <w:rsid w:val="00252108"/>
    <w:rsid w:val="002547AB"/>
    <w:rsid w:val="0025593C"/>
    <w:rsid w:val="00255B81"/>
    <w:rsid w:val="00256B90"/>
    <w:rsid w:val="00260130"/>
    <w:rsid w:val="00260F07"/>
    <w:rsid w:val="002626E6"/>
    <w:rsid w:val="0026315C"/>
    <w:rsid w:val="002656A7"/>
    <w:rsid w:val="00272356"/>
    <w:rsid w:val="00272777"/>
    <w:rsid w:val="00272CC1"/>
    <w:rsid w:val="00274F62"/>
    <w:rsid w:val="002755FB"/>
    <w:rsid w:val="00276A05"/>
    <w:rsid w:val="002809AC"/>
    <w:rsid w:val="00280B01"/>
    <w:rsid w:val="00281B6E"/>
    <w:rsid w:val="00283580"/>
    <w:rsid w:val="002869CD"/>
    <w:rsid w:val="002874F9"/>
    <w:rsid w:val="00291202"/>
    <w:rsid w:val="0029166B"/>
    <w:rsid w:val="00293B05"/>
    <w:rsid w:val="002967EC"/>
    <w:rsid w:val="00296821"/>
    <w:rsid w:val="00297DBC"/>
    <w:rsid w:val="002A1254"/>
    <w:rsid w:val="002A132D"/>
    <w:rsid w:val="002A278C"/>
    <w:rsid w:val="002A78B0"/>
    <w:rsid w:val="002B008B"/>
    <w:rsid w:val="002B2281"/>
    <w:rsid w:val="002B29CD"/>
    <w:rsid w:val="002C0474"/>
    <w:rsid w:val="002C45D1"/>
    <w:rsid w:val="002C4FDD"/>
    <w:rsid w:val="002C7308"/>
    <w:rsid w:val="002D0C61"/>
    <w:rsid w:val="002D148D"/>
    <w:rsid w:val="002D169F"/>
    <w:rsid w:val="002D2549"/>
    <w:rsid w:val="002D3B01"/>
    <w:rsid w:val="002D55EC"/>
    <w:rsid w:val="002D60B3"/>
    <w:rsid w:val="002D7493"/>
    <w:rsid w:val="002D7BB2"/>
    <w:rsid w:val="002E3D62"/>
    <w:rsid w:val="002E4188"/>
    <w:rsid w:val="002E6F03"/>
    <w:rsid w:val="002E7D46"/>
    <w:rsid w:val="002F1BD8"/>
    <w:rsid w:val="002F3572"/>
    <w:rsid w:val="002F396B"/>
    <w:rsid w:val="002F3AE3"/>
    <w:rsid w:val="002F6797"/>
    <w:rsid w:val="002F7815"/>
    <w:rsid w:val="00302909"/>
    <w:rsid w:val="0030786C"/>
    <w:rsid w:val="00307BA8"/>
    <w:rsid w:val="003131F0"/>
    <w:rsid w:val="00314CAA"/>
    <w:rsid w:val="00316634"/>
    <w:rsid w:val="0032164F"/>
    <w:rsid w:val="003252AB"/>
    <w:rsid w:val="00325386"/>
    <w:rsid w:val="00330D43"/>
    <w:rsid w:val="003314BE"/>
    <w:rsid w:val="003351BA"/>
    <w:rsid w:val="00336BD7"/>
    <w:rsid w:val="00337186"/>
    <w:rsid w:val="00341EBE"/>
    <w:rsid w:val="00342648"/>
    <w:rsid w:val="00343CFB"/>
    <w:rsid w:val="00346CAA"/>
    <w:rsid w:val="0035169A"/>
    <w:rsid w:val="0035193E"/>
    <w:rsid w:val="00352967"/>
    <w:rsid w:val="00353D9A"/>
    <w:rsid w:val="0035704F"/>
    <w:rsid w:val="00357866"/>
    <w:rsid w:val="0036032E"/>
    <w:rsid w:val="003608E3"/>
    <w:rsid w:val="003629F2"/>
    <w:rsid w:val="00365ABA"/>
    <w:rsid w:val="0037157D"/>
    <w:rsid w:val="003716D5"/>
    <w:rsid w:val="00373F1B"/>
    <w:rsid w:val="003800C9"/>
    <w:rsid w:val="003816EC"/>
    <w:rsid w:val="00383C8B"/>
    <w:rsid w:val="00383CD5"/>
    <w:rsid w:val="003841B8"/>
    <w:rsid w:val="00385E67"/>
    <w:rsid w:val="00387596"/>
    <w:rsid w:val="003907AA"/>
    <w:rsid w:val="00390B60"/>
    <w:rsid w:val="00392252"/>
    <w:rsid w:val="003922D3"/>
    <w:rsid w:val="0039281B"/>
    <w:rsid w:val="003935F9"/>
    <w:rsid w:val="00394201"/>
    <w:rsid w:val="00397124"/>
    <w:rsid w:val="003A15B9"/>
    <w:rsid w:val="003A1852"/>
    <w:rsid w:val="003A5125"/>
    <w:rsid w:val="003A6290"/>
    <w:rsid w:val="003A73EB"/>
    <w:rsid w:val="003B15B4"/>
    <w:rsid w:val="003B1A20"/>
    <w:rsid w:val="003B2DD9"/>
    <w:rsid w:val="003B52F9"/>
    <w:rsid w:val="003B7A68"/>
    <w:rsid w:val="003C22DF"/>
    <w:rsid w:val="003C4C82"/>
    <w:rsid w:val="003C50B2"/>
    <w:rsid w:val="003C5AD2"/>
    <w:rsid w:val="003C5CFD"/>
    <w:rsid w:val="003C5DF6"/>
    <w:rsid w:val="003C6BF9"/>
    <w:rsid w:val="003C6BFD"/>
    <w:rsid w:val="003C72EB"/>
    <w:rsid w:val="003D17F9"/>
    <w:rsid w:val="003D20A1"/>
    <w:rsid w:val="003D3AA9"/>
    <w:rsid w:val="003D4B7F"/>
    <w:rsid w:val="003D4E6C"/>
    <w:rsid w:val="003D69AF"/>
    <w:rsid w:val="003D7B36"/>
    <w:rsid w:val="003E1DAB"/>
    <w:rsid w:val="003E48C3"/>
    <w:rsid w:val="003E5986"/>
    <w:rsid w:val="003F089A"/>
    <w:rsid w:val="003F1DFB"/>
    <w:rsid w:val="003F267D"/>
    <w:rsid w:val="003F2DAA"/>
    <w:rsid w:val="003F3C5C"/>
    <w:rsid w:val="003F48F5"/>
    <w:rsid w:val="003F5387"/>
    <w:rsid w:val="003F618B"/>
    <w:rsid w:val="00406E1C"/>
    <w:rsid w:val="0041360A"/>
    <w:rsid w:val="004143D0"/>
    <w:rsid w:val="0041526C"/>
    <w:rsid w:val="00415BD4"/>
    <w:rsid w:val="0042076E"/>
    <w:rsid w:val="00421901"/>
    <w:rsid w:val="00422439"/>
    <w:rsid w:val="00440130"/>
    <w:rsid w:val="00440E8C"/>
    <w:rsid w:val="00441AF0"/>
    <w:rsid w:val="00443606"/>
    <w:rsid w:val="0044449F"/>
    <w:rsid w:val="004457CA"/>
    <w:rsid w:val="00446B39"/>
    <w:rsid w:val="0044730E"/>
    <w:rsid w:val="004478C3"/>
    <w:rsid w:val="00452D34"/>
    <w:rsid w:val="00453378"/>
    <w:rsid w:val="00455FD7"/>
    <w:rsid w:val="00456B6C"/>
    <w:rsid w:val="00462CA1"/>
    <w:rsid w:val="00466210"/>
    <w:rsid w:val="0046665C"/>
    <w:rsid w:val="0046739C"/>
    <w:rsid w:val="004731FB"/>
    <w:rsid w:val="00477318"/>
    <w:rsid w:val="00484DBC"/>
    <w:rsid w:val="0048602E"/>
    <w:rsid w:val="004867E2"/>
    <w:rsid w:val="0048700A"/>
    <w:rsid w:val="004940A0"/>
    <w:rsid w:val="00494C04"/>
    <w:rsid w:val="00495373"/>
    <w:rsid w:val="004957C1"/>
    <w:rsid w:val="00497E47"/>
    <w:rsid w:val="004A2A9D"/>
    <w:rsid w:val="004A2B38"/>
    <w:rsid w:val="004A3E7E"/>
    <w:rsid w:val="004A3F39"/>
    <w:rsid w:val="004A424A"/>
    <w:rsid w:val="004A46BF"/>
    <w:rsid w:val="004A5D26"/>
    <w:rsid w:val="004A5FC0"/>
    <w:rsid w:val="004B0DD5"/>
    <w:rsid w:val="004B1615"/>
    <w:rsid w:val="004B1CF3"/>
    <w:rsid w:val="004C0256"/>
    <w:rsid w:val="004C136E"/>
    <w:rsid w:val="004C42D2"/>
    <w:rsid w:val="004C5A0F"/>
    <w:rsid w:val="004C5D82"/>
    <w:rsid w:val="004C71D6"/>
    <w:rsid w:val="004C73C7"/>
    <w:rsid w:val="004D0B12"/>
    <w:rsid w:val="004D1889"/>
    <w:rsid w:val="004D63D6"/>
    <w:rsid w:val="004D69BA"/>
    <w:rsid w:val="004D6BB5"/>
    <w:rsid w:val="004E032C"/>
    <w:rsid w:val="004E0455"/>
    <w:rsid w:val="004E0906"/>
    <w:rsid w:val="004E2F93"/>
    <w:rsid w:val="004E4167"/>
    <w:rsid w:val="004E4527"/>
    <w:rsid w:val="004E48A8"/>
    <w:rsid w:val="004E67DE"/>
    <w:rsid w:val="004E6836"/>
    <w:rsid w:val="004F0109"/>
    <w:rsid w:val="004F1B76"/>
    <w:rsid w:val="004F4DAE"/>
    <w:rsid w:val="004F73C6"/>
    <w:rsid w:val="005005D8"/>
    <w:rsid w:val="00501F37"/>
    <w:rsid w:val="00506E9E"/>
    <w:rsid w:val="00507AE3"/>
    <w:rsid w:val="005115D2"/>
    <w:rsid w:val="00512EF1"/>
    <w:rsid w:val="00514153"/>
    <w:rsid w:val="005152AE"/>
    <w:rsid w:val="0051566B"/>
    <w:rsid w:val="005176F2"/>
    <w:rsid w:val="0052128F"/>
    <w:rsid w:val="005212F1"/>
    <w:rsid w:val="005226EE"/>
    <w:rsid w:val="005245D3"/>
    <w:rsid w:val="00525E6E"/>
    <w:rsid w:val="00526F65"/>
    <w:rsid w:val="00530CFC"/>
    <w:rsid w:val="00533DC1"/>
    <w:rsid w:val="005357D3"/>
    <w:rsid w:val="00536D0C"/>
    <w:rsid w:val="00540D70"/>
    <w:rsid w:val="005410F9"/>
    <w:rsid w:val="0055129E"/>
    <w:rsid w:val="0055153B"/>
    <w:rsid w:val="00551BF7"/>
    <w:rsid w:val="0055208C"/>
    <w:rsid w:val="005531B5"/>
    <w:rsid w:val="00554B7C"/>
    <w:rsid w:val="00557179"/>
    <w:rsid w:val="005576EB"/>
    <w:rsid w:val="00561BA3"/>
    <w:rsid w:val="005628D3"/>
    <w:rsid w:val="0056481E"/>
    <w:rsid w:val="005653E3"/>
    <w:rsid w:val="0057050F"/>
    <w:rsid w:val="005715BD"/>
    <w:rsid w:val="005726E7"/>
    <w:rsid w:val="00573339"/>
    <w:rsid w:val="00575ECB"/>
    <w:rsid w:val="0058521C"/>
    <w:rsid w:val="00586A01"/>
    <w:rsid w:val="00587187"/>
    <w:rsid w:val="005879F1"/>
    <w:rsid w:val="0059038C"/>
    <w:rsid w:val="00590858"/>
    <w:rsid w:val="00593054"/>
    <w:rsid w:val="00593187"/>
    <w:rsid w:val="005931BB"/>
    <w:rsid w:val="0059453B"/>
    <w:rsid w:val="00594DD4"/>
    <w:rsid w:val="00595CDE"/>
    <w:rsid w:val="005966D3"/>
    <w:rsid w:val="005A059A"/>
    <w:rsid w:val="005A16D4"/>
    <w:rsid w:val="005A1EBE"/>
    <w:rsid w:val="005A294B"/>
    <w:rsid w:val="005A2ACF"/>
    <w:rsid w:val="005A33E7"/>
    <w:rsid w:val="005A46C3"/>
    <w:rsid w:val="005A6868"/>
    <w:rsid w:val="005B1067"/>
    <w:rsid w:val="005B3DF5"/>
    <w:rsid w:val="005B46E7"/>
    <w:rsid w:val="005B4ABD"/>
    <w:rsid w:val="005B57FA"/>
    <w:rsid w:val="005B5B95"/>
    <w:rsid w:val="005B5D01"/>
    <w:rsid w:val="005B6338"/>
    <w:rsid w:val="005C057D"/>
    <w:rsid w:val="005C0DEB"/>
    <w:rsid w:val="005C4D7F"/>
    <w:rsid w:val="005C5517"/>
    <w:rsid w:val="005C65CD"/>
    <w:rsid w:val="005C695F"/>
    <w:rsid w:val="005C6E99"/>
    <w:rsid w:val="005C746A"/>
    <w:rsid w:val="005D2C4A"/>
    <w:rsid w:val="005D5507"/>
    <w:rsid w:val="005D5BAD"/>
    <w:rsid w:val="005D698C"/>
    <w:rsid w:val="005D6F1A"/>
    <w:rsid w:val="005D7DE9"/>
    <w:rsid w:val="005E28BA"/>
    <w:rsid w:val="005E4A38"/>
    <w:rsid w:val="005E6038"/>
    <w:rsid w:val="005E72D3"/>
    <w:rsid w:val="005E7FAB"/>
    <w:rsid w:val="005F0624"/>
    <w:rsid w:val="005F1CF4"/>
    <w:rsid w:val="005F277C"/>
    <w:rsid w:val="005F4579"/>
    <w:rsid w:val="005F51B2"/>
    <w:rsid w:val="005F575E"/>
    <w:rsid w:val="005F6999"/>
    <w:rsid w:val="005F6D9A"/>
    <w:rsid w:val="005F759A"/>
    <w:rsid w:val="00600E3F"/>
    <w:rsid w:val="00602227"/>
    <w:rsid w:val="00604EED"/>
    <w:rsid w:val="006108C6"/>
    <w:rsid w:val="0061153F"/>
    <w:rsid w:val="00612404"/>
    <w:rsid w:val="00612654"/>
    <w:rsid w:val="006126C5"/>
    <w:rsid w:val="00614E6A"/>
    <w:rsid w:val="00621752"/>
    <w:rsid w:val="0062373C"/>
    <w:rsid w:val="00625871"/>
    <w:rsid w:val="006274B0"/>
    <w:rsid w:val="0063372E"/>
    <w:rsid w:val="00633E6F"/>
    <w:rsid w:val="006344D1"/>
    <w:rsid w:val="006349A3"/>
    <w:rsid w:val="00634FE5"/>
    <w:rsid w:val="006352A4"/>
    <w:rsid w:val="00635633"/>
    <w:rsid w:val="00635A9B"/>
    <w:rsid w:val="006360BE"/>
    <w:rsid w:val="006408EF"/>
    <w:rsid w:val="00641C7B"/>
    <w:rsid w:val="00642EA7"/>
    <w:rsid w:val="00643242"/>
    <w:rsid w:val="00643AF2"/>
    <w:rsid w:val="00644159"/>
    <w:rsid w:val="00647015"/>
    <w:rsid w:val="00647A8E"/>
    <w:rsid w:val="0065160E"/>
    <w:rsid w:val="00657AA0"/>
    <w:rsid w:val="006614E5"/>
    <w:rsid w:val="00661564"/>
    <w:rsid w:val="00663189"/>
    <w:rsid w:val="00664DAB"/>
    <w:rsid w:val="00665006"/>
    <w:rsid w:val="00672A46"/>
    <w:rsid w:val="0067352F"/>
    <w:rsid w:val="00674695"/>
    <w:rsid w:val="00674D64"/>
    <w:rsid w:val="006760AB"/>
    <w:rsid w:val="00677FAC"/>
    <w:rsid w:val="0068006C"/>
    <w:rsid w:val="00682863"/>
    <w:rsid w:val="006834C1"/>
    <w:rsid w:val="00685F63"/>
    <w:rsid w:val="00687225"/>
    <w:rsid w:val="00690726"/>
    <w:rsid w:val="0069161F"/>
    <w:rsid w:val="006920A9"/>
    <w:rsid w:val="00693323"/>
    <w:rsid w:val="00693F27"/>
    <w:rsid w:val="00694358"/>
    <w:rsid w:val="00695C57"/>
    <w:rsid w:val="0069618F"/>
    <w:rsid w:val="0069790D"/>
    <w:rsid w:val="006A08F6"/>
    <w:rsid w:val="006A108F"/>
    <w:rsid w:val="006A1D40"/>
    <w:rsid w:val="006A5E34"/>
    <w:rsid w:val="006A621E"/>
    <w:rsid w:val="006A6551"/>
    <w:rsid w:val="006B1413"/>
    <w:rsid w:val="006B15D0"/>
    <w:rsid w:val="006B27AF"/>
    <w:rsid w:val="006B61E2"/>
    <w:rsid w:val="006B63B2"/>
    <w:rsid w:val="006B6E8E"/>
    <w:rsid w:val="006C1959"/>
    <w:rsid w:val="006C1C5A"/>
    <w:rsid w:val="006C2BD6"/>
    <w:rsid w:val="006C48A5"/>
    <w:rsid w:val="006C55D1"/>
    <w:rsid w:val="006C6664"/>
    <w:rsid w:val="006D0946"/>
    <w:rsid w:val="006D1754"/>
    <w:rsid w:val="006D1E1E"/>
    <w:rsid w:val="006D2A16"/>
    <w:rsid w:val="006D3A24"/>
    <w:rsid w:val="006D69E6"/>
    <w:rsid w:val="006E2994"/>
    <w:rsid w:val="006E2D02"/>
    <w:rsid w:val="006E36A2"/>
    <w:rsid w:val="006E40D2"/>
    <w:rsid w:val="006E7C96"/>
    <w:rsid w:val="006F071C"/>
    <w:rsid w:val="006F4C8A"/>
    <w:rsid w:val="006F5B2D"/>
    <w:rsid w:val="006F74EE"/>
    <w:rsid w:val="00700E47"/>
    <w:rsid w:val="0070266C"/>
    <w:rsid w:val="00703BC6"/>
    <w:rsid w:val="00706C9E"/>
    <w:rsid w:val="00706FFC"/>
    <w:rsid w:val="00712B91"/>
    <w:rsid w:val="00713F21"/>
    <w:rsid w:val="0071645F"/>
    <w:rsid w:val="00717D09"/>
    <w:rsid w:val="00723B1F"/>
    <w:rsid w:val="007240AB"/>
    <w:rsid w:val="0072636A"/>
    <w:rsid w:val="0072768F"/>
    <w:rsid w:val="00730EA1"/>
    <w:rsid w:val="007343ED"/>
    <w:rsid w:val="00745171"/>
    <w:rsid w:val="0075048E"/>
    <w:rsid w:val="00752FAD"/>
    <w:rsid w:val="00754375"/>
    <w:rsid w:val="00754B89"/>
    <w:rsid w:val="00756485"/>
    <w:rsid w:val="00760DBB"/>
    <w:rsid w:val="0076130F"/>
    <w:rsid w:val="00761D1E"/>
    <w:rsid w:val="0076646F"/>
    <w:rsid w:val="00766770"/>
    <w:rsid w:val="007702D1"/>
    <w:rsid w:val="00770825"/>
    <w:rsid w:val="00771039"/>
    <w:rsid w:val="0077642F"/>
    <w:rsid w:val="00777DB5"/>
    <w:rsid w:val="007810D5"/>
    <w:rsid w:val="0078448F"/>
    <w:rsid w:val="00784C56"/>
    <w:rsid w:val="00784F6F"/>
    <w:rsid w:val="007851CE"/>
    <w:rsid w:val="00786656"/>
    <w:rsid w:val="00786DD4"/>
    <w:rsid w:val="00786EE3"/>
    <w:rsid w:val="007876C1"/>
    <w:rsid w:val="00787D49"/>
    <w:rsid w:val="00795B7E"/>
    <w:rsid w:val="007A21FE"/>
    <w:rsid w:val="007A55C0"/>
    <w:rsid w:val="007A748D"/>
    <w:rsid w:val="007A754B"/>
    <w:rsid w:val="007A7EBD"/>
    <w:rsid w:val="007B0A3A"/>
    <w:rsid w:val="007B0F5A"/>
    <w:rsid w:val="007B1714"/>
    <w:rsid w:val="007B28FF"/>
    <w:rsid w:val="007B49DC"/>
    <w:rsid w:val="007C05CE"/>
    <w:rsid w:val="007C06A3"/>
    <w:rsid w:val="007C090F"/>
    <w:rsid w:val="007C0CB5"/>
    <w:rsid w:val="007C2054"/>
    <w:rsid w:val="007C2112"/>
    <w:rsid w:val="007C3D7F"/>
    <w:rsid w:val="007C5EBB"/>
    <w:rsid w:val="007D145E"/>
    <w:rsid w:val="007D178F"/>
    <w:rsid w:val="007D1C11"/>
    <w:rsid w:val="007D2C4B"/>
    <w:rsid w:val="007D41FD"/>
    <w:rsid w:val="007D454E"/>
    <w:rsid w:val="007D5A06"/>
    <w:rsid w:val="007E1A73"/>
    <w:rsid w:val="007E246D"/>
    <w:rsid w:val="007E3511"/>
    <w:rsid w:val="007E6AC1"/>
    <w:rsid w:val="007F0165"/>
    <w:rsid w:val="007F0CDC"/>
    <w:rsid w:val="007F1248"/>
    <w:rsid w:val="007F2422"/>
    <w:rsid w:val="007F2BDA"/>
    <w:rsid w:val="007F4261"/>
    <w:rsid w:val="007F45BE"/>
    <w:rsid w:val="007F4B9C"/>
    <w:rsid w:val="007F5F68"/>
    <w:rsid w:val="007F66A0"/>
    <w:rsid w:val="007F6C26"/>
    <w:rsid w:val="007F701A"/>
    <w:rsid w:val="00800AF1"/>
    <w:rsid w:val="00804054"/>
    <w:rsid w:val="008047B9"/>
    <w:rsid w:val="00804C49"/>
    <w:rsid w:val="00804DC4"/>
    <w:rsid w:val="00810671"/>
    <w:rsid w:val="00811E67"/>
    <w:rsid w:val="00815AFD"/>
    <w:rsid w:val="00815C5D"/>
    <w:rsid w:val="00817EA3"/>
    <w:rsid w:val="00820EF3"/>
    <w:rsid w:val="0082262A"/>
    <w:rsid w:val="00823706"/>
    <w:rsid w:val="008264EB"/>
    <w:rsid w:val="00826BA3"/>
    <w:rsid w:val="008271C9"/>
    <w:rsid w:val="00830923"/>
    <w:rsid w:val="00831BC9"/>
    <w:rsid w:val="00836E24"/>
    <w:rsid w:val="00836EC8"/>
    <w:rsid w:val="008410FE"/>
    <w:rsid w:val="00841BAD"/>
    <w:rsid w:val="00841F6D"/>
    <w:rsid w:val="00842D4F"/>
    <w:rsid w:val="008457D9"/>
    <w:rsid w:val="00845B39"/>
    <w:rsid w:val="0084631B"/>
    <w:rsid w:val="008472E2"/>
    <w:rsid w:val="00847ED2"/>
    <w:rsid w:val="008516EA"/>
    <w:rsid w:val="008547AF"/>
    <w:rsid w:val="0085564B"/>
    <w:rsid w:val="0085599F"/>
    <w:rsid w:val="00857F7F"/>
    <w:rsid w:val="00861BD0"/>
    <w:rsid w:val="00863A8F"/>
    <w:rsid w:val="00863CC0"/>
    <w:rsid w:val="008659A2"/>
    <w:rsid w:val="00865DBF"/>
    <w:rsid w:val="00866FD7"/>
    <w:rsid w:val="00870156"/>
    <w:rsid w:val="008707B4"/>
    <w:rsid w:val="00874AB1"/>
    <w:rsid w:val="00874F66"/>
    <w:rsid w:val="00874F86"/>
    <w:rsid w:val="008756EE"/>
    <w:rsid w:val="00876CBE"/>
    <w:rsid w:val="008816FF"/>
    <w:rsid w:val="008844A8"/>
    <w:rsid w:val="00884712"/>
    <w:rsid w:val="008851C4"/>
    <w:rsid w:val="008911A8"/>
    <w:rsid w:val="00891A53"/>
    <w:rsid w:val="008931BA"/>
    <w:rsid w:val="0089762A"/>
    <w:rsid w:val="00897FDD"/>
    <w:rsid w:val="008A1788"/>
    <w:rsid w:val="008A1935"/>
    <w:rsid w:val="008A2F23"/>
    <w:rsid w:val="008A38B4"/>
    <w:rsid w:val="008A5815"/>
    <w:rsid w:val="008A5EC9"/>
    <w:rsid w:val="008A779F"/>
    <w:rsid w:val="008B25A6"/>
    <w:rsid w:val="008B2CF4"/>
    <w:rsid w:val="008B407E"/>
    <w:rsid w:val="008B547C"/>
    <w:rsid w:val="008B5679"/>
    <w:rsid w:val="008C2315"/>
    <w:rsid w:val="008C31A1"/>
    <w:rsid w:val="008C387F"/>
    <w:rsid w:val="008C567B"/>
    <w:rsid w:val="008C5935"/>
    <w:rsid w:val="008D1316"/>
    <w:rsid w:val="008D133B"/>
    <w:rsid w:val="008D3AAA"/>
    <w:rsid w:val="008D3E03"/>
    <w:rsid w:val="008D460C"/>
    <w:rsid w:val="008E16FC"/>
    <w:rsid w:val="008E5211"/>
    <w:rsid w:val="008F328B"/>
    <w:rsid w:val="008F5CC0"/>
    <w:rsid w:val="008F64A5"/>
    <w:rsid w:val="00900E58"/>
    <w:rsid w:val="0090470F"/>
    <w:rsid w:val="00905A7B"/>
    <w:rsid w:val="0090786D"/>
    <w:rsid w:val="0091203E"/>
    <w:rsid w:val="00914235"/>
    <w:rsid w:val="009144AF"/>
    <w:rsid w:val="00916EF1"/>
    <w:rsid w:val="00917D71"/>
    <w:rsid w:val="00920355"/>
    <w:rsid w:val="00921520"/>
    <w:rsid w:val="0092603B"/>
    <w:rsid w:val="00926D87"/>
    <w:rsid w:val="009278B3"/>
    <w:rsid w:val="009307FF"/>
    <w:rsid w:val="009321C7"/>
    <w:rsid w:val="00936C80"/>
    <w:rsid w:val="009374D2"/>
    <w:rsid w:val="00940227"/>
    <w:rsid w:val="009438A7"/>
    <w:rsid w:val="00945104"/>
    <w:rsid w:val="0094536F"/>
    <w:rsid w:val="009461A1"/>
    <w:rsid w:val="00946513"/>
    <w:rsid w:val="009502AD"/>
    <w:rsid w:val="00955E08"/>
    <w:rsid w:val="00956368"/>
    <w:rsid w:val="00960A2F"/>
    <w:rsid w:val="00961182"/>
    <w:rsid w:val="00963153"/>
    <w:rsid w:val="009633C5"/>
    <w:rsid w:val="0096467A"/>
    <w:rsid w:val="00965533"/>
    <w:rsid w:val="00967D78"/>
    <w:rsid w:val="00970A8F"/>
    <w:rsid w:val="0097287D"/>
    <w:rsid w:val="00972F94"/>
    <w:rsid w:val="00973256"/>
    <w:rsid w:val="00976823"/>
    <w:rsid w:val="009810FC"/>
    <w:rsid w:val="0098398E"/>
    <w:rsid w:val="00983BAE"/>
    <w:rsid w:val="00983F7C"/>
    <w:rsid w:val="009841BE"/>
    <w:rsid w:val="00984885"/>
    <w:rsid w:val="00986ED4"/>
    <w:rsid w:val="00991475"/>
    <w:rsid w:val="00991928"/>
    <w:rsid w:val="0099468B"/>
    <w:rsid w:val="00994ABF"/>
    <w:rsid w:val="0099668D"/>
    <w:rsid w:val="009A00C9"/>
    <w:rsid w:val="009A0801"/>
    <w:rsid w:val="009A1D77"/>
    <w:rsid w:val="009A4740"/>
    <w:rsid w:val="009A5BDB"/>
    <w:rsid w:val="009A7488"/>
    <w:rsid w:val="009A7A58"/>
    <w:rsid w:val="009A7B6D"/>
    <w:rsid w:val="009B1CD9"/>
    <w:rsid w:val="009B3273"/>
    <w:rsid w:val="009B5770"/>
    <w:rsid w:val="009B5812"/>
    <w:rsid w:val="009B5E90"/>
    <w:rsid w:val="009B60A7"/>
    <w:rsid w:val="009C0731"/>
    <w:rsid w:val="009C3CFE"/>
    <w:rsid w:val="009C438E"/>
    <w:rsid w:val="009C4708"/>
    <w:rsid w:val="009C59C5"/>
    <w:rsid w:val="009C72B0"/>
    <w:rsid w:val="009D21C9"/>
    <w:rsid w:val="009D2A80"/>
    <w:rsid w:val="009D7502"/>
    <w:rsid w:val="009E1A2F"/>
    <w:rsid w:val="009E77F5"/>
    <w:rsid w:val="009F13DB"/>
    <w:rsid w:val="009F2114"/>
    <w:rsid w:val="009F2115"/>
    <w:rsid w:val="009F448C"/>
    <w:rsid w:val="009F5E57"/>
    <w:rsid w:val="009F67EC"/>
    <w:rsid w:val="009F6B16"/>
    <w:rsid w:val="009F789C"/>
    <w:rsid w:val="009F7F9F"/>
    <w:rsid w:val="00A00471"/>
    <w:rsid w:val="00A00908"/>
    <w:rsid w:val="00A02074"/>
    <w:rsid w:val="00A03A06"/>
    <w:rsid w:val="00A0436E"/>
    <w:rsid w:val="00A05868"/>
    <w:rsid w:val="00A0586F"/>
    <w:rsid w:val="00A06677"/>
    <w:rsid w:val="00A079BA"/>
    <w:rsid w:val="00A07E7F"/>
    <w:rsid w:val="00A10009"/>
    <w:rsid w:val="00A10078"/>
    <w:rsid w:val="00A10D05"/>
    <w:rsid w:val="00A11608"/>
    <w:rsid w:val="00A122AD"/>
    <w:rsid w:val="00A12C47"/>
    <w:rsid w:val="00A12C9A"/>
    <w:rsid w:val="00A1493E"/>
    <w:rsid w:val="00A16502"/>
    <w:rsid w:val="00A200B0"/>
    <w:rsid w:val="00A20C4B"/>
    <w:rsid w:val="00A22F45"/>
    <w:rsid w:val="00A23700"/>
    <w:rsid w:val="00A2631A"/>
    <w:rsid w:val="00A26718"/>
    <w:rsid w:val="00A267D4"/>
    <w:rsid w:val="00A26821"/>
    <w:rsid w:val="00A312A3"/>
    <w:rsid w:val="00A4512D"/>
    <w:rsid w:val="00A46CAD"/>
    <w:rsid w:val="00A47BC3"/>
    <w:rsid w:val="00A508D8"/>
    <w:rsid w:val="00A512D5"/>
    <w:rsid w:val="00A517A9"/>
    <w:rsid w:val="00A51BB1"/>
    <w:rsid w:val="00A51EE2"/>
    <w:rsid w:val="00A53AF1"/>
    <w:rsid w:val="00A53B43"/>
    <w:rsid w:val="00A5495B"/>
    <w:rsid w:val="00A54F85"/>
    <w:rsid w:val="00A56B64"/>
    <w:rsid w:val="00A57041"/>
    <w:rsid w:val="00A57C81"/>
    <w:rsid w:val="00A623BF"/>
    <w:rsid w:val="00A62584"/>
    <w:rsid w:val="00A62F0B"/>
    <w:rsid w:val="00A63179"/>
    <w:rsid w:val="00A6406E"/>
    <w:rsid w:val="00A6496F"/>
    <w:rsid w:val="00A65146"/>
    <w:rsid w:val="00A70585"/>
    <w:rsid w:val="00A705AF"/>
    <w:rsid w:val="00A71224"/>
    <w:rsid w:val="00A7164A"/>
    <w:rsid w:val="00A74540"/>
    <w:rsid w:val="00A761F5"/>
    <w:rsid w:val="00A762B3"/>
    <w:rsid w:val="00A77625"/>
    <w:rsid w:val="00A8084F"/>
    <w:rsid w:val="00A80A18"/>
    <w:rsid w:val="00A822A8"/>
    <w:rsid w:val="00A834F0"/>
    <w:rsid w:val="00A84C3C"/>
    <w:rsid w:val="00A86643"/>
    <w:rsid w:val="00A927E3"/>
    <w:rsid w:val="00A94281"/>
    <w:rsid w:val="00A9495E"/>
    <w:rsid w:val="00AA3441"/>
    <w:rsid w:val="00AA3663"/>
    <w:rsid w:val="00AA509F"/>
    <w:rsid w:val="00AA595F"/>
    <w:rsid w:val="00AB1BAF"/>
    <w:rsid w:val="00AB3041"/>
    <w:rsid w:val="00AB373D"/>
    <w:rsid w:val="00AB4AE1"/>
    <w:rsid w:val="00AB6C29"/>
    <w:rsid w:val="00AB78E9"/>
    <w:rsid w:val="00AC00F1"/>
    <w:rsid w:val="00AC46FA"/>
    <w:rsid w:val="00AC62D7"/>
    <w:rsid w:val="00AC662F"/>
    <w:rsid w:val="00AC6F17"/>
    <w:rsid w:val="00AD0C6B"/>
    <w:rsid w:val="00AD219E"/>
    <w:rsid w:val="00AD48F4"/>
    <w:rsid w:val="00AD6AFC"/>
    <w:rsid w:val="00AD6B60"/>
    <w:rsid w:val="00AD6C3D"/>
    <w:rsid w:val="00AD6EC4"/>
    <w:rsid w:val="00AE03C7"/>
    <w:rsid w:val="00AE1DE1"/>
    <w:rsid w:val="00AE1E7A"/>
    <w:rsid w:val="00AE20F5"/>
    <w:rsid w:val="00AE2ADF"/>
    <w:rsid w:val="00AE38F9"/>
    <w:rsid w:val="00AE68EE"/>
    <w:rsid w:val="00AE7AFA"/>
    <w:rsid w:val="00AF01FD"/>
    <w:rsid w:val="00AF206E"/>
    <w:rsid w:val="00AF2E2B"/>
    <w:rsid w:val="00AF4188"/>
    <w:rsid w:val="00AF5078"/>
    <w:rsid w:val="00AF5376"/>
    <w:rsid w:val="00AF6998"/>
    <w:rsid w:val="00AF7B6A"/>
    <w:rsid w:val="00B009BC"/>
    <w:rsid w:val="00B01ECA"/>
    <w:rsid w:val="00B03F94"/>
    <w:rsid w:val="00B04B68"/>
    <w:rsid w:val="00B05D0A"/>
    <w:rsid w:val="00B06777"/>
    <w:rsid w:val="00B06E7D"/>
    <w:rsid w:val="00B11691"/>
    <w:rsid w:val="00B11BA1"/>
    <w:rsid w:val="00B138B0"/>
    <w:rsid w:val="00B141FC"/>
    <w:rsid w:val="00B14508"/>
    <w:rsid w:val="00B165D1"/>
    <w:rsid w:val="00B16B99"/>
    <w:rsid w:val="00B16ED7"/>
    <w:rsid w:val="00B1766A"/>
    <w:rsid w:val="00B23EA8"/>
    <w:rsid w:val="00B25E32"/>
    <w:rsid w:val="00B265C9"/>
    <w:rsid w:val="00B27CD4"/>
    <w:rsid w:val="00B316CB"/>
    <w:rsid w:val="00B3199E"/>
    <w:rsid w:val="00B31FD5"/>
    <w:rsid w:val="00B3409F"/>
    <w:rsid w:val="00B36889"/>
    <w:rsid w:val="00B3691B"/>
    <w:rsid w:val="00B403C8"/>
    <w:rsid w:val="00B405EC"/>
    <w:rsid w:val="00B40772"/>
    <w:rsid w:val="00B41A6B"/>
    <w:rsid w:val="00B42851"/>
    <w:rsid w:val="00B43BF4"/>
    <w:rsid w:val="00B47431"/>
    <w:rsid w:val="00B51D50"/>
    <w:rsid w:val="00B5336E"/>
    <w:rsid w:val="00B54018"/>
    <w:rsid w:val="00B54FCC"/>
    <w:rsid w:val="00B558BE"/>
    <w:rsid w:val="00B62C91"/>
    <w:rsid w:val="00B6300A"/>
    <w:rsid w:val="00B64C16"/>
    <w:rsid w:val="00B660F3"/>
    <w:rsid w:val="00B7181B"/>
    <w:rsid w:val="00B729F0"/>
    <w:rsid w:val="00B72C53"/>
    <w:rsid w:val="00B73B01"/>
    <w:rsid w:val="00B750EB"/>
    <w:rsid w:val="00B759E2"/>
    <w:rsid w:val="00B75A57"/>
    <w:rsid w:val="00B75F13"/>
    <w:rsid w:val="00B76187"/>
    <w:rsid w:val="00B775B8"/>
    <w:rsid w:val="00B77936"/>
    <w:rsid w:val="00B77B8D"/>
    <w:rsid w:val="00B82B63"/>
    <w:rsid w:val="00B83020"/>
    <w:rsid w:val="00B842F0"/>
    <w:rsid w:val="00B84305"/>
    <w:rsid w:val="00B853F9"/>
    <w:rsid w:val="00B864B2"/>
    <w:rsid w:val="00B87AC5"/>
    <w:rsid w:val="00B93015"/>
    <w:rsid w:val="00B955FA"/>
    <w:rsid w:val="00B959DD"/>
    <w:rsid w:val="00B973CA"/>
    <w:rsid w:val="00BA0C7E"/>
    <w:rsid w:val="00BB110F"/>
    <w:rsid w:val="00BC2C75"/>
    <w:rsid w:val="00BC3C58"/>
    <w:rsid w:val="00BC601E"/>
    <w:rsid w:val="00BD0EBC"/>
    <w:rsid w:val="00BD4343"/>
    <w:rsid w:val="00BD4BF6"/>
    <w:rsid w:val="00BD5589"/>
    <w:rsid w:val="00BD6132"/>
    <w:rsid w:val="00BE147D"/>
    <w:rsid w:val="00BE2020"/>
    <w:rsid w:val="00BE22B7"/>
    <w:rsid w:val="00BE5C22"/>
    <w:rsid w:val="00BE64A7"/>
    <w:rsid w:val="00BE7219"/>
    <w:rsid w:val="00BF2E9A"/>
    <w:rsid w:val="00BF43F8"/>
    <w:rsid w:val="00BF5FAA"/>
    <w:rsid w:val="00C00D4B"/>
    <w:rsid w:val="00C03CF5"/>
    <w:rsid w:val="00C04817"/>
    <w:rsid w:val="00C11546"/>
    <w:rsid w:val="00C1417D"/>
    <w:rsid w:val="00C16AC7"/>
    <w:rsid w:val="00C20D60"/>
    <w:rsid w:val="00C20F99"/>
    <w:rsid w:val="00C22E47"/>
    <w:rsid w:val="00C2505B"/>
    <w:rsid w:val="00C33E35"/>
    <w:rsid w:val="00C343FD"/>
    <w:rsid w:val="00C357AE"/>
    <w:rsid w:val="00C370B6"/>
    <w:rsid w:val="00C40C7D"/>
    <w:rsid w:val="00C430BE"/>
    <w:rsid w:val="00C43C03"/>
    <w:rsid w:val="00C44C70"/>
    <w:rsid w:val="00C45232"/>
    <w:rsid w:val="00C501D6"/>
    <w:rsid w:val="00C508FB"/>
    <w:rsid w:val="00C51161"/>
    <w:rsid w:val="00C549A4"/>
    <w:rsid w:val="00C55615"/>
    <w:rsid w:val="00C56729"/>
    <w:rsid w:val="00C56D38"/>
    <w:rsid w:val="00C600C7"/>
    <w:rsid w:val="00C61153"/>
    <w:rsid w:val="00C61195"/>
    <w:rsid w:val="00C622A7"/>
    <w:rsid w:val="00C64D4E"/>
    <w:rsid w:val="00C66287"/>
    <w:rsid w:val="00C67486"/>
    <w:rsid w:val="00C674B5"/>
    <w:rsid w:val="00C67603"/>
    <w:rsid w:val="00C67D9D"/>
    <w:rsid w:val="00C7025B"/>
    <w:rsid w:val="00C7123B"/>
    <w:rsid w:val="00C72B56"/>
    <w:rsid w:val="00C80309"/>
    <w:rsid w:val="00C8106B"/>
    <w:rsid w:val="00C8108F"/>
    <w:rsid w:val="00C8283A"/>
    <w:rsid w:val="00C84E73"/>
    <w:rsid w:val="00C86ADC"/>
    <w:rsid w:val="00C87242"/>
    <w:rsid w:val="00C90EE5"/>
    <w:rsid w:val="00C92300"/>
    <w:rsid w:val="00C92E5B"/>
    <w:rsid w:val="00C9307E"/>
    <w:rsid w:val="00C964AE"/>
    <w:rsid w:val="00C96982"/>
    <w:rsid w:val="00CA2096"/>
    <w:rsid w:val="00CA22FC"/>
    <w:rsid w:val="00CA69F3"/>
    <w:rsid w:val="00CA7EBE"/>
    <w:rsid w:val="00CB15D1"/>
    <w:rsid w:val="00CB2651"/>
    <w:rsid w:val="00CB283F"/>
    <w:rsid w:val="00CB5B1A"/>
    <w:rsid w:val="00CB7B24"/>
    <w:rsid w:val="00CC1175"/>
    <w:rsid w:val="00CC5168"/>
    <w:rsid w:val="00CC613E"/>
    <w:rsid w:val="00CC61FA"/>
    <w:rsid w:val="00CC632A"/>
    <w:rsid w:val="00CC633C"/>
    <w:rsid w:val="00CC6D42"/>
    <w:rsid w:val="00CC7BA0"/>
    <w:rsid w:val="00CD2CFB"/>
    <w:rsid w:val="00CD463E"/>
    <w:rsid w:val="00CD4FF2"/>
    <w:rsid w:val="00CD5836"/>
    <w:rsid w:val="00CD5CB8"/>
    <w:rsid w:val="00CD6875"/>
    <w:rsid w:val="00CD746D"/>
    <w:rsid w:val="00CD7759"/>
    <w:rsid w:val="00CE13F4"/>
    <w:rsid w:val="00CE2ABC"/>
    <w:rsid w:val="00CE4ADB"/>
    <w:rsid w:val="00CE5CB4"/>
    <w:rsid w:val="00CF016E"/>
    <w:rsid w:val="00CF1590"/>
    <w:rsid w:val="00CF260C"/>
    <w:rsid w:val="00CF2BA0"/>
    <w:rsid w:val="00CF56A2"/>
    <w:rsid w:val="00CF703B"/>
    <w:rsid w:val="00D016D4"/>
    <w:rsid w:val="00D029FE"/>
    <w:rsid w:val="00D02E54"/>
    <w:rsid w:val="00D036CC"/>
    <w:rsid w:val="00D03F22"/>
    <w:rsid w:val="00D07B5B"/>
    <w:rsid w:val="00D12158"/>
    <w:rsid w:val="00D15419"/>
    <w:rsid w:val="00D15982"/>
    <w:rsid w:val="00D16285"/>
    <w:rsid w:val="00D16A6B"/>
    <w:rsid w:val="00D17DF6"/>
    <w:rsid w:val="00D2390D"/>
    <w:rsid w:val="00D24057"/>
    <w:rsid w:val="00D25612"/>
    <w:rsid w:val="00D2694C"/>
    <w:rsid w:val="00D26A01"/>
    <w:rsid w:val="00D309F6"/>
    <w:rsid w:val="00D3400B"/>
    <w:rsid w:val="00D34DF2"/>
    <w:rsid w:val="00D35910"/>
    <w:rsid w:val="00D35AE5"/>
    <w:rsid w:val="00D40BE9"/>
    <w:rsid w:val="00D428B3"/>
    <w:rsid w:val="00D42BB9"/>
    <w:rsid w:val="00D42EC5"/>
    <w:rsid w:val="00D436B9"/>
    <w:rsid w:val="00D4679D"/>
    <w:rsid w:val="00D47222"/>
    <w:rsid w:val="00D51220"/>
    <w:rsid w:val="00D525AC"/>
    <w:rsid w:val="00D54837"/>
    <w:rsid w:val="00D625E4"/>
    <w:rsid w:val="00D6406F"/>
    <w:rsid w:val="00D65339"/>
    <w:rsid w:val="00D671E9"/>
    <w:rsid w:val="00D70391"/>
    <w:rsid w:val="00D70CDA"/>
    <w:rsid w:val="00D72149"/>
    <w:rsid w:val="00D7255E"/>
    <w:rsid w:val="00D74035"/>
    <w:rsid w:val="00D74805"/>
    <w:rsid w:val="00D7552E"/>
    <w:rsid w:val="00D75F23"/>
    <w:rsid w:val="00D77011"/>
    <w:rsid w:val="00D77EEC"/>
    <w:rsid w:val="00D80D1A"/>
    <w:rsid w:val="00D8379A"/>
    <w:rsid w:val="00D84996"/>
    <w:rsid w:val="00D851AF"/>
    <w:rsid w:val="00D85871"/>
    <w:rsid w:val="00D868BC"/>
    <w:rsid w:val="00D95F65"/>
    <w:rsid w:val="00D973A2"/>
    <w:rsid w:val="00D975C2"/>
    <w:rsid w:val="00D97AEF"/>
    <w:rsid w:val="00DA10E8"/>
    <w:rsid w:val="00DA1619"/>
    <w:rsid w:val="00DA2B9A"/>
    <w:rsid w:val="00DA2CF2"/>
    <w:rsid w:val="00DA495A"/>
    <w:rsid w:val="00DB2C60"/>
    <w:rsid w:val="00DB3535"/>
    <w:rsid w:val="00DB35ED"/>
    <w:rsid w:val="00DB3C92"/>
    <w:rsid w:val="00DB647A"/>
    <w:rsid w:val="00DB67A4"/>
    <w:rsid w:val="00DB67F3"/>
    <w:rsid w:val="00DB7EF1"/>
    <w:rsid w:val="00DC1D09"/>
    <w:rsid w:val="00DC1FF4"/>
    <w:rsid w:val="00DC4EB3"/>
    <w:rsid w:val="00DC6C1C"/>
    <w:rsid w:val="00DD12AB"/>
    <w:rsid w:val="00DD31EA"/>
    <w:rsid w:val="00DD36E6"/>
    <w:rsid w:val="00DD4614"/>
    <w:rsid w:val="00DD547D"/>
    <w:rsid w:val="00DD5928"/>
    <w:rsid w:val="00DD5FB3"/>
    <w:rsid w:val="00DE0723"/>
    <w:rsid w:val="00DE2B89"/>
    <w:rsid w:val="00DF097F"/>
    <w:rsid w:val="00DF0F89"/>
    <w:rsid w:val="00DF1DC3"/>
    <w:rsid w:val="00DF34A3"/>
    <w:rsid w:val="00DF440C"/>
    <w:rsid w:val="00E00A80"/>
    <w:rsid w:val="00E00AFB"/>
    <w:rsid w:val="00E017AA"/>
    <w:rsid w:val="00E02EA7"/>
    <w:rsid w:val="00E03185"/>
    <w:rsid w:val="00E038E5"/>
    <w:rsid w:val="00E07A7A"/>
    <w:rsid w:val="00E10AB5"/>
    <w:rsid w:val="00E13E90"/>
    <w:rsid w:val="00E16B0C"/>
    <w:rsid w:val="00E171D4"/>
    <w:rsid w:val="00E174B2"/>
    <w:rsid w:val="00E17FA1"/>
    <w:rsid w:val="00E21789"/>
    <w:rsid w:val="00E22D1B"/>
    <w:rsid w:val="00E238A7"/>
    <w:rsid w:val="00E258FE"/>
    <w:rsid w:val="00E2659F"/>
    <w:rsid w:val="00E26ACB"/>
    <w:rsid w:val="00E3014D"/>
    <w:rsid w:val="00E31C57"/>
    <w:rsid w:val="00E31E68"/>
    <w:rsid w:val="00E32C9E"/>
    <w:rsid w:val="00E36923"/>
    <w:rsid w:val="00E3712F"/>
    <w:rsid w:val="00E41D76"/>
    <w:rsid w:val="00E44350"/>
    <w:rsid w:val="00E46341"/>
    <w:rsid w:val="00E46584"/>
    <w:rsid w:val="00E46AF6"/>
    <w:rsid w:val="00E47306"/>
    <w:rsid w:val="00E52EBD"/>
    <w:rsid w:val="00E6106C"/>
    <w:rsid w:val="00E61711"/>
    <w:rsid w:val="00E70FE8"/>
    <w:rsid w:val="00E71167"/>
    <w:rsid w:val="00E71B8E"/>
    <w:rsid w:val="00E734DC"/>
    <w:rsid w:val="00E7372F"/>
    <w:rsid w:val="00E73D16"/>
    <w:rsid w:val="00E74002"/>
    <w:rsid w:val="00E7662E"/>
    <w:rsid w:val="00E77F41"/>
    <w:rsid w:val="00E82533"/>
    <w:rsid w:val="00E86A47"/>
    <w:rsid w:val="00E90314"/>
    <w:rsid w:val="00E91494"/>
    <w:rsid w:val="00E918B5"/>
    <w:rsid w:val="00E938F9"/>
    <w:rsid w:val="00E9511D"/>
    <w:rsid w:val="00E96258"/>
    <w:rsid w:val="00E9791D"/>
    <w:rsid w:val="00E97B14"/>
    <w:rsid w:val="00EA0F79"/>
    <w:rsid w:val="00EA1A7F"/>
    <w:rsid w:val="00EA315E"/>
    <w:rsid w:val="00EA369D"/>
    <w:rsid w:val="00EB0BB9"/>
    <w:rsid w:val="00EB1D32"/>
    <w:rsid w:val="00EB248A"/>
    <w:rsid w:val="00EB6AAA"/>
    <w:rsid w:val="00EB7186"/>
    <w:rsid w:val="00EB778F"/>
    <w:rsid w:val="00EB78FD"/>
    <w:rsid w:val="00EC1161"/>
    <w:rsid w:val="00EC34ED"/>
    <w:rsid w:val="00EC3553"/>
    <w:rsid w:val="00EC55F6"/>
    <w:rsid w:val="00EC62B1"/>
    <w:rsid w:val="00EC75A1"/>
    <w:rsid w:val="00ED664E"/>
    <w:rsid w:val="00ED78D3"/>
    <w:rsid w:val="00EE11D6"/>
    <w:rsid w:val="00EE1FB4"/>
    <w:rsid w:val="00EE2B89"/>
    <w:rsid w:val="00EE3F41"/>
    <w:rsid w:val="00EE4CD9"/>
    <w:rsid w:val="00EE6868"/>
    <w:rsid w:val="00EF0416"/>
    <w:rsid w:val="00EF149F"/>
    <w:rsid w:val="00EF1E34"/>
    <w:rsid w:val="00EF2A37"/>
    <w:rsid w:val="00EF4F47"/>
    <w:rsid w:val="00EF568E"/>
    <w:rsid w:val="00EF5931"/>
    <w:rsid w:val="00EF724D"/>
    <w:rsid w:val="00F00221"/>
    <w:rsid w:val="00F017BE"/>
    <w:rsid w:val="00F04189"/>
    <w:rsid w:val="00F04294"/>
    <w:rsid w:val="00F06EAD"/>
    <w:rsid w:val="00F11455"/>
    <w:rsid w:val="00F1259A"/>
    <w:rsid w:val="00F1368E"/>
    <w:rsid w:val="00F13DF4"/>
    <w:rsid w:val="00F14A35"/>
    <w:rsid w:val="00F2121B"/>
    <w:rsid w:val="00F21777"/>
    <w:rsid w:val="00F2451F"/>
    <w:rsid w:val="00F2472A"/>
    <w:rsid w:val="00F24A1C"/>
    <w:rsid w:val="00F252A8"/>
    <w:rsid w:val="00F3041B"/>
    <w:rsid w:val="00F31E24"/>
    <w:rsid w:val="00F3447A"/>
    <w:rsid w:val="00F34AFB"/>
    <w:rsid w:val="00F37432"/>
    <w:rsid w:val="00F42DD6"/>
    <w:rsid w:val="00F500DF"/>
    <w:rsid w:val="00F52355"/>
    <w:rsid w:val="00F52BA7"/>
    <w:rsid w:val="00F53DD2"/>
    <w:rsid w:val="00F54386"/>
    <w:rsid w:val="00F55266"/>
    <w:rsid w:val="00F55476"/>
    <w:rsid w:val="00F70BE9"/>
    <w:rsid w:val="00F70E41"/>
    <w:rsid w:val="00F71E89"/>
    <w:rsid w:val="00F72893"/>
    <w:rsid w:val="00F761B3"/>
    <w:rsid w:val="00F76997"/>
    <w:rsid w:val="00F76D2E"/>
    <w:rsid w:val="00F8163F"/>
    <w:rsid w:val="00F82465"/>
    <w:rsid w:val="00F83EE4"/>
    <w:rsid w:val="00F84E44"/>
    <w:rsid w:val="00F86810"/>
    <w:rsid w:val="00F86C1F"/>
    <w:rsid w:val="00F8748B"/>
    <w:rsid w:val="00F91DF0"/>
    <w:rsid w:val="00F96D95"/>
    <w:rsid w:val="00FA07B5"/>
    <w:rsid w:val="00FA261A"/>
    <w:rsid w:val="00FA3AA9"/>
    <w:rsid w:val="00FA4384"/>
    <w:rsid w:val="00FA4B55"/>
    <w:rsid w:val="00FA576B"/>
    <w:rsid w:val="00FB112F"/>
    <w:rsid w:val="00FB4476"/>
    <w:rsid w:val="00FB4577"/>
    <w:rsid w:val="00FB5B60"/>
    <w:rsid w:val="00FC0ADA"/>
    <w:rsid w:val="00FC1498"/>
    <w:rsid w:val="00FC28E5"/>
    <w:rsid w:val="00FC2B14"/>
    <w:rsid w:val="00FC2D22"/>
    <w:rsid w:val="00FC4D0C"/>
    <w:rsid w:val="00FC5304"/>
    <w:rsid w:val="00FD2143"/>
    <w:rsid w:val="00FD32E2"/>
    <w:rsid w:val="00FD4AEE"/>
    <w:rsid w:val="00FD5550"/>
    <w:rsid w:val="00FD6835"/>
    <w:rsid w:val="00FE3DD4"/>
    <w:rsid w:val="00FE456B"/>
    <w:rsid w:val="00FE542A"/>
    <w:rsid w:val="00FE6DD6"/>
    <w:rsid w:val="00FF26E8"/>
    <w:rsid w:val="00FF274F"/>
    <w:rsid w:val="00FF31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90B2F"/>
  <w15:docId w15:val="{8B9D8A93-CD73-4D34-A913-C3C3D2C1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BB9"/>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paragraph" w:styleId="Header">
    <w:name w:val="header"/>
    <w:basedOn w:val="Normal"/>
    <w:link w:val="HeaderChar"/>
    <w:uiPriority w:val="99"/>
    <w:rsid w:val="001868CC"/>
    <w:pPr>
      <w:tabs>
        <w:tab w:val="center" w:pos="4513"/>
        <w:tab w:val="right" w:pos="9026"/>
      </w:tabs>
    </w:pPr>
  </w:style>
  <w:style w:type="character" w:customStyle="1" w:styleId="HeaderChar">
    <w:name w:val="Header Char"/>
    <w:basedOn w:val="DefaultParagraphFont"/>
    <w:link w:val="Header"/>
    <w:uiPriority w:val="99"/>
    <w:rsid w:val="001868CC"/>
    <w:rPr>
      <w:sz w:val="24"/>
      <w:szCs w:val="24"/>
      <w:lang w:eastAsia="en-US"/>
    </w:rPr>
  </w:style>
  <w:style w:type="paragraph" w:styleId="Footer">
    <w:name w:val="footer"/>
    <w:basedOn w:val="Normal"/>
    <w:link w:val="FooterChar"/>
    <w:rsid w:val="001868CC"/>
    <w:pPr>
      <w:tabs>
        <w:tab w:val="center" w:pos="4513"/>
        <w:tab w:val="right" w:pos="9026"/>
      </w:tabs>
    </w:pPr>
  </w:style>
  <w:style w:type="character" w:customStyle="1" w:styleId="FooterChar">
    <w:name w:val="Footer Char"/>
    <w:basedOn w:val="DefaultParagraphFont"/>
    <w:link w:val="Footer"/>
    <w:rsid w:val="001868CC"/>
    <w:rPr>
      <w:sz w:val="24"/>
      <w:szCs w:val="24"/>
      <w:lang w:eastAsia="en-US"/>
    </w:rPr>
  </w:style>
  <w:style w:type="character" w:styleId="PageNumber">
    <w:name w:val="page number"/>
    <w:basedOn w:val="DefaultParagraphFont"/>
    <w:rsid w:val="00FC5304"/>
  </w:style>
  <w:style w:type="paragraph" w:styleId="BodyText">
    <w:name w:val="Body Text"/>
    <w:basedOn w:val="Normal"/>
    <w:link w:val="BodyTextChar"/>
    <w:rsid w:val="00D80D1A"/>
    <w:rPr>
      <w:b/>
      <w:szCs w:val="20"/>
      <w:lang w:eastAsia="en-AU"/>
    </w:rPr>
  </w:style>
  <w:style w:type="character" w:customStyle="1" w:styleId="BodyTextChar">
    <w:name w:val="Body Text Char"/>
    <w:basedOn w:val="DefaultParagraphFont"/>
    <w:link w:val="BodyText"/>
    <w:rsid w:val="00D80D1A"/>
    <w:rPr>
      <w:b/>
      <w:sz w:val="24"/>
    </w:rPr>
  </w:style>
  <w:style w:type="character" w:styleId="Hyperlink">
    <w:name w:val="Hyperlink"/>
    <w:basedOn w:val="DefaultParagraphFont"/>
    <w:uiPriority w:val="99"/>
    <w:unhideWhenUsed/>
    <w:rsid w:val="00D80D1A"/>
    <w:rPr>
      <w:color w:val="0000FF" w:themeColor="hyperlink"/>
      <w:u w:val="single"/>
    </w:rPr>
  </w:style>
  <w:style w:type="character" w:customStyle="1" w:styleId="ListParagraphChar">
    <w:name w:val="List Paragraph Char"/>
    <w:link w:val="ListParagraph"/>
    <w:uiPriority w:val="34"/>
    <w:locked/>
    <w:rsid w:val="00D80D1A"/>
    <w:rPr>
      <w:sz w:val="24"/>
      <w:szCs w:val="24"/>
      <w:lang w:eastAsia="en-US"/>
    </w:rPr>
  </w:style>
  <w:style w:type="paragraph" w:styleId="BalloonText">
    <w:name w:val="Balloon Text"/>
    <w:basedOn w:val="Normal"/>
    <w:link w:val="BalloonTextChar"/>
    <w:rsid w:val="00AF2E2B"/>
    <w:rPr>
      <w:rFonts w:ascii="Tahoma" w:hAnsi="Tahoma" w:cs="Tahoma"/>
      <w:sz w:val="16"/>
      <w:szCs w:val="16"/>
    </w:rPr>
  </w:style>
  <w:style w:type="character" w:customStyle="1" w:styleId="BalloonTextChar">
    <w:name w:val="Balloon Text Char"/>
    <w:basedOn w:val="DefaultParagraphFont"/>
    <w:link w:val="BalloonText"/>
    <w:rsid w:val="00AF2E2B"/>
    <w:rPr>
      <w:rFonts w:ascii="Tahoma" w:hAnsi="Tahoma" w:cs="Tahoma"/>
      <w:sz w:val="16"/>
      <w:szCs w:val="16"/>
      <w:lang w:eastAsia="en-US"/>
    </w:rPr>
  </w:style>
  <w:style w:type="character" w:styleId="CommentReference">
    <w:name w:val="annotation reference"/>
    <w:rsid w:val="002F396B"/>
    <w:rPr>
      <w:sz w:val="16"/>
      <w:szCs w:val="16"/>
    </w:rPr>
  </w:style>
  <w:style w:type="paragraph" w:styleId="CommentText">
    <w:name w:val="annotation text"/>
    <w:basedOn w:val="Normal"/>
    <w:link w:val="CommentTextChar"/>
    <w:rsid w:val="002F396B"/>
    <w:pPr>
      <w:spacing w:line="260" w:lineRule="atLeast"/>
    </w:pPr>
    <w:rPr>
      <w:rFonts w:eastAsia="Calibri"/>
      <w:sz w:val="20"/>
      <w:szCs w:val="20"/>
    </w:rPr>
  </w:style>
  <w:style w:type="character" w:customStyle="1" w:styleId="CommentTextChar">
    <w:name w:val="Comment Text Char"/>
    <w:basedOn w:val="DefaultParagraphFont"/>
    <w:link w:val="CommentText"/>
    <w:rsid w:val="002F396B"/>
    <w:rPr>
      <w:rFonts w:eastAsia="Calibri"/>
      <w:lang w:eastAsia="en-US"/>
    </w:rPr>
  </w:style>
  <w:style w:type="character" w:styleId="FollowedHyperlink">
    <w:name w:val="FollowedHyperlink"/>
    <w:basedOn w:val="DefaultParagraphFont"/>
    <w:rsid w:val="0056481E"/>
    <w:rPr>
      <w:color w:val="800080" w:themeColor="followedHyperlink"/>
      <w:u w:val="single"/>
    </w:rPr>
  </w:style>
  <w:style w:type="paragraph" w:styleId="CommentSubject">
    <w:name w:val="annotation subject"/>
    <w:basedOn w:val="CommentText"/>
    <w:next w:val="CommentText"/>
    <w:link w:val="CommentSubjectChar"/>
    <w:rsid w:val="0056481E"/>
    <w:pPr>
      <w:spacing w:line="240" w:lineRule="auto"/>
    </w:pPr>
    <w:rPr>
      <w:rFonts w:eastAsia="Times New Roman"/>
      <w:b/>
      <w:bCs/>
    </w:rPr>
  </w:style>
  <w:style w:type="character" w:customStyle="1" w:styleId="CommentSubjectChar">
    <w:name w:val="Comment Subject Char"/>
    <w:basedOn w:val="CommentTextChar"/>
    <w:link w:val="CommentSubject"/>
    <w:rsid w:val="0056481E"/>
    <w:rPr>
      <w:rFonts w:eastAsia="Calibri"/>
      <w:b/>
      <w:bCs/>
      <w:lang w:eastAsia="en-US"/>
    </w:rPr>
  </w:style>
  <w:style w:type="paragraph" w:customStyle="1" w:styleId="notedraft">
    <w:name w:val="note(draft)"/>
    <w:aliases w:val="nd"/>
    <w:basedOn w:val="Normal"/>
    <w:rsid w:val="001825D2"/>
    <w:pPr>
      <w:spacing w:before="240"/>
      <w:ind w:left="284" w:hanging="284"/>
    </w:pPr>
    <w:rPr>
      <w:i/>
      <w:szCs w:val="20"/>
      <w:lang w:eastAsia="en-AU"/>
    </w:rPr>
  </w:style>
  <w:style w:type="paragraph" w:styleId="Revision">
    <w:name w:val="Revision"/>
    <w:hidden/>
    <w:uiPriority w:val="99"/>
    <w:semiHidden/>
    <w:rsid w:val="00A23700"/>
    <w:rPr>
      <w:sz w:val="24"/>
      <w:szCs w:val="24"/>
      <w:lang w:eastAsia="en-US"/>
    </w:rPr>
  </w:style>
  <w:style w:type="character" w:customStyle="1" w:styleId="CharDivText">
    <w:name w:val="CharDivText"/>
    <w:basedOn w:val="DefaultParagraphFont"/>
    <w:uiPriority w:val="1"/>
    <w:qFormat/>
    <w:rsid w:val="002D55EC"/>
  </w:style>
  <w:style w:type="paragraph" w:customStyle="1" w:styleId="paragraph">
    <w:name w:val="paragraph"/>
    <w:aliases w:val="a"/>
    <w:basedOn w:val="Normal"/>
    <w:link w:val="paragraphChar"/>
    <w:rsid w:val="005A33E7"/>
    <w:pPr>
      <w:tabs>
        <w:tab w:val="right" w:pos="1531"/>
      </w:tabs>
      <w:spacing w:before="40"/>
      <w:ind w:left="1644" w:hanging="1644"/>
    </w:pPr>
    <w:rPr>
      <w:sz w:val="22"/>
      <w:szCs w:val="20"/>
      <w:lang w:eastAsia="en-AU"/>
    </w:rPr>
  </w:style>
  <w:style w:type="character" w:customStyle="1" w:styleId="paragraphChar">
    <w:name w:val="paragraph Char"/>
    <w:aliases w:val="a Char"/>
    <w:basedOn w:val="DefaultParagraphFont"/>
    <w:link w:val="paragraph"/>
    <w:locked/>
    <w:rsid w:val="00182699"/>
    <w:rPr>
      <w:sz w:val="22"/>
    </w:rPr>
  </w:style>
  <w:style w:type="paragraph" w:customStyle="1" w:styleId="Item">
    <w:name w:val="Item"/>
    <w:aliases w:val="i"/>
    <w:basedOn w:val="Normal"/>
    <w:next w:val="ItemHead"/>
    <w:rsid w:val="00F52BA7"/>
    <w:pPr>
      <w:keepLines/>
      <w:spacing w:before="80"/>
      <w:ind w:left="709"/>
    </w:pPr>
    <w:rPr>
      <w:sz w:val="22"/>
      <w:szCs w:val="20"/>
      <w:lang w:eastAsia="en-AU"/>
    </w:rPr>
  </w:style>
  <w:style w:type="paragraph" w:customStyle="1" w:styleId="ItemHead">
    <w:name w:val="ItemHead"/>
    <w:aliases w:val="ih"/>
    <w:basedOn w:val="Normal"/>
    <w:next w:val="Item"/>
    <w:rsid w:val="00F52BA7"/>
    <w:pPr>
      <w:keepNext/>
      <w:keepLines/>
      <w:spacing w:before="220"/>
      <w:ind w:left="709" w:hanging="709"/>
    </w:pPr>
    <w:rPr>
      <w:rFonts w:ascii="Arial" w:hAnsi="Arial"/>
      <w:b/>
      <w:kern w:val="28"/>
      <w:szCs w:val="20"/>
      <w:lang w:eastAsia="en-AU"/>
    </w:rPr>
  </w:style>
  <w:style w:type="paragraph" w:customStyle="1" w:styleId="Tablea">
    <w:name w:val="Table(a)"/>
    <w:aliases w:val="ta"/>
    <w:basedOn w:val="Normal"/>
    <w:rsid w:val="00184DB0"/>
    <w:pPr>
      <w:spacing w:before="60"/>
      <w:ind w:left="284" w:hanging="284"/>
    </w:pPr>
    <w:rPr>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393136">
      <w:bodyDiv w:val="1"/>
      <w:marLeft w:val="0"/>
      <w:marRight w:val="0"/>
      <w:marTop w:val="0"/>
      <w:marBottom w:val="0"/>
      <w:divBdr>
        <w:top w:val="none" w:sz="0" w:space="0" w:color="auto"/>
        <w:left w:val="none" w:sz="0" w:space="0" w:color="auto"/>
        <w:bottom w:val="none" w:sz="0" w:space="0" w:color="auto"/>
        <w:right w:val="none" w:sz="0" w:space="0" w:color="auto"/>
      </w:divBdr>
    </w:div>
    <w:div w:id="1261910515">
      <w:bodyDiv w:val="1"/>
      <w:marLeft w:val="0"/>
      <w:marRight w:val="0"/>
      <w:marTop w:val="0"/>
      <w:marBottom w:val="0"/>
      <w:divBdr>
        <w:top w:val="none" w:sz="0" w:space="0" w:color="auto"/>
        <w:left w:val="none" w:sz="0" w:space="0" w:color="auto"/>
        <w:bottom w:val="none" w:sz="0" w:space="0" w:color="auto"/>
        <w:right w:val="none" w:sz="0" w:space="0" w:color="auto"/>
      </w:divBdr>
      <w:divsChild>
        <w:div w:id="1936589719">
          <w:marLeft w:val="0"/>
          <w:marRight w:val="0"/>
          <w:marTop w:val="0"/>
          <w:marBottom w:val="0"/>
          <w:divBdr>
            <w:top w:val="none" w:sz="0" w:space="0" w:color="auto"/>
            <w:left w:val="none" w:sz="0" w:space="0" w:color="auto"/>
            <w:bottom w:val="none" w:sz="0" w:space="0" w:color="auto"/>
            <w:right w:val="none" w:sz="0" w:space="0" w:color="auto"/>
          </w:divBdr>
          <w:divsChild>
            <w:div w:id="1093551152">
              <w:marLeft w:val="0"/>
              <w:marRight w:val="0"/>
              <w:marTop w:val="0"/>
              <w:marBottom w:val="0"/>
              <w:divBdr>
                <w:top w:val="none" w:sz="0" w:space="0" w:color="auto"/>
                <w:left w:val="none" w:sz="0" w:space="0" w:color="auto"/>
                <w:bottom w:val="none" w:sz="0" w:space="0" w:color="auto"/>
                <w:right w:val="none" w:sz="0" w:space="0" w:color="auto"/>
              </w:divBdr>
              <w:divsChild>
                <w:div w:id="479426423">
                  <w:marLeft w:val="0"/>
                  <w:marRight w:val="0"/>
                  <w:marTop w:val="0"/>
                  <w:marBottom w:val="0"/>
                  <w:divBdr>
                    <w:top w:val="none" w:sz="0" w:space="0" w:color="auto"/>
                    <w:left w:val="none" w:sz="0" w:space="0" w:color="auto"/>
                    <w:bottom w:val="none" w:sz="0" w:space="0" w:color="auto"/>
                    <w:right w:val="none" w:sz="0" w:space="0" w:color="auto"/>
                  </w:divBdr>
                  <w:divsChild>
                    <w:div w:id="1985618704">
                      <w:marLeft w:val="0"/>
                      <w:marRight w:val="0"/>
                      <w:marTop w:val="0"/>
                      <w:marBottom w:val="0"/>
                      <w:divBdr>
                        <w:top w:val="none" w:sz="0" w:space="0" w:color="auto"/>
                        <w:left w:val="none" w:sz="0" w:space="0" w:color="auto"/>
                        <w:bottom w:val="none" w:sz="0" w:space="0" w:color="auto"/>
                        <w:right w:val="none" w:sz="0" w:space="0" w:color="auto"/>
                      </w:divBdr>
                      <w:divsChild>
                        <w:div w:id="208802794">
                          <w:marLeft w:val="0"/>
                          <w:marRight w:val="0"/>
                          <w:marTop w:val="0"/>
                          <w:marBottom w:val="0"/>
                          <w:divBdr>
                            <w:top w:val="none" w:sz="0" w:space="0" w:color="auto"/>
                            <w:left w:val="none" w:sz="0" w:space="0" w:color="auto"/>
                            <w:bottom w:val="none" w:sz="0" w:space="0" w:color="auto"/>
                            <w:right w:val="none" w:sz="0" w:space="0" w:color="auto"/>
                          </w:divBdr>
                          <w:divsChild>
                            <w:div w:id="826822799">
                              <w:marLeft w:val="0"/>
                              <w:marRight w:val="0"/>
                              <w:marTop w:val="0"/>
                              <w:marBottom w:val="0"/>
                              <w:divBdr>
                                <w:top w:val="none" w:sz="0" w:space="0" w:color="auto"/>
                                <w:left w:val="none" w:sz="0" w:space="0" w:color="auto"/>
                                <w:bottom w:val="none" w:sz="0" w:space="0" w:color="auto"/>
                                <w:right w:val="none" w:sz="0" w:space="0" w:color="auto"/>
                              </w:divBdr>
                              <w:divsChild>
                                <w:div w:id="266692183">
                                  <w:marLeft w:val="0"/>
                                  <w:marRight w:val="0"/>
                                  <w:marTop w:val="0"/>
                                  <w:marBottom w:val="0"/>
                                  <w:divBdr>
                                    <w:top w:val="none" w:sz="0" w:space="0" w:color="auto"/>
                                    <w:left w:val="none" w:sz="0" w:space="0" w:color="auto"/>
                                    <w:bottom w:val="none" w:sz="0" w:space="0" w:color="auto"/>
                                    <w:right w:val="none" w:sz="0" w:space="0" w:color="auto"/>
                                  </w:divBdr>
                                  <w:divsChild>
                                    <w:div w:id="263929304">
                                      <w:marLeft w:val="0"/>
                                      <w:marRight w:val="0"/>
                                      <w:marTop w:val="0"/>
                                      <w:marBottom w:val="0"/>
                                      <w:divBdr>
                                        <w:top w:val="none" w:sz="0" w:space="0" w:color="auto"/>
                                        <w:left w:val="none" w:sz="0" w:space="0" w:color="auto"/>
                                        <w:bottom w:val="none" w:sz="0" w:space="0" w:color="auto"/>
                                        <w:right w:val="none" w:sz="0" w:space="0" w:color="auto"/>
                                      </w:divBdr>
                                      <w:divsChild>
                                        <w:div w:id="1046293988">
                                          <w:marLeft w:val="0"/>
                                          <w:marRight w:val="0"/>
                                          <w:marTop w:val="0"/>
                                          <w:marBottom w:val="0"/>
                                          <w:divBdr>
                                            <w:top w:val="none" w:sz="0" w:space="0" w:color="auto"/>
                                            <w:left w:val="none" w:sz="0" w:space="0" w:color="auto"/>
                                            <w:bottom w:val="none" w:sz="0" w:space="0" w:color="auto"/>
                                            <w:right w:val="none" w:sz="0" w:space="0" w:color="auto"/>
                                          </w:divBdr>
                                          <w:divsChild>
                                            <w:div w:id="1563709304">
                                              <w:marLeft w:val="0"/>
                                              <w:marRight w:val="0"/>
                                              <w:marTop w:val="0"/>
                                              <w:marBottom w:val="0"/>
                                              <w:divBdr>
                                                <w:top w:val="none" w:sz="0" w:space="0" w:color="auto"/>
                                                <w:left w:val="none" w:sz="0" w:space="0" w:color="auto"/>
                                                <w:bottom w:val="none" w:sz="0" w:space="0" w:color="auto"/>
                                                <w:right w:val="none" w:sz="0" w:space="0" w:color="auto"/>
                                              </w:divBdr>
                                              <w:divsChild>
                                                <w:div w:id="572738267">
                                                  <w:marLeft w:val="0"/>
                                                  <w:marRight w:val="0"/>
                                                  <w:marTop w:val="0"/>
                                                  <w:marBottom w:val="0"/>
                                                  <w:divBdr>
                                                    <w:top w:val="none" w:sz="0" w:space="0" w:color="auto"/>
                                                    <w:left w:val="none" w:sz="0" w:space="0" w:color="auto"/>
                                                    <w:bottom w:val="none" w:sz="0" w:space="0" w:color="auto"/>
                                                    <w:right w:val="none" w:sz="0" w:space="0" w:color="auto"/>
                                                  </w:divBdr>
                                                  <w:divsChild>
                                                    <w:div w:id="355347673">
                                                      <w:marLeft w:val="0"/>
                                                      <w:marRight w:val="0"/>
                                                      <w:marTop w:val="0"/>
                                                      <w:marBottom w:val="0"/>
                                                      <w:divBdr>
                                                        <w:top w:val="none" w:sz="0" w:space="0" w:color="auto"/>
                                                        <w:left w:val="none" w:sz="0" w:space="0" w:color="auto"/>
                                                        <w:bottom w:val="none" w:sz="0" w:space="0" w:color="auto"/>
                                                        <w:right w:val="none" w:sz="0" w:space="0" w:color="auto"/>
                                                      </w:divBdr>
                                                      <w:divsChild>
                                                        <w:div w:id="13840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8043329">
      <w:bodyDiv w:val="1"/>
      <w:marLeft w:val="0"/>
      <w:marRight w:val="0"/>
      <w:marTop w:val="0"/>
      <w:marBottom w:val="0"/>
      <w:divBdr>
        <w:top w:val="none" w:sz="0" w:space="0" w:color="auto"/>
        <w:left w:val="none" w:sz="0" w:space="0" w:color="auto"/>
        <w:bottom w:val="none" w:sz="0" w:space="0" w:color="auto"/>
        <w:right w:val="none" w:sz="0" w:space="0" w:color="auto"/>
      </w:divBdr>
    </w:div>
    <w:div w:id="1422290772">
      <w:bodyDiv w:val="1"/>
      <w:marLeft w:val="0"/>
      <w:marRight w:val="0"/>
      <w:marTop w:val="0"/>
      <w:marBottom w:val="0"/>
      <w:divBdr>
        <w:top w:val="none" w:sz="0" w:space="0" w:color="auto"/>
        <w:left w:val="none" w:sz="0" w:space="0" w:color="auto"/>
        <w:bottom w:val="none" w:sz="0" w:space="0" w:color="auto"/>
        <w:right w:val="none" w:sz="0" w:space="0" w:color="auto"/>
      </w:divBdr>
    </w:div>
    <w:div w:id="1506481675">
      <w:bodyDiv w:val="1"/>
      <w:marLeft w:val="0"/>
      <w:marRight w:val="0"/>
      <w:marTop w:val="0"/>
      <w:marBottom w:val="0"/>
      <w:divBdr>
        <w:top w:val="none" w:sz="0" w:space="0" w:color="auto"/>
        <w:left w:val="none" w:sz="0" w:space="0" w:color="auto"/>
        <w:bottom w:val="none" w:sz="0" w:space="0" w:color="auto"/>
        <w:right w:val="none" w:sz="0" w:space="0" w:color="auto"/>
      </w:divBdr>
      <w:divsChild>
        <w:div w:id="754126955">
          <w:marLeft w:val="0"/>
          <w:marRight w:val="0"/>
          <w:marTop w:val="0"/>
          <w:marBottom w:val="0"/>
          <w:divBdr>
            <w:top w:val="none" w:sz="0" w:space="0" w:color="auto"/>
            <w:left w:val="none" w:sz="0" w:space="0" w:color="auto"/>
            <w:bottom w:val="none" w:sz="0" w:space="0" w:color="auto"/>
            <w:right w:val="none" w:sz="0" w:space="0" w:color="auto"/>
          </w:divBdr>
          <w:divsChild>
            <w:div w:id="9262751">
              <w:marLeft w:val="0"/>
              <w:marRight w:val="0"/>
              <w:marTop w:val="0"/>
              <w:marBottom w:val="0"/>
              <w:divBdr>
                <w:top w:val="none" w:sz="0" w:space="0" w:color="auto"/>
                <w:left w:val="none" w:sz="0" w:space="0" w:color="auto"/>
                <w:bottom w:val="none" w:sz="0" w:space="0" w:color="auto"/>
                <w:right w:val="none" w:sz="0" w:space="0" w:color="auto"/>
              </w:divBdr>
              <w:divsChild>
                <w:div w:id="618151493">
                  <w:marLeft w:val="0"/>
                  <w:marRight w:val="0"/>
                  <w:marTop w:val="0"/>
                  <w:marBottom w:val="0"/>
                  <w:divBdr>
                    <w:top w:val="none" w:sz="0" w:space="0" w:color="auto"/>
                    <w:left w:val="none" w:sz="0" w:space="0" w:color="auto"/>
                    <w:bottom w:val="none" w:sz="0" w:space="0" w:color="auto"/>
                    <w:right w:val="none" w:sz="0" w:space="0" w:color="auto"/>
                  </w:divBdr>
                  <w:divsChild>
                    <w:div w:id="370351264">
                      <w:marLeft w:val="0"/>
                      <w:marRight w:val="0"/>
                      <w:marTop w:val="0"/>
                      <w:marBottom w:val="0"/>
                      <w:divBdr>
                        <w:top w:val="none" w:sz="0" w:space="0" w:color="auto"/>
                        <w:left w:val="none" w:sz="0" w:space="0" w:color="auto"/>
                        <w:bottom w:val="none" w:sz="0" w:space="0" w:color="auto"/>
                        <w:right w:val="none" w:sz="0" w:space="0" w:color="auto"/>
                      </w:divBdr>
                      <w:divsChild>
                        <w:div w:id="1904188">
                          <w:marLeft w:val="0"/>
                          <w:marRight w:val="0"/>
                          <w:marTop w:val="0"/>
                          <w:marBottom w:val="0"/>
                          <w:divBdr>
                            <w:top w:val="none" w:sz="0" w:space="0" w:color="auto"/>
                            <w:left w:val="none" w:sz="0" w:space="0" w:color="auto"/>
                            <w:bottom w:val="none" w:sz="0" w:space="0" w:color="auto"/>
                            <w:right w:val="none" w:sz="0" w:space="0" w:color="auto"/>
                          </w:divBdr>
                          <w:divsChild>
                            <w:div w:id="1866795125">
                              <w:marLeft w:val="0"/>
                              <w:marRight w:val="0"/>
                              <w:marTop w:val="0"/>
                              <w:marBottom w:val="0"/>
                              <w:divBdr>
                                <w:top w:val="none" w:sz="0" w:space="0" w:color="auto"/>
                                <w:left w:val="none" w:sz="0" w:space="0" w:color="auto"/>
                                <w:bottom w:val="none" w:sz="0" w:space="0" w:color="auto"/>
                                <w:right w:val="none" w:sz="0" w:space="0" w:color="auto"/>
                              </w:divBdr>
                              <w:divsChild>
                                <w:div w:id="3946766">
                                  <w:marLeft w:val="0"/>
                                  <w:marRight w:val="0"/>
                                  <w:marTop w:val="0"/>
                                  <w:marBottom w:val="0"/>
                                  <w:divBdr>
                                    <w:top w:val="none" w:sz="0" w:space="0" w:color="auto"/>
                                    <w:left w:val="none" w:sz="0" w:space="0" w:color="auto"/>
                                    <w:bottom w:val="none" w:sz="0" w:space="0" w:color="auto"/>
                                    <w:right w:val="none" w:sz="0" w:space="0" w:color="auto"/>
                                  </w:divBdr>
                                  <w:divsChild>
                                    <w:div w:id="668022301">
                                      <w:marLeft w:val="0"/>
                                      <w:marRight w:val="0"/>
                                      <w:marTop w:val="0"/>
                                      <w:marBottom w:val="0"/>
                                      <w:divBdr>
                                        <w:top w:val="none" w:sz="0" w:space="0" w:color="auto"/>
                                        <w:left w:val="none" w:sz="0" w:space="0" w:color="auto"/>
                                        <w:bottom w:val="none" w:sz="0" w:space="0" w:color="auto"/>
                                        <w:right w:val="none" w:sz="0" w:space="0" w:color="auto"/>
                                      </w:divBdr>
                                      <w:divsChild>
                                        <w:div w:id="1769961528">
                                          <w:marLeft w:val="0"/>
                                          <w:marRight w:val="0"/>
                                          <w:marTop w:val="0"/>
                                          <w:marBottom w:val="0"/>
                                          <w:divBdr>
                                            <w:top w:val="none" w:sz="0" w:space="0" w:color="auto"/>
                                            <w:left w:val="none" w:sz="0" w:space="0" w:color="auto"/>
                                            <w:bottom w:val="none" w:sz="0" w:space="0" w:color="auto"/>
                                            <w:right w:val="none" w:sz="0" w:space="0" w:color="auto"/>
                                          </w:divBdr>
                                          <w:divsChild>
                                            <w:div w:id="1515606451">
                                              <w:marLeft w:val="0"/>
                                              <w:marRight w:val="0"/>
                                              <w:marTop w:val="0"/>
                                              <w:marBottom w:val="0"/>
                                              <w:divBdr>
                                                <w:top w:val="none" w:sz="0" w:space="0" w:color="auto"/>
                                                <w:left w:val="none" w:sz="0" w:space="0" w:color="auto"/>
                                                <w:bottom w:val="none" w:sz="0" w:space="0" w:color="auto"/>
                                                <w:right w:val="none" w:sz="0" w:space="0" w:color="auto"/>
                                              </w:divBdr>
                                              <w:divsChild>
                                                <w:div w:id="673611504">
                                                  <w:marLeft w:val="0"/>
                                                  <w:marRight w:val="0"/>
                                                  <w:marTop w:val="0"/>
                                                  <w:marBottom w:val="0"/>
                                                  <w:divBdr>
                                                    <w:top w:val="none" w:sz="0" w:space="0" w:color="auto"/>
                                                    <w:left w:val="none" w:sz="0" w:space="0" w:color="auto"/>
                                                    <w:bottom w:val="none" w:sz="0" w:space="0" w:color="auto"/>
                                                    <w:right w:val="none" w:sz="0" w:space="0" w:color="auto"/>
                                                  </w:divBdr>
                                                  <w:divsChild>
                                                    <w:div w:id="253365113">
                                                      <w:marLeft w:val="0"/>
                                                      <w:marRight w:val="0"/>
                                                      <w:marTop w:val="0"/>
                                                      <w:marBottom w:val="0"/>
                                                      <w:divBdr>
                                                        <w:top w:val="none" w:sz="0" w:space="0" w:color="auto"/>
                                                        <w:left w:val="none" w:sz="0" w:space="0" w:color="auto"/>
                                                        <w:bottom w:val="none" w:sz="0" w:space="0" w:color="auto"/>
                                                        <w:right w:val="none" w:sz="0" w:space="0" w:color="auto"/>
                                                      </w:divBdr>
                                                      <w:divsChild>
                                                        <w:div w:id="5642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4383925">
      <w:bodyDiv w:val="1"/>
      <w:marLeft w:val="0"/>
      <w:marRight w:val="0"/>
      <w:marTop w:val="0"/>
      <w:marBottom w:val="0"/>
      <w:divBdr>
        <w:top w:val="none" w:sz="0" w:space="0" w:color="auto"/>
        <w:left w:val="none" w:sz="0" w:space="0" w:color="auto"/>
        <w:bottom w:val="none" w:sz="0" w:space="0" w:color="auto"/>
        <w:right w:val="none" w:sz="0" w:space="0" w:color="auto"/>
      </w:divBdr>
      <w:divsChild>
        <w:div w:id="1450008162">
          <w:marLeft w:val="0"/>
          <w:marRight w:val="0"/>
          <w:marTop w:val="0"/>
          <w:marBottom w:val="0"/>
          <w:divBdr>
            <w:top w:val="none" w:sz="0" w:space="0" w:color="auto"/>
            <w:left w:val="none" w:sz="0" w:space="0" w:color="auto"/>
            <w:bottom w:val="none" w:sz="0" w:space="0" w:color="auto"/>
            <w:right w:val="none" w:sz="0" w:space="0" w:color="auto"/>
          </w:divBdr>
          <w:divsChild>
            <w:div w:id="162479948">
              <w:marLeft w:val="0"/>
              <w:marRight w:val="0"/>
              <w:marTop w:val="0"/>
              <w:marBottom w:val="0"/>
              <w:divBdr>
                <w:top w:val="none" w:sz="0" w:space="0" w:color="auto"/>
                <w:left w:val="none" w:sz="0" w:space="0" w:color="auto"/>
                <w:bottom w:val="none" w:sz="0" w:space="0" w:color="auto"/>
                <w:right w:val="none" w:sz="0" w:space="0" w:color="auto"/>
              </w:divBdr>
              <w:divsChild>
                <w:div w:id="244387004">
                  <w:marLeft w:val="0"/>
                  <w:marRight w:val="0"/>
                  <w:marTop w:val="0"/>
                  <w:marBottom w:val="0"/>
                  <w:divBdr>
                    <w:top w:val="none" w:sz="0" w:space="0" w:color="auto"/>
                    <w:left w:val="none" w:sz="0" w:space="0" w:color="auto"/>
                    <w:bottom w:val="none" w:sz="0" w:space="0" w:color="auto"/>
                    <w:right w:val="none" w:sz="0" w:space="0" w:color="auto"/>
                  </w:divBdr>
                  <w:divsChild>
                    <w:div w:id="931284053">
                      <w:marLeft w:val="0"/>
                      <w:marRight w:val="0"/>
                      <w:marTop w:val="0"/>
                      <w:marBottom w:val="0"/>
                      <w:divBdr>
                        <w:top w:val="none" w:sz="0" w:space="0" w:color="auto"/>
                        <w:left w:val="none" w:sz="0" w:space="0" w:color="auto"/>
                        <w:bottom w:val="none" w:sz="0" w:space="0" w:color="auto"/>
                        <w:right w:val="none" w:sz="0" w:space="0" w:color="auto"/>
                      </w:divBdr>
                      <w:divsChild>
                        <w:div w:id="643630682">
                          <w:marLeft w:val="0"/>
                          <w:marRight w:val="0"/>
                          <w:marTop w:val="0"/>
                          <w:marBottom w:val="0"/>
                          <w:divBdr>
                            <w:top w:val="none" w:sz="0" w:space="0" w:color="auto"/>
                            <w:left w:val="none" w:sz="0" w:space="0" w:color="auto"/>
                            <w:bottom w:val="none" w:sz="0" w:space="0" w:color="auto"/>
                            <w:right w:val="none" w:sz="0" w:space="0" w:color="auto"/>
                          </w:divBdr>
                          <w:divsChild>
                            <w:div w:id="242225791">
                              <w:marLeft w:val="0"/>
                              <w:marRight w:val="0"/>
                              <w:marTop w:val="0"/>
                              <w:marBottom w:val="0"/>
                              <w:divBdr>
                                <w:top w:val="none" w:sz="0" w:space="0" w:color="auto"/>
                                <w:left w:val="none" w:sz="0" w:space="0" w:color="auto"/>
                                <w:bottom w:val="none" w:sz="0" w:space="0" w:color="auto"/>
                                <w:right w:val="none" w:sz="0" w:space="0" w:color="auto"/>
                              </w:divBdr>
                              <w:divsChild>
                                <w:div w:id="1952667528">
                                  <w:marLeft w:val="0"/>
                                  <w:marRight w:val="0"/>
                                  <w:marTop w:val="0"/>
                                  <w:marBottom w:val="0"/>
                                  <w:divBdr>
                                    <w:top w:val="none" w:sz="0" w:space="0" w:color="auto"/>
                                    <w:left w:val="none" w:sz="0" w:space="0" w:color="auto"/>
                                    <w:bottom w:val="none" w:sz="0" w:space="0" w:color="auto"/>
                                    <w:right w:val="none" w:sz="0" w:space="0" w:color="auto"/>
                                  </w:divBdr>
                                  <w:divsChild>
                                    <w:div w:id="860241714">
                                      <w:marLeft w:val="0"/>
                                      <w:marRight w:val="0"/>
                                      <w:marTop w:val="0"/>
                                      <w:marBottom w:val="0"/>
                                      <w:divBdr>
                                        <w:top w:val="none" w:sz="0" w:space="0" w:color="auto"/>
                                        <w:left w:val="none" w:sz="0" w:space="0" w:color="auto"/>
                                        <w:bottom w:val="none" w:sz="0" w:space="0" w:color="auto"/>
                                        <w:right w:val="none" w:sz="0" w:space="0" w:color="auto"/>
                                      </w:divBdr>
                                      <w:divsChild>
                                        <w:div w:id="60563306">
                                          <w:marLeft w:val="0"/>
                                          <w:marRight w:val="0"/>
                                          <w:marTop w:val="0"/>
                                          <w:marBottom w:val="0"/>
                                          <w:divBdr>
                                            <w:top w:val="none" w:sz="0" w:space="0" w:color="auto"/>
                                            <w:left w:val="none" w:sz="0" w:space="0" w:color="auto"/>
                                            <w:bottom w:val="none" w:sz="0" w:space="0" w:color="auto"/>
                                            <w:right w:val="none" w:sz="0" w:space="0" w:color="auto"/>
                                          </w:divBdr>
                                          <w:divsChild>
                                            <w:div w:id="1872111862">
                                              <w:marLeft w:val="0"/>
                                              <w:marRight w:val="0"/>
                                              <w:marTop w:val="0"/>
                                              <w:marBottom w:val="0"/>
                                              <w:divBdr>
                                                <w:top w:val="none" w:sz="0" w:space="0" w:color="auto"/>
                                                <w:left w:val="none" w:sz="0" w:space="0" w:color="auto"/>
                                                <w:bottom w:val="none" w:sz="0" w:space="0" w:color="auto"/>
                                                <w:right w:val="none" w:sz="0" w:space="0" w:color="auto"/>
                                              </w:divBdr>
                                              <w:divsChild>
                                                <w:div w:id="175965471">
                                                  <w:marLeft w:val="0"/>
                                                  <w:marRight w:val="0"/>
                                                  <w:marTop w:val="0"/>
                                                  <w:marBottom w:val="0"/>
                                                  <w:divBdr>
                                                    <w:top w:val="none" w:sz="0" w:space="0" w:color="auto"/>
                                                    <w:left w:val="none" w:sz="0" w:space="0" w:color="auto"/>
                                                    <w:bottom w:val="none" w:sz="0" w:space="0" w:color="auto"/>
                                                    <w:right w:val="none" w:sz="0" w:space="0" w:color="auto"/>
                                                  </w:divBdr>
                                                  <w:divsChild>
                                                    <w:div w:id="1579749397">
                                                      <w:marLeft w:val="0"/>
                                                      <w:marRight w:val="0"/>
                                                      <w:marTop w:val="0"/>
                                                      <w:marBottom w:val="0"/>
                                                      <w:divBdr>
                                                        <w:top w:val="none" w:sz="0" w:space="0" w:color="auto"/>
                                                        <w:left w:val="none" w:sz="0" w:space="0" w:color="auto"/>
                                                        <w:bottom w:val="none" w:sz="0" w:space="0" w:color="auto"/>
                                                        <w:right w:val="none" w:sz="0" w:space="0" w:color="auto"/>
                                                      </w:divBdr>
                                                      <w:divsChild>
                                                        <w:div w:id="15420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937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4BCC4A2-74DC-4A9D-B231-BBDC8B4CED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808F66689D8894D81CE205046615D65" ma:contentTypeVersion="" ma:contentTypeDescription="PDMS Document Site Content Type" ma:contentTypeScope="" ma:versionID="6145ed7239aa445d1b67a33d15c02762">
  <xsd:schema xmlns:xsd="http://www.w3.org/2001/XMLSchema" xmlns:xs="http://www.w3.org/2001/XMLSchema" xmlns:p="http://schemas.microsoft.com/office/2006/metadata/properties" xmlns:ns2="14BCC4A2-74DC-4A9D-B231-BBDC8B4CED16" targetNamespace="http://schemas.microsoft.com/office/2006/metadata/properties" ma:root="true" ma:fieldsID="b94fc63a9c49d7b330a89d8b74bfae06" ns2:_="">
    <xsd:import namespace="14BCC4A2-74DC-4A9D-B231-BBDC8B4CED1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CC4A2-74DC-4A9D-B231-BBDC8B4CED1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CF7F7-4097-4D06-B259-D7A58B46577C}">
  <ds:schemaRefs>
    <ds:schemaRef ds:uri="http://schemas.microsoft.com/sharepoint/v3/contenttype/forms"/>
  </ds:schemaRefs>
</ds:datastoreItem>
</file>

<file path=customXml/itemProps2.xml><?xml version="1.0" encoding="utf-8"?>
<ds:datastoreItem xmlns:ds="http://schemas.openxmlformats.org/officeDocument/2006/customXml" ds:itemID="{E7AC2288-759D-41C4-8CBE-0C5150C7A261}">
  <ds:schemaRefs>
    <ds:schemaRef ds:uri="http://purl.org/dc/elements/1.1/"/>
    <ds:schemaRef ds:uri="http://schemas.microsoft.com/office/2006/metadata/properties"/>
    <ds:schemaRef ds:uri="http://purl.org/dc/terms/"/>
    <ds:schemaRef ds:uri="14BCC4A2-74DC-4A9D-B231-BBDC8B4CED16"/>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7E1D459-B642-44BA-AC12-B21A42517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CC4A2-74DC-4A9D-B231-BBDC8B4CED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62E507-0C48-4217-9C6A-4DEC364E8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1639</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Golkowski Izabela</dc:creator>
  <cp:lastModifiedBy>NG, Jason</cp:lastModifiedBy>
  <cp:revision>11</cp:revision>
  <cp:lastPrinted>2021-06-11T00:31:00Z</cp:lastPrinted>
  <dcterms:created xsi:type="dcterms:W3CDTF">2021-07-11T23:09:00Z</dcterms:created>
  <dcterms:modified xsi:type="dcterms:W3CDTF">2021-08-05T04:29:00Z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0x010100266966F133664895A6EE3632470D45F5000808F66689D8894D81CE205046615D65</vt:lpwstr>
  </property>
</Properties>
</file>