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9EEF9" w14:textId="77777777" w:rsidR="007231B2" w:rsidRPr="00511ED8" w:rsidRDefault="007231B2" w:rsidP="00901D26">
      <w:pPr>
        <w:ind w:right="-284"/>
        <w:jc w:val="center"/>
        <w:rPr>
          <w:rFonts w:ascii="Times New Roman" w:hAnsi="Times New Roman"/>
          <w:b/>
          <w:bCs/>
          <w:sz w:val="22"/>
          <w:szCs w:val="22"/>
          <w:u w:val="single"/>
        </w:rPr>
      </w:pPr>
      <w:r w:rsidRPr="00511ED8">
        <w:rPr>
          <w:rFonts w:ascii="Times New Roman" w:hAnsi="Times New Roman"/>
          <w:b/>
          <w:bCs/>
          <w:sz w:val="22"/>
          <w:szCs w:val="22"/>
          <w:u w:val="single"/>
        </w:rPr>
        <w:t>EXPLANATORY STATEMENT</w:t>
      </w:r>
    </w:p>
    <w:p w14:paraId="17A16F5F" w14:textId="77777777" w:rsidR="007231B2" w:rsidRPr="00EC7A8C" w:rsidRDefault="007231B2" w:rsidP="00901D26">
      <w:pPr>
        <w:ind w:right="-284"/>
        <w:jc w:val="center"/>
        <w:rPr>
          <w:b/>
          <w:sz w:val="22"/>
          <w:szCs w:val="22"/>
        </w:rPr>
      </w:pPr>
    </w:p>
    <w:p w14:paraId="273A49BC" w14:textId="77777777" w:rsidR="007231B2" w:rsidRPr="00511ED8" w:rsidRDefault="007231B2" w:rsidP="00901D26">
      <w:pPr>
        <w:ind w:right="-284"/>
        <w:jc w:val="center"/>
        <w:rPr>
          <w:rFonts w:ascii="Times New Roman" w:hAnsi="Times New Roman"/>
          <w:bCs/>
          <w:i/>
          <w:iCs/>
          <w:sz w:val="22"/>
          <w:szCs w:val="22"/>
        </w:rPr>
      </w:pPr>
      <w:r w:rsidRPr="00511ED8">
        <w:rPr>
          <w:rFonts w:ascii="Times New Roman" w:hAnsi="Times New Roman"/>
          <w:bCs/>
          <w:i/>
          <w:iCs/>
          <w:sz w:val="22"/>
          <w:szCs w:val="22"/>
        </w:rPr>
        <w:t>Therapeutic Goods Act 1989</w:t>
      </w:r>
    </w:p>
    <w:p w14:paraId="022B69F2" w14:textId="77777777" w:rsidR="007231B2" w:rsidRPr="00EC7A8C" w:rsidRDefault="007231B2" w:rsidP="00901D26">
      <w:pPr>
        <w:ind w:right="-284"/>
        <w:jc w:val="center"/>
        <w:rPr>
          <w:sz w:val="22"/>
          <w:szCs w:val="22"/>
          <w:u w:val="single"/>
        </w:rPr>
      </w:pPr>
    </w:p>
    <w:p w14:paraId="568C28AD" w14:textId="77777777" w:rsidR="007231B2" w:rsidRPr="00511ED8" w:rsidRDefault="00064CC7" w:rsidP="00901D26">
      <w:pPr>
        <w:ind w:right="-284"/>
        <w:jc w:val="center"/>
        <w:rPr>
          <w:rFonts w:ascii="Times New Roman" w:hAnsi="Times New Roman"/>
          <w:i/>
          <w:sz w:val="22"/>
          <w:szCs w:val="22"/>
        </w:rPr>
      </w:pPr>
      <w:r w:rsidRPr="00511ED8">
        <w:rPr>
          <w:rFonts w:ascii="Times New Roman" w:hAnsi="Times New Roman"/>
          <w:i/>
          <w:sz w:val="22"/>
          <w:szCs w:val="22"/>
        </w:rPr>
        <w:t>The</w:t>
      </w:r>
      <w:r w:rsidR="00956A75" w:rsidRPr="00511ED8">
        <w:rPr>
          <w:rFonts w:ascii="Times New Roman" w:hAnsi="Times New Roman"/>
          <w:i/>
          <w:sz w:val="22"/>
          <w:szCs w:val="22"/>
        </w:rPr>
        <w:t>rapeutic Goods (</w:t>
      </w:r>
      <w:r w:rsidR="00F5294E">
        <w:rPr>
          <w:rFonts w:ascii="Times New Roman" w:hAnsi="Times New Roman"/>
          <w:i/>
          <w:sz w:val="22"/>
          <w:szCs w:val="22"/>
        </w:rPr>
        <w:t>Medicinal Cannabis Products</w:t>
      </w:r>
      <w:r w:rsidR="00E41182">
        <w:rPr>
          <w:rFonts w:ascii="Times New Roman" w:hAnsi="Times New Roman"/>
          <w:i/>
          <w:sz w:val="22"/>
          <w:szCs w:val="22"/>
        </w:rPr>
        <w:t>)</w:t>
      </w:r>
      <w:r w:rsidR="00F5294E">
        <w:rPr>
          <w:rFonts w:ascii="Times New Roman" w:hAnsi="Times New Roman"/>
          <w:i/>
          <w:sz w:val="22"/>
          <w:szCs w:val="22"/>
        </w:rPr>
        <w:t xml:space="preserve"> </w:t>
      </w:r>
      <w:r w:rsidR="00E41182">
        <w:rPr>
          <w:rFonts w:ascii="Times New Roman" w:hAnsi="Times New Roman"/>
          <w:i/>
          <w:sz w:val="22"/>
          <w:szCs w:val="22"/>
        </w:rPr>
        <w:t>(</w:t>
      </w:r>
      <w:r w:rsidR="00F5294E">
        <w:rPr>
          <w:rFonts w:ascii="Times New Roman" w:hAnsi="Times New Roman"/>
          <w:i/>
          <w:sz w:val="22"/>
          <w:szCs w:val="22"/>
        </w:rPr>
        <w:t>Information) Specification 2021</w:t>
      </w:r>
    </w:p>
    <w:p w14:paraId="5A0164CB" w14:textId="77777777" w:rsidR="002757A6" w:rsidRPr="00EC7A8C" w:rsidRDefault="002757A6" w:rsidP="00901D26">
      <w:pPr>
        <w:ind w:right="-284"/>
        <w:jc w:val="center"/>
        <w:rPr>
          <w:b/>
          <w:sz w:val="22"/>
          <w:szCs w:val="22"/>
        </w:rPr>
      </w:pPr>
    </w:p>
    <w:p w14:paraId="02849877" w14:textId="77777777" w:rsidR="007231B2" w:rsidRPr="00511ED8" w:rsidRDefault="007231B2" w:rsidP="00901D26">
      <w:pPr>
        <w:autoSpaceDE w:val="0"/>
        <w:autoSpaceDN w:val="0"/>
        <w:adjustRightInd w:val="0"/>
        <w:ind w:right="-284"/>
        <w:rPr>
          <w:rFonts w:ascii="Times New Roman" w:hAnsi="Times New Roman"/>
          <w:sz w:val="22"/>
          <w:szCs w:val="22"/>
        </w:rPr>
      </w:pPr>
      <w:r w:rsidRPr="00511ED8">
        <w:rPr>
          <w:rFonts w:ascii="Times New Roman" w:hAnsi="Times New Roman"/>
          <w:sz w:val="22"/>
          <w:szCs w:val="22"/>
        </w:rPr>
        <w:t xml:space="preserve">The </w:t>
      </w:r>
      <w:r w:rsidRPr="00511ED8">
        <w:rPr>
          <w:rFonts w:ascii="Times New Roman" w:hAnsi="Times New Roman"/>
          <w:i/>
          <w:sz w:val="22"/>
          <w:szCs w:val="22"/>
        </w:rPr>
        <w:t>Therapeutic Goods Act 1989</w:t>
      </w:r>
      <w:r w:rsidRPr="00511ED8">
        <w:rPr>
          <w:rFonts w:ascii="Times New Roman" w:hAnsi="Times New Roman"/>
          <w:sz w:val="22"/>
          <w:szCs w:val="22"/>
        </w:rPr>
        <w:t xml:space="preserve"> (</w:t>
      </w:r>
      <w:r w:rsidR="009F042D" w:rsidRPr="00511ED8">
        <w:rPr>
          <w:rFonts w:ascii="Times New Roman" w:hAnsi="Times New Roman"/>
          <w:sz w:val="22"/>
          <w:szCs w:val="22"/>
        </w:rPr>
        <w:t>“</w:t>
      </w:r>
      <w:r w:rsidR="008C3004" w:rsidRPr="00511ED8">
        <w:rPr>
          <w:rFonts w:ascii="Times New Roman" w:hAnsi="Times New Roman"/>
          <w:sz w:val="22"/>
          <w:szCs w:val="22"/>
        </w:rPr>
        <w:t xml:space="preserve">the </w:t>
      </w:r>
      <w:r w:rsidRPr="00511ED8">
        <w:rPr>
          <w:rFonts w:ascii="Times New Roman" w:hAnsi="Times New Roman"/>
          <w:sz w:val="22"/>
          <w:szCs w:val="22"/>
        </w:rPr>
        <w:t>Act</w:t>
      </w:r>
      <w:r w:rsidR="009F042D" w:rsidRPr="00511ED8">
        <w:rPr>
          <w:rFonts w:ascii="Times New Roman" w:hAnsi="Times New Roman"/>
          <w:sz w:val="22"/>
          <w:szCs w:val="22"/>
        </w:rPr>
        <w:t>”</w:t>
      </w:r>
      <w:r w:rsidRPr="00511ED8">
        <w:rPr>
          <w:rFonts w:ascii="Times New Roman" w:hAnsi="Times New Roman"/>
          <w:sz w:val="22"/>
          <w:szCs w:val="22"/>
        </w:rPr>
        <w:t>) provides for the e</w:t>
      </w:r>
      <w:r w:rsidR="002757A6" w:rsidRPr="00511ED8">
        <w:rPr>
          <w:rFonts w:ascii="Times New Roman" w:hAnsi="Times New Roman"/>
          <w:sz w:val="22"/>
          <w:szCs w:val="22"/>
        </w:rPr>
        <w:t>stablishment and maintenance of</w:t>
      </w:r>
      <w:r w:rsidR="0046497F" w:rsidRPr="00511ED8">
        <w:rPr>
          <w:rFonts w:ascii="Times New Roman" w:hAnsi="Times New Roman"/>
          <w:sz w:val="22"/>
          <w:szCs w:val="22"/>
        </w:rPr>
        <w:t xml:space="preserve"> </w:t>
      </w:r>
      <w:r w:rsidRPr="00511ED8">
        <w:rPr>
          <w:rFonts w:ascii="Times New Roman" w:hAnsi="Times New Roman"/>
          <w:sz w:val="22"/>
          <w:szCs w:val="22"/>
        </w:rPr>
        <w:t xml:space="preserve">a national system of controls for the quality, safety, efficacy and timely availability of therapeutic goods that are </w:t>
      </w:r>
      <w:r w:rsidR="000257B7" w:rsidRPr="00511ED8">
        <w:rPr>
          <w:rFonts w:ascii="Times New Roman" w:hAnsi="Times New Roman"/>
          <w:sz w:val="22"/>
          <w:szCs w:val="22"/>
        </w:rPr>
        <w:t>used</w:t>
      </w:r>
      <w:r w:rsidR="00CB48F8" w:rsidRPr="00511ED8">
        <w:rPr>
          <w:rFonts w:ascii="Times New Roman" w:hAnsi="Times New Roman"/>
          <w:sz w:val="22"/>
          <w:szCs w:val="22"/>
        </w:rPr>
        <w:t xml:space="preserve"> in</w:t>
      </w:r>
      <w:r w:rsidR="00042273">
        <w:rPr>
          <w:rFonts w:ascii="Times New Roman" w:hAnsi="Times New Roman"/>
          <w:sz w:val="22"/>
          <w:szCs w:val="22"/>
        </w:rPr>
        <w:t>,</w:t>
      </w:r>
      <w:r w:rsidRPr="00511ED8">
        <w:rPr>
          <w:rFonts w:ascii="Times New Roman" w:hAnsi="Times New Roman"/>
          <w:sz w:val="22"/>
          <w:szCs w:val="22"/>
        </w:rPr>
        <w:t xml:space="preserve"> or exported from</w:t>
      </w:r>
      <w:r w:rsidR="00042273">
        <w:rPr>
          <w:rFonts w:ascii="Times New Roman" w:hAnsi="Times New Roman"/>
          <w:sz w:val="22"/>
          <w:szCs w:val="22"/>
        </w:rPr>
        <w:t>,</w:t>
      </w:r>
      <w:r w:rsidRPr="00511ED8">
        <w:rPr>
          <w:rFonts w:ascii="Times New Roman" w:hAnsi="Times New Roman"/>
          <w:sz w:val="22"/>
          <w:szCs w:val="22"/>
        </w:rPr>
        <w:t xml:space="preserve"> Australia.</w:t>
      </w:r>
      <w:r w:rsidR="005E1975" w:rsidRPr="00511ED8">
        <w:rPr>
          <w:rFonts w:ascii="Times New Roman" w:hAnsi="Times New Roman"/>
          <w:sz w:val="22"/>
          <w:szCs w:val="22"/>
        </w:rPr>
        <w:t xml:space="preserve"> </w:t>
      </w:r>
      <w:r w:rsidR="00511ED8">
        <w:rPr>
          <w:rFonts w:ascii="Times New Roman" w:hAnsi="Times New Roman"/>
          <w:sz w:val="22"/>
          <w:szCs w:val="22"/>
        </w:rPr>
        <w:t xml:space="preserve"> </w:t>
      </w:r>
      <w:r w:rsidR="00556311" w:rsidRPr="00511ED8">
        <w:rPr>
          <w:rFonts w:ascii="Times New Roman" w:hAnsi="Times New Roman"/>
          <w:sz w:val="22"/>
          <w:szCs w:val="22"/>
        </w:rPr>
        <w:t>The Act is administered by the</w:t>
      </w:r>
      <w:r w:rsidR="00B91C3A" w:rsidRPr="00511ED8">
        <w:rPr>
          <w:rFonts w:ascii="Times New Roman" w:hAnsi="Times New Roman"/>
          <w:sz w:val="22"/>
          <w:szCs w:val="22"/>
        </w:rPr>
        <w:t> </w:t>
      </w:r>
      <w:r w:rsidR="00556311" w:rsidRPr="00511ED8">
        <w:rPr>
          <w:rFonts w:ascii="Times New Roman" w:hAnsi="Times New Roman"/>
          <w:sz w:val="22"/>
          <w:szCs w:val="22"/>
        </w:rPr>
        <w:t xml:space="preserve">Therapeutic Goods Administration (“the TGA”) within the </w:t>
      </w:r>
      <w:r w:rsidR="0070033E" w:rsidRPr="00511ED8">
        <w:rPr>
          <w:rFonts w:ascii="Times New Roman" w:hAnsi="Times New Roman"/>
          <w:sz w:val="22"/>
          <w:szCs w:val="22"/>
        </w:rPr>
        <w:t xml:space="preserve">Australian Government </w:t>
      </w:r>
      <w:r w:rsidR="00556311" w:rsidRPr="00511ED8">
        <w:rPr>
          <w:rFonts w:ascii="Times New Roman" w:hAnsi="Times New Roman"/>
          <w:sz w:val="22"/>
          <w:szCs w:val="22"/>
        </w:rPr>
        <w:t>Department of Health</w:t>
      </w:r>
      <w:r w:rsidR="00042273">
        <w:rPr>
          <w:rFonts w:ascii="Times New Roman" w:hAnsi="Times New Roman"/>
          <w:sz w:val="22"/>
          <w:szCs w:val="22"/>
        </w:rPr>
        <w:t xml:space="preserve"> (“the Department”)</w:t>
      </w:r>
      <w:r w:rsidR="00556311" w:rsidRPr="00511ED8">
        <w:rPr>
          <w:rFonts w:ascii="Times New Roman" w:hAnsi="Times New Roman"/>
          <w:sz w:val="22"/>
          <w:szCs w:val="22"/>
        </w:rPr>
        <w:t>.</w:t>
      </w:r>
    </w:p>
    <w:p w14:paraId="33D9C31B" w14:textId="77777777" w:rsidR="007231B2" w:rsidRPr="00511ED8" w:rsidRDefault="007231B2" w:rsidP="00901D26">
      <w:pPr>
        <w:autoSpaceDE w:val="0"/>
        <w:autoSpaceDN w:val="0"/>
        <w:adjustRightInd w:val="0"/>
        <w:ind w:right="-284"/>
        <w:rPr>
          <w:rFonts w:ascii="Times New Roman" w:hAnsi="Times New Roman"/>
          <w:sz w:val="22"/>
          <w:szCs w:val="22"/>
        </w:rPr>
      </w:pPr>
    </w:p>
    <w:p w14:paraId="441EAD4A" w14:textId="77777777" w:rsidR="00D5210D" w:rsidRPr="00511ED8" w:rsidRDefault="002E0A39" w:rsidP="00901D26">
      <w:pPr>
        <w:autoSpaceDE w:val="0"/>
        <w:autoSpaceDN w:val="0"/>
        <w:adjustRightInd w:val="0"/>
        <w:ind w:right="-284"/>
        <w:rPr>
          <w:rFonts w:ascii="Times New Roman" w:hAnsi="Times New Roman"/>
          <w:sz w:val="22"/>
          <w:szCs w:val="22"/>
        </w:rPr>
      </w:pPr>
      <w:r w:rsidRPr="00511ED8">
        <w:rPr>
          <w:rFonts w:ascii="Times New Roman" w:hAnsi="Times New Roman"/>
          <w:sz w:val="22"/>
          <w:szCs w:val="22"/>
        </w:rPr>
        <w:t>S</w:t>
      </w:r>
      <w:r w:rsidR="00A26261" w:rsidRPr="00511ED8">
        <w:rPr>
          <w:rFonts w:ascii="Times New Roman" w:hAnsi="Times New Roman"/>
          <w:sz w:val="22"/>
          <w:szCs w:val="22"/>
        </w:rPr>
        <w:t>e</w:t>
      </w:r>
      <w:r w:rsidRPr="00511ED8">
        <w:rPr>
          <w:rFonts w:ascii="Times New Roman" w:hAnsi="Times New Roman"/>
          <w:sz w:val="22"/>
          <w:szCs w:val="22"/>
        </w:rPr>
        <w:t xml:space="preserve">ction </w:t>
      </w:r>
      <w:r w:rsidR="003047A0" w:rsidRPr="00511ED8">
        <w:rPr>
          <w:rFonts w:ascii="Times New Roman" w:hAnsi="Times New Roman"/>
          <w:sz w:val="22"/>
          <w:szCs w:val="22"/>
        </w:rPr>
        <w:t>61</w:t>
      </w:r>
      <w:r w:rsidR="00C91B17" w:rsidRPr="00511ED8">
        <w:rPr>
          <w:rFonts w:ascii="Times New Roman" w:hAnsi="Times New Roman"/>
          <w:sz w:val="22"/>
          <w:szCs w:val="22"/>
        </w:rPr>
        <w:t xml:space="preserve"> </w:t>
      </w:r>
      <w:r w:rsidRPr="00511ED8">
        <w:rPr>
          <w:rFonts w:ascii="Times New Roman" w:hAnsi="Times New Roman"/>
          <w:sz w:val="22"/>
          <w:szCs w:val="22"/>
        </w:rPr>
        <w:t xml:space="preserve">of the Act </w:t>
      </w:r>
      <w:r w:rsidR="00A309AD" w:rsidRPr="00511ED8">
        <w:rPr>
          <w:rFonts w:ascii="Times New Roman" w:hAnsi="Times New Roman"/>
          <w:sz w:val="22"/>
          <w:szCs w:val="22"/>
        </w:rPr>
        <w:t xml:space="preserve">provides </w:t>
      </w:r>
      <w:r w:rsidR="008220E2" w:rsidRPr="00511ED8">
        <w:rPr>
          <w:rFonts w:ascii="Times New Roman" w:hAnsi="Times New Roman"/>
          <w:sz w:val="22"/>
          <w:szCs w:val="22"/>
        </w:rPr>
        <w:t xml:space="preserve">that </w:t>
      </w:r>
      <w:r w:rsidR="00A309AD" w:rsidRPr="00511ED8">
        <w:rPr>
          <w:rFonts w:ascii="Times New Roman" w:hAnsi="Times New Roman"/>
          <w:sz w:val="22"/>
          <w:szCs w:val="22"/>
        </w:rPr>
        <w:t xml:space="preserve">the </w:t>
      </w:r>
      <w:r w:rsidR="00386F17" w:rsidRPr="00511ED8">
        <w:rPr>
          <w:rFonts w:ascii="Times New Roman" w:hAnsi="Times New Roman"/>
          <w:sz w:val="22"/>
          <w:szCs w:val="22"/>
        </w:rPr>
        <w:t xml:space="preserve">Secretary </w:t>
      </w:r>
      <w:r w:rsidR="002757A6" w:rsidRPr="00511ED8">
        <w:rPr>
          <w:rFonts w:ascii="Times New Roman" w:hAnsi="Times New Roman"/>
          <w:sz w:val="22"/>
          <w:szCs w:val="22"/>
        </w:rPr>
        <w:t>may</w:t>
      </w:r>
      <w:r w:rsidR="008220E2" w:rsidRPr="00511ED8">
        <w:rPr>
          <w:rFonts w:ascii="Times New Roman" w:hAnsi="Times New Roman"/>
          <w:sz w:val="22"/>
          <w:szCs w:val="22"/>
        </w:rPr>
        <w:t xml:space="preserve"> release </w:t>
      </w:r>
      <w:r w:rsidR="00C50314" w:rsidRPr="00511ED8">
        <w:rPr>
          <w:rFonts w:ascii="Times New Roman" w:hAnsi="Times New Roman"/>
          <w:sz w:val="22"/>
          <w:szCs w:val="22"/>
        </w:rPr>
        <w:t xml:space="preserve">specified </w:t>
      </w:r>
      <w:r w:rsidR="00042273">
        <w:rPr>
          <w:rFonts w:ascii="Times New Roman" w:hAnsi="Times New Roman"/>
          <w:sz w:val="22"/>
          <w:szCs w:val="22"/>
        </w:rPr>
        <w:t xml:space="preserve">kinds of </w:t>
      </w:r>
      <w:r w:rsidR="008220E2" w:rsidRPr="00511ED8">
        <w:rPr>
          <w:rFonts w:ascii="Times New Roman" w:hAnsi="Times New Roman"/>
          <w:sz w:val="22"/>
          <w:szCs w:val="22"/>
        </w:rPr>
        <w:t>therapeutic goods information</w:t>
      </w:r>
      <w:r w:rsidR="008C3004" w:rsidRPr="00511ED8">
        <w:rPr>
          <w:rFonts w:ascii="Times New Roman" w:hAnsi="Times New Roman"/>
          <w:sz w:val="22"/>
          <w:szCs w:val="22"/>
        </w:rPr>
        <w:t xml:space="preserve"> to </w:t>
      </w:r>
      <w:r w:rsidR="00290960" w:rsidRPr="00511ED8">
        <w:rPr>
          <w:rFonts w:ascii="Times New Roman" w:hAnsi="Times New Roman"/>
          <w:sz w:val="22"/>
          <w:szCs w:val="22"/>
        </w:rPr>
        <w:t xml:space="preserve">the public, and </w:t>
      </w:r>
      <w:r w:rsidR="00386F17" w:rsidRPr="00511ED8">
        <w:rPr>
          <w:rFonts w:ascii="Times New Roman" w:hAnsi="Times New Roman"/>
          <w:sz w:val="22"/>
          <w:szCs w:val="22"/>
        </w:rPr>
        <w:t xml:space="preserve">certain </w:t>
      </w:r>
      <w:r w:rsidR="008220E2" w:rsidRPr="00511ED8">
        <w:rPr>
          <w:rFonts w:ascii="Times New Roman" w:hAnsi="Times New Roman"/>
          <w:sz w:val="22"/>
          <w:szCs w:val="22"/>
        </w:rPr>
        <w:t>organisations, bodies</w:t>
      </w:r>
      <w:r w:rsidR="00C50314" w:rsidRPr="00511ED8">
        <w:rPr>
          <w:rFonts w:ascii="Times New Roman" w:hAnsi="Times New Roman"/>
          <w:sz w:val="22"/>
          <w:szCs w:val="22"/>
        </w:rPr>
        <w:t xml:space="preserve"> or</w:t>
      </w:r>
      <w:r w:rsidR="008220E2" w:rsidRPr="00511ED8">
        <w:rPr>
          <w:rFonts w:ascii="Times New Roman" w:hAnsi="Times New Roman"/>
          <w:sz w:val="22"/>
          <w:szCs w:val="22"/>
        </w:rPr>
        <w:t xml:space="preserve"> authorities</w:t>
      </w:r>
      <w:r w:rsidR="008C3004" w:rsidRPr="00511ED8">
        <w:rPr>
          <w:rFonts w:ascii="Times New Roman" w:hAnsi="Times New Roman"/>
          <w:sz w:val="22"/>
          <w:szCs w:val="22"/>
        </w:rPr>
        <w:t>.</w:t>
      </w:r>
      <w:r w:rsidR="00EC7A8C">
        <w:rPr>
          <w:rFonts w:ascii="Times New Roman" w:hAnsi="Times New Roman"/>
          <w:sz w:val="22"/>
          <w:szCs w:val="22"/>
        </w:rPr>
        <w:t xml:space="preserve"> </w:t>
      </w:r>
      <w:r w:rsidR="00511ED8">
        <w:rPr>
          <w:rFonts w:ascii="Times New Roman" w:hAnsi="Times New Roman"/>
          <w:sz w:val="22"/>
          <w:szCs w:val="22"/>
        </w:rPr>
        <w:t xml:space="preserve"> </w:t>
      </w:r>
      <w:r w:rsidR="00D5210D" w:rsidRPr="00511ED8">
        <w:rPr>
          <w:rFonts w:ascii="Times New Roman" w:hAnsi="Times New Roman"/>
          <w:sz w:val="22"/>
          <w:szCs w:val="22"/>
        </w:rPr>
        <w:t xml:space="preserve">Subsection 61(1) of the Act provides that therapeutic goods information means, for the purposes of </w:t>
      </w:r>
      <w:r w:rsidR="00BB59D2" w:rsidRPr="00511ED8">
        <w:rPr>
          <w:rFonts w:ascii="Times New Roman" w:hAnsi="Times New Roman"/>
          <w:sz w:val="22"/>
          <w:szCs w:val="22"/>
        </w:rPr>
        <w:t>the section</w:t>
      </w:r>
      <w:r w:rsidR="00D5210D" w:rsidRPr="00511ED8">
        <w:rPr>
          <w:rFonts w:ascii="Times New Roman" w:hAnsi="Times New Roman"/>
          <w:sz w:val="22"/>
          <w:szCs w:val="22"/>
        </w:rPr>
        <w:t xml:space="preserve">, information </w:t>
      </w:r>
      <w:r w:rsidR="00D201C8" w:rsidRPr="00511ED8">
        <w:rPr>
          <w:rFonts w:ascii="Times New Roman" w:hAnsi="Times New Roman"/>
          <w:sz w:val="22"/>
          <w:szCs w:val="22"/>
        </w:rPr>
        <w:t xml:space="preserve">relating </w:t>
      </w:r>
      <w:r w:rsidR="00D5210D" w:rsidRPr="00511ED8">
        <w:rPr>
          <w:rFonts w:ascii="Times New Roman" w:hAnsi="Times New Roman"/>
          <w:sz w:val="22"/>
          <w:szCs w:val="22"/>
        </w:rPr>
        <w:t>to therapeutic goods</w:t>
      </w:r>
      <w:r w:rsidR="008F7FF8" w:rsidRPr="00511ED8">
        <w:rPr>
          <w:rFonts w:ascii="Times New Roman" w:hAnsi="Times New Roman"/>
          <w:sz w:val="22"/>
          <w:szCs w:val="22"/>
        </w:rPr>
        <w:t>,</w:t>
      </w:r>
      <w:r w:rsidR="00D5210D" w:rsidRPr="00511ED8">
        <w:rPr>
          <w:rFonts w:ascii="Times New Roman" w:hAnsi="Times New Roman"/>
          <w:sz w:val="22"/>
          <w:szCs w:val="22"/>
        </w:rPr>
        <w:t xml:space="preserve"> </w:t>
      </w:r>
      <w:r w:rsidR="008F7FF8" w:rsidRPr="00511ED8">
        <w:rPr>
          <w:rFonts w:ascii="Times New Roman" w:hAnsi="Times New Roman"/>
          <w:sz w:val="22"/>
          <w:szCs w:val="22"/>
        </w:rPr>
        <w:t xml:space="preserve">which </w:t>
      </w:r>
      <w:r w:rsidR="00D5210D" w:rsidRPr="00511ED8">
        <w:rPr>
          <w:rFonts w:ascii="Times New Roman" w:hAnsi="Times New Roman"/>
          <w:sz w:val="22"/>
          <w:szCs w:val="22"/>
        </w:rPr>
        <w:t xml:space="preserve">is held by the Department and </w:t>
      </w:r>
      <w:r w:rsidR="008F7FF8" w:rsidRPr="00511ED8">
        <w:rPr>
          <w:rFonts w:ascii="Times New Roman" w:hAnsi="Times New Roman"/>
          <w:sz w:val="22"/>
          <w:szCs w:val="22"/>
        </w:rPr>
        <w:t xml:space="preserve">relates to the performance of </w:t>
      </w:r>
      <w:r w:rsidR="00D5210D" w:rsidRPr="00511ED8">
        <w:rPr>
          <w:rFonts w:ascii="Times New Roman" w:hAnsi="Times New Roman"/>
          <w:sz w:val="22"/>
          <w:szCs w:val="22"/>
        </w:rPr>
        <w:t>the Department’s functions.</w:t>
      </w:r>
    </w:p>
    <w:p w14:paraId="67EACF7D" w14:textId="77777777" w:rsidR="00D5210D" w:rsidRPr="00511ED8" w:rsidRDefault="00D5210D" w:rsidP="00901D26">
      <w:pPr>
        <w:tabs>
          <w:tab w:val="left" w:pos="2355"/>
        </w:tabs>
        <w:autoSpaceDE w:val="0"/>
        <w:autoSpaceDN w:val="0"/>
        <w:adjustRightInd w:val="0"/>
        <w:ind w:right="-284"/>
        <w:rPr>
          <w:rFonts w:ascii="Times New Roman" w:hAnsi="Times New Roman"/>
          <w:sz w:val="22"/>
          <w:szCs w:val="22"/>
        </w:rPr>
      </w:pPr>
    </w:p>
    <w:p w14:paraId="3626E5EC" w14:textId="77777777" w:rsidR="002E3566" w:rsidRPr="00511ED8" w:rsidRDefault="00625284" w:rsidP="00901D26">
      <w:pPr>
        <w:autoSpaceDE w:val="0"/>
        <w:autoSpaceDN w:val="0"/>
        <w:adjustRightInd w:val="0"/>
        <w:ind w:right="-284"/>
        <w:rPr>
          <w:rFonts w:ascii="Times New Roman" w:hAnsi="Times New Roman"/>
          <w:sz w:val="22"/>
          <w:szCs w:val="22"/>
        </w:rPr>
      </w:pPr>
      <w:r w:rsidRPr="00511ED8">
        <w:rPr>
          <w:rFonts w:ascii="Times New Roman" w:hAnsi="Times New Roman"/>
          <w:sz w:val="22"/>
          <w:szCs w:val="22"/>
        </w:rPr>
        <w:t>Under s</w:t>
      </w:r>
      <w:r w:rsidR="00386F17" w:rsidRPr="00511ED8">
        <w:rPr>
          <w:rFonts w:ascii="Times New Roman" w:hAnsi="Times New Roman"/>
          <w:sz w:val="22"/>
          <w:szCs w:val="22"/>
        </w:rPr>
        <w:t>ubsection 61(5</w:t>
      </w:r>
      <w:r w:rsidR="00B45B96" w:rsidRPr="00511ED8">
        <w:rPr>
          <w:rFonts w:ascii="Times New Roman" w:hAnsi="Times New Roman"/>
          <w:sz w:val="22"/>
          <w:szCs w:val="22"/>
        </w:rPr>
        <w:t>C</w:t>
      </w:r>
      <w:r w:rsidR="00386F17" w:rsidRPr="00511ED8">
        <w:rPr>
          <w:rFonts w:ascii="Times New Roman" w:hAnsi="Times New Roman"/>
          <w:sz w:val="22"/>
          <w:szCs w:val="22"/>
        </w:rPr>
        <w:t>)</w:t>
      </w:r>
      <w:r w:rsidR="00674576" w:rsidRPr="00511ED8">
        <w:rPr>
          <w:rFonts w:ascii="Times New Roman" w:hAnsi="Times New Roman"/>
          <w:sz w:val="22"/>
          <w:szCs w:val="22"/>
        </w:rPr>
        <w:t xml:space="preserve"> of the Act</w:t>
      </w:r>
      <w:r w:rsidRPr="00511ED8">
        <w:rPr>
          <w:rFonts w:ascii="Times New Roman" w:hAnsi="Times New Roman"/>
          <w:sz w:val="22"/>
          <w:szCs w:val="22"/>
        </w:rPr>
        <w:t>,</w:t>
      </w:r>
      <w:r w:rsidR="00386F17" w:rsidRPr="00511ED8">
        <w:rPr>
          <w:rFonts w:ascii="Times New Roman" w:hAnsi="Times New Roman"/>
          <w:sz w:val="22"/>
          <w:szCs w:val="22"/>
        </w:rPr>
        <w:t xml:space="preserve"> </w:t>
      </w:r>
      <w:r w:rsidR="004829AD" w:rsidRPr="00511ED8">
        <w:rPr>
          <w:rFonts w:ascii="Times New Roman" w:hAnsi="Times New Roman"/>
          <w:sz w:val="22"/>
          <w:szCs w:val="22"/>
        </w:rPr>
        <w:t xml:space="preserve">the </w:t>
      </w:r>
      <w:r w:rsidR="00B45B96" w:rsidRPr="00511ED8">
        <w:rPr>
          <w:rFonts w:ascii="Times New Roman" w:hAnsi="Times New Roman"/>
          <w:sz w:val="22"/>
          <w:szCs w:val="22"/>
        </w:rPr>
        <w:t xml:space="preserve">Secretary may release </w:t>
      </w:r>
      <w:r w:rsidR="005C5FB4" w:rsidRPr="00511ED8">
        <w:rPr>
          <w:rFonts w:ascii="Times New Roman" w:hAnsi="Times New Roman"/>
          <w:sz w:val="22"/>
          <w:szCs w:val="22"/>
        </w:rPr>
        <w:t xml:space="preserve">to the public kinds of </w:t>
      </w:r>
      <w:r w:rsidR="00B45B96" w:rsidRPr="00511ED8">
        <w:rPr>
          <w:rFonts w:ascii="Times New Roman" w:hAnsi="Times New Roman"/>
          <w:sz w:val="22"/>
          <w:szCs w:val="22"/>
        </w:rPr>
        <w:t>therapeutic goods information specified under</w:t>
      </w:r>
      <w:r w:rsidR="005E1975" w:rsidRPr="00511ED8">
        <w:rPr>
          <w:rFonts w:ascii="Times New Roman" w:hAnsi="Times New Roman"/>
          <w:sz w:val="22"/>
          <w:szCs w:val="22"/>
        </w:rPr>
        <w:t xml:space="preserve"> subsection 61(5D) of the Act.</w:t>
      </w:r>
      <w:r w:rsidR="00FA7CAE">
        <w:rPr>
          <w:rFonts w:ascii="Times New Roman" w:hAnsi="Times New Roman"/>
          <w:sz w:val="22"/>
          <w:szCs w:val="22"/>
        </w:rPr>
        <w:t xml:space="preserve"> </w:t>
      </w:r>
      <w:r w:rsidR="005E1975" w:rsidRPr="00511ED8">
        <w:rPr>
          <w:rFonts w:ascii="Times New Roman" w:hAnsi="Times New Roman"/>
          <w:sz w:val="22"/>
          <w:szCs w:val="22"/>
        </w:rPr>
        <w:t xml:space="preserve"> </w:t>
      </w:r>
      <w:r w:rsidR="00075839" w:rsidRPr="00511ED8">
        <w:rPr>
          <w:rFonts w:ascii="Times New Roman" w:hAnsi="Times New Roman"/>
          <w:sz w:val="22"/>
          <w:szCs w:val="22"/>
        </w:rPr>
        <w:t>S</w:t>
      </w:r>
      <w:r w:rsidR="00B45B96" w:rsidRPr="00511ED8">
        <w:rPr>
          <w:rFonts w:ascii="Times New Roman" w:hAnsi="Times New Roman"/>
          <w:sz w:val="22"/>
          <w:szCs w:val="22"/>
        </w:rPr>
        <w:t>ubsection 61(5D) provides that the Minister may</w:t>
      </w:r>
      <w:r w:rsidR="002757A6" w:rsidRPr="00511ED8">
        <w:rPr>
          <w:rFonts w:ascii="Times New Roman" w:hAnsi="Times New Roman"/>
          <w:sz w:val="22"/>
          <w:szCs w:val="22"/>
        </w:rPr>
        <w:t xml:space="preserve">, by legislative instrument, </w:t>
      </w:r>
      <w:r w:rsidR="000E36A7" w:rsidRPr="00511ED8">
        <w:rPr>
          <w:rFonts w:ascii="Times New Roman" w:hAnsi="Times New Roman"/>
          <w:sz w:val="22"/>
          <w:szCs w:val="22"/>
        </w:rPr>
        <w:t xml:space="preserve">specify kinds of </w:t>
      </w:r>
      <w:r w:rsidR="008D0491" w:rsidRPr="00511ED8">
        <w:rPr>
          <w:rFonts w:ascii="Times New Roman" w:hAnsi="Times New Roman"/>
          <w:sz w:val="22"/>
          <w:szCs w:val="22"/>
        </w:rPr>
        <w:t xml:space="preserve">therapeutic goods </w:t>
      </w:r>
      <w:r w:rsidR="00B45B96" w:rsidRPr="00511ED8">
        <w:rPr>
          <w:rFonts w:ascii="Times New Roman" w:hAnsi="Times New Roman"/>
          <w:sz w:val="22"/>
          <w:szCs w:val="22"/>
        </w:rPr>
        <w:t>information for the purposes of subsection 61(5C)</w:t>
      </w:r>
      <w:r w:rsidR="00D632A3" w:rsidRPr="00511ED8">
        <w:rPr>
          <w:rFonts w:ascii="Times New Roman" w:hAnsi="Times New Roman"/>
          <w:sz w:val="22"/>
          <w:szCs w:val="22"/>
        </w:rPr>
        <w:t xml:space="preserve"> of the Act</w:t>
      </w:r>
      <w:r w:rsidR="002757A6" w:rsidRPr="00511ED8">
        <w:rPr>
          <w:rFonts w:ascii="Times New Roman" w:hAnsi="Times New Roman"/>
          <w:sz w:val="22"/>
          <w:szCs w:val="22"/>
        </w:rPr>
        <w:t>.</w:t>
      </w:r>
    </w:p>
    <w:p w14:paraId="0D4F5DB6" w14:textId="77777777" w:rsidR="002E3566" w:rsidRPr="00511ED8" w:rsidRDefault="002E3566" w:rsidP="00901D26">
      <w:pPr>
        <w:autoSpaceDE w:val="0"/>
        <w:autoSpaceDN w:val="0"/>
        <w:adjustRightInd w:val="0"/>
        <w:ind w:right="-284"/>
        <w:rPr>
          <w:rFonts w:ascii="Times New Roman" w:hAnsi="Times New Roman"/>
          <w:sz w:val="22"/>
          <w:szCs w:val="22"/>
        </w:rPr>
      </w:pPr>
    </w:p>
    <w:p w14:paraId="38CAD3D4" w14:textId="77777777" w:rsidR="006B6711" w:rsidRDefault="006E3506" w:rsidP="00901D26">
      <w:pPr>
        <w:ind w:right="-284"/>
        <w:rPr>
          <w:rFonts w:ascii="Times New Roman" w:hAnsi="Times New Roman"/>
          <w:sz w:val="22"/>
          <w:szCs w:val="22"/>
        </w:rPr>
      </w:pPr>
      <w:r w:rsidRPr="00511ED8">
        <w:rPr>
          <w:rFonts w:ascii="Times New Roman" w:hAnsi="Times New Roman"/>
          <w:sz w:val="22"/>
          <w:szCs w:val="22"/>
        </w:rPr>
        <w:t xml:space="preserve">The </w:t>
      </w:r>
      <w:r w:rsidR="00956A75" w:rsidRPr="00511ED8">
        <w:rPr>
          <w:rFonts w:ascii="Times New Roman" w:hAnsi="Times New Roman"/>
          <w:i/>
          <w:sz w:val="22"/>
          <w:szCs w:val="22"/>
        </w:rPr>
        <w:t>Therapeut</w:t>
      </w:r>
      <w:r w:rsidR="003B432D" w:rsidRPr="00511ED8">
        <w:rPr>
          <w:rFonts w:ascii="Times New Roman" w:hAnsi="Times New Roman"/>
          <w:i/>
          <w:sz w:val="22"/>
          <w:szCs w:val="22"/>
        </w:rPr>
        <w:t>ic Goods (</w:t>
      </w:r>
      <w:r w:rsidR="00F5294E">
        <w:rPr>
          <w:rFonts w:ascii="Times New Roman" w:hAnsi="Times New Roman"/>
          <w:i/>
          <w:sz w:val="22"/>
          <w:szCs w:val="22"/>
        </w:rPr>
        <w:t>Medicinal Cannabis Products</w:t>
      </w:r>
      <w:r w:rsidR="00E41182">
        <w:rPr>
          <w:rFonts w:ascii="Times New Roman" w:hAnsi="Times New Roman"/>
          <w:i/>
          <w:sz w:val="22"/>
          <w:szCs w:val="22"/>
        </w:rPr>
        <w:t>)</w:t>
      </w:r>
      <w:r w:rsidR="00F5294E">
        <w:rPr>
          <w:rFonts w:ascii="Times New Roman" w:hAnsi="Times New Roman"/>
          <w:i/>
          <w:sz w:val="22"/>
          <w:szCs w:val="22"/>
        </w:rPr>
        <w:t xml:space="preserve"> </w:t>
      </w:r>
      <w:r w:rsidR="00E41182">
        <w:rPr>
          <w:rFonts w:ascii="Times New Roman" w:hAnsi="Times New Roman"/>
          <w:i/>
          <w:sz w:val="22"/>
          <w:szCs w:val="22"/>
        </w:rPr>
        <w:t>(</w:t>
      </w:r>
      <w:r w:rsidR="00F5294E">
        <w:rPr>
          <w:rFonts w:ascii="Times New Roman" w:hAnsi="Times New Roman"/>
          <w:i/>
          <w:sz w:val="22"/>
          <w:szCs w:val="22"/>
        </w:rPr>
        <w:t>Information</w:t>
      </w:r>
      <w:r w:rsidR="00956A75" w:rsidRPr="00511ED8">
        <w:rPr>
          <w:rFonts w:ascii="Times New Roman" w:hAnsi="Times New Roman"/>
          <w:i/>
          <w:sz w:val="22"/>
          <w:szCs w:val="22"/>
        </w:rPr>
        <w:t>) Specification 202</w:t>
      </w:r>
      <w:r w:rsidR="00F5294E">
        <w:rPr>
          <w:rFonts w:ascii="Times New Roman" w:hAnsi="Times New Roman"/>
          <w:i/>
          <w:sz w:val="22"/>
          <w:szCs w:val="22"/>
        </w:rPr>
        <w:t>1</w:t>
      </w:r>
      <w:r w:rsidR="00956A75" w:rsidRPr="00511ED8">
        <w:rPr>
          <w:rFonts w:ascii="Times New Roman" w:hAnsi="Times New Roman"/>
          <w:sz w:val="22"/>
          <w:szCs w:val="22"/>
        </w:rPr>
        <w:t xml:space="preserve"> </w:t>
      </w:r>
      <w:r w:rsidR="00294A49" w:rsidRPr="00511ED8">
        <w:rPr>
          <w:rFonts w:ascii="Times New Roman" w:hAnsi="Times New Roman"/>
          <w:sz w:val="22"/>
          <w:szCs w:val="22"/>
        </w:rPr>
        <w:t>(</w:t>
      </w:r>
      <w:r w:rsidR="009F042D" w:rsidRPr="00511ED8">
        <w:rPr>
          <w:rFonts w:ascii="Times New Roman" w:hAnsi="Times New Roman"/>
          <w:sz w:val="22"/>
          <w:szCs w:val="22"/>
        </w:rPr>
        <w:t>“</w:t>
      </w:r>
      <w:r w:rsidR="008C3004" w:rsidRPr="00511ED8">
        <w:rPr>
          <w:rFonts w:ascii="Times New Roman" w:hAnsi="Times New Roman"/>
          <w:sz w:val="22"/>
          <w:szCs w:val="22"/>
        </w:rPr>
        <w:t xml:space="preserve">the </w:t>
      </w:r>
      <w:r w:rsidR="0008445F">
        <w:rPr>
          <w:rFonts w:ascii="Times New Roman" w:hAnsi="Times New Roman"/>
          <w:sz w:val="22"/>
          <w:szCs w:val="22"/>
        </w:rPr>
        <w:t>Instrument</w:t>
      </w:r>
      <w:r w:rsidR="009F042D" w:rsidRPr="00511ED8">
        <w:rPr>
          <w:rFonts w:ascii="Times New Roman" w:hAnsi="Times New Roman"/>
          <w:sz w:val="22"/>
          <w:szCs w:val="22"/>
        </w:rPr>
        <w:t>”</w:t>
      </w:r>
      <w:r w:rsidR="00294A49" w:rsidRPr="00511ED8">
        <w:rPr>
          <w:rFonts w:ascii="Times New Roman" w:hAnsi="Times New Roman"/>
          <w:sz w:val="22"/>
          <w:szCs w:val="22"/>
        </w:rPr>
        <w:t xml:space="preserve">) </w:t>
      </w:r>
      <w:r w:rsidR="00E92FFE" w:rsidRPr="00511ED8">
        <w:rPr>
          <w:rFonts w:ascii="Times New Roman" w:hAnsi="Times New Roman"/>
          <w:sz w:val="22"/>
          <w:szCs w:val="22"/>
        </w:rPr>
        <w:t>is</w:t>
      </w:r>
      <w:r w:rsidR="00DA231C" w:rsidRPr="00511ED8">
        <w:rPr>
          <w:rFonts w:ascii="Times New Roman" w:hAnsi="Times New Roman"/>
          <w:sz w:val="22"/>
          <w:szCs w:val="22"/>
        </w:rPr>
        <w:t xml:space="preserve"> </w:t>
      </w:r>
      <w:r w:rsidR="006B6711">
        <w:rPr>
          <w:rFonts w:ascii="Times New Roman" w:hAnsi="Times New Roman"/>
          <w:sz w:val="22"/>
          <w:szCs w:val="22"/>
        </w:rPr>
        <w:t xml:space="preserve">a legislative instrument </w:t>
      </w:r>
      <w:r w:rsidRPr="00511ED8">
        <w:rPr>
          <w:rFonts w:ascii="Times New Roman" w:hAnsi="Times New Roman"/>
          <w:sz w:val="22"/>
          <w:szCs w:val="22"/>
        </w:rPr>
        <w:t xml:space="preserve">made under subsection </w:t>
      </w:r>
      <w:r w:rsidR="00A26261" w:rsidRPr="00511ED8">
        <w:rPr>
          <w:rFonts w:ascii="Times New Roman" w:hAnsi="Times New Roman"/>
          <w:sz w:val="22"/>
          <w:szCs w:val="22"/>
        </w:rPr>
        <w:t>61</w:t>
      </w:r>
      <w:r w:rsidRPr="00511ED8">
        <w:rPr>
          <w:rFonts w:ascii="Times New Roman" w:hAnsi="Times New Roman"/>
          <w:sz w:val="22"/>
          <w:szCs w:val="22"/>
        </w:rPr>
        <w:t>(</w:t>
      </w:r>
      <w:r w:rsidR="00A26261" w:rsidRPr="00511ED8">
        <w:rPr>
          <w:rFonts w:ascii="Times New Roman" w:hAnsi="Times New Roman"/>
          <w:sz w:val="22"/>
          <w:szCs w:val="22"/>
        </w:rPr>
        <w:t>5D</w:t>
      </w:r>
      <w:r w:rsidRPr="00511ED8">
        <w:rPr>
          <w:rFonts w:ascii="Times New Roman" w:hAnsi="Times New Roman"/>
          <w:sz w:val="22"/>
          <w:szCs w:val="22"/>
        </w:rPr>
        <w:t>) of the Act</w:t>
      </w:r>
      <w:r w:rsidR="006B6711">
        <w:rPr>
          <w:rFonts w:ascii="Times New Roman" w:hAnsi="Times New Roman"/>
          <w:sz w:val="22"/>
          <w:szCs w:val="22"/>
        </w:rPr>
        <w:t>.  It</w:t>
      </w:r>
      <w:r w:rsidR="001F3922" w:rsidRPr="00511ED8">
        <w:rPr>
          <w:rFonts w:ascii="Times New Roman" w:hAnsi="Times New Roman"/>
          <w:sz w:val="22"/>
          <w:szCs w:val="22"/>
        </w:rPr>
        <w:t xml:space="preserve"> specif</w:t>
      </w:r>
      <w:r w:rsidR="006B6711">
        <w:rPr>
          <w:rFonts w:ascii="Times New Roman" w:hAnsi="Times New Roman"/>
          <w:sz w:val="22"/>
          <w:szCs w:val="22"/>
        </w:rPr>
        <w:t>ies</w:t>
      </w:r>
      <w:r w:rsidR="001F3922" w:rsidRPr="00511ED8">
        <w:rPr>
          <w:rFonts w:ascii="Times New Roman" w:hAnsi="Times New Roman"/>
          <w:sz w:val="22"/>
          <w:szCs w:val="22"/>
        </w:rPr>
        <w:t xml:space="preserve"> kinds of therapeutic goods information that </w:t>
      </w:r>
      <w:r w:rsidR="003839E9" w:rsidRPr="00511ED8">
        <w:rPr>
          <w:rFonts w:ascii="Times New Roman" w:hAnsi="Times New Roman"/>
          <w:sz w:val="22"/>
          <w:szCs w:val="22"/>
        </w:rPr>
        <w:t xml:space="preserve">the </w:t>
      </w:r>
      <w:r w:rsidR="001A19D7" w:rsidRPr="00511ED8">
        <w:rPr>
          <w:rFonts w:ascii="Times New Roman" w:hAnsi="Times New Roman"/>
          <w:sz w:val="22"/>
          <w:szCs w:val="22"/>
        </w:rPr>
        <w:t xml:space="preserve">Secretary </w:t>
      </w:r>
      <w:r w:rsidR="003839E9" w:rsidRPr="00511ED8">
        <w:rPr>
          <w:rFonts w:ascii="Times New Roman" w:hAnsi="Times New Roman"/>
          <w:sz w:val="22"/>
          <w:szCs w:val="22"/>
        </w:rPr>
        <w:t xml:space="preserve">may release </w:t>
      </w:r>
      <w:r w:rsidR="001F3922" w:rsidRPr="00511ED8">
        <w:rPr>
          <w:rFonts w:ascii="Times New Roman" w:hAnsi="Times New Roman"/>
          <w:sz w:val="22"/>
          <w:szCs w:val="22"/>
        </w:rPr>
        <w:t>to the public under subsection 61(5C) of the Act</w:t>
      </w:r>
      <w:r w:rsidR="00C50314" w:rsidRPr="00511ED8">
        <w:rPr>
          <w:rFonts w:ascii="Times New Roman" w:hAnsi="Times New Roman"/>
          <w:sz w:val="22"/>
          <w:szCs w:val="22"/>
        </w:rPr>
        <w:t>.</w:t>
      </w:r>
      <w:r w:rsidR="001820D6" w:rsidRPr="001820D6">
        <w:rPr>
          <w:rFonts w:ascii="Times New Roman" w:hAnsi="Times New Roman"/>
          <w:sz w:val="22"/>
          <w:szCs w:val="22"/>
        </w:rPr>
        <w:t xml:space="preserve"> </w:t>
      </w:r>
      <w:r w:rsidR="001820D6">
        <w:rPr>
          <w:rFonts w:ascii="Times New Roman" w:hAnsi="Times New Roman"/>
          <w:sz w:val="22"/>
          <w:szCs w:val="22"/>
        </w:rPr>
        <w:t xml:space="preserve"> Consequently, the Instrument promotes transparency by supporting the publication of information relating to the supply of medicinal cannabis products in Australia.</w:t>
      </w:r>
    </w:p>
    <w:p w14:paraId="582D3525" w14:textId="77777777" w:rsidR="006B6711" w:rsidRDefault="006B6711" w:rsidP="00901D26">
      <w:pPr>
        <w:ind w:right="-284"/>
        <w:rPr>
          <w:rFonts w:ascii="Times New Roman" w:hAnsi="Times New Roman"/>
          <w:sz w:val="22"/>
          <w:szCs w:val="22"/>
        </w:rPr>
      </w:pPr>
    </w:p>
    <w:p w14:paraId="595CB112" w14:textId="77777777" w:rsidR="00601410" w:rsidRDefault="001820D6" w:rsidP="00D24870">
      <w:pPr>
        <w:tabs>
          <w:tab w:val="left" w:pos="2490"/>
        </w:tabs>
        <w:ind w:right="-284"/>
        <w:rPr>
          <w:rFonts w:ascii="Times New Roman" w:hAnsi="Times New Roman"/>
          <w:sz w:val="22"/>
          <w:szCs w:val="22"/>
        </w:rPr>
      </w:pPr>
      <w:r>
        <w:rPr>
          <w:rFonts w:ascii="Times New Roman" w:hAnsi="Times New Roman"/>
          <w:sz w:val="22"/>
          <w:szCs w:val="22"/>
        </w:rPr>
        <w:t>In general terms</w:t>
      </w:r>
      <w:r w:rsidR="00601410">
        <w:rPr>
          <w:rFonts w:ascii="Times New Roman" w:hAnsi="Times New Roman"/>
          <w:sz w:val="22"/>
          <w:szCs w:val="22"/>
        </w:rPr>
        <w:t xml:space="preserve">, the </w:t>
      </w:r>
      <w:r w:rsidR="0008445F">
        <w:rPr>
          <w:rFonts w:ascii="Times New Roman" w:hAnsi="Times New Roman"/>
          <w:sz w:val="22"/>
          <w:szCs w:val="22"/>
        </w:rPr>
        <w:t>Instrument</w:t>
      </w:r>
      <w:r w:rsidR="00D97A39" w:rsidRPr="00511ED8">
        <w:rPr>
          <w:rFonts w:ascii="Times New Roman" w:hAnsi="Times New Roman"/>
          <w:sz w:val="22"/>
          <w:szCs w:val="22"/>
        </w:rPr>
        <w:t xml:space="preserve"> </w:t>
      </w:r>
      <w:r w:rsidR="00601410">
        <w:rPr>
          <w:rFonts w:ascii="Times New Roman" w:hAnsi="Times New Roman"/>
          <w:sz w:val="22"/>
          <w:szCs w:val="22"/>
        </w:rPr>
        <w:t xml:space="preserve">identifies </w:t>
      </w:r>
      <w:r w:rsidR="00AD75DC" w:rsidRPr="00511ED8">
        <w:rPr>
          <w:rFonts w:ascii="Times New Roman" w:hAnsi="Times New Roman"/>
          <w:sz w:val="22"/>
          <w:szCs w:val="22"/>
        </w:rPr>
        <w:t xml:space="preserve">therapeutic goods </w:t>
      </w:r>
      <w:r w:rsidR="00B45B96" w:rsidRPr="00511ED8">
        <w:rPr>
          <w:rFonts w:ascii="Times New Roman" w:hAnsi="Times New Roman"/>
          <w:sz w:val="22"/>
          <w:szCs w:val="22"/>
        </w:rPr>
        <w:t>information relating to</w:t>
      </w:r>
      <w:r w:rsidR="00C21984">
        <w:rPr>
          <w:rFonts w:ascii="Times New Roman" w:hAnsi="Times New Roman"/>
          <w:sz w:val="22"/>
          <w:szCs w:val="22"/>
        </w:rPr>
        <w:t xml:space="preserve"> the supply of</w:t>
      </w:r>
      <w:r w:rsidR="00F5294E">
        <w:rPr>
          <w:rFonts w:ascii="Times New Roman" w:hAnsi="Times New Roman"/>
          <w:sz w:val="22"/>
          <w:szCs w:val="22"/>
        </w:rPr>
        <w:t xml:space="preserve"> medicinal cannabis products</w:t>
      </w:r>
      <w:r w:rsidR="00C21984">
        <w:rPr>
          <w:rFonts w:ascii="Times New Roman" w:hAnsi="Times New Roman"/>
          <w:sz w:val="22"/>
          <w:szCs w:val="22"/>
        </w:rPr>
        <w:t xml:space="preserve"> </w:t>
      </w:r>
      <w:r w:rsidR="001A0EAA">
        <w:rPr>
          <w:rFonts w:ascii="Times New Roman" w:hAnsi="Times New Roman"/>
          <w:sz w:val="22"/>
          <w:szCs w:val="22"/>
        </w:rPr>
        <w:t>through</w:t>
      </w:r>
      <w:r w:rsidR="00631BB3">
        <w:rPr>
          <w:rFonts w:ascii="Times New Roman" w:hAnsi="Times New Roman"/>
          <w:sz w:val="22"/>
          <w:szCs w:val="22"/>
        </w:rPr>
        <w:t xml:space="preserve"> the authorised prescriber and special access schemes </w:t>
      </w:r>
      <w:r w:rsidR="00C21984">
        <w:rPr>
          <w:rFonts w:ascii="Times New Roman" w:hAnsi="Times New Roman"/>
          <w:sz w:val="22"/>
          <w:szCs w:val="22"/>
        </w:rPr>
        <w:t>in Australia</w:t>
      </w:r>
      <w:r w:rsidR="00F5294E">
        <w:rPr>
          <w:rFonts w:ascii="Times New Roman" w:hAnsi="Times New Roman"/>
          <w:sz w:val="22"/>
          <w:szCs w:val="22"/>
        </w:rPr>
        <w:t>.</w:t>
      </w:r>
      <w:r w:rsidR="00585BCA">
        <w:rPr>
          <w:rFonts w:ascii="Times New Roman" w:hAnsi="Times New Roman"/>
          <w:sz w:val="22"/>
          <w:szCs w:val="22"/>
        </w:rPr>
        <w:t xml:space="preserve"> </w:t>
      </w:r>
      <w:r w:rsidR="00F5294E">
        <w:rPr>
          <w:rFonts w:ascii="Times New Roman" w:hAnsi="Times New Roman"/>
          <w:sz w:val="22"/>
          <w:szCs w:val="22"/>
        </w:rPr>
        <w:t xml:space="preserve"> </w:t>
      </w:r>
      <w:r w:rsidR="00601410">
        <w:rPr>
          <w:rFonts w:ascii="Times New Roman" w:hAnsi="Times New Roman"/>
          <w:sz w:val="22"/>
          <w:szCs w:val="22"/>
        </w:rPr>
        <w:t xml:space="preserve">The term “medicinal cannabis products” is defined in the </w:t>
      </w:r>
      <w:r w:rsidR="00601410" w:rsidRPr="00816326">
        <w:rPr>
          <w:rFonts w:ascii="Times New Roman" w:hAnsi="Times New Roman"/>
          <w:i/>
          <w:sz w:val="22"/>
          <w:szCs w:val="22"/>
        </w:rPr>
        <w:t>Therapeutic Goods Regulations 1990</w:t>
      </w:r>
      <w:r w:rsidR="00601410">
        <w:rPr>
          <w:rFonts w:ascii="Times New Roman" w:hAnsi="Times New Roman"/>
          <w:sz w:val="22"/>
          <w:szCs w:val="22"/>
        </w:rPr>
        <w:t xml:space="preserve"> (“the Regulations”) to mean therapeutic goods that contain, or are manufactured from, any part of a plant of the genus </w:t>
      </w:r>
      <w:r w:rsidR="00601410" w:rsidRPr="0036243A">
        <w:rPr>
          <w:rFonts w:ascii="Times New Roman" w:hAnsi="Times New Roman"/>
          <w:i/>
          <w:sz w:val="22"/>
          <w:szCs w:val="22"/>
        </w:rPr>
        <w:t>Cannabis</w:t>
      </w:r>
      <w:r w:rsidR="00601410">
        <w:rPr>
          <w:rFonts w:ascii="Times New Roman" w:hAnsi="Times New Roman"/>
          <w:sz w:val="22"/>
          <w:szCs w:val="22"/>
        </w:rPr>
        <w:t>, including for example the flowers, fruiting tops, seeds, stems and leaves of the plant.</w:t>
      </w:r>
    </w:p>
    <w:p w14:paraId="5401D734" w14:textId="77777777" w:rsidR="001820D6" w:rsidRDefault="001820D6" w:rsidP="00D24870">
      <w:pPr>
        <w:tabs>
          <w:tab w:val="left" w:pos="2490"/>
        </w:tabs>
        <w:ind w:right="-284"/>
        <w:rPr>
          <w:rFonts w:ascii="Times New Roman" w:hAnsi="Times New Roman"/>
          <w:sz w:val="22"/>
          <w:szCs w:val="22"/>
        </w:rPr>
      </w:pPr>
    </w:p>
    <w:p w14:paraId="65A9D3A9" w14:textId="77777777" w:rsidR="001820D6" w:rsidRDefault="001820D6" w:rsidP="001820D6">
      <w:pPr>
        <w:tabs>
          <w:tab w:val="left" w:pos="2490"/>
        </w:tabs>
        <w:ind w:right="-284"/>
        <w:rPr>
          <w:rFonts w:ascii="Times New Roman" w:hAnsi="Times New Roman"/>
          <w:sz w:val="22"/>
          <w:szCs w:val="22"/>
        </w:rPr>
      </w:pPr>
      <w:r>
        <w:rPr>
          <w:rFonts w:ascii="Times New Roman" w:hAnsi="Times New Roman"/>
          <w:sz w:val="22"/>
          <w:szCs w:val="22"/>
        </w:rPr>
        <w:t xml:space="preserve">Specifically, the Instrument facilitates the publication of </w:t>
      </w:r>
      <w:r w:rsidR="001C4BF2">
        <w:rPr>
          <w:rFonts w:ascii="Times New Roman" w:hAnsi="Times New Roman"/>
          <w:sz w:val="22"/>
          <w:szCs w:val="22"/>
        </w:rPr>
        <w:t xml:space="preserve">aggregated and de-identified </w:t>
      </w:r>
      <w:r>
        <w:rPr>
          <w:rFonts w:ascii="Times New Roman" w:hAnsi="Times New Roman"/>
          <w:sz w:val="22"/>
          <w:szCs w:val="22"/>
        </w:rPr>
        <w:t xml:space="preserve">statistical information; </w:t>
      </w:r>
      <w:r w:rsidR="00C62CFC">
        <w:rPr>
          <w:rFonts w:ascii="Times New Roman" w:hAnsi="Times New Roman"/>
          <w:sz w:val="22"/>
          <w:szCs w:val="22"/>
        </w:rPr>
        <w:t>being</w:t>
      </w:r>
      <w:r>
        <w:rPr>
          <w:rFonts w:ascii="Times New Roman" w:hAnsi="Times New Roman"/>
          <w:sz w:val="22"/>
          <w:szCs w:val="22"/>
        </w:rPr>
        <w:t>, the numbers of applications or notifications</w:t>
      </w:r>
      <w:r w:rsidR="001A7595">
        <w:rPr>
          <w:rFonts w:ascii="Times New Roman" w:hAnsi="Times New Roman"/>
          <w:sz w:val="22"/>
          <w:szCs w:val="22"/>
        </w:rPr>
        <w:t xml:space="preserve"> (collectively, “submissions”</w:t>
      </w:r>
      <w:r w:rsidR="00C62CFC">
        <w:rPr>
          <w:rFonts w:ascii="Times New Roman" w:hAnsi="Times New Roman"/>
          <w:sz w:val="22"/>
          <w:szCs w:val="22"/>
        </w:rPr>
        <w:t>)</w:t>
      </w:r>
      <w:r>
        <w:rPr>
          <w:rFonts w:ascii="Times New Roman" w:hAnsi="Times New Roman"/>
          <w:sz w:val="22"/>
          <w:szCs w:val="22"/>
        </w:rPr>
        <w:t xml:space="preserve"> made in relation to medicinal cannabis products under the </w:t>
      </w:r>
      <w:r w:rsidR="002807E2">
        <w:rPr>
          <w:rFonts w:ascii="Times New Roman" w:hAnsi="Times New Roman"/>
          <w:sz w:val="22"/>
          <w:szCs w:val="22"/>
        </w:rPr>
        <w:t>authorised prescriber (“</w:t>
      </w:r>
      <w:r>
        <w:rPr>
          <w:rFonts w:ascii="Times New Roman" w:hAnsi="Times New Roman"/>
          <w:sz w:val="22"/>
          <w:szCs w:val="22"/>
        </w:rPr>
        <w:t>AP</w:t>
      </w:r>
      <w:r w:rsidR="002807E2">
        <w:rPr>
          <w:rFonts w:ascii="Times New Roman" w:hAnsi="Times New Roman"/>
          <w:sz w:val="22"/>
          <w:szCs w:val="22"/>
        </w:rPr>
        <w:t>”)</w:t>
      </w:r>
      <w:r>
        <w:rPr>
          <w:rFonts w:ascii="Times New Roman" w:hAnsi="Times New Roman"/>
          <w:sz w:val="22"/>
          <w:szCs w:val="22"/>
        </w:rPr>
        <w:t xml:space="preserve">, </w:t>
      </w:r>
      <w:r w:rsidR="002807E2">
        <w:rPr>
          <w:rFonts w:ascii="Times New Roman" w:hAnsi="Times New Roman"/>
          <w:sz w:val="22"/>
          <w:szCs w:val="22"/>
        </w:rPr>
        <w:t>special access scheme category A (“</w:t>
      </w:r>
      <w:r>
        <w:rPr>
          <w:rFonts w:ascii="Times New Roman" w:hAnsi="Times New Roman"/>
          <w:sz w:val="22"/>
          <w:szCs w:val="22"/>
        </w:rPr>
        <w:t>SAS A</w:t>
      </w:r>
      <w:r w:rsidR="002807E2">
        <w:rPr>
          <w:rFonts w:ascii="Times New Roman" w:hAnsi="Times New Roman"/>
          <w:sz w:val="22"/>
          <w:szCs w:val="22"/>
        </w:rPr>
        <w:t>”)</w:t>
      </w:r>
      <w:r>
        <w:rPr>
          <w:rFonts w:ascii="Times New Roman" w:hAnsi="Times New Roman"/>
          <w:sz w:val="22"/>
          <w:szCs w:val="22"/>
        </w:rPr>
        <w:t xml:space="preserve"> and </w:t>
      </w:r>
      <w:r w:rsidR="002807E2">
        <w:rPr>
          <w:rFonts w:ascii="Times New Roman" w:hAnsi="Times New Roman"/>
          <w:sz w:val="22"/>
          <w:szCs w:val="22"/>
        </w:rPr>
        <w:t>special access scheme category B (“</w:t>
      </w:r>
      <w:r>
        <w:rPr>
          <w:rFonts w:ascii="Times New Roman" w:hAnsi="Times New Roman"/>
          <w:sz w:val="22"/>
          <w:szCs w:val="22"/>
        </w:rPr>
        <w:t>SAS B</w:t>
      </w:r>
      <w:r w:rsidR="002807E2">
        <w:rPr>
          <w:rFonts w:ascii="Times New Roman" w:hAnsi="Times New Roman"/>
          <w:sz w:val="22"/>
          <w:szCs w:val="22"/>
        </w:rPr>
        <w:t>”)</w:t>
      </w:r>
      <w:r>
        <w:rPr>
          <w:rFonts w:ascii="Times New Roman" w:hAnsi="Times New Roman"/>
          <w:sz w:val="22"/>
          <w:szCs w:val="22"/>
        </w:rPr>
        <w:t xml:space="preserve"> pathways</w:t>
      </w:r>
      <w:r w:rsidR="00DF3263">
        <w:rPr>
          <w:rFonts w:ascii="Times New Roman" w:hAnsi="Times New Roman"/>
          <w:sz w:val="22"/>
          <w:szCs w:val="22"/>
        </w:rPr>
        <w:t xml:space="preserve"> in Australia</w:t>
      </w:r>
      <w:r w:rsidR="001A7595">
        <w:rPr>
          <w:rFonts w:ascii="Times New Roman" w:hAnsi="Times New Roman"/>
          <w:sz w:val="22"/>
          <w:szCs w:val="22"/>
        </w:rPr>
        <w:t xml:space="preserve">.  The numbers of submissions </w:t>
      </w:r>
      <w:r w:rsidR="00E20971">
        <w:rPr>
          <w:rFonts w:ascii="Times New Roman" w:hAnsi="Times New Roman"/>
          <w:sz w:val="22"/>
          <w:szCs w:val="22"/>
        </w:rPr>
        <w:t xml:space="preserve">are </w:t>
      </w:r>
      <w:r w:rsidR="001A7595">
        <w:rPr>
          <w:rFonts w:ascii="Times New Roman" w:hAnsi="Times New Roman"/>
          <w:sz w:val="22"/>
          <w:szCs w:val="22"/>
        </w:rPr>
        <w:t xml:space="preserve">specified </w:t>
      </w:r>
      <w:r w:rsidR="00E20971">
        <w:rPr>
          <w:rFonts w:ascii="Times New Roman" w:hAnsi="Times New Roman"/>
          <w:sz w:val="22"/>
          <w:szCs w:val="22"/>
        </w:rPr>
        <w:t xml:space="preserve">in Schedule 1 to the Instrument </w:t>
      </w:r>
      <w:r w:rsidR="001A7595">
        <w:rPr>
          <w:rFonts w:ascii="Times New Roman" w:hAnsi="Times New Roman"/>
          <w:sz w:val="22"/>
          <w:szCs w:val="22"/>
        </w:rPr>
        <w:t>with</w:t>
      </w:r>
      <w:r>
        <w:rPr>
          <w:rFonts w:ascii="Times New Roman" w:hAnsi="Times New Roman"/>
          <w:sz w:val="22"/>
          <w:szCs w:val="22"/>
        </w:rPr>
        <w:t xml:space="preserve"> reference to one or more parameters </w:t>
      </w:r>
      <w:r w:rsidR="001A7595">
        <w:rPr>
          <w:rFonts w:ascii="Times New Roman" w:hAnsi="Times New Roman"/>
          <w:sz w:val="22"/>
          <w:szCs w:val="22"/>
        </w:rPr>
        <w:t>including</w:t>
      </w:r>
      <w:r>
        <w:rPr>
          <w:rFonts w:ascii="Times New Roman" w:hAnsi="Times New Roman"/>
          <w:sz w:val="22"/>
          <w:szCs w:val="22"/>
        </w:rPr>
        <w:t xml:space="preserve">: time periods; the relevant state or territory in which the medicinal cannabis products are </w:t>
      </w:r>
      <w:r w:rsidR="00763ABB">
        <w:rPr>
          <w:rFonts w:ascii="Times New Roman" w:hAnsi="Times New Roman"/>
          <w:sz w:val="22"/>
          <w:szCs w:val="22"/>
        </w:rPr>
        <w:t>prescribed</w:t>
      </w:r>
      <w:r>
        <w:rPr>
          <w:rFonts w:ascii="Times New Roman" w:hAnsi="Times New Roman"/>
          <w:sz w:val="22"/>
          <w:szCs w:val="22"/>
        </w:rPr>
        <w:t xml:space="preserve">; </w:t>
      </w:r>
      <w:r w:rsidR="001A7595">
        <w:rPr>
          <w:rFonts w:ascii="Times New Roman" w:hAnsi="Times New Roman"/>
          <w:sz w:val="22"/>
          <w:szCs w:val="22"/>
        </w:rPr>
        <w:t xml:space="preserve">the </w:t>
      </w:r>
      <w:r>
        <w:rPr>
          <w:rFonts w:ascii="Times New Roman" w:hAnsi="Times New Roman"/>
          <w:sz w:val="22"/>
          <w:szCs w:val="22"/>
        </w:rPr>
        <w:t>indications</w:t>
      </w:r>
      <w:r w:rsidR="001A7595">
        <w:rPr>
          <w:rFonts w:ascii="Times New Roman" w:hAnsi="Times New Roman"/>
          <w:sz w:val="22"/>
          <w:szCs w:val="22"/>
        </w:rPr>
        <w:t xml:space="preserve"> for which the products have been prescribed</w:t>
      </w:r>
      <w:r>
        <w:rPr>
          <w:rFonts w:ascii="Times New Roman" w:hAnsi="Times New Roman"/>
          <w:sz w:val="22"/>
          <w:szCs w:val="22"/>
        </w:rPr>
        <w:t xml:space="preserve">; </w:t>
      </w:r>
      <w:r w:rsidR="001A7595">
        <w:rPr>
          <w:rFonts w:ascii="Times New Roman" w:hAnsi="Times New Roman"/>
          <w:sz w:val="22"/>
          <w:szCs w:val="22"/>
        </w:rPr>
        <w:t xml:space="preserve">the </w:t>
      </w:r>
      <w:r>
        <w:rPr>
          <w:rFonts w:ascii="Times New Roman" w:hAnsi="Times New Roman"/>
          <w:sz w:val="22"/>
          <w:szCs w:val="22"/>
        </w:rPr>
        <w:t>active ingredients</w:t>
      </w:r>
      <w:r w:rsidR="001A7595">
        <w:rPr>
          <w:rFonts w:ascii="Times New Roman" w:hAnsi="Times New Roman"/>
          <w:sz w:val="22"/>
          <w:szCs w:val="22"/>
        </w:rPr>
        <w:t xml:space="preserve"> relating to those products</w:t>
      </w:r>
      <w:r>
        <w:rPr>
          <w:rFonts w:ascii="Times New Roman" w:hAnsi="Times New Roman"/>
          <w:sz w:val="22"/>
          <w:szCs w:val="22"/>
        </w:rPr>
        <w:t xml:space="preserve">; and the status of </w:t>
      </w:r>
      <w:r w:rsidR="001A7595">
        <w:rPr>
          <w:rFonts w:ascii="Times New Roman" w:hAnsi="Times New Roman"/>
          <w:sz w:val="22"/>
          <w:szCs w:val="22"/>
        </w:rPr>
        <w:t>t</w:t>
      </w:r>
      <w:r w:rsidR="00E20971">
        <w:rPr>
          <w:rFonts w:ascii="Times New Roman" w:hAnsi="Times New Roman"/>
          <w:sz w:val="22"/>
          <w:szCs w:val="22"/>
        </w:rPr>
        <w:t>he</w:t>
      </w:r>
      <w:r w:rsidR="001A7595">
        <w:rPr>
          <w:rFonts w:ascii="Times New Roman" w:hAnsi="Times New Roman"/>
          <w:sz w:val="22"/>
          <w:szCs w:val="22"/>
        </w:rPr>
        <w:t xml:space="preserve"> submissions</w:t>
      </w:r>
      <w:r>
        <w:rPr>
          <w:rFonts w:ascii="Times New Roman" w:hAnsi="Times New Roman"/>
          <w:sz w:val="22"/>
          <w:szCs w:val="22"/>
        </w:rPr>
        <w:t xml:space="preserve"> (</w:t>
      </w:r>
      <w:r w:rsidR="001A7595">
        <w:rPr>
          <w:rFonts w:ascii="Times New Roman" w:hAnsi="Times New Roman"/>
          <w:sz w:val="22"/>
          <w:szCs w:val="22"/>
        </w:rPr>
        <w:t xml:space="preserve">such as </w:t>
      </w:r>
      <w:r>
        <w:rPr>
          <w:rFonts w:ascii="Times New Roman" w:hAnsi="Times New Roman"/>
          <w:sz w:val="22"/>
          <w:szCs w:val="22"/>
        </w:rPr>
        <w:t>approved, withdrawn, refused, pending or received).</w:t>
      </w:r>
    </w:p>
    <w:p w14:paraId="3F29D835" w14:textId="77777777" w:rsidR="001820D6" w:rsidRDefault="001820D6" w:rsidP="001820D6">
      <w:pPr>
        <w:tabs>
          <w:tab w:val="left" w:pos="2490"/>
        </w:tabs>
        <w:ind w:right="-284"/>
        <w:rPr>
          <w:rFonts w:ascii="Times New Roman" w:hAnsi="Times New Roman"/>
          <w:sz w:val="22"/>
          <w:szCs w:val="22"/>
        </w:rPr>
      </w:pPr>
    </w:p>
    <w:p w14:paraId="43582C9D" w14:textId="77777777" w:rsidR="001820D6" w:rsidRPr="00511ED8" w:rsidRDefault="0039234D" w:rsidP="001820D6">
      <w:pPr>
        <w:tabs>
          <w:tab w:val="left" w:pos="2490"/>
        </w:tabs>
        <w:ind w:right="-284"/>
        <w:rPr>
          <w:rFonts w:ascii="Times New Roman" w:hAnsi="Times New Roman"/>
          <w:sz w:val="22"/>
          <w:szCs w:val="22"/>
        </w:rPr>
      </w:pPr>
      <w:r>
        <w:rPr>
          <w:rFonts w:ascii="Times New Roman" w:hAnsi="Times New Roman"/>
          <w:sz w:val="22"/>
          <w:szCs w:val="22"/>
        </w:rPr>
        <w:t>The</w:t>
      </w:r>
      <w:r w:rsidR="001820D6">
        <w:rPr>
          <w:rFonts w:ascii="Times New Roman" w:hAnsi="Times New Roman"/>
          <w:sz w:val="22"/>
          <w:szCs w:val="22"/>
        </w:rPr>
        <w:t xml:space="preserve"> information will be</w:t>
      </w:r>
      <w:r w:rsidR="006F3CCA">
        <w:rPr>
          <w:rFonts w:ascii="Times New Roman" w:hAnsi="Times New Roman"/>
          <w:sz w:val="22"/>
          <w:szCs w:val="22"/>
        </w:rPr>
        <w:t xml:space="preserve"> </w:t>
      </w:r>
      <w:r w:rsidR="001820D6">
        <w:rPr>
          <w:rFonts w:ascii="Times New Roman" w:hAnsi="Times New Roman"/>
          <w:sz w:val="22"/>
          <w:szCs w:val="22"/>
        </w:rPr>
        <w:t xml:space="preserve">published in a database </w:t>
      </w:r>
      <w:r w:rsidR="008B3A35">
        <w:rPr>
          <w:rFonts w:ascii="Times New Roman" w:hAnsi="Times New Roman"/>
          <w:sz w:val="22"/>
          <w:szCs w:val="22"/>
        </w:rPr>
        <w:t xml:space="preserve">pursuant to decisions made under subsection 61(5C) of the Act.  The database will be made </w:t>
      </w:r>
      <w:r w:rsidR="001820D6">
        <w:rPr>
          <w:rFonts w:ascii="Times New Roman" w:hAnsi="Times New Roman"/>
          <w:sz w:val="22"/>
          <w:szCs w:val="22"/>
        </w:rPr>
        <w:t xml:space="preserve">available on the </w:t>
      </w:r>
      <w:r w:rsidR="00B465FE">
        <w:rPr>
          <w:rFonts w:ascii="Times New Roman" w:hAnsi="Times New Roman"/>
          <w:sz w:val="22"/>
          <w:szCs w:val="22"/>
        </w:rPr>
        <w:t xml:space="preserve">TGA website in a manner that </w:t>
      </w:r>
      <w:r w:rsidR="001820D6">
        <w:rPr>
          <w:rFonts w:ascii="Times New Roman" w:hAnsi="Times New Roman"/>
          <w:sz w:val="22"/>
          <w:szCs w:val="22"/>
        </w:rPr>
        <w:t>ensure</w:t>
      </w:r>
      <w:r w:rsidR="00873DC8">
        <w:rPr>
          <w:rFonts w:ascii="Times New Roman" w:hAnsi="Times New Roman"/>
          <w:sz w:val="22"/>
          <w:szCs w:val="22"/>
        </w:rPr>
        <w:t>s</w:t>
      </w:r>
      <w:r w:rsidR="001820D6">
        <w:rPr>
          <w:rFonts w:ascii="Times New Roman" w:hAnsi="Times New Roman"/>
          <w:sz w:val="22"/>
          <w:szCs w:val="22"/>
        </w:rPr>
        <w:t xml:space="preserve"> that individual</w:t>
      </w:r>
      <w:r w:rsidR="00585A6B">
        <w:rPr>
          <w:rFonts w:ascii="Times New Roman" w:hAnsi="Times New Roman"/>
          <w:sz w:val="22"/>
          <w:szCs w:val="22"/>
        </w:rPr>
        <w:t xml:space="preserve"> patient</w:t>
      </w:r>
      <w:r>
        <w:rPr>
          <w:rFonts w:ascii="Times New Roman" w:hAnsi="Times New Roman"/>
          <w:sz w:val="22"/>
          <w:szCs w:val="22"/>
        </w:rPr>
        <w:t>s and</w:t>
      </w:r>
      <w:r w:rsidR="00585A6B">
        <w:rPr>
          <w:rFonts w:ascii="Times New Roman" w:hAnsi="Times New Roman"/>
          <w:sz w:val="22"/>
          <w:szCs w:val="22"/>
        </w:rPr>
        <w:t xml:space="preserve"> practitioner</w:t>
      </w:r>
      <w:r>
        <w:rPr>
          <w:rFonts w:ascii="Times New Roman" w:hAnsi="Times New Roman"/>
          <w:sz w:val="22"/>
          <w:szCs w:val="22"/>
        </w:rPr>
        <w:t>s</w:t>
      </w:r>
      <w:r w:rsidR="001820D6">
        <w:rPr>
          <w:rFonts w:ascii="Times New Roman" w:hAnsi="Times New Roman"/>
          <w:sz w:val="22"/>
          <w:szCs w:val="22"/>
        </w:rPr>
        <w:t xml:space="preserve"> </w:t>
      </w:r>
      <w:r w:rsidR="006F3CCA">
        <w:rPr>
          <w:rFonts w:ascii="Times New Roman" w:hAnsi="Times New Roman"/>
          <w:sz w:val="22"/>
          <w:szCs w:val="22"/>
        </w:rPr>
        <w:t>can</w:t>
      </w:r>
      <w:r w:rsidR="001820D6">
        <w:rPr>
          <w:rFonts w:ascii="Times New Roman" w:hAnsi="Times New Roman"/>
          <w:sz w:val="22"/>
          <w:szCs w:val="22"/>
        </w:rPr>
        <w:t xml:space="preserve">not </w:t>
      </w:r>
      <w:r w:rsidR="006F3CCA">
        <w:rPr>
          <w:rFonts w:ascii="Times New Roman" w:hAnsi="Times New Roman"/>
          <w:sz w:val="22"/>
          <w:szCs w:val="22"/>
        </w:rPr>
        <w:t xml:space="preserve">be </w:t>
      </w:r>
      <w:r w:rsidR="001820D6">
        <w:rPr>
          <w:rFonts w:ascii="Times New Roman" w:hAnsi="Times New Roman"/>
          <w:sz w:val="22"/>
          <w:szCs w:val="22"/>
        </w:rPr>
        <w:t>identifi</w:t>
      </w:r>
      <w:r w:rsidR="002F6F4F">
        <w:rPr>
          <w:rFonts w:ascii="Times New Roman" w:hAnsi="Times New Roman"/>
          <w:sz w:val="22"/>
          <w:szCs w:val="22"/>
        </w:rPr>
        <w:t xml:space="preserve">ed </w:t>
      </w:r>
      <w:r w:rsidR="008B3A35">
        <w:rPr>
          <w:rFonts w:ascii="Times New Roman" w:hAnsi="Times New Roman"/>
          <w:sz w:val="22"/>
          <w:szCs w:val="22"/>
        </w:rPr>
        <w:t>from the</w:t>
      </w:r>
      <w:r w:rsidR="001820D6">
        <w:rPr>
          <w:rFonts w:ascii="Times New Roman" w:hAnsi="Times New Roman"/>
          <w:sz w:val="22"/>
          <w:szCs w:val="22"/>
        </w:rPr>
        <w:t xml:space="preserve"> information.  </w:t>
      </w:r>
      <w:r w:rsidR="00C107BE">
        <w:rPr>
          <w:rFonts w:ascii="Times New Roman" w:hAnsi="Times New Roman"/>
          <w:sz w:val="22"/>
          <w:szCs w:val="22"/>
        </w:rPr>
        <w:t>T</w:t>
      </w:r>
      <w:r w:rsidR="001820D6">
        <w:rPr>
          <w:rFonts w:ascii="Times New Roman" w:hAnsi="Times New Roman"/>
          <w:sz w:val="22"/>
          <w:szCs w:val="22"/>
        </w:rPr>
        <w:t xml:space="preserve">he </w:t>
      </w:r>
      <w:r w:rsidR="00E20971">
        <w:rPr>
          <w:rFonts w:ascii="Times New Roman" w:hAnsi="Times New Roman"/>
          <w:sz w:val="22"/>
          <w:szCs w:val="22"/>
        </w:rPr>
        <w:t xml:space="preserve">privacy of individuals will be protected by ensuring that only statistical information </w:t>
      </w:r>
      <w:r w:rsidR="00DB776A">
        <w:rPr>
          <w:rFonts w:ascii="Times New Roman" w:hAnsi="Times New Roman"/>
          <w:sz w:val="22"/>
          <w:szCs w:val="22"/>
        </w:rPr>
        <w:t xml:space="preserve">for </w:t>
      </w:r>
      <w:r w:rsidR="00C107BE">
        <w:rPr>
          <w:rFonts w:ascii="Times New Roman" w:hAnsi="Times New Roman"/>
          <w:sz w:val="22"/>
          <w:szCs w:val="22"/>
        </w:rPr>
        <w:t>certain parameters</w:t>
      </w:r>
      <w:r w:rsidR="00DB776A">
        <w:rPr>
          <w:rFonts w:ascii="Times New Roman" w:hAnsi="Times New Roman"/>
          <w:sz w:val="22"/>
          <w:szCs w:val="22"/>
        </w:rPr>
        <w:t xml:space="preserve"> </w:t>
      </w:r>
      <w:r w:rsidR="00334ECA">
        <w:rPr>
          <w:rFonts w:ascii="Times New Roman" w:hAnsi="Times New Roman"/>
          <w:sz w:val="22"/>
          <w:szCs w:val="22"/>
        </w:rPr>
        <w:t xml:space="preserve">that </w:t>
      </w:r>
      <w:r w:rsidR="001A7595">
        <w:rPr>
          <w:rFonts w:ascii="Times New Roman" w:hAnsi="Times New Roman"/>
          <w:sz w:val="22"/>
          <w:szCs w:val="22"/>
        </w:rPr>
        <w:t>generate</w:t>
      </w:r>
      <w:r w:rsidR="006F3CCA">
        <w:rPr>
          <w:rFonts w:ascii="Times New Roman" w:hAnsi="Times New Roman"/>
          <w:sz w:val="22"/>
          <w:szCs w:val="22"/>
        </w:rPr>
        <w:t xml:space="preserve"> </w:t>
      </w:r>
      <w:r w:rsidR="001A7595">
        <w:rPr>
          <w:rFonts w:ascii="Times New Roman" w:hAnsi="Times New Roman"/>
          <w:sz w:val="22"/>
          <w:szCs w:val="22"/>
        </w:rPr>
        <w:t xml:space="preserve">results of </w:t>
      </w:r>
      <w:r w:rsidR="00DF3263">
        <w:rPr>
          <w:rFonts w:ascii="Times New Roman" w:hAnsi="Times New Roman"/>
          <w:sz w:val="22"/>
          <w:szCs w:val="22"/>
        </w:rPr>
        <w:t xml:space="preserve">10 or </w:t>
      </w:r>
      <w:r w:rsidR="00E20971">
        <w:rPr>
          <w:rFonts w:ascii="Times New Roman" w:hAnsi="Times New Roman"/>
          <w:sz w:val="22"/>
          <w:szCs w:val="22"/>
        </w:rPr>
        <w:t>more</w:t>
      </w:r>
      <w:r w:rsidR="006F3CCA">
        <w:rPr>
          <w:rFonts w:ascii="Times New Roman" w:hAnsi="Times New Roman"/>
          <w:sz w:val="22"/>
          <w:szCs w:val="22"/>
        </w:rPr>
        <w:t xml:space="preserve"> </w:t>
      </w:r>
      <w:r w:rsidR="00366B58">
        <w:rPr>
          <w:rFonts w:ascii="Times New Roman" w:hAnsi="Times New Roman"/>
          <w:sz w:val="22"/>
          <w:szCs w:val="22"/>
        </w:rPr>
        <w:t>submissions</w:t>
      </w:r>
      <w:r w:rsidR="00E20971">
        <w:rPr>
          <w:rFonts w:ascii="Times New Roman" w:hAnsi="Times New Roman"/>
          <w:sz w:val="22"/>
          <w:szCs w:val="22"/>
        </w:rPr>
        <w:t xml:space="preserve"> will be published</w:t>
      </w:r>
      <w:r w:rsidR="000C66DF">
        <w:rPr>
          <w:rFonts w:ascii="Times New Roman" w:hAnsi="Times New Roman"/>
          <w:sz w:val="22"/>
          <w:szCs w:val="22"/>
        </w:rPr>
        <w:t>.</w:t>
      </w:r>
      <w:r w:rsidR="006F3CCA">
        <w:rPr>
          <w:rFonts w:ascii="Times New Roman" w:hAnsi="Times New Roman"/>
          <w:sz w:val="22"/>
          <w:szCs w:val="22"/>
        </w:rPr>
        <w:t xml:space="preserve">  </w:t>
      </w:r>
      <w:r w:rsidR="000C66DF">
        <w:rPr>
          <w:rFonts w:ascii="Times New Roman" w:hAnsi="Times New Roman"/>
          <w:sz w:val="22"/>
          <w:szCs w:val="22"/>
        </w:rPr>
        <w:t xml:space="preserve">Any </w:t>
      </w:r>
      <w:r w:rsidR="006F3CCA">
        <w:rPr>
          <w:rFonts w:ascii="Times New Roman" w:hAnsi="Times New Roman"/>
          <w:sz w:val="22"/>
          <w:szCs w:val="22"/>
        </w:rPr>
        <w:t>search</w:t>
      </w:r>
      <w:r w:rsidR="000C66DF">
        <w:rPr>
          <w:rFonts w:ascii="Times New Roman" w:hAnsi="Times New Roman"/>
          <w:sz w:val="22"/>
          <w:szCs w:val="22"/>
        </w:rPr>
        <w:t>es</w:t>
      </w:r>
      <w:r w:rsidR="006F3CCA">
        <w:rPr>
          <w:rFonts w:ascii="Times New Roman" w:hAnsi="Times New Roman"/>
          <w:sz w:val="22"/>
          <w:szCs w:val="22"/>
        </w:rPr>
        <w:t xml:space="preserve"> </w:t>
      </w:r>
      <w:r w:rsidR="00C55BFC">
        <w:rPr>
          <w:rFonts w:ascii="Times New Roman" w:hAnsi="Times New Roman"/>
          <w:sz w:val="22"/>
          <w:szCs w:val="22"/>
        </w:rPr>
        <w:t xml:space="preserve">for </w:t>
      </w:r>
      <w:r w:rsidR="004C78A7">
        <w:rPr>
          <w:rFonts w:ascii="Times New Roman" w:hAnsi="Times New Roman"/>
          <w:sz w:val="22"/>
          <w:szCs w:val="22"/>
        </w:rPr>
        <w:t>parameter</w:t>
      </w:r>
      <w:r w:rsidR="00C55BFC">
        <w:rPr>
          <w:rFonts w:ascii="Times New Roman" w:hAnsi="Times New Roman"/>
          <w:sz w:val="22"/>
          <w:szCs w:val="22"/>
        </w:rPr>
        <w:t>s</w:t>
      </w:r>
      <w:r w:rsidR="004C78A7">
        <w:rPr>
          <w:rFonts w:ascii="Times New Roman" w:hAnsi="Times New Roman"/>
          <w:sz w:val="22"/>
          <w:szCs w:val="22"/>
        </w:rPr>
        <w:t xml:space="preserve"> </w:t>
      </w:r>
      <w:r w:rsidR="00D94699">
        <w:rPr>
          <w:rFonts w:ascii="Times New Roman" w:hAnsi="Times New Roman"/>
          <w:sz w:val="22"/>
          <w:szCs w:val="22"/>
        </w:rPr>
        <w:t xml:space="preserve">that may be used to identify individual patients or practitioners (such as patient gender, patient age range, or the number, and specialty, of medical or health practitioners who make applications or notifications in any particular state or territory) will be reflected in the database as “less than 10 submissions” where </w:t>
      </w:r>
      <w:r w:rsidR="00F96126">
        <w:rPr>
          <w:rFonts w:ascii="Times New Roman" w:hAnsi="Times New Roman"/>
          <w:sz w:val="22"/>
          <w:szCs w:val="22"/>
        </w:rPr>
        <w:t>those</w:t>
      </w:r>
      <w:r w:rsidR="00D94699">
        <w:rPr>
          <w:rFonts w:ascii="Times New Roman" w:hAnsi="Times New Roman"/>
          <w:sz w:val="22"/>
          <w:szCs w:val="22"/>
        </w:rPr>
        <w:t xml:space="preserve"> search</w:t>
      </w:r>
      <w:r w:rsidR="00F96126">
        <w:rPr>
          <w:rFonts w:ascii="Times New Roman" w:hAnsi="Times New Roman"/>
          <w:sz w:val="22"/>
          <w:szCs w:val="22"/>
        </w:rPr>
        <w:t>es</w:t>
      </w:r>
      <w:r w:rsidR="00D94699">
        <w:rPr>
          <w:rFonts w:ascii="Times New Roman" w:hAnsi="Times New Roman"/>
          <w:sz w:val="22"/>
          <w:szCs w:val="22"/>
        </w:rPr>
        <w:t xml:space="preserve"> </w:t>
      </w:r>
      <w:r w:rsidR="00F45666">
        <w:rPr>
          <w:rFonts w:ascii="Times New Roman" w:hAnsi="Times New Roman"/>
          <w:sz w:val="22"/>
          <w:szCs w:val="22"/>
        </w:rPr>
        <w:t>generate results between one and nine submissions</w:t>
      </w:r>
      <w:r w:rsidR="00585A6B">
        <w:rPr>
          <w:rFonts w:ascii="Times New Roman" w:hAnsi="Times New Roman"/>
          <w:sz w:val="22"/>
          <w:szCs w:val="22"/>
        </w:rPr>
        <w:t>.</w:t>
      </w:r>
    </w:p>
    <w:p w14:paraId="28B46831" w14:textId="77777777" w:rsidR="001820D6" w:rsidRDefault="001820D6" w:rsidP="00901D26">
      <w:pPr>
        <w:autoSpaceDE w:val="0"/>
        <w:autoSpaceDN w:val="0"/>
        <w:adjustRightInd w:val="0"/>
        <w:ind w:right="-284"/>
        <w:rPr>
          <w:rFonts w:ascii="Times New Roman" w:hAnsi="Times New Roman"/>
          <w:sz w:val="22"/>
          <w:szCs w:val="22"/>
        </w:rPr>
      </w:pPr>
    </w:p>
    <w:p w14:paraId="2C0DDB85" w14:textId="77777777" w:rsidR="007231B2" w:rsidRPr="00511ED8" w:rsidRDefault="007231B2" w:rsidP="00901D26">
      <w:pPr>
        <w:keepNext/>
        <w:autoSpaceDE w:val="0"/>
        <w:autoSpaceDN w:val="0"/>
        <w:adjustRightInd w:val="0"/>
        <w:ind w:right="-284"/>
        <w:rPr>
          <w:rFonts w:ascii="Times New Roman" w:hAnsi="Times New Roman"/>
          <w:b/>
          <w:sz w:val="22"/>
          <w:szCs w:val="22"/>
        </w:rPr>
      </w:pPr>
      <w:r w:rsidRPr="00511ED8">
        <w:rPr>
          <w:rFonts w:ascii="Times New Roman" w:hAnsi="Times New Roman"/>
          <w:b/>
          <w:sz w:val="22"/>
          <w:szCs w:val="22"/>
        </w:rPr>
        <w:lastRenderedPageBreak/>
        <w:t>B</w:t>
      </w:r>
      <w:r w:rsidR="00294A49" w:rsidRPr="00511ED8">
        <w:rPr>
          <w:rFonts w:ascii="Times New Roman" w:hAnsi="Times New Roman"/>
          <w:b/>
          <w:sz w:val="22"/>
          <w:szCs w:val="22"/>
        </w:rPr>
        <w:t>ackground</w:t>
      </w:r>
    </w:p>
    <w:p w14:paraId="2AAB4E3E" w14:textId="77777777" w:rsidR="005D21EB" w:rsidRPr="00511ED8" w:rsidRDefault="005D21EB" w:rsidP="006F3CCA">
      <w:pPr>
        <w:keepNext/>
        <w:autoSpaceDE w:val="0"/>
        <w:autoSpaceDN w:val="0"/>
        <w:adjustRightInd w:val="0"/>
        <w:ind w:right="-284"/>
        <w:rPr>
          <w:rFonts w:ascii="Times New Roman" w:hAnsi="Times New Roman"/>
          <w:sz w:val="22"/>
          <w:szCs w:val="22"/>
        </w:rPr>
      </w:pPr>
    </w:p>
    <w:p w14:paraId="08E55A99" w14:textId="77777777" w:rsidR="00847FED" w:rsidRDefault="005D21EB" w:rsidP="00A775FA">
      <w:pPr>
        <w:tabs>
          <w:tab w:val="left" w:pos="2490"/>
        </w:tabs>
        <w:ind w:right="-284"/>
        <w:rPr>
          <w:rFonts w:ascii="Times New Roman" w:hAnsi="Times New Roman"/>
          <w:sz w:val="22"/>
          <w:szCs w:val="22"/>
        </w:rPr>
      </w:pPr>
      <w:r>
        <w:rPr>
          <w:rFonts w:ascii="Times New Roman" w:hAnsi="Times New Roman"/>
          <w:sz w:val="22"/>
          <w:szCs w:val="22"/>
        </w:rPr>
        <w:t>While t</w:t>
      </w:r>
      <w:r w:rsidR="0008445F">
        <w:rPr>
          <w:rFonts w:ascii="Times New Roman" w:hAnsi="Times New Roman"/>
          <w:sz w:val="22"/>
          <w:szCs w:val="22"/>
        </w:rPr>
        <w:t xml:space="preserve">here are </w:t>
      </w:r>
      <w:r w:rsidR="00835E93">
        <w:rPr>
          <w:rFonts w:ascii="Times New Roman" w:hAnsi="Times New Roman"/>
          <w:sz w:val="22"/>
          <w:szCs w:val="22"/>
        </w:rPr>
        <w:t xml:space="preserve">two medicinal cannabis products </w:t>
      </w:r>
      <w:r w:rsidR="000E28B3">
        <w:rPr>
          <w:rFonts w:ascii="Times New Roman" w:hAnsi="Times New Roman"/>
          <w:sz w:val="22"/>
          <w:szCs w:val="22"/>
        </w:rPr>
        <w:t xml:space="preserve">that are </w:t>
      </w:r>
      <w:r w:rsidR="00601410">
        <w:rPr>
          <w:rFonts w:ascii="Times New Roman" w:hAnsi="Times New Roman"/>
          <w:sz w:val="22"/>
          <w:szCs w:val="22"/>
        </w:rPr>
        <w:t xml:space="preserve">included </w:t>
      </w:r>
      <w:r w:rsidR="000E28B3">
        <w:rPr>
          <w:rFonts w:ascii="Times New Roman" w:hAnsi="Times New Roman"/>
          <w:sz w:val="22"/>
          <w:szCs w:val="22"/>
        </w:rPr>
        <w:t>in the Australian Register of Therapeutic Goods (“the Register”)</w:t>
      </w:r>
      <w:r>
        <w:rPr>
          <w:rFonts w:ascii="Times New Roman" w:hAnsi="Times New Roman"/>
          <w:sz w:val="22"/>
          <w:szCs w:val="22"/>
        </w:rPr>
        <w:t>, t</w:t>
      </w:r>
      <w:r w:rsidR="00D52C3A">
        <w:rPr>
          <w:rFonts w:ascii="Times New Roman" w:hAnsi="Times New Roman"/>
          <w:sz w:val="22"/>
          <w:szCs w:val="22"/>
        </w:rPr>
        <w:t xml:space="preserve">he majority of </w:t>
      </w:r>
      <w:r w:rsidR="0018581A">
        <w:rPr>
          <w:rFonts w:ascii="Times New Roman" w:hAnsi="Times New Roman"/>
          <w:sz w:val="22"/>
          <w:szCs w:val="22"/>
        </w:rPr>
        <w:t>m</w:t>
      </w:r>
      <w:r w:rsidR="00F823F1">
        <w:rPr>
          <w:rFonts w:ascii="Times New Roman" w:hAnsi="Times New Roman"/>
          <w:sz w:val="22"/>
          <w:szCs w:val="22"/>
        </w:rPr>
        <w:t>edicinal cannabis products</w:t>
      </w:r>
      <w:r>
        <w:rPr>
          <w:rFonts w:ascii="Times New Roman" w:hAnsi="Times New Roman"/>
          <w:sz w:val="22"/>
          <w:szCs w:val="22"/>
        </w:rPr>
        <w:t xml:space="preserve"> that are prescribed to patients in Australia</w:t>
      </w:r>
      <w:r w:rsidR="00F823F1">
        <w:rPr>
          <w:rFonts w:ascii="Times New Roman" w:hAnsi="Times New Roman"/>
          <w:sz w:val="22"/>
          <w:szCs w:val="22"/>
        </w:rPr>
        <w:t xml:space="preserve"> </w:t>
      </w:r>
      <w:r w:rsidR="00F20763">
        <w:rPr>
          <w:rFonts w:ascii="Times New Roman" w:hAnsi="Times New Roman"/>
          <w:sz w:val="22"/>
          <w:szCs w:val="22"/>
        </w:rPr>
        <w:t xml:space="preserve">are </w:t>
      </w:r>
      <w:r w:rsidR="00262E37">
        <w:rPr>
          <w:rFonts w:ascii="Times New Roman" w:hAnsi="Times New Roman"/>
          <w:sz w:val="22"/>
          <w:szCs w:val="22"/>
        </w:rPr>
        <w:t xml:space="preserve">supplied </w:t>
      </w:r>
      <w:r w:rsidR="00F823F1">
        <w:rPr>
          <w:rFonts w:ascii="Times New Roman" w:hAnsi="Times New Roman"/>
          <w:sz w:val="22"/>
          <w:szCs w:val="22"/>
        </w:rPr>
        <w:t xml:space="preserve">through the </w:t>
      </w:r>
      <w:r w:rsidR="00847FED">
        <w:rPr>
          <w:rFonts w:ascii="Times New Roman" w:hAnsi="Times New Roman"/>
          <w:sz w:val="22"/>
          <w:szCs w:val="22"/>
        </w:rPr>
        <w:t xml:space="preserve">following </w:t>
      </w:r>
      <w:r w:rsidR="00A27D2C">
        <w:rPr>
          <w:rFonts w:ascii="Times New Roman" w:hAnsi="Times New Roman"/>
          <w:sz w:val="22"/>
          <w:szCs w:val="22"/>
        </w:rPr>
        <w:t xml:space="preserve">“unapproved” </w:t>
      </w:r>
      <w:r w:rsidR="00847FED">
        <w:rPr>
          <w:rFonts w:ascii="Times New Roman" w:hAnsi="Times New Roman"/>
          <w:sz w:val="22"/>
          <w:szCs w:val="22"/>
        </w:rPr>
        <w:t>pathways:</w:t>
      </w:r>
    </w:p>
    <w:p w14:paraId="61D14A4A" w14:textId="77777777" w:rsidR="00F20763" w:rsidRDefault="00F20763" w:rsidP="00A775FA">
      <w:pPr>
        <w:tabs>
          <w:tab w:val="left" w:pos="2490"/>
        </w:tabs>
        <w:ind w:right="-284"/>
        <w:rPr>
          <w:rFonts w:ascii="Times New Roman" w:hAnsi="Times New Roman"/>
          <w:sz w:val="22"/>
          <w:szCs w:val="22"/>
        </w:rPr>
      </w:pPr>
    </w:p>
    <w:p w14:paraId="351BE741" w14:textId="77777777" w:rsidR="00847FED" w:rsidRDefault="00847FED" w:rsidP="00847FED">
      <w:pPr>
        <w:pStyle w:val="ListParagraph"/>
        <w:numPr>
          <w:ilvl w:val="0"/>
          <w:numId w:val="20"/>
        </w:numPr>
        <w:tabs>
          <w:tab w:val="left" w:pos="2490"/>
        </w:tabs>
        <w:ind w:right="-284"/>
        <w:rPr>
          <w:rFonts w:ascii="Times New Roman" w:hAnsi="Times New Roman"/>
          <w:sz w:val="22"/>
          <w:szCs w:val="22"/>
        </w:rPr>
      </w:pPr>
      <w:r>
        <w:rPr>
          <w:rFonts w:ascii="Times New Roman" w:hAnsi="Times New Roman"/>
          <w:sz w:val="22"/>
          <w:szCs w:val="22"/>
        </w:rPr>
        <w:t xml:space="preserve">the </w:t>
      </w:r>
      <w:r w:rsidR="000E28B3">
        <w:rPr>
          <w:rFonts w:ascii="Times New Roman" w:hAnsi="Times New Roman"/>
          <w:sz w:val="22"/>
          <w:szCs w:val="22"/>
        </w:rPr>
        <w:t xml:space="preserve">AP </w:t>
      </w:r>
      <w:r>
        <w:rPr>
          <w:rFonts w:ascii="Times New Roman" w:hAnsi="Times New Roman"/>
          <w:sz w:val="22"/>
          <w:szCs w:val="22"/>
        </w:rPr>
        <w:t xml:space="preserve">pathway, </w:t>
      </w:r>
      <w:r w:rsidR="000E28B3">
        <w:rPr>
          <w:rFonts w:ascii="Times New Roman" w:hAnsi="Times New Roman"/>
          <w:sz w:val="22"/>
          <w:szCs w:val="22"/>
        </w:rPr>
        <w:t xml:space="preserve">under which medical practitioners may apply to the Secretary for an authorisation to supply unapproved goods to </w:t>
      </w:r>
      <w:r w:rsidR="00A27D2C">
        <w:rPr>
          <w:rFonts w:ascii="Times New Roman" w:hAnsi="Times New Roman"/>
          <w:sz w:val="22"/>
          <w:szCs w:val="22"/>
        </w:rPr>
        <w:t xml:space="preserve">a specified class of persons </w:t>
      </w:r>
      <w:r w:rsidR="000E28B3">
        <w:rPr>
          <w:rFonts w:ascii="Times New Roman" w:hAnsi="Times New Roman"/>
          <w:sz w:val="22"/>
          <w:szCs w:val="22"/>
        </w:rPr>
        <w:t xml:space="preserve">(this pathway is </w:t>
      </w:r>
      <w:r>
        <w:rPr>
          <w:rFonts w:ascii="Times New Roman" w:hAnsi="Times New Roman"/>
          <w:sz w:val="22"/>
          <w:szCs w:val="22"/>
        </w:rPr>
        <w:t>underpinned by subsection 19(5) of the Act in relation to medicines</w:t>
      </w:r>
      <w:proofErr w:type="gramStart"/>
      <w:r w:rsidR="000E28B3">
        <w:rPr>
          <w:rFonts w:ascii="Times New Roman" w:hAnsi="Times New Roman"/>
          <w:sz w:val="22"/>
          <w:szCs w:val="22"/>
        </w:rPr>
        <w:t>)</w:t>
      </w:r>
      <w:r>
        <w:rPr>
          <w:rFonts w:ascii="Times New Roman" w:hAnsi="Times New Roman"/>
          <w:sz w:val="22"/>
          <w:szCs w:val="22"/>
        </w:rPr>
        <w:t>;</w:t>
      </w:r>
      <w:proofErr w:type="gramEnd"/>
    </w:p>
    <w:p w14:paraId="0A837172" w14:textId="77777777" w:rsidR="00847FED" w:rsidRDefault="00847FED" w:rsidP="00847FED">
      <w:pPr>
        <w:pStyle w:val="ListParagraph"/>
        <w:numPr>
          <w:ilvl w:val="0"/>
          <w:numId w:val="20"/>
        </w:numPr>
        <w:tabs>
          <w:tab w:val="left" w:pos="2490"/>
        </w:tabs>
        <w:ind w:right="-284"/>
        <w:rPr>
          <w:rFonts w:ascii="Times New Roman" w:hAnsi="Times New Roman"/>
          <w:sz w:val="22"/>
          <w:szCs w:val="22"/>
        </w:rPr>
      </w:pPr>
      <w:r>
        <w:rPr>
          <w:rFonts w:ascii="Times New Roman" w:hAnsi="Times New Roman"/>
          <w:sz w:val="22"/>
          <w:szCs w:val="22"/>
        </w:rPr>
        <w:t xml:space="preserve">the </w:t>
      </w:r>
      <w:r w:rsidR="0098374D">
        <w:rPr>
          <w:rFonts w:ascii="Times New Roman" w:hAnsi="Times New Roman"/>
          <w:sz w:val="22"/>
          <w:szCs w:val="22"/>
        </w:rPr>
        <w:t>SAS A pathway</w:t>
      </w:r>
      <w:r>
        <w:rPr>
          <w:rFonts w:ascii="Times New Roman" w:hAnsi="Times New Roman"/>
          <w:sz w:val="22"/>
          <w:szCs w:val="22"/>
        </w:rPr>
        <w:t xml:space="preserve">, </w:t>
      </w:r>
      <w:r w:rsidR="000E28B3">
        <w:rPr>
          <w:rFonts w:ascii="Times New Roman" w:hAnsi="Times New Roman"/>
          <w:sz w:val="22"/>
          <w:szCs w:val="22"/>
        </w:rPr>
        <w:t xml:space="preserve">under which medical practitioners may supply unapproved therapeutic goods to critically ill patients and notify the Secretary of having done so within 28 days of supply (this pathway is </w:t>
      </w:r>
      <w:r>
        <w:rPr>
          <w:rFonts w:ascii="Times New Roman" w:hAnsi="Times New Roman"/>
          <w:sz w:val="22"/>
          <w:szCs w:val="22"/>
        </w:rPr>
        <w:t>underpinned by section 18 of the Act and regulation 12</w:t>
      </w:r>
      <w:r w:rsidR="000E28B3">
        <w:rPr>
          <w:rFonts w:ascii="Times New Roman" w:hAnsi="Times New Roman"/>
          <w:sz w:val="22"/>
          <w:szCs w:val="22"/>
        </w:rPr>
        <w:t>A</w:t>
      </w:r>
      <w:r>
        <w:rPr>
          <w:rFonts w:ascii="Times New Roman" w:hAnsi="Times New Roman"/>
          <w:sz w:val="22"/>
          <w:szCs w:val="22"/>
        </w:rPr>
        <w:t xml:space="preserve"> of the Regulations in relation to medicines</w:t>
      </w:r>
      <w:r w:rsidR="005834C8">
        <w:rPr>
          <w:rFonts w:ascii="Times New Roman" w:hAnsi="Times New Roman"/>
          <w:sz w:val="22"/>
          <w:szCs w:val="22"/>
        </w:rPr>
        <w:t>)</w:t>
      </w:r>
      <w:r>
        <w:rPr>
          <w:rFonts w:ascii="Times New Roman" w:hAnsi="Times New Roman"/>
          <w:sz w:val="22"/>
          <w:szCs w:val="22"/>
        </w:rPr>
        <w:t>;</w:t>
      </w:r>
    </w:p>
    <w:p w14:paraId="6FA3EB2B" w14:textId="77777777" w:rsidR="00847FED" w:rsidRPr="00847FED" w:rsidRDefault="00847FED">
      <w:pPr>
        <w:pStyle w:val="ListParagraph"/>
        <w:numPr>
          <w:ilvl w:val="0"/>
          <w:numId w:val="20"/>
        </w:numPr>
        <w:tabs>
          <w:tab w:val="left" w:pos="2490"/>
        </w:tabs>
        <w:ind w:right="-284"/>
        <w:rPr>
          <w:rFonts w:ascii="Times New Roman" w:hAnsi="Times New Roman"/>
          <w:sz w:val="22"/>
          <w:szCs w:val="22"/>
        </w:rPr>
      </w:pPr>
      <w:r>
        <w:rPr>
          <w:rFonts w:ascii="Times New Roman" w:hAnsi="Times New Roman"/>
          <w:sz w:val="22"/>
          <w:szCs w:val="22"/>
        </w:rPr>
        <w:t xml:space="preserve">the </w:t>
      </w:r>
      <w:r w:rsidR="0098374D">
        <w:rPr>
          <w:rFonts w:ascii="Times New Roman" w:hAnsi="Times New Roman"/>
          <w:sz w:val="22"/>
          <w:szCs w:val="22"/>
        </w:rPr>
        <w:t>SAS B pathway</w:t>
      </w:r>
      <w:r w:rsidR="005834C8">
        <w:rPr>
          <w:rFonts w:ascii="Times New Roman" w:hAnsi="Times New Roman"/>
          <w:sz w:val="22"/>
          <w:szCs w:val="22"/>
        </w:rPr>
        <w:t xml:space="preserve">, under which a health practitioner </w:t>
      </w:r>
      <w:r w:rsidR="00D417C8">
        <w:rPr>
          <w:rFonts w:ascii="Times New Roman" w:hAnsi="Times New Roman"/>
          <w:sz w:val="22"/>
          <w:szCs w:val="22"/>
        </w:rPr>
        <w:t xml:space="preserve">(this term is defined in subsection 3(1) of the Act and is not limited to medical practitioners) </w:t>
      </w:r>
      <w:r w:rsidR="005834C8">
        <w:rPr>
          <w:rFonts w:ascii="Times New Roman" w:hAnsi="Times New Roman"/>
          <w:sz w:val="22"/>
          <w:szCs w:val="22"/>
        </w:rPr>
        <w:t>may apply to the Secretary for approval</w:t>
      </w:r>
      <w:r w:rsidR="00D417C8">
        <w:rPr>
          <w:rFonts w:ascii="Times New Roman" w:hAnsi="Times New Roman"/>
          <w:sz w:val="22"/>
          <w:szCs w:val="22"/>
        </w:rPr>
        <w:t xml:space="preserve"> for the use of unapproved therapeutic goods in the treatment of a patient</w:t>
      </w:r>
      <w:r w:rsidR="0098374D">
        <w:rPr>
          <w:rFonts w:ascii="Times New Roman" w:hAnsi="Times New Roman"/>
          <w:sz w:val="22"/>
          <w:szCs w:val="22"/>
        </w:rPr>
        <w:t xml:space="preserve"> </w:t>
      </w:r>
      <w:r w:rsidR="00701CAD">
        <w:rPr>
          <w:rFonts w:ascii="Times New Roman" w:hAnsi="Times New Roman"/>
          <w:sz w:val="22"/>
          <w:szCs w:val="22"/>
        </w:rPr>
        <w:t>who is not critically ill</w:t>
      </w:r>
      <w:r>
        <w:rPr>
          <w:rFonts w:ascii="Times New Roman" w:hAnsi="Times New Roman"/>
          <w:sz w:val="22"/>
          <w:szCs w:val="22"/>
        </w:rPr>
        <w:t xml:space="preserve"> </w:t>
      </w:r>
      <w:r w:rsidR="00D417C8">
        <w:rPr>
          <w:rFonts w:ascii="Times New Roman" w:hAnsi="Times New Roman"/>
          <w:sz w:val="22"/>
          <w:szCs w:val="22"/>
        </w:rPr>
        <w:t xml:space="preserve">(this pathway is </w:t>
      </w:r>
      <w:r>
        <w:rPr>
          <w:rFonts w:ascii="Times New Roman" w:hAnsi="Times New Roman"/>
          <w:sz w:val="22"/>
          <w:szCs w:val="22"/>
        </w:rPr>
        <w:t>underpinned by paragraph 19(1)(a) of the Act in relation to medicines</w:t>
      </w:r>
      <w:r w:rsidR="00D417C8">
        <w:rPr>
          <w:rFonts w:ascii="Times New Roman" w:hAnsi="Times New Roman"/>
          <w:sz w:val="22"/>
          <w:szCs w:val="22"/>
        </w:rPr>
        <w:t>)</w:t>
      </w:r>
      <w:r w:rsidR="00A27D2C">
        <w:rPr>
          <w:rFonts w:ascii="Times New Roman" w:hAnsi="Times New Roman"/>
          <w:sz w:val="22"/>
          <w:szCs w:val="22"/>
        </w:rPr>
        <w:t>.</w:t>
      </w:r>
    </w:p>
    <w:p w14:paraId="7E81B8C5" w14:textId="77777777" w:rsidR="00847FED" w:rsidRDefault="00847FED" w:rsidP="00901D26">
      <w:pPr>
        <w:tabs>
          <w:tab w:val="left" w:pos="2490"/>
        </w:tabs>
        <w:ind w:right="-284"/>
        <w:rPr>
          <w:rFonts w:ascii="Times New Roman" w:hAnsi="Times New Roman"/>
          <w:sz w:val="22"/>
          <w:szCs w:val="22"/>
        </w:rPr>
      </w:pPr>
    </w:p>
    <w:p w14:paraId="519A49FD" w14:textId="77777777" w:rsidR="00D83EE7" w:rsidRDefault="005D21EB" w:rsidP="00901D26">
      <w:pPr>
        <w:tabs>
          <w:tab w:val="left" w:pos="2490"/>
        </w:tabs>
        <w:ind w:right="-284"/>
        <w:rPr>
          <w:rFonts w:ascii="Times New Roman" w:hAnsi="Times New Roman"/>
          <w:sz w:val="22"/>
          <w:szCs w:val="22"/>
        </w:rPr>
      </w:pPr>
      <w:r>
        <w:rPr>
          <w:rFonts w:ascii="Times New Roman" w:hAnsi="Times New Roman"/>
          <w:sz w:val="22"/>
          <w:szCs w:val="22"/>
        </w:rPr>
        <w:t xml:space="preserve">In recent years, there has been </w:t>
      </w:r>
      <w:r w:rsidR="0008445F" w:rsidRPr="00D24870">
        <w:rPr>
          <w:rFonts w:ascii="Times New Roman" w:hAnsi="Times New Roman"/>
          <w:sz w:val="22"/>
          <w:szCs w:val="22"/>
        </w:rPr>
        <w:t xml:space="preserve">considerable </w:t>
      </w:r>
      <w:r w:rsidR="007044D7">
        <w:rPr>
          <w:rFonts w:ascii="Times New Roman" w:hAnsi="Times New Roman"/>
          <w:sz w:val="22"/>
          <w:szCs w:val="22"/>
        </w:rPr>
        <w:t xml:space="preserve">public </w:t>
      </w:r>
      <w:r w:rsidR="0008445F" w:rsidRPr="00D24870">
        <w:rPr>
          <w:rFonts w:ascii="Times New Roman" w:hAnsi="Times New Roman"/>
          <w:sz w:val="22"/>
          <w:szCs w:val="22"/>
        </w:rPr>
        <w:t xml:space="preserve">interest </w:t>
      </w:r>
      <w:r w:rsidR="002B7C65">
        <w:rPr>
          <w:rFonts w:ascii="Times New Roman" w:hAnsi="Times New Roman"/>
          <w:sz w:val="22"/>
          <w:szCs w:val="22"/>
        </w:rPr>
        <w:t>in</w:t>
      </w:r>
      <w:r w:rsidR="00FE5AB0" w:rsidRPr="00A775FA">
        <w:rPr>
          <w:rFonts w:ascii="Times New Roman" w:hAnsi="Times New Roman"/>
          <w:sz w:val="22"/>
          <w:szCs w:val="22"/>
        </w:rPr>
        <w:t xml:space="preserve"> </w:t>
      </w:r>
      <w:r w:rsidR="00ED43DC" w:rsidRPr="00A775FA">
        <w:rPr>
          <w:rFonts w:ascii="Times New Roman" w:hAnsi="Times New Roman"/>
          <w:sz w:val="22"/>
          <w:szCs w:val="22"/>
        </w:rPr>
        <w:t xml:space="preserve">the provision of </w:t>
      </w:r>
      <w:r w:rsidR="00B14E8F">
        <w:rPr>
          <w:rFonts w:ascii="Times New Roman" w:hAnsi="Times New Roman"/>
          <w:sz w:val="22"/>
          <w:szCs w:val="22"/>
        </w:rPr>
        <w:t xml:space="preserve">statistical </w:t>
      </w:r>
      <w:r w:rsidR="0088026D" w:rsidRPr="00A775FA">
        <w:rPr>
          <w:rFonts w:ascii="Times New Roman" w:hAnsi="Times New Roman"/>
          <w:sz w:val="22"/>
          <w:szCs w:val="22"/>
        </w:rPr>
        <w:t xml:space="preserve">information </w:t>
      </w:r>
      <w:r w:rsidR="00D52C3A">
        <w:rPr>
          <w:rFonts w:ascii="Times New Roman" w:hAnsi="Times New Roman"/>
          <w:sz w:val="22"/>
          <w:szCs w:val="22"/>
        </w:rPr>
        <w:t xml:space="preserve">on </w:t>
      </w:r>
      <w:r w:rsidR="00397B2A" w:rsidRPr="00A775FA">
        <w:rPr>
          <w:rFonts w:ascii="Times New Roman" w:hAnsi="Times New Roman"/>
          <w:sz w:val="22"/>
          <w:szCs w:val="22"/>
        </w:rPr>
        <w:t>the use of the</w:t>
      </w:r>
      <w:r w:rsidR="00B14E8F">
        <w:rPr>
          <w:rFonts w:ascii="Times New Roman" w:hAnsi="Times New Roman"/>
          <w:sz w:val="22"/>
          <w:szCs w:val="22"/>
        </w:rPr>
        <w:t> AP, SAS </w:t>
      </w:r>
      <w:r w:rsidR="0008445F">
        <w:rPr>
          <w:rFonts w:ascii="Times New Roman" w:hAnsi="Times New Roman"/>
          <w:sz w:val="22"/>
          <w:szCs w:val="22"/>
        </w:rPr>
        <w:t>A and SAS B</w:t>
      </w:r>
      <w:r w:rsidR="00397B2A" w:rsidRPr="00A775FA">
        <w:rPr>
          <w:rFonts w:ascii="Times New Roman" w:hAnsi="Times New Roman"/>
          <w:sz w:val="22"/>
          <w:szCs w:val="22"/>
        </w:rPr>
        <w:t xml:space="preserve"> pathways </w:t>
      </w:r>
      <w:r w:rsidR="002B7C65">
        <w:rPr>
          <w:rFonts w:ascii="Times New Roman" w:hAnsi="Times New Roman"/>
          <w:sz w:val="22"/>
          <w:szCs w:val="22"/>
        </w:rPr>
        <w:t>for</w:t>
      </w:r>
      <w:r w:rsidR="00397B2A" w:rsidRPr="00A775FA">
        <w:rPr>
          <w:rFonts w:ascii="Times New Roman" w:hAnsi="Times New Roman"/>
          <w:sz w:val="22"/>
          <w:szCs w:val="22"/>
        </w:rPr>
        <w:t xml:space="preserve"> medi</w:t>
      </w:r>
      <w:r w:rsidR="0088026D" w:rsidRPr="00A775FA">
        <w:rPr>
          <w:rFonts w:ascii="Times New Roman" w:hAnsi="Times New Roman"/>
          <w:sz w:val="22"/>
          <w:szCs w:val="22"/>
        </w:rPr>
        <w:t>cinal cannabis products</w:t>
      </w:r>
      <w:r w:rsidR="0088026D" w:rsidRPr="008A038C">
        <w:rPr>
          <w:rFonts w:ascii="Times New Roman" w:hAnsi="Times New Roman"/>
          <w:sz w:val="22"/>
          <w:szCs w:val="22"/>
        </w:rPr>
        <w:t>.</w:t>
      </w:r>
      <w:r w:rsidR="0088026D">
        <w:rPr>
          <w:rFonts w:ascii="Times New Roman" w:hAnsi="Times New Roman"/>
          <w:sz w:val="22"/>
          <w:szCs w:val="22"/>
        </w:rPr>
        <w:t xml:space="preserve">  </w:t>
      </w:r>
      <w:r w:rsidR="00C77C44">
        <w:rPr>
          <w:rFonts w:ascii="Times New Roman" w:hAnsi="Times New Roman"/>
          <w:sz w:val="22"/>
          <w:szCs w:val="22"/>
        </w:rPr>
        <w:t xml:space="preserve">Such information is </w:t>
      </w:r>
      <w:r w:rsidR="008B3A35">
        <w:rPr>
          <w:rFonts w:ascii="Times New Roman" w:hAnsi="Times New Roman"/>
          <w:sz w:val="22"/>
          <w:szCs w:val="22"/>
        </w:rPr>
        <w:t>recurrently</w:t>
      </w:r>
      <w:r w:rsidR="00C77C44">
        <w:rPr>
          <w:rFonts w:ascii="Times New Roman" w:hAnsi="Times New Roman"/>
          <w:sz w:val="22"/>
          <w:szCs w:val="22"/>
        </w:rPr>
        <w:t xml:space="preserve"> </w:t>
      </w:r>
      <w:r w:rsidR="0088026D">
        <w:rPr>
          <w:rFonts w:ascii="Times New Roman" w:hAnsi="Times New Roman"/>
          <w:sz w:val="22"/>
          <w:szCs w:val="22"/>
        </w:rPr>
        <w:t xml:space="preserve">requested </w:t>
      </w:r>
      <w:r w:rsidR="00B14E8F">
        <w:rPr>
          <w:rFonts w:ascii="Times New Roman" w:hAnsi="Times New Roman"/>
          <w:sz w:val="22"/>
          <w:szCs w:val="22"/>
        </w:rPr>
        <w:t xml:space="preserve">by members of the media </w:t>
      </w:r>
      <w:r w:rsidR="007044D7">
        <w:rPr>
          <w:rFonts w:ascii="Times New Roman" w:hAnsi="Times New Roman"/>
          <w:sz w:val="22"/>
          <w:szCs w:val="22"/>
        </w:rPr>
        <w:t xml:space="preserve">and </w:t>
      </w:r>
      <w:r w:rsidR="00B14E8F">
        <w:rPr>
          <w:rFonts w:ascii="Times New Roman" w:hAnsi="Times New Roman"/>
          <w:sz w:val="22"/>
          <w:szCs w:val="22"/>
        </w:rPr>
        <w:t xml:space="preserve">the public </w:t>
      </w:r>
      <w:r w:rsidR="007044D7">
        <w:rPr>
          <w:rFonts w:ascii="Times New Roman" w:hAnsi="Times New Roman"/>
          <w:sz w:val="22"/>
          <w:szCs w:val="22"/>
        </w:rPr>
        <w:t xml:space="preserve">(including patients, practitioners and researchers) </w:t>
      </w:r>
      <w:r w:rsidR="00262E37">
        <w:rPr>
          <w:rFonts w:ascii="Times New Roman" w:hAnsi="Times New Roman"/>
          <w:sz w:val="22"/>
          <w:szCs w:val="22"/>
        </w:rPr>
        <w:t xml:space="preserve">in applications made </w:t>
      </w:r>
      <w:r w:rsidR="0088026D">
        <w:rPr>
          <w:rFonts w:ascii="Times New Roman" w:hAnsi="Times New Roman"/>
          <w:sz w:val="22"/>
          <w:szCs w:val="22"/>
        </w:rPr>
        <w:t xml:space="preserve">under </w:t>
      </w:r>
      <w:r w:rsidR="00B87934">
        <w:rPr>
          <w:rFonts w:ascii="Times New Roman" w:hAnsi="Times New Roman"/>
          <w:sz w:val="22"/>
          <w:szCs w:val="22"/>
        </w:rPr>
        <w:t xml:space="preserve">the </w:t>
      </w:r>
      <w:r w:rsidR="00B87934" w:rsidRPr="00D24870">
        <w:rPr>
          <w:rFonts w:ascii="Times New Roman" w:hAnsi="Times New Roman"/>
          <w:i/>
          <w:sz w:val="22"/>
          <w:szCs w:val="22"/>
        </w:rPr>
        <w:t>F</w:t>
      </w:r>
      <w:r w:rsidR="0088026D" w:rsidRPr="00D24870">
        <w:rPr>
          <w:rFonts w:ascii="Times New Roman" w:hAnsi="Times New Roman"/>
          <w:i/>
          <w:sz w:val="22"/>
          <w:szCs w:val="22"/>
        </w:rPr>
        <w:t xml:space="preserve">reedom of </w:t>
      </w:r>
      <w:r w:rsidR="00B87934" w:rsidRPr="00D24870">
        <w:rPr>
          <w:rFonts w:ascii="Times New Roman" w:hAnsi="Times New Roman"/>
          <w:i/>
          <w:sz w:val="22"/>
          <w:szCs w:val="22"/>
        </w:rPr>
        <w:t>I</w:t>
      </w:r>
      <w:r w:rsidR="0088026D" w:rsidRPr="00D24870">
        <w:rPr>
          <w:rFonts w:ascii="Times New Roman" w:hAnsi="Times New Roman"/>
          <w:i/>
          <w:sz w:val="22"/>
          <w:szCs w:val="22"/>
        </w:rPr>
        <w:t>nformation</w:t>
      </w:r>
      <w:r w:rsidR="00B87934" w:rsidRPr="00D24870">
        <w:rPr>
          <w:rFonts w:ascii="Times New Roman" w:hAnsi="Times New Roman"/>
          <w:i/>
          <w:sz w:val="22"/>
          <w:szCs w:val="22"/>
        </w:rPr>
        <w:t xml:space="preserve"> Act 1982</w:t>
      </w:r>
      <w:r w:rsidR="0088026D">
        <w:rPr>
          <w:rFonts w:ascii="Times New Roman" w:hAnsi="Times New Roman"/>
          <w:sz w:val="22"/>
          <w:szCs w:val="22"/>
        </w:rPr>
        <w:t xml:space="preserve"> </w:t>
      </w:r>
      <w:r w:rsidR="007D3F47">
        <w:rPr>
          <w:rFonts w:ascii="Times New Roman" w:hAnsi="Times New Roman"/>
          <w:sz w:val="22"/>
          <w:szCs w:val="22"/>
        </w:rPr>
        <w:t>(</w:t>
      </w:r>
      <w:r w:rsidR="002F4BCF">
        <w:rPr>
          <w:rFonts w:ascii="Times New Roman" w:hAnsi="Times New Roman"/>
          <w:sz w:val="22"/>
          <w:szCs w:val="22"/>
        </w:rPr>
        <w:t>“</w:t>
      </w:r>
      <w:r w:rsidR="007D3F47">
        <w:rPr>
          <w:rFonts w:ascii="Times New Roman" w:hAnsi="Times New Roman"/>
          <w:sz w:val="22"/>
          <w:szCs w:val="22"/>
        </w:rPr>
        <w:t xml:space="preserve">FOI </w:t>
      </w:r>
      <w:r w:rsidR="0088026D">
        <w:rPr>
          <w:rFonts w:ascii="Times New Roman" w:hAnsi="Times New Roman"/>
          <w:sz w:val="22"/>
          <w:szCs w:val="22"/>
        </w:rPr>
        <w:t>request</w:t>
      </w:r>
      <w:r w:rsidR="00262E37">
        <w:rPr>
          <w:rFonts w:ascii="Times New Roman" w:hAnsi="Times New Roman"/>
          <w:sz w:val="22"/>
          <w:szCs w:val="22"/>
        </w:rPr>
        <w:t>s</w:t>
      </w:r>
      <w:r w:rsidR="00B87934">
        <w:rPr>
          <w:rFonts w:ascii="Times New Roman" w:hAnsi="Times New Roman"/>
          <w:sz w:val="22"/>
          <w:szCs w:val="22"/>
        </w:rPr>
        <w:t>”)</w:t>
      </w:r>
      <w:r w:rsidR="004E289C">
        <w:rPr>
          <w:rFonts w:ascii="Times New Roman" w:hAnsi="Times New Roman"/>
          <w:sz w:val="22"/>
          <w:szCs w:val="22"/>
        </w:rPr>
        <w:t xml:space="preserve">, </w:t>
      </w:r>
      <w:r w:rsidR="00D52C3A">
        <w:rPr>
          <w:rFonts w:ascii="Times New Roman" w:hAnsi="Times New Roman"/>
          <w:sz w:val="22"/>
          <w:szCs w:val="22"/>
        </w:rPr>
        <w:t xml:space="preserve">and </w:t>
      </w:r>
      <w:r w:rsidR="00C77C44">
        <w:rPr>
          <w:rFonts w:ascii="Times New Roman" w:hAnsi="Times New Roman"/>
          <w:sz w:val="22"/>
          <w:szCs w:val="22"/>
        </w:rPr>
        <w:t>also</w:t>
      </w:r>
      <w:r w:rsidR="004E289C">
        <w:rPr>
          <w:rFonts w:ascii="Times New Roman" w:hAnsi="Times New Roman"/>
          <w:sz w:val="22"/>
          <w:szCs w:val="22"/>
        </w:rPr>
        <w:t xml:space="preserve"> </w:t>
      </w:r>
      <w:r>
        <w:rPr>
          <w:rFonts w:ascii="Times New Roman" w:hAnsi="Times New Roman"/>
          <w:sz w:val="22"/>
          <w:szCs w:val="22"/>
        </w:rPr>
        <w:t xml:space="preserve">by parliamentarians </w:t>
      </w:r>
      <w:r w:rsidR="0008445F">
        <w:rPr>
          <w:rFonts w:ascii="Times New Roman" w:hAnsi="Times New Roman"/>
          <w:sz w:val="22"/>
          <w:szCs w:val="22"/>
        </w:rPr>
        <w:t xml:space="preserve">during </w:t>
      </w:r>
      <w:r w:rsidR="004E289C">
        <w:rPr>
          <w:rFonts w:ascii="Times New Roman" w:hAnsi="Times New Roman"/>
          <w:sz w:val="22"/>
          <w:szCs w:val="22"/>
        </w:rPr>
        <w:t xml:space="preserve">Senate </w:t>
      </w:r>
      <w:r w:rsidR="00D52C3A">
        <w:rPr>
          <w:rFonts w:ascii="Times New Roman" w:hAnsi="Times New Roman"/>
          <w:sz w:val="22"/>
          <w:szCs w:val="22"/>
        </w:rPr>
        <w:t>E</w:t>
      </w:r>
      <w:r w:rsidR="004E289C">
        <w:rPr>
          <w:rFonts w:ascii="Times New Roman" w:hAnsi="Times New Roman"/>
          <w:sz w:val="22"/>
          <w:szCs w:val="22"/>
        </w:rPr>
        <w:t>stimate</w:t>
      </w:r>
      <w:r w:rsidR="00B87934">
        <w:rPr>
          <w:rFonts w:ascii="Times New Roman" w:hAnsi="Times New Roman"/>
          <w:sz w:val="22"/>
          <w:szCs w:val="22"/>
        </w:rPr>
        <w:t xml:space="preserve"> hearings</w:t>
      </w:r>
      <w:r>
        <w:rPr>
          <w:rFonts w:ascii="Times New Roman" w:hAnsi="Times New Roman"/>
          <w:sz w:val="22"/>
          <w:szCs w:val="22"/>
        </w:rPr>
        <w:t>,</w:t>
      </w:r>
      <w:r w:rsidR="0008445F">
        <w:rPr>
          <w:rFonts w:ascii="Times New Roman" w:hAnsi="Times New Roman"/>
          <w:sz w:val="22"/>
          <w:szCs w:val="22"/>
        </w:rPr>
        <w:t xml:space="preserve"> parliamentary inquiries</w:t>
      </w:r>
      <w:r>
        <w:rPr>
          <w:rFonts w:ascii="Times New Roman" w:hAnsi="Times New Roman"/>
          <w:sz w:val="22"/>
          <w:szCs w:val="22"/>
        </w:rPr>
        <w:t xml:space="preserve"> and question time</w:t>
      </w:r>
      <w:r w:rsidR="0088026D">
        <w:rPr>
          <w:rFonts w:ascii="Times New Roman" w:hAnsi="Times New Roman"/>
          <w:sz w:val="22"/>
          <w:szCs w:val="22"/>
        </w:rPr>
        <w:t>.</w:t>
      </w:r>
    </w:p>
    <w:p w14:paraId="27154275" w14:textId="77777777" w:rsidR="00B25380" w:rsidRDefault="00B25380" w:rsidP="00901D26">
      <w:pPr>
        <w:tabs>
          <w:tab w:val="left" w:pos="2490"/>
        </w:tabs>
        <w:ind w:right="-284"/>
        <w:rPr>
          <w:rFonts w:ascii="Times New Roman" w:hAnsi="Times New Roman"/>
          <w:sz w:val="22"/>
          <w:szCs w:val="22"/>
        </w:rPr>
      </w:pPr>
    </w:p>
    <w:p w14:paraId="75A34A48" w14:textId="77777777" w:rsidR="007231B2" w:rsidRPr="00511ED8" w:rsidRDefault="007231B2" w:rsidP="00901D26">
      <w:pPr>
        <w:ind w:right="-284"/>
        <w:rPr>
          <w:rFonts w:ascii="Times New Roman" w:hAnsi="Times New Roman"/>
          <w:b/>
          <w:sz w:val="22"/>
          <w:szCs w:val="22"/>
        </w:rPr>
      </w:pPr>
      <w:r w:rsidRPr="00511ED8">
        <w:rPr>
          <w:rFonts w:ascii="Times New Roman" w:hAnsi="Times New Roman"/>
          <w:b/>
          <w:sz w:val="22"/>
          <w:szCs w:val="22"/>
        </w:rPr>
        <w:t>C</w:t>
      </w:r>
      <w:r w:rsidR="00294A49" w:rsidRPr="00511ED8">
        <w:rPr>
          <w:rFonts w:ascii="Times New Roman" w:hAnsi="Times New Roman"/>
          <w:b/>
          <w:sz w:val="22"/>
          <w:szCs w:val="22"/>
        </w:rPr>
        <w:t>onsultation</w:t>
      </w:r>
    </w:p>
    <w:p w14:paraId="1465ACD0" w14:textId="77777777" w:rsidR="0030123E" w:rsidRPr="00511ED8" w:rsidRDefault="0030123E" w:rsidP="00901D26">
      <w:pPr>
        <w:ind w:right="-284"/>
        <w:rPr>
          <w:rFonts w:ascii="Times New Roman" w:hAnsi="Times New Roman"/>
          <w:sz w:val="22"/>
          <w:szCs w:val="22"/>
        </w:rPr>
      </w:pPr>
    </w:p>
    <w:p w14:paraId="1BA35665" w14:textId="77777777" w:rsidR="00A75AB3" w:rsidRDefault="00D870B6" w:rsidP="00263C03">
      <w:pPr>
        <w:ind w:right="-284"/>
        <w:rPr>
          <w:rFonts w:ascii="Times New Roman" w:hAnsi="Times New Roman"/>
          <w:sz w:val="22"/>
          <w:szCs w:val="22"/>
        </w:rPr>
      </w:pPr>
      <w:r>
        <w:rPr>
          <w:rFonts w:ascii="Times New Roman" w:hAnsi="Times New Roman"/>
          <w:sz w:val="22"/>
          <w:szCs w:val="22"/>
        </w:rPr>
        <w:t xml:space="preserve">Specific consultation was not </w:t>
      </w:r>
      <w:r w:rsidR="00582742">
        <w:rPr>
          <w:rFonts w:ascii="Times New Roman" w:hAnsi="Times New Roman"/>
          <w:sz w:val="22"/>
          <w:szCs w:val="22"/>
        </w:rPr>
        <w:t>considered necessary</w:t>
      </w:r>
      <w:r w:rsidR="00BC3ED2">
        <w:rPr>
          <w:rFonts w:ascii="Times New Roman" w:hAnsi="Times New Roman"/>
          <w:sz w:val="22"/>
          <w:szCs w:val="22"/>
        </w:rPr>
        <w:t>, and therefore not undertaken,</w:t>
      </w:r>
      <w:r w:rsidR="00582742">
        <w:rPr>
          <w:rFonts w:ascii="Times New Roman" w:hAnsi="Times New Roman"/>
          <w:sz w:val="22"/>
          <w:szCs w:val="22"/>
        </w:rPr>
        <w:t xml:space="preserve"> </w:t>
      </w:r>
      <w:r w:rsidR="00BC3ED2">
        <w:rPr>
          <w:rFonts w:ascii="Times New Roman" w:hAnsi="Times New Roman"/>
          <w:sz w:val="22"/>
          <w:szCs w:val="22"/>
        </w:rPr>
        <w:t>in relation to the making of this</w:t>
      </w:r>
      <w:r w:rsidR="00582742">
        <w:rPr>
          <w:rFonts w:ascii="Times New Roman" w:hAnsi="Times New Roman"/>
          <w:sz w:val="22"/>
          <w:szCs w:val="22"/>
        </w:rPr>
        <w:t xml:space="preserve"> Instrument</w:t>
      </w:r>
      <w:r w:rsidR="007044D7">
        <w:rPr>
          <w:rFonts w:ascii="Times New Roman" w:hAnsi="Times New Roman"/>
          <w:sz w:val="22"/>
          <w:szCs w:val="22"/>
        </w:rPr>
        <w:t xml:space="preserve">, principally </w:t>
      </w:r>
      <w:r w:rsidR="00A67A2A">
        <w:rPr>
          <w:rFonts w:ascii="Times New Roman" w:hAnsi="Times New Roman"/>
          <w:sz w:val="22"/>
          <w:szCs w:val="22"/>
        </w:rPr>
        <w:t xml:space="preserve">because </w:t>
      </w:r>
      <w:r w:rsidR="00262E37">
        <w:rPr>
          <w:rFonts w:ascii="Times New Roman" w:hAnsi="Times New Roman"/>
          <w:sz w:val="22"/>
          <w:szCs w:val="22"/>
        </w:rPr>
        <w:t xml:space="preserve">the Instrument </w:t>
      </w:r>
      <w:r w:rsidR="00B14E8F">
        <w:rPr>
          <w:rFonts w:ascii="Times New Roman" w:hAnsi="Times New Roman"/>
          <w:sz w:val="22"/>
          <w:szCs w:val="22"/>
        </w:rPr>
        <w:t xml:space="preserve">facilitates access to information that is ordinarily </w:t>
      </w:r>
      <w:r w:rsidR="00BC3ED2">
        <w:rPr>
          <w:rFonts w:ascii="Times New Roman" w:hAnsi="Times New Roman"/>
          <w:sz w:val="22"/>
          <w:szCs w:val="22"/>
        </w:rPr>
        <w:t xml:space="preserve">published </w:t>
      </w:r>
      <w:r w:rsidR="00B14E8F">
        <w:rPr>
          <w:rFonts w:ascii="Times New Roman" w:hAnsi="Times New Roman"/>
          <w:sz w:val="22"/>
          <w:szCs w:val="22"/>
        </w:rPr>
        <w:t xml:space="preserve">as a matter of course through other </w:t>
      </w:r>
      <w:r w:rsidR="001C4BF2">
        <w:rPr>
          <w:rFonts w:ascii="Times New Roman" w:hAnsi="Times New Roman"/>
          <w:sz w:val="22"/>
          <w:szCs w:val="22"/>
        </w:rPr>
        <w:t xml:space="preserve">means, including statutory and parliamentary </w:t>
      </w:r>
      <w:r w:rsidR="008B3A35">
        <w:rPr>
          <w:rFonts w:ascii="Times New Roman" w:hAnsi="Times New Roman"/>
          <w:sz w:val="22"/>
          <w:szCs w:val="22"/>
        </w:rPr>
        <w:t>processes</w:t>
      </w:r>
      <w:r w:rsidR="00B14E8F">
        <w:rPr>
          <w:rFonts w:ascii="Times New Roman" w:hAnsi="Times New Roman"/>
          <w:sz w:val="22"/>
          <w:szCs w:val="22"/>
        </w:rPr>
        <w:t>.</w:t>
      </w:r>
    </w:p>
    <w:p w14:paraId="64362852" w14:textId="77777777" w:rsidR="00A75AB3" w:rsidRDefault="00A75AB3" w:rsidP="00263C03">
      <w:pPr>
        <w:ind w:right="-284"/>
        <w:rPr>
          <w:rFonts w:ascii="Times New Roman" w:hAnsi="Times New Roman"/>
          <w:sz w:val="22"/>
          <w:szCs w:val="22"/>
        </w:rPr>
      </w:pPr>
    </w:p>
    <w:p w14:paraId="0CB5C482" w14:textId="77777777" w:rsidR="00A67A2A" w:rsidRDefault="00877086" w:rsidP="00D24870">
      <w:pPr>
        <w:ind w:right="-284"/>
        <w:rPr>
          <w:rFonts w:ascii="Times New Roman" w:hAnsi="Times New Roman"/>
          <w:sz w:val="22"/>
          <w:szCs w:val="22"/>
        </w:rPr>
      </w:pPr>
      <w:r>
        <w:rPr>
          <w:rFonts w:ascii="Times New Roman" w:hAnsi="Times New Roman"/>
          <w:sz w:val="22"/>
          <w:szCs w:val="22"/>
        </w:rPr>
        <w:t xml:space="preserve">In particular, the </w:t>
      </w:r>
      <w:r w:rsidR="00262E37">
        <w:rPr>
          <w:rFonts w:ascii="Times New Roman" w:hAnsi="Times New Roman"/>
          <w:sz w:val="22"/>
          <w:szCs w:val="22"/>
        </w:rPr>
        <w:t xml:space="preserve">Instrument </w:t>
      </w:r>
      <w:r w:rsidR="00A775FA">
        <w:rPr>
          <w:rFonts w:ascii="Times New Roman" w:hAnsi="Times New Roman"/>
          <w:sz w:val="22"/>
          <w:szCs w:val="22"/>
        </w:rPr>
        <w:t>facilitate</w:t>
      </w:r>
      <w:r w:rsidR="00B14E8F">
        <w:rPr>
          <w:rFonts w:ascii="Times New Roman" w:hAnsi="Times New Roman"/>
          <w:sz w:val="22"/>
          <w:szCs w:val="22"/>
        </w:rPr>
        <w:t>s</w:t>
      </w:r>
      <w:r w:rsidR="00A775FA">
        <w:rPr>
          <w:rFonts w:ascii="Times New Roman" w:hAnsi="Times New Roman"/>
          <w:sz w:val="22"/>
          <w:szCs w:val="22"/>
        </w:rPr>
        <w:t xml:space="preserve"> </w:t>
      </w:r>
      <w:r w:rsidR="00BC3ED2">
        <w:rPr>
          <w:rFonts w:ascii="Times New Roman" w:hAnsi="Times New Roman"/>
          <w:sz w:val="22"/>
          <w:szCs w:val="22"/>
        </w:rPr>
        <w:t xml:space="preserve">access to </w:t>
      </w:r>
      <w:r w:rsidR="00262E37">
        <w:rPr>
          <w:rFonts w:ascii="Times New Roman" w:hAnsi="Times New Roman"/>
          <w:sz w:val="22"/>
          <w:szCs w:val="22"/>
        </w:rPr>
        <w:t xml:space="preserve">information that is </w:t>
      </w:r>
      <w:r w:rsidR="00B040C1">
        <w:rPr>
          <w:rFonts w:ascii="Times New Roman" w:hAnsi="Times New Roman"/>
          <w:sz w:val="22"/>
          <w:szCs w:val="22"/>
        </w:rPr>
        <w:t>customarily</w:t>
      </w:r>
      <w:r w:rsidR="001C4BF2">
        <w:rPr>
          <w:rFonts w:ascii="Times New Roman" w:hAnsi="Times New Roman"/>
          <w:sz w:val="22"/>
          <w:szCs w:val="22"/>
        </w:rPr>
        <w:t xml:space="preserve"> </w:t>
      </w:r>
      <w:r w:rsidR="008B3A35">
        <w:rPr>
          <w:rFonts w:ascii="Times New Roman" w:hAnsi="Times New Roman"/>
          <w:sz w:val="22"/>
          <w:szCs w:val="22"/>
        </w:rPr>
        <w:t>released</w:t>
      </w:r>
      <w:r w:rsidR="00262E37">
        <w:rPr>
          <w:rFonts w:ascii="Times New Roman" w:hAnsi="Times New Roman"/>
          <w:sz w:val="22"/>
          <w:szCs w:val="22"/>
        </w:rPr>
        <w:t xml:space="preserve"> and published on </w:t>
      </w:r>
      <w:r w:rsidR="008B3A35">
        <w:rPr>
          <w:rFonts w:ascii="Times New Roman" w:hAnsi="Times New Roman"/>
          <w:sz w:val="22"/>
          <w:szCs w:val="22"/>
        </w:rPr>
        <w:t xml:space="preserve">the </w:t>
      </w:r>
      <w:r w:rsidR="00B237E3">
        <w:rPr>
          <w:rFonts w:ascii="Times New Roman" w:hAnsi="Times New Roman"/>
          <w:sz w:val="22"/>
          <w:szCs w:val="22"/>
        </w:rPr>
        <w:t>TGA’s FOI Disclosure Log</w:t>
      </w:r>
      <w:r w:rsidR="00262E37">
        <w:rPr>
          <w:rFonts w:ascii="Times New Roman" w:hAnsi="Times New Roman"/>
          <w:sz w:val="22"/>
          <w:szCs w:val="22"/>
        </w:rPr>
        <w:t xml:space="preserve"> in response to </w:t>
      </w:r>
      <w:r w:rsidR="00B040C1">
        <w:rPr>
          <w:rFonts w:ascii="Times New Roman" w:hAnsi="Times New Roman"/>
          <w:sz w:val="22"/>
          <w:szCs w:val="22"/>
        </w:rPr>
        <w:t xml:space="preserve">numerous </w:t>
      </w:r>
      <w:r>
        <w:rPr>
          <w:rFonts w:ascii="Times New Roman" w:hAnsi="Times New Roman"/>
          <w:sz w:val="22"/>
          <w:szCs w:val="22"/>
        </w:rPr>
        <w:t xml:space="preserve">FOI requests </w:t>
      </w:r>
      <w:r w:rsidR="00BC3ED2">
        <w:rPr>
          <w:rFonts w:ascii="Times New Roman" w:hAnsi="Times New Roman"/>
          <w:sz w:val="22"/>
          <w:szCs w:val="22"/>
        </w:rPr>
        <w:t>relating to the supply of medicinal cannabis products in Australia</w:t>
      </w:r>
      <w:r>
        <w:rPr>
          <w:rFonts w:ascii="Times New Roman" w:hAnsi="Times New Roman"/>
          <w:sz w:val="22"/>
          <w:szCs w:val="22"/>
        </w:rPr>
        <w:t>.</w:t>
      </w:r>
      <w:r w:rsidR="00A67A2A">
        <w:rPr>
          <w:rFonts w:ascii="Times New Roman" w:hAnsi="Times New Roman"/>
          <w:sz w:val="22"/>
          <w:szCs w:val="22"/>
        </w:rPr>
        <w:t xml:space="preserve">  In addition, the </w:t>
      </w:r>
      <w:r w:rsidR="00A775FA">
        <w:rPr>
          <w:rFonts w:ascii="Times New Roman" w:hAnsi="Times New Roman"/>
          <w:sz w:val="22"/>
          <w:szCs w:val="22"/>
        </w:rPr>
        <w:t xml:space="preserve">Instrument </w:t>
      </w:r>
      <w:r w:rsidR="00B14E8F">
        <w:rPr>
          <w:rFonts w:ascii="Times New Roman" w:hAnsi="Times New Roman"/>
          <w:sz w:val="22"/>
          <w:szCs w:val="22"/>
        </w:rPr>
        <w:t xml:space="preserve">facilitates </w:t>
      </w:r>
      <w:r w:rsidR="00A67A2A">
        <w:rPr>
          <w:rFonts w:ascii="Times New Roman" w:hAnsi="Times New Roman"/>
          <w:sz w:val="22"/>
          <w:szCs w:val="22"/>
        </w:rPr>
        <w:t xml:space="preserve">access to </w:t>
      </w:r>
      <w:r w:rsidR="00A775FA">
        <w:rPr>
          <w:rFonts w:ascii="Times New Roman" w:hAnsi="Times New Roman"/>
          <w:sz w:val="22"/>
          <w:szCs w:val="22"/>
        </w:rPr>
        <w:t xml:space="preserve">information </w:t>
      </w:r>
      <w:r w:rsidR="008B3A35">
        <w:rPr>
          <w:rFonts w:ascii="Times New Roman" w:hAnsi="Times New Roman"/>
          <w:sz w:val="22"/>
          <w:szCs w:val="22"/>
        </w:rPr>
        <w:t xml:space="preserve">that is routinely </w:t>
      </w:r>
      <w:r w:rsidR="00A775FA">
        <w:rPr>
          <w:rFonts w:ascii="Times New Roman" w:hAnsi="Times New Roman"/>
          <w:sz w:val="22"/>
          <w:szCs w:val="22"/>
        </w:rPr>
        <w:t xml:space="preserve">requested </w:t>
      </w:r>
      <w:r w:rsidR="00A67A2A">
        <w:rPr>
          <w:rFonts w:ascii="Times New Roman" w:hAnsi="Times New Roman"/>
          <w:sz w:val="22"/>
          <w:szCs w:val="22"/>
        </w:rPr>
        <w:t>through parliamentary process</w:t>
      </w:r>
      <w:r w:rsidR="008A038C">
        <w:rPr>
          <w:rFonts w:ascii="Times New Roman" w:hAnsi="Times New Roman"/>
          <w:sz w:val="22"/>
          <w:szCs w:val="22"/>
        </w:rPr>
        <w:t>es</w:t>
      </w:r>
      <w:r w:rsidR="001C4BF2">
        <w:rPr>
          <w:rFonts w:ascii="Times New Roman" w:hAnsi="Times New Roman"/>
          <w:sz w:val="22"/>
          <w:szCs w:val="22"/>
        </w:rPr>
        <w:t xml:space="preserve"> and </w:t>
      </w:r>
      <w:r w:rsidR="008B3A35">
        <w:rPr>
          <w:rFonts w:ascii="Times New Roman" w:hAnsi="Times New Roman"/>
          <w:sz w:val="22"/>
          <w:szCs w:val="22"/>
        </w:rPr>
        <w:t xml:space="preserve">subsequently </w:t>
      </w:r>
      <w:r w:rsidR="001C4BF2">
        <w:rPr>
          <w:rFonts w:ascii="Times New Roman" w:hAnsi="Times New Roman"/>
          <w:sz w:val="22"/>
          <w:szCs w:val="22"/>
        </w:rPr>
        <w:t xml:space="preserve">published </w:t>
      </w:r>
      <w:r w:rsidR="008B3A35">
        <w:rPr>
          <w:rFonts w:ascii="Times New Roman" w:hAnsi="Times New Roman"/>
          <w:sz w:val="22"/>
          <w:szCs w:val="22"/>
        </w:rPr>
        <w:t>in Hansard.</w:t>
      </w:r>
    </w:p>
    <w:p w14:paraId="3440663A" w14:textId="77777777" w:rsidR="00A67A2A" w:rsidRDefault="00A67A2A" w:rsidP="00D24870">
      <w:pPr>
        <w:ind w:right="-284"/>
        <w:rPr>
          <w:rFonts w:ascii="Times New Roman" w:hAnsi="Times New Roman"/>
          <w:sz w:val="22"/>
          <w:szCs w:val="22"/>
        </w:rPr>
      </w:pPr>
    </w:p>
    <w:p w14:paraId="259E7EFC" w14:textId="77777777" w:rsidR="00C60923" w:rsidRDefault="008B3A35" w:rsidP="00D24870">
      <w:pPr>
        <w:ind w:right="-284"/>
        <w:rPr>
          <w:rFonts w:ascii="Times New Roman" w:hAnsi="Times New Roman"/>
          <w:sz w:val="22"/>
          <w:szCs w:val="22"/>
        </w:rPr>
      </w:pPr>
      <w:r>
        <w:rPr>
          <w:rFonts w:ascii="Times New Roman" w:hAnsi="Times New Roman"/>
          <w:sz w:val="22"/>
          <w:szCs w:val="22"/>
        </w:rPr>
        <w:t>For example</w:t>
      </w:r>
      <w:r w:rsidR="008A038C">
        <w:rPr>
          <w:rFonts w:ascii="Times New Roman" w:hAnsi="Times New Roman"/>
          <w:sz w:val="22"/>
          <w:szCs w:val="22"/>
        </w:rPr>
        <w:t>,</w:t>
      </w:r>
      <w:r w:rsidR="00582742">
        <w:rPr>
          <w:rFonts w:ascii="Times New Roman" w:hAnsi="Times New Roman"/>
          <w:sz w:val="22"/>
          <w:szCs w:val="22"/>
        </w:rPr>
        <w:t xml:space="preserve"> </w:t>
      </w:r>
      <w:r w:rsidR="00A775FA">
        <w:rPr>
          <w:rFonts w:ascii="Times New Roman" w:hAnsi="Times New Roman"/>
          <w:sz w:val="22"/>
          <w:szCs w:val="22"/>
        </w:rPr>
        <w:t xml:space="preserve">the use of the AP, SAS A and SAS B pathways </w:t>
      </w:r>
      <w:r w:rsidR="00C60923">
        <w:rPr>
          <w:rFonts w:ascii="Times New Roman" w:hAnsi="Times New Roman"/>
          <w:sz w:val="22"/>
          <w:szCs w:val="22"/>
        </w:rPr>
        <w:t>for medicinal cannabis products</w:t>
      </w:r>
      <w:r w:rsidR="00582742">
        <w:rPr>
          <w:rFonts w:ascii="Times New Roman" w:hAnsi="Times New Roman"/>
          <w:sz w:val="22"/>
          <w:szCs w:val="22"/>
        </w:rPr>
        <w:t xml:space="preserve"> was considered </w:t>
      </w:r>
      <w:r w:rsidR="008A5E6B">
        <w:rPr>
          <w:rFonts w:ascii="Times New Roman" w:hAnsi="Times New Roman"/>
          <w:sz w:val="22"/>
          <w:szCs w:val="22"/>
        </w:rPr>
        <w:t xml:space="preserve">at the Senate Community Affairs Committee’s </w:t>
      </w:r>
      <w:r w:rsidR="00090A1A">
        <w:rPr>
          <w:rFonts w:ascii="Times New Roman" w:hAnsi="Times New Roman"/>
          <w:sz w:val="22"/>
          <w:szCs w:val="22"/>
        </w:rPr>
        <w:t>e</w:t>
      </w:r>
      <w:r w:rsidR="008A5E6B">
        <w:rPr>
          <w:rFonts w:ascii="Times New Roman" w:hAnsi="Times New Roman"/>
          <w:sz w:val="22"/>
          <w:szCs w:val="22"/>
        </w:rPr>
        <w:t>stimates hearing on 27 October 2020</w:t>
      </w:r>
      <w:r w:rsidR="003906EB">
        <w:rPr>
          <w:rFonts w:ascii="Times New Roman" w:hAnsi="Times New Roman"/>
          <w:sz w:val="22"/>
          <w:szCs w:val="22"/>
        </w:rPr>
        <w:t>.  T</w:t>
      </w:r>
      <w:r w:rsidR="00C60923">
        <w:rPr>
          <w:rFonts w:ascii="Times New Roman" w:hAnsi="Times New Roman"/>
          <w:sz w:val="22"/>
          <w:szCs w:val="22"/>
        </w:rPr>
        <w:t>he</w:t>
      </w:r>
      <w:r w:rsidR="00582742">
        <w:rPr>
          <w:rFonts w:ascii="Times New Roman" w:hAnsi="Times New Roman"/>
          <w:sz w:val="22"/>
          <w:szCs w:val="22"/>
        </w:rPr>
        <w:t> </w:t>
      </w:r>
      <w:r w:rsidR="00C60923">
        <w:rPr>
          <w:rFonts w:ascii="Times New Roman" w:hAnsi="Times New Roman"/>
          <w:sz w:val="22"/>
          <w:szCs w:val="22"/>
        </w:rPr>
        <w:t xml:space="preserve">response </w:t>
      </w:r>
      <w:r w:rsidR="00090A1A">
        <w:rPr>
          <w:rFonts w:ascii="Times New Roman" w:hAnsi="Times New Roman"/>
          <w:sz w:val="22"/>
          <w:szCs w:val="22"/>
        </w:rPr>
        <w:t xml:space="preserve">provided </w:t>
      </w:r>
      <w:r w:rsidR="00582742">
        <w:rPr>
          <w:rFonts w:ascii="Times New Roman" w:hAnsi="Times New Roman"/>
          <w:sz w:val="22"/>
          <w:szCs w:val="22"/>
        </w:rPr>
        <w:t xml:space="preserve">by the Department </w:t>
      </w:r>
      <w:r w:rsidR="00090A1A">
        <w:rPr>
          <w:rFonts w:ascii="Times New Roman" w:hAnsi="Times New Roman"/>
          <w:sz w:val="22"/>
          <w:szCs w:val="22"/>
        </w:rPr>
        <w:t xml:space="preserve">to the Committee </w:t>
      </w:r>
      <w:r>
        <w:rPr>
          <w:rFonts w:ascii="Times New Roman" w:hAnsi="Times New Roman"/>
          <w:sz w:val="22"/>
          <w:szCs w:val="22"/>
        </w:rPr>
        <w:t xml:space="preserve">included </w:t>
      </w:r>
      <w:r w:rsidR="00C60923">
        <w:rPr>
          <w:rFonts w:ascii="Times New Roman" w:hAnsi="Times New Roman"/>
          <w:sz w:val="22"/>
          <w:szCs w:val="22"/>
        </w:rPr>
        <w:t xml:space="preserve">the number of approvals across the </w:t>
      </w:r>
      <w:r w:rsidR="00FE62C8">
        <w:rPr>
          <w:rFonts w:ascii="Times New Roman" w:hAnsi="Times New Roman"/>
          <w:sz w:val="22"/>
          <w:szCs w:val="22"/>
        </w:rPr>
        <w:t>“</w:t>
      </w:r>
      <w:r w:rsidR="00C60923">
        <w:rPr>
          <w:rFonts w:ascii="Times New Roman" w:hAnsi="Times New Roman"/>
          <w:sz w:val="22"/>
          <w:szCs w:val="22"/>
        </w:rPr>
        <w:t>unapproved</w:t>
      </w:r>
      <w:r w:rsidR="00FE62C8">
        <w:rPr>
          <w:rFonts w:ascii="Times New Roman" w:hAnsi="Times New Roman"/>
          <w:sz w:val="22"/>
          <w:szCs w:val="22"/>
        </w:rPr>
        <w:t>”</w:t>
      </w:r>
      <w:r w:rsidR="00C60923">
        <w:rPr>
          <w:rFonts w:ascii="Times New Roman" w:hAnsi="Times New Roman"/>
          <w:sz w:val="22"/>
          <w:szCs w:val="22"/>
        </w:rPr>
        <w:t xml:space="preserve"> pathways since the </w:t>
      </w:r>
      <w:r w:rsidR="00582742">
        <w:rPr>
          <w:rFonts w:ascii="Times New Roman" w:hAnsi="Times New Roman"/>
          <w:sz w:val="22"/>
          <w:szCs w:val="22"/>
        </w:rPr>
        <w:t xml:space="preserve">inception </w:t>
      </w:r>
      <w:r w:rsidR="00C60923">
        <w:rPr>
          <w:rFonts w:ascii="Times New Roman" w:hAnsi="Times New Roman"/>
          <w:sz w:val="22"/>
          <w:szCs w:val="22"/>
        </w:rPr>
        <w:t>of the medicinal cannabis scheme</w:t>
      </w:r>
      <w:r w:rsidR="00582742">
        <w:rPr>
          <w:rFonts w:ascii="Times New Roman" w:hAnsi="Times New Roman"/>
          <w:sz w:val="22"/>
          <w:szCs w:val="22"/>
        </w:rPr>
        <w:t xml:space="preserve"> in Australia</w:t>
      </w:r>
      <w:r w:rsidR="00C60923">
        <w:rPr>
          <w:rFonts w:ascii="Times New Roman" w:hAnsi="Times New Roman"/>
          <w:sz w:val="22"/>
          <w:szCs w:val="22"/>
        </w:rPr>
        <w:t>.</w:t>
      </w:r>
    </w:p>
    <w:p w14:paraId="4C7A6110" w14:textId="77777777" w:rsidR="00C60923" w:rsidRDefault="00C60923" w:rsidP="008A5E6B">
      <w:pPr>
        <w:tabs>
          <w:tab w:val="left" w:pos="2490"/>
        </w:tabs>
        <w:ind w:right="-284"/>
        <w:rPr>
          <w:rFonts w:ascii="Times New Roman" w:hAnsi="Times New Roman"/>
          <w:sz w:val="22"/>
          <w:szCs w:val="22"/>
        </w:rPr>
      </w:pPr>
    </w:p>
    <w:p w14:paraId="0DEA82A6" w14:textId="77777777" w:rsidR="00B60C9E" w:rsidRDefault="008A5E6B">
      <w:pPr>
        <w:ind w:right="-284"/>
        <w:rPr>
          <w:rFonts w:ascii="Times New Roman" w:hAnsi="Times New Roman"/>
          <w:sz w:val="22"/>
          <w:szCs w:val="22"/>
        </w:rPr>
      </w:pPr>
      <w:r>
        <w:rPr>
          <w:rFonts w:ascii="Times New Roman" w:hAnsi="Times New Roman"/>
          <w:sz w:val="22"/>
          <w:szCs w:val="22"/>
        </w:rPr>
        <w:t xml:space="preserve">The </w:t>
      </w:r>
      <w:r w:rsidR="00A67A2A">
        <w:rPr>
          <w:rFonts w:ascii="Times New Roman" w:hAnsi="Times New Roman"/>
          <w:sz w:val="22"/>
          <w:szCs w:val="22"/>
        </w:rPr>
        <w:t xml:space="preserve">use </w:t>
      </w:r>
      <w:r w:rsidR="00FE62C8">
        <w:rPr>
          <w:rFonts w:ascii="Times New Roman" w:hAnsi="Times New Roman"/>
          <w:sz w:val="22"/>
          <w:szCs w:val="22"/>
        </w:rPr>
        <w:t xml:space="preserve">of the AP, </w:t>
      </w:r>
      <w:r>
        <w:rPr>
          <w:rFonts w:ascii="Times New Roman" w:hAnsi="Times New Roman"/>
          <w:sz w:val="22"/>
          <w:szCs w:val="22"/>
        </w:rPr>
        <w:t xml:space="preserve">SAS </w:t>
      </w:r>
      <w:r w:rsidR="00FE62C8">
        <w:rPr>
          <w:rFonts w:ascii="Times New Roman" w:hAnsi="Times New Roman"/>
          <w:sz w:val="22"/>
          <w:szCs w:val="22"/>
        </w:rPr>
        <w:t xml:space="preserve">A and SAS B </w:t>
      </w:r>
      <w:r>
        <w:rPr>
          <w:rFonts w:ascii="Times New Roman" w:hAnsi="Times New Roman"/>
          <w:sz w:val="22"/>
          <w:szCs w:val="22"/>
        </w:rPr>
        <w:t xml:space="preserve">pathways </w:t>
      </w:r>
      <w:r w:rsidR="00A67A2A">
        <w:rPr>
          <w:rFonts w:ascii="Times New Roman" w:hAnsi="Times New Roman"/>
          <w:sz w:val="22"/>
          <w:szCs w:val="22"/>
        </w:rPr>
        <w:t xml:space="preserve">for </w:t>
      </w:r>
      <w:r>
        <w:rPr>
          <w:rFonts w:ascii="Times New Roman" w:hAnsi="Times New Roman"/>
          <w:sz w:val="22"/>
          <w:szCs w:val="22"/>
        </w:rPr>
        <w:t xml:space="preserve">medicinal cannabis products </w:t>
      </w:r>
      <w:r w:rsidR="00582742">
        <w:rPr>
          <w:rFonts w:ascii="Times New Roman" w:hAnsi="Times New Roman"/>
          <w:sz w:val="22"/>
          <w:szCs w:val="22"/>
        </w:rPr>
        <w:t xml:space="preserve">(including numbers of prescribers in each state and territory) </w:t>
      </w:r>
      <w:r>
        <w:rPr>
          <w:rFonts w:ascii="Times New Roman" w:hAnsi="Times New Roman"/>
          <w:sz w:val="22"/>
          <w:szCs w:val="22"/>
        </w:rPr>
        <w:t xml:space="preserve">was also </w:t>
      </w:r>
      <w:r w:rsidR="00A67A2A">
        <w:rPr>
          <w:rFonts w:ascii="Times New Roman" w:hAnsi="Times New Roman"/>
          <w:sz w:val="22"/>
          <w:szCs w:val="22"/>
        </w:rPr>
        <w:t>discussed on 29 January 2020</w:t>
      </w:r>
      <w:r w:rsidR="00857C9A">
        <w:rPr>
          <w:rFonts w:ascii="Times New Roman" w:hAnsi="Times New Roman"/>
          <w:sz w:val="22"/>
          <w:szCs w:val="22"/>
        </w:rPr>
        <w:t xml:space="preserve"> </w:t>
      </w:r>
      <w:r>
        <w:rPr>
          <w:rFonts w:ascii="Times New Roman" w:hAnsi="Times New Roman"/>
          <w:sz w:val="22"/>
          <w:szCs w:val="22"/>
        </w:rPr>
        <w:t xml:space="preserve">at </w:t>
      </w:r>
      <w:r w:rsidR="00582742">
        <w:rPr>
          <w:rFonts w:ascii="Times New Roman" w:hAnsi="Times New Roman"/>
          <w:sz w:val="22"/>
          <w:szCs w:val="22"/>
        </w:rPr>
        <w:t>a</w:t>
      </w:r>
      <w:r>
        <w:rPr>
          <w:rFonts w:ascii="Times New Roman" w:hAnsi="Times New Roman"/>
          <w:sz w:val="22"/>
          <w:szCs w:val="22"/>
        </w:rPr>
        <w:t xml:space="preserve"> hearing of the Senate Community Affairs Reference Committee’s </w:t>
      </w:r>
      <w:r w:rsidR="00582742">
        <w:rPr>
          <w:rFonts w:ascii="Times New Roman" w:hAnsi="Times New Roman"/>
          <w:sz w:val="22"/>
          <w:szCs w:val="22"/>
        </w:rPr>
        <w:t>i</w:t>
      </w:r>
      <w:r>
        <w:rPr>
          <w:rFonts w:ascii="Times New Roman" w:hAnsi="Times New Roman"/>
          <w:sz w:val="22"/>
          <w:szCs w:val="22"/>
        </w:rPr>
        <w:t xml:space="preserve">nquiry into </w:t>
      </w:r>
      <w:r w:rsidR="00090A1A">
        <w:rPr>
          <w:rFonts w:ascii="Times New Roman" w:hAnsi="Times New Roman"/>
          <w:sz w:val="22"/>
          <w:szCs w:val="22"/>
        </w:rPr>
        <w:t>c</w:t>
      </w:r>
      <w:r>
        <w:rPr>
          <w:rFonts w:ascii="Times New Roman" w:hAnsi="Times New Roman"/>
          <w:sz w:val="22"/>
          <w:szCs w:val="22"/>
        </w:rPr>
        <w:t>urrent barriers to patient access to medicinal cannabis in Australia.</w:t>
      </w:r>
      <w:r w:rsidR="00A775FA" w:rsidRPr="00A775FA">
        <w:rPr>
          <w:rFonts w:ascii="Times New Roman" w:hAnsi="Times New Roman"/>
          <w:sz w:val="22"/>
          <w:szCs w:val="22"/>
        </w:rPr>
        <w:t xml:space="preserve"> </w:t>
      </w:r>
      <w:r w:rsidR="00A775FA">
        <w:rPr>
          <w:rFonts w:ascii="Times New Roman" w:hAnsi="Times New Roman"/>
          <w:sz w:val="22"/>
          <w:szCs w:val="22"/>
        </w:rPr>
        <w:t xml:space="preserve"> </w:t>
      </w:r>
      <w:proofErr w:type="gramStart"/>
      <w:r w:rsidR="00B237E3">
        <w:rPr>
          <w:rFonts w:ascii="Times New Roman" w:hAnsi="Times New Roman"/>
          <w:sz w:val="22"/>
          <w:szCs w:val="22"/>
        </w:rPr>
        <w:t>As a consequence of</w:t>
      </w:r>
      <w:proofErr w:type="gramEnd"/>
      <w:r w:rsidR="00B237E3">
        <w:rPr>
          <w:rFonts w:ascii="Times New Roman" w:hAnsi="Times New Roman"/>
          <w:sz w:val="22"/>
          <w:szCs w:val="22"/>
        </w:rPr>
        <w:t xml:space="preserve"> </w:t>
      </w:r>
      <w:r w:rsidR="00A67A2A">
        <w:rPr>
          <w:rFonts w:ascii="Times New Roman" w:hAnsi="Times New Roman"/>
          <w:sz w:val="22"/>
          <w:szCs w:val="22"/>
        </w:rPr>
        <w:t>that</w:t>
      </w:r>
      <w:r w:rsidR="00582742">
        <w:rPr>
          <w:rFonts w:ascii="Times New Roman" w:hAnsi="Times New Roman"/>
          <w:sz w:val="22"/>
          <w:szCs w:val="22"/>
        </w:rPr>
        <w:t xml:space="preserve"> inquiry</w:t>
      </w:r>
      <w:r w:rsidR="003906EB">
        <w:rPr>
          <w:rFonts w:ascii="Times New Roman" w:hAnsi="Times New Roman"/>
          <w:sz w:val="22"/>
          <w:szCs w:val="22"/>
        </w:rPr>
        <w:t xml:space="preserve">, </w:t>
      </w:r>
      <w:r w:rsidR="003E63C2">
        <w:rPr>
          <w:rFonts w:ascii="Times New Roman" w:hAnsi="Times New Roman"/>
          <w:sz w:val="22"/>
          <w:szCs w:val="22"/>
        </w:rPr>
        <w:t xml:space="preserve">the </w:t>
      </w:r>
      <w:r w:rsidR="00A775FA" w:rsidRPr="00A775FA">
        <w:rPr>
          <w:rFonts w:ascii="Times New Roman" w:hAnsi="Times New Roman"/>
          <w:sz w:val="22"/>
          <w:szCs w:val="22"/>
        </w:rPr>
        <w:t xml:space="preserve">Senate Community Affairs Reference </w:t>
      </w:r>
      <w:r w:rsidR="003E63C2">
        <w:rPr>
          <w:rFonts w:ascii="Times New Roman" w:hAnsi="Times New Roman"/>
          <w:sz w:val="22"/>
          <w:szCs w:val="22"/>
        </w:rPr>
        <w:t xml:space="preserve">Committee recommended that the TGA review and improve </w:t>
      </w:r>
      <w:r w:rsidR="00B237E3">
        <w:rPr>
          <w:rFonts w:ascii="Times New Roman" w:hAnsi="Times New Roman"/>
          <w:sz w:val="22"/>
          <w:szCs w:val="22"/>
        </w:rPr>
        <w:t xml:space="preserve">its </w:t>
      </w:r>
      <w:r w:rsidR="003E63C2">
        <w:rPr>
          <w:rFonts w:ascii="Times New Roman" w:hAnsi="Times New Roman"/>
          <w:sz w:val="22"/>
          <w:szCs w:val="22"/>
        </w:rPr>
        <w:t xml:space="preserve">resources for health professionals </w:t>
      </w:r>
      <w:r w:rsidR="00A67A2A">
        <w:rPr>
          <w:rFonts w:ascii="Times New Roman" w:hAnsi="Times New Roman"/>
          <w:sz w:val="22"/>
          <w:szCs w:val="22"/>
        </w:rPr>
        <w:t>regarding</w:t>
      </w:r>
      <w:r w:rsidR="003E63C2">
        <w:rPr>
          <w:rFonts w:ascii="Times New Roman" w:hAnsi="Times New Roman"/>
          <w:sz w:val="22"/>
          <w:szCs w:val="22"/>
        </w:rPr>
        <w:t xml:space="preserve"> the regulat</w:t>
      </w:r>
      <w:r w:rsidR="00582742">
        <w:rPr>
          <w:rFonts w:ascii="Times New Roman" w:hAnsi="Times New Roman"/>
          <w:sz w:val="22"/>
          <w:szCs w:val="22"/>
        </w:rPr>
        <w:t>ory process for accessing</w:t>
      </w:r>
      <w:r w:rsidR="003E63C2">
        <w:rPr>
          <w:rFonts w:ascii="Times New Roman" w:hAnsi="Times New Roman"/>
          <w:sz w:val="22"/>
          <w:szCs w:val="22"/>
        </w:rPr>
        <w:t xml:space="preserve"> medicinal cannabis through the </w:t>
      </w:r>
      <w:r w:rsidR="00FE62C8">
        <w:rPr>
          <w:rFonts w:ascii="Times New Roman" w:hAnsi="Times New Roman"/>
          <w:sz w:val="22"/>
          <w:szCs w:val="22"/>
        </w:rPr>
        <w:t>AP and </w:t>
      </w:r>
      <w:r w:rsidR="003E63C2">
        <w:rPr>
          <w:rFonts w:ascii="Times New Roman" w:hAnsi="Times New Roman"/>
          <w:sz w:val="22"/>
          <w:szCs w:val="22"/>
        </w:rPr>
        <w:t>SAS pathways</w:t>
      </w:r>
      <w:r w:rsidR="00B60C9E">
        <w:rPr>
          <w:rFonts w:ascii="Times New Roman" w:hAnsi="Times New Roman"/>
          <w:sz w:val="22"/>
          <w:szCs w:val="22"/>
        </w:rPr>
        <w:t xml:space="preserve"> (recommendation 6)</w:t>
      </w:r>
      <w:r w:rsidR="003E63C2">
        <w:rPr>
          <w:rFonts w:ascii="Times New Roman" w:hAnsi="Times New Roman"/>
          <w:sz w:val="22"/>
          <w:szCs w:val="22"/>
        </w:rPr>
        <w:t>.</w:t>
      </w:r>
      <w:r w:rsidR="00B237E3">
        <w:rPr>
          <w:rFonts w:ascii="Times New Roman" w:hAnsi="Times New Roman"/>
          <w:sz w:val="22"/>
          <w:szCs w:val="22"/>
        </w:rPr>
        <w:t xml:space="preserve">  </w:t>
      </w:r>
      <w:r w:rsidR="008B3A35">
        <w:rPr>
          <w:rFonts w:ascii="Times New Roman" w:hAnsi="Times New Roman"/>
          <w:sz w:val="22"/>
          <w:szCs w:val="22"/>
        </w:rPr>
        <w:t>This</w:t>
      </w:r>
      <w:r w:rsidR="003E63C2">
        <w:rPr>
          <w:rFonts w:ascii="Times New Roman" w:hAnsi="Times New Roman"/>
          <w:sz w:val="22"/>
          <w:szCs w:val="22"/>
        </w:rPr>
        <w:t xml:space="preserve"> </w:t>
      </w:r>
      <w:r w:rsidR="00A775FA">
        <w:rPr>
          <w:rFonts w:ascii="Times New Roman" w:hAnsi="Times New Roman"/>
          <w:sz w:val="22"/>
          <w:szCs w:val="22"/>
        </w:rPr>
        <w:t xml:space="preserve">Instrument </w:t>
      </w:r>
      <w:r w:rsidR="003E63C2">
        <w:rPr>
          <w:rFonts w:ascii="Times New Roman" w:hAnsi="Times New Roman"/>
          <w:sz w:val="22"/>
          <w:szCs w:val="22"/>
        </w:rPr>
        <w:t>complement</w:t>
      </w:r>
      <w:r w:rsidR="008B3A35">
        <w:rPr>
          <w:rFonts w:ascii="Times New Roman" w:hAnsi="Times New Roman"/>
          <w:sz w:val="22"/>
          <w:szCs w:val="22"/>
        </w:rPr>
        <w:t xml:space="preserve">s those </w:t>
      </w:r>
      <w:r w:rsidR="003E63C2">
        <w:rPr>
          <w:rFonts w:ascii="Times New Roman" w:hAnsi="Times New Roman"/>
          <w:sz w:val="22"/>
          <w:szCs w:val="22"/>
        </w:rPr>
        <w:t>improvements</w:t>
      </w:r>
      <w:r w:rsidR="00582742">
        <w:rPr>
          <w:rFonts w:ascii="Times New Roman" w:hAnsi="Times New Roman"/>
          <w:sz w:val="22"/>
          <w:szCs w:val="22"/>
        </w:rPr>
        <w:t xml:space="preserve"> </w:t>
      </w:r>
      <w:r w:rsidR="003E63C2">
        <w:rPr>
          <w:rFonts w:ascii="Times New Roman" w:hAnsi="Times New Roman"/>
          <w:sz w:val="22"/>
          <w:szCs w:val="22"/>
        </w:rPr>
        <w:t xml:space="preserve">by highlighting the numbers of </w:t>
      </w:r>
      <w:r w:rsidR="00FE62C8">
        <w:rPr>
          <w:rFonts w:ascii="Times New Roman" w:hAnsi="Times New Roman"/>
          <w:sz w:val="22"/>
          <w:szCs w:val="22"/>
        </w:rPr>
        <w:t xml:space="preserve">submissions relating to </w:t>
      </w:r>
      <w:r w:rsidR="003E63C2">
        <w:rPr>
          <w:rFonts w:ascii="Times New Roman" w:hAnsi="Times New Roman"/>
          <w:sz w:val="22"/>
          <w:szCs w:val="22"/>
        </w:rPr>
        <w:t>medicinal cannabis products that are</w:t>
      </w:r>
      <w:r w:rsidR="00FE62C8">
        <w:rPr>
          <w:rFonts w:ascii="Times New Roman" w:hAnsi="Times New Roman"/>
          <w:sz w:val="22"/>
          <w:szCs w:val="22"/>
        </w:rPr>
        <w:t xml:space="preserve"> supplied</w:t>
      </w:r>
      <w:r w:rsidR="003E63C2">
        <w:rPr>
          <w:rFonts w:ascii="Times New Roman" w:hAnsi="Times New Roman"/>
          <w:sz w:val="22"/>
          <w:szCs w:val="22"/>
        </w:rPr>
        <w:t xml:space="preserve"> through those pathways.</w:t>
      </w:r>
    </w:p>
    <w:p w14:paraId="78A2D9FE" w14:textId="77777777" w:rsidR="003906EB" w:rsidRDefault="003906EB" w:rsidP="00263C03">
      <w:pPr>
        <w:ind w:right="-284"/>
        <w:rPr>
          <w:rFonts w:ascii="Times New Roman" w:hAnsi="Times New Roman"/>
          <w:sz w:val="22"/>
          <w:szCs w:val="22"/>
        </w:rPr>
      </w:pPr>
    </w:p>
    <w:p w14:paraId="1A91CE40" w14:textId="77777777" w:rsidR="003906EB" w:rsidRDefault="003906EB" w:rsidP="00263C03">
      <w:pPr>
        <w:ind w:right="-284"/>
        <w:rPr>
          <w:rFonts w:ascii="Times New Roman" w:hAnsi="Times New Roman"/>
          <w:sz w:val="22"/>
          <w:szCs w:val="22"/>
        </w:rPr>
      </w:pPr>
      <w:r>
        <w:rPr>
          <w:rFonts w:ascii="Times New Roman" w:hAnsi="Times New Roman"/>
          <w:sz w:val="22"/>
          <w:szCs w:val="22"/>
        </w:rPr>
        <w:t xml:space="preserve">The provision of similar information </w:t>
      </w:r>
      <w:r w:rsidR="00090A1A">
        <w:rPr>
          <w:rFonts w:ascii="Times New Roman" w:hAnsi="Times New Roman"/>
          <w:sz w:val="22"/>
          <w:szCs w:val="22"/>
        </w:rPr>
        <w:t xml:space="preserve">in relation to medicinal cannabis products </w:t>
      </w:r>
      <w:r w:rsidR="00801FA6">
        <w:rPr>
          <w:rFonts w:ascii="Times New Roman" w:hAnsi="Times New Roman"/>
          <w:sz w:val="22"/>
          <w:szCs w:val="22"/>
        </w:rPr>
        <w:t xml:space="preserve">has </w:t>
      </w:r>
      <w:r>
        <w:rPr>
          <w:rFonts w:ascii="Times New Roman" w:hAnsi="Times New Roman"/>
          <w:sz w:val="22"/>
          <w:szCs w:val="22"/>
        </w:rPr>
        <w:t>also arise</w:t>
      </w:r>
      <w:r w:rsidR="00801FA6">
        <w:rPr>
          <w:rFonts w:ascii="Times New Roman" w:hAnsi="Times New Roman"/>
          <w:sz w:val="22"/>
          <w:szCs w:val="22"/>
        </w:rPr>
        <w:t>n</w:t>
      </w:r>
      <w:r>
        <w:rPr>
          <w:rFonts w:ascii="Times New Roman" w:hAnsi="Times New Roman"/>
          <w:sz w:val="22"/>
          <w:szCs w:val="22"/>
        </w:rPr>
        <w:t xml:space="preserve"> in the context of </w:t>
      </w:r>
      <w:r w:rsidR="00A67A2A">
        <w:rPr>
          <w:rFonts w:ascii="Times New Roman" w:hAnsi="Times New Roman"/>
          <w:sz w:val="22"/>
          <w:szCs w:val="22"/>
        </w:rPr>
        <w:t>parliamentary question time</w:t>
      </w:r>
      <w:r>
        <w:rPr>
          <w:rFonts w:ascii="Times New Roman" w:hAnsi="Times New Roman"/>
          <w:sz w:val="22"/>
          <w:szCs w:val="22"/>
        </w:rPr>
        <w:t xml:space="preserve">, for which access to medicinal cannabis products in Australia </w:t>
      </w:r>
      <w:r w:rsidR="001A0EAA">
        <w:rPr>
          <w:rFonts w:ascii="Times New Roman" w:hAnsi="Times New Roman"/>
          <w:sz w:val="22"/>
          <w:szCs w:val="22"/>
        </w:rPr>
        <w:t>is</w:t>
      </w:r>
      <w:r>
        <w:rPr>
          <w:rFonts w:ascii="Times New Roman" w:hAnsi="Times New Roman"/>
          <w:sz w:val="22"/>
          <w:szCs w:val="22"/>
        </w:rPr>
        <w:t xml:space="preserve"> a particular focus.</w:t>
      </w:r>
    </w:p>
    <w:p w14:paraId="66A23328" w14:textId="77777777" w:rsidR="003906EB" w:rsidRDefault="003906EB" w:rsidP="00263C03">
      <w:pPr>
        <w:ind w:right="-284"/>
        <w:rPr>
          <w:rFonts w:ascii="Times New Roman" w:hAnsi="Times New Roman"/>
          <w:sz w:val="22"/>
          <w:szCs w:val="22"/>
        </w:rPr>
      </w:pPr>
    </w:p>
    <w:p w14:paraId="7791716D" w14:textId="77777777" w:rsidR="003906EB" w:rsidRDefault="00E41182" w:rsidP="00263C03">
      <w:pPr>
        <w:ind w:right="-284"/>
        <w:rPr>
          <w:rFonts w:ascii="Times New Roman" w:hAnsi="Times New Roman"/>
          <w:sz w:val="22"/>
          <w:szCs w:val="22"/>
        </w:rPr>
      </w:pPr>
      <w:r>
        <w:rPr>
          <w:rFonts w:ascii="Times New Roman" w:hAnsi="Times New Roman"/>
          <w:sz w:val="22"/>
          <w:szCs w:val="22"/>
        </w:rPr>
        <w:lastRenderedPageBreak/>
        <w:t xml:space="preserve">The </w:t>
      </w:r>
      <w:r w:rsidR="001A0EAA">
        <w:rPr>
          <w:rFonts w:ascii="Times New Roman" w:hAnsi="Times New Roman"/>
          <w:sz w:val="22"/>
          <w:szCs w:val="22"/>
        </w:rPr>
        <w:t xml:space="preserve">Instrument </w:t>
      </w:r>
      <w:r w:rsidR="00A67A2A">
        <w:rPr>
          <w:rFonts w:ascii="Times New Roman" w:hAnsi="Times New Roman"/>
          <w:sz w:val="22"/>
          <w:szCs w:val="22"/>
        </w:rPr>
        <w:t>respond</w:t>
      </w:r>
      <w:r w:rsidR="007044D7">
        <w:rPr>
          <w:rFonts w:ascii="Times New Roman" w:hAnsi="Times New Roman"/>
          <w:sz w:val="22"/>
          <w:szCs w:val="22"/>
        </w:rPr>
        <w:t>s to the</w:t>
      </w:r>
      <w:r w:rsidR="008A038C">
        <w:rPr>
          <w:rFonts w:ascii="Times New Roman" w:hAnsi="Times New Roman"/>
          <w:sz w:val="22"/>
          <w:szCs w:val="22"/>
        </w:rPr>
        <w:t xml:space="preserve"> </w:t>
      </w:r>
      <w:r w:rsidR="007044D7">
        <w:rPr>
          <w:rFonts w:ascii="Times New Roman" w:hAnsi="Times New Roman"/>
          <w:sz w:val="22"/>
          <w:szCs w:val="22"/>
        </w:rPr>
        <w:t xml:space="preserve">public </w:t>
      </w:r>
      <w:r w:rsidR="00A67A2A">
        <w:rPr>
          <w:rFonts w:ascii="Times New Roman" w:hAnsi="Times New Roman"/>
          <w:sz w:val="22"/>
          <w:szCs w:val="22"/>
        </w:rPr>
        <w:t xml:space="preserve">interest </w:t>
      </w:r>
      <w:r w:rsidR="008A038C">
        <w:rPr>
          <w:rFonts w:ascii="Times New Roman" w:hAnsi="Times New Roman"/>
          <w:sz w:val="22"/>
          <w:szCs w:val="22"/>
        </w:rPr>
        <w:t xml:space="preserve">in medicinal cannabis products </w:t>
      </w:r>
      <w:r w:rsidR="00A67A2A">
        <w:rPr>
          <w:rFonts w:ascii="Times New Roman" w:hAnsi="Times New Roman"/>
          <w:sz w:val="22"/>
          <w:szCs w:val="22"/>
        </w:rPr>
        <w:t xml:space="preserve">by enabling </w:t>
      </w:r>
      <w:r>
        <w:rPr>
          <w:rFonts w:ascii="Times New Roman" w:hAnsi="Times New Roman"/>
          <w:sz w:val="22"/>
          <w:szCs w:val="22"/>
        </w:rPr>
        <w:t xml:space="preserve">greater, and more streamlined, access to information </w:t>
      </w:r>
      <w:r w:rsidR="001A0EAA">
        <w:rPr>
          <w:rFonts w:ascii="Times New Roman" w:hAnsi="Times New Roman"/>
          <w:sz w:val="22"/>
          <w:szCs w:val="22"/>
        </w:rPr>
        <w:t xml:space="preserve">regarding </w:t>
      </w:r>
      <w:r>
        <w:rPr>
          <w:rFonts w:ascii="Times New Roman" w:hAnsi="Times New Roman"/>
          <w:sz w:val="22"/>
          <w:szCs w:val="22"/>
        </w:rPr>
        <w:t xml:space="preserve">the supply of </w:t>
      </w:r>
      <w:r w:rsidR="008A038C">
        <w:rPr>
          <w:rFonts w:ascii="Times New Roman" w:hAnsi="Times New Roman"/>
          <w:sz w:val="22"/>
          <w:szCs w:val="22"/>
        </w:rPr>
        <w:t>those</w:t>
      </w:r>
      <w:r>
        <w:rPr>
          <w:rFonts w:ascii="Times New Roman" w:hAnsi="Times New Roman"/>
          <w:sz w:val="22"/>
          <w:szCs w:val="22"/>
        </w:rPr>
        <w:t xml:space="preserve"> products in Australia under the </w:t>
      </w:r>
      <w:r w:rsidR="001A0EAA">
        <w:rPr>
          <w:rFonts w:ascii="Times New Roman" w:hAnsi="Times New Roman"/>
          <w:sz w:val="22"/>
          <w:szCs w:val="22"/>
        </w:rPr>
        <w:t xml:space="preserve">AP, SAS A and SAS B </w:t>
      </w:r>
      <w:r>
        <w:rPr>
          <w:rFonts w:ascii="Times New Roman" w:hAnsi="Times New Roman"/>
          <w:sz w:val="22"/>
          <w:szCs w:val="22"/>
        </w:rPr>
        <w:t>pathways.</w:t>
      </w:r>
    </w:p>
    <w:p w14:paraId="21B95205" w14:textId="77777777" w:rsidR="00C612B9" w:rsidRDefault="00C612B9" w:rsidP="00263C03">
      <w:pPr>
        <w:ind w:right="-284"/>
        <w:rPr>
          <w:rFonts w:ascii="Times New Roman" w:hAnsi="Times New Roman"/>
          <w:sz w:val="22"/>
          <w:szCs w:val="22"/>
        </w:rPr>
      </w:pPr>
    </w:p>
    <w:p w14:paraId="5D8C4130" w14:textId="77777777" w:rsidR="00716896" w:rsidRPr="00511ED8" w:rsidRDefault="00397D36" w:rsidP="00263C03">
      <w:pPr>
        <w:ind w:right="-284"/>
        <w:rPr>
          <w:rFonts w:ascii="Times New Roman" w:hAnsi="Times New Roman"/>
          <w:sz w:val="22"/>
          <w:szCs w:val="22"/>
        </w:rPr>
      </w:pPr>
      <w:r>
        <w:rPr>
          <w:rFonts w:ascii="Times New Roman" w:hAnsi="Times New Roman"/>
          <w:sz w:val="22"/>
          <w:szCs w:val="22"/>
        </w:rPr>
        <w:t xml:space="preserve">A regulation impact statement was not required in relation to the development of the </w:t>
      </w:r>
      <w:r w:rsidR="001A0EAA">
        <w:rPr>
          <w:rFonts w:ascii="Times New Roman" w:hAnsi="Times New Roman"/>
          <w:sz w:val="22"/>
          <w:szCs w:val="22"/>
        </w:rPr>
        <w:t>Instrument</w:t>
      </w:r>
      <w:r>
        <w:rPr>
          <w:rFonts w:ascii="Times New Roman" w:hAnsi="Times New Roman"/>
          <w:sz w:val="22"/>
          <w:szCs w:val="22"/>
        </w:rPr>
        <w:t xml:space="preserve">, as the matter of specifying kinds of therapeutic goods information under section 61 of the Act is the subject of a standing exemption from the regulation impact statement process (OBPR ID </w:t>
      </w:r>
      <w:r w:rsidR="00C612B9">
        <w:rPr>
          <w:rFonts w:ascii="Times New Roman" w:hAnsi="Times New Roman"/>
          <w:sz w:val="22"/>
          <w:szCs w:val="22"/>
        </w:rPr>
        <w:t>1</w:t>
      </w:r>
      <w:r>
        <w:rPr>
          <w:rFonts w:ascii="Times New Roman" w:hAnsi="Times New Roman"/>
          <w:sz w:val="22"/>
          <w:szCs w:val="22"/>
        </w:rPr>
        <w:t>5070)</w:t>
      </w:r>
      <w:r w:rsidR="006D27CA">
        <w:rPr>
          <w:rFonts w:ascii="Times New Roman" w:hAnsi="Times New Roman"/>
          <w:sz w:val="22"/>
          <w:szCs w:val="22"/>
        </w:rPr>
        <w:t>.</w:t>
      </w:r>
    </w:p>
    <w:p w14:paraId="68ADB131" w14:textId="77777777" w:rsidR="004D4AFB" w:rsidRDefault="004D4AFB" w:rsidP="00C6699C">
      <w:pPr>
        <w:ind w:right="-284"/>
        <w:rPr>
          <w:rFonts w:ascii="Times New Roman" w:hAnsi="Times New Roman"/>
          <w:sz w:val="22"/>
          <w:szCs w:val="22"/>
        </w:rPr>
      </w:pPr>
    </w:p>
    <w:p w14:paraId="6A738E13" w14:textId="77777777" w:rsidR="00C82EBF" w:rsidRPr="00511ED8" w:rsidRDefault="00C82EBF" w:rsidP="00C82EBF">
      <w:pPr>
        <w:ind w:right="-284"/>
        <w:rPr>
          <w:rFonts w:ascii="Times New Roman" w:hAnsi="Times New Roman"/>
          <w:sz w:val="22"/>
          <w:szCs w:val="22"/>
        </w:rPr>
      </w:pPr>
      <w:r w:rsidRPr="00511ED8">
        <w:rPr>
          <w:rFonts w:ascii="Times New Roman" w:hAnsi="Times New Roman"/>
          <w:sz w:val="22"/>
          <w:szCs w:val="22"/>
        </w:rPr>
        <w:t xml:space="preserve">Details of the </w:t>
      </w:r>
      <w:r w:rsidR="008A038C">
        <w:rPr>
          <w:rFonts w:ascii="Times New Roman" w:hAnsi="Times New Roman"/>
          <w:sz w:val="22"/>
          <w:szCs w:val="22"/>
        </w:rPr>
        <w:t>Instrument</w:t>
      </w:r>
      <w:r w:rsidR="008A038C" w:rsidRPr="00511ED8">
        <w:rPr>
          <w:rFonts w:ascii="Times New Roman" w:hAnsi="Times New Roman"/>
          <w:sz w:val="22"/>
          <w:szCs w:val="22"/>
        </w:rPr>
        <w:t xml:space="preserve"> </w:t>
      </w:r>
      <w:r w:rsidRPr="00511ED8">
        <w:rPr>
          <w:rFonts w:ascii="Times New Roman" w:hAnsi="Times New Roman"/>
          <w:sz w:val="22"/>
          <w:szCs w:val="22"/>
        </w:rPr>
        <w:t xml:space="preserve">are set out in </w:t>
      </w:r>
      <w:r w:rsidRPr="00511ED8">
        <w:rPr>
          <w:rFonts w:ascii="Times New Roman" w:hAnsi="Times New Roman"/>
          <w:b/>
          <w:sz w:val="22"/>
          <w:szCs w:val="22"/>
        </w:rPr>
        <w:t>Attachment A.</w:t>
      </w:r>
    </w:p>
    <w:p w14:paraId="6E1E509B" w14:textId="77777777" w:rsidR="00C82EBF" w:rsidRPr="00511ED8" w:rsidRDefault="00C82EBF" w:rsidP="00C82EBF">
      <w:pPr>
        <w:ind w:right="-284"/>
        <w:rPr>
          <w:rFonts w:ascii="Times New Roman" w:hAnsi="Times New Roman"/>
          <w:sz w:val="22"/>
          <w:szCs w:val="22"/>
        </w:rPr>
      </w:pPr>
    </w:p>
    <w:p w14:paraId="1C07451E" w14:textId="77777777" w:rsidR="00294A49" w:rsidRPr="00511ED8" w:rsidRDefault="00294A49" w:rsidP="00C6699C">
      <w:pPr>
        <w:ind w:right="-284"/>
        <w:rPr>
          <w:rFonts w:ascii="Times New Roman" w:hAnsi="Times New Roman"/>
          <w:sz w:val="22"/>
          <w:szCs w:val="22"/>
        </w:rPr>
      </w:pPr>
      <w:r w:rsidRPr="00511ED8">
        <w:rPr>
          <w:rFonts w:ascii="Times New Roman" w:hAnsi="Times New Roman"/>
          <w:sz w:val="22"/>
          <w:szCs w:val="22"/>
        </w:rPr>
        <w:t xml:space="preserve">The </w:t>
      </w:r>
      <w:r w:rsidR="008A038C">
        <w:rPr>
          <w:rFonts w:ascii="Times New Roman" w:hAnsi="Times New Roman"/>
          <w:sz w:val="22"/>
          <w:szCs w:val="22"/>
        </w:rPr>
        <w:t>Instrument</w:t>
      </w:r>
      <w:r w:rsidR="008A038C" w:rsidRPr="00511ED8">
        <w:rPr>
          <w:rFonts w:ascii="Times New Roman" w:hAnsi="Times New Roman"/>
          <w:sz w:val="22"/>
          <w:szCs w:val="22"/>
        </w:rPr>
        <w:t xml:space="preserve"> </w:t>
      </w:r>
      <w:r w:rsidRPr="00511ED8">
        <w:rPr>
          <w:rFonts w:ascii="Times New Roman" w:hAnsi="Times New Roman"/>
          <w:sz w:val="22"/>
          <w:szCs w:val="22"/>
        </w:rPr>
        <w:t>is compatible with human rights and freedoms recognised or declared under section</w:t>
      </w:r>
      <w:r w:rsidR="00630B37">
        <w:rPr>
          <w:rFonts w:ascii="Times New Roman" w:hAnsi="Times New Roman"/>
          <w:sz w:val="22"/>
          <w:szCs w:val="22"/>
        </w:rPr>
        <w:t> </w:t>
      </w:r>
      <w:r w:rsidRPr="00511ED8">
        <w:rPr>
          <w:rFonts w:ascii="Times New Roman" w:hAnsi="Times New Roman"/>
          <w:sz w:val="22"/>
          <w:szCs w:val="22"/>
        </w:rPr>
        <w:t xml:space="preserve">3 of the </w:t>
      </w:r>
      <w:r w:rsidRPr="00511ED8">
        <w:rPr>
          <w:rFonts w:ascii="Times New Roman" w:hAnsi="Times New Roman"/>
          <w:i/>
          <w:sz w:val="22"/>
          <w:szCs w:val="22"/>
        </w:rPr>
        <w:t>Human Rights (Parliamentary Scrutiny) Act 2011</w:t>
      </w:r>
      <w:r w:rsidRPr="00511ED8">
        <w:rPr>
          <w:rFonts w:ascii="Times New Roman" w:hAnsi="Times New Roman"/>
          <w:sz w:val="22"/>
          <w:szCs w:val="22"/>
        </w:rPr>
        <w:t>.</w:t>
      </w:r>
      <w:r w:rsidR="00B465FE">
        <w:rPr>
          <w:rFonts w:ascii="Times New Roman" w:hAnsi="Times New Roman"/>
          <w:sz w:val="22"/>
          <w:szCs w:val="22"/>
        </w:rPr>
        <w:t xml:space="preserve"> </w:t>
      </w:r>
      <w:r w:rsidRPr="00511ED8">
        <w:rPr>
          <w:rFonts w:ascii="Times New Roman" w:hAnsi="Times New Roman"/>
          <w:sz w:val="22"/>
          <w:szCs w:val="22"/>
        </w:rPr>
        <w:t xml:space="preserve"> A full statement of compatibility is set out in </w:t>
      </w:r>
      <w:r w:rsidRPr="00511ED8">
        <w:rPr>
          <w:rFonts w:ascii="Times New Roman" w:hAnsi="Times New Roman"/>
          <w:b/>
          <w:sz w:val="22"/>
          <w:szCs w:val="22"/>
        </w:rPr>
        <w:t>Attachment B.</w:t>
      </w:r>
    </w:p>
    <w:p w14:paraId="5DF35EA6" w14:textId="77777777" w:rsidR="00294A49" w:rsidRPr="00511ED8" w:rsidRDefault="00294A49" w:rsidP="00901D26">
      <w:pPr>
        <w:ind w:right="-284"/>
        <w:rPr>
          <w:rFonts w:ascii="Times New Roman" w:hAnsi="Times New Roman"/>
          <w:sz w:val="22"/>
          <w:szCs w:val="22"/>
        </w:rPr>
      </w:pPr>
    </w:p>
    <w:p w14:paraId="5C82DC79" w14:textId="77777777" w:rsidR="00A36EFF" w:rsidRPr="00511ED8" w:rsidRDefault="00CC7CE5" w:rsidP="00901D26">
      <w:pPr>
        <w:ind w:right="-284"/>
        <w:rPr>
          <w:rFonts w:ascii="Times New Roman" w:hAnsi="Times New Roman"/>
          <w:sz w:val="22"/>
          <w:szCs w:val="22"/>
        </w:rPr>
      </w:pPr>
      <w:r w:rsidRPr="00511ED8">
        <w:rPr>
          <w:rFonts w:ascii="Times New Roman" w:hAnsi="Times New Roman"/>
          <w:sz w:val="22"/>
          <w:szCs w:val="22"/>
        </w:rPr>
        <w:t xml:space="preserve">The </w:t>
      </w:r>
      <w:r w:rsidR="008A038C">
        <w:rPr>
          <w:rFonts w:ascii="Times New Roman" w:hAnsi="Times New Roman"/>
          <w:sz w:val="22"/>
          <w:szCs w:val="22"/>
        </w:rPr>
        <w:t>Instrument</w:t>
      </w:r>
      <w:r w:rsidR="008A038C" w:rsidRPr="00511ED8">
        <w:rPr>
          <w:rFonts w:ascii="Times New Roman" w:hAnsi="Times New Roman"/>
          <w:sz w:val="22"/>
          <w:szCs w:val="22"/>
        </w:rPr>
        <w:t xml:space="preserve"> </w:t>
      </w:r>
      <w:r w:rsidRPr="00511ED8">
        <w:rPr>
          <w:rFonts w:ascii="Times New Roman" w:hAnsi="Times New Roman"/>
          <w:sz w:val="22"/>
          <w:szCs w:val="22"/>
        </w:rPr>
        <w:t>is a disallowable legislative instrument</w:t>
      </w:r>
      <w:r w:rsidRPr="00511ED8">
        <w:rPr>
          <w:rFonts w:ascii="Times New Roman" w:hAnsi="Times New Roman"/>
          <w:i/>
          <w:sz w:val="22"/>
          <w:szCs w:val="22"/>
        </w:rPr>
        <w:t xml:space="preserve"> </w:t>
      </w:r>
      <w:r w:rsidR="00FB154A" w:rsidRPr="00511ED8">
        <w:rPr>
          <w:rFonts w:ascii="Times New Roman" w:hAnsi="Times New Roman"/>
          <w:sz w:val="22"/>
          <w:szCs w:val="22"/>
        </w:rPr>
        <w:t xml:space="preserve">for the purposes of the </w:t>
      </w:r>
      <w:r w:rsidR="00FB154A" w:rsidRPr="00511ED8">
        <w:rPr>
          <w:rFonts w:ascii="Times New Roman" w:hAnsi="Times New Roman"/>
          <w:i/>
          <w:sz w:val="22"/>
          <w:szCs w:val="22"/>
        </w:rPr>
        <w:t xml:space="preserve">Legislation Act 2003 </w:t>
      </w:r>
      <w:r w:rsidRPr="00511ED8">
        <w:rPr>
          <w:rFonts w:ascii="Times New Roman" w:hAnsi="Times New Roman"/>
          <w:sz w:val="22"/>
          <w:szCs w:val="22"/>
        </w:rPr>
        <w:t xml:space="preserve">and commences </w:t>
      </w:r>
      <w:r w:rsidR="00B75111">
        <w:rPr>
          <w:rFonts w:ascii="Times New Roman" w:hAnsi="Times New Roman"/>
          <w:sz w:val="22"/>
          <w:szCs w:val="22"/>
        </w:rPr>
        <w:t>the day after registration</w:t>
      </w:r>
      <w:r w:rsidR="000E65E9">
        <w:rPr>
          <w:rFonts w:ascii="Times New Roman" w:hAnsi="Times New Roman"/>
          <w:sz w:val="22"/>
          <w:szCs w:val="22"/>
        </w:rPr>
        <w:t xml:space="preserve"> </w:t>
      </w:r>
      <w:r w:rsidRPr="00511ED8">
        <w:rPr>
          <w:rFonts w:ascii="Times New Roman" w:hAnsi="Times New Roman"/>
          <w:sz w:val="22"/>
          <w:szCs w:val="22"/>
        </w:rPr>
        <w:t>on the Federal Register of Legislation.</w:t>
      </w:r>
    </w:p>
    <w:p w14:paraId="2350E374" w14:textId="77777777" w:rsidR="00294A49" w:rsidRPr="00511ED8" w:rsidRDefault="00A36EFF" w:rsidP="003B432D">
      <w:pPr>
        <w:spacing w:after="200" w:line="276" w:lineRule="auto"/>
        <w:jc w:val="right"/>
        <w:rPr>
          <w:rFonts w:ascii="Times New Roman" w:hAnsi="Times New Roman"/>
          <w:sz w:val="22"/>
          <w:szCs w:val="22"/>
        </w:rPr>
      </w:pPr>
      <w:r w:rsidRPr="00511ED8">
        <w:rPr>
          <w:rFonts w:ascii="Times New Roman" w:hAnsi="Times New Roman"/>
          <w:sz w:val="22"/>
          <w:szCs w:val="22"/>
        </w:rPr>
        <w:br w:type="page"/>
      </w:r>
      <w:r w:rsidR="00294A49" w:rsidRPr="00511ED8">
        <w:rPr>
          <w:rFonts w:ascii="Times New Roman" w:hAnsi="Times New Roman"/>
          <w:b/>
          <w:bCs/>
          <w:sz w:val="22"/>
          <w:szCs w:val="22"/>
        </w:rPr>
        <w:lastRenderedPageBreak/>
        <w:t>Attachment A</w:t>
      </w:r>
    </w:p>
    <w:p w14:paraId="71329648" w14:textId="77777777" w:rsidR="00294A49" w:rsidRPr="00511ED8" w:rsidRDefault="00294A49" w:rsidP="00901D26">
      <w:pPr>
        <w:ind w:right="-284"/>
        <w:rPr>
          <w:rFonts w:ascii="Times New Roman" w:hAnsi="Times New Roman"/>
          <w:b/>
          <w:bCs/>
          <w:sz w:val="22"/>
          <w:szCs w:val="22"/>
        </w:rPr>
      </w:pPr>
    </w:p>
    <w:p w14:paraId="3CBC2A63" w14:textId="77777777" w:rsidR="00294A49" w:rsidRPr="00511ED8" w:rsidRDefault="00294A49" w:rsidP="00901D26">
      <w:pPr>
        <w:ind w:right="-284"/>
        <w:rPr>
          <w:rFonts w:ascii="Times New Roman" w:hAnsi="Times New Roman"/>
          <w:b/>
          <w:bCs/>
          <w:i/>
          <w:sz w:val="22"/>
          <w:szCs w:val="22"/>
        </w:rPr>
      </w:pPr>
      <w:r w:rsidRPr="00511ED8">
        <w:rPr>
          <w:rFonts w:ascii="Times New Roman" w:hAnsi="Times New Roman"/>
          <w:b/>
          <w:bCs/>
          <w:sz w:val="22"/>
          <w:szCs w:val="22"/>
        </w:rPr>
        <w:t xml:space="preserve">Details of the </w:t>
      </w:r>
      <w:r w:rsidR="00064CC7" w:rsidRPr="00511ED8">
        <w:rPr>
          <w:rFonts w:ascii="Times New Roman" w:hAnsi="Times New Roman"/>
          <w:b/>
          <w:bCs/>
          <w:i/>
          <w:sz w:val="22"/>
          <w:szCs w:val="22"/>
        </w:rPr>
        <w:t>The</w:t>
      </w:r>
      <w:r w:rsidR="003B432D" w:rsidRPr="00511ED8">
        <w:rPr>
          <w:rFonts w:ascii="Times New Roman" w:hAnsi="Times New Roman"/>
          <w:b/>
          <w:bCs/>
          <w:i/>
          <w:sz w:val="22"/>
          <w:szCs w:val="22"/>
        </w:rPr>
        <w:t>rapeutic Goods (</w:t>
      </w:r>
      <w:r w:rsidR="00B75111">
        <w:rPr>
          <w:rFonts w:ascii="Times New Roman" w:hAnsi="Times New Roman"/>
          <w:b/>
          <w:bCs/>
          <w:i/>
          <w:sz w:val="22"/>
          <w:szCs w:val="22"/>
        </w:rPr>
        <w:t>Medicinal Cannabis Products</w:t>
      </w:r>
      <w:r w:rsidR="00E41182">
        <w:rPr>
          <w:rFonts w:ascii="Times New Roman" w:hAnsi="Times New Roman"/>
          <w:b/>
          <w:bCs/>
          <w:i/>
          <w:sz w:val="22"/>
          <w:szCs w:val="22"/>
        </w:rPr>
        <w:t>)</w:t>
      </w:r>
      <w:r w:rsidR="00B75111">
        <w:rPr>
          <w:rFonts w:ascii="Times New Roman" w:hAnsi="Times New Roman"/>
          <w:b/>
          <w:bCs/>
          <w:i/>
          <w:sz w:val="22"/>
          <w:szCs w:val="22"/>
        </w:rPr>
        <w:t xml:space="preserve"> </w:t>
      </w:r>
      <w:r w:rsidR="00E41182">
        <w:rPr>
          <w:rFonts w:ascii="Times New Roman" w:hAnsi="Times New Roman"/>
          <w:b/>
          <w:bCs/>
          <w:i/>
          <w:sz w:val="22"/>
          <w:szCs w:val="22"/>
        </w:rPr>
        <w:t>(</w:t>
      </w:r>
      <w:r w:rsidR="00B75111">
        <w:rPr>
          <w:rFonts w:ascii="Times New Roman" w:hAnsi="Times New Roman"/>
          <w:b/>
          <w:bCs/>
          <w:i/>
          <w:sz w:val="22"/>
          <w:szCs w:val="22"/>
        </w:rPr>
        <w:t>Information) Specification 2021</w:t>
      </w:r>
    </w:p>
    <w:p w14:paraId="19B2F6E7" w14:textId="77777777" w:rsidR="00294A49" w:rsidRPr="00511ED8" w:rsidRDefault="00294A49" w:rsidP="00901D26">
      <w:pPr>
        <w:ind w:right="-284"/>
        <w:rPr>
          <w:rFonts w:ascii="Times New Roman" w:hAnsi="Times New Roman"/>
          <w:b/>
          <w:bCs/>
          <w:i/>
          <w:sz w:val="22"/>
          <w:szCs w:val="22"/>
        </w:rPr>
      </w:pPr>
    </w:p>
    <w:p w14:paraId="01B6B4B8" w14:textId="77777777" w:rsidR="00294A49" w:rsidRPr="00511ED8" w:rsidRDefault="00B279BF" w:rsidP="00901D26">
      <w:pPr>
        <w:ind w:right="-284"/>
        <w:rPr>
          <w:rFonts w:ascii="Times New Roman" w:hAnsi="Times New Roman"/>
          <w:b/>
          <w:bCs/>
          <w:sz w:val="22"/>
          <w:szCs w:val="22"/>
        </w:rPr>
      </w:pPr>
      <w:r w:rsidRPr="00511ED8">
        <w:rPr>
          <w:rFonts w:ascii="Times New Roman" w:hAnsi="Times New Roman"/>
          <w:b/>
          <w:bCs/>
          <w:sz w:val="22"/>
          <w:szCs w:val="22"/>
        </w:rPr>
        <w:t xml:space="preserve">Section </w:t>
      </w:r>
      <w:proofErr w:type="gramStart"/>
      <w:r w:rsidRPr="00511ED8">
        <w:rPr>
          <w:rFonts w:ascii="Times New Roman" w:hAnsi="Times New Roman"/>
          <w:b/>
          <w:bCs/>
          <w:sz w:val="22"/>
          <w:szCs w:val="22"/>
        </w:rPr>
        <w:t>1  Name</w:t>
      </w:r>
      <w:proofErr w:type="gramEnd"/>
    </w:p>
    <w:p w14:paraId="593F9E2E" w14:textId="77777777" w:rsidR="00B279BF" w:rsidRPr="00511ED8" w:rsidRDefault="00B279BF" w:rsidP="00901D26">
      <w:pPr>
        <w:ind w:right="-284"/>
        <w:rPr>
          <w:rFonts w:ascii="Times New Roman" w:hAnsi="Times New Roman"/>
          <w:b/>
          <w:bCs/>
          <w:sz w:val="22"/>
          <w:szCs w:val="22"/>
        </w:rPr>
      </w:pPr>
    </w:p>
    <w:p w14:paraId="78A43269" w14:textId="77777777" w:rsidR="00B279BF" w:rsidRPr="00511ED8" w:rsidRDefault="00B279BF" w:rsidP="00901D26">
      <w:pPr>
        <w:ind w:right="-284"/>
        <w:rPr>
          <w:rFonts w:ascii="Times New Roman" w:hAnsi="Times New Roman"/>
          <w:sz w:val="22"/>
          <w:szCs w:val="22"/>
        </w:rPr>
      </w:pPr>
      <w:r w:rsidRPr="00511ED8">
        <w:rPr>
          <w:rFonts w:ascii="Times New Roman" w:hAnsi="Times New Roman"/>
          <w:sz w:val="22"/>
          <w:szCs w:val="22"/>
        </w:rPr>
        <w:t>This section provides that the name of th</w:t>
      </w:r>
      <w:r w:rsidR="00846A95" w:rsidRPr="00511ED8">
        <w:rPr>
          <w:rFonts w:ascii="Times New Roman" w:hAnsi="Times New Roman"/>
          <w:sz w:val="22"/>
          <w:szCs w:val="22"/>
        </w:rPr>
        <w:t>e</w:t>
      </w:r>
      <w:r w:rsidRPr="00511ED8">
        <w:rPr>
          <w:rFonts w:ascii="Times New Roman" w:hAnsi="Times New Roman"/>
          <w:sz w:val="22"/>
          <w:szCs w:val="22"/>
        </w:rPr>
        <w:t xml:space="preserve"> </w:t>
      </w:r>
      <w:r w:rsidR="006B539F" w:rsidRPr="00511ED8">
        <w:rPr>
          <w:rFonts w:ascii="Times New Roman" w:hAnsi="Times New Roman"/>
          <w:sz w:val="22"/>
          <w:szCs w:val="22"/>
        </w:rPr>
        <w:t xml:space="preserve">instrument </w:t>
      </w:r>
      <w:r w:rsidRPr="00511ED8">
        <w:rPr>
          <w:rFonts w:ascii="Times New Roman" w:hAnsi="Times New Roman"/>
          <w:sz w:val="22"/>
          <w:szCs w:val="22"/>
        </w:rPr>
        <w:t xml:space="preserve">is the </w:t>
      </w:r>
      <w:r w:rsidR="003B432D" w:rsidRPr="00511ED8">
        <w:rPr>
          <w:i/>
          <w:sz w:val="22"/>
          <w:szCs w:val="22"/>
        </w:rPr>
        <w:t>Therapeutic Goods (</w:t>
      </w:r>
      <w:r w:rsidR="00B75111">
        <w:rPr>
          <w:i/>
          <w:sz w:val="22"/>
          <w:szCs w:val="22"/>
        </w:rPr>
        <w:t>Medicinal Cannabis Products</w:t>
      </w:r>
      <w:r w:rsidR="00E41182">
        <w:rPr>
          <w:i/>
          <w:sz w:val="22"/>
          <w:szCs w:val="22"/>
        </w:rPr>
        <w:t>)</w:t>
      </w:r>
      <w:r w:rsidR="00B75111">
        <w:rPr>
          <w:i/>
          <w:sz w:val="22"/>
          <w:szCs w:val="22"/>
        </w:rPr>
        <w:t xml:space="preserve"> </w:t>
      </w:r>
      <w:r w:rsidR="00E41182">
        <w:rPr>
          <w:i/>
          <w:sz w:val="22"/>
          <w:szCs w:val="22"/>
        </w:rPr>
        <w:t>(</w:t>
      </w:r>
      <w:r w:rsidR="00B75111">
        <w:rPr>
          <w:i/>
          <w:sz w:val="22"/>
          <w:szCs w:val="22"/>
        </w:rPr>
        <w:t>Information</w:t>
      </w:r>
      <w:r w:rsidR="003B432D" w:rsidRPr="00511ED8">
        <w:rPr>
          <w:i/>
          <w:sz w:val="22"/>
          <w:szCs w:val="22"/>
        </w:rPr>
        <w:t>) Specification 202</w:t>
      </w:r>
      <w:r w:rsidR="00B75111">
        <w:rPr>
          <w:i/>
          <w:sz w:val="22"/>
          <w:szCs w:val="22"/>
        </w:rPr>
        <w:t>1</w:t>
      </w:r>
      <w:r w:rsidR="00625284" w:rsidRPr="00511ED8">
        <w:rPr>
          <w:rFonts w:ascii="Times New Roman" w:hAnsi="Times New Roman"/>
          <w:sz w:val="22"/>
          <w:szCs w:val="22"/>
        </w:rPr>
        <w:t xml:space="preserve"> </w:t>
      </w:r>
      <w:r w:rsidR="006B539F" w:rsidRPr="00511ED8">
        <w:rPr>
          <w:rFonts w:ascii="Times New Roman" w:hAnsi="Times New Roman"/>
          <w:sz w:val="22"/>
          <w:szCs w:val="22"/>
        </w:rPr>
        <w:t xml:space="preserve">(“the </w:t>
      </w:r>
      <w:r w:rsidR="00A67A2A">
        <w:rPr>
          <w:rFonts w:ascii="Times New Roman" w:hAnsi="Times New Roman"/>
          <w:sz w:val="22"/>
          <w:szCs w:val="22"/>
        </w:rPr>
        <w:t>Instrument</w:t>
      </w:r>
      <w:r w:rsidR="006B539F" w:rsidRPr="00511ED8">
        <w:rPr>
          <w:rFonts w:ascii="Times New Roman" w:hAnsi="Times New Roman"/>
          <w:sz w:val="22"/>
          <w:szCs w:val="22"/>
        </w:rPr>
        <w:t>”)</w:t>
      </w:r>
      <w:r w:rsidRPr="00511ED8">
        <w:rPr>
          <w:rFonts w:ascii="Times New Roman" w:hAnsi="Times New Roman"/>
          <w:sz w:val="22"/>
          <w:szCs w:val="22"/>
        </w:rPr>
        <w:t>.</w:t>
      </w:r>
    </w:p>
    <w:p w14:paraId="4E2EE5F9" w14:textId="77777777" w:rsidR="00B279BF" w:rsidRPr="00511ED8" w:rsidRDefault="00B279BF" w:rsidP="00901D26">
      <w:pPr>
        <w:ind w:right="-284"/>
        <w:rPr>
          <w:rFonts w:ascii="Times New Roman" w:hAnsi="Times New Roman"/>
          <w:bCs/>
          <w:sz w:val="22"/>
          <w:szCs w:val="22"/>
        </w:rPr>
      </w:pPr>
    </w:p>
    <w:p w14:paraId="783956CC" w14:textId="77777777" w:rsidR="00B279BF" w:rsidRPr="00511ED8" w:rsidRDefault="00B279BF" w:rsidP="00901D26">
      <w:pPr>
        <w:ind w:right="-284"/>
        <w:rPr>
          <w:rFonts w:ascii="Times New Roman" w:hAnsi="Times New Roman"/>
          <w:b/>
          <w:bCs/>
          <w:sz w:val="22"/>
          <w:szCs w:val="22"/>
        </w:rPr>
      </w:pPr>
      <w:r w:rsidRPr="00511ED8">
        <w:rPr>
          <w:rFonts w:ascii="Times New Roman" w:hAnsi="Times New Roman"/>
          <w:b/>
          <w:bCs/>
          <w:sz w:val="22"/>
          <w:szCs w:val="22"/>
        </w:rPr>
        <w:t xml:space="preserve">Section </w:t>
      </w:r>
      <w:proofErr w:type="gramStart"/>
      <w:r w:rsidRPr="00511ED8">
        <w:rPr>
          <w:rFonts w:ascii="Times New Roman" w:hAnsi="Times New Roman"/>
          <w:b/>
          <w:bCs/>
          <w:sz w:val="22"/>
          <w:szCs w:val="22"/>
        </w:rPr>
        <w:t>2  Commencement</w:t>
      </w:r>
      <w:proofErr w:type="gramEnd"/>
    </w:p>
    <w:p w14:paraId="4AC3CC0A" w14:textId="77777777" w:rsidR="00B279BF" w:rsidRPr="00511ED8" w:rsidRDefault="00B279BF" w:rsidP="00901D26">
      <w:pPr>
        <w:ind w:right="-284"/>
        <w:rPr>
          <w:rFonts w:ascii="Times New Roman" w:hAnsi="Times New Roman"/>
          <w:bCs/>
          <w:sz w:val="22"/>
          <w:szCs w:val="22"/>
        </w:rPr>
      </w:pPr>
    </w:p>
    <w:p w14:paraId="54778641" w14:textId="77777777" w:rsidR="00B279BF" w:rsidRPr="00511ED8" w:rsidRDefault="00B279BF" w:rsidP="00901D26">
      <w:pPr>
        <w:ind w:right="-284"/>
        <w:rPr>
          <w:rFonts w:ascii="Times New Roman" w:hAnsi="Times New Roman"/>
          <w:bCs/>
          <w:sz w:val="22"/>
          <w:szCs w:val="22"/>
        </w:rPr>
      </w:pPr>
      <w:r w:rsidRPr="00511ED8">
        <w:rPr>
          <w:rFonts w:ascii="Times New Roman" w:hAnsi="Times New Roman"/>
          <w:bCs/>
          <w:sz w:val="22"/>
          <w:szCs w:val="22"/>
        </w:rPr>
        <w:t xml:space="preserve">This section provides that </w:t>
      </w:r>
      <w:r w:rsidR="00846A95" w:rsidRPr="00511ED8">
        <w:rPr>
          <w:rFonts w:ascii="Times New Roman" w:hAnsi="Times New Roman"/>
          <w:bCs/>
          <w:sz w:val="22"/>
          <w:szCs w:val="22"/>
        </w:rPr>
        <w:t xml:space="preserve">the </w:t>
      </w:r>
      <w:r w:rsidR="00A67A2A">
        <w:rPr>
          <w:rFonts w:ascii="Times New Roman" w:hAnsi="Times New Roman"/>
          <w:bCs/>
          <w:sz w:val="22"/>
          <w:szCs w:val="22"/>
        </w:rPr>
        <w:t>Instrument</w:t>
      </w:r>
      <w:r w:rsidR="00A67A2A" w:rsidRPr="00511ED8">
        <w:rPr>
          <w:rFonts w:ascii="Times New Roman" w:hAnsi="Times New Roman"/>
          <w:bCs/>
          <w:sz w:val="22"/>
          <w:szCs w:val="22"/>
        </w:rPr>
        <w:t xml:space="preserve"> </w:t>
      </w:r>
      <w:r w:rsidR="00846A95" w:rsidRPr="00511ED8">
        <w:rPr>
          <w:rFonts w:ascii="Times New Roman" w:hAnsi="Times New Roman"/>
          <w:bCs/>
          <w:sz w:val="22"/>
          <w:szCs w:val="22"/>
        </w:rPr>
        <w:t>commences</w:t>
      </w:r>
      <w:r w:rsidR="007727E7" w:rsidRPr="00511ED8">
        <w:rPr>
          <w:rFonts w:ascii="Times New Roman" w:hAnsi="Times New Roman"/>
          <w:bCs/>
          <w:sz w:val="22"/>
          <w:szCs w:val="22"/>
        </w:rPr>
        <w:t xml:space="preserve"> </w:t>
      </w:r>
      <w:r w:rsidR="00B75111">
        <w:rPr>
          <w:rFonts w:ascii="Times New Roman" w:hAnsi="Times New Roman"/>
          <w:bCs/>
          <w:sz w:val="22"/>
          <w:szCs w:val="22"/>
        </w:rPr>
        <w:t>the day after</w:t>
      </w:r>
      <w:r w:rsidR="00F648F8">
        <w:rPr>
          <w:rFonts w:ascii="Times New Roman" w:hAnsi="Times New Roman"/>
          <w:bCs/>
          <w:sz w:val="22"/>
          <w:szCs w:val="22"/>
        </w:rPr>
        <w:t xml:space="preserve"> </w:t>
      </w:r>
      <w:r w:rsidR="00A67A2A">
        <w:rPr>
          <w:rFonts w:ascii="Times New Roman" w:hAnsi="Times New Roman"/>
          <w:bCs/>
          <w:sz w:val="22"/>
          <w:szCs w:val="22"/>
        </w:rPr>
        <w:t>it</w:t>
      </w:r>
      <w:r w:rsidR="00F648F8">
        <w:rPr>
          <w:rFonts w:ascii="Times New Roman" w:hAnsi="Times New Roman"/>
          <w:bCs/>
          <w:sz w:val="22"/>
          <w:szCs w:val="22"/>
        </w:rPr>
        <w:t xml:space="preserve"> is</w:t>
      </w:r>
      <w:r w:rsidR="00B75111">
        <w:rPr>
          <w:rFonts w:ascii="Times New Roman" w:hAnsi="Times New Roman"/>
          <w:bCs/>
          <w:sz w:val="22"/>
          <w:szCs w:val="22"/>
        </w:rPr>
        <w:t xml:space="preserve"> regist</w:t>
      </w:r>
      <w:r w:rsidR="00F648F8">
        <w:rPr>
          <w:rFonts w:ascii="Times New Roman" w:hAnsi="Times New Roman"/>
          <w:bCs/>
          <w:sz w:val="22"/>
          <w:szCs w:val="22"/>
        </w:rPr>
        <w:t>ered</w:t>
      </w:r>
      <w:r w:rsidR="00B75111">
        <w:rPr>
          <w:rFonts w:ascii="Times New Roman" w:hAnsi="Times New Roman"/>
          <w:bCs/>
          <w:sz w:val="22"/>
          <w:szCs w:val="22"/>
        </w:rPr>
        <w:t xml:space="preserve"> on the Federal Register of Legislation</w:t>
      </w:r>
      <w:r w:rsidR="00F9121A">
        <w:rPr>
          <w:rFonts w:ascii="Times New Roman" w:hAnsi="Times New Roman"/>
          <w:bCs/>
          <w:sz w:val="22"/>
          <w:szCs w:val="22"/>
        </w:rPr>
        <w:t>.</w:t>
      </w:r>
    </w:p>
    <w:p w14:paraId="086657AA" w14:textId="77777777" w:rsidR="00B279BF" w:rsidRPr="00511ED8" w:rsidRDefault="00B279BF" w:rsidP="00901D26">
      <w:pPr>
        <w:ind w:right="-284"/>
        <w:rPr>
          <w:rFonts w:ascii="Times New Roman" w:hAnsi="Times New Roman"/>
          <w:bCs/>
          <w:sz w:val="22"/>
          <w:szCs w:val="22"/>
        </w:rPr>
      </w:pPr>
    </w:p>
    <w:p w14:paraId="593DC563" w14:textId="77777777" w:rsidR="00B279BF" w:rsidRPr="00511ED8" w:rsidRDefault="00B279BF" w:rsidP="00901D26">
      <w:pPr>
        <w:ind w:right="-284"/>
        <w:rPr>
          <w:rFonts w:ascii="Times New Roman" w:hAnsi="Times New Roman"/>
          <w:b/>
          <w:bCs/>
          <w:sz w:val="22"/>
          <w:szCs w:val="22"/>
        </w:rPr>
      </w:pPr>
      <w:r w:rsidRPr="00511ED8">
        <w:rPr>
          <w:rFonts w:ascii="Times New Roman" w:hAnsi="Times New Roman"/>
          <w:b/>
          <w:bCs/>
          <w:sz w:val="22"/>
          <w:szCs w:val="22"/>
        </w:rPr>
        <w:t xml:space="preserve">Section </w:t>
      </w:r>
      <w:proofErr w:type="gramStart"/>
      <w:r w:rsidRPr="00511ED8">
        <w:rPr>
          <w:rFonts w:ascii="Times New Roman" w:hAnsi="Times New Roman"/>
          <w:b/>
          <w:bCs/>
          <w:sz w:val="22"/>
          <w:szCs w:val="22"/>
        </w:rPr>
        <w:t>3  Authority</w:t>
      </w:r>
      <w:proofErr w:type="gramEnd"/>
    </w:p>
    <w:p w14:paraId="31CA3C62" w14:textId="77777777" w:rsidR="00B279BF" w:rsidRPr="00511ED8" w:rsidRDefault="00B279BF" w:rsidP="00901D26">
      <w:pPr>
        <w:ind w:right="-284"/>
        <w:rPr>
          <w:rFonts w:ascii="Times New Roman" w:hAnsi="Times New Roman"/>
          <w:b/>
          <w:bCs/>
          <w:sz w:val="22"/>
          <w:szCs w:val="22"/>
        </w:rPr>
      </w:pPr>
    </w:p>
    <w:p w14:paraId="367B5824" w14:textId="77777777" w:rsidR="00B279BF" w:rsidRPr="00511ED8" w:rsidRDefault="00B279BF" w:rsidP="00901D26">
      <w:pPr>
        <w:ind w:right="-284"/>
        <w:rPr>
          <w:rFonts w:ascii="Times New Roman" w:hAnsi="Times New Roman"/>
          <w:bCs/>
          <w:sz w:val="22"/>
          <w:szCs w:val="22"/>
        </w:rPr>
      </w:pPr>
      <w:r w:rsidRPr="00511ED8">
        <w:rPr>
          <w:rFonts w:ascii="Times New Roman" w:hAnsi="Times New Roman"/>
          <w:bCs/>
          <w:sz w:val="22"/>
          <w:szCs w:val="22"/>
        </w:rPr>
        <w:t xml:space="preserve">This section </w:t>
      </w:r>
      <w:r w:rsidR="00B07040" w:rsidRPr="00511ED8">
        <w:rPr>
          <w:rFonts w:ascii="Times New Roman" w:hAnsi="Times New Roman"/>
          <w:bCs/>
          <w:sz w:val="22"/>
          <w:szCs w:val="22"/>
        </w:rPr>
        <w:t xml:space="preserve">provides that </w:t>
      </w:r>
      <w:r w:rsidR="00846A95" w:rsidRPr="00511ED8">
        <w:rPr>
          <w:rFonts w:ascii="Times New Roman" w:hAnsi="Times New Roman"/>
          <w:bCs/>
          <w:sz w:val="22"/>
          <w:szCs w:val="22"/>
        </w:rPr>
        <w:t xml:space="preserve">the legislative authority for making the </w:t>
      </w:r>
      <w:r w:rsidR="008A038C">
        <w:rPr>
          <w:rFonts w:ascii="Times New Roman" w:hAnsi="Times New Roman"/>
          <w:bCs/>
          <w:sz w:val="22"/>
          <w:szCs w:val="22"/>
        </w:rPr>
        <w:t>Instrument</w:t>
      </w:r>
      <w:r w:rsidR="008A038C" w:rsidRPr="00511ED8">
        <w:rPr>
          <w:rFonts w:ascii="Times New Roman" w:hAnsi="Times New Roman"/>
          <w:bCs/>
          <w:sz w:val="22"/>
          <w:szCs w:val="22"/>
        </w:rPr>
        <w:t xml:space="preserve"> </w:t>
      </w:r>
      <w:r w:rsidR="00846A95" w:rsidRPr="00511ED8">
        <w:rPr>
          <w:rFonts w:ascii="Times New Roman" w:hAnsi="Times New Roman"/>
          <w:bCs/>
          <w:sz w:val="22"/>
          <w:szCs w:val="22"/>
        </w:rPr>
        <w:t xml:space="preserve">is subsection </w:t>
      </w:r>
      <w:r w:rsidR="00CF4A5D" w:rsidRPr="00511ED8">
        <w:rPr>
          <w:rFonts w:ascii="Times New Roman" w:hAnsi="Times New Roman"/>
          <w:bCs/>
          <w:sz w:val="22"/>
          <w:szCs w:val="22"/>
        </w:rPr>
        <w:t>61(5D</w:t>
      </w:r>
      <w:r w:rsidR="00846A95" w:rsidRPr="00511ED8">
        <w:rPr>
          <w:rFonts w:ascii="Times New Roman" w:hAnsi="Times New Roman"/>
          <w:bCs/>
          <w:sz w:val="22"/>
          <w:szCs w:val="22"/>
        </w:rPr>
        <w:t xml:space="preserve">) of the </w:t>
      </w:r>
      <w:r w:rsidR="00846A95" w:rsidRPr="00511ED8">
        <w:rPr>
          <w:rFonts w:ascii="Times New Roman" w:hAnsi="Times New Roman"/>
          <w:bCs/>
          <w:i/>
          <w:sz w:val="22"/>
          <w:szCs w:val="22"/>
        </w:rPr>
        <w:t>Therapeutic Goods Act 1989</w:t>
      </w:r>
      <w:r w:rsidR="00F6558B" w:rsidRPr="00511ED8">
        <w:rPr>
          <w:rFonts w:ascii="Times New Roman" w:hAnsi="Times New Roman"/>
          <w:bCs/>
          <w:i/>
          <w:sz w:val="22"/>
          <w:szCs w:val="22"/>
        </w:rPr>
        <w:t xml:space="preserve"> </w:t>
      </w:r>
      <w:r w:rsidR="00F6558B" w:rsidRPr="00511ED8">
        <w:rPr>
          <w:rFonts w:ascii="Times New Roman" w:hAnsi="Times New Roman"/>
          <w:bCs/>
          <w:sz w:val="22"/>
          <w:szCs w:val="22"/>
        </w:rPr>
        <w:t>(“the Act”)</w:t>
      </w:r>
      <w:r w:rsidR="00846A95" w:rsidRPr="00511ED8">
        <w:rPr>
          <w:rFonts w:ascii="Times New Roman" w:hAnsi="Times New Roman"/>
          <w:bCs/>
          <w:sz w:val="22"/>
          <w:szCs w:val="22"/>
        </w:rPr>
        <w:t>.</w:t>
      </w:r>
    </w:p>
    <w:p w14:paraId="34F11D11" w14:textId="77777777" w:rsidR="00B279BF" w:rsidRPr="00511ED8" w:rsidRDefault="00B279BF" w:rsidP="00901D26">
      <w:pPr>
        <w:ind w:right="-284"/>
        <w:rPr>
          <w:rFonts w:ascii="Times New Roman" w:hAnsi="Times New Roman"/>
          <w:bCs/>
          <w:sz w:val="22"/>
          <w:szCs w:val="22"/>
        </w:rPr>
      </w:pPr>
    </w:p>
    <w:p w14:paraId="20F4F3AA" w14:textId="77777777" w:rsidR="00B279BF" w:rsidRPr="00511ED8" w:rsidRDefault="00B279BF" w:rsidP="00901D26">
      <w:pPr>
        <w:ind w:right="-284"/>
        <w:rPr>
          <w:rFonts w:ascii="Times New Roman" w:hAnsi="Times New Roman"/>
          <w:b/>
          <w:bCs/>
          <w:sz w:val="22"/>
          <w:szCs w:val="22"/>
        </w:rPr>
      </w:pPr>
      <w:r w:rsidRPr="00511ED8">
        <w:rPr>
          <w:rFonts w:ascii="Times New Roman" w:hAnsi="Times New Roman"/>
          <w:b/>
          <w:bCs/>
          <w:sz w:val="22"/>
          <w:szCs w:val="22"/>
        </w:rPr>
        <w:t xml:space="preserve">Section </w:t>
      </w:r>
      <w:proofErr w:type="gramStart"/>
      <w:r w:rsidRPr="00511ED8">
        <w:rPr>
          <w:rFonts w:ascii="Times New Roman" w:hAnsi="Times New Roman"/>
          <w:b/>
          <w:bCs/>
          <w:sz w:val="22"/>
          <w:szCs w:val="22"/>
        </w:rPr>
        <w:t xml:space="preserve">4  </w:t>
      </w:r>
      <w:r w:rsidR="00B620DF" w:rsidRPr="00511ED8">
        <w:rPr>
          <w:rFonts w:ascii="Times New Roman" w:hAnsi="Times New Roman"/>
          <w:b/>
          <w:bCs/>
          <w:sz w:val="22"/>
          <w:szCs w:val="22"/>
        </w:rPr>
        <w:t>Definitions</w:t>
      </w:r>
      <w:proofErr w:type="gramEnd"/>
    </w:p>
    <w:p w14:paraId="7034761B" w14:textId="77777777" w:rsidR="00B279BF" w:rsidRPr="00511ED8" w:rsidRDefault="00B279BF" w:rsidP="00901D26">
      <w:pPr>
        <w:ind w:right="-284"/>
        <w:rPr>
          <w:rFonts w:ascii="Times New Roman" w:hAnsi="Times New Roman"/>
          <w:bCs/>
          <w:sz w:val="22"/>
          <w:szCs w:val="22"/>
        </w:rPr>
      </w:pPr>
    </w:p>
    <w:p w14:paraId="27A3D03D" w14:textId="77777777" w:rsidR="00B620DF" w:rsidRPr="00511ED8" w:rsidRDefault="00BE7572" w:rsidP="00901D26">
      <w:pPr>
        <w:ind w:right="-284"/>
        <w:rPr>
          <w:rFonts w:ascii="Times New Roman" w:hAnsi="Times New Roman"/>
          <w:bCs/>
          <w:sz w:val="22"/>
          <w:szCs w:val="22"/>
        </w:rPr>
      </w:pPr>
      <w:r w:rsidRPr="00511ED8">
        <w:rPr>
          <w:rFonts w:ascii="Times New Roman" w:hAnsi="Times New Roman"/>
          <w:bCs/>
          <w:sz w:val="22"/>
          <w:szCs w:val="22"/>
        </w:rPr>
        <w:t xml:space="preserve">This section </w:t>
      </w:r>
      <w:r w:rsidR="007F4DB1" w:rsidRPr="00511ED8">
        <w:rPr>
          <w:rFonts w:ascii="Times New Roman" w:hAnsi="Times New Roman"/>
          <w:bCs/>
          <w:sz w:val="22"/>
          <w:szCs w:val="22"/>
        </w:rPr>
        <w:t>provides</w:t>
      </w:r>
      <w:r w:rsidR="00630B37">
        <w:rPr>
          <w:rFonts w:ascii="Times New Roman" w:hAnsi="Times New Roman"/>
          <w:bCs/>
          <w:sz w:val="22"/>
          <w:szCs w:val="22"/>
        </w:rPr>
        <w:t xml:space="preserve"> the</w:t>
      </w:r>
      <w:r w:rsidR="007F4DB1" w:rsidRPr="00511ED8">
        <w:rPr>
          <w:rFonts w:ascii="Times New Roman" w:hAnsi="Times New Roman"/>
          <w:bCs/>
          <w:sz w:val="22"/>
          <w:szCs w:val="22"/>
        </w:rPr>
        <w:t xml:space="preserve"> definitions for </w:t>
      </w:r>
      <w:r w:rsidR="00B620DF" w:rsidRPr="00511ED8">
        <w:rPr>
          <w:rFonts w:ascii="Times New Roman" w:hAnsi="Times New Roman"/>
          <w:bCs/>
          <w:sz w:val="22"/>
          <w:szCs w:val="22"/>
        </w:rPr>
        <w:t xml:space="preserve">certain terms </w:t>
      </w:r>
      <w:r w:rsidR="007F4DB1" w:rsidRPr="00511ED8">
        <w:rPr>
          <w:rFonts w:ascii="Times New Roman" w:hAnsi="Times New Roman"/>
          <w:bCs/>
          <w:sz w:val="22"/>
          <w:szCs w:val="22"/>
        </w:rPr>
        <w:t xml:space="preserve">used in </w:t>
      </w:r>
      <w:r w:rsidRPr="00511ED8">
        <w:rPr>
          <w:rFonts w:ascii="Times New Roman" w:hAnsi="Times New Roman"/>
          <w:bCs/>
          <w:sz w:val="22"/>
          <w:szCs w:val="22"/>
        </w:rPr>
        <w:t>t</w:t>
      </w:r>
      <w:r w:rsidR="00B620DF" w:rsidRPr="00511ED8">
        <w:rPr>
          <w:rFonts w:ascii="Times New Roman" w:hAnsi="Times New Roman"/>
          <w:bCs/>
          <w:sz w:val="22"/>
          <w:szCs w:val="22"/>
        </w:rPr>
        <w:t xml:space="preserve">he </w:t>
      </w:r>
      <w:r w:rsidR="008A038C">
        <w:rPr>
          <w:rFonts w:ascii="Times New Roman" w:hAnsi="Times New Roman"/>
          <w:bCs/>
          <w:sz w:val="22"/>
          <w:szCs w:val="22"/>
        </w:rPr>
        <w:t>Instrument</w:t>
      </w:r>
      <w:r w:rsidRPr="00511ED8">
        <w:rPr>
          <w:rFonts w:ascii="Times New Roman" w:hAnsi="Times New Roman"/>
          <w:bCs/>
          <w:sz w:val="22"/>
          <w:szCs w:val="22"/>
        </w:rPr>
        <w:t xml:space="preserve">, including </w:t>
      </w:r>
      <w:r w:rsidR="000475CB" w:rsidRPr="00511ED8">
        <w:rPr>
          <w:rFonts w:ascii="Times New Roman" w:hAnsi="Times New Roman"/>
          <w:bCs/>
          <w:sz w:val="22"/>
          <w:szCs w:val="22"/>
        </w:rPr>
        <w:t>‘</w:t>
      </w:r>
      <w:r w:rsidR="00B75111">
        <w:rPr>
          <w:rFonts w:ascii="Times New Roman" w:hAnsi="Times New Roman"/>
          <w:bCs/>
          <w:sz w:val="22"/>
          <w:szCs w:val="22"/>
        </w:rPr>
        <w:t>authorised prescriber application</w:t>
      </w:r>
      <w:r w:rsidR="000475CB" w:rsidRPr="00511ED8">
        <w:rPr>
          <w:rFonts w:ascii="Times New Roman" w:hAnsi="Times New Roman"/>
          <w:bCs/>
          <w:sz w:val="22"/>
          <w:szCs w:val="22"/>
        </w:rPr>
        <w:t>’</w:t>
      </w:r>
      <w:r w:rsidR="003B432D" w:rsidRPr="00511ED8">
        <w:rPr>
          <w:rFonts w:ascii="Times New Roman" w:hAnsi="Times New Roman"/>
          <w:bCs/>
          <w:sz w:val="22"/>
          <w:szCs w:val="22"/>
        </w:rPr>
        <w:t xml:space="preserve">, </w:t>
      </w:r>
      <w:r w:rsidR="000475CB" w:rsidRPr="00511ED8">
        <w:rPr>
          <w:rFonts w:ascii="Times New Roman" w:hAnsi="Times New Roman"/>
          <w:bCs/>
          <w:sz w:val="22"/>
          <w:szCs w:val="22"/>
        </w:rPr>
        <w:t>‘</w:t>
      </w:r>
      <w:r w:rsidR="00B75111">
        <w:rPr>
          <w:rFonts w:ascii="Times New Roman" w:hAnsi="Times New Roman"/>
          <w:bCs/>
          <w:sz w:val="22"/>
          <w:szCs w:val="22"/>
        </w:rPr>
        <w:t xml:space="preserve">authorised prescriber </w:t>
      </w:r>
      <w:r w:rsidR="00F648F8">
        <w:rPr>
          <w:rFonts w:ascii="Times New Roman" w:hAnsi="Times New Roman"/>
          <w:bCs/>
          <w:sz w:val="22"/>
          <w:szCs w:val="22"/>
        </w:rPr>
        <w:t>report</w:t>
      </w:r>
      <w:r w:rsidR="00B75111">
        <w:rPr>
          <w:rFonts w:ascii="Times New Roman" w:hAnsi="Times New Roman"/>
          <w:bCs/>
          <w:sz w:val="22"/>
          <w:szCs w:val="22"/>
        </w:rPr>
        <w:t xml:space="preserve">, </w:t>
      </w:r>
      <w:r w:rsidR="00F648F8">
        <w:rPr>
          <w:rFonts w:ascii="Times New Roman" w:hAnsi="Times New Roman"/>
          <w:bCs/>
          <w:sz w:val="22"/>
          <w:szCs w:val="22"/>
        </w:rPr>
        <w:t xml:space="preserve">‘SAS A notification’ and </w:t>
      </w:r>
      <w:r w:rsidR="00B75111">
        <w:rPr>
          <w:rFonts w:ascii="Times New Roman" w:hAnsi="Times New Roman"/>
          <w:bCs/>
          <w:sz w:val="22"/>
          <w:szCs w:val="22"/>
        </w:rPr>
        <w:t xml:space="preserve">‘SAS </w:t>
      </w:r>
      <w:r w:rsidR="00F648F8">
        <w:rPr>
          <w:rFonts w:ascii="Times New Roman" w:hAnsi="Times New Roman"/>
          <w:bCs/>
          <w:sz w:val="22"/>
          <w:szCs w:val="22"/>
        </w:rPr>
        <w:t xml:space="preserve">B </w:t>
      </w:r>
      <w:r w:rsidR="00B75111">
        <w:rPr>
          <w:rFonts w:ascii="Times New Roman" w:hAnsi="Times New Roman"/>
          <w:bCs/>
          <w:sz w:val="22"/>
          <w:szCs w:val="22"/>
        </w:rPr>
        <w:t xml:space="preserve">application’. </w:t>
      </w:r>
      <w:r w:rsidRPr="00511ED8">
        <w:rPr>
          <w:rFonts w:ascii="Times New Roman" w:hAnsi="Times New Roman"/>
          <w:bCs/>
          <w:sz w:val="22"/>
          <w:szCs w:val="22"/>
        </w:rPr>
        <w:t>The section also</w:t>
      </w:r>
      <w:r w:rsidRPr="00511ED8" w:rsidDel="00177BEC">
        <w:rPr>
          <w:rFonts w:ascii="Times New Roman" w:hAnsi="Times New Roman"/>
          <w:bCs/>
          <w:sz w:val="22"/>
          <w:szCs w:val="22"/>
        </w:rPr>
        <w:t xml:space="preserve"> </w:t>
      </w:r>
      <w:r w:rsidRPr="00511ED8">
        <w:rPr>
          <w:rFonts w:ascii="Times New Roman" w:hAnsi="Times New Roman"/>
          <w:bCs/>
          <w:sz w:val="22"/>
          <w:szCs w:val="22"/>
        </w:rPr>
        <w:t xml:space="preserve">notes that </w:t>
      </w:r>
      <w:proofErr w:type="gramStart"/>
      <w:r w:rsidRPr="00511ED8">
        <w:rPr>
          <w:rFonts w:ascii="Times New Roman" w:hAnsi="Times New Roman"/>
          <w:bCs/>
          <w:sz w:val="22"/>
          <w:szCs w:val="22"/>
        </w:rPr>
        <w:t>a number of</w:t>
      </w:r>
      <w:proofErr w:type="gramEnd"/>
      <w:r w:rsidRPr="00511ED8">
        <w:rPr>
          <w:rFonts w:ascii="Times New Roman" w:hAnsi="Times New Roman"/>
          <w:bCs/>
          <w:sz w:val="22"/>
          <w:szCs w:val="22"/>
        </w:rPr>
        <w:t xml:space="preserve"> terms have the meaning given in </w:t>
      </w:r>
      <w:r w:rsidR="00403AB0">
        <w:rPr>
          <w:rFonts w:ascii="Times New Roman" w:hAnsi="Times New Roman"/>
          <w:bCs/>
          <w:sz w:val="22"/>
          <w:szCs w:val="22"/>
        </w:rPr>
        <w:t>sub</w:t>
      </w:r>
      <w:r w:rsidRPr="00511ED8">
        <w:rPr>
          <w:rFonts w:ascii="Times New Roman" w:hAnsi="Times New Roman"/>
          <w:bCs/>
          <w:sz w:val="22"/>
          <w:szCs w:val="22"/>
        </w:rPr>
        <w:t>section 3</w:t>
      </w:r>
      <w:r w:rsidR="00403AB0">
        <w:rPr>
          <w:rFonts w:ascii="Times New Roman" w:hAnsi="Times New Roman"/>
          <w:bCs/>
          <w:sz w:val="22"/>
          <w:szCs w:val="22"/>
        </w:rPr>
        <w:t>(1)</w:t>
      </w:r>
      <w:r w:rsidRPr="00511ED8">
        <w:rPr>
          <w:rFonts w:ascii="Times New Roman" w:hAnsi="Times New Roman"/>
          <w:bCs/>
          <w:sz w:val="22"/>
          <w:szCs w:val="22"/>
        </w:rPr>
        <w:t xml:space="preserve"> of the Act, including </w:t>
      </w:r>
      <w:r w:rsidR="00B75111">
        <w:rPr>
          <w:rFonts w:ascii="Times New Roman" w:hAnsi="Times New Roman"/>
          <w:bCs/>
          <w:sz w:val="22"/>
          <w:szCs w:val="22"/>
        </w:rPr>
        <w:t>‘current Poisons Standard’,</w:t>
      </w:r>
      <w:r w:rsidR="005A0C9C">
        <w:rPr>
          <w:rFonts w:ascii="Times New Roman" w:hAnsi="Times New Roman"/>
          <w:bCs/>
          <w:sz w:val="22"/>
          <w:szCs w:val="22"/>
        </w:rPr>
        <w:t xml:space="preserve"> ‘health practitioner’ and</w:t>
      </w:r>
      <w:r w:rsidR="00B75111">
        <w:rPr>
          <w:rFonts w:ascii="Times New Roman" w:hAnsi="Times New Roman"/>
          <w:bCs/>
          <w:sz w:val="22"/>
          <w:szCs w:val="22"/>
        </w:rPr>
        <w:t xml:space="preserve"> ‘indications’.</w:t>
      </w:r>
    </w:p>
    <w:p w14:paraId="52787353" w14:textId="77777777" w:rsidR="00BE7572" w:rsidRPr="00511ED8" w:rsidRDefault="00BE7572" w:rsidP="00901D26">
      <w:pPr>
        <w:ind w:right="-284"/>
        <w:rPr>
          <w:rFonts w:ascii="Times New Roman" w:hAnsi="Times New Roman"/>
          <w:bCs/>
          <w:sz w:val="22"/>
          <w:szCs w:val="22"/>
        </w:rPr>
      </w:pPr>
    </w:p>
    <w:p w14:paraId="71ED15B6" w14:textId="77777777" w:rsidR="00B279BF" w:rsidRPr="00511ED8" w:rsidRDefault="00B620DF" w:rsidP="00901D26">
      <w:pPr>
        <w:ind w:right="-284"/>
        <w:rPr>
          <w:rFonts w:ascii="Times New Roman" w:hAnsi="Times New Roman"/>
          <w:b/>
          <w:bCs/>
          <w:sz w:val="22"/>
          <w:szCs w:val="22"/>
        </w:rPr>
      </w:pPr>
      <w:r w:rsidRPr="00511ED8">
        <w:rPr>
          <w:rFonts w:ascii="Times New Roman" w:hAnsi="Times New Roman"/>
          <w:b/>
          <w:bCs/>
          <w:sz w:val="22"/>
          <w:szCs w:val="22"/>
        </w:rPr>
        <w:t xml:space="preserve">Section </w:t>
      </w:r>
      <w:proofErr w:type="gramStart"/>
      <w:r w:rsidR="00536D79" w:rsidRPr="00511ED8">
        <w:rPr>
          <w:rFonts w:ascii="Times New Roman" w:hAnsi="Times New Roman"/>
          <w:b/>
          <w:bCs/>
          <w:sz w:val="22"/>
          <w:szCs w:val="22"/>
        </w:rPr>
        <w:t>5</w:t>
      </w:r>
      <w:r w:rsidR="00B279BF" w:rsidRPr="00511ED8">
        <w:rPr>
          <w:rFonts w:ascii="Times New Roman" w:hAnsi="Times New Roman"/>
          <w:b/>
          <w:bCs/>
          <w:sz w:val="22"/>
          <w:szCs w:val="22"/>
        </w:rPr>
        <w:t xml:space="preserve">  </w:t>
      </w:r>
      <w:r w:rsidR="003B432D" w:rsidRPr="00511ED8">
        <w:rPr>
          <w:rFonts w:ascii="Times New Roman" w:hAnsi="Times New Roman"/>
          <w:b/>
          <w:bCs/>
          <w:sz w:val="22"/>
          <w:szCs w:val="22"/>
        </w:rPr>
        <w:t>Release</w:t>
      </w:r>
      <w:proofErr w:type="gramEnd"/>
      <w:r w:rsidR="003B432D" w:rsidRPr="00511ED8">
        <w:rPr>
          <w:rFonts w:ascii="Times New Roman" w:hAnsi="Times New Roman"/>
          <w:b/>
          <w:bCs/>
          <w:sz w:val="22"/>
          <w:szCs w:val="22"/>
        </w:rPr>
        <w:t xml:space="preserve"> of t</w:t>
      </w:r>
      <w:r w:rsidR="00682A84" w:rsidRPr="00511ED8">
        <w:rPr>
          <w:rFonts w:ascii="Times New Roman" w:hAnsi="Times New Roman"/>
          <w:b/>
          <w:bCs/>
          <w:sz w:val="22"/>
          <w:szCs w:val="22"/>
        </w:rPr>
        <w:t>h</w:t>
      </w:r>
      <w:r w:rsidR="00CF4A5D" w:rsidRPr="00511ED8">
        <w:rPr>
          <w:rFonts w:ascii="Times New Roman" w:hAnsi="Times New Roman"/>
          <w:b/>
          <w:bCs/>
          <w:sz w:val="22"/>
          <w:szCs w:val="22"/>
        </w:rPr>
        <w:t>erapeutic goods information</w:t>
      </w:r>
    </w:p>
    <w:p w14:paraId="2F66C9CD" w14:textId="77777777" w:rsidR="00B279BF" w:rsidRPr="00511ED8" w:rsidRDefault="00B279BF" w:rsidP="00901D26">
      <w:pPr>
        <w:ind w:right="-284"/>
        <w:rPr>
          <w:rFonts w:ascii="Times New Roman" w:hAnsi="Times New Roman"/>
          <w:bCs/>
          <w:sz w:val="22"/>
          <w:szCs w:val="22"/>
        </w:rPr>
      </w:pPr>
    </w:p>
    <w:p w14:paraId="1558797E" w14:textId="77777777" w:rsidR="00B279BF" w:rsidRPr="00511ED8" w:rsidRDefault="00B279BF" w:rsidP="00901D26">
      <w:pPr>
        <w:ind w:right="-284"/>
        <w:rPr>
          <w:rFonts w:ascii="Times New Roman" w:hAnsi="Times New Roman"/>
          <w:bCs/>
          <w:sz w:val="22"/>
          <w:szCs w:val="22"/>
        </w:rPr>
      </w:pPr>
      <w:r w:rsidRPr="00511ED8">
        <w:rPr>
          <w:rFonts w:ascii="Times New Roman" w:hAnsi="Times New Roman"/>
          <w:bCs/>
          <w:sz w:val="22"/>
          <w:szCs w:val="22"/>
        </w:rPr>
        <w:t xml:space="preserve">This section provides </w:t>
      </w:r>
      <w:r w:rsidR="00B07040" w:rsidRPr="00511ED8">
        <w:rPr>
          <w:rFonts w:ascii="Times New Roman" w:hAnsi="Times New Roman"/>
          <w:bCs/>
          <w:sz w:val="22"/>
          <w:szCs w:val="22"/>
        </w:rPr>
        <w:t xml:space="preserve">that the </w:t>
      </w:r>
      <w:r w:rsidR="00B14F42" w:rsidRPr="00511ED8">
        <w:rPr>
          <w:rFonts w:ascii="Times New Roman" w:hAnsi="Times New Roman"/>
          <w:bCs/>
          <w:sz w:val="22"/>
          <w:szCs w:val="22"/>
        </w:rPr>
        <w:t xml:space="preserve">kinds of </w:t>
      </w:r>
      <w:r w:rsidR="00CF4A5D" w:rsidRPr="00511ED8">
        <w:rPr>
          <w:rFonts w:ascii="Times New Roman" w:hAnsi="Times New Roman"/>
          <w:bCs/>
          <w:sz w:val="22"/>
          <w:szCs w:val="22"/>
        </w:rPr>
        <w:t xml:space="preserve">therapeutic goods information </w:t>
      </w:r>
      <w:r w:rsidR="0000660F">
        <w:rPr>
          <w:rFonts w:ascii="Times New Roman" w:hAnsi="Times New Roman"/>
          <w:bCs/>
          <w:sz w:val="22"/>
          <w:szCs w:val="22"/>
        </w:rPr>
        <w:t>set out in</w:t>
      </w:r>
      <w:r w:rsidR="00B620DF" w:rsidRPr="00511ED8">
        <w:rPr>
          <w:rFonts w:ascii="Times New Roman" w:hAnsi="Times New Roman"/>
          <w:bCs/>
          <w:sz w:val="22"/>
          <w:szCs w:val="22"/>
        </w:rPr>
        <w:t xml:space="preserve"> the table </w:t>
      </w:r>
      <w:r w:rsidR="00CF4A5D" w:rsidRPr="00511ED8">
        <w:rPr>
          <w:rFonts w:ascii="Times New Roman" w:hAnsi="Times New Roman"/>
          <w:bCs/>
          <w:sz w:val="22"/>
          <w:szCs w:val="22"/>
        </w:rPr>
        <w:t xml:space="preserve">in Schedule </w:t>
      </w:r>
      <w:r w:rsidR="00536D79" w:rsidRPr="00511ED8">
        <w:rPr>
          <w:rFonts w:ascii="Times New Roman" w:hAnsi="Times New Roman"/>
          <w:bCs/>
          <w:sz w:val="22"/>
          <w:szCs w:val="22"/>
        </w:rPr>
        <w:t>1</w:t>
      </w:r>
      <w:r w:rsidR="007F4DB1" w:rsidRPr="00511ED8">
        <w:rPr>
          <w:rFonts w:ascii="Times New Roman" w:hAnsi="Times New Roman"/>
          <w:bCs/>
          <w:sz w:val="22"/>
          <w:szCs w:val="22"/>
        </w:rPr>
        <w:t>,</w:t>
      </w:r>
      <w:r w:rsidR="00CF4A5D" w:rsidRPr="00511ED8">
        <w:rPr>
          <w:rFonts w:ascii="Times New Roman" w:hAnsi="Times New Roman"/>
          <w:bCs/>
          <w:sz w:val="22"/>
          <w:szCs w:val="22"/>
        </w:rPr>
        <w:t xml:space="preserve"> </w:t>
      </w:r>
      <w:r w:rsidR="00B14F42" w:rsidRPr="00511ED8">
        <w:rPr>
          <w:rFonts w:ascii="Times New Roman" w:hAnsi="Times New Roman"/>
          <w:bCs/>
          <w:sz w:val="22"/>
          <w:szCs w:val="22"/>
        </w:rPr>
        <w:t>are specified for the purpose of</w:t>
      </w:r>
      <w:r w:rsidR="00B620DF" w:rsidRPr="00511ED8">
        <w:rPr>
          <w:rFonts w:ascii="Times New Roman" w:hAnsi="Times New Roman"/>
          <w:bCs/>
          <w:sz w:val="22"/>
          <w:szCs w:val="22"/>
        </w:rPr>
        <w:t xml:space="preserve"> subsection 61(5C) of the Act. </w:t>
      </w:r>
      <w:r w:rsidR="00FA7CAE">
        <w:rPr>
          <w:rFonts w:ascii="Times New Roman" w:hAnsi="Times New Roman"/>
          <w:bCs/>
          <w:sz w:val="22"/>
          <w:szCs w:val="22"/>
        </w:rPr>
        <w:t xml:space="preserve"> </w:t>
      </w:r>
      <w:r w:rsidR="00B14F42" w:rsidRPr="00511ED8">
        <w:rPr>
          <w:rFonts w:ascii="Times New Roman" w:hAnsi="Times New Roman"/>
          <w:bCs/>
          <w:sz w:val="22"/>
          <w:szCs w:val="22"/>
        </w:rPr>
        <w:t xml:space="preserve">The effect of this section is to enable the Secretary </w:t>
      </w:r>
      <w:r w:rsidR="008C3004" w:rsidRPr="00511ED8">
        <w:rPr>
          <w:rFonts w:ascii="Times New Roman" w:hAnsi="Times New Roman"/>
          <w:bCs/>
          <w:sz w:val="22"/>
          <w:szCs w:val="22"/>
        </w:rPr>
        <w:t xml:space="preserve">to release to the public therapeutic goods information of </w:t>
      </w:r>
      <w:r w:rsidR="00B620DF" w:rsidRPr="00511ED8">
        <w:rPr>
          <w:rFonts w:ascii="Times New Roman" w:hAnsi="Times New Roman"/>
          <w:bCs/>
          <w:sz w:val="22"/>
          <w:szCs w:val="22"/>
        </w:rPr>
        <w:t>the kind se</w:t>
      </w:r>
      <w:r w:rsidR="007727E7" w:rsidRPr="00511ED8">
        <w:rPr>
          <w:rFonts w:ascii="Times New Roman" w:hAnsi="Times New Roman"/>
          <w:bCs/>
          <w:sz w:val="22"/>
          <w:szCs w:val="22"/>
        </w:rPr>
        <w:t>t out in the table in Schedule 1</w:t>
      </w:r>
      <w:r w:rsidR="00BE7572" w:rsidRPr="00511ED8">
        <w:rPr>
          <w:rFonts w:ascii="Times New Roman" w:hAnsi="Times New Roman"/>
          <w:bCs/>
          <w:sz w:val="22"/>
          <w:szCs w:val="22"/>
        </w:rPr>
        <w:t xml:space="preserve"> to the </w:t>
      </w:r>
      <w:r w:rsidR="008A038C">
        <w:rPr>
          <w:rFonts w:ascii="Times New Roman" w:hAnsi="Times New Roman"/>
          <w:bCs/>
          <w:sz w:val="22"/>
          <w:szCs w:val="22"/>
        </w:rPr>
        <w:t>Instrument</w:t>
      </w:r>
      <w:r w:rsidR="008C3004" w:rsidRPr="00511ED8">
        <w:rPr>
          <w:rFonts w:ascii="Times New Roman" w:hAnsi="Times New Roman"/>
          <w:bCs/>
          <w:sz w:val="22"/>
          <w:szCs w:val="22"/>
        </w:rPr>
        <w:t>.</w:t>
      </w:r>
    </w:p>
    <w:p w14:paraId="7E399D34" w14:textId="77777777" w:rsidR="00B279BF" w:rsidRPr="00511ED8" w:rsidRDefault="00B279BF" w:rsidP="00901D26">
      <w:pPr>
        <w:ind w:right="-284"/>
        <w:rPr>
          <w:rFonts w:ascii="Times New Roman" w:hAnsi="Times New Roman"/>
          <w:bCs/>
          <w:sz w:val="22"/>
          <w:szCs w:val="22"/>
        </w:rPr>
      </w:pPr>
    </w:p>
    <w:p w14:paraId="0350CA35" w14:textId="77777777" w:rsidR="00B620DF" w:rsidRPr="00511ED8" w:rsidRDefault="00B620DF" w:rsidP="00901D26">
      <w:pPr>
        <w:ind w:right="-284"/>
        <w:rPr>
          <w:rFonts w:ascii="Times New Roman" w:hAnsi="Times New Roman"/>
          <w:b/>
          <w:bCs/>
          <w:sz w:val="22"/>
          <w:szCs w:val="22"/>
        </w:rPr>
      </w:pPr>
      <w:r w:rsidRPr="00511ED8">
        <w:rPr>
          <w:rFonts w:ascii="Times New Roman" w:hAnsi="Times New Roman"/>
          <w:b/>
          <w:bCs/>
          <w:sz w:val="22"/>
          <w:szCs w:val="22"/>
        </w:rPr>
        <w:t xml:space="preserve">Schedule </w:t>
      </w:r>
      <w:proofErr w:type="gramStart"/>
      <w:r w:rsidR="00536D79" w:rsidRPr="00511ED8">
        <w:rPr>
          <w:rFonts w:ascii="Times New Roman" w:hAnsi="Times New Roman"/>
          <w:b/>
          <w:bCs/>
          <w:sz w:val="22"/>
          <w:szCs w:val="22"/>
        </w:rPr>
        <w:t>1</w:t>
      </w:r>
      <w:r w:rsidR="00C067D5" w:rsidRPr="00511ED8">
        <w:rPr>
          <w:rFonts w:ascii="Times New Roman" w:hAnsi="Times New Roman"/>
          <w:b/>
          <w:bCs/>
          <w:sz w:val="22"/>
          <w:szCs w:val="22"/>
        </w:rPr>
        <w:t xml:space="preserve">  </w:t>
      </w:r>
      <w:r w:rsidRPr="00511ED8">
        <w:rPr>
          <w:rFonts w:ascii="Times New Roman" w:hAnsi="Times New Roman"/>
          <w:b/>
          <w:bCs/>
          <w:sz w:val="22"/>
          <w:szCs w:val="22"/>
        </w:rPr>
        <w:t>Specified</w:t>
      </w:r>
      <w:proofErr w:type="gramEnd"/>
      <w:r w:rsidRPr="00511ED8">
        <w:rPr>
          <w:rFonts w:ascii="Times New Roman" w:hAnsi="Times New Roman"/>
          <w:b/>
          <w:bCs/>
          <w:sz w:val="22"/>
          <w:szCs w:val="22"/>
        </w:rPr>
        <w:t xml:space="preserve"> kinds of therapeutic goods information</w:t>
      </w:r>
    </w:p>
    <w:p w14:paraId="4D69FF89" w14:textId="77777777" w:rsidR="00B620DF" w:rsidRPr="00511ED8" w:rsidRDefault="00B620DF" w:rsidP="00901D26">
      <w:pPr>
        <w:ind w:right="-284"/>
        <w:rPr>
          <w:rFonts w:ascii="Times New Roman" w:hAnsi="Times New Roman"/>
          <w:b/>
          <w:bCs/>
          <w:sz w:val="22"/>
          <w:szCs w:val="22"/>
        </w:rPr>
      </w:pPr>
    </w:p>
    <w:p w14:paraId="767D1205" w14:textId="77777777" w:rsidR="00B620DF" w:rsidRDefault="00B620DF" w:rsidP="00901D26">
      <w:pPr>
        <w:ind w:right="-284"/>
        <w:rPr>
          <w:rFonts w:ascii="Times New Roman" w:hAnsi="Times New Roman"/>
          <w:bCs/>
          <w:sz w:val="22"/>
          <w:szCs w:val="22"/>
        </w:rPr>
      </w:pPr>
      <w:r w:rsidRPr="00511ED8">
        <w:rPr>
          <w:rFonts w:ascii="Times New Roman" w:hAnsi="Times New Roman"/>
          <w:bCs/>
          <w:sz w:val="22"/>
          <w:szCs w:val="22"/>
        </w:rPr>
        <w:t xml:space="preserve">This Schedule </w:t>
      </w:r>
      <w:r w:rsidR="00F9121A">
        <w:rPr>
          <w:rFonts w:ascii="Times New Roman" w:hAnsi="Times New Roman"/>
          <w:bCs/>
          <w:sz w:val="22"/>
          <w:szCs w:val="22"/>
        </w:rPr>
        <w:t xml:space="preserve">specifies </w:t>
      </w:r>
      <w:r w:rsidRPr="00511ED8">
        <w:rPr>
          <w:rFonts w:ascii="Times New Roman" w:hAnsi="Times New Roman"/>
          <w:bCs/>
          <w:sz w:val="22"/>
          <w:szCs w:val="22"/>
        </w:rPr>
        <w:t>the kinds of therapeutic goods information</w:t>
      </w:r>
      <w:r w:rsidR="00651E6A">
        <w:rPr>
          <w:rFonts w:ascii="Times New Roman" w:hAnsi="Times New Roman"/>
          <w:bCs/>
          <w:sz w:val="22"/>
          <w:szCs w:val="22"/>
        </w:rPr>
        <w:t xml:space="preserve">, for the purposes of section 5 of the </w:t>
      </w:r>
      <w:r w:rsidR="008A038C">
        <w:rPr>
          <w:rFonts w:ascii="Times New Roman" w:hAnsi="Times New Roman"/>
          <w:bCs/>
          <w:sz w:val="22"/>
          <w:szCs w:val="22"/>
        </w:rPr>
        <w:t>Instrument</w:t>
      </w:r>
      <w:r w:rsidR="00651E6A">
        <w:rPr>
          <w:rFonts w:ascii="Times New Roman" w:hAnsi="Times New Roman"/>
          <w:bCs/>
          <w:sz w:val="22"/>
          <w:szCs w:val="22"/>
        </w:rPr>
        <w:t>,</w:t>
      </w:r>
      <w:r w:rsidRPr="00511ED8">
        <w:rPr>
          <w:rFonts w:ascii="Times New Roman" w:hAnsi="Times New Roman"/>
          <w:bCs/>
          <w:sz w:val="22"/>
          <w:szCs w:val="22"/>
        </w:rPr>
        <w:t xml:space="preserve"> </w:t>
      </w:r>
      <w:r w:rsidR="00651E6A">
        <w:rPr>
          <w:rFonts w:ascii="Times New Roman" w:hAnsi="Times New Roman"/>
          <w:bCs/>
          <w:sz w:val="22"/>
          <w:szCs w:val="22"/>
        </w:rPr>
        <w:t>which</w:t>
      </w:r>
      <w:r w:rsidR="00651E6A" w:rsidRPr="00511ED8">
        <w:rPr>
          <w:rFonts w:ascii="Times New Roman" w:hAnsi="Times New Roman"/>
          <w:bCs/>
          <w:sz w:val="22"/>
          <w:szCs w:val="22"/>
        </w:rPr>
        <w:t xml:space="preserve"> </w:t>
      </w:r>
      <w:r w:rsidRPr="00511ED8">
        <w:rPr>
          <w:rFonts w:ascii="Times New Roman" w:hAnsi="Times New Roman"/>
          <w:bCs/>
          <w:sz w:val="22"/>
          <w:szCs w:val="22"/>
        </w:rPr>
        <w:t>may be released to the public by the Secretary under subsection 61(5C) of the Act.</w:t>
      </w:r>
    </w:p>
    <w:p w14:paraId="37294633" w14:textId="77777777" w:rsidR="008C2B8A" w:rsidRDefault="008C2B8A" w:rsidP="00901D26">
      <w:pPr>
        <w:ind w:right="-284"/>
        <w:rPr>
          <w:rFonts w:ascii="Times New Roman" w:hAnsi="Times New Roman"/>
          <w:bCs/>
          <w:sz w:val="22"/>
          <w:szCs w:val="22"/>
        </w:rPr>
      </w:pPr>
    </w:p>
    <w:p w14:paraId="4576DA15" w14:textId="77777777" w:rsidR="006D27CA" w:rsidRDefault="008C2B8A" w:rsidP="00901D26">
      <w:pPr>
        <w:ind w:right="-284"/>
        <w:rPr>
          <w:rFonts w:ascii="Times New Roman" w:hAnsi="Times New Roman"/>
          <w:sz w:val="22"/>
          <w:szCs w:val="22"/>
        </w:rPr>
      </w:pPr>
      <w:r>
        <w:rPr>
          <w:rFonts w:ascii="Times New Roman" w:hAnsi="Times New Roman"/>
          <w:bCs/>
          <w:sz w:val="22"/>
          <w:szCs w:val="22"/>
        </w:rPr>
        <w:t xml:space="preserve">The kinds of information </w:t>
      </w:r>
      <w:r>
        <w:rPr>
          <w:rFonts w:ascii="Times New Roman" w:hAnsi="Times New Roman"/>
          <w:sz w:val="22"/>
          <w:szCs w:val="22"/>
        </w:rPr>
        <w:t>specified includes</w:t>
      </w:r>
      <w:r w:rsidR="006D27CA">
        <w:rPr>
          <w:rFonts w:ascii="Times New Roman" w:hAnsi="Times New Roman"/>
          <w:sz w:val="22"/>
          <w:szCs w:val="22"/>
        </w:rPr>
        <w:t xml:space="preserve"> the number of </w:t>
      </w:r>
      <w:r w:rsidR="00EE7F21">
        <w:rPr>
          <w:rFonts w:ascii="Times New Roman" w:hAnsi="Times New Roman"/>
          <w:sz w:val="22"/>
          <w:szCs w:val="22"/>
        </w:rPr>
        <w:t xml:space="preserve">submissions, being </w:t>
      </w:r>
      <w:r w:rsidR="008A038C">
        <w:rPr>
          <w:rFonts w:ascii="Times New Roman" w:hAnsi="Times New Roman"/>
          <w:sz w:val="22"/>
          <w:szCs w:val="22"/>
        </w:rPr>
        <w:t>a</w:t>
      </w:r>
      <w:r w:rsidR="006D27CA">
        <w:rPr>
          <w:rFonts w:ascii="Times New Roman" w:hAnsi="Times New Roman"/>
          <w:sz w:val="22"/>
          <w:szCs w:val="22"/>
        </w:rPr>
        <w:t xml:space="preserve">uthorised </w:t>
      </w:r>
      <w:r w:rsidR="008A038C">
        <w:rPr>
          <w:rFonts w:ascii="Times New Roman" w:hAnsi="Times New Roman"/>
          <w:sz w:val="22"/>
          <w:szCs w:val="22"/>
        </w:rPr>
        <w:t>p</w:t>
      </w:r>
      <w:r w:rsidR="006D27CA">
        <w:rPr>
          <w:rFonts w:ascii="Times New Roman" w:hAnsi="Times New Roman"/>
          <w:sz w:val="22"/>
          <w:szCs w:val="22"/>
        </w:rPr>
        <w:t xml:space="preserve">rescriber applications, </w:t>
      </w:r>
      <w:r w:rsidR="008A038C">
        <w:rPr>
          <w:rFonts w:ascii="Times New Roman" w:hAnsi="Times New Roman"/>
          <w:sz w:val="22"/>
          <w:szCs w:val="22"/>
        </w:rPr>
        <w:t>s</w:t>
      </w:r>
      <w:r w:rsidR="006D27CA">
        <w:rPr>
          <w:rFonts w:ascii="Times New Roman" w:hAnsi="Times New Roman"/>
          <w:sz w:val="22"/>
          <w:szCs w:val="22"/>
        </w:rPr>
        <w:t xml:space="preserve">pecial </w:t>
      </w:r>
      <w:r w:rsidR="008A038C">
        <w:rPr>
          <w:rFonts w:ascii="Times New Roman" w:hAnsi="Times New Roman"/>
          <w:sz w:val="22"/>
          <w:szCs w:val="22"/>
        </w:rPr>
        <w:t>a</w:t>
      </w:r>
      <w:r w:rsidR="006D27CA">
        <w:rPr>
          <w:rFonts w:ascii="Times New Roman" w:hAnsi="Times New Roman"/>
          <w:sz w:val="22"/>
          <w:szCs w:val="22"/>
        </w:rPr>
        <w:t xml:space="preserve">ccess </w:t>
      </w:r>
      <w:r w:rsidR="008A038C">
        <w:rPr>
          <w:rFonts w:ascii="Times New Roman" w:hAnsi="Times New Roman"/>
          <w:sz w:val="22"/>
          <w:szCs w:val="22"/>
        </w:rPr>
        <w:t>s</w:t>
      </w:r>
      <w:r w:rsidR="006D27CA">
        <w:rPr>
          <w:rFonts w:ascii="Times New Roman" w:hAnsi="Times New Roman"/>
          <w:sz w:val="22"/>
          <w:szCs w:val="22"/>
        </w:rPr>
        <w:t xml:space="preserve">cheme category A (“SAS A”) notifications and </w:t>
      </w:r>
      <w:r w:rsidR="008A038C">
        <w:rPr>
          <w:rFonts w:ascii="Times New Roman" w:hAnsi="Times New Roman"/>
          <w:sz w:val="22"/>
          <w:szCs w:val="22"/>
        </w:rPr>
        <w:t>s</w:t>
      </w:r>
      <w:r w:rsidR="006D27CA">
        <w:rPr>
          <w:rFonts w:ascii="Times New Roman" w:hAnsi="Times New Roman"/>
          <w:sz w:val="22"/>
          <w:szCs w:val="22"/>
        </w:rPr>
        <w:t xml:space="preserve">pecial </w:t>
      </w:r>
      <w:r w:rsidR="008A038C">
        <w:rPr>
          <w:rFonts w:ascii="Times New Roman" w:hAnsi="Times New Roman"/>
          <w:sz w:val="22"/>
          <w:szCs w:val="22"/>
        </w:rPr>
        <w:t>a</w:t>
      </w:r>
      <w:r w:rsidR="006D27CA">
        <w:rPr>
          <w:rFonts w:ascii="Times New Roman" w:hAnsi="Times New Roman"/>
          <w:sz w:val="22"/>
          <w:szCs w:val="22"/>
        </w:rPr>
        <w:t xml:space="preserve">ccess </w:t>
      </w:r>
      <w:r w:rsidR="008A038C">
        <w:rPr>
          <w:rFonts w:ascii="Times New Roman" w:hAnsi="Times New Roman"/>
          <w:sz w:val="22"/>
          <w:szCs w:val="22"/>
        </w:rPr>
        <w:t>s</w:t>
      </w:r>
      <w:r w:rsidR="006D27CA">
        <w:rPr>
          <w:rFonts w:ascii="Times New Roman" w:hAnsi="Times New Roman"/>
          <w:sz w:val="22"/>
          <w:szCs w:val="22"/>
        </w:rPr>
        <w:t xml:space="preserve">cheme category B (“SAS B”) applications made in relation to medicinal cannabis products by reference to one or more </w:t>
      </w:r>
      <w:r w:rsidR="008A038C">
        <w:rPr>
          <w:rFonts w:ascii="Times New Roman" w:hAnsi="Times New Roman"/>
          <w:sz w:val="22"/>
          <w:szCs w:val="22"/>
        </w:rPr>
        <w:t>parameters</w:t>
      </w:r>
      <w:r w:rsidR="00B465FE">
        <w:rPr>
          <w:rFonts w:ascii="Times New Roman" w:hAnsi="Times New Roman"/>
          <w:sz w:val="22"/>
          <w:szCs w:val="22"/>
        </w:rPr>
        <w:t>,</w:t>
      </w:r>
      <w:r w:rsidR="008A038C">
        <w:rPr>
          <w:rFonts w:ascii="Times New Roman" w:hAnsi="Times New Roman"/>
          <w:sz w:val="22"/>
          <w:szCs w:val="22"/>
        </w:rPr>
        <w:t xml:space="preserve"> </w:t>
      </w:r>
      <w:r w:rsidR="00F64B6F">
        <w:rPr>
          <w:rFonts w:ascii="Times New Roman" w:hAnsi="Times New Roman"/>
          <w:sz w:val="22"/>
          <w:szCs w:val="22"/>
        </w:rPr>
        <w:t>including:</w:t>
      </w:r>
    </w:p>
    <w:p w14:paraId="7B99435F" w14:textId="77777777" w:rsidR="00F64B6F" w:rsidRDefault="00F64B6F" w:rsidP="00922933">
      <w:pPr>
        <w:pStyle w:val="ListParagraph"/>
        <w:numPr>
          <w:ilvl w:val="0"/>
          <w:numId w:val="21"/>
        </w:numPr>
        <w:ind w:right="-284"/>
        <w:rPr>
          <w:rFonts w:ascii="Times New Roman" w:hAnsi="Times New Roman"/>
          <w:sz w:val="22"/>
          <w:szCs w:val="22"/>
        </w:rPr>
      </w:pPr>
      <w:r>
        <w:rPr>
          <w:rFonts w:ascii="Times New Roman" w:hAnsi="Times New Roman"/>
          <w:sz w:val="22"/>
          <w:szCs w:val="22"/>
        </w:rPr>
        <w:t xml:space="preserve">a time </w:t>
      </w:r>
      <w:proofErr w:type="gramStart"/>
      <w:r>
        <w:rPr>
          <w:rFonts w:ascii="Times New Roman" w:hAnsi="Times New Roman"/>
          <w:sz w:val="22"/>
          <w:szCs w:val="22"/>
        </w:rPr>
        <w:t>period;</w:t>
      </w:r>
      <w:proofErr w:type="gramEnd"/>
    </w:p>
    <w:p w14:paraId="41BA9B5B" w14:textId="77777777" w:rsidR="00F64B6F" w:rsidRDefault="00F64B6F" w:rsidP="00922933">
      <w:pPr>
        <w:pStyle w:val="ListParagraph"/>
        <w:numPr>
          <w:ilvl w:val="0"/>
          <w:numId w:val="21"/>
        </w:numPr>
        <w:ind w:right="-284"/>
        <w:rPr>
          <w:rFonts w:ascii="Times New Roman" w:hAnsi="Times New Roman"/>
          <w:sz w:val="22"/>
          <w:szCs w:val="22"/>
        </w:rPr>
      </w:pPr>
      <w:r>
        <w:rPr>
          <w:rFonts w:ascii="Times New Roman" w:hAnsi="Times New Roman"/>
          <w:sz w:val="22"/>
          <w:szCs w:val="22"/>
        </w:rPr>
        <w:t xml:space="preserve">the relevant </w:t>
      </w:r>
      <w:proofErr w:type="gramStart"/>
      <w:r>
        <w:rPr>
          <w:rFonts w:ascii="Times New Roman" w:hAnsi="Times New Roman"/>
          <w:sz w:val="22"/>
          <w:szCs w:val="22"/>
        </w:rPr>
        <w:t>pathway;</w:t>
      </w:r>
      <w:proofErr w:type="gramEnd"/>
    </w:p>
    <w:p w14:paraId="2EE6D80A" w14:textId="77777777" w:rsidR="00763ABB" w:rsidRDefault="00763ABB" w:rsidP="00922933">
      <w:pPr>
        <w:pStyle w:val="ListParagraph"/>
        <w:numPr>
          <w:ilvl w:val="0"/>
          <w:numId w:val="21"/>
        </w:numPr>
        <w:ind w:right="-284"/>
        <w:rPr>
          <w:rFonts w:ascii="Times New Roman" w:hAnsi="Times New Roman"/>
          <w:sz w:val="22"/>
          <w:szCs w:val="22"/>
        </w:rPr>
      </w:pPr>
      <w:r>
        <w:rPr>
          <w:rFonts w:ascii="Times New Roman" w:hAnsi="Times New Roman"/>
          <w:sz w:val="22"/>
          <w:szCs w:val="22"/>
        </w:rPr>
        <w:t xml:space="preserve">the status of the applications or </w:t>
      </w:r>
      <w:proofErr w:type="gramStart"/>
      <w:r>
        <w:rPr>
          <w:rFonts w:ascii="Times New Roman" w:hAnsi="Times New Roman"/>
          <w:sz w:val="22"/>
          <w:szCs w:val="22"/>
        </w:rPr>
        <w:t>notifications;</w:t>
      </w:r>
      <w:proofErr w:type="gramEnd"/>
    </w:p>
    <w:p w14:paraId="68FAB346" w14:textId="77777777" w:rsidR="00F64B6F" w:rsidRDefault="00F64B6F" w:rsidP="00922933">
      <w:pPr>
        <w:pStyle w:val="ListParagraph"/>
        <w:numPr>
          <w:ilvl w:val="0"/>
          <w:numId w:val="21"/>
        </w:numPr>
        <w:ind w:right="-284"/>
        <w:rPr>
          <w:rFonts w:ascii="Times New Roman" w:hAnsi="Times New Roman"/>
          <w:sz w:val="22"/>
          <w:szCs w:val="22"/>
        </w:rPr>
      </w:pPr>
      <w:r>
        <w:rPr>
          <w:rFonts w:ascii="Times New Roman" w:hAnsi="Times New Roman"/>
          <w:sz w:val="22"/>
          <w:szCs w:val="22"/>
        </w:rPr>
        <w:t>the indications specified in the ap</w:t>
      </w:r>
      <w:r w:rsidR="00763ABB">
        <w:rPr>
          <w:rFonts w:ascii="Times New Roman" w:hAnsi="Times New Roman"/>
          <w:sz w:val="22"/>
          <w:szCs w:val="22"/>
        </w:rPr>
        <w:t xml:space="preserve">plications or </w:t>
      </w:r>
      <w:proofErr w:type="gramStart"/>
      <w:r w:rsidR="00763ABB">
        <w:rPr>
          <w:rFonts w:ascii="Times New Roman" w:hAnsi="Times New Roman"/>
          <w:sz w:val="22"/>
          <w:szCs w:val="22"/>
        </w:rPr>
        <w:t>notifications;</w:t>
      </w:r>
      <w:proofErr w:type="gramEnd"/>
    </w:p>
    <w:p w14:paraId="74BC74BF" w14:textId="77777777" w:rsidR="00763ABB" w:rsidRDefault="00F64B6F" w:rsidP="00922933">
      <w:pPr>
        <w:pStyle w:val="ListParagraph"/>
        <w:numPr>
          <w:ilvl w:val="0"/>
          <w:numId w:val="21"/>
        </w:numPr>
        <w:ind w:right="-284"/>
        <w:rPr>
          <w:rFonts w:ascii="Times New Roman" w:hAnsi="Times New Roman"/>
          <w:sz w:val="22"/>
          <w:szCs w:val="22"/>
        </w:rPr>
      </w:pPr>
      <w:r>
        <w:rPr>
          <w:rFonts w:ascii="Times New Roman" w:hAnsi="Times New Roman"/>
          <w:sz w:val="22"/>
          <w:szCs w:val="22"/>
        </w:rPr>
        <w:t xml:space="preserve">the name and strength of the active ingredients of the </w:t>
      </w:r>
      <w:r w:rsidR="00763ABB">
        <w:rPr>
          <w:rFonts w:ascii="Times New Roman" w:hAnsi="Times New Roman"/>
          <w:sz w:val="22"/>
          <w:szCs w:val="22"/>
        </w:rPr>
        <w:t xml:space="preserve">relevant </w:t>
      </w:r>
      <w:r>
        <w:rPr>
          <w:rFonts w:ascii="Times New Roman" w:hAnsi="Times New Roman"/>
          <w:sz w:val="22"/>
          <w:szCs w:val="22"/>
        </w:rPr>
        <w:t>product</w:t>
      </w:r>
      <w:r w:rsidR="00763ABB">
        <w:rPr>
          <w:rFonts w:ascii="Times New Roman" w:hAnsi="Times New Roman"/>
          <w:sz w:val="22"/>
          <w:szCs w:val="22"/>
        </w:rPr>
        <w:t>s; and</w:t>
      </w:r>
    </w:p>
    <w:p w14:paraId="7CD7A7F0" w14:textId="77777777" w:rsidR="00F64B6F" w:rsidRPr="00763ABB" w:rsidRDefault="00763ABB" w:rsidP="00AD2610">
      <w:pPr>
        <w:pStyle w:val="ListParagraph"/>
        <w:numPr>
          <w:ilvl w:val="0"/>
          <w:numId w:val="21"/>
        </w:numPr>
        <w:ind w:right="-284"/>
        <w:rPr>
          <w:rFonts w:ascii="Times New Roman" w:hAnsi="Times New Roman"/>
          <w:sz w:val="22"/>
          <w:szCs w:val="22"/>
        </w:rPr>
      </w:pPr>
      <w:r w:rsidRPr="00763ABB">
        <w:rPr>
          <w:rFonts w:ascii="Times New Roman" w:hAnsi="Times New Roman"/>
          <w:sz w:val="22"/>
          <w:szCs w:val="22"/>
        </w:rPr>
        <w:t xml:space="preserve">the relevant state or territory in which the </w:t>
      </w:r>
      <w:r>
        <w:rPr>
          <w:rFonts w:ascii="Times New Roman" w:hAnsi="Times New Roman"/>
          <w:sz w:val="22"/>
          <w:szCs w:val="22"/>
        </w:rPr>
        <w:t xml:space="preserve">relevant </w:t>
      </w:r>
      <w:r w:rsidRPr="00763ABB">
        <w:rPr>
          <w:rFonts w:ascii="Times New Roman" w:hAnsi="Times New Roman"/>
          <w:sz w:val="22"/>
          <w:szCs w:val="22"/>
        </w:rPr>
        <w:t>products are prescribed</w:t>
      </w:r>
      <w:r>
        <w:rPr>
          <w:rFonts w:ascii="Times New Roman" w:hAnsi="Times New Roman"/>
          <w:sz w:val="22"/>
          <w:szCs w:val="22"/>
        </w:rPr>
        <w:t>.</w:t>
      </w:r>
    </w:p>
    <w:p w14:paraId="78529965" w14:textId="77777777" w:rsidR="000917B7" w:rsidRPr="00511ED8" w:rsidRDefault="000917B7" w:rsidP="00922933">
      <w:pPr>
        <w:ind w:right="-284"/>
        <w:rPr>
          <w:rFonts w:ascii="Times New Roman" w:hAnsi="Times New Roman"/>
          <w:bCs/>
          <w:sz w:val="22"/>
          <w:szCs w:val="22"/>
        </w:rPr>
      </w:pPr>
    </w:p>
    <w:p w14:paraId="13D3B799" w14:textId="77777777" w:rsidR="00A36EFF" w:rsidRPr="00511ED8" w:rsidRDefault="00A36EFF">
      <w:pPr>
        <w:spacing w:after="200" w:line="276" w:lineRule="auto"/>
        <w:rPr>
          <w:rFonts w:ascii="Times New Roman" w:hAnsi="Times New Roman"/>
          <w:bCs/>
          <w:sz w:val="22"/>
          <w:szCs w:val="22"/>
        </w:rPr>
      </w:pPr>
      <w:r w:rsidRPr="00511ED8">
        <w:rPr>
          <w:rFonts w:ascii="Times New Roman" w:hAnsi="Times New Roman"/>
          <w:bCs/>
          <w:sz w:val="22"/>
          <w:szCs w:val="22"/>
        </w:rPr>
        <w:br w:type="page"/>
      </w:r>
    </w:p>
    <w:p w14:paraId="3C371E75" w14:textId="77777777" w:rsidR="00294A49" w:rsidRPr="00511ED8" w:rsidRDefault="00294A49" w:rsidP="006575E0">
      <w:pPr>
        <w:ind w:right="-284"/>
        <w:rPr>
          <w:rFonts w:ascii="Times New Roman" w:hAnsi="Times New Roman"/>
          <w:bCs/>
          <w:sz w:val="22"/>
          <w:szCs w:val="22"/>
        </w:rPr>
      </w:pPr>
    </w:p>
    <w:p w14:paraId="299838FC" w14:textId="77777777" w:rsidR="00294A49" w:rsidRPr="00511ED8" w:rsidRDefault="00294A49" w:rsidP="00901D26">
      <w:pPr>
        <w:ind w:right="-284"/>
        <w:jc w:val="right"/>
        <w:rPr>
          <w:rFonts w:ascii="Times New Roman" w:hAnsi="Times New Roman"/>
          <w:b/>
          <w:bCs/>
          <w:sz w:val="22"/>
          <w:szCs w:val="22"/>
        </w:rPr>
      </w:pPr>
      <w:r w:rsidRPr="00511ED8">
        <w:rPr>
          <w:rFonts w:ascii="Times New Roman" w:hAnsi="Times New Roman"/>
          <w:b/>
          <w:bCs/>
          <w:sz w:val="22"/>
          <w:szCs w:val="22"/>
        </w:rPr>
        <w:t>Attachment B</w:t>
      </w:r>
    </w:p>
    <w:p w14:paraId="4FCEE427" w14:textId="77777777" w:rsidR="000C21C4" w:rsidRPr="00511ED8" w:rsidRDefault="000C21C4" w:rsidP="00901D26">
      <w:pPr>
        <w:shd w:val="clear" w:color="auto" w:fill="FFFFFF"/>
        <w:spacing w:before="100" w:beforeAutospacing="1" w:after="120"/>
        <w:ind w:right="-284"/>
        <w:jc w:val="center"/>
        <w:rPr>
          <w:rFonts w:ascii="Times New Roman" w:hAnsi="Times New Roman"/>
          <w:b/>
          <w:bCs/>
          <w:sz w:val="22"/>
          <w:szCs w:val="22"/>
        </w:rPr>
      </w:pPr>
      <w:r w:rsidRPr="00511ED8">
        <w:rPr>
          <w:rFonts w:ascii="Times New Roman" w:hAnsi="Times New Roman"/>
          <w:b/>
          <w:bCs/>
          <w:sz w:val="22"/>
          <w:szCs w:val="22"/>
        </w:rPr>
        <w:t>Statement of Compatibility with Human Rights</w:t>
      </w:r>
    </w:p>
    <w:p w14:paraId="4F138662" w14:textId="77777777" w:rsidR="00064CC7" w:rsidRPr="00511ED8" w:rsidRDefault="00064CC7" w:rsidP="00901D26">
      <w:pPr>
        <w:shd w:val="clear" w:color="auto" w:fill="FFFFFF"/>
        <w:spacing w:before="100" w:beforeAutospacing="1" w:after="120"/>
        <w:ind w:left="-142" w:right="-284"/>
        <w:jc w:val="center"/>
        <w:rPr>
          <w:i/>
          <w:sz w:val="22"/>
          <w:szCs w:val="22"/>
        </w:rPr>
      </w:pPr>
      <w:r w:rsidRPr="00511ED8">
        <w:rPr>
          <w:i/>
          <w:sz w:val="22"/>
          <w:szCs w:val="22"/>
        </w:rPr>
        <w:t>Prepared in accordance with Part 3 of the</w:t>
      </w:r>
      <w:r w:rsidRPr="00511ED8">
        <w:rPr>
          <w:i/>
          <w:iCs/>
          <w:sz w:val="22"/>
          <w:szCs w:val="22"/>
        </w:rPr>
        <w:t xml:space="preserve"> Human Rights (Parliamentary Scrutiny) Act 2011</w:t>
      </w:r>
      <w:r w:rsidRPr="00511ED8">
        <w:rPr>
          <w:i/>
          <w:sz w:val="22"/>
          <w:szCs w:val="22"/>
        </w:rPr>
        <w:t>.</w:t>
      </w:r>
    </w:p>
    <w:p w14:paraId="3B172BC1" w14:textId="77777777" w:rsidR="000C21C4" w:rsidRPr="00511ED8" w:rsidRDefault="003B432D" w:rsidP="00901D26">
      <w:pPr>
        <w:shd w:val="clear" w:color="auto" w:fill="FFFFFF"/>
        <w:spacing w:before="100" w:beforeAutospacing="1" w:after="120"/>
        <w:ind w:right="-284"/>
        <w:jc w:val="center"/>
        <w:rPr>
          <w:rFonts w:ascii="Times New Roman" w:hAnsi="Times New Roman"/>
          <w:b/>
          <w:i/>
          <w:sz w:val="22"/>
          <w:szCs w:val="22"/>
        </w:rPr>
      </w:pPr>
      <w:r w:rsidRPr="00511ED8">
        <w:rPr>
          <w:rFonts w:ascii="Times New Roman" w:hAnsi="Times New Roman"/>
          <w:b/>
          <w:i/>
          <w:sz w:val="22"/>
          <w:szCs w:val="22"/>
        </w:rPr>
        <w:t>Therapeutic Goods (</w:t>
      </w:r>
      <w:r w:rsidR="008C2B8A">
        <w:rPr>
          <w:rFonts w:ascii="Times New Roman" w:hAnsi="Times New Roman"/>
          <w:b/>
          <w:i/>
          <w:sz w:val="22"/>
          <w:szCs w:val="22"/>
        </w:rPr>
        <w:t>Medicinal Cannabis Products</w:t>
      </w:r>
      <w:r w:rsidR="00E41182">
        <w:rPr>
          <w:rFonts w:ascii="Times New Roman" w:hAnsi="Times New Roman"/>
          <w:b/>
          <w:i/>
          <w:sz w:val="22"/>
          <w:szCs w:val="22"/>
        </w:rPr>
        <w:t>)</w:t>
      </w:r>
      <w:r w:rsidR="008C2B8A">
        <w:rPr>
          <w:rFonts w:ascii="Times New Roman" w:hAnsi="Times New Roman"/>
          <w:b/>
          <w:i/>
          <w:sz w:val="22"/>
          <w:szCs w:val="22"/>
        </w:rPr>
        <w:t xml:space="preserve"> </w:t>
      </w:r>
      <w:r w:rsidR="00E41182">
        <w:rPr>
          <w:rFonts w:ascii="Times New Roman" w:hAnsi="Times New Roman"/>
          <w:b/>
          <w:i/>
          <w:sz w:val="22"/>
          <w:szCs w:val="22"/>
        </w:rPr>
        <w:t>(</w:t>
      </w:r>
      <w:r w:rsidR="008C2B8A">
        <w:rPr>
          <w:rFonts w:ascii="Times New Roman" w:hAnsi="Times New Roman"/>
          <w:b/>
          <w:i/>
          <w:sz w:val="22"/>
          <w:szCs w:val="22"/>
        </w:rPr>
        <w:t>Information) Specification 2021</w:t>
      </w:r>
    </w:p>
    <w:p w14:paraId="02F64FE7" w14:textId="77777777" w:rsidR="0030123E" w:rsidRPr="00511ED8" w:rsidRDefault="0030123E" w:rsidP="00901D26">
      <w:pPr>
        <w:ind w:right="-284"/>
        <w:rPr>
          <w:rFonts w:ascii="Times New Roman" w:hAnsi="Times New Roman"/>
          <w:sz w:val="22"/>
          <w:szCs w:val="22"/>
        </w:rPr>
      </w:pPr>
    </w:p>
    <w:p w14:paraId="3E63FAA7" w14:textId="77777777" w:rsidR="0030123E" w:rsidRPr="00511ED8" w:rsidRDefault="0030123E" w:rsidP="00901D26">
      <w:pPr>
        <w:ind w:right="-284"/>
        <w:rPr>
          <w:rFonts w:ascii="Times New Roman" w:hAnsi="Times New Roman"/>
          <w:sz w:val="22"/>
          <w:szCs w:val="22"/>
        </w:rPr>
      </w:pPr>
      <w:r w:rsidRPr="00511ED8">
        <w:rPr>
          <w:rFonts w:ascii="Times New Roman" w:hAnsi="Times New Roman"/>
          <w:sz w:val="22"/>
          <w:szCs w:val="22"/>
        </w:rPr>
        <w:t>Th</w:t>
      </w:r>
      <w:r w:rsidR="00396F63" w:rsidRPr="00511ED8">
        <w:rPr>
          <w:rFonts w:ascii="Times New Roman" w:hAnsi="Times New Roman"/>
          <w:sz w:val="22"/>
          <w:szCs w:val="22"/>
        </w:rPr>
        <w:t>is disallowable legislative instrument</w:t>
      </w:r>
      <w:r w:rsidRPr="00511ED8">
        <w:rPr>
          <w:rFonts w:ascii="Times New Roman" w:hAnsi="Times New Roman"/>
          <w:sz w:val="22"/>
          <w:szCs w:val="22"/>
        </w:rPr>
        <w:t xml:space="preserve"> </w:t>
      </w:r>
      <w:r w:rsidR="00462DFB" w:rsidRPr="00511ED8">
        <w:rPr>
          <w:rFonts w:ascii="Times New Roman" w:hAnsi="Times New Roman"/>
          <w:sz w:val="22"/>
          <w:szCs w:val="22"/>
        </w:rPr>
        <w:t xml:space="preserve">is </w:t>
      </w:r>
      <w:r w:rsidR="00CF4A5D" w:rsidRPr="00511ED8">
        <w:rPr>
          <w:rFonts w:ascii="Times New Roman" w:hAnsi="Times New Roman"/>
          <w:sz w:val="22"/>
          <w:szCs w:val="22"/>
        </w:rPr>
        <w:t>compatible with the </w:t>
      </w:r>
      <w:r w:rsidR="007231B2" w:rsidRPr="00511ED8">
        <w:rPr>
          <w:rFonts w:ascii="Times New Roman" w:hAnsi="Times New Roman"/>
          <w:sz w:val="22"/>
          <w:szCs w:val="22"/>
        </w:rPr>
        <w:t xml:space="preserve">human rights and freedoms recognised or declared in the international instruments listed in section 3 of the </w:t>
      </w:r>
      <w:r w:rsidR="007231B2" w:rsidRPr="00511ED8">
        <w:rPr>
          <w:rFonts w:ascii="Times New Roman" w:hAnsi="Times New Roman"/>
          <w:i/>
          <w:sz w:val="22"/>
          <w:szCs w:val="22"/>
        </w:rPr>
        <w:t>Human Rights (Parliamentary Scrutiny) Act 2011</w:t>
      </w:r>
      <w:r w:rsidR="007231B2" w:rsidRPr="00511ED8">
        <w:rPr>
          <w:rFonts w:ascii="Times New Roman" w:hAnsi="Times New Roman"/>
          <w:sz w:val="22"/>
          <w:szCs w:val="22"/>
        </w:rPr>
        <w:t>.</w:t>
      </w:r>
    </w:p>
    <w:p w14:paraId="1C93B92E" w14:textId="77777777" w:rsidR="0030123E" w:rsidRPr="00511ED8" w:rsidRDefault="0030123E" w:rsidP="00901D26">
      <w:pPr>
        <w:ind w:right="-284"/>
        <w:rPr>
          <w:rFonts w:ascii="Times New Roman" w:hAnsi="Times New Roman"/>
          <w:sz w:val="22"/>
          <w:szCs w:val="22"/>
        </w:rPr>
      </w:pPr>
    </w:p>
    <w:p w14:paraId="6A33E264" w14:textId="77777777" w:rsidR="000A5AE3" w:rsidRPr="00511ED8" w:rsidRDefault="00862B50" w:rsidP="00901D26">
      <w:pPr>
        <w:ind w:right="-284"/>
        <w:rPr>
          <w:rFonts w:ascii="Times New Roman" w:hAnsi="Times New Roman"/>
          <w:b/>
          <w:sz w:val="22"/>
          <w:szCs w:val="22"/>
        </w:rPr>
      </w:pPr>
      <w:r w:rsidRPr="00511ED8">
        <w:rPr>
          <w:rFonts w:ascii="Times New Roman" w:hAnsi="Times New Roman"/>
          <w:b/>
          <w:sz w:val="22"/>
          <w:szCs w:val="22"/>
        </w:rPr>
        <w:t>Overview of legislative instrument</w:t>
      </w:r>
    </w:p>
    <w:p w14:paraId="6380F782" w14:textId="77777777" w:rsidR="000A5AE3" w:rsidRDefault="000A5AE3" w:rsidP="00901D26">
      <w:pPr>
        <w:ind w:right="-284"/>
        <w:rPr>
          <w:rFonts w:ascii="Times New Roman" w:hAnsi="Times New Roman"/>
          <w:sz w:val="22"/>
          <w:szCs w:val="22"/>
        </w:rPr>
      </w:pPr>
    </w:p>
    <w:p w14:paraId="65A4269E" w14:textId="77777777" w:rsidR="000353E8" w:rsidRPr="000353E8" w:rsidRDefault="000353E8" w:rsidP="000353E8">
      <w:pPr>
        <w:ind w:right="-284"/>
        <w:rPr>
          <w:rFonts w:ascii="Times New Roman" w:hAnsi="Times New Roman"/>
          <w:sz w:val="22"/>
          <w:szCs w:val="22"/>
        </w:rPr>
      </w:pPr>
      <w:r w:rsidRPr="000353E8">
        <w:rPr>
          <w:rFonts w:ascii="Times New Roman" w:hAnsi="Times New Roman"/>
          <w:sz w:val="22"/>
          <w:szCs w:val="22"/>
        </w:rPr>
        <w:t xml:space="preserve">The </w:t>
      </w:r>
      <w:r w:rsidRPr="000353E8">
        <w:rPr>
          <w:rFonts w:ascii="Times New Roman" w:hAnsi="Times New Roman"/>
          <w:i/>
          <w:sz w:val="22"/>
          <w:szCs w:val="22"/>
        </w:rPr>
        <w:t>Therapeutic Goods Act 1989</w:t>
      </w:r>
      <w:r w:rsidRPr="000353E8">
        <w:rPr>
          <w:rFonts w:ascii="Times New Roman" w:hAnsi="Times New Roman"/>
          <w:sz w:val="22"/>
          <w:szCs w:val="22"/>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TGA”) within the Australian Government Department of Health (“the Department”).</w:t>
      </w:r>
    </w:p>
    <w:p w14:paraId="656A66EB" w14:textId="77777777" w:rsidR="000353E8" w:rsidRDefault="000353E8" w:rsidP="009A38DE">
      <w:pPr>
        <w:ind w:right="-284"/>
        <w:rPr>
          <w:rFonts w:ascii="Times New Roman" w:hAnsi="Times New Roman"/>
          <w:sz w:val="22"/>
          <w:szCs w:val="22"/>
        </w:rPr>
      </w:pPr>
    </w:p>
    <w:p w14:paraId="3DFB3850" w14:textId="77777777" w:rsidR="009A38DE" w:rsidRDefault="009A38DE" w:rsidP="009A38DE">
      <w:pPr>
        <w:ind w:right="-284"/>
        <w:rPr>
          <w:rFonts w:ascii="Times New Roman" w:hAnsi="Times New Roman"/>
          <w:sz w:val="22"/>
          <w:szCs w:val="22"/>
        </w:rPr>
      </w:pPr>
      <w:r w:rsidRPr="00511ED8">
        <w:rPr>
          <w:rFonts w:ascii="Times New Roman" w:hAnsi="Times New Roman"/>
          <w:sz w:val="22"/>
          <w:szCs w:val="22"/>
        </w:rPr>
        <w:t xml:space="preserve">The </w:t>
      </w:r>
      <w:r w:rsidRPr="00511ED8">
        <w:rPr>
          <w:rFonts w:ascii="Times New Roman" w:hAnsi="Times New Roman"/>
          <w:i/>
          <w:sz w:val="22"/>
          <w:szCs w:val="22"/>
        </w:rPr>
        <w:t>Therapeutic Goods (</w:t>
      </w:r>
      <w:r>
        <w:rPr>
          <w:rFonts w:ascii="Times New Roman" w:hAnsi="Times New Roman"/>
          <w:i/>
          <w:sz w:val="22"/>
          <w:szCs w:val="22"/>
        </w:rPr>
        <w:t>Medicinal Cannabis Products) (Information</w:t>
      </w:r>
      <w:r w:rsidRPr="00511ED8">
        <w:rPr>
          <w:rFonts w:ascii="Times New Roman" w:hAnsi="Times New Roman"/>
          <w:i/>
          <w:sz w:val="22"/>
          <w:szCs w:val="22"/>
        </w:rPr>
        <w:t>) Specification 202</w:t>
      </w:r>
      <w:r>
        <w:rPr>
          <w:rFonts w:ascii="Times New Roman" w:hAnsi="Times New Roman"/>
          <w:i/>
          <w:sz w:val="22"/>
          <w:szCs w:val="22"/>
        </w:rPr>
        <w:t>1</w:t>
      </w:r>
      <w:r w:rsidRPr="00511ED8">
        <w:rPr>
          <w:rFonts w:ascii="Times New Roman" w:hAnsi="Times New Roman"/>
          <w:sz w:val="22"/>
          <w:szCs w:val="22"/>
        </w:rPr>
        <w:t xml:space="preserve"> (“the </w:t>
      </w:r>
      <w:r>
        <w:rPr>
          <w:rFonts w:ascii="Times New Roman" w:hAnsi="Times New Roman"/>
          <w:sz w:val="22"/>
          <w:szCs w:val="22"/>
        </w:rPr>
        <w:t>instrument</w:t>
      </w:r>
      <w:r w:rsidRPr="00511ED8">
        <w:rPr>
          <w:rFonts w:ascii="Times New Roman" w:hAnsi="Times New Roman"/>
          <w:sz w:val="22"/>
          <w:szCs w:val="22"/>
        </w:rPr>
        <w:t xml:space="preserve">”) is </w:t>
      </w:r>
      <w:r>
        <w:rPr>
          <w:rFonts w:ascii="Times New Roman" w:hAnsi="Times New Roman"/>
          <w:sz w:val="22"/>
          <w:szCs w:val="22"/>
        </w:rPr>
        <w:t xml:space="preserve">a legislative instrument </w:t>
      </w:r>
      <w:r w:rsidRPr="00511ED8">
        <w:rPr>
          <w:rFonts w:ascii="Times New Roman" w:hAnsi="Times New Roman"/>
          <w:sz w:val="22"/>
          <w:szCs w:val="22"/>
        </w:rPr>
        <w:t xml:space="preserve">made under subsection 61(5D) of the </w:t>
      </w:r>
      <w:r w:rsidR="000353E8">
        <w:rPr>
          <w:rFonts w:ascii="Times New Roman" w:hAnsi="Times New Roman"/>
          <w:sz w:val="22"/>
          <w:szCs w:val="22"/>
        </w:rPr>
        <w:t>Act</w:t>
      </w:r>
      <w:r>
        <w:rPr>
          <w:rFonts w:ascii="Times New Roman" w:hAnsi="Times New Roman"/>
          <w:sz w:val="22"/>
          <w:szCs w:val="22"/>
        </w:rPr>
        <w:t>.  It</w:t>
      </w:r>
      <w:r w:rsidRPr="00511ED8">
        <w:rPr>
          <w:rFonts w:ascii="Times New Roman" w:hAnsi="Times New Roman"/>
          <w:sz w:val="22"/>
          <w:szCs w:val="22"/>
        </w:rPr>
        <w:t xml:space="preserve"> specif</w:t>
      </w:r>
      <w:r>
        <w:rPr>
          <w:rFonts w:ascii="Times New Roman" w:hAnsi="Times New Roman"/>
          <w:sz w:val="22"/>
          <w:szCs w:val="22"/>
        </w:rPr>
        <w:t>ies</w:t>
      </w:r>
      <w:r w:rsidRPr="00511ED8">
        <w:rPr>
          <w:rFonts w:ascii="Times New Roman" w:hAnsi="Times New Roman"/>
          <w:sz w:val="22"/>
          <w:szCs w:val="22"/>
        </w:rPr>
        <w:t xml:space="preserve"> kinds of therapeutic goods information that the Secretary may release to the public under subsection 61(5C) of the Act.</w:t>
      </w:r>
      <w:r w:rsidRPr="001820D6">
        <w:rPr>
          <w:rFonts w:ascii="Times New Roman" w:hAnsi="Times New Roman"/>
          <w:sz w:val="22"/>
          <w:szCs w:val="22"/>
        </w:rPr>
        <w:t xml:space="preserve"> </w:t>
      </w:r>
      <w:r>
        <w:rPr>
          <w:rFonts w:ascii="Times New Roman" w:hAnsi="Times New Roman"/>
          <w:sz w:val="22"/>
          <w:szCs w:val="22"/>
        </w:rPr>
        <w:t xml:space="preserve"> Consequently, the instrument promotes transparency by supporting the publication of information relating to the supply of medicinal cannabis products in Australia.</w:t>
      </w:r>
    </w:p>
    <w:p w14:paraId="69AC20F6" w14:textId="77777777" w:rsidR="009A38DE" w:rsidRDefault="009A38DE" w:rsidP="009A38DE">
      <w:pPr>
        <w:ind w:right="-284"/>
        <w:rPr>
          <w:rFonts w:ascii="Times New Roman" w:hAnsi="Times New Roman"/>
          <w:sz w:val="22"/>
          <w:szCs w:val="22"/>
        </w:rPr>
      </w:pPr>
    </w:p>
    <w:p w14:paraId="0B797DA6" w14:textId="77777777" w:rsidR="009A38DE" w:rsidRDefault="009A38DE" w:rsidP="009A38DE">
      <w:pPr>
        <w:tabs>
          <w:tab w:val="left" w:pos="2490"/>
        </w:tabs>
        <w:ind w:right="-284"/>
        <w:rPr>
          <w:rFonts w:ascii="Times New Roman" w:hAnsi="Times New Roman"/>
          <w:sz w:val="22"/>
          <w:szCs w:val="22"/>
        </w:rPr>
      </w:pPr>
      <w:r>
        <w:rPr>
          <w:rFonts w:ascii="Times New Roman" w:hAnsi="Times New Roman"/>
          <w:sz w:val="22"/>
          <w:szCs w:val="22"/>
        </w:rPr>
        <w:t>In general terms, the instrument</w:t>
      </w:r>
      <w:r w:rsidRPr="00511ED8">
        <w:rPr>
          <w:rFonts w:ascii="Times New Roman" w:hAnsi="Times New Roman"/>
          <w:sz w:val="22"/>
          <w:szCs w:val="22"/>
        </w:rPr>
        <w:t xml:space="preserve"> </w:t>
      </w:r>
      <w:r>
        <w:rPr>
          <w:rFonts w:ascii="Times New Roman" w:hAnsi="Times New Roman"/>
          <w:sz w:val="22"/>
          <w:szCs w:val="22"/>
        </w:rPr>
        <w:t xml:space="preserve">identifies </w:t>
      </w:r>
      <w:r w:rsidRPr="00511ED8">
        <w:rPr>
          <w:rFonts w:ascii="Times New Roman" w:hAnsi="Times New Roman"/>
          <w:sz w:val="22"/>
          <w:szCs w:val="22"/>
        </w:rPr>
        <w:t>therapeutic goods information relating to</w:t>
      </w:r>
      <w:r>
        <w:rPr>
          <w:rFonts w:ascii="Times New Roman" w:hAnsi="Times New Roman"/>
          <w:sz w:val="22"/>
          <w:szCs w:val="22"/>
        </w:rPr>
        <w:t xml:space="preserve"> the supply of medicinal cannabis products through the authorised prescriber and special access schemes in Australia.  The term “medicinal cannabis products” is defined in the </w:t>
      </w:r>
      <w:r w:rsidRPr="00816326">
        <w:rPr>
          <w:rFonts w:ascii="Times New Roman" w:hAnsi="Times New Roman"/>
          <w:i/>
          <w:sz w:val="22"/>
          <w:szCs w:val="22"/>
        </w:rPr>
        <w:t>Therapeutic Goods Regulations 1990</w:t>
      </w:r>
      <w:r>
        <w:rPr>
          <w:rFonts w:ascii="Times New Roman" w:hAnsi="Times New Roman"/>
          <w:sz w:val="22"/>
          <w:szCs w:val="22"/>
        </w:rPr>
        <w:t xml:space="preserve"> (“the Regulations”) to mean therapeutic goods that contain, or are manufactured from, any part of a plant of the genus </w:t>
      </w:r>
      <w:r w:rsidRPr="0036243A">
        <w:rPr>
          <w:rFonts w:ascii="Times New Roman" w:hAnsi="Times New Roman"/>
          <w:i/>
          <w:sz w:val="22"/>
          <w:szCs w:val="22"/>
        </w:rPr>
        <w:t>Cannabis</w:t>
      </w:r>
      <w:r>
        <w:rPr>
          <w:rFonts w:ascii="Times New Roman" w:hAnsi="Times New Roman"/>
          <w:sz w:val="22"/>
          <w:szCs w:val="22"/>
        </w:rPr>
        <w:t>, including for example the flowers, fruiting tops, seeds, stems and leaves of the plant.</w:t>
      </w:r>
    </w:p>
    <w:p w14:paraId="4ED5FB95" w14:textId="77777777" w:rsidR="009A38DE" w:rsidRDefault="009A38DE" w:rsidP="009A38DE">
      <w:pPr>
        <w:tabs>
          <w:tab w:val="left" w:pos="2490"/>
        </w:tabs>
        <w:ind w:right="-284"/>
        <w:rPr>
          <w:rFonts w:ascii="Times New Roman" w:hAnsi="Times New Roman"/>
          <w:sz w:val="22"/>
          <w:szCs w:val="22"/>
        </w:rPr>
      </w:pPr>
    </w:p>
    <w:p w14:paraId="02215867" w14:textId="77777777" w:rsidR="009A38DE" w:rsidRDefault="009A38DE" w:rsidP="009A38DE">
      <w:pPr>
        <w:tabs>
          <w:tab w:val="left" w:pos="2490"/>
        </w:tabs>
        <w:ind w:right="-284"/>
        <w:rPr>
          <w:rFonts w:ascii="Times New Roman" w:hAnsi="Times New Roman"/>
          <w:sz w:val="22"/>
          <w:szCs w:val="22"/>
        </w:rPr>
      </w:pPr>
      <w:r>
        <w:rPr>
          <w:rFonts w:ascii="Times New Roman" w:hAnsi="Times New Roman"/>
          <w:sz w:val="22"/>
          <w:szCs w:val="22"/>
        </w:rPr>
        <w:t>While there are two medicinal cannabis products that are included in the Australian Register of Therapeutic Goods (“the Register”), the majority of medicinal cannabis products that are prescribed to patients in Australia are supplied through the following “unapproved” pathways:</w:t>
      </w:r>
    </w:p>
    <w:p w14:paraId="54490FA7" w14:textId="77777777" w:rsidR="009A38DE" w:rsidRDefault="009A38DE" w:rsidP="009A38DE">
      <w:pPr>
        <w:tabs>
          <w:tab w:val="left" w:pos="2490"/>
        </w:tabs>
        <w:ind w:right="-284"/>
        <w:rPr>
          <w:rFonts w:ascii="Times New Roman" w:hAnsi="Times New Roman"/>
          <w:sz w:val="22"/>
          <w:szCs w:val="22"/>
        </w:rPr>
      </w:pPr>
    </w:p>
    <w:p w14:paraId="11EA6845" w14:textId="77777777" w:rsidR="009A38DE" w:rsidRDefault="009A38DE" w:rsidP="009A38DE">
      <w:pPr>
        <w:pStyle w:val="ListParagraph"/>
        <w:numPr>
          <w:ilvl w:val="0"/>
          <w:numId w:val="20"/>
        </w:numPr>
        <w:tabs>
          <w:tab w:val="left" w:pos="2490"/>
        </w:tabs>
        <w:ind w:right="-284"/>
        <w:rPr>
          <w:rFonts w:ascii="Times New Roman" w:hAnsi="Times New Roman"/>
          <w:sz w:val="22"/>
          <w:szCs w:val="22"/>
        </w:rPr>
      </w:pPr>
      <w:r>
        <w:rPr>
          <w:rFonts w:ascii="Times New Roman" w:hAnsi="Times New Roman"/>
          <w:sz w:val="22"/>
          <w:szCs w:val="22"/>
        </w:rPr>
        <w:t xml:space="preserve">the </w:t>
      </w:r>
      <w:r w:rsidR="003304E9">
        <w:rPr>
          <w:rFonts w:ascii="Times New Roman" w:hAnsi="Times New Roman"/>
          <w:sz w:val="22"/>
          <w:szCs w:val="22"/>
        </w:rPr>
        <w:t>authorised prescriber (“</w:t>
      </w:r>
      <w:r>
        <w:rPr>
          <w:rFonts w:ascii="Times New Roman" w:hAnsi="Times New Roman"/>
          <w:sz w:val="22"/>
          <w:szCs w:val="22"/>
        </w:rPr>
        <w:t>AP</w:t>
      </w:r>
      <w:r w:rsidR="003304E9">
        <w:rPr>
          <w:rFonts w:ascii="Times New Roman" w:hAnsi="Times New Roman"/>
          <w:sz w:val="22"/>
          <w:szCs w:val="22"/>
        </w:rPr>
        <w:t>”)</w:t>
      </w:r>
      <w:r>
        <w:rPr>
          <w:rFonts w:ascii="Times New Roman" w:hAnsi="Times New Roman"/>
          <w:sz w:val="22"/>
          <w:szCs w:val="22"/>
        </w:rPr>
        <w:t xml:space="preserve"> pathway, under which medical practitioners may apply to the Secretary for an authorisation to supply unapproved goods to a specified class of persons (this pathway is underpinned by subsection 19(5) of the Act in relation to medicines</w:t>
      </w:r>
      <w:proofErr w:type="gramStart"/>
      <w:r>
        <w:rPr>
          <w:rFonts w:ascii="Times New Roman" w:hAnsi="Times New Roman"/>
          <w:sz w:val="22"/>
          <w:szCs w:val="22"/>
        </w:rPr>
        <w:t>);</w:t>
      </w:r>
      <w:proofErr w:type="gramEnd"/>
    </w:p>
    <w:p w14:paraId="68AEC713" w14:textId="77777777" w:rsidR="009A38DE" w:rsidRDefault="009A38DE" w:rsidP="009A38DE">
      <w:pPr>
        <w:pStyle w:val="ListParagraph"/>
        <w:numPr>
          <w:ilvl w:val="0"/>
          <w:numId w:val="20"/>
        </w:numPr>
        <w:tabs>
          <w:tab w:val="left" w:pos="2490"/>
        </w:tabs>
        <w:ind w:right="-284"/>
        <w:rPr>
          <w:rFonts w:ascii="Times New Roman" w:hAnsi="Times New Roman"/>
          <w:sz w:val="22"/>
          <w:szCs w:val="22"/>
        </w:rPr>
      </w:pPr>
      <w:r>
        <w:rPr>
          <w:rFonts w:ascii="Times New Roman" w:hAnsi="Times New Roman"/>
          <w:sz w:val="22"/>
          <w:szCs w:val="22"/>
        </w:rPr>
        <w:t>the</w:t>
      </w:r>
      <w:r w:rsidR="003304E9">
        <w:rPr>
          <w:rFonts w:ascii="Times New Roman" w:hAnsi="Times New Roman"/>
          <w:sz w:val="22"/>
          <w:szCs w:val="22"/>
        </w:rPr>
        <w:t xml:space="preserve"> special access scheme category A</w:t>
      </w:r>
      <w:r>
        <w:rPr>
          <w:rFonts w:ascii="Times New Roman" w:hAnsi="Times New Roman"/>
          <w:sz w:val="22"/>
          <w:szCs w:val="22"/>
        </w:rPr>
        <w:t xml:space="preserve"> </w:t>
      </w:r>
      <w:r w:rsidR="003304E9">
        <w:rPr>
          <w:rFonts w:ascii="Times New Roman" w:hAnsi="Times New Roman"/>
          <w:sz w:val="22"/>
          <w:szCs w:val="22"/>
        </w:rPr>
        <w:t>(“</w:t>
      </w:r>
      <w:r>
        <w:rPr>
          <w:rFonts w:ascii="Times New Roman" w:hAnsi="Times New Roman"/>
          <w:sz w:val="22"/>
          <w:szCs w:val="22"/>
        </w:rPr>
        <w:t>SAS A</w:t>
      </w:r>
      <w:r w:rsidR="003304E9">
        <w:rPr>
          <w:rFonts w:ascii="Times New Roman" w:hAnsi="Times New Roman"/>
          <w:sz w:val="22"/>
          <w:szCs w:val="22"/>
        </w:rPr>
        <w:t>”)</w:t>
      </w:r>
      <w:r>
        <w:rPr>
          <w:rFonts w:ascii="Times New Roman" w:hAnsi="Times New Roman"/>
          <w:sz w:val="22"/>
          <w:szCs w:val="22"/>
        </w:rPr>
        <w:t xml:space="preserve"> pathway, under which medical practitioners may supply unapproved therapeutic goods to critically ill patients and notify the Secretary of having done so within 28 days of supply (this pathway is underpinned by section 18 of the Act and regulation 12A of the Regulations in relation to medicines);</w:t>
      </w:r>
    </w:p>
    <w:p w14:paraId="141823F5" w14:textId="77777777" w:rsidR="009A38DE" w:rsidRPr="00847FED" w:rsidRDefault="009A38DE" w:rsidP="009A38DE">
      <w:pPr>
        <w:pStyle w:val="ListParagraph"/>
        <w:numPr>
          <w:ilvl w:val="0"/>
          <w:numId w:val="20"/>
        </w:numPr>
        <w:tabs>
          <w:tab w:val="left" w:pos="2490"/>
        </w:tabs>
        <w:ind w:right="-284"/>
        <w:rPr>
          <w:rFonts w:ascii="Times New Roman" w:hAnsi="Times New Roman"/>
          <w:sz w:val="22"/>
          <w:szCs w:val="22"/>
        </w:rPr>
      </w:pPr>
      <w:r>
        <w:rPr>
          <w:rFonts w:ascii="Times New Roman" w:hAnsi="Times New Roman"/>
          <w:sz w:val="22"/>
          <w:szCs w:val="22"/>
        </w:rPr>
        <w:t xml:space="preserve">the </w:t>
      </w:r>
      <w:r w:rsidR="003304E9">
        <w:rPr>
          <w:rFonts w:ascii="Times New Roman" w:hAnsi="Times New Roman"/>
          <w:sz w:val="22"/>
          <w:szCs w:val="22"/>
        </w:rPr>
        <w:t>special access scheme category B (“</w:t>
      </w:r>
      <w:r>
        <w:rPr>
          <w:rFonts w:ascii="Times New Roman" w:hAnsi="Times New Roman"/>
          <w:sz w:val="22"/>
          <w:szCs w:val="22"/>
        </w:rPr>
        <w:t>SAS B</w:t>
      </w:r>
      <w:r w:rsidR="003304E9">
        <w:rPr>
          <w:rFonts w:ascii="Times New Roman" w:hAnsi="Times New Roman"/>
          <w:sz w:val="22"/>
          <w:szCs w:val="22"/>
        </w:rPr>
        <w:t>”)</w:t>
      </w:r>
      <w:r>
        <w:rPr>
          <w:rFonts w:ascii="Times New Roman" w:hAnsi="Times New Roman"/>
          <w:sz w:val="22"/>
          <w:szCs w:val="22"/>
        </w:rPr>
        <w:t xml:space="preserve"> pathway, under which a health practitioner (this term is defined in subsection 3(1) of the Act and is not limited to medical practitioners) may apply to the Secretary for approval for the use of unapproved therapeutic goods in the treatment of a patient who is not critically ill (this pathway is underpinned by paragraph 19(1)(a) of the Act in relation to medicines).</w:t>
      </w:r>
    </w:p>
    <w:p w14:paraId="7D2831BC" w14:textId="77777777" w:rsidR="009A38DE" w:rsidRDefault="009A38DE" w:rsidP="009A38DE">
      <w:pPr>
        <w:tabs>
          <w:tab w:val="left" w:pos="2490"/>
        </w:tabs>
        <w:ind w:right="-284"/>
        <w:rPr>
          <w:rFonts w:ascii="Times New Roman" w:hAnsi="Times New Roman"/>
          <w:sz w:val="22"/>
          <w:szCs w:val="22"/>
        </w:rPr>
      </w:pPr>
    </w:p>
    <w:p w14:paraId="0A09014C" w14:textId="77777777" w:rsidR="009A38DE" w:rsidRDefault="009A38DE" w:rsidP="009A38DE">
      <w:pPr>
        <w:tabs>
          <w:tab w:val="left" w:pos="2490"/>
        </w:tabs>
        <w:ind w:right="-284"/>
        <w:rPr>
          <w:rFonts w:ascii="Times New Roman" w:hAnsi="Times New Roman"/>
          <w:sz w:val="22"/>
          <w:szCs w:val="22"/>
        </w:rPr>
      </w:pPr>
      <w:r>
        <w:rPr>
          <w:rFonts w:ascii="Times New Roman" w:hAnsi="Times New Roman"/>
          <w:sz w:val="22"/>
          <w:szCs w:val="22"/>
        </w:rPr>
        <w:t xml:space="preserve">In recent years, there has been </w:t>
      </w:r>
      <w:r w:rsidRPr="00E117B2">
        <w:rPr>
          <w:rFonts w:ascii="Times New Roman" w:hAnsi="Times New Roman"/>
          <w:sz w:val="22"/>
          <w:szCs w:val="22"/>
        </w:rPr>
        <w:t xml:space="preserve">considerable </w:t>
      </w:r>
      <w:r>
        <w:rPr>
          <w:rFonts w:ascii="Times New Roman" w:hAnsi="Times New Roman"/>
          <w:sz w:val="22"/>
          <w:szCs w:val="22"/>
        </w:rPr>
        <w:t xml:space="preserve">public </w:t>
      </w:r>
      <w:r w:rsidRPr="00E117B2">
        <w:rPr>
          <w:rFonts w:ascii="Times New Roman" w:hAnsi="Times New Roman"/>
          <w:sz w:val="22"/>
          <w:szCs w:val="22"/>
        </w:rPr>
        <w:t xml:space="preserve">interest </w:t>
      </w:r>
      <w:r>
        <w:rPr>
          <w:rFonts w:ascii="Times New Roman" w:hAnsi="Times New Roman"/>
          <w:sz w:val="22"/>
          <w:szCs w:val="22"/>
        </w:rPr>
        <w:t>in</w:t>
      </w:r>
      <w:r w:rsidRPr="00A775FA">
        <w:rPr>
          <w:rFonts w:ascii="Times New Roman" w:hAnsi="Times New Roman"/>
          <w:sz w:val="22"/>
          <w:szCs w:val="22"/>
        </w:rPr>
        <w:t xml:space="preserve"> the provision of </w:t>
      </w:r>
      <w:r>
        <w:rPr>
          <w:rFonts w:ascii="Times New Roman" w:hAnsi="Times New Roman"/>
          <w:sz w:val="22"/>
          <w:szCs w:val="22"/>
        </w:rPr>
        <w:t xml:space="preserve">statistical </w:t>
      </w:r>
      <w:r w:rsidRPr="00A775FA">
        <w:rPr>
          <w:rFonts w:ascii="Times New Roman" w:hAnsi="Times New Roman"/>
          <w:sz w:val="22"/>
          <w:szCs w:val="22"/>
        </w:rPr>
        <w:t xml:space="preserve">information </w:t>
      </w:r>
      <w:r>
        <w:rPr>
          <w:rFonts w:ascii="Times New Roman" w:hAnsi="Times New Roman"/>
          <w:sz w:val="22"/>
          <w:szCs w:val="22"/>
        </w:rPr>
        <w:t xml:space="preserve">on </w:t>
      </w:r>
      <w:r w:rsidRPr="00A775FA">
        <w:rPr>
          <w:rFonts w:ascii="Times New Roman" w:hAnsi="Times New Roman"/>
          <w:sz w:val="22"/>
          <w:szCs w:val="22"/>
        </w:rPr>
        <w:t>the use of the</w:t>
      </w:r>
      <w:r>
        <w:rPr>
          <w:rFonts w:ascii="Times New Roman" w:hAnsi="Times New Roman"/>
          <w:sz w:val="22"/>
          <w:szCs w:val="22"/>
        </w:rPr>
        <w:t> AP, SAS A and SAS B</w:t>
      </w:r>
      <w:r w:rsidRPr="00A775FA">
        <w:rPr>
          <w:rFonts w:ascii="Times New Roman" w:hAnsi="Times New Roman"/>
          <w:sz w:val="22"/>
          <w:szCs w:val="22"/>
        </w:rPr>
        <w:t xml:space="preserve"> pathways </w:t>
      </w:r>
      <w:r>
        <w:rPr>
          <w:rFonts w:ascii="Times New Roman" w:hAnsi="Times New Roman"/>
          <w:sz w:val="22"/>
          <w:szCs w:val="22"/>
        </w:rPr>
        <w:t>for</w:t>
      </w:r>
      <w:r w:rsidRPr="00A775FA">
        <w:rPr>
          <w:rFonts w:ascii="Times New Roman" w:hAnsi="Times New Roman"/>
          <w:sz w:val="22"/>
          <w:szCs w:val="22"/>
        </w:rPr>
        <w:t xml:space="preserve"> medicinal cannabis products</w:t>
      </w:r>
      <w:r w:rsidRPr="008A038C">
        <w:rPr>
          <w:rFonts w:ascii="Times New Roman" w:hAnsi="Times New Roman"/>
          <w:sz w:val="22"/>
          <w:szCs w:val="22"/>
        </w:rPr>
        <w:t>.</w:t>
      </w:r>
      <w:r>
        <w:rPr>
          <w:rFonts w:ascii="Times New Roman" w:hAnsi="Times New Roman"/>
          <w:sz w:val="22"/>
          <w:szCs w:val="22"/>
        </w:rPr>
        <w:t xml:space="preserve">  Such information is frequently requested by members of the media and the public (including patients, practitioners and </w:t>
      </w:r>
      <w:r>
        <w:rPr>
          <w:rFonts w:ascii="Times New Roman" w:hAnsi="Times New Roman"/>
          <w:sz w:val="22"/>
          <w:szCs w:val="22"/>
        </w:rPr>
        <w:lastRenderedPageBreak/>
        <w:t xml:space="preserve">researchers) in applications made under the </w:t>
      </w:r>
      <w:r w:rsidRPr="00E117B2">
        <w:rPr>
          <w:rFonts w:ascii="Times New Roman" w:hAnsi="Times New Roman"/>
          <w:i/>
          <w:sz w:val="22"/>
          <w:szCs w:val="22"/>
        </w:rPr>
        <w:t>Freedom of Information Act 1982</w:t>
      </w:r>
      <w:r>
        <w:rPr>
          <w:rFonts w:ascii="Times New Roman" w:hAnsi="Times New Roman"/>
          <w:sz w:val="22"/>
          <w:szCs w:val="22"/>
        </w:rPr>
        <w:t xml:space="preserve"> (“FOI requests”), and also by parliamentarians during Senate Estimate hearings, parliamentary inquiries and question time.</w:t>
      </w:r>
    </w:p>
    <w:p w14:paraId="168367CD" w14:textId="77777777" w:rsidR="009A38DE" w:rsidRDefault="009A38DE" w:rsidP="009A38DE">
      <w:pPr>
        <w:tabs>
          <w:tab w:val="left" w:pos="2490"/>
        </w:tabs>
        <w:ind w:right="-284"/>
        <w:rPr>
          <w:rFonts w:ascii="Times New Roman" w:hAnsi="Times New Roman"/>
          <w:sz w:val="22"/>
          <w:szCs w:val="22"/>
        </w:rPr>
      </w:pPr>
    </w:p>
    <w:p w14:paraId="4A31D6E0" w14:textId="77777777" w:rsidR="00B237E3" w:rsidRPr="00B237E3" w:rsidRDefault="00B237E3" w:rsidP="00B237E3">
      <w:pPr>
        <w:tabs>
          <w:tab w:val="left" w:pos="2490"/>
        </w:tabs>
        <w:ind w:right="-284"/>
        <w:rPr>
          <w:rFonts w:ascii="Times New Roman" w:hAnsi="Times New Roman"/>
          <w:sz w:val="22"/>
          <w:szCs w:val="22"/>
        </w:rPr>
      </w:pPr>
      <w:r>
        <w:rPr>
          <w:rFonts w:ascii="Times New Roman" w:hAnsi="Times New Roman"/>
          <w:sz w:val="22"/>
          <w:szCs w:val="22"/>
        </w:rPr>
        <w:t>Specifically, the i</w:t>
      </w:r>
      <w:r w:rsidRPr="00B237E3">
        <w:rPr>
          <w:rFonts w:ascii="Times New Roman" w:hAnsi="Times New Roman"/>
          <w:sz w:val="22"/>
          <w:szCs w:val="22"/>
        </w:rPr>
        <w:t>nstrument facilitates the publication of aggregated and de-identified statistical information; being, the numbers of applications or notifications (collectively, “submissions”) made in relation to medicinal cannabis products under the authorised prescriber (“AP”), special access scheme category A (“SAS A”) and special access scheme category B (“SAS B”) pathways</w:t>
      </w:r>
      <w:r w:rsidR="00DF3263">
        <w:rPr>
          <w:rFonts w:ascii="Times New Roman" w:hAnsi="Times New Roman"/>
          <w:sz w:val="22"/>
          <w:szCs w:val="22"/>
        </w:rPr>
        <w:t xml:space="preserve"> in Australia</w:t>
      </w:r>
      <w:r w:rsidRPr="00B237E3">
        <w:rPr>
          <w:rFonts w:ascii="Times New Roman" w:hAnsi="Times New Roman"/>
          <w:sz w:val="22"/>
          <w:szCs w:val="22"/>
        </w:rPr>
        <w:t xml:space="preserve">.  The numbers of submissions are specified in Schedule 1 to </w:t>
      </w:r>
      <w:r>
        <w:rPr>
          <w:rFonts w:ascii="Times New Roman" w:hAnsi="Times New Roman"/>
          <w:sz w:val="22"/>
          <w:szCs w:val="22"/>
        </w:rPr>
        <w:t>the i</w:t>
      </w:r>
      <w:r w:rsidRPr="00B237E3">
        <w:rPr>
          <w:rFonts w:ascii="Times New Roman" w:hAnsi="Times New Roman"/>
          <w:sz w:val="22"/>
          <w:szCs w:val="22"/>
        </w:rPr>
        <w:t>nstrument with reference to one or more parameters including: time periods; the relevant state or territory in which the medicinal cannabis products are prescribed; the indications for which the products have been prescribed; the active ingredients relating to those products; and the status of the submissions (such as approved, withdrawn, refused, pending or received).</w:t>
      </w:r>
    </w:p>
    <w:p w14:paraId="750D1A13" w14:textId="77777777" w:rsidR="00B237E3" w:rsidRPr="00B237E3" w:rsidRDefault="00B237E3" w:rsidP="00B237E3">
      <w:pPr>
        <w:tabs>
          <w:tab w:val="left" w:pos="2490"/>
        </w:tabs>
        <w:ind w:right="-284"/>
        <w:rPr>
          <w:rFonts w:ascii="Times New Roman" w:hAnsi="Times New Roman"/>
          <w:sz w:val="22"/>
          <w:szCs w:val="22"/>
        </w:rPr>
      </w:pPr>
    </w:p>
    <w:p w14:paraId="12AE4EC7" w14:textId="77777777" w:rsidR="00796276" w:rsidRPr="00796276" w:rsidRDefault="00796276" w:rsidP="00796276">
      <w:pPr>
        <w:tabs>
          <w:tab w:val="left" w:pos="2490"/>
        </w:tabs>
        <w:ind w:right="-284"/>
        <w:rPr>
          <w:rFonts w:ascii="Times New Roman" w:hAnsi="Times New Roman"/>
          <w:sz w:val="22"/>
          <w:szCs w:val="22"/>
        </w:rPr>
      </w:pPr>
      <w:r w:rsidRPr="00796276">
        <w:rPr>
          <w:rFonts w:ascii="Times New Roman" w:hAnsi="Times New Roman"/>
          <w:sz w:val="22"/>
          <w:szCs w:val="22"/>
        </w:rPr>
        <w:t>The information will be published in a database pursuant to decisions made under subsection 61(5C) of the Act.  The database will be made available on the TGA website in a manner that ensures that individual patients and practitioners cannot be identified from the information.  The privacy of individuals will be protected by ensuring that only statistical information for certain parameters that generate results of 10 or more submissions will be published.  Any searches for parameters that may be used to identify individual patients or practitioners (such as patient gender, patient age range, or the number, and specialty, of medical or health practitioners who make applications or notifications in any particular state or territory) will be reflected in the database as “less than 10 submissions” where those searches generate results between one and nine submissions.</w:t>
      </w:r>
    </w:p>
    <w:p w14:paraId="4410F625" w14:textId="77777777" w:rsidR="004E289C" w:rsidRDefault="004E289C" w:rsidP="004E289C">
      <w:pPr>
        <w:tabs>
          <w:tab w:val="left" w:pos="2490"/>
        </w:tabs>
        <w:ind w:right="-284"/>
        <w:rPr>
          <w:rFonts w:ascii="Times New Roman" w:hAnsi="Times New Roman"/>
          <w:sz w:val="22"/>
          <w:szCs w:val="22"/>
        </w:rPr>
      </w:pPr>
    </w:p>
    <w:p w14:paraId="59BFB8B7" w14:textId="77777777" w:rsidR="007231B2" w:rsidRPr="00511ED8" w:rsidRDefault="007231B2" w:rsidP="00901D26">
      <w:pPr>
        <w:keepNext/>
        <w:ind w:right="-284"/>
        <w:rPr>
          <w:rFonts w:ascii="Times New Roman" w:hAnsi="Times New Roman"/>
          <w:b/>
          <w:sz w:val="22"/>
          <w:szCs w:val="22"/>
        </w:rPr>
      </w:pPr>
      <w:r w:rsidRPr="00511ED8">
        <w:rPr>
          <w:rFonts w:ascii="Times New Roman" w:hAnsi="Times New Roman"/>
          <w:b/>
          <w:sz w:val="22"/>
          <w:szCs w:val="22"/>
        </w:rPr>
        <w:t>Human rights implications</w:t>
      </w:r>
    </w:p>
    <w:p w14:paraId="2B1E2511" w14:textId="77777777" w:rsidR="0030123E" w:rsidRPr="00511ED8" w:rsidRDefault="0030123E" w:rsidP="00586E53"/>
    <w:p w14:paraId="3E80B5D2" w14:textId="77777777" w:rsidR="00D15596" w:rsidRPr="00511ED8" w:rsidRDefault="000C21C4" w:rsidP="00901D26">
      <w:pPr>
        <w:ind w:right="-284"/>
        <w:rPr>
          <w:rFonts w:ascii="Times New Roman" w:hAnsi="Times New Roman"/>
          <w:sz w:val="22"/>
          <w:szCs w:val="22"/>
        </w:rPr>
      </w:pPr>
      <w:r w:rsidRPr="00511ED8">
        <w:rPr>
          <w:rFonts w:ascii="Times New Roman" w:hAnsi="Times New Roman"/>
          <w:sz w:val="22"/>
          <w:szCs w:val="22"/>
        </w:rPr>
        <w:t xml:space="preserve">The </w:t>
      </w:r>
      <w:r w:rsidR="007363D6" w:rsidRPr="00511ED8">
        <w:rPr>
          <w:rFonts w:ascii="Times New Roman" w:hAnsi="Times New Roman"/>
          <w:sz w:val="22"/>
          <w:szCs w:val="22"/>
        </w:rPr>
        <w:t>instrument</w:t>
      </w:r>
      <w:r w:rsidRPr="00511ED8">
        <w:rPr>
          <w:rFonts w:ascii="Times New Roman" w:hAnsi="Times New Roman"/>
          <w:sz w:val="22"/>
          <w:szCs w:val="22"/>
        </w:rPr>
        <w:t xml:space="preserve"> engages the right to health in Article 12 of the International Covenant on Economic, Social and Cultural rights (</w:t>
      </w:r>
      <w:r w:rsidR="004B5134" w:rsidRPr="00511ED8">
        <w:rPr>
          <w:rFonts w:ascii="Times New Roman" w:hAnsi="Times New Roman"/>
          <w:sz w:val="22"/>
          <w:szCs w:val="22"/>
        </w:rPr>
        <w:t>“</w:t>
      </w:r>
      <w:r w:rsidRPr="00511ED8">
        <w:rPr>
          <w:rFonts w:ascii="Times New Roman" w:hAnsi="Times New Roman"/>
          <w:sz w:val="22"/>
          <w:szCs w:val="22"/>
        </w:rPr>
        <w:t>ICESCR</w:t>
      </w:r>
      <w:r w:rsidR="004B5134" w:rsidRPr="00511ED8">
        <w:rPr>
          <w:rFonts w:ascii="Times New Roman" w:hAnsi="Times New Roman"/>
          <w:sz w:val="22"/>
          <w:szCs w:val="22"/>
        </w:rPr>
        <w:t>”</w:t>
      </w:r>
      <w:r w:rsidRPr="00511ED8">
        <w:rPr>
          <w:rFonts w:ascii="Times New Roman" w:hAnsi="Times New Roman"/>
          <w:sz w:val="22"/>
          <w:szCs w:val="22"/>
        </w:rPr>
        <w:t>).</w:t>
      </w:r>
      <w:r w:rsidR="00D15596" w:rsidRPr="00511ED8">
        <w:rPr>
          <w:rFonts w:ascii="Times New Roman" w:hAnsi="Times New Roman"/>
          <w:sz w:val="22"/>
          <w:szCs w:val="22"/>
        </w:rPr>
        <w:t xml:space="preserve"> </w:t>
      </w:r>
      <w:r w:rsidRPr="00511ED8">
        <w:rPr>
          <w:rFonts w:ascii="Times New Roman" w:hAnsi="Times New Roman"/>
          <w:sz w:val="22"/>
          <w:szCs w:val="22"/>
        </w:rPr>
        <w:t>Article 12 of the ICESCR promotes the right of all individuals to enjoy the highest attainable standards of physical and mental health.</w:t>
      </w:r>
    </w:p>
    <w:p w14:paraId="6ACC1F6A" w14:textId="77777777" w:rsidR="00D15596" w:rsidRPr="00511ED8" w:rsidRDefault="00D15596" w:rsidP="00901D26">
      <w:pPr>
        <w:ind w:right="-284"/>
        <w:rPr>
          <w:rFonts w:ascii="Times New Roman" w:hAnsi="Times New Roman"/>
          <w:sz w:val="22"/>
          <w:szCs w:val="22"/>
        </w:rPr>
      </w:pPr>
    </w:p>
    <w:p w14:paraId="33DE1574" w14:textId="77777777" w:rsidR="000C21C4" w:rsidRPr="00511ED8" w:rsidRDefault="000C21C4" w:rsidP="00901D26">
      <w:pPr>
        <w:ind w:right="-284"/>
        <w:rPr>
          <w:rFonts w:ascii="Times New Roman" w:hAnsi="Times New Roman"/>
          <w:sz w:val="22"/>
          <w:szCs w:val="22"/>
        </w:rPr>
      </w:pPr>
      <w:r w:rsidRPr="00511ED8">
        <w:rPr>
          <w:rFonts w:ascii="Times New Roman" w:hAnsi="Times New Roman"/>
          <w:sz w:val="22"/>
          <w:szCs w:val="22"/>
        </w:rPr>
        <w:t xml:space="preserve">In </w:t>
      </w:r>
      <w:r w:rsidRPr="00511ED8">
        <w:rPr>
          <w:rFonts w:ascii="Times New Roman" w:hAnsi="Times New Roman"/>
          <w:i/>
          <w:sz w:val="22"/>
          <w:szCs w:val="22"/>
        </w:rPr>
        <w:t>General Comment No. 14: The Right to the Highest Attainable Standard of Health (Art. 12)</w:t>
      </w:r>
      <w:r w:rsidRPr="00511ED8">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69E9C500" w14:textId="77777777" w:rsidR="000C21C4" w:rsidRPr="00511ED8" w:rsidRDefault="000C21C4" w:rsidP="00901D26">
      <w:pPr>
        <w:ind w:right="-284"/>
        <w:rPr>
          <w:rFonts w:ascii="Times New Roman" w:hAnsi="Times New Roman"/>
          <w:sz w:val="22"/>
          <w:szCs w:val="22"/>
        </w:rPr>
      </w:pPr>
    </w:p>
    <w:p w14:paraId="4837843D" w14:textId="77777777" w:rsidR="00955F64" w:rsidRDefault="000C21C4" w:rsidP="00955F64">
      <w:pPr>
        <w:ind w:right="-284"/>
        <w:rPr>
          <w:rFonts w:ascii="Times New Roman" w:hAnsi="Times New Roman"/>
          <w:sz w:val="22"/>
          <w:szCs w:val="22"/>
        </w:rPr>
      </w:pPr>
      <w:r w:rsidRPr="00511ED8">
        <w:rPr>
          <w:rFonts w:ascii="Times New Roman" w:hAnsi="Times New Roman"/>
          <w:sz w:val="22"/>
          <w:szCs w:val="22"/>
        </w:rPr>
        <w:t xml:space="preserve">The </w:t>
      </w:r>
      <w:r w:rsidR="007363D6" w:rsidRPr="00511ED8">
        <w:rPr>
          <w:rFonts w:ascii="Times New Roman" w:hAnsi="Times New Roman"/>
          <w:sz w:val="22"/>
          <w:szCs w:val="22"/>
        </w:rPr>
        <w:t>instrument</w:t>
      </w:r>
      <w:r w:rsidRPr="00511ED8">
        <w:rPr>
          <w:rFonts w:ascii="Times New Roman" w:hAnsi="Times New Roman"/>
          <w:sz w:val="22"/>
          <w:szCs w:val="22"/>
        </w:rPr>
        <w:t xml:space="preserve"> takes positive steps to promote the right to health by helping to ensure </w:t>
      </w:r>
      <w:r w:rsidR="00955F64" w:rsidRPr="00511ED8">
        <w:rPr>
          <w:rFonts w:ascii="Times New Roman" w:hAnsi="Times New Roman"/>
          <w:sz w:val="22"/>
          <w:szCs w:val="22"/>
        </w:rPr>
        <w:t xml:space="preserve">greater transparency and awareness about </w:t>
      </w:r>
      <w:r w:rsidR="00851DE0">
        <w:rPr>
          <w:rFonts w:ascii="Times New Roman" w:hAnsi="Times New Roman"/>
          <w:sz w:val="22"/>
          <w:szCs w:val="22"/>
        </w:rPr>
        <w:t>access to medicinal cannabis products</w:t>
      </w:r>
      <w:r w:rsidR="005259F0">
        <w:rPr>
          <w:rFonts w:ascii="Times New Roman" w:hAnsi="Times New Roman"/>
          <w:sz w:val="22"/>
          <w:szCs w:val="22"/>
        </w:rPr>
        <w:t xml:space="preserve"> through “unapproved” pathways</w:t>
      </w:r>
      <w:r w:rsidR="00816326">
        <w:rPr>
          <w:rFonts w:ascii="Times New Roman" w:hAnsi="Times New Roman"/>
          <w:sz w:val="22"/>
          <w:szCs w:val="22"/>
        </w:rPr>
        <w:t xml:space="preserve">, demonstrating that such products are able to be accessed in those ways, and over time providing greater insight into </w:t>
      </w:r>
      <w:r w:rsidR="005259F0">
        <w:rPr>
          <w:rFonts w:ascii="Times New Roman" w:hAnsi="Times New Roman"/>
          <w:sz w:val="22"/>
          <w:szCs w:val="22"/>
        </w:rPr>
        <w:t xml:space="preserve">the practice regarding supply for the treatment of persons </w:t>
      </w:r>
      <w:r w:rsidR="00816326">
        <w:rPr>
          <w:rFonts w:ascii="Times New Roman" w:hAnsi="Times New Roman"/>
          <w:sz w:val="22"/>
          <w:szCs w:val="22"/>
        </w:rPr>
        <w:t>and regulatory processes r</w:t>
      </w:r>
      <w:r w:rsidR="00B237E3">
        <w:rPr>
          <w:rFonts w:ascii="Times New Roman" w:hAnsi="Times New Roman"/>
          <w:sz w:val="22"/>
          <w:szCs w:val="22"/>
        </w:rPr>
        <w:t>elated</w:t>
      </w:r>
      <w:r w:rsidR="00816326">
        <w:rPr>
          <w:rFonts w:ascii="Times New Roman" w:hAnsi="Times New Roman"/>
          <w:sz w:val="22"/>
          <w:szCs w:val="22"/>
        </w:rPr>
        <w:t xml:space="preserve"> to such products</w:t>
      </w:r>
      <w:r w:rsidR="000D63EF">
        <w:rPr>
          <w:rFonts w:ascii="Times New Roman" w:hAnsi="Times New Roman"/>
          <w:sz w:val="22"/>
          <w:szCs w:val="22"/>
        </w:rPr>
        <w:t>.</w:t>
      </w:r>
    </w:p>
    <w:p w14:paraId="14D8FFF0" w14:textId="77777777" w:rsidR="00982F0F" w:rsidRDefault="00982F0F" w:rsidP="00955F64">
      <w:pPr>
        <w:ind w:right="-284"/>
        <w:rPr>
          <w:rFonts w:ascii="Times New Roman" w:hAnsi="Times New Roman"/>
          <w:sz w:val="22"/>
          <w:szCs w:val="22"/>
        </w:rPr>
      </w:pPr>
    </w:p>
    <w:p w14:paraId="63DF639E" w14:textId="77777777" w:rsidR="003D2795" w:rsidRPr="003C1480" w:rsidRDefault="00982F0F" w:rsidP="00AD2610">
      <w:pPr>
        <w:ind w:right="-284"/>
        <w:rPr>
          <w:rFonts w:ascii="Times New Roman" w:hAnsi="Times New Roman"/>
          <w:sz w:val="22"/>
          <w:szCs w:val="22"/>
        </w:rPr>
      </w:pPr>
      <w:r>
        <w:rPr>
          <w:rFonts w:ascii="Times New Roman" w:hAnsi="Times New Roman"/>
          <w:sz w:val="22"/>
          <w:szCs w:val="22"/>
        </w:rPr>
        <w:t>The instrument also engages the right to privacy in Article 16 of the Convention o</w:t>
      </w:r>
      <w:r w:rsidR="00735539">
        <w:rPr>
          <w:rFonts w:ascii="Times New Roman" w:hAnsi="Times New Roman"/>
          <w:sz w:val="22"/>
          <w:szCs w:val="22"/>
        </w:rPr>
        <w:t>f the Rights of the Child (“</w:t>
      </w:r>
      <w:r>
        <w:rPr>
          <w:rFonts w:ascii="Times New Roman" w:hAnsi="Times New Roman"/>
          <w:sz w:val="22"/>
          <w:szCs w:val="22"/>
        </w:rPr>
        <w:t>CROC”) and Article 17 of the ICESCR</w:t>
      </w:r>
      <w:r w:rsidRPr="00AD2610">
        <w:rPr>
          <w:rFonts w:ascii="Times New Roman" w:hAnsi="Times New Roman"/>
          <w:sz w:val="22"/>
          <w:szCs w:val="22"/>
        </w:rPr>
        <w:t xml:space="preserve">.  </w:t>
      </w:r>
      <w:r w:rsidR="003D2795" w:rsidRPr="003C1480">
        <w:rPr>
          <w:rFonts w:ascii="Times New Roman" w:hAnsi="Times New Roman"/>
          <w:sz w:val="22"/>
          <w:szCs w:val="22"/>
        </w:rPr>
        <w:t xml:space="preserve">Article 16(1) of the CROC recognises that ‘no child shall be subjected to arbitrary or unlawful interference with his or her privacy, family, home or correspondence, nor to unlawful attacks on his or her honour and reputation’. </w:t>
      </w:r>
      <w:r w:rsidR="00B237E3">
        <w:rPr>
          <w:rFonts w:ascii="Times New Roman" w:hAnsi="Times New Roman"/>
          <w:sz w:val="22"/>
          <w:szCs w:val="22"/>
        </w:rPr>
        <w:t xml:space="preserve"> </w:t>
      </w:r>
      <w:r w:rsidR="003D2795" w:rsidRPr="003C1480">
        <w:rPr>
          <w:rFonts w:ascii="Times New Roman" w:hAnsi="Times New Roman"/>
          <w:sz w:val="22"/>
          <w:szCs w:val="22"/>
        </w:rPr>
        <w:t>Article 17(1) of the ICESCR similarly states that ‘no one shall be subjected to arbitrary or unlawful interference with his privacy, family, home or correspondence, nor to unlawful attacks on his honour and reputation’.</w:t>
      </w:r>
    </w:p>
    <w:p w14:paraId="0BFD7E8A" w14:textId="77777777" w:rsidR="003C1480" w:rsidRDefault="003C1480" w:rsidP="003C1480">
      <w:pPr>
        <w:ind w:right="-284"/>
        <w:rPr>
          <w:rFonts w:ascii="Times New Roman" w:hAnsi="Times New Roman"/>
          <w:sz w:val="22"/>
          <w:szCs w:val="22"/>
        </w:rPr>
      </w:pPr>
    </w:p>
    <w:p w14:paraId="16EC3B51" w14:textId="77777777" w:rsidR="00796276" w:rsidRPr="0071075C" w:rsidRDefault="003D2795" w:rsidP="003C1480">
      <w:pPr>
        <w:ind w:right="-284"/>
        <w:rPr>
          <w:rFonts w:ascii="Times New Roman" w:hAnsi="Times New Roman"/>
          <w:sz w:val="22"/>
          <w:szCs w:val="22"/>
        </w:rPr>
      </w:pPr>
      <w:r w:rsidRPr="003C1480">
        <w:rPr>
          <w:rFonts w:ascii="Times New Roman" w:hAnsi="Times New Roman"/>
          <w:sz w:val="22"/>
          <w:szCs w:val="22"/>
        </w:rPr>
        <w:t xml:space="preserve">The </w:t>
      </w:r>
      <w:r w:rsidR="001F59F8" w:rsidRPr="003C1480">
        <w:rPr>
          <w:rFonts w:ascii="Times New Roman" w:hAnsi="Times New Roman"/>
          <w:sz w:val="22"/>
          <w:szCs w:val="22"/>
        </w:rPr>
        <w:t>instrument</w:t>
      </w:r>
      <w:r w:rsidRPr="003C1480">
        <w:rPr>
          <w:rFonts w:ascii="Times New Roman" w:hAnsi="Times New Roman"/>
          <w:sz w:val="22"/>
          <w:szCs w:val="22"/>
        </w:rPr>
        <w:t xml:space="preserve"> </w:t>
      </w:r>
      <w:r w:rsidR="001F59F8" w:rsidRPr="003C1480">
        <w:rPr>
          <w:rFonts w:ascii="Times New Roman" w:hAnsi="Times New Roman"/>
          <w:sz w:val="22"/>
          <w:szCs w:val="22"/>
        </w:rPr>
        <w:t xml:space="preserve">does not </w:t>
      </w:r>
      <w:r w:rsidR="006D5634">
        <w:rPr>
          <w:rFonts w:ascii="Times New Roman" w:hAnsi="Times New Roman"/>
          <w:sz w:val="22"/>
          <w:szCs w:val="22"/>
        </w:rPr>
        <w:t xml:space="preserve">facilitate </w:t>
      </w:r>
      <w:r w:rsidR="001F59F8" w:rsidRPr="003C1480">
        <w:rPr>
          <w:rFonts w:ascii="Times New Roman" w:hAnsi="Times New Roman"/>
          <w:sz w:val="22"/>
          <w:szCs w:val="22"/>
        </w:rPr>
        <w:t>the publication of information that could amount to an interference of privacy of individuals, on the basis that the instrument</w:t>
      </w:r>
      <w:r w:rsidR="003C1480" w:rsidRPr="003C1480">
        <w:rPr>
          <w:rFonts w:ascii="Times New Roman" w:hAnsi="Times New Roman"/>
          <w:sz w:val="22"/>
          <w:szCs w:val="22"/>
        </w:rPr>
        <w:t xml:space="preserve"> </w:t>
      </w:r>
      <w:r w:rsidR="008C5BA6">
        <w:rPr>
          <w:rFonts w:ascii="Times New Roman" w:hAnsi="Times New Roman"/>
          <w:sz w:val="22"/>
          <w:szCs w:val="22"/>
        </w:rPr>
        <w:t>only enables</w:t>
      </w:r>
      <w:r w:rsidR="003C1480" w:rsidRPr="003C1480">
        <w:rPr>
          <w:rFonts w:ascii="Times New Roman" w:hAnsi="Times New Roman"/>
          <w:sz w:val="22"/>
          <w:szCs w:val="22"/>
        </w:rPr>
        <w:t xml:space="preserve"> decisions </w:t>
      </w:r>
      <w:r w:rsidR="00B237E3">
        <w:rPr>
          <w:rFonts w:ascii="Times New Roman" w:hAnsi="Times New Roman"/>
          <w:sz w:val="22"/>
          <w:szCs w:val="22"/>
        </w:rPr>
        <w:t xml:space="preserve">of </w:t>
      </w:r>
      <w:r w:rsidR="003C1480" w:rsidRPr="003C1480">
        <w:rPr>
          <w:rFonts w:ascii="Times New Roman" w:hAnsi="Times New Roman"/>
          <w:sz w:val="22"/>
          <w:szCs w:val="22"/>
        </w:rPr>
        <w:t>the Secretary</w:t>
      </w:r>
      <w:r w:rsidR="0071075C">
        <w:rPr>
          <w:rFonts w:ascii="Times New Roman" w:hAnsi="Times New Roman"/>
          <w:sz w:val="22"/>
          <w:szCs w:val="22"/>
        </w:rPr>
        <w:t xml:space="preserve"> </w:t>
      </w:r>
      <w:r w:rsidR="003C1480" w:rsidRPr="003C1480">
        <w:rPr>
          <w:rFonts w:ascii="Times New Roman" w:hAnsi="Times New Roman"/>
          <w:sz w:val="22"/>
          <w:szCs w:val="22"/>
        </w:rPr>
        <w:t xml:space="preserve">under subsection 61(5C) of the Act to </w:t>
      </w:r>
      <w:r w:rsidR="00DF3263">
        <w:rPr>
          <w:rFonts w:ascii="Times New Roman" w:hAnsi="Times New Roman"/>
          <w:sz w:val="22"/>
          <w:szCs w:val="22"/>
        </w:rPr>
        <w:t>release</w:t>
      </w:r>
      <w:r w:rsidR="00C55BFC">
        <w:rPr>
          <w:rFonts w:ascii="Times New Roman" w:hAnsi="Times New Roman"/>
          <w:sz w:val="22"/>
          <w:szCs w:val="22"/>
        </w:rPr>
        <w:t xml:space="preserve"> </w:t>
      </w:r>
      <w:r w:rsidR="008C5BA6">
        <w:rPr>
          <w:rFonts w:ascii="Times New Roman" w:hAnsi="Times New Roman"/>
          <w:sz w:val="22"/>
          <w:szCs w:val="22"/>
        </w:rPr>
        <w:t xml:space="preserve">the </w:t>
      </w:r>
      <w:r w:rsidR="001F59F8" w:rsidRPr="003C1480">
        <w:rPr>
          <w:rFonts w:ascii="Times New Roman" w:hAnsi="Times New Roman"/>
          <w:sz w:val="22"/>
          <w:szCs w:val="22"/>
        </w:rPr>
        <w:t xml:space="preserve">numbers of </w:t>
      </w:r>
      <w:r w:rsidR="00796276">
        <w:rPr>
          <w:rFonts w:ascii="Times New Roman" w:hAnsi="Times New Roman"/>
          <w:sz w:val="22"/>
          <w:szCs w:val="22"/>
        </w:rPr>
        <w:t xml:space="preserve">submissions </w:t>
      </w:r>
      <w:r w:rsidR="001F59F8" w:rsidRPr="003C1480">
        <w:rPr>
          <w:rFonts w:ascii="Times New Roman" w:hAnsi="Times New Roman"/>
          <w:sz w:val="22"/>
          <w:szCs w:val="22"/>
        </w:rPr>
        <w:t xml:space="preserve">made under the “unapproved” pathways in Australia.  </w:t>
      </w:r>
      <w:r w:rsidR="00B237E3">
        <w:rPr>
          <w:rFonts w:ascii="Times New Roman" w:hAnsi="Times New Roman"/>
          <w:sz w:val="22"/>
          <w:szCs w:val="22"/>
        </w:rPr>
        <w:t>The instrument</w:t>
      </w:r>
      <w:r w:rsidR="001F59F8" w:rsidRPr="003C1480">
        <w:rPr>
          <w:rFonts w:ascii="Times New Roman" w:hAnsi="Times New Roman"/>
          <w:sz w:val="22"/>
          <w:szCs w:val="22"/>
        </w:rPr>
        <w:t xml:space="preserve"> does not facilitate the disclosure of names </w:t>
      </w:r>
      <w:r w:rsidR="00DF3263">
        <w:rPr>
          <w:rFonts w:ascii="Times New Roman" w:hAnsi="Times New Roman"/>
          <w:sz w:val="22"/>
          <w:szCs w:val="22"/>
        </w:rPr>
        <w:t xml:space="preserve">of </w:t>
      </w:r>
      <w:r w:rsidR="00C41A9D">
        <w:rPr>
          <w:rFonts w:ascii="Times New Roman" w:hAnsi="Times New Roman"/>
          <w:sz w:val="22"/>
          <w:szCs w:val="22"/>
        </w:rPr>
        <w:t xml:space="preserve">medical or health </w:t>
      </w:r>
      <w:r w:rsidR="00DF3263">
        <w:rPr>
          <w:rFonts w:ascii="Times New Roman" w:hAnsi="Times New Roman"/>
          <w:sz w:val="22"/>
          <w:szCs w:val="22"/>
        </w:rPr>
        <w:t xml:space="preserve">practitioners </w:t>
      </w:r>
      <w:r w:rsidR="001F59F8" w:rsidRPr="003C1480">
        <w:rPr>
          <w:rFonts w:ascii="Times New Roman" w:hAnsi="Times New Roman"/>
          <w:sz w:val="22"/>
          <w:szCs w:val="22"/>
        </w:rPr>
        <w:t xml:space="preserve">responsible for </w:t>
      </w:r>
      <w:r w:rsidR="0071075C">
        <w:rPr>
          <w:rFonts w:ascii="Times New Roman" w:hAnsi="Times New Roman"/>
          <w:sz w:val="22"/>
          <w:szCs w:val="22"/>
        </w:rPr>
        <w:t>submissions</w:t>
      </w:r>
      <w:r w:rsidR="001F59F8" w:rsidRPr="003C1480">
        <w:rPr>
          <w:rFonts w:ascii="Times New Roman" w:hAnsi="Times New Roman"/>
          <w:sz w:val="22"/>
          <w:szCs w:val="22"/>
        </w:rPr>
        <w:t xml:space="preserve">, or </w:t>
      </w:r>
      <w:r w:rsidR="002C67AD">
        <w:rPr>
          <w:rFonts w:ascii="Times New Roman" w:hAnsi="Times New Roman"/>
          <w:sz w:val="22"/>
          <w:szCs w:val="22"/>
        </w:rPr>
        <w:t xml:space="preserve">the names of </w:t>
      </w:r>
      <w:r w:rsidR="00DF3263">
        <w:rPr>
          <w:rFonts w:ascii="Times New Roman" w:hAnsi="Times New Roman"/>
          <w:sz w:val="22"/>
          <w:szCs w:val="22"/>
        </w:rPr>
        <w:t>patients who are the subject of th</w:t>
      </w:r>
      <w:r w:rsidR="00C55BFC">
        <w:rPr>
          <w:rFonts w:ascii="Times New Roman" w:hAnsi="Times New Roman"/>
          <w:sz w:val="22"/>
          <w:szCs w:val="22"/>
        </w:rPr>
        <w:t>os</w:t>
      </w:r>
      <w:r w:rsidR="00DF3263">
        <w:rPr>
          <w:rFonts w:ascii="Times New Roman" w:hAnsi="Times New Roman"/>
          <w:sz w:val="22"/>
          <w:szCs w:val="22"/>
        </w:rPr>
        <w:t xml:space="preserve">e </w:t>
      </w:r>
      <w:r w:rsidR="0071075C">
        <w:rPr>
          <w:rFonts w:ascii="Times New Roman" w:hAnsi="Times New Roman"/>
          <w:sz w:val="22"/>
          <w:szCs w:val="22"/>
        </w:rPr>
        <w:t>submissions</w:t>
      </w:r>
      <w:r w:rsidR="00DF3263">
        <w:rPr>
          <w:rFonts w:ascii="Times New Roman" w:hAnsi="Times New Roman"/>
          <w:sz w:val="22"/>
          <w:szCs w:val="22"/>
        </w:rPr>
        <w:t xml:space="preserve"> (</w:t>
      </w:r>
      <w:r w:rsidR="001F59F8" w:rsidRPr="003C1480">
        <w:rPr>
          <w:rFonts w:ascii="Times New Roman" w:hAnsi="Times New Roman"/>
          <w:sz w:val="22"/>
          <w:szCs w:val="22"/>
        </w:rPr>
        <w:t>the latter</w:t>
      </w:r>
      <w:r w:rsidR="006D5634">
        <w:rPr>
          <w:rFonts w:ascii="Times New Roman" w:hAnsi="Times New Roman"/>
          <w:sz w:val="22"/>
          <w:szCs w:val="22"/>
        </w:rPr>
        <w:t>,</w:t>
      </w:r>
      <w:r w:rsidR="001F59F8" w:rsidRPr="003C1480">
        <w:rPr>
          <w:rFonts w:ascii="Times New Roman" w:hAnsi="Times New Roman"/>
          <w:sz w:val="22"/>
          <w:szCs w:val="22"/>
        </w:rPr>
        <w:t xml:space="preserve"> not </w:t>
      </w:r>
      <w:r w:rsidR="00DF3263">
        <w:rPr>
          <w:rFonts w:ascii="Times New Roman" w:hAnsi="Times New Roman"/>
          <w:sz w:val="22"/>
          <w:szCs w:val="22"/>
        </w:rPr>
        <w:t xml:space="preserve">being </w:t>
      </w:r>
      <w:r w:rsidR="0071075C">
        <w:rPr>
          <w:rFonts w:ascii="Times New Roman" w:hAnsi="Times New Roman"/>
          <w:sz w:val="22"/>
          <w:szCs w:val="22"/>
        </w:rPr>
        <w:t>collected</w:t>
      </w:r>
      <w:r w:rsidR="001F59F8" w:rsidRPr="003C1480">
        <w:rPr>
          <w:rFonts w:ascii="Times New Roman" w:hAnsi="Times New Roman"/>
          <w:sz w:val="22"/>
          <w:szCs w:val="22"/>
        </w:rPr>
        <w:t xml:space="preserve"> by the TGA</w:t>
      </w:r>
      <w:r w:rsidR="006D5634">
        <w:rPr>
          <w:rFonts w:ascii="Times New Roman" w:hAnsi="Times New Roman"/>
          <w:sz w:val="22"/>
          <w:szCs w:val="22"/>
        </w:rPr>
        <w:t xml:space="preserve"> as part of the</w:t>
      </w:r>
      <w:r w:rsidR="003C1480" w:rsidRPr="003C1480">
        <w:rPr>
          <w:rFonts w:ascii="Times New Roman" w:hAnsi="Times New Roman"/>
          <w:sz w:val="22"/>
          <w:szCs w:val="22"/>
        </w:rPr>
        <w:t xml:space="preserve"> </w:t>
      </w:r>
      <w:r w:rsidR="006D5634">
        <w:rPr>
          <w:rFonts w:ascii="Times New Roman" w:hAnsi="Times New Roman"/>
          <w:sz w:val="22"/>
          <w:szCs w:val="22"/>
        </w:rPr>
        <w:t xml:space="preserve">“unapproved” </w:t>
      </w:r>
      <w:r w:rsidR="003C1480" w:rsidRPr="003C1480">
        <w:rPr>
          <w:rFonts w:ascii="Times New Roman" w:hAnsi="Times New Roman"/>
          <w:sz w:val="22"/>
          <w:szCs w:val="22"/>
        </w:rPr>
        <w:t>pathways</w:t>
      </w:r>
      <w:r w:rsidR="00DF3263">
        <w:rPr>
          <w:rFonts w:ascii="Times New Roman" w:hAnsi="Times New Roman"/>
          <w:sz w:val="22"/>
          <w:szCs w:val="22"/>
        </w:rPr>
        <w:t>)</w:t>
      </w:r>
      <w:r w:rsidR="001F59F8" w:rsidRPr="003C1480">
        <w:rPr>
          <w:rFonts w:ascii="Times New Roman" w:hAnsi="Times New Roman"/>
          <w:sz w:val="22"/>
          <w:szCs w:val="22"/>
        </w:rPr>
        <w:t>.  Rather, as mentioned above, the database is programmed to protect the privacy of individuals re</w:t>
      </w:r>
      <w:r w:rsidR="006D5634">
        <w:rPr>
          <w:rFonts w:ascii="Times New Roman" w:hAnsi="Times New Roman"/>
          <w:sz w:val="22"/>
          <w:szCs w:val="22"/>
        </w:rPr>
        <w:t>flected in</w:t>
      </w:r>
      <w:r w:rsidR="001F59F8" w:rsidRPr="003C1480">
        <w:rPr>
          <w:rFonts w:ascii="Times New Roman" w:hAnsi="Times New Roman"/>
          <w:sz w:val="22"/>
          <w:szCs w:val="22"/>
        </w:rPr>
        <w:t xml:space="preserve"> search results for certain parameters that are less than 10 </w:t>
      </w:r>
      <w:r w:rsidR="00796276">
        <w:rPr>
          <w:rFonts w:ascii="Times New Roman" w:hAnsi="Times New Roman"/>
          <w:sz w:val="22"/>
          <w:szCs w:val="22"/>
        </w:rPr>
        <w:t xml:space="preserve">submissions.  </w:t>
      </w:r>
      <w:r w:rsidR="001F59F8" w:rsidRPr="003C1480">
        <w:rPr>
          <w:rFonts w:ascii="Times New Roman" w:hAnsi="Times New Roman"/>
          <w:sz w:val="22"/>
          <w:szCs w:val="22"/>
        </w:rPr>
        <w:t xml:space="preserve">As such, </w:t>
      </w:r>
      <w:r w:rsidR="00796276">
        <w:rPr>
          <w:rFonts w:ascii="Times New Roman" w:hAnsi="Times New Roman"/>
          <w:sz w:val="22"/>
          <w:szCs w:val="22"/>
        </w:rPr>
        <w:t xml:space="preserve">the database </w:t>
      </w:r>
      <w:r w:rsidR="001F59F8" w:rsidRPr="003C1480">
        <w:rPr>
          <w:rFonts w:ascii="Times New Roman" w:hAnsi="Times New Roman"/>
          <w:sz w:val="22"/>
          <w:szCs w:val="22"/>
        </w:rPr>
        <w:lastRenderedPageBreak/>
        <w:t>safeguard</w:t>
      </w:r>
      <w:r w:rsidR="006D5634">
        <w:rPr>
          <w:rFonts w:ascii="Times New Roman" w:hAnsi="Times New Roman"/>
          <w:sz w:val="22"/>
          <w:szCs w:val="22"/>
        </w:rPr>
        <w:t>s</w:t>
      </w:r>
      <w:r w:rsidR="001F59F8" w:rsidRPr="003C1480">
        <w:rPr>
          <w:rFonts w:ascii="Times New Roman" w:hAnsi="Times New Roman"/>
          <w:sz w:val="22"/>
          <w:szCs w:val="22"/>
        </w:rPr>
        <w:t xml:space="preserve"> </w:t>
      </w:r>
      <w:r w:rsidR="003C1480" w:rsidRPr="003C1480">
        <w:rPr>
          <w:rFonts w:ascii="Times New Roman" w:hAnsi="Times New Roman"/>
          <w:sz w:val="22"/>
          <w:szCs w:val="22"/>
        </w:rPr>
        <w:t xml:space="preserve">personal </w:t>
      </w:r>
      <w:r w:rsidR="002C67AD">
        <w:rPr>
          <w:rFonts w:ascii="Times New Roman" w:hAnsi="Times New Roman"/>
          <w:sz w:val="22"/>
          <w:szCs w:val="22"/>
        </w:rPr>
        <w:t>and</w:t>
      </w:r>
      <w:r w:rsidR="00C55BFC">
        <w:rPr>
          <w:rFonts w:ascii="Times New Roman" w:hAnsi="Times New Roman"/>
          <w:sz w:val="22"/>
          <w:szCs w:val="22"/>
        </w:rPr>
        <w:t xml:space="preserve"> sensitive </w:t>
      </w:r>
      <w:r w:rsidR="003C1480" w:rsidRPr="003C1480">
        <w:rPr>
          <w:rFonts w:ascii="Times New Roman" w:hAnsi="Times New Roman"/>
          <w:sz w:val="22"/>
          <w:szCs w:val="22"/>
        </w:rPr>
        <w:t>information</w:t>
      </w:r>
      <w:r w:rsidR="00796276">
        <w:rPr>
          <w:rFonts w:ascii="Times New Roman" w:hAnsi="Times New Roman"/>
          <w:sz w:val="22"/>
          <w:szCs w:val="22"/>
        </w:rPr>
        <w:t xml:space="preserve"> within the meaning of the </w:t>
      </w:r>
      <w:r w:rsidR="00796276">
        <w:rPr>
          <w:rFonts w:ascii="Times New Roman" w:hAnsi="Times New Roman"/>
          <w:i/>
          <w:sz w:val="22"/>
          <w:szCs w:val="22"/>
        </w:rPr>
        <w:t>Privacy Act 1988</w:t>
      </w:r>
      <w:r w:rsidR="00796276">
        <w:rPr>
          <w:rFonts w:ascii="Times New Roman" w:hAnsi="Times New Roman"/>
          <w:sz w:val="22"/>
          <w:szCs w:val="22"/>
        </w:rPr>
        <w:t xml:space="preserve">.  Any decision </w:t>
      </w:r>
      <w:r w:rsidR="0071075C">
        <w:rPr>
          <w:rFonts w:ascii="Times New Roman" w:hAnsi="Times New Roman"/>
          <w:sz w:val="22"/>
          <w:szCs w:val="22"/>
        </w:rPr>
        <w:t xml:space="preserve">of the Secretary </w:t>
      </w:r>
      <w:r w:rsidR="00796276">
        <w:rPr>
          <w:rFonts w:ascii="Times New Roman" w:hAnsi="Times New Roman"/>
          <w:sz w:val="22"/>
          <w:szCs w:val="22"/>
        </w:rPr>
        <w:t xml:space="preserve">to publish information </w:t>
      </w:r>
      <w:r w:rsidR="0071075C">
        <w:rPr>
          <w:rFonts w:ascii="Times New Roman" w:hAnsi="Times New Roman"/>
          <w:sz w:val="22"/>
          <w:szCs w:val="22"/>
        </w:rPr>
        <w:t xml:space="preserve">specified in this instrument </w:t>
      </w:r>
      <w:r w:rsidR="00796276">
        <w:rPr>
          <w:rFonts w:ascii="Times New Roman" w:hAnsi="Times New Roman"/>
          <w:sz w:val="22"/>
          <w:szCs w:val="22"/>
        </w:rPr>
        <w:t xml:space="preserve">under subsection 61(5C) of the Act </w:t>
      </w:r>
      <w:r w:rsidR="006D5634">
        <w:rPr>
          <w:rFonts w:ascii="Times New Roman" w:hAnsi="Times New Roman"/>
          <w:sz w:val="22"/>
          <w:szCs w:val="22"/>
        </w:rPr>
        <w:t xml:space="preserve">will </w:t>
      </w:r>
      <w:r w:rsidR="00796276">
        <w:rPr>
          <w:rFonts w:ascii="Times New Roman" w:hAnsi="Times New Roman"/>
          <w:sz w:val="22"/>
          <w:szCs w:val="22"/>
        </w:rPr>
        <w:t xml:space="preserve">therefore promote </w:t>
      </w:r>
      <w:r w:rsidR="008C5BA6">
        <w:rPr>
          <w:rFonts w:ascii="Times New Roman" w:hAnsi="Times New Roman"/>
          <w:sz w:val="22"/>
          <w:szCs w:val="22"/>
        </w:rPr>
        <w:t>transparency</w:t>
      </w:r>
      <w:r w:rsidR="006D5634">
        <w:rPr>
          <w:rFonts w:ascii="Times New Roman" w:hAnsi="Times New Roman"/>
          <w:sz w:val="22"/>
          <w:szCs w:val="22"/>
        </w:rPr>
        <w:t xml:space="preserve">, consistent with the objects </w:t>
      </w:r>
      <w:r w:rsidR="0071075C">
        <w:rPr>
          <w:rFonts w:ascii="Times New Roman" w:hAnsi="Times New Roman"/>
          <w:sz w:val="22"/>
          <w:szCs w:val="22"/>
        </w:rPr>
        <w:t xml:space="preserve">of the </w:t>
      </w:r>
      <w:r w:rsidR="0071075C">
        <w:rPr>
          <w:rFonts w:ascii="Times New Roman" w:hAnsi="Times New Roman"/>
          <w:i/>
          <w:sz w:val="22"/>
          <w:szCs w:val="22"/>
        </w:rPr>
        <w:t>Freedom of Information Act 1982</w:t>
      </w:r>
      <w:r w:rsidR="006D5634">
        <w:rPr>
          <w:rFonts w:ascii="Times New Roman" w:hAnsi="Times New Roman"/>
          <w:sz w:val="22"/>
          <w:szCs w:val="22"/>
        </w:rPr>
        <w:t>,</w:t>
      </w:r>
      <w:r w:rsidR="0071075C">
        <w:rPr>
          <w:rFonts w:ascii="Times New Roman" w:hAnsi="Times New Roman"/>
          <w:i/>
          <w:sz w:val="22"/>
          <w:szCs w:val="22"/>
        </w:rPr>
        <w:t xml:space="preserve"> </w:t>
      </w:r>
      <w:r w:rsidR="00796276">
        <w:rPr>
          <w:rFonts w:ascii="Times New Roman" w:hAnsi="Times New Roman"/>
          <w:sz w:val="22"/>
          <w:szCs w:val="22"/>
        </w:rPr>
        <w:t>without in</w:t>
      </w:r>
      <w:r w:rsidR="0071075C">
        <w:rPr>
          <w:rFonts w:ascii="Times New Roman" w:hAnsi="Times New Roman"/>
          <w:sz w:val="22"/>
          <w:szCs w:val="22"/>
        </w:rPr>
        <w:t>fringing t</w:t>
      </w:r>
      <w:r w:rsidR="008C5BA6">
        <w:rPr>
          <w:rFonts w:ascii="Times New Roman" w:hAnsi="Times New Roman"/>
          <w:sz w:val="22"/>
          <w:szCs w:val="22"/>
        </w:rPr>
        <w:t>he</w:t>
      </w:r>
      <w:r w:rsidR="006D5634">
        <w:rPr>
          <w:rFonts w:ascii="Times New Roman" w:hAnsi="Times New Roman"/>
          <w:sz w:val="22"/>
          <w:szCs w:val="22"/>
        </w:rPr>
        <w:t xml:space="preserve"> </w:t>
      </w:r>
      <w:r w:rsidR="00C41A9D">
        <w:rPr>
          <w:rFonts w:ascii="Times New Roman" w:hAnsi="Times New Roman"/>
          <w:sz w:val="22"/>
          <w:szCs w:val="22"/>
        </w:rPr>
        <w:t xml:space="preserve">human </w:t>
      </w:r>
      <w:r w:rsidRPr="003C1480">
        <w:rPr>
          <w:rFonts w:ascii="Times New Roman" w:hAnsi="Times New Roman"/>
          <w:sz w:val="22"/>
          <w:szCs w:val="22"/>
        </w:rPr>
        <w:t>right to privacy.</w:t>
      </w:r>
    </w:p>
    <w:p w14:paraId="7FAC5B54" w14:textId="77777777" w:rsidR="00712716" w:rsidRPr="00511ED8" w:rsidRDefault="00712716" w:rsidP="00901D26">
      <w:pPr>
        <w:ind w:right="-284"/>
        <w:rPr>
          <w:rFonts w:ascii="Times New Roman" w:hAnsi="Times New Roman"/>
          <w:sz w:val="22"/>
          <w:szCs w:val="22"/>
        </w:rPr>
      </w:pPr>
    </w:p>
    <w:p w14:paraId="12389B9B" w14:textId="77777777" w:rsidR="0030123E" w:rsidRPr="00511ED8" w:rsidRDefault="0030123E" w:rsidP="006575E0">
      <w:pPr>
        <w:keepNext/>
        <w:ind w:right="-284"/>
        <w:rPr>
          <w:rFonts w:ascii="Times New Roman" w:hAnsi="Times New Roman"/>
          <w:b/>
          <w:sz w:val="22"/>
          <w:szCs w:val="22"/>
        </w:rPr>
      </w:pPr>
      <w:r w:rsidRPr="00511ED8">
        <w:rPr>
          <w:rFonts w:ascii="Times New Roman" w:hAnsi="Times New Roman"/>
          <w:b/>
          <w:sz w:val="22"/>
          <w:szCs w:val="22"/>
        </w:rPr>
        <w:t>Conclusion</w:t>
      </w:r>
    </w:p>
    <w:p w14:paraId="20B646FA" w14:textId="77777777" w:rsidR="0030123E" w:rsidRPr="00511ED8" w:rsidRDefault="0030123E" w:rsidP="00586E53"/>
    <w:p w14:paraId="0BCDAB1B" w14:textId="77777777" w:rsidR="0030123E" w:rsidRDefault="000C21C4" w:rsidP="00901D26">
      <w:pPr>
        <w:ind w:right="-284"/>
        <w:rPr>
          <w:rFonts w:ascii="Times New Roman" w:hAnsi="Times New Roman"/>
          <w:sz w:val="22"/>
          <w:szCs w:val="22"/>
        </w:rPr>
      </w:pPr>
      <w:r w:rsidRPr="00511ED8">
        <w:rPr>
          <w:rFonts w:ascii="Times New Roman" w:hAnsi="Times New Roman"/>
          <w:sz w:val="22"/>
          <w:szCs w:val="22"/>
        </w:rPr>
        <w:t xml:space="preserve">This instrument is compatible with human rights because it </w:t>
      </w:r>
      <w:r w:rsidR="00851DE0">
        <w:rPr>
          <w:rFonts w:ascii="Times New Roman" w:hAnsi="Times New Roman"/>
          <w:sz w:val="22"/>
          <w:szCs w:val="22"/>
        </w:rPr>
        <w:t>supports</w:t>
      </w:r>
      <w:r w:rsidRPr="00511ED8">
        <w:rPr>
          <w:rFonts w:ascii="Times New Roman" w:hAnsi="Times New Roman"/>
          <w:sz w:val="22"/>
          <w:szCs w:val="22"/>
        </w:rPr>
        <w:t xml:space="preserve"> the right to health</w:t>
      </w:r>
      <w:r w:rsidR="003C1480">
        <w:rPr>
          <w:rFonts w:ascii="Times New Roman" w:hAnsi="Times New Roman"/>
          <w:sz w:val="22"/>
          <w:szCs w:val="22"/>
        </w:rPr>
        <w:t xml:space="preserve"> and the right to privacy; </w:t>
      </w:r>
      <w:r w:rsidRPr="00511ED8">
        <w:rPr>
          <w:rFonts w:ascii="Times New Roman" w:hAnsi="Times New Roman"/>
          <w:sz w:val="22"/>
          <w:szCs w:val="22"/>
        </w:rPr>
        <w:t>and does not raise any other human rights issues</w:t>
      </w:r>
      <w:r w:rsidR="000A5AE3" w:rsidRPr="00511ED8">
        <w:rPr>
          <w:rFonts w:ascii="Times New Roman" w:hAnsi="Times New Roman"/>
          <w:sz w:val="22"/>
          <w:szCs w:val="22"/>
        </w:rPr>
        <w:t>.</w:t>
      </w:r>
    </w:p>
    <w:p w14:paraId="6C29ECD1" w14:textId="77777777" w:rsidR="00FA7CAE" w:rsidRPr="00511ED8" w:rsidRDefault="00FA7CAE" w:rsidP="00901D26">
      <w:pPr>
        <w:ind w:right="-284"/>
        <w:rPr>
          <w:rFonts w:ascii="Times New Roman" w:hAnsi="Times New Roman"/>
          <w:sz w:val="22"/>
          <w:szCs w:val="22"/>
        </w:rPr>
      </w:pPr>
    </w:p>
    <w:sectPr w:rsidR="00FA7CAE" w:rsidRPr="00511ED8"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92571" w14:textId="77777777" w:rsidR="00AD2610" w:rsidRDefault="00AD2610">
      <w:r>
        <w:separator/>
      </w:r>
    </w:p>
  </w:endnote>
  <w:endnote w:type="continuationSeparator" w:id="0">
    <w:p w14:paraId="1AC9F7EA" w14:textId="77777777" w:rsidR="00AD2610" w:rsidRDefault="00AD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972775"/>
      <w:docPartObj>
        <w:docPartGallery w:val="Page Numbers (Bottom of Page)"/>
        <w:docPartUnique/>
      </w:docPartObj>
    </w:sdtPr>
    <w:sdtEndPr>
      <w:rPr>
        <w:noProof/>
      </w:rPr>
    </w:sdtEndPr>
    <w:sdtContent>
      <w:p w14:paraId="79CD6E8B" w14:textId="77777777" w:rsidR="00AD2610" w:rsidRDefault="00AD2610">
        <w:pPr>
          <w:pStyle w:val="Footer"/>
          <w:jc w:val="right"/>
        </w:pPr>
        <w:r w:rsidRPr="00586E53">
          <w:rPr>
            <w:rFonts w:ascii="Times New Roman" w:hAnsi="Times New Roman"/>
            <w:sz w:val="22"/>
            <w:szCs w:val="22"/>
          </w:rPr>
          <w:fldChar w:fldCharType="begin"/>
        </w:r>
        <w:r w:rsidRPr="00586E53">
          <w:rPr>
            <w:rFonts w:ascii="Times New Roman" w:hAnsi="Times New Roman"/>
            <w:sz w:val="22"/>
            <w:szCs w:val="22"/>
          </w:rPr>
          <w:instrText xml:space="preserve"> PAGE   \* MERGEFORMAT </w:instrText>
        </w:r>
        <w:r w:rsidRPr="00586E53">
          <w:rPr>
            <w:rFonts w:ascii="Times New Roman" w:hAnsi="Times New Roman"/>
            <w:sz w:val="22"/>
            <w:szCs w:val="22"/>
          </w:rPr>
          <w:fldChar w:fldCharType="separate"/>
        </w:r>
        <w:r w:rsidR="009A1E7A">
          <w:rPr>
            <w:rFonts w:ascii="Times New Roman" w:hAnsi="Times New Roman"/>
            <w:noProof/>
            <w:sz w:val="22"/>
            <w:szCs w:val="22"/>
          </w:rPr>
          <w:t>3</w:t>
        </w:r>
        <w:r w:rsidRPr="00586E53">
          <w:rPr>
            <w:rFonts w:ascii="Times New Roman" w:hAnsi="Times New Roman"/>
            <w:noProof/>
            <w:sz w:val="22"/>
            <w:szCs w:val="22"/>
          </w:rPr>
          <w:fldChar w:fldCharType="end"/>
        </w:r>
      </w:p>
    </w:sdtContent>
  </w:sdt>
  <w:p w14:paraId="5916B857" w14:textId="77777777" w:rsidR="00AD2610" w:rsidRPr="00877529" w:rsidRDefault="00AD2610"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F42F2" w14:textId="77777777" w:rsidR="00AD2610" w:rsidRDefault="00AD2610"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F0F1B" w14:textId="77777777" w:rsidR="00AD2610" w:rsidRDefault="00AD2610">
      <w:r>
        <w:separator/>
      </w:r>
    </w:p>
  </w:footnote>
  <w:footnote w:type="continuationSeparator" w:id="0">
    <w:p w14:paraId="4AA7625D" w14:textId="77777777" w:rsidR="00AD2610" w:rsidRDefault="00AD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170D4" w14:textId="77777777" w:rsidR="00AD2610" w:rsidRDefault="00AD2610"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B27140" w14:textId="77777777" w:rsidR="00AD2610" w:rsidRDefault="00AD2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6C162" w14:textId="77777777" w:rsidR="00AD2610" w:rsidRDefault="00AD2610" w:rsidP="00AD1943">
    <w:pPr>
      <w:pStyle w:val="Header"/>
      <w:tabs>
        <w:tab w:val="clear" w:pos="4153"/>
        <w:tab w:val="clear" w:pos="8306"/>
        <w:tab w:val="left" w:pos="0"/>
      </w:tabs>
    </w:pPr>
  </w:p>
  <w:p w14:paraId="7D257EBA" w14:textId="77777777" w:rsidR="00AD2610" w:rsidRDefault="00AD2610"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 w15:restartNumberingAfterBreak="0">
    <w:nsid w:val="14F06045"/>
    <w:multiLevelType w:val="hybridMultilevel"/>
    <w:tmpl w:val="E5AA3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645F32"/>
    <w:multiLevelType w:val="hybridMultilevel"/>
    <w:tmpl w:val="78E67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5"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05151A"/>
    <w:multiLevelType w:val="hybridMultilevel"/>
    <w:tmpl w:val="55E46A72"/>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8"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0"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092552"/>
    <w:multiLevelType w:val="hybridMultilevel"/>
    <w:tmpl w:val="CFCA144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8679C8"/>
    <w:multiLevelType w:val="hybridMultilevel"/>
    <w:tmpl w:val="5EA08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503B5E"/>
    <w:multiLevelType w:val="hybridMultilevel"/>
    <w:tmpl w:val="3DAAE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6"/>
  </w:num>
  <w:num w:numId="3">
    <w:abstractNumId w:val="17"/>
  </w:num>
  <w:num w:numId="4">
    <w:abstractNumId w:val="5"/>
  </w:num>
  <w:num w:numId="5">
    <w:abstractNumId w:val="7"/>
  </w:num>
  <w:num w:numId="6">
    <w:abstractNumId w:val="4"/>
  </w:num>
  <w:num w:numId="7">
    <w:abstractNumId w:val="0"/>
  </w:num>
  <w:num w:numId="8">
    <w:abstractNumId w:val="10"/>
  </w:num>
  <w:num w:numId="9">
    <w:abstractNumId w:val="19"/>
  </w:num>
  <w:num w:numId="10">
    <w:abstractNumId w:val="9"/>
  </w:num>
  <w:num w:numId="11">
    <w:abstractNumId w:val="14"/>
  </w:num>
  <w:num w:numId="12">
    <w:abstractNumId w:val="8"/>
  </w:num>
  <w:num w:numId="13">
    <w:abstractNumId w:val="15"/>
  </w:num>
  <w:num w:numId="14">
    <w:abstractNumId w:val="12"/>
  </w:num>
  <w:num w:numId="15">
    <w:abstractNumId w:val="11"/>
  </w:num>
  <w:num w:numId="16">
    <w:abstractNumId w:val="6"/>
  </w:num>
  <w:num w:numId="17">
    <w:abstractNumId w:val="2"/>
  </w:num>
  <w:num w:numId="18">
    <w:abstractNumId w:val="20"/>
  </w:num>
  <w:num w:numId="19">
    <w:abstractNumId w:val="13"/>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B2"/>
    <w:rsid w:val="0000660F"/>
    <w:rsid w:val="00012656"/>
    <w:rsid w:val="00013323"/>
    <w:rsid w:val="000257B7"/>
    <w:rsid w:val="00025B0F"/>
    <w:rsid w:val="0003244A"/>
    <w:rsid w:val="000353E8"/>
    <w:rsid w:val="00036A85"/>
    <w:rsid w:val="000372AF"/>
    <w:rsid w:val="00037439"/>
    <w:rsid w:val="00037CA7"/>
    <w:rsid w:val="000405EE"/>
    <w:rsid w:val="00042068"/>
    <w:rsid w:val="00042273"/>
    <w:rsid w:val="00045BDF"/>
    <w:rsid w:val="000475CB"/>
    <w:rsid w:val="000614D9"/>
    <w:rsid w:val="00064CC7"/>
    <w:rsid w:val="0006546D"/>
    <w:rsid w:val="000675AB"/>
    <w:rsid w:val="00072CA3"/>
    <w:rsid w:val="00075839"/>
    <w:rsid w:val="000810B4"/>
    <w:rsid w:val="00081E09"/>
    <w:rsid w:val="000824D5"/>
    <w:rsid w:val="0008445F"/>
    <w:rsid w:val="00085CCF"/>
    <w:rsid w:val="00090A1A"/>
    <w:rsid w:val="000917B7"/>
    <w:rsid w:val="00093E11"/>
    <w:rsid w:val="00094B6D"/>
    <w:rsid w:val="00095231"/>
    <w:rsid w:val="000A29EA"/>
    <w:rsid w:val="000A5AE3"/>
    <w:rsid w:val="000A7955"/>
    <w:rsid w:val="000B005F"/>
    <w:rsid w:val="000B37FD"/>
    <w:rsid w:val="000B58AA"/>
    <w:rsid w:val="000B58FD"/>
    <w:rsid w:val="000B6B42"/>
    <w:rsid w:val="000B7645"/>
    <w:rsid w:val="000B7FEE"/>
    <w:rsid w:val="000C21C4"/>
    <w:rsid w:val="000C2CAB"/>
    <w:rsid w:val="000C66DF"/>
    <w:rsid w:val="000D0F32"/>
    <w:rsid w:val="000D1DE2"/>
    <w:rsid w:val="000D63EF"/>
    <w:rsid w:val="000D73D0"/>
    <w:rsid w:val="000E07B9"/>
    <w:rsid w:val="000E28B3"/>
    <w:rsid w:val="000E36A7"/>
    <w:rsid w:val="000E65E9"/>
    <w:rsid w:val="000F04F8"/>
    <w:rsid w:val="00104E72"/>
    <w:rsid w:val="00105603"/>
    <w:rsid w:val="00113F28"/>
    <w:rsid w:val="001157E4"/>
    <w:rsid w:val="00130862"/>
    <w:rsid w:val="00132FF7"/>
    <w:rsid w:val="00141D8C"/>
    <w:rsid w:val="00143670"/>
    <w:rsid w:val="00146B03"/>
    <w:rsid w:val="00147ACA"/>
    <w:rsid w:val="001543C7"/>
    <w:rsid w:val="00157687"/>
    <w:rsid w:val="0017085C"/>
    <w:rsid w:val="001760FA"/>
    <w:rsid w:val="00177484"/>
    <w:rsid w:val="001811A6"/>
    <w:rsid w:val="001820D6"/>
    <w:rsid w:val="001840D6"/>
    <w:rsid w:val="0018581A"/>
    <w:rsid w:val="00190FC6"/>
    <w:rsid w:val="00195047"/>
    <w:rsid w:val="00195BB6"/>
    <w:rsid w:val="00197BB2"/>
    <w:rsid w:val="001A0568"/>
    <w:rsid w:val="001A0EAA"/>
    <w:rsid w:val="001A19D7"/>
    <w:rsid w:val="001A214C"/>
    <w:rsid w:val="001A4753"/>
    <w:rsid w:val="001A4C5C"/>
    <w:rsid w:val="001A7595"/>
    <w:rsid w:val="001A7D85"/>
    <w:rsid w:val="001B3BCF"/>
    <w:rsid w:val="001C4BF2"/>
    <w:rsid w:val="001C602E"/>
    <w:rsid w:val="001D19ED"/>
    <w:rsid w:val="001D3026"/>
    <w:rsid w:val="001E6D11"/>
    <w:rsid w:val="001F0239"/>
    <w:rsid w:val="001F2642"/>
    <w:rsid w:val="001F3922"/>
    <w:rsid w:val="001F59F8"/>
    <w:rsid w:val="001F73A0"/>
    <w:rsid w:val="00201305"/>
    <w:rsid w:val="00203B05"/>
    <w:rsid w:val="00204B5E"/>
    <w:rsid w:val="002058BF"/>
    <w:rsid w:val="00206AF2"/>
    <w:rsid w:val="00210690"/>
    <w:rsid w:val="00212750"/>
    <w:rsid w:val="00216722"/>
    <w:rsid w:val="0022141C"/>
    <w:rsid w:val="00236F6B"/>
    <w:rsid w:val="002404DB"/>
    <w:rsid w:val="00242114"/>
    <w:rsid w:val="00242E07"/>
    <w:rsid w:val="002555ED"/>
    <w:rsid w:val="00256A62"/>
    <w:rsid w:val="00262E37"/>
    <w:rsid w:val="00263C03"/>
    <w:rsid w:val="0026607F"/>
    <w:rsid w:val="002707DC"/>
    <w:rsid w:val="002755C8"/>
    <w:rsid w:val="002757A6"/>
    <w:rsid w:val="00277863"/>
    <w:rsid w:val="002807E2"/>
    <w:rsid w:val="002808F1"/>
    <w:rsid w:val="00282008"/>
    <w:rsid w:val="00283E00"/>
    <w:rsid w:val="00290960"/>
    <w:rsid w:val="00292B07"/>
    <w:rsid w:val="00293CB9"/>
    <w:rsid w:val="00294A49"/>
    <w:rsid w:val="00294B0E"/>
    <w:rsid w:val="00294DFA"/>
    <w:rsid w:val="00297750"/>
    <w:rsid w:val="002A0ADB"/>
    <w:rsid w:val="002A62DC"/>
    <w:rsid w:val="002A7ADE"/>
    <w:rsid w:val="002B5A0B"/>
    <w:rsid w:val="002B5CF0"/>
    <w:rsid w:val="002B74EA"/>
    <w:rsid w:val="002B7945"/>
    <w:rsid w:val="002B7C65"/>
    <w:rsid w:val="002C67AD"/>
    <w:rsid w:val="002D37B0"/>
    <w:rsid w:val="002D3EA1"/>
    <w:rsid w:val="002E0A39"/>
    <w:rsid w:val="002E1F59"/>
    <w:rsid w:val="002E3566"/>
    <w:rsid w:val="002E6401"/>
    <w:rsid w:val="002E77F0"/>
    <w:rsid w:val="002F4BCF"/>
    <w:rsid w:val="002F6F4F"/>
    <w:rsid w:val="0030123E"/>
    <w:rsid w:val="003047A0"/>
    <w:rsid w:val="0031179A"/>
    <w:rsid w:val="00314200"/>
    <w:rsid w:val="00315186"/>
    <w:rsid w:val="00327A1A"/>
    <w:rsid w:val="00327C89"/>
    <w:rsid w:val="003304E9"/>
    <w:rsid w:val="003314E9"/>
    <w:rsid w:val="00334ECA"/>
    <w:rsid w:val="00335801"/>
    <w:rsid w:val="00336E08"/>
    <w:rsid w:val="00344111"/>
    <w:rsid w:val="003473D3"/>
    <w:rsid w:val="0034742D"/>
    <w:rsid w:val="00350252"/>
    <w:rsid w:val="003533D3"/>
    <w:rsid w:val="00354C0C"/>
    <w:rsid w:val="00362986"/>
    <w:rsid w:val="00366B58"/>
    <w:rsid w:val="003701C5"/>
    <w:rsid w:val="00370C90"/>
    <w:rsid w:val="00371C05"/>
    <w:rsid w:val="003749B3"/>
    <w:rsid w:val="003772D3"/>
    <w:rsid w:val="00382439"/>
    <w:rsid w:val="003839E9"/>
    <w:rsid w:val="0038667D"/>
    <w:rsid w:val="00386F17"/>
    <w:rsid w:val="00387BB3"/>
    <w:rsid w:val="003906EB"/>
    <w:rsid w:val="0039234D"/>
    <w:rsid w:val="00395FAE"/>
    <w:rsid w:val="00396601"/>
    <w:rsid w:val="00396F63"/>
    <w:rsid w:val="00397B2A"/>
    <w:rsid w:val="00397D36"/>
    <w:rsid w:val="003B2462"/>
    <w:rsid w:val="003B432D"/>
    <w:rsid w:val="003C04A2"/>
    <w:rsid w:val="003C1480"/>
    <w:rsid w:val="003C191C"/>
    <w:rsid w:val="003C223D"/>
    <w:rsid w:val="003C2A3E"/>
    <w:rsid w:val="003C52E5"/>
    <w:rsid w:val="003C5DE1"/>
    <w:rsid w:val="003C5E24"/>
    <w:rsid w:val="003C635E"/>
    <w:rsid w:val="003D187B"/>
    <w:rsid w:val="003D2315"/>
    <w:rsid w:val="003D2795"/>
    <w:rsid w:val="003D4D5A"/>
    <w:rsid w:val="003D6C16"/>
    <w:rsid w:val="003E0599"/>
    <w:rsid w:val="003E406D"/>
    <w:rsid w:val="003E63C2"/>
    <w:rsid w:val="003F381E"/>
    <w:rsid w:val="003F64DA"/>
    <w:rsid w:val="00403AB0"/>
    <w:rsid w:val="00413B76"/>
    <w:rsid w:val="00420786"/>
    <w:rsid w:val="00422B41"/>
    <w:rsid w:val="00425BAF"/>
    <w:rsid w:val="004324BB"/>
    <w:rsid w:val="00434430"/>
    <w:rsid w:val="0043463F"/>
    <w:rsid w:val="004366EB"/>
    <w:rsid w:val="0044018D"/>
    <w:rsid w:val="004412D1"/>
    <w:rsid w:val="00442059"/>
    <w:rsid w:val="00451CCD"/>
    <w:rsid w:val="00453338"/>
    <w:rsid w:val="00455808"/>
    <w:rsid w:val="0046020B"/>
    <w:rsid w:val="00462B57"/>
    <w:rsid w:val="00462DFB"/>
    <w:rsid w:val="0046497F"/>
    <w:rsid w:val="00464E36"/>
    <w:rsid w:val="00473CD2"/>
    <w:rsid w:val="00473DB2"/>
    <w:rsid w:val="00475FB8"/>
    <w:rsid w:val="00476489"/>
    <w:rsid w:val="00480D1D"/>
    <w:rsid w:val="004829AD"/>
    <w:rsid w:val="004833CC"/>
    <w:rsid w:val="00485A82"/>
    <w:rsid w:val="00486AE4"/>
    <w:rsid w:val="00490CE7"/>
    <w:rsid w:val="00497396"/>
    <w:rsid w:val="004A26BB"/>
    <w:rsid w:val="004A39C2"/>
    <w:rsid w:val="004B2AAC"/>
    <w:rsid w:val="004B5134"/>
    <w:rsid w:val="004C78A7"/>
    <w:rsid w:val="004D4AFB"/>
    <w:rsid w:val="004D4DFC"/>
    <w:rsid w:val="004E1773"/>
    <w:rsid w:val="004E289C"/>
    <w:rsid w:val="004E32CA"/>
    <w:rsid w:val="004E668D"/>
    <w:rsid w:val="004F2CA3"/>
    <w:rsid w:val="004F31A2"/>
    <w:rsid w:val="004F47A6"/>
    <w:rsid w:val="005000FF"/>
    <w:rsid w:val="00504A03"/>
    <w:rsid w:val="00511ED8"/>
    <w:rsid w:val="00514F45"/>
    <w:rsid w:val="00515B64"/>
    <w:rsid w:val="005231B0"/>
    <w:rsid w:val="00525448"/>
    <w:rsid w:val="005259F0"/>
    <w:rsid w:val="00526543"/>
    <w:rsid w:val="0053604F"/>
    <w:rsid w:val="00536D79"/>
    <w:rsid w:val="0054194E"/>
    <w:rsid w:val="0054576E"/>
    <w:rsid w:val="0054626F"/>
    <w:rsid w:val="00546B3E"/>
    <w:rsid w:val="00547C0F"/>
    <w:rsid w:val="00555BA8"/>
    <w:rsid w:val="00556311"/>
    <w:rsid w:val="00561F82"/>
    <w:rsid w:val="005623D6"/>
    <w:rsid w:val="0057215F"/>
    <w:rsid w:val="00582742"/>
    <w:rsid w:val="005834C8"/>
    <w:rsid w:val="00585A6B"/>
    <w:rsid w:val="00585BCA"/>
    <w:rsid w:val="00586E53"/>
    <w:rsid w:val="00592834"/>
    <w:rsid w:val="00593609"/>
    <w:rsid w:val="005937E7"/>
    <w:rsid w:val="00594BC2"/>
    <w:rsid w:val="0059755B"/>
    <w:rsid w:val="005A0C9C"/>
    <w:rsid w:val="005A408B"/>
    <w:rsid w:val="005B2EFC"/>
    <w:rsid w:val="005B323F"/>
    <w:rsid w:val="005B69FF"/>
    <w:rsid w:val="005C02D8"/>
    <w:rsid w:val="005C235E"/>
    <w:rsid w:val="005C30F9"/>
    <w:rsid w:val="005C5FB4"/>
    <w:rsid w:val="005D21EB"/>
    <w:rsid w:val="005E10B7"/>
    <w:rsid w:val="005E1975"/>
    <w:rsid w:val="005E1BCC"/>
    <w:rsid w:val="005E26CD"/>
    <w:rsid w:val="005E563B"/>
    <w:rsid w:val="005E778D"/>
    <w:rsid w:val="005F0859"/>
    <w:rsid w:val="005F3070"/>
    <w:rsid w:val="005F3A89"/>
    <w:rsid w:val="00601410"/>
    <w:rsid w:val="006060E2"/>
    <w:rsid w:val="00606DFF"/>
    <w:rsid w:val="00611E64"/>
    <w:rsid w:val="00614589"/>
    <w:rsid w:val="00616634"/>
    <w:rsid w:val="0061673E"/>
    <w:rsid w:val="006175FF"/>
    <w:rsid w:val="00621156"/>
    <w:rsid w:val="006217AB"/>
    <w:rsid w:val="0062191D"/>
    <w:rsid w:val="0062448C"/>
    <w:rsid w:val="00625284"/>
    <w:rsid w:val="006264E3"/>
    <w:rsid w:val="0063073B"/>
    <w:rsid w:val="00630B37"/>
    <w:rsid w:val="00631BB3"/>
    <w:rsid w:val="00634C8C"/>
    <w:rsid w:val="006351A7"/>
    <w:rsid w:val="00635C35"/>
    <w:rsid w:val="00636FD2"/>
    <w:rsid w:val="0064261D"/>
    <w:rsid w:val="00642900"/>
    <w:rsid w:val="00650907"/>
    <w:rsid w:val="00651E6A"/>
    <w:rsid w:val="00656611"/>
    <w:rsid w:val="006575E0"/>
    <w:rsid w:val="006658DB"/>
    <w:rsid w:val="00665ACA"/>
    <w:rsid w:val="006709C9"/>
    <w:rsid w:val="0067291A"/>
    <w:rsid w:val="00674576"/>
    <w:rsid w:val="0068046D"/>
    <w:rsid w:val="00680700"/>
    <w:rsid w:val="00682A84"/>
    <w:rsid w:val="006878CE"/>
    <w:rsid w:val="00691739"/>
    <w:rsid w:val="00695811"/>
    <w:rsid w:val="00696AA8"/>
    <w:rsid w:val="006A0CA4"/>
    <w:rsid w:val="006A5655"/>
    <w:rsid w:val="006A65CF"/>
    <w:rsid w:val="006B0291"/>
    <w:rsid w:val="006B0944"/>
    <w:rsid w:val="006B539F"/>
    <w:rsid w:val="006B6451"/>
    <w:rsid w:val="006B6711"/>
    <w:rsid w:val="006D1FDA"/>
    <w:rsid w:val="006D27CA"/>
    <w:rsid w:val="006D5634"/>
    <w:rsid w:val="006D7ABC"/>
    <w:rsid w:val="006E16FA"/>
    <w:rsid w:val="006E3506"/>
    <w:rsid w:val="006E56B5"/>
    <w:rsid w:val="006E5DA8"/>
    <w:rsid w:val="006E6AD4"/>
    <w:rsid w:val="006E780C"/>
    <w:rsid w:val="006F22BA"/>
    <w:rsid w:val="006F372C"/>
    <w:rsid w:val="006F3CCA"/>
    <w:rsid w:val="0070033E"/>
    <w:rsid w:val="007004C3"/>
    <w:rsid w:val="00700FE9"/>
    <w:rsid w:val="00701CAD"/>
    <w:rsid w:val="00703BF0"/>
    <w:rsid w:val="007044D7"/>
    <w:rsid w:val="0071075C"/>
    <w:rsid w:val="00712716"/>
    <w:rsid w:val="007127E5"/>
    <w:rsid w:val="00716896"/>
    <w:rsid w:val="007231B2"/>
    <w:rsid w:val="00723277"/>
    <w:rsid w:val="00726E84"/>
    <w:rsid w:val="00730B87"/>
    <w:rsid w:val="0073142A"/>
    <w:rsid w:val="00735539"/>
    <w:rsid w:val="00735A9C"/>
    <w:rsid w:val="007363D6"/>
    <w:rsid w:val="00745BD2"/>
    <w:rsid w:val="007529F8"/>
    <w:rsid w:val="00753B85"/>
    <w:rsid w:val="00763ABB"/>
    <w:rsid w:val="00763E51"/>
    <w:rsid w:val="007727E7"/>
    <w:rsid w:val="00796276"/>
    <w:rsid w:val="00796B07"/>
    <w:rsid w:val="007A2743"/>
    <w:rsid w:val="007B18F6"/>
    <w:rsid w:val="007B5413"/>
    <w:rsid w:val="007D0A50"/>
    <w:rsid w:val="007D3909"/>
    <w:rsid w:val="007D3F47"/>
    <w:rsid w:val="007D42A8"/>
    <w:rsid w:val="007D454B"/>
    <w:rsid w:val="007F4DB1"/>
    <w:rsid w:val="007F5E46"/>
    <w:rsid w:val="007F6C79"/>
    <w:rsid w:val="00801FA6"/>
    <w:rsid w:val="00816326"/>
    <w:rsid w:val="00816CBD"/>
    <w:rsid w:val="008220E2"/>
    <w:rsid w:val="00824C87"/>
    <w:rsid w:val="00826B69"/>
    <w:rsid w:val="00835618"/>
    <w:rsid w:val="00835E93"/>
    <w:rsid w:val="00837533"/>
    <w:rsid w:val="00837595"/>
    <w:rsid w:val="00846A95"/>
    <w:rsid w:val="00846DA5"/>
    <w:rsid w:val="00847FED"/>
    <w:rsid w:val="00851DE0"/>
    <w:rsid w:val="008521F7"/>
    <w:rsid w:val="00852736"/>
    <w:rsid w:val="0085378D"/>
    <w:rsid w:val="008553EC"/>
    <w:rsid w:val="008566DA"/>
    <w:rsid w:val="00857C9A"/>
    <w:rsid w:val="00862B50"/>
    <w:rsid w:val="00863009"/>
    <w:rsid w:val="008663C1"/>
    <w:rsid w:val="00871EDA"/>
    <w:rsid w:val="00873DC8"/>
    <w:rsid w:val="00874723"/>
    <w:rsid w:val="00875188"/>
    <w:rsid w:val="00877086"/>
    <w:rsid w:val="00877529"/>
    <w:rsid w:val="0088026D"/>
    <w:rsid w:val="00880A79"/>
    <w:rsid w:val="00882AED"/>
    <w:rsid w:val="00882F76"/>
    <w:rsid w:val="00887CFB"/>
    <w:rsid w:val="00891CD0"/>
    <w:rsid w:val="0089273D"/>
    <w:rsid w:val="008A038C"/>
    <w:rsid w:val="008A4504"/>
    <w:rsid w:val="008A5E6B"/>
    <w:rsid w:val="008B3A35"/>
    <w:rsid w:val="008B6B9F"/>
    <w:rsid w:val="008C2B8A"/>
    <w:rsid w:val="008C2DFA"/>
    <w:rsid w:val="008C3004"/>
    <w:rsid w:val="008C4870"/>
    <w:rsid w:val="008C5BA6"/>
    <w:rsid w:val="008D0491"/>
    <w:rsid w:val="008D1520"/>
    <w:rsid w:val="008D398E"/>
    <w:rsid w:val="008D487A"/>
    <w:rsid w:val="008D59E6"/>
    <w:rsid w:val="008E3A5E"/>
    <w:rsid w:val="008E4262"/>
    <w:rsid w:val="008E5BC6"/>
    <w:rsid w:val="008E7CA0"/>
    <w:rsid w:val="008F0DE7"/>
    <w:rsid w:val="008F2FE7"/>
    <w:rsid w:val="008F7C91"/>
    <w:rsid w:val="008F7FF8"/>
    <w:rsid w:val="00901D26"/>
    <w:rsid w:val="00904EB3"/>
    <w:rsid w:val="00913FE2"/>
    <w:rsid w:val="00915507"/>
    <w:rsid w:val="00922933"/>
    <w:rsid w:val="00923786"/>
    <w:rsid w:val="00924BE6"/>
    <w:rsid w:val="00927546"/>
    <w:rsid w:val="009330BC"/>
    <w:rsid w:val="00936299"/>
    <w:rsid w:val="009377D2"/>
    <w:rsid w:val="00943A52"/>
    <w:rsid w:val="00945190"/>
    <w:rsid w:val="00946A18"/>
    <w:rsid w:val="00946D6F"/>
    <w:rsid w:val="00950602"/>
    <w:rsid w:val="00954C8A"/>
    <w:rsid w:val="00955F64"/>
    <w:rsid w:val="00956A75"/>
    <w:rsid w:val="009571EC"/>
    <w:rsid w:val="00957D1D"/>
    <w:rsid w:val="0096089C"/>
    <w:rsid w:val="00961336"/>
    <w:rsid w:val="00963FEE"/>
    <w:rsid w:val="00964A75"/>
    <w:rsid w:val="009654B0"/>
    <w:rsid w:val="00972BBA"/>
    <w:rsid w:val="00975B6C"/>
    <w:rsid w:val="009804B2"/>
    <w:rsid w:val="00982F0F"/>
    <w:rsid w:val="00982F94"/>
    <w:rsid w:val="0098374D"/>
    <w:rsid w:val="009A0E05"/>
    <w:rsid w:val="009A1E7A"/>
    <w:rsid w:val="009A38DE"/>
    <w:rsid w:val="009A62A1"/>
    <w:rsid w:val="009B084B"/>
    <w:rsid w:val="009B229A"/>
    <w:rsid w:val="009B2729"/>
    <w:rsid w:val="009B4481"/>
    <w:rsid w:val="009C183A"/>
    <w:rsid w:val="009C1C06"/>
    <w:rsid w:val="009D0166"/>
    <w:rsid w:val="009D24B6"/>
    <w:rsid w:val="009D4433"/>
    <w:rsid w:val="009D5005"/>
    <w:rsid w:val="009E0A93"/>
    <w:rsid w:val="009E4235"/>
    <w:rsid w:val="009E4F0B"/>
    <w:rsid w:val="009F042D"/>
    <w:rsid w:val="009F079E"/>
    <w:rsid w:val="009F366B"/>
    <w:rsid w:val="009F4F4C"/>
    <w:rsid w:val="009F5DFA"/>
    <w:rsid w:val="00A0659F"/>
    <w:rsid w:val="00A1397B"/>
    <w:rsid w:val="00A2337F"/>
    <w:rsid w:val="00A23F76"/>
    <w:rsid w:val="00A26261"/>
    <w:rsid w:val="00A27874"/>
    <w:rsid w:val="00A27D2C"/>
    <w:rsid w:val="00A309AD"/>
    <w:rsid w:val="00A32A5E"/>
    <w:rsid w:val="00A33510"/>
    <w:rsid w:val="00A35596"/>
    <w:rsid w:val="00A36EFF"/>
    <w:rsid w:val="00A42AB8"/>
    <w:rsid w:val="00A4467B"/>
    <w:rsid w:val="00A53765"/>
    <w:rsid w:val="00A6223E"/>
    <w:rsid w:val="00A668E5"/>
    <w:rsid w:val="00A67A2A"/>
    <w:rsid w:val="00A74B02"/>
    <w:rsid w:val="00A75967"/>
    <w:rsid w:val="00A75AB3"/>
    <w:rsid w:val="00A775FA"/>
    <w:rsid w:val="00A81139"/>
    <w:rsid w:val="00A91FA6"/>
    <w:rsid w:val="00A944F5"/>
    <w:rsid w:val="00AA6C67"/>
    <w:rsid w:val="00AB49B2"/>
    <w:rsid w:val="00AC0C99"/>
    <w:rsid w:val="00AC2B6B"/>
    <w:rsid w:val="00AD060E"/>
    <w:rsid w:val="00AD1943"/>
    <w:rsid w:val="00AD2610"/>
    <w:rsid w:val="00AD75DC"/>
    <w:rsid w:val="00AE23CB"/>
    <w:rsid w:val="00AE47C4"/>
    <w:rsid w:val="00AE7080"/>
    <w:rsid w:val="00AF3366"/>
    <w:rsid w:val="00AF3987"/>
    <w:rsid w:val="00AF61D6"/>
    <w:rsid w:val="00AF79E3"/>
    <w:rsid w:val="00B00118"/>
    <w:rsid w:val="00B040C1"/>
    <w:rsid w:val="00B04E0B"/>
    <w:rsid w:val="00B07040"/>
    <w:rsid w:val="00B071F4"/>
    <w:rsid w:val="00B10B79"/>
    <w:rsid w:val="00B14E8F"/>
    <w:rsid w:val="00B14F42"/>
    <w:rsid w:val="00B2304D"/>
    <w:rsid w:val="00B237E3"/>
    <w:rsid w:val="00B24640"/>
    <w:rsid w:val="00B25380"/>
    <w:rsid w:val="00B274F2"/>
    <w:rsid w:val="00B279BF"/>
    <w:rsid w:val="00B339C2"/>
    <w:rsid w:val="00B4475C"/>
    <w:rsid w:val="00B45B96"/>
    <w:rsid w:val="00B465FE"/>
    <w:rsid w:val="00B503C1"/>
    <w:rsid w:val="00B51B00"/>
    <w:rsid w:val="00B60C9E"/>
    <w:rsid w:val="00B620DF"/>
    <w:rsid w:val="00B64924"/>
    <w:rsid w:val="00B7359A"/>
    <w:rsid w:val="00B74B77"/>
    <w:rsid w:val="00B75111"/>
    <w:rsid w:val="00B761CB"/>
    <w:rsid w:val="00B76833"/>
    <w:rsid w:val="00B8360C"/>
    <w:rsid w:val="00B8739B"/>
    <w:rsid w:val="00B87934"/>
    <w:rsid w:val="00B87BD7"/>
    <w:rsid w:val="00B91C3A"/>
    <w:rsid w:val="00B91DCF"/>
    <w:rsid w:val="00BA30C2"/>
    <w:rsid w:val="00BB1578"/>
    <w:rsid w:val="00BB2C79"/>
    <w:rsid w:val="00BB4549"/>
    <w:rsid w:val="00BB5486"/>
    <w:rsid w:val="00BB59D2"/>
    <w:rsid w:val="00BB5FE5"/>
    <w:rsid w:val="00BB708E"/>
    <w:rsid w:val="00BC3ED2"/>
    <w:rsid w:val="00BC4C90"/>
    <w:rsid w:val="00BC79EB"/>
    <w:rsid w:val="00BD342D"/>
    <w:rsid w:val="00BD40CE"/>
    <w:rsid w:val="00BE34C2"/>
    <w:rsid w:val="00BE7572"/>
    <w:rsid w:val="00BF2DB5"/>
    <w:rsid w:val="00C0199A"/>
    <w:rsid w:val="00C032D9"/>
    <w:rsid w:val="00C04D7D"/>
    <w:rsid w:val="00C067D5"/>
    <w:rsid w:val="00C0721E"/>
    <w:rsid w:val="00C107BE"/>
    <w:rsid w:val="00C109D1"/>
    <w:rsid w:val="00C21984"/>
    <w:rsid w:val="00C21B58"/>
    <w:rsid w:val="00C27868"/>
    <w:rsid w:val="00C318E5"/>
    <w:rsid w:val="00C32FDC"/>
    <w:rsid w:val="00C34949"/>
    <w:rsid w:val="00C36D36"/>
    <w:rsid w:val="00C377F0"/>
    <w:rsid w:val="00C41A9D"/>
    <w:rsid w:val="00C457E9"/>
    <w:rsid w:val="00C50314"/>
    <w:rsid w:val="00C52D53"/>
    <w:rsid w:val="00C55BFC"/>
    <w:rsid w:val="00C60923"/>
    <w:rsid w:val="00C612B9"/>
    <w:rsid w:val="00C62ABA"/>
    <w:rsid w:val="00C62CD2"/>
    <w:rsid w:val="00C62CFC"/>
    <w:rsid w:val="00C650E1"/>
    <w:rsid w:val="00C65D06"/>
    <w:rsid w:val="00C6699C"/>
    <w:rsid w:val="00C66DC2"/>
    <w:rsid w:val="00C706CB"/>
    <w:rsid w:val="00C7645A"/>
    <w:rsid w:val="00C77C44"/>
    <w:rsid w:val="00C823BF"/>
    <w:rsid w:val="00C82EBF"/>
    <w:rsid w:val="00C86C60"/>
    <w:rsid w:val="00C902D6"/>
    <w:rsid w:val="00C917EA"/>
    <w:rsid w:val="00C9183F"/>
    <w:rsid w:val="00C91B17"/>
    <w:rsid w:val="00C933AA"/>
    <w:rsid w:val="00C97065"/>
    <w:rsid w:val="00C97191"/>
    <w:rsid w:val="00CA0CB0"/>
    <w:rsid w:val="00CA5153"/>
    <w:rsid w:val="00CA59F4"/>
    <w:rsid w:val="00CB10A3"/>
    <w:rsid w:val="00CB3006"/>
    <w:rsid w:val="00CB48F8"/>
    <w:rsid w:val="00CB6938"/>
    <w:rsid w:val="00CC233B"/>
    <w:rsid w:val="00CC4DA7"/>
    <w:rsid w:val="00CC588D"/>
    <w:rsid w:val="00CC7CE5"/>
    <w:rsid w:val="00CD46EE"/>
    <w:rsid w:val="00CD7E60"/>
    <w:rsid w:val="00CE5F2B"/>
    <w:rsid w:val="00CF0B95"/>
    <w:rsid w:val="00CF1662"/>
    <w:rsid w:val="00CF219B"/>
    <w:rsid w:val="00CF4463"/>
    <w:rsid w:val="00CF4A5D"/>
    <w:rsid w:val="00D00488"/>
    <w:rsid w:val="00D0547B"/>
    <w:rsid w:val="00D1427F"/>
    <w:rsid w:val="00D15596"/>
    <w:rsid w:val="00D16A53"/>
    <w:rsid w:val="00D201C8"/>
    <w:rsid w:val="00D22C29"/>
    <w:rsid w:val="00D23655"/>
    <w:rsid w:val="00D24870"/>
    <w:rsid w:val="00D27110"/>
    <w:rsid w:val="00D4176D"/>
    <w:rsid w:val="00D417C8"/>
    <w:rsid w:val="00D41B36"/>
    <w:rsid w:val="00D41D94"/>
    <w:rsid w:val="00D46587"/>
    <w:rsid w:val="00D5210D"/>
    <w:rsid w:val="00D52C3A"/>
    <w:rsid w:val="00D53194"/>
    <w:rsid w:val="00D61722"/>
    <w:rsid w:val="00D632A3"/>
    <w:rsid w:val="00D65A90"/>
    <w:rsid w:val="00D6783C"/>
    <w:rsid w:val="00D72545"/>
    <w:rsid w:val="00D7408D"/>
    <w:rsid w:val="00D74AC5"/>
    <w:rsid w:val="00D83EE7"/>
    <w:rsid w:val="00D85A3A"/>
    <w:rsid w:val="00D870B6"/>
    <w:rsid w:val="00D876F4"/>
    <w:rsid w:val="00D9002C"/>
    <w:rsid w:val="00D938ED"/>
    <w:rsid w:val="00D94699"/>
    <w:rsid w:val="00D97A39"/>
    <w:rsid w:val="00D97ED6"/>
    <w:rsid w:val="00DA17E4"/>
    <w:rsid w:val="00DA231C"/>
    <w:rsid w:val="00DA3CC2"/>
    <w:rsid w:val="00DA4700"/>
    <w:rsid w:val="00DA5981"/>
    <w:rsid w:val="00DA5C1E"/>
    <w:rsid w:val="00DA735D"/>
    <w:rsid w:val="00DB2D2E"/>
    <w:rsid w:val="00DB4E3C"/>
    <w:rsid w:val="00DB6B25"/>
    <w:rsid w:val="00DB7076"/>
    <w:rsid w:val="00DB766E"/>
    <w:rsid w:val="00DB76C7"/>
    <w:rsid w:val="00DB776A"/>
    <w:rsid w:val="00DC0B9E"/>
    <w:rsid w:val="00DC19A9"/>
    <w:rsid w:val="00DC7829"/>
    <w:rsid w:val="00DD3DBC"/>
    <w:rsid w:val="00DE0099"/>
    <w:rsid w:val="00DE1A9E"/>
    <w:rsid w:val="00DE5ED3"/>
    <w:rsid w:val="00DE738D"/>
    <w:rsid w:val="00DF0B72"/>
    <w:rsid w:val="00DF3263"/>
    <w:rsid w:val="00DF6E92"/>
    <w:rsid w:val="00E0415F"/>
    <w:rsid w:val="00E046D0"/>
    <w:rsid w:val="00E12F35"/>
    <w:rsid w:val="00E15E6A"/>
    <w:rsid w:val="00E20971"/>
    <w:rsid w:val="00E24AF1"/>
    <w:rsid w:val="00E25637"/>
    <w:rsid w:val="00E3153E"/>
    <w:rsid w:val="00E41182"/>
    <w:rsid w:val="00E43D84"/>
    <w:rsid w:val="00E47B50"/>
    <w:rsid w:val="00E54856"/>
    <w:rsid w:val="00E62E77"/>
    <w:rsid w:val="00E774B3"/>
    <w:rsid w:val="00E84FA8"/>
    <w:rsid w:val="00E90759"/>
    <w:rsid w:val="00E92FFE"/>
    <w:rsid w:val="00E94630"/>
    <w:rsid w:val="00E956D7"/>
    <w:rsid w:val="00E97364"/>
    <w:rsid w:val="00E978FD"/>
    <w:rsid w:val="00EA060D"/>
    <w:rsid w:val="00EA067A"/>
    <w:rsid w:val="00EA1FB5"/>
    <w:rsid w:val="00EA6FC5"/>
    <w:rsid w:val="00EB02B6"/>
    <w:rsid w:val="00EB4DA4"/>
    <w:rsid w:val="00EC14C9"/>
    <w:rsid w:val="00EC7A8C"/>
    <w:rsid w:val="00ED1D1B"/>
    <w:rsid w:val="00ED3829"/>
    <w:rsid w:val="00ED43DC"/>
    <w:rsid w:val="00ED537B"/>
    <w:rsid w:val="00EE29FD"/>
    <w:rsid w:val="00EE3E84"/>
    <w:rsid w:val="00EE7F21"/>
    <w:rsid w:val="00EF5682"/>
    <w:rsid w:val="00F03073"/>
    <w:rsid w:val="00F071D4"/>
    <w:rsid w:val="00F108E0"/>
    <w:rsid w:val="00F20763"/>
    <w:rsid w:val="00F26F50"/>
    <w:rsid w:val="00F31646"/>
    <w:rsid w:val="00F31B34"/>
    <w:rsid w:val="00F3293E"/>
    <w:rsid w:val="00F33958"/>
    <w:rsid w:val="00F33CC6"/>
    <w:rsid w:val="00F348DA"/>
    <w:rsid w:val="00F41CB2"/>
    <w:rsid w:val="00F45666"/>
    <w:rsid w:val="00F45F09"/>
    <w:rsid w:val="00F50980"/>
    <w:rsid w:val="00F52094"/>
    <w:rsid w:val="00F5294E"/>
    <w:rsid w:val="00F53D1D"/>
    <w:rsid w:val="00F566D3"/>
    <w:rsid w:val="00F61011"/>
    <w:rsid w:val="00F61305"/>
    <w:rsid w:val="00F648F8"/>
    <w:rsid w:val="00F64B6F"/>
    <w:rsid w:val="00F6558B"/>
    <w:rsid w:val="00F823F1"/>
    <w:rsid w:val="00F84730"/>
    <w:rsid w:val="00F86F17"/>
    <w:rsid w:val="00F9121A"/>
    <w:rsid w:val="00F94333"/>
    <w:rsid w:val="00F94FB3"/>
    <w:rsid w:val="00F952AB"/>
    <w:rsid w:val="00F96126"/>
    <w:rsid w:val="00FA47BE"/>
    <w:rsid w:val="00FA5BEB"/>
    <w:rsid w:val="00FA7CAE"/>
    <w:rsid w:val="00FA7E1B"/>
    <w:rsid w:val="00FA7FD6"/>
    <w:rsid w:val="00FB154A"/>
    <w:rsid w:val="00FB2407"/>
    <w:rsid w:val="00FB4E24"/>
    <w:rsid w:val="00FB66A7"/>
    <w:rsid w:val="00FB6877"/>
    <w:rsid w:val="00FC0F7B"/>
    <w:rsid w:val="00FC14E0"/>
    <w:rsid w:val="00FC3E91"/>
    <w:rsid w:val="00FD1A82"/>
    <w:rsid w:val="00FD41F1"/>
    <w:rsid w:val="00FD620F"/>
    <w:rsid w:val="00FE471C"/>
    <w:rsid w:val="00FE5AB0"/>
    <w:rsid w:val="00FE62C8"/>
    <w:rsid w:val="00FF1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E3B3"/>
  <w15:docId w15:val="{979119B3-5A85-4240-96B5-4B60B5C8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0047">
      <w:bodyDiv w:val="1"/>
      <w:marLeft w:val="0"/>
      <w:marRight w:val="0"/>
      <w:marTop w:val="0"/>
      <w:marBottom w:val="0"/>
      <w:divBdr>
        <w:top w:val="none" w:sz="0" w:space="0" w:color="auto"/>
        <w:left w:val="none" w:sz="0" w:space="0" w:color="auto"/>
        <w:bottom w:val="none" w:sz="0" w:space="0" w:color="auto"/>
        <w:right w:val="none" w:sz="0" w:space="0" w:color="auto"/>
      </w:divBdr>
    </w:div>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71D9E-B14C-4114-95CA-29903E24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2947</Words>
  <Characters>16801</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Navreen.Kular@health.gov.au</dc:creator>
  <cp:lastModifiedBy>CARTER, Bless</cp:lastModifiedBy>
  <cp:revision>2</cp:revision>
  <cp:lastPrinted>2020-11-02T05:42:00Z</cp:lastPrinted>
  <dcterms:created xsi:type="dcterms:W3CDTF">2021-08-06T02:11:00Z</dcterms:created>
  <dcterms:modified xsi:type="dcterms:W3CDTF">2021-08-06T02:11:00Z</dcterms:modified>
</cp:coreProperties>
</file>