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B390F" w14:textId="77777777" w:rsidR="007C75E4" w:rsidRDefault="007C75E4">
      <w:pPr>
        <w:spacing w:after="160" w:line="259" w:lineRule="auto"/>
        <w:rPr>
          <w:b/>
          <w:caps/>
          <w:sz w:val="24"/>
          <w:szCs w:val="24"/>
          <w:u w:val="single"/>
          <w:lang w:val="en-AU"/>
        </w:rPr>
      </w:pPr>
    </w:p>
    <w:p w14:paraId="4C1CDA40" w14:textId="77777777" w:rsidR="007C75E4" w:rsidRDefault="007C75E4">
      <w:pPr>
        <w:spacing w:after="160" w:line="259" w:lineRule="auto"/>
        <w:rPr>
          <w:b/>
          <w:caps/>
          <w:sz w:val="24"/>
          <w:szCs w:val="24"/>
          <w:u w:val="single"/>
          <w:lang w:val="en-AU"/>
        </w:rPr>
      </w:pPr>
    </w:p>
    <w:p w14:paraId="10E7F8BD" w14:textId="77777777" w:rsidR="007C75E4" w:rsidRDefault="007C75E4">
      <w:pPr>
        <w:spacing w:after="160" w:line="259" w:lineRule="auto"/>
        <w:rPr>
          <w:b/>
          <w:caps/>
          <w:sz w:val="24"/>
          <w:szCs w:val="24"/>
          <w:u w:val="single"/>
          <w:lang w:val="en-AU"/>
        </w:rPr>
      </w:pPr>
    </w:p>
    <w:p w14:paraId="0775E260" w14:textId="77777777" w:rsidR="007C75E4" w:rsidRDefault="007C75E4">
      <w:pPr>
        <w:spacing w:after="160" w:line="259" w:lineRule="auto"/>
        <w:rPr>
          <w:b/>
          <w:caps/>
          <w:sz w:val="24"/>
          <w:szCs w:val="24"/>
          <w:u w:val="single"/>
          <w:lang w:val="en-AU"/>
        </w:rPr>
      </w:pPr>
    </w:p>
    <w:p w14:paraId="78795C89" w14:textId="77777777" w:rsidR="007C75E4" w:rsidRDefault="007C75E4">
      <w:pPr>
        <w:spacing w:after="160" w:line="259" w:lineRule="auto"/>
        <w:rPr>
          <w:b/>
          <w:caps/>
          <w:sz w:val="24"/>
          <w:szCs w:val="24"/>
          <w:u w:val="single"/>
          <w:lang w:val="en-AU"/>
        </w:rPr>
      </w:pPr>
    </w:p>
    <w:p w14:paraId="3B8F2B60" w14:textId="77777777" w:rsidR="007C75E4" w:rsidRDefault="007C75E4">
      <w:pPr>
        <w:spacing w:after="160" w:line="259" w:lineRule="auto"/>
        <w:rPr>
          <w:b/>
          <w:caps/>
          <w:sz w:val="24"/>
          <w:szCs w:val="24"/>
          <w:u w:val="single"/>
          <w:lang w:val="en-AU"/>
        </w:rPr>
      </w:pPr>
    </w:p>
    <w:p w14:paraId="069A6694" w14:textId="77777777" w:rsidR="007C75E4" w:rsidRDefault="007C75E4">
      <w:pPr>
        <w:spacing w:after="160" w:line="259" w:lineRule="auto"/>
        <w:rPr>
          <w:b/>
          <w:caps/>
          <w:sz w:val="24"/>
          <w:szCs w:val="24"/>
          <w:u w:val="single"/>
          <w:lang w:val="en-AU"/>
        </w:rPr>
      </w:pPr>
    </w:p>
    <w:p w14:paraId="7CE64DB9" w14:textId="77777777" w:rsidR="007C75E4" w:rsidRDefault="007C75E4" w:rsidP="007C75E4">
      <w:pPr>
        <w:spacing w:after="160" w:line="259" w:lineRule="auto"/>
        <w:jc w:val="center"/>
        <w:rPr>
          <w:b/>
          <w:i/>
          <w:caps/>
          <w:sz w:val="24"/>
          <w:szCs w:val="24"/>
          <w:lang w:val="en-AU"/>
        </w:rPr>
      </w:pPr>
    </w:p>
    <w:p w14:paraId="0F732ADC" w14:textId="77777777" w:rsidR="007C75E4" w:rsidRDefault="007C75E4" w:rsidP="007C75E4">
      <w:pPr>
        <w:spacing w:after="160" w:line="259" w:lineRule="auto"/>
        <w:jc w:val="center"/>
        <w:rPr>
          <w:b/>
          <w:i/>
          <w:caps/>
          <w:sz w:val="24"/>
          <w:szCs w:val="24"/>
          <w:lang w:val="en-AU"/>
        </w:rPr>
      </w:pPr>
    </w:p>
    <w:p w14:paraId="76A6D6C8" w14:textId="77777777" w:rsidR="007C75E4" w:rsidRDefault="007C75E4" w:rsidP="007C75E4">
      <w:pPr>
        <w:spacing w:after="160" w:line="259" w:lineRule="auto"/>
        <w:jc w:val="center"/>
        <w:rPr>
          <w:b/>
          <w:i/>
          <w:caps/>
          <w:sz w:val="24"/>
          <w:szCs w:val="24"/>
          <w:lang w:val="en-AU"/>
        </w:rPr>
      </w:pPr>
    </w:p>
    <w:p w14:paraId="58B7507F" w14:textId="77777777" w:rsidR="007C75E4" w:rsidRDefault="007C75E4" w:rsidP="007C75E4">
      <w:pPr>
        <w:spacing w:after="160" w:line="259" w:lineRule="auto"/>
        <w:jc w:val="center"/>
        <w:rPr>
          <w:b/>
          <w:i/>
          <w:caps/>
          <w:sz w:val="24"/>
          <w:szCs w:val="24"/>
          <w:lang w:val="en-AU"/>
        </w:rPr>
      </w:pPr>
    </w:p>
    <w:p w14:paraId="39E204A2" w14:textId="6AAB9EFA" w:rsidR="007C75E4" w:rsidRDefault="007C75E4" w:rsidP="007C75E4">
      <w:pPr>
        <w:spacing w:after="160" w:line="259" w:lineRule="auto"/>
        <w:jc w:val="center"/>
        <w:rPr>
          <w:b/>
          <w:i/>
          <w:caps/>
          <w:sz w:val="24"/>
          <w:szCs w:val="24"/>
          <w:lang w:val="en-AU"/>
        </w:rPr>
      </w:pPr>
      <w:r w:rsidRPr="007C75E4">
        <w:rPr>
          <w:b/>
          <w:i/>
          <w:caps/>
          <w:sz w:val="24"/>
          <w:szCs w:val="24"/>
          <w:lang w:val="en-AU"/>
        </w:rPr>
        <w:t>AUSTRALIA’S fOREIGN</w:t>
      </w:r>
      <w:r>
        <w:rPr>
          <w:b/>
          <w:i/>
          <w:caps/>
          <w:sz w:val="24"/>
          <w:szCs w:val="24"/>
          <w:lang w:val="en-AU"/>
        </w:rPr>
        <w:t xml:space="preserve"> RELATIONS (sTATE AND tERRITORY </w:t>
      </w:r>
      <w:r w:rsidRPr="007C75E4">
        <w:rPr>
          <w:b/>
          <w:i/>
          <w:caps/>
          <w:sz w:val="24"/>
          <w:szCs w:val="24"/>
          <w:lang w:val="en-AU"/>
        </w:rPr>
        <w:t>ARRANGEMENTS)</w:t>
      </w:r>
      <w:r w:rsidR="0061485A">
        <w:rPr>
          <w:b/>
          <w:i/>
          <w:caps/>
          <w:sz w:val="24"/>
          <w:szCs w:val="24"/>
          <w:lang w:val="en-AU"/>
        </w:rPr>
        <w:t xml:space="preserve"> AMENDMENT (</w:t>
      </w:r>
      <w:r w:rsidR="00B40E29">
        <w:rPr>
          <w:b/>
          <w:i/>
          <w:caps/>
          <w:sz w:val="24"/>
          <w:szCs w:val="24"/>
          <w:lang w:val="en-AU"/>
        </w:rPr>
        <w:t>REPEAL</w:t>
      </w:r>
      <w:r w:rsidR="0061485A">
        <w:rPr>
          <w:b/>
          <w:i/>
          <w:caps/>
          <w:sz w:val="24"/>
          <w:szCs w:val="24"/>
          <w:lang w:val="en-AU"/>
        </w:rPr>
        <w:t>)</w:t>
      </w:r>
      <w:r w:rsidRPr="007C75E4">
        <w:rPr>
          <w:b/>
          <w:i/>
          <w:caps/>
          <w:sz w:val="24"/>
          <w:szCs w:val="24"/>
          <w:lang w:val="en-AU"/>
        </w:rPr>
        <w:t xml:space="preserve"> RULES</w:t>
      </w:r>
      <w:r w:rsidR="00B40E29">
        <w:rPr>
          <w:b/>
          <w:i/>
          <w:caps/>
          <w:sz w:val="24"/>
          <w:szCs w:val="24"/>
          <w:lang w:val="en-AU"/>
        </w:rPr>
        <w:t> </w:t>
      </w:r>
      <w:r w:rsidRPr="007C75E4">
        <w:rPr>
          <w:b/>
          <w:i/>
          <w:caps/>
          <w:sz w:val="24"/>
          <w:szCs w:val="24"/>
          <w:lang w:val="en-AU"/>
        </w:rPr>
        <w:t>202</w:t>
      </w:r>
      <w:r w:rsidR="00580285">
        <w:rPr>
          <w:b/>
          <w:i/>
          <w:caps/>
          <w:sz w:val="24"/>
          <w:szCs w:val="24"/>
          <w:lang w:val="en-AU"/>
        </w:rPr>
        <w:t>1</w:t>
      </w:r>
    </w:p>
    <w:p w14:paraId="0A1B4974" w14:textId="759198C7" w:rsidR="007C75E4" w:rsidRDefault="007C75E4" w:rsidP="007C75E4">
      <w:pPr>
        <w:spacing w:after="160" w:line="259" w:lineRule="auto"/>
        <w:jc w:val="center"/>
        <w:rPr>
          <w:b/>
          <w:i/>
          <w:caps/>
          <w:sz w:val="24"/>
          <w:szCs w:val="24"/>
          <w:lang w:val="en-AU"/>
        </w:rPr>
      </w:pPr>
    </w:p>
    <w:p w14:paraId="6D9F082C" w14:textId="77777777" w:rsidR="007C75E4" w:rsidRDefault="007C75E4" w:rsidP="007C75E4">
      <w:pPr>
        <w:spacing w:after="160" w:line="259" w:lineRule="auto"/>
        <w:jc w:val="center"/>
        <w:rPr>
          <w:b/>
          <w:i/>
          <w:caps/>
          <w:sz w:val="24"/>
          <w:szCs w:val="24"/>
          <w:lang w:val="en-AU"/>
        </w:rPr>
      </w:pPr>
    </w:p>
    <w:p w14:paraId="054E2FAC" w14:textId="77777777" w:rsidR="007C75E4" w:rsidRPr="007C75E4" w:rsidRDefault="007C75E4" w:rsidP="007C75E4">
      <w:pPr>
        <w:jc w:val="center"/>
        <w:rPr>
          <w:b/>
          <w:caps/>
          <w:sz w:val="24"/>
          <w:szCs w:val="24"/>
          <w:lang w:val="en-AU"/>
        </w:rPr>
      </w:pPr>
      <w:r w:rsidRPr="007C75E4">
        <w:rPr>
          <w:b/>
          <w:caps/>
          <w:sz w:val="24"/>
          <w:szCs w:val="24"/>
          <w:lang w:val="en-AU"/>
        </w:rPr>
        <w:t>Explanatory Statement</w:t>
      </w:r>
    </w:p>
    <w:p w14:paraId="6DC73288" w14:textId="77777777" w:rsidR="007C75E4" w:rsidRPr="007C75E4" w:rsidRDefault="007C75E4" w:rsidP="007C75E4">
      <w:pPr>
        <w:spacing w:after="160" w:line="259" w:lineRule="auto"/>
        <w:jc w:val="center"/>
        <w:rPr>
          <w:b/>
          <w:i/>
          <w:caps/>
          <w:sz w:val="24"/>
          <w:szCs w:val="24"/>
          <w:lang w:val="en-AU"/>
        </w:rPr>
      </w:pPr>
    </w:p>
    <w:p w14:paraId="75E90858" w14:textId="77777777" w:rsidR="007C75E4" w:rsidRDefault="007C75E4" w:rsidP="00EE5229">
      <w:pPr>
        <w:jc w:val="center"/>
        <w:rPr>
          <w:b/>
          <w:caps/>
          <w:sz w:val="24"/>
          <w:szCs w:val="24"/>
          <w:u w:val="single"/>
          <w:lang w:val="en-AU"/>
        </w:rPr>
      </w:pPr>
    </w:p>
    <w:p w14:paraId="4B00AB42" w14:textId="77777777" w:rsidR="007C75E4" w:rsidRDefault="007C75E4">
      <w:pPr>
        <w:spacing w:after="160" w:line="259" w:lineRule="auto"/>
        <w:rPr>
          <w:b/>
          <w:caps/>
          <w:sz w:val="24"/>
          <w:szCs w:val="24"/>
          <w:u w:val="single"/>
          <w:lang w:val="en-AU"/>
        </w:rPr>
      </w:pPr>
      <w:r>
        <w:rPr>
          <w:b/>
          <w:caps/>
          <w:sz w:val="24"/>
          <w:szCs w:val="24"/>
          <w:u w:val="single"/>
          <w:lang w:val="en-AU"/>
        </w:rPr>
        <w:br w:type="page"/>
      </w:r>
    </w:p>
    <w:p w14:paraId="2F757027" w14:textId="2796F4C9" w:rsidR="0061485A" w:rsidRDefault="0061485A" w:rsidP="0061485A">
      <w:pPr>
        <w:spacing w:after="160" w:line="259" w:lineRule="auto"/>
        <w:jc w:val="center"/>
        <w:rPr>
          <w:b/>
          <w:i/>
          <w:caps/>
          <w:sz w:val="24"/>
          <w:szCs w:val="24"/>
          <w:lang w:val="en-AU"/>
        </w:rPr>
      </w:pPr>
      <w:r w:rsidRPr="007C75E4">
        <w:rPr>
          <w:b/>
          <w:i/>
          <w:caps/>
          <w:sz w:val="24"/>
          <w:szCs w:val="24"/>
          <w:lang w:val="en-AU"/>
        </w:rPr>
        <w:lastRenderedPageBreak/>
        <w:t>AUSTRALIA’S fOREIGN</w:t>
      </w:r>
      <w:r>
        <w:rPr>
          <w:b/>
          <w:i/>
          <w:caps/>
          <w:sz w:val="24"/>
          <w:szCs w:val="24"/>
          <w:lang w:val="en-AU"/>
        </w:rPr>
        <w:t xml:space="preserve"> RELATIONS (sTATE AND tERRITORY </w:t>
      </w:r>
      <w:r w:rsidRPr="007C75E4">
        <w:rPr>
          <w:b/>
          <w:i/>
          <w:caps/>
          <w:sz w:val="24"/>
          <w:szCs w:val="24"/>
          <w:lang w:val="en-AU"/>
        </w:rPr>
        <w:t>ARRANGEMENTS)</w:t>
      </w:r>
      <w:r>
        <w:rPr>
          <w:b/>
          <w:i/>
          <w:caps/>
          <w:sz w:val="24"/>
          <w:szCs w:val="24"/>
          <w:lang w:val="en-AU"/>
        </w:rPr>
        <w:t xml:space="preserve"> AMENDMENT (</w:t>
      </w:r>
      <w:r w:rsidR="00B40E29">
        <w:rPr>
          <w:b/>
          <w:i/>
          <w:caps/>
          <w:sz w:val="24"/>
          <w:szCs w:val="24"/>
          <w:lang w:val="en-AU"/>
        </w:rPr>
        <w:t>REPEAL</w:t>
      </w:r>
      <w:r>
        <w:rPr>
          <w:b/>
          <w:i/>
          <w:caps/>
          <w:sz w:val="24"/>
          <w:szCs w:val="24"/>
          <w:lang w:val="en-AU"/>
        </w:rPr>
        <w:t>)</w:t>
      </w:r>
      <w:r w:rsidRPr="007C75E4">
        <w:rPr>
          <w:b/>
          <w:i/>
          <w:caps/>
          <w:sz w:val="24"/>
          <w:szCs w:val="24"/>
          <w:lang w:val="en-AU"/>
        </w:rPr>
        <w:t xml:space="preserve"> RULES</w:t>
      </w:r>
      <w:r w:rsidR="00B40E29">
        <w:rPr>
          <w:b/>
          <w:i/>
          <w:caps/>
          <w:sz w:val="24"/>
          <w:szCs w:val="24"/>
          <w:lang w:val="en-AU"/>
        </w:rPr>
        <w:t> </w:t>
      </w:r>
      <w:r w:rsidRPr="007C75E4">
        <w:rPr>
          <w:b/>
          <w:i/>
          <w:caps/>
          <w:sz w:val="24"/>
          <w:szCs w:val="24"/>
          <w:lang w:val="en-AU"/>
        </w:rPr>
        <w:t>202</w:t>
      </w:r>
      <w:r w:rsidR="00580285">
        <w:rPr>
          <w:b/>
          <w:i/>
          <w:caps/>
          <w:sz w:val="24"/>
          <w:szCs w:val="24"/>
          <w:lang w:val="en-AU"/>
        </w:rPr>
        <w:t>1</w:t>
      </w:r>
    </w:p>
    <w:p w14:paraId="03856CAB" w14:textId="77777777" w:rsidR="007C75E4" w:rsidRPr="0030620E" w:rsidRDefault="007C75E4" w:rsidP="0030620E">
      <w:pPr>
        <w:jc w:val="center"/>
        <w:rPr>
          <w:b/>
          <w:sz w:val="24"/>
          <w:szCs w:val="24"/>
          <w:lang w:val="en-AU"/>
        </w:rPr>
      </w:pPr>
    </w:p>
    <w:p w14:paraId="117A0933" w14:textId="77777777" w:rsidR="007C75E4" w:rsidRPr="0030620E" w:rsidRDefault="007C75E4" w:rsidP="0030620E">
      <w:pPr>
        <w:jc w:val="center"/>
        <w:rPr>
          <w:b/>
          <w:sz w:val="24"/>
          <w:szCs w:val="24"/>
          <w:lang w:val="en-AU"/>
        </w:rPr>
      </w:pPr>
    </w:p>
    <w:p w14:paraId="5FE7F491" w14:textId="3EE46EF1" w:rsidR="00EE5229" w:rsidRPr="0030620E" w:rsidRDefault="0030620E" w:rsidP="0030620E">
      <w:pPr>
        <w:jc w:val="center"/>
        <w:rPr>
          <w:b/>
          <w:sz w:val="24"/>
          <w:szCs w:val="24"/>
          <w:lang w:val="en-AU"/>
        </w:rPr>
      </w:pPr>
      <w:r w:rsidRPr="0030620E">
        <w:rPr>
          <w:b/>
          <w:sz w:val="24"/>
          <w:szCs w:val="24"/>
          <w:lang w:val="en-AU"/>
        </w:rPr>
        <w:t>EXPLANATORY STATEMENT</w:t>
      </w:r>
    </w:p>
    <w:p w14:paraId="04DFF67F" w14:textId="77777777" w:rsidR="007C75E4" w:rsidRPr="0030620E" w:rsidRDefault="007C75E4" w:rsidP="0030620E">
      <w:pPr>
        <w:jc w:val="center"/>
        <w:rPr>
          <w:b/>
          <w:sz w:val="24"/>
          <w:szCs w:val="24"/>
          <w:lang w:val="en-AU"/>
        </w:rPr>
      </w:pPr>
    </w:p>
    <w:p w14:paraId="54E334AC" w14:textId="77777777" w:rsidR="00637366" w:rsidRPr="0030620E" w:rsidRDefault="00637366" w:rsidP="0030620E">
      <w:pPr>
        <w:jc w:val="center"/>
        <w:rPr>
          <w:b/>
          <w:sz w:val="24"/>
          <w:szCs w:val="24"/>
          <w:lang w:val="en-AU"/>
        </w:rPr>
      </w:pPr>
    </w:p>
    <w:p w14:paraId="3F066BCA" w14:textId="73E78E93" w:rsidR="00637366" w:rsidRPr="007C75E4" w:rsidRDefault="00637366" w:rsidP="0030620E">
      <w:pPr>
        <w:jc w:val="center"/>
        <w:rPr>
          <w:b/>
          <w:sz w:val="24"/>
          <w:szCs w:val="24"/>
          <w:lang w:val="en-AU"/>
        </w:rPr>
      </w:pPr>
      <w:r w:rsidRPr="007C75E4">
        <w:rPr>
          <w:b/>
          <w:sz w:val="24"/>
          <w:szCs w:val="24"/>
          <w:lang w:val="en-AU"/>
        </w:rPr>
        <w:t>Issued by the authority of the Minister for Foreign Affairs</w:t>
      </w:r>
    </w:p>
    <w:p w14:paraId="155593DE" w14:textId="16D7BD43" w:rsidR="00637366" w:rsidRPr="006D5921" w:rsidRDefault="00637366" w:rsidP="00637366">
      <w:pPr>
        <w:rPr>
          <w:sz w:val="24"/>
          <w:szCs w:val="24"/>
          <w:u w:val="single"/>
          <w:lang w:val="en-AU"/>
        </w:rPr>
      </w:pPr>
    </w:p>
    <w:p w14:paraId="0EF08F59" w14:textId="44291AE3" w:rsidR="002A11BC" w:rsidRPr="006D5921" w:rsidRDefault="002A11BC" w:rsidP="007C75E4">
      <w:pPr>
        <w:rPr>
          <w:b/>
          <w:sz w:val="24"/>
          <w:szCs w:val="24"/>
          <w:u w:val="single"/>
          <w:lang w:val="en-AU"/>
        </w:rPr>
      </w:pPr>
    </w:p>
    <w:p w14:paraId="32BF7C8C" w14:textId="746CFD31" w:rsidR="00AF08D2" w:rsidRPr="006D5921" w:rsidRDefault="00AF08D2" w:rsidP="00637366">
      <w:pPr>
        <w:rPr>
          <w:sz w:val="24"/>
          <w:szCs w:val="24"/>
          <w:lang w:val="en-AU"/>
        </w:rPr>
      </w:pPr>
      <w:r w:rsidRPr="006D5921">
        <w:rPr>
          <w:sz w:val="24"/>
          <w:szCs w:val="24"/>
          <w:lang w:val="en-AU"/>
        </w:rPr>
        <w:t xml:space="preserve">The </w:t>
      </w:r>
      <w:r w:rsidRPr="006D5921">
        <w:rPr>
          <w:i/>
          <w:sz w:val="24"/>
          <w:szCs w:val="24"/>
          <w:lang w:val="en-AU"/>
        </w:rPr>
        <w:t xml:space="preserve">Australia’s Foreign Relations (State and Territory Arrangements) </w:t>
      </w:r>
      <w:r w:rsidR="00434404" w:rsidRPr="006D5921">
        <w:rPr>
          <w:i/>
          <w:sz w:val="24"/>
          <w:szCs w:val="24"/>
          <w:lang w:val="en-AU"/>
        </w:rPr>
        <w:t>Act</w:t>
      </w:r>
      <w:r w:rsidRPr="006D5921">
        <w:rPr>
          <w:i/>
          <w:sz w:val="24"/>
          <w:szCs w:val="24"/>
          <w:lang w:val="en-AU"/>
        </w:rPr>
        <w:t xml:space="preserve"> 2020</w:t>
      </w:r>
      <w:r w:rsidRPr="006D5921">
        <w:rPr>
          <w:sz w:val="24"/>
          <w:szCs w:val="24"/>
          <w:lang w:val="en-AU"/>
        </w:rPr>
        <w:t xml:space="preserve"> </w:t>
      </w:r>
      <w:r w:rsidR="00434404" w:rsidRPr="006D5921">
        <w:rPr>
          <w:sz w:val="24"/>
          <w:szCs w:val="24"/>
          <w:lang w:val="en-AU"/>
        </w:rPr>
        <w:t>(the Act) allows</w:t>
      </w:r>
      <w:r w:rsidRPr="006D5921">
        <w:rPr>
          <w:sz w:val="24"/>
          <w:szCs w:val="24"/>
          <w:lang w:val="en-AU"/>
        </w:rPr>
        <w:t xml:space="preserve"> the Minister to assess whe</w:t>
      </w:r>
      <w:r w:rsidR="00A71DEB">
        <w:rPr>
          <w:sz w:val="24"/>
          <w:szCs w:val="24"/>
          <w:lang w:val="en-AU"/>
        </w:rPr>
        <w:t>ther arrangements between State/</w:t>
      </w:r>
      <w:r w:rsidRPr="006D5921">
        <w:rPr>
          <w:sz w:val="24"/>
          <w:szCs w:val="24"/>
          <w:lang w:val="en-AU"/>
        </w:rPr>
        <w:t xml:space="preserve">Territory </w:t>
      </w:r>
      <w:r w:rsidR="00434404" w:rsidRPr="006D5921">
        <w:rPr>
          <w:sz w:val="24"/>
          <w:szCs w:val="24"/>
          <w:lang w:val="en-AU"/>
        </w:rPr>
        <w:t>entities</w:t>
      </w:r>
      <w:r w:rsidRPr="006D5921">
        <w:rPr>
          <w:sz w:val="24"/>
          <w:szCs w:val="24"/>
          <w:lang w:val="en-AU"/>
        </w:rPr>
        <w:t xml:space="preserve"> and foreign </w:t>
      </w:r>
      <w:r w:rsidR="00434404" w:rsidRPr="006D5921">
        <w:rPr>
          <w:sz w:val="24"/>
          <w:szCs w:val="24"/>
          <w:lang w:val="en-AU"/>
        </w:rPr>
        <w:t>entities</w:t>
      </w:r>
      <w:r w:rsidRPr="006D5921">
        <w:rPr>
          <w:sz w:val="24"/>
          <w:szCs w:val="24"/>
          <w:lang w:val="en-AU"/>
        </w:rPr>
        <w:t xml:space="preserve"> are consistent with Australia’s foreign policy and </w:t>
      </w:r>
      <w:r w:rsidR="00434404" w:rsidRPr="006D5921">
        <w:rPr>
          <w:sz w:val="24"/>
          <w:szCs w:val="24"/>
          <w:lang w:val="en-AU"/>
        </w:rPr>
        <w:t>do</w:t>
      </w:r>
      <w:r w:rsidRPr="006D5921">
        <w:rPr>
          <w:sz w:val="24"/>
          <w:szCs w:val="24"/>
          <w:lang w:val="en-AU"/>
        </w:rPr>
        <w:t xml:space="preserve"> not adversely affect Australia’s foreign relations. </w:t>
      </w:r>
    </w:p>
    <w:p w14:paraId="0C733D07" w14:textId="49D296CF" w:rsidR="00A0605B" w:rsidRPr="006D5921" w:rsidRDefault="00A0605B" w:rsidP="00637366">
      <w:pPr>
        <w:rPr>
          <w:sz w:val="24"/>
          <w:szCs w:val="24"/>
          <w:lang w:val="en-AU"/>
        </w:rPr>
      </w:pPr>
    </w:p>
    <w:p w14:paraId="6DD7F618" w14:textId="6AF99192" w:rsidR="00A0605B" w:rsidRPr="006D5921" w:rsidRDefault="00A0605B" w:rsidP="00637366">
      <w:pPr>
        <w:rPr>
          <w:sz w:val="24"/>
          <w:szCs w:val="24"/>
          <w:lang w:val="en-AU"/>
        </w:rPr>
      </w:pPr>
      <w:r w:rsidRPr="006D5921">
        <w:rPr>
          <w:sz w:val="24"/>
          <w:szCs w:val="24"/>
          <w:lang w:val="en-AU"/>
        </w:rPr>
        <w:t xml:space="preserve">Section 54 of the Act allows the Minister to make rules prescribing matters required or permitted by the Act to be prescribed by the rules, or necessary or convenient to be prescribed for carrying out or giving effect to the Act. </w:t>
      </w:r>
    </w:p>
    <w:p w14:paraId="55FAE130" w14:textId="2D51B48D" w:rsidR="00A0605B" w:rsidRPr="006D5921" w:rsidRDefault="00A0605B" w:rsidP="00637366">
      <w:pPr>
        <w:rPr>
          <w:sz w:val="24"/>
          <w:szCs w:val="24"/>
          <w:lang w:val="en-AU"/>
        </w:rPr>
      </w:pPr>
    </w:p>
    <w:p w14:paraId="583A9EC0" w14:textId="43ABEA5E" w:rsidR="0061485A" w:rsidRDefault="00A0605B" w:rsidP="00B40E29">
      <w:pPr>
        <w:rPr>
          <w:sz w:val="24"/>
          <w:szCs w:val="24"/>
          <w:lang w:val="en-AU"/>
        </w:rPr>
      </w:pPr>
      <w:r w:rsidRPr="006D5921">
        <w:rPr>
          <w:sz w:val="24"/>
          <w:szCs w:val="24"/>
          <w:lang w:val="en-AU"/>
        </w:rPr>
        <w:t xml:space="preserve">The </w:t>
      </w:r>
      <w:r w:rsidRPr="006D5921">
        <w:rPr>
          <w:i/>
          <w:sz w:val="24"/>
          <w:szCs w:val="24"/>
          <w:lang w:val="en-AU"/>
        </w:rPr>
        <w:t xml:space="preserve">Australia’s Foreign Relations (State and Territory Arrangements) </w:t>
      </w:r>
      <w:r w:rsidR="0061485A">
        <w:rPr>
          <w:i/>
          <w:sz w:val="24"/>
          <w:szCs w:val="24"/>
          <w:lang w:val="en-AU"/>
        </w:rPr>
        <w:t>Amendment (</w:t>
      </w:r>
      <w:r w:rsidR="00B40E29">
        <w:rPr>
          <w:i/>
          <w:sz w:val="24"/>
          <w:szCs w:val="24"/>
          <w:lang w:val="en-AU"/>
        </w:rPr>
        <w:t>Repeal</w:t>
      </w:r>
      <w:r w:rsidR="0061485A">
        <w:rPr>
          <w:i/>
          <w:sz w:val="24"/>
          <w:szCs w:val="24"/>
          <w:lang w:val="en-AU"/>
        </w:rPr>
        <w:t xml:space="preserve">) </w:t>
      </w:r>
      <w:r w:rsidRPr="006D5921">
        <w:rPr>
          <w:i/>
          <w:sz w:val="24"/>
          <w:szCs w:val="24"/>
          <w:lang w:val="en-AU"/>
        </w:rPr>
        <w:t>Rules 202</w:t>
      </w:r>
      <w:r w:rsidR="00580285">
        <w:rPr>
          <w:i/>
          <w:sz w:val="24"/>
          <w:szCs w:val="24"/>
          <w:lang w:val="en-AU"/>
        </w:rPr>
        <w:t>1</w:t>
      </w:r>
      <w:r w:rsidRPr="006D5921">
        <w:rPr>
          <w:i/>
          <w:sz w:val="24"/>
          <w:szCs w:val="24"/>
          <w:lang w:val="en-AU"/>
        </w:rPr>
        <w:t xml:space="preserve"> </w:t>
      </w:r>
      <w:r w:rsidR="00ED1E04">
        <w:rPr>
          <w:sz w:val="24"/>
          <w:szCs w:val="24"/>
          <w:lang w:val="en-AU"/>
        </w:rPr>
        <w:t>(the </w:t>
      </w:r>
      <w:r w:rsidR="00100696">
        <w:rPr>
          <w:sz w:val="24"/>
          <w:szCs w:val="24"/>
          <w:lang w:val="en-AU"/>
        </w:rPr>
        <w:t xml:space="preserve">Amendment </w:t>
      </w:r>
      <w:r w:rsidRPr="006D5921">
        <w:rPr>
          <w:sz w:val="24"/>
          <w:szCs w:val="24"/>
          <w:lang w:val="en-AU"/>
        </w:rPr>
        <w:t xml:space="preserve">Rules) will </w:t>
      </w:r>
      <w:r w:rsidR="00C2604C">
        <w:rPr>
          <w:sz w:val="24"/>
          <w:szCs w:val="24"/>
          <w:lang w:val="en-AU"/>
        </w:rPr>
        <w:t xml:space="preserve">make amendments to the </w:t>
      </w:r>
      <w:r w:rsidR="00C2604C">
        <w:rPr>
          <w:i/>
          <w:iCs/>
          <w:sz w:val="24"/>
          <w:szCs w:val="24"/>
          <w:lang w:val="en-AU"/>
        </w:rPr>
        <w:t>Australia’s Foreign Relations (State and Territory Arrangements) Rules</w:t>
      </w:r>
      <w:r w:rsidR="00C2604C">
        <w:rPr>
          <w:sz w:val="24"/>
          <w:szCs w:val="24"/>
          <w:lang w:val="en-AU"/>
        </w:rPr>
        <w:t> </w:t>
      </w:r>
      <w:r w:rsidR="00C2604C" w:rsidRPr="00C2604C">
        <w:rPr>
          <w:i/>
          <w:iCs/>
          <w:sz w:val="24"/>
          <w:szCs w:val="24"/>
          <w:lang w:val="en-AU"/>
        </w:rPr>
        <w:t>2020</w:t>
      </w:r>
      <w:r w:rsidR="00C2604C">
        <w:rPr>
          <w:sz w:val="24"/>
          <w:szCs w:val="24"/>
          <w:lang w:val="en-AU"/>
        </w:rPr>
        <w:t xml:space="preserve"> </w:t>
      </w:r>
      <w:r w:rsidR="00E72950">
        <w:rPr>
          <w:sz w:val="24"/>
          <w:szCs w:val="24"/>
          <w:lang w:val="en-AU"/>
        </w:rPr>
        <w:t xml:space="preserve">(the Rules) </w:t>
      </w:r>
      <w:r w:rsidR="00C2604C">
        <w:rPr>
          <w:sz w:val="24"/>
          <w:szCs w:val="24"/>
          <w:lang w:val="en-AU"/>
        </w:rPr>
        <w:t xml:space="preserve">to </w:t>
      </w:r>
      <w:r w:rsidRPr="006D5921">
        <w:rPr>
          <w:sz w:val="24"/>
          <w:szCs w:val="24"/>
          <w:lang w:val="en-AU"/>
        </w:rPr>
        <w:t xml:space="preserve">prescribe </w:t>
      </w:r>
      <w:r w:rsidR="00B40E29">
        <w:rPr>
          <w:sz w:val="24"/>
          <w:szCs w:val="24"/>
          <w:lang w:val="en-AU"/>
        </w:rPr>
        <w:t>a self-repeal provision for the instrument after five years.</w:t>
      </w:r>
    </w:p>
    <w:p w14:paraId="0F9DA069" w14:textId="2D1F9863" w:rsidR="005D3245" w:rsidRDefault="005D3245" w:rsidP="00B40E29">
      <w:pPr>
        <w:rPr>
          <w:sz w:val="24"/>
          <w:szCs w:val="24"/>
          <w:lang w:val="en-AU"/>
        </w:rPr>
      </w:pPr>
    </w:p>
    <w:p w14:paraId="397418EC" w14:textId="45354C6C" w:rsidR="005D3245" w:rsidRPr="006D5921" w:rsidRDefault="005D3245" w:rsidP="005D3245">
      <w:pPr>
        <w:ind w:right="521"/>
        <w:jc w:val="both"/>
        <w:rPr>
          <w:color w:val="000000"/>
          <w:sz w:val="24"/>
          <w:szCs w:val="24"/>
          <w:lang w:val="en-AU" w:eastAsia="en-AU"/>
        </w:rPr>
      </w:pPr>
      <w:r>
        <w:rPr>
          <w:color w:val="000000"/>
          <w:sz w:val="24"/>
          <w:szCs w:val="24"/>
          <w:lang w:val="en-AU" w:eastAsia="en-AU"/>
        </w:rPr>
        <w:t>The self-repeal provision was introduced on the recommendation of the Senate</w:t>
      </w:r>
      <w:r w:rsidR="006C2EDE">
        <w:rPr>
          <w:color w:val="000000"/>
          <w:sz w:val="24"/>
          <w:szCs w:val="24"/>
          <w:lang w:val="en-AU" w:eastAsia="en-AU"/>
        </w:rPr>
        <w:t xml:space="preserve"> Standing Committee for the</w:t>
      </w:r>
      <w:r>
        <w:rPr>
          <w:color w:val="000000"/>
          <w:sz w:val="24"/>
          <w:szCs w:val="24"/>
          <w:lang w:val="en-AU" w:eastAsia="en-AU"/>
        </w:rPr>
        <w:t xml:space="preserve"> Scrutiny of Delegated Legislation, to ensure</w:t>
      </w:r>
      <w:r w:rsidR="00E72950">
        <w:rPr>
          <w:color w:val="000000"/>
          <w:sz w:val="24"/>
          <w:szCs w:val="24"/>
          <w:lang w:val="en-AU" w:eastAsia="en-AU"/>
        </w:rPr>
        <w:t xml:space="preserve"> appropriate</w:t>
      </w:r>
      <w:r>
        <w:rPr>
          <w:color w:val="000000"/>
          <w:sz w:val="24"/>
          <w:szCs w:val="24"/>
          <w:lang w:val="en-AU" w:eastAsia="en-AU"/>
        </w:rPr>
        <w:t xml:space="preserve"> </w:t>
      </w:r>
      <w:r w:rsidR="00E72950">
        <w:rPr>
          <w:color w:val="000000"/>
          <w:sz w:val="24"/>
          <w:szCs w:val="24"/>
          <w:lang w:val="en-AU" w:eastAsia="en-AU"/>
        </w:rPr>
        <w:t>p</w:t>
      </w:r>
      <w:r>
        <w:rPr>
          <w:color w:val="000000"/>
          <w:sz w:val="24"/>
          <w:szCs w:val="24"/>
          <w:lang w:val="en-AU" w:eastAsia="en-AU"/>
        </w:rPr>
        <w:t xml:space="preserve">arliamentary scrutiny of the </w:t>
      </w:r>
      <w:r w:rsidRPr="00FE0B21">
        <w:rPr>
          <w:sz w:val="24"/>
          <w:szCs w:val="24"/>
          <w:lang w:val="en-AU"/>
        </w:rPr>
        <w:t>Rules</w:t>
      </w:r>
      <w:r w:rsidR="006C2EDE">
        <w:rPr>
          <w:sz w:val="24"/>
          <w:szCs w:val="24"/>
          <w:lang w:val="en-AU"/>
        </w:rPr>
        <w:t xml:space="preserve"> </w:t>
      </w:r>
      <w:r>
        <w:rPr>
          <w:color w:val="000000"/>
          <w:sz w:val="24"/>
          <w:szCs w:val="24"/>
          <w:lang w:val="en-AU" w:eastAsia="en-AU"/>
        </w:rPr>
        <w:t>after the completion of the three-year review of the Act</w:t>
      </w:r>
      <w:r w:rsidR="006B3942">
        <w:rPr>
          <w:color w:val="000000"/>
          <w:sz w:val="24"/>
          <w:szCs w:val="24"/>
          <w:lang w:val="en-AU" w:eastAsia="en-AU"/>
        </w:rPr>
        <w:t xml:space="preserve"> (</w:t>
      </w:r>
      <w:r w:rsidR="006C2EDE">
        <w:rPr>
          <w:color w:val="000000"/>
          <w:sz w:val="24"/>
          <w:szCs w:val="24"/>
          <w:lang w:val="en-AU" w:eastAsia="en-AU"/>
        </w:rPr>
        <w:t>as</w:t>
      </w:r>
      <w:r>
        <w:rPr>
          <w:color w:val="000000"/>
          <w:sz w:val="24"/>
          <w:szCs w:val="24"/>
          <w:lang w:val="en-AU" w:eastAsia="en-AU"/>
        </w:rPr>
        <w:t xml:space="preserve"> required under section 63A of the Act</w:t>
      </w:r>
      <w:r w:rsidR="006B3942">
        <w:rPr>
          <w:color w:val="000000"/>
          <w:sz w:val="24"/>
          <w:szCs w:val="24"/>
          <w:lang w:val="en-AU" w:eastAsia="en-AU"/>
        </w:rPr>
        <w:t>)</w:t>
      </w:r>
      <w:r>
        <w:rPr>
          <w:color w:val="000000"/>
          <w:sz w:val="24"/>
          <w:szCs w:val="24"/>
          <w:lang w:val="en-AU" w:eastAsia="en-AU"/>
        </w:rPr>
        <w:t xml:space="preserve">. </w:t>
      </w:r>
      <w:r w:rsidR="00303DD5">
        <w:rPr>
          <w:color w:val="000000"/>
          <w:sz w:val="24"/>
          <w:szCs w:val="24"/>
          <w:lang w:val="en-AU" w:eastAsia="en-AU"/>
        </w:rPr>
        <w:t>The Rules will be reviewed to ensure they continue to reflect the policy intent of the Act and to support the effective administration of Australia’s Foreign Arrangements Scheme</w:t>
      </w:r>
      <w:r w:rsidR="006B3942">
        <w:rPr>
          <w:color w:val="000000"/>
          <w:sz w:val="24"/>
          <w:szCs w:val="24"/>
          <w:lang w:val="en-AU" w:eastAsia="en-AU"/>
        </w:rPr>
        <w:t>, as part of the three-year review</w:t>
      </w:r>
      <w:r w:rsidR="00303DD5">
        <w:rPr>
          <w:color w:val="000000"/>
          <w:sz w:val="24"/>
          <w:szCs w:val="24"/>
          <w:lang w:val="en-AU" w:eastAsia="en-AU"/>
        </w:rPr>
        <w:t>.</w:t>
      </w:r>
    </w:p>
    <w:p w14:paraId="59128891" w14:textId="77777777" w:rsidR="0061485A" w:rsidRDefault="0061485A" w:rsidP="00637366">
      <w:pPr>
        <w:rPr>
          <w:sz w:val="24"/>
          <w:szCs w:val="24"/>
          <w:lang w:val="en-AU"/>
        </w:rPr>
      </w:pPr>
    </w:p>
    <w:p w14:paraId="7E2453C4" w14:textId="3F4EB87F" w:rsidR="00A0605B" w:rsidRPr="006D5921" w:rsidRDefault="00F15258" w:rsidP="00637366">
      <w:pPr>
        <w:rPr>
          <w:sz w:val="24"/>
          <w:szCs w:val="24"/>
          <w:lang w:val="en-AU"/>
        </w:rPr>
      </w:pPr>
      <w:r w:rsidRPr="006D5921">
        <w:rPr>
          <w:sz w:val="24"/>
          <w:szCs w:val="24"/>
          <w:lang w:val="en-AU"/>
        </w:rPr>
        <w:t xml:space="preserve">A Statement of Compatibility with Human Rights (the Statement) has been completed in accordance with the </w:t>
      </w:r>
      <w:r w:rsidRPr="006D5921">
        <w:rPr>
          <w:i/>
          <w:sz w:val="24"/>
          <w:szCs w:val="24"/>
          <w:lang w:val="en-AU"/>
        </w:rPr>
        <w:t>Human Rights (Parliamentary Scrutiny) Act 2011</w:t>
      </w:r>
      <w:r w:rsidRPr="006D5921">
        <w:rPr>
          <w:sz w:val="24"/>
          <w:szCs w:val="24"/>
          <w:lang w:val="en-AU"/>
        </w:rPr>
        <w:t xml:space="preserve">. The overall assessment is that the </w:t>
      </w:r>
      <w:r w:rsidR="0054434A">
        <w:rPr>
          <w:sz w:val="24"/>
          <w:szCs w:val="24"/>
          <w:lang w:val="en-AU"/>
        </w:rPr>
        <w:t xml:space="preserve">Amendment </w:t>
      </w:r>
      <w:r w:rsidRPr="006D5921">
        <w:rPr>
          <w:sz w:val="24"/>
          <w:szCs w:val="24"/>
          <w:lang w:val="en-AU"/>
        </w:rPr>
        <w:t>Rules are compatible with human rights.</w:t>
      </w:r>
      <w:r w:rsidR="0061485A">
        <w:rPr>
          <w:sz w:val="24"/>
          <w:szCs w:val="24"/>
          <w:lang w:val="en-AU"/>
        </w:rPr>
        <w:t xml:space="preserve"> </w:t>
      </w:r>
      <w:r w:rsidRPr="006D5921">
        <w:rPr>
          <w:sz w:val="24"/>
          <w:szCs w:val="24"/>
          <w:lang w:val="en-AU"/>
        </w:rPr>
        <w:t>A copy of the Statement is</w:t>
      </w:r>
      <w:r w:rsidR="00C2604C">
        <w:rPr>
          <w:sz w:val="24"/>
          <w:szCs w:val="24"/>
          <w:lang w:val="en-AU"/>
        </w:rPr>
        <w:t xml:space="preserve"> </w:t>
      </w:r>
      <w:r w:rsidRPr="006D5921">
        <w:rPr>
          <w:sz w:val="24"/>
          <w:szCs w:val="24"/>
          <w:lang w:val="en-AU"/>
        </w:rPr>
        <w:t xml:space="preserve">at </w:t>
      </w:r>
      <w:r w:rsidRPr="006D5921">
        <w:rPr>
          <w:sz w:val="24"/>
          <w:szCs w:val="24"/>
          <w:u w:val="single"/>
          <w:lang w:val="en-AU"/>
        </w:rPr>
        <w:t xml:space="preserve">Attachment </w:t>
      </w:r>
      <w:r w:rsidR="00FD25FB">
        <w:rPr>
          <w:sz w:val="24"/>
          <w:szCs w:val="24"/>
          <w:u w:val="single"/>
          <w:lang w:val="en-AU"/>
        </w:rPr>
        <w:t>A</w:t>
      </w:r>
      <w:r w:rsidRPr="006D5921">
        <w:rPr>
          <w:sz w:val="24"/>
          <w:szCs w:val="24"/>
          <w:lang w:val="en-AU"/>
        </w:rPr>
        <w:t>.</w:t>
      </w:r>
    </w:p>
    <w:p w14:paraId="79458204" w14:textId="2EC4DDBB" w:rsidR="00F15258" w:rsidRPr="006D5921" w:rsidRDefault="00F15258" w:rsidP="00637366">
      <w:pPr>
        <w:rPr>
          <w:sz w:val="24"/>
          <w:szCs w:val="24"/>
          <w:lang w:val="en-AU"/>
        </w:rPr>
      </w:pPr>
    </w:p>
    <w:p w14:paraId="517B1165" w14:textId="2B46DAC8" w:rsidR="00F15258" w:rsidRPr="006D5921" w:rsidRDefault="00F15258" w:rsidP="00637366">
      <w:pPr>
        <w:rPr>
          <w:sz w:val="24"/>
          <w:szCs w:val="24"/>
          <w:lang w:val="en-AU"/>
        </w:rPr>
      </w:pPr>
      <w:r w:rsidRPr="006D5921">
        <w:rPr>
          <w:sz w:val="24"/>
          <w:szCs w:val="24"/>
          <w:lang w:val="en-AU"/>
        </w:rPr>
        <w:t xml:space="preserve">Details of the </w:t>
      </w:r>
      <w:r w:rsidR="00100696">
        <w:rPr>
          <w:sz w:val="24"/>
          <w:szCs w:val="24"/>
          <w:lang w:val="en-AU"/>
        </w:rPr>
        <w:t xml:space="preserve">Amendment </w:t>
      </w:r>
      <w:r w:rsidRPr="006D5921">
        <w:rPr>
          <w:sz w:val="24"/>
          <w:szCs w:val="24"/>
          <w:lang w:val="en-AU"/>
        </w:rPr>
        <w:t xml:space="preserve">Rules are set out in </w:t>
      </w:r>
      <w:r w:rsidRPr="006D5921">
        <w:rPr>
          <w:sz w:val="24"/>
          <w:szCs w:val="24"/>
          <w:u w:val="single"/>
          <w:lang w:val="en-AU"/>
        </w:rPr>
        <w:t xml:space="preserve">Attachment </w:t>
      </w:r>
      <w:r w:rsidR="00C2604C">
        <w:rPr>
          <w:sz w:val="24"/>
          <w:szCs w:val="24"/>
          <w:u w:val="single"/>
          <w:lang w:val="en-AU"/>
        </w:rPr>
        <w:t>B</w:t>
      </w:r>
      <w:r w:rsidRPr="006D5921">
        <w:rPr>
          <w:sz w:val="24"/>
          <w:szCs w:val="24"/>
          <w:lang w:val="en-AU"/>
        </w:rPr>
        <w:t>.</w:t>
      </w:r>
    </w:p>
    <w:p w14:paraId="6E7494E7" w14:textId="1DAB248A" w:rsidR="00F15258" w:rsidRPr="006D5921" w:rsidRDefault="00F15258" w:rsidP="00637366">
      <w:pPr>
        <w:rPr>
          <w:sz w:val="24"/>
          <w:szCs w:val="24"/>
          <w:lang w:val="en-AU"/>
        </w:rPr>
      </w:pPr>
    </w:p>
    <w:p w14:paraId="36A5F23C" w14:textId="10C63F68" w:rsidR="00A0605B" w:rsidRPr="006D5921" w:rsidRDefault="00F15258" w:rsidP="00637366">
      <w:pPr>
        <w:rPr>
          <w:sz w:val="24"/>
          <w:szCs w:val="24"/>
          <w:lang w:val="en-AU"/>
        </w:rPr>
      </w:pPr>
      <w:r w:rsidRPr="00965841">
        <w:rPr>
          <w:sz w:val="24"/>
          <w:szCs w:val="24"/>
          <w:lang w:val="en-AU"/>
        </w:rPr>
        <w:t xml:space="preserve">The Office of Best Practice Regulation (OBPR) has been consulted in relation to the </w:t>
      </w:r>
      <w:r w:rsidR="00100696">
        <w:rPr>
          <w:sz w:val="24"/>
          <w:szCs w:val="24"/>
          <w:lang w:val="en-AU"/>
        </w:rPr>
        <w:t xml:space="preserve">Amendment </w:t>
      </w:r>
      <w:r w:rsidRPr="00965841">
        <w:rPr>
          <w:sz w:val="24"/>
          <w:szCs w:val="24"/>
          <w:lang w:val="en-AU"/>
        </w:rPr>
        <w:t>Rules. No Regulation Impact Statement is required.</w:t>
      </w:r>
      <w:r w:rsidRPr="006D5921">
        <w:rPr>
          <w:sz w:val="24"/>
          <w:szCs w:val="24"/>
          <w:lang w:val="en-AU"/>
        </w:rPr>
        <w:t xml:space="preserve">  </w:t>
      </w:r>
    </w:p>
    <w:p w14:paraId="342F97F6" w14:textId="77777777" w:rsidR="009F3F51" w:rsidRDefault="009F3F51" w:rsidP="00F15258">
      <w:pPr>
        <w:ind w:right="42"/>
        <w:jc w:val="both"/>
        <w:rPr>
          <w:color w:val="000000"/>
          <w:sz w:val="24"/>
          <w:szCs w:val="24"/>
          <w:lang w:val="en-AU" w:eastAsia="en-AU"/>
        </w:rPr>
      </w:pPr>
    </w:p>
    <w:p w14:paraId="2EC3AE7E" w14:textId="667964FC" w:rsidR="00F15258" w:rsidRPr="00F15258" w:rsidRDefault="00F15258" w:rsidP="00F15258">
      <w:pPr>
        <w:ind w:right="42"/>
        <w:jc w:val="both"/>
        <w:rPr>
          <w:color w:val="000000"/>
          <w:sz w:val="24"/>
          <w:szCs w:val="24"/>
          <w:lang w:val="en-AU" w:eastAsia="en-AU"/>
        </w:rPr>
      </w:pPr>
      <w:r w:rsidRPr="00F15258">
        <w:rPr>
          <w:color w:val="000000"/>
          <w:sz w:val="24"/>
          <w:szCs w:val="24"/>
          <w:lang w:val="en-AU" w:eastAsia="en-AU"/>
        </w:rPr>
        <w:t xml:space="preserve">The Act specifies no conditions that need to be satisfied before the power to make </w:t>
      </w:r>
      <w:r w:rsidR="00100696">
        <w:rPr>
          <w:color w:val="000000"/>
          <w:sz w:val="24"/>
          <w:szCs w:val="24"/>
          <w:lang w:val="en-AU" w:eastAsia="en-AU"/>
        </w:rPr>
        <w:t>r</w:t>
      </w:r>
      <w:r w:rsidRPr="006D5921">
        <w:rPr>
          <w:color w:val="000000"/>
          <w:sz w:val="24"/>
          <w:szCs w:val="24"/>
          <w:lang w:val="en-AU" w:eastAsia="en-AU"/>
        </w:rPr>
        <w:t xml:space="preserve">ules </w:t>
      </w:r>
      <w:r w:rsidRPr="00F15258">
        <w:rPr>
          <w:color w:val="000000"/>
          <w:sz w:val="24"/>
          <w:szCs w:val="24"/>
          <w:lang w:val="en-AU" w:eastAsia="en-AU"/>
        </w:rPr>
        <w:t xml:space="preserve">may be exercised.  </w:t>
      </w:r>
    </w:p>
    <w:p w14:paraId="2409EFE4" w14:textId="77777777" w:rsidR="00F15258" w:rsidRPr="00F15258" w:rsidRDefault="00F15258" w:rsidP="00F15258">
      <w:pPr>
        <w:ind w:right="-2"/>
        <w:jc w:val="both"/>
        <w:rPr>
          <w:color w:val="000000"/>
          <w:sz w:val="24"/>
          <w:szCs w:val="24"/>
          <w:lang w:val="en-AU" w:eastAsia="en-AU"/>
        </w:rPr>
      </w:pPr>
      <w:r w:rsidRPr="00F15258">
        <w:rPr>
          <w:color w:val="000000"/>
          <w:sz w:val="24"/>
          <w:szCs w:val="24"/>
          <w:lang w:val="en-AU" w:eastAsia="en-AU"/>
        </w:rPr>
        <w:t> </w:t>
      </w:r>
    </w:p>
    <w:p w14:paraId="2C44C8AF" w14:textId="4A3C6EDB" w:rsidR="00F15258" w:rsidRPr="00F15258" w:rsidRDefault="00F15258" w:rsidP="00F15258">
      <w:pPr>
        <w:ind w:right="-2"/>
        <w:jc w:val="both"/>
        <w:rPr>
          <w:color w:val="000000"/>
          <w:sz w:val="24"/>
          <w:szCs w:val="24"/>
          <w:lang w:val="en-AU" w:eastAsia="en-AU"/>
        </w:rPr>
      </w:pPr>
      <w:r w:rsidRPr="00F15258">
        <w:rPr>
          <w:color w:val="000000"/>
          <w:sz w:val="24"/>
          <w:szCs w:val="24"/>
          <w:lang w:val="en-AU" w:eastAsia="en-AU"/>
        </w:rPr>
        <w:t xml:space="preserve">The </w:t>
      </w:r>
      <w:r w:rsidR="00100696">
        <w:rPr>
          <w:color w:val="000000"/>
          <w:sz w:val="24"/>
          <w:szCs w:val="24"/>
          <w:lang w:val="en-AU" w:eastAsia="en-AU"/>
        </w:rPr>
        <w:t xml:space="preserve">Amendment </w:t>
      </w:r>
      <w:r w:rsidRPr="006D5921">
        <w:rPr>
          <w:color w:val="000000"/>
          <w:sz w:val="24"/>
          <w:szCs w:val="24"/>
          <w:lang w:val="en-AU" w:eastAsia="en-AU"/>
        </w:rPr>
        <w:t xml:space="preserve">Rules </w:t>
      </w:r>
      <w:r w:rsidRPr="00F15258">
        <w:rPr>
          <w:color w:val="000000"/>
          <w:sz w:val="24"/>
          <w:szCs w:val="24"/>
          <w:lang w:val="en-AU" w:eastAsia="en-AU"/>
        </w:rPr>
        <w:t xml:space="preserve">are a legislative instrument for the purposes of the </w:t>
      </w:r>
      <w:r w:rsidRPr="00F15258">
        <w:rPr>
          <w:i/>
          <w:iCs/>
          <w:color w:val="000000"/>
          <w:sz w:val="24"/>
          <w:szCs w:val="24"/>
          <w:lang w:val="en-AU" w:eastAsia="en-AU"/>
        </w:rPr>
        <w:t>Legislation Act 2003.</w:t>
      </w:r>
    </w:p>
    <w:p w14:paraId="65D3A6A8" w14:textId="77777777" w:rsidR="00F15258" w:rsidRPr="00F15258" w:rsidRDefault="00F15258" w:rsidP="00F15258">
      <w:pPr>
        <w:ind w:right="521"/>
        <w:jc w:val="both"/>
        <w:rPr>
          <w:color w:val="000000"/>
          <w:sz w:val="24"/>
          <w:szCs w:val="24"/>
          <w:lang w:val="en-AU" w:eastAsia="en-AU"/>
        </w:rPr>
      </w:pPr>
      <w:r w:rsidRPr="00F15258">
        <w:rPr>
          <w:color w:val="000000"/>
          <w:sz w:val="24"/>
          <w:szCs w:val="24"/>
          <w:lang w:val="en-AU" w:eastAsia="en-AU"/>
        </w:rPr>
        <w:t> </w:t>
      </w:r>
    </w:p>
    <w:p w14:paraId="03AD6702" w14:textId="73F8A2B5" w:rsidR="00F15258" w:rsidRDefault="00F15258" w:rsidP="00F15258">
      <w:pPr>
        <w:ind w:right="521"/>
        <w:jc w:val="both"/>
        <w:rPr>
          <w:color w:val="000000"/>
          <w:sz w:val="24"/>
          <w:szCs w:val="24"/>
          <w:lang w:val="en-AU" w:eastAsia="en-AU"/>
        </w:rPr>
      </w:pPr>
      <w:r w:rsidRPr="00F15258">
        <w:rPr>
          <w:color w:val="000000"/>
          <w:sz w:val="24"/>
          <w:szCs w:val="24"/>
          <w:lang w:val="en-AU" w:eastAsia="en-AU"/>
        </w:rPr>
        <w:t xml:space="preserve">The </w:t>
      </w:r>
      <w:r w:rsidR="00100696">
        <w:rPr>
          <w:color w:val="000000"/>
          <w:sz w:val="24"/>
          <w:szCs w:val="24"/>
          <w:lang w:val="en-AU" w:eastAsia="en-AU"/>
        </w:rPr>
        <w:t xml:space="preserve">Amendment </w:t>
      </w:r>
      <w:r w:rsidRPr="006D5921">
        <w:rPr>
          <w:color w:val="000000"/>
          <w:sz w:val="24"/>
          <w:szCs w:val="24"/>
          <w:lang w:val="en-AU" w:eastAsia="en-AU"/>
        </w:rPr>
        <w:t>Rules</w:t>
      </w:r>
      <w:r w:rsidRPr="00F15258">
        <w:rPr>
          <w:color w:val="000000"/>
          <w:sz w:val="24"/>
          <w:szCs w:val="24"/>
          <w:lang w:val="en-AU" w:eastAsia="en-AU"/>
        </w:rPr>
        <w:t xml:space="preserve"> commence </w:t>
      </w:r>
      <w:r w:rsidR="00D04CAA">
        <w:rPr>
          <w:color w:val="000000"/>
          <w:sz w:val="24"/>
          <w:szCs w:val="24"/>
          <w:lang w:val="en-AU" w:eastAsia="en-AU"/>
        </w:rPr>
        <w:t xml:space="preserve">on the day after </w:t>
      </w:r>
      <w:r w:rsidR="005D3245">
        <w:rPr>
          <w:color w:val="000000"/>
          <w:sz w:val="24"/>
          <w:szCs w:val="24"/>
          <w:lang w:val="en-AU" w:eastAsia="en-AU"/>
        </w:rPr>
        <w:t>the instrument</w:t>
      </w:r>
      <w:r w:rsidR="00D04CAA">
        <w:rPr>
          <w:color w:val="000000"/>
          <w:sz w:val="24"/>
          <w:szCs w:val="24"/>
          <w:lang w:val="en-AU" w:eastAsia="en-AU"/>
        </w:rPr>
        <w:t xml:space="preserve"> is</w:t>
      </w:r>
      <w:r w:rsidRPr="006D5921">
        <w:rPr>
          <w:color w:val="000000"/>
          <w:sz w:val="24"/>
          <w:szCs w:val="24"/>
          <w:lang w:val="en-AU" w:eastAsia="en-AU"/>
        </w:rPr>
        <w:t xml:space="preserve"> registered.</w:t>
      </w:r>
    </w:p>
    <w:p w14:paraId="10871544" w14:textId="29479DC2" w:rsidR="000968EA" w:rsidRDefault="000968EA" w:rsidP="00F15258">
      <w:pPr>
        <w:ind w:right="521"/>
        <w:jc w:val="both"/>
        <w:rPr>
          <w:color w:val="000000"/>
          <w:sz w:val="24"/>
          <w:szCs w:val="24"/>
          <w:lang w:val="en-AU" w:eastAsia="en-AU"/>
        </w:rPr>
      </w:pPr>
    </w:p>
    <w:p w14:paraId="27132F40" w14:textId="79E98746" w:rsidR="00D04CAA" w:rsidRDefault="006B3942" w:rsidP="00F15258">
      <w:pPr>
        <w:ind w:right="521"/>
        <w:jc w:val="both"/>
        <w:rPr>
          <w:color w:val="000000"/>
          <w:sz w:val="24"/>
          <w:szCs w:val="24"/>
          <w:lang w:val="en-AU" w:eastAsia="en-AU"/>
        </w:rPr>
      </w:pPr>
      <w:r>
        <w:rPr>
          <w:color w:val="000000"/>
          <w:sz w:val="24"/>
          <w:szCs w:val="24"/>
          <w:lang w:val="en-AU" w:eastAsia="en-AU"/>
        </w:rPr>
        <w:lastRenderedPageBreak/>
        <w:t>There is regular and consistent c</w:t>
      </w:r>
      <w:r w:rsidR="000968EA">
        <w:rPr>
          <w:color w:val="000000"/>
          <w:sz w:val="24"/>
          <w:szCs w:val="24"/>
          <w:lang w:val="en-AU" w:eastAsia="en-AU"/>
        </w:rPr>
        <w:t xml:space="preserve">onsultation with affected stakeholders </w:t>
      </w:r>
      <w:r w:rsidR="00D04CAA">
        <w:rPr>
          <w:color w:val="000000"/>
          <w:sz w:val="24"/>
          <w:szCs w:val="24"/>
          <w:lang w:val="en-AU" w:eastAsia="en-AU"/>
        </w:rPr>
        <w:t xml:space="preserve">(State and Territory governments, local </w:t>
      </w:r>
      <w:proofErr w:type="gramStart"/>
      <w:r w:rsidR="00D04CAA">
        <w:rPr>
          <w:color w:val="000000"/>
          <w:sz w:val="24"/>
          <w:szCs w:val="24"/>
          <w:lang w:val="en-AU" w:eastAsia="en-AU"/>
        </w:rPr>
        <w:t>governments</w:t>
      </w:r>
      <w:proofErr w:type="gramEnd"/>
      <w:r w:rsidR="00D04CAA">
        <w:rPr>
          <w:color w:val="000000"/>
          <w:sz w:val="24"/>
          <w:szCs w:val="24"/>
          <w:lang w:val="en-AU" w:eastAsia="en-AU"/>
        </w:rPr>
        <w:t xml:space="preserve"> and public universities) </w:t>
      </w:r>
      <w:r w:rsidR="00DF6C05">
        <w:rPr>
          <w:color w:val="000000"/>
          <w:sz w:val="24"/>
          <w:szCs w:val="24"/>
          <w:lang w:val="en-AU" w:eastAsia="en-AU"/>
        </w:rPr>
        <w:t xml:space="preserve">on implementation of the Act, including on the operation of the </w:t>
      </w:r>
      <w:r>
        <w:rPr>
          <w:i/>
          <w:iCs/>
          <w:sz w:val="24"/>
          <w:szCs w:val="24"/>
          <w:lang w:val="en-AU"/>
        </w:rPr>
        <w:t>Rules.</w:t>
      </w:r>
    </w:p>
    <w:p w14:paraId="2C7BBDAA" w14:textId="77777777" w:rsidR="00D04CAA" w:rsidRDefault="00D04CAA" w:rsidP="00F15258">
      <w:pPr>
        <w:ind w:right="521"/>
        <w:jc w:val="both"/>
        <w:rPr>
          <w:color w:val="000000"/>
          <w:sz w:val="24"/>
          <w:szCs w:val="24"/>
          <w:lang w:val="en-AU" w:eastAsia="en-AU"/>
        </w:rPr>
      </w:pPr>
    </w:p>
    <w:p w14:paraId="0A9DFD8F" w14:textId="5033285F" w:rsidR="00F15258" w:rsidRPr="006D5921" w:rsidRDefault="00F15258">
      <w:pPr>
        <w:spacing w:after="160" w:line="259" w:lineRule="auto"/>
        <w:rPr>
          <w:color w:val="000000"/>
          <w:sz w:val="24"/>
          <w:szCs w:val="24"/>
          <w:lang w:val="en-AU" w:eastAsia="en-AU"/>
        </w:rPr>
      </w:pPr>
      <w:r w:rsidRPr="006D5921">
        <w:rPr>
          <w:color w:val="000000"/>
          <w:sz w:val="24"/>
          <w:szCs w:val="24"/>
          <w:lang w:val="en-AU" w:eastAsia="en-AU"/>
        </w:rPr>
        <w:br w:type="page"/>
      </w:r>
    </w:p>
    <w:p w14:paraId="3D8FE6C7" w14:textId="1F43C88D" w:rsidR="00D8412F" w:rsidRPr="006D5921" w:rsidRDefault="00D8412F" w:rsidP="00D8412F">
      <w:pPr>
        <w:ind w:right="521"/>
        <w:jc w:val="both"/>
        <w:rPr>
          <w:b/>
          <w:color w:val="000000"/>
          <w:sz w:val="24"/>
          <w:szCs w:val="24"/>
          <w:u w:val="single"/>
          <w:lang w:val="en-AU" w:eastAsia="en-AU"/>
        </w:rPr>
      </w:pPr>
      <w:r w:rsidRPr="006D5921">
        <w:rPr>
          <w:b/>
          <w:color w:val="000000"/>
          <w:sz w:val="24"/>
          <w:szCs w:val="24"/>
          <w:u w:val="single"/>
          <w:lang w:val="en-AU" w:eastAsia="en-AU"/>
        </w:rPr>
        <w:lastRenderedPageBreak/>
        <w:t xml:space="preserve">ATTACHMENT </w:t>
      </w:r>
      <w:r w:rsidR="00F50EBA">
        <w:rPr>
          <w:b/>
          <w:color w:val="000000"/>
          <w:sz w:val="24"/>
          <w:szCs w:val="24"/>
          <w:u w:val="single"/>
          <w:lang w:val="en-AU" w:eastAsia="en-AU"/>
        </w:rPr>
        <w:t>A</w:t>
      </w:r>
    </w:p>
    <w:p w14:paraId="072E513D" w14:textId="006C8D1D" w:rsidR="00D8412F" w:rsidRPr="006D5921" w:rsidRDefault="00D8412F" w:rsidP="00D8412F">
      <w:pPr>
        <w:ind w:right="521"/>
        <w:jc w:val="both"/>
        <w:rPr>
          <w:b/>
          <w:color w:val="000000"/>
          <w:sz w:val="24"/>
          <w:szCs w:val="24"/>
          <w:u w:val="single"/>
          <w:lang w:val="en-AU" w:eastAsia="en-AU"/>
        </w:rPr>
      </w:pPr>
    </w:p>
    <w:p w14:paraId="5F6E332D" w14:textId="3DB5671F" w:rsidR="00D8412F" w:rsidRPr="006D5921" w:rsidRDefault="00D8412F" w:rsidP="00D8412F">
      <w:pPr>
        <w:ind w:right="521"/>
        <w:jc w:val="center"/>
        <w:rPr>
          <w:b/>
          <w:color w:val="000000"/>
          <w:sz w:val="24"/>
          <w:szCs w:val="24"/>
          <w:lang w:val="en-AU" w:eastAsia="en-AU"/>
        </w:rPr>
      </w:pPr>
      <w:r w:rsidRPr="006D5921">
        <w:rPr>
          <w:b/>
          <w:color w:val="000000"/>
          <w:sz w:val="24"/>
          <w:szCs w:val="24"/>
          <w:lang w:val="en-AU" w:eastAsia="en-AU"/>
        </w:rPr>
        <w:t>Statement of Compatibility with Human Rights</w:t>
      </w:r>
    </w:p>
    <w:p w14:paraId="7341D44B" w14:textId="053E93D9" w:rsidR="00D8412F" w:rsidRPr="006D5921" w:rsidRDefault="00D8412F" w:rsidP="00D8412F">
      <w:pPr>
        <w:ind w:right="521"/>
        <w:jc w:val="center"/>
        <w:rPr>
          <w:b/>
          <w:color w:val="000000"/>
          <w:sz w:val="24"/>
          <w:szCs w:val="24"/>
          <w:lang w:val="en-AU" w:eastAsia="en-AU"/>
        </w:rPr>
      </w:pPr>
    </w:p>
    <w:p w14:paraId="4CBA9AF6" w14:textId="3000583E" w:rsidR="00D8412F" w:rsidRPr="006D5921" w:rsidRDefault="00D8412F" w:rsidP="00D8412F">
      <w:pPr>
        <w:ind w:right="521"/>
        <w:jc w:val="center"/>
        <w:rPr>
          <w:i/>
          <w:color w:val="000000"/>
          <w:sz w:val="24"/>
          <w:szCs w:val="24"/>
          <w:lang w:val="en-AU" w:eastAsia="en-AU"/>
        </w:rPr>
      </w:pPr>
      <w:r w:rsidRPr="00F50EBA">
        <w:rPr>
          <w:iCs/>
          <w:color w:val="000000"/>
          <w:sz w:val="24"/>
          <w:szCs w:val="24"/>
          <w:lang w:val="en-AU" w:eastAsia="en-AU"/>
        </w:rPr>
        <w:t>Prepared in accordance with Part 3 of the</w:t>
      </w:r>
      <w:r w:rsidRPr="006D5921">
        <w:rPr>
          <w:i/>
          <w:color w:val="000000"/>
          <w:sz w:val="24"/>
          <w:szCs w:val="24"/>
          <w:lang w:val="en-AU" w:eastAsia="en-AU"/>
        </w:rPr>
        <w:t xml:space="preserve"> Human Rights (Parliamentary Scrutiny)</w:t>
      </w:r>
      <w:r w:rsidR="00F50EBA">
        <w:rPr>
          <w:i/>
          <w:color w:val="000000"/>
          <w:sz w:val="24"/>
          <w:szCs w:val="24"/>
          <w:lang w:val="en-AU" w:eastAsia="en-AU"/>
        </w:rPr>
        <w:t> </w:t>
      </w:r>
      <w:r w:rsidRPr="006D5921">
        <w:rPr>
          <w:i/>
          <w:color w:val="000000"/>
          <w:sz w:val="24"/>
          <w:szCs w:val="24"/>
          <w:lang w:val="en-AU" w:eastAsia="en-AU"/>
        </w:rPr>
        <w:t>Act</w:t>
      </w:r>
      <w:r w:rsidR="00F50EBA">
        <w:rPr>
          <w:i/>
          <w:color w:val="000000"/>
          <w:sz w:val="24"/>
          <w:szCs w:val="24"/>
          <w:lang w:val="en-AU" w:eastAsia="en-AU"/>
        </w:rPr>
        <w:t> </w:t>
      </w:r>
      <w:r w:rsidRPr="006D5921">
        <w:rPr>
          <w:i/>
          <w:color w:val="000000"/>
          <w:sz w:val="24"/>
          <w:szCs w:val="24"/>
          <w:lang w:val="en-AU" w:eastAsia="en-AU"/>
        </w:rPr>
        <w:t>2011</w:t>
      </w:r>
    </w:p>
    <w:p w14:paraId="0E68A3FB" w14:textId="7C24020D" w:rsidR="00D8412F" w:rsidRPr="006D5921" w:rsidRDefault="00D8412F" w:rsidP="00D8412F">
      <w:pPr>
        <w:ind w:right="521"/>
        <w:jc w:val="center"/>
        <w:rPr>
          <w:i/>
          <w:color w:val="000000"/>
          <w:sz w:val="24"/>
          <w:szCs w:val="24"/>
          <w:lang w:val="en-AU" w:eastAsia="en-AU"/>
        </w:rPr>
      </w:pPr>
    </w:p>
    <w:p w14:paraId="0C6FAB0E" w14:textId="1E4C496E" w:rsidR="00D8412F" w:rsidRPr="006D5921" w:rsidRDefault="00D8412F" w:rsidP="00D8412F">
      <w:pPr>
        <w:ind w:right="521"/>
        <w:jc w:val="center"/>
        <w:rPr>
          <w:b/>
          <w:color w:val="000000"/>
          <w:sz w:val="24"/>
          <w:szCs w:val="24"/>
          <w:lang w:val="en-AU" w:eastAsia="en-AU"/>
        </w:rPr>
      </w:pPr>
      <w:r w:rsidRPr="006D5921">
        <w:rPr>
          <w:b/>
          <w:color w:val="000000"/>
          <w:sz w:val="24"/>
          <w:szCs w:val="24"/>
          <w:lang w:val="en-AU" w:eastAsia="en-AU"/>
        </w:rPr>
        <w:t xml:space="preserve">Australia’s Foreign Relations (State and Territory Arrangements) </w:t>
      </w:r>
      <w:r w:rsidR="00EB20C6">
        <w:rPr>
          <w:b/>
          <w:color w:val="000000"/>
          <w:sz w:val="24"/>
          <w:szCs w:val="24"/>
          <w:lang w:val="en-AU" w:eastAsia="en-AU"/>
        </w:rPr>
        <w:t>Amendment (</w:t>
      </w:r>
      <w:r w:rsidR="00B40E29">
        <w:rPr>
          <w:b/>
          <w:color w:val="000000"/>
          <w:sz w:val="24"/>
          <w:szCs w:val="24"/>
          <w:lang w:val="en-AU" w:eastAsia="en-AU"/>
        </w:rPr>
        <w:t>Repeal</w:t>
      </w:r>
      <w:r w:rsidR="00EB20C6">
        <w:rPr>
          <w:b/>
          <w:color w:val="000000"/>
          <w:sz w:val="24"/>
          <w:szCs w:val="24"/>
          <w:lang w:val="en-AU" w:eastAsia="en-AU"/>
        </w:rPr>
        <w:t>)</w:t>
      </w:r>
      <w:r w:rsidRPr="006D5921">
        <w:rPr>
          <w:b/>
          <w:color w:val="000000"/>
          <w:sz w:val="24"/>
          <w:szCs w:val="24"/>
          <w:lang w:val="en-AU" w:eastAsia="en-AU"/>
        </w:rPr>
        <w:t xml:space="preserve"> </w:t>
      </w:r>
      <w:r w:rsidR="00686B08">
        <w:rPr>
          <w:b/>
          <w:color w:val="000000"/>
          <w:sz w:val="24"/>
          <w:szCs w:val="24"/>
          <w:lang w:val="en-AU" w:eastAsia="en-AU"/>
        </w:rPr>
        <w:t xml:space="preserve">Rules </w:t>
      </w:r>
      <w:r w:rsidRPr="006D5921">
        <w:rPr>
          <w:b/>
          <w:color w:val="000000"/>
          <w:sz w:val="24"/>
          <w:szCs w:val="24"/>
          <w:lang w:val="en-AU" w:eastAsia="en-AU"/>
        </w:rPr>
        <w:t>202</w:t>
      </w:r>
      <w:r w:rsidR="00EB20C6">
        <w:rPr>
          <w:b/>
          <w:color w:val="000000"/>
          <w:sz w:val="24"/>
          <w:szCs w:val="24"/>
          <w:lang w:val="en-AU" w:eastAsia="en-AU"/>
        </w:rPr>
        <w:t>1</w:t>
      </w:r>
    </w:p>
    <w:p w14:paraId="76138064" w14:textId="425385A6" w:rsidR="00D8412F" w:rsidRPr="006D5921" w:rsidRDefault="00D8412F" w:rsidP="00D8412F">
      <w:pPr>
        <w:ind w:right="521"/>
        <w:jc w:val="center"/>
        <w:rPr>
          <w:b/>
          <w:i/>
          <w:color w:val="000000"/>
          <w:sz w:val="24"/>
          <w:szCs w:val="24"/>
          <w:lang w:val="en-AU" w:eastAsia="en-AU"/>
        </w:rPr>
      </w:pPr>
    </w:p>
    <w:p w14:paraId="193B1603" w14:textId="387CB1EC" w:rsidR="00D8412F" w:rsidRPr="006D5921" w:rsidRDefault="00D8412F" w:rsidP="00D8412F">
      <w:pPr>
        <w:rPr>
          <w:sz w:val="24"/>
          <w:szCs w:val="24"/>
          <w:lang w:val="en-AU"/>
        </w:rPr>
      </w:pPr>
      <w:r w:rsidRPr="006D5921">
        <w:rPr>
          <w:sz w:val="24"/>
          <w:szCs w:val="24"/>
          <w:lang w:val="en-AU"/>
        </w:rPr>
        <w:t xml:space="preserve">This disallowable </w:t>
      </w:r>
      <w:r w:rsidR="00ED1E04">
        <w:rPr>
          <w:sz w:val="24"/>
          <w:szCs w:val="24"/>
          <w:lang w:val="en-AU"/>
        </w:rPr>
        <w:t>legislative instrument,</w:t>
      </w:r>
      <w:r w:rsidRPr="006D5921">
        <w:rPr>
          <w:sz w:val="24"/>
          <w:szCs w:val="24"/>
          <w:lang w:val="en-AU"/>
        </w:rPr>
        <w:t xml:space="preserve"> the </w:t>
      </w:r>
      <w:r w:rsidRPr="006D5921">
        <w:rPr>
          <w:i/>
          <w:sz w:val="24"/>
          <w:szCs w:val="24"/>
          <w:lang w:val="en-AU"/>
        </w:rPr>
        <w:t>Australia’s Foreign Relations (State and Territory Arrangements)</w:t>
      </w:r>
      <w:r w:rsidR="00EB20C6">
        <w:rPr>
          <w:i/>
          <w:sz w:val="24"/>
          <w:szCs w:val="24"/>
          <w:lang w:val="en-AU"/>
        </w:rPr>
        <w:t xml:space="preserve"> Amendment (</w:t>
      </w:r>
      <w:r w:rsidR="00B40E29">
        <w:rPr>
          <w:i/>
          <w:sz w:val="24"/>
          <w:szCs w:val="24"/>
          <w:lang w:val="en-AU"/>
        </w:rPr>
        <w:t>Repeal</w:t>
      </w:r>
      <w:r w:rsidR="00EB20C6">
        <w:rPr>
          <w:i/>
          <w:sz w:val="24"/>
          <w:szCs w:val="24"/>
          <w:lang w:val="en-AU"/>
        </w:rPr>
        <w:t>)</w:t>
      </w:r>
      <w:r w:rsidRPr="006D5921">
        <w:rPr>
          <w:i/>
          <w:sz w:val="24"/>
          <w:szCs w:val="24"/>
          <w:lang w:val="en-AU"/>
        </w:rPr>
        <w:t xml:space="preserve"> </w:t>
      </w:r>
      <w:r w:rsidR="00C2604C">
        <w:rPr>
          <w:i/>
          <w:sz w:val="24"/>
          <w:szCs w:val="24"/>
          <w:lang w:val="en-AU"/>
        </w:rPr>
        <w:t>Rules </w:t>
      </w:r>
      <w:r w:rsidRPr="006D5921">
        <w:rPr>
          <w:i/>
          <w:sz w:val="24"/>
          <w:szCs w:val="24"/>
          <w:lang w:val="en-AU"/>
        </w:rPr>
        <w:t>202</w:t>
      </w:r>
      <w:r w:rsidR="00EB20C6">
        <w:rPr>
          <w:i/>
          <w:sz w:val="24"/>
          <w:szCs w:val="24"/>
          <w:lang w:val="en-AU"/>
        </w:rPr>
        <w:t>1</w:t>
      </w:r>
      <w:r w:rsidRPr="006D5921">
        <w:rPr>
          <w:i/>
          <w:sz w:val="24"/>
          <w:szCs w:val="24"/>
          <w:lang w:val="en-AU"/>
        </w:rPr>
        <w:t xml:space="preserve"> </w:t>
      </w:r>
      <w:r w:rsidRPr="006D5921">
        <w:rPr>
          <w:sz w:val="24"/>
          <w:szCs w:val="24"/>
          <w:lang w:val="en-AU"/>
        </w:rPr>
        <w:t xml:space="preserve">(the Legislative Instrument), is compatible with the human rights and freedoms recognised or declared in the international instruments listed in section 3 of the </w:t>
      </w:r>
      <w:r w:rsidRPr="006D5921">
        <w:rPr>
          <w:i/>
          <w:sz w:val="24"/>
          <w:szCs w:val="24"/>
          <w:lang w:val="en-AU"/>
        </w:rPr>
        <w:t>Human Rights (Parliamentary Scrutiny) Act 2011</w:t>
      </w:r>
      <w:r w:rsidRPr="006D5921">
        <w:rPr>
          <w:sz w:val="24"/>
          <w:szCs w:val="24"/>
          <w:lang w:val="en-AU"/>
        </w:rPr>
        <w:t>.</w:t>
      </w:r>
    </w:p>
    <w:p w14:paraId="11B14E94" w14:textId="77777777" w:rsidR="00BA34E0" w:rsidRPr="006D5921" w:rsidRDefault="00BA34E0" w:rsidP="00BA34E0">
      <w:pPr>
        <w:pStyle w:val="ListParagraph"/>
        <w:ind w:right="521"/>
        <w:jc w:val="both"/>
        <w:rPr>
          <w:color w:val="000000"/>
          <w:sz w:val="24"/>
          <w:szCs w:val="24"/>
          <w:lang w:val="en-AU" w:eastAsia="en-AU"/>
        </w:rPr>
      </w:pPr>
    </w:p>
    <w:p w14:paraId="4BA8F64A" w14:textId="464A1097" w:rsidR="00D8412F" w:rsidRDefault="00D8412F" w:rsidP="00637366">
      <w:pPr>
        <w:rPr>
          <w:b/>
          <w:sz w:val="24"/>
          <w:szCs w:val="24"/>
          <w:lang w:val="en-AU"/>
        </w:rPr>
      </w:pPr>
      <w:r w:rsidRPr="006D5921">
        <w:rPr>
          <w:b/>
          <w:sz w:val="24"/>
          <w:szCs w:val="24"/>
          <w:lang w:val="en-AU"/>
        </w:rPr>
        <w:t>Overvi</w:t>
      </w:r>
      <w:r w:rsidR="00754026">
        <w:rPr>
          <w:b/>
          <w:sz w:val="24"/>
          <w:szCs w:val="24"/>
          <w:lang w:val="en-AU"/>
        </w:rPr>
        <w:t>ew of the Legislative Instrument</w:t>
      </w:r>
    </w:p>
    <w:p w14:paraId="226B520A" w14:textId="788F5253" w:rsidR="00754026" w:rsidRDefault="00754026" w:rsidP="00637366">
      <w:pPr>
        <w:rPr>
          <w:b/>
          <w:sz w:val="24"/>
          <w:szCs w:val="24"/>
          <w:lang w:val="en-AU"/>
        </w:rPr>
      </w:pPr>
    </w:p>
    <w:p w14:paraId="35A101DB" w14:textId="604C0A22" w:rsidR="00EB20C6" w:rsidRDefault="00CC6986" w:rsidP="00637366">
      <w:pPr>
        <w:rPr>
          <w:sz w:val="24"/>
          <w:szCs w:val="24"/>
          <w:lang w:val="en-AU"/>
        </w:rPr>
      </w:pPr>
      <w:r>
        <w:rPr>
          <w:sz w:val="24"/>
          <w:szCs w:val="24"/>
          <w:lang w:val="en-AU"/>
        </w:rPr>
        <w:t xml:space="preserve">Part 1 of the </w:t>
      </w:r>
      <w:r w:rsidR="00ED1E04">
        <w:rPr>
          <w:sz w:val="24"/>
          <w:szCs w:val="24"/>
          <w:lang w:val="en-AU"/>
        </w:rPr>
        <w:t>Legislative Instrument</w:t>
      </w:r>
      <w:r>
        <w:rPr>
          <w:sz w:val="24"/>
          <w:szCs w:val="24"/>
          <w:lang w:val="en-AU"/>
        </w:rPr>
        <w:t xml:space="preserve"> deals with preliminary matters.</w:t>
      </w:r>
      <w:r w:rsidR="004C575B">
        <w:rPr>
          <w:sz w:val="24"/>
          <w:szCs w:val="24"/>
          <w:lang w:val="en-AU"/>
        </w:rPr>
        <w:t xml:space="preserve"> </w:t>
      </w:r>
      <w:r>
        <w:rPr>
          <w:sz w:val="24"/>
          <w:szCs w:val="24"/>
          <w:lang w:val="en-AU"/>
        </w:rPr>
        <w:t xml:space="preserve"> </w:t>
      </w:r>
      <w:r w:rsidR="002A57ED">
        <w:rPr>
          <w:sz w:val="24"/>
          <w:szCs w:val="24"/>
          <w:lang w:val="en-AU"/>
        </w:rPr>
        <w:t xml:space="preserve">Section 1 titles the Legislative Instrument the </w:t>
      </w:r>
      <w:r w:rsidR="002A57ED">
        <w:rPr>
          <w:i/>
          <w:sz w:val="24"/>
          <w:szCs w:val="24"/>
          <w:lang w:val="en-AU"/>
        </w:rPr>
        <w:t xml:space="preserve">Australia’s Foreign Relations (State and Territory Arrangements) </w:t>
      </w:r>
      <w:r w:rsidR="001203CA">
        <w:rPr>
          <w:i/>
          <w:sz w:val="24"/>
          <w:szCs w:val="24"/>
          <w:lang w:val="en-AU"/>
        </w:rPr>
        <w:t>Amendment (</w:t>
      </w:r>
      <w:r w:rsidR="00B40E29">
        <w:rPr>
          <w:i/>
          <w:sz w:val="24"/>
          <w:szCs w:val="24"/>
          <w:lang w:val="en-AU"/>
        </w:rPr>
        <w:t>Repeal</w:t>
      </w:r>
      <w:r w:rsidR="001203CA">
        <w:rPr>
          <w:i/>
          <w:sz w:val="24"/>
          <w:szCs w:val="24"/>
          <w:lang w:val="en-AU"/>
        </w:rPr>
        <w:t xml:space="preserve">) </w:t>
      </w:r>
      <w:r w:rsidR="002A57ED" w:rsidRPr="005F6759">
        <w:rPr>
          <w:i/>
          <w:sz w:val="24"/>
          <w:szCs w:val="24"/>
          <w:lang w:val="en-AU"/>
        </w:rPr>
        <w:t>Rules 202</w:t>
      </w:r>
      <w:r w:rsidR="00580285" w:rsidRPr="005F6759">
        <w:rPr>
          <w:i/>
          <w:sz w:val="24"/>
          <w:szCs w:val="24"/>
          <w:lang w:val="en-AU"/>
        </w:rPr>
        <w:t>1</w:t>
      </w:r>
      <w:r w:rsidR="002A57ED" w:rsidRPr="005F6759">
        <w:rPr>
          <w:i/>
          <w:sz w:val="24"/>
          <w:szCs w:val="24"/>
          <w:lang w:val="en-AU"/>
        </w:rPr>
        <w:t xml:space="preserve">.  </w:t>
      </w:r>
      <w:r w:rsidR="004C575B" w:rsidRPr="005F6759">
        <w:rPr>
          <w:sz w:val="24"/>
          <w:szCs w:val="24"/>
          <w:lang w:val="en-AU"/>
        </w:rPr>
        <w:t>Section 2 provides that the</w:t>
      </w:r>
      <w:r w:rsidRPr="005F6759">
        <w:rPr>
          <w:sz w:val="24"/>
          <w:szCs w:val="24"/>
          <w:lang w:val="en-AU"/>
        </w:rPr>
        <w:t xml:space="preserve"> </w:t>
      </w:r>
      <w:r w:rsidR="004C575B" w:rsidRPr="005F6759">
        <w:rPr>
          <w:sz w:val="24"/>
          <w:szCs w:val="24"/>
          <w:lang w:val="en-AU"/>
        </w:rPr>
        <w:t xml:space="preserve">Legislative Instrument </w:t>
      </w:r>
      <w:r w:rsidRPr="005F6759">
        <w:rPr>
          <w:sz w:val="24"/>
          <w:szCs w:val="24"/>
          <w:lang w:val="en-AU"/>
        </w:rPr>
        <w:t xml:space="preserve">will commence </w:t>
      </w:r>
      <w:r w:rsidR="006B3942">
        <w:rPr>
          <w:sz w:val="24"/>
          <w:szCs w:val="24"/>
          <w:lang w:val="en-AU"/>
        </w:rPr>
        <w:t xml:space="preserve">the day after the instrument </w:t>
      </w:r>
      <w:r w:rsidRPr="005F6759">
        <w:rPr>
          <w:sz w:val="24"/>
          <w:szCs w:val="24"/>
          <w:lang w:val="en-AU"/>
        </w:rPr>
        <w:t>is registered.</w:t>
      </w:r>
      <w:r w:rsidR="004C575B" w:rsidRPr="005F6759">
        <w:rPr>
          <w:sz w:val="24"/>
          <w:szCs w:val="24"/>
          <w:lang w:val="en-AU"/>
        </w:rPr>
        <w:t xml:space="preserve">  Section 3 provides that the Legislative Instrument is made under the </w:t>
      </w:r>
      <w:r w:rsidR="004C575B" w:rsidRPr="005F6759">
        <w:rPr>
          <w:i/>
          <w:sz w:val="24"/>
          <w:szCs w:val="24"/>
          <w:lang w:val="en-AU"/>
        </w:rPr>
        <w:t xml:space="preserve">Australia’s Foreign Relations (State and Territory Arrangements) Act 2020 </w:t>
      </w:r>
      <w:r w:rsidR="004C575B" w:rsidRPr="005F6759">
        <w:rPr>
          <w:sz w:val="24"/>
          <w:szCs w:val="24"/>
          <w:lang w:val="en-AU"/>
        </w:rPr>
        <w:t xml:space="preserve">(the Act).  </w:t>
      </w:r>
      <w:r w:rsidR="00EB20C6" w:rsidRPr="005F6759">
        <w:rPr>
          <w:sz w:val="24"/>
          <w:szCs w:val="24"/>
          <w:lang w:val="en-AU"/>
        </w:rPr>
        <w:t>Section 4 provides that each instrument in a Schedule to this instrument is amended or repealed as set out in the applicable items in the Schedule concerned.</w:t>
      </w:r>
      <w:r w:rsidR="00EB20C6">
        <w:rPr>
          <w:sz w:val="24"/>
          <w:szCs w:val="24"/>
          <w:lang w:val="en-AU"/>
        </w:rPr>
        <w:t xml:space="preserve"> </w:t>
      </w:r>
    </w:p>
    <w:p w14:paraId="573536CA" w14:textId="14A22557" w:rsidR="00EB20C6" w:rsidRPr="00B40E29" w:rsidRDefault="00EB20C6" w:rsidP="00EB20C6">
      <w:pPr>
        <w:spacing w:before="240"/>
        <w:rPr>
          <w:sz w:val="24"/>
          <w:szCs w:val="24"/>
          <w:lang w:val="en-AU"/>
        </w:rPr>
      </w:pPr>
      <w:r>
        <w:rPr>
          <w:sz w:val="24"/>
          <w:szCs w:val="24"/>
          <w:lang w:val="en-AU"/>
        </w:rPr>
        <w:t xml:space="preserve">Schedule 1 amends the </w:t>
      </w:r>
      <w:r>
        <w:rPr>
          <w:i/>
          <w:iCs/>
          <w:sz w:val="24"/>
          <w:szCs w:val="24"/>
          <w:lang w:val="en-AU"/>
        </w:rPr>
        <w:t>Australia’s Foreign Relations (State and Territory Arrangements)</w:t>
      </w:r>
      <w:r w:rsidR="00B738C4">
        <w:rPr>
          <w:i/>
          <w:iCs/>
          <w:sz w:val="24"/>
          <w:szCs w:val="24"/>
          <w:lang w:val="en-AU"/>
        </w:rPr>
        <w:t> </w:t>
      </w:r>
      <w:r>
        <w:rPr>
          <w:i/>
          <w:iCs/>
          <w:sz w:val="24"/>
          <w:szCs w:val="24"/>
          <w:lang w:val="en-AU"/>
        </w:rPr>
        <w:t>Rules</w:t>
      </w:r>
      <w:r w:rsidR="00B738C4">
        <w:rPr>
          <w:i/>
          <w:iCs/>
          <w:sz w:val="24"/>
          <w:szCs w:val="24"/>
          <w:lang w:val="en-AU"/>
        </w:rPr>
        <w:t> </w:t>
      </w:r>
      <w:r>
        <w:rPr>
          <w:i/>
          <w:iCs/>
          <w:sz w:val="24"/>
          <w:szCs w:val="24"/>
          <w:lang w:val="en-AU"/>
        </w:rPr>
        <w:t>2020</w:t>
      </w:r>
      <w:r>
        <w:rPr>
          <w:sz w:val="24"/>
          <w:szCs w:val="24"/>
          <w:lang w:val="en-AU"/>
        </w:rPr>
        <w:t xml:space="preserve">. </w:t>
      </w:r>
      <w:r w:rsidR="00B738C4">
        <w:rPr>
          <w:sz w:val="24"/>
          <w:szCs w:val="24"/>
          <w:lang w:val="en-AU"/>
        </w:rPr>
        <w:t>Clause </w:t>
      </w:r>
      <w:r>
        <w:rPr>
          <w:sz w:val="24"/>
          <w:szCs w:val="24"/>
          <w:lang w:val="en-AU"/>
        </w:rPr>
        <w:t xml:space="preserve">1 inserts a </w:t>
      </w:r>
      <w:r w:rsidR="00B40E29">
        <w:rPr>
          <w:sz w:val="24"/>
          <w:szCs w:val="24"/>
          <w:lang w:val="en-AU"/>
        </w:rPr>
        <w:t xml:space="preserve">self-repeal provision for the </w:t>
      </w:r>
      <w:r w:rsidR="00B40E29">
        <w:rPr>
          <w:i/>
          <w:iCs/>
          <w:sz w:val="24"/>
          <w:szCs w:val="24"/>
          <w:lang w:val="en-AU"/>
        </w:rPr>
        <w:t xml:space="preserve">Australia’s Foreign Relations (State and Territory Arrangements) Rules 2020 </w:t>
      </w:r>
      <w:r w:rsidR="00B40E29">
        <w:rPr>
          <w:sz w:val="24"/>
          <w:szCs w:val="24"/>
          <w:lang w:val="en-AU"/>
        </w:rPr>
        <w:t>after five years</w:t>
      </w:r>
      <w:r w:rsidR="00B40E29">
        <w:rPr>
          <w:i/>
          <w:iCs/>
          <w:sz w:val="24"/>
          <w:szCs w:val="24"/>
          <w:lang w:val="en-AU"/>
        </w:rPr>
        <w:t>.</w:t>
      </w:r>
    </w:p>
    <w:p w14:paraId="44FEC467" w14:textId="77777777" w:rsidR="00821865" w:rsidRDefault="00821865" w:rsidP="00637366">
      <w:pPr>
        <w:rPr>
          <w:sz w:val="24"/>
          <w:szCs w:val="24"/>
          <w:lang w:val="en-AU"/>
        </w:rPr>
      </w:pPr>
    </w:p>
    <w:p w14:paraId="27EB5AAF" w14:textId="77777777" w:rsidR="00B738C4" w:rsidRPr="006D5921" w:rsidRDefault="00B738C4" w:rsidP="00637366">
      <w:pPr>
        <w:rPr>
          <w:sz w:val="24"/>
          <w:szCs w:val="24"/>
          <w:lang w:val="en-AU"/>
        </w:rPr>
      </w:pPr>
    </w:p>
    <w:p w14:paraId="35FA4823" w14:textId="3454D919" w:rsidR="00D8412F" w:rsidRPr="006D5921" w:rsidRDefault="00D8412F" w:rsidP="00637366">
      <w:pPr>
        <w:rPr>
          <w:b/>
          <w:sz w:val="24"/>
          <w:szCs w:val="24"/>
          <w:lang w:val="en-AU"/>
        </w:rPr>
      </w:pPr>
      <w:r w:rsidRPr="006D5921">
        <w:rPr>
          <w:b/>
          <w:sz w:val="24"/>
          <w:szCs w:val="24"/>
          <w:lang w:val="en-AU"/>
        </w:rPr>
        <w:t>Human rights implications</w:t>
      </w:r>
    </w:p>
    <w:p w14:paraId="671E1014" w14:textId="6F35E131" w:rsidR="00D8412F" w:rsidRDefault="00D8412F" w:rsidP="00637366">
      <w:pPr>
        <w:rPr>
          <w:sz w:val="24"/>
          <w:szCs w:val="24"/>
          <w:lang w:val="en-AU"/>
        </w:rPr>
      </w:pPr>
    </w:p>
    <w:p w14:paraId="7D214B4E" w14:textId="2976149C" w:rsidR="00FF3BA2" w:rsidRPr="006E6CCB" w:rsidRDefault="000C51AD" w:rsidP="00580285">
      <w:pPr>
        <w:rPr>
          <w:sz w:val="24"/>
          <w:szCs w:val="24"/>
          <w:lang w:val="en-AU"/>
        </w:rPr>
      </w:pPr>
      <w:r>
        <w:rPr>
          <w:sz w:val="24"/>
          <w:szCs w:val="24"/>
          <w:lang w:val="en-AU"/>
        </w:rPr>
        <w:t xml:space="preserve">The Legislative Instrument </w:t>
      </w:r>
      <w:r w:rsidR="00821865">
        <w:rPr>
          <w:sz w:val="24"/>
          <w:szCs w:val="24"/>
          <w:lang w:val="en-AU"/>
        </w:rPr>
        <w:t xml:space="preserve">does not engage any rights or freedoms. </w:t>
      </w:r>
    </w:p>
    <w:p w14:paraId="32306011" w14:textId="7A9B1D3F" w:rsidR="000C51AD" w:rsidRPr="006D5921" w:rsidRDefault="000C51AD" w:rsidP="00637366">
      <w:pPr>
        <w:rPr>
          <w:sz w:val="24"/>
          <w:szCs w:val="24"/>
          <w:lang w:val="en-AU"/>
        </w:rPr>
      </w:pPr>
    </w:p>
    <w:p w14:paraId="60584E72" w14:textId="4C1388FE" w:rsidR="00FF3BA2" w:rsidRDefault="00D8412F" w:rsidP="00637366">
      <w:pPr>
        <w:rPr>
          <w:b/>
          <w:sz w:val="24"/>
          <w:szCs w:val="24"/>
          <w:lang w:val="en-AU"/>
        </w:rPr>
      </w:pPr>
      <w:r w:rsidRPr="006D5921">
        <w:rPr>
          <w:b/>
          <w:sz w:val="24"/>
          <w:szCs w:val="24"/>
          <w:lang w:val="en-AU"/>
        </w:rPr>
        <w:t>Conclusion</w:t>
      </w:r>
    </w:p>
    <w:p w14:paraId="247B667F" w14:textId="44D0CD62" w:rsidR="00FF3BA2" w:rsidRDefault="00FF3BA2" w:rsidP="00637366">
      <w:pPr>
        <w:rPr>
          <w:b/>
          <w:sz w:val="24"/>
          <w:szCs w:val="24"/>
          <w:lang w:val="en-AU"/>
        </w:rPr>
      </w:pPr>
    </w:p>
    <w:p w14:paraId="1963F9FA" w14:textId="28BCFF7B" w:rsidR="00FF3BA2" w:rsidRPr="00FF3BA2" w:rsidRDefault="00FF3BA2" w:rsidP="00637366">
      <w:pPr>
        <w:rPr>
          <w:sz w:val="24"/>
          <w:szCs w:val="24"/>
          <w:lang w:val="en-AU"/>
        </w:rPr>
      </w:pPr>
      <w:r>
        <w:rPr>
          <w:sz w:val="24"/>
          <w:szCs w:val="24"/>
          <w:lang w:val="en-AU"/>
        </w:rPr>
        <w:t>The Legislative Instrument is compatible with human rights because</w:t>
      </w:r>
      <w:r w:rsidR="00821865">
        <w:rPr>
          <w:sz w:val="24"/>
          <w:szCs w:val="24"/>
          <w:lang w:val="en-AU"/>
        </w:rPr>
        <w:t xml:space="preserve"> it does not engage any rights or freedoms</w:t>
      </w:r>
      <w:r>
        <w:rPr>
          <w:sz w:val="24"/>
          <w:szCs w:val="24"/>
          <w:lang w:val="en-AU"/>
        </w:rPr>
        <w:t>.</w:t>
      </w:r>
    </w:p>
    <w:p w14:paraId="14FB24D4" w14:textId="210E0D4C" w:rsidR="00D8412F" w:rsidRPr="006D5921" w:rsidRDefault="00D8412F" w:rsidP="00637366">
      <w:pPr>
        <w:rPr>
          <w:sz w:val="24"/>
          <w:szCs w:val="24"/>
          <w:lang w:val="en-AU"/>
        </w:rPr>
      </w:pPr>
    </w:p>
    <w:p w14:paraId="37A4148A" w14:textId="7F75EE52" w:rsidR="00D8412F" w:rsidRPr="006D5921" w:rsidRDefault="00D8412F" w:rsidP="00D8412F">
      <w:pPr>
        <w:ind w:right="521"/>
        <w:jc w:val="center"/>
        <w:rPr>
          <w:b/>
          <w:color w:val="000000"/>
          <w:sz w:val="24"/>
          <w:szCs w:val="24"/>
          <w:lang w:val="en-AU" w:eastAsia="en-AU"/>
        </w:rPr>
      </w:pPr>
      <w:r w:rsidRPr="006D5921">
        <w:rPr>
          <w:b/>
          <w:color w:val="000000"/>
          <w:sz w:val="24"/>
          <w:szCs w:val="24"/>
          <w:lang w:val="en-AU" w:eastAsia="en-AU"/>
        </w:rPr>
        <w:t xml:space="preserve">Australia’s Foreign Relations (State and Territory Arrangements) Rules </w:t>
      </w:r>
      <w:r w:rsidR="00EB20C6">
        <w:rPr>
          <w:b/>
          <w:color w:val="000000"/>
          <w:sz w:val="24"/>
          <w:szCs w:val="24"/>
          <w:lang w:val="en-AU" w:eastAsia="en-AU"/>
        </w:rPr>
        <w:t>Amendment (</w:t>
      </w:r>
      <w:r w:rsidR="00B40E29">
        <w:rPr>
          <w:b/>
          <w:color w:val="000000"/>
          <w:sz w:val="24"/>
          <w:szCs w:val="24"/>
          <w:lang w:val="en-AU" w:eastAsia="en-AU"/>
        </w:rPr>
        <w:t>Repeal</w:t>
      </w:r>
      <w:r w:rsidR="00EB20C6">
        <w:rPr>
          <w:b/>
          <w:color w:val="000000"/>
          <w:sz w:val="24"/>
          <w:szCs w:val="24"/>
          <w:lang w:val="en-AU" w:eastAsia="en-AU"/>
        </w:rPr>
        <w:t xml:space="preserve">) </w:t>
      </w:r>
      <w:r w:rsidRPr="006D5921">
        <w:rPr>
          <w:b/>
          <w:color w:val="000000"/>
          <w:sz w:val="24"/>
          <w:szCs w:val="24"/>
          <w:lang w:val="en-AU" w:eastAsia="en-AU"/>
        </w:rPr>
        <w:t>202</w:t>
      </w:r>
      <w:r w:rsidR="00EB20C6">
        <w:rPr>
          <w:b/>
          <w:color w:val="000000"/>
          <w:sz w:val="24"/>
          <w:szCs w:val="24"/>
          <w:lang w:val="en-AU" w:eastAsia="en-AU"/>
        </w:rPr>
        <w:t>1</w:t>
      </w:r>
    </w:p>
    <w:p w14:paraId="3320DFE5" w14:textId="64574CE3" w:rsidR="00D8412F" w:rsidRPr="006D5921" w:rsidRDefault="00D8412F" w:rsidP="00637366">
      <w:pPr>
        <w:rPr>
          <w:sz w:val="24"/>
          <w:szCs w:val="24"/>
          <w:lang w:val="en-AU"/>
        </w:rPr>
      </w:pPr>
    </w:p>
    <w:p w14:paraId="042D9F2C" w14:textId="3915D6C2" w:rsidR="00D8412F" w:rsidRPr="006D5921" w:rsidRDefault="00D8412F" w:rsidP="00D8412F">
      <w:pPr>
        <w:jc w:val="center"/>
        <w:rPr>
          <w:b/>
          <w:sz w:val="24"/>
          <w:szCs w:val="24"/>
          <w:lang w:val="en-AU"/>
        </w:rPr>
      </w:pPr>
      <w:r w:rsidRPr="006D5921">
        <w:rPr>
          <w:b/>
          <w:sz w:val="24"/>
          <w:szCs w:val="24"/>
          <w:lang w:val="en-AU"/>
        </w:rPr>
        <w:t xml:space="preserve">Senator the Hon. </w:t>
      </w:r>
      <w:proofErr w:type="spellStart"/>
      <w:r w:rsidRPr="006D5921">
        <w:rPr>
          <w:b/>
          <w:sz w:val="24"/>
          <w:szCs w:val="24"/>
          <w:lang w:val="en-AU"/>
        </w:rPr>
        <w:t>Marise</w:t>
      </w:r>
      <w:proofErr w:type="spellEnd"/>
      <w:r w:rsidRPr="006D5921">
        <w:rPr>
          <w:b/>
          <w:sz w:val="24"/>
          <w:szCs w:val="24"/>
          <w:lang w:val="en-AU"/>
        </w:rPr>
        <w:t xml:space="preserve"> Payne, Minister for Foreign Affairs</w:t>
      </w:r>
    </w:p>
    <w:p w14:paraId="3B0B25A8" w14:textId="25860E0E" w:rsidR="00D8412F" w:rsidRPr="006D5921" w:rsidRDefault="00D8412F">
      <w:pPr>
        <w:spacing w:after="160" w:line="259" w:lineRule="auto"/>
        <w:rPr>
          <w:sz w:val="24"/>
          <w:szCs w:val="24"/>
          <w:lang w:val="en-AU"/>
        </w:rPr>
      </w:pPr>
      <w:r w:rsidRPr="006D5921">
        <w:rPr>
          <w:sz w:val="24"/>
          <w:szCs w:val="24"/>
          <w:lang w:val="en-AU"/>
        </w:rPr>
        <w:br w:type="page"/>
      </w:r>
    </w:p>
    <w:p w14:paraId="75625D2F" w14:textId="75EBC058" w:rsidR="00BB12E6" w:rsidRPr="006D5921" w:rsidRDefault="00BB12E6" w:rsidP="00BB12E6">
      <w:pPr>
        <w:rPr>
          <w:b/>
          <w:sz w:val="24"/>
          <w:szCs w:val="24"/>
          <w:u w:val="single"/>
          <w:lang w:val="en-AU"/>
        </w:rPr>
      </w:pPr>
      <w:r w:rsidRPr="006D5921">
        <w:rPr>
          <w:b/>
          <w:sz w:val="24"/>
          <w:szCs w:val="24"/>
          <w:u w:val="single"/>
          <w:lang w:val="en-AU"/>
        </w:rPr>
        <w:lastRenderedPageBreak/>
        <w:t xml:space="preserve">ATTACHMENT </w:t>
      </w:r>
      <w:r w:rsidR="00F50EBA">
        <w:rPr>
          <w:b/>
          <w:sz w:val="24"/>
          <w:szCs w:val="24"/>
          <w:u w:val="single"/>
          <w:lang w:val="en-AU"/>
        </w:rPr>
        <w:t>B</w:t>
      </w:r>
    </w:p>
    <w:p w14:paraId="599DBA93" w14:textId="77777777" w:rsidR="00BB12E6" w:rsidRPr="006D5921" w:rsidRDefault="00BB12E6" w:rsidP="00BB12E6">
      <w:pPr>
        <w:rPr>
          <w:b/>
          <w:sz w:val="24"/>
          <w:szCs w:val="24"/>
          <w:u w:val="single"/>
          <w:lang w:val="en-AU"/>
        </w:rPr>
      </w:pPr>
    </w:p>
    <w:p w14:paraId="130B85D4" w14:textId="7CFFCED0" w:rsidR="00BB12E6" w:rsidRPr="006D5921" w:rsidRDefault="00BB12E6" w:rsidP="00BB12E6">
      <w:pPr>
        <w:rPr>
          <w:b/>
          <w:i/>
          <w:sz w:val="24"/>
          <w:szCs w:val="24"/>
          <w:lang w:val="en-AU"/>
        </w:rPr>
      </w:pPr>
      <w:r w:rsidRPr="006D5921">
        <w:rPr>
          <w:b/>
          <w:sz w:val="24"/>
          <w:szCs w:val="24"/>
          <w:lang w:val="en-AU"/>
        </w:rPr>
        <w:t xml:space="preserve">DETAILS OF </w:t>
      </w:r>
      <w:r w:rsidRPr="006D5921">
        <w:rPr>
          <w:b/>
          <w:i/>
          <w:sz w:val="24"/>
          <w:szCs w:val="24"/>
          <w:lang w:val="en-AU"/>
        </w:rPr>
        <w:t>AUSTRALIA’S FOREIGN RELATIONS (STATE AND TERRITORY ARRANGEMENTS)</w:t>
      </w:r>
      <w:r w:rsidR="002A2524">
        <w:rPr>
          <w:b/>
          <w:i/>
          <w:sz w:val="24"/>
          <w:szCs w:val="24"/>
          <w:lang w:val="en-AU"/>
        </w:rPr>
        <w:t xml:space="preserve"> AMENDMENT (</w:t>
      </w:r>
      <w:r w:rsidR="00B40E29">
        <w:rPr>
          <w:b/>
          <w:i/>
          <w:sz w:val="24"/>
          <w:szCs w:val="24"/>
          <w:lang w:val="en-AU"/>
        </w:rPr>
        <w:t>REPEAL</w:t>
      </w:r>
      <w:r w:rsidR="002A2524">
        <w:rPr>
          <w:b/>
          <w:i/>
          <w:sz w:val="24"/>
          <w:szCs w:val="24"/>
          <w:lang w:val="en-AU"/>
        </w:rPr>
        <w:t>)</w:t>
      </w:r>
      <w:r w:rsidRPr="006D5921">
        <w:rPr>
          <w:b/>
          <w:i/>
          <w:sz w:val="24"/>
          <w:szCs w:val="24"/>
          <w:lang w:val="en-AU"/>
        </w:rPr>
        <w:t xml:space="preserve"> RULES 202</w:t>
      </w:r>
      <w:r w:rsidR="002A2524">
        <w:rPr>
          <w:b/>
          <w:i/>
          <w:sz w:val="24"/>
          <w:szCs w:val="24"/>
          <w:lang w:val="en-AU"/>
        </w:rPr>
        <w:t>1</w:t>
      </w:r>
    </w:p>
    <w:p w14:paraId="3C19C31F" w14:textId="703EEFDE" w:rsidR="00BB12E6" w:rsidRDefault="00BB12E6" w:rsidP="00BB12E6">
      <w:pPr>
        <w:rPr>
          <w:sz w:val="24"/>
          <w:szCs w:val="24"/>
          <w:lang w:val="en-AU"/>
        </w:rPr>
      </w:pPr>
    </w:p>
    <w:p w14:paraId="39851A40" w14:textId="20BCE5A1" w:rsidR="00F50EBA" w:rsidRPr="00F50EBA" w:rsidRDefault="00F50EBA" w:rsidP="00BB12E6">
      <w:pPr>
        <w:rPr>
          <w:b/>
          <w:bCs/>
          <w:sz w:val="24"/>
          <w:szCs w:val="24"/>
          <w:lang w:val="en-AU"/>
        </w:rPr>
      </w:pPr>
      <w:r w:rsidRPr="00F50EBA">
        <w:rPr>
          <w:b/>
          <w:bCs/>
          <w:sz w:val="24"/>
          <w:szCs w:val="24"/>
          <w:lang w:val="en-AU"/>
        </w:rPr>
        <w:t>Section 1</w:t>
      </w:r>
    </w:p>
    <w:p w14:paraId="1866556A" w14:textId="09C20DA9" w:rsidR="00F50EBA" w:rsidRDefault="00F50EBA" w:rsidP="00BB12E6">
      <w:pPr>
        <w:rPr>
          <w:sz w:val="24"/>
          <w:szCs w:val="24"/>
          <w:lang w:val="en-AU"/>
        </w:rPr>
      </w:pPr>
    </w:p>
    <w:p w14:paraId="7492BA66" w14:textId="7D2F9FF5" w:rsidR="00F50EBA" w:rsidRDefault="00F50EBA" w:rsidP="00BB12E6">
      <w:pPr>
        <w:rPr>
          <w:sz w:val="24"/>
          <w:szCs w:val="24"/>
          <w:lang w:val="en-AU"/>
        </w:rPr>
      </w:pPr>
      <w:r>
        <w:rPr>
          <w:sz w:val="24"/>
          <w:szCs w:val="24"/>
          <w:lang w:val="en-AU"/>
        </w:rPr>
        <w:t>Section 1 provides that the name of the Rule</w:t>
      </w:r>
      <w:r w:rsidR="00C2604C">
        <w:rPr>
          <w:sz w:val="24"/>
          <w:szCs w:val="24"/>
          <w:lang w:val="en-AU"/>
        </w:rPr>
        <w:t>s</w:t>
      </w:r>
      <w:r>
        <w:rPr>
          <w:sz w:val="24"/>
          <w:szCs w:val="24"/>
          <w:lang w:val="en-AU"/>
        </w:rPr>
        <w:t xml:space="preserve"> </w:t>
      </w:r>
      <w:r w:rsidR="00100696">
        <w:rPr>
          <w:sz w:val="24"/>
          <w:szCs w:val="24"/>
          <w:lang w:val="en-AU"/>
        </w:rPr>
        <w:t>is</w:t>
      </w:r>
      <w:r>
        <w:rPr>
          <w:sz w:val="24"/>
          <w:szCs w:val="24"/>
          <w:lang w:val="en-AU"/>
        </w:rPr>
        <w:t xml:space="preserve"> </w:t>
      </w:r>
      <w:r w:rsidRPr="00F50EBA">
        <w:rPr>
          <w:i/>
          <w:iCs/>
          <w:sz w:val="24"/>
          <w:szCs w:val="24"/>
          <w:lang w:val="en-AU"/>
        </w:rPr>
        <w:t xml:space="preserve">Australia’s Foreign Relations (State </w:t>
      </w:r>
      <w:r>
        <w:rPr>
          <w:i/>
          <w:iCs/>
          <w:sz w:val="24"/>
          <w:szCs w:val="24"/>
          <w:lang w:val="en-AU"/>
        </w:rPr>
        <w:t>a</w:t>
      </w:r>
      <w:r w:rsidRPr="00F50EBA">
        <w:rPr>
          <w:i/>
          <w:iCs/>
          <w:sz w:val="24"/>
          <w:szCs w:val="24"/>
          <w:lang w:val="en-AU"/>
        </w:rPr>
        <w:t>nd Territory Arrangements) Amendment (</w:t>
      </w:r>
      <w:r w:rsidR="00B40E29">
        <w:rPr>
          <w:i/>
          <w:iCs/>
          <w:sz w:val="24"/>
          <w:szCs w:val="24"/>
          <w:lang w:val="en-AU"/>
        </w:rPr>
        <w:t>Repeal</w:t>
      </w:r>
      <w:r w:rsidRPr="00F50EBA">
        <w:rPr>
          <w:i/>
          <w:iCs/>
          <w:sz w:val="24"/>
          <w:szCs w:val="24"/>
          <w:lang w:val="en-AU"/>
        </w:rPr>
        <w:t>)</w:t>
      </w:r>
      <w:r>
        <w:rPr>
          <w:i/>
          <w:iCs/>
          <w:sz w:val="24"/>
          <w:szCs w:val="24"/>
          <w:lang w:val="en-AU"/>
        </w:rPr>
        <w:t> </w:t>
      </w:r>
      <w:r w:rsidRPr="00F50EBA">
        <w:rPr>
          <w:i/>
          <w:iCs/>
          <w:sz w:val="24"/>
          <w:szCs w:val="24"/>
          <w:lang w:val="en-AU"/>
        </w:rPr>
        <w:t>Rules</w:t>
      </w:r>
      <w:r>
        <w:rPr>
          <w:i/>
          <w:iCs/>
          <w:sz w:val="24"/>
          <w:szCs w:val="24"/>
          <w:lang w:val="en-AU"/>
        </w:rPr>
        <w:t> </w:t>
      </w:r>
      <w:r w:rsidRPr="00F50EBA">
        <w:rPr>
          <w:i/>
          <w:iCs/>
          <w:sz w:val="24"/>
          <w:szCs w:val="24"/>
          <w:lang w:val="en-AU"/>
        </w:rPr>
        <w:t>2021</w:t>
      </w:r>
      <w:r w:rsidR="00100696">
        <w:rPr>
          <w:sz w:val="24"/>
          <w:szCs w:val="24"/>
          <w:lang w:val="en-AU"/>
        </w:rPr>
        <w:t xml:space="preserve"> (the Amendment Rules)</w:t>
      </w:r>
      <w:r>
        <w:rPr>
          <w:sz w:val="24"/>
          <w:szCs w:val="24"/>
          <w:lang w:val="en-AU"/>
        </w:rPr>
        <w:t>.</w:t>
      </w:r>
    </w:p>
    <w:p w14:paraId="10C1F0C8" w14:textId="7B3EF24F" w:rsidR="00F50EBA" w:rsidRDefault="00F50EBA" w:rsidP="00BB12E6">
      <w:pPr>
        <w:rPr>
          <w:sz w:val="24"/>
          <w:szCs w:val="24"/>
          <w:lang w:val="en-AU"/>
        </w:rPr>
      </w:pPr>
    </w:p>
    <w:p w14:paraId="38E2AFBE" w14:textId="65D0030C" w:rsidR="00F50EBA" w:rsidRDefault="00F50EBA" w:rsidP="00BB12E6">
      <w:pPr>
        <w:rPr>
          <w:sz w:val="24"/>
          <w:szCs w:val="24"/>
          <w:lang w:val="en-AU"/>
        </w:rPr>
      </w:pPr>
      <w:r>
        <w:rPr>
          <w:b/>
          <w:bCs/>
          <w:sz w:val="24"/>
          <w:szCs w:val="24"/>
          <w:lang w:val="en-AU"/>
        </w:rPr>
        <w:t>Section 2</w:t>
      </w:r>
    </w:p>
    <w:p w14:paraId="7811C98F" w14:textId="5D6E69DC" w:rsidR="00F50EBA" w:rsidRDefault="00F50EBA" w:rsidP="00BB12E6">
      <w:pPr>
        <w:rPr>
          <w:sz w:val="24"/>
          <w:szCs w:val="24"/>
          <w:lang w:val="en-AU"/>
        </w:rPr>
      </w:pPr>
    </w:p>
    <w:p w14:paraId="6FE000F3" w14:textId="592D6717" w:rsidR="00F50EBA" w:rsidRDefault="00F50EBA" w:rsidP="00BB12E6">
      <w:pPr>
        <w:rPr>
          <w:sz w:val="24"/>
          <w:szCs w:val="24"/>
          <w:lang w:val="en-AU"/>
        </w:rPr>
      </w:pPr>
      <w:r>
        <w:rPr>
          <w:sz w:val="24"/>
          <w:szCs w:val="24"/>
          <w:lang w:val="en-AU"/>
        </w:rPr>
        <w:t xml:space="preserve">Section 2 provides that the </w:t>
      </w:r>
      <w:r w:rsidR="00100696">
        <w:rPr>
          <w:sz w:val="24"/>
          <w:szCs w:val="24"/>
          <w:lang w:val="en-AU"/>
        </w:rPr>
        <w:t xml:space="preserve">Amendment </w:t>
      </w:r>
      <w:r>
        <w:rPr>
          <w:sz w:val="24"/>
          <w:szCs w:val="24"/>
          <w:lang w:val="en-AU"/>
        </w:rPr>
        <w:t>Rule</w:t>
      </w:r>
      <w:r w:rsidR="00C2604C">
        <w:rPr>
          <w:sz w:val="24"/>
          <w:szCs w:val="24"/>
          <w:lang w:val="en-AU"/>
        </w:rPr>
        <w:t>s</w:t>
      </w:r>
      <w:r>
        <w:rPr>
          <w:sz w:val="24"/>
          <w:szCs w:val="24"/>
          <w:lang w:val="en-AU"/>
        </w:rPr>
        <w:t xml:space="preserve"> commence </w:t>
      </w:r>
      <w:r w:rsidR="00D04CAA">
        <w:rPr>
          <w:sz w:val="24"/>
          <w:szCs w:val="24"/>
          <w:lang w:val="en-AU"/>
        </w:rPr>
        <w:t>the day after</w:t>
      </w:r>
      <w:r>
        <w:rPr>
          <w:sz w:val="24"/>
          <w:szCs w:val="24"/>
          <w:lang w:val="en-AU"/>
        </w:rPr>
        <w:t xml:space="preserve"> </w:t>
      </w:r>
      <w:r w:rsidR="005D3245">
        <w:rPr>
          <w:sz w:val="24"/>
          <w:szCs w:val="24"/>
          <w:lang w:val="en-AU"/>
        </w:rPr>
        <w:t>the instrument</w:t>
      </w:r>
      <w:r>
        <w:rPr>
          <w:sz w:val="24"/>
          <w:szCs w:val="24"/>
          <w:lang w:val="en-AU"/>
        </w:rPr>
        <w:t xml:space="preserve"> is registered. </w:t>
      </w:r>
    </w:p>
    <w:p w14:paraId="1ADE688C" w14:textId="615D853E" w:rsidR="00F50EBA" w:rsidRDefault="00F50EBA" w:rsidP="00BB12E6">
      <w:pPr>
        <w:rPr>
          <w:sz w:val="24"/>
          <w:szCs w:val="24"/>
          <w:lang w:val="en-AU"/>
        </w:rPr>
      </w:pPr>
    </w:p>
    <w:p w14:paraId="5BCD992D" w14:textId="345E465C" w:rsidR="00F50EBA" w:rsidRPr="00F50EBA" w:rsidRDefault="00F50EBA" w:rsidP="00BB12E6">
      <w:pPr>
        <w:rPr>
          <w:b/>
          <w:bCs/>
          <w:sz w:val="24"/>
          <w:szCs w:val="24"/>
          <w:lang w:val="en-AU"/>
        </w:rPr>
      </w:pPr>
      <w:r w:rsidRPr="00F50EBA">
        <w:rPr>
          <w:b/>
          <w:bCs/>
          <w:sz w:val="24"/>
          <w:szCs w:val="24"/>
          <w:lang w:val="en-AU"/>
        </w:rPr>
        <w:t>Section 3</w:t>
      </w:r>
    </w:p>
    <w:p w14:paraId="4501A405" w14:textId="1FBDFCBC" w:rsidR="00F50EBA" w:rsidRDefault="00F50EBA" w:rsidP="00BB12E6">
      <w:pPr>
        <w:rPr>
          <w:sz w:val="24"/>
          <w:szCs w:val="24"/>
          <w:lang w:val="en-AU"/>
        </w:rPr>
      </w:pPr>
    </w:p>
    <w:p w14:paraId="56956C72" w14:textId="25F4874A" w:rsidR="00F50EBA" w:rsidRPr="00C2604C" w:rsidRDefault="00F50EBA" w:rsidP="00BB12E6">
      <w:pPr>
        <w:rPr>
          <w:sz w:val="24"/>
          <w:szCs w:val="24"/>
          <w:lang w:val="en-AU"/>
        </w:rPr>
      </w:pPr>
      <w:r>
        <w:rPr>
          <w:sz w:val="24"/>
          <w:szCs w:val="24"/>
          <w:lang w:val="en-AU"/>
        </w:rPr>
        <w:t xml:space="preserve">Section 3 states that the authority for making the </w:t>
      </w:r>
      <w:r w:rsidR="00100696">
        <w:rPr>
          <w:sz w:val="24"/>
          <w:szCs w:val="24"/>
          <w:lang w:val="en-AU"/>
        </w:rPr>
        <w:t xml:space="preserve">Amendment </w:t>
      </w:r>
      <w:r>
        <w:rPr>
          <w:sz w:val="24"/>
          <w:szCs w:val="24"/>
          <w:lang w:val="en-AU"/>
        </w:rPr>
        <w:t>Rule</w:t>
      </w:r>
      <w:r w:rsidR="00C2604C">
        <w:rPr>
          <w:sz w:val="24"/>
          <w:szCs w:val="24"/>
          <w:lang w:val="en-AU"/>
        </w:rPr>
        <w:t>s</w:t>
      </w:r>
      <w:r>
        <w:rPr>
          <w:sz w:val="24"/>
          <w:szCs w:val="24"/>
          <w:lang w:val="en-AU"/>
        </w:rPr>
        <w:t xml:space="preserve"> is taken from </w:t>
      </w:r>
      <w:r w:rsidR="00C2604C">
        <w:rPr>
          <w:sz w:val="24"/>
          <w:szCs w:val="24"/>
          <w:lang w:val="en-AU"/>
        </w:rPr>
        <w:t xml:space="preserve">the </w:t>
      </w:r>
      <w:r w:rsidR="00C2604C">
        <w:rPr>
          <w:i/>
          <w:iCs/>
          <w:sz w:val="24"/>
          <w:szCs w:val="24"/>
          <w:lang w:val="en-AU"/>
        </w:rPr>
        <w:t>Australia’s Foreign Relations (State and Territory Arrangements) Act 2020</w:t>
      </w:r>
      <w:r w:rsidR="00C2604C">
        <w:rPr>
          <w:sz w:val="24"/>
          <w:szCs w:val="24"/>
          <w:lang w:val="en-AU"/>
        </w:rPr>
        <w:t>.</w:t>
      </w:r>
    </w:p>
    <w:p w14:paraId="48EB125A" w14:textId="77777777" w:rsidR="00F50EBA" w:rsidRPr="006D5921" w:rsidRDefault="00F50EBA" w:rsidP="00BB12E6">
      <w:pPr>
        <w:rPr>
          <w:sz w:val="24"/>
          <w:szCs w:val="24"/>
          <w:lang w:val="en-AU"/>
        </w:rPr>
      </w:pPr>
    </w:p>
    <w:p w14:paraId="73ECAA28" w14:textId="2F0D56FF" w:rsidR="00C2604C" w:rsidRPr="00B40E29" w:rsidRDefault="00C2604C" w:rsidP="00C2604C">
      <w:pPr>
        <w:rPr>
          <w:b/>
          <w:sz w:val="24"/>
          <w:szCs w:val="24"/>
          <w:lang w:val="en-AU"/>
        </w:rPr>
      </w:pPr>
      <w:r w:rsidRPr="00B40E29">
        <w:rPr>
          <w:b/>
          <w:sz w:val="24"/>
          <w:szCs w:val="24"/>
          <w:lang w:val="en-AU"/>
        </w:rPr>
        <w:t>Section 4</w:t>
      </w:r>
    </w:p>
    <w:p w14:paraId="56676602" w14:textId="2DCF4CFB" w:rsidR="00C2604C" w:rsidRPr="00B40E29" w:rsidRDefault="00C2604C" w:rsidP="00BB12E6">
      <w:pPr>
        <w:rPr>
          <w:bCs/>
          <w:sz w:val="24"/>
          <w:szCs w:val="24"/>
          <w:lang w:val="en-AU"/>
        </w:rPr>
      </w:pPr>
    </w:p>
    <w:p w14:paraId="04C8F295" w14:textId="238D9D75" w:rsidR="00C2604C" w:rsidRPr="00C2604C" w:rsidRDefault="00C2604C" w:rsidP="00BB12E6">
      <w:pPr>
        <w:rPr>
          <w:bCs/>
          <w:sz w:val="24"/>
          <w:szCs w:val="24"/>
          <w:lang w:val="en-AU"/>
        </w:rPr>
      </w:pPr>
      <w:r w:rsidRPr="00B40E29">
        <w:rPr>
          <w:bCs/>
          <w:sz w:val="24"/>
          <w:szCs w:val="24"/>
          <w:lang w:val="en-AU"/>
        </w:rPr>
        <w:t xml:space="preserve">Section 4 is a provision that gives effect to the amendments </w:t>
      </w:r>
      <w:r w:rsidR="00100696" w:rsidRPr="00B40E29">
        <w:rPr>
          <w:bCs/>
          <w:sz w:val="24"/>
          <w:szCs w:val="24"/>
          <w:lang w:val="en-AU"/>
        </w:rPr>
        <w:t xml:space="preserve">to the </w:t>
      </w:r>
      <w:r w:rsidR="00100696" w:rsidRPr="00B40E29">
        <w:rPr>
          <w:bCs/>
          <w:i/>
          <w:iCs/>
          <w:sz w:val="24"/>
          <w:szCs w:val="24"/>
          <w:lang w:val="en-AU"/>
        </w:rPr>
        <w:t>Australia’s Foreign Relations (State and Territory Arrangements) Rules 2020</w:t>
      </w:r>
      <w:r w:rsidR="00100696" w:rsidRPr="00B40E29">
        <w:rPr>
          <w:bCs/>
          <w:sz w:val="24"/>
          <w:szCs w:val="24"/>
          <w:lang w:val="en-AU"/>
        </w:rPr>
        <w:t xml:space="preserve"> as </w:t>
      </w:r>
      <w:r w:rsidRPr="00B40E29">
        <w:rPr>
          <w:bCs/>
          <w:sz w:val="24"/>
          <w:szCs w:val="24"/>
          <w:lang w:val="en-AU"/>
        </w:rPr>
        <w:t>described in the Schedule.</w:t>
      </w:r>
    </w:p>
    <w:p w14:paraId="297D96B0" w14:textId="77777777" w:rsidR="00C2604C" w:rsidRPr="00C2604C" w:rsidRDefault="00C2604C" w:rsidP="00BB12E6">
      <w:pPr>
        <w:rPr>
          <w:bCs/>
          <w:sz w:val="24"/>
          <w:szCs w:val="24"/>
          <w:lang w:val="en-AU"/>
        </w:rPr>
      </w:pPr>
    </w:p>
    <w:p w14:paraId="435F6370" w14:textId="57C130E5" w:rsidR="00BB12E6" w:rsidRPr="006B60EB" w:rsidRDefault="00EB6469" w:rsidP="00BB12E6">
      <w:pPr>
        <w:rPr>
          <w:bCs/>
          <w:sz w:val="24"/>
          <w:szCs w:val="24"/>
          <w:u w:val="single"/>
          <w:lang w:val="en-AU"/>
        </w:rPr>
      </w:pPr>
      <w:r w:rsidRPr="006B60EB">
        <w:rPr>
          <w:bCs/>
          <w:sz w:val="24"/>
          <w:szCs w:val="24"/>
          <w:u w:val="single"/>
          <w:lang w:val="en-AU"/>
        </w:rPr>
        <w:t>Schedule 1</w:t>
      </w:r>
    </w:p>
    <w:p w14:paraId="0D837C7A" w14:textId="1AB2B0B7" w:rsidR="00EB6469" w:rsidRDefault="00EB6469" w:rsidP="00580285">
      <w:pPr>
        <w:rPr>
          <w:sz w:val="24"/>
          <w:szCs w:val="24"/>
          <w:lang w:val="en-AU"/>
        </w:rPr>
      </w:pPr>
    </w:p>
    <w:p w14:paraId="0AF74CA5" w14:textId="77777777" w:rsidR="00C2604C" w:rsidRPr="00C2604C" w:rsidRDefault="00C2604C" w:rsidP="00C2604C">
      <w:pPr>
        <w:rPr>
          <w:b/>
          <w:bCs/>
          <w:sz w:val="24"/>
          <w:szCs w:val="24"/>
          <w:lang w:val="en-AU"/>
        </w:rPr>
      </w:pPr>
      <w:r w:rsidRPr="00C2604C">
        <w:rPr>
          <w:b/>
          <w:bCs/>
          <w:sz w:val="24"/>
          <w:szCs w:val="24"/>
          <w:lang w:val="en-AU"/>
        </w:rPr>
        <w:t>Clause 1</w:t>
      </w:r>
    </w:p>
    <w:p w14:paraId="6A357383" w14:textId="77777777" w:rsidR="00C2604C" w:rsidRDefault="00C2604C" w:rsidP="00C2604C">
      <w:pPr>
        <w:rPr>
          <w:sz w:val="24"/>
          <w:szCs w:val="24"/>
          <w:lang w:val="en-AU"/>
        </w:rPr>
      </w:pPr>
    </w:p>
    <w:p w14:paraId="36973D84" w14:textId="70973ABA" w:rsidR="00EB6469" w:rsidRPr="00B40E29" w:rsidRDefault="00EB6469" w:rsidP="00B40E29">
      <w:pPr>
        <w:rPr>
          <w:sz w:val="24"/>
          <w:szCs w:val="24"/>
          <w:lang w:val="en-AU"/>
        </w:rPr>
      </w:pPr>
      <w:r w:rsidRPr="00C2604C">
        <w:rPr>
          <w:sz w:val="24"/>
          <w:szCs w:val="24"/>
          <w:lang w:val="en-AU"/>
        </w:rPr>
        <w:t xml:space="preserve">This </w:t>
      </w:r>
      <w:r w:rsidR="00100696">
        <w:rPr>
          <w:sz w:val="24"/>
          <w:szCs w:val="24"/>
          <w:lang w:val="en-AU"/>
        </w:rPr>
        <w:t xml:space="preserve">clause inserts </w:t>
      </w:r>
      <w:r w:rsidR="00B40E29">
        <w:rPr>
          <w:sz w:val="24"/>
          <w:szCs w:val="24"/>
          <w:lang w:val="en-AU"/>
        </w:rPr>
        <w:t xml:space="preserve">new Part 5, section 9, which </w:t>
      </w:r>
      <w:r w:rsidR="00967F4A" w:rsidRPr="00967F4A">
        <w:rPr>
          <w:sz w:val="24"/>
          <w:szCs w:val="24"/>
          <w:lang w:val="en-AU"/>
        </w:rPr>
        <w:t xml:space="preserve">provides that the </w:t>
      </w:r>
      <w:r w:rsidR="00967F4A" w:rsidRPr="00967F4A">
        <w:rPr>
          <w:i/>
          <w:iCs/>
          <w:sz w:val="24"/>
          <w:szCs w:val="24"/>
          <w:lang w:val="en-AU"/>
        </w:rPr>
        <w:t xml:space="preserve">Australia’s </w:t>
      </w:r>
      <w:r w:rsidR="00B40E29" w:rsidRPr="00967F4A">
        <w:rPr>
          <w:i/>
          <w:iCs/>
          <w:sz w:val="24"/>
          <w:szCs w:val="24"/>
          <w:lang w:val="en-AU"/>
        </w:rPr>
        <w:t xml:space="preserve">Foreign Relations (State and Territory Arrangements) Rules 2020 </w:t>
      </w:r>
      <w:r w:rsidR="00967F4A" w:rsidRPr="00967F4A">
        <w:rPr>
          <w:sz w:val="24"/>
          <w:szCs w:val="24"/>
          <w:lang w:val="en-AU"/>
        </w:rPr>
        <w:t xml:space="preserve">will cease to operate on </w:t>
      </w:r>
      <w:r w:rsidR="00FD450C">
        <w:rPr>
          <w:sz w:val="24"/>
          <w:szCs w:val="24"/>
          <w:lang w:val="en-AU"/>
        </w:rPr>
        <w:t>the</w:t>
      </w:r>
      <w:r w:rsidR="00967F4A" w:rsidRPr="00967F4A">
        <w:rPr>
          <w:sz w:val="24"/>
          <w:szCs w:val="24"/>
          <w:lang w:val="en-AU"/>
        </w:rPr>
        <w:t xml:space="preserve"> repeal date of</w:t>
      </w:r>
      <w:r w:rsidR="00B40E29" w:rsidRPr="00967F4A">
        <w:rPr>
          <w:sz w:val="24"/>
          <w:szCs w:val="24"/>
          <w:lang w:val="en-AU"/>
        </w:rPr>
        <w:t xml:space="preserve"> 10 December 2025. Th</w:t>
      </w:r>
      <w:r w:rsidR="005F6759" w:rsidRPr="00967F4A">
        <w:rPr>
          <w:sz w:val="24"/>
          <w:szCs w:val="24"/>
          <w:lang w:val="en-AU"/>
        </w:rPr>
        <w:t>e date of this</w:t>
      </w:r>
      <w:r w:rsidR="00B40E29" w:rsidRPr="00967F4A">
        <w:rPr>
          <w:sz w:val="24"/>
          <w:szCs w:val="24"/>
          <w:lang w:val="en-AU"/>
        </w:rPr>
        <w:t xml:space="preserve"> self-repeal provision</w:t>
      </w:r>
      <w:r w:rsidR="005F6759" w:rsidRPr="00967F4A">
        <w:rPr>
          <w:sz w:val="24"/>
          <w:szCs w:val="24"/>
          <w:lang w:val="en-AU"/>
        </w:rPr>
        <w:t xml:space="preserve"> is</w:t>
      </w:r>
      <w:r w:rsidR="00B40E29" w:rsidRPr="00967F4A">
        <w:rPr>
          <w:sz w:val="24"/>
          <w:szCs w:val="24"/>
          <w:lang w:val="en-AU"/>
        </w:rPr>
        <w:t xml:space="preserve"> five</w:t>
      </w:r>
      <w:r w:rsidR="00B40E29">
        <w:rPr>
          <w:bCs/>
          <w:sz w:val="24"/>
          <w:szCs w:val="24"/>
          <w:lang w:val="en-AU"/>
        </w:rPr>
        <w:t xml:space="preserve"> years after commencement of the</w:t>
      </w:r>
      <w:r w:rsidR="00B40E29" w:rsidRPr="00B40E29">
        <w:rPr>
          <w:bCs/>
          <w:i/>
          <w:iCs/>
          <w:sz w:val="24"/>
          <w:szCs w:val="24"/>
          <w:lang w:val="en-AU"/>
        </w:rPr>
        <w:t xml:space="preserve"> Australia’s Foreign Relations (State</w:t>
      </w:r>
      <w:r w:rsidR="005F6759">
        <w:rPr>
          <w:bCs/>
          <w:i/>
          <w:iCs/>
          <w:sz w:val="24"/>
          <w:szCs w:val="24"/>
          <w:lang w:val="en-AU"/>
        </w:rPr>
        <w:t> </w:t>
      </w:r>
      <w:r w:rsidR="00B40E29" w:rsidRPr="00B40E29">
        <w:rPr>
          <w:bCs/>
          <w:i/>
          <w:iCs/>
          <w:sz w:val="24"/>
          <w:szCs w:val="24"/>
          <w:lang w:val="en-AU"/>
        </w:rPr>
        <w:t>and Territory Arrangements) Rules 2020</w:t>
      </w:r>
      <w:r w:rsidR="00B40E29">
        <w:rPr>
          <w:bCs/>
          <w:i/>
          <w:iCs/>
          <w:sz w:val="24"/>
          <w:szCs w:val="24"/>
          <w:lang w:val="en-AU"/>
        </w:rPr>
        <w:t>.</w:t>
      </w:r>
    </w:p>
    <w:p w14:paraId="1AD22582" w14:textId="53E01A23" w:rsidR="00EB6469" w:rsidRDefault="00EB6469" w:rsidP="002A2524">
      <w:pPr>
        <w:rPr>
          <w:b/>
          <w:sz w:val="24"/>
          <w:szCs w:val="24"/>
          <w:lang w:val="en-AU"/>
        </w:rPr>
      </w:pPr>
    </w:p>
    <w:p w14:paraId="4932C394" w14:textId="271878EF" w:rsidR="006B60EB" w:rsidRPr="006B60EB" w:rsidRDefault="006B60EB" w:rsidP="002A2524">
      <w:pPr>
        <w:rPr>
          <w:bCs/>
          <w:sz w:val="24"/>
          <w:szCs w:val="24"/>
          <w:lang w:val="en-AU"/>
        </w:rPr>
      </w:pPr>
    </w:p>
    <w:sectPr w:rsidR="006B60EB" w:rsidRPr="006B60EB" w:rsidSect="00EE5229">
      <w:headerReference w:type="default" r:id="rId11"/>
      <w:footerReference w:type="default" r:id="rId12"/>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3FF18" w14:textId="77777777" w:rsidR="00E62DF3" w:rsidRDefault="00E62DF3" w:rsidP="00EE5229">
      <w:r>
        <w:separator/>
      </w:r>
    </w:p>
  </w:endnote>
  <w:endnote w:type="continuationSeparator" w:id="0">
    <w:p w14:paraId="6E2D135F" w14:textId="77777777" w:rsidR="00E62DF3" w:rsidRDefault="00E62DF3" w:rsidP="00EE5229">
      <w:r>
        <w:continuationSeparator/>
      </w:r>
    </w:p>
  </w:endnote>
  <w:endnote w:type="continuationNotice" w:id="1">
    <w:p w14:paraId="71DEF1FD" w14:textId="77777777" w:rsidR="00E62DF3" w:rsidRDefault="00E62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93B73" w14:textId="7CA3AA37" w:rsidR="00BB33FD" w:rsidRDefault="00BB33FD">
    <w:pPr>
      <w:pStyle w:val="Footer"/>
      <w:jc w:val="center"/>
    </w:pPr>
  </w:p>
  <w:p w14:paraId="11FA6706" w14:textId="255442A8" w:rsidR="00BB33FD" w:rsidRDefault="00C16F8D">
    <w:pPr>
      <w:pStyle w:val="Footer"/>
      <w:jc w:val="center"/>
    </w:pPr>
    <w:sdt>
      <w:sdtPr>
        <w:id w:val="668519651"/>
        <w:docPartObj>
          <w:docPartGallery w:val="Page Numbers (Bottom of Page)"/>
          <w:docPartUnique/>
        </w:docPartObj>
      </w:sdtPr>
      <w:sdtEndPr>
        <w:rPr>
          <w:noProof/>
        </w:rPr>
      </w:sdtEndPr>
      <w:sdtContent>
        <w:r w:rsidR="00BB33FD">
          <w:fldChar w:fldCharType="begin"/>
        </w:r>
        <w:r w:rsidR="00BB33FD">
          <w:instrText xml:space="preserve"> PAGE   \* MERGEFORMAT </w:instrText>
        </w:r>
        <w:r w:rsidR="00BB33FD">
          <w:fldChar w:fldCharType="separate"/>
        </w:r>
        <w:r w:rsidR="001D7F33">
          <w:rPr>
            <w:noProof/>
          </w:rPr>
          <w:t>5</w:t>
        </w:r>
        <w:r w:rsidR="00BB33FD">
          <w:rPr>
            <w:noProof/>
          </w:rPr>
          <w:fldChar w:fldCharType="end"/>
        </w:r>
      </w:sdtContent>
    </w:sdt>
  </w:p>
  <w:p w14:paraId="4E4F0627" w14:textId="77777777" w:rsidR="00EE5229" w:rsidRDefault="00EE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E07B5" w14:textId="77777777" w:rsidR="00E62DF3" w:rsidRDefault="00E62DF3" w:rsidP="00EE5229">
      <w:r>
        <w:separator/>
      </w:r>
    </w:p>
  </w:footnote>
  <w:footnote w:type="continuationSeparator" w:id="0">
    <w:p w14:paraId="5013FAAC" w14:textId="77777777" w:rsidR="00E62DF3" w:rsidRDefault="00E62DF3" w:rsidP="00EE5229">
      <w:r>
        <w:continuationSeparator/>
      </w:r>
    </w:p>
  </w:footnote>
  <w:footnote w:type="continuationNotice" w:id="1">
    <w:p w14:paraId="5CAC2316" w14:textId="77777777" w:rsidR="00E62DF3" w:rsidRDefault="00E62D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F68A2" w14:textId="05F3F2B0" w:rsidR="00EE5229" w:rsidRDefault="00EE5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209D"/>
    <w:multiLevelType w:val="hybridMultilevel"/>
    <w:tmpl w:val="A45E57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3F25DC"/>
    <w:multiLevelType w:val="hybridMultilevel"/>
    <w:tmpl w:val="3EE67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4E7A5D"/>
    <w:multiLevelType w:val="hybridMultilevel"/>
    <w:tmpl w:val="278A55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15468AB"/>
    <w:multiLevelType w:val="hybridMultilevel"/>
    <w:tmpl w:val="A45E57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1634098"/>
    <w:multiLevelType w:val="hybridMultilevel"/>
    <w:tmpl w:val="9FFC08D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D3C35E8"/>
    <w:multiLevelType w:val="hybridMultilevel"/>
    <w:tmpl w:val="8902A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A52B63"/>
    <w:multiLevelType w:val="hybridMultilevel"/>
    <w:tmpl w:val="F6941EDA"/>
    <w:lvl w:ilvl="0" w:tplc="E524240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C5E4E2C"/>
    <w:multiLevelType w:val="hybridMultilevel"/>
    <w:tmpl w:val="68A4B7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417196B"/>
    <w:multiLevelType w:val="hybridMultilevel"/>
    <w:tmpl w:val="7AD821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EDC48B9"/>
    <w:multiLevelType w:val="hybridMultilevel"/>
    <w:tmpl w:val="37AE8D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E8A471B"/>
    <w:multiLevelType w:val="hybridMultilevel"/>
    <w:tmpl w:val="DDEE7C50"/>
    <w:lvl w:ilvl="0" w:tplc="7A5451A4">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3"/>
  </w:num>
  <w:num w:numId="5">
    <w:abstractNumId w:val="5"/>
  </w:num>
  <w:num w:numId="6">
    <w:abstractNumId w:val="1"/>
  </w:num>
  <w:num w:numId="7">
    <w:abstractNumId w:val="10"/>
  </w:num>
  <w:num w:numId="8">
    <w:abstractNumId w:val="2"/>
  </w:num>
  <w:num w:numId="9">
    <w:abstractNumId w:val="8"/>
  </w:num>
  <w:num w:numId="10">
    <w:abstractNumId w:val="6"/>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8D2"/>
    <w:rsid w:val="00001BEB"/>
    <w:rsid w:val="0001552E"/>
    <w:rsid w:val="000264C4"/>
    <w:rsid w:val="0003169B"/>
    <w:rsid w:val="00032D2D"/>
    <w:rsid w:val="000342E0"/>
    <w:rsid w:val="00036ECA"/>
    <w:rsid w:val="0007066A"/>
    <w:rsid w:val="00084ADA"/>
    <w:rsid w:val="000902C1"/>
    <w:rsid w:val="00095C50"/>
    <w:rsid w:val="000968EA"/>
    <w:rsid w:val="000A4634"/>
    <w:rsid w:val="000B23ED"/>
    <w:rsid w:val="000C51AD"/>
    <w:rsid w:val="000C54C4"/>
    <w:rsid w:val="000C7F09"/>
    <w:rsid w:val="00100696"/>
    <w:rsid w:val="001203CA"/>
    <w:rsid w:val="001665F0"/>
    <w:rsid w:val="00167156"/>
    <w:rsid w:val="00180644"/>
    <w:rsid w:val="00186E60"/>
    <w:rsid w:val="001947A3"/>
    <w:rsid w:val="001D7F33"/>
    <w:rsid w:val="00200D8E"/>
    <w:rsid w:val="002146BD"/>
    <w:rsid w:val="002146BE"/>
    <w:rsid w:val="002360A4"/>
    <w:rsid w:val="00252DC8"/>
    <w:rsid w:val="00262533"/>
    <w:rsid w:val="00271977"/>
    <w:rsid w:val="00293C09"/>
    <w:rsid w:val="002A0288"/>
    <w:rsid w:val="002A11BC"/>
    <w:rsid w:val="002A2524"/>
    <w:rsid w:val="002A57ED"/>
    <w:rsid w:val="002B1098"/>
    <w:rsid w:val="002C0505"/>
    <w:rsid w:val="002C4C0D"/>
    <w:rsid w:val="002C4CFD"/>
    <w:rsid w:val="002D06B9"/>
    <w:rsid w:val="002F0A95"/>
    <w:rsid w:val="00303DD5"/>
    <w:rsid w:val="003048C4"/>
    <w:rsid w:val="0030620E"/>
    <w:rsid w:val="0034232B"/>
    <w:rsid w:val="00394214"/>
    <w:rsid w:val="003A2660"/>
    <w:rsid w:val="003A5083"/>
    <w:rsid w:val="003B03D4"/>
    <w:rsid w:val="00400536"/>
    <w:rsid w:val="00401BB1"/>
    <w:rsid w:val="00403B04"/>
    <w:rsid w:val="00434404"/>
    <w:rsid w:val="004414D9"/>
    <w:rsid w:val="00455424"/>
    <w:rsid w:val="00457599"/>
    <w:rsid w:val="004925FB"/>
    <w:rsid w:val="004A195F"/>
    <w:rsid w:val="004C575B"/>
    <w:rsid w:val="0050115B"/>
    <w:rsid w:val="005051E4"/>
    <w:rsid w:val="005147FA"/>
    <w:rsid w:val="0054434A"/>
    <w:rsid w:val="00546A04"/>
    <w:rsid w:val="00580285"/>
    <w:rsid w:val="005804EE"/>
    <w:rsid w:val="005923F4"/>
    <w:rsid w:val="005A6A2D"/>
    <w:rsid w:val="005D3245"/>
    <w:rsid w:val="005D3278"/>
    <w:rsid w:val="005D7CFC"/>
    <w:rsid w:val="005E37C5"/>
    <w:rsid w:val="005F6759"/>
    <w:rsid w:val="0061485A"/>
    <w:rsid w:val="0062706E"/>
    <w:rsid w:val="0063384C"/>
    <w:rsid w:val="00637366"/>
    <w:rsid w:val="00646235"/>
    <w:rsid w:val="006858C1"/>
    <w:rsid w:val="00686B08"/>
    <w:rsid w:val="006A3A1B"/>
    <w:rsid w:val="006B0D91"/>
    <w:rsid w:val="006B3942"/>
    <w:rsid w:val="006B60EB"/>
    <w:rsid w:val="006C2EDE"/>
    <w:rsid w:val="006D0F41"/>
    <w:rsid w:val="006D5921"/>
    <w:rsid w:val="006D7C24"/>
    <w:rsid w:val="006E6CCB"/>
    <w:rsid w:val="00754026"/>
    <w:rsid w:val="00771884"/>
    <w:rsid w:val="007C2214"/>
    <w:rsid w:val="007C7360"/>
    <w:rsid w:val="007C75E4"/>
    <w:rsid w:val="007D186F"/>
    <w:rsid w:val="007E0A6E"/>
    <w:rsid w:val="007F1900"/>
    <w:rsid w:val="00821865"/>
    <w:rsid w:val="00822970"/>
    <w:rsid w:val="00825FA9"/>
    <w:rsid w:val="0083076C"/>
    <w:rsid w:val="00841A53"/>
    <w:rsid w:val="00846465"/>
    <w:rsid w:val="008B0B49"/>
    <w:rsid w:val="008B43CF"/>
    <w:rsid w:val="008C657F"/>
    <w:rsid w:val="00936770"/>
    <w:rsid w:val="00947DCA"/>
    <w:rsid w:val="00965841"/>
    <w:rsid w:val="00967ADB"/>
    <w:rsid w:val="00967F4A"/>
    <w:rsid w:val="009B41D8"/>
    <w:rsid w:val="009E402C"/>
    <w:rsid w:val="009F0C0B"/>
    <w:rsid w:val="009F3F51"/>
    <w:rsid w:val="009F514E"/>
    <w:rsid w:val="00A0605B"/>
    <w:rsid w:val="00A32F79"/>
    <w:rsid w:val="00A35A18"/>
    <w:rsid w:val="00A5344F"/>
    <w:rsid w:val="00A60173"/>
    <w:rsid w:val="00A60A9E"/>
    <w:rsid w:val="00A71DEB"/>
    <w:rsid w:val="00A767BB"/>
    <w:rsid w:val="00A83A74"/>
    <w:rsid w:val="00AB0654"/>
    <w:rsid w:val="00AB24CB"/>
    <w:rsid w:val="00AB713E"/>
    <w:rsid w:val="00AD7003"/>
    <w:rsid w:val="00AD7DBB"/>
    <w:rsid w:val="00AF0002"/>
    <w:rsid w:val="00AF08D2"/>
    <w:rsid w:val="00AF325E"/>
    <w:rsid w:val="00B20EA9"/>
    <w:rsid w:val="00B35603"/>
    <w:rsid w:val="00B40E29"/>
    <w:rsid w:val="00B70606"/>
    <w:rsid w:val="00B738C4"/>
    <w:rsid w:val="00B73CB5"/>
    <w:rsid w:val="00B92C22"/>
    <w:rsid w:val="00BA1A21"/>
    <w:rsid w:val="00BA34E0"/>
    <w:rsid w:val="00BB12E6"/>
    <w:rsid w:val="00BB33FD"/>
    <w:rsid w:val="00BC3ECB"/>
    <w:rsid w:val="00BD1AE2"/>
    <w:rsid w:val="00BD1D46"/>
    <w:rsid w:val="00C140CC"/>
    <w:rsid w:val="00C16F8D"/>
    <w:rsid w:val="00C2604C"/>
    <w:rsid w:val="00C30C3D"/>
    <w:rsid w:val="00C47128"/>
    <w:rsid w:val="00C5265D"/>
    <w:rsid w:val="00CA66F9"/>
    <w:rsid w:val="00CC6986"/>
    <w:rsid w:val="00D0206D"/>
    <w:rsid w:val="00D04CAA"/>
    <w:rsid w:val="00D21A6B"/>
    <w:rsid w:val="00D30159"/>
    <w:rsid w:val="00D72CAF"/>
    <w:rsid w:val="00D8412F"/>
    <w:rsid w:val="00D9037E"/>
    <w:rsid w:val="00DF3C2E"/>
    <w:rsid w:val="00DF6C05"/>
    <w:rsid w:val="00DF734B"/>
    <w:rsid w:val="00E00E0F"/>
    <w:rsid w:val="00E1170F"/>
    <w:rsid w:val="00E13D9E"/>
    <w:rsid w:val="00E260E5"/>
    <w:rsid w:val="00E43AEB"/>
    <w:rsid w:val="00E608A6"/>
    <w:rsid w:val="00E62DF3"/>
    <w:rsid w:val="00E65D00"/>
    <w:rsid w:val="00E72950"/>
    <w:rsid w:val="00E848D3"/>
    <w:rsid w:val="00EB20C6"/>
    <w:rsid w:val="00EB6469"/>
    <w:rsid w:val="00ED0F1B"/>
    <w:rsid w:val="00ED1E04"/>
    <w:rsid w:val="00ED7FBD"/>
    <w:rsid w:val="00EE5229"/>
    <w:rsid w:val="00F021A2"/>
    <w:rsid w:val="00F15258"/>
    <w:rsid w:val="00F17741"/>
    <w:rsid w:val="00F50EBA"/>
    <w:rsid w:val="00F53E73"/>
    <w:rsid w:val="00F767F0"/>
    <w:rsid w:val="00F808B8"/>
    <w:rsid w:val="00F90AD3"/>
    <w:rsid w:val="00FC13E4"/>
    <w:rsid w:val="00FC321C"/>
    <w:rsid w:val="00FC790F"/>
    <w:rsid w:val="00FD242C"/>
    <w:rsid w:val="00FD25FB"/>
    <w:rsid w:val="00FD450C"/>
    <w:rsid w:val="00FE0B21"/>
    <w:rsid w:val="00FE62D9"/>
    <w:rsid w:val="00FF3BA2"/>
    <w:rsid w:val="00FF558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4D5383"/>
  <w15:chartTrackingRefBased/>
  <w15:docId w15:val="{DB965D21-C33C-4B9A-AE67-D30B04BF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8D2"/>
    <w:pPr>
      <w:spacing w:after="0" w:line="240" w:lineRule="auto"/>
    </w:pPr>
    <w:rPr>
      <w:rFonts w:ascii="Times New Roman" w:eastAsia="Times New Roman" w:hAnsi="Times New Roman" w:cs="Times New Roman"/>
      <w:sz w:val="20"/>
      <w:szCs w:val="20"/>
      <w:lang w:val="en-GB" w:eastAsia="zh-CN"/>
    </w:rPr>
  </w:style>
  <w:style w:type="paragraph" w:styleId="Heading2">
    <w:name w:val="heading 2"/>
    <w:basedOn w:val="Normal"/>
    <w:link w:val="Heading2Char"/>
    <w:uiPriority w:val="9"/>
    <w:qFormat/>
    <w:rsid w:val="00FD450C"/>
    <w:pPr>
      <w:spacing w:before="100" w:beforeAutospacing="1" w:after="100" w:afterAutospacing="1"/>
      <w:outlineLvl w:val="1"/>
    </w:pPr>
    <w:rPr>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8D2"/>
    <w:pPr>
      <w:ind w:left="720"/>
      <w:contextualSpacing/>
    </w:pPr>
  </w:style>
  <w:style w:type="paragraph" w:customStyle="1" w:styleId="paragraph">
    <w:name w:val="paragraph"/>
    <w:aliases w:val="a"/>
    <w:basedOn w:val="Normal"/>
    <w:link w:val="paragraphChar"/>
    <w:rsid w:val="00A60173"/>
    <w:pPr>
      <w:tabs>
        <w:tab w:val="right" w:pos="1531"/>
      </w:tabs>
      <w:spacing w:before="40"/>
      <w:ind w:left="1644" w:hanging="1644"/>
    </w:pPr>
    <w:rPr>
      <w:sz w:val="22"/>
      <w:lang w:val="en-AU" w:eastAsia="en-AU"/>
    </w:rPr>
  </w:style>
  <w:style w:type="character" w:customStyle="1" w:styleId="paragraphChar">
    <w:name w:val="paragraph Char"/>
    <w:aliases w:val="a Char"/>
    <w:link w:val="paragraph"/>
    <w:rsid w:val="00A60173"/>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5147FA"/>
    <w:pPr>
      <w:tabs>
        <w:tab w:val="right" w:pos="1021"/>
      </w:tabs>
      <w:spacing w:before="180"/>
      <w:ind w:left="1134" w:hanging="1134"/>
    </w:pPr>
    <w:rPr>
      <w:sz w:val="22"/>
      <w:lang w:val="en-AU" w:eastAsia="en-AU"/>
    </w:rPr>
  </w:style>
  <w:style w:type="character" w:customStyle="1" w:styleId="subsectionChar">
    <w:name w:val="subsection Char"/>
    <w:aliases w:val="ss Char"/>
    <w:basedOn w:val="DefaultParagraphFont"/>
    <w:link w:val="subsection"/>
    <w:locked/>
    <w:rsid w:val="005147FA"/>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EE5229"/>
    <w:pPr>
      <w:tabs>
        <w:tab w:val="center" w:pos="4513"/>
        <w:tab w:val="right" w:pos="9026"/>
      </w:tabs>
    </w:pPr>
  </w:style>
  <w:style w:type="character" w:customStyle="1" w:styleId="HeaderChar">
    <w:name w:val="Header Char"/>
    <w:basedOn w:val="DefaultParagraphFont"/>
    <w:link w:val="Header"/>
    <w:uiPriority w:val="99"/>
    <w:rsid w:val="00EE5229"/>
    <w:rPr>
      <w:rFonts w:ascii="Times New Roman" w:eastAsia="Times New Roman" w:hAnsi="Times New Roman" w:cs="Times New Roman"/>
      <w:sz w:val="20"/>
      <w:szCs w:val="20"/>
      <w:lang w:val="en-GB" w:eastAsia="zh-CN"/>
    </w:rPr>
  </w:style>
  <w:style w:type="paragraph" w:styleId="Footer">
    <w:name w:val="footer"/>
    <w:basedOn w:val="Normal"/>
    <w:link w:val="FooterChar"/>
    <w:uiPriority w:val="99"/>
    <w:unhideWhenUsed/>
    <w:rsid w:val="00EE5229"/>
    <w:pPr>
      <w:tabs>
        <w:tab w:val="center" w:pos="4513"/>
        <w:tab w:val="right" w:pos="9026"/>
      </w:tabs>
    </w:pPr>
  </w:style>
  <w:style w:type="character" w:customStyle="1" w:styleId="FooterChar">
    <w:name w:val="Footer Char"/>
    <w:basedOn w:val="DefaultParagraphFont"/>
    <w:link w:val="Footer"/>
    <w:uiPriority w:val="99"/>
    <w:rsid w:val="00EE5229"/>
    <w:rPr>
      <w:rFonts w:ascii="Times New Roman" w:eastAsia="Times New Roman" w:hAnsi="Times New Roman" w:cs="Times New Roman"/>
      <w:sz w:val="20"/>
      <w:szCs w:val="20"/>
      <w:lang w:val="en-GB" w:eastAsia="zh-CN"/>
    </w:rPr>
  </w:style>
  <w:style w:type="paragraph" w:styleId="BalloonText">
    <w:name w:val="Balloon Text"/>
    <w:basedOn w:val="Normal"/>
    <w:link w:val="BalloonTextChar"/>
    <w:uiPriority w:val="99"/>
    <w:semiHidden/>
    <w:unhideWhenUsed/>
    <w:rsid w:val="00D90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37E"/>
    <w:rPr>
      <w:rFonts w:ascii="Segoe UI" w:eastAsia="Times New Roman" w:hAnsi="Segoe UI" w:cs="Segoe UI"/>
      <w:sz w:val="18"/>
      <w:szCs w:val="18"/>
      <w:lang w:val="en-GB" w:eastAsia="zh-CN"/>
    </w:rPr>
  </w:style>
  <w:style w:type="character" w:styleId="CommentReference">
    <w:name w:val="annotation reference"/>
    <w:basedOn w:val="DefaultParagraphFont"/>
    <w:uiPriority w:val="99"/>
    <w:semiHidden/>
    <w:unhideWhenUsed/>
    <w:rsid w:val="00F15258"/>
    <w:rPr>
      <w:sz w:val="16"/>
      <w:szCs w:val="16"/>
    </w:rPr>
  </w:style>
  <w:style w:type="paragraph" w:styleId="CommentText">
    <w:name w:val="annotation text"/>
    <w:basedOn w:val="Normal"/>
    <w:link w:val="CommentTextChar"/>
    <w:uiPriority w:val="99"/>
    <w:unhideWhenUsed/>
    <w:rsid w:val="00F15258"/>
  </w:style>
  <w:style w:type="character" w:customStyle="1" w:styleId="CommentTextChar">
    <w:name w:val="Comment Text Char"/>
    <w:basedOn w:val="DefaultParagraphFont"/>
    <w:link w:val="CommentText"/>
    <w:uiPriority w:val="99"/>
    <w:rsid w:val="00F15258"/>
    <w:rPr>
      <w:rFonts w:ascii="Times New Roman" w:eastAsia="Times New Roman" w:hAnsi="Times New Roman"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F15258"/>
    <w:rPr>
      <w:b/>
      <w:bCs/>
    </w:rPr>
  </w:style>
  <w:style w:type="character" w:customStyle="1" w:styleId="CommentSubjectChar">
    <w:name w:val="Comment Subject Char"/>
    <w:basedOn w:val="CommentTextChar"/>
    <w:link w:val="CommentSubject"/>
    <w:uiPriority w:val="99"/>
    <w:semiHidden/>
    <w:rsid w:val="00F15258"/>
    <w:rPr>
      <w:rFonts w:ascii="Times New Roman" w:eastAsia="Times New Roman" w:hAnsi="Times New Roman" w:cs="Times New Roman"/>
      <w:b/>
      <w:bCs/>
      <w:sz w:val="20"/>
      <w:szCs w:val="20"/>
      <w:lang w:val="en-GB" w:eastAsia="zh-CN"/>
    </w:rPr>
  </w:style>
  <w:style w:type="paragraph" w:customStyle="1" w:styleId="default">
    <w:name w:val="default"/>
    <w:basedOn w:val="Normal"/>
    <w:rsid w:val="00AB713E"/>
    <w:pPr>
      <w:spacing w:before="100" w:beforeAutospacing="1" w:after="100" w:afterAutospacing="1"/>
    </w:pPr>
    <w:rPr>
      <w:sz w:val="24"/>
      <w:szCs w:val="24"/>
      <w:lang w:val="en-AU" w:eastAsia="en-AU"/>
    </w:rPr>
  </w:style>
  <w:style w:type="character" w:styleId="Hyperlink">
    <w:name w:val="Hyperlink"/>
    <w:basedOn w:val="DefaultParagraphFont"/>
    <w:uiPriority w:val="99"/>
    <w:unhideWhenUsed/>
    <w:rsid w:val="001947A3"/>
    <w:rPr>
      <w:color w:val="0563C1" w:themeColor="hyperlink"/>
      <w:u w:val="single"/>
    </w:rPr>
  </w:style>
  <w:style w:type="paragraph" w:customStyle="1" w:styleId="Default0">
    <w:name w:val="Default"/>
    <w:rsid w:val="00947D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FD450C"/>
    <w:rPr>
      <w:rFonts w:ascii="Times New Roman" w:eastAsia="Times New Roman" w:hAnsi="Times New Roman" w:cs="Times New Roman"/>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30460">
      <w:bodyDiv w:val="1"/>
      <w:marLeft w:val="0"/>
      <w:marRight w:val="0"/>
      <w:marTop w:val="0"/>
      <w:marBottom w:val="0"/>
      <w:divBdr>
        <w:top w:val="none" w:sz="0" w:space="0" w:color="auto"/>
        <w:left w:val="none" w:sz="0" w:space="0" w:color="auto"/>
        <w:bottom w:val="none" w:sz="0" w:space="0" w:color="auto"/>
        <w:right w:val="none" w:sz="0" w:space="0" w:color="auto"/>
      </w:divBdr>
    </w:div>
    <w:div w:id="480541529">
      <w:bodyDiv w:val="1"/>
      <w:marLeft w:val="0"/>
      <w:marRight w:val="0"/>
      <w:marTop w:val="0"/>
      <w:marBottom w:val="0"/>
      <w:divBdr>
        <w:top w:val="none" w:sz="0" w:space="0" w:color="auto"/>
        <w:left w:val="none" w:sz="0" w:space="0" w:color="auto"/>
        <w:bottom w:val="none" w:sz="0" w:space="0" w:color="auto"/>
        <w:right w:val="none" w:sz="0" w:space="0" w:color="auto"/>
      </w:divBdr>
    </w:div>
    <w:div w:id="853496937">
      <w:bodyDiv w:val="1"/>
      <w:marLeft w:val="0"/>
      <w:marRight w:val="0"/>
      <w:marTop w:val="0"/>
      <w:marBottom w:val="0"/>
      <w:divBdr>
        <w:top w:val="none" w:sz="0" w:space="0" w:color="auto"/>
        <w:left w:val="none" w:sz="0" w:space="0" w:color="auto"/>
        <w:bottom w:val="none" w:sz="0" w:space="0" w:color="auto"/>
        <w:right w:val="none" w:sz="0" w:space="0" w:color="auto"/>
      </w:divBdr>
    </w:div>
    <w:div w:id="1025519459">
      <w:bodyDiv w:val="1"/>
      <w:marLeft w:val="0"/>
      <w:marRight w:val="0"/>
      <w:marTop w:val="0"/>
      <w:marBottom w:val="0"/>
      <w:divBdr>
        <w:top w:val="none" w:sz="0" w:space="0" w:color="auto"/>
        <w:left w:val="none" w:sz="0" w:space="0" w:color="auto"/>
        <w:bottom w:val="none" w:sz="0" w:space="0" w:color="auto"/>
        <w:right w:val="none" w:sz="0" w:space="0" w:color="auto"/>
      </w:divBdr>
    </w:div>
    <w:div w:id="1052656116">
      <w:bodyDiv w:val="1"/>
      <w:marLeft w:val="0"/>
      <w:marRight w:val="0"/>
      <w:marTop w:val="0"/>
      <w:marBottom w:val="0"/>
      <w:divBdr>
        <w:top w:val="none" w:sz="0" w:space="0" w:color="auto"/>
        <w:left w:val="none" w:sz="0" w:space="0" w:color="auto"/>
        <w:bottom w:val="none" w:sz="0" w:space="0" w:color="auto"/>
        <w:right w:val="none" w:sz="0" w:space="0" w:color="auto"/>
      </w:divBdr>
    </w:div>
    <w:div w:id="1481271794">
      <w:bodyDiv w:val="1"/>
      <w:marLeft w:val="0"/>
      <w:marRight w:val="0"/>
      <w:marTop w:val="0"/>
      <w:marBottom w:val="0"/>
      <w:divBdr>
        <w:top w:val="none" w:sz="0" w:space="0" w:color="auto"/>
        <w:left w:val="none" w:sz="0" w:space="0" w:color="auto"/>
        <w:bottom w:val="none" w:sz="0" w:space="0" w:color="auto"/>
        <w:right w:val="none" w:sz="0" w:space="0" w:color="auto"/>
      </w:divBdr>
    </w:div>
    <w:div w:id="1765952016">
      <w:bodyDiv w:val="1"/>
      <w:marLeft w:val="0"/>
      <w:marRight w:val="0"/>
      <w:marTop w:val="0"/>
      <w:marBottom w:val="0"/>
      <w:divBdr>
        <w:top w:val="none" w:sz="0" w:space="0" w:color="auto"/>
        <w:left w:val="none" w:sz="0" w:space="0" w:color="auto"/>
        <w:bottom w:val="none" w:sz="0" w:space="0" w:color="auto"/>
        <w:right w:val="none" w:sz="0" w:space="0" w:color="auto"/>
      </w:divBdr>
    </w:div>
    <w:div w:id="1772781291">
      <w:bodyDiv w:val="1"/>
      <w:marLeft w:val="0"/>
      <w:marRight w:val="0"/>
      <w:marTop w:val="0"/>
      <w:marBottom w:val="0"/>
      <w:divBdr>
        <w:top w:val="none" w:sz="0" w:space="0" w:color="auto"/>
        <w:left w:val="none" w:sz="0" w:space="0" w:color="auto"/>
        <w:bottom w:val="none" w:sz="0" w:space="0" w:color="auto"/>
        <w:right w:val="none" w:sz="0" w:space="0" w:color="auto"/>
      </w:divBdr>
    </w:div>
    <w:div w:id="197979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C1F7EE2-7B4A-4880-B9D9-3ACF3B6BD6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ADF08095187B949944566BEEE21EC44" ma:contentTypeVersion="" ma:contentTypeDescription="PDMS Document Site Content Type" ma:contentTypeScope="" ma:versionID="c9c6391d27547b625c267a7814fa2fef">
  <xsd:schema xmlns:xsd="http://www.w3.org/2001/XMLSchema" xmlns:xs="http://www.w3.org/2001/XMLSchema" xmlns:p="http://schemas.microsoft.com/office/2006/metadata/properties" xmlns:ns2="BC1F7EE2-7B4A-4880-B9D9-3ACF3B6BD635" targetNamespace="http://schemas.microsoft.com/office/2006/metadata/properties" ma:root="true" ma:fieldsID="ff73f850163db9cf30dd0ffa3f38cee2" ns2:_="">
    <xsd:import namespace="BC1F7EE2-7B4A-4880-B9D9-3ACF3B6BD63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F7EE2-7B4A-4880-B9D9-3ACF3B6BD63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9AAF1-35F1-41FE-9A03-973826FC0D4C}">
  <ds:schemaRefs>
    <ds:schemaRef ds:uri="http://schemas.microsoft.com/sharepoint/v3/contenttype/forms"/>
  </ds:schemaRefs>
</ds:datastoreItem>
</file>

<file path=customXml/itemProps2.xml><?xml version="1.0" encoding="utf-8"?>
<ds:datastoreItem xmlns:ds="http://schemas.openxmlformats.org/officeDocument/2006/customXml" ds:itemID="{F9D1B544-3133-4AEA-8CE7-44A28AA716F2}">
  <ds:schemaRefs>
    <ds:schemaRef ds:uri="http://schemas.microsoft.com/office/2006/metadata/properties"/>
    <ds:schemaRef ds:uri="http://schemas.microsoft.com/office/infopath/2007/PartnerControls"/>
    <ds:schemaRef ds:uri="BC1F7EE2-7B4A-4880-B9D9-3ACF3B6BD635"/>
  </ds:schemaRefs>
</ds:datastoreItem>
</file>

<file path=customXml/itemProps3.xml><?xml version="1.0" encoding="utf-8"?>
<ds:datastoreItem xmlns:ds="http://schemas.openxmlformats.org/officeDocument/2006/customXml" ds:itemID="{862E0B9C-1051-4FD1-A2A0-56A6469FB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F7EE2-7B4A-4880-B9D9-3ACF3B6B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5A7E9E-C7E4-434E-B88D-FB01910A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823</Words>
  <Characters>4822</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Dencio</dc:creator>
  <cp:keywords> [SEC=OFFICIAL:Sensitive]</cp:keywords>
  <dc:description/>
  <cp:lastModifiedBy>Lanora Molyneux</cp:lastModifiedBy>
  <cp:revision>2</cp:revision>
  <cp:lastPrinted>2021-08-05T06:56:00Z</cp:lastPrinted>
  <dcterms:created xsi:type="dcterms:W3CDTF">2021-08-12T05:00:00Z</dcterms:created>
  <dcterms:modified xsi:type="dcterms:W3CDTF">2021-08-12T05:00:00Z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13cfc75e-c072-4418-aaf1-cbba871e5468</vt:lpwstr>
  </property>
  <property fmtid="{D5CDD505-2E9C-101B-9397-08002B2CF9AE}" pid="3" name="SEC">
    <vt:lpwstr>OFFICIAL:Sensitive</vt:lpwstr>
  </property>
  <property fmtid="{D5CDD505-2E9C-101B-9397-08002B2CF9AE}" pid="4" name="ACCESS">
    <vt:lpwstr>Legal-Privilege</vt:lpwstr>
  </property>
  <property fmtid="{D5CDD505-2E9C-101B-9397-08002B2CF9AE}" pid="5" name="ContentTypeId">
    <vt:lpwstr>0x010100266966F133664895A6EE3632470D45F5008ADF08095187B949944566BEEE21EC44</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 Sensitive</vt:lpwstr>
  </property>
  <property fmtid="{D5CDD505-2E9C-101B-9397-08002B2CF9AE}" pid="9" name="PM_Qualifier">
    <vt:lpwstr/>
  </property>
  <property fmtid="{D5CDD505-2E9C-101B-9397-08002B2CF9AE}" pid="10" name="PM_SecurityClassification">
    <vt:lpwstr>OFFICIAL:Sensitive</vt:lpwstr>
  </property>
  <property fmtid="{D5CDD505-2E9C-101B-9397-08002B2CF9AE}" pid="11" name="PM_InsertionValue">
    <vt:lpwstr>OFFICIAL: Sensitive</vt:lpwstr>
  </property>
  <property fmtid="{D5CDD505-2E9C-101B-9397-08002B2CF9AE}" pid="12" name="PM_Originating_FileId">
    <vt:lpwstr>A203CF7BC4BE4DCFA1089F71F3C2598C</vt:lpwstr>
  </property>
  <property fmtid="{D5CDD505-2E9C-101B-9397-08002B2CF9AE}" pid="13" name="PM_ProtectiveMarkingValue_Footer">
    <vt:lpwstr>Legal privilege_x000d_
OFFICIAL: Sensitive</vt:lpwstr>
  </property>
  <property fmtid="{D5CDD505-2E9C-101B-9397-08002B2CF9AE}" pid="14" name="PM_Originator_Hash_SHA1">
    <vt:lpwstr>F9A0BAB14F2D675210F47F5433EF60CBFFB96A34</vt:lpwstr>
  </property>
  <property fmtid="{D5CDD505-2E9C-101B-9397-08002B2CF9AE}" pid="15" name="PM_OriginationTimeStamp">
    <vt:lpwstr>2021-08-12T05:00:22Z</vt:lpwstr>
  </property>
  <property fmtid="{D5CDD505-2E9C-101B-9397-08002B2CF9AE}" pid="16" name="PM_ProtectiveMarkingValue_Header">
    <vt:lpwstr>OFFICIAL: Sensitive_x000d_
Legal privilege</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Legal-Privilege</vt:lpwstr>
  </property>
  <property fmtid="{D5CDD505-2E9C-101B-9397-08002B2CF9AE}" pid="22" name="PM_Hash_Version">
    <vt:lpwstr>2018.0</vt:lpwstr>
  </property>
  <property fmtid="{D5CDD505-2E9C-101B-9397-08002B2CF9AE}" pid="23" name="PM_Hash_Salt_Prev">
    <vt:lpwstr>A3AC5783B28C06309618DAD3D54FBB3E</vt:lpwstr>
  </property>
  <property fmtid="{D5CDD505-2E9C-101B-9397-08002B2CF9AE}" pid="24" name="PM_Hash_Salt">
    <vt:lpwstr>C497BD2A2996AEC5D84C138918CF002B</vt:lpwstr>
  </property>
  <property fmtid="{D5CDD505-2E9C-101B-9397-08002B2CF9AE}" pid="25" name="PM_Hash_SHA1">
    <vt:lpwstr>E0A8025A50145C3EBA7E5D8C7EDEE2204CB8298A</vt:lpwstr>
  </property>
  <property fmtid="{D5CDD505-2E9C-101B-9397-08002B2CF9AE}" pid="26" name="PM_SecurityClassification_Prev">
    <vt:lpwstr>OFFICIAL:Sensitive</vt:lpwstr>
  </property>
  <property fmtid="{D5CDD505-2E9C-101B-9397-08002B2CF9AE}" pid="27" name="PM_Qualifier_Prev">
    <vt:lpwstr/>
  </property>
</Properties>
</file>