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3D511" w14:textId="77777777" w:rsidR="00955175" w:rsidRDefault="00955175" w:rsidP="00E2168B">
      <w:pPr>
        <w:spacing w:before="280" w:after="240"/>
        <w:rPr>
          <w:b/>
          <w:sz w:val="32"/>
          <w:szCs w:val="32"/>
        </w:rPr>
      </w:pPr>
    </w:p>
    <w:p w14:paraId="1641A886" w14:textId="43DD0BD7" w:rsidR="00955175" w:rsidRPr="00F62BE7" w:rsidRDefault="00444571" w:rsidP="00E2168B">
      <w:pPr>
        <w:spacing w:before="280" w:after="240"/>
        <w:rPr>
          <w:b/>
          <w:sz w:val="32"/>
          <w:szCs w:val="32"/>
        </w:rPr>
      </w:pPr>
      <w:r w:rsidRPr="00F62BE7">
        <w:rPr>
          <w:noProof/>
        </w:rPr>
        <w:drawing>
          <wp:anchor distT="0" distB="0" distL="114300" distR="114300" simplePos="0" relativeHeight="251658240" behindDoc="0" locked="0" layoutInCell="1" allowOverlap="1" wp14:anchorId="33B5448A" wp14:editId="21A7F7E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542030" cy="746760"/>
            <wp:effectExtent l="0" t="0" r="0" b="0"/>
            <wp:wrapSquare wrapText="bothSides"/>
            <wp:docPr id="3" name="Picture 3" descr="Australian Securities and Investments Com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stralian Securities and Investments Commissi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EAE1C3" w14:textId="77777777" w:rsidR="00955175" w:rsidRPr="00F62BE7" w:rsidRDefault="00955175" w:rsidP="00955175">
      <w:pPr>
        <w:pStyle w:val="LI-Title"/>
        <w:pBdr>
          <w:top w:val="none" w:sz="0" w:space="0" w:color="auto"/>
        </w:pBdr>
        <w:jc w:val="center"/>
      </w:pPr>
    </w:p>
    <w:p w14:paraId="20E3E1D0" w14:textId="77777777" w:rsidR="00955175" w:rsidRPr="00F62BE7" w:rsidRDefault="00955175" w:rsidP="00955175">
      <w:pPr>
        <w:pStyle w:val="LI-Title"/>
        <w:pBdr>
          <w:top w:val="none" w:sz="0" w:space="0" w:color="auto"/>
        </w:pBdr>
        <w:jc w:val="center"/>
      </w:pPr>
      <w:r w:rsidRPr="00F62BE7">
        <w:t>Explanatory Statement</w:t>
      </w:r>
    </w:p>
    <w:p w14:paraId="615AB8A9" w14:textId="77777777" w:rsidR="00955175" w:rsidRPr="00F62BE7" w:rsidRDefault="00955175" w:rsidP="00955175">
      <w:pPr>
        <w:rPr>
          <w:lang w:eastAsia="en-AU"/>
        </w:rPr>
      </w:pPr>
    </w:p>
    <w:p w14:paraId="706B0BE6" w14:textId="10B366EB" w:rsidR="00A314FB" w:rsidRPr="00F62BE7" w:rsidRDefault="00A314FB" w:rsidP="00A314FB">
      <w:pPr>
        <w:jc w:val="center"/>
        <w:rPr>
          <w:b/>
          <w:i/>
          <w:sz w:val="24"/>
          <w:szCs w:val="24"/>
          <w:lang w:eastAsia="en-AU"/>
        </w:rPr>
      </w:pPr>
      <w:r w:rsidRPr="00F62BE7">
        <w:rPr>
          <w:b/>
          <w:i/>
          <w:sz w:val="24"/>
          <w:szCs w:val="24"/>
          <w:lang w:eastAsia="en-AU"/>
        </w:rPr>
        <w:t>ASIC Corporations</w:t>
      </w:r>
      <w:r w:rsidR="007535DC" w:rsidRPr="00F62BE7">
        <w:rPr>
          <w:b/>
          <w:i/>
          <w:sz w:val="24"/>
          <w:szCs w:val="24"/>
          <w:lang w:eastAsia="en-AU"/>
        </w:rPr>
        <w:t xml:space="preserve"> and Credit</w:t>
      </w:r>
      <w:r w:rsidRPr="00F62BE7">
        <w:rPr>
          <w:b/>
          <w:i/>
          <w:sz w:val="24"/>
          <w:szCs w:val="24"/>
          <w:lang w:eastAsia="en-AU"/>
        </w:rPr>
        <w:t xml:space="preserve"> (</w:t>
      </w:r>
      <w:r w:rsidR="007F370C" w:rsidRPr="00F62BE7">
        <w:rPr>
          <w:b/>
          <w:i/>
          <w:sz w:val="24"/>
          <w:szCs w:val="24"/>
          <w:lang w:eastAsia="en-AU"/>
        </w:rPr>
        <w:t>Breach Reporting – Reportable Situations</w:t>
      </w:r>
      <w:r w:rsidRPr="00F62BE7">
        <w:rPr>
          <w:b/>
          <w:i/>
          <w:sz w:val="24"/>
          <w:szCs w:val="24"/>
          <w:lang w:eastAsia="en-AU"/>
        </w:rPr>
        <w:t>) Instrument 202</w:t>
      </w:r>
      <w:r w:rsidR="007F370C" w:rsidRPr="00F62BE7">
        <w:rPr>
          <w:b/>
          <w:i/>
          <w:sz w:val="24"/>
          <w:szCs w:val="24"/>
          <w:lang w:eastAsia="en-AU"/>
        </w:rPr>
        <w:t>1</w:t>
      </w:r>
      <w:r w:rsidRPr="00F62BE7">
        <w:rPr>
          <w:b/>
          <w:i/>
          <w:sz w:val="24"/>
          <w:szCs w:val="24"/>
          <w:lang w:eastAsia="en-AU"/>
        </w:rPr>
        <w:t>/</w:t>
      </w:r>
      <w:r w:rsidR="00355410" w:rsidRPr="00F62BE7">
        <w:rPr>
          <w:b/>
          <w:i/>
          <w:sz w:val="24"/>
          <w:szCs w:val="24"/>
          <w:lang w:eastAsia="en-AU"/>
        </w:rPr>
        <w:t>716</w:t>
      </w:r>
    </w:p>
    <w:p w14:paraId="55B474F5" w14:textId="77777777" w:rsidR="00C4170B" w:rsidRPr="00F62BE7" w:rsidRDefault="00C4170B" w:rsidP="00C4170B">
      <w:pPr>
        <w:jc w:val="center"/>
        <w:rPr>
          <w:b/>
          <w:i/>
          <w:sz w:val="28"/>
          <w:szCs w:val="28"/>
          <w:lang w:eastAsia="en-AU"/>
        </w:rPr>
      </w:pPr>
    </w:p>
    <w:p w14:paraId="06F7C555" w14:textId="39241C46" w:rsidR="00863657" w:rsidRPr="00F62BE7" w:rsidRDefault="00F800C9" w:rsidP="00F800C9">
      <w:pPr>
        <w:pStyle w:val="LI-BodyTextParaa"/>
        <w:ind w:left="0" w:firstLine="0"/>
      </w:pPr>
      <w:bookmarkStart w:id="0" w:name="BK_S3P1L1C1"/>
      <w:bookmarkEnd w:id="0"/>
      <w:r w:rsidRPr="00F62BE7">
        <w:t>This is the Explanatory Statement for</w:t>
      </w:r>
      <w:r w:rsidR="00A314FB" w:rsidRPr="00F62BE7">
        <w:t xml:space="preserve"> </w:t>
      </w:r>
      <w:r w:rsidR="007F370C" w:rsidRPr="00F62BE7">
        <w:rPr>
          <w:b/>
          <w:i/>
        </w:rPr>
        <w:t xml:space="preserve">ASIC Corporations </w:t>
      </w:r>
      <w:r w:rsidR="007535DC" w:rsidRPr="00F62BE7">
        <w:rPr>
          <w:b/>
          <w:i/>
        </w:rPr>
        <w:t xml:space="preserve">and Credit </w:t>
      </w:r>
      <w:r w:rsidR="007F370C" w:rsidRPr="00F62BE7">
        <w:rPr>
          <w:b/>
          <w:i/>
        </w:rPr>
        <w:t>(Breach Reporting – Reportable Situations) Instrument 2021/</w:t>
      </w:r>
      <w:r w:rsidR="00355410" w:rsidRPr="00F62BE7">
        <w:rPr>
          <w:b/>
          <w:i/>
        </w:rPr>
        <w:t>716</w:t>
      </w:r>
      <w:r w:rsidR="00113D7D" w:rsidRPr="00F62BE7">
        <w:rPr>
          <w:i/>
          <w:iCs/>
        </w:rPr>
        <w:t xml:space="preserve"> </w:t>
      </w:r>
      <w:r w:rsidR="00113D7D" w:rsidRPr="00F62BE7">
        <w:t>(the</w:t>
      </w:r>
      <w:r w:rsidR="007F370C" w:rsidRPr="00F62BE7">
        <w:t xml:space="preserve"> </w:t>
      </w:r>
      <w:r w:rsidR="007F370C" w:rsidRPr="00F62BE7">
        <w:rPr>
          <w:b/>
          <w:bCs/>
          <w:i/>
          <w:iCs/>
        </w:rPr>
        <w:t>Reportable Situations</w:t>
      </w:r>
      <w:r w:rsidR="00113D7D" w:rsidRPr="00F62BE7">
        <w:rPr>
          <w:i/>
          <w:iCs/>
        </w:rPr>
        <w:t xml:space="preserve"> </w:t>
      </w:r>
      <w:r w:rsidR="00113D7D" w:rsidRPr="00F62BE7">
        <w:rPr>
          <w:b/>
          <w:bCs/>
          <w:i/>
          <w:iCs/>
        </w:rPr>
        <w:t>instrument</w:t>
      </w:r>
      <w:r w:rsidR="00113D7D" w:rsidRPr="00F62BE7">
        <w:t>)</w:t>
      </w:r>
      <w:r w:rsidRPr="00F62BE7">
        <w:t>.</w:t>
      </w:r>
    </w:p>
    <w:p w14:paraId="6A59F7B0" w14:textId="77777777" w:rsidR="00F800C9" w:rsidRPr="00F62BE7" w:rsidRDefault="00863657" w:rsidP="00F800C9">
      <w:pPr>
        <w:pStyle w:val="LI-BodyTextParaa"/>
        <w:ind w:left="0" w:firstLine="0"/>
      </w:pPr>
      <w:r w:rsidRPr="00F62BE7">
        <w:t>Th</w:t>
      </w:r>
      <w:r w:rsidR="00F800C9" w:rsidRPr="00F62BE7">
        <w:t>e</w:t>
      </w:r>
      <w:r w:rsidRPr="00F62BE7">
        <w:t xml:space="preserve"> </w:t>
      </w:r>
      <w:r w:rsidR="00F800C9" w:rsidRPr="00F62BE7">
        <w:t>Explanatory Statement is approved by the Australian Securities and Investments Commission (</w:t>
      </w:r>
      <w:r w:rsidR="00F800C9" w:rsidRPr="00F62BE7">
        <w:rPr>
          <w:b/>
          <w:i/>
        </w:rPr>
        <w:t>ASIC</w:t>
      </w:r>
      <w:r w:rsidR="00F800C9" w:rsidRPr="00F62BE7">
        <w:t>).</w:t>
      </w:r>
    </w:p>
    <w:p w14:paraId="1880026B" w14:textId="77777777" w:rsidR="00113D7D" w:rsidRPr="00F62BE7" w:rsidRDefault="00113D7D" w:rsidP="00F800C9">
      <w:pPr>
        <w:pStyle w:val="LI-BodyTextNumbered"/>
        <w:ind w:left="0" w:firstLine="0"/>
        <w:rPr>
          <w:b/>
        </w:rPr>
      </w:pPr>
      <w:r w:rsidRPr="00F62BE7">
        <w:rPr>
          <w:b/>
        </w:rPr>
        <w:t>Glossary</w:t>
      </w:r>
    </w:p>
    <w:p w14:paraId="01E9706E" w14:textId="77777777" w:rsidR="00113D7D" w:rsidRDefault="00113D7D" w:rsidP="00113D7D">
      <w:pPr>
        <w:pStyle w:val="LI-BodyTextParaa"/>
        <w:ind w:left="0" w:firstLine="0"/>
      </w:pPr>
      <w:r w:rsidRPr="00F62BE7">
        <w:t>The following definitions</w:t>
      </w:r>
      <w:r>
        <w:t xml:space="preserve"> of primary and delegated legislation are used:  </w:t>
      </w:r>
    </w:p>
    <w:p w14:paraId="738AF038" w14:textId="77777777" w:rsidR="00113D7D" w:rsidRPr="00FB20F5" w:rsidRDefault="00113D7D" w:rsidP="00113D7D">
      <w:pPr>
        <w:pStyle w:val="LI-BodyTextUnnumbered"/>
        <w:ind w:left="142"/>
        <w:rPr>
          <w:b/>
          <w:i/>
          <w:sz w:val="22"/>
          <w:szCs w:val="22"/>
        </w:rPr>
      </w:pPr>
      <w:r w:rsidRPr="00FB20F5">
        <w:rPr>
          <w:b/>
          <w:i/>
          <w:sz w:val="22"/>
          <w:szCs w:val="22"/>
        </w:rPr>
        <w:t>ASIC Act</w:t>
      </w:r>
      <w:r w:rsidRPr="00FB20F5">
        <w:rPr>
          <w:sz w:val="22"/>
          <w:szCs w:val="22"/>
        </w:rPr>
        <w:t xml:space="preserve"> means the </w:t>
      </w:r>
      <w:r w:rsidRPr="00FB20F5">
        <w:rPr>
          <w:i/>
          <w:sz w:val="22"/>
          <w:szCs w:val="22"/>
        </w:rPr>
        <w:t>Australian Securities and Investments Commission Act 2001</w:t>
      </w:r>
      <w:r w:rsidRPr="00FB20F5">
        <w:rPr>
          <w:sz w:val="22"/>
          <w:szCs w:val="22"/>
        </w:rPr>
        <w:t xml:space="preserve">.  </w:t>
      </w:r>
      <w:r w:rsidRPr="00FB20F5">
        <w:rPr>
          <w:b/>
          <w:i/>
          <w:sz w:val="22"/>
          <w:szCs w:val="22"/>
        </w:rPr>
        <w:t xml:space="preserve"> </w:t>
      </w:r>
    </w:p>
    <w:p w14:paraId="342E8065" w14:textId="77777777" w:rsidR="00113D7D" w:rsidRPr="00FB20F5" w:rsidRDefault="00113D7D" w:rsidP="00113D7D">
      <w:pPr>
        <w:pStyle w:val="LI-BodyTextUnnumbered"/>
        <w:ind w:left="142"/>
        <w:rPr>
          <w:sz w:val="22"/>
          <w:szCs w:val="22"/>
        </w:rPr>
      </w:pPr>
      <w:r w:rsidRPr="00FB20F5">
        <w:rPr>
          <w:b/>
          <w:i/>
          <w:sz w:val="22"/>
          <w:szCs w:val="22"/>
        </w:rPr>
        <w:t>Corporations Act</w:t>
      </w:r>
      <w:r w:rsidRPr="00FB20F5">
        <w:rPr>
          <w:sz w:val="22"/>
          <w:szCs w:val="22"/>
        </w:rPr>
        <w:t xml:space="preserve"> means the </w:t>
      </w:r>
      <w:r w:rsidRPr="00FB20F5">
        <w:rPr>
          <w:i/>
          <w:sz w:val="22"/>
          <w:szCs w:val="22"/>
        </w:rPr>
        <w:t>Corporations Act 2001</w:t>
      </w:r>
      <w:r w:rsidRPr="00FB20F5">
        <w:rPr>
          <w:sz w:val="22"/>
          <w:szCs w:val="22"/>
        </w:rPr>
        <w:t>.</w:t>
      </w:r>
    </w:p>
    <w:p w14:paraId="77006A65" w14:textId="77777777" w:rsidR="00113D7D" w:rsidRDefault="003E0570" w:rsidP="00113D7D">
      <w:pPr>
        <w:pStyle w:val="LI-BodyTextUnnumbered"/>
        <w:ind w:left="142"/>
        <w:rPr>
          <w:bCs/>
          <w:sz w:val="22"/>
          <w:szCs w:val="22"/>
        </w:rPr>
      </w:pPr>
      <w:r>
        <w:rPr>
          <w:b/>
          <w:i/>
          <w:sz w:val="22"/>
          <w:szCs w:val="22"/>
        </w:rPr>
        <w:t xml:space="preserve">Credit Act </w:t>
      </w:r>
      <w:r w:rsidRPr="003E0570">
        <w:rPr>
          <w:bCs/>
          <w:iCs/>
          <w:sz w:val="22"/>
          <w:szCs w:val="22"/>
        </w:rPr>
        <w:t xml:space="preserve">means the </w:t>
      </w:r>
      <w:r w:rsidRPr="003E0570">
        <w:rPr>
          <w:bCs/>
          <w:i/>
          <w:sz w:val="22"/>
          <w:szCs w:val="22"/>
        </w:rPr>
        <w:t>National Consumer Credit Protection Act 2009</w:t>
      </w:r>
      <w:r w:rsidRPr="003E0570">
        <w:rPr>
          <w:bCs/>
          <w:sz w:val="22"/>
          <w:szCs w:val="22"/>
        </w:rPr>
        <w:t>.</w:t>
      </w:r>
    </w:p>
    <w:p w14:paraId="65FE9E5F" w14:textId="77777777" w:rsidR="0004082C" w:rsidRPr="0004082C" w:rsidRDefault="0004082C" w:rsidP="00113D7D">
      <w:pPr>
        <w:pStyle w:val="LI-BodyTextUnnumbered"/>
        <w:ind w:left="142"/>
        <w:rPr>
          <w:bCs/>
          <w:iCs/>
          <w:sz w:val="20"/>
        </w:rPr>
      </w:pPr>
      <w:r>
        <w:rPr>
          <w:b/>
          <w:i/>
          <w:sz w:val="22"/>
          <w:szCs w:val="22"/>
        </w:rPr>
        <w:t>IDR Standards Instrument</w:t>
      </w:r>
      <w:r>
        <w:rPr>
          <w:bCs/>
          <w:iCs/>
          <w:sz w:val="22"/>
          <w:szCs w:val="22"/>
        </w:rPr>
        <w:t xml:space="preserve"> means the </w:t>
      </w:r>
      <w:r w:rsidRPr="0004082C">
        <w:rPr>
          <w:i/>
          <w:iCs/>
          <w:sz w:val="22"/>
          <w:szCs w:val="18"/>
        </w:rPr>
        <w:t>ASIC Corporations, Credit and Superannuation (Internal Dispute Resolution) Instrument 2020/98</w:t>
      </w:r>
    </w:p>
    <w:p w14:paraId="740EA21D" w14:textId="77777777" w:rsidR="00113D7D" w:rsidRDefault="00113D7D" w:rsidP="00FC54C7">
      <w:pPr>
        <w:pStyle w:val="LI-BodyTextUnnumbered"/>
        <w:ind w:left="142"/>
        <w:rPr>
          <w:sz w:val="22"/>
          <w:szCs w:val="22"/>
        </w:rPr>
      </w:pPr>
      <w:r w:rsidRPr="00D374C1">
        <w:rPr>
          <w:b/>
          <w:i/>
          <w:sz w:val="22"/>
          <w:szCs w:val="22"/>
        </w:rPr>
        <w:t>Legislation Act</w:t>
      </w:r>
      <w:r>
        <w:rPr>
          <w:sz w:val="22"/>
          <w:szCs w:val="22"/>
        </w:rPr>
        <w:t xml:space="preserve"> means the </w:t>
      </w:r>
      <w:r w:rsidRPr="00D374C1">
        <w:rPr>
          <w:i/>
          <w:sz w:val="22"/>
          <w:szCs w:val="22"/>
        </w:rPr>
        <w:t>Legislation Act 2003</w:t>
      </w:r>
      <w:r>
        <w:rPr>
          <w:sz w:val="22"/>
          <w:szCs w:val="22"/>
        </w:rPr>
        <w:t>.</w:t>
      </w:r>
    </w:p>
    <w:p w14:paraId="706E192F" w14:textId="502086AA" w:rsidR="0004082C" w:rsidRPr="0004082C" w:rsidRDefault="0004082C" w:rsidP="00FC54C7">
      <w:pPr>
        <w:pStyle w:val="LI-BodyTextUnnumbered"/>
        <w:ind w:left="142"/>
        <w:rPr>
          <w:bCs/>
          <w:iCs/>
          <w:sz w:val="22"/>
          <w:szCs w:val="22"/>
        </w:rPr>
      </w:pPr>
      <w:r w:rsidRPr="0004082C">
        <w:rPr>
          <w:b/>
          <w:i/>
          <w:sz w:val="22"/>
          <w:szCs w:val="22"/>
        </w:rPr>
        <w:t xml:space="preserve">Reportable Situations Instrument </w:t>
      </w:r>
      <w:r w:rsidRPr="0004082C">
        <w:rPr>
          <w:bCs/>
          <w:iCs/>
          <w:sz w:val="22"/>
          <w:szCs w:val="22"/>
        </w:rPr>
        <w:t xml:space="preserve">means the </w:t>
      </w:r>
      <w:r w:rsidRPr="0004082C">
        <w:rPr>
          <w:bCs/>
          <w:i/>
          <w:sz w:val="22"/>
          <w:szCs w:val="22"/>
        </w:rPr>
        <w:t>ASIC Corporations and Credit (Breach Reporting – Reportable Situations) Instrument 2021/</w:t>
      </w:r>
      <w:r w:rsidR="00355410">
        <w:rPr>
          <w:bCs/>
          <w:i/>
          <w:sz w:val="22"/>
          <w:szCs w:val="22"/>
        </w:rPr>
        <w:t>716</w:t>
      </w:r>
    </w:p>
    <w:p w14:paraId="4AC91A95" w14:textId="77777777" w:rsidR="00F800C9" w:rsidRPr="0018659E" w:rsidRDefault="00FE2E05" w:rsidP="00F800C9">
      <w:pPr>
        <w:pStyle w:val="LI-BodyTextNumbered"/>
        <w:ind w:left="0" w:firstLine="0"/>
        <w:rPr>
          <w:b/>
        </w:rPr>
      </w:pPr>
      <w:r>
        <w:rPr>
          <w:b/>
        </w:rPr>
        <w:t>Background</w:t>
      </w:r>
    </w:p>
    <w:p w14:paraId="200D9F5F" w14:textId="70354014" w:rsidR="002C4613" w:rsidRPr="002C4613" w:rsidRDefault="007F370C" w:rsidP="00CB2A99">
      <w:pPr>
        <w:pStyle w:val="LI-BodyTextParaa"/>
        <w:numPr>
          <w:ilvl w:val="0"/>
          <w:numId w:val="16"/>
        </w:numPr>
        <w:ind w:left="709" w:hanging="425"/>
      </w:pPr>
      <w:bookmarkStart w:id="1" w:name="_Hlk78970277"/>
      <w:r>
        <w:t xml:space="preserve">On </w:t>
      </w:r>
      <w:r w:rsidR="000622FD" w:rsidRPr="000622FD">
        <w:t>30 July 2020</w:t>
      </w:r>
      <w:r w:rsidR="007265E0" w:rsidRPr="00AC6270">
        <w:t>,</w:t>
      </w:r>
      <w:r w:rsidR="0052767A" w:rsidRPr="00121DFE">
        <w:t xml:space="preserve"> ASIC made</w:t>
      </w:r>
      <w:r w:rsidRPr="007F370C">
        <w:t xml:space="preserve"> </w:t>
      </w:r>
      <w:r w:rsidRPr="007F370C">
        <w:rPr>
          <w:i/>
          <w:iCs/>
        </w:rPr>
        <w:t>ASIC Corporations, Credit and Superannuation (Internal Dispute Resolution) Instrument 2020/98</w:t>
      </w:r>
      <w:r w:rsidR="00FE2E05">
        <w:rPr>
          <w:i/>
          <w:iCs/>
        </w:rPr>
        <w:t xml:space="preserve"> (IDR Standards Instrument)</w:t>
      </w:r>
      <w:r w:rsidRPr="007F370C">
        <w:t>, whic</w:t>
      </w:r>
      <w:r>
        <w:t xml:space="preserve">h, </w:t>
      </w:r>
      <w:r w:rsidRPr="007F370C">
        <w:rPr>
          <w:i/>
          <w:iCs/>
        </w:rPr>
        <w:t>inter alia</w:t>
      </w:r>
      <w:r>
        <w:t xml:space="preserve">, specifies and approves standards for the purposes of </w:t>
      </w:r>
      <w:r w:rsidR="00C40772">
        <w:t xml:space="preserve">subparagraph </w:t>
      </w:r>
      <w:r>
        <w:t>912A(2)(a)(i)</w:t>
      </w:r>
      <w:r w:rsidR="003E0570">
        <w:t xml:space="preserve"> </w:t>
      </w:r>
      <w:r>
        <w:t xml:space="preserve">of the </w:t>
      </w:r>
      <w:r w:rsidRPr="00BF6F77">
        <w:rPr>
          <w:i/>
          <w:iCs/>
        </w:rPr>
        <w:t>Corporations Act</w:t>
      </w:r>
      <w:r w:rsidR="003E0570" w:rsidRPr="00BF6F77">
        <w:rPr>
          <w:i/>
          <w:iCs/>
        </w:rPr>
        <w:t xml:space="preserve"> </w:t>
      </w:r>
      <w:r w:rsidR="004C6DCA" w:rsidRPr="00BF6F77">
        <w:rPr>
          <w:i/>
          <w:iCs/>
        </w:rPr>
        <w:t>2001</w:t>
      </w:r>
      <w:r w:rsidR="004C6DCA">
        <w:t xml:space="preserve"> (</w:t>
      </w:r>
      <w:r w:rsidR="004C6DCA" w:rsidRPr="00BF6F77">
        <w:rPr>
          <w:i/>
          <w:iCs/>
        </w:rPr>
        <w:t>Corporations Act</w:t>
      </w:r>
      <w:r w:rsidR="004C6DCA">
        <w:t xml:space="preserve">) </w:t>
      </w:r>
      <w:r w:rsidR="003E0570">
        <w:t xml:space="preserve">and </w:t>
      </w:r>
      <w:r w:rsidR="004F19AD">
        <w:t xml:space="preserve">paragraph </w:t>
      </w:r>
      <w:r w:rsidR="003E0570">
        <w:t xml:space="preserve">47(1)(h) of the </w:t>
      </w:r>
      <w:r w:rsidR="004C6DCA" w:rsidRPr="003E0570">
        <w:rPr>
          <w:bCs/>
          <w:i/>
          <w:sz w:val="22"/>
          <w:szCs w:val="22"/>
        </w:rPr>
        <w:t>National Consumer Credit Protection Act</w:t>
      </w:r>
      <w:r w:rsidR="004C6DCA">
        <w:rPr>
          <w:bCs/>
          <w:i/>
          <w:sz w:val="22"/>
          <w:szCs w:val="22"/>
        </w:rPr>
        <w:t> </w:t>
      </w:r>
      <w:r w:rsidR="004C6DCA" w:rsidRPr="003E0570">
        <w:rPr>
          <w:bCs/>
          <w:i/>
          <w:sz w:val="22"/>
          <w:szCs w:val="22"/>
        </w:rPr>
        <w:t>2009</w:t>
      </w:r>
      <w:r w:rsidR="004C6DCA">
        <w:rPr>
          <w:bCs/>
          <w:i/>
          <w:sz w:val="22"/>
          <w:szCs w:val="22"/>
        </w:rPr>
        <w:t xml:space="preserve"> </w:t>
      </w:r>
      <w:r w:rsidR="004C6DCA">
        <w:rPr>
          <w:bCs/>
          <w:iCs/>
          <w:sz w:val="22"/>
          <w:szCs w:val="22"/>
        </w:rPr>
        <w:t>(</w:t>
      </w:r>
      <w:r w:rsidR="003E0570">
        <w:t>Credit Act</w:t>
      </w:r>
      <w:r w:rsidR="004C6DCA">
        <w:t>)</w:t>
      </w:r>
      <w:r>
        <w:t xml:space="preserve">. </w:t>
      </w:r>
      <w:r w:rsidR="002C4613">
        <w:t>It does so by reference to enumerated paragraphs in ASIC Regulatory Guide RG</w:t>
      </w:r>
      <w:r w:rsidR="00A65AA1">
        <w:t> </w:t>
      </w:r>
      <w:r w:rsidR="002C4613">
        <w:t xml:space="preserve">271 </w:t>
      </w:r>
      <w:r w:rsidR="009F4FDA" w:rsidRPr="000622FD">
        <w:rPr>
          <w:i/>
          <w:iCs/>
        </w:rPr>
        <w:t>Internal dispute resolution</w:t>
      </w:r>
      <w:r w:rsidR="004C6DCA">
        <w:rPr>
          <w:i/>
          <w:iCs/>
        </w:rPr>
        <w:t xml:space="preserve"> </w:t>
      </w:r>
      <w:r w:rsidR="004C6DCA">
        <w:t>(RG 271)</w:t>
      </w:r>
      <w:r w:rsidR="002C4613">
        <w:rPr>
          <w:i/>
          <w:iCs/>
        </w:rPr>
        <w:t xml:space="preserve">. </w:t>
      </w:r>
    </w:p>
    <w:p w14:paraId="45A7BFCD" w14:textId="5FB693E7" w:rsidR="0052767A" w:rsidRPr="007F370C" w:rsidRDefault="00A65AA1" w:rsidP="00CB2A99">
      <w:pPr>
        <w:pStyle w:val="LI-BodyTextParaa"/>
        <w:numPr>
          <w:ilvl w:val="0"/>
          <w:numId w:val="16"/>
        </w:numPr>
        <w:ind w:left="709" w:hanging="425"/>
      </w:pPr>
      <w:r>
        <w:t xml:space="preserve">Compliance with any such specified or approved standards </w:t>
      </w:r>
      <w:r w:rsidR="007F370C">
        <w:t>is a</w:t>
      </w:r>
      <w:r w:rsidR="007E25F6">
        <w:t>n obligation</w:t>
      </w:r>
      <w:r w:rsidR="007F370C">
        <w:t xml:space="preserve">  under </w:t>
      </w:r>
      <w:r w:rsidR="004F19AD">
        <w:t xml:space="preserve">subparagraph </w:t>
      </w:r>
      <w:r w:rsidR="007F370C">
        <w:t>912A(1)(g)</w:t>
      </w:r>
      <w:r>
        <w:t>(</w:t>
      </w:r>
      <w:r w:rsidR="001178CD">
        <w:t>ia</w:t>
      </w:r>
      <w:r>
        <w:t>)</w:t>
      </w:r>
      <w:r w:rsidR="007F370C">
        <w:t xml:space="preserve"> of the Corporations Act</w:t>
      </w:r>
      <w:r w:rsidR="003E0570">
        <w:t xml:space="preserve">, and under </w:t>
      </w:r>
      <w:r w:rsidR="004F19AD">
        <w:t xml:space="preserve">subparagraph </w:t>
      </w:r>
      <w:r w:rsidR="003E0570">
        <w:t>47(1)(h)</w:t>
      </w:r>
      <w:r>
        <w:t>(ii)</w:t>
      </w:r>
      <w:r w:rsidR="003E0570">
        <w:t xml:space="preserve"> of the Credit Act</w:t>
      </w:r>
      <w:r w:rsidR="0004082C">
        <w:t xml:space="preserve"> (both as</w:t>
      </w:r>
      <w:r w:rsidR="006A01C7">
        <w:t xml:space="preserve"> notionally</w:t>
      </w:r>
      <w:r w:rsidR="0004082C">
        <w:t xml:space="preserve"> </w:t>
      </w:r>
      <w:r>
        <w:t>inserted</w:t>
      </w:r>
      <w:r w:rsidR="0004082C">
        <w:t xml:space="preserve"> by </w:t>
      </w:r>
      <w:r>
        <w:lastRenderedPageBreak/>
        <w:t>clause</w:t>
      </w:r>
      <w:r w:rsidR="0004082C">
        <w:t xml:space="preserve"> 7 of the </w:t>
      </w:r>
      <w:r w:rsidR="0004082C" w:rsidRPr="0004082C">
        <w:rPr>
          <w:i/>
          <w:iCs/>
        </w:rPr>
        <w:t>IDR Standards Instrument</w:t>
      </w:r>
      <w:r w:rsidR="0004082C">
        <w:t>)</w:t>
      </w:r>
      <w:r w:rsidR="003E0570">
        <w:t xml:space="preserve">. </w:t>
      </w:r>
      <w:r w:rsidR="008622E4">
        <w:t xml:space="preserve">Subsections 912A(5A) of the Corporations Act and 47(4) of the Credit Act </w:t>
      </w:r>
      <w:r w:rsidR="00AA43C4">
        <w:t>makes</w:t>
      </w:r>
      <w:r w:rsidR="008622E4">
        <w:t xml:space="preserve"> non-compliance with these </w:t>
      </w:r>
      <w:r w:rsidR="009E34B9">
        <w:t xml:space="preserve">general obligations </w:t>
      </w:r>
      <w:r w:rsidR="008622E4">
        <w:t>a civil penalty provision</w:t>
      </w:r>
      <w:r w:rsidR="001D0254">
        <w:t xml:space="preserve"> for the purposes of their respective legislative regimes.</w:t>
      </w:r>
      <w:r w:rsidR="008622E4">
        <w:t xml:space="preserve"> </w:t>
      </w:r>
    </w:p>
    <w:p w14:paraId="4F75EF77" w14:textId="410269BB" w:rsidR="00C04C9C" w:rsidRDefault="007F370C" w:rsidP="00CB2A99">
      <w:pPr>
        <w:pStyle w:val="LI-BodyTextParaa"/>
        <w:numPr>
          <w:ilvl w:val="0"/>
          <w:numId w:val="16"/>
        </w:numPr>
        <w:ind w:left="709" w:hanging="425"/>
      </w:pPr>
      <w:r>
        <w:t xml:space="preserve">On </w:t>
      </w:r>
      <w:r w:rsidR="00AE2351">
        <w:t>1</w:t>
      </w:r>
      <w:r w:rsidR="0031223A">
        <w:t>0</w:t>
      </w:r>
      <w:r w:rsidR="00AE2351">
        <w:t xml:space="preserve"> December 2020</w:t>
      </w:r>
      <w:r>
        <w:t xml:space="preserve">, the </w:t>
      </w:r>
      <w:r>
        <w:rPr>
          <w:i/>
          <w:iCs/>
        </w:rPr>
        <w:t>Financial S</w:t>
      </w:r>
      <w:r w:rsidR="009F4FDA">
        <w:rPr>
          <w:i/>
          <w:iCs/>
        </w:rPr>
        <w:t>ector</w:t>
      </w:r>
      <w:r>
        <w:rPr>
          <w:i/>
          <w:iCs/>
        </w:rPr>
        <w:t xml:space="preserve"> Reform (Hayne Royal Commission Response) Act 2020</w:t>
      </w:r>
      <w:r>
        <w:t xml:space="preserve"> (the </w:t>
      </w:r>
      <w:r w:rsidRPr="007F370C">
        <w:rPr>
          <w:i/>
          <w:iCs/>
        </w:rPr>
        <w:t xml:space="preserve">FSRC </w:t>
      </w:r>
      <w:r w:rsidR="00FE2E05">
        <w:rPr>
          <w:i/>
          <w:iCs/>
        </w:rPr>
        <w:t xml:space="preserve">Reform </w:t>
      </w:r>
      <w:r w:rsidRPr="007F370C">
        <w:rPr>
          <w:i/>
          <w:iCs/>
        </w:rPr>
        <w:t>Act</w:t>
      </w:r>
      <w:r>
        <w:t xml:space="preserve">) was passed, which amended the breach reporting obligations set out in section 912D </w:t>
      </w:r>
      <w:r w:rsidR="003E0570">
        <w:t xml:space="preserve">of the </w:t>
      </w:r>
      <w:r>
        <w:t>Corporations Act</w:t>
      </w:r>
      <w:r w:rsidR="00A65AA1">
        <w:t xml:space="preserve"> and</w:t>
      </w:r>
      <w:r w:rsidR="003E0570">
        <w:t xml:space="preserve"> inserted parallel obligations into the Credit Act</w:t>
      </w:r>
      <w:r>
        <w:t xml:space="preserve">, in particular </w:t>
      </w:r>
      <w:r w:rsidR="006A01C7">
        <w:t xml:space="preserve">relating </w:t>
      </w:r>
      <w:r>
        <w:t xml:space="preserve">to </w:t>
      </w:r>
      <w:r w:rsidR="001D0254">
        <w:t xml:space="preserve">reporting requirements for contraventions of civil penalty provisions, including those contained in subsection 912A(5A) of the Corporations Act and subsection 47(4) of the Credit Act. </w:t>
      </w:r>
    </w:p>
    <w:p w14:paraId="7A7099D2" w14:textId="162B1756" w:rsidR="00FC54C7" w:rsidRDefault="00FE2E05" w:rsidP="00CB2A99">
      <w:pPr>
        <w:pStyle w:val="LI-BodyTextParaa"/>
        <w:numPr>
          <w:ilvl w:val="0"/>
          <w:numId w:val="16"/>
        </w:numPr>
        <w:ind w:left="709" w:hanging="425"/>
      </w:pPr>
      <w:r>
        <w:t xml:space="preserve">As a result of the </w:t>
      </w:r>
      <w:r w:rsidRPr="00FE2E05">
        <w:rPr>
          <w:i/>
          <w:iCs/>
        </w:rPr>
        <w:t>FSRC Reform Act</w:t>
      </w:r>
      <w:r>
        <w:t xml:space="preserve">, </w:t>
      </w:r>
      <w:r w:rsidR="00964A88">
        <w:t xml:space="preserve">a </w:t>
      </w:r>
      <w:r w:rsidR="001D0254">
        <w:t xml:space="preserve">contravention of subsection 912A(5A) of the Corporations Act and subsection 47(4) of the Credit Act, arising from a  </w:t>
      </w:r>
      <w:r>
        <w:t>failure by a licensee to comply with</w:t>
      </w:r>
      <w:r w:rsidR="00A65AA1">
        <w:t xml:space="preserve"> notional </w:t>
      </w:r>
      <w:r w:rsidR="004F19AD">
        <w:t xml:space="preserve">subparagraphs </w:t>
      </w:r>
      <w:r w:rsidR="00A65AA1">
        <w:t>912A(1)(g)(ia)</w:t>
      </w:r>
      <w:r>
        <w:t xml:space="preserve"> </w:t>
      </w:r>
      <w:r w:rsidR="00C6272C">
        <w:t>of the Corporations Act or 47(1)(h)</w:t>
      </w:r>
      <w:r w:rsidR="00964A88">
        <w:t>(ii)</w:t>
      </w:r>
      <w:r w:rsidR="00C6272C">
        <w:t xml:space="preserve"> of the Credit Act</w:t>
      </w:r>
      <w:r>
        <w:t xml:space="preserve"> </w:t>
      </w:r>
      <w:r w:rsidR="007260AD">
        <w:t>is</w:t>
      </w:r>
      <w:r w:rsidR="00CF2ED7">
        <w:t xml:space="preserve"> deemed to be </w:t>
      </w:r>
      <w:r w:rsidR="007260AD">
        <w:t xml:space="preserve">a </w:t>
      </w:r>
      <w:r>
        <w:t xml:space="preserve">‘reportable situation’ </w:t>
      </w:r>
      <w:r w:rsidR="00CF2ED7">
        <w:t xml:space="preserve">(by </w:t>
      </w:r>
      <w:r w:rsidR="004F19AD">
        <w:t xml:space="preserve">paragraph </w:t>
      </w:r>
      <w:r w:rsidR="00CF2ED7">
        <w:t xml:space="preserve">912D(4)(b) of the Corporations Act, and </w:t>
      </w:r>
      <w:r w:rsidR="004F19AD">
        <w:t xml:space="preserve">paragraph </w:t>
      </w:r>
      <w:r w:rsidR="00CF2ED7">
        <w:t>40A(4)(b) of the Credit Act). L</w:t>
      </w:r>
      <w:r>
        <w:t xml:space="preserve">icensees </w:t>
      </w:r>
      <w:r w:rsidR="002C3B94">
        <w:t xml:space="preserve">are required </w:t>
      </w:r>
      <w:r>
        <w:t xml:space="preserve">to report </w:t>
      </w:r>
      <w:r w:rsidR="00964A88">
        <w:t xml:space="preserve">such </w:t>
      </w:r>
      <w:r w:rsidR="00CF2ED7">
        <w:t xml:space="preserve">‘reportable situations’ </w:t>
      </w:r>
      <w:r w:rsidR="00390531">
        <w:t>under section 912DAA</w:t>
      </w:r>
      <w:r w:rsidR="00AE2351">
        <w:t xml:space="preserve"> of the Corporations Act or</w:t>
      </w:r>
      <w:r w:rsidR="000622FD">
        <w:t xml:space="preserve"> section</w:t>
      </w:r>
      <w:r w:rsidR="00AE2351">
        <w:t xml:space="preserve"> 50B of the Credit Act</w:t>
      </w:r>
      <w:r>
        <w:t>.</w:t>
      </w:r>
    </w:p>
    <w:p w14:paraId="4CC9F537" w14:textId="77777777" w:rsidR="005D1FEA" w:rsidRDefault="005D1FEA" w:rsidP="005D1FEA">
      <w:pPr>
        <w:pStyle w:val="LI-BodyTextNumbered"/>
        <w:ind w:hanging="1134"/>
        <w:rPr>
          <w:b/>
        </w:rPr>
      </w:pPr>
      <w:r>
        <w:rPr>
          <w:b/>
        </w:rPr>
        <w:t>Purpose of the instrument</w:t>
      </w:r>
    </w:p>
    <w:p w14:paraId="7AD1166B" w14:textId="7D5F0E0C" w:rsidR="0004082C" w:rsidRDefault="00FE2E05" w:rsidP="00CB2A99">
      <w:pPr>
        <w:pStyle w:val="LI-BodyTextParaa"/>
        <w:numPr>
          <w:ilvl w:val="0"/>
          <w:numId w:val="16"/>
        </w:numPr>
        <w:ind w:left="709" w:hanging="567"/>
      </w:pPr>
      <w:r>
        <w:t>The Reportable Situations Instrument is intended to</w:t>
      </w:r>
      <w:r w:rsidR="00FC5FF6">
        <w:t xml:space="preserve"> notionally modify the law to</w:t>
      </w:r>
      <w:r>
        <w:t xml:space="preserve"> </w:t>
      </w:r>
      <w:r w:rsidR="008E0E23">
        <w:t xml:space="preserve">exclude </w:t>
      </w:r>
      <w:r w:rsidR="002C4613">
        <w:t xml:space="preserve">non-compliance with </w:t>
      </w:r>
      <w:r w:rsidR="008E0E23">
        <w:t xml:space="preserve">standards set out </w:t>
      </w:r>
      <w:r w:rsidR="002C4613">
        <w:t xml:space="preserve">in the </w:t>
      </w:r>
      <w:r w:rsidR="002C4613" w:rsidRPr="002C4613">
        <w:rPr>
          <w:i/>
          <w:iCs/>
        </w:rPr>
        <w:t>IDR Standards Instruments</w:t>
      </w:r>
      <w:r w:rsidR="002C4613">
        <w:t xml:space="preserve"> from the </w:t>
      </w:r>
      <w:r w:rsidR="00CF2ED7">
        <w:t>categories</w:t>
      </w:r>
      <w:r w:rsidR="005F203F">
        <w:t xml:space="preserve"> of </w:t>
      </w:r>
      <w:r w:rsidR="002C4613">
        <w:t xml:space="preserve">situations </w:t>
      </w:r>
      <w:r w:rsidR="00CF2ED7">
        <w:t xml:space="preserve">deemed to be </w:t>
      </w:r>
      <w:r w:rsidR="008E0E23">
        <w:t>‘significant’ breaches of core obligations</w:t>
      </w:r>
      <w:r w:rsidR="00CF2ED7">
        <w:t xml:space="preserve"> </w:t>
      </w:r>
      <w:r w:rsidR="002C4613">
        <w:t xml:space="preserve">about which licensees are </w:t>
      </w:r>
      <w:r w:rsidR="00E17A3E">
        <w:t xml:space="preserve">to be </w:t>
      </w:r>
      <w:r w:rsidR="002C4613">
        <w:t xml:space="preserve">required to lodge breach reports. </w:t>
      </w:r>
    </w:p>
    <w:p w14:paraId="42560619" w14:textId="72FE2E50" w:rsidR="00AA43C4" w:rsidRPr="00BF6F77" w:rsidRDefault="00FC5FF6" w:rsidP="00CB2A99">
      <w:pPr>
        <w:pStyle w:val="LI-BodyTextParaa"/>
        <w:numPr>
          <w:ilvl w:val="0"/>
          <w:numId w:val="16"/>
        </w:numPr>
        <w:ind w:left="709" w:hanging="567"/>
        <w:rPr>
          <w:rFonts w:cs="Calibri"/>
        </w:rPr>
      </w:pPr>
      <w:r w:rsidRPr="00BF6F77">
        <w:rPr>
          <w:rFonts w:cs="Calibri"/>
        </w:rPr>
        <w:t xml:space="preserve">The </w:t>
      </w:r>
      <w:r w:rsidR="00AA43C4" w:rsidRPr="00BF6F77">
        <w:rPr>
          <w:rFonts w:cs="Calibri"/>
        </w:rPr>
        <w:t>IDR Instrument was made</w:t>
      </w:r>
      <w:r w:rsidRPr="00BF6F77">
        <w:rPr>
          <w:rFonts w:cs="Calibri"/>
        </w:rPr>
        <w:t xml:space="preserve"> with the intention of </w:t>
      </w:r>
      <w:r w:rsidR="00AA43C4" w:rsidRPr="00BF6F77">
        <w:rPr>
          <w:rFonts w:cs="Calibri"/>
        </w:rPr>
        <w:t>attach</w:t>
      </w:r>
      <w:r w:rsidRPr="00BF6F77">
        <w:rPr>
          <w:rFonts w:cs="Calibri"/>
        </w:rPr>
        <w:t>ing</w:t>
      </w:r>
      <w:r w:rsidR="00AA43C4" w:rsidRPr="00BF6F77">
        <w:rPr>
          <w:rFonts w:cs="Calibri"/>
        </w:rPr>
        <w:t xml:space="preserve"> </w:t>
      </w:r>
      <w:r w:rsidRPr="00BF6F77">
        <w:rPr>
          <w:rFonts w:cs="Calibri"/>
        </w:rPr>
        <w:t xml:space="preserve">pecuniary penalties to non-compliance with ASIC’s prescribed standards. It was not anticipated </w:t>
      </w:r>
      <w:r w:rsidR="00DF748E">
        <w:rPr>
          <w:rFonts w:cs="Calibri"/>
        </w:rPr>
        <w:t xml:space="preserve">that attaching a pecuniary penalty in this manner would automatically result in the breach being </w:t>
      </w:r>
      <w:r w:rsidRPr="00BF6F77">
        <w:rPr>
          <w:rFonts w:cs="Calibri"/>
        </w:rPr>
        <w:t xml:space="preserve">deemed ‘significant’ and therefore reportable. </w:t>
      </w:r>
    </w:p>
    <w:p w14:paraId="7934D767" w14:textId="3C55157D" w:rsidR="001D0254" w:rsidRPr="001F3A38" w:rsidRDefault="00215200" w:rsidP="00CB2A99">
      <w:pPr>
        <w:pStyle w:val="LI-BodyTextParaa"/>
        <w:numPr>
          <w:ilvl w:val="0"/>
          <w:numId w:val="16"/>
        </w:numPr>
        <w:ind w:left="709" w:hanging="567"/>
        <w:rPr>
          <w:rFonts w:cs="Calibri"/>
          <w:color w:val="0070C0"/>
        </w:rPr>
      </w:pPr>
      <w:r>
        <w:t>The</w:t>
      </w:r>
      <w:r w:rsidR="001D0254" w:rsidRPr="00C52E7C">
        <w:t xml:space="preserve"> </w:t>
      </w:r>
      <w:r w:rsidR="001D0254">
        <w:t>Reportable Situations Instrument</w:t>
      </w:r>
      <w:r w:rsidR="00DF748E">
        <w:t xml:space="preserve"> therefore</w:t>
      </w:r>
      <w:r w:rsidR="001D0254">
        <w:t xml:space="preserve"> </w:t>
      </w:r>
      <w:r w:rsidR="001D0254" w:rsidRPr="00C52E7C">
        <w:t xml:space="preserve">provides administrative relief in circumstances where strict compliance with the </w:t>
      </w:r>
      <w:r>
        <w:t xml:space="preserve">legal obligations imposed </w:t>
      </w:r>
      <w:r w:rsidR="00EC4CCC">
        <w:t xml:space="preserve">by </w:t>
      </w:r>
      <w:r w:rsidR="001D0254">
        <w:t xml:space="preserve">primary legislation (as notionally modified by the </w:t>
      </w:r>
      <w:r w:rsidR="001D0254">
        <w:rPr>
          <w:i/>
          <w:iCs/>
        </w:rPr>
        <w:t xml:space="preserve">IDR Standards </w:t>
      </w:r>
      <w:r w:rsidR="001D0254" w:rsidRPr="004C6DCA">
        <w:rPr>
          <w:i/>
          <w:iCs/>
        </w:rPr>
        <w:t>Instrument</w:t>
      </w:r>
      <w:r w:rsidR="001D0254">
        <w:t xml:space="preserve">) </w:t>
      </w:r>
      <w:r w:rsidR="00DF748E">
        <w:t>results in every</w:t>
      </w:r>
      <w:r w:rsidR="001D0254">
        <w:t xml:space="preserve"> failure to comply with any of the enumerated paragraphs in RG271 </w:t>
      </w:r>
      <w:r w:rsidR="00DF748E">
        <w:t xml:space="preserve">being </w:t>
      </w:r>
      <w:r w:rsidR="001D0254">
        <w:t xml:space="preserve">automatically considered ‘significant’, and therefore a ‘reportable situation’. </w:t>
      </w:r>
      <w:r w:rsidR="001D0254" w:rsidRPr="00C52E7C">
        <w:t xml:space="preserve">On this basis, it is appropriate for ASIC to provide relief through its </w:t>
      </w:r>
      <w:r w:rsidR="001D0254">
        <w:t xml:space="preserve">exemption and </w:t>
      </w:r>
      <w:r w:rsidR="001D0254" w:rsidRPr="00C52E7C">
        <w:t xml:space="preserve">modification powers, as the matters contained in </w:t>
      </w:r>
      <w:r w:rsidR="001D0254">
        <w:t xml:space="preserve">the Reportable Situations Instrument relate to </w:t>
      </w:r>
      <w:r w:rsidR="00FC5FF6">
        <w:t xml:space="preserve">modifications made by </w:t>
      </w:r>
      <w:r w:rsidR="001D0254">
        <w:t xml:space="preserve">another ASIC legislative instrument and, as a result, </w:t>
      </w:r>
      <w:r w:rsidR="00AA43C4">
        <w:t xml:space="preserve">are </w:t>
      </w:r>
      <w:r w:rsidR="001D0254" w:rsidRPr="00C52E7C">
        <w:t>of a highly specific nature more appropriate for legislati</w:t>
      </w:r>
      <w:r w:rsidR="001D0254">
        <w:t xml:space="preserve">ve instrument </w:t>
      </w:r>
      <w:r w:rsidR="001D0254" w:rsidRPr="00C52E7C">
        <w:t>rather than primary</w:t>
      </w:r>
      <w:r w:rsidR="001D0254">
        <w:t> </w:t>
      </w:r>
      <w:r w:rsidR="001D0254" w:rsidRPr="00C52E7C">
        <w:t>legislation</w:t>
      </w:r>
      <w:r w:rsidR="001D0254">
        <w:t>.</w:t>
      </w:r>
    </w:p>
    <w:bookmarkEnd w:id="1"/>
    <w:p w14:paraId="7B3880F4" w14:textId="0D156F64" w:rsidR="00CB2A99" w:rsidRPr="00CB2A99" w:rsidRDefault="00007FB7" w:rsidP="00CB2A99">
      <w:pPr>
        <w:pStyle w:val="LI-BodyTextParaa"/>
        <w:numPr>
          <w:ilvl w:val="0"/>
          <w:numId w:val="16"/>
        </w:numPr>
        <w:ind w:left="709" w:hanging="567"/>
        <w:rPr>
          <w:rFonts w:cs="Calibri"/>
          <w:color w:val="0070C0"/>
        </w:rPr>
      </w:pPr>
      <w:r>
        <w:t xml:space="preserve">The making of this </w:t>
      </w:r>
      <w:r w:rsidR="00DF748E">
        <w:t xml:space="preserve">exclusion </w:t>
      </w:r>
      <w:r>
        <w:t xml:space="preserve">is </w:t>
      </w:r>
      <w:r w:rsidR="00A501A9">
        <w:t xml:space="preserve">consistent with </w:t>
      </w:r>
      <w:r w:rsidR="00215200">
        <w:t xml:space="preserve">the </w:t>
      </w:r>
      <w:r w:rsidR="00A501A9" w:rsidRPr="00A501A9">
        <w:rPr>
          <w:rFonts w:cs="Calibri"/>
        </w:rPr>
        <w:t>rationale</w:t>
      </w:r>
      <w:r w:rsidR="00215200">
        <w:rPr>
          <w:rFonts w:cs="Calibri"/>
        </w:rPr>
        <w:t xml:space="preserve"> Government applied</w:t>
      </w:r>
      <w:r>
        <w:rPr>
          <w:rFonts w:cs="Calibri"/>
        </w:rPr>
        <w:t xml:space="preserve"> in </w:t>
      </w:r>
      <w:r w:rsidR="00D35507">
        <w:rPr>
          <w:rFonts w:cs="Calibri"/>
        </w:rPr>
        <w:t>excluding</w:t>
      </w:r>
      <w:r>
        <w:rPr>
          <w:rFonts w:cs="Calibri"/>
        </w:rPr>
        <w:t xml:space="preserve"> certain other </w:t>
      </w:r>
      <w:r w:rsidRPr="00A501A9">
        <w:rPr>
          <w:rFonts w:cs="Calibri"/>
        </w:rPr>
        <w:t>civil penalty provisions from being deemed ‘sign</w:t>
      </w:r>
      <w:r w:rsidRPr="00CB2A99">
        <w:rPr>
          <w:rFonts w:cs="Calibri"/>
        </w:rPr>
        <w:t>ificant</w:t>
      </w:r>
      <w:r>
        <w:rPr>
          <w:rFonts w:cs="Calibri"/>
        </w:rPr>
        <w:t>’</w:t>
      </w:r>
      <w:r w:rsidRPr="00CB2A99">
        <w:rPr>
          <w:rFonts w:cs="Calibri"/>
        </w:rPr>
        <w:t xml:space="preserve"> breaches</w:t>
      </w:r>
      <w:r>
        <w:rPr>
          <w:rFonts w:cs="Calibri"/>
        </w:rPr>
        <w:t xml:space="preserve"> u</w:t>
      </w:r>
      <w:r w:rsidRPr="00CB2A99">
        <w:rPr>
          <w:rFonts w:cs="Calibri"/>
        </w:rPr>
        <w:t xml:space="preserve">nder section 912D of the Corporations Act  (or section </w:t>
      </w:r>
      <w:r w:rsidRPr="00CB2A99">
        <w:rPr>
          <w:rFonts w:cs="Calibri"/>
        </w:rPr>
        <w:lastRenderedPageBreak/>
        <w:t>50A of the Credit Act)</w:t>
      </w:r>
      <w:r>
        <w:rPr>
          <w:rFonts w:cs="Calibri"/>
        </w:rPr>
        <w:t xml:space="preserve">. This rationale is expressed at page 6 of </w:t>
      </w:r>
      <w:r w:rsidR="00A501A9" w:rsidRPr="00CD5242">
        <w:rPr>
          <w:rFonts w:cs="Calibri"/>
        </w:rPr>
        <w:t xml:space="preserve">the explanatory statement for the </w:t>
      </w:r>
      <w:r w:rsidRPr="00007FB7">
        <w:rPr>
          <w:rFonts w:cs="Calibri"/>
          <w:i/>
          <w:iCs/>
        </w:rPr>
        <w:t>Financial Sector Reform (Hayne Royal Commission Response—Breach Reporting and Remediation) Regulations 2021</w:t>
      </w:r>
      <w:r>
        <w:rPr>
          <w:rFonts w:cs="Calibri"/>
        </w:rPr>
        <w:t>.</w:t>
      </w:r>
    </w:p>
    <w:p w14:paraId="41B7F844" w14:textId="0ED8936D" w:rsidR="00A501A9" w:rsidRPr="00CB2A99" w:rsidRDefault="00AA43C4" w:rsidP="00CB2A99">
      <w:pPr>
        <w:pStyle w:val="LI-BodyTextParaa"/>
        <w:numPr>
          <w:ilvl w:val="0"/>
          <w:numId w:val="16"/>
        </w:numPr>
        <w:ind w:left="709" w:hanging="567"/>
        <w:rPr>
          <w:rFonts w:cs="Calibri"/>
          <w:color w:val="0070C0"/>
        </w:rPr>
      </w:pPr>
      <w:bookmarkStart w:id="2" w:name="_Hlk78971833"/>
      <w:r>
        <w:rPr>
          <w:rFonts w:cs="Calibri"/>
        </w:rPr>
        <w:t>Relevantly</w:t>
      </w:r>
      <w:r w:rsidR="00CB2A99">
        <w:rPr>
          <w:rFonts w:cs="Calibri"/>
        </w:rPr>
        <w:t xml:space="preserve">, </w:t>
      </w:r>
      <w:r>
        <w:t>contraventions</w:t>
      </w:r>
      <w:r w:rsidRPr="00CB2A99">
        <w:t xml:space="preserve"> </w:t>
      </w:r>
      <w:r w:rsidR="00CB2A99" w:rsidRPr="00CB2A99">
        <w:t xml:space="preserve">of the type identified in the Reportable Situations Instrument </w:t>
      </w:r>
      <w:r w:rsidR="00215200">
        <w:t xml:space="preserve">fit into the category of being </w:t>
      </w:r>
      <w:r w:rsidR="00CB2A99" w:rsidRPr="00CB2A99">
        <w:t>largely minor, technical, or inadvertent in nature</w:t>
      </w:r>
      <w:r w:rsidR="00CB2A99">
        <w:t xml:space="preserve">. </w:t>
      </w:r>
      <w:r w:rsidR="00CB2A99" w:rsidRPr="00CB2A99">
        <w:t>Given that, and the frequency with which breach reports would need to be lodged (and relevant documents supplied) in relation to such breaches, there would be a large regulatory burden imposed if the breaches were considered automatically significant</w:t>
      </w:r>
      <w:r w:rsidR="00CB2A99">
        <w:t>.</w:t>
      </w:r>
    </w:p>
    <w:p w14:paraId="49BC2AA2" w14:textId="54C914E8" w:rsidR="004232D9" w:rsidRPr="00CB2A99" w:rsidRDefault="00CB2A99" w:rsidP="00CB2A99">
      <w:pPr>
        <w:pStyle w:val="LI-BodyTextParaa"/>
        <w:numPr>
          <w:ilvl w:val="0"/>
          <w:numId w:val="16"/>
        </w:numPr>
        <w:ind w:left="709" w:hanging="567"/>
        <w:rPr>
          <w:rFonts w:cs="Calibri"/>
          <w:color w:val="0070C0"/>
        </w:rPr>
      </w:pPr>
      <w:r>
        <w:t>Furthermore, w</w:t>
      </w:r>
      <w:r w:rsidRPr="00CB2A99">
        <w:t>here more material breaches of these provisions occur, these breaches may be</w:t>
      </w:r>
      <w:r>
        <w:t xml:space="preserve"> otherwise</w:t>
      </w:r>
      <w:r w:rsidRPr="00CB2A99">
        <w:t xml:space="preserve"> reportable under the test in subsection 912D(5) </w:t>
      </w:r>
      <w:r w:rsidR="009E34B9">
        <w:t xml:space="preserve">or the other limbs of the deemed significance test in subsection 912D(4) </w:t>
      </w:r>
      <w:r w:rsidRPr="00CB2A99">
        <w:t xml:space="preserve">of the Corporations Act (or subsection 50A(5) </w:t>
      </w:r>
      <w:r w:rsidR="009E34B9">
        <w:t xml:space="preserve">or the other limbs in subsection 50A(4) </w:t>
      </w:r>
      <w:r w:rsidRPr="00CB2A99">
        <w:t>of the Credit Act).</w:t>
      </w:r>
    </w:p>
    <w:bookmarkEnd w:id="2"/>
    <w:p w14:paraId="2275F734" w14:textId="75854FCF" w:rsidR="00BB3180" w:rsidRDefault="00FC54C7" w:rsidP="00CB2A99">
      <w:pPr>
        <w:pStyle w:val="LI-BodyTextParaa"/>
        <w:numPr>
          <w:ilvl w:val="0"/>
          <w:numId w:val="16"/>
        </w:numPr>
        <w:ind w:left="709"/>
      </w:pPr>
      <w:r>
        <w:t xml:space="preserve">ASIC makes the Reportable Situations Instrument </w:t>
      </w:r>
      <w:r w:rsidR="004232D9">
        <w:t xml:space="preserve">for a </w:t>
      </w:r>
      <w:r w:rsidR="004232D9" w:rsidRPr="00BF6F77">
        <w:t xml:space="preserve">period </w:t>
      </w:r>
      <w:r w:rsidR="006A01C7" w:rsidRPr="00BF6F77">
        <w:t xml:space="preserve">of </w:t>
      </w:r>
      <w:r w:rsidR="004232D9" w:rsidRPr="00BF6F77">
        <w:t>3 years,</w:t>
      </w:r>
      <w:r w:rsidR="004232D9">
        <w:t xml:space="preserve"> </w:t>
      </w:r>
      <w:r>
        <w:t>as an interim measure</w:t>
      </w:r>
      <w:r w:rsidR="008622E4">
        <w:t>.</w:t>
      </w:r>
      <w:r>
        <w:t xml:space="preserve"> </w:t>
      </w:r>
      <w:r w:rsidR="004232D9">
        <w:t xml:space="preserve">This period will provide </w:t>
      </w:r>
      <w:r w:rsidR="008622E4">
        <w:t xml:space="preserve">Parliament </w:t>
      </w:r>
      <w:r w:rsidR="004232D9">
        <w:t xml:space="preserve">with the necessary time to consider legislative amendments </w:t>
      </w:r>
      <w:r w:rsidR="00BB3180">
        <w:t xml:space="preserve">to </w:t>
      </w:r>
      <w:r w:rsidR="00D35507">
        <w:t xml:space="preserve">the </w:t>
      </w:r>
      <w:r w:rsidR="00BB3180">
        <w:t xml:space="preserve">relevant regulation </w:t>
      </w:r>
      <w:r w:rsidR="00BB3180" w:rsidRPr="00BF6F77">
        <w:t xml:space="preserve">power in paragraph 912D(4)(b) of the Corporations Act and paragraph 50A(4)(b) of the Credit Act, and </w:t>
      </w:r>
      <w:r w:rsidR="008622E4">
        <w:t xml:space="preserve">for Government to make </w:t>
      </w:r>
      <w:r w:rsidR="004232D9">
        <w:t xml:space="preserve">appropriate regulations. </w:t>
      </w:r>
    </w:p>
    <w:p w14:paraId="22995637" w14:textId="77777777" w:rsidR="00BB3180" w:rsidRDefault="00BB3180" w:rsidP="00BF6F77">
      <w:pPr>
        <w:pStyle w:val="ListParagraph"/>
        <w:ind w:left="0"/>
        <w:rPr>
          <w:color w:val="92D050"/>
        </w:rPr>
      </w:pPr>
    </w:p>
    <w:p w14:paraId="6F8D4B07" w14:textId="77777777" w:rsidR="009A3F74" w:rsidRDefault="009A3F74" w:rsidP="004232D9">
      <w:pPr>
        <w:pStyle w:val="LI-BodyTextNumbered"/>
        <w:keepNext/>
        <w:ind w:hanging="1134"/>
        <w:rPr>
          <w:b/>
        </w:rPr>
      </w:pPr>
      <w:bookmarkStart w:id="3" w:name="_Hlk534291624"/>
      <w:r>
        <w:rPr>
          <w:b/>
        </w:rPr>
        <w:t>Consultation</w:t>
      </w:r>
    </w:p>
    <w:p w14:paraId="1A843D96" w14:textId="4E2B601B" w:rsidR="009A3F74" w:rsidRDefault="0083339A" w:rsidP="00CB2A99">
      <w:pPr>
        <w:pStyle w:val="LI-BodyTextParaa"/>
        <w:numPr>
          <w:ilvl w:val="0"/>
          <w:numId w:val="16"/>
        </w:numPr>
        <w:ind w:left="709"/>
      </w:pPr>
      <w:r>
        <w:t xml:space="preserve">ASIC </w:t>
      </w:r>
      <w:r w:rsidR="005F203F">
        <w:t xml:space="preserve">engaged in limited targeted consultation </w:t>
      </w:r>
      <w:r>
        <w:t xml:space="preserve">before making the </w:t>
      </w:r>
      <w:r w:rsidR="005F203F">
        <w:t>Reportable Situations Instrument</w:t>
      </w:r>
      <w:r>
        <w:t xml:space="preserve">. </w:t>
      </w:r>
      <w:r w:rsidR="00642ED8">
        <w:t>The vast majority</w:t>
      </w:r>
      <w:r w:rsidR="00CD5242">
        <w:t xml:space="preserve"> </w:t>
      </w:r>
      <w:r w:rsidR="00642ED8">
        <w:t xml:space="preserve">of </w:t>
      </w:r>
      <w:r w:rsidR="00CD5242">
        <w:t xml:space="preserve">respondents to the consultation </w:t>
      </w:r>
      <w:r w:rsidR="00642ED8">
        <w:t xml:space="preserve">did not oppose </w:t>
      </w:r>
      <w:r w:rsidR="00CD5242">
        <w:t xml:space="preserve">the creation of the Reportable Situations Instruments. </w:t>
      </w:r>
    </w:p>
    <w:p w14:paraId="5E3B68A6" w14:textId="77777777" w:rsidR="005F203F" w:rsidRDefault="005F203F" w:rsidP="00CB2A99">
      <w:pPr>
        <w:pStyle w:val="LI-BodyTextParaa"/>
        <w:numPr>
          <w:ilvl w:val="0"/>
          <w:numId w:val="16"/>
        </w:numPr>
        <w:ind w:left="709"/>
      </w:pPr>
      <w:r>
        <w:t>ASIC had previously also conducted a:</w:t>
      </w:r>
    </w:p>
    <w:p w14:paraId="282A9B3F" w14:textId="77777777" w:rsidR="005F203F" w:rsidRDefault="005F203F" w:rsidP="00CB2A99">
      <w:pPr>
        <w:pStyle w:val="LI-BodyTextParaa"/>
        <w:numPr>
          <w:ilvl w:val="1"/>
          <w:numId w:val="21"/>
        </w:numPr>
        <w:tabs>
          <w:tab w:val="left" w:pos="1418"/>
        </w:tabs>
        <w:ind w:left="1418" w:hanging="567"/>
      </w:pPr>
      <w:r>
        <w:t xml:space="preserve">3-month public consultation about the proposed new internal dispute resolution standards and requirements between May and August 2019 with the release of Consultation Paper 311 </w:t>
      </w:r>
      <w:r w:rsidRPr="00664DF2">
        <w:rPr>
          <w:i/>
          <w:iCs/>
        </w:rPr>
        <w:t>Internal dispute resolution: Update to RG 165</w:t>
      </w:r>
      <w:r>
        <w:t>; and</w:t>
      </w:r>
    </w:p>
    <w:p w14:paraId="05928BCB" w14:textId="155302E0" w:rsidR="000A700B" w:rsidRDefault="005F203F" w:rsidP="00CB2A99">
      <w:pPr>
        <w:pStyle w:val="LI-BodyTextParaa"/>
        <w:numPr>
          <w:ilvl w:val="1"/>
          <w:numId w:val="21"/>
        </w:numPr>
        <w:tabs>
          <w:tab w:val="left" w:pos="1418"/>
        </w:tabs>
        <w:ind w:left="1418" w:hanging="567"/>
      </w:pPr>
      <w:r>
        <w:t xml:space="preserve">6-week public consultation about its proposed new breach reporting guidance between </w:t>
      </w:r>
      <w:r w:rsidR="00BF5AF1">
        <w:t xml:space="preserve">April </w:t>
      </w:r>
      <w:r>
        <w:t>and</w:t>
      </w:r>
      <w:r w:rsidR="00BF5AF1">
        <w:t xml:space="preserve"> June</w:t>
      </w:r>
      <w:r>
        <w:t xml:space="preserve"> 2021, with release of Consultation Paper </w:t>
      </w:r>
      <w:r w:rsidR="00BF5AF1" w:rsidRPr="00BF5AF1">
        <w:t>340 Breach reporting and related obligations</w:t>
      </w:r>
      <w:r w:rsidR="00BF5AF1">
        <w:t>.</w:t>
      </w:r>
      <w:r w:rsidR="00BF5AF1" w:rsidRPr="00BF5AF1">
        <w:rPr>
          <w:highlight w:val="yellow"/>
        </w:rPr>
        <w:t xml:space="preserve"> </w:t>
      </w:r>
    </w:p>
    <w:p w14:paraId="62099E4C" w14:textId="77777777" w:rsidR="005F203F" w:rsidRPr="00CB2A99" w:rsidRDefault="005D1FEA" w:rsidP="00CB2A99">
      <w:pPr>
        <w:pStyle w:val="LI-BodyTextNumbered"/>
        <w:keepNext/>
        <w:ind w:hanging="1134"/>
        <w:rPr>
          <w:b/>
        </w:rPr>
      </w:pPr>
      <w:r>
        <w:rPr>
          <w:b/>
        </w:rPr>
        <w:t>Operation of the instrument</w:t>
      </w:r>
    </w:p>
    <w:p w14:paraId="260AA240" w14:textId="77777777" w:rsidR="00CB2A99" w:rsidRDefault="00CB2A99" w:rsidP="00CB2A99">
      <w:pPr>
        <w:pStyle w:val="LI-BodyTextParaa"/>
        <w:numPr>
          <w:ilvl w:val="0"/>
          <w:numId w:val="16"/>
        </w:numPr>
        <w:ind w:left="709"/>
      </w:pPr>
      <w:r w:rsidRPr="00122E50">
        <w:t xml:space="preserve">The amending instrument </w:t>
      </w:r>
      <w:r>
        <w:t>omits and varies provisions of the Corporations Act and Credit Act inserted by FSRC Reform Act</w:t>
      </w:r>
      <w:r w:rsidR="004F19AD">
        <w:t>.</w:t>
      </w:r>
    </w:p>
    <w:p w14:paraId="00FF4686" w14:textId="77777777" w:rsidR="00CB2A99" w:rsidRPr="00C6272C" w:rsidRDefault="00CB2A99" w:rsidP="00CB2A99">
      <w:pPr>
        <w:pStyle w:val="LI-BodyTextParaa"/>
        <w:keepNext/>
        <w:ind w:left="3" w:firstLine="0"/>
        <w:rPr>
          <w:i/>
          <w:iCs/>
        </w:rPr>
      </w:pPr>
      <w:r>
        <w:rPr>
          <w:i/>
          <w:iCs/>
        </w:rPr>
        <w:t xml:space="preserve">Corporations Act </w:t>
      </w:r>
    </w:p>
    <w:p w14:paraId="5C412AEA" w14:textId="7D86F442" w:rsidR="00390531" w:rsidRPr="004232D9" w:rsidRDefault="005F203F" w:rsidP="00CB2A99">
      <w:pPr>
        <w:pStyle w:val="LI-BodyTextParaa"/>
        <w:numPr>
          <w:ilvl w:val="0"/>
          <w:numId w:val="16"/>
        </w:numPr>
        <w:ind w:left="709"/>
      </w:pPr>
      <w:r>
        <w:t xml:space="preserve">The Reportable Situations instrument varies the </w:t>
      </w:r>
      <w:r w:rsidR="00AA43C4">
        <w:t>situations in which a contravention will be automatically considered</w:t>
      </w:r>
      <w:r>
        <w:t xml:space="preserve"> ‘significant’ (</w:t>
      </w:r>
      <w:r w:rsidR="00AA43C4">
        <w:t xml:space="preserve">as set out in </w:t>
      </w:r>
      <w:r w:rsidR="004F19AD">
        <w:t>sub</w:t>
      </w:r>
      <w:r w:rsidR="00964A88">
        <w:t xml:space="preserve">section </w:t>
      </w:r>
      <w:r>
        <w:t>912D(4)</w:t>
      </w:r>
      <w:r w:rsidR="00C6272C">
        <w:t xml:space="preserve"> Corporations Act</w:t>
      </w:r>
      <w:r>
        <w:t xml:space="preserve">), such that it </w:t>
      </w:r>
      <w:r w:rsidR="00390531">
        <w:t xml:space="preserve">specifically excludes a </w:t>
      </w:r>
      <w:r w:rsidR="00964A88">
        <w:lastRenderedPageBreak/>
        <w:t xml:space="preserve">contravention of </w:t>
      </w:r>
      <w:r w:rsidR="004F19AD">
        <w:t>sub</w:t>
      </w:r>
      <w:r w:rsidR="00964A88">
        <w:t xml:space="preserve">section 912A(5A) which arises from a failure to comply with </w:t>
      </w:r>
      <w:r w:rsidR="004F19AD">
        <w:t xml:space="preserve">subparagraph </w:t>
      </w:r>
      <w:r w:rsidR="00390531">
        <w:t>912A(1)(g)</w:t>
      </w:r>
      <w:r w:rsidR="00964A88">
        <w:t>(ia)</w:t>
      </w:r>
      <w:r w:rsidR="00C6272C">
        <w:t xml:space="preserve"> </w:t>
      </w:r>
      <w:r w:rsidR="008870DB">
        <w:t xml:space="preserve">(as notionally inserted by Part 2 of the </w:t>
      </w:r>
      <w:r w:rsidR="008870DB" w:rsidRPr="008870DB">
        <w:t>IDR Standards Instrument</w:t>
      </w:r>
      <w:r w:rsidR="008870DB" w:rsidRPr="00BF6F77">
        <w:t>)</w:t>
      </w:r>
      <w:r w:rsidR="008870DB">
        <w:rPr>
          <w:i/>
          <w:iCs/>
        </w:rPr>
        <w:t xml:space="preserve">. </w:t>
      </w:r>
      <w:r w:rsidR="00390531">
        <w:t xml:space="preserve">This has the effect that such </w:t>
      </w:r>
      <w:r w:rsidR="008870DB">
        <w:t>contraventions</w:t>
      </w:r>
      <w:r w:rsidR="00390531">
        <w:t xml:space="preserve"> will no longer </w:t>
      </w:r>
      <w:r w:rsidR="004232D9">
        <w:t xml:space="preserve">automatically </w:t>
      </w:r>
      <w:r w:rsidR="00390531">
        <w:t xml:space="preserve">meet the definition of a ‘reportable situation’ under </w:t>
      </w:r>
      <w:r w:rsidR="004F19AD">
        <w:t>sub</w:t>
      </w:r>
      <w:r w:rsidR="00390531">
        <w:t>s</w:t>
      </w:r>
      <w:r w:rsidR="00C6272C">
        <w:t xml:space="preserve">ection </w:t>
      </w:r>
      <w:r w:rsidR="00390531">
        <w:t>912D</w:t>
      </w:r>
      <w:r w:rsidR="00C6272C">
        <w:t>(1)</w:t>
      </w:r>
      <w:r w:rsidR="00390531">
        <w:t xml:space="preserve"> and </w:t>
      </w:r>
      <w:r w:rsidR="008870DB">
        <w:t xml:space="preserve">therefore will not </w:t>
      </w:r>
      <w:r w:rsidR="004232D9">
        <w:t xml:space="preserve">necessarily </w:t>
      </w:r>
      <w:r w:rsidR="00390531">
        <w:t>attract an obligation to lodge a report in accordance with section</w:t>
      </w:r>
      <w:r w:rsidR="00C6272C">
        <w:t>s</w:t>
      </w:r>
      <w:r w:rsidR="00390531">
        <w:t xml:space="preserve"> 912DAA</w:t>
      </w:r>
      <w:r w:rsidR="00C6272C">
        <w:t xml:space="preserve"> and 912DAB</w:t>
      </w:r>
      <w:r w:rsidR="004232D9">
        <w:t xml:space="preserve"> (notwithstanding the operation of </w:t>
      </w:r>
      <w:r w:rsidR="004F19AD">
        <w:t>sub</w:t>
      </w:r>
      <w:r w:rsidR="004232D9">
        <w:t>section 912D(5)).</w:t>
      </w:r>
    </w:p>
    <w:p w14:paraId="4B18419A" w14:textId="77777777" w:rsidR="00C6272C" w:rsidRPr="00C6272C" w:rsidRDefault="00C6272C" w:rsidP="00CB2A99">
      <w:pPr>
        <w:pStyle w:val="LI-BodyTextParaa"/>
        <w:keepNext/>
        <w:ind w:left="3" w:firstLine="0"/>
        <w:rPr>
          <w:i/>
          <w:iCs/>
        </w:rPr>
      </w:pPr>
      <w:r>
        <w:rPr>
          <w:i/>
          <w:iCs/>
        </w:rPr>
        <w:t xml:space="preserve">Credit Act </w:t>
      </w:r>
    </w:p>
    <w:p w14:paraId="7C999A24" w14:textId="13AEFF0F" w:rsidR="00C6272C" w:rsidRDefault="00C6272C" w:rsidP="00CB2A99">
      <w:pPr>
        <w:pStyle w:val="LI-BodyTextParaa"/>
        <w:numPr>
          <w:ilvl w:val="0"/>
          <w:numId w:val="16"/>
        </w:numPr>
        <w:ind w:left="709" w:hanging="567"/>
      </w:pPr>
      <w:r>
        <w:t xml:space="preserve">The Reportable Situations instrument varies the </w:t>
      </w:r>
      <w:r w:rsidR="00AA43C4">
        <w:t xml:space="preserve">situations in which a contravention will be automatically considered </w:t>
      </w:r>
      <w:r>
        <w:t>‘significant’ (</w:t>
      </w:r>
      <w:r w:rsidR="00AA43C4">
        <w:t xml:space="preserve">as set out </w:t>
      </w:r>
      <w:r>
        <w:t xml:space="preserve">in </w:t>
      </w:r>
      <w:r w:rsidR="004F19AD">
        <w:t>sub</w:t>
      </w:r>
      <w:r w:rsidR="00964A88">
        <w:t xml:space="preserve">section </w:t>
      </w:r>
      <w:r>
        <w:t xml:space="preserve">50A(4) of the Credit Act), such that it specifically excludes a </w:t>
      </w:r>
      <w:r w:rsidR="008870DB">
        <w:t xml:space="preserve">contravention of </w:t>
      </w:r>
      <w:r w:rsidR="004F19AD">
        <w:t>sub</w:t>
      </w:r>
      <w:r w:rsidR="008870DB">
        <w:t>section 47(4) which ar</w:t>
      </w:r>
      <w:r w:rsidR="007E25F6">
        <w:t>i</w:t>
      </w:r>
      <w:r w:rsidR="008870DB">
        <w:t xml:space="preserve">ses from </w:t>
      </w:r>
      <w:r>
        <w:t xml:space="preserve">a failure to comply with </w:t>
      </w:r>
      <w:r w:rsidR="004F19AD">
        <w:t xml:space="preserve">subparagraph </w:t>
      </w:r>
      <w:r>
        <w:t>47(1)(h)</w:t>
      </w:r>
      <w:r w:rsidR="008870DB">
        <w:t>(ii)</w:t>
      </w:r>
      <w:r>
        <w:t xml:space="preserve"> (</w:t>
      </w:r>
      <w:r w:rsidR="008870DB">
        <w:t xml:space="preserve">as notionally varied by Part 2 of the </w:t>
      </w:r>
      <w:r>
        <w:t xml:space="preserve">IDR Standards Instrument). This has the effect that such </w:t>
      </w:r>
      <w:r w:rsidR="008870DB">
        <w:t>contraventions</w:t>
      </w:r>
      <w:r>
        <w:t xml:space="preserve"> will no longer </w:t>
      </w:r>
      <w:r w:rsidR="004232D9">
        <w:t xml:space="preserve">automatically </w:t>
      </w:r>
      <w:r>
        <w:t xml:space="preserve">meet the definition of a ‘reportable situation’ under </w:t>
      </w:r>
      <w:r w:rsidR="004F19AD">
        <w:t>sub</w:t>
      </w:r>
      <w:r>
        <w:t>section 50A(1) and</w:t>
      </w:r>
      <w:r w:rsidR="008870DB">
        <w:t xml:space="preserve"> therefore</w:t>
      </w:r>
      <w:r>
        <w:t xml:space="preserve"> will not </w:t>
      </w:r>
      <w:r w:rsidR="004232D9">
        <w:t xml:space="preserve">necessarily </w:t>
      </w:r>
      <w:r>
        <w:t>attract an obligation to lodge a report in accordance with sections 50B and 50C</w:t>
      </w:r>
      <w:r w:rsidR="004232D9">
        <w:t xml:space="preserve"> (notwithstanding the operation of </w:t>
      </w:r>
      <w:r w:rsidR="00AA43C4">
        <w:t>sub</w:t>
      </w:r>
      <w:r w:rsidR="004232D9">
        <w:t>section 50A(5)).</w:t>
      </w:r>
    </w:p>
    <w:p w14:paraId="2BBB582E" w14:textId="77777777" w:rsidR="00CB2A99" w:rsidRDefault="00CB2A99" w:rsidP="00CB2A99">
      <w:pPr>
        <w:pStyle w:val="LI-BodyTextParaa"/>
        <w:ind w:left="0" w:firstLine="0"/>
      </w:pPr>
      <w:r>
        <w:rPr>
          <w:b/>
        </w:rPr>
        <w:t>Legislative authority</w:t>
      </w:r>
    </w:p>
    <w:p w14:paraId="4D32B55A" w14:textId="77777777" w:rsidR="00CB2A99" w:rsidRDefault="00CB2A99" w:rsidP="00CB2A99">
      <w:pPr>
        <w:pStyle w:val="LI-BodyTextParaa"/>
        <w:numPr>
          <w:ilvl w:val="0"/>
          <w:numId w:val="16"/>
        </w:numPr>
        <w:ind w:left="709" w:hanging="567"/>
      </w:pPr>
      <w:r w:rsidRPr="00122E50">
        <w:t>The source</w:t>
      </w:r>
      <w:r>
        <w:t xml:space="preserve"> </w:t>
      </w:r>
      <w:r w:rsidRPr="00122E50">
        <w:t xml:space="preserve">of the power to make the </w:t>
      </w:r>
      <w:r>
        <w:t>Reportable Situations I</w:t>
      </w:r>
      <w:r w:rsidRPr="00122E50">
        <w:t>nstrument</w:t>
      </w:r>
      <w:r>
        <w:t xml:space="preserve"> is </w:t>
      </w:r>
      <w:r w:rsidR="004C6DCA">
        <w:t>sub</w:t>
      </w:r>
      <w:r>
        <w:t xml:space="preserve">section 926A(2)(c) of the Corporations Act and </w:t>
      </w:r>
      <w:r w:rsidR="004C6DCA">
        <w:t>sub</w:t>
      </w:r>
      <w:r>
        <w:t>section 109</w:t>
      </w:r>
      <w:r w:rsidR="004C6DCA">
        <w:t>(3)</w:t>
      </w:r>
      <w:r>
        <w:t xml:space="preserve"> of the Credit Act.</w:t>
      </w:r>
    </w:p>
    <w:p w14:paraId="2D6412F7" w14:textId="77777777" w:rsidR="00CB2A99" w:rsidRDefault="00CB2A99" w:rsidP="00CB2A99">
      <w:pPr>
        <w:pStyle w:val="LI-BodyTextParaa"/>
        <w:numPr>
          <w:ilvl w:val="0"/>
          <w:numId w:val="16"/>
        </w:numPr>
        <w:ind w:left="709" w:hanging="567"/>
      </w:pPr>
      <w:r w:rsidRPr="00122E50">
        <w:t>The amending instrument is a disallowable legislative instrument.</w:t>
      </w:r>
    </w:p>
    <w:p w14:paraId="73385C54" w14:textId="77777777" w:rsidR="00CB2A99" w:rsidRPr="00EA17A6" w:rsidRDefault="00CB2A99" w:rsidP="00CB2A99">
      <w:pPr>
        <w:pStyle w:val="LI-BodyTextParaa"/>
        <w:ind w:left="567"/>
        <w:rPr>
          <w:b/>
        </w:rPr>
      </w:pPr>
      <w:r w:rsidRPr="00EA17A6">
        <w:rPr>
          <w:b/>
        </w:rPr>
        <w:t xml:space="preserve">Statement of Compatibility with Human Rights  </w:t>
      </w:r>
    </w:p>
    <w:p w14:paraId="543AF11C" w14:textId="77777777" w:rsidR="00CB2A99" w:rsidRDefault="00CB2A99" w:rsidP="00CB2A99">
      <w:pPr>
        <w:pStyle w:val="LI-BodyTextParaa"/>
        <w:numPr>
          <w:ilvl w:val="0"/>
          <w:numId w:val="16"/>
        </w:numPr>
        <w:ind w:left="709" w:hanging="567"/>
      </w:pPr>
      <w:r w:rsidRPr="00EA17A6">
        <w:t xml:space="preserve">The Explanatory Statement for a disallowable legislative instrument must contain a Statement of Compatibility with Human Rights under subsection 9(1) of the </w:t>
      </w:r>
      <w:r w:rsidRPr="00EA17A6">
        <w:rPr>
          <w:i/>
          <w:iCs/>
        </w:rPr>
        <w:t>Human Rights (Parliamentary Scrutiny) Act 2011.</w:t>
      </w:r>
      <w:r w:rsidRPr="00EA17A6">
        <w:rPr>
          <w:iCs/>
        </w:rPr>
        <w:t xml:space="preserve"> </w:t>
      </w:r>
      <w:r w:rsidRPr="00EA17A6">
        <w:t xml:space="preserve">A Statement of Compatibility with Human Rights is in the </w:t>
      </w:r>
      <w:r w:rsidRPr="00EA17A6">
        <w:rPr>
          <w:u w:val="single"/>
        </w:rPr>
        <w:t>Attachment</w:t>
      </w:r>
      <w:r w:rsidRPr="00EA17A6">
        <w:t>.</w:t>
      </w:r>
    </w:p>
    <w:bookmarkEnd w:id="3"/>
    <w:p w14:paraId="74409CE8" w14:textId="77777777" w:rsidR="00223DCF" w:rsidRPr="00EA17A6" w:rsidRDefault="00223DCF" w:rsidP="00435EEF">
      <w:pPr>
        <w:pStyle w:val="LI-BodyTextParaa"/>
        <w:ind w:left="567"/>
      </w:pPr>
      <w:r w:rsidRPr="00EA17A6">
        <w:t xml:space="preserve"> </w:t>
      </w:r>
    </w:p>
    <w:p w14:paraId="6DD05309" w14:textId="77777777" w:rsidR="00223DCF" w:rsidRPr="00EA17A6" w:rsidRDefault="00223DCF" w:rsidP="00223DCF">
      <w:pPr>
        <w:pStyle w:val="LI-BodyTextParaa"/>
        <w:ind w:left="567"/>
        <w:jc w:val="right"/>
        <w:rPr>
          <w:u w:val="single"/>
        </w:rPr>
      </w:pPr>
      <w:r>
        <w:rPr>
          <w:color w:val="FF0000"/>
        </w:rPr>
        <w:br w:type="page"/>
      </w:r>
      <w:r w:rsidRPr="00EA17A6">
        <w:rPr>
          <w:u w:val="single"/>
        </w:rPr>
        <w:lastRenderedPageBreak/>
        <w:t xml:space="preserve">Attachment </w:t>
      </w:r>
    </w:p>
    <w:p w14:paraId="6C0E69B1" w14:textId="77777777" w:rsidR="00A15512" w:rsidRPr="00EA17A6" w:rsidRDefault="001E77ED" w:rsidP="00223DCF">
      <w:pPr>
        <w:pStyle w:val="LI-BodyTextParaa"/>
        <w:ind w:left="567"/>
        <w:jc w:val="center"/>
        <w:rPr>
          <w:b/>
          <w:sz w:val="28"/>
          <w:szCs w:val="28"/>
        </w:rPr>
      </w:pPr>
      <w:r w:rsidRPr="00EA17A6">
        <w:rPr>
          <w:b/>
          <w:sz w:val="28"/>
          <w:szCs w:val="28"/>
        </w:rPr>
        <w:t xml:space="preserve">Statement of </w:t>
      </w:r>
      <w:r w:rsidR="00223DCF" w:rsidRPr="00EA17A6">
        <w:rPr>
          <w:b/>
          <w:sz w:val="28"/>
          <w:szCs w:val="28"/>
        </w:rPr>
        <w:t>C</w:t>
      </w:r>
      <w:r w:rsidRPr="00EA17A6">
        <w:rPr>
          <w:b/>
          <w:sz w:val="28"/>
          <w:szCs w:val="28"/>
        </w:rPr>
        <w:t xml:space="preserve">ompatibility with </w:t>
      </w:r>
      <w:r w:rsidR="00223DCF" w:rsidRPr="00EA17A6">
        <w:rPr>
          <w:b/>
          <w:sz w:val="28"/>
          <w:szCs w:val="28"/>
        </w:rPr>
        <w:t>H</w:t>
      </w:r>
      <w:r w:rsidRPr="00EA17A6">
        <w:rPr>
          <w:b/>
          <w:sz w:val="28"/>
          <w:szCs w:val="28"/>
        </w:rPr>
        <w:t xml:space="preserve">uman </w:t>
      </w:r>
      <w:r w:rsidR="00223DCF" w:rsidRPr="00EA17A6">
        <w:rPr>
          <w:b/>
          <w:sz w:val="28"/>
          <w:szCs w:val="28"/>
        </w:rPr>
        <w:t>R</w:t>
      </w:r>
      <w:r w:rsidRPr="00EA17A6">
        <w:rPr>
          <w:b/>
          <w:sz w:val="28"/>
          <w:szCs w:val="28"/>
        </w:rPr>
        <w:t>ights</w:t>
      </w:r>
    </w:p>
    <w:p w14:paraId="7FF99B04" w14:textId="77777777" w:rsidR="00AE787B" w:rsidRPr="00EA17A6" w:rsidRDefault="00AE787B" w:rsidP="00223DCF">
      <w:pPr>
        <w:pStyle w:val="LI-BodyTextNumbered"/>
        <w:ind w:left="0" w:firstLine="0"/>
        <w:rPr>
          <w:iCs/>
        </w:rPr>
      </w:pPr>
      <w:bookmarkStart w:id="4" w:name="_Hlk534286677"/>
    </w:p>
    <w:p w14:paraId="25BCE210" w14:textId="77777777" w:rsidR="00223DCF" w:rsidRPr="00EA17A6" w:rsidRDefault="00223DCF" w:rsidP="00223DCF">
      <w:pPr>
        <w:pStyle w:val="LI-BodyTextNumbered"/>
        <w:ind w:left="0" w:firstLine="0"/>
        <w:rPr>
          <w:iCs/>
        </w:rPr>
      </w:pPr>
      <w:r w:rsidRPr="00EA17A6">
        <w:rPr>
          <w:iCs/>
        </w:rPr>
        <w:t xml:space="preserve">This Statement of Compatibility with Human Rights is prepared in accordance with Part 3 of </w:t>
      </w:r>
      <w:bookmarkStart w:id="5" w:name="_Hlk4054932"/>
      <w:r w:rsidRPr="00EA17A6">
        <w:rPr>
          <w:iCs/>
        </w:rPr>
        <w:t xml:space="preserve">the </w:t>
      </w:r>
      <w:r w:rsidRPr="00EA17A6">
        <w:rPr>
          <w:i/>
          <w:iCs/>
        </w:rPr>
        <w:t>Human Rights (Parliamentary Scrutiny) Act 2011</w:t>
      </w:r>
      <w:bookmarkEnd w:id="5"/>
      <w:r w:rsidRPr="00EA17A6">
        <w:rPr>
          <w:iCs/>
        </w:rPr>
        <w:t>.</w:t>
      </w:r>
    </w:p>
    <w:p w14:paraId="5A395228" w14:textId="12C9FB30" w:rsidR="00AF2ECE" w:rsidRPr="002852CD" w:rsidRDefault="00AF2ECE" w:rsidP="002852CD">
      <w:pPr>
        <w:pStyle w:val="LI-BodyTextNumbered"/>
        <w:ind w:left="0" w:firstLine="0"/>
        <w:rPr>
          <w:u w:val="single"/>
        </w:rPr>
      </w:pPr>
      <w:r w:rsidRPr="00AF2ECE">
        <w:rPr>
          <w:b/>
          <w:bCs/>
          <w:i/>
          <w:iCs/>
        </w:rPr>
        <w:t>ASIC Corporations</w:t>
      </w:r>
      <w:r w:rsidR="007535DC">
        <w:rPr>
          <w:b/>
          <w:bCs/>
          <w:i/>
          <w:iCs/>
        </w:rPr>
        <w:t xml:space="preserve"> and Credit</w:t>
      </w:r>
      <w:r w:rsidRPr="00AF2ECE">
        <w:rPr>
          <w:b/>
          <w:bCs/>
          <w:i/>
          <w:iCs/>
        </w:rPr>
        <w:t xml:space="preserve"> (</w:t>
      </w:r>
      <w:r w:rsidR="00390531">
        <w:rPr>
          <w:b/>
          <w:bCs/>
          <w:i/>
          <w:iCs/>
        </w:rPr>
        <w:t>Breach Reporting – Reportable Situations</w:t>
      </w:r>
      <w:r w:rsidRPr="00AF2ECE">
        <w:rPr>
          <w:b/>
          <w:bCs/>
          <w:i/>
          <w:iCs/>
        </w:rPr>
        <w:t>) Instrument 202</w:t>
      </w:r>
      <w:r w:rsidR="00390531">
        <w:rPr>
          <w:b/>
          <w:bCs/>
          <w:i/>
          <w:iCs/>
        </w:rPr>
        <w:t>1</w:t>
      </w:r>
      <w:r w:rsidRPr="00AF2ECE">
        <w:rPr>
          <w:b/>
          <w:bCs/>
          <w:i/>
          <w:iCs/>
        </w:rPr>
        <w:t>/</w:t>
      </w:r>
      <w:r w:rsidR="00355410">
        <w:rPr>
          <w:b/>
          <w:bCs/>
          <w:i/>
          <w:iCs/>
        </w:rPr>
        <w:t>716</w:t>
      </w:r>
    </w:p>
    <w:p w14:paraId="6411BA45" w14:textId="77777777" w:rsidR="00223DCF" w:rsidRPr="00EA17A6" w:rsidRDefault="00223DCF" w:rsidP="001872DC">
      <w:pPr>
        <w:pStyle w:val="LI-BodyTextNumbered"/>
        <w:ind w:left="567"/>
        <w:rPr>
          <w:u w:val="single"/>
        </w:rPr>
      </w:pPr>
      <w:r w:rsidRPr="00EA17A6">
        <w:rPr>
          <w:u w:val="single"/>
        </w:rPr>
        <w:t>Overview</w:t>
      </w:r>
    </w:p>
    <w:p w14:paraId="1723DEEE" w14:textId="549B9E48" w:rsidR="00CB2D96" w:rsidRPr="00FC54C7" w:rsidRDefault="00CB2D96" w:rsidP="00FC54C7">
      <w:pPr>
        <w:spacing w:before="240" w:line="240" w:lineRule="auto"/>
        <w:ind w:left="567" w:hanging="567"/>
        <w:rPr>
          <w:sz w:val="24"/>
          <w:szCs w:val="24"/>
        </w:rPr>
      </w:pPr>
      <w:r w:rsidRPr="00EA17A6">
        <w:rPr>
          <w:rFonts w:eastAsia="Times New Roman"/>
          <w:sz w:val="24"/>
          <w:szCs w:val="24"/>
          <w:lang w:eastAsia="en-AU"/>
        </w:rPr>
        <w:t>1.</w:t>
      </w:r>
      <w:r w:rsidRPr="00EA17A6">
        <w:rPr>
          <w:rFonts w:eastAsia="Times New Roman"/>
          <w:sz w:val="24"/>
          <w:szCs w:val="24"/>
          <w:lang w:eastAsia="en-AU"/>
        </w:rPr>
        <w:tab/>
      </w:r>
      <w:r w:rsidR="002852CD">
        <w:rPr>
          <w:sz w:val="24"/>
          <w:szCs w:val="24"/>
        </w:rPr>
        <w:t xml:space="preserve">This </w:t>
      </w:r>
      <w:r w:rsidR="00AF2ECE" w:rsidRPr="00AF2ECE">
        <w:rPr>
          <w:sz w:val="24"/>
          <w:szCs w:val="24"/>
        </w:rPr>
        <w:t xml:space="preserve">instrument amends </w:t>
      </w:r>
      <w:r w:rsidR="00390531">
        <w:rPr>
          <w:sz w:val="24"/>
          <w:szCs w:val="24"/>
        </w:rPr>
        <w:t>the operation of sections 912D of the Corporations Act</w:t>
      </w:r>
      <w:r w:rsidR="00EB24C3">
        <w:rPr>
          <w:sz w:val="24"/>
          <w:szCs w:val="24"/>
        </w:rPr>
        <w:t xml:space="preserve"> and section 50A of the Credit Act</w:t>
      </w:r>
      <w:r w:rsidR="00574C30">
        <w:rPr>
          <w:sz w:val="24"/>
          <w:szCs w:val="24"/>
        </w:rPr>
        <w:t xml:space="preserve"> </w:t>
      </w:r>
      <w:r w:rsidR="00EB24C3">
        <w:rPr>
          <w:sz w:val="24"/>
          <w:szCs w:val="24"/>
        </w:rPr>
        <w:t>to clarify those situations in which licensees are required to lodge breach reports</w:t>
      </w:r>
      <w:r w:rsidR="00FC54C7">
        <w:rPr>
          <w:sz w:val="24"/>
          <w:szCs w:val="24"/>
        </w:rPr>
        <w:t xml:space="preserve">. </w:t>
      </w:r>
    </w:p>
    <w:p w14:paraId="562C1F96" w14:textId="77777777" w:rsidR="001872DC" w:rsidRPr="00EA17A6" w:rsidRDefault="001872DC" w:rsidP="001872DC">
      <w:pPr>
        <w:pStyle w:val="LI-BodyTextNumbered"/>
        <w:ind w:left="567"/>
        <w:rPr>
          <w:u w:val="single"/>
        </w:rPr>
      </w:pPr>
      <w:bookmarkStart w:id="6" w:name="_Hlk534286807"/>
      <w:bookmarkEnd w:id="4"/>
      <w:r w:rsidRPr="00EA17A6">
        <w:rPr>
          <w:u w:val="single"/>
        </w:rPr>
        <w:t>Assessment of human rights implications</w:t>
      </w:r>
    </w:p>
    <w:p w14:paraId="75C49023" w14:textId="77777777" w:rsidR="0078324E" w:rsidRDefault="001A50EB" w:rsidP="00D306F8">
      <w:pPr>
        <w:pStyle w:val="LI-BodyTextNumbered"/>
        <w:ind w:left="567"/>
      </w:pPr>
      <w:r>
        <w:t>3</w:t>
      </w:r>
      <w:r w:rsidR="001872DC" w:rsidRPr="00EA17A6">
        <w:t>.</w:t>
      </w:r>
      <w:r w:rsidR="001872DC" w:rsidRPr="00EA17A6">
        <w:tab/>
      </w:r>
      <w:bookmarkEnd w:id="6"/>
      <w:r w:rsidR="001872DC" w:rsidRPr="00EA17A6">
        <w:t xml:space="preserve">This instrument </w:t>
      </w:r>
      <w:r w:rsidR="00D306F8" w:rsidRPr="00EA17A6">
        <w:t>does not engage any of the applicable rights or freedoms</w:t>
      </w:r>
      <w:r w:rsidR="0078324E">
        <w:t>.</w:t>
      </w:r>
    </w:p>
    <w:p w14:paraId="10DA75F8" w14:textId="77777777" w:rsidR="00CB2D96" w:rsidRPr="0078324E" w:rsidRDefault="00CB2D96" w:rsidP="00D306F8">
      <w:pPr>
        <w:pStyle w:val="LI-BodyTextNumbered"/>
        <w:ind w:left="567"/>
      </w:pPr>
      <w:r w:rsidRPr="00EA17A6">
        <w:rPr>
          <w:u w:val="single"/>
        </w:rPr>
        <w:t>Conclusion</w:t>
      </w:r>
    </w:p>
    <w:p w14:paraId="27EC6A43" w14:textId="77777777" w:rsidR="00CB2D96" w:rsidRPr="00EA17A6" w:rsidRDefault="001A50EB" w:rsidP="00D306F8">
      <w:pPr>
        <w:pStyle w:val="LI-BodyTextNumbered"/>
        <w:ind w:left="567"/>
      </w:pPr>
      <w:r>
        <w:t>4</w:t>
      </w:r>
      <w:r w:rsidR="00CB2D96" w:rsidRPr="00EA17A6">
        <w:t>.</w:t>
      </w:r>
      <w:r w:rsidR="00CB2D96" w:rsidRPr="00EA17A6">
        <w:tab/>
        <w:t xml:space="preserve">This instrument is compatible with the human rights and freedoms recognised or declared in the international instruments listed in section 3 of </w:t>
      </w:r>
      <w:r w:rsidR="00CB2D96" w:rsidRPr="00EA17A6">
        <w:rPr>
          <w:iCs/>
        </w:rPr>
        <w:t xml:space="preserve">the </w:t>
      </w:r>
      <w:r w:rsidR="00CB2D96" w:rsidRPr="00EA17A6">
        <w:rPr>
          <w:i/>
          <w:iCs/>
        </w:rPr>
        <w:t>Human Rights (Parliamentary Scrutiny) Act 2011</w:t>
      </w:r>
      <w:r w:rsidR="00CB2D96" w:rsidRPr="00EA17A6">
        <w:t>.</w:t>
      </w:r>
    </w:p>
    <w:sectPr w:rsidR="00CB2D96" w:rsidRPr="00EA17A6" w:rsidSect="00863657">
      <w:headerReference w:type="even" r:id="rId14"/>
      <w:headerReference w:type="default" r:id="rId15"/>
      <w:footerReference w:type="default" r:id="rId16"/>
      <w:headerReference w:type="first" r:id="rId17"/>
      <w:pgSz w:w="11907" w:h="16839" w:code="9"/>
      <w:pgMar w:top="1537" w:right="179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E7885" w14:textId="77777777" w:rsidR="00910946" w:rsidRDefault="00910946" w:rsidP="00715914">
      <w:pPr>
        <w:spacing w:line="240" w:lineRule="auto"/>
      </w:pPr>
      <w:r>
        <w:separator/>
      </w:r>
    </w:p>
  </w:endnote>
  <w:endnote w:type="continuationSeparator" w:id="0">
    <w:p w14:paraId="5709C4F3" w14:textId="77777777" w:rsidR="00910946" w:rsidRDefault="00910946" w:rsidP="00715914">
      <w:pPr>
        <w:spacing w:line="240" w:lineRule="auto"/>
      </w:pPr>
      <w:r>
        <w:continuationSeparator/>
      </w:r>
    </w:p>
  </w:endnote>
  <w:endnote w:type="continuationNotice" w:id="1">
    <w:p w14:paraId="181F9E06" w14:textId="77777777" w:rsidR="00910946" w:rsidRDefault="0091094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70B75" w14:textId="37FC0918" w:rsidR="00007FB7" w:rsidRDefault="00007FB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3AF804A" w14:textId="77777777" w:rsidR="00007FB7" w:rsidRDefault="00007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95987" w14:textId="77777777" w:rsidR="00910946" w:rsidRDefault="00910946" w:rsidP="00715914">
      <w:pPr>
        <w:spacing w:line="240" w:lineRule="auto"/>
      </w:pPr>
      <w:r>
        <w:separator/>
      </w:r>
    </w:p>
  </w:footnote>
  <w:footnote w:type="continuationSeparator" w:id="0">
    <w:p w14:paraId="63CD3653" w14:textId="77777777" w:rsidR="00910946" w:rsidRDefault="00910946" w:rsidP="00715914">
      <w:pPr>
        <w:spacing w:line="240" w:lineRule="auto"/>
      </w:pPr>
      <w:r>
        <w:continuationSeparator/>
      </w:r>
    </w:p>
  </w:footnote>
  <w:footnote w:type="continuationNotice" w:id="1">
    <w:p w14:paraId="5FEA36C2" w14:textId="77777777" w:rsidR="00910946" w:rsidRDefault="0091094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73F93" w14:textId="77777777" w:rsidR="00007FB7" w:rsidRPr="00243EC0" w:rsidRDefault="00007FB7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4060"/>
    </w:tblGrid>
    <w:tr w:rsidR="00007FB7" w:rsidRPr="00E40FF8" w14:paraId="619551E1" w14:textId="77777777" w:rsidTr="001E77ED">
      <w:tc>
        <w:tcPr>
          <w:tcW w:w="4253" w:type="dxa"/>
          <w:shd w:val="clear" w:color="auto" w:fill="auto"/>
        </w:tcPr>
        <w:p w14:paraId="3452F0E6" w14:textId="0A71DE5F" w:rsidR="00007FB7" w:rsidRDefault="00007FB7" w:rsidP="00D1469C">
          <w:pPr>
            <w:pStyle w:val="LI-Header"/>
            <w:pBdr>
              <w:bottom w:val="none" w:sz="0" w:space="0" w:color="auto"/>
            </w:pBdr>
            <w:tabs>
              <w:tab w:val="clear" w:pos="8313"/>
              <w:tab w:val="left" w:pos="3562"/>
            </w:tabs>
            <w:jc w:val="left"/>
          </w:pPr>
          <w:r>
            <w:tab/>
          </w:r>
        </w:p>
      </w:tc>
      <w:tc>
        <w:tcPr>
          <w:tcW w:w="4060" w:type="dxa"/>
          <w:shd w:val="clear" w:color="auto" w:fill="auto"/>
        </w:tcPr>
        <w:p w14:paraId="6CF08117" w14:textId="77777777" w:rsidR="00007FB7" w:rsidRDefault="00007FB7" w:rsidP="00F03BB5">
          <w:pPr>
            <w:pStyle w:val="LI-BodyTextNumbered"/>
          </w:pPr>
        </w:p>
      </w:tc>
    </w:tr>
  </w:tbl>
  <w:p w14:paraId="38730EC3" w14:textId="0C166651" w:rsidR="00007FB7" w:rsidRPr="00F4215A" w:rsidRDefault="00007FB7" w:rsidP="00CD524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6D6DA" w14:textId="19561FD9" w:rsidR="00007FB7" w:rsidRPr="00CD5242" w:rsidRDefault="00007FB7" w:rsidP="00CD5242">
    <w:pPr>
      <w:pStyle w:val="Header"/>
      <w:spacing w:line="276" w:lineRule="auto"/>
      <w:jc w:val="center"/>
      <w:rPr>
        <w:rFonts w:ascii="Arial" w:hAnsi="Arial" w:cs="Arial"/>
        <w:b/>
        <w:bCs/>
        <w:color w:val="C00000"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33B5448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8.9pt;height:243.5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B0249"/>
    <w:multiLevelType w:val="hybridMultilevel"/>
    <w:tmpl w:val="CA641378"/>
    <w:lvl w:ilvl="0" w:tplc="1062E05A">
      <w:start w:val="1"/>
      <w:numFmt w:val="lowerLetter"/>
      <w:lvlText w:val="(%1)"/>
      <w:lvlJc w:val="left"/>
      <w:pPr>
        <w:ind w:left="24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164" w:hanging="360"/>
      </w:pPr>
    </w:lvl>
    <w:lvl w:ilvl="2" w:tplc="0C09001B" w:tentative="1">
      <w:start w:val="1"/>
      <w:numFmt w:val="lowerRoman"/>
      <w:lvlText w:val="%3."/>
      <w:lvlJc w:val="right"/>
      <w:pPr>
        <w:ind w:left="3884" w:hanging="180"/>
      </w:pPr>
    </w:lvl>
    <w:lvl w:ilvl="3" w:tplc="0C09000F" w:tentative="1">
      <w:start w:val="1"/>
      <w:numFmt w:val="decimal"/>
      <w:lvlText w:val="%4."/>
      <w:lvlJc w:val="left"/>
      <w:pPr>
        <w:ind w:left="4604" w:hanging="360"/>
      </w:pPr>
    </w:lvl>
    <w:lvl w:ilvl="4" w:tplc="0C090019" w:tentative="1">
      <w:start w:val="1"/>
      <w:numFmt w:val="lowerLetter"/>
      <w:lvlText w:val="%5."/>
      <w:lvlJc w:val="left"/>
      <w:pPr>
        <w:ind w:left="5324" w:hanging="360"/>
      </w:pPr>
    </w:lvl>
    <w:lvl w:ilvl="5" w:tplc="0C09001B" w:tentative="1">
      <w:start w:val="1"/>
      <w:numFmt w:val="lowerRoman"/>
      <w:lvlText w:val="%6."/>
      <w:lvlJc w:val="right"/>
      <w:pPr>
        <w:ind w:left="6044" w:hanging="180"/>
      </w:pPr>
    </w:lvl>
    <w:lvl w:ilvl="6" w:tplc="0C09000F" w:tentative="1">
      <w:start w:val="1"/>
      <w:numFmt w:val="decimal"/>
      <w:lvlText w:val="%7."/>
      <w:lvlJc w:val="left"/>
      <w:pPr>
        <w:ind w:left="6764" w:hanging="360"/>
      </w:pPr>
    </w:lvl>
    <w:lvl w:ilvl="7" w:tplc="0C090019" w:tentative="1">
      <w:start w:val="1"/>
      <w:numFmt w:val="lowerLetter"/>
      <w:lvlText w:val="%8."/>
      <w:lvlJc w:val="left"/>
      <w:pPr>
        <w:ind w:left="7484" w:hanging="360"/>
      </w:pPr>
    </w:lvl>
    <w:lvl w:ilvl="8" w:tplc="0C09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3" w15:restartNumberingAfterBreak="0">
    <w:nsid w:val="30862F94"/>
    <w:multiLevelType w:val="hybridMultilevel"/>
    <w:tmpl w:val="6DB06DDA"/>
    <w:lvl w:ilvl="0" w:tplc="D2ACC30C">
      <w:start w:val="1"/>
      <w:numFmt w:val="decimal"/>
      <w:lvlText w:val="%1."/>
      <w:lvlJc w:val="left"/>
      <w:pPr>
        <w:ind w:left="924" w:hanging="564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95A72"/>
    <w:multiLevelType w:val="hybridMultilevel"/>
    <w:tmpl w:val="06789816"/>
    <w:lvl w:ilvl="0" w:tplc="01CAF8AA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DD85880"/>
    <w:multiLevelType w:val="hybridMultilevel"/>
    <w:tmpl w:val="0E0AF0EC"/>
    <w:lvl w:ilvl="0" w:tplc="01CAF8AA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1722B"/>
    <w:multiLevelType w:val="hybridMultilevel"/>
    <w:tmpl w:val="3F74AD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FA2266"/>
    <w:multiLevelType w:val="hybridMultilevel"/>
    <w:tmpl w:val="DA7081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36BB9"/>
    <w:multiLevelType w:val="hybridMultilevel"/>
    <w:tmpl w:val="BF08482A"/>
    <w:lvl w:ilvl="0" w:tplc="01CAF8AA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C6201"/>
    <w:multiLevelType w:val="hybridMultilevel"/>
    <w:tmpl w:val="27E86E30"/>
    <w:lvl w:ilvl="0" w:tplc="0C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2" w15:restartNumberingAfterBreak="0">
    <w:nsid w:val="67A43C0B"/>
    <w:multiLevelType w:val="multilevel"/>
    <w:tmpl w:val="4DDC7FD2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653212D"/>
    <w:multiLevelType w:val="hybridMultilevel"/>
    <w:tmpl w:val="C1BA744A"/>
    <w:lvl w:ilvl="0" w:tplc="0C090001">
      <w:start w:val="1"/>
      <w:numFmt w:val="bullet"/>
      <w:lvlText w:val=""/>
      <w:lvlJc w:val="left"/>
      <w:pPr>
        <w:ind w:left="924" w:hanging="564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F0918"/>
    <w:multiLevelType w:val="hybridMultilevel"/>
    <w:tmpl w:val="CB32EA14"/>
    <w:lvl w:ilvl="0" w:tplc="01CAF8AA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7"/>
  </w:num>
  <w:num w:numId="15">
    <w:abstractNumId w:val="19"/>
  </w:num>
  <w:num w:numId="16">
    <w:abstractNumId w:val="13"/>
  </w:num>
  <w:num w:numId="17">
    <w:abstractNumId w:val="14"/>
  </w:num>
  <w:num w:numId="18">
    <w:abstractNumId w:val="20"/>
  </w:num>
  <w:num w:numId="19">
    <w:abstractNumId w:val="24"/>
  </w:num>
  <w:num w:numId="20">
    <w:abstractNumId w:val="22"/>
  </w:num>
  <w:num w:numId="21">
    <w:abstractNumId w:val="16"/>
  </w:num>
  <w:num w:numId="22">
    <w:abstractNumId w:val="23"/>
  </w:num>
  <w:num w:numId="23">
    <w:abstractNumId w:val="21"/>
  </w:num>
  <w:num w:numId="24">
    <w:abstractNumId w:val="1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07FB7"/>
    <w:rsid w:val="000136AF"/>
    <w:rsid w:val="00013B8D"/>
    <w:rsid w:val="00015719"/>
    <w:rsid w:val="00023D53"/>
    <w:rsid w:val="0004082C"/>
    <w:rsid w:val="000437C1"/>
    <w:rsid w:val="00044D7A"/>
    <w:rsid w:val="0005365D"/>
    <w:rsid w:val="000614BF"/>
    <w:rsid w:val="0006159B"/>
    <w:rsid w:val="000622FD"/>
    <w:rsid w:val="0006250C"/>
    <w:rsid w:val="00081794"/>
    <w:rsid w:val="00084FF4"/>
    <w:rsid w:val="000A142F"/>
    <w:rsid w:val="000A6C39"/>
    <w:rsid w:val="000A700B"/>
    <w:rsid w:val="000A7796"/>
    <w:rsid w:val="000B58FA"/>
    <w:rsid w:val="000C55A0"/>
    <w:rsid w:val="000D041F"/>
    <w:rsid w:val="000D05EF"/>
    <w:rsid w:val="000E0BA0"/>
    <w:rsid w:val="000E2261"/>
    <w:rsid w:val="000E3C2E"/>
    <w:rsid w:val="000F21C1"/>
    <w:rsid w:val="00102CA6"/>
    <w:rsid w:val="0010745C"/>
    <w:rsid w:val="00113D7D"/>
    <w:rsid w:val="001178CD"/>
    <w:rsid w:val="00121DFE"/>
    <w:rsid w:val="00122E50"/>
    <w:rsid w:val="00125141"/>
    <w:rsid w:val="00132CEB"/>
    <w:rsid w:val="00142B62"/>
    <w:rsid w:val="00153B32"/>
    <w:rsid w:val="00157B8B"/>
    <w:rsid w:val="001624E1"/>
    <w:rsid w:val="00166C2F"/>
    <w:rsid w:val="00171A6E"/>
    <w:rsid w:val="001809D7"/>
    <w:rsid w:val="00181E57"/>
    <w:rsid w:val="0018659E"/>
    <w:rsid w:val="001872DC"/>
    <w:rsid w:val="001939E1"/>
    <w:rsid w:val="00194C3E"/>
    <w:rsid w:val="00195382"/>
    <w:rsid w:val="00195BD4"/>
    <w:rsid w:val="001A50EB"/>
    <w:rsid w:val="001C61C5"/>
    <w:rsid w:val="001C69C4"/>
    <w:rsid w:val="001D0254"/>
    <w:rsid w:val="001D37EF"/>
    <w:rsid w:val="001E3590"/>
    <w:rsid w:val="001E5254"/>
    <w:rsid w:val="001E7407"/>
    <w:rsid w:val="001E77ED"/>
    <w:rsid w:val="001E7E2B"/>
    <w:rsid w:val="001F02B1"/>
    <w:rsid w:val="001F1FA0"/>
    <w:rsid w:val="001F3A38"/>
    <w:rsid w:val="001F5D5E"/>
    <w:rsid w:val="001F6219"/>
    <w:rsid w:val="001F6CD4"/>
    <w:rsid w:val="00206C4D"/>
    <w:rsid w:val="0021053C"/>
    <w:rsid w:val="00215200"/>
    <w:rsid w:val="00215AF1"/>
    <w:rsid w:val="002173A9"/>
    <w:rsid w:val="00220A36"/>
    <w:rsid w:val="00223DCF"/>
    <w:rsid w:val="002321E8"/>
    <w:rsid w:val="00236EEC"/>
    <w:rsid w:val="0024010F"/>
    <w:rsid w:val="00240749"/>
    <w:rsid w:val="00243018"/>
    <w:rsid w:val="00243EC0"/>
    <w:rsid w:val="00244742"/>
    <w:rsid w:val="002564A4"/>
    <w:rsid w:val="00260D53"/>
    <w:rsid w:val="0026736C"/>
    <w:rsid w:val="00281308"/>
    <w:rsid w:val="00281813"/>
    <w:rsid w:val="00284719"/>
    <w:rsid w:val="002852CD"/>
    <w:rsid w:val="00297ECB"/>
    <w:rsid w:val="002A2230"/>
    <w:rsid w:val="002A7328"/>
    <w:rsid w:val="002A7BCF"/>
    <w:rsid w:val="002B19F3"/>
    <w:rsid w:val="002B4A0D"/>
    <w:rsid w:val="002C3B94"/>
    <w:rsid w:val="002C4613"/>
    <w:rsid w:val="002C7B6F"/>
    <w:rsid w:val="002D043A"/>
    <w:rsid w:val="002D6224"/>
    <w:rsid w:val="002E3F4B"/>
    <w:rsid w:val="0030018D"/>
    <w:rsid w:val="00304F8B"/>
    <w:rsid w:val="003061EC"/>
    <w:rsid w:val="00311F41"/>
    <w:rsid w:val="0031223A"/>
    <w:rsid w:val="00321375"/>
    <w:rsid w:val="003242E3"/>
    <w:rsid w:val="00327DDF"/>
    <w:rsid w:val="003354D2"/>
    <w:rsid w:val="00335BC6"/>
    <w:rsid w:val="003415D3"/>
    <w:rsid w:val="003426DE"/>
    <w:rsid w:val="00344701"/>
    <w:rsid w:val="003528DA"/>
    <w:rsid w:val="00352B0F"/>
    <w:rsid w:val="00355410"/>
    <w:rsid w:val="00356690"/>
    <w:rsid w:val="003574D9"/>
    <w:rsid w:val="00357DD0"/>
    <w:rsid w:val="00360459"/>
    <w:rsid w:val="003616C2"/>
    <w:rsid w:val="00365497"/>
    <w:rsid w:val="003721C7"/>
    <w:rsid w:val="00387A96"/>
    <w:rsid w:val="00390531"/>
    <w:rsid w:val="00393385"/>
    <w:rsid w:val="003A2A48"/>
    <w:rsid w:val="003B28C3"/>
    <w:rsid w:val="003B732F"/>
    <w:rsid w:val="003C6231"/>
    <w:rsid w:val="003D0BFE"/>
    <w:rsid w:val="003D5700"/>
    <w:rsid w:val="003E0570"/>
    <w:rsid w:val="003E0F99"/>
    <w:rsid w:val="003E341B"/>
    <w:rsid w:val="003F3EFD"/>
    <w:rsid w:val="0040053F"/>
    <w:rsid w:val="004116CD"/>
    <w:rsid w:val="004144EC"/>
    <w:rsid w:val="00417EB9"/>
    <w:rsid w:val="004232D9"/>
    <w:rsid w:val="00424CA9"/>
    <w:rsid w:val="00431E9B"/>
    <w:rsid w:val="00435EEF"/>
    <w:rsid w:val="004379E3"/>
    <w:rsid w:val="0044015E"/>
    <w:rsid w:val="0044291A"/>
    <w:rsid w:val="00444571"/>
    <w:rsid w:val="00444ABD"/>
    <w:rsid w:val="00445C5E"/>
    <w:rsid w:val="00447DB4"/>
    <w:rsid w:val="0045328C"/>
    <w:rsid w:val="00460F1D"/>
    <w:rsid w:val="00465DC1"/>
    <w:rsid w:val="00467661"/>
    <w:rsid w:val="004705B7"/>
    <w:rsid w:val="00472DBE"/>
    <w:rsid w:val="00474A19"/>
    <w:rsid w:val="00474B52"/>
    <w:rsid w:val="00481C24"/>
    <w:rsid w:val="004823C0"/>
    <w:rsid w:val="0048276B"/>
    <w:rsid w:val="00496B5F"/>
    <w:rsid w:val="00496F97"/>
    <w:rsid w:val="004A0956"/>
    <w:rsid w:val="004A44FC"/>
    <w:rsid w:val="004B5B44"/>
    <w:rsid w:val="004B7BDC"/>
    <w:rsid w:val="004C1473"/>
    <w:rsid w:val="004C1CB1"/>
    <w:rsid w:val="004C6DCA"/>
    <w:rsid w:val="004D7E7F"/>
    <w:rsid w:val="004E063A"/>
    <w:rsid w:val="004E7BEC"/>
    <w:rsid w:val="004F19AD"/>
    <w:rsid w:val="004F2749"/>
    <w:rsid w:val="0050044F"/>
    <w:rsid w:val="005012A0"/>
    <w:rsid w:val="0050367D"/>
    <w:rsid w:val="00505D3D"/>
    <w:rsid w:val="00506AF6"/>
    <w:rsid w:val="00507335"/>
    <w:rsid w:val="00514E7A"/>
    <w:rsid w:val="00516B8D"/>
    <w:rsid w:val="00517E56"/>
    <w:rsid w:val="0052767A"/>
    <w:rsid w:val="00532049"/>
    <w:rsid w:val="005356A7"/>
    <w:rsid w:val="00536184"/>
    <w:rsid w:val="00537FBC"/>
    <w:rsid w:val="00542A90"/>
    <w:rsid w:val="00543D3E"/>
    <w:rsid w:val="00556D55"/>
    <w:rsid w:val="005574D1"/>
    <w:rsid w:val="00561ABB"/>
    <w:rsid w:val="005657FE"/>
    <w:rsid w:val="00572BB1"/>
    <w:rsid w:val="00574C30"/>
    <w:rsid w:val="0057670F"/>
    <w:rsid w:val="00584811"/>
    <w:rsid w:val="00585784"/>
    <w:rsid w:val="00593AA6"/>
    <w:rsid w:val="00594161"/>
    <w:rsid w:val="00594314"/>
    <w:rsid w:val="00594749"/>
    <w:rsid w:val="005B4067"/>
    <w:rsid w:val="005B65F4"/>
    <w:rsid w:val="005B780C"/>
    <w:rsid w:val="005C2C81"/>
    <w:rsid w:val="005C3F41"/>
    <w:rsid w:val="005D0489"/>
    <w:rsid w:val="005D1FEA"/>
    <w:rsid w:val="005D2D09"/>
    <w:rsid w:val="005D3D41"/>
    <w:rsid w:val="005E4810"/>
    <w:rsid w:val="005F203F"/>
    <w:rsid w:val="005F4140"/>
    <w:rsid w:val="005F65CD"/>
    <w:rsid w:val="00600219"/>
    <w:rsid w:val="00603DC4"/>
    <w:rsid w:val="00607A71"/>
    <w:rsid w:val="00610709"/>
    <w:rsid w:val="006117CB"/>
    <w:rsid w:val="00614164"/>
    <w:rsid w:val="00620076"/>
    <w:rsid w:val="00634044"/>
    <w:rsid w:val="00640161"/>
    <w:rsid w:val="00642ED8"/>
    <w:rsid w:val="00652769"/>
    <w:rsid w:val="0065542F"/>
    <w:rsid w:val="006554FF"/>
    <w:rsid w:val="00664DF2"/>
    <w:rsid w:val="00670EA1"/>
    <w:rsid w:val="00677CC2"/>
    <w:rsid w:val="006905DE"/>
    <w:rsid w:val="0069207B"/>
    <w:rsid w:val="00693F29"/>
    <w:rsid w:val="006A01C7"/>
    <w:rsid w:val="006B5789"/>
    <w:rsid w:val="006C30C5"/>
    <w:rsid w:val="006C48FA"/>
    <w:rsid w:val="006C7F8C"/>
    <w:rsid w:val="006E0046"/>
    <w:rsid w:val="006E5320"/>
    <w:rsid w:val="006E6246"/>
    <w:rsid w:val="006F318F"/>
    <w:rsid w:val="006F4226"/>
    <w:rsid w:val="006F4C98"/>
    <w:rsid w:val="0070017E"/>
    <w:rsid w:val="00700B2C"/>
    <w:rsid w:val="00702EFD"/>
    <w:rsid w:val="00704D8F"/>
    <w:rsid w:val="007050A2"/>
    <w:rsid w:val="00713084"/>
    <w:rsid w:val="0071399B"/>
    <w:rsid w:val="00714F20"/>
    <w:rsid w:val="0071590F"/>
    <w:rsid w:val="00715914"/>
    <w:rsid w:val="0072322C"/>
    <w:rsid w:val="007260AD"/>
    <w:rsid w:val="007265E0"/>
    <w:rsid w:val="00731E00"/>
    <w:rsid w:val="00740D4E"/>
    <w:rsid w:val="00741EE8"/>
    <w:rsid w:val="007440B7"/>
    <w:rsid w:val="007500C8"/>
    <w:rsid w:val="007535DC"/>
    <w:rsid w:val="00756272"/>
    <w:rsid w:val="007662B5"/>
    <w:rsid w:val="0076681A"/>
    <w:rsid w:val="007715C9"/>
    <w:rsid w:val="00771613"/>
    <w:rsid w:val="007737C0"/>
    <w:rsid w:val="00774EDD"/>
    <w:rsid w:val="0077506D"/>
    <w:rsid w:val="007757EC"/>
    <w:rsid w:val="0078324E"/>
    <w:rsid w:val="00783E89"/>
    <w:rsid w:val="007842CE"/>
    <w:rsid w:val="00785A9E"/>
    <w:rsid w:val="00793915"/>
    <w:rsid w:val="007B4C4F"/>
    <w:rsid w:val="007C2253"/>
    <w:rsid w:val="007D110A"/>
    <w:rsid w:val="007D230B"/>
    <w:rsid w:val="007E163D"/>
    <w:rsid w:val="007E25F6"/>
    <w:rsid w:val="007E667A"/>
    <w:rsid w:val="007F28C9"/>
    <w:rsid w:val="007F370C"/>
    <w:rsid w:val="00800391"/>
    <w:rsid w:val="0080312D"/>
    <w:rsid w:val="00803587"/>
    <w:rsid w:val="008117E9"/>
    <w:rsid w:val="00824498"/>
    <w:rsid w:val="008318C3"/>
    <w:rsid w:val="0083339A"/>
    <w:rsid w:val="00835179"/>
    <w:rsid w:val="00840442"/>
    <w:rsid w:val="008527C0"/>
    <w:rsid w:val="00856A31"/>
    <w:rsid w:val="00860B58"/>
    <w:rsid w:val="008622E4"/>
    <w:rsid w:val="00863657"/>
    <w:rsid w:val="00867B37"/>
    <w:rsid w:val="008718DD"/>
    <w:rsid w:val="008754D0"/>
    <w:rsid w:val="008855C9"/>
    <w:rsid w:val="00886456"/>
    <w:rsid w:val="008870DB"/>
    <w:rsid w:val="008945E0"/>
    <w:rsid w:val="0089527F"/>
    <w:rsid w:val="008A362B"/>
    <w:rsid w:val="008A46E1"/>
    <w:rsid w:val="008A4F43"/>
    <w:rsid w:val="008B2706"/>
    <w:rsid w:val="008B388F"/>
    <w:rsid w:val="008C0035"/>
    <w:rsid w:val="008C0F29"/>
    <w:rsid w:val="008D0EE0"/>
    <w:rsid w:val="008D3422"/>
    <w:rsid w:val="008E0E23"/>
    <w:rsid w:val="008E6067"/>
    <w:rsid w:val="008F54E7"/>
    <w:rsid w:val="009016BE"/>
    <w:rsid w:val="00903422"/>
    <w:rsid w:val="00910946"/>
    <w:rsid w:val="00912A58"/>
    <w:rsid w:val="00914A70"/>
    <w:rsid w:val="009157B9"/>
    <w:rsid w:val="00915DF9"/>
    <w:rsid w:val="009254C3"/>
    <w:rsid w:val="00926940"/>
    <w:rsid w:val="00930A0A"/>
    <w:rsid w:val="00932377"/>
    <w:rsid w:val="009372F0"/>
    <w:rsid w:val="009460DC"/>
    <w:rsid w:val="00946759"/>
    <w:rsid w:val="00947D5A"/>
    <w:rsid w:val="009532A5"/>
    <w:rsid w:val="00955175"/>
    <w:rsid w:val="0095528E"/>
    <w:rsid w:val="00964A88"/>
    <w:rsid w:val="0096753E"/>
    <w:rsid w:val="00974E0E"/>
    <w:rsid w:val="00982242"/>
    <w:rsid w:val="009868E9"/>
    <w:rsid w:val="009944E6"/>
    <w:rsid w:val="009946F9"/>
    <w:rsid w:val="009A0570"/>
    <w:rsid w:val="009A3A6F"/>
    <w:rsid w:val="009A3F74"/>
    <w:rsid w:val="009A49C9"/>
    <w:rsid w:val="009C70EE"/>
    <w:rsid w:val="009D1818"/>
    <w:rsid w:val="009D195A"/>
    <w:rsid w:val="009D4AD4"/>
    <w:rsid w:val="009D7993"/>
    <w:rsid w:val="009E34B9"/>
    <w:rsid w:val="009E5CFC"/>
    <w:rsid w:val="009E75A7"/>
    <w:rsid w:val="009F4FDA"/>
    <w:rsid w:val="00A03AF1"/>
    <w:rsid w:val="00A079CB"/>
    <w:rsid w:val="00A12128"/>
    <w:rsid w:val="00A12F48"/>
    <w:rsid w:val="00A14F6A"/>
    <w:rsid w:val="00A15512"/>
    <w:rsid w:val="00A22C98"/>
    <w:rsid w:val="00A231E2"/>
    <w:rsid w:val="00A314FB"/>
    <w:rsid w:val="00A32C91"/>
    <w:rsid w:val="00A33D55"/>
    <w:rsid w:val="00A34412"/>
    <w:rsid w:val="00A40424"/>
    <w:rsid w:val="00A44C99"/>
    <w:rsid w:val="00A501A9"/>
    <w:rsid w:val="00A52B0F"/>
    <w:rsid w:val="00A5632E"/>
    <w:rsid w:val="00A64912"/>
    <w:rsid w:val="00A65AA1"/>
    <w:rsid w:val="00A70A74"/>
    <w:rsid w:val="00A91966"/>
    <w:rsid w:val="00AA43C4"/>
    <w:rsid w:val="00AA66AC"/>
    <w:rsid w:val="00AB1576"/>
    <w:rsid w:val="00AB1DE8"/>
    <w:rsid w:val="00AB69D9"/>
    <w:rsid w:val="00AC0886"/>
    <w:rsid w:val="00AC6270"/>
    <w:rsid w:val="00AD02B8"/>
    <w:rsid w:val="00AD1F73"/>
    <w:rsid w:val="00AD5315"/>
    <w:rsid w:val="00AD5641"/>
    <w:rsid w:val="00AD7889"/>
    <w:rsid w:val="00AE2351"/>
    <w:rsid w:val="00AE787B"/>
    <w:rsid w:val="00AF021B"/>
    <w:rsid w:val="00AF06CF"/>
    <w:rsid w:val="00AF2ECE"/>
    <w:rsid w:val="00B04305"/>
    <w:rsid w:val="00B07CDB"/>
    <w:rsid w:val="00B16A31"/>
    <w:rsid w:val="00B17DFD"/>
    <w:rsid w:val="00B2799D"/>
    <w:rsid w:val="00B308FE"/>
    <w:rsid w:val="00B33709"/>
    <w:rsid w:val="00B33B3C"/>
    <w:rsid w:val="00B33BD1"/>
    <w:rsid w:val="00B50ADC"/>
    <w:rsid w:val="00B566B1"/>
    <w:rsid w:val="00B577C8"/>
    <w:rsid w:val="00B63834"/>
    <w:rsid w:val="00B72734"/>
    <w:rsid w:val="00B80199"/>
    <w:rsid w:val="00B82D81"/>
    <w:rsid w:val="00B83204"/>
    <w:rsid w:val="00B9126E"/>
    <w:rsid w:val="00B94113"/>
    <w:rsid w:val="00BA220B"/>
    <w:rsid w:val="00BA3A57"/>
    <w:rsid w:val="00BB3180"/>
    <w:rsid w:val="00BB4E1A"/>
    <w:rsid w:val="00BB5C17"/>
    <w:rsid w:val="00BC015E"/>
    <w:rsid w:val="00BC7183"/>
    <w:rsid w:val="00BC76AC"/>
    <w:rsid w:val="00BD0ECB"/>
    <w:rsid w:val="00BE2155"/>
    <w:rsid w:val="00BE2213"/>
    <w:rsid w:val="00BE6EF9"/>
    <w:rsid w:val="00BE719A"/>
    <w:rsid w:val="00BE720A"/>
    <w:rsid w:val="00BF0D73"/>
    <w:rsid w:val="00BF2465"/>
    <w:rsid w:val="00BF5AF1"/>
    <w:rsid w:val="00BF6F77"/>
    <w:rsid w:val="00BF75C9"/>
    <w:rsid w:val="00C04C9C"/>
    <w:rsid w:val="00C0544A"/>
    <w:rsid w:val="00C071EC"/>
    <w:rsid w:val="00C1049D"/>
    <w:rsid w:val="00C11452"/>
    <w:rsid w:val="00C17457"/>
    <w:rsid w:val="00C25E7F"/>
    <w:rsid w:val="00C2746F"/>
    <w:rsid w:val="00C324A0"/>
    <w:rsid w:val="00C3300F"/>
    <w:rsid w:val="00C34E77"/>
    <w:rsid w:val="00C35875"/>
    <w:rsid w:val="00C35DAF"/>
    <w:rsid w:val="00C40772"/>
    <w:rsid w:val="00C40A24"/>
    <w:rsid w:val="00C4170B"/>
    <w:rsid w:val="00C42BF8"/>
    <w:rsid w:val="00C45171"/>
    <w:rsid w:val="00C4678A"/>
    <w:rsid w:val="00C50043"/>
    <w:rsid w:val="00C50B97"/>
    <w:rsid w:val="00C52E7C"/>
    <w:rsid w:val="00C6272C"/>
    <w:rsid w:val="00C6434E"/>
    <w:rsid w:val="00C70CA8"/>
    <w:rsid w:val="00C7573B"/>
    <w:rsid w:val="00C7761F"/>
    <w:rsid w:val="00C86B32"/>
    <w:rsid w:val="00C920E8"/>
    <w:rsid w:val="00C93C03"/>
    <w:rsid w:val="00CA4CF3"/>
    <w:rsid w:val="00CA66DC"/>
    <w:rsid w:val="00CB2A99"/>
    <w:rsid w:val="00CB2C8E"/>
    <w:rsid w:val="00CB2D96"/>
    <w:rsid w:val="00CB602E"/>
    <w:rsid w:val="00CB6449"/>
    <w:rsid w:val="00CD2E90"/>
    <w:rsid w:val="00CD5242"/>
    <w:rsid w:val="00CE0149"/>
    <w:rsid w:val="00CE051D"/>
    <w:rsid w:val="00CE1335"/>
    <w:rsid w:val="00CE3D2A"/>
    <w:rsid w:val="00CE493D"/>
    <w:rsid w:val="00CE541A"/>
    <w:rsid w:val="00CE6D42"/>
    <w:rsid w:val="00CF07FA"/>
    <w:rsid w:val="00CF0BB2"/>
    <w:rsid w:val="00CF2ED7"/>
    <w:rsid w:val="00CF3EE8"/>
    <w:rsid w:val="00CF5313"/>
    <w:rsid w:val="00D037A9"/>
    <w:rsid w:val="00D050E6"/>
    <w:rsid w:val="00D13441"/>
    <w:rsid w:val="00D1469C"/>
    <w:rsid w:val="00D150E7"/>
    <w:rsid w:val="00D20A4B"/>
    <w:rsid w:val="00D231F3"/>
    <w:rsid w:val="00D25762"/>
    <w:rsid w:val="00D306F8"/>
    <w:rsid w:val="00D32F65"/>
    <w:rsid w:val="00D341C4"/>
    <w:rsid w:val="00D35507"/>
    <w:rsid w:val="00D52DC2"/>
    <w:rsid w:val="00D53BCC"/>
    <w:rsid w:val="00D648BB"/>
    <w:rsid w:val="00D702DE"/>
    <w:rsid w:val="00D7055A"/>
    <w:rsid w:val="00D70DFB"/>
    <w:rsid w:val="00D732EC"/>
    <w:rsid w:val="00D73C22"/>
    <w:rsid w:val="00D766DF"/>
    <w:rsid w:val="00D778C0"/>
    <w:rsid w:val="00D84FB7"/>
    <w:rsid w:val="00DA186E"/>
    <w:rsid w:val="00DA1EB7"/>
    <w:rsid w:val="00DA4116"/>
    <w:rsid w:val="00DA578B"/>
    <w:rsid w:val="00DB251C"/>
    <w:rsid w:val="00DB38AD"/>
    <w:rsid w:val="00DB4630"/>
    <w:rsid w:val="00DC4445"/>
    <w:rsid w:val="00DC4F88"/>
    <w:rsid w:val="00DE0A85"/>
    <w:rsid w:val="00DE79F9"/>
    <w:rsid w:val="00DF1927"/>
    <w:rsid w:val="00DF748E"/>
    <w:rsid w:val="00E03009"/>
    <w:rsid w:val="00E05704"/>
    <w:rsid w:val="00E06CC3"/>
    <w:rsid w:val="00E11E44"/>
    <w:rsid w:val="00E13AFA"/>
    <w:rsid w:val="00E17A3E"/>
    <w:rsid w:val="00E2168B"/>
    <w:rsid w:val="00E21F03"/>
    <w:rsid w:val="00E338EF"/>
    <w:rsid w:val="00E40FF8"/>
    <w:rsid w:val="00E459AC"/>
    <w:rsid w:val="00E544BB"/>
    <w:rsid w:val="00E578EC"/>
    <w:rsid w:val="00E60423"/>
    <w:rsid w:val="00E649D7"/>
    <w:rsid w:val="00E662CB"/>
    <w:rsid w:val="00E74DC7"/>
    <w:rsid w:val="00E76434"/>
    <w:rsid w:val="00E8075A"/>
    <w:rsid w:val="00E818A6"/>
    <w:rsid w:val="00E85A91"/>
    <w:rsid w:val="00E87718"/>
    <w:rsid w:val="00E94D5E"/>
    <w:rsid w:val="00EA0BF6"/>
    <w:rsid w:val="00EA17A6"/>
    <w:rsid w:val="00EA7100"/>
    <w:rsid w:val="00EA7F9F"/>
    <w:rsid w:val="00EB0E70"/>
    <w:rsid w:val="00EB1274"/>
    <w:rsid w:val="00EB24C3"/>
    <w:rsid w:val="00EC4757"/>
    <w:rsid w:val="00EC4CCC"/>
    <w:rsid w:val="00EC7EDB"/>
    <w:rsid w:val="00ED14FB"/>
    <w:rsid w:val="00ED2BB6"/>
    <w:rsid w:val="00ED34E1"/>
    <w:rsid w:val="00ED3B8D"/>
    <w:rsid w:val="00ED796D"/>
    <w:rsid w:val="00EE3187"/>
    <w:rsid w:val="00EF15D3"/>
    <w:rsid w:val="00EF2E3A"/>
    <w:rsid w:val="00F02EF9"/>
    <w:rsid w:val="00F03BB5"/>
    <w:rsid w:val="00F047D8"/>
    <w:rsid w:val="00F072A7"/>
    <w:rsid w:val="00F078DC"/>
    <w:rsid w:val="00F14593"/>
    <w:rsid w:val="00F171A1"/>
    <w:rsid w:val="00F32BA8"/>
    <w:rsid w:val="00F349F1"/>
    <w:rsid w:val="00F3627D"/>
    <w:rsid w:val="00F4215A"/>
    <w:rsid w:val="00F4350D"/>
    <w:rsid w:val="00F50532"/>
    <w:rsid w:val="00F567F7"/>
    <w:rsid w:val="00F61B09"/>
    <w:rsid w:val="00F62036"/>
    <w:rsid w:val="00F62BE7"/>
    <w:rsid w:val="00F65B52"/>
    <w:rsid w:val="00F67BCA"/>
    <w:rsid w:val="00F73BD6"/>
    <w:rsid w:val="00F800C9"/>
    <w:rsid w:val="00F8111D"/>
    <w:rsid w:val="00F83989"/>
    <w:rsid w:val="00F85099"/>
    <w:rsid w:val="00F9379C"/>
    <w:rsid w:val="00F94E84"/>
    <w:rsid w:val="00F9632C"/>
    <w:rsid w:val="00FA1E52"/>
    <w:rsid w:val="00FA31DE"/>
    <w:rsid w:val="00FA7D17"/>
    <w:rsid w:val="00FB60D8"/>
    <w:rsid w:val="00FC3EB8"/>
    <w:rsid w:val="00FC54C7"/>
    <w:rsid w:val="00FC5FF6"/>
    <w:rsid w:val="00FC7D25"/>
    <w:rsid w:val="00FD13CC"/>
    <w:rsid w:val="00FD78E8"/>
    <w:rsid w:val="00FE2E05"/>
    <w:rsid w:val="00FE2FB8"/>
    <w:rsid w:val="00FE4688"/>
    <w:rsid w:val="00FE72D6"/>
    <w:rsid w:val="00F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8A2F0"/>
  <w15:chartTrackingRefBased/>
  <w15:docId w15:val="{C8E6C944-A51D-4B03-B897-59E62D9A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uiPriority w:val="99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Bullet">
    <w:name w:val="Bullet"/>
    <w:aliases w:val="b,b + line,b1,Body,level 1,Bullet + line"/>
    <w:basedOn w:val="Normal"/>
    <w:link w:val="BulletChar"/>
    <w:qFormat/>
    <w:rsid w:val="003616C2"/>
    <w:pPr>
      <w:numPr>
        <w:numId w:val="20"/>
      </w:numPr>
      <w:spacing w:before="240" w:after="120" w:line="240" w:lineRule="auto"/>
    </w:pPr>
    <w:rPr>
      <w:rFonts w:eastAsia="Times New Roman"/>
      <w:sz w:val="24"/>
      <w:szCs w:val="23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BulletChar">
    <w:name w:val="Bullet Char"/>
    <w:aliases w:val="b + line Char Char,b Char,b Char Char"/>
    <w:link w:val="Bullet"/>
    <w:rsid w:val="003616C2"/>
    <w:rPr>
      <w:rFonts w:eastAsia="Times New Roman"/>
      <w:sz w:val="24"/>
      <w:szCs w:val="23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Dash">
    <w:name w:val="Dash"/>
    <w:basedOn w:val="Normal"/>
    <w:qFormat/>
    <w:rsid w:val="003616C2"/>
    <w:pPr>
      <w:numPr>
        <w:ilvl w:val="1"/>
        <w:numId w:val="20"/>
      </w:numPr>
      <w:spacing w:before="240" w:after="120" w:line="240" w:lineRule="auto"/>
    </w:pPr>
    <w:rPr>
      <w:rFonts w:eastAsia="Times New Roman"/>
      <w:sz w:val="24"/>
      <w:szCs w:val="23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customStyle="1" w:styleId="DoubleDot">
    <w:name w:val="Double Dot"/>
    <w:basedOn w:val="Normal"/>
    <w:qFormat/>
    <w:rsid w:val="003616C2"/>
    <w:pPr>
      <w:numPr>
        <w:ilvl w:val="2"/>
        <w:numId w:val="20"/>
      </w:numPr>
      <w:spacing w:before="240" w:after="120" w:line="240" w:lineRule="auto"/>
    </w:pPr>
    <w:rPr>
      <w:rFonts w:eastAsia="Times New Roman"/>
      <w:sz w:val="24"/>
      <w:szCs w:val="23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543D3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43D3E"/>
    <w:rPr>
      <w:i/>
      <w:iCs/>
      <w:color w:val="404040"/>
      <w:sz w:val="22"/>
      <w:lang w:eastAsia="en-US"/>
    </w:rPr>
  </w:style>
  <w:style w:type="character" w:customStyle="1" w:styleId="ListParagraphChar">
    <w:name w:val="List Paragraph Char"/>
    <w:link w:val="ListParagraph"/>
    <w:uiPriority w:val="50"/>
    <w:locked/>
    <w:rsid w:val="00BB3180"/>
    <w:rPr>
      <w:rFonts w:ascii="Calibri" w:hAnsi="Calibri" w:cs="Calibri"/>
      <w:lang w:eastAsia="en-US"/>
    </w:rPr>
  </w:style>
  <w:style w:type="paragraph" w:styleId="ListParagraph">
    <w:name w:val="List Paragraph"/>
    <w:basedOn w:val="Normal"/>
    <w:link w:val="ListParagraphChar"/>
    <w:uiPriority w:val="50"/>
    <w:qFormat/>
    <w:rsid w:val="00BB3180"/>
    <w:pPr>
      <w:spacing w:line="240" w:lineRule="auto"/>
      <w:ind w:left="720"/>
    </w:pPr>
    <w:rPr>
      <w:rFonts w:ascii="Calibri" w:hAnsi="Calibri" w:cs="Calibri"/>
      <w:sz w:val="20"/>
    </w:rPr>
  </w:style>
  <w:style w:type="paragraph" w:styleId="Revision">
    <w:name w:val="Revision"/>
    <w:hidden/>
    <w:uiPriority w:val="99"/>
    <w:semiHidden/>
    <w:rsid w:val="006E0046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R20210000538895</RecordNumber>
    <ObjectiveID xmlns="da7a9ac0-bc47-4684-84e6-3a8e9ac80c12" xsi:nil="true"/>
    <cf8e12e123484f339606504ca2e41be1 xmlns="a6fd680d-2161-48eb-a9ee-9070ec61f91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cf8e12e123484f339606504ca2e41be1>
    <SignificantFlag xmlns="da7a9ac0-bc47-4684-84e6-3a8e9ac80c12">false</SignificantFlag>
    <TaxCatchAll xmlns="a6fd680d-2161-48eb-a9ee-9070ec61f910">
      <Value>1</Value>
    </TaxCatchAll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D96288D0C9516240A384CA7BDCAA7070" ma:contentTypeVersion="26" ma:contentTypeDescription="" ma:contentTypeScope="" ma:versionID="c75316d57e327ba4b7ad3be9c13a8775">
  <xsd:schema xmlns:xsd="http://www.w3.org/2001/XMLSchema" xmlns:xs="http://www.w3.org/2001/XMLSchema" xmlns:p="http://schemas.microsoft.com/office/2006/metadata/properties" xmlns:ns2="da7a9ac0-bc47-4684-84e6-3a8e9ac80c12" xmlns:ns3="a6fd680d-2161-48eb-a9ee-9070ec61f910" xmlns:ns4="17f478ab-373e-4295-9ff0-9b833ad01319" targetNamespace="http://schemas.microsoft.com/office/2006/metadata/properties" ma:root="true" ma:fieldsID="e1acea644be69cbcb69f0dd9328b7906" ns2:_="" ns3:_="" ns4:_="">
    <xsd:import namespace="da7a9ac0-bc47-4684-84e6-3a8e9ac80c12"/>
    <xsd:import namespace="a6fd680d-2161-48eb-a9ee-9070ec61f910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cf8e12e123484f339606504ca2e41be1" minOccurs="0"/>
                <xsd:element ref="ns2:NotesLinks" minOccurs="0"/>
                <xsd:element ref="ns4:Reviewers" minOccurs="0"/>
                <xsd:element ref="ns4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 ma:readOnly="false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 ma:readOnly="false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 ma:readOnly="false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 ma:readOnly="false">
      <xsd:simpleType>
        <xsd:restriction base="dms:Boolean"/>
      </xsd:simpleType>
    </xsd:element>
    <xsd:element name="SignificantReason" ma:index="6" nillable="true" ma:displayName="Significant Reason" ma:hidden="true" ma:internalName="SignificantReason" ma:readOnly="false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18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680d-2161-48eb-a9ee-9070ec61f910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d89e29b1-8219-4ad0-b1f4-d5bc74b0e20b}" ma:internalName="TaxCatchAll" ma:showField="CatchAllData" ma:web="a6fd680d-2161-48eb-a9ee-9070ec61f9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d89e29b1-8219-4ad0-b1f4-d5bc74b0e20b}" ma:internalName="TaxCatchAllLabel" ma:readOnly="true" ma:showField="CatchAllDataLabel" ma:web="a6fd680d-2161-48eb-a9ee-9070ec61f9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8e12e123484f339606504ca2e41be1" ma:index="17" ma:taxonomy="true" ma:internalName="cf8e12e123484f339606504ca2e41be1" ma:taxonomyFieldName="SecurityClassification" ma:displayName="Security Classification" ma:readOnly="false" ma:default="-1;#OFFICIAL - Sensitive|6eccc17f-024b-41b0-b6b1-faf98d2aff85" ma:fieldId="{cf8e12e1-2348-4f33-9606-504ca2e41be1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19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0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FA02478E-40A7-4E1A-9332-348540ED92F6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17f478ab-373e-4295-9ff0-9b833ad01319"/>
    <ds:schemaRef ds:uri="http://schemas.microsoft.com/office/2006/documentManagement/types"/>
    <ds:schemaRef ds:uri="a6fd680d-2161-48eb-a9ee-9070ec61f910"/>
    <ds:schemaRef ds:uri="da7a9ac0-bc47-4684-84e6-3a8e9ac80c1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72F574-D222-46F2-8DBD-89298F8F9B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C3C372-1840-440F-8BA3-AA87151C66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C0C242-8520-4ED4-8D9A-C501C8B7719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D49A326-B730-4BFA-8FA1-F93648620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a6fd680d-2161-48eb-a9ee-9070ec61f910"/>
    <ds:schemaRef ds:uri="17f478ab-373e-4295-9ff0-9b833ad0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4CD61FE-531E-466C-8D8B-CFD66D9FE77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9</TotalTime>
  <Pages>5</Pages>
  <Words>1446</Words>
  <Characters>8244</Characters>
  <Application>Microsoft Office Word</Application>
  <DocSecurity>0</DocSecurity>
  <PresentationFormat/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Template (Explanatory Statement - Jan 2019).docx</vt:lpstr>
    </vt:vector>
  </TitlesOfParts>
  <Company>ASIC</Company>
  <LinksUpToDate>false</LinksUpToDate>
  <CharactersWithSpaces>9671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Template (Explanatory Statement - Jan 2019).docx</dc:title>
  <dc:subject/>
  <dc:creator>Chris Flanagan</dc:creator>
  <cp:keywords/>
  <cp:lastModifiedBy>Narelle Kane</cp:lastModifiedBy>
  <cp:revision>2</cp:revision>
  <cp:lastPrinted>2019-01-03T02:56:00Z</cp:lastPrinted>
  <dcterms:created xsi:type="dcterms:W3CDTF">2021-08-13T00:16:00Z</dcterms:created>
  <dcterms:modified xsi:type="dcterms:W3CDTF">2021-08-13T00:16:00Z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RecordPoint_WorkflowType">
    <vt:lpwstr>ActiveSubmitStub</vt:lpwstr>
  </property>
  <property fmtid="{D5CDD505-2E9C-101B-9397-08002B2CF9AE}" pid="40" name="RecordPoint_ActiveItemSiteId">
    <vt:lpwstr>{3e50770f-3e10-45f6-ae8f-e7aff96f3084}</vt:lpwstr>
  </property>
  <property fmtid="{D5CDD505-2E9C-101B-9397-08002B2CF9AE}" pid="41" name="RecordPoint_ActiveItemListId">
    <vt:lpwstr>{8fd98d8d-d3ab-4d5b-8950-65fb6b8c7bff}</vt:lpwstr>
  </property>
  <property fmtid="{D5CDD505-2E9C-101B-9397-08002B2CF9AE}" pid="42" name="RecordPoint_ActiveItemUniqueId">
    <vt:lpwstr>{1223d979-de65-4700-b0fa-cb70954b8758}</vt:lpwstr>
  </property>
  <property fmtid="{D5CDD505-2E9C-101B-9397-08002B2CF9AE}" pid="43" name="RecordPoint_ActiveItemWebId">
    <vt:lpwstr>{a6fd680d-2161-48eb-a9ee-9070ec61f910}</vt:lpwstr>
  </property>
  <property fmtid="{D5CDD505-2E9C-101B-9397-08002B2CF9AE}" pid="44" name="IconOverlay">
    <vt:lpwstr/>
  </property>
  <property fmtid="{D5CDD505-2E9C-101B-9397-08002B2CF9AE}" pid="45" name="RecordPoint_RecordNumberSubmitted">
    <vt:lpwstr>R20210000538895</vt:lpwstr>
  </property>
  <property fmtid="{D5CDD505-2E9C-101B-9397-08002B2CF9AE}" pid="46" name="SecurityClassification">
    <vt:lpwstr>1;#Sensitive|19fd2cb8-3e97-4464-ae71-8c2c2095d028</vt:lpwstr>
  </property>
  <property fmtid="{D5CDD505-2E9C-101B-9397-08002B2CF9AE}" pid="47" name="Order">
    <vt:lpwstr>71900.0000000000</vt:lpwstr>
  </property>
  <property fmtid="{D5CDD505-2E9C-101B-9397-08002B2CF9AE}" pid="48" name="RecordPoint_SubmissionDate">
    <vt:lpwstr/>
  </property>
  <property fmtid="{D5CDD505-2E9C-101B-9397-08002B2CF9AE}" pid="49" name="RecordPoint_RecordFormat">
    <vt:lpwstr/>
  </property>
  <property fmtid="{D5CDD505-2E9C-101B-9397-08002B2CF9AE}" pid="50" name="ContentTypeId">
    <vt:lpwstr>0x010100B5F685A1365F544391EF8C813B164F3A00D96288D0C9516240A384CA7BDCAA7070</vt:lpwstr>
  </property>
  <property fmtid="{D5CDD505-2E9C-101B-9397-08002B2CF9AE}" pid="51" name="f947e1037e3e49619e55f8843e0f11fe">
    <vt:lpwstr>Sensitive|19fd2cb8-3e97-4464-ae71-8c2c2095d028</vt:lpwstr>
  </property>
  <property fmtid="{D5CDD505-2E9C-101B-9397-08002B2CF9AE}" pid="52" name="_DocHome">
    <vt:i4>753908010</vt:i4>
  </property>
  <property fmtid="{D5CDD505-2E9C-101B-9397-08002B2CF9AE}" pid="53" name="hbe12d52d4d34160aedef9a950587c48">
    <vt:lpwstr>Sensitive|19fd2cb8-3e97-4464-ae71-8c2c2095d028</vt:lpwstr>
  </property>
  <property fmtid="{D5CDD505-2E9C-101B-9397-08002B2CF9AE}" pid="54" name="RecordPoint_SubmissionCompleted">
    <vt:lpwstr>2021-08-11T12:45:43.2450535+10:00</vt:lpwstr>
  </property>
</Properties>
</file>