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98C5" w14:textId="77777777" w:rsidR="006818C0" w:rsidRPr="001F4ECA" w:rsidRDefault="006818C0" w:rsidP="006818C0">
      <w:pPr>
        <w:spacing w:after="120"/>
        <w:contextualSpacing/>
        <w:jc w:val="center"/>
        <w:rPr>
          <w:rFonts w:ascii="Times New Roman" w:hAnsi="Times New Roman"/>
          <w:sz w:val="24"/>
          <w:szCs w:val="24"/>
        </w:rPr>
      </w:pPr>
      <w:r w:rsidRPr="001F4ECA">
        <w:rPr>
          <w:rFonts w:ascii="Times New Roman" w:hAnsi="Times New Roman"/>
          <w:b/>
          <w:sz w:val="24"/>
          <w:szCs w:val="24"/>
          <w:u w:val="single"/>
        </w:rPr>
        <w:t>EXPLANATORY STATEMENT</w:t>
      </w:r>
    </w:p>
    <w:p w14:paraId="370EFAAE" w14:textId="77777777" w:rsidR="00714BF2" w:rsidRPr="001F4ECA" w:rsidRDefault="00714BF2" w:rsidP="00714BF2">
      <w:pPr>
        <w:jc w:val="center"/>
        <w:rPr>
          <w:rFonts w:ascii="Times New Roman" w:hAnsi="Times New Roman"/>
          <w:b/>
          <w:sz w:val="24"/>
          <w:szCs w:val="24"/>
        </w:rPr>
      </w:pPr>
    </w:p>
    <w:p w14:paraId="0FB29AA2" w14:textId="72EADC36" w:rsidR="00714BF2" w:rsidRPr="001F4ECA" w:rsidRDefault="00714BF2" w:rsidP="00714BF2">
      <w:pPr>
        <w:jc w:val="center"/>
        <w:rPr>
          <w:rFonts w:ascii="Times New Roman" w:hAnsi="Times New Roman"/>
          <w:b/>
          <w:sz w:val="24"/>
          <w:szCs w:val="24"/>
        </w:rPr>
      </w:pPr>
      <w:r w:rsidRPr="001F4ECA">
        <w:rPr>
          <w:rFonts w:ascii="Times New Roman" w:hAnsi="Times New Roman"/>
          <w:b/>
          <w:sz w:val="24"/>
          <w:szCs w:val="24"/>
        </w:rPr>
        <w:t>Issued by the Authority of the Minister for Finance</w:t>
      </w:r>
    </w:p>
    <w:p w14:paraId="51E2FA1D" w14:textId="77777777" w:rsidR="00714BF2" w:rsidRPr="001F4ECA" w:rsidRDefault="00714BF2" w:rsidP="00714BF2">
      <w:pPr>
        <w:contextualSpacing/>
        <w:jc w:val="center"/>
        <w:rPr>
          <w:rFonts w:ascii="Times New Roman" w:hAnsi="Times New Roman"/>
          <w:i/>
          <w:sz w:val="24"/>
          <w:szCs w:val="24"/>
        </w:rPr>
      </w:pPr>
    </w:p>
    <w:p w14:paraId="0BA20C65" w14:textId="77777777" w:rsidR="00714BF2" w:rsidRPr="001F4ECA" w:rsidRDefault="00714BF2" w:rsidP="00714BF2">
      <w:pPr>
        <w:contextualSpacing/>
        <w:jc w:val="center"/>
        <w:rPr>
          <w:rFonts w:ascii="Times New Roman" w:hAnsi="Times New Roman"/>
          <w:i/>
          <w:sz w:val="24"/>
          <w:szCs w:val="24"/>
        </w:rPr>
      </w:pPr>
      <w:r w:rsidRPr="001F4ECA">
        <w:rPr>
          <w:rFonts w:ascii="Times New Roman" w:hAnsi="Times New Roman"/>
          <w:i/>
          <w:sz w:val="24"/>
          <w:szCs w:val="24"/>
        </w:rPr>
        <w:t>Financial Framework (Supplementary Powers) Act 1997</w:t>
      </w:r>
    </w:p>
    <w:p w14:paraId="62C23AB5" w14:textId="77777777" w:rsidR="00714BF2" w:rsidRPr="001F4ECA" w:rsidRDefault="00714BF2" w:rsidP="00714BF2">
      <w:pPr>
        <w:tabs>
          <w:tab w:val="left" w:pos="1701"/>
        </w:tabs>
        <w:contextualSpacing/>
        <w:jc w:val="center"/>
        <w:rPr>
          <w:rFonts w:ascii="Times New Roman" w:hAnsi="Times New Roman"/>
          <w:sz w:val="24"/>
          <w:szCs w:val="24"/>
        </w:rPr>
      </w:pPr>
    </w:p>
    <w:p w14:paraId="50531E8D" w14:textId="77777777" w:rsidR="00714BF2" w:rsidRPr="001F4ECA" w:rsidRDefault="00714BF2" w:rsidP="00714BF2">
      <w:pPr>
        <w:tabs>
          <w:tab w:val="left" w:pos="1701"/>
        </w:tabs>
        <w:contextualSpacing/>
        <w:jc w:val="center"/>
        <w:rPr>
          <w:rFonts w:ascii="Times New Roman" w:hAnsi="Times New Roman"/>
          <w:i/>
          <w:sz w:val="24"/>
          <w:szCs w:val="24"/>
        </w:rPr>
      </w:pPr>
      <w:r w:rsidRPr="001F4ECA">
        <w:rPr>
          <w:rFonts w:ascii="Times New Roman" w:hAnsi="Times New Roman"/>
          <w:i/>
          <w:sz w:val="24"/>
          <w:szCs w:val="24"/>
        </w:rPr>
        <w:t xml:space="preserve">Financial Framework (Supplementary Powers) Amendment </w:t>
      </w:r>
    </w:p>
    <w:p w14:paraId="1FC7D72C" w14:textId="2BBDBF6B" w:rsidR="00714BF2" w:rsidRPr="001F4ECA" w:rsidRDefault="00714BF2" w:rsidP="00714BF2">
      <w:pPr>
        <w:tabs>
          <w:tab w:val="left" w:pos="1701"/>
        </w:tabs>
        <w:contextualSpacing/>
        <w:jc w:val="center"/>
        <w:rPr>
          <w:rFonts w:ascii="Times New Roman" w:hAnsi="Times New Roman"/>
          <w:i/>
          <w:sz w:val="24"/>
          <w:szCs w:val="24"/>
        </w:rPr>
      </w:pPr>
      <w:r w:rsidRPr="001F4ECA">
        <w:rPr>
          <w:rFonts w:ascii="Times New Roman" w:hAnsi="Times New Roman"/>
          <w:i/>
          <w:sz w:val="24"/>
          <w:szCs w:val="24"/>
        </w:rPr>
        <w:t xml:space="preserve">(Education, Skills and Employment Measures No. </w:t>
      </w:r>
      <w:r w:rsidR="0069466A" w:rsidRPr="001F4ECA">
        <w:rPr>
          <w:rFonts w:ascii="Times New Roman" w:hAnsi="Times New Roman"/>
          <w:i/>
          <w:sz w:val="24"/>
          <w:szCs w:val="24"/>
        </w:rPr>
        <w:t>3</w:t>
      </w:r>
      <w:r w:rsidRPr="001F4ECA">
        <w:rPr>
          <w:rFonts w:ascii="Times New Roman" w:hAnsi="Times New Roman"/>
          <w:i/>
          <w:sz w:val="24"/>
          <w:szCs w:val="24"/>
        </w:rPr>
        <w:t>) Regulations 2021</w:t>
      </w:r>
    </w:p>
    <w:p w14:paraId="5096858E" w14:textId="77777777" w:rsidR="00714BF2" w:rsidRPr="001F4ECA" w:rsidRDefault="00714BF2" w:rsidP="00714BF2">
      <w:pPr>
        <w:contextualSpacing/>
        <w:rPr>
          <w:rFonts w:ascii="Times New Roman" w:hAnsi="Times New Roman"/>
          <w:sz w:val="24"/>
          <w:szCs w:val="24"/>
        </w:rPr>
      </w:pPr>
    </w:p>
    <w:p w14:paraId="398E78DF" w14:textId="77777777" w:rsidR="00714BF2" w:rsidRPr="001F4ECA" w:rsidRDefault="00714BF2" w:rsidP="00714BF2">
      <w:pPr>
        <w:contextualSpacing/>
        <w:rPr>
          <w:rFonts w:ascii="Times New Roman" w:hAnsi="Times New Roman"/>
          <w:sz w:val="24"/>
          <w:szCs w:val="24"/>
        </w:rPr>
      </w:pPr>
      <w:r w:rsidRPr="001F4ECA">
        <w:rPr>
          <w:rFonts w:ascii="Times New Roman" w:hAnsi="Times New Roman"/>
          <w:sz w:val="24"/>
          <w:szCs w:val="24"/>
        </w:rPr>
        <w:t xml:space="preserve">The </w:t>
      </w:r>
      <w:r w:rsidRPr="001F4ECA">
        <w:rPr>
          <w:rFonts w:ascii="Times New Roman" w:hAnsi="Times New Roman"/>
          <w:i/>
          <w:sz w:val="24"/>
          <w:szCs w:val="24"/>
        </w:rPr>
        <w:t>Financial Framework (Supplementary Powers) Act 1997</w:t>
      </w:r>
      <w:r w:rsidRPr="001F4ECA">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1F4ECA">
        <w:rPr>
          <w:rFonts w:ascii="Times New Roman" w:hAnsi="Times New Roman"/>
          <w:i/>
          <w:sz w:val="24"/>
          <w:szCs w:val="24"/>
        </w:rPr>
        <w:t xml:space="preserve">Financial Framework (Supplementary Powers) Regulations 1997 </w:t>
      </w:r>
      <w:r w:rsidRPr="001F4ECA">
        <w:rPr>
          <w:rFonts w:ascii="Times New Roman" w:hAnsi="Times New Roman"/>
          <w:sz w:val="24"/>
          <w:szCs w:val="24"/>
        </w:rPr>
        <w:t>(the Principal Regulations). The powers in the FF(SP) Act to make, vary or administer arrangements or grants may be exercised on behalf of the Commonwealth by Ministers and the accountable authorities of non</w:t>
      </w:r>
      <w:r w:rsidRPr="001F4ECA">
        <w:rPr>
          <w:rFonts w:ascii="Times New Roman" w:hAnsi="Times New Roman"/>
          <w:sz w:val="24"/>
          <w:szCs w:val="24"/>
        </w:rPr>
        <w:noBreakHyphen/>
        <w:t xml:space="preserve">corporate Commonwealth entities, as defined under section 12 of the </w:t>
      </w:r>
      <w:r w:rsidRPr="001F4ECA">
        <w:rPr>
          <w:rFonts w:ascii="Times New Roman" w:hAnsi="Times New Roman"/>
          <w:i/>
          <w:sz w:val="24"/>
          <w:szCs w:val="24"/>
        </w:rPr>
        <w:t>Public Governance, Performance and Accountability Act 2013</w:t>
      </w:r>
      <w:r w:rsidRPr="001F4ECA">
        <w:rPr>
          <w:rFonts w:ascii="Times New Roman" w:hAnsi="Times New Roman"/>
          <w:sz w:val="24"/>
          <w:szCs w:val="24"/>
        </w:rPr>
        <w:t xml:space="preserve">. </w:t>
      </w:r>
    </w:p>
    <w:p w14:paraId="29BFC626" w14:textId="77777777" w:rsidR="00714BF2" w:rsidRPr="001F4ECA" w:rsidRDefault="00714BF2" w:rsidP="00714BF2">
      <w:pPr>
        <w:contextualSpacing/>
        <w:rPr>
          <w:rFonts w:ascii="Times New Roman" w:hAnsi="Times New Roman"/>
          <w:sz w:val="24"/>
          <w:szCs w:val="24"/>
        </w:rPr>
      </w:pPr>
    </w:p>
    <w:p w14:paraId="3D21700E" w14:textId="77777777" w:rsidR="00714BF2" w:rsidRPr="001F4ECA" w:rsidRDefault="00714BF2" w:rsidP="00714BF2">
      <w:pPr>
        <w:pStyle w:val="ParaNumbering"/>
        <w:tabs>
          <w:tab w:val="clear" w:pos="360"/>
          <w:tab w:val="clear" w:pos="567"/>
        </w:tabs>
        <w:spacing w:after="0" w:line="240" w:lineRule="auto"/>
        <w:contextualSpacing/>
        <w:rPr>
          <w:szCs w:val="24"/>
        </w:rPr>
      </w:pPr>
      <w:r w:rsidRPr="001F4ECA">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46D4912B" w14:textId="77777777" w:rsidR="00714BF2" w:rsidRPr="001F4ECA" w:rsidRDefault="00714BF2" w:rsidP="00714BF2">
      <w:pPr>
        <w:contextualSpacing/>
        <w:rPr>
          <w:rFonts w:ascii="Times New Roman" w:hAnsi="Times New Roman"/>
          <w:sz w:val="24"/>
          <w:szCs w:val="24"/>
        </w:rPr>
      </w:pPr>
    </w:p>
    <w:p w14:paraId="63D1EE6B" w14:textId="77777777" w:rsidR="00714BF2" w:rsidRPr="001F4ECA" w:rsidRDefault="00714BF2" w:rsidP="00714BF2">
      <w:pPr>
        <w:ind w:right="-45"/>
        <w:rPr>
          <w:rFonts w:ascii="Times New Roman" w:hAnsi="Times New Roman"/>
          <w:sz w:val="24"/>
          <w:szCs w:val="24"/>
        </w:rPr>
      </w:pPr>
      <w:r w:rsidRPr="001F4ECA">
        <w:rPr>
          <w:rFonts w:ascii="Times New Roman" w:hAnsi="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Schedule 1AA and Schedule 1AB to the Principal Regulations specify the arrangements, grants and programs.</w:t>
      </w:r>
    </w:p>
    <w:p w14:paraId="07B469DF" w14:textId="77777777" w:rsidR="00714BF2" w:rsidRPr="001F4ECA" w:rsidRDefault="00714BF2" w:rsidP="00714BF2">
      <w:pPr>
        <w:ind w:right="-46"/>
        <w:rPr>
          <w:rFonts w:ascii="Times New Roman" w:hAnsi="Times New Roman"/>
          <w:sz w:val="24"/>
          <w:szCs w:val="24"/>
        </w:rPr>
      </w:pPr>
    </w:p>
    <w:p w14:paraId="3564364A" w14:textId="0621B9DE" w:rsidR="000772A0" w:rsidRPr="001F4ECA" w:rsidRDefault="00714BF2" w:rsidP="00714BF2">
      <w:pPr>
        <w:ind w:right="-46"/>
        <w:rPr>
          <w:rFonts w:ascii="Times New Roman" w:hAnsi="Times New Roman"/>
          <w:sz w:val="24"/>
          <w:szCs w:val="24"/>
        </w:rPr>
      </w:pPr>
      <w:r w:rsidRPr="001F4ECA">
        <w:rPr>
          <w:rFonts w:ascii="Times New Roman" w:hAnsi="Times New Roman"/>
          <w:sz w:val="24"/>
          <w:szCs w:val="24"/>
        </w:rPr>
        <w:t xml:space="preserve">The </w:t>
      </w:r>
      <w:r w:rsidRPr="001F4ECA">
        <w:rPr>
          <w:rFonts w:ascii="Times New Roman" w:hAnsi="Times New Roman"/>
          <w:i/>
          <w:sz w:val="24"/>
          <w:szCs w:val="24"/>
        </w:rPr>
        <w:t>Financial Framework (Supplementary Powers) Amendment (Education, Skills and Employment Measures No. </w:t>
      </w:r>
      <w:r w:rsidR="0069466A" w:rsidRPr="001F4ECA">
        <w:rPr>
          <w:rFonts w:ascii="Times New Roman" w:hAnsi="Times New Roman"/>
          <w:i/>
          <w:sz w:val="24"/>
          <w:szCs w:val="24"/>
        </w:rPr>
        <w:t>3</w:t>
      </w:r>
      <w:r w:rsidRPr="001F4ECA">
        <w:rPr>
          <w:rFonts w:ascii="Times New Roman" w:hAnsi="Times New Roman"/>
          <w:i/>
          <w:sz w:val="24"/>
          <w:szCs w:val="24"/>
        </w:rPr>
        <w:t xml:space="preserve">) Regulations 2021 </w:t>
      </w:r>
      <w:r w:rsidRPr="001F4ECA">
        <w:rPr>
          <w:rFonts w:ascii="Times New Roman" w:hAnsi="Times New Roman"/>
          <w:sz w:val="24"/>
          <w:szCs w:val="24"/>
        </w:rPr>
        <w:t xml:space="preserve">(the Regulations) amend Schedule 1AB to the Principal Regulations to establish legislative authority for government spending </w:t>
      </w:r>
      <w:r w:rsidR="000772A0" w:rsidRPr="001F4ECA">
        <w:rPr>
          <w:rFonts w:ascii="Times New Roman" w:hAnsi="Times New Roman"/>
          <w:sz w:val="24"/>
          <w:szCs w:val="24"/>
        </w:rPr>
        <w:t>on certain activities administered by the Department of Education, Skills and Employment</w:t>
      </w:r>
      <w:r w:rsidR="005763FF" w:rsidRPr="001F4ECA">
        <w:rPr>
          <w:rFonts w:ascii="Times New Roman" w:hAnsi="Times New Roman"/>
          <w:sz w:val="24"/>
          <w:szCs w:val="24"/>
        </w:rPr>
        <w:t>.</w:t>
      </w:r>
    </w:p>
    <w:p w14:paraId="28DBDD6E" w14:textId="61A93155" w:rsidR="000772A0" w:rsidRPr="001F4ECA" w:rsidRDefault="000772A0" w:rsidP="00714BF2">
      <w:pPr>
        <w:ind w:right="-46"/>
        <w:rPr>
          <w:rFonts w:ascii="Times New Roman" w:hAnsi="Times New Roman"/>
          <w:sz w:val="24"/>
          <w:szCs w:val="24"/>
        </w:rPr>
      </w:pPr>
    </w:p>
    <w:p w14:paraId="32D6769A" w14:textId="290909D5" w:rsidR="000772A0" w:rsidRPr="001F4ECA" w:rsidRDefault="000772A0" w:rsidP="00714BF2">
      <w:pPr>
        <w:ind w:right="-46"/>
        <w:rPr>
          <w:rFonts w:ascii="Times New Roman" w:hAnsi="Times New Roman"/>
          <w:sz w:val="24"/>
          <w:szCs w:val="24"/>
        </w:rPr>
      </w:pPr>
      <w:r w:rsidRPr="001F4ECA">
        <w:rPr>
          <w:rFonts w:ascii="Times New Roman" w:hAnsi="Times New Roman"/>
          <w:sz w:val="24"/>
          <w:szCs w:val="24"/>
        </w:rPr>
        <w:t>Funding is provided for:</w:t>
      </w:r>
    </w:p>
    <w:p w14:paraId="72BFCC81" w14:textId="3AE2879B" w:rsidR="0069466A" w:rsidRPr="001F4ECA" w:rsidRDefault="0074410E" w:rsidP="00340440">
      <w:pPr>
        <w:pStyle w:val="ListParagraph"/>
        <w:numPr>
          <w:ilvl w:val="0"/>
          <w:numId w:val="18"/>
        </w:numPr>
        <w:rPr>
          <w:szCs w:val="24"/>
          <w:lang w:val="en-GB"/>
        </w:rPr>
      </w:pPr>
      <w:r w:rsidRPr="001F4ECA">
        <w:rPr>
          <w:szCs w:val="24"/>
          <w:lang w:val="en-GB"/>
        </w:rPr>
        <w:t xml:space="preserve">the </w:t>
      </w:r>
      <w:r w:rsidR="00D771D0" w:rsidRPr="001F4ECA">
        <w:rPr>
          <w:szCs w:val="24"/>
          <w:lang w:val="en-GB"/>
        </w:rPr>
        <w:t>continued delivery and expansion</w:t>
      </w:r>
      <w:r w:rsidR="002A0740" w:rsidRPr="001F4ECA">
        <w:rPr>
          <w:szCs w:val="24"/>
          <w:lang w:val="en-GB"/>
        </w:rPr>
        <w:t xml:space="preserve"> of the Literacy and Numeracy Test for Initial Teacher Education</w:t>
      </w:r>
      <w:r w:rsidR="00371E23" w:rsidRPr="001F4ECA">
        <w:rPr>
          <w:szCs w:val="24"/>
          <w:lang w:val="en-GB"/>
        </w:rPr>
        <w:t xml:space="preserve"> (LANTITE)</w:t>
      </w:r>
      <w:r w:rsidR="002A0740" w:rsidRPr="001F4ECA">
        <w:rPr>
          <w:szCs w:val="24"/>
          <w:lang w:val="en-GB"/>
        </w:rPr>
        <w:t xml:space="preserve"> program </w:t>
      </w:r>
      <w:r w:rsidR="002A0740" w:rsidRPr="001F4ECA">
        <w:rPr>
          <w:szCs w:val="24"/>
        </w:rPr>
        <w:t xml:space="preserve">to deliver the </w:t>
      </w:r>
      <w:r w:rsidR="00371E23" w:rsidRPr="001F4ECA">
        <w:rPr>
          <w:szCs w:val="24"/>
        </w:rPr>
        <w:t>LANTITE</w:t>
      </w:r>
      <w:r w:rsidR="002A0740" w:rsidRPr="001F4ECA">
        <w:rPr>
          <w:szCs w:val="24"/>
        </w:rPr>
        <w:t xml:space="preserve"> through non-online means</w:t>
      </w:r>
      <w:r w:rsidR="002A0740" w:rsidRPr="001F4ECA">
        <w:rPr>
          <w:szCs w:val="24"/>
          <w:lang w:val="en-GB"/>
        </w:rPr>
        <w:t xml:space="preserve"> to </w:t>
      </w:r>
      <w:r w:rsidR="002A0740" w:rsidRPr="001F4ECA">
        <w:rPr>
          <w:szCs w:val="24"/>
        </w:rPr>
        <w:t xml:space="preserve">eligible persons with a disability </w:t>
      </w:r>
      <w:r w:rsidR="002A0740" w:rsidRPr="001F4ECA">
        <w:rPr>
          <w:szCs w:val="24"/>
          <w:lang w:val="en-GB"/>
        </w:rPr>
        <w:t xml:space="preserve">($4.0 million over four years from </w:t>
      </w:r>
      <w:r w:rsidR="00D771D0" w:rsidRPr="001F4ECA">
        <w:rPr>
          <w:szCs w:val="24"/>
          <w:lang w:val="en-GB"/>
        </w:rPr>
        <w:br/>
      </w:r>
      <w:r w:rsidR="002A0740" w:rsidRPr="001F4ECA">
        <w:rPr>
          <w:szCs w:val="24"/>
          <w:lang w:val="en-GB"/>
        </w:rPr>
        <w:t>2021-22, with subsequent ongoing funding of $1.0 million per year from 2025-26);</w:t>
      </w:r>
    </w:p>
    <w:p w14:paraId="58A0C8AA" w14:textId="19459B02" w:rsidR="00BD020C" w:rsidRPr="001F4ECA" w:rsidRDefault="00BD020C" w:rsidP="00340440">
      <w:pPr>
        <w:pStyle w:val="ListParagraph"/>
        <w:numPr>
          <w:ilvl w:val="0"/>
          <w:numId w:val="18"/>
        </w:numPr>
        <w:rPr>
          <w:szCs w:val="24"/>
          <w:lang w:val="en-GB"/>
        </w:rPr>
      </w:pPr>
      <w:r w:rsidRPr="001F4ECA">
        <w:rPr>
          <w:szCs w:val="24"/>
          <w:lang w:val="en-GB"/>
        </w:rPr>
        <w:t xml:space="preserve">the Civics and Citizenship Education Initiatives, </w:t>
      </w:r>
      <w:r w:rsidRPr="001F4ECA">
        <w:rPr>
          <w:szCs w:val="24"/>
        </w:rPr>
        <w:t xml:space="preserve">which support civics and citizenship education in schools and help students to become active and informed citizens </w:t>
      </w:r>
      <w:r w:rsidRPr="001F4ECA">
        <w:rPr>
          <w:szCs w:val="24"/>
          <w:lang w:val="en-GB"/>
        </w:rPr>
        <w:t>($0.4 million in 2021-22);</w:t>
      </w:r>
    </w:p>
    <w:p w14:paraId="1E584AA2" w14:textId="687C6875" w:rsidR="001B1AAD" w:rsidRPr="001F4ECA" w:rsidRDefault="001B1AAD" w:rsidP="00340440">
      <w:pPr>
        <w:pStyle w:val="ListParagraph"/>
        <w:numPr>
          <w:ilvl w:val="0"/>
          <w:numId w:val="18"/>
        </w:numPr>
        <w:rPr>
          <w:szCs w:val="24"/>
          <w:lang w:val="en-GB"/>
        </w:rPr>
      </w:pPr>
      <w:r w:rsidRPr="001F4ECA">
        <w:rPr>
          <w:szCs w:val="24"/>
          <w:lang w:val="en-GB"/>
        </w:rPr>
        <w:t xml:space="preserve">the expansion of the Mid-Career Checkpoint program, which </w:t>
      </w:r>
      <w:r w:rsidR="0074410E" w:rsidRPr="001F4ECA">
        <w:rPr>
          <w:szCs w:val="24"/>
          <w:lang w:val="en-GB"/>
        </w:rPr>
        <w:t>provides</w:t>
      </w:r>
      <w:r w:rsidRPr="001F4ECA">
        <w:rPr>
          <w:szCs w:val="24"/>
          <w:lang w:val="en-GB"/>
        </w:rPr>
        <w:t xml:space="preserve"> career guidance and train</w:t>
      </w:r>
      <w:r w:rsidR="00B01886" w:rsidRPr="001F4ECA">
        <w:rPr>
          <w:szCs w:val="24"/>
          <w:lang w:val="en-GB"/>
        </w:rPr>
        <w:t>ing to assist persons to return</w:t>
      </w:r>
      <w:r w:rsidRPr="001F4ECA">
        <w:rPr>
          <w:szCs w:val="24"/>
          <w:lang w:val="en-GB"/>
        </w:rPr>
        <w:t xml:space="preserve"> to work or remain in work ($73.4</w:t>
      </w:r>
      <w:r w:rsidR="0074410E" w:rsidRPr="001F4ECA">
        <w:rPr>
          <w:szCs w:val="24"/>
          <w:lang w:val="en-GB"/>
        </w:rPr>
        <w:t> </w:t>
      </w:r>
      <w:r w:rsidRPr="001F4ECA">
        <w:rPr>
          <w:szCs w:val="24"/>
          <w:lang w:val="en-GB"/>
        </w:rPr>
        <w:t xml:space="preserve">million over three years from 2021-22, </w:t>
      </w:r>
      <w:r w:rsidR="0074410E" w:rsidRPr="001F4ECA">
        <w:rPr>
          <w:szCs w:val="24"/>
          <w:lang w:val="en-GB"/>
        </w:rPr>
        <w:t xml:space="preserve">with </w:t>
      </w:r>
      <w:r w:rsidRPr="001F4ECA">
        <w:rPr>
          <w:szCs w:val="24"/>
          <w:lang w:val="en-GB"/>
        </w:rPr>
        <w:t>no new funding provided for the expansion of the program);</w:t>
      </w:r>
    </w:p>
    <w:p w14:paraId="1B6E5EA0" w14:textId="601FAD16" w:rsidR="00083C8A" w:rsidRPr="001F4ECA" w:rsidRDefault="00083C8A" w:rsidP="00083C8A">
      <w:pPr>
        <w:pStyle w:val="ListParagraph"/>
        <w:numPr>
          <w:ilvl w:val="0"/>
          <w:numId w:val="18"/>
        </w:numPr>
        <w:rPr>
          <w:szCs w:val="24"/>
          <w:lang w:val="en-GB"/>
        </w:rPr>
      </w:pPr>
      <w:r w:rsidRPr="001F4ECA">
        <w:rPr>
          <w:szCs w:val="24"/>
          <w:lang w:val="en-GB"/>
        </w:rPr>
        <w:t xml:space="preserve">the expansion </w:t>
      </w:r>
      <w:r w:rsidR="0074410E" w:rsidRPr="001F4ECA">
        <w:rPr>
          <w:szCs w:val="24"/>
          <w:lang w:val="en-GB"/>
        </w:rPr>
        <w:t>of</w:t>
      </w:r>
      <w:r w:rsidRPr="001F4ECA">
        <w:rPr>
          <w:szCs w:val="24"/>
          <w:lang w:val="en-GB"/>
        </w:rPr>
        <w:t xml:space="preserve"> the Local Jobs – COVID-19 Recovery program to support local organisations and stakeholders to develop and implement tailored approaches to accelerate re</w:t>
      </w:r>
      <w:r w:rsidR="00C915FB" w:rsidRPr="001F4ECA">
        <w:rPr>
          <w:szCs w:val="24"/>
          <w:lang w:val="en-GB"/>
        </w:rPr>
        <w:t>-</w:t>
      </w:r>
      <w:r w:rsidRPr="001F4ECA">
        <w:rPr>
          <w:szCs w:val="24"/>
          <w:lang w:val="en-GB"/>
        </w:rPr>
        <w:t xml:space="preserve">skilling, upskilling and employment of job seekers in all 51 Employment </w:t>
      </w:r>
      <w:r w:rsidRPr="001F4ECA">
        <w:rPr>
          <w:szCs w:val="24"/>
          <w:lang w:val="en-GB"/>
        </w:rPr>
        <w:lastRenderedPageBreak/>
        <w:t>Regions through the engagement of Employment Facilitators and the establishment of Local Jobs and Skills Taskforces ($213.5 million over four years from 2021-22);</w:t>
      </w:r>
    </w:p>
    <w:p w14:paraId="142D83EF" w14:textId="5ACFEE37" w:rsidR="00EC0ABC" w:rsidRPr="001F4ECA" w:rsidRDefault="00EC0ABC" w:rsidP="00EC0ABC">
      <w:pPr>
        <w:pStyle w:val="ListParagraph"/>
        <w:numPr>
          <w:ilvl w:val="0"/>
          <w:numId w:val="18"/>
        </w:numPr>
        <w:rPr>
          <w:szCs w:val="24"/>
          <w:lang w:val="en-GB"/>
        </w:rPr>
      </w:pPr>
      <w:r w:rsidRPr="001F4ECA">
        <w:rPr>
          <w:szCs w:val="24"/>
          <w:lang w:val="en-GB"/>
        </w:rPr>
        <w:t>the Digital Skills Cadetship Trial to assist cadets to undertake vocational education and training in digital skills, including education and training provided by employers, and assist cadets with future employment opportunities ($10.7 million over three years from 2021-22);</w:t>
      </w:r>
      <w:r w:rsidR="003D6DAB" w:rsidRPr="001F4ECA">
        <w:rPr>
          <w:szCs w:val="24"/>
          <w:lang w:val="en-GB"/>
        </w:rPr>
        <w:t xml:space="preserve"> and</w:t>
      </w:r>
    </w:p>
    <w:p w14:paraId="647CD3A1" w14:textId="10BD2241" w:rsidR="00E82C32" w:rsidRPr="001F4ECA" w:rsidRDefault="003D6DAB" w:rsidP="00B01886">
      <w:pPr>
        <w:pStyle w:val="ListParagraph"/>
        <w:numPr>
          <w:ilvl w:val="0"/>
          <w:numId w:val="18"/>
        </w:numPr>
        <w:rPr>
          <w:szCs w:val="24"/>
        </w:rPr>
      </w:pPr>
      <w:r w:rsidRPr="001F4ECA">
        <w:rPr>
          <w:szCs w:val="24"/>
          <w:lang w:val="en-GB"/>
        </w:rPr>
        <w:t>the Career Revive Initiative Expansion, which will support up to 60 medium to large businesses to develop an employer action plan to address barriers to women’s full and equal participation in the employer’s workforce, and to promote such full and equal participation ($2.6 million over three years from 2021-22).</w:t>
      </w:r>
    </w:p>
    <w:p w14:paraId="79EEE8D0" w14:textId="09086A49" w:rsidR="00077072" w:rsidRPr="001F4ECA" w:rsidRDefault="00077072" w:rsidP="00714BF2">
      <w:pPr>
        <w:rPr>
          <w:rFonts w:ascii="Times New Roman" w:hAnsi="Times New Roman"/>
          <w:sz w:val="24"/>
          <w:szCs w:val="24"/>
        </w:rPr>
      </w:pPr>
    </w:p>
    <w:p w14:paraId="0CCF0DE5" w14:textId="77777777" w:rsidR="00714BF2" w:rsidRPr="001F4ECA" w:rsidRDefault="00714BF2" w:rsidP="00714BF2">
      <w:pPr>
        <w:ind w:right="-46"/>
        <w:rPr>
          <w:rFonts w:ascii="Times New Roman" w:hAnsi="Times New Roman"/>
          <w:i/>
          <w:sz w:val="24"/>
          <w:szCs w:val="24"/>
        </w:rPr>
      </w:pPr>
      <w:r w:rsidRPr="001F4ECA">
        <w:rPr>
          <w:rFonts w:ascii="Times New Roman" w:hAnsi="Times New Roman"/>
          <w:sz w:val="24"/>
          <w:szCs w:val="24"/>
        </w:rPr>
        <w:t xml:space="preserve">Details of the Regulations are set out at </w:t>
      </w:r>
      <w:r w:rsidRPr="001F4ECA">
        <w:rPr>
          <w:rFonts w:ascii="Times New Roman" w:hAnsi="Times New Roman"/>
          <w:sz w:val="24"/>
          <w:szCs w:val="24"/>
          <w:u w:val="single"/>
        </w:rPr>
        <w:t>Attachment A</w:t>
      </w:r>
      <w:r w:rsidRPr="001F4ECA">
        <w:rPr>
          <w:rFonts w:ascii="Times New Roman" w:hAnsi="Times New Roman"/>
          <w:sz w:val="24"/>
          <w:szCs w:val="24"/>
        </w:rPr>
        <w:t xml:space="preserve">. A Statement of Compatibility with Human Rights is at </w:t>
      </w:r>
      <w:r w:rsidRPr="001F4ECA">
        <w:rPr>
          <w:rFonts w:ascii="Times New Roman" w:hAnsi="Times New Roman"/>
          <w:sz w:val="24"/>
          <w:szCs w:val="24"/>
          <w:u w:val="single"/>
        </w:rPr>
        <w:t>Attachment B</w:t>
      </w:r>
      <w:r w:rsidRPr="001F4ECA">
        <w:rPr>
          <w:rFonts w:ascii="Times New Roman" w:hAnsi="Times New Roman"/>
          <w:sz w:val="24"/>
          <w:szCs w:val="24"/>
        </w:rPr>
        <w:t>.</w:t>
      </w:r>
    </w:p>
    <w:p w14:paraId="7E54C575" w14:textId="77777777" w:rsidR="00714BF2" w:rsidRPr="001F4ECA" w:rsidRDefault="00714BF2" w:rsidP="00714BF2">
      <w:pPr>
        <w:ind w:right="-46"/>
        <w:rPr>
          <w:rFonts w:ascii="Times New Roman" w:hAnsi="Times New Roman"/>
          <w:sz w:val="24"/>
          <w:szCs w:val="24"/>
        </w:rPr>
      </w:pPr>
    </w:p>
    <w:p w14:paraId="15280D59" w14:textId="77777777" w:rsidR="00714BF2" w:rsidRPr="001F4ECA" w:rsidRDefault="00714BF2" w:rsidP="00714BF2">
      <w:pPr>
        <w:ind w:right="-46"/>
        <w:rPr>
          <w:rFonts w:ascii="Times New Roman" w:hAnsi="Times New Roman"/>
          <w:sz w:val="24"/>
          <w:szCs w:val="24"/>
        </w:rPr>
      </w:pPr>
      <w:r w:rsidRPr="001F4ECA">
        <w:rPr>
          <w:rFonts w:ascii="Times New Roman" w:hAnsi="Times New Roman"/>
          <w:sz w:val="24"/>
          <w:szCs w:val="24"/>
        </w:rPr>
        <w:t xml:space="preserve">The Regulations are a legislative instrument for the purposes of the </w:t>
      </w:r>
      <w:r w:rsidRPr="001F4ECA">
        <w:rPr>
          <w:rFonts w:ascii="Times New Roman" w:hAnsi="Times New Roman"/>
          <w:i/>
          <w:sz w:val="24"/>
          <w:szCs w:val="24"/>
        </w:rPr>
        <w:t>Legislation Act 2003</w:t>
      </w:r>
      <w:r w:rsidRPr="001F4ECA">
        <w:rPr>
          <w:rFonts w:ascii="Times New Roman" w:hAnsi="Times New Roman"/>
          <w:sz w:val="24"/>
          <w:szCs w:val="24"/>
        </w:rPr>
        <w:t>. The Regulations commence on the day after the instrument is registered on the Federal Register of Legislation.</w:t>
      </w:r>
    </w:p>
    <w:p w14:paraId="3C94BBEA" w14:textId="77777777" w:rsidR="00714BF2" w:rsidRPr="001F4ECA" w:rsidRDefault="00714BF2" w:rsidP="00714BF2">
      <w:pPr>
        <w:ind w:right="-46"/>
        <w:rPr>
          <w:rFonts w:ascii="Times New Roman" w:hAnsi="Times New Roman"/>
          <w:sz w:val="24"/>
          <w:szCs w:val="24"/>
        </w:rPr>
      </w:pPr>
    </w:p>
    <w:p w14:paraId="30F9DCC5" w14:textId="77777777" w:rsidR="00714BF2" w:rsidRPr="001F4ECA" w:rsidRDefault="00714BF2" w:rsidP="00714BF2">
      <w:pPr>
        <w:rPr>
          <w:rFonts w:ascii="Times New Roman" w:hAnsi="Times New Roman"/>
          <w:b/>
          <w:bCs/>
          <w:sz w:val="24"/>
          <w:szCs w:val="24"/>
        </w:rPr>
      </w:pPr>
      <w:r w:rsidRPr="001F4ECA">
        <w:rPr>
          <w:rFonts w:ascii="Times New Roman" w:hAnsi="Times New Roman"/>
          <w:b/>
          <w:bCs/>
          <w:sz w:val="24"/>
          <w:szCs w:val="24"/>
        </w:rPr>
        <w:t>Consultation</w:t>
      </w:r>
    </w:p>
    <w:p w14:paraId="7C974675" w14:textId="77777777" w:rsidR="00714BF2" w:rsidRPr="001F4ECA" w:rsidRDefault="00714BF2" w:rsidP="00714BF2">
      <w:pPr>
        <w:rPr>
          <w:rFonts w:ascii="Times New Roman" w:hAnsi="Times New Roman"/>
          <w:bCs/>
          <w:sz w:val="24"/>
          <w:szCs w:val="24"/>
        </w:rPr>
      </w:pPr>
    </w:p>
    <w:p w14:paraId="5276EEFD" w14:textId="77777777" w:rsidR="00714BF2" w:rsidRPr="001F4ECA" w:rsidRDefault="00714BF2" w:rsidP="00714BF2">
      <w:pPr>
        <w:rPr>
          <w:rFonts w:ascii="Times New Roman" w:hAnsi="Times New Roman"/>
          <w:sz w:val="24"/>
          <w:szCs w:val="24"/>
        </w:rPr>
      </w:pPr>
      <w:r w:rsidRPr="001F4ECA">
        <w:rPr>
          <w:rFonts w:ascii="Times New Roman" w:hAnsi="Times New Roman"/>
          <w:sz w:val="24"/>
          <w:szCs w:val="24"/>
        </w:rPr>
        <w:t xml:space="preserve">In accordance with section 17 of the </w:t>
      </w:r>
      <w:r w:rsidRPr="001F4ECA">
        <w:rPr>
          <w:rFonts w:ascii="Times New Roman" w:hAnsi="Times New Roman"/>
          <w:i/>
          <w:iCs/>
          <w:sz w:val="24"/>
          <w:szCs w:val="24"/>
        </w:rPr>
        <w:t>Legislation Act 2003</w:t>
      </w:r>
      <w:r w:rsidRPr="001F4ECA">
        <w:rPr>
          <w:rFonts w:ascii="Times New Roman" w:hAnsi="Times New Roman"/>
          <w:sz w:val="24"/>
          <w:szCs w:val="24"/>
        </w:rPr>
        <w:t>, consultation has taken place with the Department of Education, Skills and Employment.</w:t>
      </w:r>
    </w:p>
    <w:p w14:paraId="37BB3CBF" w14:textId="77777777" w:rsidR="00714BF2" w:rsidRPr="001F4ECA" w:rsidRDefault="00714BF2" w:rsidP="00714BF2">
      <w:pPr>
        <w:rPr>
          <w:rFonts w:ascii="Times New Roman" w:hAnsi="Times New Roman"/>
          <w:sz w:val="24"/>
          <w:szCs w:val="24"/>
        </w:rPr>
      </w:pPr>
    </w:p>
    <w:p w14:paraId="25164740" w14:textId="77777777" w:rsidR="00714BF2" w:rsidRPr="001F4ECA" w:rsidRDefault="00714BF2" w:rsidP="00714BF2">
      <w:pPr>
        <w:rPr>
          <w:rFonts w:ascii="Times New Roman" w:hAnsi="Times New Roman"/>
          <w:sz w:val="24"/>
          <w:szCs w:val="24"/>
        </w:rPr>
      </w:pPr>
      <w:r w:rsidRPr="001F4ECA">
        <w:rPr>
          <w:rFonts w:ascii="Times New Roman" w:hAnsi="Times New Roman"/>
          <w:iCs/>
          <w:sz w:val="24"/>
          <w:szCs w:val="24"/>
        </w:rPr>
        <w:t>A regulation impact statement is not required as the Regulations only apply to non</w:t>
      </w:r>
      <w:r w:rsidRPr="001F4ECA">
        <w:rPr>
          <w:rFonts w:ascii="Times New Roman" w:hAnsi="Times New Roman"/>
          <w:iCs/>
          <w:sz w:val="24"/>
          <w:szCs w:val="24"/>
        </w:rPr>
        <w:noBreakHyphen/>
        <w:t xml:space="preserve">corporate Commonwealth entities and do not adversely affect the private sector. </w:t>
      </w:r>
    </w:p>
    <w:p w14:paraId="325FB753" w14:textId="77777777" w:rsidR="006818C0" w:rsidRPr="001F4ECA" w:rsidRDefault="006818C0" w:rsidP="00714BF2">
      <w:pPr>
        <w:contextualSpacing/>
        <w:rPr>
          <w:rFonts w:ascii="Times New Roman" w:hAnsi="Times New Roman"/>
          <w:b/>
          <w:color w:val="000000" w:themeColor="text1"/>
          <w:sz w:val="24"/>
          <w:szCs w:val="24"/>
        </w:rPr>
      </w:pPr>
    </w:p>
    <w:p w14:paraId="1D58E038" w14:textId="77777777" w:rsidR="00B044BA" w:rsidRPr="001F4ECA" w:rsidRDefault="00B044BA" w:rsidP="006818C0">
      <w:pPr>
        <w:spacing w:after="120"/>
        <w:contextualSpacing/>
        <w:rPr>
          <w:rFonts w:ascii="Times New Roman" w:hAnsi="Times New Roman"/>
          <w:iCs/>
          <w:sz w:val="24"/>
          <w:szCs w:val="24"/>
        </w:rPr>
      </w:pPr>
    </w:p>
    <w:p w14:paraId="759E890D" w14:textId="77777777" w:rsidR="00B044BA" w:rsidRPr="001F4ECA" w:rsidRDefault="00B044BA" w:rsidP="006818C0">
      <w:pPr>
        <w:spacing w:after="120"/>
        <w:contextualSpacing/>
        <w:rPr>
          <w:rFonts w:ascii="Times New Roman" w:hAnsi="Times New Roman"/>
          <w:iCs/>
          <w:sz w:val="24"/>
          <w:szCs w:val="24"/>
        </w:rPr>
      </w:pPr>
    </w:p>
    <w:p w14:paraId="5DFCA737" w14:textId="77777777" w:rsidR="006818C0" w:rsidRPr="001F4ECA" w:rsidRDefault="006818C0" w:rsidP="006818C0">
      <w:pPr>
        <w:spacing w:after="120"/>
        <w:contextualSpacing/>
        <w:rPr>
          <w:rFonts w:ascii="Times New Roman" w:hAnsi="Times New Roman"/>
          <w:color w:val="000000" w:themeColor="text1"/>
          <w:sz w:val="24"/>
          <w:szCs w:val="24"/>
        </w:rPr>
        <w:sectPr w:rsidR="006818C0" w:rsidRPr="001F4ECA" w:rsidSect="004D676F">
          <w:headerReference w:type="default" r:id="rId13"/>
          <w:footerReference w:type="default" r:id="rId14"/>
          <w:headerReference w:type="first" r:id="rId15"/>
          <w:footerReference w:type="first" r:id="rId16"/>
          <w:pgSz w:w="11906" w:h="16838"/>
          <w:pgMar w:top="1418" w:right="1440" w:bottom="1332" w:left="1440" w:header="709" w:footer="709" w:gutter="0"/>
          <w:pgNumType w:start="1"/>
          <w:cols w:space="708"/>
          <w:titlePg/>
          <w:docGrid w:linePitch="360"/>
        </w:sectPr>
      </w:pPr>
    </w:p>
    <w:p w14:paraId="023150F5" w14:textId="77777777" w:rsidR="00714BF2" w:rsidRPr="001F4ECA" w:rsidRDefault="00714BF2" w:rsidP="00714BF2">
      <w:pPr>
        <w:contextualSpacing/>
        <w:rPr>
          <w:rFonts w:ascii="Times New Roman" w:hAnsi="Times New Roman"/>
          <w:b/>
          <w:bCs/>
          <w:i/>
          <w:color w:val="000000" w:themeColor="text1"/>
          <w:sz w:val="24"/>
          <w:szCs w:val="24"/>
          <w:u w:val="single"/>
        </w:rPr>
      </w:pPr>
      <w:r w:rsidRPr="001F4ECA">
        <w:rPr>
          <w:rFonts w:ascii="Times New Roman" w:hAnsi="Times New Roman"/>
          <w:b/>
          <w:bCs/>
          <w:color w:val="000000" w:themeColor="text1"/>
          <w:sz w:val="24"/>
          <w:szCs w:val="24"/>
          <w:u w:val="single"/>
        </w:rPr>
        <w:lastRenderedPageBreak/>
        <w:t xml:space="preserve">Details of the </w:t>
      </w:r>
      <w:r w:rsidRPr="001F4ECA">
        <w:rPr>
          <w:rFonts w:ascii="Times New Roman" w:hAnsi="Times New Roman"/>
          <w:b/>
          <w:bCs/>
          <w:i/>
          <w:color w:val="000000" w:themeColor="text1"/>
          <w:sz w:val="24"/>
          <w:szCs w:val="24"/>
          <w:u w:val="single"/>
        </w:rPr>
        <w:t xml:space="preserve">Financial Framework (Supplementary Powers) Amendment </w:t>
      </w:r>
    </w:p>
    <w:p w14:paraId="38FB8412" w14:textId="1A444E52" w:rsidR="00714BF2" w:rsidRPr="001F4ECA" w:rsidRDefault="00714BF2" w:rsidP="00714BF2">
      <w:pPr>
        <w:contextualSpacing/>
        <w:rPr>
          <w:rFonts w:ascii="Times New Roman" w:hAnsi="Times New Roman"/>
          <w:b/>
          <w:bCs/>
          <w:i/>
          <w:color w:val="000000" w:themeColor="text1"/>
          <w:sz w:val="24"/>
          <w:szCs w:val="24"/>
          <w:u w:val="single"/>
        </w:rPr>
      </w:pPr>
      <w:r w:rsidRPr="001F4ECA">
        <w:rPr>
          <w:rFonts w:ascii="Times New Roman" w:hAnsi="Times New Roman"/>
          <w:b/>
          <w:bCs/>
          <w:i/>
          <w:color w:val="000000" w:themeColor="text1"/>
          <w:sz w:val="24"/>
          <w:szCs w:val="24"/>
          <w:u w:val="single"/>
        </w:rPr>
        <w:t xml:space="preserve">(Education, Skills and Employment </w:t>
      </w:r>
      <w:r w:rsidRPr="001F4ECA">
        <w:rPr>
          <w:rFonts w:ascii="Times New Roman" w:hAnsi="Times New Roman"/>
          <w:b/>
          <w:i/>
          <w:sz w:val="24"/>
          <w:szCs w:val="24"/>
          <w:u w:val="single"/>
        </w:rPr>
        <w:t xml:space="preserve">Measures No. </w:t>
      </w:r>
      <w:r w:rsidR="00E170DA" w:rsidRPr="001F4ECA">
        <w:rPr>
          <w:rFonts w:ascii="Times New Roman" w:hAnsi="Times New Roman"/>
          <w:b/>
          <w:i/>
          <w:sz w:val="24"/>
          <w:szCs w:val="24"/>
          <w:u w:val="single"/>
        </w:rPr>
        <w:t>3</w:t>
      </w:r>
      <w:r w:rsidRPr="001F4ECA">
        <w:rPr>
          <w:rFonts w:ascii="Times New Roman" w:hAnsi="Times New Roman"/>
          <w:b/>
          <w:i/>
          <w:sz w:val="24"/>
          <w:szCs w:val="24"/>
          <w:u w:val="single"/>
        </w:rPr>
        <w:t>)</w:t>
      </w:r>
      <w:r w:rsidRPr="001F4ECA">
        <w:rPr>
          <w:rFonts w:ascii="Times New Roman" w:hAnsi="Times New Roman"/>
          <w:b/>
          <w:bCs/>
          <w:i/>
          <w:color w:val="000000" w:themeColor="text1"/>
          <w:sz w:val="24"/>
          <w:szCs w:val="24"/>
          <w:u w:val="single"/>
        </w:rPr>
        <w:t xml:space="preserve"> Regulations 2021</w:t>
      </w:r>
    </w:p>
    <w:p w14:paraId="240681CE" w14:textId="77777777" w:rsidR="00714BF2" w:rsidRPr="001F4ECA" w:rsidRDefault="00714BF2" w:rsidP="00714BF2">
      <w:pPr>
        <w:contextualSpacing/>
        <w:rPr>
          <w:rFonts w:ascii="Times New Roman" w:hAnsi="Times New Roman"/>
          <w:color w:val="000000" w:themeColor="text1"/>
          <w:sz w:val="24"/>
          <w:szCs w:val="24"/>
          <w:u w:val="single"/>
        </w:rPr>
      </w:pPr>
    </w:p>
    <w:p w14:paraId="28AE8F75" w14:textId="77777777" w:rsidR="00714BF2" w:rsidRPr="001F4ECA" w:rsidRDefault="00714BF2" w:rsidP="00714BF2">
      <w:pPr>
        <w:contextualSpacing/>
        <w:rPr>
          <w:rFonts w:ascii="Times New Roman" w:hAnsi="Times New Roman"/>
          <w:b/>
          <w:color w:val="000000" w:themeColor="text1"/>
          <w:sz w:val="24"/>
          <w:szCs w:val="24"/>
        </w:rPr>
      </w:pPr>
      <w:r w:rsidRPr="001F4ECA">
        <w:rPr>
          <w:rFonts w:ascii="Times New Roman" w:hAnsi="Times New Roman"/>
          <w:b/>
          <w:color w:val="000000" w:themeColor="text1"/>
          <w:sz w:val="24"/>
          <w:szCs w:val="24"/>
        </w:rPr>
        <w:t xml:space="preserve">Section 1 – Name </w:t>
      </w:r>
    </w:p>
    <w:p w14:paraId="4BC24A41" w14:textId="77777777" w:rsidR="00714BF2" w:rsidRPr="001F4ECA" w:rsidRDefault="00714BF2" w:rsidP="00714BF2">
      <w:pPr>
        <w:contextualSpacing/>
        <w:rPr>
          <w:rFonts w:ascii="Times New Roman" w:hAnsi="Times New Roman"/>
          <w:color w:val="000000" w:themeColor="text1"/>
          <w:sz w:val="24"/>
          <w:szCs w:val="24"/>
        </w:rPr>
      </w:pPr>
    </w:p>
    <w:p w14:paraId="77A775C7" w14:textId="5EBC15EE" w:rsidR="00714BF2" w:rsidRPr="001F4ECA" w:rsidRDefault="00714BF2" w:rsidP="00714BF2">
      <w:pPr>
        <w:contextualSpacing/>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This section provides that the title of the Regulations </w:t>
      </w:r>
      <w:r w:rsidRPr="001F4ECA">
        <w:rPr>
          <w:rFonts w:ascii="Times New Roman" w:hAnsi="Times New Roman"/>
          <w:sz w:val="24"/>
          <w:szCs w:val="24"/>
        </w:rPr>
        <w:t>is</w:t>
      </w:r>
      <w:r w:rsidRPr="001F4ECA">
        <w:rPr>
          <w:rFonts w:ascii="Times New Roman" w:hAnsi="Times New Roman"/>
          <w:color w:val="000000" w:themeColor="text1"/>
          <w:sz w:val="24"/>
          <w:szCs w:val="24"/>
        </w:rPr>
        <w:t xml:space="preserve"> the </w:t>
      </w:r>
      <w:r w:rsidRPr="001F4ECA">
        <w:rPr>
          <w:rFonts w:ascii="Times New Roman" w:hAnsi="Times New Roman"/>
          <w:bCs/>
          <w:i/>
          <w:sz w:val="24"/>
          <w:szCs w:val="24"/>
        </w:rPr>
        <w:t>Financial Framework (Supplementary Powers) Amendment (</w:t>
      </w:r>
      <w:r w:rsidRPr="001F4ECA">
        <w:rPr>
          <w:rFonts w:ascii="Times New Roman" w:hAnsi="Times New Roman"/>
          <w:i/>
          <w:sz w:val="24"/>
          <w:szCs w:val="24"/>
        </w:rPr>
        <w:t xml:space="preserve">Education, Skills and Employment </w:t>
      </w:r>
      <w:r w:rsidRPr="001F4ECA">
        <w:rPr>
          <w:rFonts w:ascii="Times New Roman" w:hAnsi="Times New Roman"/>
          <w:bCs/>
          <w:i/>
          <w:sz w:val="24"/>
          <w:szCs w:val="24"/>
        </w:rPr>
        <w:t xml:space="preserve">Measures No. </w:t>
      </w:r>
      <w:r w:rsidR="00E170DA" w:rsidRPr="001F4ECA">
        <w:rPr>
          <w:rFonts w:ascii="Times New Roman" w:hAnsi="Times New Roman"/>
          <w:bCs/>
          <w:i/>
          <w:sz w:val="24"/>
          <w:szCs w:val="24"/>
        </w:rPr>
        <w:t>3</w:t>
      </w:r>
      <w:r w:rsidRPr="001F4ECA">
        <w:rPr>
          <w:rFonts w:ascii="Times New Roman" w:hAnsi="Times New Roman"/>
          <w:bCs/>
          <w:i/>
          <w:sz w:val="24"/>
          <w:szCs w:val="24"/>
        </w:rPr>
        <w:t>) Regulations 2021</w:t>
      </w:r>
      <w:r w:rsidRPr="001F4ECA">
        <w:rPr>
          <w:rFonts w:ascii="Times New Roman" w:hAnsi="Times New Roman"/>
          <w:bCs/>
          <w:sz w:val="24"/>
          <w:szCs w:val="24"/>
        </w:rPr>
        <w:t>.</w:t>
      </w:r>
    </w:p>
    <w:p w14:paraId="6E5E4F26" w14:textId="77777777" w:rsidR="00714BF2" w:rsidRPr="001F4ECA" w:rsidRDefault="00714BF2" w:rsidP="00714BF2">
      <w:pPr>
        <w:rPr>
          <w:rFonts w:ascii="Times New Roman" w:hAnsi="Times New Roman"/>
          <w:sz w:val="24"/>
          <w:szCs w:val="24"/>
        </w:rPr>
      </w:pPr>
    </w:p>
    <w:p w14:paraId="330F4863" w14:textId="77777777" w:rsidR="00714BF2" w:rsidRPr="001F4ECA" w:rsidRDefault="00714BF2" w:rsidP="00714BF2">
      <w:pPr>
        <w:contextualSpacing/>
        <w:rPr>
          <w:rFonts w:ascii="Times New Roman" w:hAnsi="Times New Roman"/>
          <w:b/>
          <w:color w:val="000000" w:themeColor="text1"/>
          <w:sz w:val="24"/>
          <w:szCs w:val="24"/>
        </w:rPr>
      </w:pPr>
      <w:r w:rsidRPr="001F4ECA">
        <w:rPr>
          <w:rFonts w:ascii="Times New Roman" w:hAnsi="Times New Roman"/>
          <w:b/>
          <w:color w:val="000000" w:themeColor="text1"/>
          <w:sz w:val="24"/>
          <w:szCs w:val="24"/>
        </w:rPr>
        <w:t xml:space="preserve">Section 2 – Commencement </w:t>
      </w:r>
    </w:p>
    <w:p w14:paraId="6C58C0E0" w14:textId="77777777" w:rsidR="00714BF2" w:rsidRPr="001F4ECA" w:rsidRDefault="00714BF2" w:rsidP="00714BF2">
      <w:pPr>
        <w:contextualSpacing/>
        <w:rPr>
          <w:rFonts w:ascii="Times New Roman" w:hAnsi="Times New Roman"/>
          <w:color w:val="000000" w:themeColor="text1"/>
          <w:sz w:val="24"/>
          <w:szCs w:val="24"/>
        </w:rPr>
      </w:pPr>
    </w:p>
    <w:p w14:paraId="23EC3315" w14:textId="77777777" w:rsidR="00714BF2" w:rsidRPr="001F4ECA" w:rsidRDefault="00714BF2" w:rsidP="00714BF2">
      <w:pPr>
        <w:contextualSpacing/>
        <w:rPr>
          <w:rFonts w:ascii="Times New Roman" w:hAnsi="Times New Roman"/>
          <w:color w:val="000000" w:themeColor="text1"/>
          <w:sz w:val="24"/>
          <w:szCs w:val="24"/>
        </w:rPr>
      </w:pPr>
      <w:r w:rsidRPr="001F4ECA">
        <w:rPr>
          <w:rFonts w:ascii="Times New Roman" w:hAnsi="Times New Roman"/>
          <w:color w:val="000000" w:themeColor="text1"/>
          <w:sz w:val="24"/>
          <w:szCs w:val="24"/>
        </w:rPr>
        <w:t>This section provides that the Regulations commence on the day after the instrument is registered on the Federal Register of Legislation.</w:t>
      </w:r>
    </w:p>
    <w:p w14:paraId="37708113" w14:textId="77777777" w:rsidR="00714BF2" w:rsidRPr="001F4ECA" w:rsidRDefault="00714BF2" w:rsidP="00714BF2">
      <w:pPr>
        <w:contextualSpacing/>
        <w:rPr>
          <w:rFonts w:ascii="Times New Roman" w:hAnsi="Times New Roman"/>
          <w:color w:val="000000" w:themeColor="text1"/>
          <w:sz w:val="24"/>
          <w:szCs w:val="24"/>
        </w:rPr>
      </w:pPr>
    </w:p>
    <w:p w14:paraId="72148493" w14:textId="77777777" w:rsidR="00714BF2" w:rsidRPr="001F4ECA" w:rsidRDefault="00714BF2" w:rsidP="00714BF2">
      <w:pPr>
        <w:contextualSpacing/>
        <w:rPr>
          <w:rFonts w:ascii="Times New Roman" w:hAnsi="Times New Roman"/>
          <w:b/>
          <w:i/>
          <w:color w:val="000000" w:themeColor="text1"/>
          <w:sz w:val="24"/>
          <w:szCs w:val="24"/>
        </w:rPr>
      </w:pPr>
      <w:r w:rsidRPr="001F4ECA">
        <w:rPr>
          <w:rFonts w:ascii="Times New Roman" w:hAnsi="Times New Roman"/>
          <w:b/>
          <w:color w:val="000000" w:themeColor="text1"/>
          <w:sz w:val="24"/>
          <w:szCs w:val="24"/>
        </w:rPr>
        <w:t>Section 3 – Authority</w:t>
      </w:r>
      <w:r w:rsidRPr="001F4ECA">
        <w:rPr>
          <w:rFonts w:ascii="Times New Roman" w:hAnsi="Times New Roman"/>
          <w:b/>
          <w:i/>
          <w:color w:val="000000" w:themeColor="text1"/>
          <w:sz w:val="24"/>
          <w:szCs w:val="24"/>
        </w:rPr>
        <w:t xml:space="preserve"> </w:t>
      </w:r>
    </w:p>
    <w:p w14:paraId="182EF0F8" w14:textId="77777777" w:rsidR="00714BF2" w:rsidRPr="001F4ECA" w:rsidRDefault="00714BF2" w:rsidP="00714BF2">
      <w:pPr>
        <w:contextualSpacing/>
        <w:rPr>
          <w:rFonts w:ascii="Times New Roman" w:hAnsi="Times New Roman"/>
          <w:color w:val="000000" w:themeColor="text1"/>
          <w:sz w:val="24"/>
          <w:szCs w:val="24"/>
        </w:rPr>
      </w:pPr>
    </w:p>
    <w:p w14:paraId="5BDF0D6B" w14:textId="77777777" w:rsidR="00714BF2" w:rsidRPr="001F4ECA" w:rsidRDefault="00714BF2" w:rsidP="00714BF2">
      <w:pPr>
        <w:contextualSpacing/>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This section provides that the Regulations are made under the </w:t>
      </w:r>
      <w:r w:rsidRPr="001F4ECA">
        <w:rPr>
          <w:rFonts w:ascii="Times New Roman" w:hAnsi="Times New Roman"/>
          <w:i/>
          <w:color w:val="000000" w:themeColor="text1"/>
          <w:sz w:val="24"/>
          <w:szCs w:val="24"/>
        </w:rPr>
        <w:t xml:space="preserve">Financial </w:t>
      </w:r>
      <w:r w:rsidRPr="001F4ECA">
        <w:rPr>
          <w:rFonts w:ascii="Times New Roman" w:hAnsi="Times New Roman"/>
          <w:bCs/>
          <w:i/>
          <w:sz w:val="24"/>
          <w:szCs w:val="24"/>
        </w:rPr>
        <w:t xml:space="preserve">Framework (Supplementary Powers) </w:t>
      </w:r>
      <w:r w:rsidRPr="001F4ECA">
        <w:rPr>
          <w:rFonts w:ascii="Times New Roman" w:hAnsi="Times New Roman"/>
          <w:i/>
          <w:color w:val="000000" w:themeColor="text1"/>
          <w:sz w:val="24"/>
          <w:szCs w:val="24"/>
        </w:rPr>
        <w:t>Act 1997</w:t>
      </w:r>
      <w:r w:rsidRPr="001F4ECA">
        <w:rPr>
          <w:rFonts w:ascii="Times New Roman" w:hAnsi="Times New Roman"/>
          <w:color w:val="000000" w:themeColor="text1"/>
          <w:sz w:val="24"/>
          <w:szCs w:val="24"/>
        </w:rPr>
        <w:t>.</w:t>
      </w:r>
    </w:p>
    <w:p w14:paraId="1712ABF9" w14:textId="77777777" w:rsidR="00714BF2" w:rsidRPr="001F4ECA" w:rsidRDefault="00714BF2" w:rsidP="00714BF2">
      <w:pPr>
        <w:contextualSpacing/>
        <w:rPr>
          <w:rFonts w:ascii="Times New Roman" w:hAnsi="Times New Roman"/>
          <w:color w:val="000000" w:themeColor="text1"/>
          <w:sz w:val="24"/>
          <w:szCs w:val="24"/>
        </w:rPr>
      </w:pPr>
    </w:p>
    <w:p w14:paraId="425C2ABA" w14:textId="77777777" w:rsidR="00714BF2" w:rsidRPr="001F4ECA" w:rsidRDefault="00714BF2" w:rsidP="00714BF2">
      <w:pPr>
        <w:contextualSpacing/>
        <w:rPr>
          <w:rFonts w:ascii="Times New Roman" w:hAnsi="Times New Roman"/>
          <w:b/>
          <w:i/>
          <w:color w:val="000000" w:themeColor="text1"/>
          <w:sz w:val="24"/>
          <w:szCs w:val="24"/>
        </w:rPr>
      </w:pPr>
      <w:r w:rsidRPr="001F4ECA">
        <w:rPr>
          <w:rFonts w:ascii="Times New Roman" w:hAnsi="Times New Roman"/>
          <w:b/>
          <w:color w:val="000000" w:themeColor="text1"/>
          <w:sz w:val="24"/>
          <w:szCs w:val="24"/>
        </w:rPr>
        <w:t>Section 4 – Schedules</w:t>
      </w:r>
      <w:r w:rsidRPr="001F4ECA">
        <w:rPr>
          <w:rFonts w:ascii="Times New Roman" w:hAnsi="Times New Roman"/>
          <w:b/>
          <w:i/>
          <w:color w:val="000000" w:themeColor="text1"/>
          <w:sz w:val="24"/>
          <w:szCs w:val="24"/>
        </w:rPr>
        <w:t xml:space="preserve"> </w:t>
      </w:r>
    </w:p>
    <w:p w14:paraId="64DFEF0B" w14:textId="77777777" w:rsidR="00714BF2" w:rsidRPr="001F4ECA" w:rsidRDefault="00714BF2" w:rsidP="00714BF2">
      <w:pPr>
        <w:contextualSpacing/>
        <w:rPr>
          <w:rFonts w:ascii="Times New Roman" w:hAnsi="Times New Roman"/>
          <w:color w:val="000000" w:themeColor="text1"/>
          <w:sz w:val="24"/>
          <w:szCs w:val="24"/>
        </w:rPr>
      </w:pPr>
    </w:p>
    <w:p w14:paraId="7DE27227" w14:textId="77777777" w:rsidR="00714BF2" w:rsidRPr="001F4ECA" w:rsidRDefault="00714BF2" w:rsidP="00714BF2">
      <w:pPr>
        <w:contextualSpacing/>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This section provides that the </w:t>
      </w:r>
      <w:r w:rsidRPr="001F4ECA">
        <w:rPr>
          <w:rFonts w:ascii="Times New Roman" w:hAnsi="Times New Roman"/>
          <w:i/>
          <w:color w:val="000000" w:themeColor="text1"/>
          <w:sz w:val="24"/>
          <w:szCs w:val="24"/>
        </w:rPr>
        <w:t xml:space="preserve">Financial </w:t>
      </w:r>
      <w:r w:rsidRPr="001F4ECA">
        <w:rPr>
          <w:rFonts w:ascii="Times New Roman" w:hAnsi="Times New Roman"/>
          <w:bCs/>
          <w:i/>
          <w:sz w:val="24"/>
          <w:szCs w:val="24"/>
        </w:rPr>
        <w:t xml:space="preserve">Framework (Supplementary Powers) </w:t>
      </w:r>
      <w:r w:rsidRPr="001F4ECA">
        <w:rPr>
          <w:rFonts w:ascii="Times New Roman" w:hAnsi="Times New Roman"/>
          <w:i/>
          <w:color w:val="000000" w:themeColor="text1"/>
          <w:sz w:val="24"/>
          <w:szCs w:val="24"/>
        </w:rPr>
        <w:t>Regulations 1997</w:t>
      </w:r>
      <w:r w:rsidRPr="001F4ECA">
        <w:rPr>
          <w:rFonts w:ascii="Times New Roman" w:hAnsi="Times New Roman"/>
          <w:color w:val="000000" w:themeColor="text1"/>
          <w:sz w:val="24"/>
          <w:szCs w:val="24"/>
        </w:rPr>
        <w:t xml:space="preserve"> are amended as set out in the Schedule to the Regulations.</w:t>
      </w:r>
    </w:p>
    <w:p w14:paraId="7342375A" w14:textId="77777777" w:rsidR="00714BF2" w:rsidRPr="001F4ECA" w:rsidRDefault="00714BF2" w:rsidP="00714BF2">
      <w:pPr>
        <w:contextualSpacing/>
        <w:rPr>
          <w:rFonts w:ascii="Times New Roman" w:hAnsi="Times New Roman"/>
          <w:color w:val="000000" w:themeColor="text1"/>
          <w:sz w:val="24"/>
          <w:szCs w:val="24"/>
        </w:rPr>
      </w:pPr>
    </w:p>
    <w:p w14:paraId="4E527B32" w14:textId="77777777" w:rsidR="00714BF2" w:rsidRPr="001F4ECA" w:rsidRDefault="00714BF2" w:rsidP="00714BF2">
      <w:pPr>
        <w:contextualSpacing/>
        <w:rPr>
          <w:rFonts w:ascii="Times New Roman" w:hAnsi="Times New Roman"/>
          <w:b/>
          <w:color w:val="000000" w:themeColor="text1"/>
          <w:sz w:val="24"/>
          <w:szCs w:val="24"/>
        </w:rPr>
      </w:pPr>
      <w:r w:rsidRPr="001F4ECA">
        <w:rPr>
          <w:rFonts w:ascii="Times New Roman" w:hAnsi="Times New Roman"/>
          <w:b/>
          <w:color w:val="000000" w:themeColor="text1"/>
          <w:sz w:val="24"/>
          <w:szCs w:val="24"/>
        </w:rPr>
        <w:t>Schedule 1 – Amendments</w:t>
      </w:r>
    </w:p>
    <w:p w14:paraId="4D4CFE9C" w14:textId="77777777" w:rsidR="00714BF2" w:rsidRPr="001F4ECA" w:rsidRDefault="00714BF2" w:rsidP="00714BF2">
      <w:pPr>
        <w:contextualSpacing/>
        <w:rPr>
          <w:rFonts w:ascii="Times New Roman" w:hAnsi="Times New Roman"/>
          <w:b/>
          <w:color w:val="000000" w:themeColor="text1"/>
          <w:sz w:val="24"/>
          <w:szCs w:val="24"/>
        </w:rPr>
      </w:pPr>
    </w:p>
    <w:p w14:paraId="1DD09186" w14:textId="77777777" w:rsidR="00714BF2" w:rsidRPr="001F4ECA" w:rsidRDefault="00714BF2" w:rsidP="00714BF2">
      <w:pPr>
        <w:rPr>
          <w:rFonts w:ascii="Times New Roman" w:hAnsi="Times New Roman"/>
          <w:b/>
          <w:i/>
          <w:color w:val="000000" w:themeColor="text1"/>
          <w:sz w:val="24"/>
          <w:szCs w:val="24"/>
        </w:rPr>
      </w:pPr>
      <w:r w:rsidRPr="001F4ECA">
        <w:rPr>
          <w:rFonts w:ascii="Times New Roman" w:hAnsi="Times New Roman"/>
          <w:b/>
          <w:i/>
          <w:color w:val="000000" w:themeColor="text1"/>
          <w:sz w:val="24"/>
          <w:szCs w:val="24"/>
        </w:rPr>
        <w:t>Financial Framework (Supplementary Powers) Regulations 1997</w:t>
      </w:r>
    </w:p>
    <w:p w14:paraId="656B75E7" w14:textId="77777777" w:rsidR="00714BF2" w:rsidRPr="001F4ECA" w:rsidRDefault="00714BF2" w:rsidP="00714BF2">
      <w:pPr>
        <w:rPr>
          <w:rFonts w:ascii="Times New Roman" w:hAnsi="Times New Roman"/>
          <w:b/>
          <w:i/>
          <w:color w:val="000000" w:themeColor="text1"/>
          <w:sz w:val="24"/>
          <w:szCs w:val="24"/>
        </w:rPr>
      </w:pPr>
    </w:p>
    <w:p w14:paraId="66970FE8" w14:textId="27724595" w:rsidR="00714BF2" w:rsidRPr="001F4ECA" w:rsidRDefault="002A0740" w:rsidP="00714BF2">
      <w:pPr>
        <w:rPr>
          <w:rFonts w:ascii="Times New Roman" w:hAnsi="Times New Roman"/>
          <w:b/>
          <w:color w:val="000000" w:themeColor="text1"/>
          <w:sz w:val="24"/>
          <w:szCs w:val="24"/>
        </w:rPr>
      </w:pPr>
      <w:r w:rsidRPr="001F4ECA">
        <w:rPr>
          <w:rFonts w:ascii="Times New Roman" w:hAnsi="Times New Roman"/>
          <w:b/>
          <w:color w:val="000000" w:themeColor="text1"/>
          <w:sz w:val="24"/>
          <w:szCs w:val="24"/>
        </w:rPr>
        <w:t>Item 1</w:t>
      </w:r>
      <w:r w:rsidR="00714BF2" w:rsidRPr="001F4ECA">
        <w:rPr>
          <w:rFonts w:ascii="Times New Roman" w:hAnsi="Times New Roman"/>
          <w:b/>
          <w:color w:val="000000" w:themeColor="text1"/>
          <w:sz w:val="24"/>
          <w:szCs w:val="24"/>
        </w:rPr>
        <w:t xml:space="preserve"> –</w:t>
      </w:r>
      <w:r w:rsidR="00614E76" w:rsidRPr="001F4ECA">
        <w:rPr>
          <w:rFonts w:ascii="Times New Roman" w:hAnsi="Times New Roman"/>
          <w:b/>
          <w:color w:val="000000" w:themeColor="text1"/>
          <w:sz w:val="24"/>
          <w:szCs w:val="24"/>
        </w:rPr>
        <w:t xml:space="preserve"> </w:t>
      </w:r>
      <w:r w:rsidR="00714BF2" w:rsidRPr="001F4ECA">
        <w:rPr>
          <w:rFonts w:ascii="Times New Roman" w:hAnsi="Times New Roman"/>
          <w:b/>
          <w:color w:val="000000" w:themeColor="text1"/>
          <w:sz w:val="24"/>
          <w:szCs w:val="24"/>
        </w:rPr>
        <w:t>Par</w:t>
      </w:r>
      <w:r w:rsidR="00E82C32" w:rsidRPr="001F4ECA">
        <w:rPr>
          <w:rFonts w:ascii="Times New Roman" w:hAnsi="Times New Roman"/>
          <w:b/>
          <w:color w:val="000000" w:themeColor="text1"/>
          <w:sz w:val="24"/>
          <w:szCs w:val="24"/>
        </w:rPr>
        <w:t>t 4</w:t>
      </w:r>
      <w:r w:rsidR="00714BF2" w:rsidRPr="001F4ECA">
        <w:rPr>
          <w:rFonts w:ascii="Times New Roman" w:hAnsi="Times New Roman"/>
          <w:b/>
          <w:color w:val="000000" w:themeColor="text1"/>
          <w:sz w:val="24"/>
          <w:szCs w:val="24"/>
        </w:rPr>
        <w:t xml:space="preserve"> of Schedule 1AB (</w:t>
      </w:r>
      <w:r w:rsidR="00E82C32" w:rsidRPr="001F4ECA">
        <w:rPr>
          <w:rFonts w:ascii="Times New Roman" w:hAnsi="Times New Roman"/>
          <w:b/>
          <w:color w:val="000000" w:themeColor="text1"/>
          <w:sz w:val="24"/>
          <w:szCs w:val="24"/>
        </w:rPr>
        <w:t xml:space="preserve">table </w:t>
      </w:r>
      <w:r w:rsidR="00714BF2" w:rsidRPr="001F4ECA">
        <w:rPr>
          <w:rFonts w:ascii="Times New Roman" w:hAnsi="Times New Roman"/>
          <w:b/>
          <w:color w:val="000000" w:themeColor="text1"/>
          <w:sz w:val="24"/>
          <w:szCs w:val="24"/>
        </w:rPr>
        <w:t xml:space="preserve">item </w:t>
      </w:r>
      <w:r w:rsidR="00084E7A" w:rsidRPr="001F4ECA">
        <w:rPr>
          <w:rFonts w:ascii="Times New Roman" w:hAnsi="Times New Roman"/>
          <w:b/>
          <w:color w:val="000000" w:themeColor="text1"/>
          <w:sz w:val="24"/>
          <w:szCs w:val="24"/>
        </w:rPr>
        <w:t>111</w:t>
      </w:r>
      <w:r w:rsidR="00714BF2" w:rsidRPr="001F4ECA">
        <w:rPr>
          <w:rFonts w:ascii="Times New Roman" w:hAnsi="Times New Roman"/>
          <w:b/>
          <w:color w:val="000000" w:themeColor="text1"/>
          <w:sz w:val="24"/>
          <w:szCs w:val="24"/>
        </w:rPr>
        <w:t>)</w:t>
      </w:r>
    </w:p>
    <w:p w14:paraId="4C4A3430" w14:textId="39276B30" w:rsidR="00714BF2" w:rsidRPr="001F4ECA" w:rsidRDefault="00714BF2" w:rsidP="00714BF2">
      <w:pPr>
        <w:rPr>
          <w:rFonts w:ascii="Times New Roman" w:hAnsi="Times New Roman"/>
          <w:color w:val="000000" w:themeColor="text1"/>
          <w:sz w:val="24"/>
          <w:szCs w:val="24"/>
        </w:rPr>
      </w:pPr>
    </w:p>
    <w:p w14:paraId="416DF85E" w14:textId="2CE775DD" w:rsidR="004078F0" w:rsidRPr="001F4ECA" w:rsidRDefault="00480B19" w:rsidP="00714BF2">
      <w:pPr>
        <w:rPr>
          <w:rFonts w:ascii="Times New Roman" w:hAnsi="Times New Roman"/>
          <w:color w:val="000000" w:themeColor="text1"/>
          <w:sz w:val="24"/>
          <w:szCs w:val="24"/>
        </w:rPr>
      </w:pPr>
      <w:r w:rsidRPr="001F4ECA">
        <w:rPr>
          <w:rFonts w:ascii="Times New Roman" w:hAnsi="Times New Roman"/>
          <w:color w:val="000000" w:themeColor="text1"/>
          <w:sz w:val="24"/>
          <w:szCs w:val="24"/>
        </w:rPr>
        <w:t>I</w:t>
      </w:r>
      <w:r w:rsidR="00614E76" w:rsidRPr="001F4ECA">
        <w:rPr>
          <w:rFonts w:ascii="Times New Roman" w:hAnsi="Times New Roman"/>
          <w:color w:val="000000" w:themeColor="text1"/>
          <w:sz w:val="24"/>
          <w:szCs w:val="24"/>
        </w:rPr>
        <w:t xml:space="preserve">tem </w:t>
      </w:r>
      <w:r w:rsidRPr="001F4ECA">
        <w:rPr>
          <w:rFonts w:ascii="Times New Roman" w:hAnsi="Times New Roman"/>
          <w:color w:val="000000" w:themeColor="text1"/>
          <w:sz w:val="24"/>
          <w:szCs w:val="24"/>
        </w:rPr>
        <w:t xml:space="preserve">1 </w:t>
      </w:r>
      <w:r w:rsidR="00614E76" w:rsidRPr="001F4ECA">
        <w:rPr>
          <w:rFonts w:ascii="Times New Roman" w:hAnsi="Times New Roman"/>
          <w:color w:val="000000" w:themeColor="text1"/>
          <w:sz w:val="24"/>
          <w:szCs w:val="24"/>
        </w:rPr>
        <w:t xml:space="preserve">amends table item </w:t>
      </w:r>
      <w:r w:rsidR="00084E7A" w:rsidRPr="001F4ECA">
        <w:rPr>
          <w:rFonts w:ascii="Times New Roman" w:hAnsi="Times New Roman"/>
          <w:color w:val="000000" w:themeColor="text1"/>
          <w:sz w:val="24"/>
          <w:szCs w:val="24"/>
        </w:rPr>
        <w:t>111</w:t>
      </w:r>
      <w:r w:rsidR="00614E76" w:rsidRPr="001F4ECA">
        <w:rPr>
          <w:rFonts w:ascii="Times New Roman" w:hAnsi="Times New Roman"/>
          <w:color w:val="000000" w:themeColor="text1"/>
          <w:sz w:val="24"/>
          <w:szCs w:val="24"/>
        </w:rPr>
        <w:t xml:space="preserve"> in Part </w:t>
      </w:r>
      <w:r w:rsidR="00E82C32" w:rsidRPr="001F4ECA">
        <w:rPr>
          <w:rFonts w:ascii="Times New Roman" w:hAnsi="Times New Roman"/>
          <w:color w:val="000000" w:themeColor="text1"/>
          <w:sz w:val="24"/>
          <w:szCs w:val="24"/>
        </w:rPr>
        <w:t>4</w:t>
      </w:r>
      <w:r w:rsidR="00614E76" w:rsidRPr="001F4ECA">
        <w:rPr>
          <w:rFonts w:ascii="Times New Roman" w:hAnsi="Times New Roman"/>
          <w:color w:val="000000" w:themeColor="text1"/>
          <w:sz w:val="24"/>
          <w:szCs w:val="24"/>
        </w:rPr>
        <w:t xml:space="preserve"> of Schedule 1AB by </w:t>
      </w:r>
      <w:r w:rsidR="00084E7A" w:rsidRPr="001F4ECA">
        <w:rPr>
          <w:rFonts w:ascii="Times New Roman" w:hAnsi="Times New Roman"/>
          <w:color w:val="000000" w:themeColor="text1"/>
          <w:sz w:val="24"/>
          <w:szCs w:val="24"/>
        </w:rPr>
        <w:t>repealing and substituting the full text of the item. The amended table item 111 establishes legislative authority for government spending on the Literacy and Numeracy Test for Initial Teacher Education (LANTITE)</w:t>
      </w:r>
      <w:r w:rsidRPr="001F4ECA">
        <w:rPr>
          <w:rFonts w:ascii="Times New Roman" w:hAnsi="Times New Roman"/>
          <w:color w:val="000000" w:themeColor="text1"/>
          <w:sz w:val="24"/>
          <w:szCs w:val="24"/>
        </w:rPr>
        <w:t xml:space="preserve"> program</w:t>
      </w:r>
      <w:r w:rsidR="00084E7A" w:rsidRPr="001F4ECA">
        <w:rPr>
          <w:rFonts w:ascii="Times New Roman" w:hAnsi="Times New Roman"/>
          <w:color w:val="000000" w:themeColor="text1"/>
          <w:sz w:val="24"/>
          <w:szCs w:val="24"/>
        </w:rPr>
        <w:t>, which provides for the delivery of the LANTITE online and, for eligible persons with a disability, the delivery</w:t>
      </w:r>
      <w:r w:rsidR="00A20538" w:rsidRPr="001F4ECA">
        <w:rPr>
          <w:rFonts w:ascii="Times New Roman" w:hAnsi="Times New Roman"/>
          <w:color w:val="000000" w:themeColor="text1"/>
          <w:sz w:val="24"/>
          <w:szCs w:val="24"/>
        </w:rPr>
        <w:t xml:space="preserve"> through non-</w:t>
      </w:r>
      <w:r w:rsidR="00084E7A" w:rsidRPr="001F4ECA">
        <w:rPr>
          <w:rFonts w:ascii="Times New Roman" w:hAnsi="Times New Roman"/>
          <w:color w:val="000000" w:themeColor="text1"/>
          <w:sz w:val="24"/>
          <w:szCs w:val="24"/>
        </w:rPr>
        <w:t xml:space="preserve">online means. </w:t>
      </w:r>
      <w:r w:rsidR="004078F0" w:rsidRPr="001F4ECA">
        <w:rPr>
          <w:rFonts w:ascii="Times New Roman" w:hAnsi="Times New Roman"/>
          <w:color w:val="000000" w:themeColor="text1"/>
          <w:sz w:val="24"/>
          <w:szCs w:val="24"/>
        </w:rPr>
        <w:t>The Department of Education, Skills and Employment (the department) has responsibility for the LANTITE.</w:t>
      </w:r>
    </w:p>
    <w:p w14:paraId="0D4C6AE9" w14:textId="77777777" w:rsidR="004078F0" w:rsidRPr="001F4ECA" w:rsidRDefault="004078F0" w:rsidP="00714BF2">
      <w:pPr>
        <w:rPr>
          <w:rFonts w:ascii="Times New Roman" w:hAnsi="Times New Roman"/>
          <w:color w:val="000000" w:themeColor="text1"/>
          <w:sz w:val="24"/>
          <w:szCs w:val="24"/>
        </w:rPr>
      </w:pPr>
    </w:p>
    <w:p w14:paraId="1B6961F7" w14:textId="33CF25BC" w:rsidR="009211A4" w:rsidRPr="001F4ECA" w:rsidRDefault="00A20538" w:rsidP="00714BF2">
      <w:pPr>
        <w:rPr>
          <w:rFonts w:ascii="Times New Roman" w:hAnsi="Times New Roman"/>
          <w:color w:val="000000" w:themeColor="text1"/>
          <w:sz w:val="24"/>
          <w:szCs w:val="24"/>
        </w:rPr>
      </w:pPr>
      <w:r w:rsidRPr="001F4ECA">
        <w:rPr>
          <w:rFonts w:ascii="Times New Roman" w:hAnsi="Times New Roman"/>
          <w:color w:val="000000" w:themeColor="text1"/>
          <w:sz w:val="24"/>
          <w:szCs w:val="24"/>
        </w:rPr>
        <w:t>The amended table item 111 cover</w:t>
      </w:r>
      <w:r w:rsidR="00480B19" w:rsidRPr="001F4ECA">
        <w:rPr>
          <w:rFonts w:ascii="Times New Roman" w:hAnsi="Times New Roman"/>
          <w:color w:val="000000" w:themeColor="text1"/>
          <w:sz w:val="24"/>
          <w:szCs w:val="24"/>
        </w:rPr>
        <w:t>s</w:t>
      </w:r>
      <w:r w:rsidRPr="001F4ECA">
        <w:rPr>
          <w:rFonts w:ascii="Times New Roman" w:hAnsi="Times New Roman"/>
          <w:color w:val="000000" w:themeColor="text1"/>
          <w:sz w:val="24"/>
          <w:szCs w:val="24"/>
        </w:rPr>
        <w:t xml:space="preserve"> expenditure </w:t>
      </w:r>
      <w:r w:rsidR="00480B19" w:rsidRPr="001F4ECA">
        <w:rPr>
          <w:rFonts w:ascii="Times New Roman" w:hAnsi="Times New Roman"/>
          <w:color w:val="000000" w:themeColor="text1"/>
          <w:sz w:val="24"/>
          <w:szCs w:val="24"/>
        </w:rPr>
        <w:t xml:space="preserve">on the </w:t>
      </w:r>
      <w:r w:rsidRPr="001F4ECA">
        <w:rPr>
          <w:rFonts w:ascii="Times New Roman" w:hAnsi="Times New Roman"/>
          <w:color w:val="000000" w:themeColor="text1"/>
          <w:sz w:val="24"/>
          <w:szCs w:val="24"/>
        </w:rPr>
        <w:t>LANTITE</w:t>
      </w:r>
      <w:r w:rsidR="00480B19" w:rsidRPr="001F4ECA">
        <w:rPr>
          <w:rFonts w:ascii="Times New Roman" w:hAnsi="Times New Roman"/>
          <w:color w:val="000000" w:themeColor="text1"/>
          <w:sz w:val="24"/>
          <w:szCs w:val="24"/>
        </w:rPr>
        <w:t xml:space="preserve"> as</w:t>
      </w:r>
      <w:r w:rsidRPr="001F4ECA">
        <w:rPr>
          <w:rFonts w:ascii="Times New Roman" w:hAnsi="Times New Roman"/>
          <w:color w:val="000000" w:themeColor="text1"/>
          <w:sz w:val="24"/>
          <w:szCs w:val="24"/>
        </w:rPr>
        <w:t xml:space="preserve"> supported by the original </w:t>
      </w:r>
      <w:r w:rsidR="00480B19" w:rsidRPr="001F4ECA">
        <w:rPr>
          <w:rFonts w:ascii="Times New Roman" w:hAnsi="Times New Roman"/>
          <w:color w:val="000000" w:themeColor="text1"/>
          <w:sz w:val="24"/>
          <w:szCs w:val="24"/>
        </w:rPr>
        <w:t xml:space="preserve">table </w:t>
      </w:r>
      <w:r w:rsidRPr="001F4ECA">
        <w:rPr>
          <w:rFonts w:ascii="Times New Roman" w:hAnsi="Times New Roman"/>
          <w:color w:val="000000" w:themeColor="text1"/>
          <w:sz w:val="24"/>
          <w:szCs w:val="24"/>
        </w:rPr>
        <w:t xml:space="preserve">item 111, as well as expenditure </w:t>
      </w:r>
      <w:r w:rsidR="00845682" w:rsidRPr="001F4ECA">
        <w:rPr>
          <w:rFonts w:ascii="Times New Roman" w:hAnsi="Times New Roman"/>
          <w:color w:val="000000" w:themeColor="text1"/>
          <w:sz w:val="24"/>
          <w:szCs w:val="24"/>
        </w:rPr>
        <w:t>to deliver the test through a paper-based form to eligible candidates.</w:t>
      </w:r>
      <w:r w:rsidR="004078F0" w:rsidRPr="001F4ECA">
        <w:rPr>
          <w:rFonts w:ascii="Times New Roman" w:hAnsi="Times New Roman"/>
          <w:color w:val="000000" w:themeColor="text1"/>
          <w:sz w:val="24"/>
          <w:szCs w:val="24"/>
        </w:rPr>
        <w:t xml:space="preserve"> </w:t>
      </w:r>
    </w:p>
    <w:p w14:paraId="25F140E4" w14:textId="55FBE4B2" w:rsidR="00084E7A" w:rsidRPr="001F4ECA" w:rsidRDefault="00084E7A" w:rsidP="00714BF2">
      <w:pPr>
        <w:rPr>
          <w:rFonts w:ascii="Times New Roman" w:hAnsi="Times New Roman"/>
          <w:color w:val="000000" w:themeColor="text1"/>
          <w:sz w:val="24"/>
          <w:szCs w:val="24"/>
        </w:rPr>
      </w:pPr>
    </w:p>
    <w:p w14:paraId="6B7D49B2" w14:textId="3E360FA4" w:rsidR="00845682" w:rsidRPr="001F4ECA" w:rsidRDefault="00845682" w:rsidP="00845682">
      <w:pPr>
        <w:rPr>
          <w:rFonts w:ascii="Times New Roman" w:hAnsi="Times New Roman"/>
          <w:color w:val="000000" w:themeColor="text1"/>
          <w:sz w:val="24"/>
          <w:szCs w:val="24"/>
        </w:rPr>
      </w:pPr>
      <w:r w:rsidRPr="001F4ECA">
        <w:rPr>
          <w:rFonts w:ascii="Times New Roman" w:hAnsi="Times New Roman"/>
          <w:color w:val="000000" w:themeColor="text1"/>
          <w:sz w:val="24"/>
          <w:szCs w:val="24"/>
        </w:rPr>
        <w:t>The LANTITE reflects Standard 3.5 of the ‘Accreditation of initial teacher education programs in Australia: Standards and Procedures’ (Standards and Procedures) set by Education Ministers in 2011. The test was first introduced on 1 July 2016, following a review of initial teacher education (ITE) programs across Australia conducted by the Teacher Education Ministerial Advisory Group (TEMAG)</w:t>
      </w:r>
      <w:r w:rsidR="00480B19" w:rsidRPr="001F4ECA">
        <w:rPr>
          <w:rFonts w:ascii="Times New Roman" w:hAnsi="Times New Roman"/>
          <w:color w:val="000000" w:themeColor="text1"/>
          <w:sz w:val="24"/>
          <w:szCs w:val="24"/>
        </w:rPr>
        <w:t xml:space="preserve"> (recommendation 13 in the 2014 report </w:t>
      </w:r>
      <w:r w:rsidRPr="001F4ECA">
        <w:rPr>
          <w:rFonts w:ascii="Times New Roman" w:hAnsi="Times New Roman"/>
          <w:i/>
          <w:color w:val="000000" w:themeColor="text1"/>
          <w:sz w:val="24"/>
          <w:szCs w:val="24"/>
        </w:rPr>
        <w:t>Action Now: Classroom Ready Teachers</w:t>
      </w:r>
      <w:r w:rsidR="00480B19" w:rsidRPr="001F4ECA">
        <w:rPr>
          <w:rFonts w:ascii="Times New Roman" w:hAnsi="Times New Roman"/>
          <w:color w:val="000000" w:themeColor="text1"/>
          <w:sz w:val="24"/>
          <w:szCs w:val="24"/>
        </w:rPr>
        <w:t>).</w:t>
      </w:r>
      <w:r w:rsidRPr="001F4ECA">
        <w:rPr>
          <w:rFonts w:ascii="Times New Roman" w:hAnsi="Times New Roman"/>
          <w:color w:val="000000" w:themeColor="text1"/>
          <w:sz w:val="24"/>
          <w:szCs w:val="24"/>
        </w:rPr>
        <w:t xml:space="preserve"> The report is available at </w:t>
      </w:r>
      <w:r w:rsidRPr="001F4ECA">
        <w:rPr>
          <w:rFonts w:ascii="Times New Roman" w:hAnsi="Times New Roman"/>
          <w:color w:val="000000" w:themeColor="text1"/>
          <w:sz w:val="24"/>
          <w:szCs w:val="24"/>
          <w:u w:val="single"/>
        </w:rPr>
        <w:t>https://docs.education.gov.au/system/files/doc/other/action_now_classroom_ready_teachers_accessible.pdf</w:t>
      </w:r>
      <w:r w:rsidRPr="001F4ECA">
        <w:rPr>
          <w:rFonts w:ascii="Times New Roman" w:hAnsi="Times New Roman"/>
          <w:color w:val="000000" w:themeColor="text1"/>
          <w:sz w:val="24"/>
          <w:szCs w:val="24"/>
        </w:rPr>
        <w:t>. TEMAG found that there was significant variability in practice between ITE programs and recommended that the LANTITE be implemented to strengthen the system.</w:t>
      </w:r>
    </w:p>
    <w:p w14:paraId="4081104C" w14:textId="77777777" w:rsidR="00845682" w:rsidRPr="001F4ECA" w:rsidRDefault="00845682" w:rsidP="00845682">
      <w:pPr>
        <w:rPr>
          <w:rFonts w:ascii="Times New Roman" w:hAnsi="Times New Roman"/>
          <w:color w:val="000000" w:themeColor="text1"/>
          <w:sz w:val="24"/>
          <w:szCs w:val="24"/>
        </w:rPr>
      </w:pPr>
    </w:p>
    <w:p w14:paraId="325B1D56" w14:textId="7B66A4CA" w:rsidR="00845682" w:rsidRPr="001F4ECA" w:rsidRDefault="00845682" w:rsidP="00845682">
      <w:pPr>
        <w:rPr>
          <w:rFonts w:ascii="Times New Roman" w:hAnsi="Times New Roman"/>
          <w:color w:val="000000" w:themeColor="text1"/>
          <w:sz w:val="24"/>
          <w:szCs w:val="24"/>
        </w:rPr>
      </w:pPr>
      <w:r w:rsidRPr="001F4ECA">
        <w:rPr>
          <w:rFonts w:ascii="Times New Roman" w:hAnsi="Times New Roman"/>
          <w:color w:val="000000" w:themeColor="text1"/>
          <w:sz w:val="24"/>
          <w:szCs w:val="24"/>
        </w:rPr>
        <w:t>All state, territory and Commonwealth Education Ministers gave effect to TEMAG’s recommendation in 2015 by agreeing to amend the Standards and Procedures</w:t>
      </w:r>
      <w:r w:rsidRPr="001F4ECA">
        <w:rPr>
          <w:rFonts w:ascii="Times New Roman" w:hAnsi="Times New Roman"/>
          <w:iCs/>
          <w:color w:val="000000" w:themeColor="text1"/>
          <w:sz w:val="24"/>
          <w:szCs w:val="24"/>
        </w:rPr>
        <w:t xml:space="preserve"> from 1 July 2016. The amended Standards and Procedures require all ITE students to sit the LANTITE and demonstrate that they </w:t>
      </w:r>
      <w:r w:rsidRPr="001F4ECA">
        <w:rPr>
          <w:rFonts w:ascii="Times New Roman" w:hAnsi="Times New Roman"/>
          <w:color w:val="000000" w:themeColor="text1"/>
          <w:sz w:val="24"/>
          <w:szCs w:val="24"/>
        </w:rPr>
        <w:t xml:space="preserve">possess levels of personal literacy and numeracy equivalent </w:t>
      </w:r>
      <w:r w:rsidR="004078F0" w:rsidRPr="001F4ECA">
        <w:rPr>
          <w:rFonts w:ascii="Times New Roman" w:hAnsi="Times New Roman"/>
          <w:color w:val="000000" w:themeColor="text1"/>
          <w:sz w:val="24"/>
          <w:szCs w:val="24"/>
        </w:rPr>
        <w:t>to</w:t>
      </w:r>
      <w:r w:rsidRPr="001F4ECA">
        <w:rPr>
          <w:rFonts w:ascii="Times New Roman" w:hAnsi="Times New Roman"/>
          <w:color w:val="000000" w:themeColor="text1"/>
          <w:sz w:val="24"/>
          <w:szCs w:val="24"/>
        </w:rPr>
        <w:t xml:space="preserve"> the top 30 per cent of the Australian adult population</w:t>
      </w:r>
      <w:r w:rsidRPr="001F4ECA">
        <w:rPr>
          <w:rFonts w:ascii="Times New Roman" w:hAnsi="Times New Roman"/>
          <w:iCs/>
          <w:color w:val="000000" w:themeColor="text1"/>
          <w:sz w:val="24"/>
          <w:szCs w:val="24"/>
        </w:rPr>
        <w:t xml:space="preserve"> </w:t>
      </w:r>
      <w:r w:rsidRPr="001F4ECA">
        <w:rPr>
          <w:rFonts w:ascii="Times New Roman" w:hAnsi="Times New Roman"/>
          <w:color w:val="000000" w:themeColor="text1"/>
          <w:sz w:val="24"/>
          <w:szCs w:val="24"/>
        </w:rPr>
        <w:t xml:space="preserve">before graduating from an ITE program or registering as a qualified teacher. </w:t>
      </w:r>
    </w:p>
    <w:p w14:paraId="6C812B08" w14:textId="77777777" w:rsidR="00845682" w:rsidRPr="001F4ECA" w:rsidRDefault="00845682" w:rsidP="00845682">
      <w:pPr>
        <w:rPr>
          <w:rFonts w:ascii="Times New Roman" w:hAnsi="Times New Roman"/>
          <w:color w:val="000000" w:themeColor="text1"/>
          <w:sz w:val="24"/>
          <w:szCs w:val="24"/>
        </w:rPr>
      </w:pPr>
    </w:p>
    <w:p w14:paraId="325CB3FD" w14:textId="4868E5AC" w:rsidR="00845682" w:rsidRPr="001F4ECA" w:rsidRDefault="00845682" w:rsidP="00845682">
      <w:pPr>
        <w:rPr>
          <w:rFonts w:ascii="Times New Roman" w:hAnsi="Times New Roman"/>
          <w:color w:val="000000" w:themeColor="text1"/>
          <w:sz w:val="24"/>
          <w:szCs w:val="24"/>
        </w:rPr>
      </w:pPr>
      <w:r w:rsidRPr="001F4ECA">
        <w:rPr>
          <w:rFonts w:ascii="Times New Roman" w:hAnsi="Times New Roman"/>
          <w:color w:val="000000" w:themeColor="text1"/>
          <w:sz w:val="24"/>
          <w:szCs w:val="24"/>
        </w:rPr>
        <w:t>The department oversees the administration of the test by contracting a supplier to develop, refresh and administer the test via an online test platform. The test is currently being delivered and administered by the Australian Council for Educational Research (ACER)</w:t>
      </w:r>
      <w:r w:rsidR="00D771D0" w:rsidRPr="001F4ECA">
        <w:rPr>
          <w:rFonts w:ascii="Times New Roman" w:hAnsi="Times New Roman"/>
          <w:color w:val="000000" w:themeColor="text1"/>
          <w:sz w:val="24"/>
          <w:szCs w:val="24"/>
        </w:rPr>
        <w:t>.</w:t>
      </w:r>
    </w:p>
    <w:p w14:paraId="2971C1E9" w14:textId="77777777" w:rsidR="00845682" w:rsidRPr="001F4ECA" w:rsidRDefault="00845682" w:rsidP="00845682">
      <w:pPr>
        <w:rPr>
          <w:rFonts w:ascii="Times New Roman" w:hAnsi="Times New Roman"/>
          <w:color w:val="000000" w:themeColor="text1"/>
          <w:sz w:val="24"/>
          <w:szCs w:val="24"/>
        </w:rPr>
      </w:pPr>
    </w:p>
    <w:p w14:paraId="0C28C8B0" w14:textId="1DE97E4A" w:rsidR="00845682" w:rsidRPr="001F4ECA" w:rsidRDefault="00845682" w:rsidP="00845682">
      <w:pPr>
        <w:rPr>
          <w:rFonts w:ascii="Times New Roman" w:hAnsi="Times New Roman"/>
          <w:color w:val="000000" w:themeColor="text1"/>
          <w:sz w:val="24"/>
          <w:szCs w:val="24"/>
        </w:rPr>
      </w:pPr>
      <w:r w:rsidRPr="001F4ECA">
        <w:rPr>
          <w:rFonts w:ascii="Times New Roman" w:hAnsi="Times New Roman"/>
          <w:color w:val="000000" w:themeColor="text1"/>
          <w:sz w:val="24"/>
          <w:szCs w:val="24"/>
        </w:rPr>
        <w:t>On 15 December 2020, the then Minister for Education, the Hon Dan Tehan MP</w:t>
      </w:r>
      <w:r w:rsidR="00D771D0" w:rsidRPr="001F4ECA">
        <w:rPr>
          <w:rFonts w:ascii="Times New Roman" w:hAnsi="Times New Roman"/>
          <w:color w:val="000000" w:themeColor="text1"/>
          <w:sz w:val="24"/>
          <w:szCs w:val="24"/>
        </w:rPr>
        <w:t>,</w:t>
      </w:r>
      <w:r w:rsidRPr="001F4ECA">
        <w:rPr>
          <w:rFonts w:ascii="Times New Roman" w:hAnsi="Times New Roman"/>
          <w:color w:val="000000" w:themeColor="text1"/>
          <w:sz w:val="24"/>
          <w:szCs w:val="24"/>
        </w:rPr>
        <w:t xml:space="preserve"> </w:t>
      </w:r>
      <w:r w:rsidR="00D771D0" w:rsidRPr="001F4ECA">
        <w:rPr>
          <w:rFonts w:ascii="Times New Roman" w:hAnsi="Times New Roman"/>
          <w:color w:val="000000" w:themeColor="text1"/>
          <w:sz w:val="24"/>
          <w:szCs w:val="24"/>
        </w:rPr>
        <w:t xml:space="preserve">welcomed the </w:t>
      </w:r>
      <w:r w:rsidR="008E7A84" w:rsidRPr="001F4ECA">
        <w:rPr>
          <w:rFonts w:ascii="Times New Roman" w:hAnsi="Times New Roman"/>
          <w:color w:val="000000" w:themeColor="text1"/>
          <w:sz w:val="24"/>
          <w:szCs w:val="24"/>
        </w:rPr>
        <w:t xml:space="preserve">Education Council </w:t>
      </w:r>
      <w:r w:rsidR="00D771D0" w:rsidRPr="001F4ECA">
        <w:rPr>
          <w:rFonts w:ascii="Times New Roman" w:hAnsi="Times New Roman"/>
          <w:color w:val="000000" w:themeColor="text1"/>
          <w:sz w:val="24"/>
          <w:szCs w:val="24"/>
        </w:rPr>
        <w:t xml:space="preserve">decision that </w:t>
      </w:r>
      <w:r w:rsidR="004078F0" w:rsidRPr="001F4ECA">
        <w:rPr>
          <w:rFonts w:ascii="Times New Roman" w:hAnsi="Times New Roman"/>
          <w:color w:val="000000" w:themeColor="text1"/>
          <w:sz w:val="24"/>
          <w:szCs w:val="24"/>
        </w:rPr>
        <w:t xml:space="preserve">from 2023 </w:t>
      </w:r>
      <w:r w:rsidRPr="001F4ECA">
        <w:rPr>
          <w:rFonts w:ascii="Times New Roman" w:hAnsi="Times New Roman"/>
          <w:color w:val="000000" w:themeColor="text1"/>
          <w:sz w:val="24"/>
          <w:szCs w:val="24"/>
        </w:rPr>
        <w:t>ITE students will have the option to sit the LANTITE before they begin their degree</w:t>
      </w:r>
      <w:r w:rsidR="008E7A84" w:rsidRPr="001F4ECA">
        <w:rPr>
          <w:rFonts w:ascii="Times New Roman" w:hAnsi="Times New Roman"/>
          <w:color w:val="000000" w:themeColor="text1"/>
          <w:sz w:val="24"/>
          <w:szCs w:val="24"/>
        </w:rPr>
        <w:t xml:space="preserve"> (</w:t>
      </w:r>
      <w:r w:rsidRPr="001F4ECA">
        <w:rPr>
          <w:rFonts w:ascii="Times New Roman" w:hAnsi="Times New Roman"/>
          <w:color w:val="000000" w:themeColor="text1"/>
          <w:sz w:val="24"/>
          <w:szCs w:val="24"/>
          <w:u w:val="single"/>
        </w:rPr>
        <w:t>https://ministers.dese.gov.au/tehan/more-equitable-treatment-student-teachers</w:t>
      </w:r>
      <w:r w:rsidR="008E7A84" w:rsidRPr="001F4ECA">
        <w:rPr>
          <w:rFonts w:ascii="Times New Roman" w:hAnsi="Times New Roman"/>
          <w:color w:val="000000" w:themeColor="text1"/>
          <w:sz w:val="24"/>
          <w:szCs w:val="24"/>
        </w:rPr>
        <w:t>)</w:t>
      </w:r>
      <w:r w:rsidRPr="001F4ECA">
        <w:rPr>
          <w:rFonts w:ascii="Times New Roman" w:hAnsi="Times New Roman"/>
          <w:color w:val="000000" w:themeColor="text1"/>
          <w:sz w:val="24"/>
          <w:szCs w:val="24"/>
        </w:rPr>
        <w:t xml:space="preserve">. This decision offers more certainty and fairness to </w:t>
      </w:r>
      <w:r w:rsidR="00C558DC" w:rsidRPr="001F4ECA">
        <w:rPr>
          <w:rFonts w:ascii="Times New Roman" w:hAnsi="Times New Roman"/>
          <w:color w:val="000000" w:themeColor="text1"/>
          <w:sz w:val="24"/>
          <w:szCs w:val="24"/>
        </w:rPr>
        <w:t>prospective students and gives higher e</w:t>
      </w:r>
      <w:r w:rsidRPr="001F4ECA">
        <w:rPr>
          <w:rFonts w:ascii="Times New Roman" w:hAnsi="Times New Roman"/>
          <w:color w:val="000000" w:themeColor="text1"/>
          <w:sz w:val="24"/>
          <w:szCs w:val="24"/>
        </w:rPr>
        <w:t xml:space="preserve">ducation </w:t>
      </w:r>
      <w:r w:rsidR="00C558DC" w:rsidRPr="001F4ECA">
        <w:rPr>
          <w:rFonts w:ascii="Times New Roman" w:hAnsi="Times New Roman"/>
          <w:color w:val="000000" w:themeColor="text1"/>
          <w:sz w:val="24"/>
          <w:szCs w:val="24"/>
        </w:rPr>
        <w:t>p</w:t>
      </w:r>
      <w:r w:rsidRPr="001F4ECA">
        <w:rPr>
          <w:rFonts w:ascii="Times New Roman" w:hAnsi="Times New Roman"/>
          <w:color w:val="000000" w:themeColor="text1"/>
          <w:sz w:val="24"/>
          <w:szCs w:val="24"/>
        </w:rPr>
        <w:t>roviders the opportunity to provide targeted support to students who are struggling to meet the required standard.</w:t>
      </w:r>
    </w:p>
    <w:p w14:paraId="13A7AE87" w14:textId="77777777" w:rsidR="00845682" w:rsidRPr="001F4ECA" w:rsidRDefault="00845682" w:rsidP="00845682">
      <w:pPr>
        <w:rPr>
          <w:rFonts w:ascii="Times New Roman" w:hAnsi="Times New Roman"/>
          <w:color w:val="000000" w:themeColor="text1"/>
          <w:sz w:val="24"/>
          <w:szCs w:val="24"/>
        </w:rPr>
      </w:pPr>
    </w:p>
    <w:p w14:paraId="22DF396D" w14:textId="627F22FB" w:rsidR="00845682" w:rsidRPr="001F4ECA" w:rsidRDefault="00845682" w:rsidP="00845682">
      <w:pPr>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The LANTITE </w:t>
      </w:r>
      <w:r w:rsidR="00C558DC" w:rsidRPr="001F4ECA">
        <w:rPr>
          <w:rFonts w:ascii="Times New Roman" w:hAnsi="Times New Roman"/>
          <w:color w:val="000000" w:themeColor="text1"/>
          <w:sz w:val="24"/>
          <w:szCs w:val="24"/>
        </w:rPr>
        <w:t xml:space="preserve">will also be expanded to include </w:t>
      </w:r>
      <w:r w:rsidRPr="001F4ECA">
        <w:rPr>
          <w:rFonts w:ascii="Times New Roman" w:hAnsi="Times New Roman"/>
          <w:color w:val="000000" w:themeColor="text1"/>
          <w:sz w:val="24"/>
          <w:szCs w:val="24"/>
        </w:rPr>
        <w:t>deliver</w:t>
      </w:r>
      <w:r w:rsidR="00C558DC" w:rsidRPr="001F4ECA">
        <w:rPr>
          <w:rFonts w:ascii="Times New Roman" w:hAnsi="Times New Roman"/>
          <w:color w:val="000000" w:themeColor="text1"/>
          <w:sz w:val="24"/>
          <w:szCs w:val="24"/>
        </w:rPr>
        <w:t>y</w:t>
      </w:r>
      <w:r w:rsidRPr="001F4ECA">
        <w:rPr>
          <w:rFonts w:ascii="Times New Roman" w:hAnsi="Times New Roman"/>
          <w:color w:val="000000" w:themeColor="text1"/>
          <w:sz w:val="24"/>
          <w:szCs w:val="24"/>
        </w:rPr>
        <w:t xml:space="preserve"> through a paper-based form to eligible candidates. The paper-based form will add to the extensive range of adjustments</w:t>
      </w:r>
      <w:r w:rsidRPr="001F4ECA">
        <w:rPr>
          <w:rFonts w:ascii="Times New Roman" w:hAnsi="Times New Roman"/>
          <w:iCs/>
          <w:color w:val="000000" w:themeColor="text1"/>
          <w:sz w:val="24"/>
          <w:szCs w:val="24"/>
        </w:rPr>
        <w:t xml:space="preserve"> </w:t>
      </w:r>
      <w:r w:rsidRPr="001F4ECA">
        <w:rPr>
          <w:rFonts w:ascii="Times New Roman" w:hAnsi="Times New Roman"/>
          <w:color w:val="000000" w:themeColor="text1"/>
          <w:sz w:val="24"/>
          <w:szCs w:val="24"/>
        </w:rPr>
        <w:t xml:space="preserve">available to candidates sitting the test and provide an additional option for test candidates with specific disabilities that require them to access reasonable adjustments to sit the test. These adjustments will comply with the obligation in the </w:t>
      </w:r>
      <w:r w:rsidRPr="001F4ECA">
        <w:rPr>
          <w:rFonts w:ascii="Times New Roman" w:hAnsi="Times New Roman"/>
          <w:i/>
          <w:iCs/>
          <w:color w:val="000000" w:themeColor="text1"/>
          <w:sz w:val="24"/>
          <w:szCs w:val="24"/>
        </w:rPr>
        <w:t>Disability Discrimination Act 1992.</w:t>
      </w:r>
    </w:p>
    <w:p w14:paraId="68AACFE7" w14:textId="77777777" w:rsidR="00845682" w:rsidRPr="001F4ECA" w:rsidRDefault="00845682" w:rsidP="00845682">
      <w:pPr>
        <w:rPr>
          <w:rFonts w:ascii="Times New Roman" w:hAnsi="Times New Roman"/>
          <w:color w:val="000000" w:themeColor="text1"/>
          <w:sz w:val="24"/>
          <w:szCs w:val="24"/>
        </w:rPr>
      </w:pPr>
    </w:p>
    <w:p w14:paraId="364BEC17" w14:textId="623BCC42" w:rsidR="00D771D0" w:rsidRPr="001F4ECA" w:rsidRDefault="00D771D0" w:rsidP="00D771D0">
      <w:pPr>
        <w:rPr>
          <w:rFonts w:ascii="Times New Roman" w:hAnsi="Times New Roman"/>
          <w:color w:val="000000" w:themeColor="text1"/>
          <w:sz w:val="24"/>
          <w:szCs w:val="24"/>
        </w:rPr>
      </w:pPr>
      <w:r w:rsidRPr="001F4ECA">
        <w:rPr>
          <w:rFonts w:ascii="Times New Roman" w:hAnsi="Times New Roman"/>
          <w:color w:val="000000" w:themeColor="text1"/>
          <w:sz w:val="24"/>
          <w:szCs w:val="24"/>
        </w:rPr>
        <w:t>The supplier of the LANTITE will be responsible for the development and delivery of the paper-based test forms and arranging for external testing to ensure accessibility of the paper</w:t>
      </w:r>
      <w:r w:rsidR="00322E17" w:rsidRPr="001F4ECA">
        <w:rPr>
          <w:rFonts w:ascii="Times New Roman" w:hAnsi="Times New Roman"/>
          <w:color w:val="000000" w:themeColor="text1"/>
          <w:sz w:val="24"/>
          <w:szCs w:val="24"/>
        </w:rPr>
        <w:noBreakHyphen/>
      </w:r>
      <w:r w:rsidRPr="001F4ECA">
        <w:rPr>
          <w:rFonts w:ascii="Times New Roman" w:hAnsi="Times New Roman"/>
          <w:color w:val="000000" w:themeColor="text1"/>
          <w:sz w:val="24"/>
          <w:szCs w:val="24"/>
        </w:rPr>
        <w:t xml:space="preserve">based form, particularly for visually impaired candidates. The supplier of the LANTITE will use their own expertise in the administration of the test and standardised testing to ensure the paper-based test format is psychometrically comparable to the online version of the test. </w:t>
      </w:r>
    </w:p>
    <w:p w14:paraId="19AD0952" w14:textId="77777777" w:rsidR="00D771D0" w:rsidRPr="001F4ECA" w:rsidRDefault="00D771D0" w:rsidP="00D771D0">
      <w:pPr>
        <w:rPr>
          <w:rFonts w:ascii="Times New Roman" w:hAnsi="Times New Roman"/>
          <w:color w:val="000000" w:themeColor="text1"/>
          <w:sz w:val="24"/>
          <w:szCs w:val="24"/>
        </w:rPr>
      </w:pPr>
    </w:p>
    <w:p w14:paraId="1E4B55E6" w14:textId="7278491F" w:rsidR="00D771D0" w:rsidRPr="001F4ECA" w:rsidRDefault="00D771D0" w:rsidP="00D771D0">
      <w:pPr>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The supplier of the LANTITE will also be responsible for determining which test candidates are able to access the paper-based test forms. Candidates will need to provide medical documentation and recommendations with their application that demonstrate their need to access reasonable adjustments when sitting the test and that this need is best met by sitting the test </w:t>
      </w:r>
      <w:r w:rsidR="00322E17" w:rsidRPr="001F4ECA">
        <w:rPr>
          <w:rFonts w:ascii="Times New Roman" w:hAnsi="Times New Roman"/>
          <w:color w:val="000000" w:themeColor="text1"/>
          <w:sz w:val="24"/>
          <w:szCs w:val="24"/>
        </w:rPr>
        <w:t>using a</w:t>
      </w:r>
      <w:r w:rsidRPr="001F4ECA">
        <w:rPr>
          <w:rFonts w:ascii="Times New Roman" w:hAnsi="Times New Roman"/>
          <w:color w:val="000000" w:themeColor="text1"/>
          <w:sz w:val="24"/>
          <w:szCs w:val="24"/>
        </w:rPr>
        <w:t xml:space="preserve"> paper</w:t>
      </w:r>
      <w:r w:rsidR="00322E17" w:rsidRPr="001F4ECA">
        <w:rPr>
          <w:rFonts w:ascii="Times New Roman" w:hAnsi="Times New Roman"/>
          <w:color w:val="000000" w:themeColor="text1"/>
          <w:sz w:val="24"/>
          <w:szCs w:val="24"/>
        </w:rPr>
        <w:t>-based</w:t>
      </w:r>
      <w:r w:rsidRPr="001F4ECA">
        <w:rPr>
          <w:rFonts w:ascii="Times New Roman" w:hAnsi="Times New Roman"/>
          <w:color w:val="000000" w:themeColor="text1"/>
          <w:sz w:val="24"/>
          <w:szCs w:val="24"/>
        </w:rPr>
        <w:t xml:space="preserve"> form.</w:t>
      </w:r>
    </w:p>
    <w:p w14:paraId="4B2B1A7E" w14:textId="77777777" w:rsidR="00D771D0" w:rsidRPr="001F4ECA" w:rsidRDefault="00D771D0" w:rsidP="00D771D0">
      <w:pPr>
        <w:rPr>
          <w:rFonts w:ascii="Times New Roman" w:hAnsi="Times New Roman"/>
          <w:color w:val="000000" w:themeColor="text1"/>
          <w:sz w:val="24"/>
          <w:szCs w:val="24"/>
        </w:rPr>
      </w:pPr>
    </w:p>
    <w:p w14:paraId="4FA4279E" w14:textId="77777777" w:rsidR="00D771D0" w:rsidRPr="001F4ECA" w:rsidRDefault="00D771D0" w:rsidP="00D771D0">
      <w:pPr>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Candidates who are dissatisfied with the outcome of this process will be able to request an independent review of the decision by a review panel. The supplier of the LANTITE will be responsible for convening a review panel comprised of medical professionals and experts in the administration of standardised tests. The review process will be developed in consultation with external experts to ensure consistency with the </w:t>
      </w:r>
      <w:r w:rsidRPr="001F4ECA">
        <w:rPr>
          <w:rFonts w:ascii="Times New Roman" w:hAnsi="Times New Roman"/>
          <w:i/>
          <w:iCs/>
          <w:color w:val="000000" w:themeColor="text1"/>
          <w:sz w:val="24"/>
          <w:szCs w:val="24"/>
        </w:rPr>
        <w:t>Disability Discrimination Act 1992</w:t>
      </w:r>
      <w:r w:rsidRPr="001F4ECA">
        <w:rPr>
          <w:rFonts w:ascii="Times New Roman" w:hAnsi="Times New Roman"/>
          <w:color w:val="000000" w:themeColor="text1"/>
          <w:sz w:val="24"/>
          <w:szCs w:val="24"/>
        </w:rPr>
        <w:t xml:space="preserve"> and will be subject to the department’s approval.</w:t>
      </w:r>
    </w:p>
    <w:p w14:paraId="68467E37" w14:textId="58AE6B01" w:rsidR="00845682" w:rsidRPr="001F4ECA" w:rsidRDefault="00845682" w:rsidP="00845682">
      <w:pPr>
        <w:rPr>
          <w:rFonts w:ascii="Times New Roman" w:hAnsi="Times New Roman"/>
          <w:color w:val="000000" w:themeColor="text1"/>
          <w:sz w:val="24"/>
          <w:szCs w:val="24"/>
        </w:rPr>
      </w:pPr>
    </w:p>
    <w:p w14:paraId="6451C7B0" w14:textId="7C611D77" w:rsidR="00D771D0" w:rsidRPr="001F4ECA" w:rsidRDefault="00D771D0" w:rsidP="00D771D0">
      <w:pPr>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The department procures the services of a supplier to administer the LANTITE. The procurement process will be conducted in accordance with the </w:t>
      </w:r>
      <w:r w:rsidRPr="001F4ECA">
        <w:rPr>
          <w:rFonts w:ascii="Times New Roman" w:hAnsi="Times New Roman"/>
          <w:i/>
          <w:color w:val="000000" w:themeColor="text1"/>
          <w:sz w:val="24"/>
          <w:szCs w:val="24"/>
        </w:rPr>
        <w:t>Commonwealth Procurement Rules</w:t>
      </w:r>
      <w:r w:rsidRPr="001F4ECA">
        <w:rPr>
          <w:rFonts w:ascii="Times New Roman" w:hAnsi="Times New Roman"/>
          <w:color w:val="000000" w:themeColor="text1"/>
          <w:sz w:val="24"/>
          <w:szCs w:val="24"/>
        </w:rPr>
        <w:t xml:space="preserve"> (CPRs). The department will adhere to the standards and reporting requirements.</w:t>
      </w:r>
    </w:p>
    <w:p w14:paraId="3066982F" w14:textId="77777777" w:rsidR="00D771D0" w:rsidRPr="001F4ECA" w:rsidRDefault="00D771D0" w:rsidP="00D771D0">
      <w:pPr>
        <w:rPr>
          <w:rFonts w:ascii="Times New Roman" w:hAnsi="Times New Roman"/>
          <w:color w:val="000000" w:themeColor="text1"/>
          <w:sz w:val="24"/>
          <w:szCs w:val="24"/>
        </w:rPr>
      </w:pPr>
    </w:p>
    <w:p w14:paraId="6AE91678" w14:textId="160A0B9B" w:rsidR="00D771D0" w:rsidRPr="001F4ECA" w:rsidRDefault="00D771D0" w:rsidP="00D771D0">
      <w:pPr>
        <w:rPr>
          <w:rFonts w:ascii="Times New Roman" w:hAnsi="Times New Roman"/>
          <w:color w:val="000000" w:themeColor="text1"/>
          <w:sz w:val="24"/>
          <w:szCs w:val="24"/>
        </w:rPr>
      </w:pPr>
      <w:r w:rsidRPr="001F4ECA">
        <w:rPr>
          <w:rFonts w:ascii="Times New Roman" w:hAnsi="Times New Roman"/>
          <w:color w:val="000000" w:themeColor="text1"/>
          <w:sz w:val="24"/>
          <w:szCs w:val="24"/>
        </w:rPr>
        <w:lastRenderedPageBreak/>
        <w:t xml:space="preserve">Funding for the supplier of the LANTITE will be </w:t>
      </w:r>
      <w:r w:rsidR="00AA67D6" w:rsidRPr="001F4ECA">
        <w:rPr>
          <w:rFonts w:ascii="Times New Roman" w:hAnsi="Times New Roman"/>
          <w:color w:val="000000" w:themeColor="text1"/>
          <w:sz w:val="24"/>
          <w:szCs w:val="24"/>
        </w:rPr>
        <w:t>provided</w:t>
      </w:r>
      <w:r w:rsidRPr="001F4ECA">
        <w:rPr>
          <w:rFonts w:ascii="Times New Roman" w:hAnsi="Times New Roman"/>
          <w:color w:val="000000" w:themeColor="text1"/>
          <w:sz w:val="24"/>
          <w:szCs w:val="24"/>
        </w:rPr>
        <w:t xml:space="preserve"> in accor</w:t>
      </w:r>
      <w:r w:rsidR="00AA67D6" w:rsidRPr="001F4ECA">
        <w:rPr>
          <w:rFonts w:ascii="Times New Roman" w:hAnsi="Times New Roman"/>
          <w:color w:val="000000" w:themeColor="text1"/>
          <w:sz w:val="24"/>
          <w:szCs w:val="24"/>
        </w:rPr>
        <w:t>dance with the d</w:t>
      </w:r>
      <w:r w:rsidRPr="001F4ECA">
        <w:rPr>
          <w:rFonts w:ascii="Times New Roman" w:hAnsi="Times New Roman"/>
          <w:color w:val="000000" w:themeColor="text1"/>
          <w:sz w:val="24"/>
          <w:szCs w:val="24"/>
        </w:rPr>
        <w:t xml:space="preserve">epartment’s </w:t>
      </w:r>
      <w:r w:rsidR="00AA67D6" w:rsidRPr="001F4ECA">
        <w:rPr>
          <w:rFonts w:ascii="Times New Roman" w:hAnsi="Times New Roman"/>
          <w:color w:val="000000" w:themeColor="text1"/>
          <w:sz w:val="24"/>
          <w:szCs w:val="24"/>
        </w:rPr>
        <w:t>Accountable Authority</w:t>
      </w:r>
      <w:r w:rsidRPr="001F4ECA">
        <w:rPr>
          <w:rFonts w:ascii="Times New Roman" w:hAnsi="Times New Roman"/>
          <w:color w:val="000000" w:themeColor="text1"/>
          <w:sz w:val="24"/>
          <w:szCs w:val="24"/>
        </w:rPr>
        <w:t xml:space="preserve"> Instructions and delegations on the expenditure of relevant monies, and in accordance with the </w:t>
      </w:r>
      <w:r w:rsidRPr="001F4ECA">
        <w:rPr>
          <w:rFonts w:ascii="Times New Roman" w:hAnsi="Times New Roman"/>
          <w:i/>
          <w:iCs/>
          <w:color w:val="000000" w:themeColor="text1"/>
          <w:sz w:val="24"/>
          <w:szCs w:val="24"/>
        </w:rPr>
        <w:t>Public Governance, Performance and Accountability Act 2013</w:t>
      </w:r>
      <w:r w:rsidRPr="001F4ECA">
        <w:rPr>
          <w:rFonts w:ascii="Times New Roman" w:hAnsi="Times New Roman"/>
          <w:color w:val="000000" w:themeColor="text1"/>
          <w:sz w:val="24"/>
          <w:szCs w:val="24"/>
        </w:rPr>
        <w:t xml:space="preserve"> (PGPA Act). </w:t>
      </w:r>
    </w:p>
    <w:p w14:paraId="4D3ED4AF" w14:textId="77777777" w:rsidR="00845682" w:rsidRPr="001F4ECA" w:rsidRDefault="00845682" w:rsidP="00845682">
      <w:pPr>
        <w:rPr>
          <w:rFonts w:ascii="Times New Roman" w:hAnsi="Times New Roman"/>
          <w:color w:val="000000" w:themeColor="text1"/>
          <w:sz w:val="24"/>
          <w:szCs w:val="24"/>
        </w:rPr>
      </w:pPr>
    </w:p>
    <w:p w14:paraId="7E720979" w14:textId="4314AB95" w:rsidR="00845682" w:rsidRPr="001F4ECA" w:rsidRDefault="00845682" w:rsidP="00845682">
      <w:pPr>
        <w:rPr>
          <w:rFonts w:ascii="Times New Roman" w:hAnsi="Times New Roman"/>
          <w:color w:val="000000" w:themeColor="text1"/>
          <w:sz w:val="24"/>
          <w:szCs w:val="24"/>
        </w:rPr>
      </w:pPr>
      <w:r w:rsidRPr="001F4ECA">
        <w:rPr>
          <w:rFonts w:ascii="Times New Roman" w:hAnsi="Times New Roman"/>
          <w:color w:val="000000" w:themeColor="text1"/>
          <w:sz w:val="24"/>
          <w:szCs w:val="24"/>
        </w:rPr>
        <w:t>Procurement decisions made in connection with the administration of the test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w:t>
      </w:r>
      <w:r w:rsidR="00371E23" w:rsidRPr="001F4ECA">
        <w:rPr>
          <w:rFonts w:ascii="Times New Roman" w:hAnsi="Times New Roman"/>
          <w:color w:val="000000" w:themeColor="text1"/>
          <w:sz w:val="24"/>
          <w:szCs w:val="24"/>
        </w:rPr>
        <w:t xml:space="preserve"> (ARC)</w:t>
      </w:r>
      <w:r w:rsidRPr="001F4ECA">
        <w:rPr>
          <w:rFonts w:ascii="Times New Roman" w:hAnsi="Times New Roman"/>
          <w:color w:val="000000" w:themeColor="text1"/>
          <w:sz w:val="24"/>
          <w:szCs w:val="24"/>
        </w:rPr>
        <w:t xml:space="preserve"> has recognised that it is justifiable to exclude merits review in relation to decisions of this nature (see paragraphs 4.11 to 4.19 of the guide, </w:t>
      </w:r>
      <w:r w:rsidRPr="001F4ECA">
        <w:rPr>
          <w:rFonts w:ascii="Times New Roman" w:hAnsi="Times New Roman"/>
          <w:i/>
          <w:color w:val="000000" w:themeColor="text1"/>
          <w:sz w:val="24"/>
          <w:szCs w:val="24"/>
        </w:rPr>
        <w:t>What decisions should be subject to merit review?</w:t>
      </w:r>
      <w:r w:rsidRPr="001F4ECA">
        <w:rPr>
          <w:rFonts w:ascii="Times New Roman" w:hAnsi="Times New Roman"/>
          <w:color w:val="000000" w:themeColor="text1"/>
          <w:sz w:val="24"/>
          <w:szCs w:val="24"/>
        </w:rPr>
        <w:t xml:space="preserve">). </w:t>
      </w:r>
    </w:p>
    <w:p w14:paraId="77E2673B" w14:textId="77777777" w:rsidR="00845682" w:rsidRPr="001F4ECA" w:rsidRDefault="00845682" w:rsidP="00845682">
      <w:pPr>
        <w:rPr>
          <w:rFonts w:ascii="Times New Roman" w:hAnsi="Times New Roman"/>
          <w:color w:val="000000" w:themeColor="text1"/>
          <w:sz w:val="24"/>
          <w:szCs w:val="24"/>
        </w:rPr>
      </w:pPr>
    </w:p>
    <w:p w14:paraId="439F4170" w14:textId="77777777" w:rsidR="00845682" w:rsidRPr="001F4ECA" w:rsidRDefault="00845682" w:rsidP="00845682">
      <w:pPr>
        <w:rPr>
          <w:rFonts w:ascii="Times New Roman" w:hAnsi="Times New Roman"/>
          <w:color w:val="000000" w:themeColor="text1"/>
          <w:sz w:val="24"/>
          <w:szCs w:val="24"/>
        </w:rPr>
      </w:pPr>
      <w:r w:rsidRPr="001F4ECA">
        <w:rPr>
          <w:rFonts w:ascii="Times New Roman" w:hAnsi="Times New Roman"/>
          <w:color w:val="000000" w:themeColor="text1"/>
          <w:sz w:val="24"/>
          <w:szCs w:val="24"/>
        </w:rPr>
        <w:t>The re-making of a procurement decision after entry into a contractual arrangement with a successful provider is legally complex, impractical, and could result in disruptions to the availability of the test.</w:t>
      </w:r>
    </w:p>
    <w:p w14:paraId="4F9E3B08" w14:textId="77777777" w:rsidR="00845682" w:rsidRPr="001F4ECA" w:rsidRDefault="00845682" w:rsidP="00845682">
      <w:pPr>
        <w:rPr>
          <w:rFonts w:ascii="Times New Roman" w:hAnsi="Times New Roman"/>
          <w:color w:val="000000" w:themeColor="text1"/>
          <w:sz w:val="24"/>
          <w:szCs w:val="24"/>
        </w:rPr>
      </w:pPr>
    </w:p>
    <w:p w14:paraId="044B777A" w14:textId="77777777" w:rsidR="00845682" w:rsidRPr="001F4ECA" w:rsidRDefault="00845682" w:rsidP="00845682">
      <w:pPr>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The </w:t>
      </w:r>
      <w:r w:rsidRPr="001F4ECA">
        <w:rPr>
          <w:rFonts w:ascii="Times New Roman" w:hAnsi="Times New Roman"/>
          <w:i/>
          <w:color w:val="000000" w:themeColor="text1"/>
          <w:sz w:val="24"/>
          <w:szCs w:val="24"/>
        </w:rPr>
        <w:t>Government Procurement (Judicial Review) Act 2018</w:t>
      </w:r>
      <w:r w:rsidRPr="001F4ECA">
        <w:rPr>
          <w:rFonts w:ascii="Times New Roman" w:hAnsi="Times New Roman"/>
          <w:color w:val="000000" w:themeColor="text1"/>
          <w:sz w:val="24"/>
          <w:szCs w:val="24"/>
        </w:rPr>
        <w:t xml:space="preserve"> enables suppliers to challenge some procurement processes for alleged breaches of certain procurement rules. This legislation might provide some additional avenues of redress (compensation or injunction) for dissatisfied providers or potential providers, depending on the circumstances.</w:t>
      </w:r>
    </w:p>
    <w:p w14:paraId="57F4BDD1" w14:textId="3DAFF9BB" w:rsidR="009211A4" w:rsidRPr="001F4ECA" w:rsidRDefault="009211A4" w:rsidP="00714BF2">
      <w:pPr>
        <w:rPr>
          <w:rFonts w:ascii="Times New Roman" w:hAnsi="Times New Roman"/>
          <w:color w:val="000000" w:themeColor="text1"/>
          <w:sz w:val="24"/>
          <w:szCs w:val="24"/>
        </w:rPr>
      </w:pPr>
    </w:p>
    <w:p w14:paraId="3F569D89" w14:textId="462024CC" w:rsidR="00D771D0" w:rsidRPr="001F4ECA" w:rsidRDefault="00D771D0" w:rsidP="00D771D0">
      <w:pPr>
        <w:rPr>
          <w:rFonts w:ascii="Times New Roman" w:hAnsi="Times New Roman"/>
          <w:color w:val="000000" w:themeColor="text1"/>
          <w:sz w:val="24"/>
          <w:szCs w:val="24"/>
        </w:rPr>
      </w:pPr>
      <w:r w:rsidRPr="001F4ECA">
        <w:rPr>
          <w:rFonts w:ascii="Times New Roman" w:hAnsi="Times New Roman"/>
          <w:color w:val="000000" w:themeColor="text1"/>
          <w:sz w:val="24"/>
          <w:szCs w:val="24"/>
        </w:rPr>
        <w:t>The department has consulted with the current supplier of the LANTITE on the development of a paper-based test form. In 2020, the department engaged an external consultant, dandolopartners, to conduct an implementation review of the LANTITE. Part of this review required dandolopartners to consult with test candidates and higher education providers to identify possible areas for improved implementation. This engagement demonstrated that nearly 10 per cent of ITE students considered that the test should be available in a paper</w:t>
      </w:r>
      <w:r w:rsidR="00AA67D6" w:rsidRPr="001F4ECA">
        <w:rPr>
          <w:rFonts w:ascii="Times New Roman" w:hAnsi="Times New Roman"/>
          <w:color w:val="000000" w:themeColor="text1"/>
          <w:sz w:val="24"/>
          <w:szCs w:val="24"/>
        </w:rPr>
        <w:noBreakHyphen/>
      </w:r>
      <w:r w:rsidRPr="001F4ECA">
        <w:rPr>
          <w:rFonts w:ascii="Times New Roman" w:hAnsi="Times New Roman"/>
          <w:color w:val="000000" w:themeColor="text1"/>
          <w:sz w:val="24"/>
          <w:szCs w:val="24"/>
        </w:rPr>
        <w:t>based form</w:t>
      </w:r>
      <w:r w:rsidR="00AA67D6" w:rsidRPr="001F4ECA">
        <w:rPr>
          <w:rFonts w:ascii="Times New Roman" w:hAnsi="Times New Roman"/>
          <w:color w:val="000000" w:themeColor="text1"/>
          <w:sz w:val="24"/>
          <w:szCs w:val="24"/>
        </w:rPr>
        <w:t>,</w:t>
      </w:r>
      <w:r w:rsidRPr="001F4ECA">
        <w:rPr>
          <w:rFonts w:ascii="Times New Roman" w:hAnsi="Times New Roman"/>
          <w:color w:val="000000" w:themeColor="text1"/>
          <w:sz w:val="24"/>
          <w:szCs w:val="24"/>
        </w:rPr>
        <w:t xml:space="preserve"> with many suggesting it affected their test performance. Further consultations with the </w:t>
      </w:r>
      <w:r w:rsidR="00FE6E8E" w:rsidRPr="001F4ECA">
        <w:rPr>
          <w:rFonts w:ascii="Times New Roman" w:hAnsi="Times New Roman"/>
          <w:color w:val="000000" w:themeColor="text1"/>
          <w:sz w:val="24"/>
          <w:szCs w:val="24"/>
        </w:rPr>
        <w:t>supplier</w:t>
      </w:r>
      <w:r w:rsidRPr="001F4ECA">
        <w:rPr>
          <w:rFonts w:ascii="Times New Roman" w:hAnsi="Times New Roman"/>
          <w:color w:val="000000" w:themeColor="text1"/>
          <w:sz w:val="24"/>
          <w:szCs w:val="24"/>
        </w:rPr>
        <w:t xml:space="preserve"> demonstrated that test candidates with visual processing disabilities have sought access to a paper-based form.</w:t>
      </w:r>
    </w:p>
    <w:p w14:paraId="5190F9CE" w14:textId="3BBF6772" w:rsidR="00E82C32" w:rsidRPr="001F4ECA" w:rsidRDefault="00E82C32" w:rsidP="00714BF2">
      <w:pPr>
        <w:rPr>
          <w:rFonts w:ascii="Times New Roman" w:hAnsi="Times New Roman"/>
          <w:color w:val="000000" w:themeColor="text1"/>
          <w:sz w:val="24"/>
          <w:szCs w:val="24"/>
        </w:rPr>
      </w:pPr>
    </w:p>
    <w:p w14:paraId="473B4C20" w14:textId="3B2C61BA" w:rsidR="00371E23" w:rsidRPr="001F4ECA" w:rsidRDefault="00371E23" w:rsidP="00371E23">
      <w:pPr>
        <w:pStyle w:val="NormalWeb"/>
        <w:spacing w:after="0"/>
        <w:rPr>
          <w:iCs/>
          <w:color w:val="000000"/>
        </w:rPr>
      </w:pPr>
      <w:r w:rsidRPr="001F4ECA">
        <w:rPr>
          <w:iCs/>
          <w:color w:val="000000"/>
        </w:rPr>
        <w:t xml:space="preserve">Funding of $4.0 million over four years from 2021-22 (and </w:t>
      </w:r>
      <w:r w:rsidR="00AA67D6" w:rsidRPr="001F4ECA">
        <w:rPr>
          <w:iCs/>
          <w:color w:val="000000"/>
        </w:rPr>
        <w:t xml:space="preserve">subsequent </w:t>
      </w:r>
      <w:r w:rsidRPr="001F4ECA">
        <w:rPr>
          <w:iCs/>
          <w:color w:val="000000"/>
        </w:rPr>
        <w:t xml:space="preserve">$1.0 million per year ongoing) for the LANTITE was included in the 2021-22 Budget under the measure ‘School and Youth – supporting students, teachers and young Australians’. Details are set out in </w:t>
      </w:r>
      <w:r w:rsidRPr="001F4ECA">
        <w:rPr>
          <w:i/>
          <w:iCs/>
          <w:color w:val="000000"/>
        </w:rPr>
        <w:t>Budget 2021-22, Budget Measures, Budget Paper No. 2 2021-22</w:t>
      </w:r>
      <w:r w:rsidRPr="001F4ECA">
        <w:rPr>
          <w:iCs/>
          <w:color w:val="000000"/>
        </w:rPr>
        <w:t xml:space="preserve"> at pages 78 to 80.</w:t>
      </w:r>
    </w:p>
    <w:p w14:paraId="48E44B81" w14:textId="77777777" w:rsidR="00371E23" w:rsidRPr="001F4ECA" w:rsidRDefault="00371E23" w:rsidP="00371E23">
      <w:pPr>
        <w:rPr>
          <w:rFonts w:ascii="Times New Roman" w:eastAsia="Times New Roman" w:hAnsi="Times New Roman"/>
          <w:iCs/>
          <w:color w:val="000000"/>
          <w:sz w:val="24"/>
          <w:szCs w:val="24"/>
        </w:rPr>
      </w:pPr>
    </w:p>
    <w:p w14:paraId="38F0566F" w14:textId="4F7BD3C1" w:rsidR="00371E23" w:rsidRPr="001F4ECA" w:rsidRDefault="00371E23" w:rsidP="00371E23">
      <w:pPr>
        <w:rPr>
          <w:rFonts w:ascii="Times New Roman" w:hAnsi="Times New Roman"/>
          <w:color w:val="000000" w:themeColor="text1"/>
          <w:sz w:val="24"/>
          <w:szCs w:val="24"/>
        </w:rPr>
      </w:pPr>
      <w:r w:rsidRPr="001F4ECA">
        <w:rPr>
          <w:rFonts w:ascii="Times New Roman" w:hAnsi="Times New Roman"/>
          <w:iCs/>
          <w:color w:val="000000"/>
          <w:sz w:val="24"/>
          <w:szCs w:val="24"/>
        </w:rPr>
        <w:t xml:space="preserve">Funding for this item will come from </w:t>
      </w:r>
      <w:r w:rsidR="00BB7E89" w:rsidRPr="001F4ECA">
        <w:rPr>
          <w:rFonts w:ascii="Times New Roman" w:hAnsi="Times New Roman"/>
          <w:iCs/>
          <w:color w:val="000000"/>
          <w:sz w:val="24"/>
          <w:szCs w:val="24"/>
        </w:rPr>
        <w:t xml:space="preserve">the </w:t>
      </w:r>
      <w:r w:rsidRPr="001F4ECA">
        <w:rPr>
          <w:rFonts w:ascii="Times New Roman" w:hAnsi="Times New Roman"/>
          <w:iCs/>
          <w:color w:val="000000"/>
          <w:sz w:val="24"/>
          <w:szCs w:val="24"/>
        </w:rPr>
        <w:t xml:space="preserve">Supporting Australia’s Teacher Workforce </w:t>
      </w:r>
      <w:r w:rsidR="00BB7E89" w:rsidRPr="001F4ECA">
        <w:rPr>
          <w:rFonts w:ascii="Times New Roman" w:hAnsi="Times New Roman"/>
          <w:iCs/>
          <w:color w:val="000000"/>
          <w:sz w:val="24"/>
          <w:szCs w:val="24"/>
        </w:rPr>
        <w:t xml:space="preserve">subprogram </w:t>
      </w:r>
      <w:r w:rsidRPr="001F4ECA">
        <w:rPr>
          <w:rFonts w:ascii="Times New Roman" w:hAnsi="Times New Roman"/>
          <w:iCs/>
          <w:color w:val="000000"/>
          <w:sz w:val="24"/>
          <w:szCs w:val="24"/>
        </w:rPr>
        <w:t xml:space="preserve">under Program 1.5: Early Learning and Schools Support, which is part of Outcome 1. Details are set out in the </w:t>
      </w:r>
      <w:r w:rsidRPr="001F4ECA">
        <w:rPr>
          <w:rFonts w:ascii="Times New Roman" w:hAnsi="Times New Roman"/>
          <w:i/>
          <w:iCs/>
          <w:color w:val="000000"/>
          <w:sz w:val="24"/>
          <w:szCs w:val="24"/>
        </w:rPr>
        <w:t>Portfolio Budget Statements 2021-22, Budget Related Paper No. 1.4, Education, Skills and Employment Portfolio</w:t>
      </w:r>
      <w:r w:rsidRPr="001F4ECA">
        <w:rPr>
          <w:rFonts w:ascii="Times New Roman" w:hAnsi="Times New Roman"/>
          <w:iCs/>
          <w:color w:val="000000"/>
          <w:sz w:val="24"/>
          <w:szCs w:val="24"/>
        </w:rPr>
        <w:t xml:space="preserve"> at pages 13 and 45.</w:t>
      </w:r>
    </w:p>
    <w:p w14:paraId="43E03A7B" w14:textId="46CC463E" w:rsidR="00371E23" w:rsidRPr="001F4ECA" w:rsidRDefault="00371E23" w:rsidP="00714BF2">
      <w:pPr>
        <w:rPr>
          <w:rFonts w:ascii="Times New Roman" w:hAnsi="Times New Roman"/>
          <w:color w:val="000000" w:themeColor="text1"/>
          <w:sz w:val="24"/>
          <w:szCs w:val="24"/>
        </w:rPr>
      </w:pPr>
    </w:p>
    <w:p w14:paraId="38EA5C37" w14:textId="0DAAA7E8" w:rsidR="00397BAA" w:rsidRPr="001F4ECA" w:rsidRDefault="00397BAA" w:rsidP="00397BAA">
      <w:pPr>
        <w:rPr>
          <w:rFonts w:ascii="Times New Roman" w:hAnsi="Times New Roman"/>
          <w:color w:val="000000" w:themeColor="text1"/>
          <w:sz w:val="24"/>
          <w:szCs w:val="24"/>
        </w:rPr>
      </w:pPr>
      <w:r w:rsidRPr="001F4ECA">
        <w:rPr>
          <w:rFonts w:ascii="Times New Roman" w:hAnsi="Times New Roman"/>
          <w:color w:val="000000" w:themeColor="text1"/>
          <w:sz w:val="24"/>
          <w:szCs w:val="24"/>
        </w:rPr>
        <w:t>Noting that it is not a comprehensive statement of relevant constitutional considerations, the</w:t>
      </w:r>
    </w:p>
    <w:p w14:paraId="11E087F2" w14:textId="77777777" w:rsidR="00397BAA" w:rsidRPr="001F4ECA" w:rsidRDefault="00397BAA" w:rsidP="00397BAA">
      <w:pPr>
        <w:rPr>
          <w:rFonts w:ascii="Times New Roman" w:hAnsi="Times New Roman"/>
          <w:color w:val="000000" w:themeColor="text1"/>
          <w:sz w:val="24"/>
          <w:szCs w:val="24"/>
        </w:rPr>
      </w:pPr>
      <w:r w:rsidRPr="001F4ECA">
        <w:rPr>
          <w:rFonts w:ascii="Times New Roman" w:hAnsi="Times New Roman"/>
          <w:color w:val="000000" w:themeColor="text1"/>
          <w:sz w:val="24"/>
          <w:szCs w:val="24"/>
        </w:rPr>
        <w:t>objective of the item references the following powers of the Constitution:</w:t>
      </w:r>
    </w:p>
    <w:p w14:paraId="6DCBF9D8" w14:textId="262D7858" w:rsidR="00397BAA" w:rsidRPr="001F4ECA" w:rsidRDefault="00397BAA" w:rsidP="00397BAA">
      <w:pPr>
        <w:numPr>
          <w:ilvl w:val="0"/>
          <w:numId w:val="15"/>
        </w:numPr>
        <w:ind w:left="714" w:hanging="357"/>
        <w:contextualSpacing/>
        <w:rPr>
          <w:rFonts w:ascii="Times New Roman" w:eastAsiaTheme="minorHAnsi" w:hAnsi="Times New Roman" w:cstheme="minorBidi"/>
          <w:color w:val="000000" w:themeColor="text1"/>
          <w:sz w:val="24"/>
          <w:szCs w:val="24"/>
          <w:lang w:eastAsia="en-US"/>
        </w:rPr>
      </w:pPr>
      <w:r w:rsidRPr="001F4ECA">
        <w:rPr>
          <w:rFonts w:ascii="Times New Roman" w:eastAsiaTheme="minorHAnsi" w:hAnsi="Times New Roman" w:cstheme="minorBidi"/>
          <w:color w:val="000000" w:themeColor="text1"/>
          <w:sz w:val="24"/>
          <w:szCs w:val="24"/>
          <w:lang w:eastAsia="en-US"/>
        </w:rPr>
        <w:t>the communications power (section 51(v)</w:t>
      </w:r>
      <w:r w:rsidR="00BB7E89" w:rsidRPr="001F4ECA">
        <w:rPr>
          <w:rFonts w:ascii="Times New Roman" w:eastAsiaTheme="minorHAnsi" w:hAnsi="Times New Roman" w:cstheme="minorBidi"/>
          <w:color w:val="000000" w:themeColor="text1"/>
          <w:sz w:val="24"/>
          <w:szCs w:val="24"/>
          <w:lang w:eastAsia="en-US"/>
        </w:rPr>
        <w:t>)</w:t>
      </w:r>
      <w:r w:rsidRPr="001F4ECA">
        <w:rPr>
          <w:rFonts w:ascii="Times New Roman" w:eastAsiaTheme="minorHAnsi" w:hAnsi="Times New Roman" w:cstheme="minorBidi"/>
          <w:color w:val="000000" w:themeColor="text1"/>
          <w:sz w:val="24"/>
          <w:szCs w:val="24"/>
          <w:lang w:eastAsia="en-US"/>
        </w:rPr>
        <w:t>; and</w:t>
      </w:r>
    </w:p>
    <w:p w14:paraId="453CD6BE" w14:textId="77777777" w:rsidR="00397BAA" w:rsidRPr="001F4ECA" w:rsidRDefault="00397BAA" w:rsidP="00397BAA">
      <w:pPr>
        <w:numPr>
          <w:ilvl w:val="0"/>
          <w:numId w:val="15"/>
        </w:numPr>
        <w:ind w:left="714" w:hanging="357"/>
        <w:contextualSpacing/>
        <w:rPr>
          <w:rFonts w:ascii="Times New Roman" w:eastAsiaTheme="minorHAnsi" w:hAnsi="Times New Roman" w:cstheme="minorBidi"/>
          <w:color w:val="000000" w:themeColor="text1"/>
          <w:sz w:val="24"/>
          <w:szCs w:val="24"/>
          <w:lang w:eastAsia="en-US"/>
        </w:rPr>
      </w:pPr>
      <w:r w:rsidRPr="001F4ECA">
        <w:rPr>
          <w:rFonts w:ascii="Times New Roman" w:eastAsiaTheme="minorHAnsi" w:hAnsi="Times New Roman" w:cstheme="minorBidi"/>
          <w:color w:val="000000" w:themeColor="text1"/>
          <w:sz w:val="24"/>
          <w:szCs w:val="24"/>
          <w:lang w:eastAsia="en-US"/>
        </w:rPr>
        <w:t>the external affairs power (section 51(xxix)).</w:t>
      </w:r>
    </w:p>
    <w:p w14:paraId="4A0719DB" w14:textId="77777777" w:rsidR="00397BAA" w:rsidRPr="001F4ECA" w:rsidRDefault="00397BAA" w:rsidP="00397BAA">
      <w:pPr>
        <w:tabs>
          <w:tab w:val="left" w:pos="936"/>
        </w:tabs>
        <w:rPr>
          <w:rFonts w:ascii="Times New Roman" w:hAnsi="Times New Roman"/>
          <w:i/>
          <w:color w:val="000000" w:themeColor="text1"/>
          <w:sz w:val="24"/>
          <w:szCs w:val="24"/>
          <w:u w:val="single"/>
        </w:rPr>
      </w:pPr>
    </w:p>
    <w:p w14:paraId="7BF38478" w14:textId="77777777" w:rsidR="00FD3F6F" w:rsidRPr="001F4ECA" w:rsidRDefault="00FD3F6F">
      <w:pPr>
        <w:spacing w:after="200" w:line="276" w:lineRule="auto"/>
        <w:rPr>
          <w:rFonts w:ascii="Times New Roman" w:hAnsi="Times New Roman"/>
          <w:i/>
          <w:color w:val="000000" w:themeColor="text1"/>
          <w:sz w:val="24"/>
          <w:szCs w:val="24"/>
          <w:u w:val="single"/>
        </w:rPr>
      </w:pPr>
      <w:r w:rsidRPr="001F4ECA">
        <w:rPr>
          <w:rFonts w:ascii="Times New Roman" w:hAnsi="Times New Roman"/>
          <w:i/>
          <w:color w:val="000000" w:themeColor="text1"/>
          <w:sz w:val="24"/>
          <w:szCs w:val="24"/>
          <w:u w:val="single"/>
        </w:rPr>
        <w:br w:type="page"/>
      </w:r>
    </w:p>
    <w:p w14:paraId="0D77B071" w14:textId="21DED08D" w:rsidR="00397BAA" w:rsidRPr="001F4ECA" w:rsidRDefault="00397BAA" w:rsidP="00397BAA">
      <w:pPr>
        <w:tabs>
          <w:tab w:val="left" w:pos="936"/>
        </w:tabs>
        <w:rPr>
          <w:rFonts w:ascii="Times New Roman" w:hAnsi="Times New Roman"/>
          <w:i/>
          <w:color w:val="000000" w:themeColor="text1"/>
          <w:sz w:val="24"/>
          <w:szCs w:val="24"/>
          <w:u w:val="single"/>
        </w:rPr>
      </w:pPr>
      <w:r w:rsidRPr="001F4ECA">
        <w:rPr>
          <w:rFonts w:ascii="Times New Roman" w:hAnsi="Times New Roman"/>
          <w:i/>
          <w:color w:val="000000" w:themeColor="text1"/>
          <w:sz w:val="24"/>
          <w:szCs w:val="24"/>
          <w:u w:val="single"/>
        </w:rPr>
        <w:lastRenderedPageBreak/>
        <w:t>Communications power</w:t>
      </w:r>
    </w:p>
    <w:p w14:paraId="43B89646" w14:textId="77777777" w:rsidR="00397BAA" w:rsidRPr="001F4ECA" w:rsidRDefault="00397BAA" w:rsidP="00397BAA">
      <w:pPr>
        <w:tabs>
          <w:tab w:val="left" w:pos="936"/>
        </w:tabs>
        <w:rPr>
          <w:rFonts w:ascii="Times New Roman" w:hAnsi="Times New Roman"/>
          <w:color w:val="000000" w:themeColor="text1"/>
          <w:sz w:val="24"/>
          <w:szCs w:val="24"/>
        </w:rPr>
      </w:pPr>
    </w:p>
    <w:p w14:paraId="1B69D040" w14:textId="77777777" w:rsidR="00397BAA" w:rsidRPr="001F4ECA" w:rsidRDefault="00397BAA" w:rsidP="00397BAA">
      <w:pPr>
        <w:tabs>
          <w:tab w:val="left" w:pos="936"/>
        </w:tabs>
        <w:rPr>
          <w:rFonts w:ascii="Times New Roman" w:hAnsi="Times New Roman"/>
          <w:color w:val="000000" w:themeColor="text1"/>
          <w:sz w:val="24"/>
          <w:szCs w:val="24"/>
        </w:rPr>
      </w:pPr>
      <w:r w:rsidRPr="001F4ECA">
        <w:rPr>
          <w:rFonts w:ascii="Times New Roman" w:hAnsi="Times New Roman"/>
          <w:color w:val="000000" w:themeColor="text1"/>
          <w:sz w:val="24"/>
          <w:szCs w:val="24"/>
        </w:rPr>
        <w:t>Section 51(v) of the Constitution empowers the Parliament to make laws with respect to ‘postal, telegraphic, telephonic and other like services’.</w:t>
      </w:r>
    </w:p>
    <w:p w14:paraId="4566F267" w14:textId="77777777" w:rsidR="00397BAA" w:rsidRPr="001F4ECA" w:rsidRDefault="00397BAA" w:rsidP="00397BAA">
      <w:pPr>
        <w:tabs>
          <w:tab w:val="left" w:pos="936"/>
        </w:tabs>
        <w:rPr>
          <w:rFonts w:ascii="Times New Roman" w:hAnsi="Times New Roman"/>
          <w:color w:val="000000" w:themeColor="text1"/>
          <w:sz w:val="24"/>
          <w:szCs w:val="24"/>
        </w:rPr>
      </w:pPr>
    </w:p>
    <w:p w14:paraId="196E3A61" w14:textId="53FE8D7C" w:rsidR="00397BAA" w:rsidRPr="001F4ECA" w:rsidRDefault="00397BAA" w:rsidP="00397BAA">
      <w:pPr>
        <w:tabs>
          <w:tab w:val="left" w:pos="936"/>
        </w:tabs>
        <w:rPr>
          <w:rFonts w:ascii="Times New Roman" w:hAnsi="Times New Roman"/>
          <w:color w:val="000000" w:themeColor="text1"/>
          <w:sz w:val="24"/>
          <w:szCs w:val="24"/>
        </w:rPr>
      </w:pPr>
      <w:r w:rsidRPr="001F4ECA">
        <w:rPr>
          <w:rFonts w:ascii="Times New Roman" w:hAnsi="Times New Roman"/>
          <w:color w:val="000000" w:themeColor="text1"/>
          <w:sz w:val="24"/>
          <w:szCs w:val="24"/>
        </w:rPr>
        <w:t>The L</w:t>
      </w:r>
      <w:r w:rsidR="00427064" w:rsidRPr="001F4ECA">
        <w:rPr>
          <w:rFonts w:ascii="Times New Roman" w:hAnsi="Times New Roman"/>
          <w:color w:val="000000" w:themeColor="text1"/>
          <w:sz w:val="24"/>
          <w:szCs w:val="24"/>
        </w:rPr>
        <w:t>A</w:t>
      </w:r>
      <w:r w:rsidRPr="001F4ECA">
        <w:rPr>
          <w:rFonts w:ascii="Times New Roman" w:hAnsi="Times New Roman"/>
          <w:color w:val="000000" w:themeColor="text1"/>
          <w:sz w:val="24"/>
          <w:szCs w:val="24"/>
        </w:rPr>
        <w:t>NTITE is conducted exclusively in an online environment except where the provision of reasonable adjustments necessitates the use of a paper-based test.</w:t>
      </w:r>
    </w:p>
    <w:p w14:paraId="34C2505D" w14:textId="77777777" w:rsidR="00397BAA" w:rsidRPr="001F4ECA" w:rsidRDefault="00397BAA" w:rsidP="00397BAA">
      <w:pPr>
        <w:tabs>
          <w:tab w:val="left" w:pos="936"/>
        </w:tabs>
        <w:rPr>
          <w:rFonts w:ascii="Times New Roman" w:hAnsi="Times New Roman"/>
          <w:i/>
          <w:color w:val="000000" w:themeColor="text1"/>
          <w:sz w:val="24"/>
          <w:szCs w:val="24"/>
          <w:u w:val="single"/>
        </w:rPr>
      </w:pPr>
    </w:p>
    <w:p w14:paraId="1D91D14F" w14:textId="77777777" w:rsidR="00397BAA" w:rsidRPr="001F4ECA" w:rsidRDefault="00397BAA" w:rsidP="00397BAA">
      <w:pPr>
        <w:tabs>
          <w:tab w:val="left" w:pos="936"/>
        </w:tabs>
        <w:rPr>
          <w:rFonts w:ascii="Times New Roman" w:hAnsi="Times New Roman"/>
          <w:i/>
          <w:color w:val="000000" w:themeColor="text1"/>
          <w:sz w:val="24"/>
          <w:szCs w:val="24"/>
          <w:u w:val="single"/>
        </w:rPr>
      </w:pPr>
      <w:r w:rsidRPr="001F4ECA">
        <w:rPr>
          <w:rFonts w:ascii="Times New Roman" w:hAnsi="Times New Roman"/>
          <w:i/>
          <w:color w:val="000000" w:themeColor="text1"/>
          <w:sz w:val="24"/>
          <w:szCs w:val="24"/>
          <w:u w:val="single"/>
        </w:rPr>
        <w:t>External affairs power</w:t>
      </w:r>
    </w:p>
    <w:p w14:paraId="7E178F26" w14:textId="77777777" w:rsidR="00397BAA" w:rsidRPr="001F4ECA" w:rsidRDefault="00397BAA" w:rsidP="00397BAA">
      <w:pPr>
        <w:tabs>
          <w:tab w:val="left" w:pos="936"/>
        </w:tabs>
        <w:rPr>
          <w:rFonts w:ascii="Times New Roman" w:hAnsi="Times New Roman"/>
          <w:color w:val="000000" w:themeColor="text1"/>
          <w:sz w:val="24"/>
          <w:szCs w:val="24"/>
        </w:rPr>
      </w:pPr>
    </w:p>
    <w:p w14:paraId="68DBA1A2" w14:textId="77777777" w:rsidR="00397BAA" w:rsidRPr="001F4ECA" w:rsidRDefault="00397BAA" w:rsidP="00397BAA">
      <w:pPr>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4CD4B55E" w14:textId="77777777" w:rsidR="00397BAA" w:rsidRPr="001F4ECA" w:rsidRDefault="00397BAA" w:rsidP="00397BAA">
      <w:pPr>
        <w:rPr>
          <w:rFonts w:ascii="Times New Roman" w:hAnsi="Times New Roman"/>
          <w:color w:val="000000" w:themeColor="text1"/>
          <w:sz w:val="24"/>
          <w:szCs w:val="24"/>
          <w:u w:val="single"/>
        </w:rPr>
      </w:pPr>
    </w:p>
    <w:p w14:paraId="2DA497E7" w14:textId="77777777" w:rsidR="00204A9E" w:rsidRPr="001F4ECA" w:rsidRDefault="00397BAA" w:rsidP="00397BAA">
      <w:pPr>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Australia has obligations under the </w:t>
      </w:r>
      <w:r w:rsidRPr="001F4ECA">
        <w:rPr>
          <w:rFonts w:ascii="Times New Roman" w:hAnsi="Times New Roman"/>
          <w:i/>
          <w:color w:val="000000" w:themeColor="text1"/>
          <w:sz w:val="24"/>
          <w:szCs w:val="24"/>
        </w:rPr>
        <w:t xml:space="preserve">Convention on the Rights of Persons with Disabilities </w:t>
      </w:r>
      <w:r w:rsidRPr="001F4ECA">
        <w:rPr>
          <w:rFonts w:ascii="Times New Roman" w:hAnsi="Times New Roman"/>
          <w:color w:val="000000" w:themeColor="text1"/>
          <w:sz w:val="24"/>
          <w:szCs w:val="24"/>
        </w:rPr>
        <w:t xml:space="preserve">(CRPD). Article 4(1) of the CRPD provides that ‘States Parties undertake to ensure and promote the full realization of all human rights and fundamental freedoms for all persons with disabilities without discrimination of any kind on the basis of disability.’ </w:t>
      </w:r>
    </w:p>
    <w:p w14:paraId="1A21F864" w14:textId="77777777" w:rsidR="00204A9E" w:rsidRPr="001F4ECA" w:rsidRDefault="00204A9E" w:rsidP="00397BAA">
      <w:pPr>
        <w:rPr>
          <w:rFonts w:ascii="Times New Roman" w:hAnsi="Times New Roman"/>
          <w:color w:val="000000" w:themeColor="text1"/>
          <w:sz w:val="24"/>
          <w:szCs w:val="24"/>
        </w:rPr>
      </w:pPr>
    </w:p>
    <w:p w14:paraId="173EB81C" w14:textId="3A1B2936" w:rsidR="00397BAA" w:rsidRPr="001F4ECA" w:rsidRDefault="00397BAA" w:rsidP="00397BAA">
      <w:pPr>
        <w:rPr>
          <w:rFonts w:ascii="Times New Roman" w:hAnsi="Times New Roman"/>
          <w:color w:val="000000" w:themeColor="text1"/>
          <w:sz w:val="24"/>
          <w:szCs w:val="24"/>
        </w:rPr>
      </w:pPr>
      <w:r w:rsidRPr="001F4ECA">
        <w:rPr>
          <w:rFonts w:ascii="Times New Roman" w:hAnsi="Times New Roman"/>
          <w:color w:val="000000" w:themeColor="text1"/>
          <w:sz w:val="24"/>
          <w:szCs w:val="24"/>
        </w:rPr>
        <w:t>Article 24 of the CRPD provides that States Parties recogni</w:t>
      </w:r>
      <w:r w:rsidR="00A63191" w:rsidRPr="001F4ECA">
        <w:rPr>
          <w:rFonts w:ascii="Times New Roman" w:hAnsi="Times New Roman"/>
          <w:color w:val="000000" w:themeColor="text1"/>
          <w:sz w:val="24"/>
          <w:szCs w:val="24"/>
        </w:rPr>
        <w:t>s</w:t>
      </w:r>
      <w:r w:rsidRPr="001F4ECA">
        <w:rPr>
          <w:rFonts w:ascii="Times New Roman" w:hAnsi="Times New Roman"/>
          <w:color w:val="000000" w:themeColor="text1"/>
          <w:sz w:val="24"/>
          <w:szCs w:val="24"/>
        </w:rPr>
        <w:t>e the right of persons with disabilities to education and shall ensure an inclusive education system (</w:t>
      </w:r>
      <w:r w:rsidR="00A63191" w:rsidRPr="001F4ECA">
        <w:rPr>
          <w:rFonts w:ascii="Times New Roman" w:hAnsi="Times New Roman"/>
          <w:color w:val="000000" w:themeColor="text1"/>
          <w:sz w:val="24"/>
          <w:szCs w:val="24"/>
        </w:rPr>
        <w:t>A</w:t>
      </w:r>
      <w:r w:rsidRPr="001F4ECA">
        <w:rPr>
          <w:rFonts w:ascii="Times New Roman" w:hAnsi="Times New Roman"/>
          <w:color w:val="000000" w:themeColor="text1"/>
          <w:sz w:val="24"/>
          <w:szCs w:val="24"/>
        </w:rPr>
        <w:t>rt</w:t>
      </w:r>
      <w:r w:rsidR="00A63191" w:rsidRPr="001F4ECA">
        <w:rPr>
          <w:rFonts w:ascii="Times New Roman" w:hAnsi="Times New Roman"/>
          <w:color w:val="000000" w:themeColor="text1"/>
          <w:sz w:val="24"/>
          <w:szCs w:val="24"/>
        </w:rPr>
        <w:t>icle</w:t>
      </w:r>
      <w:r w:rsidRPr="001F4ECA">
        <w:rPr>
          <w:rFonts w:ascii="Times New Roman" w:hAnsi="Times New Roman"/>
          <w:color w:val="000000" w:themeColor="text1"/>
          <w:sz w:val="24"/>
          <w:szCs w:val="24"/>
        </w:rPr>
        <w:t xml:space="preserve"> 24(1)). To</w:t>
      </w:r>
      <w:r w:rsidR="00A63191" w:rsidRPr="001F4ECA">
        <w:rPr>
          <w:rFonts w:ascii="Times New Roman" w:hAnsi="Times New Roman"/>
          <w:color w:val="000000" w:themeColor="text1"/>
          <w:sz w:val="24"/>
          <w:szCs w:val="24"/>
        </w:rPr>
        <w:t> </w:t>
      </w:r>
      <w:r w:rsidRPr="001F4ECA">
        <w:rPr>
          <w:rFonts w:ascii="Times New Roman" w:hAnsi="Times New Roman"/>
          <w:color w:val="000000" w:themeColor="text1"/>
          <w:sz w:val="24"/>
          <w:szCs w:val="24"/>
        </w:rPr>
        <w:t>realise this right, States Parties need to ensure that:</w:t>
      </w:r>
    </w:p>
    <w:p w14:paraId="5C29BF4B" w14:textId="56E5E8D9" w:rsidR="00397BAA" w:rsidRPr="001F4ECA" w:rsidRDefault="00397BAA" w:rsidP="00397BAA">
      <w:pPr>
        <w:numPr>
          <w:ilvl w:val="0"/>
          <w:numId w:val="26"/>
        </w:numPr>
        <w:rPr>
          <w:rFonts w:ascii="Times New Roman" w:hAnsi="Times New Roman"/>
          <w:color w:val="000000" w:themeColor="text1"/>
          <w:sz w:val="24"/>
          <w:szCs w:val="24"/>
        </w:rPr>
      </w:pPr>
      <w:r w:rsidRPr="001F4ECA">
        <w:rPr>
          <w:rFonts w:ascii="Times New Roman" w:hAnsi="Times New Roman"/>
          <w:color w:val="000000" w:themeColor="text1"/>
          <w:sz w:val="24"/>
          <w:szCs w:val="24"/>
        </w:rPr>
        <w:t>persons with disabilities are not excluded from the general education syst</w:t>
      </w:r>
      <w:r w:rsidR="00A63191" w:rsidRPr="001F4ECA">
        <w:rPr>
          <w:rFonts w:ascii="Times New Roman" w:hAnsi="Times New Roman"/>
          <w:color w:val="000000" w:themeColor="text1"/>
          <w:sz w:val="24"/>
          <w:szCs w:val="24"/>
        </w:rPr>
        <w:t>em on the basis of disability (A</w:t>
      </w:r>
      <w:r w:rsidRPr="001F4ECA">
        <w:rPr>
          <w:rFonts w:ascii="Times New Roman" w:hAnsi="Times New Roman"/>
          <w:color w:val="000000" w:themeColor="text1"/>
          <w:sz w:val="24"/>
          <w:szCs w:val="24"/>
        </w:rPr>
        <w:t>rt</w:t>
      </w:r>
      <w:r w:rsidR="00A63191" w:rsidRPr="001F4ECA">
        <w:rPr>
          <w:rFonts w:ascii="Times New Roman" w:hAnsi="Times New Roman"/>
          <w:color w:val="000000" w:themeColor="text1"/>
          <w:sz w:val="24"/>
          <w:szCs w:val="24"/>
        </w:rPr>
        <w:t>icle 24(2)(a));</w:t>
      </w:r>
    </w:p>
    <w:p w14:paraId="489C9822" w14:textId="1D5F3DF3" w:rsidR="00397BAA" w:rsidRPr="001F4ECA" w:rsidRDefault="00397BAA" w:rsidP="00397BAA">
      <w:pPr>
        <w:numPr>
          <w:ilvl w:val="0"/>
          <w:numId w:val="26"/>
        </w:numPr>
        <w:rPr>
          <w:rFonts w:ascii="Times New Roman" w:hAnsi="Times New Roman"/>
          <w:color w:val="000000" w:themeColor="text1"/>
          <w:sz w:val="24"/>
          <w:szCs w:val="24"/>
        </w:rPr>
      </w:pPr>
      <w:r w:rsidRPr="001F4ECA">
        <w:rPr>
          <w:rFonts w:ascii="Times New Roman" w:hAnsi="Times New Roman"/>
          <w:color w:val="000000" w:themeColor="text1"/>
          <w:sz w:val="24"/>
          <w:szCs w:val="24"/>
        </w:rPr>
        <w:t>reasonable accommodation of the individual’s requirements is provided (</w:t>
      </w:r>
      <w:r w:rsidR="00A63191" w:rsidRPr="001F4ECA">
        <w:rPr>
          <w:rFonts w:ascii="Times New Roman" w:hAnsi="Times New Roman"/>
          <w:color w:val="000000" w:themeColor="text1"/>
          <w:sz w:val="24"/>
          <w:szCs w:val="24"/>
        </w:rPr>
        <w:t>A</w:t>
      </w:r>
      <w:r w:rsidRPr="001F4ECA">
        <w:rPr>
          <w:rFonts w:ascii="Times New Roman" w:hAnsi="Times New Roman"/>
          <w:color w:val="000000" w:themeColor="text1"/>
          <w:sz w:val="24"/>
          <w:szCs w:val="24"/>
        </w:rPr>
        <w:t>rt</w:t>
      </w:r>
      <w:r w:rsidR="00A63191" w:rsidRPr="001F4ECA">
        <w:rPr>
          <w:rFonts w:ascii="Times New Roman" w:hAnsi="Times New Roman"/>
          <w:color w:val="000000" w:themeColor="text1"/>
          <w:sz w:val="24"/>
          <w:szCs w:val="24"/>
        </w:rPr>
        <w:t>icle</w:t>
      </w:r>
      <w:r w:rsidRPr="001F4ECA">
        <w:rPr>
          <w:rFonts w:ascii="Times New Roman" w:hAnsi="Times New Roman"/>
          <w:color w:val="000000" w:themeColor="text1"/>
          <w:sz w:val="24"/>
          <w:szCs w:val="24"/>
        </w:rPr>
        <w:t> 24(2)(c))</w:t>
      </w:r>
      <w:r w:rsidR="00A63191" w:rsidRPr="001F4ECA">
        <w:rPr>
          <w:rFonts w:ascii="Times New Roman" w:hAnsi="Times New Roman"/>
          <w:color w:val="000000" w:themeColor="text1"/>
          <w:sz w:val="24"/>
          <w:szCs w:val="24"/>
        </w:rPr>
        <w:t>;</w:t>
      </w:r>
      <w:r w:rsidRPr="001F4ECA">
        <w:rPr>
          <w:rFonts w:ascii="Times New Roman" w:hAnsi="Times New Roman"/>
          <w:color w:val="000000" w:themeColor="text1"/>
          <w:sz w:val="24"/>
          <w:szCs w:val="24"/>
        </w:rPr>
        <w:t xml:space="preserve"> and</w:t>
      </w:r>
    </w:p>
    <w:p w14:paraId="3A851BCE" w14:textId="2BF6C64C" w:rsidR="00397BAA" w:rsidRPr="001F4ECA" w:rsidRDefault="00397BAA" w:rsidP="00397BAA">
      <w:pPr>
        <w:numPr>
          <w:ilvl w:val="0"/>
          <w:numId w:val="26"/>
        </w:numPr>
        <w:rPr>
          <w:rFonts w:ascii="Times New Roman" w:hAnsi="Times New Roman"/>
          <w:color w:val="000000" w:themeColor="text1"/>
          <w:sz w:val="24"/>
          <w:szCs w:val="24"/>
        </w:rPr>
      </w:pPr>
      <w:r w:rsidRPr="001F4ECA">
        <w:rPr>
          <w:rFonts w:ascii="Times New Roman" w:hAnsi="Times New Roman"/>
          <w:color w:val="000000" w:themeColor="text1"/>
          <w:sz w:val="24"/>
          <w:szCs w:val="24"/>
        </w:rPr>
        <w:t>persons with disabilities receive the support required, within the general education system, to facilitate their effective education (</w:t>
      </w:r>
      <w:r w:rsidR="00A63191" w:rsidRPr="001F4ECA">
        <w:rPr>
          <w:rFonts w:ascii="Times New Roman" w:hAnsi="Times New Roman"/>
          <w:color w:val="000000" w:themeColor="text1"/>
          <w:sz w:val="24"/>
          <w:szCs w:val="24"/>
        </w:rPr>
        <w:t>A</w:t>
      </w:r>
      <w:r w:rsidRPr="001F4ECA">
        <w:rPr>
          <w:rFonts w:ascii="Times New Roman" w:hAnsi="Times New Roman"/>
          <w:color w:val="000000" w:themeColor="text1"/>
          <w:sz w:val="24"/>
          <w:szCs w:val="24"/>
        </w:rPr>
        <w:t>rt</w:t>
      </w:r>
      <w:r w:rsidR="00A63191" w:rsidRPr="001F4ECA">
        <w:rPr>
          <w:rFonts w:ascii="Times New Roman" w:hAnsi="Times New Roman"/>
          <w:color w:val="000000" w:themeColor="text1"/>
          <w:sz w:val="24"/>
          <w:szCs w:val="24"/>
        </w:rPr>
        <w:t>icle</w:t>
      </w:r>
      <w:r w:rsidRPr="001F4ECA">
        <w:rPr>
          <w:rFonts w:ascii="Times New Roman" w:hAnsi="Times New Roman"/>
          <w:color w:val="000000" w:themeColor="text1"/>
          <w:sz w:val="24"/>
          <w:szCs w:val="24"/>
        </w:rPr>
        <w:t xml:space="preserve"> 24(2)(d)).</w:t>
      </w:r>
    </w:p>
    <w:p w14:paraId="1F88844E" w14:textId="77777777" w:rsidR="00397BAA" w:rsidRPr="001F4ECA" w:rsidRDefault="00397BAA" w:rsidP="00397BAA">
      <w:pPr>
        <w:rPr>
          <w:rFonts w:ascii="Times New Roman" w:hAnsi="Times New Roman"/>
          <w:color w:val="000000" w:themeColor="text1"/>
          <w:sz w:val="24"/>
          <w:szCs w:val="24"/>
        </w:rPr>
      </w:pPr>
    </w:p>
    <w:p w14:paraId="53486F57" w14:textId="77777777" w:rsidR="00397BAA" w:rsidRPr="001F4ECA" w:rsidRDefault="00397BAA" w:rsidP="00397BAA">
      <w:pPr>
        <w:rPr>
          <w:rFonts w:ascii="Times New Roman" w:hAnsi="Times New Roman"/>
          <w:color w:val="000000" w:themeColor="text1"/>
          <w:sz w:val="24"/>
          <w:szCs w:val="24"/>
        </w:rPr>
      </w:pPr>
      <w:r w:rsidRPr="001F4ECA">
        <w:rPr>
          <w:rFonts w:ascii="Times New Roman" w:hAnsi="Times New Roman"/>
          <w:color w:val="000000" w:themeColor="text1"/>
          <w:sz w:val="24"/>
          <w:szCs w:val="24"/>
        </w:rPr>
        <w:t>Article 24(5) further provides that States Parties shall also ensure that persons with disabilities are able to access general tertiary education without discrimination and on an equal basis with others and, to that end, shall ensure that reasonable accommodation is provided to persons with disabilities.</w:t>
      </w:r>
    </w:p>
    <w:p w14:paraId="1CE42FA1" w14:textId="77777777" w:rsidR="00397BAA" w:rsidRPr="001F4ECA" w:rsidRDefault="00397BAA" w:rsidP="00397BAA">
      <w:pPr>
        <w:rPr>
          <w:rFonts w:ascii="Times New Roman" w:hAnsi="Times New Roman"/>
          <w:color w:val="000000" w:themeColor="text1"/>
          <w:sz w:val="24"/>
          <w:szCs w:val="24"/>
        </w:rPr>
      </w:pPr>
    </w:p>
    <w:p w14:paraId="7903F0DA" w14:textId="1582EBE3" w:rsidR="00397BAA" w:rsidRPr="001F4ECA" w:rsidRDefault="00397BAA" w:rsidP="00397BAA">
      <w:pPr>
        <w:rPr>
          <w:rFonts w:ascii="Times New Roman" w:hAnsi="Times New Roman"/>
          <w:color w:val="000000" w:themeColor="text1"/>
          <w:sz w:val="24"/>
          <w:szCs w:val="24"/>
        </w:rPr>
      </w:pPr>
      <w:r w:rsidRPr="001F4ECA">
        <w:rPr>
          <w:rFonts w:ascii="Times New Roman" w:hAnsi="Times New Roman"/>
          <w:color w:val="000000" w:themeColor="text1"/>
          <w:sz w:val="24"/>
          <w:szCs w:val="24"/>
        </w:rPr>
        <w:t>‘Reasonable accommodation’ is defined in Article 2 of the C</w:t>
      </w:r>
      <w:r w:rsidR="00806F1B" w:rsidRPr="001F4ECA">
        <w:rPr>
          <w:rFonts w:ascii="Times New Roman" w:hAnsi="Times New Roman"/>
          <w:color w:val="000000" w:themeColor="text1"/>
          <w:sz w:val="24"/>
          <w:szCs w:val="24"/>
        </w:rPr>
        <w:t>RPD</w:t>
      </w:r>
      <w:r w:rsidRPr="001F4ECA">
        <w:rPr>
          <w:rFonts w:ascii="Times New Roman" w:hAnsi="Times New Roman"/>
          <w:color w:val="000000" w:themeColor="text1"/>
          <w:sz w:val="24"/>
          <w:szCs w:val="24"/>
        </w:rPr>
        <w:t xml:space="preserve"> to mean ‘necessary and appropriate modifications and adjustments not imposing a disproportionate or undue burden, where needed in a particular case, to ensure to persons with disabilities the enjoyment or exercise on an equal basis with others of all human rights and fundamental freedoms.’</w:t>
      </w:r>
    </w:p>
    <w:p w14:paraId="273BD255" w14:textId="77777777" w:rsidR="00397BAA" w:rsidRPr="001F4ECA" w:rsidRDefault="00397BAA" w:rsidP="00397BAA">
      <w:pPr>
        <w:rPr>
          <w:rFonts w:ascii="Times New Roman" w:hAnsi="Times New Roman"/>
          <w:color w:val="000000" w:themeColor="text1"/>
          <w:sz w:val="24"/>
          <w:szCs w:val="24"/>
        </w:rPr>
      </w:pPr>
    </w:p>
    <w:p w14:paraId="3D00D986" w14:textId="77777777" w:rsidR="00397BAA" w:rsidRPr="001F4ECA" w:rsidRDefault="00397BAA" w:rsidP="00397BAA">
      <w:pPr>
        <w:rPr>
          <w:rFonts w:ascii="Times New Roman" w:hAnsi="Times New Roman"/>
          <w:color w:val="000000" w:themeColor="text1"/>
          <w:sz w:val="24"/>
          <w:szCs w:val="24"/>
        </w:rPr>
      </w:pPr>
      <w:r w:rsidRPr="001F4ECA">
        <w:rPr>
          <w:rFonts w:ascii="Times New Roman" w:hAnsi="Times New Roman"/>
          <w:color w:val="000000" w:themeColor="text1"/>
          <w:sz w:val="24"/>
          <w:szCs w:val="24"/>
        </w:rPr>
        <w:t xml:space="preserve">The development of the paper-based test forms seeks to improve access to the test for test candidates who require adjustments to be made to the online test and/or testing environment in order to sit the test. </w:t>
      </w:r>
    </w:p>
    <w:p w14:paraId="64A5D0EE" w14:textId="77777777" w:rsidR="00397BAA" w:rsidRPr="001F4ECA" w:rsidRDefault="00397BAA" w:rsidP="00397BAA">
      <w:pPr>
        <w:rPr>
          <w:rFonts w:ascii="Times New Roman" w:hAnsi="Times New Roman"/>
          <w:color w:val="000000" w:themeColor="text1"/>
          <w:sz w:val="24"/>
          <w:szCs w:val="24"/>
        </w:rPr>
      </w:pPr>
    </w:p>
    <w:p w14:paraId="484D1FD7" w14:textId="77777777" w:rsidR="00397BAA" w:rsidRPr="001F4ECA" w:rsidRDefault="00397BAA" w:rsidP="00397BAA">
      <w:pPr>
        <w:rPr>
          <w:rFonts w:ascii="Times New Roman" w:eastAsiaTheme="minorHAnsi" w:hAnsi="Times New Roman"/>
          <w:sz w:val="24"/>
          <w:szCs w:val="24"/>
          <w:lang w:eastAsia="en-US"/>
        </w:rPr>
      </w:pPr>
      <w:r w:rsidRPr="001F4ECA">
        <w:rPr>
          <w:rFonts w:ascii="Times New Roman" w:hAnsi="Times New Roman"/>
          <w:color w:val="000000" w:themeColor="text1"/>
          <w:sz w:val="24"/>
          <w:szCs w:val="24"/>
        </w:rPr>
        <w:t>The paper-based test forms will help ensure that individuals with a disability have the opportunity to demonstrate their literacy and numeracy skills on an equal basis to other test candidates who can sit the test via the online platform without adjustment.</w:t>
      </w:r>
    </w:p>
    <w:p w14:paraId="25AF87F3" w14:textId="783AA00A" w:rsidR="00371E23" w:rsidRPr="001F4ECA" w:rsidRDefault="00371E23" w:rsidP="00714BF2">
      <w:pPr>
        <w:rPr>
          <w:rFonts w:ascii="Times New Roman" w:hAnsi="Times New Roman"/>
          <w:color w:val="000000" w:themeColor="text1"/>
          <w:sz w:val="24"/>
          <w:szCs w:val="24"/>
        </w:rPr>
      </w:pPr>
    </w:p>
    <w:p w14:paraId="4836D616" w14:textId="77777777" w:rsidR="00806F1B" w:rsidRPr="001F4ECA" w:rsidRDefault="00806F1B">
      <w:pPr>
        <w:spacing w:after="200" w:line="276" w:lineRule="auto"/>
        <w:rPr>
          <w:rFonts w:ascii="Times New Roman" w:hAnsi="Times New Roman"/>
          <w:b/>
          <w:color w:val="000000" w:themeColor="text1"/>
          <w:sz w:val="24"/>
          <w:szCs w:val="24"/>
        </w:rPr>
      </w:pPr>
      <w:r w:rsidRPr="001F4ECA">
        <w:rPr>
          <w:rFonts w:ascii="Times New Roman" w:hAnsi="Times New Roman"/>
          <w:b/>
          <w:color w:val="000000" w:themeColor="text1"/>
          <w:sz w:val="24"/>
          <w:szCs w:val="24"/>
        </w:rPr>
        <w:br w:type="page"/>
      </w:r>
    </w:p>
    <w:p w14:paraId="4CED49F5" w14:textId="343DF6EE" w:rsidR="00BD020C" w:rsidRPr="001F4ECA" w:rsidRDefault="00BD020C" w:rsidP="00BD020C">
      <w:pPr>
        <w:rPr>
          <w:rFonts w:ascii="Times New Roman" w:hAnsi="Times New Roman"/>
          <w:b/>
          <w:color w:val="000000" w:themeColor="text1"/>
          <w:sz w:val="24"/>
          <w:szCs w:val="24"/>
        </w:rPr>
      </w:pPr>
      <w:r w:rsidRPr="001F4ECA">
        <w:rPr>
          <w:rFonts w:ascii="Times New Roman" w:hAnsi="Times New Roman"/>
          <w:b/>
          <w:color w:val="000000" w:themeColor="text1"/>
          <w:sz w:val="24"/>
          <w:szCs w:val="24"/>
        </w:rPr>
        <w:lastRenderedPageBreak/>
        <w:t>Item 2 – Part 4 of Schedule 1AB (table item 263, column headed “Objective(s)”)</w:t>
      </w:r>
    </w:p>
    <w:p w14:paraId="7C1A98CA" w14:textId="2121D9E4" w:rsidR="00BD020C" w:rsidRPr="001F4ECA" w:rsidRDefault="00BD020C" w:rsidP="00714BF2">
      <w:pPr>
        <w:rPr>
          <w:rFonts w:ascii="Times New Roman" w:hAnsi="Times New Roman"/>
          <w:color w:val="000000" w:themeColor="text1"/>
          <w:sz w:val="24"/>
          <w:szCs w:val="24"/>
        </w:rPr>
      </w:pPr>
    </w:p>
    <w:p w14:paraId="5D8705E4" w14:textId="1917CADF" w:rsidR="0001526E" w:rsidRPr="001F4ECA" w:rsidRDefault="0001526E" w:rsidP="00BD020C">
      <w:pPr>
        <w:rPr>
          <w:rFonts w:ascii="Times New Roman" w:hAnsi="Times New Roman"/>
          <w:color w:val="000000" w:themeColor="text1"/>
          <w:sz w:val="24"/>
          <w:szCs w:val="24"/>
        </w:rPr>
      </w:pPr>
      <w:r w:rsidRPr="001F4ECA">
        <w:rPr>
          <w:rFonts w:ascii="Times New Roman" w:hAnsi="Times New Roman"/>
          <w:color w:val="000000" w:themeColor="text1"/>
          <w:sz w:val="24"/>
          <w:szCs w:val="24"/>
        </w:rPr>
        <w:t>Table item 263 in Part 4 of Schedule 1AB establishes legislative authority for government spending on the Civics and Citizenship Education Initiatives, which support civics and citizenship education in schools and help students to become active and informed citizens.</w:t>
      </w:r>
    </w:p>
    <w:p w14:paraId="190B8288" w14:textId="77777777" w:rsidR="0001526E" w:rsidRPr="001F4ECA" w:rsidRDefault="0001526E" w:rsidP="00BD020C">
      <w:pPr>
        <w:rPr>
          <w:rFonts w:ascii="Times New Roman" w:hAnsi="Times New Roman"/>
          <w:color w:val="000000" w:themeColor="text1"/>
          <w:sz w:val="24"/>
          <w:szCs w:val="24"/>
        </w:rPr>
      </w:pPr>
    </w:p>
    <w:p w14:paraId="469E291D" w14:textId="647AE0D0" w:rsidR="00BD020C" w:rsidRPr="001F4ECA" w:rsidRDefault="0001526E" w:rsidP="00BD020C">
      <w:pPr>
        <w:rPr>
          <w:rFonts w:ascii="Times New Roman" w:hAnsi="Times New Roman"/>
          <w:color w:val="000000" w:themeColor="text1"/>
          <w:sz w:val="24"/>
          <w:szCs w:val="24"/>
        </w:rPr>
      </w:pPr>
      <w:r w:rsidRPr="001F4ECA">
        <w:rPr>
          <w:rFonts w:ascii="Times New Roman" w:hAnsi="Times New Roman"/>
          <w:color w:val="000000" w:themeColor="text1"/>
          <w:sz w:val="24"/>
          <w:szCs w:val="24"/>
        </w:rPr>
        <w:t>It</w:t>
      </w:r>
      <w:r w:rsidR="00BD020C" w:rsidRPr="001F4ECA">
        <w:rPr>
          <w:rFonts w:ascii="Times New Roman" w:hAnsi="Times New Roman"/>
          <w:color w:val="000000" w:themeColor="text1"/>
          <w:sz w:val="24"/>
          <w:szCs w:val="24"/>
        </w:rPr>
        <w:t>em</w:t>
      </w:r>
      <w:r w:rsidRPr="001F4ECA">
        <w:rPr>
          <w:rFonts w:ascii="Times New Roman" w:hAnsi="Times New Roman"/>
          <w:color w:val="000000" w:themeColor="text1"/>
          <w:sz w:val="24"/>
          <w:szCs w:val="24"/>
        </w:rPr>
        <w:t xml:space="preserve"> 2</w:t>
      </w:r>
      <w:r w:rsidR="00BD020C" w:rsidRPr="001F4ECA">
        <w:rPr>
          <w:rFonts w:ascii="Times New Roman" w:hAnsi="Times New Roman"/>
          <w:color w:val="000000" w:themeColor="text1"/>
          <w:sz w:val="24"/>
          <w:szCs w:val="24"/>
        </w:rPr>
        <w:t xml:space="preserve"> amends table item 263 by omitting “years 11 and 12” and substituting “secondary school” </w:t>
      </w:r>
      <w:r w:rsidR="00EC066C" w:rsidRPr="001F4ECA">
        <w:rPr>
          <w:rFonts w:ascii="Times New Roman" w:hAnsi="Times New Roman"/>
          <w:color w:val="000000" w:themeColor="text1"/>
          <w:sz w:val="24"/>
          <w:szCs w:val="24"/>
        </w:rPr>
        <w:t xml:space="preserve">in the column headed “Objective(s)”, which will extend participation in the annual National Schools Constitutional Convention to year 9 and 10 students. </w:t>
      </w:r>
    </w:p>
    <w:p w14:paraId="39707253" w14:textId="77777777" w:rsidR="00BD020C" w:rsidRPr="001F4ECA" w:rsidRDefault="00BD020C" w:rsidP="00BD020C">
      <w:pPr>
        <w:rPr>
          <w:rFonts w:ascii="Times New Roman" w:hAnsi="Times New Roman"/>
          <w:color w:val="000000" w:themeColor="text1"/>
          <w:sz w:val="24"/>
          <w:szCs w:val="24"/>
        </w:rPr>
      </w:pPr>
    </w:p>
    <w:p w14:paraId="417805E9" w14:textId="77777777" w:rsidR="007E7FE4" w:rsidRPr="001F4ECA" w:rsidRDefault="007E7FE4" w:rsidP="007E7FE4">
      <w:pPr>
        <w:rPr>
          <w:rFonts w:ascii="Times New Roman" w:hAnsi="Times New Roman"/>
          <w:b/>
          <w:color w:val="000000" w:themeColor="text1"/>
          <w:sz w:val="24"/>
          <w:szCs w:val="24"/>
        </w:rPr>
      </w:pPr>
      <w:r w:rsidRPr="001F4ECA">
        <w:rPr>
          <w:rFonts w:ascii="Times New Roman" w:hAnsi="Times New Roman"/>
          <w:b/>
          <w:color w:val="000000" w:themeColor="text1"/>
          <w:sz w:val="24"/>
          <w:szCs w:val="24"/>
        </w:rPr>
        <w:t>Item 3 – Part 4 of Schedule 1AB (table item 263, column headed “Objective(s)”)</w:t>
      </w:r>
    </w:p>
    <w:p w14:paraId="34879BEE" w14:textId="77777777" w:rsidR="007E7FE4" w:rsidRPr="001F4ECA" w:rsidRDefault="007E7FE4" w:rsidP="007E7FE4">
      <w:pPr>
        <w:rPr>
          <w:rFonts w:ascii="Times New Roman" w:hAnsi="Times New Roman"/>
          <w:color w:val="000000" w:themeColor="text1"/>
          <w:sz w:val="24"/>
          <w:szCs w:val="24"/>
        </w:rPr>
      </w:pPr>
    </w:p>
    <w:p w14:paraId="5175BC99" w14:textId="5703A717" w:rsidR="007E7FE4" w:rsidRPr="001F4ECA" w:rsidRDefault="007E7FE4" w:rsidP="007E7FE4">
      <w:pPr>
        <w:rPr>
          <w:rFonts w:ascii="Times New Roman" w:hAnsi="Times New Roman"/>
          <w:color w:val="000000" w:themeColor="text1"/>
          <w:sz w:val="24"/>
          <w:szCs w:val="24"/>
        </w:rPr>
      </w:pPr>
      <w:r w:rsidRPr="001F4ECA">
        <w:rPr>
          <w:rFonts w:ascii="Times New Roman" w:hAnsi="Times New Roman"/>
          <w:color w:val="000000" w:themeColor="text1"/>
          <w:sz w:val="24"/>
          <w:szCs w:val="24"/>
        </w:rPr>
        <w:t>Item 3 amends table item 263 by omitting “objective also has” and substituting “objective has” in the column headed “Objective(s)”. The effect of this technical amendment to the additional operation provision is to align table item 263 with the current approach to referring to constitutional heads of power in table items in Schedule 1AB.</w:t>
      </w:r>
    </w:p>
    <w:p w14:paraId="02677714" w14:textId="77777777" w:rsidR="007E7FE4" w:rsidRPr="001F4ECA" w:rsidRDefault="007E7FE4" w:rsidP="00BD020C">
      <w:pPr>
        <w:rPr>
          <w:rFonts w:ascii="Times New Roman" w:hAnsi="Times New Roman"/>
          <w:color w:val="000000" w:themeColor="text1"/>
          <w:sz w:val="24"/>
          <w:szCs w:val="24"/>
        </w:rPr>
      </w:pPr>
    </w:p>
    <w:p w14:paraId="2AB0D207" w14:textId="3C5878CF" w:rsidR="00BD020C" w:rsidRPr="001F4ECA" w:rsidRDefault="00BD020C" w:rsidP="00BD020C">
      <w:pPr>
        <w:rPr>
          <w:rFonts w:ascii="Times New Roman" w:hAnsi="Times New Roman"/>
          <w:color w:val="000000" w:themeColor="text1"/>
          <w:sz w:val="24"/>
          <w:szCs w:val="24"/>
        </w:rPr>
      </w:pPr>
      <w:r w:rsidRPr="001F4ECA">
        <w:rPr>
          <w:rFonts w:ascii="Times New Roman" w:hAnsi="Times New Roman"/>
          <w:color w:val="000000" w:themeColor="text1"/>
          <w:sz w:val="24"/>
          <w:szCs w:val="24"/>
        </w:rPr>
        <w:t>The department administers a number of civics and citizenship education initiatives such as the Simpson Prize, the National History Challenge and the</w:t>
      </w:r>
      <w:r w:rsidR="00F03C1F" w:rsidRPr="001F4ECA">
        <w:rPr>
          <w:rFonts w:ascii="Times New Roman" w:hAnsi="Times New Roman"/>
          <w:color w:val="000000" w:themeColor="text1"/>
          <w:sz w:val="24"/>
          <w:szCs w:val="24"/>
        </w:rPr>
        <w:t xml:space="preserve"> National Schools Constitutional Convention</w:t>
      </w:r>
      <w:r w:rsidRPr="001F4ECA">
        <w:rPr>
          <w:rFonts w:ascii="Times New Roman" w:hAnsi="Times New Roman"/>
          <w:color w:val="000000" w:themeColor="text1"/>
          <w:sz w:val="24"/>
          <w:szCs w:val="24"/>
        </w:rPr>
        <w:t xml:space="preserve"> </w:t>
      </w:r>
      <w:r w:rsidR="00F03C1F" w:rsidRPr="001F4ECA">
        <w:rPr>
          <w:rFonts w:ascii="Times New Roman" w:hAnsi="Times New Roman"/>
          <w:color w:val="000000" w:themeColor="text1"/>
          <w:sz w:val="24"/>
          <w:szCs w:val="24"/>
        </w:rPr>
        <w:t>(</w:t>
      </w:r>
      <w:r w:rsidRPr="001F4ECA">
        <w:rPr>
          <w:rFonts w:ascii="Times New Roman" w:hAnsi="Times New Roman"/>
          <w:color w:val="000000" w:themeColor="text1"/>
          <w:sz w:val="24"/>
          <w:szCs w:val="24"/>
        </w:rPr>
        <w:t>NSCC</w:t>
      </w:r>
      <w:r w:rsidR="00F03C1F" w:rsidRPr="001F4ECA">
        <w:rPr>
          <w:rFonts w:ascii="Times New Roman" w:hAnsi="Times New Roman"/>
          <w:color w:val="000000" w:themeColor="text1"/>
          <w:sz w:val="24"/>
          <w:szCs w:val="24"/>
        </w:rPr>
        <w:t>)</w:t>
      </w:r>
      <w:r w:rsidRPr="001F4ECA">
        <w:rPr>
          <w:rFonts w:ascii="Times New Roman" w:hAnsi="Times New Roman"/>
          <w:color w:val="000000" w:themeColor="text1"/>
          <w:sz w:val="24"/>
          <w:szCs w:val="24"/>
        </w:rPr>
        <w:t>. Civics and citizenship education encourages students to take part and be involved in the democracy system in Australia by providing them with the knowledge, skills, values and dispositions of active and informed citizenship. The initiatives aim to increase students’ knowledge</w:t>
      </w:r>
      <w:r w:rsidR="00A026D5" w:rsidRPr="001F4ECA">
        <w:rPr>
          <w:rFonts w:ascii="Times New Roman" w:hAnsi="Times New Roman"/>
          <w:color w:val="000000" w:themeColor="text1"/>
          <w:sz w:val="24"/>
          <w:szCs w:val="24"/>
        </w:rPr>
        <w:t xml:space="preserve"> and understanding of Australia’</w:t>
      </w:r>
      <w:r w:rsidRPr="001F4ECA">
        <w:rPr>
          <w:rFonts w:ascii="Times New Roman" w:hAnsi="Times New Roman"/>
          <w:color w:val="000000" w:themeColor="text1"/>
          <w:sz w:val="24"/>
          <w:szCs w:val="24"/>
        </w:rPr>
        <w:t>s democratic heritage and traditions, its political and legal institutions and the shared values of freedom, tolerance, respect, responsibility and inclusion.</w:t>
      </w:r>
    </w:p>
    <w:p w14:paraId="66B68D10" w14:textId="223F566B" w:rsidR="00C201CC" w:rsidRPr="001F4ECA" w:rsidRDefault="00C201CC" w:rsidP="00F03C1F">
      <w:pPr>
        <w:rPr>
          <w:rFonts w:ascii="Times New Roman" w:hAnsi="Times New Roman"/>
          <w:color w:val="000000" w:themeColor="text1"/>
          <w:sz w:val="24"/>
          <w:szCs w:val="24"/>
        </w:rPr>
      </w:pPr>
    </w:p>
    <w:p w14:paraId="3B66F1EE" w14:textId="0E685724" w:rsidR="00F03C1F" w:rsidRPr="001F4ECA" w:rsidRDefault="00F03C1F" w:rsidP="00F03C1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On 15 May 2021, the Minister for Education and Youth, the Hon Alan Tudge MP, the Minister for Employment, Workforce, Skills, Small and Family Business, the Hon Stuart Robert MP, and the Assistant Minister for Youth and Employment Services, the Hon Luke Howarth MP</w:t>
      </w:r>
      <w:r w:rsidR="00A026D5"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jointly announced </w:t>
      </w:r>
      <w:r w:rsidR="00A026D5" w:rsidRPr="001F4ECA">
        <w:rPr>
          <w:rFonts w:ascii="Times New Roman" w:eastAsiaTheme="minorHAnsi" w:hAnsi="Times New Roman"/>
          <w:sz w:val="24"/>
          <w:szCs w:val="24"/>
          <w:lang w:eastAsia="en-US"/>
        </w:rPr>
        <w:t xml:space="preserve">funding of $1.0 million to strengthen civics and citizenship education and extend participation in the NSCC to year 9 and 10 students as part of </w:t>
      </w:r>
      <w:r w:rsidRPr="001F4ECA">
        <w:rPr>
          <w:rFonts w:ascii="Times New Roman" w:eastAsiaTheme="minorHAnsi" w:hAnsi="Times New Roman"/>
          <w:sz w:val="24"/>
          <w:szCs w:val="24"/>
          <w:lang w:eastAsia="en-US"/>
        </w:rPr>
        <w:t>t</w:t>
      </w:r>
      <w:r w:rsidR="00A026D5" w:rsidRPr="001F4ECA">
        <w:rPr>
          <w:rFonts w:ascii="Times New Roman" w:eastAsiaTheme="minorHAnsi" w:hAnsi="Times New Roman"/>
          <w:sz w:val="24"/>
          <w:szCs w:val="24"/>
          <w:lang w:eastAsia="en-US"/>
        </w:rPr>
        <w:t>he 2021-22 Budget</w:t>
      </w:r>
      <w:r w:rsidRPr="001F4ECA">
        <w:rPr>
          <w:rFonts w:ascii="Times New Roman" w:eastAsiaTheme="minorHAnsi" w:hAnsi="Times New Roman"/>
          <w:sz w:val="24"/>
          <w:szCs w:val="24"/>
          <w:lang w:eastAsia="en-US"/>
        </w:rPr>
        <w:t xml:space="preserve">. </w:t>
      </w:r>
      <w:r w:rsidR="00A026D5" w:rsidRPr="001F4ECA">
        <w:rPr>
          <w:rFonts w:ascii="Times New Roman" w:eastAsiaTheme="minorHAnsi" w:hAnsi="Times New Roman"/>
          <w:sz w:val="24"/>
          <w:szCs w:val="24"/>
          <w:lang w:eastAsia="en-US"/>
        </w:rPr>
        <w:t>M</w:t>
      </w:r>
      <w:r w:rsidRPr="001F4ECA">
        <w:rPr>
          <w:rFonts w:ascii="Times New Roman" w:eastAsiaTheme="minorHAnsi" w:hAnsi="Times New Roman"/>
          <w:sz w:val="24"/>
          <w:szCs w:val="24"/>
          <w:lang w:eastAsia="en-US"/>
        </w:rPr>
        <w:t xml:space="preserve">edia release is available at </w:t>
      </w:r>
      <w:r w:rsidRPr="001F4ECA">
        <w:rPr>
          <w:rFonts w:ascii="Times New Roman" w:eastAsiaTheme="minorHAnsi" w:hAnsi="Times New Roman"/>
          <w:sz w:val="24"/>
          <w:szCs w:val="24"/>
          <w:u w:val="single"/>
          <w:lang w:eastAsia="en-US"/>
        </w:rPr>
        <w:t>https://ministers.dese.gov.au/tudge/morrison-government-supporting-young-australians</w:t>
      </w:r>
      <w:r w:rsidRPr="001F4ECA">
        <w:rPr>
          <w:rFonts w:ascii="Times New Roman" w:eastAsiaTheme="minorHAnsi" w:hAnsi="Times New Roman"/>
          <w:sz w:val="24"/>
          <w:szCs w:val="24"/>
          <w:lang w:eastAsia="en-US"/>
        </w:rPr>
        <w:t>.</w:t>
      </w:r>
    </w:p>
    <w:p w14:paraId="775C1079" w14:textId="77777777" w:rsidR="00F03C1F" w:rsidRPr="001F4ECA" w:rsidRDefault="00F03C1F" w:rsidP="00F03C1F">
      <w:pPr>
        <w:rPr>
          <w:rFonts w:ascii="Times New Roman" w:eastAsiaTheme="minorHAnsi" w:hAnsi="Times New Roman"/>
          <w:sz w:val="24"/>
          <w:szCs w:val="24"/>
          <w:lang w:eastAsia="en-US"/>
        </w:rPr>
      </w:pPr>
    </w:p>
    <w:p w14:paraId="21F0EA12" w14:textId="58219080" w:rsidR="00F03C1F" w:rsidRPr="001F4ECA" w:rsidRDefault="00F03C1F" w:rsidP="00F03C1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NSCC encourages young Australians’ learning about the Australian Constitution and the role it plays in shaping Australia’s democracy, and promotes understanding of Australia’s democratic heritage and traditions. The first NSCC was held in 1995 and provided students </w:t>
      </w:r>
      <w:r w:rsidR="007B1456" w:rsidRPr="001F4ECA">
        <w:rPr>
          <w:rFonts w:ascii="Times New Roman" w:eastAsiaTheme="minorHAnsi" w:hAnsi="Times New Roman"/>
          <w:sz w:val="24"/>
          <w:szCs w:val="24"/>
          <w:lang w:eastAsia="en-US"/>
        </w:rPr>
        <w:t>in years 11 and 12 with an opportunity to</w:t>
      </w:r>
      <w:r w:rsidRPr="001F4ECA">
        <w:rPr>
          <w:rFonts w:ascii="Times New Roman" w:eastAsiaTheme="minorHAnsi" w:hAnsi="Times New Roman"/>
          <w:sz w:val="24"/>
          <w:szCs w:val="24"/>
          <w:lang w:eastAsia="en-US"/>
        </w:rPr>
        <w:t>:</w:t>
      </w:r>
    </w:p>
    <w:p w14:paraId="32506E9C" w14:textId="56A77AB9" w:rsidR="00F03C1F" w:rsidRPr="001F4ECA" w:rsidRDefault="00F03C1F" w:rsidP="00F03C1F">
      <w:pPr>
        <w:numPr>
          <w:ilvl w:val="0"/>
          <w:numId w:val="28"/>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explore contemporary constitutional issues;</w:t>
      </w:r>
    </w:p>
    <w:p w14:paraId="52B027BE" w14:textId="3A0DECD0" w:rsidR="00F03C1F" w:rsidRPr="001F4ECA" w:rsidRDefault="00F03C1F" w:rsidP="00F03C1F">
      <w:pPr>
        <w:numPr>
          <w:ilvl w:val="0"/>
          <w:numId w:val="28"/>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become better informed about the Australian system of government and how the Australian Constitution provides the framework for our democracy; and</w:t>
      </w:r>
    </w:p>
    <w:p w14:paraId="4AF19264" w14:textId="696AFE5B" w:rsidR="00F03C1F" w:rsidRPr="001F4ECA" w:rsidRDefault="00F03C1F" w:rsidP="00F03C1F">
      <w:pPr>
        <w:numPr>
          <w:ilvl w:val="0"/>
          <w:numId w:val="28"/>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take an active interest in the traditions, processes and practices of government.</w:t>
      </w:r>
    </w:p>
    <w:p w14:paraId="72E317CA" w14:textId="2561B1E1" w:rsidR="00F03C1F" w:rsidRPr="001F4ECA" w:rsidRDefault="00F03C1F" w:rsidP="00F03C1F">
      <w:pPr>
        <w:rPr>
          <w:rFonts w:ascii="Times New Roman" w:eastAsiaTheme="minorHAnsi" w:hAnsi="Times New Roman"/>
          <w:sz w:val="24"/>
          <w:szCs w:val="24"/>
          <w:lang w:eastAsia="en-US"/>
        </w:rPr>
      </w:pPr>
    </w:p>
    <w:p w14:paraId="6CEDE5E0" w14:textId="77777777" w:rsidR="00F03C1F" w:rsidRPr="001F4ECA" w:rsidRDefault="00F03C1F" w:rsidP="00F03C1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NSCC is held every year in March for approximately 120 students from all states and territories. Currently, students in years 11 and 12 are selected from state and territory feeder conventions to participate in a three-day national convention supported by the Education Ministers Meeting of Australian Governments.</w:t>
      </w:r>
    </w:p>
    <w:p w14:paraId="7D98B72F" w14:textId="77777777" w:rsidR="00F03C1F" w:rsidRPr="001F4ECA" w:rsidRDefault="00F03C1F" w:rsidP="00F03C1F">
      <w:pPr>
        <w:rPr>
          <w:rFonts w:ascii="Times New Roman" w:eastAsiaTheme="minorHAnsi" w:hAnsi="Times New Roman"/>
          <w:sz w:val="24"/>
          <w:szCs w:val="24"/>
          <w:lang w:eastAsia="en-US"/>
        </w:rPr>
      </w:pPr>
    </w:p>
    <w:p w14:paraId="66B88D2B" w14:textId="7938372B" w:rsidR="00F03C1F" w:rsidRPr="001F4ECA" w:rsidRDefault="00F03C1F" w:rsidP="00F03C1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Funding of $400,000 in 2021-22 will be provided to support the establishment of a pilot program to expand the NSCC initiative to </w:t>
      </w:r>
      <w:r w:rsidR="00BB7E89" w:rsidRPr="001F4ECA">
        <w:rPr>
          <w:rFonts w:ascii="Times New Roman" w:eastAsiaTheme="minorHAnsi" w:hAnsi="Times New Roman"/>
          <w:sz w:val="24"/>
          <w:szCs w:val="24"/>
          <w:lang w:eastAsia="en-US"/>
        </w:rPr>
        <w:t>y</w:t>
      </w:r>
      <w:r w:rsidRPr="001F4ECA">
        <w:rPr>
          <w:rFonts w:ascii="Times New Roman" w:eastAsiaTheme="minorHAnsi" w:hAnsi="Times New Roman"/>
          <w:sz w:val="24"/>
          <w:szCs w:val="24"/>
          <w:lang w:eastAsia="en-US"/>
        </w:rPr>
        <w:t xml:space="preserve">ear 9 and 10 students. It is expected that by </w:t>
      </w:r>
      <w:r w:rsidRPr="001F4ECA">
        <w:rPr>
          <w:rFonts w:ascii="Times New Roman" w:eastAsiaTheme="minorHAnsi" w:hAnsi="Times New Roman"/>
          <w:sz w:val="24"/>
          <w:szCs w:val="24"/>
          <w:lang w:eastAsia="en-US"/>
        </w:rPr>
        <w:lastRenderedPageBreak/>
        <w:t>expanding the NSCC to include additional students, this will ensure more young Australians learn skills and values to become engaged and informed citizens. The pilot will commence in 2022.</w:t>
      </w:r>
    </w:p>
    <w:p w14:paraId="510C97A4" w14:textId="77777777" w:rsidR="00F03C1F" w:rsidRPr="001F4ECA" w:rsidRDefault="00F03C1F" w:rsidP="00F03C1F">
      <w:pPr>
        <w:rPr>
          <w:rFonts w:ascii="Times New Roman" w:eastAsiaTheme="minorHAnsi" w:hAnsi="Times New Roman"/>
          <w:sz w:val="24"/>
          <w:szCs w:val="24"/>
          <w:lang w:eastAsia="en-US"/>
        </w:rPr>
      </w:pPr>
    </w:p>
    <w:p w14:paraId="2FF1D463" w14:textId="7719A40C" w:rsidR="00F03C1F" w:rsidRPr="001F4ECA" w:rsidRDefault="00F03C1F" w:rsidP="00F03C1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will conduct a</w:t>
      </w:r>
      <w:r w:rsidR="001F7C52" w:rsidRPr="001F4ECA">
        <w:rPr>
          <w:rFonts w:ascii="Times New Roman" w:eastAsiaTheme="minorHAnsi" w:hAnsi="Times New Roman"/>
          <w:sz w:val="24"/>
          <w:szCs w:val="24"/>
          <w:lang w:eastAsia="en-US"/>
        </w:rPr>
        <w:t>n</w:t>
      </w:r>
      <w:r w:rsidRPr="001F4ECA">
        <w:rPr>
          <w:rFonts w:ascii="Times New Roman" w:eastAsiaTheme="minorHAnsi" w:hAnsi="Times New Roman"/>
          <w:sz w:val="24"/>
          <w:szCs w:val="24"/>
          <w:lang w:eastAsia="en-US"/>
        </w:rPr>
        <w:t xml:space="preserve"> open tender procurement process to engage an experienced organisation to deliver the pilot program. The contracted </w:t>
      </w:r>
      <w:r w:rsidR="00BB7E89" w:rsidRPr="001F4ECA">
        <w:rPr>
          <w:rFonts w:ascii="Times New Roman" w:eastAsiaTheme="minorHAnsi" w:hAnsi="Times New Roman"/>
          <w:sz w:val="24"/>
          <w:szCs w:val="24"/>
          <w:lang w:eastAsia="en-US"/>
        </w:rPr>
        <w:t>s</w:t>
      </w:r>
      <w:r w:rsidRPr="001F4ECA">
        <w:rPr>
          <w:rFonts w:ascii="Times New Roman" w:eastAsiaTheme="minorHAnsi" w:hAnsi="Times New Roman"/>
          <w:sz w:val="24"/>
          <w:szCs w:val="24"/>
          <w:lang w:eastAsia="en-US"/>
        </w:rPr>
        <w:t xml:space="preserve">upplier will be required to provide a proposal and quotation for the delivery of the NSCC to </w:t>
      </w:r>
      <w:r w:rsidR="00BB7E89" w:rsidRPr="001F4ECA">
        <w:rPr>
          <w:rFonts w:ascii="Times New Roman" w:eastAsiaTheme="minorHAnsi" w:hAnsi="Times New Roman"/>
          <w:sz w:val="24"/>
          <w:szCs w:val="24"/>
          <w:lang w:eastAsia="en-US"/>
        </w:rPr>
        <w:t>y</w:t>
      </w:r>
      <w:r w:rsidRPr="001F4ECA">
        <w:rPr>
          <w:rFonts w:ascii="Times New Roman" w:eastAsiaTheme="minorHAnsi" w:hAnsi="Times New Roman"/>
          <w:sz w:val="24"/>
          <w:szCs w:val="24"/>
          <w:lang w:eastAsia="en-US"/>
        </w:rPr>
        <w:t xml:space="preserve">ear 9 and 10 students in 2022. The </w:t>
      </w:r>
      <w:r w:rsidR="00BB7E89" w:rsidRPr="001F4ECA">
        <w:rPr>
          <w:rFonts w:ascii="Times New Roman" w:eastAsiaTheme="minorHAnsi" w:hAnsi="Times New Roman"/>
          <w:sz w:val="24"/>
          <w:szCs w:val="24"/>
          <w:lang w:eastAsia="en-US"/>
        </w:rPr>
        <w:t>s</w:t>
      </w:r>
      <w:r w:rsidRPr="001F4ECA">
        <w:rPr>
          <w:rFonts w:ascii="Times New Roman" w:eastAsiaTheme="minorHAnsi" w:hAnsi="Times New Roman"/>
          <w:sz w:val="24"/>
          <w:szCs w:val="24"/>
          <w:lang w:eastAsia="en-US"/>
        </w:rPr>
        <w:t>upplier will negotiate with the department to reach agreement regarding the delivery format.</w:t>
      </w:r>
    </w:p>
    <w:p w14:paraId="1AE66136" w14:textId="028EC7D5" w:rsidR="00F03C1F" w:rsidRPr="001F4ECA" w:rsidRDefault="00F03C1F" w:rsidP="00F03C1F">
      <w:pPr>
        <w:rPr>
          <w:rFonts w:ascii="Times New Roman" w:eastAsiaTheme="minorHAnsi" w:hAnsi="Times New Roman"/>
          <w:sz w:val="24"/>
          <w:szCs w:val="24"/>
          <w:lang w:eastAsia="en-US"/>
        </w:rPr>
      </w:pPr>
    </w:p>
    <w:p w14:paraId="4A352DA1" w14:textId="53D5EA13" w:rsidR="001F7C52" w:rsidRPr="001F4ECA" w:rsidRDefault="001F7C52" w:rsidP="001F7C52">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Procurement decisions will be made in accordance with the Commonwealth resource management framework, includ</w:t>
      </w:r>
      <w:r w:rsidR="00BB7E89" w:rsidRPr="001F4ECA">
        <w:rPr>
          <w:rFonts w:ascii="Times New Roman" w:eastAsiaTheme="minorHAnsi" w:hAnsi="Times New Roman"/>
          <w:sz w:val="24"/>
          <w:szCs w:val="24"/>
          <w:lang w:eastAsia="en-US"/>
        </w:rPr>
        <w:t>ing the PGPA Act and the CPRs. Final decision maker for the procurement will be the Assistant Secretary of the Student Learning Branch under the relevant instrument of delegation</w:t>
      </w:r>
      <w:r w:rsidRPr="001F4ECA">
        <w:rPr>
          <w:rFonts w:ascii="Times New Roman" w:eastAsiaTheme="minorHAnsi" w:hAnsi="Times New Roman"/>
          <w:sz w:val="24"/>
          <w:szCs w:val="24"/>
          <w:lang w:eastAsia="en-US"/>
        </w:rPr>
        <w:t>. The department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AusTender (</w:t>
      </w:r>
      <w:r w:rsidRPr="001F4ECA">
        <w:rPr>
          <w:rFonts w:ascii="Times New Roman" w:eastAsiaTheme="minorHAnsi" w:hAnsi="Times New Roman"/>
          <w:sz w:val="24"/>
          <w:szCs w:val="24"/>
          <w:u w:val="single"/>
          <w:lang w:eastAsia="en-US"/>
        </w:rPr>
        <w:t>www.tenders.gov.au</w:t>
      </w:r>
      <w:r w:rsidRPr="001F4ECA">
        <w:rPr>
          <w:rFonts w:ascii="Times New Roman" w:eastAsiaTheme="minorHAnsi" w:hAnsi="Times New Roman"/>
          <w:sz w:val="24"/>
          <w:szCs w:val="24"/>
          <w:lang w:eastAsia="en-US"/>
        </w:rPr>
        <w:t>) once the contracts are signed. Procurement decisions will be based on value for money, including capability and capacity to deliver, and price and risk considerations.</w:t>
      </w:r>
    </w:p>
    <w:p w14:paraId="752456EC" w14:textId="77777777" w:rsidR="001F7C52" w:rsidRPr="001F4ECA" w:rsidRDefault="001F7C52" w:rsidP="001F7C52">
      <w:pPr>
        <w:rPr>
          <w:rFonts w:ascii="Times New Roman" w:eastAsiaTheme="minorHAnsi" w:hAnsi="Times New Roman"/>
          <w:sz w:val="24"/>
          <w:szCs w:val="24"/>
          <w:lang w:eastAsia="en-US"/>
        </w:rPr>
      </w:pPr>
    </w:p>
    <w:p w14:paraId="0E2788FC" w14:textId="1C26705B" w:rsidR="001F7C52" w:rsidRPr="001F4ECA" w:rsidRDefault="001F7C52" w:rsidP="001F7C52">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Procurement decisions made in connection with the delivery of the NSCC, including </w:t>
      </w:r>
      <w:r w:rsidR="00BB7E89" w:rsidRPr="001F4ECA">
        <w:rPr>
          <w:rFonts w:ascii="Times New Roman" w:eastAsiaTheme="minorHAnsi" w:hAnsi="Times New Roman"/>
          <w:sz w:val="24"/>
          <w:szCs w:val="24"/>
          <w:lang w:eastAsia="en-US"/>
        </w:rPr>
        <w:t>its extension t</w:t>
      </w:r>
      <w:r w:rsidRPr="001F4ECA">
        <w:rPr>
          <w:rFonts w:ascii="Times New Roman" w:eastAsiaTheme="minorHAnsi" w:hAnsi="Times New Roman"/>
          <w:sz w:val="24"/>
          <w:szCs w:val="24"/>
          <w:lang w:eastAsia="en-US"/>
        </w:rPr>
        <w:t xml:space="preserve">o </w:t>
      </w:r>
      <w:r w:rsidR="00BB7E89" w:rsidRPr="001F4ECA">
        <w:rPr>
          <w:rFonts w:ascii="Times New Roman" w:eastAsiaTheme="minorHAnsi" w:hAnsi="Times New Roman"/>
          <w:sz w:val="24"/>
          <w:szCs w:val="24"/>
          <w:lang w:eastAsia="en-US"/>
        </w:rPr>
        <w:t>y</w:t>
      </w:r>
      <w:r w:rsidRPr="001F4ECA">
        <w:rPr>
          <w:rFonts w:ascii="Times New Roman" w:eastAsiaTheme="minorHAnsi" w:hAnsi="Times New Roman"/>
          <w:sz w:val="24"/>
          <w:szCs w:val="24"/>
          <w:lang w:eastAsia="en-US"/>
        </w:rPr>
        <w:t>ear 9 and 10</w:t>
      </w:r>
      <w:r w:rsidR="00BB7E89" w:rsidRPr="001F4ECA">
        <w:rPr>
          <w:rFonts w:ascii="Times New Roman" w:eastAsiaTheme="minorHAnsi" w:hAnsi="Times New Roman"/>
          <w:sz w:val="24"/>
          <w:szCs w:val="24"/>
          <w:lang w:eastAsia="en-US"/>
        </w:rPr>
        <w:t xml:space="preserve"> students</w:t>
      </w:r>
      <w:r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val="en-GB" w:eastAsia="en-US"/>
        </w:rPr>
        <w:t>are not considered suitable for independent merits review</w:t>
      </w:r>
      <w:r w:rsidRPr="001F4ECA">
        <w:rPr>
          <w:rFonts w:ascii="Times New Roman" w:eastAsiaTheme="minorHAnsi" w:hAnsi="Times New Roman"/>
          <w:sz w:val="24"/>
          <w:szCs w:val="24"/>
          <w:lang w:eastAsia="en-US"/>
        </w:rPr>
        <w:t xml:space="preserve">, as they are decisions relating to the allocation of a finite resource. In addition, any funding that has already been allocated would be affected if the original decision was overturned. The </w:t>
      </w:r>
      <w:r w:rsidR="000242C5" w:rsidRPr="001F4ECA">
        <w:rPr>
          <w:rFonts w:ascii="Times New Roman" w:eastAsiaTheme="minorHAnsi" w:hAnsi="Times New Roman"/>
          <w:sz w:val="24"/>
          <w:szCs w:val="24"/>
          <w:lang w:eastAsia="en-US"/>
        </w:rPr>
        <w:t>ARC</w:t>
      </w:r>
      <w:r w:rsidRPr="001F4ECA">
        <w:rPr>
          <w:rFonts w:ascii="Times New Roman" w:eastAsiaTheme="minorHAnsi" w:hAnsi="Times New Roman"/>
          <w:sz w:val="24"/>
          <w:szCs w:val="24"/>
          <w:lang w:eastAsia="en-US"/>
        </w:rPr>
        <w:t xml:space="preserve"> has recognised that it is justifiable to exclude merits review in relation to decisions of this nature (see paragraphs 4.11 to 4.19 of the guide, </w:t>
      </w:r>
      <w:r w:rsidRPr="001F4ECA">
        <w:rPr>
          <w:rFonts w:ascii="Times New Roman" w:eastAsiaTheme="minorHAnsi" w:hAnsi="Times New Roman"/>
          <w:i/>
          <w:iCs/>
          <w:sz w:val="24"/>
          <w:szCs w:val="24"/>
          <w:lang w:eastAsia="en-US"/>
        </w:rPr>
        <w:t>What decisions should be subject to merit review?</w:t>
      </w:r>
      <w:r w:rsidRPr="001F4ECA">
        <w:rPr>
          <w:rFonts w:ascii="Times New Roman" w:eastAsiaTheme="minorHAnsi" w:hAnsi="Times New Roman"/>
          <w:sz w:val="24"/>
          <w:szCs w:val="24"/>
          <w:lang w:eastAsia="en-US"/>
        </w:rPr>
        <w:t xml:space="preserve">). </w:t>
      </w:r>
    </w:p>
    <w:p w14:paraId="08604664" w14:textId="77777777" w:rsidR="00C6484D" w:rsidRPr="001F4ECA" w:rsidRDefault="00C6484D" w:rsidP="001F7C52">
      <w:pPr>
        <w:rPr>
          <w:rFonts w:ascii="Times New Roman" w:eastAsiaTheme="minorHAnsi" w:hAnsi="Times New Roman"/>
          <w:sz w:val="24"/>
          <w:szCs w:val="24"/>
          <w:lang w:val="en-GB" w:eastAsia="en-US"/>
        </w:rPr>
      </w:pPr>
    </w:p>
    <w:p w14:paraId="3A94EA88" w14:textId="1ACEBE1E" w:rsidR="00F03C1F" w:rsidRPr="001F4ECA" w:rsidRDefault="001F7C52" w:rsidP="001F7C52">
      <w:pPr>
        <w:rPr>
          <w:rFonts w:ascii="Times New Roman" w:eastAsiaTheme="minorHAnsi" w:hAnsi="Times New Roman"/>
          <w:sz w:val="24"/>
          <w:szCs w:val="24"/>
          <w:lang w:eastAsia="en-US"/>
        </w:rPr>
      </w:pPr>
      <w:r w:rsidRPr="001F4ECA">
        <w:rPr>
          <w:rFonts w:ascii="Times New Roman" w:eastAsiaTheme="minorHAnsi" w:hAnsi="Times New Roman"/>
          <w:sz w:val="24"/>
          <w:szCs w:val="24"/>
          <w:lang w:val="en-GB" w:eastAsia="en-US"/>
        </w:rPr>
        <w:t xml:space="preserve">The re-making of a procurement decision after entry into a contractual arrangement with a successful provider is legally complex, impractical, and could result in delays to providing services to students. The </w:t>
      </w:r>
      <w:r w:rsidRPr="001F4ECA">
        <w:rPr>
          <w:rFonts w:ascii="Times New Roman" w:eastAsiaTheme="minorHAnsi" w:hAnsi="Times New Roman"/>
          <w:i/>
          <w:iCs/>
          <w:sz w:val="24"/>
          <w:szCs w:val="24"/>
          <w:lang w:val="en-GB" w:eastAsia="en-US"/>
        </w:rPr>
        <w:t>Government Procurement (Judicial Review) Act 2018</w:t>
      </w:r>
      <w:r w:rsidRPr="001F4ECA">
        <w:rPr>
          <w:rFonts w:ascii="Times New Roman" w:eastAsiaTheme="minorHAnsi" w:hAnsi="Times New Roman"/>
          <w:sz w:val="24"/>
          <w:szCs w:val="24"/>
          <w:lang w:val="en-GB" w:eastAsia="en-US"/>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341F97E7" w14:textId="069EDED2" w:rsidR="00F03C1F" w:rsidRPr="001F4ECA" w:rsidRDefault="00F03C1F" w:rsidP="00F03C1F">
      <w:pPr>
        <w:rPr>
          <w:rFonts w:ascii="Times New Roman" w:eastAsiaTheme="minorHAnsi" w:hAnsi="Times New Roman"/>
          <w:sz w:val="24"/>
          <w:szCs w:val="24"/>
          <w:lang w:eastAsia="en-US"/>
        </w:rPr>
      </w:pPr>
    </w:p>
    <w:p w14:paraId="3B5E7CDD" w14:textId="313DE6C3" w:rsidR="00C6484D" w:rsidRPr="001F4ECA" w:rsidRDefault="00BF2831" w:rsidP="00C6484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Consultation with key stakeholders was not required for the pilot under the NSCC, as current </w:t>
      </w:r>
      <w:r w:rsidR="00BB7E89" w:rsidRPr="001F4ECA">
        <w:rPr>
          <w:rFonts w:ascii="Times New Roman" w:eastAsiaTheme="minorHAnsi" w:hAnsi="Times New Roman"/>
          <w:sz w:val="24"/>
          <w:szCs w:val="24"/>
          <w:lang w:eastAsia="en-US"/>
        </w:rPr>
        <w:t>y</w:t>
      </w:r>
      <w:r w:rsidRPr="001F4ECA">
        <w:rPr>
          <w:rFonts w:ascii="Times New Roman" w:eastAsiaTheme="minorHAnsi" w:hAnsi="Times New Roman"/>
          <w:sz w:val="24"/>
          <w:szCs w:val="24"/>
          <w:lang w:eastAsia="en-US"/>
        </w:rPr>
        <w:t>ear 11 and 12 students continue to be able to participate in the annual convention. Extensive consultation within the department took place to develop the approach to implement the pilot program. Expanding the cohort to include year 9 and 10 students will ensure more young Australians learn skills and values and align with stakeholder expectations of who is in scope to have access to the convention. The department will evaluate the effectiveness of the pilot program and provide advice and recommendation to the Government for consideration.</w:t>
      </w:r>
    </w:p>
    <w:p w14:paraId="47571E8D" w14:textId="77777777" w:rsidR="00BF2831" w:rsidRPr="001F4ECA" w:rsidRDefault="00BF2831" w:rsidP="00C6484D">
      <w:pPr>
        <w:rPr>
          <w:rFonts w:ascii="Times New Roman" w:eastAsiaTheme="minorHAnsi" w:hAnsi="Times New Roman"/>
          <w:sz w:val="24"/>
          <w:szCs w:val="24"/>
          <w:lang w:eastAsia="en-US"/>
        </w:rPr>
      </w:pPr>
    </w:p>
    <w:p w14:paraId="4C4624F1" w14:textId="0977771D"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Funding for the pilot program was included in the 2021-22 Budget under the measure ‘Schools and Youth – supporting students, teachers and young Australian</w:t>
      </w:r>
      <w:r w:rsidR="00BB7E89" w:rsidRPr="001F4ECA">
        <w:rPr>
          <w:rFonts w:ascii="Times New Roman" w:eastAsiaTheme="minorHAnsi" w:hAnsi="Times New Roman"/>
          <w:sz w:val="24"/>
          <w:szCs w:val="24"/>
          <w:lang w:eastAsia="en-US"/>
        </w:rPr>
        <w:t>s</w:t>
      </w:r>
      <w:r w:rsidRPr="001F4ECA">
        <w:rPr>
          <w:rFonts w:ascii="Times New Roman" w:eastAsiaTheme="minorHAnsi" w:hAnsi="Times New Roman"/>
          <w:sz w:val="24"/>
          <w:szCs w:val="24"/>
          <w:lang w:eastAsia="en-US"/>
        </w:rPr>
        <w:t>’.</w:t>
      </w:r>
      <w:r w:rsidRPr="001F4ECA">
        <w:rPr>
          <w:rFonts w:ascii="Times New Roman" w:eastAsiaTheme="minorHAnsi" w:hAnsi="Times New Roman"/>
          <w:iCs/>
          <w:sz w:val="24"/>
          <w:szCs w:val="24"/>
          <w:lang w:eastAsia="en-US"/>
        </w:rPr>
        <w:t xml:space="preserve"> Details are set out in </w:t>
      </w:r>
      <w:r w:rsidRPr="001F4ECA">
        <w:rPr>
          <w:rFonts w:ascii="Times New Roman" w:eastAsiaTheme="minorHAnsi" w:hAnsi="Times New Roman"/>
          <w:i/>
          <w:iCs/>
          <w:sz w:val="24"/>
          <w:szCs w:val="24"/>
          <w:lang w:eastAsia="en-US"/>
        </w:rPr>
        <w:t>Budget 2021-22, Budget Measures, Budget Paper No. 2 2021-22</w:t>
      </w:r>
      <w:r w:rsidRPr="001F4ECA">
        <w:rPr>
          <w:rFonts w:ascii="Times New Roman" w:eastAsiaTheme="minorHAnsi" w:hAnsi="Times New Roman"/>
          <w:iCs/>
          <w:sz w:val="24"/>
          <w:szCs w:val="24"/>
          <w:lang w:eastAsia="en-US"/>
        </w:rPr>
        <w:t xml:space="preserve"> at page</w:t>
      </w:r>
      <w:r w:rsidR="00BB7E89" w:rsidRPr="001F4ECA">
        <w:rPr>
          <w:rFonts w:ascii="Times New Roman" w:eastAsiaTheme="minorHAnsi" w:hAnsi="Times New Roman"/>
          <w:iCs/>
          <w:sz w:val="24"/>
          <w:szCs w:val="24"/>
          <w:lang w:eastAsia="en-US"/>
        </w:rPr>
        <w:t>s 78 to</w:t>
      </w:r>
      <w:r w:rsidRPr="001F4ECA">
        <w:rPr>
          <w:rFonts w:ascii="Times New Roman" w:eastAsiaTheme="minorHAnsi" w:hAnsi="Times New Roman"/>
          <w:iCs/>
          <w:sz w:val="24"/>
          <w:szCs w:val="24"/>
          <w:lang w:eastAsia="en-US"/>
        </w:rPr>
        <w:t> 80.</w:t>
      </w:r>
    </w:p>
    <w:p w14:paraId="3A04180E" w14:textId="77777777" w:rsidR="00334389" w:rsidRPr="001F4ECA" w:rsidRDefault="00334389" w:rsidP="00334389">
      <w:pPr>
        <w:rPr>
          <w:rFonts w:ascii="Times New Roman" w:eastAsiaTheme="minorHAnsi" w:hAnsi="Times New Roman"/>
          <w:sz w:val="24"/>
          <w:szCs w:val="24"/>
          <w:lang w:eastAsia="en-US"/>
        </w:rPr>
      </w:pPr>
    </w:p>
    <w:p w14:paraId="596C5F2B" w14:textId="2C951F26"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Funding of $400,000 in 2021-22 for this item will come from the Quality Outcomes subprogram under Program 1.5: Early Learning and Schools Support, which is part of </w:t>
      </w:r>
      <w:r w:rsidRPr="001F4ECA">
        <w:rPr>
          <w:rFonts w:ascii="Times New Roman" w:eastAsiaTheme="minorHAnsi" w:hAnsi="Times New Roman"/>
          <w:sz w:val="24"/>
          <w:szCs w:val="24"/>
          <w:lang w:eastAsia="en-US"/>
        </w:rPr>
        <w:lastRenderedPageBreak/>
        <w:t xml:space="preserve">Outcome 1. Program details are set out in the </w:t>
      </w:r>
      <w:r w:rsidRPr="001F4ECA">
        <w:rPr>
          <w:rFonts w:ascii="Times New Roman" w:eastAsiaTheme="minorHAnsi" w:hAnsi="Times New Roman"/>
          <w:i/>
          <w:iCs/>
          <w:sz w:val="24"/>
          <w:szCs w:val="24"/>
          <w:lang w:eastAsia="en-US"/>
        </w:rPr>
        <w:t>Portfolio Budget Statements 2021</w:t>
      </w:r>
      <w:r w:rsidRPr="001F4ECA">
        <w:rPr>
          <w:rFonts w:ascii="Times New Roman" w:eastAsiaTheme="minorHAnsi" w:hAnsi="Times New Roman"/>
          <w:i/>
          <w:iCs/>
          <w:sz w:val="24"/>
          <w:szCs w:val="24"/>
          <w:lang w:eastAsia="en-US"/>
        </w:rPr>
        <w:noBreakHyphen/>
        <w:t>22, Budget Related Paper No. 1.4, Education, Skills and Employment Portfolio</w:t>
      </w:r>
      <w:r w:rsidRPr="001F4ECA">
        <w:rPr>
          <w:rFonts w:ascii="Times New Roman" w:eastAsiaTheme="minorHAnsi" w:hAnsi="Times New Roman"/>
          <w:sz w:val="24"/>
          <w:szCs w:val="24"/>
          <w:lang w:eastAsia="en-US"/>
        </w:rPr>
        <w:t xml:space="preserve"> at page 45.</w:t>
      </w:r>
    </w:p>
    <w:p w14:paraId="2D46BDDC" w14:textId="2C745B04" w:rsidR="00334389" w:rsidRPr="001F4ECA" w:rsidRDefault="00334389" w:rsidP="00334389">
      <w:pPr>
        <w:rPr>
          <w:rFonts w:ascii="Times New Roman" w:eastAsiaTheme="minorHAnsi" w:hAnsi="Times New Roman"/>
          <w:sz w:val="24"/>
          <w:szCs w:val="24"/>
          <w:lang w:eastAsia="en-US"/>
        </w:rPr>
      </w:pPr>
    </w:p>
    <w:p w14:paraId="33DA471E"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Quality Outcomes is a discretionary funding program for initiatives of importance to the Australian Government. The Minister for Education and Youth approves funding allocations under Quality Outcomes.</w:t>
      </w:r>
    </w:p>
    <w:p w14:paraId="57E72562" w14:textId="77777777" w:rsidR="00334389" w:rsidRPr="001F4ECA" w:rsidRDefault="00334389" w:rsidP="00334389">
      <w:pPr>
        <w:rPr>
          <w:rFonts w:ascii="Times New Roman" w:eastAsiaTheme="minorHAnsi" w:hAnsi="Times New Roman"/>
          <w:sz w:val="24"/>
          <w:szCs w:val="24"/>
          <w:lang w:eastAsia="en-US"/>
        </w:rPr>
      </w:pPr>
    </w:p>
    <w:p w14:paraId="5992187C"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Noting that it is not a comprehensive statement of relevant constitutional considerations, the</w:t>
      </w:r>
    </w:p>
    <w:p w14:paraId="54C23EDD"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objective of the item references the following powers of the Constitution:</w:t>
      </w:r>
    </w:p>
    <w:p w14:paraId="3AF27AC1" w14:textId="4334AB49" w:rsidR="00334389" w:rsidRPr="001F4ECA" w:rsidRDefault="008B49E9" w:rsidP="00334389">
      <w:pPr>
        <w:numPr>
          <w:ilvl w:val="0"/>
          <w:numId w:val="29"/>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benefits to students</w:t>
      </w:r>
      <w:r w:rsidR="00334389" w:rsidRPr="001F4ECA">
        <w:rPr>
          <w:rFonts w:ascii="Times New Roman" w:eastAsiaTheme="minorHAnsi" w:hAnsi="Times New Roman"/>
          <w:sz w:val="24"/>
          <w:szCs w:val="24"/>
          <w:lang w:eastAsia="en-US"/>
        </w:rPr>
        <w:t xml:space="preserve"> aspect of the social welfare power (section 51(xxiiiA</w:t>
      </w:r>
      <w:r w:rsidR="00BB7E89" w:rsidRPr="001F4ECA">
        <w:rPr>
          <w:rFonts w:ascii="Times New Roman" w:eastAsiaTheme="minorHAnsi" w:hAnsi="Times New Roman"/>
          <w:sz w:val="24"/>
          <w:szCs w:val="24"/>
          <w:lang w:eastAsia="en-US"/>
        </w:rPr>
        <w:t>)</w:t>
      </w:r>
      <w:r w:rsidR="00334389" w:rsidRPr="001F4ECA">
        <w:rPr>
          <w:rFonts w:ascii="Times New Roman" w:eastAsiaTheme="minorHAnsi" w:hAnsi="Times New Roman"/>
          <w:sz w:val="24"/>
          <w:szCs w:val="24"/>
          <w:lang w:eastAsia="en-US"/>
        </w:rPr>
        <w:t>);</w:t>
      </w:r>
    </w:p>
    <w:p w14:paraId="035C091F" w14:textId="0EADFBD5" w:rsidR="00334389" w:rsidRPr="001F4ECA" w:rsidRDefault="00334389" w:rsidP="00334389">
      <w:pPr>
        <w:numPr>
          <w:ilvl w:val="0"/>
          <w:numId w:val="29"/>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external affairs power (section 51(xxix</w:t>
      </w:r>
      <w:r w:rsidR="00BB7E89"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w:t>
      </w:r>
    </w:p>
    <w:p w14:paraId="7CD696EA" w14:textId="77777777" w:rsidR="00334389" w:rsidRPr="001F4ECA" w:rsidRDefault="00334389" w:rsidP="00334389">
      <w:pPr>
        <w:numPr>
          <w:ilvl w:val="0"/>
          <w:numId w:val="29"/>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territories power (section 122); and</w:t>
      </w:r>
    </w:p>
    <w:p w14:paraId="4F68991A" w14:textId="77777777" w:rsidR="00334389" w:rsidRPr="001F4ECA" w:rsidRDefault="00334389" w:rsidP="00334389">
      <w:pPr>
        <w:numPr>
          <w:ilvl w:val="0"/>
          <w:numId w:val="29"/>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express incidental power and the executive power (sections 51(xxxix) and 61), including the nationhood aspect.</w:t>
      </w:r>
    </w:p>
    <w:p w14:paraId="7AC64B4A" w14:textId="77777777" w:rsidR="00334389" w:rsidRPr="001F4ECA" w:rsidRDefault="00334389" w:rsidP="00334389">
      <w:pPr>
        <w:rPr>
          <w:rFonts w:ascii="Times New Roman" w:eastAsiaTheme="minorHAnsi" w:hAnsi="Times New Roman"/>
          <w:i/>
          <w:sz w:val="24"/>
          <w:szCs w:val="24"/>
          <w:u w:val="single"/>
          <w:lang w:eastAsia="en-US"/>
        </w:rPr>
      </w:pPr>
    </w:p>
    <w:p w14:paraId="244355B6" w14:textId="77777777" w:rsidR="00334389" w:rsidRPr="001F4ECA" w:rsidRDefault="00334389" w:rsidP="00334389">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Social welfare power</w:t>
      </w:r>
    </w:p>
    <w:p w14:paraId="463BFC76" w14:textId="77777777" w:rsidR="00334389" w:rsidRPr="001F4ECA" w:rsidRDefault="00334389" w:rsidP="00334389">
      <w:pPr>
        <w:rPr>
          <w:rFonts w:ascii="Times New Roman" w:eastAsiaTheme="minorHAnsi" w:hAnsi="Times New Roman"/>
          <w:sz w:val="24"/>
          <w:szCs w:val="24"/>
          <w:lang w:eastAsia="en-US"/>
        </w:rPr>
      </w:pPr>
    </w:p>
    <w:p w14:paraId="06511070"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social welfare power in section 51(xxiiiA) of the Constitution empowers the Parliament to make laws with respect to the provision of certain social welfare benefits including benefits to students.   </w:t>
      </w:r>
    </w:p>
    <w:p w14:paraId="6EF05CCB" w14:textId="77777777" w:rsidR="00334389" w:rsidRPr="001F4ECA" w:rsidRDefault="00334389" w:rsidP="00334389">
      <w:pPr>
        <w:rPr>
          <w:rFonts w:ascii="Times New Roman" w:eastAsiaTheme="minorHAnsi" w:hAnsi="Times New Roman"/>
          <w:sz w:val="24"/>
          <w:szCs w:val="24"/>
          <w:lang w:eastAsia="en-US"/>
        </w:rPr>
      </w:pPr>
    </w:p>
    <w:p w14:paraId="1624DC39" w14:textId="4B80A0BE"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00CB50A6" w:rsidRPr="001F4ECA">
        <w:rPr>
          <w:rFonts w:ascii="Times New Roman" w:eastAsiaTheme="minorHAnsi" w:hAnsi="Times New Roman"/>
          <w:sz w:val="24"/>
          <w:szCs w:val="24"/>
          <w:lang w:eastAsia="en-US"/>
        </w:rPr>
        <w:t>initiatives</w:t>
      </w:r>
      <w:r w:rsidRPr="001F4ECA">
        <w:rPr>
          <w:rFonts w:ascii="Times New Roman" w:eastAsiaTheme="minorHAnsi" w:hAnsi="Times New Roman"/>
          <w:sz w:val="24"/>
          <w:szCs w:val="24"/>
          <w:lang w:eastAsia="en-US"/>
        </w:rPr>
        <w:t xml:space="preserve"> will provide funding to awards directed to recognising the academic achievements of individual students. The awards will provide prize money to winning students. The </w:t>
      </w:r>
      <w:r w:rsidR="00CB50A6" w:rsidRPr="001F4ECA">
        <w:rPr>
          <w:rFonts w:ascii="Times New Roman" w:eastAsiaTheme="minorHAnsi" w:hAnsi="Times New Roman"/>
          <w:sz w:val="24"/>
          <w:szCs w:val="24"/>
          <w:lang w:eastAsia="en-US"/>
        </w:rPr>
        <w:t>initiatives</w:t>
      </w:r>
      <w:r w:rsidRPr="001F4ECA">
        <w:rPr>
          <w:rFonts w:ascii="Times New Roman" w:eastAsiaTheme="minorHAnsi" w:hAnsi="Times New Roman"/>
          <w:sz w:val="24"/>
          <w:szCs w:val="24"/>
          <w:lang w:eastAsia="en-US"/>
        </w:rPr>
        <w:t xml:space="preserve"> will also provide funding for selected Australian school students to attend a national student convention.   </w:t>
      </w:r>
    </w:p>
    <w:p w14:paraId="1F212F94" w14:textId="77777777" w:rsidR="00334389" w:rsidRPr="001F4ECA" w:rsidRDefault="00334389" w:rsidP="00334389">
      <w:pPr>
        <w:rPr>
          <w:rFonts w:ascii="Times New Roman" w:eastAsiaTheme="minorHAnsi" w:hAnsi="Times New Roman"/>
          <w:i/>
          <w:sz w:val="24"/>
          <w:szCs w:val="24"/>
          <w:lang w:eastAsia="en-US"/>
        </w:rPr>
      </w:pPr>
    </w:p>
    <w:p w14:paraId="572B156F" w14:textId="77777777" w:rsidR="00334389" w:rsidRPr="001F4ECA" w:rsidRDefault="00334389" w:rsidP="00334389">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External affairs power</w:t>
      </w:r>
    </w:p>
    <w:p w14:paraId="2AE226E8" w14:textId="77777777" w:rsidR="00334389" w:rsidRPr="001F4ECA" w:rsidRDefault="00334389" w:rsidP="00334389">
      <w:pPr>
        <w:rPr>
          <w:rFonts w:ascii="Times New Roman" w:eastAsiaTheme="minorHAnsi" w:hAnsi="Times New Roman"/>
          <w:sz w:val="24"/>
          <w:szCs w:val="24"/>
          <w:lang w:eastAsia="en-US"/>
        </w:rPr>
      </w:pPr>
    </w:p>
    <w:p w14:paraId="02E0664B" w14:textId="77777777" w:rsidR="0059147C" w:rsidRPr="001F4ECA" w:rsidRDefault="00334389" w:rsidP="0059147C">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Section 51(xxix) of the Constitution empowers the Parliament to make laws with respect to ‘external affairs’. </w:t>
      </w:r>
      <w:r w:rsidR="0059147C" w:rsidRPr="001F4ECA">
        <w:rPr>
          <w:rFonts w:ascii="Times New Roman" w:eastAsiaTheme="minorHAnsi" w:hAnsi="Times New Roman"/>
          <w:sz w:val="24"/>
          <w:szCs w:val="24"/>
          <w:lang w:eastAsia="en-US"/>
        </w:rPr>
        <w:t>The external affairs power supports legislation implementing Australia’s international obligations under treaties to which it is a party.</w:t>
      </w:r>
    </w:p>
    <w:p w14:paraId="04FD3AA4" w14:textId="77777777" w:rsidR="00334389" w:rsidRPr="001F4ECA" w:rsidRDefault="00334389" w:rsidP="00334389">
      <w:pPr>
        <w:rPr>
          <w:rFonts w:ascii="Times New Roman" w:eastAsiaTheme="minorHAnsi" w:hAnsi="Times New Roman"/>
          <w:sz w:val="24"/>
          <w:szCs w:val="24"/>
          <w:lang w:eastAsia="en-US"/>
        </w:rPr>
      </w:pPr>
    </w:p>
    <w:p w14:paraId="01BF57C9"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Australia has obligations relating to the education and cultural life of children under the </w:t>
      </w:r>
      <w:r w:rsidRPr="001F4ECA">
        <w:rPr>
          <w:rFonts w:ascii="Times New Roman" w:eastAsiaTheme="minorHAnsi" w:hAnsi="Times New Roman"/>
          <w:i/>
          <w:sz w:val="24"/>
          <w:szCs w:val="24"/>
          <w:lang w:eastAsia="en-US"/>
        </w:rPr>
        <w:t>International Covenant on Economic, Social and Cultural Rights</w:t>
      </w:r>
      <w:r w:rsidRPr="001F4ECA">
        <w:rPr>
          <w:rFonts w:ascii="Times New Roman" w:eastAsiaTheme="minorHAnsi" w:hAnsi="Times New Roman"/>
          <w:sz w:val="24"/>
          <w:szCs w:val="24"/>
          <w:lang w:eastAsia="en-US"/>
        </w:rPr>
        <w:t xml:space="preserve"> (ICESCR) and the </w:t>
      </w:r>
      <w:r w:rsidRPr="001F4ECA">
        <w:rPr>
          <w:rFonts w:ascii="Times New Roman" w:eastAsiaTheme="minorHAnsi" w:hAnsi="Times New Roman"/>
          <w:i/>
          <w:sz w:val="24"/>
          <w:szCs w:val="24"/>
          <w:lang w:eastAsia="en-US"/>
        </w:rPr>
        <w:t>Convention on the Rights of the Child</w:t>
      </w:r>
      <w:r w:rsidRPr="001F4ECA">
        <w:rPr>
          <w:rFonts w:ascii="Times New Roman" w:eastAsiaTheme="minorHAnsi" w:hAnsi="Times New Roman"/>
          <w:sz w:val="24"/>
          <w:szCs w:val="24"/>
          <w:lang w:eastAsia="en-US"/>
        </w:rPr>
        <w:t xml:space="preserve"> (CRC). </w:t>
      </w:r>
    </w:p>
    <w:p w14:paraId="249761F5" w14:textId="77777777" w:rsidR="00334389" w:rsidRPr="001F4ECA" w:rsidRDefault="00334389" w:rsidP="00334389">
      <w:pPr>
        <w:rPr>
          <w:rFonts w:ascii="Times New Roman" w:eastAsiaTheme="minorHAnsi" w:hAnsi="Times New Roman"/>
          <w:sz w:val="24"/>
          <w:szCs w:val="24"/>
          <w:lang w:eastAsia="en-US"/>
        </w:rPr>
      </w:pPr>
    </w:p>
    <w:p w14:paraId="5E95C6BA" w14:textId="68903F98"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In particular, Australia has obligations regarding the right to take part in cultural life under Article 2 and Article 15 of the ICESCR. Article 2(1) requires each State Party to undertake to ‘take steps … to the maximum of its available resources’ to progressively realise the rights recognised in </w:t>
      </w:r>
      <w:r w:rsidR="00B67C18"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ICESCR. This includes ‘the right of everyone to take part in cultural life’ (Article 15(1)(a)), including steps ‘necessary for the conservation, the development and the diffusion of science and culture’ (Article 15(2)). </w:t>
      </w:r>
    </w:p>
    <w:p w14:paraId="32F5AC6E" w14:textId="77777777" w:rsidR="00334389" w:rsidRPr="001F4ECA" w:rsidRDefault="00334389" w:rsidP="00334389">
      <w:pPr>
        <w:rPr>
          <w:rFonts w:ascii="Times New Roman" w:eastAsiaTheme="minorHAnsi" w:hAnsi="Times New Roman"/>
          <w:sz w:val="24"/>
          <w:szCs w:val="24"/>
          <w:lang w:eastAsia="en-US"/>
        </w:rPr>
      </w:pPr>
    </w:p>
    <w:p w14:paraId="15E4D028"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Under the CRC, States Parties are required to ‘respect and promote the right of the child to participate fully in cultural and artistic life’ and to ‘encourage the provision of appropriate and equal opportunities for cultural, artistic, recreational and leisure activity’ (Article 31(2)).  Article 4 of the CRC obliges States Parties to undertake ‘all appropriate legislative, administrative, and other measures for the implementation of the rights recognized in the present Convention’. </w:t>
      </w:r>
    </w:p>
    <w:p w14:paraId="061239FE" w14:textId="77777777" w:rsidR="00334389" w:rsidRPr="001F4ECA" w:rsidRDefault="00334389" w:rsidP="00334389">
      <w:pPr>
        <w:rPr>
          <w:rFonts w:ascii="Times New Roman" w:eastAsiaTheme="minorHAnsi" w:hAnsi="Times New Roman"/>
          <w:sz w:val="24"/>
          <w:szCs w:val="24"/>
          <w:lang w:eastAsia="en-US"/>
        </w:rPr>
      </w:pPr>
    </w:p>
    <w:p w14:paraId="0447863E"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lastRenderedPageBreak/>
        <w:t>The civics and citizenship education initiatives promote participation by school students in cultural life through civics and citizenship education. This assists in both the conservation and diffusion of Australian culture.</w:t>
      </w:r>
    </w:p>
    <w:p w14:paraId="46F59825" w14:textId="77777777" w:rsidR="00334389" w:rsidRPr="001F4ECA" w:rsidRDefault="00334389" w:rsidP="00334389">
      <w:pPr>
        <w:rPr>
          <w:rFonts w:ascii="Times New Roman" w:eastAsiaTheme="minorHAnsi" w:hAnsi="Times New Roman"/>
          <w:sz w:val="24"/>
          <w:szCs w:val="24"/>
          <w:lang w:eastAsia="en-US"/>
        </w:rPr>
      </w:pPr>
    </w:p>
    <w:p w14:paraId="56DA8FF1"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external affairs power also empowers the Parliament to make laws in relation to places, persons, matters or things external to Australia. </w:t>
      </w:r>
    </w:p>
    <w:p w14:paraId="19D0FBDA" w14:textId="77777777" w:rsidR="00334389" w:rsidRPr="001F4ECA" w:rsidRDefault="00334389" w:rsidP="00334389">
      <w:pPr>
        <w:rPr>
          <w:rFonts w:ascii="Times New Roman" w:eastAsiaTheme="minorHAnsi" w:hAnsi="Times New Roman"/>
          <w:sz w:val="24"/>
          <w:szCs w:val="24"/>
          <w:lang w:eastAsia="en-US"/>
        </w:rPr>
      </w:pPr>
    </w:p>
    <w:p w14:paraId="015A91DF" w14:textId="2C45F83B"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As part of the Simpson Prize, funding will be provided to enable the winning students and supporting teachers to travel overseas to attend ANZAC Day celebrations.</w:t>
      </w:r>
    </w:p>
    <w:p w14:paraId="0A9AC9EB" w14:textId="77777777" w:rsidR="00334389" w:rsidRPr="001F4ECA" w:rsidRDefault="00334389" w:rsidP="00334389">
      <w:pPr>
        <w:rPr>
          <w:rFonts w:ascii="Times New Roman" w:eastAsiaTheme="minorHAnsi" w:hAnsi="Times New Roman"/>
          <w:i/>
          <w:sz w:val="24"/>
          <w:szCs w:val="24"/>
          <w:lang w:eastAsia="en-US"/>
        </w:rPr>
      </w:pPr>
    </w:p>
    <w:p w14:paraId="6F40EECC" w14:textId="77777777" w:rsidR="00334389" w:rsidRPr="001F4ECA" w:rsidRDefault="00334389" w:rsidP="00334389">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Territories power</w:t>
      </w:r>
    </w:p>
    <w:p w14:paraId="2915F6D1" w14:textId="77777777" w:rsidR="00334389" w:rsidRPr="001F4ECA" w:rsidRDefault="00334389" w:rsidP="00334389">
      <w:pPr>
        <w:rPr>
          <w:rFonts w:ascii="Times New Roman" w:eastAsiaTheme="minorHAnsi" w:hAnsi="Times New Roman"/>
          <w:sz w:val="24"/>
          <w:szCs w:val="24"/>
          <w:lang w:eastAsia="en-US"/>
        </w:rPr>
      </w:pPr>
    </w:p>
    <w:p w14:paraId="4AAA84F8"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Section 122 of the Constitution empowers the Parliament to ‘make laws for the government of any territory’. </w:t>
      </w:r>
    </w:p>
    <w:p w14:paraId="0ABBFE28" w14:textId="77777777" w:rsidR="00334389" w:rsidRPr="001F4ECA" w:rsidRDefault="00334389" w:rsidP="00334389">
      <w:pPr>
        <w:rPr>
          <w:rFonts w:ascii="Times New Roman" w:eastAsiaTheme="minorHAnsi" w:hAnsi="Times New Roman"/>
          <w:sz w:val="24"/>
          <w:szCs w:val="24"/>
          <w:lang w:eastAsia="en-US"/>
        </w:rPr>
      </w:pPr>
    </w:p>
    <w:p w14:paraId="6911F2C3" w14:textId="629BEB35" w:rsidR="00334389" w:rsidRPr="001F4ECA" w:rsidRDefault="00CB50A6"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w:t>
      </w:r>
      <w:r w:rsidR="00334389"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initiatives</w:t>
      </w:r>
      <w:r w:rsidR="00334389" w:rsidRPr="001F4ECA">
        <w:rPr>
          <w:rFonts w:ascii="Times New Roman" w:eastAsiaTheme="minorHAnsi" w:hAnsi="Times New Roman"/>
          <w:sz w:val="24"/>
          <w:szCs w:val="24"/>
          <w:lang w:eastAsia="en-US"/>
        </w:rPr>
        <w:t xml:space="preserve"> will involve spending for the purposes of activities conducted in schools in the Northern Territory and the Australian Capital Territory. The </w:t>
      </w:r>
      <w:r w:rsidRPr="001F4ECA">
        <w:rPr>
          <w:rFonts w:ascii="Times New Roman" w:eastAsiaTheme="minorHAnsi" w:hAnsi="Times New Roman"/>
          <w:sz w:val="24"/>
          <w:szCs w:val="24"/>
          <w:lang w:eastAsia="en-US"/>
        </w:rPr>
        <w:t>initiatives</w:t>
      </w:r>
      <w:r w:rsidR="00334389" w:rsidRPr="001F4ECA">
        <w:rPr>
          <w:rFonts w:ascii="Times New Roman" w:eastAsiaTheme="minorHAnsi" w:hAnsi="Times New Roman"/>
          <w:sz w:val="24"/>
          <w:szCs w:val="24"/>
          <w:lang w:eastAsia="en-US"/>
        </w:rPr>
        <w:t xml:space="preserve"> will also provide funding to the NSCC held annually in Canberra.</w:t>
      </w:r>
    </w:p>
    <w:p w14:paraId="709AFF73" w14:textId="77777777" w:rsidR="00334389" w:rsidRPr="001F4ECA" w:rsidRDefault="00334389" w:rsidP="00334389">
      <w:pPr>
        <w:rPr>
          <w:rFonts w:ascii="Times New Roman" w:eastAsiaTheme="minorHAnsi" w:hAnsi="Times New Roman"/>
          <w:i/>
          <w:sz w:val="24"/>
          <w:szCs w:val="24"/>
          <w:lang w:eastAsia="en-US"/>
        </w:rPr>
      </w:pPr>
    </w:p>
    <w:p w14:paraId="0546CC1A" w14:textId="4C9C4882" w:rsidR="00334389" w:rsidRPr="001F4ECA" w:rsidRDefault="00B67C18" w:rsidP="00334389">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E</w:t>
      </w:r>
      <w:r w:rsidR="00334389" w:rsidRPr="001F4ECA">
        <w:rPr>
          <w:rFonts w:ascii="Times New Roman" w:eastAsiaTheme="minorHAnsi" w:hAnsi="Times New Roman"/>
          <w:i/>
          <w:sz w:val="24"/>
          <w:szCs w:val="24"/>
          <w:u w:val="single"/>
          <w:lang w:eastAsia="en-US"/>
        </w:rPr>
        <w:t xml:space="preserve">xecutive power and express incidental power, including the nationhood aspect </w:t>
      </w:r>
    </w:p>
    <w:p w14:paraId="0810B586" w14:textId="77777777" w:rsidR="00334389" w:rsidRPr="001F4ECA" w:rsidRDefault="00334389" w:rsidP="00334389">
      <w:pPr>
        <w:rPr>
          <w:rFonts w:ascii="Times New Roman" w:eastAsiaTheme="minorHAnsi" w:hAnsi="Times New Roman"/>
          <w:sz w:val="24"/>
          <w:szCs w:val="24"/>
          <w:lang w:eastAsia="en-US"/>
        </w:rPr>
      </w:pPr>
    </w:p>
    <w:p w14:paraId="04109260" w14:textId="77777777" w:rsidR="00334389" w:rsidRPr="001F4ECA" w:rsidRDefault="00334389"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0ACC254D" w14:textId="77777777" w:rsidR="00334389" w:rsidRPr="001F4ECA" w:rsidRDefault="00334389" w:rsidP="00334389">
      <w:pPr>
        <w:rPr>
          <w:rFonts w:ascii="Times New Roman" w:eastAsiaTheme="minorHAnsi" w:hAnsi="Times New Roman"/>
          <w:sz w:val="24"/>
          <w:szCs w:val="24"/>
          <w:lang w:eastAsia="en-US"/>
        </w:rPr>
      </w:pPr>
    </w:p>
    <w:p w14:paraId="54BFA5D5" w14:textId="437DC330" w:rsidR="00334389" w:rsidRPr="001F4ECA" w:rsidRDefault="00CB50A6" w:rsidP="0033438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initiatives</w:t>
      </w:r>
      <w:r w:rsidR="00334389" w:rsidRPr="001F4ECA">
        <w:rPr>
          <w:rFonts w:ascii="Times New Roman" w:eastAsiaTheme="minorHAnsi" w:hAnsi="Times New Roman"/>
          <w:sz w:val="24"/>
          <w:szCs w:val="24"/>
          <w:lang w:eastAsia="en-US"/>
        </w:rPr>
        <w:t xml:space="preserve"> involves expenditure on national education initiatives and the provision of national prizes and awards.</w:t>
      </w:r>
    </w:p>
    <w:p w14:paraId="06D47CE7" w14:textId="741171D6" w:rsidR="00334389" w:rsidRPr="001F4ECA" w:rsidRDefault="00334389" w:rsidP="00334389">
      <w:pPr>
        <w:rPr>
          <w:rFonts w:ascii="Times New Roman" w:eastAsiaTheme="minorHAnsi" w:hAnsi="Times New Roman"/>
          <w:sz w:val="24"/>
          <w:szCs w:val="24"/>
          <w:lang w:eastAsia="en-US"/>
        </w:rPr>
      </w:pPr>
    </w:p>
    <w:p w14:paraId="2406F4E2" w14:textId="729B15A1" w:rsidR="001B1AAD" w:rsidRPr="001F4ECA" w:rsidRDefault="001B1AAD" w:rsidP="001B1AAD">
      <w:pPr>
        <w:rPr>
          <w:rFonts w:ascii="Times New Roman" w:eastAsiaTheme="minorHAnsi" w:hAnsi="Times New Roman"/>
          <w:b/>
          <w:sz w:val="24"/>
          <w:szCs w:val="24"/>
          <w:lang w:eastAsia="en-US"/>
        </w:rPr>
      </w:pPr>
      <w:r w:rsidRPr="001F4ECA">
        <w:rPr>
          <w:rFonts w:ascii="Times New Roman" w:eastAsiaTheme="minorHAnsi" w:hAnsi="Times New Roman"/>
          <w:b/>
          <w:sz w:val="24"/>
          <w:szCs w:val="24"/>
          <w:lang w:eastAsia="en-US"/>
        </w:rPr>
        <w:t>Item 4 – Part 4 of Schedule 1AB (table item 396)</w:t>
      </w:r>
    </w:p>
    <w:p w14:paraId="2043376E" w14:textId="35A7989E" w:rsidR="00334389" w:rsidRPr="001F4ECA" w:rsidRDefault="00334389" w:rsidP="00F03C1F">
      <w:pPr>
        <w:rPr>
          <w:rFonts w:ascii="Times New Roman" w:eastAsiaTheme="minorHAnsi" w:hAnsi="Times New Roman"/>
          <w:sz w:val="24"/>
          <w:szCs w:val="24"/>
          <w:lang w:eastAsia="en-US"/>
        </w:rPr>
      </w:pPr>
    </w:p>
    <w:p w14:paraId="36697A95" w14:textId="3274A812" w:rsidR="001B1AAD" w:rsidRPr="001F4ECA" w:rsidRDefault="00525D3F"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I</w:t>
      </w:r>
      <w:r w:rsidR="001B1AAD" w:rsidRPr="001F4ECA">
        <w:rPr>
          <w:rFonts w:ascii="Times New Roman" w:eastAsiaTheme="minorHAnsi" w:hAnsi="Times New Roman"/>
          <w:sz w:val="24"/>
          <w:szCs w:val="24"/>
          <w:lang w:eastAsia="en-US"/>
        </w:rPr>
        <w:t xml:space="preserve">tem </w:t>
      </w:r>
      <w:r w:rsidRPr="001F4ECA">
        <w:rPr>
          <w:rFonts w:ascii="Times New Roman" w:eastAsiaTheme="minorHAnsi" w:hAnsi="Times New Roman"/>
          <w:sz w:val="24"/>
          <w:szCs w:val="24"/>
          <w:lang w:eastAsia="en-US"/>
        </w:rPr>
        <w:t xml:space="preserve">4 </w:t>
      </w:r>
      <w:r w:rsidR="001B1AAD" w:rsidRPr="001F4ECA">
        <w:rPr>
          <w:rFonts w:ascii="Times New Roman" w:eastAsiaTheme="minorHAnsi" w:hAnsi="Times New Roman"/>
          <w:sz w:val="24"/>
          <w:szCs w:val="24"/>
          <w:lang w:eastAsia="en-US"/>
        </w:rPr>
        <w:t xml:space="preserve">amends table item 396 in Part 4 of Schedule 1AB by repealing and substituting the full text of the item. The amended table item 396 establishes legislative authority for government spending on the Mid-Career Checkpoint (the </w:t>
      </w:r>
      <w:r w:rsidRPr="001F4ECA">
        <w:rPr>
          <w:rFonts w:ascii="Times New Roman" w:eastAsiaTheme="minorHAnsi" w:hAnsi="Times New Roman"/>
          <w:sz w:val="24"/>
          <w:szCs w:val="24"/>
          <w:lang w:eastAsia="en-US"/>
        </w:rPr>
        <w:t>p</w:t>
      </w:r>
      <w:r w:rsidR="001B1AAD" w:rsidRPr="001F4ECA">
        <w:rPr>
          <w:rFonts w:ascii="Times New Roman" w:eastAsiaTheme="minorHAnsi" w:hAnsi="Times New Roman"/>
          <w:sz w:val="24"/>
          <w:szCs w:val="24"/>
          <w:lang w:eastAsia="en-US"/>
        </w:rPr>
        <w:t xml:space="preserve">rogram), which provides funding for career guidance and training to assist persons to return to work or remain in work. </w:t>
      </w:r>
    </w:p>
    <w:p w14:paraId="079080CC" w14:textId="77777777" w:rsidR="001B1AAD" w:rsidRPr="001F4ECA" w:rsidRDefault="001B1AAD" w:rsidP="001B1AAD">
      <w:pPr>
        <w:rPr>
          <w:rFonts w:ascii="Times New Roman" w:eastAsiaTheme="minorHAnsi" w:hAnsi="Times New Roman"/>
          <w:sz w:val="24"/>
          <w:szCs w:val="24"/>
          <w:lang w:eastAsia="en-US"/>
        </w:rPr>
      </w:pPr>
    </w:p>
    <w:p w14:paraId="5A03812B" w14:textId="0855DF06" w:rsidR="00B01886" w:rsidRPr="001F4ECA" w:rsidRDefault="00B01886" w:rsidP="00B01886">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On 11 May 2021, as part of the </w:t>
      </w:r>
      <w:r w:rsidR="00B21714" w:rsidRPr="001F4ECA">
        <w:rPr>
          <w:rFonts w:ascii="Times New Roman" w:eastAsiaTheme="minorHAnsi" w:hAnsi="Times New Roman"/>
          <w:sz w:val="24"/>
          <w:szCs w:val="24"/>
          <w:lang w:eastAsia="en-US"/>
        </w:rPr>
        <w:t xml:space="preserve">2021-22 </w:t>
      </w:r>
      <w:r w:rsidRPr="001F4ECA">
        <w:rPr>
          <w:rFonts w:ascii="Times New Roman" w:eastAsiaTheme="minorHAnsi" w:hAnsi="Times New Roman"/>
          <w:sz w:val="24"/>
          <w:szCs w:val="24"/>
          <w:lang w:eastAsia="en-US"/>
        </w:rPr>
        <w:t xml:space="preserve">Women’s Budget Statement, the Government announced it is expanding access to the existing </w:t>
      </w:r>
      <w:r w:rsidR="00B21714"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by </w:t>
      </w:r>
      <w:r w:rsidR="00B21714" w:rsidRPr="001F4ECA">
        <w:rPr>
          <w:rFonts w:ascii="Times New Roman" w:eastAsiaTheme="minorHAnsi" w:hAnsi="Times New Roman"/>
          <w:sz w:val="24"/>
          <w:szCs w:val="24"/>
          <w:lang w:eastAsia="en-US"/>
        </w:rPr>
        <w:t>reducing</w:t>
      </w:r>
      <w:r w:rsidRPr="001F4ECA">
        <w:rPr>
          <w:rFonts w:ascii="Times New Roman" w:eastAsiaTheme="minorHAnsi" w:hAnsi="Times New Roman"/>
          <w:sz w:val="24"/>
          <w:szCs w:val="24"/>
          <w:lang w:eastAsia="en-US"/>
        </w:rPr>
        <w:t xml:space="preserve"> the requirement for participants to be out of paid employment for two or more years to only six or more months. The </w:t>
      </w:r>
      <w:r w:rsidR="00B21714" w:rsidRPr="001F4ECA">
        <w:rPr>
          <w:rFonts w:ascii="Times New Roman" w:eastAsiaTheme="minorHAnsi" w:hAnsi="Times New Roman"/>
          <w:sz w:val="24"/>
          <w:szCs w:val="24"/>
          <w:lang w:eastAsia="en-US"/>
        </w:rPr>
        <w:t xml:space="preserve">2021-22 </w:t>
      </w:r>
      <w:r w:rsidRPr="001F4ECA">
        <w:rPr>
          <w:rFonts w:ascii="Times New Roman" w:eastAsiaTheme="minorHAnsi" w:hAnsi="Times New Roman"/>
          <w:sz w:val="24"/>
          <w:szCs w:val="24"/>
          <w:lang w:eastAsia="en-US"/>
        </w:rPr>
        <w:t xml:space="preserve">Budget also outlined that the Government was expanding the </w:t>
      </w:r>
      <w:r w:rsidR="00B21714"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to Victoria, beyond the existing pilots in Queensland and New South Wales, and to include existing workers at risk of unemployment, primarily targeting female</w:t>
      </w:r>
      <w:r w:rsidR="00B21714"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dominated, COVID-19 affected industries. </w:t>
      </w:r>
    </w:p>
    <w:p w14:paraId="074423B1" w14:textId="77777777" w:rsidR="001B1AAD" w:rsidRPr="001F4ECA" w:rsidRDefault="001B1AAD" w:rsidP="001B1AAD">
      <w:pPr>
        <w:rPr>
          <w:rFonts w:ascii="Times New Roman" w:eastAsiaTheme="minorHAnsi" w:hAnsi="Times New Roman"/>
          <w:sz w:val="24"/>
          <w:szCs w:val="24"/>
          <w:lang w:eastAsia="en-US"/>
        </w:rPr>
      </w:pPr>
    </w:p>
    <w:p w14:paraId="6936FF79" w14:textId="58F7181E" w:rsidR="001B1AAD" w:rsidRPr="001F4ECA" w:rsidRDefault="00B01886"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00403D12"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is a key element of the Government’s </w:t>
      </w:r>
      <w:r w:rsidRPr="001F4ECA">
        <w:rPr>
          <w:rFonts w:ascii="Times New Roman" w:eastAsiaTheme="minorHAnsi" w:hAnsi="Times New Roman"/>
          <w:i/>
          <w:sz w:val="24"/>
          <w:szCs w:val="24"/>
          <w:lang w:eastAsia="en-US"/>
        </w:rPr>
        <w:t>Women’s Economic Security Statement 2020</w:t>
      </w:r>
      <w:r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u w:val="single"/>
          <w:lang w:eastAsia="en-US"/>
        </w:rPr>
        <w:t>https://pmc.gov.au/office-women/economic-security/wess</w:t>
      </w:r>
      <w:r w:rsidRPr="001F4ECA">
        <w:rPr>
          <w:rFonts w:ascii="Times New Roman" w:eastAsiaTheme="minorHAnsi" w:hAnsi="Times New Roman"/>
          <w:sz w:val="24"/>
          <w:szCs w:val="24"/>
          <w:lang w:eastAsia="en-US"/>
        </w:rPr>
        <w:t>), and seeks to support women’s workforce participation and economic security through providing free</w:t>
      </w:r>
      <w:r w:rsidR="00403D12" w:rsidRPr="001F4ECA">
        <w:rPr>
          <w:rFonts w:ascii="Times New Roman" w:eastAsiaTheme="minorHAnsi" w:hAnsi="Times New Roman"/>
          <w:sz w:val="24"/>
          <w:szCs w:val="24"/>
          <w:lang w:eastAsia="en-US"/>
        </w:rPr>
        <w:t xml:space="preserve"> professional skills and career</w:t>
      </w:r>
      <w:r w:rsidRPr="001F4ECA">
        <w:rPr>
          <w:rFonts w:ascii="Times New Roman" w:eastAsiaTheme="minorHAnsi" w:hAnsi="Times New Roman"/>
          <w:sz w:val="24"/>
          <w:szCs w:val="24"/>
          <w:lang w:eastAsia="en-US"/>
        </w:rPr>
        <w:t xml:space="preserve"> advice.</w:t>
      </w:r>
    </w:p>
    <w:p w14:paraId="64983F12" w14:textId="77777777" w:rsidR="00B01886" w:rsidRPr="001F4ECA" w:rsidRDefault="00B01886" w:rsidP="001B1AAD">
      <w:pPr>
        <w:rPr>
          <w:rFonts w:ascii="Times New Roman" w:eastAsiaTheme="minorHAnsi" w:hAnsi="Times New Roman"/>
          <w:sz w:val="24"/>
          <w:szCs w:val="24"/>
          <w:lang w:eastAsia="en-US"/>
        </w:rPr>
      </w:pPr>
    </w:p>
    <w:p w14:paraId="7DF3B3D9" w14:textId="5B0AD6BB" w:rsidR="001B1AAD" w:rsidRPr="001F4ECA" w:rsidRDefault="00403D12"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lastRenderedPageBreak/>
        <w:t>The p</w:t>
      </w:r>
      <w:r w:rsidR="001B1AAD" w:rsidRPr="001F4ECA">
        <w:rPr>
          <w:rFonts w:ascii="Times New Roman" w:eastAsiaTheme="minorHAnsi" w:hAnsi="Times New Roman"/>
          <w:sz w:val="24"/>
          <w:szCs w:val="24"/>
          <w:lang w:eastAsia="en-US"/>
        </w:rPr>
        <w:t>rogram was a 2019 election commitment to invest $75.0 million to establish a mid</w:t>
      </w:r>
      <w:r w:rsidRPr="001F4ECA">
        <w:rPr>
          <w:rFonts w:ascii="Times New Roman" w:eastAsiaTheme="minorHAnsi" w:hAnsi="Times New Roman"/>
          <w:sz w:val="24"/>
          <w:szCs w:val="24"/>
          <w:lang w:eastAsia="en-US"/>
        </w:rPr>
        <w:noBreakHyphen/>
      </w:r>
      <w:r w:rsidR="001B1AAD" w:rsidRPr="001F4ECA">
        <w:rPr>
          <w:rFonts w:ascii="Times New Roman" w:eastAsiaTheme="minorHAnsi" w:hAnsi="Times New Roman"/>
          <w:sz w:val="24"/>
          <w:szCs w:val="24"/>
          <w:lang w:eastAsia="en-US"/>
        </w:rPr>
        <w:t>career checkpoint for caregivers who have taken time out of their career to care for their family and now seek to return to the workforce.</w:t>
      </w:r>
    </w:p>
    <w:p w14:paraId="09478572" w14:textId="77777777" w:rsidR="001B1AAD" w:rsidRPr="001F4ECA" w:rsidRDefault="001B1AAD" w:rsidP="001B1AAD">
      <w:pPr>
        <w:rPr>
          <w:rFonts w:ascii="Times New Roman" w:eastAsiaTheme="minorHAnsi" w:hAnsi="Times New Roman"/>
          <w:sz w:val="24"/>
          <w:szCs w:val="24"/>
          <w:lang w:eastAsia="en-US"/>
        </w:rPr>
      </w:pPr>
    </w:p>
    <w:p w14:paraId="17D71266" w14:textId="390D46AF"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00403D12"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commenced as a pilot on 1 July 2020, </w:t>
      </w:r>
      <w:r w:rsidR="00B01886" w:rsidRPr="001F4ECA">
        <w:rPr>
          <w:rFonts w:ascii="Times New Roman" w:eastAsiaTheme="minorHAnsi" w:hAnsi="Times New Roman"/>
          <w:sz w:val="24"/>
          <w:szCs w:val="24"/>
          <w:lang w:eastAsia="en-US"/>
        </w:rPr>
        <w:t>was</w:t>
      </w:r>
      <w:r w:rsidRPr="001F4ECA">
        <w:rPr>
          <w:rFonts w:ascii="Times New Roman" w:eastAsiaTheme="minorHAnsi" w:hAnsi="Times New Roman"/>
          <w:sz w:val="24"/>
          <w:szCs w:val="24"/>
          <w:lang w:eastAsia="en-US"/>
        </w:rPr>
        <w:t xml:space="preserve"> limited to 1,000 participants in New South Wales and Queensland and available to eligible working age Australians</w:t>
      </w:r>
      <w:r w:rsidR="00403D12"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in particular target</w:t>
      </w:r>
      <w:r w:rsidR="00403D12" w:rsidRPr="001F4ECA">
        <w:rPr>
          <w:rFonts w:ascii="Times New Roman" w:eastAsiaTheme="minorHAnsi" w:hAnsi="Times New Roman"/>
          <w:sz w:val="24"/>
          <w:szCs w:val="24"/>
          <w:lang w:eastAsia="en-US"/>
        </w:rPr>
        <w:t>ing</w:t>
      </w:r>
      <w:r w:rsidRPr="001F4ECA">
        <w:rPr>
          <w:rFonts w:ascii="Times New Roman" w:eastAsiaTheme="minorHAnsi" w:hAnsi="Times New Roman"/>
          <w:sz w:val="24"/>
          <w:szCs w:val="24"/>
          <w:lang w:eastAsia="en-US"/>
        </w:rPr>
        <w:t xml:space="preserve"> women aged 30 to 45</w:t>
      </w:r>
      <w:r w:rsidR="00403D12" w:rsidRPr="001F4ECA">
        <w:rPr>
          <w:rFonts w:ascii="Times New Roman" w:eastAsiaTheme="minorHAnsi" w:hAnsi="Times New Roman"/>
          <w:sz w:val="24"/>
          <w:szCs w:val="24"/>
          <w:lang w:eastAsia="en-US"/>
        </w:rPr>
        <w:t xml:space="preserve"> years</w:t>
      </w:r>
      <w:r w:rsidRPr="001F4ECA">
        <w:rPr>
          <w:rFonts w:ascii="Times New Roman" w:eastAsiaTheme="minorHAnsi" w:hAnsi="Times New Roman"/>
          <w:sz w:val="24"/>
          <w:szCs w:val="24"/>
          <w:lang w:eastAsia="en-US"/>
        </w:rPr>
        <w:t>, support</w:t>
      </w:r>
      <w:r w:rsidR="00403D12" w:rsidRPr="001F4ECA">
        <w:rPr>
          <w:rFonts w:ascii="Times New Roman" w:eastAsiaTheme="minorHAnsi" w:hAnsi="Times New Roman"/>
          <w:sz w:val="24"/>
          <w:szCs w:val="24"/>
          <w:lang w:eastAsia="en-US"/>
        </w:rPr>
        <w:t>ing</w:t>
      </w:r>
      <w:r w:rsidRPr="001F4ECA">
        <w:rPr>
          <w:rFonts w:ascii="Times New Roman" w:eastAsiaTheme="minorHAnsi" w:hAnsi="Times New Roman"/>
          <w:sz w:val="24"/>
          <w:szCs w:val="24"/>
          <w:lang w:eastAsia="en-US"/>
        </w:rPr>
        <w:t xml:space="preserve"> them to achieve economic security and to avoid the need to transition to income support.</w:t>
      </w:r>
    </w:p>
    <w:p w14:paraId="30E99E6F" w14:textId="77777777" w:rsidR="001B1AAD" w:rsidRPr="001F4ECA" w:rsidRDefault="001B1AAD" w:rsidP="001B1AAD">
      <w:pPr>
        <w:rPr>
          <w:rFonts w:ascii="Times New Roman" w:eastAsiaTheme="minorHAnsi" w:hAnsi="Times New Roman"/>
          <w:sz w:val="24"/>
          <w:szCs w:val="24"/>
          <w:lang w:eastAsia="en-US"/>
        </w:rPr>
      </w:pPr>
    </w:p>
    <w:p w14:paraId="0D6FD7D4" w14:textId="2ACE3C11"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Currently</w:t>
      </w:r>
      <w:r w:rsidR="005559D2"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the </w:t>
      </w:r>
      <w:r w:rsidR="005559D2"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provides two entry points:</w:t>
      </w:r>
    </w:p>
    <w:p w14:paraId="16B788C8" w14:textId="77777777" w:rsidR="001B1AAD" w:rsidRPr="001F4ECA" w:rsidRDefault="001B1AAD" w:rsidP="001B1AAD">
      <w:pPr>
        <w:numPr>
          <w:ilvl w:val="0"/>
          <w:numId w:val="30"/>
        </w:numPr>
        <w:rPr>
          <w:rFonts w:ascii="Times New Roman" w:eastAsiaTheme="minorHAnsi" w:hAnsi="Times New Roman"/>
          <w:sz w:val="24"/>
          <w:szCs w:val="24"/>
          <w:lang w:eastAsia="en-US"/>
        </w:rPr>
      </w:pPr>
      <w:r w:rsidRPr="001F4ECA">
        <w:rPr>
          <w:rFonts w:ascii="Times New Roman" w:eastAsiaTheme="minorHAnsi" w:hAnsi="Times New Roman"/>
          <w:i/>
          <w:iCs/>
          <w:sz w:val="24"/>
          <w:szCs w:val="24"/>
          <w:lang w:eastAsia="en-US"/>
        </w:rPr>
        <w:t>Stepping Back In</w:t>
      </w:r>
      <w:r w:rsidRPr="001F4ECA">
        <w:rPr>
          <w:rFonts w:ascii="Times New Roman" w:eastAsiaTheme="minorHAnsi" w:hAnsi="Times New Roman"/>
          <w:sz w:val="24"/>
          <w:szCs w:val="24"/>
          <w:lang w:eastAsia="en-US"/>
        </w:rPr>
        <w:t>: support for carers to re-enter the workforce; and</w:t>
      </w:r>
    </w:p>
    <w:p w14:paraId="1A070CF1" w14:textId="77777777" w:rsidR="001B1AAD" w:rsidRPr="001F4ECA" w:rsidRDefault="001B1AAD" w:rsidP="001B1AAD">
      <w:pPr>
        <w:numPr>
          <w:ilvl w:val="0"/>
          <w:numId w:val="30"/>
        </w:numPr>
        <w:rPr>
          <w:rFonts w:ascii="Times New Roman" w:eastAsiaTheme="minorHAnsi" w:hAnsi="Times New Roman"/>
          <w:sz w:val="24"/>
          <w:szCs w:val="24"/>
          <w:lang w:eastAsia="en-US"/>
        </w:rPr>
      </w:pPr>
      <w:r w:rsidRPr="001F4ECA">
        <w:rPr>
          <w:rFonts w:ascii="Times New Roman" w:eastAsiaTheme="minorHAnsi" w:hAnsi="Times New Roman"/>
          <w:i/>
          <w:iCs/>
          <w:sz w:val="24"/>
          <w:szCs w:val="24"/>
          <w:lang w:eastAsia="en-US"/>
        </w:rPr>
        <w:t>Stepping Up</w:t>
      </w:r>
      <w:r w:rsidRPr="001F4ECA">
        <w:rPr>
          <w:rFonts w:ascii="Times New Roman" w:eastAsiaTheme="minorHAnsi" w:hAnsi="Times New Roman"/>
          <w:sz w:val="24"/>
          <w:szCs w:val="24"/>
          <w:lang w:eastAsia="en-US"/>
        </w:rPr>
        <w:t>: support to advance the careers of carers recently returned to the workforce.</w:t>
      </w:r>
    </w:p>
    <w:p w14:paraId="7996C0BC" w14:textId="221C0CD6" w:rsidR="001B1AAD" w:rsidRPr="001F4ECA" w:rsidRDefault="001B1AAD" w:rsidP="00F03C1F">
      <w:pPr>
        <w:rPr>
          <w:rFonts w:ascii="Times New Roman" w:eastAsiaTheme="minorHAnsi" w:hAnsi="Times New Roman"/>
          <w:sz w:val="24"/>
          <w:szCs w:val="24"/>
          <w:lang w:eastAsia="en-US"/>
        </w:rPr>
      </w:pPr>
    </w:p>
    <w:p w14:paraId="2BFC6DF1" w14:textId="77777777"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Participants in </w:t>
      </w:r>
      <w:r w:rsidRPr="001F4ECA">
        <w:rPr>
          <w:rFonts w:ascii="Times New Roman" w:eastAsiaTheme="minorHAnsi" w:hAnsi="Times New Roman"/>
          <w:i/>
          <w:iCs/>
          <w:sz w:val="24"/>
          <w:szCs w:val="24"/>
          <w:lang w:eastAsia="en-US"/>
        </w:rPr>
        <w:t xml:space="preserve">Stepping Back In </w:t>
      </w:r>
      <w:r w:rsidRPr="001F4ECA">
        <w:rPr>
          <w:rFonts w:ascii="Times New Roman" w:eastAsiaTheme="minorHAnsi" w:hAnsi="Times New Roman"/>
          <w:sz w:val="24"/>
          <w:szCs w:val="24"/>
          <w:lang w:eastAsia="en-US"/>
        </w:rPr>
        <w:t xml:space="preserve">are provided with an initial discussion to assess their skills, needs and employment goals, and are provided with detailed career advice plan, including advice on professional development and skills training. Participants in </w:t>
      </w:r>
      <w:r w:rsidRPr="001F4ECA">
        <w:rPr>
          <w:rFonts w:ascii="Times New Roman" w:eastAsiaTheme="minorHAnsi" w:hAnsi="Times New Roman"/>
          <w:i/>
          <w:iCs/>
          <w:sz w:val="24"/>
          <w:szCs w:val="24"/>
          <w:lang w:eastAsia="en-US"/>
        </w:rPr>
        <w:t xml:space="preserve">Stepping Up </w:t>
      </w:r>
      <w:r w:rsidRPr="001F4ECA">
        <w:rPr>
          <w:rFonts w:ascii="Times New Roman" w:eastAsiaTheme="minorHAnsi" w:hAnsi="Times New Roman"/>
          <w:sz w:val="24"/>
          <w:szCs w:val="24"/>
          <w:lang w:eastAsia="en-US"/>
        </w:rPr>
        <w:t>are provided with a skills and employment assessment and a detailed career advice plan. All participants will also have the opportunity to engage in coaching sessions focussed on developing relevant skills, such as interview preparation, digital literacy or negotiating flexible working arrangements.</w:t>
      </w:r>
    </w:p>
    <w:p w14:paraId="545F1417" w14:textId="77777777" w:rsidR="001B1AAD" w:rsidRPr="001F4ECA" w:rsidRDefault="001B1AAD" w:rsidP="001B1AAD">
      <w:pPr>
        <w:rPr>
          <w:rFonts w:ascii="Times New Roman" w:eastAsiaTheme="minorHAnsi" w:hAnsi="Times New Roman"/>
          <w:sz w:val="24"/>
          <w:szCs w:val="24"/>
          <w:lang w:eastAsia="en-US"/>
        </w:rPr>
      </w:pPr>
    </w:p>
    <w:p w14:paraId="7A265BF5" w14:textId="610FBA8B"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amended table item 396 cover</w:t>
      </w:r>
      <w:r w:rsidR="00446D75" w:rsidRPr="001F4ECA">
        <w:rPr>
          <w:rFonts w:ascii="Times New Roman" w:eastAsiaTheme="minorHAnsi" w:hAnsi="Times New Roman"/>
          <w:sz w:val="24"/>
          <w:szCs w:val="24"/>
          <w:lang w:eastAsia="en-US"/>
        </w:rPr>
        <w:t>s</w:t>
      </w:r>
      <w:r w:rsidRPr="001F4ECA">
        <w:rPr>
          <w:rFonts w:ascii="Times New Roman" w:eastAsiaTheme="minorHAnsi" w:hAnsi="Times New Roman"/>
          <w:sz w:val="24"/>
          <w:szCs w:val="24"/>
          <w:lang w:eastAsia="en-US"/>
        </w:rPr>
        <w:t xml:space="preserve"> </w:t>
      </w:r>
      <w:r w:rsidRPr="001F4ECA">
        <w:rPr>
          <w:rFonts w:ascii="Times New Roman" w:eastAsiaTheme="minorHAnsi" w:hAnsi="Times New Roman"/>
          <w:iCs/>
          <w:sz w:val="24"/>
          <w:szCs w:val="24"/>
          <w:lang w:eastAsia="en-US"/>
        </w:rPr>
        <w:t xml:space="preserve">expenditure for the </w:t>
      </w:r>
      <w:r w:rsidRPr="001F4ECA">
        <w:rPr>
          <w:rFonts w:ascii="Times New Roman" w:eastAsiaTheme="minorHAnsi" w:hAnsi="Times New Roman"/>
          <w:i/>
          <w:iCs/>
          <w:sz w:val="24"/>
          <w:szCs w:val="24"/>
          <w:lang w:eastAsia="en-US"/>
        </w:rPr>
        <w:t>Stepping Back In</w:t>
      </w:r>
      <w:r w:rsidRPr="001F4ECA">
        <w:rPr>
          <w:rFonts w:ascii="Times New Roman" w:eastAsiaTheme="minorHAnsi" w:hAnsi="Times New Roman"/>
          <w:iCs/>
          <w:sz w:val="24"/>
          <w:szCs w:val="24"/>
          <w:lang w:eastAsia="en-US"/>
        </w:rPr>
        <w:t xml:space="preserve"> and </w:t>
      </w:r>
      <w:r w:rsidRPr="001F4ECA">
        <w:rPr>
          <w:rFonts w:ascii="Times New Roman" w:eastAsiaTheme="minorHAnsi" w:hAnsi="Times New Roman"/>
          <w:i/>
          <w:iCs/>
          <w:sz w:val="24"/>
          <w:szCs w:val="24"/>
          <w:lang w:eastAsia="en-US"/>
        </w:rPr>
        <w:t>Stepping Up</w:t>
      </w:r>
      <w:r w:rsidRPr="001F4ECA">
        <w:rPr>
          <w:rFonts w:ascii="Times New Roman" w:eastAsiaTheme="minorHAnsi" w:hAnsi="Times New Roman"/>
          <w:iCs/>
          <w:sz w:val="24"/>
          <w:szCs w:val="24"/>
          <w:lang w:eastAsia="en-US"/>
        </w:rPr>
        <w:t xml:space="preserve"> activities</w:t>
      </w:r>
      <w:r w:rsidR="00446D75" w:rsidRPr="001F4ECA">
        <w:rPr>
          <w:rFonts w:ascii="Times New Roman" w:eastAsiaTheme="minorHAnsi" w:hAnsi="Times New Roman"/>
          <w:iCs/>
          <w:sz w:val="24"/>
          <w:szCs w:val="24"/>
          <w:lang w:eastAsia="en-US"/>
        </w:rPr>
        <w:t xml:space="preserve"> as</w:t>
      </w:r>
      <w:r w:rsidRPr="001F4ECA">
        <w:rPr>
          <w:rFonts w:ascii="Times New Roman" w:eastAsiaTheme="minorHAnsi" w:hAnsi="Times New Roman"/>
          <w:iCs/>
          <w:sz w:val="24"/>
          <w:szCs w:val="24"/>
          <w:lang w:eastAsia="en-US"/>
        </w:rPr>
        <w:t xml:space="preserve"> supported by the original item 396, as well as expenditure for the new entry point for those in selected female</w:t>
      </w:r>
      <w:r w:rsidR="00446D75" w:rsidRPr="001F4ECA">
        <w:rPr>
          <w:rFonts w:ascii="Times New Roman" w:eastAsiaTheme="minorHAnsi" w:hAnsi="Times New Roman"/>
          <w:iCs/>
          <w:sz w:val="24"/>
          <w:szCs w:val="24"/>
          <w:lang w:eastAsia="en-US"/>
        </w:rPr>
        <w:t>-</w:t>
      </w:r>
      <w:r w:rsidRPr="001F4ECA">
        <w:rPr>
          <w:rFonts w:ascii="Times New Roman" w:eastAsiaTheme="minorHAnsi" w:hAnsi="Times New Roman"/>
          <w:iCs/>
          <w:sz w:val="24"/>
          <w:szCs w:val="24"/>
          <w:lang w:eastAsia="en-US"/>
        </w:rPr>
        <w:t>dominated, COVID-19 affected industries.</w:t>
      </w:r>
    </w:p>
    <w:p w14:paraId="210D8E21" w14:textId="77777777" w:rsidR="00446D75" w:rsidRPr="001F4ECA" w:rsidRDefault="00446D75" w:rsidP="00F03C1F">
      <w:pPr>
        <w:rPr>
          <w:rFonts w:ascii="Times New Roman" w:eastAsiaTheme="minorHAnsi" w:hAnsi="Times New Roman"/>
          <w:sz w:val="24"/>
          <w:szCs w:val="24"/>
          <w:lang w:eastAsia="en-US"/>
        </w:rPr>
      </w:pPr>
    </w:p>
    <w:p w14:paraId="57AE0D3A" w14:textId="0215332B"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Currently</w:t>
      </w:r>
      <w:r w:rsidR="00446D75"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eligible participants must have left employment for t</w:t>
      </w:r>
      <w:r w:rsidR="00670836" w:rsidRPr="001F4ECA">
        <w:rPr>
          <w:rFonts w:ascii="Times New Roman" w:eastAsiaTheme="minorHAnsi" w:hAnsi="Times New Roman"/>
          <w:sz w:val="24"/>
          <w:szCs w:val="24"/>
          <w:lang w:eastAsia="en-US"/>
        </w:rPr>
        <w:t>wo years or more to take up car</w:t>
      </w:r>
      <w:r w:rsidRPr="001F4ECA">
        <w:rPr>
          <w:rFonts w:ascii="Times New Roman" w:eastAsiaTheme="minorHAnsi" w:hAnsi="Times New Roman"/>
          <w:sz w:val="24"/>
          <w:szCs w:val="24"/>
          <w:lang w:eastAsia="en-US"/>
        </w:rPr>
        <w:t>ing responsibilities, or have returned to paid employment within 18 months after a break for caring responsibilities.</w:t>
      </w:r>
      <w:r w:rsidR="00446D75"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 xml:space="preserve">The amended table item 396 will expand </w:t>
      </w:r>
      <w:r w:rsidR="00446D75" w:rsidRPr="001F4ECA">
        <w:rPr>
          <w:rFonts w:ascii="Times New Roman" w:eastAsiaTheme="minorHAnsi" w:hAnsi="Times New Roman"/>
          <w:sz w:val="24"/>
          <w:szCs w:val="24"/>
          <w:lang w:eastAsia="en-US"/>
        </w:rPr>
        <w:t>e</w:t>
      </w:r>
      <w:r w:rsidRPr="001F4ECA">
        <w:rPr>
          <w:rFonts w:ascii="Times New Roman" w:eastAsiaTheme="minorHAnsi" w:hAnsi="Times New Roman"/>
          <w:sz w:val="24"/>
          <w:szCs w:val="24"/>
          <w:lang w:eastAsia="en-US"/>
        </w:rPr>
        <w:t>ligibility to existing workers in female</w:t>
      </w:r>
      <w:r w:rsidR="00446D75"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dominated, COVID</w:t>
      </w:r>
      <w:r w:rsidRPr="001F4ECA">
        <w:rPr>
          <w:rFonts w:ascii="Times New Roman" w:eastAsiaTheme="minorHAnsi" w:hAnsi="Times New Roman"/>
          <w:sz w:val="24"/>
          <w:szCs w:val="24"/>
          <w:lang w:eastAsia="en-US"/>
        </w:rPr>
        <w:noBreakHyphen/>
        <w:t xml:space="preserve">19 affected industries (the new designated industry entry point). This group has been selected as industries most impacted by the pandemic have a traditionally predominantly female workforce. It is expected that </w:t>
      </w:r>
      <w:r w:rsidR="00446D75"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guidelines will designate particular industries as female</w:t>
      </w:r>
      <w:r w:rsidR="00446D75"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dominated, COVID-19 affected industries based on Australian Bureau of Statistics (ABS) data. </w:t>
      </w:r>
    </w:p>
    <w:p w14:paraId="4B3E3CCA" w14:textId="77777777" w:rsidR="001B1AAD" w:rsidRPr="001F4ECA" w:rsidRDefault="001B1AAD" w:rsidP="001B1AAD">
      <w:pPr>
        <w:rPr>
          <w:rFonts w:ascii="Times New Roman" w:eastAsiaTheme="minorHAnsi" w:hAnsi="Times New Roman"/>
          <w:sz w:val="24"/>
          <w:szCs w:val="24"/>
          <w:lang w:eastAsia="en-US"/>
        </w:rPr>
      </w:pPr>
    </w:p>
    <w:p w14:paraId="480C7D1E" w14:textId="50802171"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In addition, the department will implement a number of </w:t>
      </w:r>
      <w:r w:rsidR="00446D75"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refinements in 2021. This includes providing all </w:t>
      </w:r>
      <w:r w:rsidR="00446D75" w:rsidRPr="001F4ECA">
        <w:rPr>
          <w:rFonts w:ascii="Times New Roman" w:eastAsiaTheme="minorHAnsi" w:hAnsi="Times New Roman"/>
          <w:sz w:val="24"/>
          <w:szCs w:val="24"/>
          <w:lang w:eastAsia="en-US"/>
        </w:rPr>
        <w:t xml:space="preserve">program </w:t>
      </w:r>
      <w:r w:rsidRPr="001F4ECA">
        <w:rPr>
          <w:rFonts w:ascii="Times New Roman" w:eastAsiaTheme="minorHAnsi" w:hAnsi="Times New Roman"/>
          <w:sz w:val="24"/>
          <w:szCs w:val="24"/>
          <w:lang w:eastAsia="en-US"/>
        </w:rPr>
        <w:t xml:space="preserve">participants with access to a capped </w:t>
      </w:r>
      <w:r w:rsidRPr="001F4ECA">
        <w:rPr>
          <w:rFonts w:ascii="Times New Roman" w:eastAsiaTheme="minorHAnsi" w:hAnsi="Times New Roman"/>
          <w:bCs/>
          <w:sz w:val="24"/>
          <w:szCs w:val="24"/>
          <w:lang w:eastAsia="en-US"/>
        </w:rPr>
        <w:t xml:space="preserve">$3,000 (GST exclusive) training grant to allow them to undertake training recommended in their career advice plan. This will provide a strong incentive for participants to access training once they have received career advice as part of the </w:t>
      </w:r>
      <w:r w:rsidR="00446D75" w:rsidRPr="001F4ECA">
        <w:rPr>
          <w:rFonts w:ascii="Times New Roman" w:eastAsiaTheme="minorHAnsi" w:hAnsi="Times New Roman"/>
          <w:bCs/>
          <w:sz w:val="24"/>
          <w:szCs w:val="24"/>
          <w:lang w:eastAsia="en-US"/>
        </w:rPr>
        <w:t>p</w:t>
      </w:r>
      <w:r w:rsidRPr="001F4ECA">
        <w:rPr>
          <w:rFonts w:ascii="Times New Roman" w:eastAsiaTheme="minorHAnsi" w:hAnsi="Times New Roman"/>
          <w:bCs/>
          <w:sz w:val="24"/>
          <w:szCs w:val="24"/>
          <w:lang w:eastAsia="en-US"/>
        </w:rPr>
        <w:t xml:space="preserve">rogram. The department will also expand </w:t>
      </w:r>
      <w:r w:rsidRPr="001F4ECA">
        <w:rPr>
          <w:rFonts w:ascii="Times New Roman" w:eastAsiaTheme="minorHAnsi" w:hAnsi="Times New Roman"/>
          <w:sz w:val="24"/>
          <w:szCs w:val="24"/>
          <w:lang w:eastAsia="en-US"/>
        </w:rPr>
        <w:t xml:space="preserve">eligibility for the </w:t>
      </w:r>
      <w:r w:rsidRPr="001F4ECA">
        <w:rPr>
          <w:rFonts w:ascii="Times New Roman" w:eastAsiaTheme="minorHAnsi" w:hAnsi="Times New Roman"/>
          <w:i/>
          <w:iCs/>
          <w:sz w:val="24"/>
          <w:szCs w:val="24"/>
          <w:lang w:eastAsia="en-US"/>
        </w:rPr>
        <w:t>Stepping Back In</w:t>
      </w:r>
      <w:r w:rsidRPr="001F4ECA">
        <w:rPr>
          <w:rFonts w:ascii="Times New Roman" w:eastAsiaTheme="minorHAnsi" w:hAnsi="Times New Roman"/>
          <w:sz w:val="24"/>
          <w:szCs w:val="24"/>
          <w:lang w:eastAsia="en-US"/>
        </w:rPr>
        <w:t xml:space="preserve"> component</w:t>
      </w:r>
      <w:r w:rsidR="00446D75" w:rsidRPr="001F4ECA">
        <w:rPr>
          <w:rFonts w:ascii="Times New Roman" w:eastAsiaTheme="minorHAnsi" w:hAnsi="Times New Roman"/>
          <w:sz w:val="24"/>
          <w:szCs w:val="24"/>
          <w:lang w:eastAsia="en-US"/>
        </w:rPr>
        <w:t xml:space="preserve"> by</w:t>
      </w:r>
      <w:r w:rsidRPr="001F4ECA">
        <w:rPr>
          <w:rFonts w:ascii="Times New Roman" w:eastAsiaTheme="minorHAnsi" w:hAnsi="Times New Roman"/>
          <w:sz w:val="24"/>
          <w:szCs w:val="24"/>
          <w:lang w:eastAsia="en-US"/>
        </w:rPr>
        <w:t xml:space="preserve"> reducing the requirement to be out of paid employment from two or more years to six or more months.</w:t>
      </w:r>
    </w:p>
    <w:p w14:paraId="6F68025D" w14:textId="25A356F8" w:rsidR="001B1AAD" w:rsidRPr="001F4ECA" w:rsidRDefault="001B1AAD" w:rsidP="00F03C1F">
      <w:pPr>
        <w:rPr>
          <w:rFonts w:ascii="Times New Roman" w:eastAsiaTheme="minorHAnsi" w:hAnsi="Times New Roman"/>
          <w:sz w:val="24"/>
          <w:szCs w:val="24"/>
          <w:lang w:eastAsia="en-US"/>
        </w:rPr>
      </w:pPr>
    </w:p>
    <w:p w14:paraId="7180B930" w14:textId="4E4A027F"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To support </w:t>
      </w:r>
      <w:r w:rsidR="005D199D" w:rsidRPr="001F4ECA">
        <w:rPr>
          <w:rFonts w:ascii="Times New Roman" w:eastAsiaTheme="minorHAnsi" w:hAnsi="Times New Roman"/>
          <w:sz w:val="24"/>
          <w:szCs w:val="24"/>
          <w:lang w:eastAsia="en-US"/>
        </w:rPr>
        <w:t>a</w:t>
      </w:r>
      <w:r w:rsidRPr="001F4ECA">
        <w:rPr>
          <w:rFonts w:ascii="Times New Roman" w:eastAsiaTheme="minorHAnsi" w:hAnsi="Times New Roman"/>
          <w:sz w:val="24"/>
          <w:szCs w:val="24"/>
          <w:lang w:eastAsia="en-US"/>
        </w:rPr>
        <w:t xml:space="preserve"> comprehensive trial of the measures and allow the </w:t>
      </w:r>
      <w:r w:rsidR="005D199D"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to </w:t>
      </w:r>
      <w:r w:rsidR="005D199D" w:rsidRPr="001F4ECA">
        <w:rPr>
          <w:rFonts w:ascii="Times New Roman" w:eastAsiaTheme="minorHAnsi" w:hAnsi="Times New Roman"/>
          <w:sz w:val="24"/>
          <w:szCs w:val="24"/>
          <w:lang w:eastAsia="en-US"/>
        </w:rPr>
        <w:t>engage</w:t>
      </w:r>
      <w:r w:rsidRPr="001F4ECA">
        <w:rPr>
          <w:rFonts w:ascii="Times New Roman" w:eastAsiaTheme="minorHAnsi" w:hAnsi="Times New Roman"/>
          <w:sz w:val="24"/>
          <w:szCs w:val="24"/>
          <w:lang w:eastAsia="en-US"/>
        </w:rPr>
        <w:t xml:space="preserve"> the maximum number of participants, the </w:t>
      </w:r>
      <w:r w:rsidR="005D199D"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will continue to be run as </w:t>
      </w:r>
      <w:r w:rsidR="005D199D" w:rsidRPr="001F4ECA">
        <w:rPr>
          <w:rFonts w:ascii="Times New Roman" w:eastAsiaTheme="minorHAnsi" w:hAnsi="Times New Roman"/>
          <w:sz w:val="24"/>
          <w:szCs w:val="24"/>
          <w:lang w:eastAsia="en-US"/>
        </w:rPr>
        <w:t xml:space="preserve">a </w:t>
      </w:r>
      <w:r w:rsidRPr="001F4ECA">
        <w:rPr>
          <w:rFonts w:ascii="Times New Roman" w:eastAsiaTheme="minorHAnsi" w:hAnsi="Times New Roman"/>
          <w:sz w:val="24"/>
          <w:szCs w:val="24"/>
          <w:lang w:eastAsia="en-US"/>
        </w:rPr>
        <w:t>limited pilot until 30 June 2022</w:t>
      </w:r>
      <w:r w:rsidR="005D199D" w:rsidRPr="001F4ECA">
        <w:rPr>
          <w:rFonts w:ascii="Times New Roman" w:eastAsiaTheme="minorHAnsi" w:hAnsi="Times New Roman"/>
          <w:sz w:val="24"/>
          <w:szCs w:val="24"/>
          <w:lang w:eastAsia="en-US"/>
        </w:rPr>
        <w:t>. T</w:t>
      </w:r>
      <w:r w:rsidRPr="001F4ECA">
        <w:rPr>
          <w:rFonts w:ascii="Times New Roman" w:eastAsiaTheme="minorHAnsi" w:hAnsi="Times New Roman"/>
          <w:sz w:val="24"/>
          <w:szCs w:val="24"/>
          <w:lang w:eastAsia="en-US"/>
        </w:rPr>
        <w:t xml:space="preserve">he </w:t>
      </w:r>
      <w:r w:rsidR="005D199D"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end date will be extended by 12 months to 30 June 2024. In addition to existing pilots in Queensland and New South Wales, the </w:t>
      </w:r>
      <w:r w:rsidR="005D199D"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will also be piloted in Victoria from 1 July 2021. Evaluation of the Queensland and New South Wales pilots is due to be completed by 20 August 2021 and will be used to inform the national rollout of the </w:t>
      </w:r>
      <w:r w:rsidR="005D199D"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from July 2022.</w:t>
      </w:r>
    </w:p>
    <w:p w14:paraId="064C1CD9" w14:textId="1E4081AF" w:rsidR="001B1AAD" w:rsidRPr="001F4ECA" w:rsidRDefault="001B1AAD" w:rsidP="00F03C1F">
      <w:pPr>
        <w:rPr>
          <w:rFonts w:ascii="Times New Roman" w:eastAsiaTheme="minorHAnsi" w:hAnsi="Times New Roman"/>
          <w:sz w:val="24"/>
          <w:szCs w:val="24"/>
          <w:lang w:eastAsia="en-US"/>
        </w:rPr>
      </w:pPr>
    </w:p>
    <w:p w14:paraId="34CA0116" w14:textId="008821FB"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department will procure </w:t>
      </w:r>
      <w:bookmarkStart w:id="0" w:name="_Hlk72421071"/>
      <w:r w:rsidRPr="001F4ECA">
        <w:rPr>
          <w:rFonts w:ascii="Times New Roman" w:eastAsiaTheme="minorHAnsi" w:hAnsi="Times New Roman"/>
          <w:sz w:val="24"/>
          <w:szCs w:val="24"/>
          <w:lang w:eastAsia="en-US"/>
        </w:rPr>
        <w:t>third party service providers to deliver the pilot in Victoria</w:t>
      </w:r>
      <w:bookmarkEnd w:id="0"/>
      <w:r w:rsidR="00670836" w:rsidRPr="001F4ECA">
        <w:rPr>
          <w:rFonts w:ascii="Times New Roman" w:eastAsiaTheme="minorHAnsi" w:hAnsi="Times New Roman"/>
          <w:sz w:val="24"/>
          <w:szCs w:val="24"/>
          <w:lang w:eastAsia="en-US"/>
        </w:rPr>
        <w:t>, Queensland and New South Wales.</w:t>
      </w:r>
      <w:r w:rsidRPr="001F4ECA">
        <w:rPr>
          <w:rFonts w:ascii="Times New Roman" w:eastAsiaTheme="minorHAnsi" w:hAnsi="Times New Roman"/>
          <w:sz w:val="24"/>
          <w:szCs w:val="24"/>
          <w:lang w:eastAsia="en-US"/>
        </w:rPr>
        <w:t xml:space="preserve"> The procurement will be in accordance with applicable legislative requirements under the </w:t>
      </w:r>
      <w:r w:rsidR="000242C5" w:rsidRPr="001F4ECA">
        <w:rPr>
          <w:rFonts w:ascii="Times New Roman" w:eastAsiaTheme="minorHAnsi" w:hAnsi="Times New Roman"/>
          <w:sz w:val="24"/>
          <w:szCs w:val="24"/>
          <w:lang w:eastAsia="en-US"/>
        </w:rPr>
        <w:t>PGPA Act</w:t>
      </w:r>
      <w:r w:rsidRPr="001F4ECA">
        <w:rPr>
          <w:rFonts w:ascii="Times New Roman" w:eastAsiaTheme="minorHAnsi" w:hAnsi="Times New Roman"/>
          <w:sz w:val="24"/>
          <w:szCs w:val="24"/>
          <w:lang w:eastAsia="en-US"/>
        </w:rPr>
        <w:t xml:space="preserve">, the CPRs and the department’s Accountable Authority Instructions. A range of procurement methods may be used to engage third party service providers, such as </w:t>
      </w:r>
      <w:bookmarkStart w:id="1" w:name="_Hlk72421126"/>
      <w:r w:rsidRPr="001F4ECA">
        <w:rPr>
          <w:rFonts w:ascii="Times New Roman" w:eastAsiaTheme="minorHAnsi" w:hAnsi="Times New Roman"/>
          <w:sz w:val="24"/>
          <w:szCs w:val="24"/>
          <w:lang w:eastAsia="en-US"/>
        </w:rPr>
        <w:t>limited tenders or procurements under existing arrangements</w:t>
      </w:r>
      <w:bookmarkEnd w:id="1"/>
      <w:r w:rsidRPr="001F4ECA">
        <w:rPr>
          <w:rFonts w:ascii="Times New Roman" w:eastAsiaTheme="minorHAnsi" w:hAnsi="Times New Roman"/>
          <w:sz w:val="24"/>
          <w:szCs w:val="24"/>
          <w:lang w:eastAsia="en-US"/>
        </w:rPr>
        <w:t xml:space="preserve">. Final spending decisions will be made by the Secretary of the department or an appropriate delegate. </w:t>
      </w:r>
    </w:p>
    <w:p w14:paraId="449881A2" w14:textId="77777777" w:rsidR="001B1AAD" w:rsidRPr="001F4ECA" w:rsidRDefault="001B1AAD" w:rsidP="001B1AAD">
      <w:pPr>
        <w:rPr>
          <w:rFonts w:ascii="Times New Roman" w:eastAsiaTheme="minorHAnsi" w:hAnsi="Times New Roman"/>
          <w:sz w:val="24"/>
          <w:szCs w:val="24"/>
          <w:lang w:eastAsia="en-US"/>
        </w:rPr>
      </w:pPr>
    </w:p>
    <w:p w14:paraId="29B1F91F" w14:textId="00880EB6"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department will undertake an open procurement process to engage third party service providers to deliver the </w:t>
      </w:r>
      <w:r w:rsidR="005D199D"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nationally </w:t>
      </w:r>
      <w:r w:rsidR="005D199D" w:rsidRPr="001F4ECA">
        <w:rPr>
          <w:rFonts w:ascii="Times New Roman" w:eastAsiaTheme="minorHAnsi" w:hAnsi="Times New Roman"/>
          <w:sz w:val="24"/>
          <w:szCs w:val="24"/>
          <w:lang w:eastAsia="en-US"/>
        </w:rPr>
        <w:t xml:space="preserve">up </w:t>
      </w:r>
      <w:r w:rsidRPr="001F4ECA">
        <w:rPr>
          <w:rFonts w:ascii="Times New Roman" w:eastAsiaTheme="minorHAnsi" w:hAnsi="Times New Roman"/>
          <w:sz w:val="24"/>
          <w:szCs w:val="24"/>
          <w:lang w:eastAsia="en-US"/>
        </w:rPr>
        <w:t>u</w:t>
      </w:r>
      <w:r w:rsidR="005D199D" w:rsidRPr="001F4ECA">
        <w:rPr>
          <w:rFonts w:ascii="Times New Roman" w:eastAsiaTheme="minorHAnsi" w:hAnsi="Times New Roman"/>
          <w:sz w:val="24"/>
          <w:szCs w:val="24"/>
          <w:lang w:eastAsia="en-US"/>
        </w:rPr>
        <w:t>ntil</w:t>
      </w:r>
      <w:r w:rsidRPr="001F4ECA">
        <w:rPr>
          <w:rFonts w:ascii="Times New Roman" w:eastAsiaTheme="minorHAnsi" w:hAnsi="Times New Roman"/>
          <w:sz w:val="24"/>
          <w:szCs w:val="24"/>
          <w:lang w:eastAsia="en-US"/>
        </w:rPr>
        <w:t xml:space="preserve"> 2023-24. The procurement will be in accordance with applicable legislative requirements under the PGPA Act, </w:t>
      </w:r>
      <w:r w:rsidR="005D199D"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CPRs and the department’s Accountable Authority Instructions. Final spending decisions will be made by the Secretary of the department or an appropriate delegate. </w:t>
      </w:r>
    </w:p>
    <w:p w14:paraId="2BAEE8DD" w14:textId="77777777" w:rsidR="001B1AAD" w:rsidRPr="001F4ECA" w:rsidRDefault="001B1AAD" w:rsidP="001B1AAD">
      <w:pPr>
        <w:rPr>
          <w:rFonts w:ascii="Times New Roman" w:eastAsiaTheme="minorHAnsi" w:hAnsi="Times New Roman"/>
          <w:sz w:val="24"/>
          <w:szCs w:val="24"/>
          <w:lang w:eastAsia="en-US"/>
        </w:rPr>
      </w:pPr>
    </w:p>
    <w:p w14:paraId="70282E83" w14:textId="77777777"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will provide an opportunity for suppliers and tenderers to make complaints if they wish, and to receive feedback. These complaints and inquiries can be made at any time during the procurement process, and will be handled in accordance with probity requirements. Information about the tender and the resultant contracts will be made available on AusTender (</w:t>
      </w:r>
      <w:r w:rsidRPr="001F4ECA">
        <w:rPr>
          <w:rFonts w:ascii="Times New Roman" w:eastAsiaTheme="minorHAnsi" w:hAnsi="Times New Roman"/>
          <w:sz w:val="24"/>
          <w:szCs w:val="24"/>
          <w:u w:val="single"/>
          <w:lang w:eastAsia="en-US"/>
        </w:rPr>
        <w:t>www.tenders.gov.au</w:t>
      </w:r>
      <w:r w:rsidRPr="001F4ECA">
        <w:rPr>
          <w:rFonts w:ascii="Times New Roman" w:eastAsiaTheme="minorHAnsi" w:hAnsi="Times New Roman"/>
          <w:sz w:val="24"/>
          <w:szCs w:val="24"/>
          <w:lang w:eastAsia="en-US"/>
        </w:rPr>
        <w:t>) once the contracts are signed. Procurement decisions will be based on value for money, including capability and capacity to deliver, and price and risk considerations.</w:t>
      </w:r>
    </w:p>
    <w:p w14:paraId="508D5BB0" w14:textId="77777777" w:rsidR="001B1AAD" w:rsidRPr="001F4ECA" w:rsidRDefault="001B1AAD" w:rsidP="001B1AAD">
      <w:pPr>
        <w:rPr>
          <w:rFonts w:ascii="Times New Roman" w:eastAsiaTheme="minorHAnsi" w:hAnsi="Times New Roman"/>
          <w:sz w:val="24"/>
          <w:szCs w:val="24"/>
          <w:lang w:eastAsia="en-US"/>
        </w:rPr>
      </w:pPr>
    </w:p>
    <w:p w14:paraId="5A0351C4" w14:textId="6D1A890A"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Procurement decisions made in connection with the</w:t>
      </w:r>
      <w:r w:rsidRPr="001F4ECA">
        <w:rPr>
          <w:rFonts w:ascii="Times New Roman" w:eastAsiaTheme="minorHAnsi" w:hAnsi="Times New Roman"/>
          <w:sz w:val="24"/>
          <w:szCs w:val="24"/>
          <w:lang w:val="en-GB" w:eastAsia="en-US"/>
        </w:rPr>
        <w:t xml:space="preserve"> </w:t>
      </w:r>
      <w:r w:rsidR="00554F4A" w:rsidRPr="001F4ECA">
        <w:rPr>
          <w:rFonts w:ascii="Times New Roman" w:eastAsiaTheme="minorHAnsi" w:hAnsi="Times New Roman"/>
          <w:sz w:val="24"/>
          <w:szCs w:val="24"/>
          <w:lang w:val="en-GB" w:eastAsia="en-US"/>
        </w:rPr>
        <w:t>p</w:t>
      </w:r>
      <w:r w:rsidRPr="001F4ECA">
        <w:rPr>
          <w:rFonts w:ascii="Times New Roman" w:eastAsiaTheme="minorHAnsi" w:hAnsi="Times New Roman"/>
          <w:sz w:val="24"/>
          <w:szCs w:val="24"/>
          <w:lang w:val="en-GB" w:eastAsia="en-US"/>
        </w:rPr>
        <w:t>rogram for third party service providers are not considered suitable for independent merits review</w:t>
      </w:r>
      <w:r w:rsidRPr="001F4ECA">
        <w:rPr>
          <w:rFonts w:ascii="Times New Roman" w:eastAsiaTheme="minorHAnsi" w:hAnsi="Times New Roman"/>
          <w:sz w:val="24"/>
          <w:szCs w:val="24"/>
          <w:lang w:eastAsia="en-US"/>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w:t>
      </w:r>
      <w:r w:rsidR="000242C5" w:rsidRPr="001F4ECA">
        <w:rPr>
          <w:rFonts w:ascii="Times New Roman" w:eastAsiaTheme="minorHAnsi" w:hAnsi="Times New Roman"/>
          <w:sz w:val="24"/>
          <w:szCs w:val="24"/>
          <w:lang w:eastAsia="en-US"/>
        </w:rPr>
        <w:t>ARC</w:t>
      </w:r>
      <w:r w:rsidRPr="001F4ECA">
        <w:rPr>
          <w:rFonts w:ascii="Times New Roman" w:eastAsiaTheme="minorHAnsi" w:hAnsi="Times New Roman"/>
          <w:sz w:val="24"/>
          <w:szCs w:val="24"/>
          <w:lang w:eastAsia="en-US"/>
        </w:rPr>
        <w:t xml:space="preserve"> has recognised that it is justifiable to exclude merits review in relation to decisions of this nature (see paragraphs 4.11 to 4.19 of the guide, </w:t>
      </w:r>
      <w:r w:rsidRPr="001F4ECA">
        <w:rPr>
          <w:rFonts w:ascii="Times New Roman" w:eastAsiaTheme="minorHAnsi" w:hAnsi="Times New Roman"/>
          <w:i/>
          <w:sz w:val="24"/>
          <w:szCs w:val="24"/>
          <w:lang w:eastAsia="en-US"/>
        </w:rPr>
        <w:t>What decisions should be subject to merit review?</w:t>
      </w:r>
      <w:r w:rsidRPr="001F4ECA">
        <w:rPr>
          <w:rFonts w:ascii="Times New Roman" w:eastAsiaTheme="minorHAnsi" w:hAnsi="Times New Roman"/>
          <w:sz w:val="24"/>
          <w:szCs w:val="24"/>
          <w:lang w:eastAsia="en-US"/>
        </w:rPr>
        <w:t>).</w:t>
      </w:r>
    </w:p>
    <w:p w14:paraId="4C64BC72" w14:textId="77777777" w:rsidR="001B1AAD" w:rsidRPr="001F4ECA" w:rsidRDefault="001B1AAD" w:rsidP="001B1AAD">
      <w:pPr>
        <w:rPr>
          <w:rFonts w:ascii="Times New Roman" w:eastAsiaTheme="minorHAnsi" w:hAnsi="Times New Roman"/>
          <w:sz w:val="24"/>
          <w:szCs w:val="24"/>
          <w:lang w:eastAsia="en-US"/>
        </w:rPr>
      </w:pPr>
    </w:p>
    <w:p w14:paraId="4F9E3F00" w14:textId="77777777"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re-making of a procurement decision after entry into contractual arrangements with a successful proponent is legally complex, impractical and would result in delays to commencement of the expanded initiative.</w:t>
      </w:r>
    </w:p>
    <w:p w14:paraId="04E3B7D3" w14:textId="77777777" w:rsidR="001B1AAD" w:rsidRPr="001F4ECA" w:rsidRDefault="001B1AAD" w:rsidP="001B1AAD">
      <w:pPr>
        <w:rPr>
          <w:rFonts w:ascii="Times New Roman" w:eastAsiaTheme="minorHAnsi" w:hAnsi="Times New Roman"/>
          <w:sz w:val="24"/>
          <w:szCs w:val="24"/>
          <w:lang w:eastAsia="en-US"/>
        </w:rPr>
      </w:pPr>
    </w:p>
    <w:p w14:paraId="2F0FBE72" w14:textId="2E376E9A"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Decisions made in relation to the designated industries are not considered suitable for i</w:t>
      </w:r>
      <w:r w:rsidR="00554F4A" w:rsidRPr="001F4ECA">
        <w:rPr>
          <w:rFonts w:ascii="Times New Roman" w:eastAsiaTheme="minorHAnsi" w:hAnsi="Times New Roman"/>
          <w:sz w:val="24"/>
          <w:szCs w:val="24"/>
          <w:lang w:eastAsia="en-US"/>
        </w:rPr>
        <w:t>nde</w:t>
      </w:r>
      <w:r w:rsidRPr="001F4ECA">
        <w:rPr>
          <w:rFonts w:ascii="Times New Roman" w:eastAsiaTheme="minorHAnsi" w:hAnsi="Times New Roman"/>
          <w:sz w:val="24"/>
          <w:szCs w:val="24"/>
          <w:lang w:eastAsia="en-US"/>
        </w:rPr>
        <w:t xml:space="preserve">pendent merits review. The </w:t>
      </w:r>
      <w:r w:rsidR="00554F4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guidelines will designate particular industries as female</w:t>
      </w:r>
      <w:r w:rsidR="00554F4A"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dominated, COVID-19 affected industries based on ABS data. Potential participants will be able to access the </w:t>
      </w:r>
      <w:r w:rsidR="00554F4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if they are a worker in one of the designated industries. </w:t>
      </w:r>
    </w:p>
    <w:p w14:paraId="0A09D603" w14:textId="77777777" w:rsidR="001B1AAD" w:rsidRPr="001F4ECA" w:rsidRDefault="001B1AAD" w:rsidP="001B1AAD">
      <w:pPr>
        <w:rPr>
          <w:rFonts w:ascii="Times New Roman" w:eastAsiaTheme="minorHAnsi" w:hAnsi="Times New Roman"/>
          <w:sz w:val="24"/>
          <w:szCs w:val="24"/>
          <w:lang w:eastAsia="en-US"/>
        </w:rPr>
      </w:pPr>
    </w:p>
    <w:p w14:paraId="3663E637" w14:textId="15E56FCF"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These types of decisions are not considered suitable for external merits review as such decisions are automatic or mandatory in nature. The decision made will be very limited and procedural in nature and will not allow for sig</w:t>
      </w:r>
      <w:r w:rsidR="00554F4A" w:rsidRPr="001F4ECA">
        <w:rPr>
          <w:rFonts w:ascii="Times New Roman" w:eastAsiaTheme="minorHAnsi" w:hAnsi="Times New Roman"/>
          <w:sz w:val="24"/>
          <w:szCs w:val="24"/>
          <w:lang w:eastAsia="en-US"/>
        </w:rPr>
        <w:t xml:space="preserve">nificant exercise of a decision </w:t>
      </w:r>
      <w:r w:rsidRPr="001F4ECA">
        <w:rPr>
          <w:rFonts w:ascii="Times New Roman" w:eastAsiaTheme="minorHAnsi" w:hAnsi="Times New Roman"/>
          <w:sz w:val="24"/>
          <w:szCs w:val="24"/>
          <w:lang w:eastAsia="en-US"/>
        </w:rPr>
        <w:t xml:space="preserve">maker’s discretion. </w:t>
      </w:r>
      <w:r w:rsidRPr="001F4ECA">
        <w:rPr>
          <w:rFonts w:ascii="Times New Roman" w:eastAsiaTheme="minorHAnsi" w:hAnsi="Times New Roman"/>
          <w:sz w:val="24"/>
          <w:szCs w:val="24"/>
          <w:lang w:val="en-US" w:eastAsia="en-US"/>
        </w:rPr>
        <w:t>The ARC has</w:t>
      </w:r>
      <w:r w:rsidRPr="001F4ECA">
        <w:rPr>
          <w:rFonts w:ascii="Times New Roman" w:eastAsiaTheme="minorHAnsi" w:hAnsi="Times New Roman"/>
          <w:sz w:val="24"/>
          <w:szCs w:val="24"/>
          <w:lang w:eastAsia="en-US"/>
        </w:rPr>
        <w:t xml:space="preserve"> recognised</w:t>
      </w:r>
      <w:r w:rsidRPr="001F4ECA">
        <w:rPr>
          <w:rFonts w:ascii="Times New Roman" w:eastAsiaTheme="minorHAnsi" w:hAnsi="Times New Roman"/>
          <w:sz w:val="24"/>
          <w:szCs w:val="24"/>
          <w:lang w:val="en-US" w:eastAsia="en-US"/>
        </w:rPr>
        <w:t xml:space="preserve"> that it is justifiable to exclude merits review in relation to decisions of this </w:t>
      </w:r>
      <w:r w:rsidRPr="001F4ECA">
        <w:rPr>
          <w:rFonts w:ascii="Times New Roman" w:eastAsiaTheme="minorHAnsi" w:hAnsi="Times New Roman"/>
          <w:sz w:val="24"/>
          <w:szCs w:val="24"/>
          <w:lang w:val="en-GB" w:eastAsia="en-US"/>
        </w:rPr>
        <w:t xml:space="preserve">nature (see paragraphs 3.8 to 3.11 of the guide, </w:t>
      </w:r>
      <w:r w:rsidRPr="001F4ECA">
        <w:rPr>
          <w:rFonts w:ascii="Times New Roman" w:eastAsiaTheme="minorHAnsi" w:hAnsi="Times New Roman"/>
          <w:i/>
          <w:sz w:val="24"/>
          <w:szCs w:val="24"/>
          <w:lang w:val="en-GB" w:eastAsia="en-US"/>
        </w:rPr>
        <w:t>What decisions should be subject to merit review?</w:t>
      </w:r>
      <w:r w:rsidRPr="001F4ECA">
        <w:rPr>
          <w:rFonts w:ascii="Times New Roman" w:eastAsiaTheme="minorHAnsi" w:hAnsi="Times New Roman"/>
          <w:sz w:val="24"/>
          <w:szCs w:val="24"/>
          <w:lang w:val="en-GB" w:eastAsia="en-US"/>
        </w:rPr>
        <w:t>).</w:t>
      </w:r>
    </w:p>
    <w:p w14:paraId="31839D81" w14:textId="77777777" w:rsidR="001B1AAD" w:rsidRPr="001F4ECA" w:rsidRDefault="001B1AAD" w:rsidP="001B1AAD">
      <w:pPr>
        <w:rPr>
          <w:rFonts w:ascii="Times New Roman" w:eastAsiaTheme="minorHAnsi" w:hAnsi="Times New Roman"/>
          <w:sz w:val="24"/>
          <w:szCs w:val="24"/>
          <w:lang w:eastAsia="en-US"/>
        </w:rPr>
      </w:pPr>
    </w:p>
    <w:p w14:paraId="213E2951" w14:textId="20B467AB" w:rsidR="001B1AAD" w:rsidRPr="001F4ECA" w:rsidRDefault="001B1AAD"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Decisions about potential participants are not considered suitable for independent merits review. Potential participants will be required to declare that they meet the eligibility criteria being that they meet one of the following: left employment for </w:t>
      </w:r>
      <w:r w:rsidR="00554F4A" w:rsidRPr="001F4ECA">
        <w:rPr>
          <w:rFonts w:ascii="Times New Roman" w:eastAsiaTheme="minorHAnsi" w:hAnsi="Times New Roman"/>
          <w:sz w:val="24"/>
          <w:szCs w:val="24"/>
          <w:lang w:eastAsia="en-US"/>
        </w:rPr>
        <w:t>six</w:t>
      </w:r>
      <w:r w:rsidRPr="001F4ECA">
        <w:rPr>
          <w:rFonts w:ascii="Times New Roman" w:eastAsiaTheme="minorHAnsi" w:hAnsi="Times New Roman"/>
          <w:sz w:val="24"/>
          <w:szCs w:val="24"/>
          <w:lang w:eastAsia="en-US"/>
        </w:rPr>
        <w:t xml:space="preserve"> months or more to take up </w:t>
      </w:r>
      <w:r w:rsidRPr="001F4ECA">
        <w:rPr>
          <w:rFonts w:ascii="Times New Roman" w:eastAsiaTheme="minorHAnsi" w:hAnsi="Times New Roman"/>
          <w:sz w:val="24"/>
          <w:szCs w:val="24"/>
          <w:lang w:eastAsia="en-US"/>
        </w:rPr>
        <w:lastRenderedPageBreak/>
        <w:t>caring responsibilities; have returned to paid employment within 18 months after a break for caring responsibilities; or are a worker in a female</w:t>
      </w:r>
      <w:r w:rsidR="00554F4A"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dominated, COVID-19 affected industry. The person’s eligibility will be checked by the third party service provider, and if eligible the person will be able to participate. If the person is not eligible, the provider will direct the</w:t>
      </w:r>
      <w:r w:rsidR="00554F4A" w:rsidRPr="001F4ECA">
        <w:rPr>
          <w:rFonts w:ascii="Times New Roman" w:eastAsiaTheme="minorHAnsi" w:hAnsi="Times New Roman"/>
          <w:sz w:val="24"/>
          <w:szCs w:val="24"/>
          <w:lang w:eastAsia="en-US"/>
        </w:rPr>
        <w:t xml:space="preserve"> person to alternative services</w:t>
      </w:r>
      <w:r w:rsidRPr="001F4ECA">
        <w:rPr>
          <w:rFonts w:ascii="Times New Roman" w:eastAsiaTheme="minorHAnsi" w:hAnsi="Times New Roman"/>
          <w:sz w:val="24"/>
          <w:szCs w:val="24"/>
          <w:lang w:eastAsia="en-US"/>
        </w:rPr>
        <w:t xml:space="preserve"> if available</w:t>
      </w:r>
      <w:r w:rsidR="00554F4A"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and provide the</w:t>
      </w:r>
      <w:r w:rsidR="00554F4A" w:rsidRPr="001F4ECA">
        <w:rPr>
          <w:rFonts w:ascii="Times New Roman" w:eastAsiaTheme="minorHAnsi" w:hAnsi="Times New Roman"/>
          <w:sz w:val="24"/>
          <w:szCs w:val="24"/>
          <w:lang w:eastAsia="en-US"/>
        </w:rPr>
        <w:t>m with a</w:t>
      </w:r>
      <w:r w:rsidRPr="001F4ECA">
        <w:rPr>
          <w:rFonts w:ascii="Times New Roman" w:eastAsiaTheme="minorHAnsi" w:hAnsi="Times New Roman"/>
          <w:sz w:val="24"/>
          <w:szCs w:val="24"/>
          <w:lang w:eastAsia="en-US"/>
        </w:rPr>
        <w:t xml:space="preserve"> complaints handing policy, which will include escalations of issues to the department. Issues escalated to the department will be investigated by the department and eligibility confirmed. </w:t>
      </w:r>
    </w:p>
    <w:p w14:paraId="68C3DEE4" w14:textId="77777777" w:rsidR="001B1AAD" w:rsidRPr="001F4ECA" w:rsidRDefault="001B1AAD" w:rsidP="001B1AAD">
      <w:pPr>
        <w:rPr>
          <w:rFonts w:ascii="Times New Roman" w:eastAsiaTheme="minorHAnsi" w:hAnsi="Times New Roman"/>
          <w:sz w:val="24"/>
          <w:szCs w:val="24"/>
          <w:lang w:eastAsia="en-US"/>
        </w:rPr>
      </w:pPr>
    </w:p>
    <w:p w14:paraId="3D4AC232" w14:textId="5D5A0A48" w:rsidR="001B1AAD" w:rsidRPr="001F4ECA" w:rsidRDefault="001B1AAD" w:rsidP="001B1AAD">
      <w:pPr>
        <w:rPr>
          <w:rFonts w:ascii="Times New Roman" w:eastAsiaTheme="minorHAnsi" w:hAnsi="Times New Roman"/>
          <w:sz w:val="24"/>
          <w:szCs w:val="24"/>
          <w:lang w:val="en-GB" w:eastAsia="en-US"/>
        </w:rPr>
      </w:pPr>
      <w:r w:rsidRPr="001F4ECA">
        <w:rPr>
          <w:rFonts w:ascii="Times New Roman" w:eastAsiaTheme="minorHAnsi" w:hAnsi="Times New Roman"/>
          <w:sz w:val="24"/>
          <w:szCs w:val="24"/>
          <w:lang w:eastAsia="en-US"/>
        </w:rPr>
        <w:t>These types of decisions are not considered suitable for external merits review as such decisions are automatic or mandatory in nature. The decision made by the provider or departmental staff will be very limited and procedural in nature in relation to whether the person meets the eligibility criteria and will not allow for significant exercise of a decision</w:t>
      </w:r>
      <w:r w:rsidR="00554F4A"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 xml:space="preserve">maker’s discretion. </w:t>
      </w:r>
      <w:r w:rsidRPr="001F4ECA">
        <w:rPr>
          <w:rFonts w:ascii="Times New Roman" w:eastAsiaTheme="minorHAnsi" w:hAnsi="Times New Roman"/>
          <w:sz w:val="24"/>
          <w:szCs w:val="24"/>
          <w:lang w:val="en-US" w:eastAsia="en-US"/>
        </w:rPr>
        <w:t>The ARC has</w:t>
      </w:r>
      <w:r w:rsidRPr="001F4ECA">
        <w:rPr>
          <w:rFonts w:ascii="Times New Roman" w:eastAsiaTheme="minorHAnsi" w:hAnsi="Times New Roman"/>
          <w:sz w:val="24"/>
          <w:szCs w:val="24"/>
          <w:lang w:eastAsia="en-US"/>
        </w:rPr>
        <w:t xml:space="preserve"> recognised</w:t>
      </w:r>
      <w:r w:rsidRPr="001F4ECA">
        <w:rPr>
          <w:rFonts w:ascii="Times New Roman" w:eastAsiaTheme="minorHAnsi" w:hAnsi="Times New Roman"/>
          <w:sz w:val="24"/>
          <w:szCs w:val="24"/>
          <w:lang w:val="en-US" w:eastAsia="en-US"/>
        </w:rPr>
        <w:t xml:space="preserve"> that it is justifiable to exclude merits review in relation to decisions of this </w:t>
      </w:r>
      <w:r w:rsidRPr="001F4ECA">
        <w:rPr>
          <w:rFonts w:ascii="Times New Roman" w:eastAsiaTheme="minorHAnsi" w:hAnsi="Times New Roman"/>
          <w:sz w:val="24"/>
          <w:szCs w:val="24"/>
          <w:lang w:val="en-GB" w:eastAsia="en-US"/>
        </w:rPr>
        <w:t xml:space="preserve">nature (see paragraphs 3.8 to 3.11 of the guide, </w:t>
      </w:r>
      <w:r w:rsidRPr="001F4ECA">
        <w:rPr>
          <w:rFonts w:ascii="Times New Roman" w:eastAsiaTheme="minorHAnsi" w:hAnsi="Times New Roman"/>
          <w:i/>
          <w:sz w:val="24"/>
          <w:szCs w:val="24"/>
          <w:lang w:val="en-GB" w:eastAsia="en-US"/>
        </w:rPr>
        <w:t>What decisions should be subject to merit review?</w:t>
      </w:r>
      <w:r w:rsidRPr="001F4ECA">
        <w:rPr>
          <w:rFonts w:ascii="Times New Roman" w:eastAsiaTheme="minorHAnsi" w:hAnsi="Times New Roman"/>
          <w:sz w:val="24"/>
          <w:szCs w:val="24"/>
          <w:lang w:val="en-GB" w:eastAsia="en-US"/>
        </w:rPr>
        <w:t>).</w:t>
      </w:r>
    </w:p>
    <w:p w14:paraId="7808CB2E" w14:textId="77777777" w:rsidR="001B1AAD" w:rsidRPr="001F4ECA" w:rsidRDefault="001B1AAD" w:rsidP="001B1AAD">
      <w:pPr>
        <w:rPr>
          <w:rFonts w:ascii="Times New Roman" w:eastAsiaTheme="minorHAnsi" w:hAnsi="Times New Roman"/>
          <w:sz w:val="24"/>
          <w:szCs w:val="24"/>
          <w:lang w:eastAsia="en-US"/>
        </w:rPr>
      </w:pPr>
    </w:p>
    <w:p w14:paraId="091F7B0B" w14:textId="4FFDB81C" w:rsidR="001B1AAD" w:rsidRPr="001F4ECA" w:rsidRDefault="00554F4A" w:rsidP="001B1AAD">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Participation in the p</w:t>
      </w:r>
      <w:r w:rsidR="001B1AAD" w:rsidRPr="001F4ECA">
        <w:rPr>
          <w:rFonts w:ascii="Times New Roman" w:eastAsiaTheme="minorHAnsi" w:hAnsi="Times New Roman"/>
          <w:sz w:val="24"/>
          <w:szCs w:val="24"/>
          <w:lang w:eastAsia="en-US"/>
        </w:rPr>
        <w:t xml:space="preserve">rogram will not be a compulsory requirement to receive an unemployment payment but the </w:t>
      </w:r>
      <w:r w:rsidRPr="001F4ECA">
        <w:rPr>
          <w:rFonts w:ascii="Times New Roman" w:eastAsiaTheme="minorHAnsi" w:hAnsi="Times New Roman"/>
          <w:sz w:val="24"/>
          <w:szCs w:val="24"/>
          <w:lang w:eastAsia="en-US"/>
        </w:rPr>
        <w:t>p</w:t>
      </w:r>
      <w:r w:rsidR="001B1AAD" w:rsidRPr="001F4ECA">
        <w:rPr>
          <w:rFonts w:ascii="Times New Roman" w:eastAsiaTheme="minorHAnsi" w:hAnsi="Times New Roman"/>
          <w:sz w:val="24"/>
          <w:szCs w:val="24"/>
          <w:lang w:eastAsia="en-US"/>
        </w:rPr>
        <w:t>rogram may be included as a compulsory activity in an income support recipient’s employment pathway plan where participation is an appropriate requirement for the person.</w:t>
      </w:r>
      <w:r w:rsidRPr="001F4ECA">
        <w:rPr>
          <w:rFonts w:ascii="Times New Roman" w:eastAsiaTheme="minorHAnsi" w:hAnsi="Times New Roman"/>
          <w:sz w:val="24"/>
          <w:szCs w:val="24"/>
          <w:lang w:eastAsia="en-US"/>
        </w:rPr>
        <w:t xml:space="preserve"> Where participation in the p</w:t>
      </w:r>
      <w:r w:rsidR="001B1AAD" w:rsidRPr="001F4ECA">
        <w:rPr>
          <w:rFonts w:ascii="Times New Roman" w:eastAsiaTheme="minorHAnsi" w:hAnsi="Times New Roman"/>
          <w:sz w:val="24"/>
          <w:szCs w:val="24"/>
          <w:lang w:eastAsia="en-US"/>
        </w:rPr>
        <w:t xml:space="preserve">rogram is included in a person’s employment pathway plan as a compulsory activity, the person could face income support payment suspension, reduction or cancellation for not participating. Where the person has a valid reason for not participating, the suspension is ended and their payment will not be affected. Any decision to suspend, reduce or cancel a person’s income support payment for failure to participate in the </w:t>
      </w:r>
      <w:r w:rsidRPr="001F4ECA">
        <w:rPr>
          <w:rFonts w:ascii="Times New Roman" w:eastAsiaTheme="minorHAnsi" w:hAnsi="Times New Roman"/>
          <w:sz w:val="24"/>
          <w:szCs w:val="24"/>
          <w:lang w:eastAsia="en-US"/>
        </w:rPr>
        <w:t>p</w:t>
      </w:r>
      <w:r w:rsidR="001B1AAD" w:rsidRPr="001F4ECA">
        <w:rPr>
          <w:rFonts w:ascii="Times New Roman" w:eastAsiaTheme="minorHAnsi" w:hAnsi="Times New Roman"/>
          <w:sz w:val="24"/>
          <w:szCs w:val="24"/>
          <w:lang w:eastAsia="en-US"/>
        </w:rPr>
        <w:t>rogram may be subject to review on the merits and on questions of law, both within Services Australia and by appeal to the Administrative Appeals Tribunal</w:t>
      </w:r>
      <w:r w:rsidR="00A21711" w:rsidRPr="001F4ECA">
        <w:rPr>
          <w:rFonts w:ascii="Times New Roman" w:eastAsiaTheme="minorHAnsi" w:hAnsi="Times New Roman"/>
          <w:sz w:val="24"/>
          <w:szCs w:val="24"/>
          <w:lang w:eastAsia="en-US"/>
        </w:rPr>
        <w:t>.</w:t>
      </w:r>
    </w:p>
    <w:p w14:paraId="1EFB9430" w14:textId="0D8CE458" w:rsidR="001B1AAD" w:rsidRPr="001F4ECA" w:rsidRDefault="001B1AAD" w:rsidP="00F03C1F">
      <w:pPr>
        <w:rPr>
          <w:rFonts w:ascii="Times New Roman" w:eastAsiaTheme="minorHAnsi" w:hAnsi="Times New Roman"/>
          <w:sz w:val="24"/>
          <w:szCs w:val="24"/>
          <w:lang w:eastAsia="en-US"/>
        </w:rPr>
      </w:pPr>
    </w:p>
    <w:p w14:paraId="60480A2D" w14:textId="04D55E73"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conducted consultation internally within the Commonwealth, including the Office for Women in the Department of the Prime Minister and Cabinet in relation to the expansion and e</w:t>
      </w:r>
      <w:r w:rsidR="00554F4A" w:rsidRPr="001F4ECA">
        <w:rPr>
          <w:rFonts w:ascii="Times New Roman" w:eastAsiaTheme="minorHAnsi" w:hAnsi="Times New Roman"/>
          <w:sz w:val="24"/>
          <w:szCs w:val="24"/>
          <w:lang w:eastAsia="en-US"/>
        </w:rPr>
        <w:t>xtension of the pilots and the p</w:t>
      </w:r>
      <w:r w:rsidRPr="001F4ECA">
        <w:rPr>
          <w:rFonts w:ascii="Times New Roman" w:eastAsiaTheme="minorHAnsi" w:hAnsi="Times New Roman"/>
          <w:sz w:val="24"/>
          <w:szCs w:val="24"/>
          <w:lang w:eastAsia="en-US"/>
        </w:rPr>
        <w:t>rogram. The Office for Women supported the expansion.</w:t>
      </w:r>
      <w:r w:rsidR="00554F4A"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Informal consultation has also been undertaken with the third party service providers who supported both expanding the eligibility and the provision of the training funds.</w:t>
      </w:r>
    </w:p>
    <w:p w14:paraId="46BB413B" w14:textId="77777777" w:rsidR="000242C5" w:rsidRPr="001F4ECA" w:rsidRDefault="000242C5" w:rsidP="000242C5">
      <w:pPr>
        <w:rPr>
          <w:rFonts w:ascii="Times New Roman" w:eastAsiaTheme="minorHAnsi" w:hAnsi="Times New Roman"/>
          <w:sz w:val="24"/>
          <w:szCs w:val="24"/>
          <w:lang w:eastAsia="en-US"/>
        </w:rPr>
      </w:pPr>
    </w:p>
    <w:p w14:paraId="18C248F5" w14:textId="54FE424A"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Consultation was not undertaken with individuals or businesses likely to be affected by th</w:t>
      </w:r>
      <w:r w:rsidR="00554F4A" w:rsidRPr="001F4ECA">
        <w:rPr>
          <w:rFonts w:ascii="Times New Roman" w:eastAsiaTheme="minorHAnsi" w:hAnsi="Times New Roman"/>
          <w:sz w:val="24"/>
          <w:szCs w:val="24"/>
          <w:lang w:eastAsia="en-US"/>
        </w:rPr>
        <w:t>is program</w:t>
      </w:r>
      <w:r w:rsidRPr="001F4ECA">
        <w:rPr>
          <w:rFonts w:ascii="Times New Roman" w:eastAsiaTheme="minorHAnsi" w:hAnsi="Times New Roman"/>
          <w:sz w:val="24"/>
          <w:szCs w:val="24"/>
          <w:lang w:eastAsia="en-US"/>
        </w:rPr>
        <w:t xml:space="preserve">. Consultation with such persons was considered unnecessary or inappropriate as the expansion and extension of the pilots and </w:t>
      </w:r>
      <w:r w:rsidR="00554F4A" w:rsidRPr="001F4ECA">
        <w:rPr>
          <w:rFonts w:ascii="Times New Roman" w:eastAsiaTheme="minorHAnsi" w:hAnsi="Times New Roman"/>
          <w:sz w:val="24"/>
          <w:szCs w:val="24"/>
          <w:lang w:eastAsia="en-US"/>
        </w:rPr>
        <w:t>the p</w:t>
      </w:r>
      <w:r w:rsidRPr="001F4ECA">
        <w:rPr>
          <w:rFonts w:ascii="Times New Roman" w:eastAsiaTheme="minorHAnsi" w:hAnsi="Times New Roman"/>
          <w:sz w:val="24"/>
          <w:szCs w:val="24"/>
          <w:lang w:eastAsia="en-US"/>
        </w:rPr>
        <w:t xml:space="preserve">rogram provide modest refinements to the existing beneficial measure likely to be supported by affected individuals. External consultation would have also delayed the implementation of the expansion and the provision of services to affected individuals. </w:t>
      </w:r>
    </w:p>
    <w:p w14:paraId="70B89BFD" w14:textId="62696D17" w:rsidR="001B1AAD" w:rsidRPr="001F4ECA" w:rsidRDefault="001B1AAD" w:rsidP="00F03C1F">
      <w:pPr>
        <w:rPr>
          <w:rFonts w:ascii="Times New Roman" w:eastAsiaTheme="minorHAnsi" w:hAnsi="Times New Roman"/>
          <w:sz w:val="24"/>
          <w:szCs w:val="24"/>
          <w:lang w:eastAsia="en-US"/>
        </w:rPr>
      </w:pPr>
    </w:p>
    <w:p w14:paraId="1769084B" w14:textId="0033D214" w:rsidR="00554F4A" w:rsidRPr="001F4ECA" w:rsidRDefault="00554F4A" w:rsidP="00554F4A">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Funding for the expansion of the program to Victoria, expansion of eligibility for the program and training grants (to be met from within the existing resources of the department) was included in the 2021-22 Budget under the measure ‘</w:t>
      </w:r>
      <w:r w:rsidR="00111288" w:rsidRPr="001F4ECA">
        <w:rPr>
          <w:rFonts w:ascii="Times New Roman" w:eastAsiaTheme="minorHAnsi" w:hAnsi="Times New Roman"/>
          <w:sz w:val="24"/>
          <w:szCs w:val="24"/>
          <w:lang w:eastAsia="en-US"/>
        </w:rPr>
        <w:t>Women’s Economic Security Package</w:t>
      </w:r>
      <w:r w:rsidRPr="001F4ECA">
        <w:rPr>
          <w:rFonts w:ascii="Times New Roman" w:eastAsiaTheme="minorHAnsi" w:hAnsi="Times New Roman"/>
          <w:sz w:val="24"/>
          <w:szCs w:val="24"/>
          <w:lang w:eastAsia="en-US"/>
        </w:rPr>
        <w:t>’.</w:t>
      </w:r>
      <w:r w:rsidRPr="001F4ECA">
        <w:rPr>
          <w:rFonts w:ascii="Times New Roman" w:eastAsiaTheme="minorHAnsi" w:hAnsi="Times New Roman"/>
          <w:iCs/>
          <w:sz w:val="24"/>
          <w:szCs w:val="24"/>
          <w:lang w:eastAsia="en-US"/>
        </w:rPr>
        <w:t xml:space="preserve"> Details are set out in </w:t>
      </w:r>
      <w:r w:rsidRPr="001F4ECA">
        <w:rPr>
          <w:rFonts w:ascii="Times New Roman" w:eastAsiaTheme="minorHAnsi" w:hAnsi="Times New Roman"/>
          <w:i/>
          <w:iCs/>
          <w:sz w:val="24"/>
          <w:szCs w:val="24"/>
          <w:lang w:eastAsia="en-US"/>
        </w:rPr>
        <w:t>Budget 2021-22, Budget Measures, Budget Paper No. 2 2021-22</w:t>
      </w:r>
      <w:r w:rsidRPr="001F4ECA">
        <w:rPr>
          <w:rFonts w:ascii="Times New Roman" w:eastAsiaTheme="minorHAnsi" w:hAnsi="Times New Roman"/>
          <w:iCs/>
          <w:sz w:val="24"/>
          <w:szCs w:val="24"/>
          <w:lang w:eastAsia="en-US"/>
        </w:rPr>
        <w:t xml:space="preserve"> at pages </w:t>
      </w:r>
      <w:r w:rsidR="00111288" w:rsidRPr="001F4ECA">
        <w:rPr>
          <w:rFonts w:ascii="Times New Roman" w:eastAsiaTheme="minorHAnsi" w:hAnsi="Times New Roman"/>
          <w:iCs/>
          <w:sz w:val="24"/>
          <w:szCs w:val="24"/>
          <w:lang w:eastAsia="en-US"/>
        </w:rPr>
        <w:t>81</w:t>
      </w:r>
      <w:r w:rsidRPr="001F4ECA">
        <w:rPr>
          <w:rFonts w:ascii="Times New Roman" w:eastAsiaTheme="minorHAnsi" w:hAnsi="Times New Roman"/>
          <w:iCs/>
          <w:sz w:val="24"/>
          <w:szCs w:val="24"/>
          <w:lang w:eastAsia="en-US"/>
        </w:rPr>
        <w:t xml:space="preserve"> to 8</w:t>
      </w:r>
      <w:r w:rsidR="00111288" w:rsidRPr="001F4ECA">
        <w:rPr>
          <w:rFonts w:ascii="Times New Roman" w:eastAsiaTheme="minorHAnsi" w:hAnsi="Times New Roman"/>
          <w:iCs/>
          <w:sz w:val="24"/>
          <w:szCs w:val="24"/>
          <w:lang w:eastAsia="en-US"/>
        </w:rPr>
        <w:t>2</w:t>
      </w:r>
      <w:r w:rsidRPr="001F4ECA">
        <w:rPr>
          <w:rFonts w:ascii="Times New Roman" w:eastAsiaTheme="minorHAnsi" w:hAnsi="Times New Roman"/>
          <w:iCs/>
          <w:sz w:val="24"/>
          <w:szCs w:val="24"/>
          <w:lang w:eastAsia="en-US"/>
        </w:rPr>
        <w:t>.</w:t>
      </w:r>
    </w:p>
    <w:p w14:paraId="0F8B1D9E" w14:textId="77777777" w:rsidR="00554F4A" w:rsidRPr="001F4ECA" w:rsidRDefault="00554F4A" w:rsidP="000242C5">
      <w:pPr>
        <w:rPr>
          <w:rFonts w:ascii="Times New Roman" w:eastAsiaTheme="minorHAnsi" w:hAnsi="Times New Roman"/>
          <w:sz w:val="24"/>
          <w:szCs w:val="24"/>
          <w:lang w:eastAsia="en-US"/>
        </w:rPr>
      </w:pPr>
    </w:p>
    <w:p w14:paraId="2D9DB1B8" w14:textId="74BB59BA"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Funding for this item of $73.4 million over three years fro</w:t>
      </w:r>
      <w:r w:rsidR="00670836" w:rsidRPr="001F4ECA">
        <w:rPr>
          <w:rFonts w:ascii="Times New Roman" w:eastAsiaTheme="minorHAnsi" w:hAnsi="Times New Roman"/>
          <w:sz w:val="24"/>
          <w:szCs w:val="24"/>
          <w:lang w:eastAsia="en-US"/>
        </w:rPr>
        <w:t>m 2021-22 will come from</w:t>
      </w:r>
      <w:r w:rsidR="00670836" w:rsidRPr="001F4ECA">
        <w:rPr>
          <w:rFonts w:ascii="Times New Roman" w:eastAsiaTheme="minorHAnsi" w:hAnsi="Times New Roman"/>
          <w:sz w:val="24"/>
          <w:szCs w:val="24"/>
          <w:lang w:eastAsia="en-US"/>
        </w:rPr>
        <w:br/>
      </w:r>
      <w:r w:rsidR="00554F4A" w:rsidRPr="001F4ECA">
        <w:rPr>
          <w:rFonts w:ascii="Times New Roman" w:eastAsiaTheme="minorHAnsi" w:hAnsi="Times New Roman"/>
          <w:sz w:val="24"/>
          <w:szCs w:val="24"/>
          <w:lang w:eastAsia="en-US"/>
        </w:rPr>
        <w:t>the Skills Development s</w:t>
      </w:r>
      <w:r w:rsidRPr="001F4ECA">
        <w:rPr>
          <w:rFonts w:ascii="Times New Roman" w:eastAsiaTheme="minorHAnsi" w:hAnsi="Times New Roman"/>
          <w:sz w:val="24"/>
          <w:szCs w:val="24"/>
          <w:lang w:eastAsia="en-US"/>
        </w:rPr>
        <w:t>ub</w:t>
      </w:r>
      <w:r w:rsidR="00554F4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w:t>
      </w:r>
      <w:r w:rsidR="00554F4A" w:rsidRPr="001F4ECA">
        <w:rPr>
          <w:rFonts w:ascii="Times New Roman" w:eastAsiaTheme="minorHAnsi" w:hAnsi="Times New Roman"/>
          <w:sz w:val="24"/>
          <w:szCs w:val="24"/>
          <w:lang w:eastAsia="en-US"/>
        </w:rPr>
        <w:t>under</w:t>
      </w:r>
      <w:r w:rsidRPr="001F4ECA">
        <w:rPr>
          <w:rFonts w:ascii="Times New Roman" w:eastAsiaTheme="minorHAnsi" w:hAnsi="Times New Roman"/>
          <w:sz w:val="24"/>
          <w:szCs w:val="24"/>
          <w:lang w:eastAsia="en-US"/>
        </w:rPr>
        <w:t xml:space="preserve"> Program 3.1: Building Skills and Capacity, which </w:t>
      </w:r>
      <w:r w:rsidRPr="001F4ECA">
        <w:rPr>
          <w:rFonts w:ascii="Times New Roman" w:eastAsiaTheme="minorHAnsi" w:hAnsi="Times New Roman"/>
          <w:sz w:val="24"/>
          <w:szCs w:val="24"/>
          <w:lang w:eastAsia="en-US"/>
        </w:rPr>
        <w:lastRenderedPageBreak/>
        <w:t xml:space="preserve">is part of Outcome 3. Details are set out in the </w:t>
      </w:r>
      <w:r w:rsidRPr="001F4ECA">
        <w:rPr>
          <w:rFonts w:ascii="Times New Roman" w:eastAsiaTheme="minorHAnsi" w:hAnsi="Times New Roman"/>
          <w:i/>
          <w:sz w:val="24"/>
          <w:szCs w:val="24"/>
          <w:lang w:eastAsia="en-US"/>
        </w:rPr>
        <w:t>Portfolio Budget Statements 2021-22, Budget Related Paper No. 1.4, Education, Skills and Employment Portfolio</w:t>
      </w:r>
      <w:r w:rsidRPr="001F4ECA">
        <w:rPr>
          <w:rFonts w:ascii="Times New Roman" w:eastAsiaTheme="minorHAnsi" w:hAnsi="Times New Roman"/>
          <w:sz w:val="24"/>
          <w:szCs w:val="24"/>
          <w:lang w:eastAsia="en-US"/>
        </w:rPr>
        <w:t xml:space="preserve"> at pages 17 and 72.</w:t>
      </w:r>
    </w:p>
    <w:p w14:paraId="15B7A8FA" w14:textId="77777777" w:rsidR="000242C5" w:rsidRPr="001F4ECA" w:rsidRDefault="000242C5" w:rsidP="000242C5">
      <w:pPr>
        <w:rPr>
          <w:rFonts w:ascii="Times New Roman" w:eastAsiaTheme="minorHAnsi" w:hAnsi="Times New Roman"/>
          <w:sz w:val="24"/>
          <w:szCs w:val="24"/>
          <w:lang w:eastAsia="en-US"/>
        </w:rPr>
      </w:pPr>
    </w:p>
    <w:p w14:paraId="41DA3D16" w14:textId="77777777"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Noting that it is not a comprehensive statement of relevant constitutional considerations, the</w:t>
      </w:r>
    </w:p>
    <w:p w14:paraId="6C664CA8" w14:textId="77777777"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objective of the item references the following powers of the Constitution:</w:t>
      </w:r>
    </w:p>
    <w:p w14:paraId="2B97B6CE" w14:textId="77777777" w:rsidR="000242C5" w:rsidRPr="001F4ECA" w:rsidRDefault="000242C5" w:rsidP="00D578E9">
      <w:pPr>
        <w:numPr>
          <w:ilvl w:val="0"/>
          <w:numId w:val="30"/>
        </w:num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the external affairs power (section 51(xxix)); and</w:t>
      </w:r>
    </w:p>
    <w:p w14:paraId="764CB45B" w14:textId="6A9DB240" w:rsidR="000242C5" w:rsidRPr="001F4ECA" w:rsidRDefault="000242C5" w:rsidP="00D578E9">
      <w:pPr>
        <w:numPr>
          <w:ilvl w:val="0"/>
          <w:numId w:val="30"/>
        </w:num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the unemployment benefits aspect of the social welfare power (section 51(xxiiiA)</w:t>
      </w:r>
      <w:r w:rsidR="0059147C" w:rsidRPr="001F4ECA">
        <w:rPr>
          <w:rFonts w:ascii="Times New Roman" w:eastAsiaTheme="minorHAnsi" w:hAnsi="Times New Roman"/>
          <w:iCs/>
          <w:sz w:val="24"/>
          <w:szCs w:val="24"/>
          <w:lang w:eastAsia="en-US"/>
        </w:rPr>
        <w:t>)</w:t>
      </w:r>
      <w:r w:rsidRPr="001F4ECA">
        <w:rPr>
          <w:rFonts w:ascii="Times New Roman" w:eastAsiaTheme="minorHAnsi" w:hAnsi="Times New Roman"/>
          <w:iCs/>
          <w:sz w:val="24"/>
          <w:szCs w:val="24"/>
          <w:lang w:eastAsia="en-US"/>
        </w:rPr>
        <w:t>.</w:t>
      </w:r>
    </w:p>
    <w:p w14:paraId="77AFF7BF" w14:textId="77777777" w:rsidR="000242C5" w:rsidRPr="001F4ECA" w:rsidRDefault="000242C5" w:rsidP="000242C5">
      <w:pPr>
        <w:rPr>
          <w:rFonts w:ascii="Times New Roman" w:eastAsiaTheme="minorHAnsi" w:hAnsi="Times New Roman"/>
          <w:sz w:val="24"/>
          <w:szCs w:val="24"/>
          <w:lang w:eastAsia="en-US"/>
        </w:rPr>
      </w:pPr>
    </w:p>
    <w:p w14:paraId="34C061C8" w14:textId="77777777" w:rsidR="000242C5" w:rsidRPr="001F4ECA" w:rsidRDefault="000242C5" w:rsidP="000242C5">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External affairs power</w:t>
      </w:r>
    </w:p>
    <w:p w14:paraId="53741830" w14:textId="77777777" w:rsidR="000242C5" w:rsidRPr="001F4ECA" w:rsidRDefault="000242C5" w:rsidP="000242C5">
      <w:pPr>
        <w:rPr>
          <w:rFonts w:ascii="Times New Roman" w:eastAsiaTheme="minorHAnsi" w:hAnsi="Times New Roman"/>
          <w:sz w:val="24"/>
          <w:szCs w:val="24"/>
          <w:lang w:eastAsia="en-US"/>
        </w:rPr>
      </w:pPr>
    </w:p>
    <w:p w14:paraId="27D0BDCF" w14:textId="77777777"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Section 51(xxix) of the Constitution empowers the Parliament to make laws with respect to ‘external affairs’. The external affairs power supports legislation implementing Australia’s international obligations under treaties to which it is a party.</w:t>
      </w:r>
    </w:p>
    <w:p w14:paraId="0E0E75E9" w14:textId="77777777" w:rsidR="000242C5" w:rsidRPr="001F4ECA" w:rsidRDefault="000242C5" w:rsidP="000242C5">
      <w:pPr>
        <w:rPr>
          <w:rFonts w:ascii="Times New Roman" w:eastAsiaTheme="minorHAnsi" w:hAnsi="Times New Roman"/>
          <w:sz w:val="24"/>
          <w:szCs w:val="24"/>
          <w:lang w:eastAsia="en-US"/>
        </w:rPr>
      </w:pPr>
    </w:p>
    <w:p w14:paraId="5BCE189A" w14:textId="5441C559"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Australia has obligations relating to the </w:t>
      </w:r>
      <w:r w:rsidRPr="001F4ECA">
        <w:rPr>
          <w:rFonts w:ascii="Times New Roman" w:eastAsiaTheme="minorHAnsi" w:hAnsi="Times New Roman"/>
          <w:i/>
          <w:sz w:val="24"/>
          <w:szCs w:val="24"/>
          <w:lang w:eastAsia="en-US"/>
        </w:rPr>
        <w:t xml:space="preserve">International Covenant on Economic, Social and Cultural Rights </w:t>
      </w:r>
      <w:r w:rsidRPr="001F4ECA">
        <w:rPr>
          <w:rFonts w:ascii="Times New Roman" w:eastAsiaTheme="minorHAnsi" w:hAnsi="Times New Roman"/>
          <w:sz w:val="24"/>
          <w:szCs w:val="24"/>
          <w:lang w:eastAsia="en-US"/>
        </w:rPr>
        <w:t>[1976] ATS 5</w:t>
      </w:r>
      <w:r w:rsidRPr="001F4ECA">
        <w:rPr>
          <w:rFonts w:ascii="Times New Roman" w:eastAsiaTheme="minorHAnsi" w:hAnsi="Times New Roman"/>
          <w:i/>
          <w:sz w:val="24"/>
          <w:szCs w:val="24"/>
          <w:lang w:eastAsia="en-US"/>
        </w:rPr>
        <w:t xml:space="preserve"> </w:t>
      </w:r>
      <w:r w:rsidRPr="001F4ECA">
        <w:rPr>
          <w:rFonts w:ascii="Times New Roman" w:eastAsiaTheme="minorHAnsi" w:hAnsi="Times New Roman"/>
          <w:sz w:val="24"/>
          <w:szCs w:val="24"/>
          <w:lang w:eastAsia="en-US"/>
        </w:rPr>
        <w:t>(ICESCR),</w:t>
      </w:r>
      <w:r w:rsidRPr="001F4ECA">
        <w:rPr>
          <w:rFonts w:ascii="Times New Roman" w:eastAsiaTheme="minorHAnsi" w:hAnsi="Times New Roman"/>
          <w:i/>
          <w:sz w:val="24"/>
          <w:szCs w:val="24"/>
          <w:lang w:eastAsia="en-US"/>
        </w:rPr>
        <w:t xml:space="preserve"> </w:t>
      </w:r>
      <w:r w:rsidRPr="001F4ECA">
        <w:rPr>
          <w:rFonts w:ascii="Times New Roman" w:eastAsiaTheme="minorHAnsi" w:hAnsi="Times New Roman"/>
          <w:sz w:val="24"/>
          <w:szCs w:val="24"/>
          <w:lang w:eastAsia="en-US"/>
        </w:rPr>
        <w:t xml:space="preserve">the International Labour Organization’s </w:t>
      </w:r>
      <w:r w:rsidRPr="001F4ECA">
        <w:rPr>
          <w:rFonts w:ascii="Times New Roman" w:eastAsiaTheme="minorHAnsi" w:hAnsi="Times New Roman"/>
          <w:i/>
          <w:sz w:val="24"/>
          <w:szCs w:val="24"/>
          <w:lang w:eastAsia="en-US"/>
        </w:rPr>
        <w:t>Convention concerning Employment Policy</w:t>
      </w:r>
      <w:r w:rsidRPr="001F4ECA">
        <w:rPr>
          <w:rFonts w:ascii="Times New Roman" w:eastAsiaTheme="minorHAnsi" w:hAnsi="Times New Roman"/>
          <w:sz w:val="24"/>
          <w:szCs w:val="24"/>
          <w:lang w:eastAsia="en-US"/>
        </w:rPr>
        <w:t xml:space="preserve"> (ILO Convention 122) and </w:t>
      </w:r>
      <w:r w:rsidRPr="001F4ECA">
        <w:rPr>
          <w:rFonts w:ascii="Times New Roman" w:eastAsiaTheme="minorHAnsi" w:hAnsi="Times New Roman"/>
          <w:i/>
          <w:sz w:val="24"/>
          <w:szCs w:val="24"/>
          <w:lang w:eastAsia="en-US"/>
        </w:rPr>
        <w:t>Convention concerning Vocational Guidance and Vocational Training in the Development of Human Resources</w:t>
      </w:r>
      <w:r w:rsidRPr="001F4ECA">
        <w:rPr>
          <w:rFonts w:ascii="Times New Roman" w:eastAsiaTheme="minorHAnsi" w:hAnsi="Times New Roman"/>
          <w:sz w:val="24"/>
          <w:szCs w:val="24"/>
          <w:lang w:eastAsia="en-US"/>
        </w:rPr>
        <w:t xml:space="preserve"> (ILO Convention 142).</w:t>
      </w:r>
    </w:p>
    <w:p w14:paraId="0C92A530" w14:textId="77777777" w:rsidR="000242C5" w:rsidRPr="001F4ECA" w:rsidRDefault="000242C5" w:rsidP="000242C5">
      <w:pPr>
        <w:rPr>
          <w:rFonts w:ascii="Times New Roman" w:eastAsiaTheme="minorHAnsi" w:hAnsi="Times New Roman"/>
          <w:sz w:val="24"/>
          <w:szCs w:val="24"/>
          <w:lang w:eastAsia="en-US"/>
        </w:rPr>
      </w:pPr>
    </w:p>
    <w:p w14:paraId="70D7E2B9" w14:textId="31269D66"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2 of the ICESCR provides that each State Party shall take steps ‘to the maximum of its available resources’ to realise the rights within </w:t>
      </w:r>
      <w:r w:rsidR="00DE70EC"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ICESCR, including the right to work under Article 6(1). Article 6(2) sets out how</w:t>
      </w:r>
      <w:r w:rsidR="00DE70EC" w:rsidRPr="001F4ECA">
        <w:rPr>
          <w:rFonts w:ascii="Times New Roman" w:eastAsiaTheme="minorHAnsi" w:hAnsi="Times New Roman"/>
          <w:sz w:val="24"/>
          <w:szCs w:val="24"/>
          <w:lang w:eastAsia="en-US"/>
        </w:rPr>
        <w:t xml:space="preserve"> the</w:t>
      </w:r>
      <w:r w:rsidRPr="001F4ECA">
        <w:rPr>
          <w:rFonts w:ascii="Times New Roman" w:eastAsiaTheme="minorHAnsi" w:hAnsi="Times New Roman"/>
          <w:sz w:val="24"/>
          <w:szCs w:val="24"/>
          <w:lang w:eastAsia="en-US"/>
        </w:rPr>
        <w:t xml:space="preserve"> States Parties shall realise this right, including through ‘technical and vocational education programs’. </w:t>
      </w:r>
    </w:p>
    <w:p w14:paraId="2521CD91" w14:textId="77777777" w:rsidR="000242C5" w:rsidRPr="001F4ECA" w:rsidRDefault="000242C5" w:rsidP="000242C5">
      <w:pPr>
        <w:rPr>
          <w:rFonts w:ascii="Times New Roman" w:eastAsiaTheme="minorHAnsi" w:hAnsi="Times New Roman"/>
          <w:sz w:val="24"/>
          <w:szCs w:val="24"/>
          <w:lang w:eastAsia="en-US"/>
        </w:rPr>
      </w:pPr>
    </w:p>
    <w:p w14:paraId="1CD7FEFB" w14:textId="331A7D79"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00DE70EC"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is intended to increase workforce participation and improve the earning potential of carers returning to work after a break to undertake caring responsibilities and workers in female</w:t>
      </w:r>
      <w:r w:rsidR="00DE70EC"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dominated, COVID-19 affected industries. By providing a range of services including skills and aptitude assessments, customised plans outlining employment goals and training suggestions (or other activities), coaching sessions on relevant employment-related skills such as digital literacy or interviewing skills, and access to a training grant to undertake recommended accredited training to upskill or re</w:t>
      </w:r>
      <w:r w:rsidR="00DE70EC" w:rsidRPr="001F4ECA">
        <w:rPr>
          <w:rFonts w:ascii="Times New Roman" w:eastAsiaTheme="minorHAnsi" w:hAnsi="Times New Roman"/>
          <w:sz w:val="24"/>
          <w:szCs w:val="24"/>
          <w:lang w:eastAsia="en-US"/>
        </w:rPr>
        <w:t>-skill, the p</w:t>
      </w:r>
      <w:r w:rsidRPr="001F4ECA">
        <w:rPr>
          <w:rFonts w:ascii="Times New Roman" w:eastAsiaTheme="minorHAnsi" w:hAnsi="Times New Roman"/>
          <w:sz w:val="24"/>
          <w:szCs w:val="24"/>
          <w:lang w:eastAsia="en-US"/>
        </w:rPr>
        <w:t>rogram is designed to maximise available resources directed to achieve full realisation of the right to work.</w:t>
      </w:r>
    </w:p>
    <w:p w14:paraId="255DABB7" w14:textId="77777777" w:rsidR="000242C5" w:rsidRPr="001F4ECA" w:rsidRDefault="000242C5" w:rsidP="000242C5">
      <w:pPr>
        <w:rPr>
          <w:rFonts w:ascii="Times New Roman" w:eastAsiaTheme="minorHAnsi" w:hAnsi="Times New Roman"/>
          <w:sz w:val="24"/>
          <w:szCs w:val="24"/>
          <w:lang w:eastAsia="en-US"/>
        </w:rPr>
      </w:pPr>
    </w:p>
    <w:p w14:paraId="15915EBB" w14:textId="23F6A0A8"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1(1) of </w:t>
      </w:r>
      <w:r w:rsidR="008F4129"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ILO Convention 122 requires Members to pursue ‘an active policy designed to promote full, productive and freely chosen employment.’ This obligation is supplemented by Article 2 which provides that Members shall ‘take such steps as may be needed, including when appropriate the establishment of programs’ to achieve the objectives of Article 1. </w:t>
      </w:r>
    </w:p>
    <w:p w14:paraId="04EBD7D8" w14:textId="77777777" w:rsidR="000242C5" w:rsidRPr="001F4ECA" w:rsidRDefault="000242C5" w:rsidP="000242C5">
      <w:pPr>
        <w:rPr>
          <w:rFonts w:ascii="Times New Roman" w:eastAsiaTheme="minorHAnsi" w:hAnsi="Times New Roman"/>
          <w:sz w:val="24"/>
          <w:szCs w:val="24"/>
          <w:lang w:eastAsia="en-US"/>
        </w:rPr>
      </w:pPr>
    </w:p>
    <w:p w14:paraId="66C43DE0" w14:textId="46F5DBDA"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008F4129"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will provide a range of services which are directed towards promoting ‘full, productive and freely chosen employment’. These include providing a range of support services to assist people into employment, such as one-to-one assessments of skills and employment goals, the opportunity to undertake formal skills, employment suitability and/or aptitude assessments, guidance on creating employment goals and identifying necessary training (or other activities) to assist in achieving these goals. Participants will also have the opportunity to engage in coaching sessions focussed on developing relevant skills, such as interview preparation, digital literacy or negotiating flexible working arrangements. All </w:t>
      </w:r>
      <w:r w:rsidRPr="001F4ECA">
        <w:rPr>
          <w:rFonts w:ascii="Times New Roman" w:eastAsiaTheme="minorHAnsi" w:hAnsi="Times New Roman"/>
          <w:sz w:val="24"/>
          <w:szCs w:val="24"/>
          <w:lang w:eastAsia="en-US"/>
        </w:rPr>
        <w:lastRenderedPageBreak/>
        <w:t>participants will be able to access grant funding to undertake recommended training to upskill or re</w:t>
      </w:r>
      <w:r w:rsidR="008F4129"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skill.</w:t>
      </w:r>
    </w:p>
    <w:p w14:paraId="1186B45D" w14:textId="77777777" w:rsidR="000242C5" w:rsidRPr="001F4ECA" w:rsidRDefault="000242C5" w:rsidP="000242C5">
      <w:pPr>
        <w:rPr>
          <w:rFonts w:ascii="Times New Roman" w:eastAsiaTheme="minorHAnsi" w:hAnsi="Times New Roman"/>
          <w:sz w:val="24"/>
          <w:szCs w:val="24"/>
          <w:lang w:eastAsia="en-US"/>
        </w:rPr>
      </w:pPr>
    </w:p>
    <w:p w14:paraId="77C1FC2B" w14:textId="3FE829C3"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1(1) of </w:t>
      </w:r>
      <w:r w:rsidR="008F4129"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ILO Convention 142 obliges Members to ‘adopt and develop comprehensive and co-ordinated policies and program</w:t>
      </w:r>
      <w:r w:rsidR="008F4129" w:rsidRPr="001F4ECA">
        <w:rPr>
          <w:rFonts w:ascii="Times New Roman" w:eastAsiaTheme="minorHAnsi" w:hAnsi="Times New Roman"/>
          <w:sz w:val="24"/>
          <w:szCs w:val="24"/>
          <w:lang w:eastAsia="en-US"/>
        </w:rPr>
        <w:t>mes</w:t>
      </w:r>
      <w:r w:rsidRPr="001F4ECA">
        <w:rPr>
          <w:rFonts w:ascii="Times New Roman" w:eastAsiaTheme="minorHAnsi" w:hAnsi="Times New Roman"/>
          <w:sz w:val="24"/>
          <w:szCs w:val="24"/>
          <w:lang w:eastAsia="en-US"/>
        </w:rPr>
        <w:t xml:space="preserve"> of vocational guidance and vocational training, closely linked with employment, in particular through public employment services’. Article 1(2)(a) requires that the policies and programs adopted for the purposes of Article 1(1) take due account of matters including ‘employment needs, opportunities and problems, both regional and national’.</w:t>
      </w:r>
    </w:p>
    <w:p w14:paraId="67F3FA26" w14:textId="77777777" w:rsidR="000242C5" w:rsidRPr="001F4ECA" w:rsidRDefault="000242C5" w:rsidP="000242C5">
      <w:pPr>
        <w:rPr>
          <w:rFonts w:ascii="Times New Roman" w:eastAsiaTheme="minorHAnsi" w:hAnsi="Times New Roman"/>
          <w:sz w:val="24"/>
          <w:szCs w:val="24"/>
          <w:lang w:eastAsia="en-US"/>
        </w:rPr>
      </w:pPr>
    </w:p>
    <w:p w14:paraId="15D07FD0" w14:textId="1FF87C99"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2 of </w:t>
      </w:r>
      <w:r w:rsidR="008F4129"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ILO Convention 142 obliges each Member to ‘establish and develop open, flexible and complementary systems of general, technical and vocational education.’</w:t>
      </w:r>
    </w:p>
    <w:p w14:paraId="7AC419A3" w14:textId="77777777" w:rsidR="000242C5" w:rsidRPr="001F4ECA" w:rsidRDefault="000242C5" w:rsidP="000242C5">
      <w:pPr>
        <w:rPr>
          <w:rFonts w:ascii="Times New Roman" w:eastAsiaTheme="minorHAnsi" w:hAnsi="Times New Roman"/>
          <w:sz w:val="24"/>
          <w:szCs w:val="24"/>
          <w:lang w:eastAsia="en-US"/>
        </w:rPr>
      </w:pPr>
    </w:p>
    <w:p w14:paraId="50188291" w14:textId="77777777"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Article 3(1) provides that each Member shall ‘gradually extend its systems of vocational guidance, including continuing employment information, with a view to ensuring that comprehensive information and the broadest possible guidance are available to all children, young persons and adults.’</w:t>
      </w:r>
    </w:p>
    <w:p w14:paraId="5755D45C" w14:textId="77777777" w:rsidR="000242C5" w:rsidRPr="001F4ECA" w:rsidRDefault="000242C5" w:rsidP="000242C5">
      <w:pPr>
        <w:rPr>
          <w:rFonts w:ascii="Times New Roman" w:eastAsiaTheme="minorHAnsi" w:hAnsi="Times New Roman"/>
          <w:sz w:val="24"/>
          <w:szCs w:val="24"/>
          <w:lang w:eastAsia="en-US"/>
        </w:rPr>
      </w:pPr>
    </w:p>
    <w:p w14:paraId="12C0A58A" w14:textId="77777777"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Article 4 obliges each Member to ‘gradually... extend, adapt and harmonise its vocational training systems to meet the needs for vocational training throughout the life of both young persons and adults in all sectors of the economy and branches of economic activity and at all levels of skill and responsibility’.</w:t>
      </w:r>
    </w:p>
    <w:p w14:paraId="039B69FD" w14:textId="77777777" w:rsidR="000242C5" w:rsidRPr="001F4ECA" w:rsidRDefault="000242C5" w:rsidP="000242C5">
      <w:pPr>
        <w:rPr>
          <w:rFonts w:ascii="Times New Roman" w:eastAsiaTheme="minorHAnsi" w:hAnsi="Times New Roman"/>
          <w:sz w:val="24"/>
          <w:szCs w:val="24"/>
          <w:lang w:eastAsia="en-US"/>
        </w:rPr>
      </w:pPr>
    </w:p>
    <w:p w14:paraId="7C3DD3FE" w14:textId="360216DB"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008F4129"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promotes vocational guidance and vocational training, closely linked with employment through the provision of a range of support services designed to prepare participants for the workforce, or to improve their employment participation or outcomes. The services provided under the </w:t>
      </w:r>
      <w:r w:rsidR="008F4129"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are designed to be tailored to meet individual’s needs and maximise people’s opportunity to obtain employment. The </w:t>
      </w:r>
      <w:r w:rsidR="008F4129"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is designed to take into account a particularly vulnerable group, being persons who have been out of the workforce for a period of time due to caring responsibilities and workers in female</w:t>
      </w:r>
      <w:r w:rsidR="008F4129" w:rsidRPr="001F4ECA">
        <w:rPr>
          <w:rFonts w:ascii="Times New Roman" w:eastAsiaTheme="minorHAnsi" w:hAnsi="Times New Roman"/>
          <w:sz w:val="24"/>
          <w:szCs w:val="24"/>
          <w:lang w:eastAsia="en-US"/>
        </w:rPr>
        <w:noBreakHyphen/>
      </w:r>
      <w:r w:rsidRPr="001F4ECA">
        <w:rPr>
          <w:rFonts w:ascii="Times New Roman" w:eastAsiaTheme="minorHAnsi" w:hAnsi="Times New Roman"/>
          <w:sz w:val="24"/>
          <w:szCs w:val="24"/>
          <w:lang w:eastAsia="en-US"/>
        </w:rPr>
        <w:t xml:space="preserve"> dominated, COVID-19 effected industries where women are at risk of unemployment. The </w:t>
      </w:r>
      <w:r w:rsidR="008F4129"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intends to support this group to achieve economic security and find ongoing employment.  </w:t>
      </w:r>
    </w:p>
    <w:p w14:paraId="6AFAA33E" w14:textId="77777777" w:rsidR="000242C5" w:rsidRPr="001F4ECA" w:rsidRDefault="000242C5" w:rsidP="000242C5">
      <w:pPr>
        <w:rPr>
          <w:rFonts w:ascii="Times New Roman" w:eastAsiaTheme="minorHAnsi" w:hAnsi="Times New Roman"/>
          <w:sz w:val="24"/>
          <w:szCs w:val="24"/>
          <w:lang w:eastAsia="en-US"/>
        </w:rPr>
      </w:pPr>
    </w:p>
    <w:p w14:paraId="2C5577FD" w14:textId="78BBD9F7" w:rsidR="000242C5" w:rsidRPr="001F4ECA" w:rsidRDefault="000242C5" w:rsidP="000242C5">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Social welfare power</w:t>
      </w:r>
    </w:p>
    <w:p w14:paraId="65E8DF21" w14:textId="77777777" w:rsidR="000242C5" w:rsidRPr="001F4ECA" w:rsidRDefault="000242C5" w:rsidP="000242C5">
      <w:pPr>
        <w:rPr>
          <w:rFonts w:ascii="Times New Roman" w:eastAsiaTheme="minorHAnsi" w:hAnsi="Times New Roman"/>
          <w:sz w:val="24"/>
          <w:szCs w:val="24"/>
          <w:lang w:eastAsia="en-US"/>
        </w:rPr>
      </w:pPr>
    </w:p>
    <w:p w14:paraId="31C4D400" w14:textId="77777777" w:rsidR="000242C5" w:rsidRPr="001F4ECA" w:rsidRDefault="000242C5"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social welfare power in section 51(xxiiiA) of the Constitution empowers the Parliament to make laws with respect to the provision of certain social welfare benefits, including unemployment benefits.</w:t>
      </w:r>
    </w:p>
    <w:p w14:paraId="6705C3C3" w14:textId="77777777" w:rsidR="000242C5" w:rsidRPr="001F4ECA" w:rsidRDefault="000242C5" w:rsidP="000242C5">
      <w:pPr>
        <w:rPr>
          <w:rFonts w:ascii="Times New Roman" w:eastAsiaTheme="minorHAnsi" w:hAnsi="Times New Roman"/>
          <w:sz w:val="24"/>
          <w:szCs w:val="24"/>
          <w:lang w:eastAsia="en-US"/>
        </w:rPr>
      </w:pPr>
    </w:p>
    <w:p w14:paraId="6333FFC8" w14:textId="0FE2D641" w:rsidR="000242C5" w:rsidRPr="001F4ECA" w:rsidRDefault="00D33C0B" w:rsidP="000242C5">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p</w:t>
      </w:r>
      <w:r w:rsidR="000242C5" w:rsidRPr="001F4ECA">
        <w:rPr>
          <w:rFonts w:ascii="Times New Roman" w:eastAsiaTheme="minorHAnsi" w:hAnsi="Times New Roman"/>
          <w:sz w:val="24"/>
          <w:szCs w:val="24"/>
          <w:lang w:eastAsia="en-US"/>
        </w:rPr>
        <w:t>rogram is open to all working age eligible Australians and is designed to support them to achieve economic security and avoid the need to transition to income support. Nevertheless, participants who are in receipt of unemployment benefi</w:t>
      </w:r>
      <w:r w:rsidRPr="001F4ECA">
        <w:rPr>
          <w:rFonts w:ascii="Times New Roman" w:eastAsiaTheme="minorHAnsi" w:hAnsi="Times New Roman"/>
          <w:sz w:val="24"/>
          <w:szCs w:val="24"/>
          <w:lang w:eastAsia="en-US"/>
        </w:rPr>
        <w:t>ts may participate in the p</w:t>
      </w:r>
      <w:r w:rsidR="000242C5" w:rsidRPr="001F4ECA">
        <w:rPr>
          <w:rFonts w:ascii="Times New Roman" w:eastAsiaTheme="minorHAnsi" w:hAnsi="Times New Roman"/>
          <w:sz w:val="24"/>
          <w:szCs w:val="24"/>
          <w:lang w:eastAsia="en-US"/>
        </w:rPr>
        <w:t xml:space="preserve">rogram, provided eligibility criteria are met. Participation in the </w:t>
      </w:r>
      <w:r w:rsidRPr="001F4ECA">
        <w:rPr>
          <w:rFonts w:ascii="Times New Roman" w:eastAsiaTheme="minorHAnsi" w:hAnsi="Times New Roman"/>
          <w:sz w:val="24"/>
          <w:szCs w:val="24"/>
          <w:lang w:eastAsia="en-US"/>
        </w:rPr>
        <w:t>p</w:t>
      </w:r>
      <w:r w:rsidR="000242C5" w:rsidRPr="001F4ECA">
        <w:rPr>
          <w:rFonts w:ascii="Times New Roman" w:eastAsiaTheme="minorHAnsi" w:hAnsi="Times New Roman"/>
          <w:sz w:val="24"/>
          <w:szCs w:val="24"/>
          <w:lang w:eastAsia="en-US"/>
        </w:rPr>
        <w:t>rogram will not be a compulsory requirement to receive an</w:t>
      </w:r>
      <w:r w:rsidRPr="001F4ECA">
        <w:rPr>
          <w:rFonts w:ascii="Times New Roman" w:eastAsiaTheme="minorHAnsi" w:hAnsi="Times New Roman"/>
          <w:sz w:val="24"/>
          <w:szCs w:val="24"/>
          <w:lang w:eastAsia="en-US"/>
        </w:rPr>
        <w:t xml:space="preserve"> unemployment payment, but the p</w:t>
      </w:r>
      <w:r w:rsidR="000242C5" w:rsidRPr="001F4ECA">
        <w:rPr>
          <w:rFonts w:ascii="Times New Roman" w:eastAsiaTheme="minorHAnsi" w:hAnsi="Times New Roman"/>
          <w:sz w:val="24"/>
          <w:szCs w:val="24"/>
          <w:lang w:eastAsia="en-US"/>
        </w:rPr>
        <w:t xml:space="preserve">rogram may be included as a compulsory activity in an income support recipient’s employment pathway plan where participation is an appropriate requirement for the person. </w:t>
      </w:r>
    </w:p>
    <w:p w14:paraId="018AF2B0" w14:textId="1A009204" w:rsidR="001B1AAD" w:rsidRPr="001F4ECA" w:rsidRDefault="001B1AAD" w:rsidP="00F03C1F">
      <w:pPr>
        <w:rPr>
          <w:rFonts w:ascii="Times New Roman" w:eastAsiaTheme="minorHAnsi" w:hAnsi="Times New Roman"/>
          <w:sz w:val="24"/>
          <w:szCs w:val="24"/>
          <w:lang w:eastAsia="en-US"/>
        </w:rPr>
      </w:pPr>
    </w:p>
    <w:p w14:paraId="39F35705" w14:textId="77777777" w:rsidR="00D33C0B" w:rsidRPr="001F4ECA" w:rsidRDefault="00D33C0B">
      <w:pPr>
        <w:spacing w:after="200" w:line="276" w:lineRule="auto"/>
        <w:rPr>
          <w:rFonts w:ascii="Times New Roman" w:eastAsiaTheme="minorHAnsi" w:hAnsi="Times New Roman"/>
          <w:b/>
          <w:sz w:val="24"/>
          <w:szCs w:val="24"/>
          <w:lang w:eastAsia="en-US"/>
        </w:rPr>
      </w:pPr>
      <w:r w:rsidRPr="001F4ECA">
        <w:rPr>
          <w:rFonts w:ascii="Times New Roman" w:eastAsiaTheme="minorHAnsi" w:hAnsi="Times New Roman"/>
          <w:b/>
          <w:sz w:val="24"/>
          <w:szCs w:val="24"/>
          <w:lang w:eastAsia="en-US"/>
        </w:rPr>
        <w:br w:type="page"/>
      </w:r>
    </w:p>
    <w:p w14:paraId="36535B2F" w14:textId="4AB918A5" w:rsidR="00083C8A" w:rsidRPr="001F4ECA" w:rsidRDefault="00083C8A" w:rsidP="00083C8A">
      <w:pPr>
        <w:rPr>
          <w:rFonts w:ascii="Times New Roman" w:eastAsiaTheme="minorHAnsi" w:hAnsi="Times New Roman"/>
          <w:b/>
          <w:sz w:val="24"/>
          <w:szCs w:val="24"/>
          <w:lang w:eastAsia="en-US"/>
        </w:rPr>
      </w:pPr>
      <w:r w:rsidRPr="001F4ECA">
        <w:rPr>
          <w:rFonts w:ascii="Times New Roman" w:eastAsiaTheme="minorHAnsi" w:hAnsi="Times New Roman"/>
          <w:b/>
          <w:sz w:val="24"/>
          <w:szCs w:val="24"/>
          <w:lang w:eastAsia="en-US"/>
        </w:rPr>
        <w:lastRenderedPageBreak/>
        <w:t>Item 5 – Part 4 of Schedule 1AB (table item 433, column headed “Program”)</w:t>
      </w:r>
    </w:p>
    <w:p w14:paraId="22EE58A8" w14:textId="612E8A4E" w:rsidR="001B1AAD" w:rsidRPr="001F4ECA" w:rsidRDefault="001B1AAD" w:rsidP="00F03C1F">
      <w:pPr>
        <w:rPr>
          <w:rFonts w:ascii="Times New Roman" w:eastAsiaTheme="minorHAnsi" w:hAnsi="Times New Roman"/>
          <w:sz w:val="24"/>
          <w:szCs w:val="24"/>
          <w:lang w:eastAsia="en-US"/>
        </w:rPr>
      </w:pPr>
    </w:p>
    <w:p w14:paraId="5FF5C37B" w14:textId="06EA4B1C" w:rsidR="00330711" w:rsidRPr="001F4ECA" w:rsidRDefault="00330711" w:rsidP="00083C8A">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Table item 433 in Part 4 of Schedule 1AB establishes legislative authority for government spending on the Local Jobs – COVID-19 Recovery</w:t>
      </w:r>
      <w:r w:rsidR="00983677" w:rsidRPr="001F4ECA">
        <w:rPr>
          <w:rFonts w:ascii="Times New Roman" w:eastAsiaTheme="minorHAnsi" w:hAnsi="Times New Roman"/>
          <w:sz w:val="24"/>
          <w:szCs w:val="24"/>
          <w:lang w:eastAsia="en-US"/>
        </w:rPr>
        <w:t xml:space="preserve"> Pilot, which was originally focussed on re-skilling, upskilling and employment pathways to assist people back into the workforce as the economy recovers from the COVID-19 pandemic. The Local Jobs Pilot put in place local Employment Facilitators, created Local Jobs and Skills Taskforces and provided Local Recovery Funds to support small scale projects in 25 Employment Regions.</w:t>
      </w:r>
    </w:p>
    <w:p w14:paraId="05911478" w14:textId="77777777" w:rsidR="00330711" w:rsidRPr="001F4ECA" w:rsidRDefault="00330711" w:rsidP="00083C8A">
      <w:pPr>
        <w:rPr>
          <w:rFonts w:ascii="Times New Roman" w:eastAsiaTheme="minorHAnsi" w:hAnsi="Times New Roman"/>
          <w:sz w:val="24"/>
          <w:szCs w:val="24"/>
          <w:lang w:eastAsia="en-US"/>
        </w:rPr>
      </w:pPr>
    </w:p>
    <w:p w14:paraId="75863BB0" w14:textId="4480933E" w:rsidR="00083C8A" w:rsidRPr="001F4ECA" w:rsidRDefault="00983677" w:rsidP="00083C8A">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I</w:t>
      </w:r>
      <w:r w:rsidR="00083C8A" w:rsidRPr="001F4ECA">
        <w:rPr>
          <w:rFonts w:ascii="Times New Roman" w:eastAsiaTheme="minorHAnsi" w:hAnsi="Times New Roman"/>
          <w:sz w:val="24"/>
          <w:szCs w:val="24"/>
          <w:lang w:eastAsia="en-US"/>
        </w:rPr>
        <w:t xml:space="preserve">tem </w:t>
      </w:r>
      <w:r w:rsidR="00C46909" w:rsidRPr="001F4ECA">
        <w:rPr>
          <w:rFonts w:ascii="Times New Roman" w:eastAsiaTheme="minorHAnsi" w:hAnsi="Times New Roman"/>
          <w:sz w:val="24"/>
          <w:szCs w:val="24"/>
          <w:lang w:eastAsia="en-US"/>
        </w:rPr>
        <w:t>5</w:t>
      </w:r>
      <w:r w:rsidRPr="001F4ECA">
        <w:rPr>
          <w:rFonts w:ascii="Times New Roman" w:eastAsiaTheme="minorHAnsi" w:hAnsi="Times New Roman"/>
          <w:sz w:val="24"/>
          <w:szCs w:val="24"/>
          <w:lang w:eastAsia="en-US"/>
        </w:rPr>
        <w:t xml:space="preserve"> </w:t>
      </w:r>
      <w:r w:rsidR="00083C8A" w:rsidRPr="001F4ECA">
        <w:rPr>
          <w:rFonts w:ascii="Times New Roman" w:eastAsiaTheme="minorHAnsi" w:hAnsi="Times New Roman"/>
          <w:sz w:val="24"/>
          <w:szCs w:val="24"/>
          <w:lang w:eastAsia="en-US"/>
        </w:rPr>
        <w:t>amends table item 433 by omitting “Pilot” in the column headed “Program”.</w:t>
      </w:r>
      <w:r w:rsidRPr="001F4ECA">
        <w:rPr>
          <w:rFonts w:ascii="Times New Roman" w:eastAsiaTheme="minorHAnsi" w:hAnsi="Times New Roman"/>
          <w:sz w:val="24"/>
          <w:szCs w:val="24"/>
          <w:lang w:eastAsia="en-US"/>
        </w:rPr>
        <w:t xml:space="preserve"> </w:t>
      </w:r>
      <w:r w:rsidR="00083C8A" w:rsidRPr="001F4ECA">
        <w:rPr>
          <w:rFonts w:ascii="Times New Roman" w:eastAsiaTheme="minorHAnsi" w:hAnsi="Times New Roman"/>
          <w:sz w:val="24"/>
          <w:szCs w:val="24"/>
          <w:lang w:val="en-GB" w:eastAsia="en-US"/>
        </w:rPr>
        <w:t>From 1</w:t>
      </w:r>
      <w:r w:rsidRPr="001F4ECA">
        <w:rPr>
          <w:rFonts w:ascii="Times New Roman" w:eastAsiaTheme="minorHAnsi" w:hAnsi="Times New Roman"/>
          <w:sz w:val="24"/>
          <w:szCs w:val="24"/>
          <w:lang w:val="en-GB" w:eastAsia="en-US"/>
        </w:rPr>
        <w:t> </w:t>
      </w:r>
      <w:r w:rsidR="00083C8A" w:rsidRPr="001F4ECA">
        <w:rPr>
          <w:rFonts w:ascii="Times New Roman" w:eastAsiaTheme="minorHAnsi" w:hAnsi="Times New Roman"/>
          <w:sz w:val="24"/>
          <w:szCs w:val="24"/>
          <w:lang w:val="en-GB" w:eastAsia="en-US"/>
        </w:rPr>
        <w:t xml:space="preserve">July 2021, the Local Jobs </w:t>
      </w:r>
      <w:r w:rsidRPr="001F4ECA">
        <w:rPr>
          <w:rFonts w:ascii="Times New Roman" w:eastAsiaTheme="minorHAnsi" w:hAnsi="Times New Roman"/>
          <w:sz w:val="24"/>
          <w:szCs w:val="24"/>
          <w:lang w:val="en-GB" w:eastAsia="en-US"/>
        </w:rPr>
        <w:t xml:space="preserve">Pilot was </w:t>
      </w:r>
      <w:r w:rsidR="00083C8A" w:rsidRPr="001F4ECA">
        <w:rPr>
          <w:rFonts w:ascii="Times New Roman" w:eastAsiaTheme="minorHAnsi" w:hAnsi="Times New Roman"/>
          <w:sz w:val="24"/>
          <w:szCs w:val="24"/>
          <w:lang w:val="en-GB" w:eastAsia="en-US"/>
        </w:rPr>
        <w:t>expand</w:t>
      </w:r>
      <w:r w:rsidRPr="001F4ECA">
        <w:rPr>
          <w:rFonts w:ascii="Times New Roman" w:eastAsiaTheme="minorHAnsi" w:hAnsi="Times New Roman"/>
          <w:sz w:val="24"/>
          <w:szCs w:val="24"/>
          <w:lang w:val="en-GB" w:eastAsia="en-US"/>
        </w:rPr>
        <w:t>ed into</w:t>
      </w:r>
      <w:r w:rsidR="00083C8A" w:rsidRPr="001F4ECA">
        <w:rPr>
          <w:rFonts w:ascii="Times New Roman" w:eastAsiaTheme="minorHAnsi" w:hAnsi="Times New Roman"/>
          <w:sz w:val="24"/>
          <w:szCs w:val="24"/>
          <w:lang w:val="en-GB" w:eastAsia="en-US"/>
        </w:rPr>
        <w:t xml:space="preserve"> the Local Jobs </w:t>
      </w:r>
      <w:r w:rsidR="00C46909" w:rsidRPr="001F4ECA">
        <w:rPr>
          <w:rFonts w:ascii="Times New Roman" w:eastAsiaTheme="minorHAnsi" w:hAnsi="Times New Roman"/>
          <w:sz w:val="24"/>
          <w:szCs w:val="24"/>
          <w:lang w:val="en-GB" w:eastAsia="en-US"/>
        </w:rPr>
        <w:t xml:space="preserve">– COVID-19 Recovery </w:t>
      </w:r>
      <w:r w:rsidRPr="001F4ECA">
        <w:rPr>
          <w:rFonts w:ascii="Times New Roman" w:eastAsiaTheme="minorHAnsi" w:hAnsi="Times New Roman"/>
          <w:sz w:val="24"/>
          <w:szCs w:val="24"/>
          <w:lang w:val="en-GB" w:eastAsia="en-US"/>
        </w:rPr>
        <w:t xml:space="preserve">program </w:t>
      </w:r>
      <w:r w:rsidR="00C46909" w:rsidRPr="001F4ECA">
        <w:rPr>
          <w:rFonts w:ascii="Times New Roman" w:eastAsiaTheme="minorHAnsi" w:hAnsi="Times New Roman"/>
          <w:sz w:val="24"/>
          <w:szCs w:val="24"/>
          <w:lang w:val="en-GB" w:eastAsia="en-US"/>
        </w:rPr>
        <w:t xml:space="preserve">(the Local Jobs program) </w:t>
      </w:r>
      <w:r w:rsidRPr="001F4ECA">
        <w:rPr>
          <w:rFonts w:ascii="Times New Roman" w:eastAsiaTheme="minorHAnsi" w:hAnsi="Times New Roman"/>
          <w:sz w:val="24"/>
          <w:szCs w:val="24"/>
          <w:lang w:val="en-GB" w:eastAsia="en-US"/>
        </w:rPr>
        <w:t>to</w:t>
      </w:r>
      <w:r w:rsidR="00083C8A" w:rsidRPr="001F4ECA">
        <w:rPr>
          <w:rFonts w:ascii="Times New Roman" w:eastAsiaTheme="minorHAnsi" w:hAnsi="Times New Roman"/>
          <w:sz w:val="24"/>
          <w:szCs w:val="24"/>
          <w:lang w:val="en-GB" w:eastAsia="en-US"/>
        </w:rPr>
        <w:t xml:space="preserve"> support all 51 Employment Regions across Australia</w:t>
      </w:r>
      <w:r w:rsidR="00C46909" w:rsidRPr="001F4ECA">
        <w:rPr>
          <w:rFonts w:ascii="Times New Roman" w:eastAsiaTheme="minorHAnsi" w:hAnsi="Times New Roman"/>
          <w:sz w:val="24"/>
          <w:szCs w:val="24"/>
          <w:lang w:val="en-GB" w:eastAsia="en-US"/>
        </w:rPr>
        <w:t>. The program was also</w:t>
      </w:r>
      <w:r w:rsidR="00083C8A" w:rsidRPr="001F4ECA">
        <w:rPr>
          <w:rFonts w:ascii="Times New Roman" w:eastAsiaTheme="minorHAnsi" w:hAnsi="Times New Roman"/>
          <w:sz w:val="24"/>
          <w:szCs w:val="24"/>
          <w:lang w:val="en-GB" w:eastAsia="en-US"/>
        </w:rPr>
        <w:t xml:space="preserve"> extend</w:t>
      </w:r>
      <w:r w:rsidRPr="001F4ECA">
        <w:rPr>
          <w:rFonts w:ascii="Times New Roman" w:eastAsiaTheme="minorHAnsi" w:hAnsi="Times New Roman"/>
          <w:sz w:val="24"/>
          <w:szCs w:val="24"/>
          <w:lang w:val="en-GB" w:eastAsia="en-US"/>
        </w:rPr>
        <w:t>ed</w:t>
      </w:r>
      <w:r w:rsidR="00083C8A" w:rsidRPr="001F4ECA">
        <w:rPr>
          <w:rFonts w:ascii="Times New Roman" w:eastAsiaTheme="minorHAnsi" w:hAnsi="Times New Roman"/>
          <w:sz w:val="24"/>
          <w:szCs w:val="24"/>
          <w:lang w:val="en-GB" w:eastAsia="en-US"/>
        </w:rPr>
        <w:t xml:space="preserve"> until 30 June 2025.</w:t>
      </w:r>
    </w:p>
    <w:p w14:paraId="517CC414" w14:textId="336E940A" w:rsidR="001B1AAD" w:rsidRPr="001F4ECA" w:rsidRDefault="001B1AAD" w:rsidP="00F03C1F">
      <w:pPr>
        <w:rPr>
          <w:rFonts w:ascii="Times New Roman" w:eastAsiaTheme="minorHAnsi" w:hAnsi="Times New Roman"/>
          <w:sz w:val="24"/>
          <w:szCs w:val="24"/>
          <w:lang w:eastAsia="en-US"/>
        </w:rPr>
      </w:pPr>
    </w:p>
    <w:p w14:paraId="2EB4B07F" w14:textId="73080E26" w:rsidR="00083C8A" w:rsidRPr="001F4ECA" w:rsidRDefault="00083C8A" w:rsidP="00083C8A">
      <w:pPr>
        <w:rPr>
          <w:rFonts w:ascii="Times New Roman" w:eastAsiaTheme="minorHAnsi" w:hAnsi="Times New Roman"/>
          <w:b/>
          <w:sz w:val="24"/>
          <w:szCs w:val="24"/>
          <w:lang w:eastAsia="en-US"/>
        </w:rPr>
      </w:pPr>
      <w:r w:rsidRPr="001F4ECA">
        <w:rPr>
          <w:rFonts w:ascii="Times New Roman" w:eastAsiaTheme="minorHAnsi" w:hAnsi="Times New Roman"/>
          <w:b/>
          <w:sz w:val="24"/>
          <w:szCs w:val="24"/>
          <w:lang w:eastAsia="en-US"/>
        </w:rPr>
        <w:t>Item 6 – Part 4 of Schedule 1AB (table item 433, column headed “Objective(s)”)</w:t>
      </w:r>
    </w:p>
    <w:p w14:paraId="34320DE3" w14:textId="49334E3C" w:rsidR="001B1AAD" w:rsidRPr="001F4ECA" w:rsidRDefault="001B1AAD" w:rsidP="00F03C1F">
      <w:pPr>
        <w:rPr>
          <w:rFonts w:ascii="Times New Roman" w:eastAsiaTheme="minorHAnsi" w:hAnsi="Times New Roman"/>
          <w:sz w:val="24"/>
          <w:szCs w:val="24"/>
          <w:lang w:eastAsia="en-US"/>
        </w:rPr>
      </w:pPr>
    </w:p>
    <w:p w14:paraId="7D56754A" w14:textId="60D438E9" w:rsidR="00083C8A" w:rsidRPr="001F4ECA" w:rsidRDefault="00C46909" w:rsidP="00083C8A">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I</w:t>
      </w:r>
      <w:r w:rsidR="00083C8A" w:rsidRPr="001F4ECA">
        <w:rPr>
          <w:rFonts w:ascii="Times New Roman" w:eastAsiaTheme="minorHAnsi" w:hAnsi="Times New Roman"/>
          <w:sz w:val="24"/>
          <w:szCs w:val="24"/>
          <w:lang w:eastAsia="en-US"/>
        </w:rPr>
        <w:t>tem</w:t>
      </w:r>
      <w:r w:rsidRPr="001F4ECA">
        <w:rPr>
          <w:rFonts w:ascii="Times New Roman" w:eastAsiaTheme="minorHAnsi" w:hAnsi="Times New Roman"/>
          <w:sz w:val="24"/>
          <w:szCs w:val="24"/>
          <w:lang w:eastAsia="en-US"/>
        </w:rPr>
        <w:t xml:space="preserve"> 6</w:t>
      </w:r>
      <w:r w:rsidR="00083C8A" w:rsidRPr="001F4ECA">
        <w:rPr>
          <w:rFonts w:ascii="Times New Roman" w:eastAsiaTheme="minorHAnsi" w:hAnsi="Times New Roman"/>
          <w:sz w:val="24"/>
          <w:szCs w:val="24"/>
          <w:lang w:eastAsia="en-US"/>
        </w:rPr>
        <w:t xml:space="preserve"> amends table item 433 by omitting “, on a trial basis,” in the column headed “Objective(s)”. The amended table item 433 establishes legislative authority for government spending on the Local Jobs </w:t>
      </w:r>
      <w:r w:rsidRPr="001F4ECA">
        <w:rPr>
          <w:rFonts w:ascii="Times New Roman" w:eastAsiaTheme="minorHAnsi" w:hAnsi="Times New Roman"/>
          <w:sz w:val="24"/>
          <w:szCs w:val="24"/>
          <w:lang w:eastAsia="en-US"/>
        </w:rPr>
        <w:t>p</w:t>
      </w:r>
      <w:r w:rsidR="00083C8A" w:rsidRPr="001F4ECA">
        <w:rPr>
          <w:rFonts w:ascii="Times New Roman" w:eastAsiaTheme="minorHAnsi" w:hAnsi="Times New Roman"/>
          <w:sz w:val="24"/>
          <w:szCs w:val="24"/>
          <w:lang w:eastAsia="en-US"/>
        </w:rPr>
        <w:t>rogram, which</w:t>
      </w:r>
      <w:r w:rsidR="00083C8A" w:rsidRPr="001F4ECA">
        <w:rPr>
          <w:rFonts w:ascii="Times New Roman" w:eastAsiaTheme="minorHAnsi" w:hAnsi="Times New Roman"/>
          <w:sz w:val="24"/>
          <w:szCs w:val="24"/>
          <w:lang w:val="en-GB" w:eastAsia="en-US"/>
        </w:rPr>
        <w:t xml:space="preserve"> supports local organisations and stakeholders to develop and implement tailored approaches to accelerate re</w:t>
      </w:r>
      <w:r w:rsidR="00C94CFC" w:rsidRPr="001F4ECA">
        <w:rPr>
          <w:rFonts w:ascii="Times New Roman" w:eastAsiaTheme="minorHAnsi" w:hAnsi="Times New Roman"/>
          <w:sz w:val="24"/>
          <w:szCs w:val="24"/>
          <w:lang w:val="en-GB" w:eastAsia="en-US"/>
        </w:rPr>
        <w:t>-</w:t>
      </w:r>
      <w:r w:rsidR="00083C8A" w:rsidRPr="001F4ECA">
        <w:rPr>
          <w:rFonts w:ascii="Times New Roman" w:eastAsiaTheme="minorHAnsi" w:hAnsi="Times New Roman"/>
          <w:sz w:val="24"/>
          <w:szCs w:val="24"/>
          <w:lang w:val="en-GB" w:eastAsia="en-US"/>
        </w:rPr>
        <w:t>skilling, upskilling and employment of job seekers in all 51 Employment Regions through the engagement of Employment Facilitators and the establishment of Local Jobs and Skills Taskforces.</w:t>
      </w:r>
    </w:p>
    <w:p w14:paraId="78DE8221" w14:textId="77777777" w:rsidR="00083C8A" w:rsidRPr="001F4ECA" w:rsidRDefault="00083C8A" w:rsidP="00083C8A">
      <w:pPr>
        <w:rPr>
          <w:rFonts w:ascii="Times New Roman" w:eastAsiaTheme="minorHAnsi" w:hAnsi="Times New Roman"/>
          <w:sz w:val="24"/>
          <w:szCs w:val="24"/>
          <w:lang w:eastAsia="en-US"/>
        </w:rPr>
      </w:pPr>
    </w:p>
    <w:p w14:paraId="11B14C46" w14:textId="697DF91E" w:rsidR="00083C8A" w:rsidRPr="001F4ECA" w:rsidRDefault="00083C8A" w:rsidP="00083C8A">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 key emphasis of the Local Jobs Pilot</w:t>
      </w:r>
      <w:r w:rsidR="006B5DA9" w:rsidRPr="001F4ECA">
        <w:rPr>
          <w:rFonts w:ascii="Times New Roman" w:eastAsiaTheme="minorHAnsi" w:hAnsi="Times New Roman"/>
          <w:sz w:val="24"/>
          <w:szCs w:val="24"/>
          <w:lang w:eastAsia="en-US"/>
        </w:rPr>
        <w:t>, which is</w:t>
      </w:r>
      <w:r w:rsidRPr="001F4ECA">
        <w:rPr>
          <w:rFonts w:ascii="Times New Roman" w:eastAsiaTheme="minorHAnsi" w:hAnsi="Times New Roman"/>
          <w:sz w:val="24"/>
          <w:szCs w:val="24"/>
          <w:lang w:eastAsia="en-US"/>
        </w:rPr>
        <w:t xml:space="preserve"> </w:t>
      </w:r>
      <w:r w:rsidR="006B5DA9" w:rsidRPr="001F4ECA">
        <w:rPr>
          <w:rFonts w:ascii="Times New Roman" w:eastAsiaTheme="minorHAnsi" w:hAnsi="Times New Roman"/>
          <w:sz w:val="24"/>
          <w:szCs w:val="24"/>
          <w:lang w:eastAsia="en-US"/>
        </w:rPr>
        <w:t xml:space="preserve">scheduled to end on 30 June 2022, </w:t>
      </w:r>
      <w:r w:rsidRPr="001F4ECA">
        <w:rPr>
          <w:rFonts w:ascii="Times New Roman" w:eastAsiaTheme="minorHAnsi" w:hAnsi="Times New Roman"/>
          <w:sz w:val="24"/>
          <w:szCs w:val="24"/>
          <w:lang w:eastAsia="en-US"/>
        </w:rPr>
        <w:t xml:space="preserve">is practical action to upskill job seekers into jobs in demand such as aged care, health care, and horticultural jobs. The Local Jobs Pilot brings together stakeholders such as employers, local chambers of commerce, </w:t>
      </w:r>
      <w:r w:rsidR="00FD580E"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Regional Development Australia committees, employment service</w:t>
      </w:r>
      <w:r w:rsidR="00302AA3" w:rsidRPr="001F4ECA">
        <w:rPr>
          <w:rFonts w:ascii="Times New Roman" w:eastAsiaTheme="minorHAnsi" w:hAnsi="Times New Roman"/>
          <w:sz w:val="24"/>
          <w:szCs w:val="24"/>
          <w:lang w:eastAsia="en-US"/>
        </w:rPr>
        <w:t>s</w:t>
      </w:r>
      <w:r w:rsidRPr="001F4ECA">
        <w:rPr>
          <w:rFonts w:ascii="Times New Roman" w:eastAsiaTheme="minorHAnsi" w:hAnsi="Times New Roman"/>
          <w:sz w:val="24"/>
          <w:szCs w:val="24"/>
          <w:lang w:eastAsia="en-US"/>
        </w:rPr>
        <w:t xml:space="preserve"> providers</w:t>
      </w:r>
      <w:r w:rsidR="00FD580E"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and education and training providers to work towards a common objective: to meet employer needs while helping job seekers back into work or into training opportunities as quickly as possible.  </w:t>
      </w:r>
    </w:p>
    <w:p w14:paraId="59C7DDD7" w14:textId="77777777" w:rsidR="00083C8A" w:rsidRPr="001F4ECA" w:rsidRDefault="00083C8A" w:rsidP="00083C8A">
      <w:pPr>
        <w:rPr>
          <w:rFonts w:ascii="Times New Roman" w:eastAsiaTheme="minorHAnsi" w:hAnsi="Times New Roman"/>
          <w:sz w:val="24"/>
          <w:szCs w:val="24"/>
          <w:lang w:eastAsia="en-US"/>
        </w:rPr>
      </w:pPr>
    </w:p>
    <w:p w14:paraId="639654B9" w14:textId="19F1A749" w:rsidR="00083C8A" w:rsidRPr="001F4ECA" w:rsidRDefault="00083C8A" w:rsidP="00083C8A">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An example of this is how the Local Jobs Pilot’s Employment Facilitators have collectively met around 5,000 people each month (across the 25 regions) to strengthen this coordination and connect providers and job seekers to current opportunities and upskill to meet future demand. Facilitators are focussed on employer needs with the majority of their engagements involving employers and employer groups, with most discussions focussed on workforce shortages.</w:t>
      </w:r>
    </w:p>
    <w:p w14:paraId="193D3253" w14:textId="77777777" w:rsidR="00083C8A" w:rsidRPr="001F4ECA" w:rsidRDefault="00083C8A" w:rsidP="00083C8A">
      <w:pPr>
        <w:rPr>
          <w:rFonts w:ascii="Times New Roman" w:eastAsiaTheme="minorHAnsi" w:hAnsi="Times New Roman"/>
          <w:sz w:val="24"/>
          <w:szCs w:val="24"/>
          <w:lang w:eastAsia="en-US"/>
        </w:rPr>
      </w:pPr>
    </w:p>
    <w:p w14:paraId="5BC049F5" w14:textId="1C5B8EFB" w:rsidR="00083C8A" w:rsidRPr="001F4ECA" w:rsidRDefault="00083C8A" w:rsidP="00083C8A">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Local Jobs Pilot also effectively provides the National Skills Commission and </w:t>
      </w:r>
      <w:r w:rsidR="00FD580E"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National Careers Institute with a regional network for them to deliver their rich data on regional labour markets directly to regional stakeholders – putting data into action to drive COVID-19 recovery in the regions.  </w:t>
      </w:r>
    </w:p>
    <w:p w14:paraId="7AE2117E" w14:textId="77777777" w:rsidR="00083C8A" w:rsidRPr="001F4ECA" w:rsidRDefault="00083C8A" w:rsidP="00083C8A">
      <w:pPr>
        <w:rPr>
          <w:rFonts w:ascii="Times New Roman" w:eastAsiaTheme="minorHAnsi" w:hAnsi="Times New Roman"/>
          <w:sz w:val="24"/>
          <w:szCs w:val="24"/>
          <w:lang w:eastAsia="en-US"/>
        </w:rPr>
      </w:pPr>
    </w:p>
    <w:p w14:paraId="4DC618A4" w14:textId="1FCDE3CA" w:rsidR="00083C8A" w:rsidRPr="001F4ECA" w:rsidRDefault="00083C8A" w:rsidP="00083C8A">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In addition to Local Recovery Fund activities, Employment Facilitators are helping to develop and promote hundreds of local employment initiatives run by other organisations including </w:t>
      </w:r>
      <w:r w:rsidR="00FD580E" w:rsidRPr="001F4ECA">
        <w:rPr>
          <w:rFonts w:ascii="Times New Roman" w:eastAsiaTheme="minorHAnsi" w:hAnsi="Times New Roman"/>
          <w:sz w:val="24"/>
          <w:szCs w:val="24"/>
          <w:lang w:eastAsia="en-US"/>
        </w:rPr>
        <w:t>s</w:t>
      </w:r>
      <w:r w:rsidRPr="001F4ECA">
        <w:rPr>
          <w:rFonts w:ascii="Times New Roman" w:eastAsiaTheme="minorHAnsi" w:hAnsi="Times New Roman"/>
          <w:sz w:val="24"/>
          <w:szCs w:val="24"/>
          <w:lang w:eastAsia="en-US"/>
        </w:rPr>
        <w:t xml:space="preserve">tate and </w:t>
      </w:r>
      <w:r w:rsidR="00FD580E" w:rsidRPr="001F4ECA">
        <w:rPr>
          <w:rFonts w:ascii="Times New Roman" w:eastAsiaTheme="minorHAnsi" w:hAnsi="Times New Roman"/>
          <w:sz w:val="24"/>
          <w:szCs w:val="24"/>
          <w:lang w:eastAsia="en-US"/>
        </w:rPr>
        <w:t>l</w:t>
      </w:r>
      <w:r w:rsidRPr="001F4ECA">
        <w:rPr>
          <w:rFonts w:ascii="Times New Roman" w:eastAsiaTheme="minorHAnsi" w:hAnsi="Times New Roman"/>
          <w:sz w:val="24"/>
          <w:szCs w:val="24"/>
          <w:lang w:eastAsia="en-US"/>
        </w:rPr>
        <w:t xml:space="preserve">ocal </w:t>
      </w:r>
      <w:r w:rsidR="00FD580E" w:rsidRPr="001F4ECA">
        <w:rPr>
          <w:rFonts w:ascii="Times New Roman" w:eastAsiaTheme="minorHAnsi" w:hAnsi="Times New Roman"/>
          <w:sz w:val="24"/>
          <w:szCs w:val="24"/>
          <w:lang w:eastAsia="en-US"/>
        </w:rPr>
        <w:t>g</w:t>
      </w:r>
      <w:r w:rsidRPr="001F4ECA">
        <w:rPr>
          <w:rFonts w:ascii="Times New Roman" w:eastAsiaTheme="minorHAnsi" w:hAnsi="Times New Roman"/>
          <w:sz w:val="24"/>
          <w:szCs w:val="24"/>
          <w:lang w:eastAsia="en-US"/>
        </w:rPr>
        <w:t>overnments, employer associations and not-for-profits. These collaborative efforts help to improve the impact of existing programs and prevent duplication between employment initiatives.</w:t>
      </w:r>
    </w:p>
    <w:p w14:paraId="48BD5AA5" w14:textId="6BF93A06" w:rsidR="00334389" w:rsidRPr="001F4ECA" w:rsidRDefault="00334389" w:rsidP="00F03C1F">
      <w:pPr>
        <w:rPr>
          <w:rFonts w:ascii="Times New Roman" w:eastAsiaTheme="minorHAnsi" w:hAnsi="Times New Roman"/>
          <w:sz w:val="24"/>
          <w:szCs w:val="24"/>
          <w:lang w:eastAsia="en-US"/>
        </w:rPr>
      </w:pPr>
    </w:p>
    <w:p w14:paraId="3083AD6D" w14:textId="0BAD216E" w:rsidR="00083C8A" w:rsidRPr="001F4ECA" w:rsidRDefault="00083C8A" w:rsidP="00083C8A">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lastRenderedPageBreak/>
        <w:t xml:space="preserve">On 11 May 2021, the Minister for Employment, Workforce, Skills, Small and Family Business, the Hon Stuart Robert MP announced that the Local Jobs </w:t>
      </w:r>
      <w:r w:rsidR="00FD580E"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will be significantly expanded at a cost of $213.5 million over four years. </w:t>
      </w:r>
      <w:r w:rsidR="00FD580E" w:rsidRPr="001F4ECA">
        <w:rPr>
          <w:rFonts w:ascii="Times New Roman" w:eastAsiaTheme="minorHAnsi" w:hAnsi="Times New Roman"/>
          <w:sz w:val="24"/>
          <w:szCs w:val="24"/>
          <w:lang w:eastAsia="en-US"/>
        </w:rPr>
        <w:t>M</w:t>
      </w:r>
      <w:r w:rsidRPr="001F4ECA">
        <w:rPr>
          <w:rFonts w:ascii="Times New Roman" w:eastAsiaTheme="minorHAnsi" w:hAnsi="Times New Roman"/>
          <w:sz w:val="24"/>
          <w:szCs w:val="24"/>
          <w:lang w:eastAsia="en-US"/>
        </w:rPr>
        <w:t xml:space="preserve">edia release is available at </w:t>
      </w:r>
      <w:r w:rsidRPr="001F4ECA">
        <w:rPr>
          <w:rFonts w:ascii="Times New Roman" w:eastAsiaTheme="minorHAnsi" w:hAnsi="Times New Roman"/>
          <w:sz w:val="24"/>
          <w:szCs w:val="24"/>
          <w:u w:val="single"/>
          <w:lang w:eastAsia="en-US"/>
        </w:rPr>
        <w:t>https://ministers.dese.gov.au/robert/securing-our-economic-recovery-keeping-australians-working</w:t>
      </w:r>
      <w:r w:rsidRPr="001F4ECA">
        <w:rPr>
          <w:rFonts w:ascii="Times New Roman" w:eastAsiaTheme="minorHAnsi" w:hAnsi="Times New Roman"/>
          <w:sz w:val="24"/>
          <w:szCs w:val="24"/>
          <w:lang w:eastAsia="en-US"/>
        </w:rPr>
        <w:t>.</w:t>
      </w:r>
    </w:p>
    <w:p w14:paraId="46A10584" w14:textId="77777777" w:rsidR="00083C8A" w:rsidRPr="001F4ECA" w:rsidRDefault="00083C8A" w:rsidP="00083C8A">
      <w:pPr>
        <w:rPr>
          <w:rFonts w:ascii="Times New Roman" w:eastAsiaTheme="minorHAnsi" w:hAnsi="Times New Roman"/>
          <w:sz w:val="24"/>
          <w:szCs w:val="24"/>
          <w:lang w:eastAsia="en-US"/>
        </w:rPr>
      </w:pPr>
    </w:p>
    <w:p w14:paraId="2A5D6768" w14:textId="69C4466F" w:rsidR="00083C8A" w:rsidRPr="001F4ECA" w:rsidRDefault="00FD580E" w:rsidP="00083C8A">
      <w:p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The Local Jobs p</w:t>
      </w:r>
      <w:r w:rsidR="00083C8A" w:rsidRPr="001F4ECA">
        <w:rPr>
          <w:rFonts w:ascii="Times New Roman" w:eastAsiaTheme="minorHAnsi" w:hAnsi="Times New Roman"/>
          <w:iCs/>
          <w:sz w:val="24"/>
          <w:szCs w:val="24"/>
          <w:lang w:eastAsia="en-US"/>
        </w:rPr>
        <w:t xml:space="preserve">rogram allows more regions to coordinate employment and training solutions at a local level to assist in Australia’s economic recovery from COVID-19. This is in recognition that the pandemic is affecting all communities throughout Australia and a national program will provide more equity to regional assistance and assist job seekers in the remaining communities to return to work more quickly. Job seekers with a </w:t>
      </w:r>
      <w:r w:rsidR="00083C8A" w:rsidRPr="001F4ECA">
        <w:rPr>
          <w:rFonts w:ascii="Times New Roman" w:eastAsiaTheme="minorHAnsi" w:hAnsi="Times New Roman"/>
          <w:i/>
          <w:iCs/>
          <w:sz w:val="24"/>
          <w:szCs w:val="24"/>
          <w:lang w:eastAsia="en-US"/>
        </w:rPr>
        <w:t>jobactive</w:t>
      </w:r>
      <w:r w:rsidR="00083C8A" w:rsidRPr="001F4ECA">
        <w:rPr>
          <w:rFonts w:ascii="Times New Roman" w:eastAsiaTheme="minorHAnsi" w:hAnsi="Times New Roman"/>
          <w:iCs/>
          <w:sz w:val="24"/>
          <w:szCs w:val="24"/>
          <w:lang w:eastAsia="en-US"/>
        </w:rPr>
        <w:t>, ParentsNext, Transition to Work, or New Employment Services Trial provider will be eligible to participate in projects funded under the Local Recovery Fund.</w:t>
      </w:r>
    </w:p>
    <w:p w14:paraId="5C54BB13" w14:textId="77777777" w:rsidR="00083C8A" w:rsidRPr="001F4ECA" w:rsidRDefault="00083C8A" w:rsidP="00083C8A">
      <w:pPr>
        <w:rPr>
          <w:rFonts w:ascii="Times New Roman" w:eastAsiaTheme="minorHAnsi" w:hAnsi="Times New Roman"/>
          <w:iCs/>
          <w:sz w:val="24"/>
          <w:szCs w:val="24"/>
          <w:lang w:eastAsia="en-US"/>
        </w:rPr>
      </w:pPr>
    </w:p>
    <w:p w14:paraId="3999ADE1" w14:textId="778829C7" w:rsidR="00083C8A" w:rsidRPr="001F4ECA" w:rsidRDefault="00083C8A" w:rsidP="00083C8A">
      <w:p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The Local Jobs Program</w:t>
      </w:r>
      <w:r w:rsidRPr="001F4ECA">
        <w:rPr>
          <w:rFonts w:ascii="Times New Roman" w:eastAsiaTheme="minorHAnsi" w:hAnsi="Times New Roman"/>
          <w:sz w:val="24"/>
          <w:szCs w:val="24"/>
          <w:lang w:eastAsia="en-US"/>
        </w:rPr>
        <w:t xml:space="preserve"> </w:t>
      </w:r>
      <w:r w:rsidRPr="001F4ECA">
        <w:rPr>
          <w:rFonts w:ascii="Times New Roman" w:eastAsiaTheme="minorHAnsi" w:hAnsi="Times New Roman"/>
          <w:iCs/>
          <w:sz w:val="24"/>
          <w:szCs w:val="24"/>
          <w:lang w:eastAsia="en-US"/>
        </w:rPr>
        <w:t>has four mutually reinforcing elements:</w:t>
      </w:r>
    </w:p>
    <w:p w14:paraId="3DB7BDCA" w14:textId="1BC85A23" w:rsidR="00FD580E" w:rsidRPr="001F4ECA" w:rsidRDefault="00FD580E" w:rsidP="00FD580E">
      <w:pPr>
        <w:numPr>
          <w:ilvl w:val="0"/>
          <w:numId w:val="30"/>
        </w:num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Employment Facilitators;</w:t>
      </w:r>
    </w:p>
    <w:p w14:paraId="7036C382" w14:textId="6F6C5EA8" w:rsidR="00FD580E" w:rsidRPr="001F4ECA" w:rsidRDefault="00FD580E" w:rsidP="00FD580E">
      <w:pPr>
        <w:numPr>
          <w:ilvl w:val="0"/>
          <w:numId w:val="30"/>
        </w:num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Local Jobs and Skills Taskforces;</w:t>
      </w:r>
    </w:p>
    <w:p w14:paraId="2B7833FD" w14:textId="5CABB9C4" w:rsidR="00FD580E" w:rsidRPr="001F4ECA" w:rsidRDefault="00FD580E" w:rsidP="00FD580E">
      <w:pPr>
        <w:numPr>
          <w:ilvl w:val="0"/>
          <w:numId w:val="30"/>
        </w:num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 xml:space="preserve">Local Recovery Funds; and </w:t>
      </w:r>
    </w:p>
    <w:p w14:paraId="43027828" w14:textId="5140B5E9" w:rsidR="00FD580E" w:rsidRPr="001F4ECA" w:rsidRDefault="00FD580E" w:rsidP="00FD580E">
      <w:pPr>
        <w:numPr>
          <w:ilvl w:val="0"/>
          <w:numId w:val="30"/>
        </w:num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National Priority Fund.</w:t>
      </w:r>
    </w:p>
    <w:p w14:paraId="7C0D3317" w14:textId="444CE14F" w:rsidR="00FD580E" w:rsidRPr="001F4ECA" w:rsidRDefault="00FD580E" w:rsidP="00083C8A">
      <w:pPr>
        <w:rPr>
          <w:rFonts w:ascii="Times New Roman" w:eastAsiaTheme="minorHAnsi" w:hAnsi="Times New Roman"/>
          <w:iCs/>
          <w:sz w:val="24"/>
          <w:szCs w:val="24"/>
          <w:lang w:eastAsia="en-US"/>
        </w:rPr>
      </w:pPr>
    </w:p>
    <w:p w14:paraId="546C7EB2" w14:textId="30B5B7DC" w:rsidR="00FD580E" w:rsidRPr="001F4ECA" w:rsidRDefault="00FD580E" w:rsidP="00083C8A">
      <w:pPr>
        <w:rPr>
          <w:rFonts w:ascii="Times New Roman" w:eastAsiaTheme="minorHAnsi" w:hAnsi="Times New Roman"/>
          <w:i/>
          <w:iCs/>
          <w:sz w:val="24"/>
          <w:szCs w:val="24"/>
          <w:u w:val="single"/>
          <w:lang w:eastAsia="en-US"/>
        </w:rPr>
      </w:pPr>
      <w:r w:rsidRPr="001F4ECA">
        <w:rPr>
          <w:rFonts w:ascii="Times New Roman" w:eastAsiaTheme="minorHAnsi" w:hAnsi="Times New Roman"/>
          <w:i/>
          <w:iCs/>
          <w:sz w:val="24"/>
          <w:szCs w:val="24"/>
          <w:u w:val="single"/>
          <w:lang w:eastAsia="en-US"/>
        </w:rPr>
        <w:t>Employment Facilitators</w:t>
      </w:r>
    </w:p>
    <w:p w14:paraId="57B072BE" w14:textId="77777777" w:rsidR="00083C8A" w:rsidRPr="001F4ECA" w:rsidRDefault="00083C8A" w:rsidP="00083C8A">
      <w:pPr>
        <w:rPr>
          <w:rFonts w:ascii="Times New Roman" w:eastAsiaTheme="minorHAnsi" w:hAnsi="Times New Roman"/>
          <w:iCs/>
          <w:sz w:val="24"/>
          <w:szCs w:val="24"/>
          <w:lang w:eastAsia="en-US"/>
        </w:rPr>
      </w:pPr>
    </w:p>
    <w:p w14:paraId="272ED358" w14:textId="4FCAAAD0" w:rsidR="00083C8A" w:rsidRPr="001F4ECA" w:rsidRDefault="00FD580E" w:rsidP="00083C8A">
      <w:pPr>
        <w:rPr>
          <w:rFonts w:ascii="Times New Roman" w:eastAsiaTheme="minorHAnsi" w:hAnsi="Times New Roman"/>
          <w:iCs/>
          <w:sz w:val="24"/>
          <w:szCs w:val="24"/>
          <w:lang w:eastAsia="en-US"/>
        </w:rPr>
      </w:pPr>
      <w:r w:rsidRPr="001F4ECA">
        <w:rPr>
          <w:rFonts w:ascii="Times New Roman" w:eastAsiaTheme="minorHAnsi" w:hAnsi="Times New Roman"/>
          <w:bCs/>
          <w:iCs/>
          <w:sz w:val="24"/>
          <w:szCs w:val="24"/>
          <w:lang w:eastAsia="en-US"/>
        </w:rPr>
        <w:t xml:space="preserve">The </w:t>
      </w:r>
      <w:r w:rsidR="00083C8A" w:rsidRPr="001F4ECA">
        <w:rPr>
          <w:rFonts w:ascii="Times New Roman" w:eastAsiaTheme="minorHAnsi" w:hAnsi="Times New Roman"/>
          <w:bCs/>
          <w:iCs/>
          <w:sz w:val="24"/>
          <w:szCs w:val="24"/>
          <w:lang w:eastAsia="en-US"/>
        </w:rPr>
        <w:t>Employment Facilitators</w:t>
      </w:r>
      <w:r w:rsidRPr="001F4ECA">
        <w:rPr>
          <w:rFonts w:ascii="Times New Roman" w:eastAsiaTheme="minorHAnsi" w:hAnsi="Times New Roman"/>
          <w:bCs/>
          <w:iCs/>
          <w:sz w:val="24"/>
          <w:szCs w:val="24"/>
          <w:lang w:eastAsia="en-US"/>
        </w:rPr>
        <w:t xml:space="preserve"> </w:t>
      </w:r>
      <w:r w:rsidR="00083C8A" w:rsidRPr="001F4ECA">
        <w:rPr>
          <w:rFonts w:ascii="Times New Roman" w:eastAsiaTheme="minorHAnsi" w:hAnsi="Times New Roman"/>
          <w:iCs/>
          <w:sz w:val="24"/>
          <w:szCs w:val="24"/>
          <w:lang w:eastAsia="en-US"/>
        </w:rPr>
        <w:t xml:space="preserve">are dedicated individuals who work with employers and key local stakeholders to develop employment solutions at a local level, including matching job seekers to training and employment in demand. Facilitators will chair the Local Jobs and Skills Taskforces, drive the development of a Jobs Plan (including a focus on local workforce development), engage with providers to help action the plan and work with local stakeholders to create targeted projects that meet the priorities of the plan.  </w:t>
      </w:r>
    </w:p>
    <w:p w14:paraId="4A6E9529" w14:textId="3B25AC05" w:rsidR="00083C8A" w:rsidRPr="001F4ECA" w:rsidRDefault="00083C8A" w:rsidP="00083C8A">
      <w:pPr>
        <w:rPr>
          <w:rFonts w:ascii="Times New Roman" w:eastAsiaTheme="minorHAnsi" w:hAnsi="Times New Roman"/>
          <w:iCs/>
          <w:sz w:val="24"/>
          <w:szCs w:val="24"/>
          <w:lang w:eastAsia="en-US"/>
        </w:rPr>
      </w:pPr>
    </w:p>
    <w:p w14:paraId="2F452278" w14:textId="09A54833" w:rsidR="00FD580E" w:rsidRPr="001F4ECA" w:rsidRDefault="00FD580E" w:rsidP="00083C8A">
      <w:pPr>
        <w:rPr>
          <w:rFonts w:ascii="Times New Roman" w:eastAsiaTheme="minorHAnsi" w:hAnsi="Times New Roman"/>
          <w:iCs/>
          <w:sz w:val="24"/>
          <w:szCs w:val="24"/>
          <w:u w:val="single"/>
          <w:lang w:eastAsia="en-US"/>
        </w:rPr>
      </w:pPr>
      <w:r w:rsidRPr="001F4ECA">
        <w:rPr>
          <w:rFonts w:ascii="Times New Roman" w:eastAsiaTheme="minorHAnsi" w:hAnsi="Times New Roman"/>
          <w:bCs/>
          <w:i/>
          <w:iCs/>
          <w:sz w:val="24"/>
          <w:szCs w:val="24"/>
          <w:u w:val="single"/>
          <w:lang w:eastAsia="en-US"/>
        </w:rPr>
        <w:t>Local Jobs and Skills Taskforces</w:t>
      </w:r>
    </w:p>
    <w:p w14:paraId="3F8C57B5" w14:textId="77777777" w:rsidR="00FD580E" w:rsidRPr="001F4ECA" w:rsidRDefault="00FD580E" w:rsidP="00083C8A">
      <w:pPr>
        <w:rPr>
          <w:rFonts w:ascii="Times New Roman" w:eastAsiaTheme="minorHAnsi" w:hAnsi="Times New Roman"/>
          <w:iCs/>
          <w:sz w:val="24"/>
          <w:szCs w:val="24"/>
          <w:lang w:eastAsia="en-US"/>
        </w:rPr>
      </w:pPr>
    </w:p>
    <w:p w14:paraId="0F5D1698" w14:textId="140C6AC8" w:rsidR="00083C8A" w:rsidRPr="001F4ECA" w:rsidRDefault="00083C8A" w:rsidP="00083C8A">
      <w:p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The taskforces bring local stakeholders together, including major employers, employment service</w:t>
      </w:r>
      <w:r w:rsidR="00302AA3" w:rsidRPr="001F4ECA">
        <w:rPr>
          <w:rFonts w:ascii="Times New Roman" w:eastAsiaTheme="minorHAnsi" w:hAnsi="Times New Roman"/>
          <w:iCs/>
          <w:sz w:val="24"/>
          <w:szCs w:val="24"/>
          <w:lang w:eastAsia="en-US"/>
        </w:rPr>
        <w:t>s</w:t>
      </w:r>
      <w:r w:rsidRPr="001F4ECA">
        <w:rPr>
          <w:rFonts w:ascii="Times New Roman" w:eastAsiaTheme="minorHAnsi" w:hAnsi="Times New Roman"/>
          <w:iCs/>
          <w:sz w:val="24"/>
          <w:szCs w:val="24"/>
          <w:lang w:eastAsia="en-US"/>
        </w:rPr>
        <w:t xml:space="preserve"> providers and training organisations to drive solutions and connections targeted to the conditions of each local labour market. Membership will be selected based on local needs and can include stakeholders such as </w:t>
      </w:r>
      <w:r w:rsidR="00FD580E" w:rsidRPr="001F4ECA">
        <w:rPr>
          <w:rFonts w:ascii="Times New Roman" w:eastAsiaTheme="minorHAnsi" w:hAnsi="Times New Roman"/>
          <w:iCs/>
          <w:sz w:val="24"/>
          <w:szCs w:val="24"/>
          <w:lang w:eastAsia="en-US"/>
        </w:rPr>
        <w:t>l</w:t>
      </w:r>
      <w:r w:rsidRPr="001F4ECA">
        <w:rPr>
          <w:rFonts w:ascii="Times New Roman" w:eastAsiaTheme="minorHAnsi" w:hAnsi="Times New Roman"/>
          <w:iCs/>
          <w:sz w:val="24"/>
          <w:szCs w:val="24"/>
          <w:lang w:eastAsia="en-US"/>
        </w:rPr>
        <w:t xml:space="preserve">ocal </w:t>
      </w:r>
      <w:r w:rsidR="00FD580E" w:rsidRPr="001F4ECA">
        <w:rPr>
          <w:rFonts w:ascii="Times New Roman" w:eastAsiaTheme="minorHAnsi" w:hAnsi="Times New Roman"/>
          <w:iCs/>
          <w:sz w:val="24"/>
          <w:szCs w:val="24"/>
          <w:lang w:eastAsia="en-US"/>
        </w:rPr>
        <w:t>g</w:t>
      </w:r>
      <w:r w:rsidRPr="001F4ECA">
        <w:rPr>
          <w:rFonts w:ascii="Times New Roman" w:eastAsiaTheme="minorHAnsi" w:hAnsi="Times New Roman"/>
          <w:iCs/>
          <w:sz w:val="24"/>
          <w:szCs w:val="24"/>
          <w:lang w:eastAsia="en-US"/>
        </w:rPr>
        <w:t>overnment</w:t>
      </w:r>
      <w:r w:rsidR="00FD580E" w:rsidRPr="001F4ECA">
        <w:rPr>
          <w:rFonts w:ascii="Times New Roman" w:eastAsiaTheme="minorHAnsi" w:hAnsi="Times New Roman"/>
          <w:iCs/>
          <w:sz w:val="24"/>
          <w:szCs w:val="24"/>
          <w:lang w:eastAsia="en-US"/>
        </w:rPr>
        <w:t>s</w:t>
      </w:r>
      <w:r w:rsidRPr="001F4ECA">
        <w:rPr>
          <w:rFonts w:ascii="Times New Roman" w:eastAsiaTheme="minorHAnsi" w:hAnsi="Times New Roman"/>
          <w:iCs/>
          <w:sz w:val="24"/>
          <w:szCs w:val="24"/>
          <w:lang w:eastAsia="en-US"/>
        </w:rPr>
        <w:t>,</w:t>
      </w:r>
      <w:r w:rsidR="00FD580E" w:rsidRPr="001F4ECA">
        <w:rPr>
          <w:rFonts w:ascii="Times New Roman" w:eastAsiaTheme="minorHAnsi" w:hAnsi="Times New Roman"/>
          <w:iCs/>
          <w:sz w:val="24"/>
          <w:szCs w:val="24"/>
          <w:lang w:eastAsia="en-US"/>
        </w:rPr>
        <w:t xml:space="preserve"> r</w:t>
      </w:r>
      <w:r w:rsidRPr="001F4ECA">
        <w:rPr>
          <w:rFonts w:ascii="Times New Roman" w:eastAsiaTheme="minorHAnsi" w:hAnsi="Times New Roman"/>
          <w:iCs/>
          <w:sz w:val="24"/>
          <w:szCs w:val="24"/>
          <w:lang w:eastAsia="en-US"/>
        </w:rPr>
        <w:t xml:space="preserve">egistered </w:t>
      </w:r>
      <w:r w:rsidR="00FD580E" w:rsidRPr="001F4ECA">
        <w:rPr>
          <w:rFonts w:ascii="Times New Roman" w:eastAsiaTheme="minorHAnsi" w:hAnsi="Times New Roman"/>
          <w:iCs/>
          <w:sz w:val="24"/>
          <w:szCs w:val="24"/>
          <w:lang w:eastAsia="en-US"/>
        </w:rPr>
        <w:t>t</w:t>
      </w:r>
      <w:r w:rsidRPr="001F4ECA">
        <w:rPr>
          <w:rFonts w:ascii="Times New Roman" w:eastAsiaTheme="minorHAnsi" w:hAnsi="Times New Roman"/>
          <w:iCs/>
          <w:sz w:val="24"/>
          <w:szCs w:val="24"/>
          <w:lang w:eastAsia="en-US"/>
        </w:rPr>
        <w:t xml:space="preserve">raining </w:t>
      </w:r>
      <w:r w:rsidR="00FD580E" w:rsidRPr="001F4ECA">
        <w:rPr>
          <w:rFonts w:ascii="Times New Roman" w:eastAsiaTheme="minorHAnsi" w:hAnsi="Times New Roman"/>
          <w:iCs/>
          <w:sz w:val="24"/>
          <w:szCs w:val="24"/>
          <w:lang w:eastAsia="en-US"/>
        </w:rPr>
        <w:t>o</w:t>
      </w:r>
      <w:r w:rsidRPr="001F4ECA">
        <w:rPr>
          <w:rFonts w:ascii="Times New Roman" w:eastAsiaTheme="minorHAnsi" w:hAnsi="Times New Roman"/>
          <w:iCs/>
          <w:sz w:val="24"/>
          <w:szCs w:val="24"/>
          <w:lang w:eastAsia="en-US"/>
        </w:rPr>
        <w:t xml:space="preserve">rganisations, </w:t>
      </w:r>
      <w:r w:rsidR="00FD580E" w:rsidRPr="001F4ECA">
        <w:rPr>
          <w:rFonts w:ascii="Times New Roman" w:eastAsiaTheme="minorHAnsi" w:hAnsi="Times New Roman"/>
          <w:iCs/>
          <w:sz w:val="24"/>
          <w:szCs w:val="24"/>
          <w:lang w:eastAsia="en-US"/>
        </w:rPr>
        <w:t xml:space="preserve">the </w:t>
      </w:r>
      <w:r w:rsidRPr="001F4ECA">
        <w:rPr>
          <w:rFonts w:ascii="Times New Roman" w:eastAsiaTheme="minorHAnsi" w:hAnsi="Times New Roman"/>
          <w:iCs/>
          <w:sz w:val="24"/>
          <w:szCs w:val="24"/>
          <w:lang w:eastAsia="en-US"/>
        </w:rPr>
        <w:t xml:space="preserve">Australian Council of Social Service, </w:t>
      </w:r>
      <w:r w:rsidR="00FD580E" w:rsidRPr="001F4ECA">
        <w:rPr>
          <w:rFonts w:ascii="Times New Roman" w:eastAsiaTheme="minorHAnsi" w:hAnsi="Times New Roman"/>
          <w:iCs/>
          <w:sz w:val="24"/>
          <w:szCs w:val="24"/>
          <w:lang w:eastAsia="en-US"/>
        </w:rPr>
        <w:t>c</w:t>
      </w:r>
      <w:r w:rsidRPr="001F4ECA">
        <w:rPr>
          <w:rFonts w:ascii="Times New Roman" w:eastAsiaTheme="minorHAnsi" w:hAnsi="Times New Roman"/>
          <w:iCs/>
          <w:sz w:val="24"/>
          <w:szCs w:val="24"/>
          <w:lang w:eastAsia="en-US"/>
        </w:rPr>
        <w:t>hamber</w:t>
      </w:r>
      <w:r w:rsidR="00FD580E" w:rsidRPr="001F4ECA">
        <w:rPr>
          <w:rFonts w:ascii="Times New Roman" w:eastAsiaTheme="minorHAnsi" w:hAnsi="Times New Roman"/>
          <w:iCs/>
          <w:sz w:val="24"/>
          <w:szCs w:val="24"/>
          <w:lang w:eastAsia="en-US"/>
        </w:rPr>
        <w:t>s</w:t>
      </w:r>
      <w:r w:rsidRPr="001F4ECA">
        <w:rPr>
          <w:rFonts w:ascii="Times New Roman" w:eastAsiaTheme="minorHAnsi" w:hAnsi="Times New Roman"/>
          <w:iCs/>
          <w:sz w:val="24"/>
          <w:szCs w:val="24"/>
          <w:lang w:eastAsia="en-US"/>
        </w:rPr>
        <w:t xml:space="preserve"> of </w:t>
      </w:r>
      <w:r w:rsidR="00FD580E" w:rsidRPr="001F4ECA">
        <w:rPr>
          <w:rFonts w:ascii="Times New Roman" w:eastAsiaTheme="minorHAnsi" w:hAnsi="Times New Roman"/>
          <w:iCs/>
          <w:sz w:val="24"/>
          <w:szCs w:val="24"/>
          <w:lang w:eastAsia="en-US"/>
        </w:rPr>
        <w:t>c</w:t>
      </w:r>
      <w:r w:rsidRPr="001F4ECA">
        <w:rPr>
          <w:rFonts w:ascii="Times New Roman" w:eastAsiaTheme="minorHAnsi" w:hAnsi="Times New Roman"/>
          <w:iCs/>
          <w:sz w:val="24"/>
          <w:szCs w:val="24"/>
          <w:lang w:eastAsia="en-US"/>
        </w:rPr>
        <w:t xml:space="preserve">ommerce, </w:t>
      </w:r>
      <w:r w:rsidR="00FD580E" w:rsidRPr="001F4ECA">
        <w:rPr>
          <w:rFonts w:ascii="Times New Roman" w:eastAsiaTheme="minorHAnsi" w:hAnsi="Times New Roman"/>
          <w:iCs/>
          <w:sz w:val="24"/>
          <w:szCs w:val="24"/>
          <w:lang w:eastAsia="en-US"/>
        </w:rPr>
        <w:t xml:space="preserve">the </w:t>
      </w:r>
      <w:r w:rsidRPr="001F4ECA">
        <w:rPr>
          <w:rFonts w:ascii="Times New Roman" w:eastAsiaTheme="minorHAnsi" w:hAnsi="Times New Roman"/>
          <w:iCs/>
          <w:sz w:val="24"/>
          <w:szCs w:val="24"/>
          <w:lang w:eastAsia="en-US"/>
        </w:rPr>
        <w:t xml:space="preserve">Regional Development Australia </w:t>
      </w:r>
      <w:r w:rsidR="00FD580E" w:rsidRPr="001F4ECA">
        <w:rPr>
          <w:rFonts w:ascii="Times New Roman" w:eastAsiaTheme="minorHAnsi" w:hAnsi="Times New Roman"/>
          <w:iCs/>
          <w:sz w:val="24"/>
          <w:szCs w:val="24"/>
          <w:lang w:eastAsia="en-US"/>
        </w:rPr>
        <w:t>c</w:t>
      </w:r>
      <w:r w:rsidRPr="001F4ECA">
        <w:rPr>
          <w:rFonts w:ascii="Times New Roman" w:eastAsiaTheme="minorHAnsi" w:hAnsi="Times New Roman"/>
          <w:iCs/>
          <w:sz w:val="24"/>
          <w:szCs w:val="24"/>
          <w:lang w:eastAsia="en-US"/>
        </w:rPr>
        <w:t>ommittee</w:t>
      </w:r>
      <w:r w:rsidR="00FD580E" w:rsidRPr="001F4ECA">
        <w:rPr>
          <w:rFonts w:ascii="Times New Roman" w:eastAsiaTheme="minorHAnsi" w:hAnsi="Times New Roman"/>
          <w:iCs/>
          <w:sz w:val="24"/>
          <w:szCs w:val="24"/>
          <w:lang w:eastAsia="en-US"/>
        </w:rPr>
        <w:t>s</w:t>
      </w:r>
      <w:r w:rsidRPr="001F4ECA">
        <w:rPr>
          <w:rFonts w:ascii="Times New Roman" w:eastAsiaTheme="minorHAnsi" w:hAnsi="Times New Roman"/>
          <w:iCs/>
          <w:sz w:val="24"/>
          <w:szCs w:val="24"/>
          <w:lang w:eastAsia="en-US"/>
        </w:rPr>
        <w:t xml:space="preserve">, </w:t>
      </w:r>
      <w:r w:rsidR="00FD580E" w:rsidRPr="001F4ECA">
        <w:rPr>
          <w:rFonts w:ascii="Times New Roman" w:eastAsiaTheme="minorHAnsi" w:hAnsi="Times New Roman"/>
          <w:iCs/>
          <w:sz w:val="24"/>
          <w:szCs w:val="24"/>
          <w:lang w:eastAsia="en-US"/>
        </w:rPr>
        <w:t>s</w:t>
      </w:r>
      <w:r w:rsidRPr="001F4ECA">
        <w:rPr>
          <w:rFonts w:ascii="Times New Roman" w:eastAsiaTheme="minorHAnsi" w:hAnsi="Times New Roman"/>
          <w:iCs/>
          <w:sz w:val="24"/>
          <w:szCs w:val="24"/>
          <w:lang w:eastAsia="en-US"/>
        </w:rPr>
        <w:t xml:space="preserve">tate </w:t>
      </w:r>
      <w:r w:rsidR="00FD580E" w:rsidRPr="001F4ECA">
        <w:rPr>
          <w:rFonts w:ascii="Times New Roman" w:eastAsiaTheme="minorHAnsi" w:hAnsi="Times New Roman"/>
          <w:iCs/>
          <w:sz w:val="24"/>
          <w:szCs w:val="24"/>
          <w:lang w:eastAsia="en-US"/>
        </w:rPr>
        <w:t>g</w:t>
      </w:r>
      <w:r w:rsidRPr="001F4ECA">
        <w:rPr>
          <w:rFonts w:ascii="Times New Roman" w:eastAsiaTheme="minorHAnsi" w:hAnsi="Times New Roman"/>
          <w:iCs/>
          <w:sz w:val="24"/>
          <w:szCs w:val="24"/>
          <w:lang w:eastAsia="en-US"/>
        </w:rPr>
        <w:t>overnment</w:t>
      </w:r>
      <w:r w:rsidR="00FD580E" w:rsidRPr="001F4ECA">
        <w:rPr>
          <w:rFonts w:ascii="Times New Roman" w:eastAsiaTheme="minorHAnsi" w:hAnsi="Times New Roman"/>
          <w:iCs/>
          <w:sz w:val="24"/>
          <w:szCs w:val="24"/>
          <w:lang w:eastAsia="en-US"/>
        </w:rPr>
        <w:t>s</w:t>
      </w:r>
      <w:r w:rsidRPr="001F4ECA">
        <w:rPr>
          <w:rFonts w:ascii="Times New Roman" w:eastAsiaTheme="minorHAnsi" w:hAnsi="Times New Roman"/>
          <w:iCs/>
          <w:sz w:val="24"/>
          <w:szCs w:val="24"/>
          <w:lang w:eastAsia="en-US"/>
        </w:rPr>
        <w:t xml:space="preserve"> (to better link to state agencies and minimise duplication), provider representatives, local </w:t>
      </w:r>
      <w:r w:rsidR="00FD580E" w:rsidRPr="001F4ECA">
        <w:rPr>
          <w:rFonts w:ascii="Times New Roman" w:eastAsiaTheme="minorHAnsi" w:hAnsi="Times New Roman"/>
          <w:iCs/>
          <w:sz w:val="24"/>
          <w:szCs w:val="24"/>
          <w:lang w:eastAsia="en-US"/>
        </w:rPr>
        <w:t>I</w:t>
      </w:r>
      <w:r w:rsidRPr="001F4ECA">
        <w:rPr>
          <w:rFonts w:ascii="Times New Roman" w:eastAsiaTheme="minorHAnsi" w:hAnsi="Times New Roman"/>
          <w:iCs/>
          <w:sz w:val="24"/>
          <w:szCs w:val="24"/>
          <w:lang w:eastAsia="en-US"/>
        </w:rPr>
        <w:t xml:space="preserve">ndigenous organisations and unions. One of the key roles of the </w:t>
      </w:r>
      <w:r w:rsidR="00FD580E" w:rsidRPr="001F4ECA">
        <w:rPr>
          <w:rFonts w:ascii="Times New Roman" w:eastAsiaTheme="minorHAnsi" w:hAnsi="Times New Roman"/>
          <w:iCs/>
          <w:sz w:val="24"/>
          <w:szCs w:val="24"/>
          <w:lang w:eastAsia="en-US"/>
        </w:rPr>
        <w:t>t</w:t>
      </w:r>
      <w:r w:rsidRPr="001F4ECA">
        <w:rPr>
          <w:rFonts w:ascii="Times New Roman" w:eastAsiaTheme="minorHAnsi" w:hAnsi="Times New Roman"/>
          <w:iCs/>
          <w:sz w:val="24"/>
          <w:szCs w:val="24"/>
          <w:lang w:eastAsia="en-US"/>
        </w:rPr>
        <w:t>askforce is to develop Local Jobs Plans and identify regional priorities.</w:t>
      </w:r>
    </w:p>
    <w:p w14:paraId="5333E2F4" w14:textId="15E9E2C1" w:rsidR="00083C8A" w:rsidRPr="001F4ECA" w:rsidRDefault="00083C8A" w:rsidP="00F03C1F">
      <w:pPr>
        <w:rPr>
          <w:rFonts w:ascii="Times New Roman" w:eastAsiaTheme="minorHAnsi" w:hAnsi="Times New Roman"/>
          <w:sz w:val="24"/>
          <w:szCs w:val="24"/>
          <w:lang w:eastAsia="en-US"/>
        </w:rPr>
      </w:pPr>
    </w:p>
    <w:p w14:paraId="10D0CE8E" w14:textId="1B28DE87" w:rsidR="00302AA3" w:rsidRPr="001F4ECA" w:rsidRDefault="00083C8A" w:rsidP="00083C8A">
      <w:pPr>
        <w:rPr>
          <w:rFonts w:ascii="Times New Roman" w:eastAsiaTheme="minorHAnsi" w:hAnsi="Times New Roman"/>
          <w:iCs/>
          <w:sz w:val="24"/>
          <w:szCs w:val="24"/>
          <w:u w:val="single"/>
          <w:lang w:eastAsia="en-US"/>
        </w:rPr>
      </w:pPr>
      <w:r w:rsidRPr="001F4ECA">
        <w:rPr>
          <w:rFonts w:ascii="Times New Roman" w:eastAsiaTheme="minorHAnsi" w:hAnsi="Times New Roman"/>
          <w:bCs/>
          <w:i/>
          <w:iCs/>
          <w:sz w:val="24"/>
          <w:szCs w:val="24"/>
          <w:u w:val="single"/>
          <w:lang w:eastAsia="en-US"/>
        </w:rPr>
        <w:t>Local Recovery Fund</w:t>
      </w:r>
    </w:p>
    <w:p w14:paraId="7441723C" w14:textId="77777777" w:rsidR="00302AA3" w:rsidRPr="001F4ECA" w:rsidRDefault="00302AA3" w:rsidP="00083C8A">
      <w:pPr>
        <w:rPr>
          <w:rFonts w:ascii="Times New Roman" w:eastAsiaTheme="minorHAnsi" w:hAnsi="Times New Roman"/>
          <w:iCs/>
          <w:sz w:val="24"/>
          <w:szCs w:val="24"/>
          <w:lang w:eastAsia="en-US"/>
        </w:rPr>
      </w:pPr>
    </w:p>
    <w:p w14:paraId="0C28E73A" w14:textId="32EA20BB" w:rsidR="00083C8A" w:rsidRPr="001F4ECA" w:rsidRDefault="00302AA3" w:rsidP="00083C8A">
      <w:p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 xml:space="preserve">The Local Recovery </w:t>
      </w:r>
      <w:r w:rsidR="00083C8A" w:rsidRPr="001F4ECA">
        <w:rPr>
          <w:rFonts w:ascii="Times New Roman" w:eastAsiaTheme="minorHAnsi" w:hAnsi="Times New Roman"/>
          <w:iCs/>
          <w:sz w:val="24"/>
          <w:szCs w:val="24"/>
          <w:lang w:eastAsia="en-US"/>
        </w:rPr>
        <w:t>Funds will be extended or established for each region to deliver small scale projects that place job seekers at the heart of local economic recovery. Each project is linked to priorities in the Local Jobs Plans.</w:t>
      </w:r>
    </w:p>
    <w:p w14:paraId="48ACB804" w14:textId="27FF960C" w:rsidR="00083C8A" w:rsidRPr="001F4ECA" w:rsidRDefault="00083C8A" w:rsidP="00F03C1F">
      <w:pPr>
        <w:rPr>
          <w:rFonts w:ascii="Times New Roman" w:eastAsiaTheme="minorHAnsi" w:hAnsi="Times New Roman"/>
          <w:sz w:val="24"/>
          <w:szCs w:val="24"/>
          <w:lang w:eastAsia="en-US"/>
        </w:rPr>
      </w:pPr>
    </w:p>
    <w:p w14:paraId="1C68D351" w14:textId="6DC85E3A" w:rsidR="00302AA3" w:rsidRPr="001F4ECA" w:rsidRDefault="00083C8A" w:rsidP="00083C8A">
      <w:pPr>
        <w:rPr>
          <w:rFonts w:ascii="Times New Roman" w:eastAsiaTheme="minorHAnsi" w:hAnsi="Times New Roman"/>
          <w:bCs/>
          <w:iCs/>
          <w:sz w:val="24"/>
          <w:szCs w:val="24"/>
          <w:lang w:eastAsia="en-US"/>
        </w:rPr>
      </w:pPr>
      <w:bookmarkStart w:id="2" w:name="_Hlk77163169"/>
      <w:r w:rsidRPr="001F4ECA">
        <w:rPr>
          <w:rFonts w:ascii="Times New Roman" w:eastAsiaTheme="minorHAnsi" w:hAnsi="Times New Roman"/>
          <w:bCs/>
          <w:i/>
          <w:iCs/>
          <w:sz w:val="24"/>
          <w:szCs w:val="24"/>
          <w:u w:val="single"/>
          <w:lang w:eastAsia="en-US"/>
        </w:rPr>
        <w:t>National Priority Fund</w:t>
      </w:r>
      <w:r w:rsidRPr="001F4ECA">
        <w:rPr>
          <w:rFonts w:ascii="Times New Roman" w:eastAsiaTheme="minorHAnsi" w:hAnsi="Times New Roman"/>
          <w:bCs/>
          <w:iCs/>
          <w:sz w:val="24"/>
          <w:szCs w:val="24"/>
          <w:lang w:eastAsia="en-US"/>
        </w:rPr>
        <w:t xml:space="preserve"> </w:t>
      </w:r>
    </w:p>
    <w:p w14:paraId="0614F4B3" w14:textId="77777777" w:rsidR="00302AA3" w:rsidRPr="001F4ECA" w:rsidRDefault="00302AA3" w:rsidP="00083C8A">
      <w:pPr>
        <w:rPr>
          <w:rFonts w:ascii="Times New Roman" w:eastAsiaTheme="minorHAnsi" w:hAnsi="Times New Roman"/>
          <w:bCs/>
          <w:iCs/>
          <w:sz w:val="24"/>
          <w:szCs w:val="24"/>
          <w:lang w:eastAsia="en-US"/>
        </w:rPr>
      </w:pPr>
    </w:p>
    <w:p w14:paraId="5A1EB544" w14:textId="7D086AEA" w:rsidR="00083C8A" w:rsidRPr="001F4ECA" w:rsidRDefault="00302AA3" w:rsidP="00083C8A">
      <w:pPr>
        <w:rPr>
          <w:rFonts w:ascii="Times New Roman" w:eastAsiaTheme="minorHAnsi" w:hAnsi="Times New Roman"/>
          <w:sz w:val="24"/>
          <w:szCs w:val="24"/>
          <w:lang w:eastAsia="en-US"/>
        </w:rPr>
      </w:pPr>
      <w:r w:rsidRPr="001F4ECA">
        <w:rPr>
          <w:rFonts w:ascii="Times New Roman" w:eastAsiaTheme="minorHAnsi" w:hAnsi="Times New Roman"/>
          <w:iCs/>
          <w:sz w:val="24"/>
          <w:szCs w:val="24"/>
          <w:lang w:eastAsia="en-US"/>
        </w:rPr>
        <w:t>Commencing from 1 July 2021</w:t>
      </w:r>
      <w:r w:rsidR="00083C8A" w:rsidRPr="001F4ECA">
        <w:rPr>
          <w:rFonts w:ascii="Times New Roman" w:eastAsiaTheme="minorHAnsi" w:hAnsi="Times New Roman"/>
          <w:iCs/>
          <w:sz w:val="24"/>
          <w:szCs w:val="24"/>
          <w:lang w:eastAsia="en-US"/>
        </w:rPr>
        <w:t xml:space="preserve">, the $50 million National Priority Fund will fund </w:t>
      </w:r>
      <w:r w:rsidR="00083C8A" w:rsidRPr="001F4ECA">
        <w:rPr>
          <w:rFonts w:ascii="Times New Roman" w:eastAsiaTheme="minorHAnsi" w:hAnsi="Times New Roman"/>
          <w:sz w:val="24"/>
          <w:szCs w:val="24"/>
          <w:lang w:eastAsia="en-US"/>
        </w:rPr>
        <w:t xml:space="preserve">innovative initiatives across Australia that will address structural or other barriers to employment and </w:t>
      </w:r>
      <w:r w:rsidR="00083C8A" w:rsidRPr="001F4ECA">
        <w:rPr>
          <w:rFonts w:ascii="Times New Roman" w:eastAsiaTheme="minorHAnsi" w:hAnsi="Times New Roman"/>
          <w:sz w:val="24"/>
          <w:szCs w:val="24"/>
          <w:lang w:eastAsia="en-US"/>
        </w:rPr>
        <w:lastRenderedPageBreak/>
        <w:t xml:space="preserve">complement job creation initiatives to support Australians into work. </w:t>
      </w:r>
      <w:r w:rsidRPr="001F4ECA">
        <w:rPr>
          <w:rFonts w:ascii="Times New Roman" w:eastAsiaTheme="minorHAnsi" w:hAnsi="Times New Roman"/>
          <w:sz w:val="24"/>
          <w:szCs w:val="24"/>
          <w:lang w:eastAsia="en-US"/>
        </w:rPr>
        <w:t xml:space="preserve">Examples of supported initiatives may include those </w:t>
      </w:r>
      <w:r w:rsidR="00083C8A" w:rsidRPr="001F4ECA">
        <w:rPr>
          <w:rFonts w:ascii="Times New Roman" w:eastAsiaTheme="minorHAnsi" w:hAnsi="Times New Roman"/>
          <w:sz w:val="24"/>
          <w:szCs w:val="24"/>
          <w:lang w:eastAsia="en-US"/>
        </w:rPr>
        <w:t>that:</w:t>
      </w:r>
    </w:p>
    <w:p w14:paraId="671CD548" w14:textId="3AF98B24" w:rsidR="00083C8A" w:rsidRPr="001F4ECA" w:rsidRDefault="00083C8A" w:rsidP="00083C8A">
      <w:pPr>
        <w:numPr>
          <w:ilvl w:val="0"/>
          <w:numId w:val="32"/>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mitigate or remove barriers for Australian job seekers to take up work and/or meet the workforce needs of employers;</w:t>
      </w:r>
    </w:p>
    <w:p w14:paraId="582F145B" w14:textId="6610D3F2" w:rsidR="00083C8A" w:rsidRPr="001F4ECA" w:rsidRDefault="00083C8A" w:rsidP="00083C8A">
      <w:pPr>
        <w:numPr>
          <w:ilvl w:val="0"/>
          <w:numId w:val="32"/>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strengthen the capacity of stakeholders, industries and local governments to identify workforce development needs, skills shortages and those occupational areas in which training or re</w:t>
      </w:r>
      <w:r w:rsidR="00302AA3"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training might be targeted;</w:t>
      </w:r>
    </w:p>
    <w:p w14:paraId="212CC1CD" w14:textId="11325FA5" w:rsidR="00083C8A" w:rsidRPr="001F4ECA" w:rsidRDefault="00083C8A" w:rsidP="00083C8A">
      <w:pPr>
        <w:numPr>
          <w:ilvl w:val="0"/>
          <w:numId w:val="32"/>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complement the creation of durable employment for Australian job seekers</w:t>
      </w:r>
      <w:r w:rsidR="00302AA3" w:rsidRPr="001F4ECA">
        <w:rPr>
          <w:rFonts w:ascii="Times New Roman" w:eastAsiaTheme="minorHAnsi" w:hAnsi="Times New Roman"/>
          <w:sz w:val="24"/>
          <w:szCs w:val="24"/>
          <w:lang w:eastAsia="en-US"/>
        </w:rPr>
        <w:t>;</w:t>
      </w:r>
    </w:p>
    <w:p w14:paraId="4D1387AD" w14:textId="1338E916" w:rsidR="00083C8A" w:rsidRPr="001F4ECA" w:rsidRDefault="00083C8A" w:rsidP="00083C8A">
      <w:pPr>
        <w:numPr>
          <w:ilvl w:val="0"/>
          <w:numId w:val="32"/>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result in more efficient labour markets; and</w:t>
      </w:r>
    </w:p>
    <w:p w14:paraId="0148C627" w14:textId="77777777" w:rsidR="00083C8A" w:rsidRPr="001F4ECA" w:rsidRDefault="00083C8A" w:rsidP="00083C8A">
      <w:pPr>
        <w:numPr>
          <w:ilvl w:val="0"/>
          <w:numId w:val="32"/>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provide longer-term economic and social benefits for the community.</w:t>
      </w:r>
    </w:p>
    <w:p w14:paraId="5FE67286" w14:textId="77777777" w:rsidR="00083C8A" w:rsidRPr="001F4ECA" w:rsidRDefault="00083C8A" w:rsidP="00083C8A">
      <w:pPr>
        <w:rPr>
          <w:rFonts w:ascii="Times New Roman" w:eastAsiaTheme="minorHAnsi" w:hAnsi="Times New Roman"/>
          <w:iCs/>
          <w:sz w:val="24"/>
          <w:szCs w:val="24"/>
          <w:lang w:eastAsia="en-US"/>
        </w:rPr>
      </w:pPr>
    </w:p>
    <w:p w14:paraId="26C46CE7" w14:textId="4CF00D50" w:rsidR="00083C8A" w:rsidRPr="001F4ECA" w:rsidRDefault="00083C8A" w:rsidP="00083C8A">
      <w:p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 xml:space="preserve">The National Priority Fund will complement and support the work of Employment Facilitators and Local Jobs and Skills Taskforces, and </w:t>
      </w:r>
      <w:r w:rsidR="00302AA3" w:rsidRPr="001F4ECA">
        <w:rPr>
          <w:rFonts w:ascii="Times New Roman" w:eastAsiaTheme="minorHAnsi" w:hAnsi="Times New Roman"/>
          <w:iCs/>
          <w:sz w:val="24"/>
          <w:szCs w:val="24"/>
          <w:lang w:eastAsia="en-US"/>
        </w:rPr>
        <w:t>provide</w:t>
      </w:r>
      <w:r w:rsidRPr="001F4ECA">
        <w:rPr>
          <w:rFonts w:ascii="Times New Roman" w:eastAsiaTheme="minorHAnsi" w:hAnsi="Times New Roman"/>
          <w:iCs/>
          <w:sz w:val="24"/>
          <w:szCs w:val="24"/>
          <w:lang w:eastAsia="en-US"/>
        </w:rPr>
        <w:t xml:space="preserve"> funding for larger and broader projects to address structural and other barriers to employment that may impact more than one region.</w:t>
      </w:r>
    </w:p>
    <w:bookmarkEnd w:id="2"/>
    <w:p w14:paraId="132C1E82" w14:textId="50FFCA5A" w:rsidR="00083C8A" w:rsidRPr="001F4ECA" w:rsidRDefault="00083C8A" w:rsidP="00F03C1F">
      <w:pPr>
        <w:rPr>
          <w:rFonts w:ascii="Times New Roman" w:eastAsiaTheme="minorHAnsi" w:hAnsi="Times New Roman"/>
          <w:sz w:val="24"/>
          <w:szCs w:val="24"/>
          <w:lang w:eastAsia="en-US"/>
        </w:rPr>
      </w:pPr>
    </w:p>
    <w:p w14:paraId="4334A44F" w14:textId="4ECA2264"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Local Jobs </w:t>
      </w:r>
      <w:r w:rsidR="00302AA3"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will ensure that the greatest number of people will be placed in appropriate employment or training opportunities as quickly as possible as the labour market recovers from the effects of COVID-19. It will enhance the ability of the department to respond to the differing impacts of COVID-19 on local labour markets through its existing employment programs, while supporting local decision makers’ ability to understand and respond to the pandemic’s impact on the labour market.  </w:t>
      </w:r>
    </w:p>
    <w:p w14:paraId="55903D45" w14:textId="77777777" w:rsidR="00BF490F" w:rsidRPr="001F4ECA" w:rsidRDefault="00BF490F" w:rsidP="00BF490F">
      <w:pPr>
        <w:rPr>
          <w:rFonts w:ascii="Times New Roman" w:eastAsiaTheme="minorHAnsi" w:hAnsi="Times New Roman"/>
          <w:sz w:val="24"/>
          <w:szCs w:val="24"/>
          <w:lang w:eastAsia="en-US"/>
        </w:rPr>
      </w:pPr>
    </w:p>
    <w:p w14:paraId="198B605A" w14:textId="77777777"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There has been a proliferation of labour market and vulnerable cohort programs by local, state and non-government sector stakeholders. The taskforces continue to play a central role in coordinating across these programs and therefore managing any risk that there will be too many unconnected programs at the local level.</w:t>
      </w:r>
    </w:p>
    <w:p w14:paraId="12FC1FD6" w14:textId="77777777" w:rsidR="00BF490F" w:rsidRPr="001F4ECA" w:rsidRDefault="00BF490F" w:rsidP="00BF490F">
      <w:pPr>
        <w:rPr>
          <w:rFonts w:ascii="Times New Roman" w:eastAsiaTheme="minorHAnsi" w:hAnsi="Times New Roman"/>
          <w:sz w:val="24"/>
          <w:szCs w:val="24"/>
          <w:lang w:eastAsia="en-US"/>
        </w:rPr>
      </w:pPr>
    </w:p>
    <w:p w14:paraId="6D5DFEA0" w14:textId="0F6A2102"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Each local taskforce and Employment Facilitator will have access to data and information from the department, the National Skills Commission and </w:t>
      </w:r>
      <w:r w:rsidR="00302AA3"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National Careers Institute on how skills can be transferred across industries and roles, as well as on new short</w:t>
      </w:r>
      <w:r w:rsidR="00302AA3" w:rsidRPr="001F4ECA">
        <w:rPr>
          <w:rFonts w:ascii="Times New Roman" w:eastAsiaTheme="minorHAnsi" w:hAnsi="Times New Roman"/>
          <w:sz w:val="24"/>
          <w:szCs w:val="24"/>
          <w:lang w:eastAsia="en-US"/>
        </w:rPr>
        <w:t xml:space="preserve"> training </w:t>
      </w:r>
      <w:r w:rsidRPr="001F4ECA">
        <w:rPr>
          <w:rFonts w:ascii="Times New Roman" w:eastAsiaTheme="minorHAnsi" w:hAnsi="Times New Roman"/>
          <w:sz w:val="24"/>
          <w:szCs w:val="24"/>
          <w:lang w:eastAsia="en-US"/>
        </w:rPr>
        <w:t xml:space="preserve">courses available to enable transition. Improving the use of this information at a regional level will help both job seekers and businesses to adjust to changing occupational requirements, identify transferrable skills and engage with the </w:t>
      </w:r>
      <w:r w:rsidR="0037306B" w:rsidRPr="001F4ECA">
        <w:rPr>
          <w:rFonts w:ascii="Times New Roman" w:eastAsiaTheme="minorHAnsi" w:hAnsi="Times New Roman"/>
          <w:sz w:val="24"/>
          <w:szCs w:val="24"/>
          <w:lang w:eastAsia="en-US"/>
        </w:rPr>
        <w:t>Vocational Education and Training (</w:t>
      </w:r>
      <w:r w:rsidRPr="001F4ECA">
        <w:rPr>
          <w:rFonts w:ascii="Times New Roman" w:eastAsiaTheme="minorHAnsi" w:hAnsi="Times New Roman"/>
          <w:sz w:val="24"/>
          <w:szCs w:val="24"/>
          <w:lang w:eastAsia="en-US"/>
        </w:rPr>
        <w:t>VET</w:t>
      </w:r>
      <w:r w:rsidR="0037306B"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sector.</w:t>
      </w:r>
    </w:p>
    <w:p w14:paraId="49FE2E92" w14:textId="77777777" w:rsidR="00BF490F" w:rsidRPr="001F4ECA" w:rsidRDefault="00BF490F" w:rsidP="00BF490F">
      <w:pPr>
        <w:rPr>
          <w:rFonts w:ascii="Times New Roman" w:eastAsiaTheme="minorHAnsi" w:hAnsi="Times New Roman"/>
          <w:sz w:val="24"/>
          <w:szCs w:val="24"/>
          <w:lang w:eastAsia="en-US"/>
        </w:rPr>
      </w:pPr>
    </w:p>
    <w:p w14:paraId="374D66FD" w14:textId="591D4DFA"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Underpinning the Local Jobs </w:t>
      </w:r>
      <w:r w:rsidR="00302AA3"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is the recognition that local communities are often best placed to quickly make decisions on their own needs and capabilities and respond to emerging opportunities at a community level. Local communities will be able to identify employment opportunities and their workforce requirements during COVID-19 recovery so that providers can best target their activities to prepare job seekers for these opportunities.</w:t>
      </w:r>
    </w:p>
    <w:p w14:paraId="0002B8EA" w14:textId="4ECEEBAB" w:rsidR="00083C8A" w:rsidRPr="001F4ECA" w:rsidRDefault="00083C8A" w:rsidP="00F03C1F">
      <w:pPr>
        <w:rPr>
          <w:rFonts w:ascii="Times New Roman" w:eastAsiaTheme="minorHAnsi" w:hAnsi="Times New Roman"/>
          <w:sz w:val="24"/>
          <w:szCs w:val="24"/>
          <w:lang w:eastAsia="en-US"/>
        </w:rPr>
      </w:pPr>
    </w:p>
    <w:p w14:paraId="47E24A1A" w14:textId="48B43AB1"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procures services of Employment Facilitators through an open competitive tender process. Prior to the commencement of the Local Jobs Pilot, 11 Employment Facilitators were already in place supporting the Regional Employment Trial (RET) and structural adjustment initiatives.</w:t>
      </w:r>
      <w:r w:rsidR="00302AA3" w:rsidRPr="001F4ECA">
        <w:rPr>
          <w:rFonts w:ascii="Times New Roman" w:eastAsiaTheme="minorHAnsi" w:hAnsi="Times New Roman"/>
          <w:sz w:val="24"/>
          <w:szCs w:val="24"/>
          <w:lang w:eastAsia="en-US"/>
        </w:rPr>
        <w:t xml:space="preserve"> F</w:t>
      </w:r>
      <w:r w:rsidRPr="001F4ECA">
        <w:rPr>
          <w:rFonts w:ascii="Times New Roman" w:eastAsiaTheme="minorHAnsi" w:hAnsi="Times New Roman"/>
          <w:sz w:val="24"/>
          <w:szCs w:val="24"/>
          <w:lang w:eastAsia="en-US"/>
        </w:rPr>
        <w:t xml:space="preserve">ollowing the commencement of the </w:t>
      </w:r>
      <w:r w:rsidR="00302AA3"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ilot, the remaining 14 Employment Facilitators for the initial 25 regions were engaged through procurement activities.</w:t>
      </w:r>
      <w:r w:rsidR="00302AA3"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The Request for Tender (RFT) was open between 2 to 27</w:t>
      </w:r>
      <w:r w:rsidRPr="001F4ECA">
        <w:rPr>
          <w:rFonts w:ascii="Times New Roman" w:eastAsiaTheme="minorHAnsi" w:hAnsi="Times New Roman"/>
          <w:sz w:val="24"/>
          <w:szCs w:val="24"/>
          <w:vertAlign w:val="superscript"/>
          <w:lang w:eastAsia="en-US"/>
        </w:rPr>
        <w:t xml:space="preserve"> </w:t>
      </w:r>
      <w:r w:rsidRPr="001F4ECA">
        <w:rPr>
          <w:rFonts w:ascii="Times New Roman" w:eastAsiaTheme="minorHAnsi" w:hAnsi="Times New Roman"/>
          <w:sz w:val="24"/>
          <w:szCs w:val="24"/>
          <w:lang w:eastAsia="en-US"/>
        </w:rPr>
        <w:t>October 2020 and tenderers (both successful and unsuccessful) were notified on 8 December 2020. Four Employment Facilitator positions were unfilled as a result of the first RFT.</w:t>
      </w:r>
    </w:p>
    <w:p w14:paraId="4F41AF85" w14:textId="77777777" w:rsidR="00BF490F" w:rsidRPr="001F4ECA" w:rsidRDefault="00BF490F" w:rsidP="00BF490F">
      <w:pPr>
        <w:rPr>
          <w:rFonts w:ascii="Times New Roman" w:eastAsiaTheme="minorHAnsi" w:hAnsi="Times New Roman"/>
          <w:sz w:val="24"/>
          <w:szCs w:val="24"/>
          <w:lang w:eastAsia="en-US"/>
        </w:rPr>
      </w:pPr>
    </w:p>
    <w:p w14:paraId="7644F08C" w14:textId="2F1EE0B8"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 limited tender was then undertaken in December 2020 and closed </w:t>
      </w:r>
      <w:r w:rsidR="00302AA3" w:rsidRPr="001F4ECA">
        <w:rPr>
          <w:rFonts w:ascii="Times New Roman" w:eastAsiaTheme="minorHAnsi" w:hAnsi="Times New Roman"/>
          <w:sz w:val="24"/>
          <w:szCs w:val="24"/>
          <w:lang w:eastAsia="en-US"/>
        </w:rPr>
        <w:t xml:space="preserve">on </w:t>
      </w:r>
      <w:r w:rsidRPr="001F4ECA">
        <w:rPr>
          <w:rFonts w:ascii="Times New Roman" w:eastAsiaTheme="minorHAnsi" w:hAnsi="Times New Roman"/>
          <w:sz w:val="24"/>
          <w:szCs w:val="24"/>
          <w:lang w:eastAsia="en-US"/>
        </w:rPr>
        <w:t>7 January 2021, which resulted in the engagement of Employment Facilitators in three of the four regions. A gap filling exercise was undertaken to fill the last position, which closed on 1 February 2021 and resulted in the engagement of an Employment Facilitator.</w:t>
      </w:r>
      <w:r w:rsidR="00302AA3"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While the recruitment was undertaken, departmental representatives acted as interim Employment Facilitators.</w:t>
      </w:r>
    </w:p>
    <w:p w14:paraId="7333E027" w14:textId="15D0C2ED" w:rsidR="00083C8A" w:rsidRPr="001F4ECA" w:rsidRDefault="00083C8A" w:rsidP="00F03C1F">
      <w:pPr>
        <w:rPr>
          <w:rFonts w:ascii="Times New Roman" w:eastAsiaTheme="minorHAnsi" w:hAnsi="Times New Roman"/>
          <w:sz w:val="24"/>
          <w:szCs w:val="24"/>
          <w:lang w:eastAsia="en-US"/>
        </w:rPr>
      </w:pPr>
    </w:p>
    <w:p w14:paraId="5EE0FC8D" w14:textId="06A11F2D"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With the announcement of the expansion of the Local Jobs </w:t>
      </w:r>
      <w:r w:rsidR="00302AA3"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and in keeping with the processes undertaken </w:t>
      </w:r>
      <w:r w:rsidR="00302AA3" w:rsidRPr="001F4ECA">
        <w:rPr>
          <w:rFonts w:ascii="Times New Roman" w:eastAsiaTheme="minorHAnsi" w:hAnsi="Times New Roman"/>
          <w:sz w:val="24"/>
          <w:szCs w:val="24"/>
          <w:lang w:eastAsia="en-US"/>
        </w:rPr>
        <w:t>under</w:t>
      </w:r>
      <w:r w:rsidRPr="001F4ECA">
        <w:rPr>
          <w:rFonts w:ascii="Times New Roman" w:eastAsiaTheme="minorHAnsi" w:hAnsi="Times New Roman"/>
          <w:sz w:val="24"/>
          <w:szCs w:val="24"/>
          <w:lang w:eastAsia="en-US"/>
        </w:rPr>
        <w:t xml:space="preserve"> the </w:t>
      </w:r>
      <w:r w:rsidR="00302AA3"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ilot, an RFT was prepared and released in late May 2021 to engage Employment Facilitators for the additional 26 Employment Regions. Interim Employment Facilitators (departmental staff and contractors) will be in place until the permanent Employment Facilitators are engaged.</w:t>
      </w:r>
    </w:p>
    <w:p w14:paraId="78458F87" w14:textId="77777777" w:rsidR="00BF490F" w:rsidRPr="001F4ECA" w:rsidRDefault="00BF490F" w:rsidP="00BF490F">
      <w:pPr>
        <w:rPr>
          <w:rFonts w:ascii="Times New Roman" w:eastAsiaTheme="minorHAnsi" w:hAnsi="Times New Roman"/>
          <w:sz w:val="24"/>
          <w:szCs w:val="24"/>
          <w:lang w:eastAsia="en-US"/>
        </w:rPr>
      </w:pPr>
    </w:p>
    <w:p w14:paraId="07EFA5B3" w14:textId="0082244E"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delivers projects under the Local Recovery Fund through an open and competitive tender process. Under the Local Jobs Pilot, stakeholders were invited to respond to a Request for Proposal (RFP). The department evaluates each proposal against the published evaluation criteria and is responsible for approving projects.</w:t>
      </w:r>
      <w:r w:rsidR="00302AA3"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 xml:space="preserve">All activities funded under the Local Recovery Fund must have an eligible employment services provider as a partner. For the purposes of the Local Jobs </w:t>
      </w:r>
      <w:r w:rsidR="00302AA3"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employment services providers include </w:t>
      </w:r>
      <w:r w:rsidRPr="001F4ECA">
        <w:rPr>
          <w:rFonts w:ascii="Times New Roman" w:eastAsiaTheme="minorHAnsi" w:hAnsi="Times New Roman"/>
          <w:i/>
          <w:sz w:val="24"/>
          <w:szCs w:val="24"/>
          <w:lang w:eastAsia="en-US"/>
        </w:rPr>
        <w:t>jobactive</w:t>
      </w:r>
      <w:r w:rsidRPr="001F4ECA">
        <w:rPr>
          <w:rFonts w:ascii="Times New Roman" w:eastAsiaTheme="minorHAnsi" w:hAnsi="Times New Roman"/>
          <w:sz w:val="24"/>
          <w:szCs w:val="24"/>
          <w:lang w:eastAsia="en-US"/>
        </w:rPr>
        <w:t>, New Employment Services Trial, Transition to Work and ParentsNext providers.</w:t>
      </w:r>
    </w:p>
    <w:p w14:paraId="0FB47D5A" w14:textId="77777777" w:rsidR="00BF490F" w:rsidRPr="001F4ECA" w:rsidRDefault="00BF490F" w:rsidP="00BF490F">
      <w:pPr>
        <w:rPr>
          <w:rFonts w:ascii="Times New Roman" w:eastAsiaTheme="minorHAnsi" w:hAnsi="Times New Roman"/>
          <w:sz w:val="24"/>
          <w:szCs w:val="24"/>
          <w:lang w:eastAsia="en-US"/>
        </w:rPr>
      </w:pPr>
    </w:p>
    <w:p w14:paraId="2EA3C8F0" w14:textId="792CD7AC"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Applications for the first release of </w:t>
      </w:r>
      <w:r w:rsidR="00302AA3"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Local Recovery Fund closed on 30 November 2020 and 15 projects were approved at a total </w:t>
      </w:r>
      <w:r w:rsidR="00302AA3" w:rsidRPr="001F4ECA">
        <w:rPr>
          <w:rFonts w:ascii="Times New Roman" w:eastAsiaTheme="minorHAnsi" w:hAnsi="Times New Roman"/>
          <w:sz w:val="24"/>
          <w:szCs w:val="24"/>
          <w:lang w:eastAsia="en-US"/>
        </w:rPr>
        <w:t xml:space="preserve">cost </w:t>
      </w:r>
      <w:r w:rsidRPr="001F4ECA">
        <w:rPr>
          <w:rFonts w:ascii="Times New Roman" w:eastAsiaTheme="minorHAnsi" w:hAnsi="Times New Roman"/>
          <w:sz w:val="24"/>
          <w:szCs w:val="24"/>
          <w:lang w:eastAsia="en-US"/>
        </w:rPr>
        <w:t>of over $2</w:t>
      </w:r>
      <w:r w:rsidR="00302AA3"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million.</w:t>
      </w:r>
      <w:r w:rsidR="00302AA3"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In April 2021, the department undertook a limited tender process under the CPRs. The outcome</w:t>
      </w:r>
      <w:r w:rsidR="00302AA3" w:rsidRPr="001F4ECA">
        <w:rPr>
          <w:rFonts w:ascii="Times New Roman" w:eastAsiaTheme="minorHAnsi" w:hAnsi="Times New Roman"/>
          <w:sz w:val="24"/>
          <w:szCs w:val="24"/>
          <w:lang w:eastAsia="en-US"/>
        </w:rPr>
        <w:t>s</w:t>
      </w:r>
      <w:r w:rsidRPr="001F4ECA">
        <w:rPr>
          <w:rFonts w:ascii="Times New Roman" w:eastAsiaTheme="minorHAnsi" w:hAnsi="Times New Roman"/>
          <w:sz w:val="24"/>
          <w:szCs w:val="24"/>
          <w:lang w:eastAsia="en-US"/>
        </w:rPr>
        <w:t xml:space="preserve"> of this process </w:t>
      </w:r>
      <w:r w:rsidR="00302AA3" w:rsidRPr="001F4ECA">
        <w:rPr>
          <w:rFonts w:ascii="Times New Roman" w:eastAsiaTheme="minorHAnsi" w:hAnsi="Times New Roman"/>
          <w:sz w:val="24"/>
          <w:szCs w:val="24"/>
          <w:lang w:eastAsia="en-US"/>
        </w:rPr>
        <w:t>are</w:t>
      </w:r>
      <w:r w:rsidRPr="001F4ECA">
        <w:rPr>
          <w:rFonts w:ascii="Times New Roman" w:eastAsiaTheme="minorHAnsi" w:hAnsi="Times New Roman"/>
          <w:sz w:val="24"/>
          <w:szCs w:val="24"/>
          <w:lang w:eastAsia="en-US"/>
        </w:rPr>
        <w:t xml:space="preserve"> yet to be approved.</w:t>
      </w:r>
    </w:p>
    <w:p w14:paraId="5C6064CB" w14:textId="77777777" w:rsidR="00BF490F" w:rsidRPr="001F4ECA" w:rsidRDefault="00BF490F" w:rsidP="00BF490F">
      <w:pPr>
        <w:rPr>
          <w:rFonts w:ascii="Times New Roman" w:eastAsiaTheme="minorHAnsi" w:hAnsi="Times New Roman"/>
          <w:sz w:val="24"/>
          <w:szCs w:val="24"/>
          <w:lang w:eastAsia="en-US"/>
        </w:rPr>
      </w:pPr>
    </w:p>
    <w:p w14:paraId="7907B621" w14:textId="107B7C31" w:rsidR="00BF490F" w:rsidRPr="001F4ECA" w:rsidRDefault="00302AA3"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00BF490F" w:rsidRPr="001F4ECA">
        <w:rPr>
          <w:rFonts w:ascii="Times New Roman" w:eastAsiaTheme="minorHAnsi" w:hAnsi="Times New Roman"/>
          <w:sz w:val="24"/>
          <w:szCs w:val="24"/>
          <w:lang w:eastAsia="en-US"/>
        </w:rPr>
        <w:t>expan</w:t>
      </w:r>
      <w:r w:rsidRPr="001F4ECA">
        <w:rPr>
          <w:rFonts w:ascii="Times New Roman" w:eastAsiaTheme="minorHAnsi" w:hAnsi="Times New Roman"/>
          <w:sz w:val="24"/>
          <w:szCs w:val="24"/>
          <w:lang w:eastAsia="en-US"/>
        </w:rPr>
        <w:t>ded</w:t>
      </w:r>
      <w:r w:rsidR="00BF490F" w:rsidRPr="001F4ECA">
        <w:rPr>
          <w:rFonts w:ascii="Times New Roman" w:eastAsiaTheme="minorHAnsi" w:hAnsi="Times New Roman"/>
          <w:sz w:val="24"/>
          <w:szCs w:val="24"/>
          <w:lang w:eastAsia="en-US"/>
        </w:rPr>
        <w:t xml:space="preserve"> Local Jobs </w:t>
      </w:r>
      <w:r w:rsidRPr="001F4ECA">
        <w:rPr>
          <w:rFonts w:ascii="Times New Roman" w:eastAsiaTheme="minorHAnsi" w:hAnsi="Times New Roman"/>
          <w:sz w:val="24"/>
          <w:szCs w:val="24"/>
          <w:lang w:eastAsia="en-US"/>
        </w:rPr>
        <w:t>p</w:t>
      </w:r>
      <w:r w:rsidR="00BF490F" w:rsidRPr="001F4ECA">
        <w:rPr>
          <w:rFonts w:ascii="Times New Roman" w:eastAsiaTheme="minorHAnsi" w:hAnsi="Times New Roman"/>
          <w:sz w:val="24"/>
          <w:szCs w:val="24"/>
          <w:lang w:eastAsia="en-US"/>
        </w:rPr>
        <w:t>rogram will continue to utilise the Local Recovery Fund which will be available across the Employment Regions for projects that meet the employment and training priorities identified in the Local Jobs Plans, which will be tailored to the opportunities and needs identified in each region. Applicants will continue to be local not</w:t>
      </w:r>
      <w:r w:rsidRPr="001F4ECA">
        <w:rPr>
          <w:rFonts w:ascii="Times New Roman" w:eastAsiaTheme="minorHAnsi" w:hAnsi="Times New Roman"/>
          <w:sz w:val="24"/>
          <w:szCs w:val="24"/>
          <w:lang w:eastAsia="en-US"/>
        </w:rPr>
        <w:noBreakHyphen/>
      </w:r>
      <w:r w:rsidR="00BF490F" w:rsidRPr="001F4ECA">
        <w:rPr>
          <w:rFonts w:ascii="Times New Roman" w:eastAsiaTheme="minorHAnsi" w:hAnsi="Times New Roman"/>
          <w:sz w:val="24"/>
          <w:szCs w:val="24"/>
          <w:lang w:eastAsia="en-US"/>
        </w:rPr>
        <w:t>for</w:t>
      </w:r>
      <w:r w:rsidRPr="001F4ECA">
        <w:rPr>
          <w:rFonts w:ascii="Times New Roman" w:eastAsiaTheme="minorHAnsi" w:hAnsi="Times New Roman"/>
          <w:sz w:val="24"/>
          <w:szCs w:val="24"/>
          <w:lang w:eastAsia="en-US"/>
        </w:rPr>
        <w:noBreakHyphen/>
      </w:r>
      <w:r w:rsidR="00BF490F" w:rsidRPr="001F4ECA">
        <w:rPr>
          <w:rFonts w:ascii="Times New Roman" w:eastAsiaTheme="minorHAnsi" w:hAnsi="Times New Roman"/>
          <w:sz w:val="24"/>
          <w:szCs w:val="24"/>
          <w:lang w:eastAsia="en-US"/>
        </w:rPr>
        <w:t xml:space="preserve">profit organisations, for-profit employers and training providers. For example, a local council may develop an aged care training course, or providers may work with employers to upskill job seekers for an upcoming infrastructure project. Projects must have an employment services provider as a delivery partner.  </w:t>
      </w:r>
    </w:p>
    <w:p w14:paraId="04D2B639" w14:textId="4A2891E8" w:rsidR="00BF490F" w:rsidRPr="001F4ECA" w:rsidRDefault="00BF490F" w:rsidP="00F03C1F">
      <w:pPr>
        <w:rPr>
          <w:rFonts w:ascii="Times New Roman" w:eastAsiaTheme="minorHAnsi" w:hAnsi="Times New Roman"/>
          <w:sz w:val="24"/>
          <w:szCs w:val="24"/>
          <w:lang w:eastAsia="en-US"/>
        </w:rPr>
      </w:pPr>
    </w:p>
    <w:p w14:paraId="46FF6CF2" w14:textId="354227BA"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will deliver funding under the National Priority Fund through an open and competitive tender process. The department intends to release a Request for Expression of Interest (REOI) to identify relevant initiatives that address structural or other barriers to employment and complement job creation. The department will promote the REOI to stakehold</w:t>
      </w:r>
      <w:r w:rsidR="00F75FD7" w:rsidRPr="001F4ECA">
        <w:rPr>
          <w:rFonts w:ascii="Times New Roman" w:eastAsiaTheme="minorHAnsi" w:hAnsi="Times New Roman"/>
          <w:sz w:val="24"/>
          <w:szCs w:val="24"/>
          <w:lang w:eastAsia="en-US"/>
        </w:rPr>
        <w:t>ers, including</w:t>
      </w:r>
      <w:r w:rsidRPr="001F4ECA">
        <w:rPr>
          <w:rFonts w:ascii="Times New Roman" w:eastAsiaTheme="minorHAnsi" w:hAnsi="Times New Roman"/>
          <w:sz w:val="24"/>
          <w:szCs w:val="24"/>
          <w:lang w:eastAsia="en-US"/>
        </w:rPr>
        <w:t xml:space="preserve"> community groups, employers, and local government</w:t>
      </w:r>
      <w:r w:rsidR="00F75FD7" w:rsidRPr="001F4ECA">
        <w:rPr>
          <w:rFonts w:ascii="Times New Roman" w:eastAsiaTheme="minorHAnsi" w:hAnsi="Times New Roman"/>
          <w:sz w:val="24"/>
          <w:szCs w:val="24"/>
          <w:lang w:eastAsia="en-US"/>
        </w:rPr>
        <w:t>s</w:t>
      </w:r>
      <w:r w:rsidRPr="001F4ECA">
        <w:rPr>
          <w:rFonts w:ascii="Times New Roman" w:eastAsiaTheme="minorHAnsi" w:hAnsi="Times New Roman"/>
          <w:sz w:val="24"/>
          <w:szCs w:val="24"/>
          <w:lang w:eastAsia="en-US"/>
        </w:rPr>
        <w:t xml:space="preserve">, and encourage them to engage with their local Employment Facilitator to discuss their ideas. </w:t>
      </w:r>
      <w:r w:rsidR="00F75FD7"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Employment Facilitators and </w:t>
      </w:r>
      <w:r w:rsidR="00F75FD7"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Local Jobs and Skills Taskforces will also be encouraged to promote the fund and encourage entities with suitable initiatives to apply. </w:t>
      </w:r>
    </w:p>
    <w:p w14:paraId="50036A29" w14:textId="77777777" w:rsidR="00BF490F" w:rsidRPr="001F4ECA" w:rsidRDefault="00BF490F" w:rsidP="00BF490F">
      <w:pPr>
        <w:rPr>
          <w:rFonts w:ascii="Times New Roman" w:eastAsiaTheme="minorHAnsi" w:hAnsi="Times New Roman"/>
          <w:sz w:val="24"/>
          <w:szCs w:val="24"/>
          <w:lang w:eastAsia="en-US"/>
        </w:rPr>
      </w:pPr>
    </w:p>
    <w:p w14:paraId="2E0C9677" w14:textId="77D321CD"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intends to publish relevant assessment criteria with the REOI and this may include assessing the economic and social impact of the proposed initiative. The assessment criteria will be used to evaluate and shortlist proposals, and shortlisted respondents will be invited to respond to an RFT. Decisions related to shortlisting and tenders will be made by a delegate of the Secretary</w:t>
      </w:r>
      <w:r w:rsidR="00F75FD7" w:rsidRPr="001F4ECA">
        <w:rPr>
          <w:rFonts w:ascii="Times New Roman" w:eastAsiaTheme="minorHAnsi" w:hAnsi="Times New Roman"/>
          <w:sz w:val="24"/>
          <w:szCs w:val="24"/>
          <w:lang w:eastAsia="en-US"/>
        </w:rPr>
        <w:t xml:space="preserve"> of the department</w:t>
      </w:r>
      <w:r w:rsidRPr="001F4ECA">
        <w:rPr>
          <w:rFonts w:ascii="Times New Roman" w:eastAsiaTheme="minorHAnsi" w:hAnsi="Times New Roman"/>
          <w:sz w:val="24"/>
          <w:szCs w:val="24"/>
          <w:lang w:eastAsia="en-US"/>
        </w:rPr>
        <w:t xml:space="preserve">. </w:t>
      </w:r>
    </w:p>
    <w:p w14:paraId="1172456E" w14:textId="68D646A6" w:rsidR="00BF490F" w:rsidRPr="001F4ECA" w:rsidRDefault="00BF490F" w:rsidP="00F03C1F">
      <w:pPr>
        <w:rPr>
          <w:rFonts w:ascii="Times New Roman" w:eastAsiaTheme="minorHAnsi" w:hAnsi="Times New Roman"/>
          <w:sz w:val="24"/>
          <w:szCs w:val="24"/>
          <w:lang w:eastAsia="en-US"/>
        </w:rPr>
      </w:pPr>
    </w:p>
    <w:p w14:paraId="60C4BF4B" w14:textId="68DC9BA4"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lastRenderedPageBreak/>
        <w:t>The procurement processes will be undertaken in accordance with applicable requirements under the PGPA Act, the CPRs and the department’s Accountable Authority Instructions, to ensure a robust and transparent procurement decision making process that provides value for money to the Commonwealth. The resultant contracts will be reported on the AusTender (</w:t>
      </w:r>
      <w:r w:rsidRPr="001F4ECA">
        <w:rPr>
          <w:rFonts w:ascii="Times New Roman" w:eastAsiaTheme="minorHAnsi" w:hAnsi="Times New Roman"/>
          <w:sz w:val="24"/>
          <w:szCs w:val="24"/>
          <w:u w:val="single"/>
          <w:lang w:eastAsia="en-US"/>
        </w:rPr>
        <w:t>www.tenders.gov.au</w:t>
      </w:r>
      <w:r w:rsidRPr="001F4ECA">
        <w:rPr>
          <w:rFonts w:ascii="Times New Roman" w:eastAsiaTheme="minorHAnsi" w:hAnsi="Times New Roman"/>
          <w:sz w:val="24"/>
          <w:szCs w:val="24"/>
          <w:lang w:eastAsia="en-US"/>
        </w:rPr>
        <w:t>) after signing. Decisions on successful tenderers will be</w:t>
      </w:r>
      <w:r w:rsidR="00CD3476" w:rsidRPr="001F4ECA">
        <w:rPr>
          <w:rFonts w:ascii="Times New Roman" w:eastAsiaTheme="minorHAnsi" w:hAnsi="Times New Roman"/>
          <w:sz w:val="24"/>
          <w:szCs w:val="24"/>
          <w:lang w:eastAsia="en-US"/>
        </w:rPr>
        <w:t xml:space="preserve"> made by departmental officials as</w:t>
      </w:r>
      <w:r w:rsidRPr="001F4ECA">
        <w:rPr>
          <w:rFonts w:ascii="Times New Roman" w:eastAsiaTheme="minorHAnsi" w:hAnsi="Times New Roman"/>
          <w:sz w:val="24"/>
          <w:szCs w:val="24"/>
          <w:lang w:eastAsia="en-US"/>
        </w:rPr>
        <w:t xml:space="preserve"> delegates of the Secretary of the department.  </w:t>
      </w:r>
    </w:p>
    <w:p w14:paraId="76EB877F" w14:textId="77777777" w:rsidR="00BF490F" w:rsidRPr="001F4ECA" w:rsidRDefault="00BF490F" w:rsidP="00BF490F">
      <w:pPr>
        <w:rPr>
          <w:rFonts w:ascii="Times New Roman" w:eastAsiaTheme="minorHAnsi" w:hAnsi="Times New Roman"/>
          <w:sz w:val="24"/>
          <w:szCs w:val="24"/>
          <w:lang w:eastAsia="en-US"/>
        </w:rPr>
      </w:pPr>
    </w:p>
    <w:p w14:paraId="44B9F884" w14:textId="49D5B95C" w:rsidR="00BF490F" w:rsidRPr="001F4ECA" w:rsidRDefault="00CD3476"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Funding d</w:t>
      </w:r>
      <w:r w:rsidR="00BF490F" w:rsidRPr="001F4ECA">
        <w:rPr>
          <w:rFonts w:ascii="Times New Roman" w:eastAsiaTheme="minorHAnsi" w:hAnsi="Times New Roman"/>
          <w:sz w:val="24"/>
          <w:szCs w:val="24"/>
          <w:lang w:eastAsia="en-US"/>
        </w:rPr>
        <w:t xml:space="preserve">ecisions relating to the Local Recovery Fund, Employment Facilitators and the National Priority Fund will not be subject to independent merits review on the grounds that these decisions are based on allocating a finite resource between competing applicants. This means there is a likelihood that only a proportion of applications in each Employment Region will be met, and therefore an allocation which has already been made to one party would be affected by overturning the original decision. The ARC has recognised that it is justifiable to exclude merits review in relation to decisions of this nature (see paragraphs 4.11 to 4.14 of the guide, </w:t>
      </w:r>
      <w:r w:rsidR="00BF490F" w:rsidRPr="001F4ECA">
        <w:rPr>
          <w:rFonts w:ascii="Times New Roman" w:eastAsiaTheme="minorHAnsi" w:hAnsi="Times New Roman"/>
          <w:i/>
          <w:iCs/>
          <w:sz w:val="24"/>
          <w:szCs w:val="24"/>
          <w:lang w:eastAsia="en-US"/>
        </w:rPr>
        <w:t>What decisions should be subject to merit review?</w:t>
      </w:r>
      <w:r w:rsidR="00BF490F" w:rsidRPr="001F4ECA">
        <w:rPr>
          <w:rFonts w:ascii="Times New Roman" w:eastAsiaTheme="minorHAnsi" w:hAnsi="Times New Roman"/>
          <w:sz w:val="24"/>
          <w:szCs w:val="24"/>
          <w:lang w:eastAsia="en-US"/>
        </w:rPr>
        <w:t>).</w:t>
      </w:r>
    </w:p>
    <w:p w14:paraId="7F614703" w14:textId="1EA4F257" w:rsidR="00BF490F" w:rsidRPr="001F4ECA" w:rsidRDefault="00BF490F" w:rsidP="00F03C1F">
      <w:pPr>
        <w:rPr>
          <w:rFonts w:ascii="Times New Roman" w:eastAsiaTheme="minorHAnsi" w:hAnsi="Times New Roman"/>
          <w:sz w:val="24"/>
          <w:szCs w:val="24"/>
          <w:lang w:eastAsia="en-US"/>
        </w:rPr>
      </w:pPr>
    </w:p>
    <w:p w14:paraId="1961B462" w14:textId="77777777"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i/>
          <w:iCs/>
          <w:sz w:val="24"/>
          <w:szCs w:val="24"/>
          <w:lang w:eastAsia="en-US"/>
        </w:rPr>
        <w:t>Government Procurement (Judicial Review) Act 2018</w:t>
      </w:r>
      <w:r w:rsidRPr="001F4ECA">
        <w:rPr>
          <w:rFonts w:ascii="Times New Roman" w:eastAsiaTheme="minorHAnsi" w:hAnsi="Times New Roman"/>
          <w:sz w:val="24"/>
          <w:szCs w:val="24"/>
          <w:lang w:eastAsia="en-US"/>
        </w:rPr>
        <w:t xml:space="preserve"> enables suppliers to challenge some procurement processes for alleged breaches of certain procurement rules. This legislation might provide an additional avenue for redress (compensation or injunction) for dissatisfied tenderers, depending on the circumstances.</w:t>
      </w:r>
    </w:p>
    <w:p w14:paraId="5451CFFE" w14:textId="77777777" w:rsidR="00BF490F" w:rsidRPr="001F4ECA" w:rsidRDefault="00BF490F" w:rsidP="00BF490F">
      <w:pPr>
        <w:rPr>
          <w:rFonts w:ascii="Times New Roman" w:eastAsiaTheme="minorHAnsi" w:hAnsi="Times New Roman"/>
          <w:sz w:val="24"/>
          <w:szCs w:val="24"/>
          <w:lang w:eastAsia="en-US"/>
        </w:rPr>
      </w:pPr>
    </w:p>
    <w:p w14:paraId="61A52C8C" w14:textId="075D5FED"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will provide</w:t>
      </w:r>
      <w:r w:rsidR="00CD3476" w:rsidRPr="001F4ECA">
        <w:rPr>
          <w:rFonts w:ascii="Times New Roman" w:eastAsiaTheme="minorHAnsi" w:hAnsi="Times New Roman"/>
          <w:sz w:val="24"/>
          <w:szCs w:val="24"/>
          <w:lang w:eastAsia="en-US"/>
        </w:rPr>
        <w:t xml:space="preserve"> an</w:t>
      </w:r>
      <w:r w:rsidRPr="001F4ECA">
        <w:rPr>
          <w:rFonts w:ascii="Times New Roman" w:eastAsiaTheme="minorHAnsi" w:hAnsi="Times New Roman"/>
          <w:sz w:val="24"/>
          <w:szCs w:val="24"/>
          <w:lang w:eastAsia="en-US"/>
        </w:rPr>
        <w:t xml:space="preserve"> opportunity for tenderers to make inquiries and complaints and provide feedback to unsuccessful tenderers. These complaints and inquiries can be made at any time during the procurement process and will be handled in accordance with the probity processes for the procurement which will be made available on AusTender.</w:t>
      </w:r>
    </w:p>
    <w:p w14:paraId="18AAD892" w14:textId="77777777" w:rsidR="00BF490F" w:rsidRPr="001F4ECA" w:rsidRDefault="00BF490F" w:rsidP="00BF490F">
      <w:pPr>
        <w:rPr>
          <w:rFonts w:ascii="Times New Roman" w:eastAsiaTheme="minorHAnsi" w:hAnsi="Times New Roman"/>
          <w:sz w:val="24"/>
          <w:szCs w:val="24"/>
          <w:lang w:eastAsia="en-US"/>
        </w:rPr>
      </w:pPr>
    </w:p>
    <w:p w14:paraId="6D43071E" w14:textId="02D356E0"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decisions to select members for the </w:t>
      </w:r>
      <w:r w:rsidR="007821DA" w:rsidRPr="001F4ECA">
        <w:rPr>
          <w:rFonts w:ascii="Times New Roman" w:eastAsiaTheme="minorHAnsi" w:hAnsi="Times New Roman"/>
          <w:sz w:val="24"/>
          <w:szCs w:val="24"/>
          <w:lang w:eastAsia="en-US"/>
        </w:rPr>
        <w:t>t</w:t>
      </w:r>
      <w:r w:rsidRPr="001F4ECA">
        <w:rPr>
          <w:rFonts w:ascii="Times New Roman" w:eastAsiaTheme="minorHAnsi" w:hAnsi="Times New Roman"/>
          <w:sz w:val="24"/>
          <w:szCs w:val="24"/>
          <w:lang w:eastAsia="en-US"/>
        </w:rPr>
        <w:t>askforces will be made by the department in consultation with Employment Facilitators and will not be subject to independent merits review. Membership is not paid and so a decision not to select a person will have no adverse financial impact on a person. Persons not select</w:t>
      </w:r>
      <w:r w:rsidR="007821DA" w:rsidRPr="001F4ECA">
        <w:rPr>
          <w:rFonts w:ascii="Times New Roman" w:eastAsiaTheme="minorHAnsi" w:hAnsi="Times New Roman"/>
          <w:sz w:val="24"/>
          <w:szCs w:val="24"/>
          <w:lang w:eastAsia="en-US"/>
        </w:rPr>
        <w:t>ed are still able to contact a t</w:t>
      </w:r>
      <w:r w:rsidRPr="001F4ECA">
        <w:rPr>
          <w:rFonts w:ascii="Times New Roman" w:eastAsiaTheme="minorHAnsi" w:hAnsi="Times New Roman"/>
          <w:sz w:val="24"/>
          <w:szCs w:val="24"/>
          <w:lang w:eastAsia="en-US"/>
        </w:rPr>
        <w:t xml:space="preserve">askforce or Employment Facilitator to provide their feedback and input about the Local Jobs </w:t>
      </w:r>
      <w:r w:rsidR="007821D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w:t>
      </w:r>
    </w:p>
    <w:p w14:paraId="3F74FEF0" w14:textId="77777777" w:rsidR="00BF490F" w:rsidRPr="001F4ECA" w:rsidRDefault="00BF490F" w:rsidP="00BF490F">
      <w:pPr>
        <w:rPr>
          <w:rFonts w:ascii="Times New Roman" w:eastAsiaTheme="minorHAnsi" w:hAnsi="Times New Roman"/>
          <w:sz w:val="24"/>
          <w:szCs w:val="24"/>
          <w:lang w:eastAsia="en-US"/>
        </w:rPr>
      </w:pPr>
    </w:p>
    <w:p w14:paraId="06650C8A" w14:textId="6BFC9F69"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Accordingly, a decision that a particular person will not be a </w:t>
      </w:r>
      <w:r w:rsidR="007821DA" w:rsidRPr="001F4ECA">
        <w:rPr>
          <w:rFonts w:ascii="Times New Roman" w:eastAsiaTheme="minorHAnsi" w:hAnsi="Times New Roman"/>
          <w:sz w:val="24"/>
          <w:szCs w:val="24"/>
          <w:lang w:eastAsia="en-US"/>
        </w:rPr>
        <w:t>t</w:t>
      </w:r>
      <w:r w:rsidRPr="001F4ECA">
        <w:rPr>
          <w:rFonts w:ascii="Times New Roman" w:eastAsiaTheme="minorHAnsi" w:hAnsi="Times New Roman"/>
          <w:sz w:val="24"/>
          <w:szCs w:val="24"/>
          <w:lang w:eastAsia="en-US"/>
        </w:rPr>
        <w:t xml:space="preserve">askforce member would have such limited impact on the person that the costs of review could not be justified. Therefore, consistently with paragraphs 4.56 to 4.57 of the ARC guide, </w:t>
      </w:r>
      <w:r w:rsidRPr="001F4ECA">
        <w:rPr>
          <w:rFonts w:ascii="Times New Roman" w:eastAsiaTheme="minorHAnsi" w:hAnsi="Times New Roman"/>
          <w:i/>
          <w:iCs/>
          <w:sz w:val="24"/>
          <w:szCs w:val="24"/>
          <w:lang w:eastAsia="en-US"/>
        </w:rPr>
        <w:t>What decisions should be subject to merit review?</w:t>
      </w:r>
      <w:r w:rsidRPr="001F4ECA">
        <w:rPr>
          <w:rFonts w:ascii="Times New Roman" w:eastAsiaTheme="minorHAnsi" w:hAnsi="Times New Roman"/>
          <w:sz w:val="24"/>
          <w:szCs w:val="24"/>
          <w:lang w:eastAsia="en-US"/>
        </w:rPr>
        <w:t xml:space="preserve">, merits review of decisions about whether a person could be selected to be a member of a local </w:t>
      </w:r>
      <w:r w:rsidR="007821DA" w:rsidRPr="001F4ECA">
        <w:rPr>
          <w:rFonts w:ascii="Times New Roman" w:eastAsiaTheme="minorHAnsi" w:hAnsi="Times New Roman"/>
          <w:sz w:val="24"/>
          <w:szCs w:val="24"/>
          <w:lang w:eastAsia="en-US"/>
        </w:rPr>
        <w:t>t</w:t>
      </w:r>
      <w:r w:rsidRPr="001F4ECA">
        <w:rPr>
          <w:rFonts w:ascii="Times New Roman" w:eastAsiaTheme="minorHAnsi" w:hAnsi="Times New Roman"/>
          <w:sz w:val="24"/>
          <w:szCs w:val="24"/>
          <w:lang w:eastAsia="en-US"/>
        </w:rPr>
        <w:t>askforce is not needed.</w:t>
      </w:r>
    </w:p>
    <w:p w14:paraId="6D9ECB51" w14:textId="77777777" w:rsidR="00BF490F" w:rsidRPr="001F4ECA" w:rsidRDefault="00BF490F" w:rsidP="00BF490F">
      <w:pPr>
        <w:rPr>
          <w:rFonts w:ascii="Times New Roman" w:eastAsiaTheme="minorHAnsi" w:hAnsi="Times New Roman"/>
          <w:sz w:val="24"/>
          <w:szCs w:val="24"/>
          <w:lang w:eastAsia="en-US"/>
        </w:rPr>
      </w:pPr>
    </w:p>
    <w:p w14:paraId="7FEAE3AC" w14:textId="4A96D729" w:rsidR="00BF490F" w:rsidRPr="001F4ECA" w:rsidRDefault="00BF490F" w:rsidP="00BF490F">
      <w:pPr>
        <w:rPr>
          <w:rFonts w:ascii="Times New Roman" w:eastAsiaTheme="minorHAnsi" w:hAnsi="Times New Roman"/>
          <w:sz w:val="24"/>
          <w:szCs w:val="24"/>
          <w:lang w:eastAsia="en-US"/>
        </w:rPr>
      </w:pPr>
      <w:bookmarkStart w:id="3" w:name="_Hlk73618019"/>
      <w:r w:rsidRPr="001F4ECA">
        <w:rPr>
          <w:rFonts w:ascii="Times New Roman" w:eastAsiaTheme="minorHAnsi" w:hAnsi="Times New Roman"/>
          <w:sz w:val="24"/>
          <w:szCs w:val="24"/>
          <w:lang w:eastAsia="en-US"/>
        </w:rPr>
        <w:t>The</w:t>
      </w:r>
      <w:bookmarkEnd w:id="3"/>
      <w:r w:rsidRPr="001F4ECA">
        <w:rPr>
          <w:rFonts w:ascii="Times New Roman" w:eastAsiaTheme="minorHAnsi" w:hAnsi="Times New Roman"/>
          <w:sz w:val="24"/>
          <w:szCs w:val="24"/>
          <w:lang w:eastAsia="en-US"/>
        </w:rPr>
        <w:t xml:space="preserve"> decisions relating to placement of a job seeker into a project under the Local Jobs </w:t>
      </w:r>
      <w:r w:rsidR="007821D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are not subject to independent merits review. Employment services providers may make decisions about whether particular job seekers can participate in projec</w:t>
      </w:r>
      <w:r w:rsidR="007821DA" w:rsidRPr="001F4ECA">
        <w:rPr>
          <w:rFonts w:ascii="Times New Roman" w:eastAsiaTheme="minorHAnsi" w:hAnsi="Times New Roman"/>
          <w:sz w:val="24"/>
          <w:szCs w:val="24"/>
          <w:lang w:eastAsia="en-US"/>
        </w:rPr>
        <w:t>ts funded under the Local Jobs p</w:t>
      </w:r>
      <w:r w:rsidRPr="001F4ECA">
        <w:rPr>
          <w:rFonts w:ascii="Times New Roman" w:eastAsiaTheme="minorHAnsi" w:hAnsi="Times New Roman"/>
          <w:sz w:val="24"/>
          <w:szCs w:val="24"/>
          <w:lang w:eastAsia="en-US"/>
        </w:rPr>
        <w:t xml:space="preserve">rogram, such as a project involving mentoring or an internship. In practice, providers are very likely to encourage job seekers to participate in these projects, rather than prevent them from doing so, as the projects will be generally relevant to their need to find and keep paid work. Where a participant misses out, it will be open to them to access other projects in the region under the Local Jobs </w:t>
      </w:r>
      <w:r w:rsidR="007821D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or assistance from the suite of other employment programs.  </w:t>
      </w:r>
    </w:p>
    <w:p w14:paraId="712D4A6C" w14:textId="77777777" w:rsidR="00BF490F" w:rsidRPr="001F4ECA" w:rsidRDefault="00BF490F" w:rsidP="00BF490F">
      <w:pPr>
        <w:rPr>
          <w:rFonts w:ascii="Times New Roman" w:eastAsiaTheme="minorHAnsi" w:hAnsi="Times New Roman"/>
          <w:sz w:val="24"/>
          <w:szCs w:val="24"/>
          <w:lang w:eastAsia="en-US"/>
        </w:rPr>
      </w:pPr>
    </w:p>
    <w:p w14:paraId="718D04B2" w14:textId="6233E6D4"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Participating in projects may assist job seekers to maintain </w:t>
      </w:r>
      <w:r w:rsidR="007821DA" w:rsidRPr="001F4ECA">
        <w:rPr>
          <w:rFonts w:ascii="Times New Roman" w:eastAsiaTheme="minorHAnsi" w:hAnsi="Times New Roman"/>
          <w:sz w:val="24"/>
          <w:szCs w:val="24"/>
          <w:lang w:eastAsia="en-US"/>
        </w:rPr>
        <w:t>t</w:t>
      </w:r>
      <w:r w:rsidRPr="001F4ECA">
        <w:rPr>
          <w:rFonts w:ascii="Times New Roman" w:eastAsiaTheme="minorHAnsi" w:hAnsi="Times New Roman"/>
          <w:sz w:val="24"/>
          <w:szCs w:val="24"/>
          <w:lang w:eastAsia="en-US"/>
        </w:rPr>
        <w:t xml:space="preserve">heir eligibility for the JobSeeker Payment, Youth Allowance (other) or Parenting Payment under the social security law. These </w:t>
      </w:r>
      <w:r w:rsidRPr="001F4ECA">
        <w:rPr>
          <w:rFonts w:ascii="Times New Roman" w:eastAsiaTheme="minorHAnsi" w:hAnsi="Times New Roman"/>
          <w:sz w:val="24"/>
          <w:szCs w:val="24"/>
          <w:lang w:eastAsia="en-US"/>
        </w:rPr>
        <w:lastRenderedPageBreak/>
        <w:t>payments, sometimes known as participation payments, involve participation requirements which recipients need to meet to maintain eligibility to receive their payments. Participation in a project under th</w:t>
      </w:r>
      <w:r w:rsidR="007821DA" w:rsidRPr="001F4ECA">
        <w:rPr>
          <w:rFonts w:ascii="Times New Roman" w:eastAsiaTheme="minorHAnsi" w:hAnsi="Times New Roman"/>
          <w:sz w:val="24"/>
          <w:szCs w:val="24"/>
          <w:lang w:eastAsia="en-US"/>
        </w:rPr>
        <w:t>e Local Jobs p</w:t>
      </w:r>
      <w:r w:rsidRPr="001F4ECA">
        <w:rPr>
          <w:rFonts w:ascii="Times New Roman" w:eastAsiaTheme="minorHAnsi" w:hAnsi="Times New Roman"/>
          <w:sz w:val="24"/>
          <w:szCs w:val="24"/>
          <w:lang w:eastAsia="en-US"/>
        </w:rPr>
        <w:t>rogram is not the only way a job seeker could meet their participation requirements. There is a wide range of other ways in which they could do so.</w:t>
      </w:r>
    </w:p>
    <w:p w14:paraId="38F1AC1A" w14:textId="06325B5A" w:rsidR="00BF490F" w:rsidRPr="001F4ECA" w:rsidRDefault="00BF490F" w:rsidP="00F03C1F">
      <w:pPr>
        <w:rPr>
          <w:rFonts w:ascii="Times New Roman" w:eastAsiaTheme="minorHAnsi" w:hAnsi="Times New Roman"/>
          <w:sz w:val="24"/>
          <w:szCs w:val="24"/>
          <w:lang w:eastAsia="en-US"/>
        </w:rPr>
      </w:pPr>
    </w:p>
    <w:p w14:paraId="1C00046A" w14:textId="5A975480"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 decision to deny a job seeker access to participation is unlikely to occur in practice, and would not substantially affect that job seeker’s interests, whether or not the job seeker was subject to participation requirements at the time. This is because of the availability of other activities and programs that provide similar employment experience and training opportunities such as </w:t>
      </w:r>
      <w:r w:rsidRPr="001F4ECA">
        <w:rPr>
          <w:rFonts w:ascii="Times New Roman" w:eastAsiaTheme="minorHAnsi" w:hAnsi="Times New Roman"/>
          <w:i/>
          <w:sz w:val="24"/>
          <w:szCs w:val="24"/>
          <w:lang w:eastAsia="en-US"/>
        </w:rPr>
        <w:t>jobactive</w:t>
      </w:r>
      <w:r w:rsidRPr="001F4ECA">
        <w:rPr>
          <w:rFonts w:ascii="Times New Roman" w:eastAsiaTheme="minorHAnsi" w:hAnsi="Times New Roman"/>
          <w:sz w:val="24"/>
          <w:szCs w:val="24"/>
          <w:lang w:eastAsia="en-US"/>
        </w:rPr>
        <w:t xml:space="preserve">, work experience, Youth Jobs PaTH and Work for the Dole. These may be used not only to help the job seeker find and keep paid work, but also to assist the job seeker meet any applicable participation requirements and therefore maintain their eligibility to receive participation payments while looking for work. As such, consistent with paragraphs 4.56 to 4.57 of the ARC guide, </w:t>
      </w:r>
      <w:r w:rsidRPr="001F4ECA">
        <w:rPr>
          <w:rFonts w:ascii="Times New Roman" w:eastAsiaTheme="minorHAnsi" w:hAnsi="Times New Roman"/>
          <w:i/>
          <w:iCs/>
          <w:sz w:val="24"/>
          <w:szCs w:val="24"/>
          <w:lang w:eastAsia="en-US"/>
        </w:rPr>
        <w:t>What decisions should be subject to merit review?</w:t>
      </w:r>
      <w:r w:rsidRPr="001F4ECA">
        <w:rPr>
          <w:rFonts w:ascii="Times New Roman" w:eastAsiaTheme="minorHAnsi" w:hAnsi="Times New Roman"/>
          <w:sz w:val="24"/>
          <w:szCs w:val="24"/>
          <w:lang w:eastAsia="en-US"/>
        </w:rPr>
        <w:t>, a decision whether a job seeker could participate in a project would have such limited impact on the person that the costs of review could not be justified.</w:t>
      </w:r>
    </w:p>
    <w:p w14:paraId="54E7514E" w14:textId="2B3E25B8" w:rsidR="00BF490F" w:rsidRPr="001F4ECA" w:rsidRDefault="00BF490F" w:rsidP="00F03C1F">
      <w:pPr>
        <w:rPr>
          <w:rFonts w:ascii="Times New Roman" w:eastAsiaTheme="minorHAnsi" w:hAnsi="Times New Roman"/>
          <w:sz w:val="24"/>
          <w:szCs w:val="24"/>
          <w:lang w:eastAsia="en-US"/>
        </w:rPr>
      </w:pPr>
    </w:p>
    <w:p w14:paraId="191C8B91" w14:textId="77777777"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If a job seeker nonetheless considered that their ability to meet their participation requirements had been impacted by non-access to a project and were consequently subject to compliance action for failing to meet their participation requirements, they could seek review by Services Australia of any decision to reduce, cancel or suspend their payment. If dissatisfied by the Services Australia’s decision, they could seek review of the decision by the Administrative Appeals Tribunal.</w:t>
      </w:r>
    </w:p>
    <w:p w14:paraId="772301FB" w14:textId="77777777" w:rsidR="00BF490F" w:rsidRPr="001F4ECA" w:rsidRDefault="00BF490F" w:rsidP="00BF490F">
      <w:pPr>
        <w:rPr>
          <w:rFonts w:ascii="Times New Roman" w:eastAsiaTheme="minorHAnsi" w:hAnsi="Times New Roman"/>
          <w:sz w:val="24"/>
          <w:szCs w:val="24"/>
          <w:lang w:eastAsia="en-US"/>
        </w:rPr>
      </w:pPr>
    </w:p>
    <w:p w14:paraId="150FDEE4" w14:textId="12070294"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Any party dissatisfied with any aspect of the Local Jobs </w:t>
      </w:r>
      <w:r w:rsidR="007821D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or the selection of Employment Facilitators or projects could raise the matter with the Commonwealth Ombudsman. The Ombudsman is independent of the department and has the power to ask the department to answer questions about the Local Jobs </w:t>
      </w:r>
      <w:r w:rsidR="007821D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or to provide relevant documents or information.  </w:t>
      </w:r>
    </w:p>
    <w:p w14:paraId="1CE6891A" w14:textId="77777777" w:rsidR="00BF490F" w:rsidRPr="001F4ECA" w:rsidRDefault="00BF490F" w:rsidP="00BF490F">
      <w:pPr>
        <w:rPr>
          <w:rFonts w:ascii="Times New Roman" w:eastAsiaTheme="minorHAnsi" w:hAnsi="Times New Roman"/>
          <w:sz w:val="24"/>
          <w:szCs w:val="24"/>
          <w:lang w:eastAsia="en-US"/>
        </w:rPr>
      </w:pPr>
    </w:p>
    <w:p w14:paraId="53266DBB" w14:textId="2309ABB6"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 central part of the Local Jobs Pilot was the consultation with key local stakeholders (employers, employment service</w:t>
      </w:r>
      <w:r w:rsidR="007821DA" w:rsidRPr="001F4ECA">
        <w:rPr>
          <w:rFonts w:ascii="Times New Roman" w:eastAsiaTheme="minorHAnsi" w:hAnsi="Times New Roman"/>
          <w:sz w:val="24"/>
          <w:szCs w:val="24"/>
          <w:lang w:eastAsia="en-US"/>
        </w:rPr>
        <w:t>s</w:t>
      </w:r>
      <w:r w:rsidRPr="001F4ECA">
        <w:rPr>
          <w:rFonts w:ascii="Times New Roman" w:eastAsiaTheme="minorHAnsi" w:hAnsi="Times New Roman"/>
          <w:sz w:val="24"/>
          <w:szCs w:val="24"/>
          <w:lang w:eastAsia="en-US"/>
        </w:rPr>
        <w:t xml:space="preserve"> providers, higher education and training organisations) by Employment Facilitators through the development of Local Jobs and Skills Taskforces. During the first six months of implementation, the Local Jobs Pilot generated </w:t>
      </w:r>
      <w:r w:rsidR="007821DA" w:rsidRPr="001F4ECA">
        <w:rPr>
          <w:rFonts w:ascii="Times New Roman" w:eastAsiaTheme="minorHAnsi" w:hAnsi="Times New Roman"/>
          <w:sz w:val="24"/>
          <w:szCs w:val="24"/>
          <w:lang w:eastAsia="en-US"/>
        </w:rPr>
        <w:t>a lot of</w:t>
      </w:r>
      <w:r w:rsidRPr="001F4ECA">
        <w:rPr>
          <w:rFonts w:ascii="Times New Roman" w:eastAsiaTheme="minorHAnsi" w:hAnsi="Times New Roman"/>
          <w:sz w:val="24"/>
          <w:szCs w:val="24"/>
          <w:lang w:eastAsia="en-US"/>
        </w:rPr>
        <w:t xml:space="preserve"> public interest. This interest came from stakeholders involved in the </w:t>
      </w:r>
      <w:r w:rsidR="007821D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ilot citing its value, including strong interest in taskforce membership by business and local community members. </w:t>
      </w:r>
    </w:p>
    <w:p w14:paraId="044C7D1F" w14:textId="77777777" w:rsidR="00BF490F" w:rsidRPr="001F4ECA" w:rsidRDefault="00BF490F" w:rsidP="00BF490F">
      <w:pPr>
        <w:rPr>
          <w:rFonts w:ascii="Times New Roman" w:eastAsiaTheme="minorHAnsi" w:hAnsi="Times New Roman"/>
          <w:sz w:val="24"/>
          <w:szCs w:val="24"/>
          <w:lang w:eastAsia="en-US"/>
        </w:rPr>
      </w:pPr>
    </w:p>
    <w:p w14:paraId="0568CE1B" w14:textId="39759C9D"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Feedback has also been provided by stakeholders from Employm</w:t>
      </w:r>
      <w:r w:rsidR="007821DA" w:rsidRPr="001F4ECA">
        <w:rPr>
          <w:rFonts w:ascii="Times New Roman" w:eastAsiaTheme="minorHAnsi" w:hAnsi="Times New Roman"/>
          <w:sz w:val="24"/>
          <w:szCs w:val="24"/>
          <w:lang w:eastAsia="en-US"/>
        </w:rPr>
        <w:t>ent Regions not covered by the P</w:t>
      </w:r>
      <w:r w:rsidRPr="001F4ECA">
        <w:rPr>
          <w:rFonts w:ascii="Times New Roman" w:eastAsiaTheme="minorHAnsi" w:hAnsi="Times New Roman"/>
          <w:sz w:val="24"/>
          <w:szCs w:val="24"/>
          <w:lang w:eastAsia="en-US"/>
        </w:rPr>
        <w:t>ilot</w:t>
      </w:r>
      <w:r w:rsidR="007821DA"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including local </w:t>
      </w:r>
      <w:r w:rsidR="007821DA" w:rsidRPr="001F4ECA">
        <w:rPr>
          <w:rFonts w:ascii="Times New Roman" w:eastAsiaTheme="minorHAnsi" w:hAnsi="Times New Roman"/>
          <w:sz w:val="24"/>
          <w:szCs w:val="24"/>
          <w:lang w:eastAsia="en-US"/>
        </w:rPr>
        <w:t>M</w:t>
      </w:r>
      <w:r w:rsidRPr="001F4ECA">
        <w:rPr>
          <w:rFonts w:ascii="Times New Roman" w:eastAsiaTheme="minorHAnsi" w:hAnsi="Times New Roman"/>
          <w:sz w:val="24"/>
          <w:szCs w:val="24"/>
          <w:lang w:eastAsia="en-US"/>
        </w:rPr>
        <w:t xml:space="preserve">embers of </w:t>
      </w:r>
      <w:r w:rsidR="007821D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arliament, </w:t>
      </w:r>
      <w:r w:rsidR="007821DA"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Regional Development Australia committees and other advocacy groups, seeking clarification as to why their region was not included and enquiring about any expansion of the </w:t>
      </w:r>
      <w:r w:rsidR="007821D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ilot for the benefit of their area. </w:t>
      </w:r>
    </w:p>
    <w:p w14:paraId="20B78BFF" w14:textId="77777777" w:rsidR="00BF490F" w:rsidRPr="001F4ECA" w:rsidRDefault="00BF490F" w:rsidP="00BF490F">
      <w:pPr>
        <w:rPr>
          <w:rFonts w:ascii="Times New Roman" w:eastAsiaTheme="minorHAnsi" w:hAnsi="Times New Roman"/>
          <w:sz w:val="24"/>
          <w:szCs w:val="24"/>
          <w:lang w:eastAsia="en-US"/>
        </w:rPr>
      </w:pPr>
    </w:p>
    <w:p w14:paraId="3C82733A" w14:textId="5EDBDE11" w:rsidR="00BF490F" w:rsidRPr="001F4ECA" w:rsidRDefault="00BF490F" w:rsidP="00BF490F">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Local Jobs Pilot was designed to cover the 25 regions most impacted by COVID-19 and experiencing long</w:t>
      </w:r>
      <w:r w:rsidR="007821DA"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term disadvantage. The expansion acknowledges that all regions have their own unique social and economic challenges and have been impacted by the pandemic. The expansion of the program to all 51 regions across Australia provides a more equitable approach and addresses the concerns of stakeholders previously not covered by the </w:t>
      </w:r>
      <w:r w:rsidR="007821DA"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ilot.</w:t>
      </w:r>
    </w:p>
    <w:p w14:paraId="0A39C303" w14:textId="14B5E40D" w:rsidR="00BF490F" w:rsidRPr="001F4ECA" w:rsidRDefault="00BF490F" w:rsidP="00F03C1F">
      <w:pPr>
        <w:rPr>
          <w:rFonts w:ascii="Times New Roman" w:eastAsiaTheme="minorHAnsi" w:hAnsi="Times New Roman"/>
          <w:sz w:val="24"/>
          <w:szCs w:val="24"/>
          <w:lang w:eastAsia="en-US"/>
        </w:rPr>
      </w:pPr>
    </w:p>
    <w:p w14:paraId="04684A93" w14:textId="77777777"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Additional funding of $213.5 million over four years from 2021-22 was included in the</w:t>
      </w:r>
      <w:r w:rsidRPr="001F4ECA">
        <w:rPr>
          <w:rFonts w:ascii="Times New Roman" w:eastAsiaTheme="minorHAnsi" w:hAnsi="Times New Roman"/>
          <w:sz w:val="24"/>
          <w:szCs w:val="24"/>
          <w:lang w:eastAsia="en-US"/>
        </w:rPr>
        <w:br/>
        <w:t xml:space="preserve">2021-22 Budget under the measure ‘Getting Vulnerable Australians Back into Work – </w:t>
      </w:r>
      <w:r w:rsidRPr="001F4ECA">
        <w:rPr>
          <w:rFonts w:ascii="Times New Roman" w:eastAsiaTheme="minorHAnsi" w:hAnsi="Times New Roman"/>
          <w:sz w:val="24"/>
          <w:szCs w:val="24"/>
          <w:lang w:eastAsia="en-US"/>
        </w:rPr>
        <w:lastRenderedPageBreak/>
        <w:t xml:space="preserve">additional support for job seekers’. </w:t>
      </w:r>
      <w:r w:rsidRPr="001F4ECA">
        <w:rPr>
          <w:rFonts w:ascii="Times New Roman" w:eastAsiaTheme="minorHAnsi" w:hAnsi="Times New Roman"/>
          <w:iCs/>
          <w:sz w:val="24"/>
          <w:szCs w:val="24"/>
          <w:lang w:eastAsia="en-US"/>
        </w:rPr>
        <w:t xml:space="preserve">Details are set out in </w:t>
      </w:r>
      <w:r w:rsidRPr="001F4ECA">
        <w:rPr>
          <w:rFonts w:ascii="Times New Roman" w:eastAsiaTheme="minorHAnsi" w:hAnsi="Times New Roman"/>
          <w:i/>
          <w:iCs/>
          <w:sz w:val="24"/>
          <w:szCs w:val="24"/>
          <w:lang w:eastAsia="en-US"/>
        </w:rPr>
        <w:t>Budget 2021</w:t>
      </w:r>
      <w:r w:rsidRPr="001F4ECA">
        <w:rPr>
          <w:rFonts w:ascii="Times New Roman" w:eastAsiaTheme="minorHAnsi" w:hAnsi="Times New Roman"/>
          <w:i/>
          <w:iCs/>
          <w:sz w:val="24"/>
          <w:szCs w:val="24"/>
          <w:lang w:eastAsia="en-US"/>
        </w:rPr>
        <w:noBreakHyphen/>
        <w:t>22, Budget Measures, Budget Paper No. 2 2021-22</w:t>
      </w:r>
      <w:r w:rsidRPr="001F4ECA">
        <w:rPr>
          <w:rFonts w:ascii="Times New Roman" w:eastAsiaTheme="minorHAnsi" w:hAnsi="Times New Roman"/>
          <w:iCs/>
          <w:sz w:val="24"/>
          <w:szCs w:val="24"/>
          <w:lang w:eastAsia="en-US"/>
        </w:rPr>
        <w:t xml:space="preserve"> at page 89.</w:t>
      </w:r>
    </w:p>
    <w:p w14:paraId="30019324" w14:textId="77777777" w:rsidR="008B49E9" w:rsidRPr="001F4ECA" w:rsidRDefault="008B49E9" w:rsidP="008B49E9">
      <w:pPr>
        <w:rPr>
          <w:rFonts w:ascii="Times New Roman" w:eastAsiaTheme="minorHAnsi" w:hAnsi="Times New Roman"/>
          <w:sz w:val="24"/>
          <w:szCs w:val="24"/>
          <w:lang w:eastAsia="en-US"/>
        </w:rPr>
      </w:pPr>
    </w:p>
    <w:p w14:paraId="47768639" w14:textId="625A7176" w:rsidR="008B49E9" w:rsidRPr="001F4ECA" w:rsidRDefault="007821DA" w:rsidP="008B49E9">
      <w:p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Funding for the Local Jobs p</w:t>
      </w:r>
      <w:r w:rsidR="008B49E9" w:rsidRPr="001F4ECA">
        <w:rPr>
          <w:rFonts w:ascii="Times New Roman" w:eastAsiaTheme="minorHAnsi" w:hAnsi="Times New Roman"/>
          <w:iCs/>
          <w:sz w:val="24"/>
          <w:szCs w:val="24"/>
          <w:lang w:eastAsia="en-US"/>
        </w:rPr>
        <w:t>rogram, including the Local Jobs Pilot</w:t>
      </w:r>
      <w:r w:rsidRPr="001F4ECA">
        <w:rPr>
          <w:rFonts w:ascii="Times New Roman" w:eastAsiaTheme="minorHAnsi" w:hAnsi="Times New Roman"/>
          <w:iCs/>
          <w:sz w:val="24"/>
          <w:szCs w:val="24"/>
          <w:lang w:eastAsia="en-US"/>
        </w:rPr>
        <w:t>,</w:t>
      </w:r>
      <w:r w:rsidR="008B49E9" w:rsidRPr="001F4ECA">
        <w:rPr>
          <w:rFonts w:ascii="Times New Roman" w:eastAsiaTheme="minorHAnsi" w:hAnsi="Times New Roman"/>
          <w:iCs/>
          <w:sz w:val="24"/>
          <w:szCs w:val="24"/>
          <w:lang w:eastAsia="en-US"/>
        </w:rPr>
        <w:t xml:space="preserve"> will come from Program</w:t>
      </w:r>
      <w:r w:rsidRPr="001F4ECA">
        <w:rPr>
          <w:rFonts w:ascii="Times New Roman" w:eastAsiaTheme="minorHAnsi" w:hAnsi="Times New Roman"/>
          <w:iCs/>
          <w:sz w:val="24"/>
          <w:szCs w:val="24"/>
          <w:lang w:eastAsia="en-US"/>
        </w:rPr>
        <w:t> </w:t>
      </w:r>
      <w:r w:rsidR="008B49E9" w:rsidRPr="001F4ECA">
        <w:rPr>
          <w:rFonts w:ascii="Times New Roman" w:eastAsiaTheme="minorHAnsi" w:hAnsi="Times New Roman"/>
          <w:iCs/>
          <w:sz w:val="24"/>
          <w:szCs w:val="24"/>
          <w:lang w:eastAsia="en-US"/>
        </w:rPr>
        <w:t>4.1: Employment Services, which is part of Outcome 4.</w:t>
      </w:r>
      <w:r w:rsidR="008B49E9" w:rsidRPr="001F4ECA">
        <w:rPr>
          <w:rFonts w:ascii="Times New Roman" w:eastAsiaTheme="minorHAnsi" w:hAnsi="Times New Roman"/>
          <w:sz w:val="24"/>
          <w:szCs w:val="24"/>
          <w:lang w:eastAsia="en-US"/>
        </w:rPr>
        <w:t xml:space="preserve"> </w:t>
      </w:r>
      <w:r w:rsidR="008B49E9" w:rsidRPr="001F4ECA">
        <w:rPr>
          <w:rFonts w:ascii="Times New Roman" w:eastAsiaTheme="minorHAnsi" w:hAnsi="Times New Roman"/>
          <w:iCs/>
          <w:sz w:val="24"/>
          <w:szCs w:val="24"/>
          <w:lang w:eastAsia="en-US"/>
        </w:rPr>
        <w:t xml:space="preserve">Details are set out in the </w:t>
      </w:r>
      <w:r w:rsidR="008B49E9" w:rsidRPr="001F4ECA">
        <w:rPr>
          <w:rFonts w:ascii="Times New Roman" w:eastAsiaTheme="minorHAnsi" w:hAnsi="Times New Roman"/>
          <w:i/>
          <w:iCs/>
          <w:sz w:val="24"/>
          <w:szCs w:val="24"/>
          <w:lang w:eastAsia="en-US"/>
        </w:rPr>
        <w:t>Portfolio Budget Statements 2021-22, Budget Related Paper No. 1.4, Education, Skills and Employment Portfolio</w:t>
      </w:r>
      <w:r w:rsidR="008B49E9" w:rsidRPr="001F4ECA">
        <w:rPr>
          <w:rFonts w:ascii="Times New Roman" w:eastAsiaTheme="minorHAnsi" w:hAnsi="Times New Roman"/>
          <w:iCs/>
          <w:sz w:val="24"/>
          <w:szCs w:val="24"/>
          <w:lang w:eastAsia="en-US"/>
        </w:rPr>
        <w:t xml:space="preserve"> at pages 20 and 77.</w:t>
      </w:r>
    </w:p>
    <w:p w14:paraId="20FA8EF5" w14:textId="77E509CB" w:rsidR="008B49E9" w:rsidRPr="001F4ECA" w:rsidRDefault="008B49E9" w:rsidP="00F03C1F">
      <w:pPr>
        <w:rPr>
          <w:rFonts w:ascii="Times New Roman" w:eastAsiaTheme="minorHAnsi" w:hAnsi="Times New Roman"/>
          <w:sz w:val="24"/>
          <w:szCs w:val="24"/>
          <w:lang w:eastAsia="en-US"/>
        </w:rPr>
      </w:pPr>
    </w:p>
    <w:p w14:paraId="49A59466" w14:textId="77777777"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Noting that it is not a comprehensive statement of relevant constitutional considerations, the</w:t>
      </w:r>
    </w:p>
    <w:p w14:paraId="703AE877" w14:textId="77777777"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objective of the item references the following powers of the Constitution:</w:t>
      </w:r>
    </w:p>
    <w:p w14:paraId="1EF50E26" w14:textId="7D57C735" w:rsidR="008B49E9" w:rsidRPr="001F4ECA" w:rsidRDefault="008B49E9" w:rsidP="007821DA">
      <w:pPr>
        <w:numPr>
          <w:ilvl w:val="0"/>
          <w:numId w:val="32"/>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unemployment benefits aspect of the social welfare power (section 51(xxiiiA)</w:t>
      </w:r>
      <w:r w:rsidR="001729C7"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w:t>
      </w:r>
    </w:p>
    <w:p w14:paraId="3A2C9774" w14:textId="77777777" w:rsidR="008B49E9" w:rsidRPr="001F4ECA" w:rsidRDefault="008B49E9" w:rsidP="007821DA">
      <w:pPr>
        <w:numPr>
          <w:ilvl w:val="0"/>
          <w:numId w:val="32"/>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external affairs power (section 51(xxix)); and</w:t>
      </w:r>
    </w:p>
    <w:p w14:paraId="2ACBB3FA" w14:textId="77777777" w:rsidR="001729C7" w:rsidRPr="001F4ECA" w:rsidRDefault="001729C7" w:rsidP="001729C7">
      <w:pPr>
        <w:numPr>
          <w:ilvl w:val="0"/>
          <w:numId w:val="32"/>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express incidental power and the executive power (sections 51(xxxix) and 61), including the nationhood aspect.</w:t>
      </w:r>
    </w:p>
    <w:p w14:paraId="33E9074C" w14:textId="77777777" w:rsidR="008B49E9" w:rsidRPr="001F4ECA" w:rsidRDefault="008B49E9" w:rsidP="008B49E9">
      <w:pPr>
        <w:rPr>
          <w:rFonts w:ascii="Times New Roman" w:eastAsiaTheme="minorHAnsi" w:hAnsi="Times New Roman"/>
          <w:i/>
          <w:sz w:val="24"/>
          <w:szCs w:val="24"/>
          <w:u w:val="single"/>
          <w:lang w:eastAsia="en-US"/>
        </w:rPr>
      </w:pPr>
    </w:p>
    <w:p w14:paraId="0DC9B040" w14:textId="77777777" w:rsidR="008B49E9" w:rsidRPr="001F4ECA" w:rsidRDefault="008B49E9" w:rsidP="008B49E9">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Social welfare power</w:t>
      </w:r>
    </w:p>
    <w:p w14:paraId="0D7B3F3A" w14:textId="77777777" w:rsidR="008B49E9" w:rsidRPr="001F4ECA" w:rsidRDefault="008B49E9" w:rsidP="008B49E9">
      <w:pPr>
        <w:rPr>
          <w:rFonts w:ascii="Times New Roman" w:eastAsiaTheme="minorHAnsi" w:hAnsi="Times New Roman"/>
          <w:sz w:val="24"/>
          <w:szCs w:val="24"/>
          <w:lang w:eastAsia="en-US"/>
        </w:rPr>
      </w:pPr>
    </w:p>
    <w:p w14:paraId="4C353B7B" w14:textId="77777777"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social welfare power in section 51(xxiiiA) of the Constitution empowers the Parliament to make laws with respect to the provision of certain social welfare benefits including unemployment benefits.</w:t>
      </w:r>
    </w:p>
    <w:p w14:paraId="3137CC5B" w14:textId="77777777" w:rsidR="008B49E9" w:rsidRPr="001F4ECA" w:rsidRDefault="008B49E9" w:rsidP="008B49E9">
      <w:pPr>
        <w:rPr>
          <w:rFonts w:ascii="Times New Roman" w:eastAsiaTheme="minorHAnsi" w:hAnsi="Times New Roman"/>
          <w:sz w:val="24"/>
          <w:szCs w:val="24"/>
          <w:lang w:eastAsia="en-US"/>
        </w:rPr>
      </w:pPr>
    </w:p>
    <w:p w14:paraId="44A77D66" w14:textId="58254B8C"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Local Jobs </w:t>
      </w:r>
      <w:r w:rsidR="000D14BF"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will continue to benefit individuals who are receiving unemployment benefits by providing them with assistance to upskill, retrain and locate suitable employment opportunities.</w:t>
      </w:r>
    </w:p>
    <w:p w14:paraId="688290B0" w14:textId="77777777" w:rsidR="008B49E9" w:rsidRPr="001F4ECA" w:rsidRDefault="008B49E9" w:rsidP="008B49E9">
      <w:pPr>
        <w:rPr>
          <w:rFonts w:ascii="Times New Roman" w:eastAsiaTheme="minorHAnsi" w:hAnsi="Times New Roman"/>
          <w:i/>
          <w:sz w:val="24"/>
          <w:szCs w:val="24"/>
          <w:u w:val="single"/>
          <w:lang w:eastAsia="en-US"/>
        </w:rPr>
      </w:pPr>
    </w:p>
    <w:p w14:paraId="73F59995" w14:textId="77777777" w:rsidR="008B49E9" w:rsidRPr="001F4ECA" w:rsidRDefault="008B49E9" w:rsidP="008B49E9">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External affairs power</w:t>
      </w:r>
    </w:p>
    <w:p w14:paraId="3011EDAE" w14:textId="77777777" w:rsidR="008B49E9" w:rsidRPr="001F4ECA" w:rsidRDefault="008B49E9" w:rsidP="008B49E9">
      <w:pPr>
        <w:rPr>
          <w:rFonts w:ascii="Times New Roman" w:eastAsiaTheme="minorHAnsi" w:hAnsi="Times New Roman"/>
          <w:sz w:val="24"/>
          <w:szCs w:val="24"/>
          <w:lang w:eastAsia="en-US"/>
        </w:rPr>
      </w:pPr>
    </w:p>
    <w:p w14:paraId="3AD7EC20" w14:textId="77777777"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Section 51(xxix) of the Constitution empowers the Parliament to make laws with respect to ‘external affairs’. The external affairs power supports legislation implementing Australia’s obligations under international treaties to which it is a party.  </w:t>
      </w:r>
    </w:p>
    <w:p w14:paraId="088A5F25" w14:textId="77777777" w:rsidR="008B49E9" w:rsidRPr="001F4ECA" w:rsidRDefault="008B49E9" w:rsidP="008B49E9">
      <w:pPr>
        <w:rPr>
          <w:rFonts w:ascii="Times New Roman" w:eastAsiaTheme="minorHAnsi" w:hAnsi="Times New Roman"/>
          <w:sz w:val="24"/>
          <w:szCs w:val="24"/>
          <w:lang w:eastAsia="en-US"/>
        </w:rPr>
      </w:pPr>
    </w:p>
    <w:p w14:paraId="3F70C7E9" w14:textId="77777777"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Australia has obligations relating to the following conventions:</w:t>
      </w:r>
    </w:p>
    <w:p w14:paraId="64B21BB2" w14:textId="77777777" w:rsidR="008B49E9" w:rsidRPr="001F4ECA" w:rsidRDefault="008B49E9" w:rsidP="008B49E9">
      <w:pPr>
        <w:numPr>
          <w:ilvl w:val="0"/>
          <w:numId w:val="2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i/>
          <w:sz w:val="24"/>
          <w:szCs w:val="24"/>
          <w:lang w:eastAsia="en-US"/>
        </w:rPr>
        <w:t>International Covenant on Economic, Social and Cultural Rights</w:t>
      </w:r>
      <w:r w:rsidRPr="001F4ECA">
        <w:rPr>
          <w:rFonts w:ascii="Times New Roman" w:eastAsiaTheme="minorHAnsi" w:hAnsi="Times New Roman"/>
          <w:sz w:val="24"/>
          <w:szCs w:val="24"/>
          <w:lang w:eastAsia="en-US"/>
        </w:rPr>
        <w:t xml:space="preserve"> (ICESCR), including Articles 2 and 6; </w:t>
      </w:r>
    </w:p>
    <w:p w14:paraId="1FDD64A4" w14:textId="77777777" w:rsidR="008B49E9" w:rsidRPr="001F4ECA" w:rsidRDefault="008B49E9" w:rsidP="008B49E9">
      <w:pPr>
        <w:numPr>
          <w:ilvl w:val="0"/>
          <w:numId w:val="2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International Labour Organization’s </w:t>
      </w:r>
      <w:r w:rsidRPr="001F4ECA">
        <w:rPr>
          <w:rFonts w:ascii="Times New Roman" w:eastAsiaTheme="minorHAnsi" w:hAnsi="Times New Roman"/>
          <w:i/>
          <w:sz w:val="24"/>
          <w:szCs w:val="24"/>
          <w:lang w:eastAsia="en-US"/>
        </w:rPr>
        <w:t>Convention concerning Employment Policy</w:t>
      </w:r>
      <w:r w:rsidRPr="001F4ECA">
        <w:rPr>
          <w:rFonts w:ascii="Times New Roman" w:eastAsiaTheme="minorHAnsi" w:hAnsi="Times New Roman"/>
          <w:sz w:val="24"/>
          <w:szCs w:val="24"/>
          <w:lang w:eastAsia="en-US"/>
        </w:rPr>
        <w:t xml:space="preserve"> (ILO Convention 122), including Articles 1 and 2; and</w:t>
      </w:r>
    </w:p>
    <w:p w14:paraId="0B6AAD6A" w14:textId="77777777" w:rsidR="008B49E9" w:rsidRPr="001F4ECA" w:rsidRDefault="008B49E9" w:rsidP="008B49E9">
      <w:pPr>
        <w:numPr>
          <w:ilvl w:val="0"/>
          <w:numId w:val="2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International Labour Organization’s Conve</w:t>
      </w:r>
      <w:r w:rsidRPr="001F4ECA">
        <w:rPr>
          <w:rFonts w:ascii="Times New Roman" w:eastAsiaTheme="minorHAnsi" w:hAnsi="Times New Roman"/>
          <w:i/>
          <w:sz w:val="24"/>
          <w:szCs w:val="24"/>
          <w:lang w:eastAsia="en-US"/>
        </w:rPr>
        <w:t>ntion concerning Vocational Guidance and Vocational Training in the Development of Human Resources</w:t>
      </w:r>
      <w:r w:rsidRPr="001F4ECA">
        <w:rPr>
          <w:rFonts w:ascii="Times New Roman" w:eastAsiaTheme="minorHAnsi" w:hAnsi="Times New Roman"/>
          <w:sz w:val="24"/>
          <w:szCs w:val="24"/>
          <w:lang w:eastAsia="en-US"/>
        </w:rPr>
        <w:t xml:space="preserve"> (ILO Convention 142), including Articles 1, 2, 3 and 4.</w:t>
      </w:r>
    </w:p>
    <w:p w14:paraId="168B7A13" w14:textId="77777777" w:rsidR="008B49E9" w:rsidRPr="001F4ECA" w:rsidRDefault="008B49E9" w:rsidP="008B49E9">
      <w:pPr>
        <w:rPr>
          <w:rFonts w:ascii="Times New Roman" w:eastAsiaTheme="minorHAnsi" w:hAnsi="Times New Roman"/>
          <w:sz w:val="24"/>
          <w:szCs w:val="24"/>
          <w:lang w:eastAsia="en-US"/>
        </w:rPr>
      </w:pPr>
    </w:p>
    <w:p w14:paraId="7FD6F813" w14:textId="63211460"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2 of the ICESCR provides that </w:t>
      </w:r>
      <w:r w:rsidR="000D14BF"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States Parties shall take steps to adopt legislative measures to realise the rights within the ICESCR including, relevantly, the right to work under Article 6(2) which includes ‘technical and vocational guidance and training programmes, policies and techniques to achieve… full and productive employment.’ </w:t>
      </w:r>
    </w:p>
    <w:p w14:paraId="74F7F48C" w14:textId="77777777" w:rsidR="008B49E9" w:rsidRPr="001F4ECA" w:rsidRDefault="008B49E9" w:rsidP="008B49E9">
      <w:pPr>
        <w:rPr>
          <w:rFonts w:ascii="Times New Roman" w:eastAsiaTheme="minorHAnsi" w:hAnsi="Times New Roman"/>
          <w:sz w:val="24"/>
          <w:szCs w:val="24"/>
          <w:lang w:eastAsia="en-US"/>
        </w:rPr>
      </w:pPr>
    </w:p>
    <w:p w14:paraId="676DA49B" w14:textId="050FFED9"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1(1) of </w:t>
      </w:r>
      <w:r w:rsidR="000D14BF"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ILO Convention 122 obliges each Member to ‘declare and pursue… an active policy designed to promote full, productive and freely chosen employment.’ Article</w:t>
      </w:r>
      <w:r w:rsidR="000D14BF" w:rsidRPr="001F4ECA">
        <w:rPr>
          <w:rFonts w:ascii="Times New Roman" w:eastAsiaTheme="minorHAnsi" w:hAnsi="Times New Roman"/>
          <w:sz w:val="24"/>
          <w:szCs w:val="24"/>
          <w:lang w:eastAsia="en-US"/>
        </w:rPr>
        <w:t> </w:t>
      </w:r>
      <w:r w:rsidRPr="001F4ECA">
        <w:rPr>
          <w:rFonts w:ascii="Times New Roman" w:eastAsiaTheme="minorHAnsi" w:hAnsi="Times New Roman"/>
          <w:sz w:val="24"/>
          <w:szCs w:val="24"/>
          <w:lang w:eastAsia="en-US"/>
        </w:rPr>
        <w:t xml:space="preserve">1(2) specifies that this policy shall aim to ensure that (among other things) ‘there is work for all who are available for and seeking work’. Article 2 further requires Members to ‘decide on and keep under review… the measures to be adopted for attaining the objectives </w:t>
      </w:r>
      <w:r w:rsidRPr="001F4ECA">
        <w:rPr>
          <w:rFonts w:ascii="Times New Roman" w:eastAsiaTheme="minorHAnsi" w:hAnsi="Times New Roman"/>
          <w:sz w:val="24"/>
          <w:szCs w:val="24"/>
          <w:lang w:eastAsia="en-US"/>
        </w:rPr>
        <w:lastRenderedPageBreak/>
        <w:t>specified in Article 1’, and to ‘take such steps as may be needed… for the application of these measures’.</w:t>
      </w:r>
    </w:p>
    <w:p w14:paraId="7450B0FC" w14:textId="77777777" w:rsidR="008B49E9" w:rsidRPr="001F4ECA" w:rsidRDefault="008B49E9" w:rsidP="008B49E9">
      <w:pPr>
        <w:rPr>
          <w:rFonts w:ascii="Times New Roman" w:eastAsiaTheme="minorHAnsi" w:hAnsi="Times New Roman"/>
          <w:sz w:val="24"/>
          <w:szCs w:val="24"/>
          <w:lang w:eastAsia="en-US"/>
        </w:rPr>
      </w:pPr>
    </w:p>
    <w:p w14:paraId="56A2BC37" w14:textId="2722B15C"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Article 1(1) of</w:t>
      </w:r>
      <w:r w:rsidR="000D14BF" w:rsidRPr="001F4ECA">
        <w:rPr>
          <w:rFonts w:ascii="Times New Roman" w:eastAsiaTheme="minorHAnsi" w:hAnsi="Times New Roman"/>
          <w:sz w:val="24"/>
          <w:szCs w:val="24"/>
          <w:lang w:eastAsia="en-US"/>
        </w:rPr>
        <w:t xml:space="preserve"> the</w:t>
      </w:r>
      <w:r w:rsidRPr="001F4ECA">
        <w:rPr>
          <w:rFonts w:ascii="Times New Roman" w:eastAsiaTheme="minorHAnsi" w:hAnsi="Times New Roman"/>
          <w:sz w:val="24"/>
          <w:szCs w:val="24"/>
          <w:lang w:eastAsia="en-US"/>
        </w:rPr>
        <w:t xml:space="preserve"> ILO Convention 142 obliges each Member to ‘adopt and develop comprehensive and co-ordinated policies and programmes of vocational guidance and vocational training, closely linked with employment’. Article 1(2) requires the policies and programmes adopted for the purposes of Article 1(1) take due account of matters including ‘employment needs, opportunities and problems, both regional and national’.</w:t>
      </w:r>
    </w:p>
    <w:p w14:paraId="3C1B6FCF" w14:textId="77777777" w:rsidR="008B49E9" w:rsidRPr="001F4ECA" w:rsidRDefault="008B49E9" w:rsidP="008B49E9">
      <w:pPr>
        <w:rPr>
          <w:rFonts w:ascii="Times New Roman" w:eastAsiaTheme="minorHAnsi" w:hAnsi="Times New Roman"/>
          <w:sz w:val="24"/>
          <w:szCs w:val="24"/>
          <w:lang w:eastAsia="en-US"/>
        </w:rPr>
      </w:pPr>
    </w:p>
    <w:p w14:paraId="039D2C46" w14:textId="51569947"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2 of </w:t>
      </w:r>
      <w:r w:rsidR="000D14BF"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ILO Convention 142 obliges each Member to ‘establish and develop open, flexible and complementary systems of general, technical and vocational education, educational and vocational guidance and vocational training, whether these activities take place within the system of formal education or outside it’.</w:t>
      </w:r>
    </w:p>
    <w:p w14:paraId="3FB82543" w14:textId="77777777" w:rsidR="008B49E9" w:rsidRPr="001F4ECA" w:rsidRDefault="008B49E9" w:rsidP="008B49E9">
      <w:pPr>
        <w:rPr>
          <w:rFonts w:ascii="Times New Roman" w:eastAsiaTheme="minorHAnsi" w:hAnsi="Times New Roman"/>
          <w:sz w:val="24"/>
          <w:szCs w:val="24"/>
          <w:lang w:eastAsia="en-US"/>
        </w:rPr>
      </w:pPr>
    </w:p>
    <w:p w14:paraId="167A5F26" w14:textId="6CB447D3"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3(1) of </w:t>
      </w:r>
      <w:r w:rsidR="000D14BF"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ILO Convention 142 obliges each Member to ‘gradually extend its systems of vocational guidance, including continuing employment information, with a view to ensuring that comprehensive information and the broadest possible guidance are available to all children, young persons and adults, including appropriate programmes for all handicapped and disabled persons.’ </w:t>
      </w:r>
    </w:p>
    <w:p w14:paraId="6FA0E62E" w14:textId="77777777" w:rsidR="008B49E9" w:rsidRPr="001F4ECA" w:rsidRDefault="008B49E9" w:rsidP="008B49E9">
      <w:pPr>
        <w:rPr>
          <w:rFonts w:ascii="Times New Roman" w:eastAsiaTheme="minorHAnsi" w:hAnsi="Times New Roman"/>
          <w:sz w:val="24"/>
          <w:szCs w:val="24"/>
          <w:lang w:eastAsia="en-US"/>
        </w:rPr>
      </w:pPr>
    </w:p>
    <w:p w14:paraId="0AAB6774" w14:textId="6AF9197A"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4 of </w:t>
      </w:r>
      <w:r w:rsidR="000D14BF"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ILO Convention 142 obliges each Member to ‘gradually extend, adapt and harmonise its vocational training systems to meet the needs for vocational training throughout life of both young persons and adults in all sectors of the economy and branches of economic activity and at all levels of skill and responsibility’.  </w:t>
      </w:r>
    </w:p>
    <w:p w14:paraId="6CAC809D" w14:textId="77777777" w:rsidR="008B49E9" w:rsidRPr="001F4ECA" w:rsidRDefault="008B49E9" w:rsidP="008B49E9">
      <w:pPr>
        <w:rPr>
          <w:rFonts w:ascii="Times New Roman" w:eastAsiaTheme="minorHAnsi" w:hAnsi="Times New Roman"/>
          <w:sz w:val="24"/>
          <w:szCs w:val="24"/>
          <w:lang w:eastAsia="en-US"/>
        </w:rPr>
      </w:pPr>
    </w:p>
    <w:p w14:paraId="30CEFF12" w14:textId="1D34C494"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By nationally coordinating employment and training solutions, the Local Jobs </w:t>
      </w:r>
      <w:r w:rsidR="000D14BF"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rogram will improve access to vocational education and training and employment opportunities in all Employment Regions across Australia. In doing so, the Local Jobs </w:t>
      </w:r>
      <w:r w:rsidR="000D14BF"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rogram will also promote full, productive and freely chosen employment by broadening the employment opportunities for individuals, as well as helping to address employment needs and regional and industry skills shortages.</w:t>
      </w:r>
    </w:p>
    <w:p w14:paraId="101C2F15" w14:textId="77777777" w:rsidR="008B49E9" w:rsidRPr="001F4ECA" w:rsidRDefault="008B49E9" w:rsidP="008B49E9">
      <w:pPr>
        <w:rPr>
          <w:rFonts w:ascii="Times New Roman" w:eastAsiaTheme="minorHAnsi" w:hAnsi="Times New Roman"/>
          <w:sz w:val="24"/>
          <w:szCs w:val="24"/>
          <w:lang w:eastAsia="en-US"/>
        </w:rPr>
      </w:pPr>
    </w:p>
    <w:p w14:paraId="2446EE6E" w14:textId="77777777" w:rsidR="008B49E9" w:rsidRPr="001F4ECA" w:rsidRDefault="008B49E9" w:rsidP="008B49E9">
      <w:pPr>
        <w:rPr>
          <w:rFonts w:ascii="Times New Roman" w:eastAsiaTheme="minorHAnsi" w:hAnsi="Times New Roman"/>
          <w:i/>
          <w:iCs/>
          <w:sz w:val="24"/>
          <w:szCs w:val="24"/>
          <w:u w:val="single"/>
          <w:lang w:eastAsia="en-US"/>
        </w:rPr>
      </w:pPr>
      <w:r w:rsidRPr="001F4ECA">
        <w:rPr>
          <w:rFonts w:ascii="Times New Roman" w:eastAsiaTheme="minorHAnsi" w:hAnsi="Times New Roman"/>
          <w:i/>
          <w:iCs/>
          <w:sz w:val="24"/>
          <w:szCs w:val="24"/>
          <w:u w:val="single"/>
          <w:lang w:eastAsia="en-US"/>
        </w:rPr>
        <w:t xml:space="preserve">Executive power and express incidental power, including the nationhood aspect </w:t>
      </w:r>
    </w:p>
    <w:p w14:paraId="5035B578" w14:textId="77777777" w:rsidR="008B49E9" w:rsidRPr="001F4ECA" w:rsidRDefault="008B49E9" w:rsidP="008B49E9">
      <w:pPr>
        <w:rPr>
          <w:rFonts w:ascii="Times New Roman" w:eastAsiaTheme="minorHAnsi" w:hAnsi="Times New Roman"/>
          <w:sz w:val="24"/>
          <w:szCs w:val="24"/>
          <w:lang w:eastAsia="en-US"/>
        </w:rPr>
      </w:pPr>
    </w:p>
    <w:p w14:paraId="377FAFAF" w14:textId="77777777"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  </w:t>
      </w:r>
    </w:p>
    <w:p w14:paraId="3883A66A" w14:textId="77777777" w:rsidR="008B49E9" w:rsidRPr="001F4ECA" w:rsidRDefault="008B49E9" w:rsidP="008B49E9">
      <w:pPr>
        <w:rPr>
          <w:rFonts w:ascii="Times New Roman" w:eastAsiaTheme="minorHAnsi" w:hAnsi="Times New Roman"/>
          <w:sz w:val="24"/>
          <w:szCs w:val="24"/>
          <w:lang w:eastAsia="en-US"/>
        </w:rPr>
      </w:pPr>
    </w:p>
    <w:p w14:paraId="2D94022E" w14:textId="2A8E99E1" w:rsidR="008B49E9" w:rsidRPr="001F4ECA" w:rsidRDefault="008B49E9" w:rsidP="008B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w:t>
      </w:r>
      <w:r w:rsidR="000D14BF" w:rsidRPr="001F4ECA">
        <w:rPr>
          <w:rFonts w:ascii="Times New Roman" w:eastAsiaTheme="minorHAnsi" w:hAnsi="Times New Roman"/>
          <w:sz w:val="24"/>
          <w:szCs w:val="24"/>
          <w:lang w:eastAsia="en-US"/>
        </w:rPr>
        <w:t xml:space="preserve"> Local Jobs p</w:t>
      </w:r>
      <w:r w:rsidRPr="001F4ECA">
        <w:rPr>
          <w:rFonts w:ascii="Times New Roman" w:eastAsiaTheme="minorHAnsi" w:hAnsi="Times New Roman"/>
          <w:sz w:val="24"/>
          <w:szCs w:val="24"/>
          <w:lang w:eastAsia="en-US"/>
        </w:rPr>
        <w:t>rogram is part of a broader Commonwealth response to the economic challenges presented by the COVID-19 pandemic. In particular, the program will facilitate the upskilling of job seekers into industries in demand, such as aged care and health care.</w:t>
      </w:r>
    </w:p>
    <w:p w14:paraId="2224781A" w14:textId="77777777" w:rsidR="008B49E9" w:rsidRPr="001F4ECA" w:rsidRDefault="008B49E9" w:rsidP="008B49E9">
      <w:pPr>
        <w:rPr>
          <w:rFonts w:ascii="Times New Roman" w:eastAsiaTheme="minorHAnsi" w:hAnsi="Times New Roman"/>
          <w:sz w:val="24"/>
          <w:szCs w:val="24"/>
          <w:lang w:eastAsia="en-US"/>
        </w:rPr>
      </w:pPr>
    </w:p>
    <w:p w14:paraId="2F5811DD" w14:textId="77777777" w:rsidR="00EC0ABC" w:rsidRPr="001F4ECA" w:rsidRDefault="00EC0ABC" w:rsidP="00EC0ABC">
      <w:pPr>
        <w:rPr>
          <w:rFonts w:ascii="Times New Roman" w:eastAsiaTheme="minorHAnsi" w:hAnsi="Times New Roman"/>
          <w:b/>
          <w:sz w:val="24"/>
          <w:szCs w:val="24"/>
          <w:lang w:eastAsia="en-US"/>
        </w:rPr>
      </w:pPr>
      <w:r w:rsidRPr="001F4ECA">
        <w:rPr>
          <w:rFonts w:ascii="Times New Roman" w:eastAsiaTheme="minorHAnsi" w:hAnsi="Times New Roman"/>
          <w:b/>
          <w:sz w:val="24"/>
          <w:szCs w:val="24"/>
          <w:lang w:eastAsia="en-US"/>
        </w:rPr>
        <w:t>Item 7 – In the appropriate position in Part 4 of Schedule 1AB (table)</w:t>
      </w:r>
    </w:p>
    <w:p w14:paraId="6C204BAB" w14:textId="23444831" w:rsidR="008B49E9" w:rsidRPr="001F4ECA" w:rsidRDefault="008B49E9" w:rsidP="008B49E9">
      <w:pPr>
        <w:rPr>
          <w:rFonts w:ascii="Times New Roman" w:eastAsiaTheme="minorHAnsi" w:hAnsi="Times New Roman"/>
          <w:sz w:val="24"/>
          <w:szCs w:val="24"/>
          <w:lang w:eastAsia="en-US"/>
        </w:rPr>
      </w:pPr>
    </w:p>
    <w:p w14:paraId="0C1D5850" w14:textId="2B5A9D18" w:rsidR="005E2F2E" w:rsidRPr="001F4ECA" w:rsidRDefault="005C613C" w:rsidP="005E2F2E">
      <w:pPr>
        <w:rPr>
          <w:rFonts w:ascii="Times New Roman" w:hAnsi="Times New Roman"/>
          <w:color w:val="000000" w:themeColor="text1"/>
          <w:sz w:val="24"/>
          <w:szCs w:val="24"/>
        </w:rPr>
      </w:pPr>
      <w:r w:rsidRPr="001F4ECA">
        <w:rPr>
          <w:rFonts w:ascii="Times New Roman" w:hAnsi="Times New Roman"/>
          <w:color w:val="000000" w:themeColor="text1"/>
          <w:sz w:val="24"/>
          <w:szCs w:val="24"/>
        </w:rPr>
        <w:t>I</w:t>
      </w:r>
      <w:r w:rsidR="005E2F2E" w:rsidRPr="001F4ECA">
        <w:rPr>
          <w:rFonts w:ascii="Times New Roman" w:hAnsi="Times New Roman"/>
          <w:color w:val="000000" w:themeColor="text1"/>
          <w:sz w:val="24"/>
          <w:szCs w:val="24"/>
        </w:rPr>
        <w:t xml:space="preserve">tem </w:t>
      </w:r>
      <w:r w:rsidRPr="001F4ECA">
        <w:rPr>
          <w:rFonts w:ascii="Times New Roman" w:hAnsi="Times New Roman"/>
          <w:color w:val="000000" w:themeColor="text1"/>
          <w:sz w:val="24"/>
          <w:szCs w:val="24"/>
        </w:rPr>
        <w:t xml:space="preserve">7 </w:t>
      </w:r>
      <w:r w:rsidR="005E2F2E" w:rsidRPr="001F4ECA">
        <w:rPr>
          <w:rFonts w:ascii="Times New Roman" w:hAnsi="Times New Roman"/>
          <w:color w:val="000000" w:themeColor="text1"/>
          <w:sz w:val="24"/>
          <w:szCs w:val="24"/>
        </w:rPr>
        <w:t>adds two new table items to Part 4 of Schedule 1AB to establish legislative authority for government spending on certain activities that will be administered by the department.</w:t>
      </w:r>
    </w:p>
    <w:p w14:paraId="6BA50894" w14:textId="77777777" w:rsidR="005E2F2E" w:rsidRPr="001F4ECA" w:rsidRDefault="005E2F2E" w:rsidP="008B49E9">
      <w:pPr>
        <w:rPr>
          <w:rFonts w:ascii="Times New Roman" w:eastAsiaTheme="minorHAnsi" w:hAnsi="Times New Roman"/>
          <w:sz w:val="24"/>
          <w:szCs w:val="24"/>
          <w:lang w:eastAsia="en-US"/>
        </w:rPr>
      </w:pPr>
    </w:p>
    <w:p w14:paraId="1BDCE699" w14:textId="0EB2DE08" w:rsidR="00EC0ABC" w:rsidRPr="001F4ECA" w:rsidRDefault="00EC0ABC" w:rsidP="00EC0ABC">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lastRenderedPageBreak/>
        <w:t xml:space="preserve">New </w:t>
      </w:r>
      <w:r w:rsidRPr="001F4ECA">
        <w:rPr>
          <w:rFonts w:ascii="Times New Roman" w:eastAsiaTheme="minorHAnsi" w:hAnsi="Times New Roman"/>
          <w:b/>
          <w:sz w:val="24"/>
          <w:szCs w:val="24"/>
          <w:lang w:eastAsia="en-US"/>
        </w:rPr>
        <w:t xml:space="preserve">table item </w:t>
      </w:r>
      <w:r w:rsidR="00AD605A" w:rsidRPr="001F4ECA">
        <w:rPr>
          <w:rFonts w:ascii="Times New Roman" w:eastAsiaTheme="minorHAnsi" w:hAnsi="Times New Roman"/>
          <w:b/>
          <w:sz w:val="24"/>
          <w:szCs w:val="24"/>
          <w:lang w:eastAsia="en-US"/>
        </w:rPr>
        <w:t>498</w:t>
      </w:r>
      <w:r w:rsidRPr="001F4ECA">
        <w:rPr>
          <w:rFonts w:ascii="Times New Roman" w:eastAsiaTheme="minorHAnsi" w:hAnsi="Times New Roman"/>
          <w:sz w:val="24"/>
          <w:szCs w:val="24"/>
          <w:lang w:eastAsia="en-US"/>
        </w:rPr>
        <w:t xml:space="preserve"> establishes legislative authority for government spending on the Digital Skills Cadetship Trial (the Trial) to assist cadets to undertake vocational education and training in digital skills, including education and training provided by employers, and assist cadets with future employment opportunities. </w:t>
      </w:r>
    </w:p>
    <w:p w14:paraId="04872D6A" w14:textId="77777777" w:rsidR="00EC0ABC" w:rsidRPr="001F4ECA" w:rsidRDefault="00EC0ABC" w:rsidP="00EC0ABC">
      <w:pPr>
        <w:rPr>
          <w:rFonts w:ascii="Times New Roman" w:eastAsiaTheme="minorHAnsi" w:hAnsi="Times New Roman"/>
          <w:sz w:val="24"/>
          <w:szCs w:val="24"/>
          <w:lang w:eastAsia="en-US"/>
        </w:rPr>
      </w:pPr>
    </w:p>
    <w:p w14:paraId="50E5E6F7" w14:textId="0F3A8288" w:rsidR="00EC0ABC" w:rsidRPr="001F4ECA" w:rsidRDefault="00EC0ABC" w:rsidP="00EC0ABC">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00C36856" w:rsidRPr="001F4ECA">
        <w:rPr>
          <w:rFonts w:ascii="Times New Roman" w:eastAsiaTheme="minorHAnsi" w:hAnsi="Times New Roman"/>
          <w:sz w:val="24"/>
          <w:szCs w:val="24"/>
          <w:lang w:eastAsia="en-US"/>
        </w:rPr>
        <w:t xml:space="preserve">objective of the </w:t>
      </w:r>
      <w:r w:rsidRPr="001F4ECA">
        <w:rPr>
          <w:rFonts w:ascii="Times New Roman" w:eastAsiaTheme="minorHAnsi" w:hAnsi="Times New Roman"/>
          <w:sz w:val="24"/>
          <w:szCs w:val="24"/>
          <w:lang w:eastAsia="en-US"/>
        </w:rPr>
        <w:t>Trial</w:t>
      </w:r>
      <w:r w:rsidR="00C36856"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is to deliver digital skills in a more flexible and timely manner than is available through current training options. The Trial will include up to four industry-led cadetship pilots to develop new and innovative pathways to increase the number of Australians with high level digital skills. Cadets will each undertake a cadetship that is expected to take around four to six months. The cadetships may then lead to employment or further training for the cadet. The cadetships will be driven by employer demand for skills in emerging and high technology digital fields, which may include (but are not limited to) cybersecurity, advanced manufacturing, data analytics, game design and animation.</w:t>
      </w:r>
    </w:p>
    <w:p w14:paraId="1EDA790F" w14:textId="77777777" w:rsidR="00EC0ABC" w:rsidRPr="001F4ECA" w:rsidRDefault="00EC0ABC" w:rsidP="00EC0ABC">
      <w:pPr>
        <w:rPr>
          <w:rFonts w:ascii="Times New Roman" w:eastAsiaTheme="minorHAnsi" w:hAnsi="Times New Roman"/>
          <w:sz w:val="24"/>
          <w:szCs w:val="24"/>
          <w:lang w:eastAsia="en-US"/>
        </w:rPr>
      </w:pPr>
    </w:p>
    <w:p w14:paraId="3E62FA6F" w14:textId="77777777" w:rsidR="00EC0ABC" w:rsidRPr="001F4ECA" w:rsidRDefault="00EC0ABC" w:rsidP="00EC0ABC">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Trial is intended to target individuals seeking to expand existing skills to transition into new forms of employment or adapt to digitally augmented work roles. It may also potentially target school leavers and graduates looking to commence digital career pathways.  </w:t>
      </w:r>
    </w:p>
    <w:p w14:paraId="547D2BE3" w14:textId="02CA6620" w:rsidR="008B49E9" w:rsidRPr="001F4ECA" w:rsidRDefault="008B49E9" w:rsidP="00F03C1F">
      <w:pPr>
        <w:rPr>
          <w:rFonts w:ascii="Times New Roman" w:eastAsiaTheme="minorHAnsi" w:hAnsi="Times New Roman"/>
          <w:sz w:val="24"/>
          <w:szCs w:val="24"/>
          <w:lang w:eastAsia="en-US"/>
        </w:rPr>
      </w:pPr>
    </w:p>
    <w:p w14:paraId="6876BCDA" w14:textId="066E519B"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Cadetships will comprise structured education and training </w:t>
      </w:r>
      <w:r w:rsidR="0037306B" w:rsidRPr="001F4ECA">
        <w:rPr>
          <w:rFonts w:ascii="Times New Roman" w:eastAsiaTheme="minorHAnsi" w:hAnsi="Times New Roman"/>
          <w:sz w:val="24"/>
          <w:szCs w:val="24"/>
          <w:lang w:eastAsia="en-US"/>
        </w:rPr>
        <w:t>and</w:t>
      </w:r>
      <w:r w:rsidRPr="001F4ECA">
        <w:rPr>
          <w:rFonts w:ascii="Times New Roman" w:eastAsiaTheme="minorHAnsi" w:hAnsi="Times New Roman"/>
          <w:sz w:val="24"/>
          <w:szCs w:val="24"/>
          <w:lang w:eastAsia="en-US"/>
        </w:rPr>
        <w:t xml:space="preserve"> on-the-job learning through an employer-sponsored work placement, alongside facilitated mentoring arrangements for cadets. The education and training </w:t>
      </w:r>
      <w:r w:rsidR="0037306B" w:rsidRPr="001F4ECA">
        <w:rPr>
          <w:rFonts w:ascii="Times New Roman" w:eastAsiaTheme="minorHAnsi" w:hAnsi="Times New Roman"/>
          <w:sz w:val="24"/>
          <w:szCs w:val="24"/>
          <w:lang w:eastAsia="en-US"/>
        </w:rPr>
        <w:t xml:space="preserve">component </w:t>
      </w:r>
      <w:r w:rsidRPr="001F4ECA">
        <w:rPr>
          <w:rFonts w:ascii="Times New Roman" w:eastAsiaTheme="minorHAnsi" w:hAnsi="Times New Roman"/>
          <w:sz w:val="24"/>
          <w:szCs w:val="24"/>
          <w:lang w:eastAsia="en-US"/>
        </w:rPr>
        <w:t>may include a combination of:</w:t>
      </w:r>
    </w:p>
    <w:p w14:paraId="2E37F11B" w14:textId="320C8808" w:rsidR="001549E9" w:rsidRPr="001F4ECA" w:rsidRDefault="001549E9" w:rsidP="001549E9">
      <w:pPr>
        <w:numPr>
          <w:ilvl w:val="0"/>
          <w:numId w:val="34"/>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units within an existing VET qualification that could later be used as credit towards a full qualification;</w:t>
      </w:r>
    </w:p>
    <w:p w14:paraId="33296097" w14:textId="77777777" w:rsidR="001549E9" w:rsidRPr="001F4ECA" w:rsidRDefault="001549E9" w:rsidP="001549E9">
      <w:pPr>
        <w:numPr>
          <w:ilvl w:val="0"/>
          <w:numId w:val="34"/>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VET and higher education units packaged into new forms of micro-credentials; </w:t>
      </w:r>
    </w:p>
    <w:p w14:paraId="556B5B25" w14:textId="0FE550E4" w:rsidR="001549E9" w:rsidRPr="001F4ECA" w:rsidRDefault="001549E9" w:rsidP="001549E9">
      <w:pPr>
        <w:numPr>
          <w:ilvl w:val="0"/>
          <w:numId w:val="34"/>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in</w:t>
      </w:r>
      <w:r w:rsidR="0037306B" w:rsidRPr="001F4ECA">
        <w:rPr>
          <w:rFonts w:ascii="Times New Roman" w:eastAsiaTheme="minorHAnsi" w:hAnsi="Times New Roman"/>
          <w:sz w:val="24"/>
          <w:szCs w:val="24"/>
          <w:lang w:eastAsia="en-US"/>
        </w:rPr>
        <w:t>dustry accredited training (for example,</w:t>
      </w:r>
      <w:r w:rsidRPr="001F4ECA">
        <w:rPr>
          <w:rFonts w:ascii="Times New Roman" w:eastAsiaTheme="minorHAnsi" w:hAnsi="Times New Roman"/>
          <w:sz w:val="24"/>
          <w:szCs w:val="24"/>
          <w:lang w:eastAsia="en-US"/>
        </w:rPr>
        <w:t xml:space="preserve"> training offered by global technology companies); and/or</w:t>
      </w:r>
    </w:p>
    <w:p w14:paraId="12946F90" w14:textId="77777777" w:rsidR="001549E9" w:rsidRPr="001F4ECA" w:rsidRDefault="001549E9" w:rsidP="001549E9">
      <w:pPr>
        <w:numPr>
          <w:ilvl w:val="0"/>
          <w:numId w:val="34"/>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tailored training developed by employers or other parties involved in the pilots.</w:t>
      </w:r>
    </w:p>
    <w:p w14:paraId="6388A7F9" w14:textId="77777777" w:rsidR="001549E9" w:rsidRPr="001F4ECA" w:rsidRDefault="001549E9" w:rsidP="001549E9">
      <w:pPr>
        <w:rPr>
          <w:rFonts w:ascii="Times New Roman" w:eastAsiaTheme="minorHAnsi" w:hAnsi="Times New Roman"/>
          <w:sz w:val="24"/>
          <w:szCs w:val="24"/>
          <w:lang w:eastAsia="en-US"/>
        </w:rPr>
      </w:pPr>
    </w:p>
    <w:p w14:paraId="0CA0F24C"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delivery approach will be refined in consultation with key stakeholders. Contracted organisation/s will be expected to engage directly with employers, industry partners (such as relevant industry peak bodies) and employer networks to:</w:t>
      </w:r>
    </w:p>
    <w:p w14:paraId="157C043C" w14:textId="77777777" w:rsidR="001549E9" w:rsidRPr="001F4ECA" w:rsidRDefault="001549E9" w:rsidP="001549E9">
      <w:pPr>
        <w:numPr>
          <w:ilvl w:val="0"/>
          <w:numId w:val="3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determine the specific digital skills requirements of employers at the local level;</w:t>
      </w:r>
    </w:p>
    <w:p w14:paraId="51BB353B" w14:textId="271B162D" w:rsidR="001549E9" w:rsidRPr="001F4ECA" w:rsidRDefault="001549E9" w:rsidP="001549E9">
      <w:pPr>
        <w:numPr>
          <w:ilvl w:val="0"/>
          <w:numId w:val="3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work with education and training providers alongside employers to develop and deliver structured training programs coupled with on-the-job learning to meet employers’ identified skills requirements;</w:t>
      </w:r>
    </w:p>
    <w:p w14:paraId="15F6048F" w14:textId="77777777" w:rsidR="001549E9" w:rsidRPr="001F4ECA" w:rsidRDefault="001549E9" w:rsidP="001549E9">
      <w:pPr>
        <w:numPr>
          <w:ilvl w:val="0"/>
          <w:numId w:val="3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facilitate mentoring between cadets and experienced personnel; and</w:t>
      </w:r>
    </w:p>
    <w:p w14:paraId="1A19998C" w14:textId="77777777" w:rsidR="001549E9" w:rsidRPr="001F4ECA" w:rsidRDefault="001549E9" w:rsidP="001549E9">
      <w:pPr>
        <w:numPr>
          <w:ilvl w:val="0"/>
          <w:numId w:val="3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build awareness of cadetship opportunities and leverage networks of employers and training providers to attract cadets and employers to the pilot projects. </w:t>
      </w:r>
    </w:p>
    <w:p w14:paraId="63246128" w14:textId="77777777" w:rsidR="001549E9" w:rsidRPr="001F4ECA" w:rsidRDefault="001549E9" w:rsidP="001549E9">
      <w:pPr>
        <w:rPr>
          <w:rFonts w:ascii="Times New Roman" w:eastAsiaTheme="minorHAnsi" w:hAnsi="Times New Roman"/>
          <w:sz w:val="24"/>
          <w:szCs w:val="24"/>
          <w:lang w:eastAsia="en-US"/>
        </w:rPr>
      </w:pPr>
    </w:p>
    <w:p w14:paraId="05B01872"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Delivery organisation/s will be engaged during the second half of 2021. Cadetships will take place throughout 2022 and 2023. It is anticipated employers, who host cadets, will be responsible for employment related costs of cadets (for example, the payment of the cadet’s wages/salary and other entitlements). </w:t>
      </w:r>
    </w:p>
    <w:p w14:paraId="29BC9619" w14:textId="031A5509" w:rsidR="008B49E9" w:rsidRPr="001F4ECA" w:rsidRDefault="008B49E9" w:rsidP="00F03C1F">
      <w:pPr>
        <w:rPr>
          <w:rFonts w:ascii="Times New Roman" w:eastAsiaTheme="minorHAnsi" w:hAnsi="Times New Roman"/>
          <w:sz w:val="24"/>
          <w:szCs w:val="24"/>
          <w:lang w:eastAsia="en-US"/>
        </w:rPr>
      </w:pPr>
    </w:p>
    <w:p w14:paraId="184EA418"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Trial will generate valuable insights and approaches aimed at strengthening connections between employers and education and training providers. It will also identify opportunities to enhance Australia’s national education and training qualifications. This will be achieved through the collection and analysis of data from the delivery of the Trial by the delivery organisation/s. This data will be used in an independent evaluation of the Trial to commence after the pilots have started.</w:t>
      </w:r>
    </w:p>
    <w:p w14:paraId="1BF9FA7F" w14:textId="77777777" w:rsidR="001549E9" w:rsidRPr="001F4ECA" w:rsidRDefault="001549E9" w:rsidP="001549E9">
      <w:pPr>
        <w:rPr>
          <w:rFonts w:ascii="Times New Roman" w:eastAsiaTheme="minorHAnsi" w:hAnsi="Times New Roman"/>
          <w:sz w:val="24"/>
          <w:szCs w:val="24"/>
          <w:lang w:eastAsia="en-US"/>
        </w:rPr>
      </w:pPr>
    </w:p>
    <w:p w14:paraId="600BA271" w14:textId="620CDD6A"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department will manage a procurement process to identify one or more delivery organisations to support delivery of the Trial. Any procurement process will be conducted in a manner consistent with the </w:t>
      </w:r>
      <w:r w:rsidRPr="001F4ECA">
        <w:rPr>
          <w:rFonts w:ascii="Times New Roman" w:eastAsiaTheme="minorHAnsi" w:hAnsi="Times New Roman"/>
          <w:iCs/>
          <w:sz w:val="24"/>
          <w:szCs w:val="24"/>
          <w:lang w:eastAsia="en-US"/>
        </w:rPr>
        <w:t>PGPA Act, the CPRs</w:t>
      </w:r>
      <w:r w:rsidRPr="001F4ECA">
        <w:rPr>
          <w:rFonts w:ascii="Times New Roman" w:eastAsiaTheme="minorHAnsi" w:hAnsi="Times New Roman"/>
          <w:sz w:val="24"/>
          <w:szCs w:val="24"/>
          <w:lang w:eastAsia="en-US"/>
        </w:rPr>
        <w:t xml:space="preserve"> and the department’s Accountable Authority Instructions. </w:t>
      </w:r>
    </w:p>
    <w:p w14:paraId="3963ADC1" w14:textId="77777777" w:rsidR="001549E9" w:rsidRPr="001F4ECA" w:rsidRDefault="001549E9" w:rsidP="001549E9">
      <w:pPr>
        <w:rPr>
          <w:rFonts w:ascii="Times New Roman" w:eastAsiaTheme="minorHAnsi" w:hAnsi="Times New Roman"/>
          <w:sz w:val="24"/>
          <w:szCs w:val="24"/>
          <w:lang w:eastAsia="en-US"/>
        </w:rPr>
      </w:pPr>
    </w:p>
    <w:p w14:paraId="400DA3BF"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Potential providers will need to provide detail of their proposed approach to delivering the Trial as part of the procurement process. This will include detail about the role and function of the employers and employer networks, education and training providers and mentors they intend to engage, as well as evidence that they have the necessary partnerships in place to deliver the Trial. </w:t>
      </w:r>
    </w:p>
    <w:p w14:paraId="664FC009" w14:textId="77777777" w:rsidR="001549E9" w:rsidRPr="001F4ECA" w:rsidRDefault="001549E9" w:rsidP="001549E9">
      <w:pPr>
        <w:rPr>
          <w:rFonts w:ascii="Times New Roman" w:eastAsiaTheme="minorHAnsi" w:hAnsi="Times New Roman"/>
          <w:sz w:val="24"/>
          <w:szCs w:val="24"/>
          <w:lang w:eastAsia="en-US"/>
        </w:rPr>
      </w:pPr>
    </w:p>
    <w:p w14:paraId="1C86F775"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Following the procurement process, final spending decisions will be made by the Secretary of the department or an appropriate delegate. Information relevant to this procurement will be reported on AusTender (</w:t>
      </w:r>
      <w:r w:rsidRPr="001F4ECA">
        <w:rPr>
          <w:rFonts w:ascii="Times New Roman" w:eastAsiaTheme="minorHAnsi" w:hAnsi="Times New Roman"/>
          <w:sz w:val="24"/>
          <w:szCs w:val="24"/>
          <w:u w:val="single"/>
          <w:lang w:eastAsia="en-US"/>
        </w:rPr>
        <w:t>tenders.gov.au</w:t>
      </w:r>
      <w:r w:rsidRPr="001F4ECA">
        <w:rPr>
          <w:rFonts w:ascii="Times New Roman" w:eastAsiaTheme="minorHAnsi" w:hAnsi="Times New Roman"/>
          <w:sz w:val="24"/>
          <w:szCs w:val="24"/>
          <w:lang w:eastAsia="en-US"/>
        </w:rPr>
        <w:t>), consistent with the CPRs.</w:t>
      </w:r>
    </w:p>
    <w:p w14:paraId="243CDC4A" w14:textId="182B7845" w:rsidR="001549E9" w:rsidRPr="001F4ECA" w:rsidRDefault="001549E9" w:rsidP="00F03C1F">
      <w:pPr>
        <w:rPr>
          <w:rFonts w:ascii="Times New Roman" w:eastAsiaTheme="minorHAnsi" w:hAnsi="Times New Roman"/>
          <w:sz w:val="24"/>
          <w:szCs w:val="24"/>
          <w:lang w:eastAsia="en-US"/>
        </w:rPr>
      </w:pPr>
    </w:p>
    <w:p w14:paraId="6D1B8A25" w14:textId="747950CA"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Procurement decisions made in connection with the delivery of the Trial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ARC has recognised that it is justifiable to exclude merits review in relation to decisions of this nature (see paragraphs 4.11 to 4.19 of the guide, </w:t>
      </w:r>
      <w:r w:rsidRPr="001F4ECA">
        <w:rPr>
          <w:rFonts w:ascii="Times New Roman" w:eastAsiaTheme="minorHAnsi" w:hAnsi="Times New Roman"/>
          <w:i/>
          <w:sz w:val="24"/>
          <w:szCs w:val="24"/>
          <w:lang w:eastAsia="en-US"/>
        </w:rPr>
        <w:t>What decisions should be subject to merit review?</w:t>
      </w:r>
      <w:r w:rsidRPr="001F4ECA">
        <w:rPr>
          <w:rFonts w:ascii="Times New Roman" w:eastAsiaTheme="minorHAnsi" w:hAnsi="Times New Roman"/>
          <w:sz w:val="24"/>
          <w:szCs w:val="24"/>
          <w:lang w:eastAsia="en-US"/>
        </w:rPr>
        <w:t xml:space="preserve">). </w:t>
      </w:r>
    </w:p>
    <w:p w14:paraId="548F8E79" w14:textId="77777777" w:rsidR="001549E9" w:rsidRPr="001F4ECA" w:rsidRDefault="001549E9" w:rsidP="001549E9">
      <w:pPr>
        <w:rPr>
          <w:rFonts w:ascii="Times New Roman" w:eastAsiaTheme="minorHAnsi" w:hAnsi="Times New Roman"/>
          <w:sz w:val="24"/>
          <w:szCs w:val="24"/>
          <w:lang w:eastAsia="en-US"/>
        </w:rPr>
      </w:pPr>
    </w:p>
    <w:p w14:paraId="22599A7D"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re-making of a procurement decision after entry into a contractual arrangement with a successful provider is legally complex, impractical, and could result in delays to providing services. </w:t>
      </w:r>
    </w:p>
    <w:p w14:paraId="628881C7" w14:textId="77777777" w:rsidR="001549E9" w:rsidRPr="001F4ECA" w:rsidRDefault="001549E9" w:rsidP="001549E9">
      <w:pPr>
        <w:rPr>
          <w:rFonts w:ascii="Times New Roman" w:eastAsiaTheme="minorHAnsi" w:hAnsi="Times New Roman"/>
          <w:sz w:val="24"/>
          <w:szCs w:val="24"/>
          <w:lang w:eastAsia="en-US"/>
        </w:rPr>
      </w:pPr>
    </w:p>
    <w:p w14:paraId="29E79D5D"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i/>
          <w:iCs/>
          <w:sz w:val="24"/>
          <w:szCs w:val="24"/>
          <w:lang w:eastAsia="en-US"/>
        </w:rPr>
        <w:t>Government Procurement (Judicial Review) Act 2018</w:t>
      </w:r>
      <w:r w:rsidRPr="001F4ECA">
        <w:rPr>
          <w:rFonts w:ascii="Times New Roman" w:eastAsiaTheme="minorHAnsi" w:hAnsi="Times New Roman"/>
          <w:sz w:val="24"/>
          <w:szCs w:val="24"/>
          <w:lang w:eastAsia="en-US"/>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358CCC1B" w14:textId="77777777" w:rsidR="001549E9" w:rsidRPr="001F4ECA" w:rsidRDefault="001549E9" w:rsidP="001549E9">
      <w:pPr>
        <w:rPr>
          <w:rFonts w:ascii="Times New Roman" w:eastAsiaTheme="minorHAnsi" w:hAnsi="Times New Roman"/>
          <w:sz w:val="24"/>
          <w:szCs w:val="24"/>
          <w:lang w:eastAsia="en-US"/>
        </w:rPr>
      </w:pPr>
    </w:p>
    <w:p w14:paraId="616B173C" w14:textId="7850EB8B" w:rsidR="001549E9" w:rsidRPr="001F4ECA" w:rsidRDefault="00C41C61"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Throughout May and June 2021, the department consulted with a number of key stakeholders, including peak industry bodies, digital employers, and state and territory government departments. For example, discussions have taken place with the Business Council of Australia and </w:t>
      </w:r>
      <w:r w:rsidR="000B5E6D"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Digital Skills Organisation. Stakeholders have expressed support for the Trial and noted alignment with their own objectives to develop, upskill and re-skill individuals with the capabilities needed for digital careers. </w:t>
      </w:r>
      <w:r w:rsidR="001549E9" w:rsidRPr="001F4ECA">
        <w:rPr>
          <w:rFonts w:ascii="Times New Roman" w:eastAsiaTheme="minorHAnsi" w:hAnsi="Times New Roman"/>
          <w:sz w:val="24"/>
          <w:szCs w:val="24"/>
          <w:lang w:eastAsia="en-US"/>
        </w:rPr>
        <w:t>Following the procurement process for delivery of the Trial, the contracted organisation/s will also be required to engage extensively with industry and employers to design and deliver the pilots.</w:t>
      </w:r>
    </w:p>
    <w:p w14:paraId="646731F6" w14:textId="77777777" w:rsidR="001549E9" w:rsidRPr="001F4ECA" w:rsidRDefault="001549E9" w:rsidP="001549E9">
      <w:pPr>
        <w:rPr>
          <w:rFonts w:ascii="Times New Roman" w:eastAsiaTheme="minorHAnsi" w:hAnsi="Times New Roman"/>
          <w:sz w:val="24"/>
          <w:szCs w:val="24"/>
          <w:lang w:eastAsia="en-US"/>
        </w:rPr>
      </w:pPr>
    </w:p>
    <w:p w14:paraId="65F48A0C"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Funding for the Trial of $10.7 million over three years from 2021-22 was included in the 2021-22 Budget under the measure ‘Digital Economy Strategy’.</w:t>
      </w:r>
      <w:r w:rsidRPr="001F4ECA">
        <w:rPr>
          <w:rFonts w:ascii="Times New Roman" w:eastAsiaTheme="minorHAnsi" w:hAnsi="Times New Roman"/>
          <w:iCs/>
          <w:sz w:val="24"/>
          <w:szCs w:val="24"/>
          <w:lang w:eastAsia="en-US"/>
        </w:rPr>
        <w:t xml:space="preserve"> Details are set out in </w:t>
      </w:r>
      <w:r w:rsidRPr="001F4ECA">
        <w:rPr>
          <w:rFonts w:ascii="Times New Roman" w:eastAsiaTheme="minorHAnsi" w:hAnsi="Times New Roman"/>
          <w:i/>
          <w:iCs/>
          <w:sz w:val="24"/>
          <w:szCs w:val="24"/>
          <w:lang w:eastAsia="en-US"/>
        </w:rPr>
        <w:t>Budget 2021-22, Budget Measures, Budget Paper No. 2 2021-22</w:t>
      </w:r>
      <w:r w:rsidRPr="001F4ECA">
        <w:rPr>
          <w:rFonts w:ascii="Times New Roman" w:eastAsiaTheme="minorHAnsi" w:hAnsi="Times New Roman"/>
          <w:iCs/>
          <w:sz w:val="24"/>
          <w:szCs w:val="24"/>
          <w:lang w:eastAsia="en-US"/>
        </w:rPr>
        <w:t xml:space="preserve"> at page 75.</w:t>
      </w:r>
    </w:p>
    <w:p w14:paraId="7160ECD6" w14:textId="77777777" w:rsidR="001549E9" w:rsidRPr="001F4ECA" w:rsidRDefault="001549E9" w:rsidP="001549E9">
      <w:pPr>
        <w:rPr>
          <w:rFonts w:ascii="Times New Roman" w:eastAsiaTheme="minorHAnsi" w:hAnsi="Times New Roman"/>
          <w:sz w:val="24"/>
          <w:szCs w:val="24"/>
          <w:lang w:eastAsia="en-US"/>
        </w:rPr>
      </w:pPr>
    </w:p>
    <w:p w14:paraId="2E6ABEF6" w14:textId="46F25B3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Funding for this item will come from the Digital Economy Strategy</w:t>
      </w:r>
      <w:r w:rsidR="000B5E6D" w:rsidRPr="001F4ECA">
        <w:rPr>
          <w:rFonts w:ascii="Times New Roman" w:eastAsiaTheme="minorHAnsi" w:hAnsi="Times New Roman"/>
          <w:sz w:val="24"/>
          <w:szCs w:val="24"/>
          <w:lang w:eastAsia="en-US"/>
        </w:rPr>
        <w:t xml:space="preserve"> under</w:t>
      </w:r>
      <w:r w:rsidRPr="001F4ECA">
        <w:rPr>
          <w:rFonts w:ascii="Times New Roman" w:eastAsiaTheme="minorHAnsi" w:hAnsi="Times New Roman"/>
          <w:sz w:val="24"/>
          <w:szCs w:val="24"/>
          <w:lang w:eastAsia="en-US"/>
        </w:rPr>
        <w:t xml:space="preserve"> Program 3.1: Building Skills and Capability, which is part of Outcome 3, and Program 4.1</w:t>
      </w:r>
      <w:r w:rsidR="000B5E6D" w:rsidRPr="001F4ECA">
        <w:rPr>
          <w:rFonts w:ascii="Times New Roman" w:eastAsiaTheme="minorHAnsi" w:hAnsi="Times New Roman"/>
          <w:sz w:val="24"/>
          <w:szCs w:val="24"/>
          <w:lang w:eastAsia="en-US"/>
        </w:rPr>
        <w:t>: Employment Services</w:t>
      </w:r>
      <w:r w:rsidRPr="001F4ECA">
        <w:rPr>
          <w:rFonts w:ascii="Times New Roman" w:eastAsiaTheme="minorHAnsi" w:hAnsi="Times New Roman"/>
          <w:sz w:val="24"/>
          <w:szCs w:val="24"/>
          <w:lang w:eastAsia="en-US"/>
        </w:rPr>
        <w:t xml:space="preserve">, which is part of Outcome 4. Details are set out in the </w:t>
      </w:r>
      <w:r w:rsidRPr="001F4ECA">
        <w:rPr>
          <w:rFonts w:ascii="Times New Roman" w:eastAsiaTheme="minorHAnsi" w:hAnsi="Times New Roman"/>
          <w:i/>
          <w:sz w:val="24"/>
          <w:szCs w:val="24"/>
          <w:lang w:eastAsia="en-US"/>
        </w:rPr>
        <w:t xml:space="preserve">Portfolio Budget Statements </w:t>
      </w:r>
      <w:r w:rsidRPr="001F4ECA">
        <w:rPr>
          <w:rFonts w:ascii="Times New Roman" w:eastAsiaTheme="minorHAnsi" w:hAnsi="Times New Roman"/>
          <w:i/>
          <w:sz w:val="24"/>
          <w:szCs w:val="24"/>
          <w:lang w:eastAsia="en-US"/>
        </w:rPr>
        <w:lastRenderedPageBreak/>
        <w:t>2021-22, Budget Related Paper No. 1.4, Education, Skills and Employment Portfolio</w:t>
      </w:r>
      <w:r w:rsidRPr="001F4ECA">
        <w:rPr>
          <w:rFonts w:ascii="Times New Roman" w:eastAsiaTheme="minorHAnsi" w:hAnsi="Times New Roman"/>
          <w:sz w:val="24"/>
          <w:szCs w:val="24"/>
          <w:lang w:eastAsia="en-US"/>
        </w:rPr>
        <w:t xml:space="preserve"> at pages 17 and 26.</w:t>
      </w:r>
    </w:p>
    <w:p w14:paraId="6C78F581" w14:textId="77777777" w:rsidR="005E2F2E" w:rsidRPr="001F4ECA" w:rsidRDefault="005E2F2E" w:rsidP="001549E9">
      <w:pPr>
        <w:rPr>
          <w:rFonts w:ascii="Times New Roman" w:eastAsiaTheme="minorHAnsi" w:hAnsi="Times New Roman"/>
          <w:sz w:val="24"/>
          <w:szCs w:val="24"/>
          <w:lang w:eastAsia="en-US"/>
        </w:rPr>
      </w:pPr>
    </w:p>
    <w:p w14:paraId="600EB532" w14:textId="44CFA1A4"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Noting that it is not a comprehensive statement of relevant constitutional considerations, the</w:t>
      </w:r>
    </w:p>
    <w:p w14:paraId="2F4A2E5C"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objective of the item references the external affairs power (section 51(xxix)) of the Constitution.</w:t>
      </w:r>
    </w:p>
    <w:p w14:paraId="4BE1482D" w14:textId="77777777" w:rsidR="001549E9" w:rsidRPr="001F4ECA" w:rsidRDefault="001549E9" w:rsidP="001549E9">
      <w:pPr>
        <w:rPr>
          <w:rFonts w:ascii="Times New Roman" w:eastAsiaTheme="minorHAnsi" w:hAnsi="Times New Roman"/>
          <w:i/>
          <w:sz w:val="24"/>
          <w:szCs w:val="24"/>
          <w:u w:val="single"/>
          <w:lang w:eastAsia="en-US"/>
        </w:rPr>
      </w:pPr>
    </w:p>
    <w:p w14:paraId="1C9ACE80" w14:textId="77777777" w:rsidR="001549E9" w:rsidRPr="001F4ECA" w:rsidRDefault="001549E9" w:rsidP="001549E9">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External affairs power</w:t>
      </w:r>
    </w:p>
    <w:p w14:paraId="79F0CA68" w14:textId="77777777" w:rsidR="001549E9" w:rsidRPr="001F4ECA" w:rsidRDefault="001549E9" w:rsidP="001549E9">
      <w:pPr>
        <w:rPr>
          <w:rFonts w:ascii="Times New Roman" w:eastAsiaTheme="minorHAnsi" w:hAnsi="Times New Roman"/>
          <w:sz w:val="24"/>
          <w:szCs w:val="24"/>
          <w:lang w:eastAsia="en-US"/>
        </w:rPr>
      </w:pPr>
    </w:p>
    <w:p w14:paraId="2591E3AE"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Section 51(xxix) of the Constitution empowers the Parliament to make laws with respect to ‘external affairs’. The external affairs power supports legislation implementing Australia’s international obligations under treaties to which it is a party. </w:t>
      </w:r>
    </w:p>
    <w:p w14:paraId="1DCC8C2A" w14:textId="5200B3D3" w:rsidR="001549E9" w:rsidRPr="001F4ECA" w:rsidRDefault="001549E9" w:rsidP="00F03C1F">
      <w:pPr>
        <w:rPr>
          <w:rFonts w:ascii="Times New Roman" w:eastAsiaTheme="minorHAnsi" w:hAnsi="Times New Roman"/>
          <w:sz w:val="24"/>
          <w:szCs w:val="24"/>
          <w:lang w:eastAsia="en-US"/>
        </w:rPr>
      </w:pPr>
    </w:p>
    <w:p w14:paraId="2611C6F9" w14:textId="777777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Australia has obligations relating to the following conventions:</w:t>
      </w:r>
    </w:p>
    <w:p w14:paraId="130B0471" w14:textId="77777777" w:rsidR="001549E9" w:rsidRPr="001F4ECA" w:rsidRDefault="001549E9" w:rsidP="001549E9">
      <w:pPr>
        <w:numPr>
          <w:ilvl w:val="0"/>
          <w:numId w:val="2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i/>
          <w:sz w:val="24"/>
          <w:szCs w:val="24"/>
          <w:lang w:eastAsia="en-US"/>
        </w:rPr>
        <w:t>International Covenant on Economic, Social and Cultural Rights</w:t>
      </w:r>
      <w:r w:rsidRPr="001F4ECA">
        <w:rPr>
          <w:rFonts w:ascii="Times New Roman" w:eastAsiaTheme="minorHAnsi" w:hAnsi="Times New Roman"/>
          <w:sz w:val="24"/>
          <w:szCs w:val="24"/>
          <w:lang w:eastAsia="en-US"/>
        </w:rPr>
        <w:t xml:space="preserve"> (ICESCR), including Articles 2 and 6; </w:t>
      </w:r>
    </w:p>
    <w:p w14:paraId="28B62F8E" w14:textId="77777777" w:rsidR="001549E9" w:rsidRPr="001F4ECA" w:rsidRDefault="001549E9" w:rsidP="001549E9">
      <w:pPr>
        <w:numPr>
          <w:ilvl w:val="0"/>
          <w:numId w:val="2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International Labour Organization’s </w:t>
      </w:r>
      <w:r w:rsidRPr="001F4ECA">
        <w:rPr>
          <w:rFonts w:ascii="Times New Roman" w:eastAsiaTheme="minorHAnsi" w:hAnsi="Times New Roman"/>
          <w:i/>
          <w:sz w:val="24"/>
          <w:szCs w:val="24"/>
          <w:lang w:eastAsia="en-US"/>
        </w:rPr>
        <w:t>Convention concerning Employment Policy</w:t>
      </w:r>
      <w:r w:rsidRPr="001F4ECA">
        <w:rPr>
          <w:rFonts w:ascii="Times New Roman" w:eastAsiaTheme="minorHAnsi" w:hAnsi="Times New Roman"/>
          <w:sz w:val="24"/>
          <w:szCs w:val="24"/>
          <w:lang w:eastAsia="en-US"/>
        </w:rPr>
        <w:t xml:space="preserve"> (ILO Convention 122), including Articles 1 and 2; and</w:t>
      </w:r>
    </w:p>
    <w:p w14:paraId="704B1F84" w14:textId="77777777" w:rsidR="001549E9" w:rsidRPr="001F4ECA" w:rsidRDefault="001549E9" w:rsidP="001549E9">
      <w:pPr>
        <w:numPr>
          <w:ilvl w:val="0"/>
          <w:numId w:val="25"/>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International Labour Organization’s </w:t>
      </w:r>
      <w:r w:rsidRPr="001F4ECA">
        <w:rPr>
          <w:rFonts w:ascii="Times New Roman" w:eastAsiaTheme="minorHAnsi" w:hAnsi="Times New Roman"/>
          <w:i/>
          <w:sz w:val="24"/>
          <w:szCs w:val="24"/>
          <w:lang w:eastAsia="en-US"/>
        </w:rPr>
        <w:t>Convention concerning Vocational Guidance and Vocational Training in the Development of Human Resources</w:t>
      </w:r>
      <w:r w:rsidRPr="001F4ECA">
        <w:rPr>
          <w:rFonts w:ascii="Times New Roman" w:eastAsiaTheme="minorHAnsi" w:hAnsi="Times New Roman"/>
          <w:sz w:val="24"/>
          <w:szCs w:val="24"/>
          <w:lang w:eastAsia="en-US"/>
        </w:rPr>
        <w:t xml:space="preserve"> (ILO Convention 142), including Articles 1, 2 and 4.</w:t>
      </w:r>
    </w:p>
    <w:p w14:paraId="0D050F5B" w14:textId="77777777" w:rsidR="001549E9" w:rsidRPr="001F4ECA" w:rsidRDefault="001549E9" w:rsidP="001549E9">
      <w:pPr>
        <w:rPr>
          <w:rFonts w:ascii="Times New Roman" w:eastAsiaTheme="minorHAnsi" w:hAnsi="Times New Roman"/>
          <w:sz w:val="24"/>
          <w:szCs w:val="24"/>
          <w:lang w:eastAsia="en-US"/>
        </w:rPr>
      </w:pPr>
    </w:p>
    <w:p w14:paraId="162AC80A" w14:textId="2B44B85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2 of the ICESCR requires Australia to take steps to achieve the ‘full realization’ of the rights enumerated within </w:t>
      </w:r>
      <w:r w:rsidR="00FF6E90"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ICESCR, including the right to work guaranteed by Article 6 of </w:t>
      </w:r>
      <w:r w:rsidR="00FF6E90"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ICESCR through the provision of ‘technical and vocational guidance and training programmes, policies and techniques’.</w:t>
      </w:r>
    </w:p>
    <w:p w14:paraId="0248E108" w14:textId="77777777" w:rsidR="001549E9" w:rsidRPr="001F4ECA" w:rsidRDefault="001549E9" w:rsidP="001549E9">
      <w:pPr>
        <w:rPr>
          <w:rFonts w:ascii="Times New Roman" w:eastAsiaTheme="minorHAnsi" w:hAnsi="Times New Roman"/>
          <w:sz w:val="24"/>
          <w:szCs w:val="24"/>
          <w:lang w:eastAsia="en-US"/>
        </w:rPr>
      </w:pPr>
    </w:p>
    <w:p w14:paraId="40EDA8A1" w14:textId="50CBC377"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1(1) of </w:t>
      </w:r>
      <w:r w:rsidR="00FF6E90"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ILO Convention 122 requires Australia to pursue ‘an active policy designed to promote full, productive and freely chosen employment.’ Article 1(2) specifies that this policy shall aim to ensure that (among other things) ‘there is work for all who are available for and seeking work’. Article 2 further requires Members to ‘decide on and keep under review… the measures adopted for attaining the objectives specified in Article 1’, and to ‘take such steps as may be needed… for the application of these measures’.</w:t>
      </w:r>
    </w:p>
    <w:p w14:paraId="786AEF38" w14:textId="77777777" w:rsidR="001549E9" w:rsidRPr="001F4ECA" w:rsidRDefault="001549E9" w:rsidP="001549E9">
      <w:pPr>
        <w:rPr>
          <w:rFonts w:ascii="Times New Roman" w:eastAsiaTheme="minorHAnsi" w:hAnsi="Times New Roman"/>
          <w:sz w:val="24"/>
          <w:szCs w:val="24"/>
          <w:lang w:eastAsia="en-US"/>
        </w:rPr>
      </w:pPr>
    </w:p>
    <w:p w14:paraId="39683A2B" w14:textId="14DC56B8"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1(1) of </w:t>
      </w:r>
      <w:r w:rsidR="00FF6E90"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ILO Convention 142 requires Australia to develop and adopt ‘comprehensive and co-ordinated policies and programmes of vocational training’. Article 2 requires Australia to establish and develop ‘open, flexible and complementary systems of general, technical and vocational education, educational and vocational guidance and vocational training’. Article 4 requires Australia to gradually extend, adapt and harmonise ‘vocational training systems to meet the needs for vocational training throughout life of both young persons and adults in all sectors of the economy and branches of economic activity and at all levels of skill and responsibility’.</w:t>
      </w:r>
    </w:p>
    <w:p w14:paraId="6E8C6327" w14:textId="77777777" w:rsidR="001549E9" w:rsidRPr="001F4ECA" w:rsidRDefault="001549E9" w:rsidP="001549E9">
      <w:pPr>
        <w:rPr>
          <w:rFonts w:ascii="Times New Roman" w:eastAsiaTheme="minorHAnsi" w:hAnsi="Times New Roman"/>
          <w:sz w:val="24"/>
          <w:szCs w:val="24"/>
          <w:lang w:eastAsia="en-US"/>
        </w:rPr>
      </w:pPr>
    </w:p>
    <w:p w14:paraId="7FFF7B40" w14:textId="1AC4BFB6" w:rsidR="001549E9" w:rsidRPr="001F4ECA" w:rsidRDefault="001549E9" w:rsidP="001549E9">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Funding the Trial would provide target groups, such as school leavers and people seeking a career change or new employment opportunities, with increased access to on-the-job training with employers in emerging and high technology digital fields. This is ultimately aimed at assisting these groups to take up employment opportunities in the digital field. Additionally, the Trial will generate valuable insights and approaches to strengthening connections between industry and training providers and identify opportunities to enhance Australia’s national education and training qualification system.</w:t>
      </w:r>
    </w:p>
    <w:p w14:paraId="791ACB8B" w14:textId="77777777" w:rsidR="001549E9" w:rsidRPr="001F4ECA" w:rsidRDefault="001549E9" w:rsidP="00F03C1F">
      <w:pPr>
        <w:rPr>
          <w:rFonts w:ascii="Times New Roman" w:eastAsiaTheme="minorHAnsi" w:hAnsi="Times New Roman"/>
          <w:sz w:val="24"/>
          <w:szCs w:val="24"/>
          <w:lang w:eastAsia="en-US"/>
        </w:rPr>
      </w:pPr>
    </w:p>
    <w:p w14:paraId="2C7B57E9" w14:textId="7E9A7715" w:rsidR="003D6DAB" w:rsidRPr="001F4ECA" w:rsidRDefault="003D6DAB" w:rsidP="003D6DAB">
      <w:p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 xml:space="preserve">New </w:t>
      </w:r>
      <w:r w:rsidRPr="001F4ECA">
        <w:rPr>
          <w:rFonts w:ascii="Times New Roman" w:eastAsiaTheme="minorHAnsi" w:hAnsi="Times New Roman"/>
          <w:b/>
          <w:iCs/>
          <w:sz w:val="24"/>
          <w:szCs w:val="24"/>
          <w:lang w:eastAsia="en-US"/>
        </w:rPr>
        <w:t xml:space="preserve">table item </w:t>
      </w:r>
      <w:r w:rsidR="00F61861" w:rsidRPr="001F4ECA">
        <w:rPr>
          <w:rFonts w:ascii="Times New Roman" w:eastAsiaTheme="minorHAnsi" w:hAnsi="Times New Roman"/>
          <w:b/>
          <w:iCs/>
          <w:sz w:val="24"/>
          <w:szCs w:val="24"/>
          <w:lang w:eastAsia="en-US"/>
        </w:rPr>
        <w:t>499</w:t>
      </w:r>
      <w:r w:rsidRPr="001F4ECA">
        <w:rPr>
          <w:rFonts w:ascii="Times New Roman" w:eastAsiaTheme="minorHAnsi" w:hAnsi="Times New Roman"/>
          <w:iCs/>
          <w:sz w:val="24"/>
          <w:szCs w:val="24"/>
          <w:lang w:eastAsia="en-US"/>
        </w:rPr>
        <w:t xml:space="preserve"> establishes legislative authority for government spending on the Career Revive Initiative Expansion (the program), which</w:t>
      </w:r>
      <w:r w:rsidRPr="001F4ECA">
        <w:rPr>
          <w:rFonts w:ascii="Times New Roman" w:eastAsiaTheme="minorHAnsi" w:hAnsi="Times New Roman"/>
          <w:iCs/>
          <w:sz w:val="24"/>
          <w:szCs w:val="24"/>
          <w:lang w:val="en-GB" w:eastAsia="en-US"/>
        </w:rPr>
        <w:t xml:space="preserve"> will support up to 60 medium to large businesses to develop an employer action plan to address barriers to women’s full and equal participation in the employer’s workforce, and to promote such full and equal participation</w:t>
      </w:r>
      <w:r w:rsidRPr="001F4ECA">
        <w:rPr>
          <w:rFonts w:ascii="Times New Roman" w:eastAsiaTheme="minorHAnsi" w:hAnsi="Times New Roman"/>
          <w:iCs/>
          <w:sz w:val="24"/>
          <w:szCs w:val="24"/>
          <w:lang w:eastAsia="en-US"/>
        </w:rPr>
        <w:t>.</w:t>
      </w:r>
    </w:p>
    <w:p w14:paraId="12E850CD" w14:textId="77777777" w:rsidR="003D6DAB" w:rsidRPr="001F4ECA" w:rsidRDefault="003D6DAB" w:rsidP="003D6DAB">
      <w:pPr>
        <w:rPr>
          <w:rFonts w:ascii="Times New Roman" w:eastAsiaTheme="minorHAnsi" w:hAnsi="Times New Roman"/>
          <w:iCs/>
          <w:sz w:val="24"/>
          <w:szCs w:val="24"/>
          <w:lang w:eastAsia="en-US"/>
        </w:rPr>
      </w:pPr>
    </w:p>
    <w:p w14:paraId="206F0687" w14:textId="3051F052" w:rsidR="00083C8A" w:rsidRPr="001F4ECA" w:rsidRDefault="003D6DAB" w:rsidP="003D6DAB">
      <w:pPr>
        <w:rPr>
          <w:rFonts w:ascii="Times New Roman" w:eastAsiaTheme="minorHAnsi" w:hAnsi="Times New Roman"/>
          <w:sz w:val="24"/>
          <w:szCs w:val="24"/>
          <w:lang w:eastAsia="en-US"/>
        </w:rPr>
      </w:pPr>
      <w:r w:rsidRPr="001F4ECA">
        <w:rPr>
          <w:rFonts w:ascii="Times New Roman" w:eastAsiaTheme="minorHAnsi" w:hAnsi="Times New Roman"/>
          <w:iCs/>
          <w:sz w:val="24"/>
          <w:szCs w:val="24"/>
          <w:lang w:eastAsia="en-US"/>
        </w:rPr>
        <w:t>The program builds upon the ‘Career Revive Initiative for Regional Women – supporting women to continue their careers after caring-related breaks’, which started as a pilot in July</w:t>
      </w:r>
      <w:r w:rsidR="00671878" w:rsidRPr="001F4ECA">
        <w:rPr>
          <w:rFonts w:ascii="Times New Roman" w:eastAsiaTheme="minorHAnsi" w:hAnsi="Times New Roman"/>
          <w:iCs/>
          <w:sz w:val="24"/>
          <w:szCs w:val="24"/>
          <w:lang w:eastAsia="en-US"/>
        </w:rPr>
        <w:t> </w:t>
      </w:r>
      <w:r w:rsidRPr="001F4ECA">
        <w:rPr>
          <w:rFonts w:ascii="Times New Roman" w:eastAsiaTheme="minorHAnsi" w:hAnsi="Times New Roman"/>
          <w:iCs/>
          <w:sz w:val="24"/>
          <w:szCs w:val="24"/>
          <w:lang w:eastAsia="en-US"/>
        </w:rPr>
        <w:t xml:space="preserve">2019. The program is part of a broader range of measures </w:t>
      </w:r>
      <w:r w:rsidR="00671878" w:rsidRPr="001F4ECA">
        <w:rPr>
          <w:rFonts w:ascii="Times New Roman" w:eastAsiaTheme="minorHAnsi" w:hAnsi="Times New Roman"/>
          <w:iCs/>
          <w:sz w:val="24"/>
          <w:szCs w:val="24"/>
          <w:lang w:eastAsia="en-US"/>
        </w:rPr>
        <w:t>under</w:t>
      </w:r>
      <w:r w:rsidRPr="001F4ECA">
        <w:rPr>
          <w:rFonts w:ascii="Times New Roman" w:eastAsiaTheme="minorHAnsi" w:hAnsi="Times New Roman"/>
          <w:iCs/>
          <w:sz w:val="24"/>
          <w:szCs w:val="24"/>
          <w:lang w:eastAsia="en-US"/>
        </w:rPr>
        <w:t xml:space="preserve"> the Women’s Economic Security Package aimed at increasing women’s workforce participation and supporting women’s economic independence.</w:t>
      </w:r>
    </w:p>
    <w:p w14:paraId="39019481" w14:textId="3B38A054" w:rsidR="003D6DAB" w:rsidRPr="001F4ECA" w:rsidRDefault="003D6DAB" w:rsidP="00F03C1F">
      <w:pPr>
        <w:rPr>
          <w:rFonts w:ascii="Times New Roman" w:eastAsiaTheme="minorHAnsi" w:hAnsi="Times New Roman"/>
          <w:sz w:val="24"/>
          <w:szCs w:val="24"/>
          <w:lang w:eastAsia="en-US"/>
        </w:rPr>
      </w:pPr>
    </w:p>
    <w:p w14:paraId="596CFE63" w14:textId="0C14D0B3" w:rsidR="005A6727" w:rsidRPr="001F4ECA" w:rsidRDefault="005A6727" w:rsidP="005A6727">
      <w:p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On 1 December 2020, the then Minister for Employment, Skills, Small and Family Business, Senator the Hon Michaelia Cash</w:t>
      </w:r>
      <w:r w:rsidR="00671878" w:rsidRPr="001F4ECA">
        <w:rPr>
          <w:rFonts w:ascii="Times New Roman" w:eastAsiaTheme="minorHAnsi" w:hAnsi="Times New Roman"/>
          <w:iCs/>
          <w:sz w:val="24"/>
          <w:szCs w:val="24"/>
          <w:lang w:eastAsia="en-US"/>
        </w:rPr>
        <w:t>,</w:t>
      </w:r>
      <w:r w:rsidRPr="001F4ECA">
        <w:rPr>
          <w:rFonts w:ascii="Times New Roman" w:eastAsiaTheme="minorHAnsi" w:hAnsi="Times New Roman"/>
          <w:iCs/>
          <w:sz w:val="24"/>
          <w:szCs w:val="24"/>
          <w:lang w:eastAsia="en-US"/>
        </w:rPr>
        <w:t xml:space="preserve"> and the Minister for Women, Senator</w:t>
      </w:r>
      <w:r w:rsidR="00671878" w:rsidRPr="001F4ECA">
        <w:rPr>
          <w:rFonts w:ascii="Times New Roman" w:eastAsiaTheme="minorHAnsi" w:hAnsi="Times New Roman"/>
          <w:iCs/>
          <w:sz w:val="24"/>
          <w:szCs w:val="24"/>
          <w:lang w:eastAsia="en-US"/>
        </w:rPr>
        <w:t> </w:t>
      </w:r>
      <w:r w:rsidRPr="001F4ECA">
        <w:rPr>
          <w:rFonts w:ascii="Times New Roman" w:eastAsiaTheme="minorHAnsi" w:hAnsi="Times New Roman"/>
          <w:iCs/>
          <w:sz w:val="24"/>
          <w:szCs w:val="24"/>
          <w:lang w:eastAsia="en-US"/>
        </w:rPr>
        <w:t>the</w:t>
      </w:r>
      <w:r w:rsidR="00671878" w:rsidRPr="001F4ECA">
        <w:rPr>
          <w:rFonts w:ascii="Times New Roman" w:eastAsiaTheme="minorHAnsi" w:hAnsi="Times New Roman"/>
          <w:iCs/>
          <w:sz w:val="24"/>
          <w:szCs w:val="24"/>
          <w:lang w:eastAsia="en-US"/>
        </w:rPr>
        <w:t> </w:t>
      </w:r>
      <w:r w:rsidRPr="001F4ECA">
        <w:rPr>
          <w:rFonts w:ascii="Times New Roman" w:eastAsiaTheme="minorHAnsi" w:hAnsi="Times New Roman"/>
          <w:iCs/>
          <w:sz w:val="24"/>
          <w:szCs w:val="24"/>
          <w:lang w:eastAsia="en-US"/>
        </w:rPr>
        <w:t>Hon</w:t>
      </w:r>
      <w:r w:rsidR="00671878" w:rsidRPr="001F4ECA">
        <w:rPr>
          <w:rFonts w:ascii="Times New Roman" w:eastAsiaTheme="minorHAnsi" w:hAnsi="Times New Roman"/>
          <w:iCs/>
          <w:sz w:val="24"/>
          <w:szCs w:val="24"/>
          <w:lang w:eastAsia="en-US"/>
        </w:rPr>
        <w:t> </w:t>
      </w:r>
      <w:r w:rsidRPr="001F4ECA">
        <w:rPr>
          <w:rFonts w:ascii="Times New Roman" w:eastAsiaTheme="minorHAnsi" w:hAnsi="Times New Roman"/>
          <w:iCs/>
          <w:sz w:val="24"/>
          <w:szCs w:val="24"/>
          <w:lang w:eastAsia="en-US"/>
        </w:rPr>
        <w:t>Marise</w:t>
      </w:r>
      <w:r w:rsidR="00671878" w:rsidRPr="001F4ECA">
        <w:rPr>
          <w:rFonts w:ascii="Times New Roman" w:eastAsiaTheme="minorHAnsi" w:hAnsi="Times New Roman"/>
          <w:iCs/>
          <w:sz w:val="24"/>
          <w:szCs w:val="24"/>
          <w:lang w:eastAsia="en-US"/>
        </w:rPr>
        <w:t> </w:t>
      </w:r>
      <w:r w:rsidRPr="001F4ECA">
        <w:rPr>
          <w:rFonts w:ascii="Times New Roman" w:eastAsiaTheme="minorHAnsi" w:hAnsi="Times New Roman"/>
          <w:iCs/>
          <w:sz w:val="24"/>
          <w:szCs w:val="24"/>
          <w:lang w:eastAsia="en-US"/>
        </w:rPr>
        <w:t>Payne</w:t>
      </w:r>
      <w:r w:rsidR="00671878" w:rsidRPr="001F4ECA">
        <w:rPr>
          <w:rFonts w:ascii="Times New Roman" w:eastAsiaTheme="minorHAnsi" w:hAnsi="Times New Roman"/>
          <w:iCs/>
          <w:sz w:val="24"/>
          <w:szCs w:val="24"/>
          <w:lang w:eastAsia="en-US"/>
        </w:rPr>
        <w:t>,</w:t>
      </w:r>
      <w:r w:rsidRPr="001F4ECA">
        <w:rPr>
          <w:rFonts w:ascii="Times New Roman" w:eastAsiaTheme="minorHAnsi" w:hAnsi="Times New Roman"/>
          <w:iCs/>
          <w:sz w:val="24"/>
          <w:szCs w:val="24"/>
          <w:lang w:eastAsia="en-US"/>
        </w:rPr>
        <w:t xml:space="preserve"> jointly announced the ‘Career Revive Pilot supporting Australian businesses to recruit women in regional areas’, which aimed to increase women’s workforce participation by supporting businesses to attract and retain women returning to work after a career break. The joint media release is available at </w:t>
      </w:r>
      <w:r w:rsidRPr="001F4ECA">
        <w:rPr>
          <w:rFonts w:ascii="Times New Roman" w:eastAsiaTheme="minorHAnsi" w:hAnsi="Times New Roman"/>
          <w:iCs/>
          <w:sz w:val="24"/>
          <w:szCs w:val="24"/>
          <w:u w:val="single"/>
          <w:lang w:eastAsia="en-US"/>
        </w:rPr>
        <w:t>https://ministers.dese.gov.au/cash/career-revive-pilot-supporting-australian-businesses-recruit-women-regional-areas</w:t>
      </w:r>
      <w:r w:rsidRPr="001F4ECA">
        <w:rPr>
          <w:rFonts w:ascii="Times New Roman" w:eastAsiaTheme="minorHAnsi" w:hAnsi="Times New Roman"/>
          <w:iCs/>
          <w:sz w:val="24"/>
          <w:szCs w:val="24"/>
          <w:lang w:eastAsia="en-US"/>
        </w:rPr>
        <w:t xml:space="preserve">. </w:t>
      </w:r>
    </w:p>
    <w:p w14:paraId="4567FAE6" w14:textId="77777777" w:rsidR="005A6727" w:rsidRPr="001F4ECA" w:rsidRDefault="005A6727" w:rsidP="005A6727">
      <w:pPr>
        <w:rPr>
          <w:rFonts w:ascii="Times New Roman" w:eastAsiaTheme="minorHAnsi" w:hAnsi="Times New Roman"/>
          <w:iCs/>
          <w:sz w:val="24"/>
          <w:szCs w:val="24"/>
          <w:lang w:eastAsia="en-US"/>
        </w:rPr>
      </w:pPr>
    </w:p>
    <w:p w14:paraId="066B93F4" w14:textId="3655A4D0" w:rsidR="003D6DAB"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iCs/>
          <w:sz w:val="24"/>
          <w:szCs w:val="24"/>
          <w:lang w:eastAsia="en-US"/>
        </w:rPr>
        <w:t xml:space="preserve">The </w:t>
      </w:r>
      <w:r w:rsidR="00671878" w:rsidRPr="001F4ECA">
        <w:rPr>
          <w:rFonts w:ascii="Times New Roman" w:eastAsiaTheme="minorHAnsi" w:hAnsi="Times New Roman"/>
          <w:iCs/>
          <w:sz w:val="24"/>
          <w:szCs w:val="24"/>
          <w:lang w:eastAsia="en-US"/>
        </w:rPr>
        <w:t>Career Revive P</w:t>
      </w:r>
      <w:r w:rsidRPr="001F4ECA">
        <w:rPr>
          <w:rFonts w:ascii="Times New Roman" w:eastAsiaTheme="minorHAnsi" w:hAnsi="Times New Roman"/>
          <w:iCs/>
          <w:sz w:val="24"/>
          <w:szCs w:val="24"/>
          <w:lang w:eastAsia="en-US"/>
        </w:rPr>
        <w:t xml:space="preserve">ilot is limited to </w:t>
      </w:r>
      <w:r w:rsidR="00671878" w:rsidRPr="001F4ECA">
        <w:rPr>
          <w:rFonts w:ascii="Times New Roman" w:eastAsiaTheme="minorHAnsi" w:hAnsi="Times New Roman"/>
          <w:iCs/>
          <w:sz w:val="24"/>
          <w:szCs w:val="24"/>
          <w:lang w:eastAsia="en-US"/>
        </w:rPr>
        <w:t>10</w:t>
      </w:r>
      <w:r w:rsidRPr="001F4ECA">
        <w:rPr>
          <w:rFonts w:ascii="Times New Roman" w:eastAsiaTheme="minorHAnsi" w:hAnsi="Times New Roman"/>
          <w:iCs/>
          <w:sz w:val="24"/>
          <w:szCs w:val="24"/>
          <w:lang w:eastAsia="en-US"/>
        </w:rPr>
        <w:t xml:space="preserve"> medium to large regional businesses per year over three years from 2019-20 across diverse industries and locations. Under the </w:t>
      </w:r>
      <w:r w:rsidR="00671878" w:rsidRPr="001F4ECA">
        <w:rPr>
          <w:rFonts w:ascii="Times New Roman" w:eastAsiaTheme="minorHAnsi" w:hAnsi="Times New Roman"/>
          <w:iCs/>
          <w:sz w:val="24"/>
          <w:szCs w:val="24"/>
          <w:lang w:eastAsia="en-US"/>
        </w:rPr>
        <w:t>P</w:t>
      </w:r>
      <w:r w:rsidRPr="001F4ECA">
        <w:rPr>
          <w:rFonts w:ascii="Times New Roman" w:eastAsiaTheme="minorHAnsi" w:hAnsi="Times New Roman"/>
          <w:iCs/>
          <w:sz w:val="24"/>
          <w:szCs w:val="24"/>
          <w:lang w:eastAsia="en-US"/>
        </w:rPr>
        <w:t>ilot, business consultants work with selected businesses to improve workplace practices and policies to create workplaces that are supportive for women and assist those who are seeking to return to work after a career break. A full evaluation o</w:t>
      </w:r>
      <w:r w:rsidR="00671878" w:rsidRPr="001F4ECA">
        <w:rPr>
          <w:rFonts w:ascii="Times New Roman" w:eastAsiaTheme="minorHAnsi" w:hAnsi="Times New Roman"/>
          <w:iCs/>
          <w:sz w:val="24"/>
          <w:szCs w:val="24"/>
          <w:lang w:eastAsia="en-US"/>
        </w:rPr>
        <w:t>f</w:t>
      </w:r>
      <w:r w:rsidRPr="001F4ECA">
        <w:rPr>
          <w:rFonts w:ascii="Times New Roman" w:eastAsiaTheme="minorHAnsi" w:hAnsi="Times New Roman"/>
          <w:iCs/>
          <w:sz w:val="24"/>
          <w:szCs w:val="24"/>
          <w:lang w:eastAsia="en-US"/>
        </w:rPr>
        <w:t xml:space="preserve"> the </w:t>
      </w:r>
      <w:r w:rsidR="00671878" w:rsidRPr="001F4ECA">
        <w:rPr>
          <w:rFonts w:ascii="Times New Roman" w:eastAsiaTheme="minorHAnsi" w:hAnsi="Times New Roman"/>
          <w:iCs/>
          <w:sz w:val="24"/>
          <w:szCs w:val="24"/>
          <w:lang w:eastAsia="en-US"/>
        </w:rPr>
        <w:t>P</w:t>
      </w:r>
      <w:r w:rsidRPr="001F4ECA">
        <w:rPr>
          <w:rFonts w:ascii="Times New Roman" w:eastAsiaTheme="minorHAnsi" w:hAnsi="Times New Roman"/>
          <w:iCs/>
          <w:sz w:val="24"/>
          <w:szCs w:val="24"/>
          <w:lang w:eastAsia="en-US"/>
        </w:rPr>
        <w:t>ilot, including its effectiveness</w:t>
      </w:r>
      <w:r w:rsidR="00671878" w:rsidRPr="001F4ECA">
        <w:rPr>
          <w:rFonts w:ascii="Times New Roman" w:eastAsiaTheme="minorHAnsi" w:hAnsi="Times New Roman"/>
          <w:iCs/>
          <w:sz w:val="24"/>
          <w:szCs w:val="24"/>
          <w:lang w:eastAsia="en-US"/>
        </w:rPr>
        <w:t>,</w:t>
      </w:r>
      <w:r w:rsidRPr="001F4ECA">
        <w:rPr>
          <w:rFonts w:ascii="Times New Roman" w:eastAsiaTheme="minorHAnsi" w:hAnsi="Times New Roman"/>
          <w:iCs/>
          <w:sz w:val="24"/>
          <w:szCs w:val="24"/>
          <w:lang w:eastAsia="en-US"/>
        </w:rPr>
        <w:t xml:space="preserve"> is scheduled to be completed in 2021-22.</w:t>
      </w:r>
    </w:p>
    <w:p w14:paraId="2DB60391" w14:textId="3EC89BC3" w:rsidR="003D6DAB" w:rsidRPr="001F4ECA" w:rsidRDefault="003D6DAB" w:rsidP="00F03C1F">
      <w:pPr>
        <w:rPr>
          <w:rFonts w:ascii="Times New Roman" w:eastAsiaTheme="minorHAnsi" w:hAnsi="Times New Roman"/>
          <w:sz w:val="24"/>
          <w:szCs w:val="24"/>
          <w:lang w:eastAsia="en-US"/>
        </w:rPr>
      </w:pPr>
    </w:p>
    <w:p w14:paraId="2D83FD2D" w14:textId="00F8D15E" w:rsidR="005A6727" w:rsidRPr="001F4ECA" w:rsidRDefault="005A6727" w:rsidP="005A6727">
      <w:pPr>
        <w:rPr>
          <w:rFonts w:ascii="Times New Roman" w:eastAsiaTheme="minorHAnsi" w:hAnsi="Times New Roman"/>
          <w:iCs/>
          <w:sz w:val="24"/>
          <w:szCs w:val="24"/>
          <w:lang w:eastAsia="en-US"/>
        </w:rPr>
      </w:pPr>
      <w:r w:rsidRPr="001F4ECA">
        <w:rPr>
          <w:rFonts w:ascii="Times New Roman" w:eastAsiaTheme="minorHAnsi" w:hAnsi="Times New Roman"/>
          <w:iCs/>
          <w:sz w:val="24"/>
          <w:szCs w:val="24"/>
          <w:lang w:eastAsia="en-US"/>
        </w:rPr>
        <w:t>On 11 May 2021, the Minister for Employment, Workforce, Skills, Small and Family Business, the Hon Stuart Robert MP</w:t>
      </w:r>
      <w:r w:rsidR="00671878" w:rsidRPr="001F4ECA">
        <w:rPr>
          <w:rFonts w:ascii="Times New Roman" w:eastAsiaTheme="minorHAnsi" w:hAnsi="Times New Roman"/>
          <w:iCs/>
          <w:sz w:val="24"/>
          <w:szCs w:val="24"/>
          <w:lang w:eastAsia="en-US"/>
        </w:rPr>
        <w:t>,</w:t>
      </w:r>
      <w:r w:rsidRPr="001F4ECA">
        <w:rPr>
          <w:rFonts w:ascii="Times New Roman" w:eastAsiaTheme="minorHAnsi" w:hAnsi="Times New Roman"/>
          <w:iCs/>
          <w:sz w:val="24"/>
          <w:szCs w:val="24"/>
          <w:lang w:eastAsia="en-US"/>
        </w:rPr>
        <w:t xml:space="preserve"> announced the expansion </w:t>
      </w:r>
      <w:r w:rsidR="00671878" w:rsidRPr="001F4ECA">
        <w:rPr>
          <w:rFonts w:ascii="Times New Roman" w:eastAsiaTheme="minorHAnsi" w:hAnsi="Times New Roman"/>
          <w:iCs/>
          <w:sz w:val="24"/>
          <w:szCs w:val="24"/>
          <w:lang w:eastAsia="en-US"/>
        </w:rPr>
        <w:t>of the Career Revive Pilot. M</w:t>
      </w:r>
      <w:r w:rsidRPr="001F4ECA">
        <w:rPr>
          <w:rFonts w:ascii="Times New Roman" w:eastAsiaTheme="minorHAnsi" w:hAnsi="Times New Roman"/>
          <w:iCs/>
          <w:sz w:val="24"/>
          <w:szCs w:val="24"/>
          <w:lang w:eastAsia="en-US"/>
        </w:rPr>
        <w:t xml:space="preserve">edia release is available at </w:t>
      </w:r>
      <w:r w:rsidRPr="001F4ECA">
        <w:rPr>
          <w:rFonts w:ascii="Times New Roman" w:eastAsiaTheme="minorHAnsi" w:hAnsi="Times New Roman"/>
          <w:iCs/>
          <w:sz w:val="24"/>
          <w:szCs w:val="24"/>
          <w:u w:val="single"/>
          <w:lang w:eastAsia="en-US"/>
        </w:rPr>
        <w:t>https://ministers.dese.gov.au/robert/securing-our-economic-recovery-keeping-australians-working</w:t>
      </w:r>
      <w:r w:rsidRPr="001F4ECA">
        <w:rPr>
          <w:rFonts w:ascii="Times New Roman" w:eastAsiaTheme="minorHAnsi" w:hAnsi="Times New Roman"/>
          <w:iCs/>
          <w:sz w:val="24"/>
          <w:szCs w:val="24"/>
          <w:lang w:eastAsia="en-US"/>
        </w:rPr>
        <w:t>.</w:t>
      </w:r>
    </w:p>
    <w:p w14:paraId="3B9477BF" w14:textId="77777777" w:rsidR="005A6727" w:rsidRPr="001F4ECA" w:rsidRDefault="005A6727" w:rsidP="005A6727">
      <w:pPr>
        <w:rPr>
          <w:rFonts w:ascii="Times New Roman" w:eastAsiaTheme="minorHAnsi" w:hAnsi="Times New Roman"/>
          <w:iCs/>
          <w:sz w:val="24"/>
          <w:szCs w:val="24"/>
          <w:lang w:eastAsia="en-US"/>
        </w:rPr>
      </w:pPr>
    </w:p>
    <w:p w14:paraId="49C2B067" w14:textId="27D532C2"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program will incorporate learnings from the </w:t>
      </w:r>
      <w:r w:rsidR="00671878"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ilot and expand to both regional and metropolitan areas to support up to 60 medium to large businesses over three years from 2021-22. This will see 10 additional businesses engaged in 2021-22 and 25 businesses per year in both 2022-23 and 2023-24. The expanded program will include businesses that operate within industries that experience higher levels of gender segregation. This will increase local labour market opportunities for women </w:t>
      </w:r>
      <w:r w:rsidR="00671878" w:rsidRPr="001F4ECA">
        <w:rPr>
          <w:rFonts w:ascii="Times New Roman" w:eastAsiaTheme="minorHAnsi" w:hAnsi="Times New Roman"/>
          <w:sz w:val="24"/>
          <w:szCs w:val="24"/>
          <w:lang w:eastAsia="en-US"/>
        </w:rPr>
        <w:t>during</w:t>
      </w:r>
      <w:r w:rsidRPr="001F4ECA">
        <w:rPr>
          <w:rFonts w:ascii="Times New Roman" w:eastAsiaTheme="minorHAnsi" w:hAnsi="Times New Roman"/>
          <w:sz w:val="24"/>
          <w:szCs w:val="24"/>
          <w:lang w:eastAsia="en-US"/>
        </w:rPr>
        <w:t xml:space="preserve"> the COVID-19 recovery.</w:t>
      </w:r>
    </w:p>
    <w:p w14:paraId="4CF64D56" w14:textId="77777777" w:rsidR="005A6727" w:rsidRPr="001F4ECA" w:rsidRDefault="005A6727" w:rsidP="005A6727">
      <w:pPr>
        <w:rPr>
          <w:rFonts w:ascii="Times New Roman" w:eastAsiaTheme="minorHAnsi" w:hAnsi="Times New Roman"/>
          <w:sz w:val="24"/>
          <w:szCs w:val="24"/>
          <w:lang w:eastAsia="en-US"/>
        </w:rPr>
      </w:pPr>
    </w:p>
    <w:p w14:paraId="2001C7FE"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Under the program, business improvement consultants will work with each business to develop a tailored action plan to identify and implement strategies to:</w:t>
      </w:r>
    </w:p>
    <w:p w14:paraId="7F621663" w14:textId="77777777" w:rsidR="005A6727" w:rsidRPr="001F4ECA" w:rsidRDefault="005A6727" w:rsidP="005A6727">
      <w:pPr>
        <w:numPr>
          <w:ilvl w:val="0"/>
          <w:numId w:val="38"/>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better attract and recruit women (job design, advertising and selection practices, development of supported returner programs);</w:t>
      </w:r>
    </w:p>
    <w:p w14:paraId="7101E03A" w14:textId="0400F924" w:rsidR="005A6727" w:rsidRPr="001F4ECA" w:rsidRDefault="005A6727" w:rsidP="005A6727">
      <w:pPr>
        <w:numPr>
          <w:ilvl w:val="0"/>
          <w:numId w:val="38"/>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improve r</w:t>
      </w:r>
      <w:r w:rsidR="00671878" w:rsidRPr="001F4ECA">
        <w:rPr>
          <w:rFonts w:ascii="Times New Roman" w:eastAsiaTheme="minorHAnsi" w:hAnsi="Times New Roman"/>
          <w:sz w:val="24"/>
          <w:szCs w:val="24"/>
          <w:lang w:eastAsia="en-US"/>
        </w:rPr>
        <w:t>etention of women employees (on</w:t>
      </w:r>
      <w:r w:rsidRPr="001F4ECA">
        <w:rPr>
          <w:rFonts w:ascii="Times New Roman" w:eastAsiaTheme="minorHAnsi" w:hAnsi="Times New Roman"/>
          <w:sz w:val="24"/>
          <w:szCs w:val="24"/>
          <w:lang w:eastAsia="en-US"/>
        </w:rPr>
        <w:t>boarding, parental leave programs); and</w:t>
      </w:r>
    </w:p>
    <w:p w14:paraId="70041278" w14:textId="77777777" w:rsidR="005A6727" w:rsidRPr="001F4ECA" w:rsidRDefault="005A6727" w:rsidP="005A6727">
      <w:pPr>
        <w:numPr>
          <w:ilvl w:val="0"/>
          <w:numId w:val="38"/>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enhance the foundational working environment for women employees (developing leadership support, workplace policies, social norms, and infrastructure).</w:t>
      </w:r>
    </w:p>
    <w:p w14:paraId="67457A1B" w14:textId="77777777" w:rsidR="005A6727" w:rsidRPr="001F4ECA" w:rsidRDefault="005A6727" w:rsidP="005A6727">
      <w:pPr>
        <w:rPr>
          <w:rFonts w:ascii="Times New Roman" w:eastAsiaTheme="minorHAnsi" w:hAnsi="Times New Roman"/>
          <w:sz w:val="24"/>
          <w:szCs w:val="24"/>
          <w:lang w:eastAsia="en-US"/>
        </w:rPr>
      </w:pPr>
    </w:p>
    <w:p w14:paraId="6F6A4907" w14:textId="42B979DF"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lastRenderedPageBreak/>
        <w:t>The action plan and p</w:t>
      </w:r>
      <w:r w:rsidR="00B03820" w:rsidRPr="001F4ECA">
        <w:rPr>
          <w:rFonts w:ascii="Times New Roman" w:eastAsiaTheme="minorHAnsi" w:hAnsi="Times New Roman"/>
          <w:sz w:val="24"/>
          <w:szCs w:val="24"/>
          <w:lang w:eastAsia="en-US"/>
        </w:rPr>
        <w:t xml:space="preserve">otential design of each </w:t>
      </w:r>
      <w:r w:rsidRPr="001F4ECA">
        <w:rPr>
          <w:rFonts w:ascii="Times New Roman" w:eastAsiaTheme="minorHAnsi" w:hAnsi="Times New Roman"/>
          <w:sz w:val="24"/>
          <w:szCs w:val="24"/>
          <w:lang w:eastAsia="en-US"/>
        </w:rPr>
        <w:t>returner program will vary depending on the size of the business, the industry it operates in</w:t>
      </w:r>
      <w:r w:rsidR="00B03820"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and the business’ readiness to employ and support women returning to the workforce.</w:t>
      </w:r>
    </w:p>
    <w:p w14:paraId="5B808EF9" w14:textId="77777777" w:rsidR="005A6727" w:rsidRPr="001F4ECA" w:rsidRDefault="005A6727" w:rsidP="005A6727">
      <w:pPr>
        <w:rPr>
          <w:rFonts w:ascii="Times New Roman" w:eastAsiaTheme="minorHAnsi" w:hAnsi="Times New Roman"/>
          <w:sz w:val="24"/>
          <w:szCs w:val="24"/>
          <w:lang w:eastAsia="en-US"/>
        </w:rPr>
      </w:pPr>
    </w:p>
    <w:p w14:paraId="6DF9C2FE"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business improvement consultants will also provide mentoring support to each business’ leadership team to champion the implementation of identified strategies within their action plan. While no financial support will be provided by the Government to the participating employers, they will benefit from the expert advice provided by the consultant at no cost. Through participation in the program, employers will gain a competitive advantage through an increased ability to attract and retain skilled women from a wider talent pool.</w:t>
      </w:r>
    </w:p>
    <w:p w14:paraId="21BA70A1" w14:textId="77777777" w:rsidR="005A6727" w:rsidRPr="001F4ECA" w:rsidRDefault="005A6727" w:rsidP="005A6727">
      <w:pPr>
        <w:rPr>
          <w:rFonts w:ascii="Times New Roman" w:eastAsiaTheme="minorHAnsi" w:hAnsi="Times New Roman"/>
          <w:sz w:val="24"/>
          <w:szCs w:val="24"/>
          <w:lang w:eastAsia="en-US"/>
        </w:rPr>
      </w:pPr>
    </w:p>
    <w:p w14:paraId="087F88C3" w14:textId="47E1717F"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will promote the opportunity directly to business</w:t>
      </w:r>
      <w:r w:rsidR="00B03820" w:rsidRPr="001F4ECA">
        <w:rPr>
          <w:rFonts w:ascii="Times New Roman" w:eastAsiaTheme="minorHAnsi" w:hAnsi="Times New Roman"/>
          <w:sz w:val="24"/>
          <w:szCs w:val="24"/>
          <w:lang w:eastAsia="en-US"/>
        </w:rPr>
        <w:t>es</w:t>
      </w:r>
      <w:r w:rsidRPr="001F4ECA">
        <w:rPr>
          <w:rFonts w:ascii="Times New Roman" w:eastAsiaTheme="minorHAnsi" w:hAnsi="Times New Roman"/>
          <w:sz w:val="24"/>
          <w:szCs w:val="24"/>
          <w:lang w:eastAsia="en-US"/>
        </w:rPr>
        <w:t xml:space="preserve"> through the purchase of business lists and to industry peak bodies, such as the Australian Human Resources Institute and other relevant organisations to promote the </w:t>
      </w:r>
      <w:r w:rsidR="00B03820" w:rsidRPr="001F4ECA">
        <w:rPr>
          <w:rFonts w:ascii="Times New Roman" w:eastAsiaTheme="minorHAnsi" w:hAnsi="Times New Roman"/>
          <w:sz w:val="24"/>
          <w:szCs w:val="24"/>
          <w:lang w:eastAsia="en-US"/>
        </w:rPr>
        <w:t>program</w:t>
      </w:r>
      <w:r w:rsidRPr="001F4ECA">
        <w:rPr>
          <w:rFonts w:ascii="Times New Roman" w:eastAsiaTheme="minorHAnsi" w:hAnsi="Times New Roman"/>
          <w:sz w:val="24"/>
          <w:szCs w:val="24"/>
          <w:lang w:eastAsia="en-US"/>
        </w:rPr>
        <w:t xml:space="preserve"> within their networks.</w:t>
      </w:r>
    </w:p>
    <w:p w14:paraId="1FAE6421" w14:textId="77777777" w:rsidR="005A6727" w:rsidRPr="001F4ECA" w:rsidRDefault="005A6727" w:rsidP="005A6727">
      <w:pPr>
        <w:rPr>
          <w:rFonts w:ascii="Times New Roman" w:eastAsiaTheme="minorHAnsi" w:hAnsi="Times New Roman"/>
          <w:sz w:val="24"/>
          <w:szCs w:val="24"/>
          <w:lang w:eastAsia="en-US"/>
        </w:rPr>
      </w:pPr>
    </w:p>
    <w:p w14:paraId="291D43F8" w14:textId="75CA9CF2"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department will engage business improvement consultants through a competitive procurement process to work with selected businesses. One or more business improvement consultants will be selected through an existing panel arrangement, likely the Capability Support Services Panel managed by the Australian Federal Police. This procurement commence</w:t>
      </w:r>
      <w:r w:rsidR="00670836" w:rsidRPr="001F4ECA">
        <w:rPr>
          <w:rFonts w:ascii="Times New Roman" w:eastAsiaTheme="minorHAnsi" w:hAnsi="Times New Roman"/>
          <w:sz w:val="24"/>
          <w:szCs w:val="24"/>
          <w:lang w:eastAsia="en-US"/>
        </w:rPr>
        <w:t>d</w:t>
      </w:r>
      <w:r w:rsidRPr="001F4ECA">
        <w:rPr>
          <w:rFonts w:ascii="Times New Roman" w:eastAsiaTheme="minorHAnsi" w:hAnsi="Times New Roman"/>
          <w:sz w:val="24"/>
          <w:szCs w:val="24"/>
          <w:lang w:eastAsia="en-US"/>
        </w:rPr>
        <w:t xml:space="preserve"> in July 2021 with contracts</w:t>
      </w:r>
      <w:r w:rsidR="00670836" w:rsidRPr="001F4ECA">
        <w:rPr>
          <w:rFonts w:ascii="Times New Roman" w:eastAsiaTheme="minorHAnsi" w:hAnsi="Times New Roman"/>
          <w:sz w:val="24"/>
          <w:szCs w:val="24"/>
          <w:lang w:eastAsia="en-US"/>
        </w:rPr>
        <w:t xml:space="preserve"> expected to be</w:t>
      </w:r>
      <w:r w:rsidRPr="001F4ECA">
        <w:rPr>
          <w:rFonts w:ascii="Times New Roman" w:eastAsiaTheme="minorHAnsi" w:hAnsi="Times New Roman"/>
          <w:sz w:val="24"/>
          <w:szCs w:val="24"/>
          <w:lang w:eastAsia="en-US"/>
        </w:rPr>
        <w:t xml:space="preserve"> in place by September 2021. Final procurement decisions will be made by a delegate of the Secretary of the department. Information relevant to this procurement will be reported on AusTender (</w:t>
      </w:r>
      <w:r w:rsidRPr="001F4ECA">
        <w:rPr>
          <w:rFonts w:ascii="Times New Roman" w:eastAsiaTheme="minorHAnsi" w:hAnsi="Times New Roman"/>
          <w:sz w:val="24"/>
          <w:szCs w:val="24"/>
          <w:u w:val="single"/>
          <w:lang w:eastAsia="en-US"/>
        </w:rPr>
        <w:t>tenders.gov.au</w:t>
      </w:r>
      <w:r w:rsidRPr="001F4ECA">
        <w:rPr>
          <w:rFonts w:ascii="Times New Roman" w:eastAsiaTheme="minorHAnsi" w:hAnsi="Times New Roman"/>
          <w:sz w:val="24"/>
          <w:szCs w:val="24"/>
          <w:lang w:eastAsia="en-US"/>
        </w:rPr>
        <w:t>), consistent with the CPRs.</w:t>
      </w:r>
      <w:r w:rsidR="00B03820"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 xml:space="preserve">All procurement decisions will be made in accordance with the Commonwealth resource management framework, including the PGPA Act and the CPRs. </w:t>
      </w:r>
    </w:p>
    <w:p w14:paraId="62C54D12" w14:textId="77777777" w:rsidR="005A6727" w:rsidRPr="001F4ECA" w:rsidRDefault="005A6727" w:rsidP="005A6727">
      <w:pPr>
        <w:rPr>
          <w:rFonts w:ascii="Times New Roman" w:eastAsiaTheme="minorHAnsi" w:hAnsi="Times New Roman"/>
          <w:sz w:val="24"/>
          <w:szCs w:val="24"/>
          <w:lang w:eastAsia="en-US"/>
        </w:rPr>
      </w:pPr>
    </w:p>
    <w:p w14:paraId="462A8C6C"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selection of business improvement consultant/s will be based on value for money for the Commonwealth and quality of the business improvement consultant’s response to the request for quote. The quality of the response will be assessed against criteria including:</w:t>
      </w:r>
    </w:p>
    <w:p w14:paraId="6959DFC0" w14:textId="77777777" w:rsidR="005A6727" w:rsidRPr="001F4ECA" w:rsidRDefault="005A6727" w:rsidP="005A6727">
      <w:pPr>
        <w:numPr>
          <w:ilvl w:val="0"/>
          <w:numId w:val="39"/>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organisation’s experience in delivering similar services, as well as the organisation’s nominated personnel’s skills, qualification and experience;</w:t>
      </w:r>
    </w:p>
    <w:p w14:paraId="37E9C4C2" w14:textId="77777777" w:rsidR="005A6727" w:rsidRPr="001F4ECA" w:rsidRDefault="005A6727" w:rsidP="005A6727">
      <w:pPr>
        <w:numPr>
          <w:ilvl w:val="0"/>
          <w:numId w:val="39"/>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 project plan detailing the proposed methodology and timetable for the delivery of the services; and </w:t>
      </w:r>
    </w:p>
    <w:p w14:paraId="1E2E118F" w14:textId="77777777" w:rsidR="005A6727" w:rsidRPr="001F4ECA" w:rsidRDefault="005A6727" w:rsidP="005A6727">
      <w:pPr>
        <w:numPr>
          <w:ilvl w:val="0"/>
          <w:numId w:val="39"/>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pricing. </w:t>
      </w:r>
    </w:p>
    <w:p w14:paraId="68644E93" w14:textId="77777777" w:rsidR="005A6727" w:rsidRPr="001F4ECA" w:rsidRDefault="005A6727" w:rsidP="005A6727">
      <w:pPr>
        <w:rPr>
          <w:rFonts w:ascii="Times New Roman" w:eastAsiaTheme="minorHAnsi" w:hAnsi="Times New Roman"/>
          <w:sz w:val="24"/>
          <w:szCs w:val="24"/>
          <w:lang w:eastAsia="en-US"/>
        </w:rPr>
      </w:pPr>
    </w:p>
    <w:p w14:paraId="6B273D02"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selection of participant employers will be conducted through an online expression of interest (EOI) process managed by the department. Applicants from medium (50-199 employees) and large (200 or more employees) businesses will be invited to submit an EOI. </w:t>
      </w:r>
    </w:p>
    <w:p w14:paraId="310C619B" w14:textId="1CDB33DB" w:rsidR="003D6DAB" w:rsidRPr="001F4ECA" w:rsidRDefault="003D6DAB" w:rsidP="00F03C1F">
      <w:pPr>
        <w:rPr>
          <w:rFonts w:ascii="Times New Roman" w:eastAsiaTheme="minorHAnsi" w:hAnsi="Times New Roman"/>
          <w:sz w:val="24"/>
          <w:szCs w:val="24"/>
          <w:lang w:eastAsia="en-US"/>
        </w:rPr>
      </w:pPr>
    </w:p>
    <w:p w14:paraId="3CA3A5C4" w14:textId="41DC9A68"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To ensure fairness and accountability, final decisions about participants will be made by </w:t>
      </w:r>
      <w:r w:rsidR="00093DFC" w:rsidRPr="001F4ECA">
        <w:rPr>
          <w:rFonts w:ascii="Times New Roman" w:eastAsiaTheme="minorHAnsi" w:hAnsi="Times New Roman"/>
          <w:sz w:val="24"/>
          <w:szCs w:val="24"/>
          <w:lang w:eastAsia="en-US"/>
        </w:rPr>
        <w:t>a</w:t>
      </w:r>
      <w:r w:rsidRPr="001F4ECA">
        <w:rPr>
          <w:rFonts w:ascii="Times New Roman" w:eastAsiaTheme="minorHAnsi" w:hAnsi="Times New Roman"/>
          <w:sz w:val="24"/>
          <w:szCs w:val="24"/>
          <w:lang w:eastAsia="en-US"/>
        </w:rPr>
        <w:t xml:space="preserve"> delegate of the Secretary of the department based on:</w:t>
      </w:r>
    </w:p>
    <w:p w14:paraId="6D1B13DC" w14:textId="77777777" w:rsidR="005A6727" w:rsidRPr="001F4ECA" w:rsidRDefault="005A6727" w:rsidP="005A6727">
      <w:pPr>
        <w:numPr>
          <w:ilvl w:val="0"/>
          <w:numId w:val="40"/>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employer’s capacity and willingness to work with a consultant on changes needed to make its business attractive to women returning to the workforce; </w:t>
      </w:r>
    </w:p>
    <w:p w14:paraId="42D5DFF3" w14:textId="77777777" w:rsidR="005A6727" w:rsidRPr="001F4ECA" w:rsidRDefault="005A6727" w:rsidP="005A6727">
      <w:pPr>
        <w:numPr>
          <w:ilvl w:val="0"/>
          <w:numId w:val="40"/>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employer’s willingness to consider implementing a returner program in its business;</w:t>
      </w:r>
    </w:p>
    <w:p w14:paraId="21FD3F07" w14:textId="77777777" w:rsidR="005A6727" w:rsidRPr="001F4ECA" w:rsidRDefault="005A6727" w:rsidP="005A6727">
      <w:pPr>
        <w:numPr>
          <w:ilvl w:val="0"/>
          <w:numId w:val="40"/>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employer’s willingness to be featured in case studies and be demonstrators of best practice; </w:t>
      </w:r>
    </w:p>
    <w:p w14:paraId="0B67A98A" w14:textId="77777777" w:rsidR="005A6727" w:rsidRPr="001F4ECA" w:rsidRDefault="005A6727" w:rsidP="005A6727">
      <w:pPr>
        <w:numPr>
          <w:ilvl w:val="0"/>
          <w:numId w:val="40"/>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having a reasonable distribution of businesses across industries;</w:t>
      </w:r>
    </w:p>
    <w:p w14:paraId="22DFDD3D" w14:textId="51612D79" w:rsidR="005A6727" w:rsidRPr="001F4ECA" w:rsidRDefault="005A6727" w:rsidP="005A6727">
      <w:pPr>
        <w:numPr>
          <w:ilvl w:val="0"/>
          <w:numId w:val="40"/>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having a reasonable distribution of metropolitan and regionally</w:t>
      </w:r>
      <w:r w:rsidR="00093DFC"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based businesses across states; and</w:t>
      </w:r>
    </w:p>
    <w:p w14:paraId="0137394B" w14:textId="77777777" w:rsidR="005A6727" w:rsidRPr="001F4ECA" w:rsidRDefault="005A6727" w:rsidP="005A6727">
      <w:pPr>
        <w:numPr>
          <w:ilvl w:val="0"/>
          <w:numId w:val="40"/>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value for money/economies of scale. </w:t>
      </w:r>
    </w:p>
    <w:p w14:paraId="3E9D9457" w14:textId="77777777" w:rsidR="005A6727" w:rsidRPr="001F4ECA" w:rsidRDefault="005A6727" w:rsidP="005A6727">
      <w:pPr>
        <w:rPr>
          <w:rFonts w:ascii="Times New Roman" w:eastAsiaTheme="minorHAnsi" w:hAnsi="Times New Roman"/>
          <w:iCs/>
          <w:sz w:val="24"/>
          <w:szCs w:val="24"/>
          <w:lang w:eastAsia="en-US"/>
        </w:rPr>
      </w:pPr>
    </w:p>
    <w:p w14:paraId="3E5099E2" w14:textId="78021A2A"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Procurement decisions made in connection with the</w:t>
      </w:r>
      <w:r w:rsidRPr="001F4ECA">
        <w:rPr>
          <w:rFonts w:ascii="Times New Roman" w:eastAsiaTheme="minorHAnsi" w:hAnsi="Times New Roman"/>
          <w:sz w:val="24"/>
          <w:szCs w:val="24"/>
          <w:lang w:val="en-GB" w:eastAsia="en-US"/>
        </w:rPr>
        <w:t xml:space="preserve"> program are not considered suitable for independent merits review</w:t>
      </w:r>
      <w:r w:rsidRPr="001F4ECA">
        <w:rPr>
          <w:rFonts w:ascii="Times New Roman" w:eastAsiaTheme="minorHAnsi" w:hAnsi="Times New Roman"/>
          <w:sz w:val="24"/>
          <w:szCs w:val="24"/>
          <w:lang w:eastAsia="en-US"/>
        </w:rPr>
        <w:t xml:space="preserve">, as they are decisions relating to the allocation of a finite resource, from which all potential claims for a share of the resource cannot be met. In addition, any funding that has already been allocated would be affected if the original decision was overturned. The ARC has recognised that it is justifiable to exclude merits review in relation to decisions of this nature (see paragraphs 4.11 to 4.19 of the guide, </w:t>
      </w:r>
      <w:r w:rsidRPr="001F4ECA">
        <w:rPr>
          <w:rFonts w:ascii="Times New Roman" w:eastAsiaTheme="minorHAnsi" w:hAnsi="Times New Roman"/>
          <w:i/>
          <w:sz w:val="24"/>
          <w:szCs w:val="24"/>
          <w:lang w:eastAsia="en-US"/>
        </w:rPr>
        <w:t>What decisions should be subject to merit review?</w:t>
      </w:r>
      <w:r w:rsidRPr="001F4ECA">
        <w:rPr>
          <w:rFonts w:ascii="Times New Roman" w:eastAsiaTheme="minorHAnsi" w:hAnsi="Times New Roman"/>
          <w:sz w:val="24"/>
          <w:szCs w:val="24"/>
          <w:lang w:eastAsia="en-US"/>
        </w:rPr>
        <w:t>).</w:t>
      </w:r>
    </w:p>
    <w:p w14:paraId="352C54F5" w14:textId="77777777" w:rsidR="005A6727" w:rsidRPr="001F4ECA" w:rsidRDefault="005A6727" w:rsidP="005A6727">
      <w:pPr>
        <w:rPr>
          <w:rFonts w:ascii="Times New Roman" w:eastAsiaTheme="minorHAnsi" w:hAnsi="Times New Roman"/>
          <w:sz w:val="24"/>
          <w:szCs w:val="24"/>
          <w:lang w:eastAsia="en-US"/>
        </w:rPr>
      </w:pPr>
    </w:p>
    <w:p w14:paraId="00C41D64"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re-making of a procurement decision after entry into contractual arraignments with a successful proponent is legally complex, impractical and would result in delays to commencement of the program. </w:t>
      </w:r>
    </w:p>
    <w:p w14:paraId="7EA82565" w14:textId="77777777" w:rsidR="005A6727" w:rsidRPr="001F4ECA" w:rsidRDefault="005A6727" w:rsidP="005A6727">
      <w:pPr>
        <w:rPr>
          <w:rFonts w:ascii="Times New Roman" w:eastAsiaTheme="minorHAnsi" w:hAnsi="Times New Roman"/>
          <w:sz w:val="24"/>
          <w:szCs w:val="24"/>
          <w:lang w:eastAsia="en-US"/>
        </w:rPr>
      </w:pPr>
    </w:p>
    <w:p w14:paraId="13AF8A02"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Decisions about which employers will participate will not be subject to independent merits review. This is because these decisions relate to the allocation of a finite resource (being the capped number of employers the consultant/s will be engaged to work with) between competing applicants (being those employers that submit an expression of interest). Merits review may affect the existing selection of other employers given the limited number of employers that can take part in the program. The ARC has recognised that it is justifiable to exclude merits review in relation to decisions of this nature (see paragraphs 4.11 to 4.19 of the guide, </w:t>
      </w:r>
      <w:r w:rsidRPr="001F4ECA">
        <w:rPr>
          <w:rFonts w:ascii="Times New Roman" w:eastAsiaTheme="minorHAnsi" w:hAnsi="Times New Roman"/>
          <w:i/>
          <w:sz w:val="24"/>
          <w:szCs w:val="24"/>
          <w:lang w:eastAsia="en-US"/>
        </w:rPr>
        <w:t>What decisions should be subject to merit review?</w:t>
      </w:r>
      <w:r w:rsidRPr="001F4ECA">
        <w:rPr>
          <w:rFonts w:ascii="Times New Roman" w:eastAsiaTheme="minorHAnsi" w:hAnsi="Times New Roman"/>
          <w:sz w:val="24"/>
          <w:szCs w:val="24"/>
          <w:lang w:eastAsia="en-US"/>
        </w:rPr>
        <w:t>).</w:t>
      </w:r>
    </w:p>
    <w:p w14:paraId="504E268C" w14:textId="77777777" w:rsidR="005A6727" w:rsidRPr="001F4ECA" w:rsidRDefault="005A6727" w:rsidP="005A6727">
      <w:pPr>
        <w:rPr>
          <w:rFonts w:ascii="Times New Roman" w:eastAsiaTheme="minorHAnsi" w:hAnsi="Times New Roman"/>
          <w:sz w:val="24"/>
          <w:szCs w:val="24"/>
          <w:lang w:eastAsia="en-US"/>
        </w:rPr>
      </w:pPr>
    </w:p>
    <w:p w14:paraId="6129AF0F"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In the event an issue arises for an employer as part of the selection process or during participation in the program and the issue is raised with the department, the department will handle the matter by acknowledging receipt of the request and contacting the employer with a view to resolving any issues as soon as practicable. The department will review the issue and work with the employer (and where relevant, the consultant) to address it where needed. The relevant area of the department will investigate and undertake an independent review of the case. The department will respond to the employer regarding the outcome of its request. </w:t>
      </w:r>
    </w:p>
    <w:p w14:paraId="172DC95D" w14:textId="77777777" w:rsidR="005A6727" w:rsidRPr="001F4ECA" w:rsidRDefault="005A6727" w:rsidP="005A6727">
      <w:pPr>
        <w:rPr>
          <w:rFonts w:ascii="Times New Roman" w:eastAsiaTheme="minorHAnsi" w:hAnsi="Times New Roman"/>
          <w:sz w:val="24"/>
          <w:szCs w:val="24"/>
          <w:lang w:val="en-US" w:eastAsia="en-US"/>
        </w:rPr>
      </w:pPr>
    </w:p>
    <w:p w14:paraId="5292B260"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val="en-US" w:eastAsia="en-US"/>
        </w:rPr>
        <w:t>An employer who is not chosen to participate in the program can also raise the matter with the Commonwealth Ombudsman.</w:t>
      </w:r>
    </w:p>
    <w:p w14:paraId="60D1F28D" w14:textId="77777777" w:rsidR="005A6727" w:rsidRPr="001F4ECA" w:rsidRDefault="005A6727" w:rsidP="005A6727">
      <w:pPr>
        <w:rPr>
          <w:rFonts w:ascii="Times New Roman" w:eastAsiaTheme="minorHAnsi" w:hAnsi="Times New Roman"/>
          <w:sz w:val="24"/>
          <w:szCs w:val="24"/>
          <w:lang w:eastAsia="en-US"/>
        </w:rPr>
      </w:pPr>
    </w:p>
    <w:p w14:paraId="7152F7B7" w14:textId="14A5E4ED"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department conducted consultation internally within the Commonwealth, including the Office for Women in the Department of the Prime Minister and Cabinet in relation to expanding the </w:t>
      </w:r>
      <w:r w:rsidR="00093DFC" w:rsidRPr="001F4ECA">
        <w:rPr>
          <w:rFonts w:ascii="Times New Roman" w:eastAsiaTheme="minorHAnsi" w:hAnsi="Times New Roman"/>
          <w:sz w:val="24"/>
          <w:szCs w:val="24"/>
          <w:lang w:eastAsia="en-US"/>
        </w:rPr>
        <w:t>program</w:t>
      </w:r>
      <w:r w:rsidRPr="001F4ECA">
        <w:rPr>
          <w:rFonts w:ascii="Times New Roman" w:eastAsiaTheme="minorHAnsi" w:hAnsi="Times New Roman"/>
          <w:sz w:val="24"/>
          <w:szCs w:val="24"/>
          <w:lang w:eastAsia="en-US"/>
        </w:rPr>
        <w:t xml:space="preserve"> to non-regional locations. The Office for Women supported the expansion.</w:t>
      </w:r>
    </w:p>
    <w:p w14:paraId="16F62849" w14:textId="77777777" w:rsidR="005A6727" w:rsidRPr="001F4ECA" w:rsidRDefault="005A6727" w:rsidP="005A6727">
      <w:pPr>
        <w:rPr>
          <w:rFonts w:ascii="Times New Roman" w:eastAsiaTheme="minorHAnsi" w:hAnsi="Times New Roman"/>
          <w:sz w:val="24"/>
          <w:szCs w:val="24"/>
          <w:lang w:eastAsia="en-US"/>
        </w:rPr>
      </w:pPr>
    </w:p>
    <w:p w14:paraId="7C743548" w14:textId="57844488"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Consultation was not undertaken with individuals or businesses likely to be affected by this program. Consultation was considered unnecessary and impracticable given the modest size of the expansion from the </w:t>
      </w:r>
      <w:r w:rsidR="00093DFC" w:rsidRPr="001F4ECA">
        <w:rPr>
          <w:rFonts w:ascii="Times New Roman" w:eastAsiaTheme="minorHAnsi" w:hAnsi="Times New Roman"/>
          <w:sz w:val="24"/>
          <w:szCs w:val="24"/>
          <w:lang w:eastAsia="en-US"/>
        </w:rPr>
        <w:t>Career Revive P</w:t>
      </w:r>
      <w:r w:rsidRPr="001F4ECA">
        <w:rPr>
          <w:rFonts w:ascii="Times New Roman" w:eastAsiaTheme="minorHAnsi" w:hAnsi="Times New Roman"/>
          <w:sz w:val="24"/>
          <w:szCs w:val="24"/>
          <w:lang w:eastAsia="en-US"/>
        </w:rPr>
        <w:t xml:space="preserve">ilot. Further, the </w:t>
      </w:r>
      <w:r w:rsidR="00093DFC"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 xml:space="preserve">ilot has had strong interest from regional employers with each expression of interest round being fully subscribed. Early feedback from participants in the </w:t>
      </w:r>
      <w:r w:rsidR="00093DFC" w:rsidRPr="001F4ECA">
        <w:rPr>
          <w:rFonts w:ascii="Times New Roman" w:eastAsiaTheme="minorHAnsi" w:hAnsi="Times New Roman"/>
          <w:sz w:val="24"/>
          <w:szCs w:val="24"/>
          <w:lang w:eastAsia="en-US"/>
        </w:rPr>
        <w:t>P</w:t>
      </w:r>
      <w:r w:rsidRPr="001F4ECA">
        <w:rPr>
          <w:rFonts w:ascii="Times New Roman" w:eastAsiaTheme="minorHAnsi" w:hAnsi="Times New Roman"/>
          <w:sz w:val="24"/>
          <w:szCs w:val="24"/>
          <w:lang w:eastAsia="en-US"/>
        </w:rPr>
        <w:t>ilot has indicated that they have found the initiative beneficial and are implementing changes to their organisations to improve women’s engagement, attraction and retention despite challenges presented by COVID-19. As such</w:t>
      </w:r>
      <w:r w:rsidR="00093DFC"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external consultation in relation to the program was considered unnecessary.   </w:t>
      </w:r>
    </w:p>
    <w:p w14:paraId="112D1746" w14:textId="77777777" w:rsidR="005A6727" w:rsidRPr="001F4ECA" w:rsidRDefault="005A6727" w:rsidP="005A6727">
      <w:pPr>
        <w:rPr>
          <w:rFonts w:ascii="Times New Roman" w:eastAsiaTheme="minorHAnsi" w:hAnsi="Times New Roman"/>
          <w:iCs/>
          <w:sz w:val="24"/>
          <w:szCs w:val="24"/>
          <w:lang w:eastAsia="en-US"/>
        </w:rPr>
      </w:pPr>
    </w:p>
    <w:p w14:paraId="09E2A5AF"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Funding for the program of $2.6 million over three years from 2021-22 was included in the 2021-22 Budget under the measure ‘Women’s Economic Security Package’.</w:t>
      </w:r>
      <w:r w:rsidRPr="001F4ECA">
        <w:rPr>
          <w:rFonts w:ascii="Times New Roman" w:eastAsiaTheme="minorHAnsi" w:hAnsi="Times New Roman"/>
          <w:iCs/>
          <w:sz w:val="24"/>
          <w:szCs w:val="24"/>
          <w:lang w:eastAsia="en-US"/>
        </w:rPr>
        <w:t xml:space="preserve"> Details are set out in </w:t>
      </w:r>
      <w:r w:rsidRPr="001F4ECA">
        <w:rPr>
          <w:rFonts w:ascii="Times New Roman" w:eastAsiaTheme="minorHAnsi" w:hAnsi="Times New Roman"/>
          <w:i/>
          <w:iCs/>
          <w:sz w:val="24"/>
          <w:szCs w:val="24"/>
          <w:lang w:eastAsia="en-US"/>
        </w:rPr>
        <w:t>Budget 2021-22, Budget Measures, Budget Paper No. 2 2021-22</w:t>
      </w:r>
      <w:r w:rsidRPr="001F4ECA">
        <w:rPr>
          <w:rFonts w:ascii="Times New Roman" w:eastAsiaTheme="minorHAnsi" w:hAnsi="Times New Roman"/>
          <w:iCs/>
          <w:sz w:val="24"/>
          <w:szCs w:val="24"/>
          <w:lang w:eastAsia="en-US"/>
        </w:rPr>
        <w:t xml:space="preserve"> at page 82.</w:t>
      </w:r>
    </w:p>
    <w:p w14:paraId="56FAE877" w14:textId="77777777" w:rsidR="005A6727" w:rsidRPr="001F4ECA" w:rsidRDefault="005A6727" w:rsidP="005A6727">
      <w:pPr>
        <w:rPr>
          <w:rFonts w:ascii="Times New Roman" w:eastAsiaTheme="minorHAnsi" w:hAnsi="Times New Roman"/>
          <w:sz w:val="24"/>
          <w:szCs w:val="24"/>
          <w:lang w:eastAsia="en-US"/>
        </w:rPr>
      </w:pPr>
    </w:p>
    <w:p w14:paraId="20611F98" w14:textId="72B4F86A"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Funding for this item will come from Program 4.1: Employment Services, which is part of Outcome 4. Details are set out in the </w:t>
      </w:r>
      <w:r w:rsidRPr="001F4ECA">
        <w:rPr>
          <w:rFonts w:ascii="Times New Roman" w:eastAsiaTheme="minorHAnsi" w:hAnsi="Times New Roman"/>
          <w:i/>
          <w:sz w:val="24"/>
          <w:szCs w:val="24"/>
          <w:lang w:eastAsia="en-US"/>
        </w:rPr>
        <w:t>Portfolio Budget Statements 2021-22, Budget Related Paper No. 1.4, Education, Skills and Employment Portfolio</w:t>
      </w:r>
      <w:r w:rsidRPr="001F4ECA">
        <w:rPr>
          <w:rFonts w:ascii="Times New Roman" w:eastAsiaTheme="minorHAnsi" w:hAnsi="Times New Roman"/>
          <w:sz w:val="24"/>
          <w:szCs w:val="24"/>
          <w:lang w:eastAsia="en-US"/>
        </w:rPr>
        <w:t xml:space="preserve"> at pages 20 and 77.</w:t>
      </w:r>
    </w:p>
    <w:p w14:paraId="4C9FE2DC" w14:textId="3AD58F3F" w:rsidR="005A6727" w:rsidRPr="001F4ECA" w:rsidRDefault="005A6727" w:rsidP="00F03C1F">
      <w:pPr>
        <w:rPr>
          <w:rFonts w:ascii="Times New Roman" w:eastAsiaTheme="minorHAnsi" w:hAnsi="Times New Roman"/>
          <w:sz w:val="24"/>
          <w:szCs w:val="24"/>
          <w:lang w:eastAsia="en-US"/>
        </w:rPr>
      </w:pPr>
    </w:p>
    <w:p w14:paraId="2126C329"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Noting that it is not a comprehensive statement of relevant constitutional considerations, the objective of the item references the external affairs power (section 51(xxix)) of the Constitution.</w:t>
      </w:r>
    </w:p>
    <w:p w14:paraId="6719D223" w14:textId="77777777" w:rsidR="005A6727" w:rsidRPr="001F4ECA" w:rsidRDefault="005A6727" w:rsidP="005A6727">
      <w:pPr>
        <w:rPr>
          <w:rFonts w:ascii="Times New Roman" w:eastAsiaTheme="minorHAnsi" w:hAnsi="Times New Roman"/>
          <w:sz w:val="24"/>
          <w:szCs w:val="24"/>
          <w:lang w:eastAsia="en-US"/>
        </w:rPr>
      </w:pPr>
    </w:p>
    <w:p w14:paraId="649F652D" w14:textId="77777777" w:rsidR="005A6727" w:rsidRPr="001F4ECA" w:rsidRDefault="005A6727" w:rsidP="005A6727">
      <w:pPr>
        <w:rPr>
          <w:rFonts w:ascii="Times New Roman" w:eastAsiaTheme="minorHAnsi" w:hAnsi="Times New Roman"/>
          <w:i/>
          <w:sz w:val="24"/>
          <w:szCs w:val="24"/>
          <w:u w:val="single"/>
          <w:lang w:eastAsia="en-US"/>
        </w:rPr>
      </w:pPr>
      <w:r w:rsidRPr="001F4ECA">
        <w:rPr>
          <w:rFonts w:ascii="Times New Roman" w:eastAsiaTheme="minorHAnsi" w:hAnsi="Times New Roman"/>
          <w:i/>
          <w:sz w:val="24"/>
          <w:szCs w:val="24"/>
          <w:u w:val="single"/>
          <w:lang w:eastAsia="en-US"/>
        </w:rPr>
        <w:t>External affairs power</w:t>
      </w:r>
    </w:p>
    <w:p w14:paraId="51F94EBB" w14:textId="77777777" w:rsidR="005A6727" w:rsidRPr="001F4ECA" w:rsidRDefault="005A6727" w:rsidP="005A6727">
      <w:pPr>
        <w:rPr>
          <w:rFonts w:ascii="Times New Roman" w:eastAsiaTheme="minorHAnsi" w:hAnsi="Times New Roman"/>
          <w:sz w:val="24"/>
          <w:szCs w:val="24"/>
          <w:lang w:eastAsia="en-US"/>
        </w:rPr>
      </w:pPr>
    </w:p>
    <w:p w14:paraId="644E3E8A"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Section 51(xxix) of the Constitution empowers the Parliament to make laws with respect to ‘external affairs’. The external affairs power supports legislation implementing Australia’s international obligations under treaties to which it is a party.</w:t>
      </w:r>
    </w:p>
    <w:p w14:paraId="28C20F79" w14:textId="4FF73DFF" w:rsidR="005A6727" w:rsidRPr="001F4ECA" w:rsidRDefault="005A6727" w:rsidP="005A6727">
      <w:pPr>
        <w:rPr>
          <w:rFonts w:ascii="Times New Roman" w:eastAsiaTheme="minorHAnsi" w:hAnsi="Times New Roman"/>
          <w:sz w:val="24"/>
          <w:szCs w:val="24"/>
          <w:lang w:eastAsia="en-US"/>
        </w:rPr>
      </w:pPr>
    </w:p>
    <w:p w14:paraId="37D8588B"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Australia has obligations relating to the following conventions:</w:t>
      </w:r>
    </w:p>
    <w:p w14:paraId="01C9A032" w14:textId="77777777" w:rsidR="005A6727" w:rsidRPr="001F4ECA" w:rsidRDefault="005A6727" w:rsidP="005A6727">
      <w:pPr>
        <w:numPr>
          <w:ilvl w:val="0"/>
          <w:numId w:val="40"/>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i/>
          <w:sz w:val="24"/>
          <w:szCs w:val="24"/>
          <w:lang w:eastAsia="en-US"/>
        </w:rPr>
        <w:t>Convention on the Elimination of All Forms of Discrimination against Women</w:t>
      </w:r>
      <w:r w:rsidRPr="001F4ECA">
        <w:rPr>
          <w:rFonts w:ascii="Times New Roman" w:eastAsiaTheme="minorHAnsi" w:hAnsi="Times New Roman"/>
          <w:sz w:val="24"/>
          <w:szCs w:val="24"/>
          <w:lang w:eastAsia="en-US"/>
        </w:rPr>
        <w:t xml:space="preserve"> (CEDAW), including Articles 1, 2, 3 and 11; </w:t>
      </w:r>
    </w:p>
    <w:p w14:paraId="2F134D85" w14:textId="77777777" w:rsidR="005A6727" w:rsidRPr="001F4ECA" w:rsidRDefault="005A6727" w:rsidP="005A6727">
      <w:pPr>
        <w:numPr>
          <w:ilvl w:val="0"/>
          <w:numId w:val="40"/>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i/>
          <w:sz w:val="24"/>
          <w:szCs w:val="24"/>
          <w:lang w:eastAsia="en-US"/>
        </w:rPr>
        <w:t>International Covenant on Economic, Social and Cultural Rights</w:t>
      </w:r>
      <w:r w:rsidRPr="001F4ECA">
        <w:rPr>
          <w:rFonts w:ascii="Times New Roman" w:eastAsiaTheme="minorHAnsi" w:hAnsi="Times New Roman"/>
          <w:sz w:val="24"/>
          <w:szCs w:val="24"/>
          <w:lang w:eastAsia="en-US"/>
        </w:rPr>
        <w:t xml:space="preserve"> (ICESCR), including Articles 2 and 6; and</w:t>
      </w:r>
    </w:p>
    <w:p w14:paraId="1291B95E" w14:textId="77777777" w:rsidR="005A6727" w:rsidRPr="001F4ECA" w:rsidRDefault="005A6727" w:rsidP="005A6727">
      <w:pPr>
        <w:numPr>
          <w:ilvl w:val="0"/>
          <w:numId w:val="40"/>
        </w:num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International Labour Organization’s </w:t>
      </w:r>
      <w:r w:rsidRPr="001F4ECA">
        <w:rPr>
          <w:rFonts w:ascii="Times New Roman" w:eastAsiaTheme="minorHAnsi" w:hAnsi="Times New Roman"/>
          <w:i/>
          <w:sz w:val="24"/>
          <w:szCs w:val="24"/>
          <w:lang w:eastAsia="en-US"/>
        </w:rPr>
        <w:t>Convention concerning Employment Policy</w:t>
      </w:r>
      <w:r w:rsidRPr="001F4ECA">
        <w:rPr>
          <w:rFonts w:ascii="Times New Roman" w:eastAsiaTheme="minorHAnsi" w:hAnsi="Times New Roman"/>
          <w:sz w:val="24"/>
          <w:szCs w:val="24"/>
          <w:lang w:eastAsia="en-US"/>
        </w:rPr>
        <w:t xml:space="preserve"> (ILO Convention 122), including Articles 1 and 2.</w:t>
      </w:r>
    </w:p>
    <w:p w14:paraId="7B8111A7" w14:textId="77777777" w:rsidR="005A6727" w:rsidRPr="001F4ECA" w:rsidRDefault="005A6727" w:rsidP="005A6727">
      <w:pPr>
        <w:rPr>
          <w:rFonts w:ascii="Times New Roman" w:eastAsiaTheme="minorHAnsi" w:hAnsi="Times New Roman"/>
          <w:sz w:val="24"/>
          <w:szCs w:val="24"/>
          <w:lang w:eastAsia="en-US"/>
        </w:rPr>
      </w:pPr>
    </w:p>
    <w:p w14:paraId="218F30F3" w14:textId="773658D9" w:rsidR="005A6727" w:rsidRPr="001F4ECA" w:rsidRDefault="00093DFC" w:rsidP="005A6727">
      <w:pPr>
        <w:rPr>
          <w:rFonts w:ascii="Times New Roman" w:eastAsiaTheme="minorHAnsi" w:hAnsi="Times New Roman"/>
          <w:i/>
          <w:iCs/>
          <w:sz w:val="24"/>
          <w:szCs w:val="24"/>
          <w:lang w:eastAsia="en-US"/>
        </w:rPr>
      </w:pPr>
      <w:r w:rsidRPr="001F4ECA">
        <w:rPr>
          <w:rFonts w:ascii="Times New Roman" w:eastAsiaTheme="minorHAnsi" w:hAnsi="Times New Roman"/>
          <w:i/>
          <w:iCs/>
          <w:sz w:val="24"/>
          <w:szCs w:val="24"/>
          <w:lang w:eastAsia="en-US"/>
        </w:rPr>
        <w:t>CEDAW</w:t>
      </w:r>
    </w:p>
    <w:p w14:paraId="0D55A8BB" w14:textId="77777777" w:rsidR="005A6727" w:rsidRPr="001F4ECA" w:rsidRDefault="005A6727" w:rsidP="005A6727">
      <w:pPr>
        <w:rPr>
          <w:rFonts w:ascii="Times New Roman" w:eastAsiaTheme="minorHAnsi" w:hAnsi="Times New Roman"/>
          <w:sz w:val="24"/>
          <w:szCs w:val="24"/>
          <w:lang w:eastAsia="en-US"/>
        </w:rPr>
      </w:pPr>
    </w:p>
    <w:p w14:paraId="2A36C83B" w14:textId="2EB155A3"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Article 1</w:t>
      </w:r>
      <w:r w:rsidR="00093DFC" w:rsidRPr="001F4ECA">
        <w:rPr>
          <w:rFonts w:ascii="Times New Roman" w:eastAsiaTheme="minorHAnsi" w:hAnsi="Times New Roman"/>
          <w:sz w:val="24"/>
          <w:szCs w:val="24"/>
          <w:lang w:eastAsia="en-US"/>
        </w:rPr>
        <w:t xml:space="preserve"> </w:t>
      </w:r>
      <w:r w:rsidRPr="001F4ECA">
        <w:rPr>
          <w:rFonts w:ascii="Times New Roman" w:eastAsiaTheme="minorHAnsi" w:hAnsi="Times New Roman"/>
          <w:sz w:val="24"/>
          <w:szCs w:val="24"/>
          <w:lang w:eastAsia="en-US"/>
        </w:rPr>
        <w:t>provides that for the purposes of the CEDAW,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w:t>
      </w:r>
    </w:p>
    <w:p w14:paraId="12AC3F0D" w14:textId="77777777" w:rsidR="005A6727" w:rsidRPr="001F4ECA" w:rsidRDefault="005A6727" w:rsidP="005A6727">
      <w:pPr>
        <w:rPr>
          <w:rFonts w:ascii="Times New Roman" w:eastAsiaTheme="minorHAnsi" w:hAnsi="Times New Roman"/>
          <w:sz w:val="24"/>
          <w:szCs w:val="24"/>
          <w:lang w:eastAsia="en-US"/>
        </w:rPr>
      </w:pPr>
    </w:p>
    <w:p w14:paraId="74FB915D"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2 provides that States Parties condemn discrimination against women in all its forms, and agree to pursue by all appropriate means and without delay a policy of eliminating discrimination against women. </w:t>
      </w:r>
    </w:p>
    <w:p w14:paraId="72048D1A" w14:textId="77777777" w:rsidR="005A6727" w:rsidRPr="001F4ECA" w:rsidRDefault="005A6727" w:rsidP="005A6727">
      <w:pPr>
        <w:rPr>
          <w:rFonts w:ascii="Times New Roman" w:eastAsiaTheme="minorHAnsi" w:hAnsi="Times New Roman"/>
          <w:sz w:val="24"/>
          <w:szCs w:val="24"/>
          <w:lang w:eastAsia="en-US"/>
        </w:rPr>
      </w:pPr>
    </w:p>
    <w:p w14:paraId="33A60313" w14:textId="46D32CC3" w:rsidR="005A6727" w:rsidRPr="001F4ECA" w:rsidRDefault="00093DFC"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Article 3 requires ‘</w:t>
      </w:r>
      <w:r w:rsidR="005A6727" w:rsidRPr="001F4ECA">
        <w:rPr>
          <w:rFonts w:ascii="Times New Roman" w:eastAsiaTheme="minorHAnsi" w:hAnsi="Times New Roman"/>
          <w:sz w:val="24"/>
          <w:szCs w:val="24"/>
          <w:lang w:eastAsia="en-US"/>
        </w:rPr>
        <w:t xml:space="preserve">States Parties to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w:t>
      </w:r>
      <w:r w:rsidRPr="001F4ECA">
        <w:rPr>
          <w:rFonts w:ascii="Times New Roman" w:eastAsiaTheme="minorHAnsi" w:hAnsi="Times New Roman"/>
          <w:sz w:val="24"/>
          <w:szCs w:val="24"/>
          <w:lang w:eastAsia="en-US"/>
        </w:rPr>
        <w:t>men’</w:t>
      </w:r>
      <w:r w:rsidR="005A6727" w:rsidRPr="001F4ECA">
        <w:rPr>
          <w:rFonts w:ascii="Times New Roman" w:eastAsiaTheme="minorHAnsi" w:hAnsi="Times New Roman"/>
          <w:sz w:val="24"/>
          <w:szCs w:val="24"/>
          <w:lang w:eastAsia="en-US"/>
        </w:rPr>
        <w:t>.</w:t>
      </w:r>
    </w:p>
    <w:p w14:paraId="02D0C7A6" w14:textId="77777777" w:rsidR="005A6727" w:rsidRPr="001F4ECA" w:rsidRDefault="005A6727" w:rsidP="005A6727">
      <w:pPr>
        <w:rPr>
          <w:rFonts w:ascii="Times New Roman" w:eastAsiaTheme="minorHAnsi" w:hAnsi="Times New Roman"/>
          <w:sz w:val="24"/>
          <w:szCs w:val="24"/>
          <w:lang w:eastAsia="en-US"/>
        </w:rPr>
      </w:pPr>
    </w:p>
    <w:p w14:paraId="1E87D352" w14:textId="134D420D"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Article 11 prov</w:t>
      </w:r>
      <w:r w:rsidR="00093DFC" w:rsidRPr="001F4ECA">
        <w:rPr>
          <w:rFonts w:ascii="Times New Roman" w:eastAsiaTheme="minorHAnsi" w:hAnsi="Times New Roman"/>
          <w:sz w:val="24"/>
          <w:szCs w:val="24"/>
          <w:lang w:eastAsia="en-US"/>
        </w:rPr>
        <w:t>ides that States Parties shall ‘</w:t>
      </w:r>
      <w:r w:rsidRPr="001F4ECA">
        <w:rPr>
          <w:rFonts w:ascii="Times New Roman" w:eastAsiaTheme="minorHAnsi" w:hAnsi="Times New Roman"/>
          <w:sz w:val="24"/>
          <w:szCs w:val="24"/>
          <w:lang w:eastAsia="en-US"/>
        </w:rPr>
        <w:t>take all appropriate measures to eliminate discrimination against women in the field of employment in order to ensure, on a basis of equality of men and women, the same rights</w:t>
      </w:r>
      <w:r w:rsidR="00093DFC"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w:t>
      </w:r>
    </w:p>
    <w:p w14:paraId="5BC2A41E" w14:textId="77777777" w:rsidR="005A6727" w:rsidRPr="001F4ECA" w:rsidRDefault="005A6727" w:rsidP="005A6727">
      <w:pPr>
        <w:rPr>
          <w:rFonts w:ascii="Times New Roman" w:eastAsiaTheme="minorHAnsi" w:hAnsi="Times New Roman"/>
          <w:sz w:val="24"/>
          <w:szCs w:val="24"/>
          <w:lang w:eastAsia="en-US"/>
        </w:rPr>
      </w:pPr>
    </w:p>
    <w:p w14:paraId="551EEDA3"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program will support the implementation of Australia’s obligations under the CEDAW by providing assistance to specific employers to develop an action plan to attract and recruit women, and promote the equal opportunity of women’s participation in the workforce. </w:t>
      </w:r>
    </w:p>
    <w:p w14:paraId="06FC627D" w14:textId="1DE3439D" w:rsidR="00093DFC" w:rsidRPr="001F4ECA" w:rsidRDefault="00093DFC" w:rsidP="00093DFC">
      <w:pPr>
        <w:rPr>
          <w:rFonts w:ascii="Times New Roman" w:eastAsiaTheme="minorHAnsi" w:hAnsi="Times New Roman"/>
          <w:i/>
          <w:iCs/>
          <w:sz w:val="24"/>
          <w:szCs w:val="24"/>
          <w:lang w:eastAsia="en-US"/>
        </w:rPr>
      </w:pPr>
      <w:r w:rsidRPr="001F4ECA">
        <w:rPr>
          <w:rFonts w:ascii="Times New Roman" w:eastAsiaTheme="minorHAnsi" w:hAnsi="Times New Roman"/>
          <w:i/>
          <w:iCs/>
          <w:sz w:val="24"/>
          <w:szCs w:val="24"/>
          <w:lang w:eastAsia="en-US"/>
        </w:rPr>
        <w:br w:type="page"/>
      </w:r>
    </w:p>
    <w:p w14:paraId="7D33ECF4" w14:textId="16CE64C4" w:rsidR="005A6727" w:rsidRPr="001F4ECA" w:rsidRDefault="00093DFC" w:rsidP="005A6727">
      <w:pPr>
        <w:rPr>
          <w:rFonts w:ascii="Times New Roman" w:eastAsiaTheme="minorHAnsi" w:hAnsi="Times New Roman"/>
          <w:i/>
          <w:iCs/>
          <w:sz w:val="24"/>
          <w:szCs w:val="24"/>
          <w:lang w:eastAsia="en-US"/>
        </w:rPr>
      </w:pPr>
      <w:r w:rsidRPr="001F4ECA">
        <w:rPr>
          <w:rFonts w:ascii="Times New Roman" w:eastAsiaTheme="minorHAnsi" w:hAnsi="Times New Roman"/>
          <w:i/>
          <w:iCs/>
          <w:sz w:val="24"/>
          <w:szCs w:val="24"/>
          <w:lang w:eastAsia="en-US"/>
        </w:rPr>
        <w:lastRenderedPageBreak/>
        <w:t>ICESCR</w:t>
      </w:r>
    </w:p>
    <w:p w14:paraId="4C1645B9" w14:textId="77777777" w:rsidR="005A6727" w:rsidRPr="001F4ECA" w:rsidRDefault="005A6727" w:rsidP="005A6727">
      <w:pPr>
        <w:rPr>
          <w:rFonts w:ascii="Times New Roman" w:eastAsiaTheme="minorHAnsi" w:hAnsi="Times New Roman"/>
          <w:i/>
          <w:iCs/>
          <w:sz w:val="24"/>
          <w:szCs w:val="24"/>
          <w:lang w:eastAsia="en-US"/>
        </w:rPr>
      </w:pPr>
    </w:p>
    <w:p w14:paraId="0D7DB86E" w14:textId="1AE10CA0"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Article 2(1) of the ICESCR provides that eac</w:t>
      </w:r>
      <w:r w:rsidR="00093DFC" w:rsidRPr="001F4ECA">
        <w:rPr>
          <w:rFonts w:ascii="Times New Roman" w:eastAsiaTheme="minorHAnsi" w:hAnsi="Times New Roman"/>
          <w:sz w:val="24"/>
          <w:szCs w:val="24"/>
          <w:lang w:eastAsia="en-US"/>
        </w:rPr>
        <w:t>h State Party shall take steps ‘</w:t>
      </w:r>
      <w:r w:rsidRPr="001F4ECA">
        <w:rPr>
          <w:rFonts w:ascii="Times New Roman" w:eastAsiaTheme="minorHAnsi" w:hAnsi="Times New Roman"/>
          <w:sz w:val="24"/>
          <w:szCs w:val="24"/>
          <w:lang w:eastAsia="en-US"/>
        </w:rPr>
        <w:t>to the maximum of its available resources</w:t>
      </w:r>
      <w:r w:rsidR="00093DFC"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to realise the rights within the ICESCR, including the right to work recognised in Article 6(1). Article 2(2) provides that </w:t>
      </w:r>
      <w:r w:rsidR="00093DFC"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States Parties undertake to guarantee that the rights enunciated in the ICESCR, including the right to work recognised in Article</w:t>
      </w:r>
      <w:r w:rsidR="00093DFC" w:rsidRPr="001F4ECA">
        <w:rPr>
          <w:rFonts w:ascii="Times New Roman" w:eastAsiaTheme="minorHAnsi" w:hAnsi="Times New Roman"/>
          <w:sz w:val="24"/>
          <w:szCs w:val="24"/>
          <w:lang w:eastAsia="en-US"/>
        </w:rPr>
        <w:t> </w:t>
      </w:r>
      <w:r w:rsidRPr="001F4ECA">
        <w:rPr>
          <w:rFonts w:ascii="Times New Roman" w:eastAsiaTheme="minorHAnsi" w:hAnsi="Times New Roman"/>
          <w:sz w:val="24"/>
          <w:szCs w:val="24"/>
          <w:lang w:eastAsia="en-US"/>
        </w:rPr>
        <w:t xml:space="preserve">6(1), </w:t>
      </w:r>
      <w:r w:rsidR="00093DFC"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will be exercised without discrimination of any kind</w:t>
      </w:r>
      <w:r w:rsidR="00093DFC"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as to sex or other status.</w:t>
      </w:r>
    </w:p>
    <w:p w14:paraId="2B190EDB" w14:textId="77777777" w:rsidR="005A6727" w:rsidRPr="001F4ECA" w:rsidRDefault="005A6727" w:rsidP="005A6727">
      <w:pPr>
        <w:rPr>
          <w:rFonts w:ascii="Times New Roman" w:eastAsiaTheme="minorHAnsi" w:hAnsi="Times New Roman"/>
          <w:sz w:val="24"/>
          <w:szCs w:val="24"/>
          <w:lang w:eastAsia="en-US"/>
        </w:rPr>
      </w:pPr>
    </w:p>
    <w:p w14:paraId="7B5BB88E"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The program is intended to assist employers to identify and address barriers in their workplace that may impact on the engagement and retention of women. The program will provide a range of services tailored to the employer to assist the employer to better attract and recruit women, improve the retention of women employees, and enhance the foundational working environment for women. The program is therefore designed to maximise available resources directed to achieve full realisation of the right to work.</w:t>
      </w:r>
    </w:p>
    <w:p w14:paraId="08C406FE" w14:textId="77777777" w:rsidR="005A6727" w:rsidRPr="001F4ECA" w:rsidRDefault="005A6727" w:rsidP="005A6727">
      <w:pPr>
        <w:rPr>
          <w:rFonts w:ascii="Times New Roman" w:eastAsiaTheme="minorHAnsi" w:hAnsi="Times New Roman"/>
          <w:sz w:val="24"/>
          <w:szCs w:val="24"/>
          <w:lang w:eastAsia="en-US"/>
        </w:rPr>
      </w:pPr>
    </w:p>
    <w:p w14:paraId="634CE4DC" w14:textId="0B879682" w:rsidR="005A6727" w:rsidRPr="001F4ECA" w:rsidRDefault="00093DFC" w:rsidP="005A6727">
      <w:pPr>
        <w:rPr>
          <w:rFonts w:ascii="Times New Roman" w:eastAsiaTheme="minorHAnsi" w:hAnsi="Times New Roman"/>
          <w:i/>
          <w:iCs/>
          <w:sz w:val="24"/>
          <w:szCs w:val="24"/>
          <w:lang w:eastAsia="en-US"/>
        </w:rPr>
      </w:pPr>
      <w:r w:rsidRPr="001F4ECA">
        <w:rPr>
          <w:rFonts w:ascii="Times New Roman" w:eastAsiaTheme="minorHAnsi" w:hAnsi="Times New Roman"/>
          <w:i/>
          <w:iCs/>
          <w:sz w:val="24"/>
          <w:szCs w:val="24"/>
          <w:lang w:eastAsia="en-US"/>
        </w:rPr>
        <w:t>ILO Convention 122</w:t>
      </w:r>
    </w:p>
    <w:p w14:paraId="17F4BAAB" w14:textId="77777777" w:rsidR="005A6727" w:rsidRPr="001F4ECA" w:rsidRDefault="005A6727" w:rsidP="005A6727">
      <w:pPr>
        <w:rPr>
          <w:rFonts w:ascii="Times New Roman" w:eastAsiaTheme="minorHAnsi" w:hAnsi="Times New Roman"/>
          <w:i/>
          <w:iCs/>
          <w:sz w:val="24"/>
          <w:szCs w:val="24"/>
          <w:lang w:eastAsia="en-US"/>
        </w:rPr>
      </w:pPr>
    </w:p>
    <w:p w14:paraId="22A9F76F" w14:textId="5C8905A3"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Article 1(1) of </w:t>
      </w:r>
      <w:r w:rsidR="00093DFC" w:rsidRPr="001F4ECA">
        <w:rPr>
          <w:rFonts w:ascii="Times New Roman" w:eastAsiaTheme="minorHAnsi" w:hAnsi="Times New Roman"/>
          <w:sz w:val="24"/>
          <w:szCs w:val="24"/>
          <w:lang w:eastAsia="en-US"/>
        </w:rPr>
        <w:t xml:space="preserve">the </w:t>
      </w:r>
      <w:r w:rsidRPr="001F4ECA">
        <w:rPr>
          <w:rFonts w:ascii="Times New Roman" w:eastAsiaTheme="minorHAnsi" w:hAnsi="Times New Roman"/>
          <w:sz w:val="24"/>
          <w:szCs w:val="24"/>
          <w:lang w:eastAsia="en-US"/>
        </w:rPr>
        <w:t xml:space="preserve">ILO Convention </w:t>
      </w:r>
      <w:r w:rsidR="00093DFC" w:rsidRPr="001F4ECA">
        <w:rPr>
          <w:rFonts w:ascii="Times New Roman" w:eastAsiaTheme="minorHAnsi" w:hAnsi="Times New Roman"/>
          <w:sz w:val="24"/>
          <w:szCs w:val="24"/>
          <w:lang w:eastAsia="en-US"/>
        </w:rPr>
        <w:t>122 requires Members to pursue ‘</w:t>
      </w:r>
      <w:r w:rsidRPr="001F4ECA">
        <w:rPr>
          <w:rFonts w:ascii="Times New Roman" w:eastAsiaTheme="minorHAnsi" w:hAnsi="Times New Roman"/>
          <w:sz w:val="24"/>
          <w:szCs w:val="24"/>
          <w:lang w:eastAsia="en-US"/>
        </w:rPr>
        <w:t>an active policy designed to promote full, productive and freely chosen employment</w:t>
      </w:r>
      <w:r w:rsidR="00093DFC"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This obligation is supplemented by Article 2 which provides that Members shall </w:t>
      </w:r>
      <w:r w:rsidR="00093DFC"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take such steps as may be needed, including when appropriate the establishment of programs</w:t>
      </w:r>
      <w:r w:rsidR="00093DFC" w:rsidRPr="001F4ECA">
        <w:rPr>
          <w:rFonts w:ascii="Times New Roman" w:eastAsiaTheme="minorHAnsi" w:hAnsi="Times New Roman"/>
          <w:sz w:val="24"/>
          <w:szCs w:val="24"/>
          <w:lang w:eastAsia="en-US"/>
        </w:rPr>
        <w:t>’</w:t>
      </w:r>
      <w:r w:rsidRPr="001F4ECA">
        <w:rPr>
          <w:rFonts w:ascii="Times New Roman" w:eastAsiaTheme="minorHAnsi" w:hAnsi="Times New Roman"/>
          <w:sz w:val="24"/>
          <w:szCs w:val="24"/>
          <w:lang w:eastAsia="en-US"/>
        </w:rPr>
        <w:t xml:space="preserve"> to achi</w:t>
      </w:r>
      <w:r w:rsidR="00093DFC" w:rsidRPr="001F4ECA">
        <w:rPr>
          <w:rFonts w:ascii="Times New Roman" w:eastAsiaTheme="minorHAnsi" w:hAnsi="Times New Roman"/>
          <w:sz w:val="24"/>
          <w:szCs w:val="24"/>
          <w:lang w:eastAsia="en-US"/>
        </w:rPr>
        <w:t>eve the objectives of Article 1</w:t>
      </w:r>
      <w:r w:rsidRPr="001F4ECA">
        <w:rPr>
          <w:rFonts w:ascii="Times New Roman" w:eastAsiaTheme="minorHAnsi" w:hAnsi="Times New Roman"/>
          <w:sz w:val="24"/>
          <w:szCs w:val="24"/>
          <w:lang w:eastAsia="en-US"/>
        </w:rPr>
        <w:t xml:space="preserve">. </w:t>
      </w:r>
    </w:p>
    <w:p w14:paraId="6D861179" w14:textId="77777777" w:rsidR="005A6727" w:rsidRPr="001F4ECA" w:rsidRDefault="005A6727" w:rsidP="005A6727">
      <w:pPr>
        <w:rPr>
          <w:rFonts w:ascii="Times New Roman" w:eastAsiaTheme="minorHAnsi" w:hAnsi="Times New Roman"/>
          <w:sz w:val="24"/>
          <w:szCs w:val="24"/>
          <w:lang w:eastAsia="en-US"/>
        </w:rPr>
      </w:pPr>
    </w:p>
    <w:p w14:paraId="4B5938FB" w14:textId="77777777" w:rsidR="005A6727" w:rsidRPr="001F4ECA" w:rsidRDefault="005A6727" w:rsidP="005A6727">
      <w:pPr>
        <w:rPr>
          <w:rFonts w:ascii="Times New Roman" w:eastAsiaTheme="minorHAnsi" w:hAnsi="Times New Roman"/>
          <w:sz w:val="24"/>
          <w:szCs w:val="24"/>
          <w:lang w:eastAsia="en-US"/>
        </w:rPr>
      </w:pPr>
      <w:r w:rsidRPr="001F4ECA">
        <w:rPr>
          <w:rFonts w:ascii="Times New Roman" w:eastAsiaTheme="minorHAnsi" w:hAnsi="Times New Roman"/>
          <w:sz w:val="24"/>
          <w:szCs w:val="24"/>
          <w:lang w:eastAsia="en-US"/>
        </w:rPr>
        <w:t xml:space="preserve">The program will provide services to employers which are directed towards promoting full, productive and freely chosen employment. These services will assist the employer to identify and address barriers in their businesses that impact women returning to work, and improve women’s engagement, attraction and retention in their chosen employment. </w:t>
      </w:r>
    </w:p>
    <w:p w14:paraId="38EBCFEC" w14:textId="77777777" w:rsidR="005A6727" w:rsidRPr="001F4ECA" w:rsidRDefault="005A6727" w:rsidP="005A6727">
      <w:pPr>
        <w:rPr>
          <w:rFonts w:ascii="Times New Roman" w:eastAsiaTheme="minorHAnsi" w:hAnsi="Times New Roman"/>
          <w:sz w:val="24"/>
          <w:szCs w:val="24"/>
          <w:lang w:eastAsia="en-US"/>
        </w:rPr>
      </w:pPr>
    </w:p>
    <w:p w14:paraId="608D09BC" w14:textId="77777777" w:rsidR="00F03C1F" w:rsidRPr="001F4ECA" w:rsidRDefault="00F03C1F" w:rsidP="00F03C1F">
      <w:pPr>
        <w:rPr>
          <w:rFonts w:ascii="Times New Roman" w:eastAsiaTheme="minorHAnsi" w:hAnsi="Times New Roman"/>
          <w:sz w:val="24"/>
          <w:szCs w:val="24"/>
          <w:lang w:eastAsia="en-US"/>
        </w:rPr>
      </w:pPr>
    </w:p>
    <w:p w14:paraId="0B6C0E39" w14:textId="77777777" w:rsidR="009D276A" w:rsidRPr="001F4ECA" w:rsidRDefault="009D276A" w:rsidP="00085B09">
      <w:pPr>
        <w:spacing w:after="200" w:line="276" w:lineRule="auto"/>
        <w:rPr>
          <w:rFonts w:ascii="Times New Roman" w:eastAsiaTheme="minorHAnsi" w:hAnsi="Times New Roman"/>
          <w:sz w:val="24"/>
          <w:szCs w:val="24"/>
          <w:lang w:eastAsia="en-US"/>
        </w:rPr>
        <w:sectPr w:rsidR="009D276A" w:rsidRPr="001F4ECA" w:rsidSect="004D676F">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097DDBEB" w14:textId="77777777" w:rsidR="00BF526C" w:rsidRPr="001F4ECA" w:rsidRDefault="00BF526C" w:rsidP="00BF526C">
      <w:pPr>
        <w:contextualSpacing/>
        <w:jc w:val="center"/>
        <w:rPr>
          <w:rFonts w:ascii="Times New Roman" w:eastAsia="Times New Roman" w:hAnsi="Times New Roman"/>
          <w:b/>
          <w:bCs/>
          <w:sz w:val="24"/>
          <w:szCs w:val="24"/>
        </w:rPr>
      </w:pPr>
      <w:r w:rsidRPr="001F4ECA">
        <w:rPr>
          <w:rFonts w:ascii="Times New Roman" w:eastAsia="Times New Roman" w:hAnsi="Times New Roman"/>
          <w:b/>
          <w:bCs/>
          <w:sz w:val="24"/>
          <w:szCs w:val="24"/>
        </w:rPr>
        <w:lastRenderedPageBreak/>
        <w:t>Statement of Compatibility with Human Rights</w:t>
      </w:r>
    </w:p>
    <w:p w14:paraId="3C6A749A" w14:textId="77777777" w:rsidR="00BF526C" w:rsidRPr="001F4ECA" w:rsidRDefault="00BF526C" w:rsidP="00BF526C">
      <w:pPr>
        <w:pStyle w:val="paranumbering0"/>
        <w:spacing w:before="0" w:beforeAutospacing="0" w:after="0" w:afterAutospacing="0"/>
        <w:contextualSpacing/>
        <w:jc w:val="center"/>
      </w:pPr>
    </w:p>
    <w:p w14:paraId="6437513E" w14:textId="77777777" w:rsidR="00ED38BC" w:rsidRPr="001F4ECA" w:rsidRDefault="00ED38BC" w:rsidP="00ED38BC">
      <w:pPr>
        <w:jc w:val="center"/>
        <w:rPr>
          <w:rFonts w:ascii="Times New Roman" w:hAnsi="Times New Roman"/>
          <w:sz w:val="24"/>
          <w:szCs w:val="24"/>
        </w:rPr>
      </w:pPr>
      <w:r w:rsidRPr="001F4ECA">
        <w:rPr>
          <w:rFonts w:ascii="Times New Roman" w:hAnsi="Times New Roman"/>
          <w:sz w:val="24"/>
          <w:szCs w:val="24"/>
        </w:rPr>
        <w:t xml:space="preserve">Prepared in accordance with Part 3 of the </w:t>
      </w:r>
      <w:r w:rsidRPr="001F4ECA">
        <w:rPr>
          <w:rFonts w:ascii="Times New Roman" w:hAnsi="Times New Roman"/>
          <w:i/>
          <w:sz w:val="24"/>
          <w:szCs w:val="24"/>
        </w:rPr>
        <w:t>Human Rights (Parliamentary Scrutiny) Act 2011</w:t>
      </w:r>
    </w:p>
    <w:p w14:paraId="3934B4E1" w14:textId="77777777" w:rsidR="00ED38BC" w:rsidRPr="001F4ECA" w:rsidRDefault="00ED38BC" w:rsidP="00ED38BC">
      <w:pPr>
        <w:jc w:val="center"/>
        <w:rPr>
          <w:rFonts w:ascii="Times New Roman" w:hAnsi="Times New Roman"/>
        </w:rPr>
      </w:pPr>
    </w:p>
    <w:p w14:paraId="360BF128" w14:textId="64FA48A8" w:rsidR="00ED38BC" w:rsidRPr="001F4ECA" w:rsidRDefault="00ED38BC" w:rsidP="00ED38BC">
      <w:pPr>
        <w:rPr>
          <w:rFonts w:ascii="Times New Roman" w:hAnsi="Times New Roman"/>
          <w:b/>
          <w:i/>
          <w:sz w:val="24"/>
          <w:szCs w:val="24"/>
        </w:rPr>
      </w:pPr>
      <w:r w:rsidRPr="001F4ECA">
        <w:rPr>
          <w:rFonts w:ascii="Times New Roman" w:hAnsi="Times New Roman"/>
          <w:b/>
          <w:i/>
          <w:sz w:val="24"/>
          <w:szCs w:val="24"/>
        </w:rPr>
        <w:t xml:space="preserve">Financial Framework (Supplementary Powers) Amendment </w:t>
      </w:r>
      <w:r w:rsidRPr="001F4ECA">
        <w:rPr>
          <w:rFonts w:ascii="Times New Roman" w:hAnsi="Times New Roman"/>
          <w:b/>
          <w:i/>
          <w:iCs/>
          <w:sz w:val="24"/>
          <w:szCs w:val="24"/>
        </w:rPr>
        <w:t>(Education, Skills and Employment Measures No. </w:t>
      </w:r>
      <w:r w:rsidR="00E170DA" w:rsidRPr="001F4ECA">
        <w:rPr>
          <w:rFonts w:ascii="Times New Roman" w:hAnsi="Times New Roman"/>
          <w:b/>
          <w:i/>
          <w:iCs/>
          <w:sz w:val="24"/>
          <w:szCs w:val="24"/>
        </w:rPr>
        <w:t>3</w:t>
      </w:r>
      <w:r w:rsidRPr="001F4ECA">
        <w:rPr>
          <w:rFonts w:ascii="Times New Roman" w:hAnsi="Times New Roman"/>
          <w:b/>
          <w:i/>
          <w:iCs/>
          <w:sz w:val="24"/>
          <w:szCs w:val="24"/>
        </w:rPr>
        <w:t xml:space="preserve">) </w:t>
      </w:r>
      <w:r w:rsidRPr="001F4ECA">
        <w:rPr>
          <w:rFonts w:ascii="Times New Roman" w:hAnsi="Times New Roman"/>
          <w:b/>
          <w:i/>
          <w:sz w:val="24"/>
          <w:szCs w:val="24"/>
        </w:rPr>
        <w:t>Regulations 2021</w:t>
      </w:r>
    </w:p>
    <w:p w14:paraId="032F6812" w14:textId="77777777" w:rsidR="00ED38BC" w:rsidRPr="001F4ECA" w:rsidRDefault="00ED38BC" w:rsidP="00ED38BC">
      <w:pPr>
        <w:rPr>
          <w:rFonts w:ascii="Times New Roman" w:hAnsi="Times New Roman"/>
          <w:sz w:val="24"/>
          <w:szCs w:val="24"/>
        </w:rPr>
      </w:pPr>
    </w:p>
    <w:p w14:paraId="4CB83A87" w14:textId="0A7052DE" w:rsidR="00ED38BC" w:rsidRPr="001F4ECA" w:rsidRDefault="00ED38BC" w:rsidP="00ED38BC">
      <w:pPr>
        <w:rPr>
          <w:rFonts w:ascii="Times New Roman" w:hAnsi="Times New Roman"/>
          <w:sz w:val="24"/>
          <w:szCs w:val="24"/>
        </w:rPr>
      </w:pPr>
      <w:r w:rsidRPr="001F4ECA">
        <w:rPr>
          <w:rFonts w:ascii="Times New Roman" w:hAnsi="Times New Roman"/>
          <w:sz w:val="24"/>
          <w:szCs w:val="24"/>
        </w:rPr>
        <w:t xml:space="preserve">This </w:t>
      </w:r>
      <w:r w:rsidR="00B72151" w:rsidRPr="001F4ECA">
        <w:rPr>
          <w:rFonts w:ascii="Times New Roman" w:hAnsi="Times New Roman"/>
          <w:sz w:val="24"/>
          <w:szCs w:val="24"/>
        </w:rPr>
        <w:t>d</w:t>
      </w:r>
      <w:r w:rsidRPr="001F4ECA">
        <w:rPr>
          <w:rFonts w:ascii="Times New Roman" w:hAnsi="Times New Roman"/>
          <w:sz w:val="24"/>
          <w:szCs w:val="24"/>
        </w:rPr>
        <w:t xml:space="preserve">isallowable </w:t>
      </w:r>
      <w:r w:rsidR="00B72151" w:rsidRPr="001F4ECA">
        <w:rPr>
          <w:rFonts w:ascii="Times New Roman" w:hAnsi="Times New Roman"/>
          <w:sz w:val="24"/>
          <w:szCs w:val="24"/>
        </w:rPr>
        <w:t>l</w:t>
      </w:r>
      <w:r w:rsidRPr="001F4ECA">
        <w:rPr>
          <w:rFonts w:ascii="Times New Roman" w:hAnsi="Times New Roman"/>
          <w:sz w:val="24"/>
          <w:szCs w:val="24"/>
        </w:rPr>
        <w:t xml:space="preserve">egislative </w:t>
      </w:r>
      <w:r w:rsidR="00B72151" w:rsidRPr="001F4ECA">
        <w:rPr>
          <w:rFonts w:ascii="Times New Roman" w:hAnsi="Times New Roman"/>
          <w:sz w:val="24"/>
          <w:szCs w:val="24"/>
        </w:rPr>
        <w:t>i</w:t>
      </w:r>
      <w:r w:rsidRPr="001F4ECA">
        <w:rPr>
          <w:rFonts w:ascii="Times New Roman" w:hAnsi="Times New Roman"/>
          <w:sz w:val="24"/>
          <w:szCs w:val="24"/>
        </w:rPr>
        <w:t xml:space="preserve">nstrument is compatible with the human rights and freedoms recognised or declared in the international instruments listed in section 3 of the </w:t>
      </w:r>
      <w:r w:rsidRPr="001F4ECA">
        <w:rPr>
          <w:rFonts w:ascii="Times New Roman" w:hAnsi="Times New Roman"/>
          <w:i/>
          <w:sz w:val="24"/>
          <w:szCs w:val="24"/>
        </w:rPr>
        <w:t>Human Rights (Parliamentary Scrutiny) Act 2011</w:t>
      </w:r>
      <w:r w:rsidRPr="001F4ECA">
        <w:rPr>
          <w:rFonts w:ascii="Times New Roman" w:hAnsi="Times New Roman"/>
          <w:sz w:val="24"/>
          <w:szCs w:val="24"/>
        </w:rPr>
        <w:t>.</w:t>
      </w:r>
    </w:p>
    <w:p w14:paraId="52AA2B87" w14:textId="77777777" w:rsidR="00ED38BC" w:rsidRPr="001F4ECA" w:rsidRDefault="00ED38BC" w:rsidP="00ED38BC">
      <w:pPr>
        <w:rPr>
          <w:rFonts w:ascii="Times New Roman" w:hAnsi="Times New Roman"/>
          <w:sz w:val="24"/>
          <w:szCs w:val="24"/>
        </w:rPr>
      </w:pPr>
    </w:p>
    <w:p w14:paraId="6554CCC2" w14:textId="1BDFEF3F" w:rsidR="00ED38BC" w:rsidRPr="001F4ECA" w:rsidRDefault="00ED38BC" w:rsidP="00ED38BC">
      <w:pPr>
        <w:rPr>
          <w:rFonts w:ascii="Times New Roman" w:hAnsi="Times New Roman"/>
          <w:b/>
          <w:sz w:val="24"/>
          <w:szCs w:val="24"/>
        </w:rPr>
      </w:pPr>
      <w:r w:rsidRPr="001F4ECA">
        <w:rPr>
          <w:rFonts w:ascii="Times New Roman" w:hAnsi="Times New Roman"/>
          <w:b/>
          <w:sz w:val="24"/>
          <w:szCs w:val="24"/>
        </w:rPr>
        <w:t xml:space="preserve">Overview of the </w:t>
      </w:r>
      <w:r w:rsidR="00051D3C" w:rsidRPr="001F4ECA">
        <w:rPr>
          <w:rFonts w:ascii="Times New Roman" w:hAnsi="Times New Roman"/>
          <w:b/>
          <w:sz w:val="24"/>
          <w:szCs w:val="24"/>
        </w:rPr>
        <w:t>l</w:t>
      </w:r>
      <w:r w:rsidRPr="001F4ECA">
        <w:rPr>
          <w:rFonts w:ascii="Times New Roman" w:hAnsi="Times New Roman"/>
          <w:b/>
          <w:sz w:val="24"/>
          <w:szCs w:val="24"/>
        </w:rPr>
        <w:t xml:space="preserve">egislative </w:t>
      </w:r>
      <w:r w:rsidR="00051D3C" w:rsidRPr="001F4ECA">
        <w:rPr>
          <w:rFonts w:ascii="Times New Roman" w:hAnsi="Times New Roman"/>
          <w:b/>
          <w:sz w:val="24"/>
          <w:szCs w:val="24"/>
        </w:rPr>
        <w:t>i</w:t>
      </w:r>
      <w:r w:rsidRPr="001F4ECA">
        <w:rPr>
          <w:rFonts w:ascii="Times New Roman" w:hAnsi="Times New Roman"/>
          <w:b/>
          <w:sz w:val="24"/>
          <w:szCs w:val="24"/>
        </w:rPr>
        <w:t>nstrument</w:t>
      </w:r>
    </w:p>
    <w:p w14:paraId="01400BD7" w14:textId="77777777" w:rsidR="00ED38BC" w:rsidRPr="001F4ECA" w:rsidRDefault="00ED38BC" w:rsidP="00ED38BC">
      <w:pPr>
        <w:ind w:right="-188"/>
        <w:contextualSpacing/>
        <w:rPr>
          <w:rFonts w:ascii="Times New Roman" w:hAnsi="Times New Roman"/>
          <w:sz w:val="24"/>
          <w:szCs w:val="24"/>
        </w:rPr>
      </w:pPr>
    </w:p>
    <w:p w14:paraId="36E7C83D" w14:textId="77777777" w:rsidR="008A26EF" w:rsidRPr="001F4ECA" w:rsidRDefault="008A26EF" w:rsidP="008A26EF">
      <w:pPr>
        <w:pStyle w:val="paranumbering0"/>
        <w:spacing w:before="0" w:beforeAutospacing="0" w:after="0" w:afterAutospacing="0"/>
        <w:contextualSpacing/>
      </w:pPr>
      <w:r w:rsidRPr="001F4ECA">
        <w:t xml:space="preserve">Section 32B of the </w:t>
      </w:r>
      <w:r w:rsidRPr="001F4ECA">
        <w:rPr>
          <w:i/>
        </w:rPr>
        <w:t>Financial Framework (Supplementary Powers) Act 1997</w:t>
      </w:r>
      <w:r w:rsidRPr="001F4ECA">
        <w:t xml:space="preserve"> (the FF(SP) Act) authorises the Commonwealth to make, vary and administer arrangements and grants specified in the </w:t>
      </w:r>
      <w:r w:rsidRPr="001F4ECA">
        <w:rPr>
          <w:i/>
        </w:rPr>
        <w:t xml:space="preserve">Financial Framework (Supplementary Powers) Regulations 1997 </w:t>
      </w:r>
      <w:r w:rsidRPr="001F4ECA">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Pr="001F4ECA">
        <w:noBreakHyphen/>
        <w:t xml:space="preserve">corporate Commonwealth entities, as defined under section 12 of the </w:t>
      </w:r>
      <w:r w:rsidRPr="001F4ECA">
        <w:rPr>
          <w:i/>
        </w:rPr>
        <w:t>Public Governance, Performance and Accountability Act 2013</w:t>
      </w:r>
      <w:r w:rsidRPr="001F4ECA">
        <w:t>.</w:t>
      </w:r>
    </w:p>
    <w:p w14:paraId="74F9ABB1" w14:textId="77777777" w:rsidR="008A26EF" w:rsidRPr="001F4ECA" w:rsidRDefault="008A26EF" w:rsidP="008A26EF">
      <w:pPr>
        <w:rPr>
          <w:rFonts w:ascii="Times New Roman" w:hAnsi="Times New Roman"/>
          <w:sz w:val="24"/>
          <w:szCs w:val="24"/>
        </w:rPr>
      </w:pPr>
    </w:p>
    <w:p w14:paraId="2DCBEAD0" w14:textId="751D4D46" w:rsidR="00ED38BC" w:rsidRPr="001F4ECA" w:rsidRDefault="008A26EF" w:rsidP="008A26EF">
      <w:pPr>
        <w:ind w:right="-188"/>
        <w:contextualSpacing/>
        <w:rPr>
          <w:sz w:val="24"/>
          <w:szCs w:val="24"/>
        </w:rPr>
      </w:pPr>
      <w:r w:rsidRPr="001F4ECA">
        <w:rPr>
          <w:rFonts w:ascii="Times New Roman" w:hAnsi="Times New Roman"/>
          <w:sz w:val="24"/>
          <w:szCs w:val="24"/>
        </w:rPr>
        <w:t xml:space="preserve">The </w:t>
      </w:r>
      <w:r w:rsidRPr="001F4ECA">
        <w:rPr>
          <w:rFonts w:ascii="Times New Roman" w:hAnsi="Times New Roman"/>
          <w:i/>
          <w:sz w:val="24"/>
          <w:szCs w:val="24"/>
        </w:rPr>
        <w:t>Financial Framework (Supplementary Powers) Amendment (Education, Skills and Employment Measures No. </w:t>
      </w:r>
      <w:r w:rsidR="00E170DA" w:rsidRPr="001F4ECA">
        <w:rPr>
          <w:rFonts w:ascii="Times New Roman" w:hAnsi="Times New Roman"/>
          <w:i/>
          <w:sz w:val="24"/>
          <w:szCs w:val="24"/>
        </w:rPr>
        <w:t>3</w:t>
      </w:r>
      <w:r w:rsidRPr="001F4ECA">
        <w:rPr>
          <w:rFonts w:ascii="Times New Roman" w:hAnsi="Times New Roman"/>
          <w:i/>
          <w:sz w:val="24"/>
          <w:szCs w:val="24"/>
        </w:rPr>
        <w:t xml:space="preserve">) Regulations 2021 </w:t>
      </w:r>
      <w:r w:rsidRPr="001F4ECA">
        <w:rPr>
          <w:rFonts w:ascii="Times New Roman" w:hAnsi="Times New Roman"/>
          <w:sz w:val="24"/>
          <w:szCs w:val="24"/>
        </w:rPr>
        <w:t xml:space="preserve">amend Schedule 1AB to the FF(SP) Regulations to establish legislative authority for government spending on certain activities administered by the </w:t>
      </w:r>
      <w:r w:rsidR="00ED38BC" w:rsidRPr="001F4ECA">
        <w:rPr>
          <w:rFonts w:ascii="Times New Roman" w:hAnsi="Times New Roman"/>
          <w:sz w:val="24"/>
          <w:szCs w:val="24"/>
        </w:rPr>
        <w:t>Department of Education, Skills and Employment</w:t>
      </w:r>
      <w:r w:rsidR="00397BAA" w:rsidRPr="001F4ECA">
        <w:rPr>
          <w:rFonts w:ascii="Times New Roman" w:hAnsi="Times New Roman"/>
          <w:sz w:val="24"/>
          <w:szCs w:val="24"/>
        </w:rPr>
        <w:t xml:space="preserve"> (the department)</w:t>
      </w:r>
      <w:r w:rsidR="00ED38BC" w:rsidRPr="001F4ECA">
        <w:rPr>
          <w:rFonts w:ascii="Times New Roman" w:hAnsi="Times New Roman"/>
          <w:sz w:val="24"/>
          <w:szCs w:val="24"/>
        </w:rPr>
        <w:t>.</w:t>
      </w:r>
    </w:p>
    <w:p w14:paraId="02FC06A8" w14:textId="77777777" w:rsidR="00ED38BC" w:rsidRPr="001F4ECA" w:rsidRDefault="00ED38BC" w:rsidP="00ED38BC">
      <w:pPr>
        <w:pStyle w:val="paranumbering0"/>
        <w:spacing w:before="0" w:beforeAutospacing="0" w:after="0" w:afterAutospacing="0"/>
        <w:contextualSpacing/>
      </w:pPr>
    </w:p>
    <w:p w14:paraId="356051EE" w14:textId="453AFD0E" w:rsidR="00271039" w:rsidRPr="001F4ECA" w:rsidRDefault="00271039" w:rsidP="00ED38BC">
      <w:pPr>
        <w:pStyle w:val="paranumbering0"/>
        <w:spacing w:before="0" w:beforeAutospacing="0" w:after="0" w:afterAutospacing="0"/>
        <w:contextualSpacing/>
      </w:pPr>
      <w:r w:rsidRPr="001F4ECA">
        <w:t xml:space="preserve">This </w:t>
      </w:r>
      <w:r w:rsidR="00093DFC" w:rsidRPr="001F4ECA">
        <w:t xml:space="preserve">disallowable </w:t>
      </w:r>
      <w:r w:rsidR="004C56B6" w:rsidRPr="001F4ECA">
        <w:t xml:space="preserve">legislative </w:t>
      </w:r>
      <w:r w:rsidRPr="001F4ECA">
        <w:t>instrument</w:t>
      </w:r>
      <w:r w:rsidR="00093DFC" w:rsidRPr="001F4ECA">
        <w:t xml:space="preserve"> makes the following amendments to Part 4 of Schedule 1AB</w:t>
      </w:r>
      <w:r w:rsidRPr="001F4ECA">
        <w:t>:</w:t>
      </w:r>
    </w:p>
    <w:p w14:paraId="59F5E1C6" w14:textId="10157D89" w:rsidR="00E170DA" w:rsidRPr="001F4ECA" w:rsidRDefault="00397BAA" w:rsidP="00271039">
      <w:pPr>
        <w:pStyle w:val="ListParagraph"/>
        <w:numPr>
          <w:ilvl w:val="0"/>
          <w:numId w:val="17"/>
        </w:numPr>
        <w:rPr>
          <w:rFonts w:cs="Times New Roman"/>
          <w:szCs w:val="24"/>
        </w:rPr>
      </w:pPr>
      <w:r w:rsidRPr="001F4ECA">
        <w:rPr>
          <w:rFonts w:cs="Times New Roman"/>
          <w:szCs w:val="24"/>
        </w:rPr>
        <w:t>repeals and substitute</w:t>
      </w:r>
      <w:r w:rsidR="00093DFC" w:rsidRPr="001F4ECA">
        <w:rPr>
          <w:rFonts w:cs="Times New Roman"/>
          <w:szCs w:val="24"/>
        </w:rPr>
        <w:t>s</w:t>
      </w:r>
      <w:r w:rsidRPr="001F4ECA">
        <w:rPr>
          <w:rFonts w:cs="Times New Roman"/>
          <w:szCs w:val="24"/>
        </w:rPr>
        <w:t xml:space="preserve"> table item 111 </w:t>
      </w:r>
      <w:r w:rsidR="00093DFC" w:rsidRPr="001F4ECA">
        <w:rPr>
          <w:rFonts w:cs="Times New Roman"/>
          <w:szCs w:val="24"/>
        </w:rPr>
        <w:t>‘</w:t>
      </w:r>
      <w:r w:rsidRPr="001F4ECA">
        <w:rPr>
          <w:rFonts w:cs="Times New Roman"/>
          <w:szCs w:val="24"/>
        </w:rPr>
        <w:t>Literacy and Numeracy Test for Initial Teacher Education</w:t>
      </w:r>
      <w:r w:rsidR="00093DFC" w:rsidRPr="001F4ECA">
        <w:rPr>
          <w:rFonts w:cs="Times New Roman"/>
          <w:szCs w:val="24"/>
        </w:rPr>
        <w:t>’</w:t>
      </w:r>
      <w:r w:rsidRPr="001F4ECA">
        <w:rPr>
          <w:rFonts w:cs="Times New Roman"/>
          <w:szCs w:val="24"/>
        </w:rPr>
        <w:t>;</w:t>
      </w:r>
    </w:p>
    <w:p w14:paraId="4FFB1F2E" w14:textId="579ED818" w:rsidR="00CB50A6" w:rsidRPr="001F4ECA" w:rsidRDefault="00CB50A6" w:rsidP="00271039">
      <w:pPr>
        <w:pStyle w:val="ListParagraph"/>
        <w:numPr>
          <w:ilvl w:val="0"/>
          <w:numId w:val="17"/>
        </w:numPr>
        <w:rPr>
          <w:rFonts w:cs="Times New Roman"/>
          <w:szCs w:val="24"/>
        </w:rPr>
      </w:pPr>
      <w:r w:rsidRPr="001F4ECA">
        <w:rPr>
          <w:rFonts w:cs="Times New Roman"/>
          <w:szCs w:val="24"/>
        </w:rPr>
        <w:t xml:space="preserve">amends table item 263 </w:t>
      </w:r>
      <w:r w:rsidR="00093DFC" w:rsidRPr="001F4ECA">
        <w:rPr>
          <w:rFonts w:cs="Times New Roman"/>
          <w:szCs w:val="24"/>
        </w:rPr>
        <w:t>‘</w:t>
      </w:r>
      <w:r w:rsidRPr="001F4ECA">
        <w:rPr>
          <w:rFonts w:cs="Times New Roman"/>
          <w:szCs w:val="24"/>
        </w:rPr>
        <w:t>Civics and Citizenship Education Initiatives</w:t>
      </w:r>
      <w:r w:rsidR="00093DFC" w:rsidRPr="001F4ECA">
        <w:rPr>
          <w:rFonts w:cs="Times New Roman"/>
          <w:szCs w:val="24"/>
        </w:rPr>
        <w:t>’</w:t>
      </w:r>
      <w:r w:rsidR="00A21711" w:rsidRPr="001F4ECA">
        <w:rPr>
          <w:rFonts w:cs="Times New Roman"/>
          <w:szCs w:val="24"/>
        </w:rPr>
        <w:t>;</w:t>
      </w:r>
    </w:p>
    <w:p w14:paraId="1E6EDEBD" w14:textId="0F95A7A7" w:rsidR="009F1FDE" w:rsidRPr="001F4ECA" w:rsidRDefault="009F1FDE" w:rsidP="00271039">
      <w:pPr>
        <w:pStyle w:val="ListParagraph"/>
        <w:numPr>
          <w:ilvl w:val="0"/>
          <w:numId w:val="17"/>
        </w:numPr>
        <w:rPr>
          <w:rFonts w:cs="Times New Roman"/>
          <w:szCs w:val="24"/>
        </w:rPr>
      </w:pPr>
      <w:r w:rsidRPr="001F4ECA">
        <w:rPr>
          <w:rFonts w:cs="Times New Roman"/>
          <w:szCs w:val="24"/>
        </w:rPr>
        <w:t>repeals</w:t>
      </w:r>
      <w:r w:rsidRPr="001F4ECA">
        <w:rPr>
          <w:rFonts w:ascii="Calibri" w:eastAsia="Calibri" w:hAnsi="Calibri" w:cs="Times New Roman"/>
          <w:color w:val="auto"/>
          <w:sz w:val="22"/>
          <w:szCs w:val="24"/>
          <w:lang w:eastAsia="en-AU"/>
        </w:rPr>
        <w:t xml:space="preserve"> </w:t>
      </w:r>
      <w:r w:rsidRPr="001F4ECA">
        <w:rPr>
          <w:rFonts w:cs="Times New Roman"/>
          <w:szCs w:val="24"/>
        </w:rPr>
        <w:t xml:space="preserve">and substitutes table item 396 </w:t>
      </w:r>
      <w:r w:rsidR="00E5546E" w:rsidRPr="001F4ECA">
        <w:rPr>
          <w:rFonts w:cs="Times New Roman"/>
          <w:szCs w:val="24"/>
        </w:rPr>
        <w:t>‘</w:t>
      </w:r>
      <w:r w:rsidRPr="001F4ECA">
        <w:rPr>
          <w:rFonts w:cs="Times New Roman"/>
          <w:szCs w:val="24"/>
        </w:rPr>
        <w:t>Mid-Career Checkpoint</w:t>
      </w:r>
      <w:r w:rsidR="00E5546E" w:rsidRPr="001F4ECA">
        <w:rPr>
          <w:rFonts w:cs="Times New Roman"/>
          <w:szCs w:val="24"/>
        </w:rPr>
        <w:t>’</w:t>
      </w:r>
      <w:r w:rsidRPr="001F4ECA">
        <w:rPr>
          <w:rFonts w:cs="Times New Roman"/>
          <w:szCs w:val="24"/>
        </w:rPr>
        <w:t xml:space="preserve">; </w:t>
      </w:r>
    </w:p>
    <w:p w14:paraId="1051DD57" w14:textId="6F737466" w:rsidR="008B49E9" w:rsidRPr="001F4ECA" w:rsidRDefault="008B49E9" w:rsidP="00271039">
      <w:pPr>
        <w:pStyle w:val="ListParagraph"/>
        <w:numPr>
          <w:ilvl w:val="0"/>
          <w:numId w:val="17"/>
        </w:numPr>
        <w:rPr>
          <w:rFonts w:cs="Times New Roman"/>
          <w:szCs w:val="24"/>
        </w:rPr>
      </w:pPr>
      <w:r w:rsidRPr="001F4ECA">
        <w:rPr>
          <w:rFonts w:cs="Times New Roman"/>
          <w:szCs w:val="24"/>
        </w:rPr>
        <w:t xml:space="preserve">amends table item 433 </w:t>
      </w:r>
      <w:r w:rsidR="00E5546E" w:rsidRPr="001F4ECA">
        <w:rPr>
          <w:rFonts w:cs="Times New Roman"/>
          <w:szCs w:val="24"/>
        </w:rPr>
        <w:t>‘</w:t>
      </w:r>
      <w:r w:rsidRPr="001F4ECA">
        <w:rPr>
          <w:rFonts w:cs="Times New Roman"/>
          <w:szCs w:val="24"/>
        </w:rPr>
        <w:t>Local Jobs – COVID-19 Recovery</w:t>
      </w:r>
      <w:r w:rsidR="00E5546E" w:rsidRPr="001F4ECA">
        <w:rPr>
          <w:rFonts w:cs="Times New Roman"/>
          <w:szCs w:val="24"/>
        </w:rPr>
        <w:t xml:space="preserve"> Pilot’</w:t>
      </w:r>
      <w:r w:rsidRPr="001F4ECA">
        <w:rPr>
          <w:rFonts w:cs="Times New Roman"/>
          <w:szCs w:val="24"/>
        </w:rPr>
        <w:t>;</w:t>
      </w:r>
    </w:p>
    <w:p w14:paraId="5CAFBD77" w14:textId="7351EFAE" w:rsidR="001549E9" w:rsidRPr="001F4ECA" w:rsidRDefault="001549E9" w:rsidP="00271039">
      <w:pPr>
        <w:pStyle w:val="ListParagraph"/>
        <w:numPr>
          <w:ilvl w:val="0"/>
          <w:numId w:val="17"/>
        </w:numPr>
        <w:rPr>
          <w:rFonts w:cs="Times New Roman"/>
          <w:szCs w:val="24"/>
        </w:rPr>
      </w:pPr>
      <w:r w:rsidRPr="001F4ECA">
        <w:rPr>
          <w:rFonts w:cs="Times New Roman"/>
          <w:szCs w:val="24"/>
        </w:rPr>
        <w:t xml:space="preserve">adds table item </w:t>
      </w:r>
      <w:r w:rsidR="00A21711" w:rsidRPr="001F4ECA">
        <w:rPr>
          <w:rFonts w:cs="Times New Roman"/>
          <w:szCs w:val="24"/>
        </w:rPr>
        <w:t>498</w:t>
      </w:r>
      <w:r w:rsidRPr="001F4ECA">
        <w:rPr>
          <w:rFonts w:cs="Times New Roman"/>
          <w:szCs w:val="24"/>
        </w:rPr>
        <w:t xml:space="preserve"> </w:t>
      </w:r>
      <w:r w:rsidR="00E5546E" w:rsidRPr="001F4ECA">
        <w:rPr>
          <w:rFonts w:cs="Times New Roman"/>
          <w:szCs w:val="24"/>
        </w:rPr>
        <w:t>‘</w:t>
      </w:r>
      <w:r w:rsidRPr="001F4ECA">
        <w:rPr>
          <w:rFonts w:cs="Times New Roman"/>
          <w:szCs w:val="24"/>
        </w:rPr>
        <w:t>Digital Skills Cadetship Trial</w:t>
      </w:r>
      <w:r w:rsidR="00E5546E" w:rsidRPr="001F4ECA">
        <w:rPr>
          <w:rFonts w:cs="Times New Roman"/>
          <w:szCs w:val="24"/>
        </w:rPr>
        <w:t>’</w:t>
      </w:r>
      <w:r w:rsidRPr="001F4ECA">
        <w:rPr>
          <w:rFonts w:cs="Times New Roman"/>
          <w:szCs w:val="24"/>
        </w:rPr>
        <w:t>;</w:t>
      </w:r>
      <w:r w:rsidR="006E5B18" w:rsidRPr="001F4ECA">
        <w:rPr>
          <w:rFonts w:cs="Times New Roman"/>
          <w:szCs w:val="24"/>
        </w:rPr>
        <w:t xml:space="preserve"> and</w:t>
      </w:r>
    </w:p>
    <w:p w14:paraId="27BC61E8" w14:textId="5D2976BD" w:rsidR="006E5B18" w:rsidRPr="001F4ECA" w:rsidRDefault="006E5B18" w:rsidP="006E5B18">
      <w:pPr>
        <w:pStyle w:val="ListParagraph"/>
        <w:numPr>
          <w:ilvl w:val="0"/>
          <w:numId w:val="17"/>
        </w:numPr>
        <w:rPr>
          <w:rFonts w:cs="Times New Roman"/>
          <w:szCs w:val="24"/>
        </w:rPr>
      </w:pPr>
      <w:r w:rsidRPr="001F4ECA">
        <w:rPr>
          <w:rFonts w:cs="Times New Roman"/>
          <w:szCs w:val="24"/>
        </w:rPr>
        <w:t xml:space="preserve">adds table item </w:t>
      </w:r>
      <w:r w:rsidR="00A21711" w:rsidRPr="001F4ECA">
        <w:rPr>
          <w:rFonts w:cs="Times New Roman"/>
          <w:szCs w:val="24"/>
        </w:rPr>
        <w:t>499</w:t>
      </w:r>
      <w:r w:rsidRPr="001F4ECA">
        <w:rPr>
          <w:rFonts w:cs="Times New Roman"/>
          <w:szCs w:val="24"/>
        </w:rPr>
        <w:t xml:space="preserve"> </w:t>
      </w:r>
      <w:r w:rsidR="00E5546E" w:rsidRPr="001F4ECA">
        <w:rPr>
          <w:rFonts w:cs="Times New Roman"/>
          <w:szCs w:val="24"/>
        </w:rPr>
        <w:t>‘</w:t>
      </w:r>
      <w:r w:rsidRPr="001F4ECA">
        <w:rPr>
          <w:rFonts w:cs="Times New Roman"/>
          <w:szCs w:val="24"/>
        </w:rPr>
        <w:t>Career Revive Initiative Expansion</w:t>
      </w:r>
      <w:r w:rsidR="00E5546E" w:rsidRPr="001F4ECA">
        <w:rPr>
          <w:rFonts w:cs="Times New Roman"/>
          <w:szCs w:val="24"/>
        </w:rPr>
        <w:t>’</w:t>
      </w:r>
      <w:r w:rsidRPr="001F4ECA">
        <w:rPr>
          <w:rFonts w:cs="Times New Roman"/>
          <w:szCs w:val="24"/>
        </w:rPr>
        <w:t>.</w:t>
      </w:r>
    </w:p>
    <w:p w14:paraId="794644D6" w14:textId="713628FD" w:rsidR="00ED38BC" w:rsidRPr="001F4ECA" w:rsidRDefault="00ED38BC" w:rsidP="006E5B18">
      <w:pPr>
        <w:pStyle w:val="ListParagraph"/>
      </w:pPr>
    </w:p>
    <w:p w14:paraId="3AF197E8" w14:textId="012CDE49" w:rsidR="00271039" w:rsidRPr="001F4ECA" w:rsidRDefault="00E27D64" w:rsidP="00ED38BC">
      <w:pPr>
        <w:rPr>
          <w:rFonts w:ascii="Times New Roman" w:hAnsi="Times New Roman"/>
          <w:i/>
          <w:sz w:val="24"/>
          <w:szCs w:val="24"/>
          <w:u w:val="single"/>
        </w:rPr>
      </w:pPr>
      <w:r w:rsidRPr="001F4ECA">
        <w:rPr>
          <w:rFonts w:ascii="Times New Roman" w:hAnsi="Times New Roman"/>
          <w:i/>
          <w:sz w:val="24"/>
          <w:szCs w:val="24"/>
          <w:u w:val="single"/>
        </w:rPr>
        <w:t>T</w:t>
      </w:r>
      <w:r w:rsidR="00271039" w:rsidRPr="001F4ECA">
        <w:rPr>
          <w:rFonts w:ascii="Times New Roman" w:hAnsi="Times New Roman"/>
          <w:i/>
          <w:sz w:val="24"/>
          <w:szCs w:val="24"/>
          <w:u w:val="single"/>
        </w:rPr>
        <w:t xml:space="preserve">able item </w:t>
      </w:r>
      <w:r w:rsidR="00397BAA" w:rsidRPr="001F4ECA">
        <w:rPr>
          <w:rFonts w:ascii="Times New Roman" w:hAnsi="Times New Roman"/>
          <w:i/>
          <w:sz w:val="24"/>
          <w:szCs w:val="24"/>
          <w:u w:val="single"/>
        </w:rPr>
        <w:t>111</w:t>
      </w:r>
      <w:r w:rsidR="00271039" w:rsidRPr="001F4ECA">
        <w:rPr>
          <w:rFonts w:ascii="Times New Roman" w:hAnsi="Times New Roman"/>
          <w:i/>
          <w:sz w:val="24"/>
          <w:szCs w:val="24"/>
          <w:u w:val="single"/>
        </w:rPr>
        <w:t xml:space="preserve"> – </w:t>
      </w:r>
      <w:r w:rsidR="00397BAA" w:rsidRPr="001F4ECA">
        <w:rPr>
          <w:rFonts w:ascii="Times New Roman" w:hAnsi="Times New Roman"/>
          <w:i/>
          <w:sz w:val="24"/>
          <w:szCs w:val="24"/>
          <w:u w:val="single"/>
        </w:rPr>
        <w:t>Literacy and Numeracy Test for Initial Teacher Education</w:t>
      </w:r>
    </w:p>
    <w:p w14:paraId="7B83B570" w14:textId="31B54648" w:rsidR="00271039" w:rsidRPr="001F4ECA" w:rsidRDefault="00271039" w:rsidP="00ED38BC">
      <w:pPr>
        <w:rPr>
          <w:rFonts w:ascii="Times New Roman" w:hAnsi="Times New Roman"/>
          <w:sz w:val="24"/>
          <w:szCs w:val="24"/>
        </w:rPr>
      </w:pPr>
    </w:p>
    <w:p w14:paraId="5300B21A" w14:textId="5D2C0CE4"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 xml:space="preserve">This </w:t>
      </w:r>
      <w:r w:rsidR="00A61FEB" w:rsidRPr="001F4ECA">
        <w:rPr>
          <w:rFonts w:ascii="Times New Roman" w:hAnsi="Times New Roman"/>
          <w:sz w:val="24"/>
          <w:szCs w:val="24"/>
        </w:rPr>
        <w:t xml:space="preserve">disallowable legislative instrument repeals and substitutes </w:t>
      </w:r>
      <w:r w:rsidRPr="001F4ECA">
        <w:rPr>
          <w:rFonts w:ascii="Times New Roman" w:hAnsi="Times New Roman"/>
          <w:sz w:val="24"/>
          <w:szCs w:val="24"/>
        </w:rPr>
        <w:t>table item 111 in Part 4 of Schedule 1AB</w:t>
      </w:r>
      <w:r w:rsidR="00A61FEB" w:rsidRPr="001F4ECA">
        <w:rPr>
          <w:rFonts w:ascii="Times New Roman" w:hAnsi="Times New Roman"/>
          <w:sz w:val="24"/>
          <w:szCs w:val="24"/>
        </w:rPr>
        <w:t xml:space="preserve">, which </w:t>
      </w:r>
      <w:r w:rsidRPr="001F4ECA">
        <w:rPr>
          <w:rFonts w:ascii="Times New Roman" w:hAnsi="Times New Roman"/>
          <w:sz w:val="24"/>
          <w:szCs w:val="24"/>
        </w:rPr>
        <w:t>establishes legislative authority for government spending on the Literacy and Numeracy Test for Initial Teacher Education (LANTITE)</w:t>
      </w:r>
      <w:r w:rsidR="00A61FEB" w:rsidRPr="001F4ECA">
        <w:rPr>
          <w:rFonts w:ascii="Times New Roman" w:hAnsi="Times New Roman"/>
          <w:sz w:val="24"/>
          <w:szCs w:val="24"/>
        </w:rPr>
        <w:t xml:space="preserve"> program. The program involves </w:t>
      </w:r>
      <w:r w:rsidRPr="001F4ECA">
        <w:rPr>
          <w:rFonts w:ascii="Times New Roman" w:hAnsi="Times New Roman"/>
          <w:sz w:val="24"/>
          <w:szCs w:val="24"/>
        </w:rPr>
        <w:t>the delivery of the LANTITE online and, for eligible persons with a disability, the delivery through non-online means.</w:t>
      </w:r>
    </w:p>
    <w:p w14:paraId="2C03A226" w14:textId="04FD94BC" w:rsidR="00397BAA" w:rsidRPr="001F4ECA" w:rsidRDefault="00397BAA" w:rsidP="00E27D64">
      <w:pPr>
        <w:ind w:right="-46"/>
        <w:rPr>
          <w:rFonts w:ascii="Times New Roman" w:hAnsi="Times New Roman"/>
          <w:sz w:val="24"/>
          <w:szCs w:val="24"/>
        </w:rPr>
      </w:pPr>
    </w:p>
    <w:p w14:paraId="665CBE92" w14:textId="0D69231B"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 xml:space="preserve">The LANTITE reflects Standard 3.5 of the ‘Accreditation of initial teacher education programs in Australia: Standards and Procedures’ (Standards and Procedures) set by Education Ministers in 2011. The test was first introduced on 1 July 2016, following a review </w:t>
      </w:r>
      <w:r w:rsidRPr="001F4ECA">
        <w:rPr>
          <w:rFonts w:ascii="Times New Roman" w:hAnsi="Times New Roman"/>
          <w:sz w:val="24"/>
          <w:szCs w:val="24"/>
        </w:rPr>
        <w:lastRenderedPageBreak/>
        <w:t>of initial teacher education (ITE) programs across Australia conducted by the Teacher Education Ministerial Advisory Group (TEMAG)</w:t>
      </w:r>
      <w:r w:rsidR="007123AF" w:rsidRPr="001F4ECA">
        <w:rPr>
          <w:rFonts w:ascii="Times New Roman" w:hAnsi="Times New Roman"/>
          <w:sz w:val="24"/>
          <w:szCs w:val="24"/>
        </w:rPr>
        <w:t xml:space="preserve">, which </w:t>
      </w:r>
      <w:r w:rsidRPr="001F4ECA">
        <w:rPr>
          <w:rFonts w:ascii="Times New Roman" w:hAnsi="Times New Roman"/>
          <w:sz w:val="24"/>
          <w:szCs w:val="24"/>
        </w:rPr>
        <w:t xml:space="preserve">recommended that the LANTITE be implemented to strengthen the system. </w:t>
      </w:r>
    </w:p>
    <w:p w14:paraId="0F07C84D" w14:textId="77777777" w:rsidR="00397BAA" w:rsidRPr="001F4ECA" w:rsidRDefault="00397BAA" w:rsidP="00397BAA">
      <w:pPr>
        <w:ind w:right="-46"/>
        <w:rPr>
          <w:rFonts w:ascii="Times New Roman" w:hAnsi="Times New Roman"/>
          <w:sz w:val="24"/>
          <w:szCs w:val="24"/>
        </w:rPr>
      </w:pPr>
    </w:p>
    <w:p w14:paraId="389BDC9C" w14:textId="1D80A353"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All state, territory and Commonwealth Education Ministers gave effect to TEMAG’s recommendation by agreeing to amend the Standards and Procedures</w:t>
      </w:r>
      <w:r w:rsidRPr="001F4ECA">
        <w:rPr>
          <w:rFonts w:ascii="Times New Roman" w:hAnsi="Times New Roman"/>
          <w:iCs/>
          <w:sz w:val="24"/>
          <w:szCs w:val="24"/>
        </w:rPr>
        <w:t xml:space="preserve"> from 1 July 2016. The amended Standards and Procedures require all ITE students to sit the LANTITE and demonstrate that they </w:t>
      </w:r>
      <w:r w:rsidRPr="001F4ECA">
        <w:rPr>
          <w:rFonts w:ascii="Times New Roman" w:hAnsi="Times New Roman"/>
          <w:sz w:val="24"/>
          <w:szCs w:val="24"/>
        </w:rPr>
        <w:t xml:space="preserve">possess levels of personal literacy and numeracy equivalent </w:t>
      </w:r>
      <w:r w:rsidR="007123AF" w:rsidRPr="001F4ECA">
        <w:rPr>
          <w:rFonts w:ascii="Times New Roman" w:hAnsi="Times New Roman"/>
          <w:sz w:val="24"/>
          <w:szCs w:val="24"/>
        </w:rPr>
        <w:t>to</w:t>
      </w:r>
      <w:r w:rsidRPr="001F4ECA">
        <w:rPr>
          <w:rFonts w:ascii="Times New Roman" w:hAnsi="Times New Roman"/>
          <w:sz w:val="24"/>
          <w:szCs w:val="24"/>
        </w:rPr>
        <w:t xml:space="preserve"> the top 30 per cent of the Australian adult population</w:t>
      </w:r>
      <w:r w:rsidRPr="001F4ECA">
        <w:rPr>
          <w:rFonts w:ascii="Times New Roman" w:hAnsi="Times New Roman"/>
          <w:iCs/>
          <w:sz w:val="24"/>
          <w:szCs w:val="24"/>
        </w:rPr>
        <w:t xml:space="preserve"> </w:t>
      </w:r>
      <w:r w:rsidRPr="001F4ECA">
        <w:rPr>
          <w:rFonts w:ascii="Times New Roman" w:hAnsi="Times New Roman"/>
          <w:sz w:val="24"/>
          <w:szCs w:val="24"/>
        </w:rPr>
        <w:t xml:space="preserve">before graduating from an ITE program or registering as a qualified teacher. </w:t>
      </w:r>
    </w:p>
    <w:p w14:paraId="6B067886" w14:textId="166B4C0F" w:rsidR="006571D0" w:rsidRPr="001F4ECA" w:rsidRDefault="006571D0" w:rsidP="00397BAA">
      <w:pPr>
        <w:ind w:right="-46"/>
        <w:rPr>
          <w:rFonts w:ascii="Times New Roman" w:hAnsi="Times New Roman"/>
          <w:sz w:val="24"/>
          <w:szCs w:val="24"/>
        </w:rPr>
      </w:pPr>
    </w:p>
    <w:p w14:paraId="2D51960B" w14:textId="1F41064E" w:rsidR="006571D0" w:rsidRPr="001F4ECA" w:rsidRDefault="006571D0" w:rsidP="00397BAA">
      <w:pPr>
        <w:ind w:right="-46"/>
        <w:rPr>
          <w:rFonts w:ascii="Times New Roman" w:hAnsi="Times New Roman"/>
          <w:sz w:val="24"/>
          <w:szCs w:val="24"/>
        </w:rPr>
      </w:pPr>
      <w:r w:rsidRPr="001F4ECA">
        <w:rPr>
          <w:rFonts w:ascii="Times New Roman" w:hAnsi="Times New Roman"/>
          <w:sz w:val="24"/>
          <w:szCs w:val="24"/>
        </w:rPr>
        <w:t>In late 2020, Education Ministers have also decided that from 2023 ITE students will have the option to sit the LANTITE before they begin their degree. This decision offers more certainty and fairness to prospective students and gives higher education providers the opportunity to provide targeted support to students who are struggling to meet the required standard.</w:t>
      </w:r>
    </w:p>
    <w:p w14:paraId="4E6B0DB6" w14:textId="77777777" w:rsidR="00397BAA" w:rsidRPr="001F4ECA" w:rsidRDefault="00397BAA" w:rsidP="00397BAA">
      <w:pPr>
        <w:ind w:right="-46"/>
        <w:rPr>
          <w:rFonts w:ascii="Times New Roman" w:hAnsi="Times New Roman"/>
          <w:sz w:val="24"/>
          <w:szCs w:val="24"/>
        </w:rPr>
      </w:pPr>
    </w:p>
    <w:p w14:paraId="0F3FA0C7" w14:textId="3DA73BBB"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The department oversees the administration of the test by contracting a supplier to develop, refresh and administer the test via an online test platform. The test is currently being delivered and administered by the Australian Council for Educational Research.</w:t>
      </w:r>
      <w:r w:rsidR="006571D0" w:rsidRPr="001F4ECA">
        <w:rPr>
          <w:rFonts w:ascii="Times New Roman" w:hAnsi="Times New Roman"/>
          <w:sz w:val="24"/>
          <w:szCs w:val="24"/>
        </w:rPr>
        <w:t xml:space="preserve"> The supplier will be also be responsible for determining which test candidates are able to access the paper-based test forms. </w:t>
      </w:r>
      <w:r w:rsidRPr="001F4ECA">
        <w:rPr>
          <w:rFonts w:ascii="Times New Roman" w:hAnsi="Times New Roman"/>
          <w:sz w:val="24"/>
          <w:szCs w:val="24"/>
        </w:rPr>
        <w:t>The paper-based form will add to the extensive range of adjustments</w:t>
      </w:r>
      <w:r w:rsidRPr="001F4ECA">
        <w:rPr>
          <w:rFonts w:ascii="Times New Roman" w:hAnsi="Times New Roman"/>
          <w:iCs/>
          <w:sz w:val="24"/>
          <w:szCs w:val="24"/>
        </w:rPr>
        <w:t xml:space="preserve"> </w:t>
      </w:r>
      <w:r w:rsidRPr="001F4ECA">
        <w:rPr>
          <w:rFonts w:ascii="Times New Roman" w:hAnsi="Times New Roman"/>
          <w:sz w:val="24"/>
          <w:szCs w:val="24"/>
        </w:rPr>
        <w:t xml:space="preserve">available to candidates sitting the test and provide an additional option for test candidates with specific disabilities that require them to access reasonable adjustments to sit the test. These adjustments will comply with the obligation in the </w:t>
      </w:r>
      <w:r w:rsidRPr="001F4ECA">
        <w:rPr>
          <w:rFonts w:ascii="Times New Roman" w:hAnsi="Times New Roman"/>
          <w:i/>
          <w:iCs/>
          <w:sz w:val="24"/>
          <w:szCs w:val="24"/>
        </w:rPr>
        <w:t>Disability Discrimination Act 1992.</w:t>
      </w:r>
    </w:p>
    <w:p w14:paraId="1256057C" w14:textId="77777777" w:rsidR="00271039" w:rsidRPr="001F4ECA" w:rsidRDefault="00271039" w:rsidP="00ED38BC">
      <w:pPr>
        <w:rPr>
          <w:rFonts w:ascii="Times New Roman" w:hAnsi="Times New Roman"/>
          <w:sz w:val="24"/>
          <w:szCs w:val="24"/>
        </w:rPr>
      </w:pPr>
    </w:p>
    <w:p w14:paraId="4922F914" w14:textId="77777777" w:rsidR="00ED38BC" w:rsidRPr="001F4ECA" w:rsidRDefault="00ED38BC" w:rsidP="00ED38BC">
      <w:pPr>
        <w:rPr>
          <w:rFonts w:ascii="Times New Roman" w:hAnsi="Times New Roman"/>
          <w:b/>
          <w:sz w:val="24"/>
          <w:szCs w:val="24"/>
        </w:rPr>
      </w:pPr>
      <w:r w:rsidRPr="001F4ECA">
        <w:rPr>
          <w:rFonts w:ascii="Times New Roman" w:hAnsi="Times New Roman"/>
          <w:b/>
          <w:sz w:val="24"/>
          <w:szCs w:val="24"/>
        </w:rPr>
        <w:t>Human rights implications</w:t>
      </w:r>
    </w:p>
    <w:p w14:paraId="5DBA62EF" w14:textId="1E2FDA3A" w:rsidR="00ED38BC" w:rsidRPr="001F4ECA" w:rsidRDefault="00ED38BC" w:rsidP="00ED38BC">
      <w:pPr>
        <w:ind w:right="-46"/>
        <w:rPr>
          <w:rFonts w:ascii="Times New Roman" w:hAnsi="Times New Roman"/>
          <w:sz w:val="24"/>
          <w:szCs w:val="24"/>
        </w:rPr>
      </w:pPr>
    </w:p>
    <w:p w14:paraId="3050F52B" w14:textId="77777777"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The amended table item 111 engages the following rights:</w:t>
      </w:r>
    </w:p>
    <w:p w14:paraId="2CDA4352" w14:textId="5D6DFAAB" w:rsidR="00397BAA" w:rsidRPr="001F4ECA" w:rsidRDefault="00397BAA" w:rsidP="00397BAA">
      <w:pPr>
        <w:numPr>
          <w:ilvl w:val="0"/>
          <w:numId w:val="16"/>
        </w:numPr>
        <w:ind w:right="-46"/>
        <w:rPr>
          <w:rFonts w:ascii="Times New Roman" w:hAnsi="Times New Roman"/>
          <w:sz w:val="24"/>
          <w:szCs w:val="24"/>
        </w:rPr>
      </w:pPr>
      <w:r w:rsidRPr="001F4ECA">
        <w:rPr>
          <w:rFonts w:ascii="Times New Roman" w:hAnsi="Times New Roman"/>
          <w:sz w:val="24"/>
          <w:szCs w:val="24"/>
        </w:rPr>
        <w:t>the right to education –</w:t>
      </w:r>
      <w:r w:rsidR="00975795" w:rsidRPr="001F4ECA">
        <w:rPr>
          <w:rFonts w:ascii="Times New Roman" w:hAnsi="Times New Roman"/>
          <w:sz w:val="24"/>
          <w:szCs w:val="24"/>
        </w:rPr>
        <w:t xml:space="preserve"> </w:t>
      </w:r>
      <w:r w:rsidRPr="001F4ECA">
        <w:rPr>
          <w:rFonts w:ascii="Times New Roman" w:hAnsi="Times New Roman"/>
          <w:sz w:val="24"/>
          <w:szCs w:val="24"/>
        </w:rPr>
        <w:t xml:space="preserve">Article 13 of the </w:t>
      </w:r>
      <w:r w:rsidRPr="001F4ECA">
        <w:rPr>
          <w:rFonts w:ascii="Times New Roman" w:hAnsi="Times New Roman"/>
          <w:i/>
          <w:sz w:val="24"/>
          <w:szCs w:val="24"/>
        </w:rPr>
        <w:t xml:space="preserve">International Covenant </w:t>
      </w:r>
      <w:r w:rsidR="00975795" w:rsidRPr="001F4ECA">
        <w:rPr>
          <w:rFonts w:ascii="Times New Roman" w:hAnsi="Times New Roman"/>
          <w:i/>
          <w:sz w:val="24"/>
          <w:szCs w:val="24"/>
        </w:rPr>
        <w:t>on</w:t>
      </w:r>
      <w:r w:rsidRPr="001F4ECA">
        <w:rPr>
          <w:rFonts w:ascii="Times New Roman" w:hAnsi="Times New Roman"/>
          <w:i/>
          <w:sz w:val="24"/>
          <w:szCs w:val="24"/>
        </w:rPr>
        <w:t xml:space="preserve"> Economic, Social and Cultural Right</w:t>
      </w:r>
      <w:r w:rsidRPr="001F4ECA">
        <w:rPr>
          <w:rFonts w:ascii="Times New Roman" w:hAnsi="Times New Roman"/>
          <w:sz w:val="24"/>
          <w:szCs w:val="24"/>
        </w:rPr>
        <w:t>s (ICESCR), read with Article 2</w:t>
      </w:r>
      <w:r w:rsidR="00975795" w:rsidRPr="001F4ECA">
        <w:rPr>
          <w:rFonts w:ascii="Times New Roman" w:hAnsi="Times New Roman"/>
          <w:sz w:val="24"/>
          <w:szCs w:val="24"/>
        </w:rPr>
        <w:t>,</w:t>
      </w:r>
      <w:r w:rsidRPr="001F4ECA">
        <w:rPr>
          <w:rFonts w:ascii="Times New Roman" w:hAnsi="Times New Roman"/>
          <w:sz w:val="24"/>
          <w:szCs w:val="24"/>
        </w:rPr>
        <w:t xml:space="preserve"> and Articles 28 and 29 of the</w:t>
      </w:r>
      <w:r w:rsidRPr="001F4ECA">
        <w:rPr>
          <w:rFonts w:ascii="Times New Roman" w:hAnsi="Times New Roman"/>
          <w:i/>
          <w:iCs/>
          <w:sz w:val="24"/>
          <w:szCs w:val="24"/>
        </w:rPr>
        <w:t xml:space="preserve"> Convention on the Rights of the Child</w:t>
      </w:r>
      <w:r w:rsidRPr="001F4ECA">
        <w:rPr>
          <w:rFonts w:ascii="Times New Roman" w:hAnsi="Times New Roman"/>
          <w:sz w:val="24"/>
          <w:szCs w:val="24"/>
        </w:rPr>
        <w:t xml:space="preserve"> (CRC), read with Article 4; and</w:t>
      </w:r>
    </w:p>
    <w:p w14:paraId="4C556C51" w14:textId="4CFC8343" w:rsidR="00397BAA" w:rsidRPr="001F4ECA" w:rsidRDefault="00397BAA" w:rsidP="00397BAA">
      <w:pPr>
        <w:numPr>
          <w:ilvl w:val="0"/>
          <w:numId w:val="16"/>
        </w:numPr>
        <w:ind w:right="-46"/>
        <w:rPr>
          <w:rFonts w:ascii="Times New Roman" w:hAnsi="Times New Roman"/>
          <w:sz w:val="24"/>
          <w:szCs w:val="24"/>
        </w:rPr>
      </w:pPr>
      <w:r w:rsidRPr="001F4ECA">
        <w:rPr>
          <w:rFonts w:ascii="Times New Roman" w:hAnsi="Times New Roman"/>
          <w:sz w:val="24"/>
          <w:szCs w:val="24"/>
        </w:rPr>
        <w:t>the right to education – persons with a disability – Article 24 of the</w:t>
      </w:r>
      <w:r w:rsidRPr="001F4ECA">
        <w:rPr>
          <w:rFonts w:ascii="Times New Roman" w:hAnsi="Times New Roman"/>
          <w:i/>
          <w:iCs/>
          <w:sz w:val="24"/>
          <w:szCs w:val="24"/>
        </w:rPr>
        <w:t xml:space="preserve"> Convention on the Rights of Persons with Disabilities </w:t>
      </w:r>
      <w:r w:rsidRPr="001F4ECA">
        <w:rPr>
          <w:rFonts w:ascii="Times New Roman" w:hAnsi="Times New Roman"/>
          <w:sz w:val="24"/>
          <w:szCs w:val="24"/>
        </w:rPr>
        <w:t>(CRPD), read with Article 4.</w:t>
      </w:r>
    </w:p>
    <w:p w14:paraId="04293CDE" w14:textId="77777777" w:rsidR="00397BAA" w:rsidRPr="001F4ECA" w:rsidRDefault="00397BAA" w:rsidP="00397BAA">
      <w:pPr>
        <w:ind w:right="-46"/>
        <w:rPr>
          <w:rFonts w:ascii="Times New Roman" w:hAnsi="Times New Roman"/>
          <w:sz w:val="24"/>
          <w:szCs w:val="24"/>
        </w:rPr>
      </w:pPr>
    </w:p>
    <w:p w14:paraId="3D10B12B" w14:textId="3F0A4024" w:rsidR="00397BAA" w:rsidRPr="001F4ECA" w:rsidRDefault="00397BAA" w:rsidP="00397BAA">
      <w:pPr>
        <w:ind w:right="-46"/>
        <w:rPr>
          <w:rFonts w:ascii="Times New Roman" w:hAnsi="Times New Roman"/>
          <w:i/>
          <w:sz w:val="24"/>
          <w:szCs w:val="24"/>
        </w:rPr>
      </w:pPr>
      <w:r w:rsidRPr="001F4ECA">
        <w:rPr>
          <w:rFonts w:ascii="Times New Roman" w:hAnsi="Times New Roman"/>
          <w:i/>
          <w:sz w:val="24"/>
          <w:szCs w:val="24"/>
        </w:rPr>
        <w:t xml:space="preserve">Right to education </w:t>
      </w:r>
      <w:r w:rsidR="00975795" w:rsidRPr="001F4ECA">
        <w:rPr>
          <w:rFonts w:ascii="Times New Roman" w:hAnsi="Times New Roman"/>
          <w:i/>
          <w:sz w:val="24"/>
          <w:szCs w:val="24"/>
        </w:rPr>
        <w:t>–</w:t>
      </w:r>
      <w:r w:rsidRPr="001F4ECA">
        <w:rPr>
          <w:rFonts w:ascii="Times New Roman" w:hAnsi="Times New Roman"/>
          <w:i/>
          <w:sz w:val="24"/>
          <w:szCs w:val="24"/>
        </w:rPr>
        <w:t xml:space="preserve"> children</w:t>
      </w:r>
      <w:r w:rsidR="00975795" w:rsidRPr="001F4ECA">
        <w:rPr>
          <w:rFonts w:ascii="Times New Roman" w:hAnsi="Times New Roman"/>
          <w:i/>
          <w:sz w:val="24"/>
          <w:szCs w:val="24"/>
        </w:rPr>
        <w:t xml:space="preserve"> </w:t>
      </w:r>
    </w:p>
    <w:p w14:paraId="44699204" w14:textId="77777777" w:rsidR="00397BAA" w:rsidRPr="001F4ECA" w:rsidRDefault="00397BAA" w:rsidP="00397BAA">
      <w:pPr>
        <w:ind w:right="-46"/>
        <w:rPr>
          <w:rFonts w:ascii="Times New Roman" w:hAnsi="Times New Roman"/>
          <w:sz w:val="24"/>
          <w:szCs w:val="24"/>
        </w:rPr>
      </w:pPr>
    </w:p>
    <w:p w14:paraId="211383AA" w14:textId="19ADA8DD"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 xml:space="preserve">The amended </w:t>
      </w:r>
      <w:r w:rsidR="00975795" w:rsidRPr="001F4ECA">
        <w:rPr>
          <w:rFonts w:ascii="Times New Roman" w:hAnsi="Times New Roman"/>
          <w:sz w:val="24"/>
          <w:szCs w:val="24"/>
        </w:rPr>
        <w:t xml:space="preserve">table </w:t>
      </w:r>
      <w:r w:rsidRPr="001F4ECA">
        <w:rPr>
          <w:rFonts w:ascii="Times New Roman" w:hAnsi="Times New Roman"/>
          <w:sz w:val="24"/>
          <w:szCs w:val="24"/>
        </w:rPr>
        <w:t xml:space="preserve">item 111 engages the right to education in Article 13 of the ICESCR and Articles 28 and 29 of the CRC. </w:t>
      </w:r>
    </w:p>
    <w:p w14:paraId="04AECCEE" w14:textId="77777777" w:rsidR="00397BAA" w:rsidRPr="001F4ECA" w:rsidRDefault="00397BAA" w:rsidP="00397BAA">
      <w:pPr>
        <w:ind w:right="-46"/>
        <w:rPr>
          <w:rFonts w:ascii="Times New Roman" w:hAnsi="Times New Roman"/>
          <w:sz w:val="24"/>
          <w:szCs w:val="24"/>
        </w:rPr>
      </w:pPr>
    </w:p>
    <w:p w14:paraId="40F87478" w14:textId="77A629CD"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 xml:space="preserve">Article 2 of the ICESCR requires </w:t>
      </w:r>
      <w:r w:rsidR="00975795" w:rsidRPr="001F4ECA">
        <w:rPr>
          <w:rFonts w:ascii="Times New Roman" w:hAnsi="Times New Roman"/>
          <w:sz w:val="24"/>
          <w:szCs w:val="24"/>
        </w:rPr>
        <w:t xml:space="preserve">the </w:t>
      </w:r>
      <w:r w:rsidRPr="001F4ECA">
        <w:rPr>
          <w:rFonts w:ascii="Times New Roman" w:hAnsi="Times New Roman"/>
          <w:sz w:val="24"/>
          <w:szCs w:val="24"/>
        </w:rPr>
        <w:t>States Parties to take steps to progressively achieve the full realisation of the rights recognised in the ICESCR by all appropriate means. Article</w:t>
      </w:r>
      <w:r w:rsidR="00975795" w:rsidRPr="001F4ECA">
        <w:rPr>
          <w:rFonts w:ascii="Times New Roman" w:hAnsi="Times New Roman"/>
          <w:sz w:val="24"/>
          <w:szCs w:val="24"/>
        </w:rPr>
        <w:t> </w:t>
      </w:r>
      <w:r w:rsidRPr="001F4ECA">
        <w:rPr>
          <w:rFonts w:ascii="Times New Roman" w:hAnsi="Times New Roman"/>
          <w:sz w:val="24"/>
          <w:szCs w:val="24"/>
        </w:rPr>
        <w:t>13(2)(a) of the ICESCR relates to the right of everyone to primary education that is compulsory and free.</w:t>
      </w:r>
    </w:p>
    <w:p w14:paraId="1698E74E" w14:textId="77777777" w:rsidR="00397BAA" w:rsidRPr="001F4ECA" w:rsidRDefault="00397BAA" w:rsidP="00397BAA">
      <w:pPr>
        <w:ind w:right="-46"/>
        <w:rPr>
          <w:rFonts w:ascii="Times New Roman" w:hAnsi="Times New Roman"/>
          <w:sz w:val="24"/>
          <w:szCs w:val="24"/>
        </w:rPr>
      </w:pPr>
    </w:p>
    <w:p w14:paraId="02EE484C" w14:textId="77777777"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Article 4 of the CRC requires States Parties to undertake all appropriate legislative, administrative, and other measures for the implementation of the rights recognised in the CRC. These rights include ‘the right of the child to education’ (Article 28).</w:t>
      </w:r>
    </w:p>
    <w:p w14:paraId="0A583E7D" w14:textId="77777777" w:rsidR="00397BAA" w:rsidRPr="001F4ECA" w:rsidRDefault="00397BAA" w:rsidP="00397BAA">
      <w:pPr>
        <w:ind w:right="-46"/>
        <w:rPr>
          <w:rFonts w:ascii="Times New Roman" w:hAnsi="Times New Roman"/>
          <w:sz w:val="24"/>
          <w:szCs w:val="24"/>
        </w:rPr>
      </w:pPr>
    </w:p>
    <w:p w14:paraId="766201B3" w14:textId="77777777"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lastRenderedPageBreak/>
        <w:t xml:space="preserve">Article 29(1)(a) of the CRC provides that ‘States Parties agree that the education of the child shall be directed to… the development of the child’s personality, talents and mental and physical abilities to their fullest potential’. </w:t>
      </w:r>
    </w:p>
    <w:p w14:paraId="28E81B04" w14:textId="77777777" w:rsidR="00397BAA" w:rsidRPr="001F4ECA" w:rsidRDefault="00397BAA" w:rsidP="00397BAA">
      <w:pPr>
        <w:ind w:right="-46"/>
        <w:rPr>
          <w:rFonts w:ascii="Times New Roman" w:hAnsi="Times New Roman"/>
          <w:sz w:val="24"/>
          <w:szCs w:val="24"/>
        </w:rPr>
      </w:pPr>
    </w:p>
    <w:p w14:paraId="6B6141D7" w14:textId="57B3CA78"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The amended item 111 supports the right to education by facilitating the assessment mechanism that ensures that only individuals with an adequate level of literacy and numeracy can qualify as teachers, in turn assisting to ensure a quality education is provided to children in schools.</w:t>
      </w:r>
    </w:p>
    <w:p w14:paraId="276B3410" w14:textId="77777777" w:rsidR="00C51074" w:rsidRPr="001F4ECA" w:rsidRDefault="00C51074" w:rsidP="00397BAA">
      <w:pPr>
        <w:ind w:right="-46"/>
        <w:rPr>
          <w:rFonts w:ascii="Times New Roman" w:hAnsi="Times New Roman"/>
          <w:sz w:val="24"/>
          <w:szCs w:val="24"/>
        </w:rPr>
      </w:pPr>
    </w:p>
    <w:p w14:paraId="0D27C9B3" w14:textId="6228C99D" w:rsidR="00397BAA" w:rsidRPr="001F4ECA" w:rsidRDefault="00397BAA" w:rsidP="00397BAA">
      <w:pPr>
        <w:ind w:right="-46"/>
        <w:rPr>
          <w:rFonts w:ascii="Times New Roman" w:hAnsi="Times New Roman"/>
          <w:i/>
          <w:iCs/>
          <w:sz w:val="24"/>
          <w:szCs w:val="24"/>
        </w:rPr>
      </w:pPr>
      <w:r w:rsidRPr="001F4ECA">
        <w:rPr>
          <w:rFonts w:ascii="Times New Roman" w:hAnsi="Times New Roman"/>
          <w:i/>
          <w:iCs/>
          <w:sz w:val="24"/>
          <w:szCs w:val="24"/>
        </w:rPr>
        <w:t xml:space="preserve">Right to education – </w:t>
      </w:r>
      <w:r w:rsidR="00975795" w:rsidRPr="001F4ECA">
        <w:rPr>
          <w:rFonts w:ascii="Times New Roman" w:hAnsi="Times New Roman"/>
          <w:i/>
          <w:iCs/>
          <w:sz w:val="24"/>
          <w:szCs w:val="24"/>
        </w:rPr>
        <w:t>p</w:t>
      </w:r>
      <w:r w:rsidRPr="001F4ECA">
        <w:rPr>
          <w:rFonts w:ascii="Times New Roman" w:hAnsi="Times New Roman"/>
          <w:i/>
          <w:iCs/>
          <w:sz w:val="24"/>
          <w:szCs w:val="24"/>
        </w:rPr>
        <w:t>ersons with a disability</w:t>
      </w:r>
    </w:p>
    <w:p w14:paraId="4A717D6B" w14:textId="17FCA866" w:rsidR="00397BAA" w:rsidRPr="001F4ECA" w:rsidRDefault="00397BAA" w:rsidP="00397BAA">
      <w:pPr>
        <w:ind w:right="-46"/>
        <w:rPr>
          <w:rFonts w:ascii="Times New Roman" w:hAnsi="Times New Roman"/>
          <w:sz w:val="24"/>
          <w:szCs w:val="24"/>
        </w:rPr>
      </w:pPr>
    </w:p>
    <w:p w14:paraId="52D5164A" w14:textId="3E85B5C9" w:rsidR="00C51074" w:rsidRPr="001F4ECA" w:rsidRDefault="00C51074" w:rsidP="00397BAA">
      <w:pPr>
        <w:ind w:right="-46"/>
        <w:rPr>
          <w:rFonts w:ascii="Times New Roman" w:hAnsi="Times New Roman"/>
          <w:sz w:val="24"/>
          <w:szCs w:val="24"/>
        </w:rPr>
      </w:pPr>
      <w:r w:rsidRPr="001F4ECA">
        <w:rPr>
          <w:rFonts w:ascii="Times New Roman" w:hAnsi="Times New Roman"/>
          <w:sz w:val="24"/>
          <w:szCs w:val="24"/>
        </w:rPr>
        <w:t xml:space="preserve">The amended </w:t>
      </w:r>
      <w:r w:rsidR="00975795" w:rsidRPr="001F4ECA">
        <w:rPr>
          <w:rFonts w:ascii="Times New Roman" w:hAnsi="Times New Roman"/>
          <w:sz w:val="24"/>
          <w:szCs w:val="24"/>
        </w:rPr>
        <w:t xml:space="preserve">table </w:t>
      </w:r>
      <w:r w:rsidRPr="001F4ECA">
        <w:rPr>
          <w:rFonts w:ascii="Times New Roman" w:hAnsi="Times New Roman"/>
          <w:sz w:val="24"/>
          <w:szCs w:val="24"/>
        </w:rPr>
        <w:t xml:space="preserve">item 111 engages the right to education – persons with a disability </w:t>
      </w:r>
      <w:r w:rsidR="00975795" w:rsidRPr="001F4ECA">
        <w:rPr>
          <w:rFonts w:ascii="Times New Roman" w:hAnsi="Times New Roman"/>
          <w:sz w:val="24"/>
          <w:szCs w:val="24"/>
        </w:rPr>
        <w:t xml:space="preserve">– </w:t>
      </w:r>
      <w:r w:rsidRPr="001F4ECA">
        <w:rPr>
          <w:rFonts w:ascii="Times New Roman" w:hAnsi="Times New Roman"/>
          <w:sz w:val="24"/>
          <w:szCs w:val="24"/>
        </w:rPr>
        <w:t>in</w:t>
      </w:r>
      <w:r w:rsidR="00975795" w:rsidRPr="001F4ECA">
        <w:rPr>
          <w:rFonts w:ascii="Times New Roman" w:hAnsi="Times New Roman"/>
          <w:sz w:val="24"/>
          <w:szCs w:val="24"/>
        </w:rPr>
        <w:t xml:space="preserve"> </w:t>
      </w:r>
      <w:r w:rsidRPr="001F4ECA">
        <w:rPr>
          <w:rFonts w:ascii="Times New Roman" w:hAnsi="Times New Roman"/>
          <w:sz w:val="24"/>
          <w:szCs w:val="24"/>
        </w:rPr>
        <w:t xml:space="preserve">Article 24 </w:t>
      </w:r>
      <w:r w:rsidR="00BD020C" w:rsidRPr="001F4ECA">
        <w:rPr>
          <w:rFonts w:ascii="Times New Roman" w:hAnsi="Times New Roman"/>
          <w:sz w:val="24"/>
          <w:szCs w:val="24"/>
        </w:rPr>
        <w:t>of the CRPD.</w:t>
      </w:r>
    </w:p>
    <w:p w14:paraId="0605F9BD" w14:textId="07333FB2" w:rsidR="00BD020C" w:rsidRPr="001F4ECA" w:rsidRDefault="00BD020C" w:rsidP="00397BAA">
      <w:pPr>
        <w:ind w:right="-46"/>
        <w:rPr>
          <w:rFonts w:ascii="Times New Roman" w:hAnsi="Times New Roman"/>
          <w:sz w:val="24"/>
          <w:szCs w:val="24"/>
        </w:rPr>
      </w:pPr>
    </w:p>
    <w:p w14:paraId="541F3AAC" w14:textId="5E8535FE" w:rsidR="00BD020C" w:rsidRPr="001F4ECA" w:rsidRDefault="00BD020C" w:rsidP="00397BAA">
      <w:pPr>
        <w:ind w:right="-46"/>
        <w:rPr>
          <w:rFonts w:ascii="Times New Roman" w:hAnsi="Times New Roman"/>
          <w:sz w:val="24"/>
          <w:szCs w:val="24"/>
        </w:rPr>
      </w:pPr>
      <w:r w:rsidRPr="001F4ECA">
        <w:rPr>
          <w:rFonts w:ascii="Times New Roman" w:hAnsi="Times New Roman"/>
          <w:sz w:val="24"/>
          <w:szCs w:val="24"/>
        </w:rPr>
        <w:t xml:space="preserve">Article 4 of the CRPD </w:t>
      </w:r>
      <w:r w:rsidR="009F1FDE" w:rsidRPr="001F4ECA">
        <w:rPr>
          <w:rFonts w:ascii="Times New Roman" w:hAnsi="Times New Roman"/>
          <w:sz w:val="24"/>
          <w:szCs w:val="24"/>
        </w:rPr>
        <w:t>provides that</w:t>
      </w:r>
      <w:r w:rsidRPr="001F4ECA">
        <w:rPr>
          <w:rFonts w:ascii="Times New Roman" w:hAnsi="Times New Roman"/>
          <w:sz w:val="24"/>
          <w:szCs w:val="24"/>
        </w:rPr>
        <w:t xml:space="preserve"> States Parties </w:t>
      </w:r>
      <w:r w:rsidR="000242C5" w:rsidRPr="001F4ECA">
        <w:rPr>
          <w:rFonts w:ascii="Times New Roman" w:hAnsi="Times New Roman"/>
          <w:sz w:val="24"/>
          <w:szCs w:val="24"/>
        </w:rPr>
        <w:t>undertake to en</w:t>
      </w:r>
      <w:r w:rsidR="00975795" w:rsidRPr="001F4ECA">
        <w:rPr>
          <w:rFonts w:ascii="Times New Roman" w:hAnsi="Times New Roman"/>
          <w:sz w:val="24"/>
          <w:szCs w:val="24"/>
        </w:rPr>
        <w:t>sure and promote the full realis</w:t>
      </w:r>
      <w:r w:rsidR="000242C5" w:rsidRPr="001F4ECA">
        <w:rPr>
          <w:rFonts w:ascii="Times New Roman" w:hAnsi="Times New Roman"/>
          <w:sz w:val="24"/>
          <w:szCs w:val="24"/>
        </w:rPr>
        <w:t>ation of all human rights and fundamental freedoms for all persons with disabilities without discrimination of any kind on the basis of disability</w:t>
      </w:r>
      <w:r w:rsidRPr="001F4ECA">
        <w:rPr>
          <w:rFonts w:ascii="Times New Roman" w:hAnsi="Times New Roman"/>
          <w:sz w:val="24"/>
          <w:szCs w:val="24"/>
        </w:rPr>
        <w:t>.</w:t>
      </w:r>
    </w:p>
    <w:p w14:paraId="01C8A662" w14:textId="4D425702" w:rsidR="00C51074" w:rsidRPr="001F4ECA" w:rsidRDefault="00C51074" w:rsidP="00397BAA">
      <w:pPr>
        <w:ind w:right="-46"/>
        <w:rPr>
          <w:rFonts w:ascii="Times New Roman" w:hAnsi="Times New Roman"/>
          <w:sz w:val="24"/>
          <w:szCs w:val="24"/>
        </w:rPr>
      </w:pPr>
    </w:p>
    <w:p w14:paraId="7EE53DD8" w14:textId="61AE69B7"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Article 24 of the CRPD provides that States Parties ‘recogni</w:t>
      </w:r>
      <w:r w:rsidR="00975795" w:rsidRPr="001F4ECA">
        <w:rPr>
          <w:rFonts w:ascii="Times New Roman" w:hAnsi="Times New Roman"/>
          <w:sz w:val="24"/>
          <w:szCs w:val="24"/>
        </w:rPr>
        <w:t>z</w:t>
      </w:r>
      <w:r w:rsidRPr="001F4ECA">
        <w:rPr>
          <w:rFonts w:ascii="Times New Roman" w:hAnsi="Times New Roman"/>
          <w:sz w:val="24"/>
          <w:szCs w:val="24"/>
        </w:rPr>
        <w:t>e the right of persons with disabilities to education and shall ensure an inclusive education system’ (</w:t>
      </w:r>
      <w:r w:rsidR="00975795" w:rsidRPr="001F4ECA">
        <w:rPr>
          <w:rFonts w:ascii="Times New Roman" w:hAnsi="Times New Roman"/>
          <w:sz w:val="24"/>
          <w:szCs w:val="24"/>
        </w:rPr>
        <w:t>A</w:t>
      </w:r>
      <w:r w:rsidRPr="001F4ECA">
        <w:rPr>
          <w:rFonts w:ascii="Times New Roman" w:hAnsi="Times New Roman"/>
          <w:sz w:val="24"/>
          <w:szCs w:val="24"/>
        </w:rPr>
        <w:t>rt</w:t>
      </w:r>
      <w:r w:rsidR="00975795" w:rsidRPr="001F4ECA">
        <w:rPr>
          <w:rFonts w:ascii="Times New Roman" w:hAnsi="Times New Roman"/>
          <w:sz w:val="24"/>
          <w:szCs w:val="24"/>
        </w:rPr>
        <w:t>icle</w:t>
      </w:r>
      <w:r w:rsidRPr="001F4ECA">
        <w:rPr>
          <w:rFonts w:ascii="Times New Roman" w:hAnsi="Times New Roman"/>
          <w:sz w:val="24"/>
          <w:szCs w:val="24"/>
        </w:rPr>
        <w:t xml:space="preserve"> 24(1)). To</w:t>
      </w:r>
      <w:r w:rsidR="00975795" w:rsidRPr="001F4ECA">
        <w:rPr>
          <w:rFonts w:ascii="Times New Roman" w:hAnsi="Times New Roman"/>
          <w:sz w:val="24"/>
          <w:szCs w:val="24"/>
        </w:rPr>
        <w:t> </w:t>
      </w:r>
      <w:r w:rsidRPr="001F4ECA">
        <w:rPr>
          <w:rFonts w:ascii="Times New Roman" w:hAnsi="Times New Roman"/>
          <w:sz w:val="24"/>
          <w:szCs w:val="24"/>
        </w:rPr>
        <w:t xml:space="preserve">realise this right, States </w:t>
      </w:r>
      <w:r w:rsidR="00975795" w:rsidRPr="001F4ECA">
        <w:rPr>
          <w:rFonts w:ascii="Times New Roman" w:hAnsi="Times New Roman"/>
          <w:sz w:val="24"/>
          <w:szCs w:val="24"/>
        </w:rPr>
        <w:t>P</w:t>
      </w:r>
      <w:r w:rsidRPr="001F4ECA">
        <w:rPr>
          <w:rFonts w:ascii="Times New Roman" w:hAnsi="Times New Roman"/>
          <w:sz w:val="24"/>
          <w:szCs w:val="24"/>
        </w:rPr>
        <w:t>arties need to ensure that:</w:t>
      </w:r>
    </w:p>
    <w:p w14:paraId="3B828EB7" w14:textId="12830563" w:rsidR="00397BAA" w:rsidRPr="001F4ECA" w:rsidRDefault="00397BAA" w:rsidP="00397BAA">
      <w:pPr>
        <w:numPr>
          <w:ilvl w:val="0"/>
          <w:numId w:val="27"/>
        </w:numPr>
        <w:ind w:right="-46"/>
        <w:rPr>
          <w:rFonts w:ascii="Times New Roman" w:hAnsi="Times New Roman"/>
          <w:sz w:val="24"/>
          <w:szCs w:val="24"/>
        </w:rPr>
      </w:pPr>
      <w:r w:rsidRPr="001F4ECA">
        <w:rPr>
          <w:rFonts w:ascii="Times New Roman" w:hAnsi="Times New Roman"/>
          <w:sz w:val="24"/>
          <w:szCs w:val="24"/>
        </w:rPr>
        <w:t>persons with disabilities are not excluded from the general education system on the basis of disability (</w:t>
      </w:r>
      <w:r w:rsidR="00975795" w:rsidRPr="001F4ECA">
        <w:rPr>
          <w:rFonts w:ascii="Times New Roman" w:hAnsi="Times New Roman"/>
          <w:sz w:val="24"/>
          <w:szCs w:val="24"/>
        </w:rPr>
        <w:t>Article</w:t>
      </w:r>
      <w:r w:rsidRPr="001F4ECA">
        <w:rPr>
          <w:rFonts w:ascii="Times New Roman" w:hAnsi="Times New Roman"/>
          <w:sz w:val="24"/>
          <w:szCs w:val="24"/>
        </w:rPr>
        <w:t xml:space="preserve"> 24(2)(a))</w:t>
      </w:r>
      <w:r w:rsidR="00975795" w:rsidRPr="001F4ECA">
        <w:rPr>
          <w:rFonts w:ascii="Times New Roman" w:hAnsi="Times New Roman"/>
          <w:sz w:val="24"/>
          <w:szCs w:val="24"/>
        </w:rPr>
        <w:t>;</w:t>
      </w:r>
    </w:p>
    <w:p w14:paraId="1AA9D714" w14:textId="28DFD09C" w:rsidR="00397BAA" w:rsidRPr="001F4ECA" w:rsidRDefault="00397BAA" w:rsidP="00397BAA">
      <w:pPr>
        <w:numPr>
          <w:ilvl w:val="0"/>
          <w:numId w:val="27"/>
        </w:numPr>
        <w:ind w:right="-46"/>
        <w:rPr>
          <w:rFonts w:ascii="Times New Roman" w:hAnsi="Times New Roman"/>
          <w:sz w:val="24"/>
          <w:szCs w:val="24"/>
        </w:rPr>
      </w:pPr>
      <w:r w:rsidRPr="001F4ECA">
        <w:rPr>
          <w:rFonts w:ascii="Times New Roman" w:hAnsi="Times New Roman"/>
          <w:sz w:val="24"/>
          <w:szCs w:val="24"/>
        </w:rPr>
        <w:t xml:space="preserve">reasonable accommodation of the individual’s requirements </w:t>
      </w:r>
      <w:r w:rsidR="00975795" w:rsidRPr="001F4ECA">
        <w:rPr>
          <w:rFonts w:ascii="Times New Roman" w:hAnsi="Times New Roman"/>
          <w:sz w:val="24"/>
          <w:szCs w:val="24"/>
        </w:rPr>
        <w:t>is provided (A</w:t>
      </w:r>
      <w:r w:rsidRPr="001F4ECA">
        <w:rPr>
          <w:rFonts w:ascii="Times New Roman" w:hAnsi="Times New Roman"/>
          <w:sz w:val="24"/>
          <w:szCs w:val="24"/>
        </w:rPr>
        <w:t>rt</w:t>
      </w:r>
      <w:r w:rsidR="00975795" w:rsidRPr="001F4ECA">
        <w:rPr>
          <w:rFonts w:ascii="Times New Roman" w:hAnsi="Times New Roman"/>
          <w:sz w:val="24"/>
          <w:szCs w:val="24"/>
        </w:rPr>
        <w:t>icle</w:t>
      </w:r>
      <w:r w:rsidRPr="001F4ECA">
        <w:rPr>
          <w:rFonts w:ascii="Times New Roman" w:hAnsi="Times New Roman"/>
          <w:sz w:val="24"/>
          <w:szCs w:val="24"/>
        </w:rPr>
        <w:t> 24(2)(c))</w:t>
      </w:r>
      <w:r w:rsidR="00975795" w:rsidRPr="001F4ECA">
        <w:rPr>
          <w:rFonts w:ascii="Times New Roman" w:hAnsi="Times New Roman"/>
          <w:sz w:val="24"/>
          <w:szCs w:val="24"/>
        </w:rPr>
        <w:t>;</w:t>
      </w:r>
      <w:r w:rsidRPr="001F4ECA">
        <w:rPr>
          <w:rFonts w:ascii="Times New Roman" w:hAnsi="Times New Roman"/>
          <w:sz w:val="24"/>
          <w:szCs w:val="24"/>
        </w:rPr>
        <w:t xml:space="preserve"> and</w:t>
      </w:r>
    </w:p>
    <w:p w14:paraId="00ACD085" w14:textId="54D7F481" w:rsidR="00397BAA" w:rsidRPr="001F4ECA" w:rsidRDefault="00397BAA" w:rsidP="00397BAA">
      <w:pPr>
        <w:numPr>
          <w:ilvl w:val="0"/>
          <w:numId w:val="27"/>
        </w:numPr>
        <w:ind w:right="-46"/>
        <w:rPr>
          <w:rFonts w:ascii="Times New Roman" w:hAnsi="Times New Roman"/>
          <w:sz w:val="24"/>
          <w:szCs w:val="24"/>
        </w:rPr>
      </w:pPr>
      <w:r w:rsidRPr="001F4ECA">
        <w:rPr>
          <w:rFonts w:ascii="Times New Roman" w:hAnsi="Times New Roman"/>
          <w:sz w:val="24"/>
          <w:szCs w:val="24"/>
        </w:rPr>
        <w:t>persons with disabilities receive the support required, within the general education system, to facilitate their effective education (</w:t>
      </w:r>
      <w:r w:rsidR="00975795" w:rsidRPr="001F4ECA">
        <w:rPr>
          <w:rFonts w:ascii="Times New Roman" w:hAnsi="Times New Roman"/>
          <w:sz w:val="24"/>
          <w:szCs w:val="24"/>
        </w:rPr>
        <w:t>A</w:t>
      </w:r>
      <w:r w:rsidRPr="001F4ECA">
        <w:rPr>
          <w:rFonts w:ascii="Times New Roman" w:hAnsi="Times New Roman"/>
          <w:sz w:val="24"/>
          <w:szCs w:val="24"/>
        </w:rPr>
        <w:t>rt</w:t>
      </w:r>
      <w:r w:rsidR="00975795" w:rsidRPr="001F4ECA">
        <w:rPr>
          <w:rFonts w:ascii="Times New Roman" w:hAnsi="Times New Roman"/>
          <w:sz w:val="24"/>
          <w:szCs w:val="24"/>
        </w:rPr>
        <w:t>icle</w:t>
      </w:r>
      <w:r w:rsidRPr="001F4ECA">
        <w:rPr>
          <w:rFonts w:ascii="Times New Roman" w:hAnsi="Times New Roman"/>
          <w:sz w:val="24"/>
          <w:szCs w:val="24"/>
        </w:rPr>
        <w:t xml:space="preserve"> 24(2)(d)).</w:t>
      </w:r>
    </w:p>
    <w:p w14:paraId="00C81EEA" w14:textId="77777777" w:rsidR="00397BAA" w:rsidRPr="001F4ECA" w:rsidRDefault="00397BAA" w:rsidP="00397BAA">
      <w:pPr>
        <w:ind w:right="-46"/>
        <w:rPr>
          <w:rFonts w:ascii="Times New Roman" w:hAnsi="Times New Roman"/>
          <w:sz w:val="24"/>
          <w:szCs w:val="24"/>
        </w:rPr>
      </w:pPr>
    </w:p>
    <w:p w14:paraId="1856AB03" w14:textId="5E127F53"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Article 24(5) further provid</w:t>
      </w:r>
      <w:r w:rsidR="00975795" w:rsidRPr="001F4ECA">
        <w:rPr>
          <w:rFonts w:ascii="Times New Roman" w:hAnsi="Times New Roman"/>
          <w:sz w:val="24"/>
          <w:szCs w:val="24"/>
        </w:rPr>
        <w:t>es that States P</w:t>
      </w:r>
      <w:r w:rsidRPr="001F4ECA">
        <w:rPr>
          <w:rFonts w:ascii="Times New Roman" w:hAnsi="Times New Roman"/>
          <w:sz w:val="24"/>
          <w:szCs w:val="24"/>
        </w:rPr>
        <w:t>arties shall also ensure that persons with disabilities are able to access general tertiary education without discrimination and on an equal basis with others and, to that end, shall ensure that reasonable accommodation is provided to persons with disabilities.</w:t>
      </w:r>
    </w:p>
    <w:p w14:paraId="4FEB5350" w14:textId="77777777" w:rsidR="00397BAA" w:rsidRPr="001F4ECA" w:rsidRDefault="00397BAA" w:rsidP="00397BAA">
      <w:pPr>
        <w:ind w:right="-46"/>
        <w:rPr>
          <w:rFonts w:ascii="Times New Roman" w:hAnsi="Times New Roman"/>
          <w:sz w:val="24"/>
          <w:szCs w:val="24"/>
        </w:rPr>
      </w:pPr>
    </w:p>
    <w:p w14:paraId="11E7FE9E" w14:textId="770CFC47"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‘Reasonable accommodation’ is defined in Article 2 of the C</w:t>
      </w:r>
      <w:r w:rsidR="00975795" w:rsidRPr="001F4ECA">
        <w:rPr>
          <w:rFonts w:ascii="Times New Roman" w:hAnsi="Times New Roman"/>
          <w:sz w:val="24"/>
          <w:szCs w:val="24"/>
        </w:rPr>
        <w:t>RPD</w:t>
      </w:r>
      <w:r w:rsidRPr="001F4ECA">
        <w:rPr>
          <w:rFonts w:ascii="Times New Roman" w:hAnsi="Times New Roman"/>
          <w:sz w:val="24"/>
          <w:szCs w:val="24"/>
        </w:rPr>
        <w:t xml:space="preserve"> to mean ‘necessary and appropriate modifications and adjustments not imposing a disproportionate or undue burden, where needed in a particular case, to ensure to persons with disabilities the enjoyment or exercise on an equal basis with others of all human rights and fundamental freedoms.’</w:t>
      </w:r>
    </w:p>
    <w:p w14:paraId="0C1FA767" w14:textId="77777777" w:rsidR="00397BAA" w:rsidRPr="001F4ECA" w:rsidRDefault="00397BAA" w:rsidP="00397BAA">
      <w:pPr>
        <w:ind w:right="-46"/>
        <w:rPr>
          <w:rFonts w:ascii="Times New Roman" w:hAnsi="Times New Roman"/>
          <w:sz w:val="24"/>
          <w:szCs w:val="24"/>
        </w:rPr>
      </w:pPr>
    </w:p>
    <w:p w14:paraId="2CD3AB87" w14:textId="4307A970" w:rsidR="00397BAA" w:rsidRPr="001F4ECA" w:rsidRDefault="00397BAA" w:rsidP="00397BAA">
      <w:pPr>
        <w:ind w:right="-46"/>
        <w:rPr>
          <w:rFonts w:ascii="Times New Roman" w:hAnsi="Times New Roman"/>
          <w:sz w:val="24"/>
          <w:szCs w:val="24"/>
        </w:rPr>
      </w:pPr>
      <w:r w:rsidRPr="001F4ECA">
        <w:rPr>
          <w:rFonts w:ascii="Times New Roman" w:hAnsi="Times New Roman"/>
          <w:sz w:val="24"/>
          <w:szCs w:val="24"/>
        </w:rPr>
        <w:t xml:space="preserve">The amended </w:t>
      </w:r>
      <w:r w:rsidR="00975795" w:rsidRPr="001F4ECA">
        <w:rPr>
          <w:rFonts w:ascii="Times New Roman" w:hAnsi="Times New Roman"/>
          <w:sz w:val="24"/>
          <w:szCs w:val="24"/>
        </w:rPr>
        <w:t xml:space="preserve">table </w:t>
      </w:r>
      <w:r w:rsidRPr="001F4ECA">
        <w:rPr>
          <w:rFonts w:ascii="Times New Roman" w:hAnsi="Times New Roman"/>
          <w:sz w:val="24"/>
          <w:szCs w:val="24"/>
        </w:rPr>
        <w:t>item 111 ensures students and prospective students with a disability can participate in an important component of their study without the discriminatory effect of an online-only test. This would assist to ensure that the tertiary education system is inclusive and supportive, and that it provides reasonable accommodations to students with a disability.</w:t>
      </w:r>
    </w:p>
    <w:p w14:paraId="1669E9DE" w14:textId="77777777" w:rsidR="00397BAA" w:rsidRPr="001F4ECA" w:rsidRDefault="00397BAA" w:rsidP="00ED38BC">
      <w:pPr>
        <w:ind w:right="-46"/>
        <w:rPr>
          <w:rFonts w:ascii="Times New Roman" w:hAnsi="Times New Roman"/>
          <w:sz w:val="24"/>
          <w:szCs w:val="24"/>
        </w:rPr>
      </w:pPr>
    </w:p>
    <w:p w14:paraId="5C310881" w14:textId="4C328464" w:rsidR="00ED38BC" w:rsidRPr="001F4ECA" w:rsidRDefault="00ED38BC" w:rsidP="00ED38BC">
      <w:pPr>
        <w:ind w:right="-46"/>
        <w:rPr>
          <w:rFonts w:ascii="Times New Roman" w:hAnsi="Times New Roman"/>
          <w:sz w:val="24"/>
          <w:szCs w:val="24"/>
        </w:rPr>
      </w:pPr>
      <w:r w:rsidRPr="001F4ECA">
        <w:rPr>
          <w:rFonts w:ascii="Times New Roman" w:hAnsi="Times New Roman"/>
          <w:b/>
          <w:sz w:val="24"/>
          <w:szCs w:val="24"/>
        </w:rPr>
        <w:t>Conclusion</w:t>
      </w:r>
    </w:p>
    <w:p w14:paraId="60203293" w14:textId="77777777" w:rsidR="00ED38BC" w:rsidRPr="001F4ECA" w:rsidRDefault="00ED38BC" w:rsidP="00ED38BC">
      <w:pPr>
        <w:rPr>
          <w:rFonts w:ascii="Times New Roman" w:hAnsi="Times New Roman"/>
          <w:sz w:val="24"/>
          <w:szCs w:val="24"/>
        </w:rPr>
      </w:pPr>
    </w:p>
    <w:p w14:paraId="4E4118F4" w14:textId="68076320" w:rsidR="00ED38BC" w:rsidRPr="001F4ECA" w:rsidRDefault="00984227" w:rsidP="00ED38BC">
      <w:pPr>
        <w:rPr>
          <w:rFonts w:ascii="Times New Roman" w:hAnsi="Times New Roman"/>
          <w:sz w:val="24"/>
          <w:szCs w:val="24"/>
        </w:rPr>
      </w:pPr>
      <w:r w:rsidRPr="001F4ECA">
        <w:rPr>
          <w:rFonts w:ascii="Times New Roman" w:hAnsi="Times New Roman"/>
          <w:sz w:val="24"/>
          <w:szCs w:val="24"/>
        </w:rPr>
        <w:t xml:space="preserve">The amended table item </w:t>
      </w:r>
      <w:r w:rsidR="005103D9" w:rsidRPr="001F4ECA">
        <w:rPr>
          <w:rFonts w:ascii="Times New Roman" w:hAnsi="Times New Roman"/>
          <w:sz w:val="24"/>
          <w:szCs w:val="24"/>
        </w:rPr>
        <w:t>111</w:t>
      </w:r>
      <w:r w:rsidRPr="001F4ECA">
        <w:rPr>
          <w:rFonts w:ascii="Times New Roman" w:hAnsi="Times New Roman"/>
          <w:sz w:val="24"/>
          <w:szCs w:val="24"/>
        </w:rPr>
        <w:t xml:space="preserve"> </w:t>
      </w:r>
      <w:r w:rsidR="00ED38BC" w:rsidRPr="001F4ECA">
        <w:rPr>
          <w:rFonts w:ascii="Times New Roman" w:hAnsi="Times New Roman"/>
          <w:sz w:val="24"/>
          <w:szCs w:val="24"/>
        </w:rPr>
        <w:t xml:space="preserve">is compatible with human rights because it promotes the protection of human rights. </w:t>
      </w:r>
    </w:p>
    <w:p w14:paraId="35E238EB" w14:textId="2AA08B9E" w:rsidR="00ED38BC" w:rsidRPr="001F4ECA" w:rsidRDefault="00ED38BC" w:rsidP="00ED38BC">
      <w:pPr>
        <w:contextualSpacing/>
        <w:rPr>
          <w:rFonts w:ascii="Times New Roman" w:hAnsi="Times New Roman"/>
          <w:sz w:val="24"/>
          <w:szCs w:val="24"/>
        </w:rPr>
      </w:pPr>
    </w:p>
    <w:p w14:paraId="736580A5" w14:textId="77777777" w:rsidR="00975795" w:rsidRPr="001F4ECA" w:rsidRDefault="00975795">
      <w:pPr>
        <w:spacing w:after="200" w:line="276" w:lineRule="auto"/>
        <w:rPr>
          <w:rFonts w:ascii="Times New Roman" w:hAnsi="Times New Roman"/>
          <w:i/>
          <w:sz w:val="24"/>
          <w:szCs w:val="24"/>
          <w:u w:val="single"/>
        </w:rPr>
      </w:pPr>
      <w:r w:rsidRPr="001F4ECA">
        <w:rPr>
          <w:rFonts w:ascii="Times New Roman" w:hAnsi="Times New Roman"/>
          <w:i/>
          <w:sz w:val="24"/>
          <w:szCs w:val="24"/>
          <w:u w:val="single"/>
        </w:rPr>
        <w:br w:type="page"/>
      </w:r>
    </w:p>
    <w:p w14:paraId="086595A9" w14:textId="19873769" w:rsidR="00CB50A6" w:rsidRPr="001F4ECA" w:rsidRDefault="00CB50A6" w:rsidP="00CB50A6">
      <w:pPr>
        <w:contextualSpacing/>
        <w:rPr>
          <w:rFonts w:ascii="Times New Roman" w:hAnsi="Times New Roman"/>
          <w:i/>
          <w:sz w:val="24"/>
          <w:szCs w:val="24"/>
          <w:u w:val="single"/>
        </w:rPr>
      </w:pPr>
      <w:r w:rsidRPr="001F4ECA">
        <w:rPr>
          <w:rFonts w:ascii="Times New Roman" w:hAnsi="Times New Roman"/>
          <w:i/>
          <w:sz w:val="24"/>
          <w:szCs w:val="24"/>
          <w:u w:val="single"/>
        </w:rPr>
        <w:lastRenderedPageBreak/>
        <w:t>Table item 263 – Civics and Citizenship Education Initiatives</w:t>
      </w:r>
    </w:p>
    <w:p w14:paraId="6C18EE8F" w14:textId="058A0F27" w:rsidR="00CB50A6" w:rsidRPr="001F4ECA" w:rsidRDefault="00CB50A6" w:rsidP="00ED38BC">
      <w:pPr>
        <w:contextualSpacing/>
        <w:rPr>
          <w:rFonts w:ascii="Times New Roman" w:hAnsi="Times New Roman"/>
          <w:sz w:val="24"/>
          <w:szCs w:val="24"/>
        </w:rPr>
      </w:pPr>
    </w:p>
    <w:p w14:paraId="0E174471" w14:textId="45AD9318" w:rsidR="00CB50A6" w:rsidRPr="001F4ECA" w:rsidRDefault="00241C06" w:rsidP="00ED38BC">
      <w:pPr>
        <w:contextualSpacing/>
        <w:rPr>
          <w:rFonts w:ascii="Times New Roman" w:hAnsi="Times New Roman"/>
          <w:sz w:val="24"/>
          <w:szCs w:val="24"/>
        </w:rPr>
      </w:pPr>
      <w:r w:rsidRPr="001F4ECA">
        <w:rPr>
          <w:rFonts w:ascii="Times New Roman" w:hAnsi="Times New Roman"/>
          <w:sz w:val="24"/>
          <w:szCs w:val="24"/>
        </w:rPr>
        <w:t xml:space="preserve">This disallowable legislative instrument </w:t>
      </w:r>
      <w:r w:rsidR="00CB50A6" w:rsidRPr="001F4ECA">
        <w:rPr>
          <w:rFonts w:ascii="Times New Roman" w:hAnsi="Times New Roman"/>
          <w:sz w:val="24"/>
          <w:szCs w:val="24"/>
        </w:rPr>
        <w:t>amend</w:t>
      </w:r>
      <w:r w:rsidRPr="001F4ECA">
        <w:rPr>
          <w:rFonts w:ascii="Times New Roman" w:hAnsi="Times New Roman"/>
          <w:sz w:val="24"/>
          <w:szCs w:val="24"/>
        </w:rPr>
        <w:t>s</w:t>
      </w:r>
      <w:r w:rsidR="00CB50A6" w:rsidRPr="001F4ECA">
        <w:rPr>
          <w:rFonts w:ascii="Times New Roman" w:hAnsi="Times New Roman"/>
          <w:sz w:val="24"/>
          <w:szCs w:val="24"/>
        </w:rPr>
        <w:t xml:space="preserve"> table item 263</w:t>
      </w:r>
      <w:r w:rsidRPr="001F4ECA">
        <w:rPr>
          <w:rFonts w:ascii="Times New Roman" w:hAnsi="Times New Roman"/>
          <w:sz w:val="24"/>
          <w:szCs w:val="24"/>
        </w:rPr>
        <w:t xml:space="preserve"> in Part 4 of Schedule 1AB, which establishes</w:t>
      </w:r>
      <w:r w:rsidR="00CB50A6" w:rsidRPr="001F4ECA">
        <w:rPr>
          <w:rFonts w:ascii="Times New Roman" w:hAnsi="Times New Roman"/>
          <w:sz w:val="24"/>
          <w:szCs w:val="24"/>
        </w:rPr>
        <w:t xml:space="preserve"> legislative authority for government spending </w:t>
      </w:r>
      <w:r w:rsidRPr="001F4ECA">
        <w:rPr>
          <w:rFonts w:ascii="Times New Roman" w:hAnsi="Times New Roman"/>
          <w:sz w:val="24"/>
          <w:szCs w:val="24"/>
        </w:rPr>
        <w:t>on</w:t>
      </w:r>
      <w:r w:rsidR="00CB50A6" w:rsidRPr="001F4ECA">
        <w:rPr>
          <w:rFonts w:ascii="Times New Roman" w:hAnsi="Times New Roman"/>
          <w:sz w:val="24"/>
          <w:szCs w:val="24"/>
        </w:rPr>
        <w:t xml:space="preserve"> the Civics and Citizenship Education Initiatives</w:t>
      </w:r>
      <w:r w:rsidRPr="001F4ECA">
        <w:rPr>
          <w:rFonts w:ascii="Times New Roman" w:hAnsi="Times New Roman"/>
          <w:sz w:val="24"/>
          <w:szCs w:val="24"/>
        </w:rPr>
        <w:t xml:space="preserve"> to support civics and citizenship education in schools and help students to become active and informed citizens. The amended table item 263 </w:t>
      </w:r>
      <w:r w:rsidR="00923E7F" w:rsidRPr="001F4ECA">
        <w:rPr>
          <w:rFonts w:ascii="Times New Roman" w:hAnsi="Times New Roman"/>
          <w:sz w:val="24"/>
          <w:szCs w:val="24"/>
        </w:rPr>
        <w:t>ex</w:t>
      </w:r>
      <w:r w:rsidRPr="001F4ECA">
        <w:rPr>
          <w:rFonts w:ascii="Times New Roman" w:hAnsi="Times New Roman"/>
          <w:sz w:val="24"/>
          <w:szCs w:val="24"/>
        </w:rPr>
        <w:t>tends</w:t>
      </w:r>
      <w:r w:rsidR="00923E7F" w:rsidRPr="001F4ECA">
        <w:rPr>
          <w:rFonts w:ascii="Times New Roman" w:hAnsi="Times New Roman"/>
          <w:sz w:val="24"/>
          <w:szCs w:val="24"/>
        </w:rPr>
        <w:t xml:space="preserve"> participation </w:t>
      </w:r>
      <w:r w:rsidRPr="001F4ECA">
        <w:rPr>
          <w:rFonts w:ascii="Times New Roman" w:hAnsi="Times New Roman"/>
          <w:sz w:val="24"/>
          <w:szCs w:val="24"/>
        </w:rPr>
        <w:t>in</w:t>
      </w:r>
      <w:r w:rsidR="00923E7F" w:rsidRPr="001F4ECA">
        <w:rPr>
          <w:rFonts w:ascii="Times New Roman" w:hAnsi="Times New Roman"/>
          <w:sz w:val="24"/>
          <w:szCs w:val="24"/>
        </w:rPr>
        <w:t xml:space="preserve"> the annual National Schools Constitutional Convention </w:t>
      </w:r>
      <w:r w:rsidR="00564C1F" w:rsidRPr="001F4ECA">
        <w:rPr>
          <w:rFonts w:ascii="Times New Roman" w:hAnsi="Times New Roman"/>
          <w:sz w:val="24"/>
          <w:szCs w:val="24"/>
        </w:rPr>
        <w:t xml:space="preserve">(NSCC) </w:t>
      </w:r>
      <w:r w:rsidR="00923E7F" w:rsidRPr="001F4ECA">
        <w:rPr>
          <w:rFonts w:ascii="Times New Roman" w:hAnsi="Times New Roman"/>
          <w:sz w:val="24"/>
          <w:szCs w:val="24"/>
        </w:rPr>
        <w:t xml:space="preserve">to year 9 and 10 students.  </w:t>
      </w:r>
    </w:p>
    <w:p w14:paraId="39C46F7C" w14:textId="3DA22BCC" w:rsidR="00CB50A6" w:rsidRPr="001F4ECA" w:rsidRDefault="00CB50A6" w:rsidP="00ED38BC">
      <w:pPr>
        <w:contextualSpacing/>
        <w:rPr>
          <w:rFonts w:ascii="Times New Roman" w:hAnsi="Times New Roman"/>
          <w:sz w:val="24"/>
          <w:szCs w:val="24"/>
        </w:rPr>
      </w:pPr>
    </w:p>
    <w:p w14:paraId="4FC7598B" w14:textId="76E667AF" w:rsidR="00923E7F" w:rsidRPr="001F4ECA" w:rsidRDefault="00CB50A6" w:rsidP="00CB50A6">
      <w:pPr>
        <w:contextualSpacing/>
        <w:rPr>
          <w:rFonts w:ascii="Times New Roman" w:hAnsi="Times New Roman"/>
          <w:sz w:val="24"/>
          <w:szCs w:val="24"/>
        </w:rPr>
      </w:pPr>
      <w:r w:rsidRPr="001F4ECA">
        <w:rPr>
          <w:rFonts w:ascii="Times New Roman" w:hAnsi="Times New Roman"/>
          <w:sz w:val="24"/>
          <w:szCs w:val="24"/>
        </w:rPr>
        <w:t xml:space="preserve">The department administers a number of civics and citizenship education initiatives such as the Simpson Prize, the National History Challenge and the NSCC. </w:t>
      </w:r>
      <w:r w:rsidR="00923E7F" w:rsidRPr="001F4ECA">
        <w:rPr>
          <w:rFonts w:ascii="Times New Roman" w:hAnsi="Times New Roman"/>
          <w:sz w:val="24"/>
          <w:szCs w:val="24"/>
        </w:rPr>
        <w:t>Civics and citizenship education encourages students to take part and be involved in the democracy system in Australia by providing them with the knowledge, skills, values and dispositions of active and informed citizenship. The initiatives aim to increase students’ knowledge an</w:t>
      </w:r>
      <w:r w:rsidR="00564C1F" w:rsidRPr="001F4ECA">
        <w:rPr>
          <w:rFonts w:ascii="Times New Roman" w:hAnsi="Times New Roman"/>
          <w:sz w:val="24"/>
          <w:szCs w:val="24"/>
        </w:rPr>
        <w:t>d understanding of Australia’</w:t>
      </w:r>
      <w:r w:rsidR="00923E7F" w:rsidRPr="001F4ECA">
        <w:rPr>
          <w:rFonts w:ascii="Times New Roman" w:hAnsi="Times New Roman"/>
          <w:sz w:val="24"/>
          <w:szCs w:val="24"/>
        </w:rPr>
        <w:t>s democratic heritage and traditions, its political and legal institutions and the shared values of freedom, tolerance, respect, responsibility and inclusion.</w:t>
      </w:r>
    </w:p>
    <w:p w14:paraId="148266B7" w14:textId="77777777" w:rsidR="00923E7F" w:rsidRPr="001F4ECA" w:rsidRDefault="00923E7F" w:rsidP="00CB50A6">
      <w:pPr>
        <w:contextualSpacing/>
        <w:rPr>
          <w:rFonts w:ascii="Times New Roman" w:hAnsi="Times New Roman"/>
          <w:sz w:val="24"/>
          <w:szCs w:val="24"/>
        </w:rPr>
      </w:pPr>
    </w:p>
    <w:p w14:paraId="4AFDE39E" w14:textId="68F049C3" w:rsidR="00CB50A6" w:rsidRPr="001F4ECA" w:rsidRDefault="00CB50A6" w:rsidP="00CB50A6">
      <w:pPr>
        <w:contextualSpacing/>
        <w:rPr>
          <w:rFonts w:ascii="Times New Roman" w:hAnsi="Times New Roman"/>
          <w:sz w:val="24"/>
          <w:szCs w:val="24"/>
        </w:rPr>
      </w:pPr>
      <w:r w:rsidRPr="001F4ECA">
        <w:rPr>
          <w:rFonts w:ascii="Times New Roman" w:hAnsi="Times New Roman"/>
          <w:sz w:val="24"/>
          <w:szCs w:val="24"/>
        </w:rPr>
        <w:t>The NSCC encourages young Australians’ learning about the Australian Constitution and the role it plays in shaping Australia’s democracy, and promotes understanding of Australia’s democratic heritage and traditions.</w:t>
      </w:r>
      <w:r w:rsidR="00564C1F" w:rsidRPr="001F4ECA">
        <w:rPr>
          <w:rFonts w:ascii="Times New Roman" w:hAnsi="Times New Roman"/>
          <w:sz w:val="24"/>
          <w:szCs w:val="24"/>
        </w:rPr>
        <w:t xml:space="preserve"> </w:t>
      </w:r>
      <w:r w:rsidRPr="001F4ECA">
        <w:rPr>
          <w:rFonts w:ascii="Times New Roman" w:hAnsi="Times New Roman"/>
          <w:sz w:val="24"/>
          <w:szCs w:val="24"/>
        </w:rPr>
        <w:t>The NSCC is held every year in March for approximately 120 students from all states and territories. Currently, students in years 11 and 12 are selected from state and territory feeder conventions to participate in a three-day national convention supported by the Education Ministers Meeting of Australian Governments.</w:t>
      </w:r>
    </w:p>
    <w:p w14:paraId="09120EE0" w14:textId="77777777" w:rsidR="00CB50A6" w:rsidRPr="001F4ECA" w:rsidRDefault="00CB50A6" w:rsidP="00CB50A6">
      <w:pPr>
        <w:contextualSpacing/>
        <w:rPr>
          <w:rFonts w:ascii="Times New Roman" w:hAnsi="Times New Roman"/>
          <w:sz w:val="24"/>
          <w:szCs w:val="24"/>
        </w:rPr>
      </w:pPr>
    </w:p>
    <w:p w14:paraId="1019636D" w14:textId="77777777" w:rsidR="00923E7F" w:rsidRPr="001F4ECA" w:rsidRDefault="00923E7F" w:rsidP="00923E7F">
      <w:pPr>
        <w:contextualSpacing/>
        <w:rPr>
          <w:rFonts w:ascii="Times New Roman" w:hAnsi="Times New Roman"/>
          <w:b/>
          <w:sz w:val="24"/>
          <w:szCs w:val="24"/>
        </w:rPr>
      </w:pPr>
      <w:r w:rsidRPr="001F4ECA">
        <w:rPr>
          <w:rFonts w:ascii="Times New Roman" w:hAnsi="Times New Roman"/>
          <w:b/>
          <w:sz w:val="24"/>
          <w:szCs w:val="24"/>
        </w:rPr>
        <w:t>Human rights implications</w:t>
      </w:r>
    </w:p>
    <w:p w14:paraId="15E31D20" w14:textId="4061BBFB" w:rsidR="00CB50A6" w:rsidRPr="001F4ECA" w:rsidRDefault="00CB50A6" w:rsidP="00ED38BC">
      <w:pPr>
        <w:contextualSpacing/>
        <w:rPr>
          <w:rFonts w:ascii="Times New Roman" w:hAnsi="Times New Roman"/>
          <w:sz w:val="24"/>
          <w:szCs w:val="24"/>
        </w:rPr>
      </w:pPr>
    </w:p>
    <w:p w14:paraId="3341A95D" w14:textId="77777777" w:rsidR="00923E7F" w:rsidRPr="001F4ECA" w:rsidRDefault="00923E7F" w:rsidP="00923E7F">
      <w:pPr>
        <w:contextualSpacing/>
        <w:rPr>
          <w:rFonts w:ascii="Times New Roman" w:hAnsi="Times New Roman"/>
          <w:sz w:val="24"/>
          <w:szCs w:val="24"/>
        </w:rPr>
      </w:pPr>
      <w:r w:rsidRPr="001F4ECA">
        <w:rPr>
          <w:rFonts w:ascii="Times New Roman" w:hAnsi="Times New Roman"/>
          <w:sz w:val="24"/>
          <w:szCs w:val="24"/>
        </w:rPr>
        <w:t>The amended table item 263 engages the following right:</w:t>
      </w:r>
    </w:p>
    <w:p w14:paraId="790B28ED" w14:textId="03D35439" w:rsidR="00923E7F" w:rsidRPr="001F4ECA" w:rsidRDefault="00923E7F" w:rsidP="00923E7F">
      <w:pPr>
        <w:numPr>
          <w:ilvl w:val="0"/>
          <w:numId w:val="16"/>
        </w:numPr>
        <w:contextualSpacing/>
        <w:rPr>
          <w:rFonts w:ascii="Times New Roman" w:hAnsi="Times New Roman"/>
          <w:sz w:val="24"/>
          <w:szCs w:val="24"/>
        </w:rPr>
      </w:pPr>
      <w:r w:rsidRPr="001F4ECA">
        <w:rPr>
          <w:rFonts w:ascii="Times New Roman" w:hAnsi="Times New Roman"/>
          <w:sz w:val="24"/>
          <w:szCs w:val="24"/>
        </w:rPr>
        <w:t xml:space="preserve">the right to take part in cultural life – Article 15 of the </w:t>
      </w:r>
      <w:r w:rsidR="001678F1" w:rsidRPr="001F4ECA">
        <w:rPr>
          <w:rFonts w:ascii="Times New Roman" w:hAnsi="Times New Roman"/>
          <w:sz w:val="24"/>
          <w:szCs w:val="24"/>
        </w:rPr>
        <w:t>ICESCR</w:t>
      </w:r>
      <w:r w:rsidRPr="001F4ECA">
        <w:rPr>
          <w:rFonts w:ascii="Times New Roman" w:hAnsi="Times New Roman"/>
          <w:sz w:val="24"/>
          <w:szCs w:val="24"/>
        </w:rPr>
        <w:t>, read with Article 2</w:t>
      </w:r>
      <w:r w:rsidR="001678F1" w:rsidRPr="001F4ECA">
        <w:rPr>
          <w:rFonts w:ascii="Times New Roman" w:hAnsi="Times New Roman"/>
          <w:sz w:val="24"/>
          <w:szCs w:val="24"/>
        </w:rPr>
        <w:t>,</w:t>
      </w:r>
      <w:r w:rsidRPr="001F4ECA">
        <w:rPr>
          <w:rFonts w:ascii="Times New Roman" w:hAnsi="Times New Roman"/>
          <w:sz w:val="24"/>
          <w:szCs w:val="24"/>
        </w:rPr>
        <w:t xml:space="preserve"> and Article 31 of the CRC, read with Article 4.</w:t>
      </w:r>
    </w:p>
    <w:p w14:paraId="3C2E0BA0" w14:textId="68BC2962" w:rsidR="00923E7F" w:rsidRPr="001F4ECA" w:rsidRDefault="00923E7F" w:rsidP="00923E7F">
      <w:pPr>
        <w:contextualSpacing/>
        <w:rPr>
          <w:rFonts w:ascii="Times New Roman" w:hAnsi="Times New Roman"/>
          <w:sz w:val="24"/>
          <w:szCs w:val="24"/>
        </w:rPr>
      </w:pPr>
    </w:p>
    <w:p w14:paraId="4D80D8F5" w14:textId="77777777" w:rsidR="00923E7F" w:rsidRPr="001F4ECA" w:rsidRDefault="00923E7F" w:rsidP="00923E7F">
      <w:pPr>
        <w:contextualSpacing/>
        <w:rPr>
          <w:rFonts w:ascii="Times New Roman" w:hAnsi="Times New Roman"/>
          <w:i/>
          <w:iCs/>
          <w:sz w:val="24"/>
          <w:szCs w:val="24"/>
        </w:rPr>
      </w:pPr>
      <w:r w:rsidRPr="001F4ECA">
        <w:rPr>
          <w:rFonts w:ascii="Times New Roman" w:hAnsi="Times New Roman"/>
          <w:i/>
          <w:iCs/>
          <w:sz w:val="24"/>
          <w:szCs w:val="24"/>
        </w:rPr>
        <w:t>Right to take part in cultural life</w:t>
      </w:r>
    </w:p>
    <w:p w14:paraId="6310150E" w14:textId="77777777" w:rsidR="00923E7F" w:rsidRPr="001F4ECA" w:rsidRDefault="00923E7F" w:rsidP="00923E7F">
      <w:pPr>
        <w:contextualSpacing/>
        <w:rPr>
          <w:rFonts w:ascii="Times New Roman" w:hAnsi="Times New Roman"/>
          <w:sz w:val="24"/>
          <w:szCs w:val="24"/>
        </w:rPr>
      </w:pPr>
    </w:p>
    <w:p w14:paraId="66548E1F" w14:textId="77777777" w:rsidR="002B0C05" w:rsidRPr="001F4ECA" w:rsidRDefault="00923E7F" w:rsidP="00923E7F">
      <w:pPr>
        <w:contextualSpacing/>
        <w:rPr>
          <w:rFonts w:ascii="Times New Roman" w:hAnsi="Times New Roman"/>
          <w:sz w:val="24"/>
          <w:szCs w:val="24"/>
        </w:rPr>
      </w:pPr>
      <w:r w:rsidRPr="001F4ECA">
        <w:rPr>
          <w:rFonts w:ascii="Times New Roman" w:hAnsi="Times New Roman"/>
          <w:sz w:val="24"/>
          <w:szCs w:val="24"/>
        </w:rPr>
        <w:t xml:space="preserve">Article 2 of the ICESCR requires </w:t>
      </w:r>
      <w:r w:rsidR="002B0C05" w:rsidRPr="001F4ECA">
        <w:rPr>
          <w:rFonts w:ascii="Times New Roman" w:hAnsi="Times New Roman"/>
          <w:sz w:val="24"/>
          <w:szCs w:val="24"/>
        </w:rPr>
        <w:t xml:space="preserve">the </w:t>
      </w:r>
      <w:r w:rsidRPr="001F4ECA">
        <w:rPr>
          <w:rFonts w:ascii="Times New Roman" w:hAnsi="Times New Roman"/>
          <w:sz w:val="24"/>
          <w:szCs w:val="24"/>
        </w:rPr>
        <w:t xml:space="preserve">States Parties to take steps to progressively achieve the full realisation of the rights recognised in the ICESCR by all appropriate means. </w:t>
      </w:r>
    </w:p>
    <w:p w14:paraId="2445E909" w14:textId="77777777" w:rsidR="002B0C05" w:rsidRPr="001F4ECA" w:rsidRDefault="002B0C05" w:rsidP="00923E7F">
      <w:pPr>
        <w:contextualSpacing/>
        <w:rPr>
          <w:rFonts w:ascii="Times New Roman" w:hAnsi="Times New Roman"/>
          <w:sz w:val="24"/>
          <w:szCs w:val="24"/>
        </w:rPr>
      </w:pPr>
    </w:p>
    <w:p w14:paraId="7B04A30F" w14:textId="41E6836C" w:rsidR="00923E7F" w:rsidRPr="001F4ECA" w:rsidRDefault="00923E7F" w:rsidP="00923E7F">
      <w:pPr>
        <w:contextualSpacing/>
        <w:rPr>
          <w:rFonts w:ascii="Times New Roman" w:hAnsi="Times New Roman"/>
          <w:sz w:val="24"/>
          <w:szCs w:val="24"/>
        </w:rPr>
      </w:pPr>
      <w:r w:rsidRPr="001F4ECA">
        <w:rPr>
          <w:rFonts w:ascii="Times New Roman" w:hAnsi="Times New Roman"/>
          <w:sz w:val="24"/>
          <w:szCs w:val="24"/>
        </w:rPr>
        <w:t>Article 15(1)(a) of the ICESCR provides that ‘</w:t>
      </w:r>
      <w:r w:rsidR="00AB6C84" w:rsidRPr="001F4ECA">
        <w:rPr>
          <w:rFonts w:ascii="Times New Roman" w:hAnsi="Times New Roman"/>
          <w:sz w:val="24"/>
          <w:szCs w:val="24"/>
        </w:rPr>
        <w:t>[t]</w:t>
      </w:r>
      <w:r w:rsidRPr="001F4ECA">
        <w:rPr>
          <w:rFonts w:ascii="Times New Roman" w:hAnsi="Times New Roman"/>
          <w:sz w:val="24"/>
          <w:szCs w:val="24"/>
        </w:rPr>
        <w:t>he States Parties to the present Covenant recognize the right of everyone to take part in cultural life’. Article 15(2</w:t>
      </w:r>
      <w:r w:rsidR="00AB6C84" w:rsidRPr="001F4ECA">
        <w:rPr>
          <w:rFonts w:ascii="Times New Roman" w:hAnsi="Times New Roman"/>
          <w:sz w:val="24"/>
          <w:szCs w:val="24"/>
        </w:rPr>
        <w:t>) of the ICESCR provides that ‘[t]</w:t>
      </w:r>
      <w:r w:rsidRPr="001F4ECA">
        <w:rPr>
          <w:rFonts w:ascii="Times New Roman" w:hAnsi="Times New Roman"/>
          <w:sz w:val="24"/>
          <w:szCs w:val="24"/>
        </w:rPr>
        <w:t>he steps to be taken by the States Parties to the present Covenant to achieve the full realization of this right shall include those necessary for the conservation, the development and the diffusion of science and culture.’</w:t>
      </w:r>
    </w:p>
    <w:p w14:paraId="7BF062A4" w14:textId="77777777" w:rsidR="00923E7F" w:rsidRPr="001F4ECA" w:rsidRDefault="00923E7F" w:rsidP="00923E7F">
      <w:pPr>
        <w:contextualSpacing/>
        <w:rPr>
          <w:rFonts w:ascii="Times New Roman" w:hAnsi="Times New Roman"/>
          <w:sz w:val="24"/>
          <w:szCs w:val="24"/>
        </w:rPr>
      </w:pPr>
    </w:p>
    <w:p w14:paraId="500538DF" w14:textId="77777777" w:rsidR="00923E7F" w:rsidRPr="001F4ECA" w:rsidRDefault="00923E7F" w:rsidP="00923E7F">
      <w:pPr>
        <w:contextualSpacing/>
        <w:rPr>
          <w:rFonts w:ascii="Times New Roman" w:hAnsi="Times New Roman"/>
          <w:sz w:val="24"/>
          <w:szCs w:val="24"/>
        </w:rPr>
      </w:pPr>
      <w:r w:rsidRPr="001F4ECA">
        <w:rPr>
          <w:rFonts w:ascii="Times New Roman" w:hAnsi="Times New Roman"/>
          <w:sz w:val="24"/>
          <w:szCs w:val="24"/>
        </w:rPr>
        <w:t xml:space="preserve">Article 4 of the CRC obliges States Parties to undertake ‘all appropriate legislative, administrative, and other measures for the implementation of the rights recognized in the present Convention’. </w:t>
      </w:r>
    </w:p>
    <w:p w14:paraId="73639043" w14:textId="77777777" w:rsidR="00923E7F" w:rsidRPr="001F4ECA" w:rsidRDefault="00923E7F" w:rsidP="00923E7F">
      <w:pPr>
        <w:contextualSpacing/>
        <w:rPr>
          <w:rFonts w:ascii="Times New Roman" w:hAnsi="Times New Roman"/>
          <w:sz w:val="24"/>
          <w:szCs w:val="24"/>
        </w:rPr>
      </w:pPr>
    </w:p>
    <w:p w14:paraId="4DA23E98" w14:textId="051CE998" w:rsidR="00923E7F" w:rsidRPr="001F4ECA" w:rsidRDefault="00923E7F" w:rsidP="00923E7F">
      <w:pPr>
        <w:contextualSpacing/>
        <w:rPr>
          <w:rFonts w:ascii="Times New Roman" w:hAnsi="Times New Roman"/>
          <w:sz w:val="24"/>
          <w:szCs w:val="24"/>
        </w:rPr>
      </w:pPr>
      <w:r w:rsidRPr="001F4ECA">
        <w:rPr>
          <w:rFonts w:ascii="Times New Roman" w:hAnsi="Times New Roman"/>
          <w:sz w:val="24"/>
          <w:szCs w:val="24"/>
        </w:rPr>
        <w:t xml:space="preserve">Under Article 31(2) </w:t>
      </w:r>
      <w:r w:rsidR="00AB6C84" w:rsidRPr="001F4ECA">
        <w:rPr>
          <w:rFonts w:ascii="Times New Roman" w:hAnsi="Times New Roman"/>
          <w:sz w:val="24"/>
          <w:szCs w:val="24"/>
        </w:rPr>
        <w:t xml:space="preserve">of </w:t>
      </w:r>
      <w:r w:rsidRPr="001F4ECA">
        <w:rPr>
          <w:rFonts w:ascii="Times New Roman" w:hAnsi="Times New Roman"/>
          <w:sz w:val="24"/>
          <w:szCs w:val="24"/>
        </w:rPr>
        <w:t>the CRC, States Parties are required to ‘respect and promote the right of the child to participate fully in cultural and artistic life’ and to ‘encourage the provision of appropriate and equal opportunities for cultural, artistic, recreational and leisure activity’.</w:t>
      </w:r>
    </w:p>
    <w:p w14:paraId="6448288E" w14:textId="77777777" w:rsidR="00923E7F" w:rsidRPr="001F4ECA" w:rsidRDefault="00923E7F" w:rsidP="00923E7F">
      <w:pPr>
        <w:contextualSpacing/>
        <w:rPr>
          <w:rFonts w:ascii="Times New Roman" w:hAnsi="Times New Roman"/>
          <w:sz w:val="24"/>
          <w:szCs w:val="24"/>
        </w:rPr>
      </w:pPr>
    </w:p>
    <w:p w14:paraId="3F48B989" w14:textId="28A7149D" w:rsidR="00923E7F" w:rsidRPr="001F4ECA" w:rsidRDefault="00923E7F" w:rsidP="00923E7F">
      <w:pPr>
        <w:contextualSpacing/>
        <w:rPr>
          <w:rFonts w:ascii="Times New Roman" w:hAnsi="Times New Roman"/>
          <w:sz w:val="24"/>
          <w:szCs w:val="24"/>
        </w:rPr>
      </w:pPr>
      <w:r w:rsidRPr="001F4ECA">
        <w:rPr>
          <w:rFonts w:ascii="Times New Roman" w:hAnsi="Times New Roman"/>
          <w:sz w:val="24"/>
          <w:szCs w:val="24"/>
        </w:rPr>
        <w:lastRenderedPageBreak/>
        <w:t>The amended table item 263 promotes participation by school students in cultural life through civics and citizenship education. This assists in both the conservation and diffusion of Australian culture.</w:t>
      </w:r>
    </w:p>
    <w:p w14:paraId="64029076" w14:textId="77777777" w:rsidR="00923E7F" w:rsidRPr="001F4ECA" w:rsidRDefault="00923E7F" w:rsidP="00923E7F">
      <w:pPr>
        <w:contextualSpacing/>
        <w:rPr>
          <w:rFonts w:ascii="Times New Roman" w:hAnsi="Times New Roman"/>
          <w:sz w:val="24"/>
          <w:szCs w:val="24"/>
        </w:rPr>
      </w:pPr>
    </w:p>
    <w:p w14:paraId="516CFAF3" w14:textId="77777777" w:rsidR="00923E7F" w:rsidRPr="001F4ECA" w:rsidRDefault="00923E7F" w:rsidP="00923E7F">
      <w:pPr>
        <w:contextualSpacing/>
        <w:rPr>
          <w:rFonts w:ascii="Times New Roman" w:hAnsi="Times New Roman"/>
          <w:sz w:val="24"/>
          <w:szCs w:val="24"/>
        </w:rPr>
      </w:pPr>
      <w:r w:rsidRPr="001F4ECA">
        <w:rPr>
          <w:rFonts w:ascii="Times New Roman" w:hAnsi="Times New Roman"/>
          <w:b/>
          <w:sz w:val="24"/>
          <w:szCs w:val="24"/>
        </w:rPr>
        <w:t>Conclusion</w:t>
      </w:r>
    </w:p>
    <w:p w14:paraId="5CE40E53" w14:textId="77777777" w:rsidR="00923E7F" w:rsidRPr="001F4ECA" w:rsidRDefault="00923E7F" w:rsidP="00923E7F">
      <w:pPr>
        <w:contextualSpacing/>
        <w:rPr>
          <w:rFonts w:ascii="Times New Roman" w:hAnsi="Times New Roman"/>
          <w:sz w:val="24"/>
          <w:szCs w:val="24"/>
        </w:rPr>
      </w:pPr>
    </w:p>
    <w:p w14:paraId="17E2611E" w14:textId="34065C05" w:rsidR="00CB50A6" w:rsidRPr="001F4ECA" w:rsidRDefault="00923E7F" w:rsidP="00923E7F">
      <w:pPr>
        <w:contextualSpacing/>
        <w:rPr>
          <w:rFonts w:ascii="Times New Roman" w:hAnsi="Times New Roman"/>
          <w:sz w:val="24"/>
          <w:szCs w:val="24"/>
        </w:rPr>
      </w:pPr>
      <w:r w:rsidRPr="001F4ECA">
        <w:rPr>
          <w:rFonts w:ascii="Times New Roman" w:hAnsi="Times New Roman"/>
          <w:sz w:val="24"/>
          <w:szCs w:val="24"/>
        </w:rPr>
        <w:t>The amended table item 263 is compatible with human rights because it promotes the protection of human rights.</w:t>
      </w:r>
    </w:p>
    <w:p w14:paraId="536CCEF9" w14:textId="71C64F88" w:rsidR="00CB50A6" w:rsidRPr="001F4ECA" w:rsidRDefault="00CB50A6" w:rsidP="00ED38BC">
      <w:pPr>
        <w:contextualSpacing/>
        <w:rPr>
          <w:rFonts w:ascii="Times New Roman" w:hAnsi="Times New Roman"/>
          <w:sz w:val="24"/>
          <w:szCs w:val="24"/>
        </w:rPr>
      </w:pPr>
    </w:p>
    <w:p w14:paraId="5B8C67AC" w14:textId="77777777" w:rsidR="009F1FDE" w:rsidRPr="001F4ECA" w:rsidRDefault="009F1FDE" w:rsidP="009F1FDE">
      <w:pPr>
        <w:contextualSpacing/>
        <w:rPr>
          <w:rFonts w:ascii="Times New Roman" w:hAnsi="Times New Roman"/>
          <w:i/>
          <w:sz w:val="24"/>
          <w:szCs w:val="24"/>
          <w:u w:val="single"/>
        </w:rPr>
      </w:pPr>
      <w:r w:rsidRPr="001F4ECA">
        <w:rPr>
          <w:rFonts w:ascii="Times New Roman" w:hAnsi="Times New Roman"/>
          <w:i/>
          <w:sz w:val="24"/>
          <w:szCs w:val="24"/>
          <w:u w:val="single"/>
        </w:rPr>
        <w:t>Table item 396 – Mid-Career Checkpoint</w:t>
      </w:r>
    </w:p>
    <w:p w14:paraId="5FE60F96" w14:textId="39507573" w:rsidR="00923E7F" w:rsidRPr="001F4ECA" w:rsidRDefault="00923E7F" w:rsidP="00ED38BC">
      <w:pPr>
        <w:contextualSpacing/>
        <w:rPr>
          <w:rFonts w:ascii="Times New Roman" w:hAnsi="Times New Roman"/>
          <w:sz w:val="24"/>
          <w:szCs w:val="24"/>
        </w:rPr>
      </w:pPr>
    </w:p>
    <w:p w14:paraId="4EA58B8A" w14:textId="7F194D7B" w:rsidR="009F1FDE" w:rsidRPr="001F4ECA" w:rsidRDefault="00B71AF2" w:rsidP="009F1FDE">
      <w:pPr>
        <w:contextualSpacing/>
        <w:rPr>
          <w:rFonts w:ascii="Times New Roman" w:hAnsi="Times New Roman"/>
          <w:sz w:val="24"/>
          <w:szCs w:val="24"/>
        </w:rPr>
      </w:pPr>
      <w:r w:rsidRPr="001F4ECA">
        <w:rPr>
          <w:rFonts w:ascii="Times New Roman" w:hAnsi="Times New Roman"/>
          <w:sz w:val="24"/>
          <w:szCs w:val="24"/>
        </w:rPr>
        <w:t xml:space="preserve">This disallowable legislative instrument repeals and substitutes table item 396 in Part 4 of Schedule 1AB, which establishes legislative authority for government spending on the </w:t>
      </w:r>
      <w:r w:rsidR="009F1FDE" w:rsidRPr="001F4ECA">
        <w:rPr>
          <w:rFonts w:ascii="Times New Roman" w:hAnsi="Times New Roman"/>
          <w:sz w:val="24"/>
          <w:szCs w:val="24"/>
        </w:rPr>
        <w:t>Mid</w:t>
      </w:r>
      <w:r w:rsidRPr="001F4ECA">
        <w:rPr>
          <w:rFonts w:ascii="Times New Roman" w:hAnsi="Times New Roman"/>
          <w:sz w:val="24"/>
          <w:szCs w:val="24"/>
        </w:rPr>
        <w:noBreakHyphen/>
        <w:t>Career Checkpoint (the p</w:t>
      </w:r>
      <w:r w:rsidR="009F1FDE" w:rsidRPr="001F4ECA">
        <w:rPr>
          <w:rFonts w:ascii="Times New Roman" w:hAnsi="Times New Roman"/>
          <w:sz w:val="24"/>
          <w:szCs w:val="24"/>
        </w:rPr>
        <w:t>rogram)</w:t>
      </w:r>
      <w:r w:rsidRPr="001F4ECA">
        <w:rPr>
          <w:rFonts w:ascii="Times New Roman" w:hAnsi="Times New Roman"/>
          <w:sz w:val="24"/>
          <w:szCs w:val="24"/>
        </w:rPr>
        <w:t>. The program</w:t>
      </w:r>
      <w:r w:rsidR="009F1FDE" w:rsidRPr="001F4ECA">
        <w:rPr>
          <w:rFonts w:ascii="Times New Roman" w:hAnsi="Times New Roman"/>
          <w:sz w:val="24"/>
          <w:szCs w:val="24"/>
        </w:rPr>
        <w:t xml:space="preserve"> provides funding for career guidance and training to assist persons to return to work or remain in work.</w:t>
      </w:r>
    </w:p>
    <w:p w14:paraId="3FE71E0D" w14:textId="77777777" w:rsidR="009F1FDE" w:rsidRPr="001F4ECA" w:rsidRDefault="009F1FDE" w:rsidP="009F1FDE">
      <w:pPr>
        <w:contextualSpacing/>
        <w:rPr>
          <w:rFonts w:ascii="Times New Roman" w:hAnsi="Times New Roman"/>
          <w:sz w:val="24"/>
          <w:szCs w:val="24"/>
        </w:rPr>
      </w:pPr>
    </w:p>
    <w:p w14:paraId="2078A84C" w14:textId="60FC1D4B"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 xml:space="preserve">The </w:t>
      </w:r>
      <w:r w:rsidR="00B71AF2" w:rsidRPr="001F4ECA">
        <w:rPr>
          <w:rFonts w:ascii="Times New Roman" w:hAnsi="Times New Roman"/>
          <w:sz w:val="24"/>
          <w:szCs w:val="24"/>
        </w:rPr>
        <w:t>p</w:t>
      </w:r>
      <w:r w:rsidRPr="001F4ECA">
        <w:rPr>
          <w:rFonts w:ascii="Times New Roman" w:hAnsi="Times New Roman"/>
          <w:sz w:val="24"/>
          <w:szCs w:val="24"/>
        </w:rPr>
        <w:t xml:space="preserve">rogram commenced as a pilot on 1 July 2020, </w:t>
      </w:r>
      <w:r w:rsidR="00670836" w:rsidRPr="001F4ECA">
        <w:rPr>
          <w:rFonts w:ascii="Times New Roman" w:hAnsi="Times New Roman"/>
          <w:sz w:val="24"/>
          <w:szCs w:val="24"/>
        </w:rPr>
        <w:t>was</w:t>
      </w:r>
      <w:r w:rsidRPr="001F4ECA">
        <w:rPr>
          <w:rFonts w:ascii="Times New Roman" w:hAnsi="Times New Roman"/>
          <w:sz w:val="24"/>
          <w:szCs w:val="24"/>
        </w:rPr>
        <w:t xml:space="preserve"> limited to 1,000 participants in New South Wales and Queensland and available to eligible working age Australians</w:t>
      </w:r>
      <w:r w:rsidR="00B71AF2" w:rsidRPr="001F4ECA">
        <w:rPr>
          <w:rFonts w:ascii="Times New Roman" w:hAnsi="Times New Roman"/>
          <w:sz w:val="24"/>
          <w:szCs w:val="24"/>
        </w:rPr>
        <w:t>,</w:t>
      </w:r>
      <w:r w:rsidRPr="001F4ECA">
        <w:rPr>
          <w:rFonts w:ascii="Times New Roman" w:hAnsi="Times New Roman"/>
          <w:sz w:val="24"/>
          <w:szCs w:val="24"/>
        </w:rPr>
        <w:t xml:space="preserve"> in particular target</w:t>
      </w:r>
      <w:r w:rsidR="00B71AF2" w:rsidRPr="001F4ECA">
        <w:rPr>
          <w:rFonts w:ascii="Times New Roman" w:hAnsi="Times New Roman"/>
          <w:sz w:val="24"/>
          <w:szCs w:val="24"/>
        </w:rPr>
        <w:t>ing</w:t>
      </w:r>
      <w:r w:rsidRPr="001F4ECA">
        <w:rPr>
          <w:rFonts w:ascii="Times New Roman" w:hAnsi="Times New Roman"/>
          <w:sz w:val="24"/>
          <w:szCs w:val="24"/>
        </w:rPr>
        <w:t xml:space="preserve"> women aged 30 to 45</w:t>
      </w:r>
      <w:r w:rsidR="00B71AF2" w:rsidRPr="001F4ECA">
        <w:rPr>
          <w:rFonts w:ascii="Times New Roman" w:hAnsi="Times New Roman"/>
          <w:sz w:val="24"/>
          <w:szCs w:val="24"/>
        </w:rPr>
        <w:t xml:space="preserve"> years</w:t>
      </w:r>
      <w:r w:rsidRPr="001F4ECA">
        <w:rPr>
          <w:rFonts w:ascii="Times New Roman" w:hAnsi="Times New Roman"/>
          <w:sz w:val="24"/>
          <w:szCs w:val="24"/>
        </w:rPr>
        <w:t>, supporting them to achieve economic security and to avoid the need to transition to income support.</w:t>
      </w:r>
    </w:p>
    <w:p w14:paraId="4FDD41B4" w14:textId="77777777" w:rsidR="009F1FDE" w:rsidRPr="001F4ECA" w:rsidRDefault="009F1FDE" w:rsidP="009F1FDE">
      <w:pPr>
        <w:contextualSpacing/>
        <w:rPr>
          <w:rFonts w:ascii="Times New Roman" w:hAnsi="Times New Roman"/>
          <w:sz w:val="24"/>
          <w:szCs w:val="24"/>
        </w:rPr>
      </w:pPr>
    </w:p>
    <w:p w14:paraId="683927B7" w14:textId="089D6407" w:rsidR="00B71AF2" w:rsidRPr="001F4ECA" w:rsidRDefault="009F1FDE" w:rsidP="009F1FDE">
      <w:pPr>
        <w:contextualSpacing/>
        <w:rPr>
          <w:rFonts w:ascii="Times New Roman" w:hAnsi="Times New Roman"/>
          <w:sz w:val="24"/>
          <w:szCs w:val="24"/>
        </w:rPr>
      </w:pPr>
      <w:r w:rsidRPr="001F4ECA">
        <w:rPr>
          <w:rFonts w:ascii="Times New Roman" w:hAnsi="Times New Roman"/>
          <w:sz w:val="24"/>
          <w:szCs w:val="24"/>
        </w:rPr>
        <w:t>Currently</w:t>
      </w:r>
      <w:r w:rsidR="00B71AF2" w:rsidRPr="001F4ECA">
        <w:rPr>
          <w:rFonts w:ascii="Times New Roman" w:hAnsi="Times New Roman"/>
          <w:sz w:val="24"/>
          <w:szCs w:val="24"/>
        </w:rPr>
        <w:t>,</w:t>
      </w:r>
      <w:r w:rsidRPr="001F4ECA">
        <w:rPr>
          <w:rFonts w:ascii="Times New Roman" w:hAnsi="Times New Roman"/>
          <w:sz w:val="24"/>
          <w:szCs w:val="24"/>
        </w:rPr>
        <w:t xml:space="preserve"> the </w:t>
      </w:r>
      <w:r w:rsidR="00B71AF2" w:rsidRPr="001F4ECA">
        <w:rPr>
          <w:rFonts w:ascii="Times New Roman" w:hAnsi="Times New Roman"/>
          <w:sz w:val="24"/>
          <w:szCs w:val="24"/>
        </w:rPr>
        <w:t>p</w:t>
      </w:r>
      <w:r w:rsidRPr="001F4ECA">
        <w:rPr>
          <w:rFonts w:ascii="Times New Roman" w:hAnsi="Times New Roman"/>
          <w:sz w:val="24"/>
          <w:szCs w:val="24"/>
        </w:rPr>
        <w:t xml:space="preserve">rogram provides two entry points: </w:t>
      </w:r>
    </w:p>
    <w:p w14:paraId="49B65131" w14:textId="77777777" w:rsidR="00B71AF2" w:rsidRPr="001F4ECA" w:rsidRDefault="009F1FDE" w:rsidP="00B71AF2">
      <w:pPr>
        <w:pStyle w:val="ListParagraph"/>
        <w:numPr>
          <w:ilvl w:val="0"/>
          <w:numId w:val="16"/>
        </w:numPr>
        <w:rPr>
          <w:szCs w:val="24"/>
        </w:rPr>
      </w:pPr>
      <w:r w:rsidRPr="001F4ECA">
        <w:rPr>
          <w:i/>
          <w:iCs/>
          <w:szCs w:val="24"/>
        </w:rPr>
        <w:t>Stepping Back In</w:t>
      </w:r>
      <w:r w:rsidR="00B71AF2" w:rsidRPr="001F4ECA">
        <w:rPr>
          <w:iCs/>
          <w:szCs w:val="24"/>
        </w:rPr>
        <w:t>:</w:t>
      </w:r>
      <w:r w:rsidRPr="001F4ECA">
        <w:rPr>
          <w:szCs w:val="24"/>
        </w:rPr>
        <w:t xml:space="preserve"> support for carers to re-enter the workforce; and</w:t>
      </w:r>
    </w:p>
    <w:p w14:paraId="6C63D4DB" w14:textId="77777777" w:rsidR="00B71AF2" w:rsidRPr="001F4ECA" w:rsidRDefault="009F1FDE" w:rsidP="00B71AF2">
      <w:pPr>
        <w:pStyle w:val="ListParagraph"/>
        <w:numPr>
          <w:ilvl w:val="0"/>
          <w:numId w:val="16"/>
        </w:numPr>
        <w:rPr>
          <w:szCs w:val="24"/>
        </w:rPr>
      </w:pPr>
      <w:r w:rsidRPr="001F4ECA">
        <w:rPr>
          <w:i/>
          <w:iCs/>
          <w:szCs w:val="24"/>
        </w:rPr>
        <w:t>Stepping Up</w:t>
      </w:r>
      <w:r w:rsidR="00B71AF2" w:rsidRPr="001F4ECA">
        <w:rPr>
          <w:iCs/>
          <w:szCs w:val="24"/>
        </w:rPr>
        <w:t xml:space="preserve">: </w:t>
      </w:r>
      <w:r w:rsidRPr="001F4ECA">
        <w:rPr>
          <w:szCs w:val="24"/>
        </w:rPr>
        <w:t xml:space="preserve">support to advance the careers of carers recently returned to the workforce. </w:t>
      </w:r>
    </w:p>
    <w:p w14:paraId="675B9B9B" w14:textId="77777777" w:rsidR="00B71AF2" w:rsidRPr="001F4ECA" w:rsidRDefault="00B71AF2" w:rsidP="00B71AF2">
      <w:pPr>
        <w:rPr>
          <w:szCs w:val="24"/>
        </w:rPr>
      </w:pPr>
    </w:p>
    <w:p w14:paraId="40A2C4C8" w14:textId="03864405" w:rsidR="009F1FDE" w:rsidRPr="001F4ECA" w:rsidRDefault="00B71AF2" w:rsidP="009F1FDE">
      <w:pPr>
        <w:contextualSpacing/>
        <w:rPr>
          <w:rFonts w:ascii="Times New Roman" w:hAnsi="Times New Roman"/>
          <w:sz w:val="24"/>
          <w:szCs w:val="24"/>
        </w:rPr>
      </w:pPr>
      <w:r w:rsidRPr="001F4ECA">
        <w:rPr>
          <w:rFonts w:ascii="Times New Roman" w:hAnsi="Times New Roman"/>
          <w:sz w:val="24"/>
          <w:szCs w:val="24"/>
        </w:rPr>
        <w:t>T</w:t>
      </w:r>
      <w:r w:rsidR="009F1FDE" w:rsidRPr="001F4ECA">
        <w:rPr>
          <w:rFonts w:ascii="Times New Roman" w:hAnsi="Times New Roman"/>
          <w:sz w:val="24"/>
          <w:szCs w:val="24"/>
        </w:rPr>
        <w:t xml:space="preserve">he amended table item 396 will expand the </w:t>
      </w:r>
      <w:r w:rsidR="00B05FF9" w:rsidRPr="001F4ECA">
        <w:rPr>
          <w:rFonts w:ascii="Times New Roman" w:hAnsi="Times New Roman"/>
          <w:sz w:val="24"/>
          <w:szCs w:val="24"/>
        </w:rPr>
        <w:t>p</w:t>
      </w:r>
      <w:r w:rsidR="009F1FDE" w:rsidRPr="001F4ECA">
        <w:rPr>
          <w:rFonts w:ascii="Times New Roman" w:hAnsi="Times New Roman"/>
          <w:sz w:val="24"/>
          <w:szCs w:val="24"/>
        </w:rPr>
        <w:t xml:space="preserve">rogram </w:t>
      </w:r>
      <w:r w:rsidR="00B05FF9" w:rsidRPr="001F4ECA">
        <w:rPr>
          <w:rFonts w:ascii="Times New Roman" w:hAnsi="Times New Roman"/>
          <w:sz w:val="24"/>
          <w:szCs w:val="24"/>
        </w:rPr>
        <w:t>by</w:t>
      </w:r>
      <w:r w:rsidR="009F1FDE" w:rsidRPr="001F4ECA">
        <w:rPr>
          <w:rFonts w:ascii="Times New Roman" w:hAnsi="Times New Roman"/>
          <w:sz w:val="24"/>
          <w:szCs w:val="24"/>
        </w:rPr>
        <w:t>:</w:t>
      </w:r>
    </w:p>
    <w:p w14:paraId="07936A7F" w14:textId="77777777" w:rsidR="00B05FF9" w:rsidRPr="001F4ECA" w:rsidRDefault="009F1FDE" w:rsidP="009F1FDE">
      <w:pPr>
        <w:numPr>
          <w:ilvl w:val="0"/>
          <w:numId w:val="31"/>
        </w:numPr>
        <w:contextualSpacing/>
        <w:rPr>
          <w:rFonts w:ascii="Times New Roman" w:hAnsi="Times New Roman"/>
          <w:sz w:val="24"/>
          <w:szCs w:val="24"/>
        </w:rPr>
      </w:pPr>
      <w:r w:rsidRPr="001F4ECA">
        <w:rPr>
          <w:rFonts w:ascii="Times New Roman" w:hAnsi="Times New Roman"/>
          <w:sz w:val="24"/>
          <w:szCs w:val="24"/>
        </w:rPr>
        <w:t>re</w:t>
      </w:r>
      <w:r w:rsidR="00B05FF9" w:rsidRPr="001F4ECA">
        <w:rPr>
          <w:rFonts w:ascii="Times New Roman" w:hAnsi="Times New Roman"/>
          <w:sz w:val="24"/>
          <w:szCs w:val="24"/>
        </w:rPr>
        <w:t>ducing</w:t>
      </w:r>
      <w:r w:rsidRPr="001F4ECA">
        <w:rPr>
          <w:rFonts w:ascii="Times New Roman" w:hAnsi="Times New Roman"/>
          <w:sz w:val="24"/>
          <w:szCs w:val="24"/>
        </w:rPr>
        <w:t xml:space="preserve"> the requirement for participants to be out of paid employment for two or more years to six or more months</w:t>
      </w:r>
      <w:r w:rsidR="00B05FF9" w:rsidRPr="001F4ECA">
        <w:rPr>
          <w:rFonts w:ascii="Times New Roman" w:hAnsi="Times New Roman"/>
          <w:sz w:val="24"/>
          <w:szCs w:val="24"/>
        </w:rPr>
        <w:t>;</w:t>
      </w:r>
    </w:p>
    <w:p w14:paraId="3F641615" w14:textId="610CF291" w:rsidR="009F1FDE" w:rsidRPr="001F4ECA" w:rsidRDefault="00B05FF9" w:rsidP="009F1FDE">
      <w:pPr>
        <w:numPr>
          <w:ilvl w:val="0"/>
          <w:numId w:val="31"/>
        </w:numPr>
        <w:contextualSpacing/>
        <w:rPr>
          <w:rFonts w:ascii="Times New Roman" w:hAnsi="Times New Roman"/>
          <w:sz w:val="24"/>
          <w:szCs w:val="24"/>
        </w:rPr>
      </w:pPr>
      <w:r w:rsidRPr="001F4ECA">
        <w:rPr>
          <w:rFonts w:ascii="Times New Roman" w:hAnsi="Times New Roman"/>
          <w:sz w:val="24"/>
          <w:szCs w:val="24"/>
        </w:rPr>
        <w:t>including</w:t>
      </w:r>
      <w:r w:rsidR="009F1FDE" w:rsidRPr="001F4ECA">
        <w:rPr>
          <w:rFonts w:ascii="Times New Roman" w:hAnsi="Times New Roman"/>
          <w:sz w:val="24"/>
          <w:szCs w:val="24"/>
        </w:rPr>
        <w:t xml:space="preserve"> existing workers </w:t>
      </w:r>
      <w:r w:rsidRPr="001F4ECA">
        <w:rPr>
          <w:rFonts w:ascii="Times New Roman" w:hAnsi="Times New Roman"/>
          <w:sz w:val="24"/>
          <w:szCs w:val="24"/>
        </w:rPr>
        <w:t>at risk of unemployment, primarily targeting</w:t>
      </w:r>
      <w:r w:rsidR="009F1FDE" w:rsidRPr="001F4ECA">
        <w:rPr>
          <w:rFonts w:ascii="Times New Roman" w:hAnsi="Times New Roman"/>
          <w:sz w:val="24"/>
          <w:szCs w:val="24"/>
        </w:rPr>
        <w:t xml:space="preserve"> female</w:t>
      </w:r>
      <w:r w:rsidRPr="001F4ECA">
        <w:rPr>
          <w:rFonts w:ascii="Times New Roman" w:hAnsi="Times New Roman"/>
          <w:sz w:val="24"/>
          <w:szCs w:val="24"/>
        </w:rPr>
        <w:noBreakHyphen/>
      </w:r>
      <w:r w:rsidR="009F1FDE" w:rsidRPr="001F4ECA">
        <w:rPr>
          <w:rFonts w:ascii="Times New Roman" w:hAnsi="Times New Roman"/>
          <w:sz w:val="24"/>
          <w:szCs w:val="24"/>
        </w:rPr>
        <w:t xml:space="preserve">dominated, COVID-19 affected </w:t>
      </w:r>
      <w:r w:rsidRPr="001F4ECA">
        <w:rPr>
          <w:rFonts w:ascii="Times New Roman" w:hAnsi="Times New Roman"/>
          <w:sz w:val="24"/>
          <w:szCs w:val="24"/>
        </w:rPr>
        <w:t>industries</w:t>
      </w:r>
      <w:r w:rsidR="009F1FDE" w:rsidRPr="001F4ECA">
        <w:rPr>
          <w:rFonts w:ascii="Times New Roman" w:hAnsi="Times New Roman"/>
          <w:sz w:val="24"/>
          <w:szCs w:val="24"/>
        </w:rPr>
        <w:t>;</w:t>
      </w:r>
    </w:p>
    <w:p w14:paraId="7DAFECE8" w14:textId="13154511" w:rsidR="009F1FDE" w:rsidRPr="001F4ECA" w:rsidRDefault="009F1FDE" w:rsidP="009F1FDE">
      <w:pPr>
        <w:numPr>
          <w:ilvl w:val="0"/>
          <w:numId w:val="31"/>
        </w:numPr>
        <w:contextualSpacing/>
        <w:rPr>
          <w:rFonts w:ascii="Times New Roman" w:hAnsi="Times New Roman"/>
          <w:sz w:val="24"/>
          <w:szCs w:val="24"/>
        </w:rPr>
      </w:pPr>
      <w:r w:rsidRPr="001F4ECA">
        <w:rPr>
          <w:rFonts w:ascii="Times New Roman" w:hAnsi="Times New Roman"/>
          <w:sz w:val="24"/>
          <w:szCs w:val="24"/>
        </w:rPr>
        <w:t xml:space="preserve">providing a capped $3,000 </w:t>
      </w:r>
      <w:r w:rsidRPr="001F4ECA">
        <w:rPr>
          <w:rFonts w:ascii="Times New Roman" w:hAnsi="Times New Roman"/>
          <w:bCs/>
          <w:sz w:val="24"/>
          <w:szCs w:val="24"/>
        </w:rPr>
        <w:t>training grant to allow participants to undertake training recommended in their career advice plan</w:t>
      </w:r>
      <w:r w:rsidRPr="001F4ECA">
        <w:rPr>
          <w:rFonts w:ascii="Times New Roman" w:hAnsi="Times New Roman"/>
          <w:sz w:val="24"/>
          <w:szCs w:val="24"/>
        </w:rPr>
        <w:t>; and</w:t>
      </w:r>
    </w:p>
    <w:p w14:paraId="612072D8" w14:textId="4D47A66A" w:rsidR="009F1FDE" w:rsidRPr="001F4ECA" w:rsidRDefault="009F1FDE" w:rsidP="009F1FDE">
      <w:pPr>
        <w:numPr>
          <w:ilvl w:val="0"/>
          <w:numId w:val="31"/>
        </w:numPr>
        <w:contextualSpacing/>
        <w:rPr>
          <w:rFonts w:ascii="Times New Roman" w:hAnsi="Times New Roman"/>
          <w:sz w:val="24"/>
          <w:szCs w:val="24"/>
        </w:rPr>
      </w:pPr>
      <w:r w:rsidRPr="001F4ECA">
        <w:rPr>
          <w:rFonts w:ascii="Times New Roman" w:hAnsi="Times New Roman"/>
          <w:sz w:val="24"/>
          <w:szCs w:val="24"/>
        </w:rPr>
        <w:t>extending the p</w:t>
      </w:r>
      <w:r w:rsidR="00B05FF9" w:rsidRPr="001F4ECA">
        <w:rPr>
          <w:rFonts w:ascii="Times New Roman" w:hAnsi="Times New Roman"/>
          <w:sz w:val="24"/>
          <w:szCs w:val="24"/>
        </w:rPr>
        <w:t>rogram</w:t>
      </w:r>
      <w:r w:rsidRPr="001F4ECA">
        <w:rPr>
          <w:rFonts w:ascii="Times New Roman" w:hAnsi="Times New Roman"/>
          <w:sz w:val="24"/>
          <w:szCs w:val="24"/>
        </w:rPr>
        <w:t xml:space="preserve"> to Victoria, </w:t>
      </w:r>
      <w:r w:rsidR="00B05FF9" w:rsidRPr="001F4ECA">
        <w:rPr>
          <w:rFonts w:ascii="Times New Roman" w:hAnsi="Times New Roman"/>
          <w:sz w:val="24"/>
          <w:szCs w:val="24"/>
        </w:rPr>
        <w:t>beyond the existing pilots in</w:t>
      </w:r>
      <w:r w:rsidRPr="001F4ECA">
        <w:rPr>
          <w:rFonts w:ascii="Times New Roman" w:hAnsi="Times New Roman"/>
          <w:sz w:val="24"/>
          <w:szCs w:val="24"/>
        </w:rPr>
        <w:t xml:space="preserve"> Queensland and New South Wales.</w:t>
      </w:r>
    </w:p>
    <w:p w14:paraId="34E2BE55" w14:textId="77777777" w:rsidR="009F1FDE" w:rsidRPr="001F4ECA" w:rsidRDefault="009F1FDE" w:rsidP="009F1FDE">
      <w:pPr>
        <w:contextualSpacing/>
        <w:rPr>
          <w:rFonts w:ascii="Times New Roman" w:hAnsi="Times New Roman"/>
          <w:sz w:val="24"/>
          <w:szCs w:val="24"/>
        </w:rPr>
      </w:pPr>
    </w:p>
    <w:p w14:paraId="79AC9200" w14:textId="77777777" w:rsidR="009F1FDE" w:rsidRPr="001F4ECA" w:rsidRDefault="009F1FDE" w:rsidP="009F1FDE">
      <w:pPr>
        <w:contextualSpacing/>
        <w:rPr>
          <w:rFonts w:ascii="Times New Roman" w:hAnsi="Times New Roman"/>
          <w:b/>
          <w:sz w:val="24"/>
          <w:szCs w:val="24"/>
        </w:rPr>
      </w:pPr>
      <w:r w:rsidRPr="001F4ECA">
        <w:rPr>
          <w:rFonts w:ascii="Times New Roman" w:hAnsi="Times New Roman"/>
          <w:b/>
          <w:sz w:val="24"/>
          <w:szCs w:val="24"/>
        </w:rPr>
        <w:t>Human rights implications</w:t>
      </w:r>
    </w:p>
    <w:p w14:paraId="6C6A0302" w14:textId="77777777" w:rsidR="009F1FDE" w:rsidRPr="001F4ECA" w:rsidRDefault="009F1FDE" w:rsidP="009F1FDE">
      <w:pPr>
        <w:contextualSpacing/>
        <w:rPr>
          <w:rFonts w:ascii="Times New Roman" w:hAnsi="Times New Roman"/>
          <w:sz w:val="24"/>
          <w:szCs w:val="24"/>
        </w:rPr>
      </w:pPr>
    </w:p>
    <w:p w14:paraId="3A024B0E" w14:textId="77777777"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The amended table item 396 engages the following rights:</w:t>
      </w:r>
    </w:p>
    <w:p w14:paraId="05061E26" w14:textId="09281B1F" w:rsidR="009F1FDE" w:rsidRPr="001F4ECA" w:rsidRDefault="009F1FDE" w:rsidP="009F1FDE">
      <w:pPr>
        <w:numPr>
          <w:ilvl w:val="0"/>
          <w:numId w:val="16"/>
        </w:numPr>
        <w:contextualSpacing/>
        <w:rPr>
          <w:rFonts w:ascii="Times New Roman" w:hAnsi="Times New Roman"/>
          <w:sz w:val="24"/>
          <w:szCs w:val="24"/>
        </w:rPr>
      </w:pPr>
      <w:r w:rsidRPr="001F4ECA">
        <w:rPr>
          <w:rFonts w:ascii="Times New Roman" w:hAnsi="Times New Roman"/>
          <w:sz w:val="24"/>
          <w:szCs w:val="24"/>
        </w:rPr>
        <w:t xml:space="preserve">the right to work – Article 6 of the </w:t>
      </w:r>
      <w:r w:rsidR="002F4E47" w:rsidRPr="001F4ECA">
        <w:rPr>
          <w:rFonts w:ascii="Times New Roman" w:hAnsi="Times New Roman"/>
          <w:sz w:val="24"/>
          <w:szCs w:val="24"/>
        </w:rPr>
        <w:t>ICESCR</w:t>
      </w:r>
      <w:r w:rsidRPr="001F4ECA">
        <w:rPr>
          <w:rFonts w:ascii="Times New Roman" w:hAnsi="Times New Roman"/>
          <w:sz w:val="24"/>
          <w:szCs w:val="24"/>
        </w:rPr>
        <w:t>, read with Article 2;</w:t>
      </w:r>
    </w:p>
    <w:p w14:paraId="56BF44E9" w14:textId="77777777" w:rsidR="009F1FDE" w:rsidRPr="001F4ECA" w:rsidRDefault="009F1FDE" w:rsidP="009F1FDE">
      <w:pPr>
        <w:numPr>
          <w:ilvl w:val="0"/>
          <w:numId w:val="16"/>
        </w:numPr>
        <w:contextualSpacing/>
        <w:rPr>
          <w:rFonts w:ascii="Times New Roman" w:hAnsi="Times New Roman"/>
          <w:sz w:val="24"/>
          <w:szCs w:val="24"/>
        </w:rPr>
      </w:pPr>
      <w:r w:rsidRPr="001F4ECA">
        <w:rPr>
          <w:rFonts w:ascii="Times New Roman" w:hAnsi="Times New Roman"/>
          <w:sz w:val="24"/>
          <w:szCs w:val="24"/>
        </w:rPr>
        <w:t>the right to an adequate standard of living – Article 11(1) of the ICESCR;</w:t>
      </w:r>
    </w:p>
    <w:p w14:paraId="02C385D3" w14:textId="77777777" w:rsidR="009F1FDE" w:rsidRPr="001F4ECA" w:rsidRDefault="009F1FDE" w:rsidP="009F1FDE">
      <w:pPr>
        <w:numPr>
          <w:ilvl w:val="0"/>
          <w:numId w:val="16"/>
        </w:numPr>
        <w:contextualSpacing/>
        <w:rPr>
          <w:rFonts w:ascii="Times New Roman" w:hAnsi="Times New Roman"/>
          <w:sz w:val="24"/>
          <w:szCs w:val="24"/>
        </w:rPr>
      </w:pPr>
      <w:r w:rsidRPr="001F4ECA">
        <w:rPr>
          <w:rFonts w:ascii="Times New Roman" w:hAnsi="Times New Roman"/>
          <w:sz w:val="24"/>
          <w:szCs w:val="24"/>
        </w:rPr>
        <w:t>the right to education – Article 13 of the ICESCR; and</w:t>
      </w:r>
    </w:p>
    <w:p w14:paraId="21F1A7B3" w14:textId="69ABF6BB" w:rsidR="009F1FDE" w:rsidRPr="001F4ECA" w:rsidRDefault="009F1FDE" w:rsidP="009F1FDE">
      <w:pPr>
        <w:numPr>
          <w:ilvl w:val="0"/>
          <w:numId w:val="16"/>
        </w:numPr>
        <w:contextualSpacing/>
        <w:rPr>
          <w:rFonts w:ascii="Times New Roman" w:hAnsi="Times New Roman"/>
          <w:sz w:val="24"/>
          <w:szCs w:val="24"/>
        </w:rPr>
      </w:pPr>
      <w:r w:rsidRPr="001F4ECA">
        <w:rPr>
          <w:rFonts w:ascii="Times New Roman" w:hAnsi="Times New Roman"/>
          <w:sz w:val="24"/>
          <w:szCs w:val="24"/>
        </w:rPr>
        <w:t>the right to equality and no</w:t>
      </w:r>
      <w:r w:rsidR="002F4E47" w:rsidRPr="001F4ECA">
        <w:rPr>
          <w:rFonts w:ascii="Times New Roman" w:hAnsi="Times New Roman"/>
          <w:sz w:val="24"/>
          <w:szCs w:val="24"/>
        </w:rPr>
        <w:t xml:space="preserve">n-discrimination – Articles 16 </w:t>
      </w:r>
      <w:r w:rsidRPr="001F4ECA">
        <w:rPr>
          <w:rFonts w:ascii="Times New Roman" w:hAnsi="Times New Roman"/>
          <w:sz w:val="24"/>
          <w:szCs w:val="24"/>
        </w:rPr>
        <w:t xml:space="preserve">and 26 of the </w:t>
      </w:r>
      <w:r w:rsidRPr="001F4ECA">
        <w:rPr>
          <w:rFonts w:ascii="Times New Roman" w:hAnsi="Times New Roman"/>
          <w:i/>
          <w:sz w:val="24"/>
          <w:szCs w:val="24"/>
        </w:rPr>
        <w:t>International Covenant on Civil and Political Rights</w:t>
      </w:r>
      <w:r w:rsidRPr="001F4ECA">
        <w:rPr>
          <w:rFonts w:ascii="Times New Roman" w:hAnsi="Times New Roman"/>
          <w:sz w:val="24"/>
          <w:szCs w:val="24"/>
        </w:rPr>
        <w:t xml:space="preserve"> (ICCPR), read with Article 2.</w:t>
      </w:r>
    </w:p>
    <w:p w14:paraId="4EBB52C6" w14:textId="77777777" w:rsidR="009F1FDE" w:rsidRPr="001F4ECA" w:rsidRDefault="009F1FDE" w:rsidP="009F1FDE">
      <w:pPr>
        <w:contextualSpacing/>
        <w:rPr>
          <w:rFonts w:ascii="Times New Roman" w:hAnsi="Times New Roman"/>
          <w:sz w:val="24"/>
          <w:szCs w:val="24"/>
        </w:rPr>
      </w:pPr>
    </w:p>
    <w:p w14:paraId="0363511F" w14:textId="321FD8D3" w:rsidR="009F1FDE" w:rsidRPr="001F4ECA" w:rsidRDefault="009F1FDE" w:rsidP="009F1FDE">
      <w:pPr>
        <w:contextualSpacing/>
        <w:rPr>
          <w:rFonts w:ascii="Times New Roman" w:hAnsi="Times New Roman"/>
          <w:i/>
          <w:iCs/>
          <w:sz w:val="24"/>
          <w:szCs w:val="24"/>
        </w:rPr>
      </w:pPr>
      <w:r w:rsidRPr="001F4ECA">
        <w:rPr>
          <w:rFonts w:ascii="Times New Roman" w:hAnsi="Times New Roman"/>
          <w:i/>
          <w:iCs/>
          <w:sz w:val="24"/>
          <w:szCs w:val="24"/>
        </w:rPr>
        <w:t xml:space="preserve">Right to work and </w:t>
      </w:r>
      <w:r w:rsidR="002F4E47" w:rsidRPr="001F4ECA">
        <w:rPr>
          <w:rFonts w:ascii="Times New Roman" w:hAnsi="Times New Roman"/>
          <w:i/>
          <w:iCs/>
          <w:sz w:val="24"/>
          <w:szCs w:val="24"/>
        </w:rPr>
        <w:t xml:space="preserve">right to an </w:t>
      </w:r>
      <w:r w:rsidRPr="001F4ECA">
        <w:rPr>
          <w:rFonts w:ascii="Times New Roman" w:hAnsi="Times New Roman"/>
          <w:i/>
          <w:iCs/>
          <w:sz w:val="24"/>
          <w:szCs w:val="24"/>
        </w:rPr>
        <w:t>adequate standard of living</w:t>
      </w:r>
    </w:p>
    <w:p w14:paraId="142BC7EA" w14:textId="77777777" w:rsidR="009F1FDE" w:rsidRPr="001F4ECA" w:rsidRDefault="009F1FDE" w:rsidP="009F1FDE">
      <w:pPr>
        <w:contextualSpacing/>
        <w:rPr>
          <w:rFonts w:ascii="Times New Roman" w:hAnsi="Times New Roman"/>
          <w:sz w:val="24"/>
          <w:szCs w:val="24"/>
        </w:rPr>
      </w:pPr>
    </w:p>
    <w:p w14:paraId="6EA11194" w14:textId="0C8C19DA"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 xml:space="preserve">The amended table item 396 engages the right to work in Article 6 of the ICESCR, which recognises the right of every person to the opportunity to gain a living by work which they </w:t>
      </w:r>
      <w:r w:rsidRPr="001F4ECA">
        <w:rPr>
          <w:rFonts w:ascii="Times New Roman" w:hAnsi="Times New Roman"/>
          <w:sz w:val="24"/>
          <w:szCs w:val="24"/>
        </w:rPr>
        <w:lastRenderedPageBreak/>
        <w:t xml:space="preserve">freely choose or accept. The amended table item 396 also engages the right to an adequate standard of living in Article 11(1) of the ICESCR, which recognises the right of everyone to an adequate standard of living and for their family, including adequate food, clothing and housing, and to the continuous improvement of living conditions. Articles 6 and 11 should be read with Article 2 of the ICESCR which requires </w:t>
      </w:r>
      <w:r w:rsidR="002F4E47" w:rsidRPr="001F4ECA">
        <w:rPr>
          <w:rFonts w:ascii="Times New Roman" w:hAnsi="Times New Roman"/>
          <w:sz w:val="24"/>
          <w:szCs w:val="24"/>
        </w:rPr>
        <w:t xml:space="preserve">the </w:t>
      </w:r>
      <w:r w:rsidRPr="001F4ECA">
        <w:rPr>
          <w:rFonts w:ascii="Times New Roman" w:hAnsi="Times New Roman"/>
          <w:sz w:val="24"/>
          <w:szCs w:val="24"/>
        </w:rPr>
        <w:t xml:space="preserve">States Parties to take steps to progressively achieve the full realisation of the rights recognised in the ICESCR by all appropriate means. </w:t>
      </w:r>
    </w:p>
    <w:p w14:paraId="342C5619" w14:textId="77777777" w:rsidR="009F1FDE" w:rsidRPr="001F4ECA" w:rsidRDefault="009F1FDE" w:rsidP="009F1FDE">
      <w:pPr>
        <w:contextualSpacing/>
        <w:rPr>
          <w:rFonts w:ascii="Times New Roman" w:hAnsi="Times New Roman"/>
          <w:sz w:val="24"/>
          <w:szCs w:val="24"/>
        </w:rPr>
      </w:pPr>
    </w:p>
    <w:p w14:paraId="23EFD653" w14:textId="2C04B426"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 xml:space="preserve">The amended table item 396 promotes the right to work as it is designed to increase workforce participation and improve the earning potential of Australians who have been out of the workforce attending to caring responsibilities, and provide support to Australians in designated industries to advance their chosen careers. The </w:t>
      </w:r>
      <w:r w:rsidR="002F4E47" w:rsidRPr="001F4ECA">
        <w:rPr>
          <w:rFonts w:ascii="Times New Roman" w:hAnsi="Times New Roman"/>
          <w:sz w:val="24"/>
          <w:szCs w:val="24"/>
        </w:rPr>
        <w:t>p</w:t>
      </w:r>
      <w:r w:rsidRPr="001F4ECA">
        <w:rPr>
          <w:rFonts w:ascii="Times New Roman" w:hAnsi="Times New Roman"/>
          <w:sz w:val="24"/>
          <w:szCs w:val="24"/>
        </w:rPr>
        <w:t>rogram is open to all working a</w:t>
      </w:r>
      <w:r w:rsidR="002F4E47" w:rsidRPr="001F4ECA">
        <w:rPr>
          <w:rFonts w:ascii="Times New Roman" w:hAnsi="Times New Roman"/>
          <w:sz w:val="24"/>
          <w:szCs w:val="24"/>
        </w:rPr>
        <w:t>ge</w:t>
      </w:r>
      <w:r w:rsidRPr="001F4ECA">
        <w:rPr>
          <w:rFonts w:ascii="Times New Roman" w:hAnsi="Times New Roman"/>
          <w:sz w:val="24"/>
          <w:szCs w:val="24"/>
        </w:rPr>
        <w:t xml:space="preserve"> eligible Australians, with a focus on women aged 30 to 45</w:t>
      </w:r>
      <w:r w:rsidR="002F4E47" w:rsidRPr="001F4ECA">
        <w:rPr>
          <w:rFonts w:ascii="Times New Roman" w:hAnsi="Times New Roman"/>
          <w:sz w:val="24"/>
          <w:szCs w:val="24"/>
        </w:rPr>
        <w:t xml:space="preserve"> years</w:t>
      </w:r>
      <w:r w:rsidRPr="001F4ECA">
        <w:rPr>
          <w:rFonts w:ascii="Times New Roman" w:hAnsi="Times New Roman"/>
          <w:sz w:val="24"/>
          <w:szCs w:val="24"/>
        </w:rPr>
        <w:t xml:space="preserve">, and provides support </w:t>
      </w:r>
      <w:r w:rsidR="002F4E47" w:rsidRPr="001F4ECA">
        <w:rPr>
          <w:rFonts w:ascii="Times New Roman" w:hAnsi="Times New Roman"/>
          <w:sz w:val="24"/>
          <w:szCs w:val="24"/>
        </w:rPr>
        <w:t>through</w:t>
      </w:r>
      <w:r w:rsidRPr="001F4ECA">
        <w:rPr>
          <w:rFonts w:ascii="Times New Roman" w:hAnsi="Times New Roman"/>
          <w:sz w:val="24"/>
          <w:szCs w:val="24"/>
        </w:rPr>
        <w:t xml:space="preserve"> access to skills and employment assessment services, advice on re-entry into the workforce</w:t>
      </w:r>
      <w:r w:rsidR="002F4E47" w:rsidRPr="001F4ECA">
        <w:rPr>
          <w:rFonts w:ascii="Times New Roman" w:hAnsi="Times New Roman"/>
          <w:sz w:val="24"/>
          <w:szCs w:val="24"/>
        </w:rPr>
        <w:t>,</w:t>
      </w:r>
      <w:r w:rsidRPr="001F4ECA">
        <w:rPr>
          <w:rFonts w:ascii="Times New Roman" w:hAnsi="Times New Roman"/>
          <w:sz w:val="24"/>
          <w:szCs w:val="24"/>
        </w:rPr>
        <w:t xml:space="preserve"> and suggestions about professional and skills development or changing career paths. These measures are intended to support participants back into the workforce and as such, promote the right to work and the right to adequate standard of living.</w:t>
      </w:r>
    </w:p>
    <w:p w14:paraId="5EB68CA6" w14:textId="1C14103D" w:rsidR="00923E7F" w:rsidRPr="001F4ECA" w:rsidRDefault="00923E7F" w:rsidP="00ED38BC">
      <w:pPr>
        <w:contextualSpacing/>
        <w:rPr>
          <w:rFonts w:ascii="Times New Roman" w:hAnsi="Times New Roman"/>
          <w:sz w:val="24"/>
          <w:szCs w:val="24"/>
        </w:rPr>
      </w:pPr>
    </w:p>
    <w:p w14:paraId="4F781988" w14:textId="77777777" w:rsidR="009F1FDE" w:rsidRPr="001F4ECA" w:rsidRDefault="009F1FDE" w:rsidP="009F1FDE">
      <w:pPr>
        <w:contextualSpacing/>
        <w:rPr>
          <w:rFonts w:ascii="Times New Roman" w:hAnsi="Times New Roman"/>
          <w:sz w:val="24"/>
          <w:szCs w:val="24"/>
        </w:rPr>
      </w:pPr>
      <w:r w:rsidRPr="001F4ECA">
        <w:rPr>
          <w:rFonts w:ascii="Times New Roman" w:hAnsi="Times New Roman"/>
          <w:i/>
          <w:iCs/>
          <w:sz w:val="24"/>
          <w:szCs w:val="24"/>
        </w:rPr>
        <w:t>Right to education</w:t>
      </w:r>
    </w:p>
    <w:p w14:paraId="4224AF20" w14:textId="3983C207" w:rsidR="009F1FDE" w:rsidRPr="001F4ECA" w:rsidRDefault="009F1FDE" w:rsidP="00ED38BC">
      <w:pPr>
        <w:contextualSpacing/>
        <w:rPr>
          <w:rFonts w:ascii="Times New Roman" w:hAnsi="Times New Roman"/>
          <w:sz w:val="24"/>
          <w:szCs w:val="24"/>
        </w:rPr>
      </w:pPr>
    </w:p>
    <w:p w14:paraId="2DE63BC0" w14:textId="04F7F47D"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The amended table item 396 engages the right to education in Article 13 of the ICESCR, which recognises that secondary education, including technical and vocational secondary education, should be made generally available and accessible to all. Article 13 should be read with Article 2 of the ICESCR.</w:t>
      </w:r>
    </w:p>
    <w:p w14:paraId="748EFA5B" w14:textId="77777777" w:rsidR="009F1FDE" w:rsidRPr="001F4ECA" w:rsidRDefault="009F1FDE" w:rsidP="009F1FDE">
      <w:pPr>
        <w:contextualSpacing/>
        <w:rPr>
          <w:rFonts w:ascii="Times New Roman" w:hAnsi="Times New Roman"/>
          <w:sz w:val="24"/>
          <w:szCs w:val="24"/>
        </w:rPr>
      </w:pPr>
    </w:p>
    <w:p w14:paraId="2C276B72" w14:textId="5C23E311"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The amended table item 396 promotes the right to education as it will provide participants access to the capped $3,000</w:t>
      </w:r>
      <w:r w:rsidR="002F4E47" w:rsidRPr="001F4ECA">
        <w:rPr>
          <w:rFonts w:ascii="Times New Roman" w:hAnsi="Times New Roman"/>
          <w:sz w:val="24"/>
          <w:szCs w:val="24"/>
        </w:rPr>
        <w:t xml:space="preserve"> </w:t>
      </w:r>
      <w:r w:rsidRPr="001F4ECA">
        <w:rPr>
          <w:rFonts w:ascii="Times New Roman" w:hAnsi="Times New Roman"/>
          <w:sz w:val="24"/>
          <w:szCs w:val="24"/>
        </w:rPr>
        <w:t xml:space="preserve">training grant which will create strong incentive for participants, particularly women, to access training once they have received career advice as part of </w:t>
      </w:r>
      <w:r w:rsidRPr="001F4ECA">
        <w:rPr>
          <w:rFonts w:ascii="Times New Roman" w:hAnsi="Times New Roman"/>
          <w:i/>
          <w:sz w:val="24"/>
          <w:szCs w:val="24"/>
        </w:rPr>
        <w:t>Stepping Back In</w:t>
      </w:r>
      <w:r w:rsidRPr="001F4ECA">
        <w:rPr>
          <w:rFonts w:ascii="Times New Roman" w:hAnsi="Times New Roman"/>
          <w:sz w:val="24"/>
          <w:szCs w:val="24"/>
        </w:rPr>
        <w:t xml:space="preserve">, </w:t>
      </w:r>
      <w:r w:rsidRPr="001F4ECA">
        <w:rPr>
          <w:rFonts w:ascii="Times New Roman" w:hAnsi="Times New Roman"/>
          <w:i/>
          <w:sz w:val="24"/>
          <w:szCs w:val="24"/>
        </w:rPr>
        <w:t xml:space="preserve">Stepping Up </w:t>
      </w:r>
      <w:r w:rsidRPr="001F4ECA">
        <w:rPr>
          <w:rFonts w:ascii="Times New Roman" w:hAnsi="Times New Roman"/>
          <w:iCs/>
          <w:sz w:val="24"/>
          <w:szCs w:val="24"/>
        </w:rPr>
        <w:t>or the new designated industry entry point</w:t>
      </w:r>
      <w:r w:rsidRPr="001F4ECA">
        <w:rPr>
          <w:rFonts w:ascii="Times New Roman" w:hAnsi="Times New Roman"/>
          <w:sz w:val="24"/>
          <w:szCs w:val="24"/>
        </w:rPr>
        <w:t>. The training incentive will also remove or reduce the financial barrier that some participants may face in accessing education, particularly noting that the measure targets people who are out of the workforce, have recently returned to employment</w:t>
      </w:r>
      <w:r w:rsidR="002F4E47" w:rsidRPr="001F4ECA">
        <w:rPr>
          <w:rFonts w:ascii="Times New Roman" w:hAnsi="Times New Roman"/>
          <w:sz w:val="24"/>
          <w:szCs w:val="24"/>
        </w:rPr>
        <w:t>,</w:t>
      </w:r>
      <w:r w:rsidRPr="001F4ECA">
        <w:rPr>
          <w:rFonts w:ascii="Times New Roman" w:hAnsi="Times New Roman"/>
          <w:sz w:val="24"/>
          <w:szCs w:val="24"/>
        </w:rPr>
        <w:t xml:space="preserve"> and workers in female</w:t>
      </w:r>
      <w:r w:rsidR="002F4E47" w:rsidRPr="001F4ECA">
        <w:rPr>
          <w:rFonts w:ascii="Times New Roman" w:hAnsi="Times New Roman"/>
          <w:sz w:val="24"/>
          <w:szCs w:val="24"/>
        </w:rPr>
        <w:t>-</w:t>
      </w:r>
      <w:r w:rsidRPr="001F4ECA">
        <w:rPr>
          <w:rFonts w:ascii="Times New Roman" w:hAnsi="Times New Roman"/>
          <w:sz w:val="24"/>
          <w:szCs w:val="24"/>
        </w:rPr>
        <w:t>dominated, COVID</w:t>
      </w:r>
      <w:r w:rsidRPr="001F4ECA">
        <w:rPr>
          <w:rFonts w:ascii="Times New Roman" w:hAnsi="Times New Roman"/>
          <w:sz w:val="24"/>
          <w:szCs w:val="24"/>
        </w:rPr>
        <w:noBreakHyphen/>
        <w:t>19 affected industries. The training grant is intended to support participants undertake education, including technical and vocational education, and as such promotes the right to education.</w:t>
      </w:r>
    </w:p>
    <w:p w14:paraId="7F51CDF3" w14:textId="77777777" w:rsidR="009F1FDE" w:rsidRPr="001F4ECA" w:rsidRDefault="009F1FDE" w:rsidP="009F1FDE">
      <w:pPr>
        <w:contextualSpacing/>
        <w:rPr>
          <w:rFonts w:ascii="Times New Roman" w:hAnsi="Times New Roman"/>
          <w:sz w:val="24"/>
          <w:szCs w:val="24"/>
        </w:rPr>
      </w:pPr>
    </w:p>
    <w:p w14:paraId="0056E5CF" w14:textId="4D3C7AF9" w:rsidR="009F1FDE" w:rsidRPr="001F4ECA" w:rsidRDefault="009F1FDE" w:rsidP="009F1FDE">
      <w:pPr>
        <w:contextualSpacing/>
        <w:rPr>
          <w:rFonts w:ascii="Times New Roman" w:hAnsi="Times New Roman"/>
          <w:i/>
          <w:iCs/>
          <w:sz w:val="24"/>
          <w:szCs w:val="24"/>
        </w:rPr>
      </w:pPr>
      <w:r w:rsidRPr="001F4ECA">
        <w:rPr>
          <w:rFonts w:ascii="Times New Roman" w:hAnsi="Times New Roman"/>
          <w:i/>
          <w:iCs/>
          <w:sz w:val="24"/>
          <w:szCs w:val="24"/>
        </w:rPr>
        <w:t xml:space="preserve">Right to </w:t>
      </w:r>
      <w:r w:rsidR="002F4E47" w:rsidRPr="001F4ECA">
        <w:rPr>
          <w:rFonts w:ascii="Times New Roman" w:hAnsi="Times New Roman"/>
          <w:i/>
          <w:iCs/>
          <w:sz w:val="24"/>
          <w:szCs w:val="24"/>
        </w:rPr>
        <w:t>e</w:t>
      </w:r>
      <w:r w:rsidRPr="001F4ECA">
        <w:rPr>
          <w:rFonts w:ascii="Times New Roman" w:hAnsi="Times New Roman"/>
          <w:i/>
          <w:iCs/>
          <w:sz w:val="24"/>
          <w:szCs w:val="24"/>
        </w:rPr>
        <w:t xml:space="preserve">quality and </w:t>
      </w:r>
      <w:r w:rsidR="002F4E47" w:rsidRPr="001F4ECA">
        <w:rPr>
          <w:rFonts w:ascii="Times New Roman" w:hAnsi="Times New Roman"/>
          <w:i/>
          <w:iCs/>
          <w:sz w:val="24"/>
          <w:szCs w:val="24"/>
        </w:rPr>
        <w:t>n</w:t>
      </w:r>
      <w:r w:rsidRPr="001F4ECA">
        <w:rPr>
          <w:rFonts w:ascii="Times New Roman" w:hAnsi="Times New Roman"/>
          <w:i/>
          <w:iCs/>
          <w:sz w:val="24"/>
          <w:szCs w:val="24"/>
        </w:rPr>
        <w:t>on-</w:t>
      </w:r>
      <w:r w:rsidR="002F4E47" w:rsidRPr="001F4ECA">
        <w:rPr>
          <w:rFonts w:ascii="Times New Roman" w:hAnsi="Times New Roman"/>
          <w:i/>
          <w:iCs/>
          <w:sz w:val="24"/>
          <w:szCs w:val="24"/>
        </w:rPr>
        <w:t>d</w:t>
      </w:r>
      <w:r w:rsidRPr="001F4ECA">
        <w:rPr>
          <w:rFonts w:ascii="Times New Roman" w:hAnsi="Times New Roman"/>
          <w:i/>
          <w:iCs/>
          <w:sz w:val="24"/>
          <w:szCs w:val="24"/>
        </w:rPr>
        <w:t xml:space="preserve">iscrimination </w:t>
      </w:r>
    </w:p>
    <w:p w14:paraId="20BAD380" w14:textId="77777777" w:rsidR="009F1FDE" w:rsidRPr="001F4ECA" w:rsidRDefault="009F1FDE" w:rsidP="009F1FDE">
      <w:pPr>
        <w:contextualSpacing/>
        <w:rPr>
          <w:rFonts w:ascii="Times New Roman" w:hAnsi="Times New Roman"/>
          <w:sz w:val="24"/>
          <w:szCs w:val="24"/>
        </w:rPr>
      </w:pPr>
    </w:p>
    <w:p w14:paraId="3A5089CD" w14:textId="6D75449D"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The amended table item 396 engages the right to equality and non-discrimination set out in Articles 2, 16 and 26 of the ICCPR</w:t>
      </w:r>
      <w:r w:rsidR="002F4E47" w:rsidRPr="001F4ECA">
        <w:rPr>
          <w:rFonts w:ascii="Times New Roman" w:hAnsi="Times New Roman"/>
          <w:sz w:val="24"/>
          <w:szCs w:val="24"/>
        </w:rPr>
        <w:t>,</w:t>
      </w:r>
      <w:r w:rsidRPr="001F4ECA">
        <w:rPr>
          <w:rFonts w:ascii="Times New Roman" w:hAnsi="Times New Roman"/>
          <w:sz w:val="24"/>
          <w:szCs w:val="24"/>
        </w:rPr>
        <w:t xml:space="preserve"> which provide that all persons are equal before the law and shall not be subject to discrimination. </w:t>
      </w:r>
    </w:p>
    <w:p w14:paraId="3EC35D75" w14:textId="77777777" w:rsidR="009F1FDE" w:rsidRPr="001F4ECA" w:rsidRDefault="009F1FDE" w:rsidP="009F1FDE">
      <w:pPr>
        <w:contextualSpacing/>
        <w:rPr>
          <w:rFonts w:ascii="Times New Roman" w:hAnsi="Times New Roman"/>
          <w:sz w:val="24"/>
          <w:szCs w:val="24"/>
        </w:rPr>
      </w:pPr>
    </w:p>
    <w:p w14:paraId="67E51F21" w14:textId="07B8342F"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 xml:space="preserve">The </w:t>
      </w:r>
      <w:r w:rsidR="002F4E47" w:rsidRPr="001F4ECA">
        <w:rPr>
          <w:rFonts w:ascii="Times New Roman" w:hAnsi="Times New Roman"/>
          <w:sz w:val="24"/>
          <w:szCs w:val="24"/>
        </w:rPr>
        <w:t>p</w:t>
      </w:r>
      <w:r w:rsidRPr="001F4ECA">
        <w:rPr>
          <w:rFonts w:ascii="Times New Roman" w:hAnsi="Times New Roman"/>
          <w:sz w:val="24"/>
          <w:szCs w:val="24"/>
        </w:rPr>
        <w:t>rogram is open to all working age eligible Australians, with a focus on women aged 30 to 45</w:t>
      </w:r>
      <w:r w:rsidR="002F4E47" w:rsidRPr="001F4ECA">
        <w:rPr>
          <w:rFonts w:ascii="Times New Roman" w:hAnsi="Times New Roman"/>
          <w:sz w:val="24"/>
          <w:szCs w:val="24"/>
        </w:rPr>
        <w:t xml:space="preserve"> years</w:t>
      </w:r>
      <w:r w:rsidRPr="001F4ECA">
        <w:rPr>
          <w:rFonts w:ascii="Times New Roman" w:hAnsi="Times New Roman"/>
          <w:sz w:val="24"/>
          <w:szCs w:val="24"/>
        </w:rPr>
        <w:t>, supporting them to achieve economic security and to avoid the need to transition to income support. To the extent this is considered to be a limitation on the right, this is reasonable, necessary and proportionate in the circumstances. Women, particularly in this age bracket</w:t>
      </w:r>
      <w:r w:rsidR="002F4E47" w:rsidRPr="001F4ECA">
        <w:rPr>
          <w:rFonts w:ascii="Times New Roman" w:hAnsi="Times New Roman"/>
          <w:sz w:val="24"/>
          <w:szCs w:val="24"/>
        </w:rPr>
        <w:t>,</w:t>
      </w:r>
      <w:r w:rsidRPr="001F4ECA">
        <w:rPr>
          <w:rFonts w:ascii="Times New Roman" w:hAnsi="Times New Roman"/>
          <w:sz w:val="24"/>
          <w:szCs w:val="24"/>
        </w:rPr>
        <w:t xml:space="preserve"> are the demographic most likely to take time out of the workforce to be caregivers. Given the often extended break from the workforce, women are most vulnerable to not returning to the workforce and becoming dependent on income support. The </w:t>
      </w:r>
      <w:r w:rsidR="002F4E47" w:rsidRPr="001F4ECA">
        <w:rPr>
          <w:rFonts w:ascii="Times New Roman" w:hAnsi="Times New Roman"/>
          <w:sz w:val="24"/>
          <w:szCs w:val="24"/>
        </w:rPr>
        <w:t>p</w:t>
      </w:r>
      <w:r w:rsidRPr="001F4ECA">
        <w:rPr>
          <w:rFonts w:ascii="Times New Roman" w:hAnsi="Times New Roman"/>
          <w:sz w:val="24"/>
          <w:szCs w:val="24"/>
        </w:rPr>
        <w:t xml:space="preserve">rogram is </w:t>
      </w:r>
      <w:r w:rsidRPr="001F4ECA">
        <w:rPr>
          <w:rFonts w:ascii="Times New Roman" w:hAnsi="Times New Roman"/>
          <w:sz w:val="24"/>
          <w:szCs w:val="24"/>
        </w:rPr>
        <w:lastRenderedPageBreak/>
        <w:t xml:space="preserve">designed to support and assist women back into the workforce, and support equality between men and women. </w:t>
      </w:r>
    </w:p>
    <w:p w14:paraId="5BE815B8" w14:textId="77777777" w:rsidR="009F1FDE" w:rsidRPr="001F4ECA" w:rsidRDefault="009F1FDE" w:rsidP="009F1FDE">
      <w:pPr>
        <w:contextualSpacing/>
        <w:rPr>
          <w:rFonts w:ascii="Times New Roman" w:hAnsi="Times New Roman"/>
          <w:sz w:val="24"/>
          <w:szCs w:val="24"/>
        </w:rPr>
      </w:pPr>
    </w:p>
    <w:p w14:paraId="719620C9" w14:textId="77777777"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 xml:space="preserve">The amended table item 396 is compatible with the right to equity and non-discrimination, as it promotes those rights and to the extent that it may limit those rights, those limitations are reasonable, necessary and proportionate as indicated above. </w:t>
      </w:r>
    </w:p>
    <w:p w14:paraId="2774C345" w14:textId="77777777" w:rsidR="009F1FDE" w:rsidRPr="001F4ECA" w:rsidRDefault="009F1FDE" w:rsidP="009F1FDE">
      <w:pPr>
        <w:contextualSpacing/>
        <w:rPr>
          <w:rFonts w:ascii="Times New Roman" w:hAnsi="Times New Roman"/>
          <w:sz w:val="24"/>
          <w:szCs w:val="24"/>
        </w:rPr>
      </w:pPr>
    </w:p>
    <w:p w14:paraId="4573F878" w14:textId="77777777" w:rsidR="009F1FDE" w:rsidRPr="001F4ECA" w:rsidRDefault="009F1FDE" w:rsidP="009F1FDE">
      <w:pPr>
        <w:contextualSpacing/>
        <w:rPr>
          <w:rFonts w:ascii="Times New Roman" w:hAnsi="Times New Roman"/>
          <w:sz w:val="24"/>
          <w:szCs w:val="24"/>
        </w:rPr>
      </w:pPr>
      <w:r w:rsidRPr="001F4ECA">
        <w:rPr>
          <w:rFonts w:ascii="Times New Roman" w:hAnsi="Times New Roman"/>
          <w:b/>
          <w:sz w:val="24"/>
          <w:szCs w:val="24"/>
        </w:rPr>
        <w:t>Conclusion</w:t>
      </w:r>
    </w:p>
    <w:p w14:paraId="0D0FFB99" w14:textId="77777777" w:rsidR="009F1FDE" w:rsidRPr="001F4ECA" w:rsidRDefault="009F1FDE" w:rsidP="009F1FDE">
      <w:pPr>
        <w:contextualSpacing/>
        <w:rPr>
          <w:rFonts w:ascii="Times New Roman" w:hAnsi="Times New Roman"/>
          <w:sz w:val="24"/>
          <w:szCs w:val="24"/>
        </w:rPr>
      </w:pPr>
    </w:p>
    <w:p w14:paraId="0EB75153" w14:textId="3933D48E" w:rsidR="009F1FDE" w:rsidRPr="001F4ECA" w:rsidRDefault="009F1FDE" w:rsidP="009F1FDE">
      <w:pPr>
        <w:contextualSpacing/>
        <w:rPr>
          <w:rFonts w:ascii="Times New Roman" w:hAnsi="Times New Roman"/>
          <w:sz w:val="24"/>
          <w:szCs w:val="24"/>
        </w:rPr>
      </w:pPr>
      <w:r w:rsidRPr="001F4ECA">
        <w:rPr>
          <w:rFonts w:ascii="Times New Roman" w:hAnsi="Times New Roman"/>
          <w:sz w:val="24"/>
          <w:szCs w:val="24"/>
        </w:rPr>
        <w:t>The amended table item 396 is compatible with human rights because it promotes the protection of human rights.</w:t>
      </w:r>
    </w:p>
    <w:p w14:paraId="320A5C16" w14:textId="4086531D" w:rsidR="009F1FDE" w:rsidRPr="001F4ECA" w:rsidRDefault="009F1FDE" w:rsidP="00ED38BC">
      <w:pPr>
        <w:contextualSpacing/>
        <w:rPr>
          <w:rFonts w:ascii="Times New Roman" w:hAnsi="Times New Roman"/>
          <w:sz w:val="24"/>
          <w:szCs w:val="24"/>
        </w:rPr>
      </w:pPr>
    </w:p>
    <w:p w14:paraId="59E81E12" w14:textId="044DFFAE" w:rsidR="008B49E9" w:rsidRPr="001F4ECA" w:rsidRDefault="008B49E9" w:rsidP="008B49E9">
      <w:pPr>
        <w:contextualSpacing/>
        <w:rPr>
          <w:rFonts w:ascii="Times New Roman" w:hAnsi="Times New Roman"/>
          <w:i/>
          <w:sz w:val="24"/>
          <w:szCs w:val="24"/>
          <w:u w:val="single"/>
        </w:rPr>
      </w:pPr>
      <w:r w:rsidRPr="001F4ECA">
        <w:rPr>
          <w:rFonts w:ascii="Times New Roman" w:hAnsi="Times New Roman"/>
          <w:i/>
          <w:sz w:val="24"/>
          <w:szCs w:val="24"/>
          <w:u w:val="single"/>
        </w:rPr>
        <w:t>Table item 433 – Local Jobs – COVID-19 Recovery</w:t>
      </w:r>
      <w:r w:rsidR="005011DD" w:rsidRPr="001F4ECA">
        <w:rPr>
          <w:rFonts w:ascii="Times New Roman" w:hAnsi="Times New Roman"/>
          <w:i/>
          <w:sz w:val="24"/>
          <w:szCs w:val="24"/>
          <w:u w:val="single"/>
        </w:rPr>
        <w:t xml:space="preserve"> Pilot</w:t>
      </w:r>
    </w:p>
    <w:p w14:paraId="08E5D37E" w14:textId="77777777" w:rsidR="00923E7F" w:rsidRPr="001F4ECA" w:rsidRDefault="00923E7F" w:rsidP="00ED38BC">
      <w:pPr>
        <w:contextualSpacing/>
        <w:rPr>
          <w:rFonts w:ascii="Times New Roman" w:hAnsi="Times New Roman"/>
          <w:sz w:val="24"/>
          <w:szCs w:val="24"/>
        </w:rPr>
      </w:pPr>
    </w:p>
    <w:p w14:paraId="68A8FE11" w14:textId="56C12607" w:rsidR="008B49E9" w:rsidRPr="001F4ECA" w:rsidRDefault="005011DD" w:rsidP="008B49E9">
      <w:pPr>
        <w:contextualSpacing/>
        <w:rPr>
          <w:rFonts w:ascii="Times New Roman" w:hAnsi="Times New Roman"/>
          <w:sz w:val="24"/>
          <w:szCs w:val="24"/>
        </w:rPr>
      </w:pPr>
      <w:r w:rsidRPr="001F4ECA">
        <w:rPr>
          <w:rFonts w:ascii="Times New Roman" w:hAnsi="Times New Roman"/>
          <w:sz w:val="24"/>
          <w:szCs w:val="24"/>
        </w:rPr>
        <w:t xml:space="preserve">This disallowable legislative instrument amends table item 433 in Part 4 of Schedule 1AB, which establishes legislative authority for government spending on the </w:t>
      </w:r>
      <w:r w:rsidR="008B49E9" w:rsidRPr="001F4ECA">
        <w:rPr>
          <w:rFonts w:ascii="Times New Roman" w:hAnsi="Times New Roman"/>
          <w:sz w:val="24"/>
          <w:szCs w:val="24"/>
        </w:rPr>
        <w:t>Local Jobs – COVID</w:t>
      </w:r>
      <w:r w:rsidRPr="001F4ECA">
        <w:rPr>
          <w:rFonts w:ascii="Times New Roman" w:hAnsi="Times New Roman"/>
          <w:sz w:val="24"/>
          <w:szCs w:val="24"/>
        </w:rPr>
        <w:noBreakHyphen/>
      </w:r>
      <w:r w:rsidR="008B49E9" w:rsidRPr="001F4ECA">
        <w:rPr>
          <w:rFonts w:ascii="Times New Roman" w:hAnsi="Times New Roman"/>
          <w:sz w:val="24"/>
          <w:szCs w:val="24"/>
        </w:rPr>
        <w:t xml:space="preserve">19 Recovery </w:t>
      </w:r>
      <w:r w:rsidRPr="001F4ECA">
        <w:rPr>
          <w:rFonts w:ascii="Times New Roman" w:hAnsi="Times New Roman"/>
          <w:sz w:val="24"/>
          <w:szCs w:val="24"/>
        </w:rPr>
        <w:t xml:space="preserve">Pilot </w:t>
      </w:r>
      <w:r w:rsidR="008B49E9" w:rsidRPr="001F4ECA">
        <w:rPr>
          <w:rFonts w:ascii="Times New Roman" w:hAnsi="Times New Roman"/>
          <w:sz w:val="24"/>
          <w:szCs w:val="24"/>
        </w:rPr>
        <w:t>(the Local Jobs Pilot). The Local Jobs Pilot was originally focus</w:t>
      </w:r>
      <w:r w:rsidRPr="001F4ECA">
        <w:rPr>
          <w:rFonts w:ascii="Times New Roman" w:hAnsi="Times New Roman"/>
          <w:sz w:val="24"/>
          <w:szCs w:val="24"/>
        </w:rPr>
        <w:t>s</w:t>
      </w:r>
      <w:r w:rsidR="008B49E9" w:rsidRPr="001F4ECA">
        <w:rPr>
          <w:rFonts w:ascii="Times New Roman" w:hAnsi="Times New Roman"/>
          <w:sz w:val="24"/>
          <w:szCs w:val="24"/>
        </w:rPr>
        <w:t>ed on re</w:t>
      </w:r>
      <w:r w:rsidRPr="001F4ECA">
        <w:rPr>
          <w:rFonts w:ascii="Times New Roman" w:hAnsi="Times New Roman"/>
          <w:sz w:val="24"/>
          <w:szCs w:val="24"/>
        </w:rPr>
        <w:t>-</w:t>
      </w:r>
      <w:r w:rsidR="008B49E9" w:rsidRPr="001F4ECA">
        <w:rPr>
          <w:rFonts w:ascii="Times New Roman" w:hAnsi="Times New Roman"/>
          <w:sz w:val="24"/>
          <w:szCs w:val="24"/>
        </w:rPr>
        <w:t>skilling, upskilling and employment pathways to assist people back into the workforce as the economy recovers from the COVID-19 pandemic. The Local Jobs Pilot put in place local Employment Facilitators, create</w:t>
      </w:r>
      <w:r w:rsidR="001D5D55" w:rsidRPr="001F4ECA">
        <w:rPr>
          <w:rFonts w:ascii="Times New Roman" w:hAnsi="Times New Roman"/>
          <w:sz w:val="24"/>
          <w:szCs w:val="24"/>
        </w:rPr>
        <w:t>d</w:t>
      </w:r>
      <w:r w:rsidR="008B49E9" w:rsidRPr="001F4ECA">
        <w:rPr>
          <w:rFonts w:ascii="Times New Roman" w:hAnsi="Times New Roman"/>
          <w:sz w:val="24"/>
          <w:szCs w:val="24"/>
        </w:rPr>
        <w:t xml:space="preserve"> Local Jobs and Skills Taskforces and p</w:t>
      </w:r>
      <w:r w:rsidR="001D5D55" w:rsidRPr="001F4ECA">
        <w:rPr>
          <w:rFonts w:ascii="Times New Roman" w:hAnsi="Times New Roman"/>
          <w:sz w:val="24"/>
          <w:szCs w:val="24"/>
        </w:rPr>
        <w:t>rovided</w:t>
      </w:r>
      <w:r w:rsidR="008B49E9" w:rsidRPr="001F4ECA">
        <w:rPr>
          <w:rFonts w:ascii="Times New Roman" w:hAnsi="Times New Roman"/>
          <w:sz w:val="24"/>
          <w:szCs w:val="24"/>
        </w:rPr>
        <w:t xml:space="preserve"> Local Recovery Funds to support small scale projects in 25 Employment Regions.</w:t>
      </w:r>
    </w:p>
    <w:p w14:paraId="3627B3BC" w14:textId="2D15FFBC" w:rsidR="008B49E9" w:rsidRPr="001F4ECA" w:rsidRDefault="008B49E9" w:rsidP="008B49E9">
      <w:pPr>
        <w:contextualSpacing/>
        <w:rPr>
          <w:rFonts w:ascii="Times New Roman" w:hAnsi="Times New Roman"/>
          <w:sz w:val="24"/>
          <w:szCs w:val="24"/>
        </w:rPr>
      </w:pPr>
    </w:p>
    <w:p w14:paraId="2C26F9CE" w14:textId="2A769357" w:rsidR="008B49E9" w:rsidRPr="001F4ECA" w:rsidRDefault="001D5D55" w:rsidP="008B49E9">
      <w:pPr>
        <w:contextualSpacing/>
        <w:rPr>
          <w:rFonts w:ascii="Times New Roman" w:hAnsi="Times New Roman"/>
          <w:sz w:val="24"/>
          <w:szCs w:val="24"/>
        </w:rPr>
      </w:pPr>
      <w:r w:rsidRPr="001F4ECA">
        <w:rPr>
          <w:rFonts w:ascii="Times New Roman" w:hAnsi="Times New Roman"/>
          <w:sz w:val="24"/>
          <w:szCs w:val="24"/>
        </w:rPr>
        <w:t>The amended table item 433</w:t>
      </w:r>
      <w:r w:rsidR="006253A9" w:rsidRPr="001F4ECA">
        <w:rPr>
          <w:rFonts w:ascii="Times New Roman" w:hAnsi="Times New Roman"/>
          <w:sz w:val="24"/>
          <w:szCs w:val="24"/>
        </w:rPr>
        <w:t xml:space="preserve"> supports the expansion of the Local Jobs Pilot into the Local Jobs – COVID-19 Recovery program (the Local Jobs program). The program was also extended until 30 June 2025. </w:t>
      </w:r>
      <w:r w:rsidR="008B49E9" w:rsidRPr="001F4ECA">
        <w:rPr>
          <w:rFonts w:ascii="Times New Roman" w:hAnsi="Times New Roman"/>
          <w:sz w:val="24"/>
          <w:szCs w:val="24"/>
        </w:rPr>
        <w:t>T</w:t>
      </w:r>
      <w:r w:rsidR="006253A9" w:rsidRPr="001F4ECA">
        <w:rPr>
          <w:rFonts w:ascii="Times New Roman" w:hAnsi="Times New Roman"/>
          <w:sz w:val="24"/>
          <w:szCs w:val="24"/>
        </w:rPr>
        <w:t>he Local Jobs p</w:t>
      </w:r>
      <w:r w:rsidR="008B49E9" w:rsidRPr="001F4ECA">
        <w:rPr>
          <w:rFonts w:ascii="Times New Roman" w:hAnsi="Times New Roman"/>
          <w:sz w:val="24"/>
          <w:szCs w:val="24"/>
        </w:rPr>
        <w:t>rogram</w:t>
      </w:r>
      <w:r w:rsidR="008B49E9" w:rsidRPr="001F4ECA">
        <w:rPr>
          <w:rFonts w:ascii="Times New Roman" w:hAnsi="Times New Roman"/>
          <w:sz w:val="24"/>
          <w:szCs w:val="24"/>
          <w:lang w:val="en-GB"/>
        </w:rPr>
        <w:t xml:space="preserve"> supports local organisations and stakeholders to develop and implement tailored approaches to accelerate re</w:t>
      </w:r>
      <w:r w:rsidR="006253A9" w:rsidRPr="001F4ECA">
        <w:rPr>
          <w:rFonts w:ascii="Times New Roman" w:hAnsi="Times New Roman"/>
          <w:sz w:val="24"/>
          <w:szCs w:val="24"/>
          <w:lang w:val="en-GB"/>
        </w:rPr>
        <w:t>-</w:t>
      </w:r>
      <w:r w:rsidR="008B49E9" w:rsidRPr="001F4ECA">
        <w:rPr>
          <w:rFonts w:ascii="Times New Roman" w:hAnsi="Times New Roman"/>
          <w:sz w:val="24"/>
          <w:szCs w:val="24"/>
          <w:lang w:val="en-GB"/>
        </w:rPr>
        <w:t>skilling, upskilling and employment of job seekers in all 51 Employment Regions through the engagement of Employment Facilitators and the establishment of Local Jobs and Skills Taskforces.</w:t>
      </w:r>
    </w:p>
    <w:p w14:paraId="6E4A2AC0" w14:textId="7D86BFEF" w:rsidR="008B49E9" w:rsidRPr="001F4ECA" w:rsidRDefault="008B49E9" w:rsidP="008B49E9">
      <w:pPr>
        <w:contextualSpacing/>
        <w:rPr>
          <w:rFonts w:ascii="Times New Roman" w:hAnsi="Times New Roman"/>
          <w:sz w:val="24"/>
          <w:szCs w:val="24"/>
        </w:rPr>
      </w:pPr>
    </w:p>
    <w:p w14:paraId="726A6CBD" w14:textId="036443C3" w:rsidR="000C0497" w:rsidRPr="001F4ECA" w:rsidRDefault="000C0497" w:rsidP="000C0497">
      <w:pPr>
        <w:rPr>
          <w:rFonts w:ascii="Times New Roman" w:hAnsi="Times New Roman"/>
          <w:color w:val="000000" w:themeColor="text1"/>
          <w:sz w:val="24"/>
          <w:szCs w:val="24"/>
        </w:rPr>
      </w:pPr>
      <w:r w:rsidRPr="001F4ECA">
        <w:rPr>
          <w:rFonts w:ascii="Times New Roman" w:hAnsi="Times New Roman"/>
          <w:color w:val="000000" w:themeColor="text1"/>
          <w:sz w:val="24"/>
          <w:szCs w:val="24"/>
        </w:rPr>
        <w:t>The Local Jobs program has four mutually reinforcing elements:</w:t>
      </w:r>
    </w:p>
    <w:p w14:paraId="77DA8E43" w14:textId="77777777" w:rsidR="000C0497" w:rsidRPr="001F4ECA" w:rsidRDefault="000C0497" w:rsidP="000C0497">
      <w:pPr>
        <w:pStyle w:val="ListParagraph"/>
        <w:numPr>
          <w:ilvl w:val="0"/>
          <w:numId w:val="41"/>
        </w:numPr>
        <w:rPr>
          <w:rFonts w:cs="Times New Roman"/>
          <w:szCs w:val="24"/>
        </w:rPr>
      </w:pPr>
      <w:r w:rsidRPr="001F4ECA">
        <w:rPr>
          <w:rFonts w:cs="Times New Roman"/>
          <w:i/>
          <w:szCs w:val="24"/>
        </w:rPr>
        <w:t>Employment Facilitators</w:t>
      </w:r>
      <w:r w:rsidRPr="001F4ECA">
        <w:rPr>
          <w:rFonts w:cs="Times New Roman"/>
          <w:szCs w:val="24"/>
        </w:rPr>
        <w:t>, dedicated individuals who work with employers and key local stakeholders to develop employment solutions at a local level, including matching job seekers to training and employment in demand;</w:t>
      </w:r>
    </w:p>
    <w:p w14:paraId="16908712" w14:textId="70D66ED0" w:rsidR="000C0497" w:rsidRPr="001F4ECA" w:rsidRDefault="000C0497" w:rsidP="000C0497">
      <w:pPr>
        <w:pStyle w:val="ListParagraph"/>
        <w:numPr>
          <w:ilvl w:val="0"/>
          <w:numId w:val="41"/>
        </w:numPr>
        <w:rPr>
          <w:rFonts w:cs="Times New Roman"/>
          <w:szCs w:val="24"/>
        </w:rPr>
      </w:pPr>
      <w:r w:rsidRPr="001F4ECA">
        <w:rPr>
          <w:rFonts w:cs="Times New Roman"/>
          <w:i/>
          <w:szCs w:val="24"/>
        </w:rPr>
        <w:t>Local Jobs and Skills Taskforces</w:t>
      </w:r>
      <w:r w:rsidRPr="001F4ECA">
        <w:rPr>
          <w:rFonts w:cs="Times New Roman"/>
          <w:szCs w:val="24"/>
        </w:rPr>
        <w:t xml:space="preserve"> bring local stakeholders together, including major employers, employment services providers and training organisations to drive solutions and connections targeted to the conditions of each local labour market; </w:t>
      </w:r>
    </w:p>
    <w:p w14:paraId="419A7237" w14:textId="0B224475" w:rsidR="000C0497" w:rsidRPr="001F4ECA" w:rsidRDefault="000C0497" w:rsidP="000C0497">
      <w:pPr>
        <w:pStyle w:val="ListParagraph"/>
        <w:numPr>
          <w:ilvl w:val="0"/>
          <w:numId w:val="41"/>
        </w:numPr>
        <w:rPr>
          <w:rFonts w:cs="Times New Roman"/>
          <w:szCs w:val="24"/>
        </w:rPr>
      </w:pPr>
      <w:r w:rsidRPr="001F4ECA">
        <w:rPr>
          <w:rFonts w:cs="Times New Roman"/>
          <w:i/>
          <w:szCs w:val="24"/>
        </w:rPr>
        <w:t>Local Recovery Funds</w:t>
      </w:r>
      <w:r w:rsidRPr="001F4ECA">
        <w:rPr>
          <w:rFonts w:cs="Times New Roman"/>
          <w:szCs w:val="24"/>
        </w:rPr>
        <w:t xml:space="preserve"> (to be extended or established for each region) deliver small scale projects that place job seekers at the heart of local economic recovery; and </w:t>
      </w:r>
    </w:p>
    <w:p w14:paraId="5D1C760E" w14:textId="363B9ACA" w:rsidR="000C0497" w:rsidRPr="001F4ECA" w:rsidRDefault="000C0497" w:rsidP="000C0497">
      <w:pPr>
        <w:pStyle w:val="ListParagraph"/>
        <w:numPr>
          <w:ilvl w:val="0"/>
          <w:numId w:val="41"/>
        </w:numPr>
        <w:rPr>
          <w:rFonts w:cs="Times New Roman"/>
          <w:szCs w:val="24"/>
        </w:rPr>
      </w:pPr>
      <w:r w:rsidRPr="001F4ECA">
        <w:rPr>
          <w:rFonts w:cs="Times New Roman"/>
          <w:i/>
          <w:szCs w:val="24"/>
        </w:rPr>
        <w:t>National Priority Fund</w:t>
      </w:r>
      <w:r w:rsidRPr="001F4ECA">
        <w:rPr>
          <w:rFonts w:cs="Times New Roman"/>
          <w:szCs w:val="24"/>
        </w:rPr>
        <w:t xml:space="preserve"> supports</w:t>
      </w:r>
      <w:r w:rsidRPr="001F4ECA">
        <w:rPr>
          <w:rFonts w:cs="Times New Roman"/>
          <w:iCs/>
          <w:szCs w:val="24"/>
        </w:rPr>
        <w:t xml:space="preserve"> </w:t>
      </w:r>
      <w:r w:rsidRPr="001F4ECA">
        <w:rPr>
          <w:rFonts w:cs="Times New Roman"/>
          <w:szCs w:val="24"/>
        </w:rPr>
        <w:t>innovative initiatives across Australia to address structural or other barriers to employment and complement job creation initiatives to support Australians into work.</w:t>
      </w:r>
    </w:p>
    <w:p w14:paraId="357E4257" w14:textId="77777777" w:rsidR="000C0497" w:rsidRPr="001F4ECA" w:rsidRDefault="000C0497" w:rsidP="008B49E9">
      <w:pPr>
        <w:contextualSpacing/>
        <w:rPr>
          <w:rFonts w:ascii="Times New Roman" w:hAnsi="Times New Roman"/>
          <w:sz w:val="24"/>
          <w:szCs w:val="24"/>
        </w:rPr>
      </w:pPr>
    </w:p>
    <w:p w14:paraId="0CE56F32" w14:textId="77777777" w:rsidR="00E54D2B" w:rsidRPr="001F4ECA" w:rsidRDefault="00E54D2B" w:rsidP="00E54D2B">
      <w:pPr>
        <w:contextualSpacing/>
        <w:rPr>
          <w:rFonts w:ascii="Times New Roman" w:hAnsi="Times New Roman"/>
          <w:b/>
          <w:sz w:val="24"/>
          <w:szCs w:val="24"/>
        </w:rPr>
      </w:pPr>
      <w:r w:rsidRPr="001F4ECA">
        <w:rPr>
          <w:rFonts w:ascii="Times New Roman" w:hAnsi="Times New Roman"/>
          <w:b/>
          <w:sz w:val="24"/>
          <w:szCs w:val="24"/>
        </w:rPr>
        <w:t>Human rights implications</w:t>
      </w:r>
    </w:p>
    <w:p w14:paraId="29E932A7" w14:textId="1EEC63B6" w:rsidR="008B49E9" w:rsidRPr="001F4ECA" w:rsidRDefault="008B49E9" w:rsidP="00ED38BC">
      <w:pPr>
        <w:contextualSpacing/>
        <w:rPr>
          <w:rFonts w:ascii="Times New Roman" w:hAnsi="Times New Roman"/>
          <w:sz w:val="24"/>
          <w:szCs w:val="24"/>
        </w:rPr>
      </w:pPr>
    </w:p>
    <w:p w14:paraId="29467A24" w14:textId="77777777" w:rsidR="00E54D2B" w:rsidRPr="001F4ECA" w:rsidRDefault="00E54D2B" w:rsidP="00E54D2B">
      <w:pPr>
        <w:contextualSpacing/>
        <w:rPr>
          <w:rFonts w:ascii="Times New Roman" w:hAnsi="Times New Roman"/>
          <w:sz w:val="24"/>
          <w:szCs w:val="24"/>
        </w:rPr>
      </w:pPr>
      <w:r w:rsidRPr="001F4ECA">
        <w:rPr>
          <w:rFonts w:ascii="Times New Roman" w:hAnsi="Times New Roman"/>
          <w:sz w:val="24"/>
          <w:szCs w:val="24"/>
        </w:rPr>
        <w:t>The amended table item 433 engages the following right:</w:t>
      </w:r>
    </w:p>
    <w:p w14:paraId="0FC8853B" w14:textId="4D9F266D" w:rsidR="00E54D2B" w:rsidRPr="001F4ECA" w:rsidRDefault="00E54D2B" w:rsidP="00E54D2B">
      <w:pPr>
        <w:numPr>
          <w:ilvl w:val="0"/>
          <w:numId w:val="16"/>
        </w:numPr>
        <w:contextualSpacing/>
        <w:rPr>
          <w:rFonts w:ascii="Times New Roman" w:hAnsi="Times New Roman"/>
          <w:sz w:val="24"/>
          <w:szCs w:val="24"/>
        </w:rPr>
      </w:pPr>
      <w:r w:rsidRPr="001F4ECA">
        <w:rPr>
          <w:rFonts w:ascii="Times New Roman" w:hAnsi="Times New Roman"/>
          <w:sz w:val="24"/>
          <w:szCs w:val="24"/>
        </w:rPr>
        <w:t>the right to work – Article 6 of the ICESCR, read with Article 2.</w:t>
      </w:r>
    </w:p>
    <w:p w14:paraId="1AABED38" w14:textId="77777777" w:rsidR="00E54D2B" w:rsidRPr="001F4ECA" w:rsidRDefault="00E54D2B" w:rsidP="00E54D2B">
      <w:pPr>
        <w:contextualSpacing/>
        <w:rPr>
          <w:rFonts w:ascii="Times New Roman" w:hAnsi="Times New Roman"/>
          <w:sz w:val="24"/>
          <w:szCs w:val="24"/>
        </w:rPr>
      </w:pPr>
    </w:p>
    <w:p w14:paraId="338C5D9B" w14:textId="77777777" w:rsidR="000C0497" w:rsidRPr="001F4ECA" w:rsidRDefault="000C0497">
      <w:pPr>
        <w:spacing w:after="200" w:line="276" w:lineRule="auto"/>
        <w:rPr>
          <w:rFonts w:ascii="Times New Roman" w:hAnsi="Times New Roman"/>
          <w:i/>
          <w:sz w:val="24"/>
          <w:szCs w:val="24"/>
        </w:rPr>
      </w:pPr>
      <w:r w:rsidRPr="001F4ECA">
        <w:rPr>
          <w:rFonts w:ascii="Times New Roman" w:hAnsi="Times New Roman"/>
          <w:i/>
          <w:sz w:val="24"/>
          <w:szCs w:val="24"/>
        </w:rPr>
        <w:br w:type="page"/>
      </w:r>
    </w:p>
    <w:p w14:paraId="50B84D71" w14:textId="584A402A" w:rsidR="00E54D2B" w:rsidRPr="001F4ECA" w:rsidRDefault="00E54D2B" w:rsidP="00E54D2B">
      <w:pPr>
        <w:contextualSpacing/>
        <w:rPr>
          <w:rFonts w:ascii="Times New Roman" w:hAnsi="Times New Roman"/>
          <w:i/>
          <w:sz w:val="24"/>
          <w:szCs w:val="24"/>
        </w:rPr>
      </w:pPr>
      <w:r w:rsidRPr="001F4ECA">
        <w:rPr>
          <w:rFonts w:ascii="Times New Roman" w:hAnsi="Times New Roman"/>
          <w:i/>
          <w:sz w:val="24"/>
          <w:szCs w:val="24"/>
        </w:rPr>
        <w:lastRenderedPageBreak/>
        <w:t>Right to work</w:t>
      </w:r>
    </w:p>
    <w:p w14:paraId="497FC88F" w14:textId="77777777" w:rsidR="00E54D2B" w:rsidRPr="001F4ECA" w:rsidRDefault="00E54D2B" w:rsidP="00E54D2B">
      <w:pPr>
        <w:contextualSpacing/>
        <w:rPr>
          <w:rFonts w:ascii="Times New Roman" w:hAnsi="Times New Roman"/>
          <w:sz w:val="24"/>
          <w:szCs w:val="24"/>
        </w:rPr>
      </w:pPr>
    </w:p>
    <w:p w14:paraId="463DEDFD" w14:textId="4DB7A20D" w:rsidR="00E54D2B" w:rsidRPr="001F4ECA" w:rsidRDefault="00E54D2B" w:rsidP="00E54D2B">
      <w:pPr>
        <w:contextualSpacing/>
        <w:rPr>
          <w:rFonts w:ascii="Times New Roman" w:hAnsi="Times New Roman"/>
          <w:sz w:val="24"/>
          <w:szCs w:val="24"/>
        </w:rPr>
      </w:pPr>
      <w:r w:rsidRPr="001F4ECA">
        <w:rPr>
          <w:rFonts w:ascii="Times New Roman" w:hAnsi="Times New Roman"/>
          <w:sz w:val="24"/>
          <w:szCs w:val="24"/>
        </w:rPr>
        <w:t xml:space="preserve">Article 2 </w:t>
      </w:r>
      <w:r w:rsidR="000C0497" w:rsidRPr="001F4ECA">
        <w:rPr>
          <w:rFonts w:ascii="Times New Roman" w:hAnsi="Times New Roman"/>
          <w:sz w:val="24"/>
          <w:szCs w:val="24"/>
        </w:rPr>
        <w:t xml:space="preserve">of the ICESCR </w:t>
      </w:r>
      <w:r w:rsidRPr="001F4ECA">
        <w:rPr>
          <w:rFonts w:ascii="Times New Roman" w:hAnsi="Times New Roman"/>
          <w:sz w:val="24"/>
          <w:szCs w:val="24"/>
        </w:rPr>
        <w:t xml:space="preserve">provides that </w:t>
      </w:r>
      <w:r w:rsidR="000C0497" w:rsidRPr="001F4ECA">
        <w:rPr>
          <w:rFonts w:ascii="Times New Roman" w:hAnsi="Times New Roman"/>
          <w:sz w:val="24"/>
          <w:szCs w:val="24"/>
        </w:rPr>
        <w:t xml:space="preserve">the </w:t>
      </w:r>
      <w:r w:rsidRPr="001F4ECA">
        <w:rPr>
          <w:rFonts w:ascii="Times New Roman" w:hAnsi="Times New Roman"/>
          <w:sz w:val="24"/>
          <w:szCs w:val="24"/>
        </w:rPr>
        <w:t>States Parties shall take steps to adopt legislative measures to realise the rights within the ICESCR including, relevantly, the right to work under Article 6.</w:t>
      </w:r>
    </w:p>
    <w:p w14:paraId="50DFED28" w14:textId="77777777" w:rsidR="00E54D2B" w:rsidRPr="001F4ECA" w:rsidRDefault="00E54D2B" w:rsidP="00E54D2B">
      <w:pPr>
        <w:contextualSpacing/>
        <w:rPr>
          <w:rFonts w:ascii="Times New Roman" w:hAnsi="Times New Roman"/>
          <w:sz w:val="24"/>
          <w:szCs w:val="24"/>
        </w:rPr>
      </w:pPr>
    </w:p>
    <w:p w14:paraId="399A071A" w14:textId="297F32AE" w:rsidR="00E54D2B" w:rsidRPr="001F4ECA" w:rsidRDefault="00E54D2B" w:rsidP="00E54D2B">
      <w:pPr>
        <w:contextualSpacing/>
        <w:rPr>
          <w:rFonts w:ascii="Times New Roman" w:hAnsi="Times New Roman"/>
          <w:sz w:val="24"/>
          <w:szCs w:val="24"/>
        </w:rPr>
      </w:pPr>
      <w:r w:rsidRPr="001F4ECA">
        <w:rPr>
          <w:rFonts w:ascii="Times New Roman" w:hAnsi="Times New Roman"/>
          <w:sz w:val="24"/>
          <w:szCs w:val="24"/>
        </w:rPr>
        <w:t xml:space="preserve">Article 6(1) recognises ‘the right of everyone to the opportunity to gain his living by work’ and that </w:t>
      </w:r>
      <w:r w:rsidR="000C0497" w:rsidRPr="001F4ECA">
        <w:rPr>
          <w:rFonts w:ascii="Times New Roman" w:hAnsi="Times New Roman"/>
          <w:sz w:val="24"/>
          <w:szCs w:val="24"/>
        </w:rPr>
        <w:t>each</w:t>
      </w:r>
      <w:r w:rsidRPr="001F4ECA">
        <w:rPr>
          <w:rFonts w:ascii="Times New Roman" w:hAnsi="Times New Roman"/>
          <w:sz w:val="24"/>
          <w:szCs w:val="24"/>
        </w:rPr>
        <w:t xml:space="preserve"> State Party ‘will take appropriate steps to safeguard this right’. Article 6(2) provides</w:t>
      </w:r>
      <w:r w:rsidR="000C0497" w:rsidRPr="001F4ECA">
        <w:rPr>
          <w:rFonts w:ascii="Times New Roman" w:hAnsi="Times New Roman"/>
          <w:sz w:val="24"/>
          <w:szCs w:val="24"/>
        </w:rPr>
        <w:t xml:space="preserve"> that the steps to be taken by each</w:t>
      </w:r>
      <w:r w:rsidRPr="001F4ECA">
        <w:rPr>
          <w:rFonts w:ascii="Times New Roman" w:hAnsi="Times New Roman"/>
          <w:sz w:val="24"/>
          <w:szCs w:val="24"/>
        </w:rPr>
        <w:t xml:space="preserve"> State Party to the ICESCR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freedoms to the individual’.</w:t>
      </w:r>
    </w:p>
    <w:p w14:paraId="650F35AD" w14:textId="77777777" w:rsidR="00E54D2B" w:rsidRPr="001F4ECA" w:rsidRDefault="00E54D2B" w:rsidP="00E54D2B">
      <w:pPr>
        <w:contextualSpacing/>
        <w:rPr>
          <w:rFonts w:ascii="Times New Roman" w:hAnsi="Times New Roman"/>
          <w:sz w:val="24"/>
          <w:szCs w:val="24"/>
        </w:rPr>
      </w:pPr>
    </w:p>
    <w:p w14:paraId="6DB9EE91" w14:textId="138B27C2" w:rsidR="008B49E9" w:rsidRPr="001F4ECA" w:rsidRDefault="00E54D2B" w:rsidP="00E54D2B">
      <w:pPr>
        <w:contextualSpacing/>
        <w:rPr>
          <w:rFonts w:ascii="Times New Roman" w:hAnsi="Times New Roman"/>
          <w:sz w:val="24"/>
          <w:szCs w:val="24"/>
        </w:rPr>
      </w:pPr>
      <w:r w:rsidRPr="001F4ECA">
        <w:rPr>
          <w:rFonts w:ascii="Times New Roman" w:hAnsi="Times New Roman"/>
          <w:sz w:val="24"/>
          <w:szCs w:val="24"/>
        </w:rPr>
        <w:t xml:space="preserve">The amended table item 433 continues to support and promote the right to work by expanding and extending the existing Local Jobs Pilot to all 51 Employment Regions throughout Australia until 30 June 2025. This is in recognition that the COVID-19 pandemic is affecting all communities throughout Australia and a national program will provide more equity to regional assistance and assist job seekers in the remaining communities to return to work more quickly.  </w:t>
      </w:r>
    </w:p>
    <w:p w14:paraId="4609D2FB" w14:textId="729435F7" w:rsidR="008B49E9" w:rsidRPr="001F4ECA" w:rsidRDefault="008B49E9" w:rsidP="00ED38BC">
      <w:pPr>
        <w:contextualSpacing/>
        <w:rPr>
          <w:rFonts w:ascii="Times New Roman" w:hAnsi="Times New Roman"/>
          <w:sz w:val="24"/>
          <w:szCs w:val="24"/>
        </w:rPr>
      </w:pPr>
    </w:p>
    <w:p w14:paraId="054C516D" w14:textId="77FD6753" w:rsidR="00E54D2B" w:rsidRPr="001F4ECA" w:rsidRDefault="00E54D2B" w:rsidP="00E54D2B">
      <w:pPr>
        <w:contextualSpacing/>
        <w:rPr>
          <w:rFonts w:ascii="Times New Roman" w:hAnsi="Times New Roman"/>
          <w:sz w:val="24"/>
          <w:szCs w:val="24"/>
        </w:rPr>
      </w:pPr>
      <w:r w:rsidRPr="001F4ECA">
        <w:rPr>
          <w:rFonts w:ascii="Times New Roman" w:hAnsi="Times New Roman"/>
          <w:sz w:val="24"/>
          <w:szCs w:val="24"/>
        </w:rPr>
        <w:t>Under the Local Job</w:t>
      </w:r>
      <w:r w:rsidR="00A36000" w:rsidRPr="001F4ECA">
        <w:rPr>
          <w:rFonts w:ascii="Times New Roman" w:hAnsi="Times New Roman"/>
          <w:sz w:val="24"/>
          <w:szCs w:val="24"/>
        </w:rPr>
        <w:t>s p</w:t>
      </w:r>
      <w:r w:rsidRPr="001F4ECA">
        <w:rPr>
          <w:rFonts w:ascii="Times New Roman" w:hAnsi="Times New Roman"/>
          <w:sz w:val="24"/>
          <w:szCs w:val="24"/>
        </w:rPr>
        <w:t xml:space="preserve">rogram, Employment Facilitators will work with local stakeholders on </w:t>
      </w:r>
      <w:r w:rsidR="00A36000" w:rsidRPr="001F4ECA">
        <w:rPr>
          <w:rFonts w:ascii="Times New Roman" w:hAnsi="Times New Roman"/>
          <w:sz w:val="24"/>
          <w:szCs w:val="24"/>
        </w:rPr>
        <w:t xml:space="preserve">the </w:t>
      </w:r>
      <w:r w:rsidRPr="001F4ECA">
        <w:rPr>
          <w:rFonts w:ascii="Times New Roman" w:hAnsi="Times New Roman"/>
          <w:sz w:val="24"/>
          <w:szCs w:val="24"/>
        </w:rPr>
        <w:t xml:space="preserve">Local Jobs and Skills Taskforces to develop Local Jobs Plans. These plans will be used to identify the employment and training priorities for each Employment Region and will allow </w:t>
      </w:r>
      <w:r w:rsidR="00A36000" w:rsidRPr="001F4ECA">
        <w:rPr>
          <w:rFonts w:ascii="Times New Roman" w:hAnsi="Times New Roman"/>
          <w:sz w:val="24"/>
          <w:szCs w:val="24"/>
        </w:rPr>
        <w:t>the Local Jobs p</w:t>
      </w:r>
      <w:r w:rsidRPr="001F4ECA">
        <w:rPr>
          <w:rFonts w:ascii="Times New Roman" w:hAnsi="Times New Roman"/>
          <w:sz w:val="24"/>
          <w:szCs w:val="24"/>
        </w:rPr>
        <w:t>rogram to prioritise the funding of projects that move unemployed job seekers to employment. The National Priority Fund will further support the right to work in Article 6 by funding projects which address structural and other barriers to employment.</w:t>
      </w:r>
    </w:p>
    <w:p w14:paraId="5BDC80A3" w14:textId="77777777" w:rsidR="00E54D2B" w:rsidRPr="001F4ECA" w:rsidRDefault="00E54D2B" w:rsidP="00E54D2B">
      <w:pPr>
        <w:contextualSpacing/>
        <w:rPr>
          <w:rFonts w:ascii="Times New Roman" w:hAnsi="Times New Roman"/>
          <w:sz w:val="24"/>
          <w:szCs w:val="24"/>
        </w:rPr>
      </w:pPr>
    </w:p>
    <w:p w14:paraId="353FD657" w14:textId="77777777" w:rsidR="00E54D2B" w:rsidRPr="001F4ECA" w:rsidRDefault="00E54D2B" w:rsidP="00E54D2B">
      <w:pPr>
        <w:contextualSpacing/>
        <w:rPr>
          <w:rFonts w:ascii="Times New Roman" w:hAnsi="Times New Roman"/>
          <w:sz w:val="24"/>
          <w:szCs w:val="24"/>
        </w:rPr>
      </w:pPr>
      <w:r w:rsidRPr="001F4ECA">
        <w:rPr>
          <w:rFonts w:ascii="Times New Roman" w:hAnsi="Times New Roman"/>
          <w:b/>
          <w:sz w:val="24"/>
          <w:szCs w:val="24"/>
        </w:rPr>
        <w:t>Conclusion</w:t>
      </w:r>
    </w:p>
    <w:p w14:paraId="6D0E9B5F" w14:textId="77777777" w:rsidR="00E54D2B" w:rsidRPr="001F4ECA" w:rsidRDefault="00E54D2B" w:rsidP="00E54D2B">
      <w:pPr>
        <w:contextualSpacing/>
        <w:rPr>
          <w:rFonts w:ascii="Times New Roman" w:hAnsi="Times New Roman"/>
          <w:sz w:val="24"/>
          <w:szCs w:val="24"/>
        </w:rPr>
      </w:pPr>
    </w:p>
    <w:p w14:paraId="646B8E8F" w14:textId="77777777" w:rsidR="00E54D2B" w:rsidRPr="001F4ECA" w:rsidRDefault="00E54D2B" w:rsidP="00E54D2B">
      <w:pPr>
        <w:contextualSpacing/>
        <w:rPr>
          <w:rFonts w:ascii="Times New Roman" w:hAnsi="Times New Roman"/>
          <w:sz w:val="24"/>
          <w:szCs w:val="24"/>
        </w:rPr>
      </w:pPr>
      <w:r w:rsidRPr="001F4ECA">
        <w:rPr>
          <w:rFonts w:ascii="Times New Roman" w:hAnsi="Times New Roman"/>
          <w:sz w:val="24"/>
          <w:szCs w:val="24"/>
        </w:rPr>
        <w:t xml:space="preserve">The amended table item 433 is compatible with human rights because it promotes the protection of human rights. </w:t>
      </w:r>
    </w:p>
    <w:p w14:paraId="0CFE5A76" w14:textId="0F0093B1" w:rsidR="008B49E9" w:rsidRPr="001F4ECA" w:rsidRDefault="008B49E9" w:rsidP="00ED38BC">
      <w:pPr>
        <w:contextualSpacing/>
        <w:rPr>
          <w:rFonts w:ascii="Times New Roman" w:hAnsi="Times New Roman"/>
          <w:sz w:val="24"/>
          <w:szCs w:val="24"/>
        </w:rPr>
      </w:pPr>
    </w:p>
    <w:p w14:paraId="6DEC32C6" w14:textId="60AAABED" w:rsidR="001549E9" w:rsidRPr="001F4ECA" w:rsidRDefault="001549E9" w:rsidP="001549E9">
      <w:pPr>
        <w:contextualSpacing/>
        <w:rPr>
          <w:rFonts w:ascii="Times New Roman" w:hAnsi="Times New Roman"/>
          <w:i/>
          <w:sz w:val="24"/>
          <w:szCs w:val="24"/>
          <w:u w:val="single"/>
        </w:rPr>
      </w:pPr>
      <w:r w:rsidRPr="001F4ECA">
        <w:rPr>
          <w:rFonts w:ascii="Times New Roman" w:hAnsi="Times New Roman"/>
          <w:i/>
          <w:sz w:val="24"/>
          <w:szCs w:val="24"/>
          <w:u w:val="single"/>
        </w:rPr>
        <w:t xml:space="preserve">Table item </w:t>
      </w:r>
      <w:r w:rsidR="00A21711" w:rsidRPr="001F4ECA">
        <w:rPr>
          <w:rFonts w:ascii="Times New Roman" w:hAnsi="Times New Roman"/>
          <w:i/>
          <w:sz w:val="24"/>
          <w:szCs w:val="24"/>
          <w:u w:val="single"/>
        </w:rPr>
        <w:t>498</w:t>
      </w:r>
      <w:r w:rsidRPr="001F4ECA">
        <w:rPr>
          <w:rFonts w:ascii="Times New Roman" w:hAnsi="Times New Roman"/>
          <w:i/>
          <w:sz w:val="24"/>
          <w:szCs w:val="24"/>
          <w:u w:val="single"/>
        </w:rPr>
        <w:t xml:space="preserve"> – Digital Skills Cadetship Trial</w:t>
      </w:r>
    </w:p>
    <w:p w14:paraId="242EADAB" w14:textId="0BAEAA05" w:rsidR="008B49E9" w:rsidRPr="001F4ECA" w:rsidRDefault="008B49E9" w:rsidP="00ED38BC">
      <w:pPr>
        <w:contextualSpacing/>
        <w:rPr>
          <w:rFonts w:ascii="Times New Roman" w:hAnsi="Times New Roman"/>
          <w:sz w:val="24"/>
          <w:szCs w:val="24"/>
        </w:rPr>
      </w:pPr>
    </w:p>
    <w:p w14:paraId="743CC8D0" w14:textId="1773E5B9" w:rsidR="001549E9" w:rsidRPr="001F4ECA" w:rsidRDefault="009018FC" w:rsidP="001549E9">
      <w:pPr>
        <w:contextualSpacing/>
        <w:rPr>
          <w:rFonts w:ascii="Times New Roman" w:hAnsi="Times New Roman"/>
          <w:sz w:val="24"/>
          <w:szCs w:val="24"/>
        </w:rPr>
      </w:pPr>
      <w:r w:rsidRPr="001F4ECA">
        <w:rPr>
          <w:rFonts w:ascii="Times New Roman" w:hAnsi="Times New Roman"/>
          <w:sz w:val="24"/>
          <w:szCs w:val="24"/>
        </w:rPr>
        <w:t>This disallowable legislative instrument adds a n</w:t>
      </w:r>
      <w:r w:rsidR="001549E9" w:rsidRPr="001F4ECA">
        <w:rPr>
          <w:rFonts w:ascii="Times New Roman" w:hAnsi="Times New Roman"/>
          <w:sz w:val="24"/>
          <w:szCs w:val="24"/>
        </w:rPr>
        <w:t xml:space="preserve">ew table item </w:t>
      </w:r>
      <w:r w:rsidR="00A21711" w:rsidRPr="001F4ECA">
        <w:rPr>
          <w:rFonts w:ascii="Times New Roman" w:hAnsi="Times New Roman"/>
          <w:sz w:val="24"/>
          <w:szCs w:val="24"/>
        </w:rPr>
        <w:t>498</w:t>
      </w:r>
      <w:r w:rsidR="001549E9" w:rsidRPr="001F4ECA">
        <w:rPr>
          <w:rFonts w:ascii="Times New Roman" w:hAnsi="Times New Roman"/>
          <w:sz w:val="24"/>
          <w:szCs w:val="24"/>
        </w:rPr>
        <w:t xml:space="preserve"> </w:t>
      </w:r>
      <w:r w:rsidRPr="001F4ECA">
        <w:rPr>
          <w:rFonts w:ascii="Times New Roman" w:hAnsi="Times New Roman"/>
          <w:sz w:val="24"/>
          <w:szCs w:val="24"/>
        </w:rPr>
        <w:t xml:space="preserve">to Part 4 of Schedule 1AB, which </w:t>
      </w:r>
      <w:r w:rsidR="001549E9" w:rsidRPr="001F4ECA">
        <w:rPr>
          <w:rFonts w:ascii="Times New Roman" w:hAnsi="Times New Roman"/>
          <w:sz w:val="24"/>
          <w:szCs w:val="24"/>
        </w:rPr>
        <w:t>establishes legislative authority for government spending on the Digital Skills Cadetship Trial (the Trial) to assist cadets to undertake vocational education and training in digital skills, including education and training provided by employers, and assist cadets with future employment opportunities.</w:t>
      </w:r>
    </w:p>
    <w:p w14:paraId="5AF0BE1C" w14:textId="77777777" w:rsidR="001549E9" w:rsidRPr="001F4ECA" w:rsidRDefault="001549E9" w:rsidP="001549E9">
      <w:pPr>
        <w:contextualSpacing/>
        <w:rPr>
          <w:rFonts w:ascii="Times New Roman" w:hAnsi="Times New Roman"/>
          <w:sz w:val="24"/>
          <w:szCs w:val="24"/>
        </w:rPr>
      </w:pPr>
    </w:p>
    <w:p w14:paraId="60BA1D66" w14:textId="48F4EDE0"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 xml:space="preserve">The objective </w:t>
      </w:r>
      <w:r w:rsidR="009018FC" w:rsidRPr="001F4ECA">
        <w:rPr>
          <w:rFonts w:ascii="Times New Roman" w:hAnsi="Times New Roman"/>
          <w:sz w:val="24"/>
          <w:szCs w:val="24"/>
        </w:rPr>
        <w:t xml:space="preserve">of the Trial </w:t>
      </w:r>
      <w:r w:rsidRPr="001F4ECA">
        <w:rPr>
          <w:rFonts w:ascii="Times New Roman" w:hAnsi="Times New Roman"/>
          <w:sz w:val="24"/>
          <w:szCs w:val="24"/>
        </w:rPr>
        <w:t>is to deliver digital skills in a more flexible and timely manner than is available through current training options. The Trial will include up to four industry-led cadetship pilots delivered through one or more organisations who will partner with employers to deliver cadetships, which are expected to take around four to six months, and could then lead to employment or further training</w:t>
      </w:r>
      <w:r w:rsidR="009018FC" w:rsidRPr="001F4ECA">
        <w:rPr>
          <w:rFonts w:ascii="Times New Roman" w:hAnsi="Times New Roman"/>
          <w:sz w:val="24"/>
          <w:szCs w:val="24"/>
        </w:rPr>
        <w:t xml:space="preserve"> for cadets</w:t>
      </w:r>
      <w:r w:rsidRPr="001F4ECA">
        <w:rPr>
          <w:rFonts w:ascii="Times New Roman" w:hAnsi="Times New Roman"/>
          <w:sz w:val="24"/>
          <w:szCs w:val="24"/>
        </w:rPr>
        <w:t>.</w:t>
      </w:r>
    </w:p>
    <w:p w14:paraId="5F06BB1A" w14:textId="77777777" w:rsidR="001549E9" w:rsidRPr="001F4ECA" w:rsidRDefault="001549E9" w:rsidP="001549E9">
      <w:pPr>
        <w:contextualSpacing/>
        <w:rPr>
          <w:rFonts w:ascii="Times New Roman" w:hAnsi="Times New Roman"/>
          <w:sz w:val="24"/>
          <w:szCs w:val="24"/>
        </w:rPr>
      </w:pPr>
    </w:p>
    <w:p w14:paraId="2044C79D" w14:textId="329B15CB"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The cadetships will be driven by employer demand for skills in emerging and high technology digital fields, which may include (but are not limited to) fields such as cybersecurity, advanced manufacturing, data analytics, game design and animation.</w:t>
      </w:r>
    </w:p>
    <w:p w14:paraId="029FE58A" w14:textId="77777777" w:rsidR="009018FC" w:rsidRPr="001F4ECA" w:rsidRDefault="009018FC" w:rsidP="001549E9">
      <w:pPr>
        <w:contextualSpacing/>
        <w:rPr>
          <w:rFonts w:ascii="Times New Roman" w:hAnsi="Times New Roman"/>
          <w:sz w:val="24"/>
          <w:szCs w:val="24"/>
        </w:rPr>
      </w:pPr>
    </w:p>
    <w:p w14:paraId="7D738B11" w14:textId="6CA14B61" w:rsidR="001549E9" w:rsidRPr="001F4ECA" w:rsidRDefault="001549E9" w:rsidP="001549E9">
      <w:pPr>
        <w:contextualSpacing/>
        <w:rPr>
          <w:rFonts w:ascii="Times New Roman" w:hAnsi="Times New Roman"/>
          <w:b/>
          <w:sz w:val="24"/>
          <w:szCs w:val="24"/>
        </w:rPr>
      </w:pPr>
      <w:r w:rsidRPr="001F4ECA">
        <w:rPr>
          <w:rFonts w:ascii="Times New Roman" w:hAnsi="Times New Roman"/>
          <w:b/>
          <w:sz w:val="24"/>
          <w:szCs w:val="24"/>
        </w:rPr>
        <w:t>Human rights implications</w:t>
      </w:r>
    </w:p>
    <w:p w14:paraId="7ED9463E" w14:textId="76284091" w:rsidR="001549E9" w:rsidRPr="001F4ECA" w:rsidRDefault="001549E9" w:rsidP="00ED38BC">
      <w:pPr>
        <w:contextualSpacing/>
        <w:rPr>
          <w:rFonts w:ascii="Times New Roman" w:hAnsi="Times New Roman"/>
          <w:sz w:val="24"/>
          <w:szCs w:val="24"/>
        </w:rPr>
      </w:pPr>
    </w:p>
    <w:p w14:paraId="6C5A7FE6" w14:textId="42C07D35"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 xml:space="preserve">Table item </w:t>
      </w:r>
      <w:r w:rsidR="00A21711" w:rsidRPr="001F4ECA">
        <w:rPr>
          <w:rFonts w:ascii="Times New Roman" w:hAnsi="Times New Roman"/>
          <w:sz w:val="24"/>
          <w:szCs w:val="24"/>
        </w:rPr>
        <w:t>498</w:t>
      </w:r>
      <w:r w:rsidRPr="001F4ECA">
        <w:rPr>
          <w:rFonts w:ascii="Times New Roman" w:hAnsi="Times New Roman"/>
          <w:sz w:val="24"/>
          <w:szCs w:val="24"/>
        </w:rPr>
        <w:t xml:space="preserve"> engages the following rights:</w:t>
      </w:r>
    </w:p>
    <w:p w14:paraId="66E98B18" w14:textId="03F2A202" w:rsidR="001549E9" w:rsidRPr="001F4ECA" w:rsidRDefault="001549E9" w:rsidP="001549E9">
      <w:pPr>
        <w:numPr>
          <w:ilvl w:val="0"/>
          <w:numId w:val="36"/>
        </w:numPr>
        <w:contextualSpacing/>
        <w:rPr>
          <w:rFonts w:ascii="Times New Roman" w:hAnsi="Times New Roman"/>
          <w:sz w:val="24"/>
          <w:szCs w:val="24"/>
        </w:rPr>
      </w:pPr>
      <w:r w:rsidRPr="001F4ECA">
        <w:rPr>
          <w:rFonts w:ascii="Times New Roman" w:hAnsi="Times New Roman"/>
          <w:sz w:val="24"/>
          <w:szCs w:val="24"/>
        </w:rPr>
        <w:t xml:space="preserve">the right to work – Article 6 of the ICESCR, read with Article 2, and Article 1 of the International Labour Organization’s </w:t>
      </w:r>
      <w:r w:rsidRPr="001F4ECA">
        <w:rPr>
          <w:rFonts w:ascii="Times New Roman" w:hAnsi="Times New Roman"/>
          <w:i/>
          <w:sz w:val="24"/>
          <w:szCs w:val="24"/>
        </w:rPr>
        <w:t>Convention concerning Employment Policy</w:t>
      </w:r>
      <w:r w:rsidRPr="001F4ECA">
        <w:rPr>
          <w:rFonts w:ascii="Times New Roman" w:hAnsi="Times New Roman"/>
          <w:sz w:val="24"/>
          <w:szCs w:val="24"/>
        </w:rPr>
        <w:t xml:space="preserve"> (ILO Convention 122); and</w:t>
      </w:r>
    </w:p>
    <w:p w14:paraId="288A1154" w14:textId="56040815" w:rsidR="001549E9" w:rsidRPr="001F4ECA" w:rsidRDefault="001549E9" w:rsidP="001549E9">
      <w:pPr>
        <w:numPr>
          <w:ilvl w:val="0"/>
          <w:numId w:val="36"/>
        </w:numPr>
        <w:contextualSpacing/>
        <w:rPr>
          <w:rFonts w:ascii="Times New Roman" w:hAnsi="Times New Roman"/>
          <w:sz w:val="24"/>
          <w:szCs w:val="24"/>
        </w:rPr>
      </w:pPr>
      <w:r w:rsidRPr="001F4ECA">
        <w:rPr>
          <w:rFonts w:ascii="Times New Roman" w:hAnsi="Times New Roman"/>
          <w:sz w:val="24"/>
          <w:szCs w:val="24"/>
        </w:rPr>
        <w:t xml:space="preserve">the right to education – Article 13 of the ICESCR, and Article 1 of the International Labour Organization’s </w:t>
      </w:r>
      <w:r w:rsidRPr="001F4ECA">
        <w:rPr>
          <w:rFonts w:ascii="Times New Roman" w:hAnsi="Times New Roman"/>
          <w:i/>
          <w:sz w:val="24"/>
          <w:szCs w:val="24"/>
        </w:rPr>
        <w:t>Convention concerning Vocational Guidance and Vocational Training in the Development of Human Resources</w:t>
      </w:r>
      <w:r w:rsidRPr="001F4ECA">
        <w:rPr>
          <w:rFonts w:ascii="Times New Roman" w:hAnsi="Times New Roman"/>
          <w:sz w:val="24"/>
          <w:szCs w:val="24"/>
        </w:rPr>
        <w:t xml:space="preserve"> (ILO Convention </w:t>
      </w:r>
      <w:r w:rsidR="00396162" w:rsidRPr="001F4ECA">
        <w:rPr>
          <w:rFonts w:ascii="Times New Roman" w:hAnsi="Times New Roman"/>
          <w:sz w:val="24"/>
          <w:szCs w:val="24"/>
        </w:rPr>
        <w:t>1</w:t>
      </w:r>
      <w:r w:rsidRPr="001F4ECA">
        <w:rPr>
          <w:rFonts w:ascii="Times New Roman" w:hAnsi="Times New Roman"/>
          <w:sz w:val="24"/>
          <w:szCs w:val="24"/>
        </w:rPr>
        <w:t>42).</w:t>
      </w:r>
    </w:p>
    <w:p w14:paraId="0141FFFA" w14:textId="5DA66097" w:rsidR="001549E9" w:rsidRPr="001F4ECA" w:rsidRDefault="001549E9" w:rsidP="00ED38BC">
      <w:pPr>
        <w:contextualSpacing/>
        <w:rPr>
          <w:rFonts w:ascii="Times New Roman" w:hAnsi="Times New Roman"/>
          <w:sz w:val="24"/>
          <w:szCs w:val="24"/>
        </w:rPr>
      </w:pPr>
    </w:p>
    <w:p w14:paraId="31A0F5D3" w14:textId="77777777" w:rsidR="001549E9" w:rsidRPr="001F4ECA" w:rsidRDefault="001549E9" w:rsidP="001549E9">
      <w:pPr>
        <w:contextualSpacing/>
        <w:rPr>
          <w:rFonts w:ascii="Times New Roman" w:hAnsi="Times New Roman"/>
          <w:i/>
          <w:sz w:val="24"/>
          <w:szCs w:val="24"/>
        </w:rPr>
      </w:pPr>
      <w:r w:rsidRPr="001F4ECA">
        <w:rPr>
          <w:rFonts w:ascii="Times New Roman" w:hAnsi="Times New Roman"/>
          <w:i/>
          <w:sz w:val="24"/>
          <w:szCs w:val="24"/>
        </w:rPr>
        <w:t>Right to work</w:t>
      </w:r>
    </w:p>
    <w:p w14:paraId="52D47345" w14:textId="77777777" w:rsidR="001549E9" w:rsidRPr="001F4ECA" w:rsidRDefault="001549E9" w:rsidP="00ED38BC">
      <w:pPr>
        <w:contextualSpacing/>
        <w:rPr>
          <w:rFonts w:ascii="Times New Roman" w:hAnsi="Times New Roman"/>
          <w:sz w:val="24"/>
          <w:szCs w:val="24"/>
        </w:rPr>
      </w:pPr>
    </w:p>
    <w:p w14:paraId="1C900E68" w14:textId="25B92D5F" w:rsidR="001549E9" w:rsidRPr="001F4ECA" w:rsidRDefault="001549E9" w:rsidP="001549E9">
      <w:pPr>
        <w:rPr>
          <w:rFonts w:ascii="Times New Roman" w:hAnsi="Times New Roman"/>
          <w:sz w:val="24"/>
          <w:szCs w:val="24"/>
        </w:rPr>
      </w:pPr>
      <w:r w:rsidRPr="001F4ECA">
        <w:rPr>
          <w:rFonts w:ascii="Times New Roman" w:hAnsi="Times New Roman"/>
          <w:sz w:val="24"/>
          <w:szCs w:val="24"/>
        </w:rPr>
        <w:t xml:space="preserve">Table item </w:t>
      </w:r>
      <w:r w:rsidR="00396162" w:rsidRPr="001F4ECA">
        <w:rPr>
          <w:rFonts w:ascii="Times New Roman" w:hAnsi="Times New Roman"/>
          <w:sz w:val="24"/>
          <w:szCs w:val="24"/>
        </w:rPr>
        <w:t>498</w:t>
      </w:r>
      <w:r w:rsidRPr="001F4ECA">
        <w:rPr>
          <w:rFonts w:ascii="Times New Roman" w:hAnsi="Times New Roman"/>
          <w:sz w:val="24"/>
          <w:szCs w:val="24"/>
        </w:rPr>
        <w:t xml:space="preserve"> engages Article 2(1) of the ICESCR, which provides </w:t>
      </w:r>
      <w:r w:rsidR="00396162" w:rsidRPr="001F4ECA">
        <w:rPr>
          <w:rFonts w:ascii="Times New Roman" w:hAnsi="Times New Roman"/>
          <w:sz w:val="24"/>
          <w:szCs w:val="24"/>
        </w:rPr>
        <w:t xml:space="preserve">that </w:t>
      </w:r>
      <w:r w:rsidRPr="001F4ECA">
        <w:rPr>
          <w:rFonts w:ascii="Times New Roman" w:hAnsi="Times New Roman"/>
          <w:sz w:val="24"/>
          <w:szCs w:val="24"/>
        </w:rPr>
        <w:t>each State Party to the ICESCR undertakes to take steps to progressively achieve the full realisation of the rights recognised in the ICESCR by all appropriate means, including particularly the adoption of legislative measures. Relevantly:</w:t>
      </w:r>
    </w:p>
    <w:p w14:paraId="5D855C42" w14:textId="4B6AE39F" w:rsidR="001549E9" w:rsidRPr="001F4ECA" w:rsidRDefault="001549E9" w:rsidP="001549E9">
      <w:pPr>
        <w:numPr>
          <w:ilvl w:val="0"/>
          <w:numId w:val="37"/>
        </w:numPr>
        <w:contextualSpacing/>
        <w:rPr>
          <w:rFonts w:ascii="Times New Roman" w:hAnsi="Times New Roman"/>
          <w:sz w:val="24"/>
          <w:szCs w:val="24"/>
        </w:rPr>
      </w:pPr>
      <w:r w:rsidRPr="001F4ECA">
        <w:rPr>
          <w:rFonts w:ascii="Times New Roman" w:hAnsi="Times New Roman"/>
          <w:sz w:val="24"/>
          <w:szCs w:val="24"/>
        </w:rPr>
        <w:t xml:space="preserve">Article 6(1) of the ICESCR provides that </w:t>
      </w:r>
      <w:r w:rsidR="00396162" w:rsidRPr="001F4ECA">
        <w:rPr>
          <w:rFonts w:ascii="Times New Roman" w:hAnsi="Times New Roman"/>
          <w:sz w:val="24"/>
          <w:szCs w:val="24"/>
        </w:rPr>
        <w:t xml:space="preserve">the </w:t>
      </w:r>
      <w:r w:rsidRPr="001F4ECA">
        <w:rPr>
          <w:rFonts w:ascii="Times New Roman" w:hAnsi="Times New Roman"/>
          <w:sz w:val="24"/>
          <w:szCs w:val="24"/>
        </w:rPr>
        <w:t>States Parties recognise the right to work; and</w:t>
      </w:r>
    </w:p>
    <w:p w14:paraId="60313DD2" w14:textId="38390B02" w:rsidR="001549E9" w:rsidRPr="001F4ECA" w:rsidRDefault="001549E9" w:rsidP="001549E9">
      <w:pPr>
        <w:numPr>
          <w:ilvl w:val="0"/>
          <w:numId w:val="37"/>
        </w:numPr>
        <w:contextualSpacing/>
        <w:rPr>
          <w:rFonts w:ascii="Times New Roman" w:hAnsi="Times New Roman"/>
          <w:sz w:val="24"/>
          <w:szCs w:val="24"/>
        </w:rPr>
      </w:pPr>
      <w:r w:rsidRPr="001F4ECA">
        <w:rPr>
          <w:rFonts w:ascii="Times New Roman" w:hAnsi="Times New Roman"/>
          <w:sz w:val="24"/>
          <w:szCs w:val="24"/>
        </w:rPr>
        <w:t xml:space="preserve">Article 6(2) of the ICESCR sets out the steps to be taken by </w:t>
      </w:r>
      <w:r w:rsidR="00396162" w:rsidRPr="001F4ECA">
        <w:rPr>
          <w:rFonts w:ascii="Times New Roman" w:hAnsi="Times New Roman"/>
          <w:sz w:val="24"/>
          <w:szCs w:val="24"/>
        </w:rPr>
        <w:t xml:space="preserve">the </w:t>
      </w:r>
      <w:r w:rsidRPr="001F4ECA">
        <w:rPr>
          <w:rFonts w:ascii="Times New Roman" w:hAnsi="Times New Roman"/>
          <w:sz w:val="24"/>
          <w:szCs w:val="24"/>
        </w:rPr>
        <w:t>States Parties to achieve the full realisation of that right, including providing technical and vocational guidance and training programs, policies and techniques to achieve steady economic, social and cultural development and full and productive employment under conditions safeguarding fundamental political and economic freedom to the individual.</w:t>
      </w:r>
    </w:p>
    <w:p w14:paraId="5C1D8611" w14:textId="77777777" w:rsidR="001549E9" w:rsidRPr="001F4ECA" w:rsidRDefault="001549E9" w:rsidP="001549E9">
      <w:pPr>
        <w:contextualSpacing/>
        <w:rPr>
          <w:rFonts w:ascii="Times New Roman" w:hAnsi="Times New Roman"/>
          <w:sz w:val="24"/>
          <w:szCs w:val="24"/>
        </w:rPr>
      </w:pPr>
    </w:p>
    <w:p w14:paraId="73AD1FC7" w14:textId="53FA6FB5"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 xml:space="preserve">Table item </w:t>
      </w:r>
      <w:r w:rsidR="00A21711" w:rsidRPr="001F4ECA">
        <w:rPr>
          <w:rFonts w:ascii="Times New Roman" w:hAnsi="Times New Roman"/>
          <w:sz w:val="24"/>
          <w:szCs w:val="24"/>
        </w:rPr>
        <w:t>498</w:t>
      </w:r>
      <w:r w:rsidRPr="001F4ECA">
        <w:rPr>
          <w:rFonts w:ascii="Times New Roman" w:hAnsi="Times New Roman"/>
          <w:sz w:val="24"/>
          <w:szCs w:val="24"/>
        </w:rPr>
        <w:t xml:space="preserve"> also engages Article 1(1) of </w:t>
      </w:r>
      <w:r w:rsidR="00396162" w:rsidRPr="001F4ECA">
        <w:rPr>
          <w:rFonts w:ascii="Times New Roman" w:hAnsi="Times New Roman"/>
          <w:sz w:val="24"/>
          <w:szCs w:val="24"/>
        </w:rPr>
        <w:t xml:space="preserve">the </w:t>
      </w:r>
      <w:r w:rsidRPr="001F4ECA">
        <w:rPr>
          <w:rFonts w:ascii="Times New Roman" w:hAnsi="Times New Roman"/>
          <w:sz w:val="24"/>
          <w:szCs w:val="24"/>
        </w:rPr>
        <w:t>ILO Convention 1</w:t>
      </w:r>
      <w:r w:rsidR="00396162" w:rsidRPr="001F4ECA">
        <w:rPr>
          <w:rFonts w:ascii="Times New Roman" w:hAnsi="Times New Roman"/>
          <w:sz w:val="24"/>
          <w:szCs w:val="24"/>
        </w:rPr>
        <w:t>2</w:t>
      </w:r>
      <w:r w:rsidRPr="001F4ECA">
        <w:rPr>
          <w:rFonts w:ascii="Times New Roman" w:hAnsi="Times New Roman"/>
          <w:sz w:val="24"/>
          <w:szCs w:val="24"/>
        </w:rPr>
        <w:t>2, which provides that, with a view to stimulating economic growth and development, raising levels of living standards, meeting workforce requirements and overcoming unemploy</w:t>
      </w:r>
      <w:r w:rsidR="00396162" w:rsidRPr="001F4ECA">
        <w:rPr>
          <w:rFonts w:ascii="Times New Roman" w:hAnsi="Times New Roman"/>
          <w:sz w:val="24"/>
          <w:szCs w:val="24"/>
        </w:rPr>
        <w:t>ment and underemployment, each Me</w:t>
      </w:r>
      <w:r w:rsidRPr="001F4ECA">
        <w:rPr>
          <w:rFonts w:ascii="Times New Roman" w:hAnsi="Times New Roman"/>
          <w:sz w:val="24"/>
          <w:szCs w:val="24"/>
        </w:rPr>
        <w:t>mber shall declare and pursue, as a major goal, an active policy designed to promote full, productive and freely chosen employment.</w:t>
      </w:r>
    </w:p>
    <w:p w14:paraId="53A8FAD2" w14:textId="77777777" w:rsidR="001549E9" w:rsidRPr="001F4ECA" w:rsidRDefault="001549E9" w:rsidP="001549E9">
      <w:pPr>
        <w:contextualSpacing/>
        <w:rPr>
          <w:rFonts w:ascii="Times New Roman" w:hAnsi="Times New Roman"/>
          <w:sz w:val="24"/>
          <w:szCs w:val="24"/>
        </w:rPr>
      </w:pPr>
    </w:p>
    <w:p w14:paraId="14AB28ED" w14:textId="1654E488"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 xml:space="preserve">Table item </w:t>
      </w:r>
      <w:r w:rsidR="00396162" w:rsidRPr="001F4ECA">
        <w:rPr>
          <w:rFonts w:ascii="Times New Roman" w:hAnsi="Times New Roman"/>
          <w:sz w:val="24"/>
          <w:szCs w:val="24"/>
        </w:rPr>
        <w:t>498</w:t>
      </w:r>
      <w:r w:rsidRPr="001F4ECA">
        <w:rPr>
          <w:rFonts w:ascii="Times New Roman" w:hAnsi="Times New Roman"/>
          <w:sz w:val="24"/>
          <w:szCs w:val="24"/>
        </w:rPr>
        <w:t xml:space="preserve"> promotes the right to work as expressed in the relevant articles of the treaties above by providing cadets with increased opportunities to access education and training that is targeted at developing skills that are increasingly valued in a rapidly digitising economy. </w:t>
      </w:r>
    </w:p>
    <w:p w14:paraId="054DCF63" w14:textId="77777777" w:rsidR="001549E9" w:rsidRPr="001F4ECA" w:rsidRDefault="001549E9" w:rsidP="001549E9">
      <w:pPr>
        <w:contextualSpacing/>
        <w:rPr>
          <w:rFonts w:ascii="Times New Roman" w:hAnsi="Times New Roman"/>
          <w:sz w:val="24"/>
          <w:szCs w:val="24"/>
        </w:rPr>
      </w:pPr>
    </w:p>
    <w:p w14:paraId="1519C0CA" w14:textId="77777777" w:rsidR="001549E9" w:rsidRPr="001F4ECA" w:rsidRDefault="001549E9" w:rsidP="001549E9">
      <w:pPr>
        <w:contextualSpacing/>
        <w:rPr>
          <w:rFonts w:ascii="Times New Roman" w:hAnsi="Times New Roman"/>
          <w:i/>
          <w:sz w:val="24"/>
          <w:szCs w:val="24"/>
        </w:rPr>
      </w:pPr>
      <w:r w:rsidRPr="001F4ECA">
        <w:rPr>
          <w:rFonts w:ascii="Times New Roman" w:hAnsi="Times New Roman"/>
          <w:i/>
          <w:sz w:val="24"/>
          <w:szCs w:val="24"/>
        </w:rPr>
        <w:t>Right to education</w:t>
      </w:r>
    </w:p>
    <w:p w14:paraId="1805C539" w14:textId="77777777" w:rsidR="001549E9" w:rsidRPr="001F4ECA" w:rsidRDefault="001549E9" w:rsidP="001549E9">
      <w:pPr>
        <w:contextualSpacing/>
        <w:rPr>
          <w:rFonts w:ascii="Times New Roman" w:hAnsi="Times New Roman"/>
          <w:sz w:val="24"/>
          <w:szCs w:val="24"/>
        </w:rPr>
      </w:pPr>
    </w:p>
    <w:p w14:paraId="306BEC42" w14:textId="01CFEDE8"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 xml:space="preserve">Table item </w:t>
      </w:r>
      <w:r w:rsidR="00A21711" w:rsidRPr="001F4ECA">
        <w:rPr>
          <w:rFonts w:ascii="Times New Roman" w:hAnsi="Times New Roman"/>
          <w:sz w:val="24"/>
          <w:szCs w:val="24"/>
        </w:rPr>
        <w:t>498</w:t>
      </w:r>
      <w:r w:rsidRPr="001F4ECA">
        <w:rPr>
          <w:rFonts w:ascii="Times New Roman" w:hAnsi="Times New Roman"/>
          <w:sz w:val="24"/>
          <w:szCs w:val="24"/>
        </w:rPr>
        <w:t xml:space="preserve"> engages Article 13 of the ICESCR. Article 13(1) provides that </w:t>
      </w:r>
      <w:r w:rsidR="00396162" w:rsidRPr="001F4ECA">
        <w:rPr>
          <w:rFonts w:ascii="Times New Roman" w:hAnsi="Times New Roman"/>
          <w:sz w:val="24"/>
          <w:szCs w:val="24"/>
        </w:rPr>
        <w:t xml:space="preserve">the </w:t>
      </w:r>
      <w:r w:rsidRPr="001F4ECA">
        <w:rPr>
          <w:rFonts w:ascii="Times New Roman" w:hAnsi="Times New Roman"/>
          <w:sz w:val="24"/>
          <w:szCs w:val="24"/>
        </w:rPr>
        <w:t xml:space="preserve">States Parties </w:t>
      </w:r>
      <w:r w:rsidR="00396162" w:rsidRPr="001F4ECA">
        <w:rPr>
          <w:rFonts w:ascii="Times New Roman" w:hAnsi="Times New Roman"/>
          <w:sz w:val="24"/>
          <w:szCs w:val="24"/>
        </w:rPr>
        <w:t>to the ICESCR</w:t>
      </w:r>
      <w:r w:rsidRPr="001F4ECA">
        <w:rPr>
          <w:rFonts w:ascii="Times New Roman" w:hAnsi="Times New Roman"/>
          <w:sz w:val="24"/>
          <w:szCs w:val="24"/>
        </w:rPr>
        <w:t>:</w:t>
      </w:r>
    </w:p>
    <w:p w14:paraId="37535D92" w14:textId="77777777" w:rsidR="001549E9" w:rsidRPr="001F4ECA" w:rsidRDefault="001549E9" w:rsidP="001549E9">
      <w:pPr>
        <w:numPr>
          <w:ilvl w:val="0"/>
          <w:numId w:val="37"/>
        </w:numPr>
        <w:contextualSpacing/>
        <w:rPr>
          <w:rFonts w:ascii="Times New Roman" w:hAnsi="Times New Roman"/>
          <w:sz w:val="24"/>
          <w:szCs w:val="24"/>
        </w:rPr>
      </w:pPr>
      <w:r w:rsidRPr="001F4ECA">
        <w:rPr>
          <w:rFonts w:ascii="Times New Roman" w:hAnsi="Times New Roman"/>
          <w:sz w:val="24"/>
          <w:szCs w:val="24"/>
        </w:rPr>
        <w:t>recognise the right of everyone to education;</w:t>
      </w:r>
    </w:p>
    <w:p w14:paraId="1439695B" w14:textId="77777777" w:rsidR="001549E9" w:rsidRPr="001F4ECA" w:rsidRDefault="001549E9" w:rsidP="001549E9">
      <w:pPr>
        <w:numPr>
          <w:ilvl w:val="0"/>
          <w:numId w:val="37"/>
        </w:numPr>
        <w:contextualSpacing/>
        <w:rPr>
          <w:rFonts w:ascii="Times New Roman" w:hAnsi="Times New Roman"/>
          <w:sz w:val="24"/>
          <w:szCs w:val="24"/>
        </w:rPr>
      </w:pPr>
      <w:r w:rsidRPr="001F4ECA">
        <w:rPr>
          <w:rFonts w:ascii="Times New Roman" w:hAnsi="Times New Roman"/>
          <w:sz w:val="24"/>
          <w:szCs w:val="24"/>
        </w:rPr>
        <w:t>agree that education shall be directed to the full development of the human personality and the sense of its dignity, and shall strengthen the respect for human rights and fundamental freedoms;</w:t>
      </w:r>
    </w:p>
    <w:p w14:paraId="798B8E30" w14:textId="77777777" w:rsidR="001549E9" w:rsidRPr="001F4ECA" w:rsidRDefault="001549E9" w:rsidP="001549E9">
      <w:pPr>
        <w:numPr>
          <w:ilvl w:val="0"/>
          <w:numId w:val="37"/>
        </w:numPr>
        <w:contextualSpacing/>
        <w:rPr>
          <w:rFonts w:ascii="Times New Roman" w:hAnsi="Times New Roman"/>
          <w:sz w:val="24"/>
          <w:szCs w:val="24"/>
        </w:rPr>
      </w:pPr>
      <w:r w:rsidRPr="001F4ECA">
        <w:rPr>
          <w:rFonts w:ascii="Times New Roman" w:hAnsi="Times New Roman"/>
          <w:sz w:val="24"/>
          <w:szCs w:val="24"/>
        </w:rPr>
        <w:t>agree that education shall enable all persons to participate effectively in a free society, promote understanding, tolerance and friendship among all the nations and all racial, ethnic or religious groups, and further the activities of the United Nations for the maintenance of peace.</w:t>
      </w:r>
    </w:p>
    <w:p w14:paraId="79DAC83C" w14:textId="77777777" w:rsidR="001549E9" w:rsidRPr="001F4ECA" w:rsidRDefault="001549E9" w:rsidP="001549E9">
      <w:pPr>
        <w:contextualSpacing/>
        <w:rPr>
          <w:rFonts w:ascii="Times New Roman" w:hAnsi="Times New Roman"/>
          <w:sz w:val="24"/>
          <w:szCs w:val="24"/>
        </w:rPr>
      </w:pPr>
    </w:p>
    <w:p w14:paraId="5940AF4A" w14:textId="06AACEC1"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 xml:space="preserve">Article 13(2)(b) of the ICESCR provides that vocational education in its different forms, including technical and vocational secondary education, shall be made generally available </w:t>
      </w:r>
      <w:r w:rsidRPr="001F4ECA">
        <w:rPr>
          <w:rFonts w:ascii="Times New Roman" w:hAnsi="Times New Roman"/>
          <w:sz w:val="24"/>
          <w:szCs w:val="24"/>
        </w:rPr>
        <w:lastRenderedPageBreak/>
        <w:t>and accessible to all by every appropriate means, and in particular by the progressive introduction of free education.</w:t>
      </w:r>
    </w:p>
    <w:p w14:paraId="21918FB6" w14:textId="77777777" w:rsidR="001549E9" w:rsidRPr="001F4ECA" w:rsidRDefault="001549E9" w:rsidP="001549E9">
      <w:pPr>
        <w:contextualSpacing/>
        <w:rPr>
          <w:rFonts w:ascii="Times New Roman" w:hAnsi="Times New Roman"/>
          <w:sz w:val="24"/>
          <w:szCs w:val="24"/>
        </w:rPr>
      </w:pPr>
    </w:p>
    <w:p w14:paraId="68430D2F" w14:textId="77777777"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Article 13(2)(c) of the ICESCR provides that higher education shall be made equally accessible to all, on the basis of capacity, by every appropriate means, and in particular by the progressive introduction of free education.</w:t>
      </w:r>
    </w:p>
    <w:p w14:paraId="6F5DBCA2" w14:textId="77777777" w:rsidR="001549E9" w:rsidRPr="001F4ECA" w:rsidRDefault="001549E9" w:rsidP="001549E9">
      <w:pPr>
        <w:contextualSpacing/>
        <w:rPr>
          <w:rFonts w:ascii="Times New Roman" w:hAnsi="Times New Roman"/>
          <w:sz w:val="24"/>
          <w:szCs w:val="24"/>
        </w:rPr>
      </w:pPr>
    </w:p>
    <w:p w14:paraId="7A1A76A7" w14:textId="5E665E34"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 xml:space="preserve">Table item </w:t>
      </w:r>
      <w:r w:rsidR="009C1699" w:rsidRPr="001F4ECA">
        <w:rPr>
          <w:rFonts w:ascii="Times New Roman" w:hAnsi="Times New Roman"/>
          <w:sz w:val="24"/>
          <w:szCs w:val="24"/>
        </w:rPr>
        <w:t>498</w:t>
      </w:r>
      <w:r w:rsidRPr="001F4ECA">
        <w:rPr>
          <w:rFonts w:ascii="Times New Roman" w:hAnsi="Times New Roman"/>
          <w:sz w:val="24"/>
          <w:szCs w:val="24"/>
        </w:rPr>
        <w:t xml:space="preserve"> also engages Article 1(1) of </w:t>
      </w:r>
      <w:r w:rsidR="009C1699" w:rsidRPr="001F4ECA">
        <w:rPr>
          <w:rFonts w:ascii="Times New Roman" w:hAnsi="Times New Roman"/>
          <w:sz w:val="24"/>
          <w:szCs w:val="24"/>
        </w:rPr>
        <w:t xml:space="preserve">the </w:t>
      </w:r>
      <w:r w:rsidRPr="001F4ECA">
        <w:rPr>
          <w:rFonts w:ascii="Times New Roman" w:hAnsi="Times New Roman"/>
          <w:sz w:val="24"/>
          <w:szCs w:val="24"/>
        </w:rPr>
        <w:t xml:space="preserve">ILO Convention 142, which provides that each </w:t>
      </w:r>
      <w:r w:rsidR="009C1699" w:rsidRPr="001F4ECA">
        <w:rPr>
          <w:rFonts w:ascii="Times New Roman" w:hAnsi="Times New Roman"/>
          <w:sz w:val="24"/>
          <w:szCs w:val="24"/>
        </w:rPr>
        <w:t>M</w:t>
      </w:r>
      <w:r w:rsidRPr="001F4ECA">
        <w:rPr>
          <w:rFonts w:ascii="Times New Roman" w:hAnsi="Times New Roman"/>
          <w:sz w:val="24"/>
          <w:szCs w:val="24"/>
        </w:rPr>
        <w:t>ember shall adopt and develop comprehensive and coordinated policies and programs of vocational guidance and vocational training, closely linked with employment.</w:t>
      </w:r>
    </w:p>
    <w:p w14:paraId="6446E2C5" w14:textId="77777777" w:rsidR="001549E9" w:rsidRPr="001F4ECA" w:rsidRDefault="001549E9" w:rsidP="001549E9">
      <w:pPr>
        <w:contextualSpacing/>
        <w:rPr>
          <w:rFonts w:ascii="Times New Roman" w:hAnsi="Times New Roman"/>
          <w:sz w:val="24"/>
          <w:szCs w:val="24"/>
        </w:rPr>
      </w:pPr>
    </w:p>
    <w:p w14:paraId="0E769462" w14:textId="77777777" w:rsidR="001549E9" w:rsidRPr="001F4ECA" w:rsidRDefault="001549E9" w:rsidP="001549E9">
      <w:pPr>
        <w:contextualSpacing/>
        <w:rPr>
          <w:rFonts w:ascii="Times New Roman" w:hAnsi="Times New Roman"/>
          <w:sz w:val="24"/>
          <w:szCs w:val="24"/>
        </w:rPr>
      </w:pPr>
      <w:r w:rsidRPr="001F4ECA">
        <w:rPr>
          <w:rFonts w:ascii="Times New Roman" w:hAnsi="Times New Roman"/>
          <w:b/>
          <w:sz w:val="24"/>
          <w:szCs w:val="24"/>
        </w:rPr>
        <w:t>Conclusion</w:t>
      </w:r>
    </w:p>
    <w:p w14:paraId="76272DE5" w14:textId="77777777" w:rsidR="001549E9" w:rsidRPr="001F4ECA" w:rsidRDefault="001549E9" w:rsidP="001549E9">
      <w:pPr>
        <w:contextualSpacing/>
        <w:rPr>
          <w:rFonts w:ascii="Times New Roman" w:hAnsi="Times New Roman"/>
          <w:sz w:val="24"/>
          <w:szCs w:val="24"/>
        </w:rPr>
      </w:pPr>
    </w:p>
    <w:p w14:paraId="5818902B" w14:textId="3FD06299" w:rsidR="001549E9" w:rsidRPr="001F4ECA" w:rsidRDefault="001549E9" w:rsidP="001549E9">
      <w:pPr>
        <w:contextualSpacing/>
        <w:rPr>
          <w:rFonts w:ascii="Times New Roman" w:hAnsi="Times New Roman"/>
          <w:sz w:val="24"/>
          <w:szCs w:val="24"/>
        </w:rPr>
      </w:pPr>
      <w:r w:rsidRPr="001F4ECA">
        <w:rPr>
          <w:rFonts w:ascii="Times New Roman" w:hAnsi="Times New Roman"/>
          <w:sz w:val="24"/>
          <w:szCs w:val="24"/>
        </w:rPr>
        <w:t xml:space="preserve">Table item </w:t>
      </w:r>
      <w:r w:rsidR="00A21711" w:rsidRPr="001F4ECA">
        <w:rPr>
          <w:rFonts w:ascii="Times New Roman" w:hAnsi="Times New Roman"/>
          <w:sz w:val="24"/>
          <w:szCs w:val="24"/>
        </w:rPr>
        <w:t>498</w:t>
      </w:r>
      <w:r w:rsidRPr="001F4ECA">
        <w:rPr>
          <w:rFonts w:ascii="Times New Roman" w:hAnsi="Times New Roman"/>
          <w:sz w:val="24"/>
          <w:szCs w:val="24"/>
        </w:rPr>
        <w:t xml:space="preserve"> is compatible with human rights because it promotes the protection of human rights. </w:t>
      </w:r>
    </w:p>
    <w:p w14:paraId="47546B48" w14:textId="0019F748" w:rsidR="001549E9" w:rsidRPr="001F4ECA" w:rsidRDefault="001549E9" w:rsidP="00ED38BC">
      <w:pPr>
        <w:contextualSpacing/>
        <w:rPr>
          <w:rFonts w:ascii="Times New Roman" w:hAnsi="Times New Roman"/>
          <w:sz w:val="24"/>
          <w:szCs w:val="24"/>
        </w:rPr>
      </w:pPr>
    </w:p>
    <w:p w14:paraId="0D41E349" w14:textId="3D6E6D66" w:rsidR="006E5B18" w:rsidRPr="001F4ECA" w:rsidRDefault="006E5B18" w:rsidP="006E5B18">
      <w:pPr>
        <w:contextualSpacing/>
        <w:rPr>
          <w:rFonts w:ascii="Times New Roman" w:hAnsi="Times New Roman"/>
          <w:i/>
          <w:sz w:val="24"/>
          <w:szCs w:val="24"/>
          <w:u w:val="single"/>
        </w:rPr>
      </w:pPr>
      <w:r w:rsidRPr="001F4ECA">
        <w:rPr>
          <w:rFonts w:ascii="Times New Roman" w:hAnsi="Times New Roman"/>
          <w:i/>
          <w:sz w:val="24"/>
          <w:szCs w:val="24"/>
          <w:u w:val="single"/>
        </w:rPr>
        <w:t xml:space="preserve">Table item </w:t>
      </w:r>
      <w:r w:rsidR="00A21711" w:rsidRPr="001F4ECA">
        <w:rPr>
          <w:rFonts w:ascii="Times New Roman" w:hAnsi="Times New Roman"/>
          <w:i/>
          <w:sz w:val="24"/>
          <w:szCs w:val="24"/>
          <w:u w:val="single"/>
        </w:rPr>
        <w:t>499</w:t>
      </w:r>
      <w:r w:rsidRPr="001F4ECA">
        <w:rPr>
          <w:rFonts w:ascii="Times New Roman" w:hAnsi="Times New Roman"/>
          <w:i/>
          <w:sz w:val="24"/>
          <w:szCs w:val="24"/>
          <w:u w:val="single"/>
        </w:rPr>
        <w:t xml:space="preserve"> – Career Revive Initiative Expansion</w:t>
      </w:r>
    </w:p>
    <w:p w14:paraId="7F30406C" w14:textId="04864A9A" w:rsidR="001549E9" w:rsidRPr="001F4ECA" w:rsidRDefault="001549E9" w:rsidP="00ED38BC">
      <w:pPr>
        <w:contextualSpacing/>
        <w:rPr>
          <w:rFonts w:ascii="Times New Roman" w:hAnsi="Times New Roman"/>
          <w:sz w:val="24"/>
          <w:szCs w:val="24"/>
        </w:rPr>
      </w:pPr>
    </w:p>
    <w:p w14:paraId="75C69A11" w14:textId="2362299A" w:rsidR="006E5B18" w:rsidRPr="001F4ECA" w:rsidRDefault="009C1699" w:rsidP="006E5B18">
      <w:pPr>
        <w:shd w:val="clear" w:color="auto" w:fill="FFFFFF"/>
        <w:rPr>
          <w:rFonts w:ascii="Times New Roman" w:hAnsi="Times New Roman"/>
          <w:color w:val="000000"/>
          <w:sz w:val="24"/>
          <w:szCs w:val="24"/>
        </w:rPr>
      </w:pPr>
      <w:r w:rsidRPr="001F4ECA">
        <w:rPr>
          <w:rFonts w:ascii="Times New Roman" w:hAnsi="Times New Roman"/>
          <w:sz w:val="24"/>
          <w:szCs w:val="24"/>
        </w:rPr>
        <w:t>This disallowable legislative instrument adds a new table item 499 to Part 4 of Schedule 1AB, which establishes</w:t>
      </w:r>
      <w:r w:rsidRPr="001F4ECA">
        <w:rPr>
          <w:rFonts w:ascii="Times New Roman" w:hAnsi="Times New Roman"/>
          <w:color w:val="000000"/>
          <w:sz w:val="24"/>
          <w:szCs w:val="24"/>
        </w:rPr>
        <w:t xml:space="preserve"> </w:t>
      </w:r>
      <w:r w:rsidR="006E5B18" w:rsidRPr="001F4ECA">
        <w:rPr>
          <w:rFonts w:ascii="Times New Roman" w:hAnsi="Times New Roman"/>
          <w:color w:val="000000"/>
          <w:sz w:val="24"/>
          <w:szCs w:val="24"/>
        </w:rPr>
        <w:t>legislative authority for government spending on the Career Revive Initiative Expansion (the program),</w:t>
      </w:r>
      <w:r w:rsidR="006E5B18" w:rsidRPr="001F4ECA">
        <w:rPr>
          <w:rFonts w:ascii="Times New Roman" w:hAnsi="Times New Roman"/>
          <w:iCs/>
          <w:color w:val="000000"/>
          <w:sz w:val="24"/>
          <w:szCs w:val="24"/>
        </w:rPr>
        <w:t xml:space="preserve"> which</w:t>
      </w:r>
      <w:r w:rsidR="006E5B18" w:rsidRPr="001F4ECA">
        <w:rPr>
          <w:rFonts w:ascii="Times New Roman" w:hAnsi="Times New Roman"/>
          <w:iCs/>
          <w:color w:val="000000"/>
          <w:sz w:val="24"/>
          <w:szCs w:val="24"/>
          <w:lang w:val="en-GB"/>
        </w:rPr>
        <w:t xml:space="preserve"> will support up to 60 medium to large businesses to develop an employer action plan to address barriers to women’s full and equal participation in the employer’s workforce, and to promote such full and equal participation</w:t>
      </w:r>
      <w:r w:rsidR="006E5B18" w:rsidRPr="001F4ECA">
        <w:rPr>
          <w:rFonts w:ascii="Times New Roman" w:hAnsi="Times New Roman"/>
          <w:iCs/>
          <w:color w:val="000000"/>
          <w:sz w:val="24"/>
          <w:szCs w:val="24"/>
        </w:rPr>
        <w:t>.</w:t>
      </w:r>
    </w:p>
    <w:p w14:paraId="5F1176A9" w14:textId="77777777" w:rsidR="006E5B18" w:rsidRPr="001F4ECA" w:rsidRDefault="006E5B18" w:rsidP="006E5B18">
      <w:pPr>
        <w:shd w:val="clear" w:color="auto" w:fill="FFFFFF"/>
        <w:rPr>
          <w:rFonts w:ascii="Times New Roman" w:hAnsi="Times New Roman"/>
          <w:color w:val="000000"/>
          <w:sz w:val="24"/>
          <w:szCs w:val="24"/>
        </w:rPr>
      </w:pPr>
    </w:p>
    <w:p w14:paraId="3C020E3B" w14:textId="5F59E7A9" w:rsidR="006E5B18" w:rsidRPr="001F4ECA" w:rsidRDefault="002A57EA" w:rsidP="002A57EA">
      <w:pPr>
        <w:shd w:val="clear" w:color="auto" w:fill="FFFFFF"/>
        <w:rPr>
          <w:rFonts w:ascii="Times New Roman" w:hAnsi="Times New Roman"/>
          <w:sz w:val="24"/>
          <w:szCs w:val="24"/>
        </w:rPr>
      </w:pPr>
      <w:r w:rsidRPr="001F4ECA">
        <w:rPr>
          <w:rFonts w:ascii="Times New Roman" w:hAnsi="Times New Roman"/>
          <w:sz w:val="24"/>
          <w:szCs w:val="24"/>
        </w:rPr>
        <w:t xml:space="preserve">On 1 December 2020, the Government announced the ‘Career Revive Pilot supporting Australian businesses to recruit women in regional areas’, which aimed to increase women’s workforce participation by supporting businesses to attract and retain women returning to work after a career break. The pilot was limited to 10 medium to large regional businesses per year over three years from 2019-20 across diverse industries and locations. </w:t>
      </w:r>
    </w:p>
    <w:p w14:paraId="35E8C94C" w14:textId="77777777" w:rsidR="006E5B18" w:rsidRPr="001F4ECA" w:rsidRDefault="006E5B18" w:rsidP="006E5B18">
      <w:pPr>
        <w:rPr>
          <w:rFonts w:ascii="Times New Roman" w:hAnsi="Times New Roman"/>
          <w:sz w:val="24"/>
          <w:szCs w:val="24"/>
        </w:rPr>
      </w:pPr>
    </w:p>
    <w:p w14:paraId="3E7F369C" w14:textId="738400EA" w:rsidR="006E5B18" w:rsidRPr="001F4ECA" w:rsidRDefault="006E5B18" w:rsidP="006E5B18">
      <w:pPr>
        <w:rPr>
          <w:rFonts w:ascii="Times New Roman" w:hAnsi="Times New Roman"/>
          <w:sz w:val="24"/>
          <w:szCs w:val="24"/>
        </w:rPr>
      </w:pPr>
      <w:r w:rsidRPr="001F4ECA">
        <w:rPr>
          <w:rFonts w:ascii="Times New Roman" w:hAnsi="Times New Roman"/>
          <w:sz w:val="24"/>
          <w:szCs w:val="24"/>
        </w:rPr>
        <w:t xml:space="preserve">The program will incorporate learnings from the pilot and </w:t>
      </w:r>
      <w:r w:rsidRPr="001F4ECA">
        <w:rPr>
          <w:rFonts w:ascii="Times New Roman" w:eastAsia="Times New Roman" w:hAnsi="Times New Roman"/>
          <w:sz w:val="24"/>
          <w:szCs w:val="24"/>
        </w:rPr>
        <w:t>expand</w:t>
      </w:r>
      <w:r w:rsidRPr="001F4ECA">
        <w:rPr>
          <w:rFonts w:ascii="Times New Roman" w:hAnsi="Times New Roman"/>
          <w:sz w:val="24"/>
          <w:szCs w:val="24"/>
        </w:rPr>
        <w:t xml:space="preserve"> </w:t>
      </w:r>
      <w:r w:rsidRPr="001F4ECA">
        <w:rPr>
          <w:rFonts w:ascii="Times New Roman" w:eastAsia="Times New Roman" w:hAnsi="Times New Roman"/>
          <w:sz w:val="24"/>
          <w:szCs w:val="24"/>
        </w:rPr>
        <w:t>to both regional and metropolitan areas to support up to 60 medium to large businesses over three years from 2021-22.</w:t>
      </w:r>
      <w:r w:rsidRPr="001F4ECA">
        <w:rPr>
          <w:rFonts w:ascii="Times New Roman" w:hAnsi="Times New Roman"/>
          <w:sz w:val="24"/>
          <w:szCs w:val="24"/>
        </w:rPr>
        <w:t xml:space="preserve"> </w:t>
      </w:r>
      <w:r w:rsidRPr="001F4ECA">
        <w:rPr>
          <w:rFonts w:ascii="Times New Roman" w:eastAsia="Times New Roman" w:hAnsi="Times New Roman"/>
          <w:sz w:val="24"/>
          <w:szCs w:val="24"/>
        </w:rPr>
        <w:t xml:space="preserve">The expanded program will include businesses that operate within industries that experience higher levels of gender segregation. </w:t>
      </w:r>
      <w:r w:rsidRPr="001F4ECA">
        <w:rPr>
          <w:rFonts w:ascii="Times New Roman" w:hAnsi="Times New Roman"/>
          <w:sz w:val="24"/>
          <w:szCs w:val="24"/>
        </w:rPr>
        <w:t xml:space="preserve">This will increase local labour market opportunities for women </w:t>
      </w:r>
      <w:r w:rsidR="002A57EA" w:rsidRPr="001F4ECA">
        <w:rPr>
          <w:rFonts w:ascii="Times New Roman" w:hAnsi="Times New Roman"/>
          <w:sz w:val="24"/>
          <w:szCs w:val="24"/>
        </w:rPr>
        <w:t>during</w:t>
      </w:r>
      <w:r w:rsidRPr="001F4ECA">
        <w:rPr>
          <w:rFonts w:ascii="Times New Roman" w:hAnsi="Times New Roman"/>
          <w:sz w:val="24"/>
          <w:szCs w:val="24"/>
        </w:rPr>
        <w:t xml:space="preserve"> the COVID-19 recovery.</w:t>
      </w:r>
    </w:p>
    <w:p w14:paraId="315EDBE2" w14:textId="77777777" w:rsidR="006E5B18" w:rsidRPr="001F4ECA" w:rsidRDefault="006E5B18" w:rsidP="006E5B18">
      <w:pPr>
        <w:rPr>
          <w:rFonts w:ascii="Times New Roman" w:hAnsi="Times New Roman"/>
          <w:sz w:val="24"/>
          <w:szCs w:val="24"/>
        </w:rPr>
      </w:pPr>
    </w:p>
    <w:p w14:paraId="1F264572" w14:textId="77777777" w:rsidR="006E5B18" w:rsidRPr="001F4ECA" w:rsidRDefault="006E5B18" w:rsidP="006E5B18">
      <w:pPr>
        <w:rPr>
          <w:rFonts w:ascii="Times New Roman" w:hAnsi="Times New Roman"/>
          <w:sz w:val="24"/>
          <w:szCs w:val="24"/>
        </w:rPr>
      </w:pPr>
      <w:r w:rsidRPr="001F4ECA">
        <w:rPr>
          <w:rFonts w:ascii="Times New Roman" w:hAnsi="Times New Roman"/>
          <w:sz w:val="24"/>
          <w:szCs w:val="24"/>
        </w:rPr>
        <w:t>Under the program, business improvement consultants will work with each business to develop a tailored action plan to identify and implement strategies to:</w:t>
      </w:r>
    </w:p>
    <w:p w14:paraId="1A42DFD0" w14:textId="77777777" w:rsidR="006E5B18" w:rsidRPr="001F4ECA" w:rsidRDefault="006E5B18" w:rsidP="006E5B18">
      <w:pPr>
        <w:numPr>
          <w:ilvl w:val="0"/>
          <w:numId w:val="38"/>
        </w:numPr>
        <w:rPr>
          <w:rFonts w:ascii="Times New Roman" w:hAnsi="Times New Roman"/>
          <w:sz w:val="24"/>
          <w:szCs w:val="24"/>
        </w:rPr>
      </w:pPr>
      <w:r w:rsidRPr="001F4ECA">
        <w:rPr>
          <w:rFonts w:ascii="Times New Roman" w:hAnsi="Times New Roman"/>
          <w:sz w:val="24"/>
          <w:szCs w:val="24"/>
        </w:rPr>
        <w:t>better attract and recruit women (job design, advertising and selection practices, development of supported returner programs);</w:t>
      </w:r>
    </w:p>
    <w:p w14:paraId="1290E749" w14:textId="4E195EF5" w:rsidR="006E5B18" w:rsidRPr="001F4ECA" w:rsidRDefault="006E5B18" w:rsidP="006E5B18">
      <w:pPr>
        <w:numPr>
          <w:ilvl w:val="0"/>
          <w:numId w:val="38"/>
        </w:numPr>
        <w:rPr>
          <w:rFonts w:ascii="Times New Roman" w:hAnsi="Times New Roman"/>
          <w:sz w:val="24"/>
          <w:szCs w:val="24"/>
        </w:rPr>
      </w:pPr>
      <w:r w:rsidRPr="001F4ECA">
        <w:rPr>
          <w:rFonts w:ascii="Times New Roman" w:hAnsi="Times New Roman"/>
          <w:sz w:val="24"/>
          <w:szCs w:val="24"/>
        </w:rPr>
        <w:t xml:space="preserve">improve retention of women employees (onboarding, parental leave programs); and </w:t>
      </w:r>
    </w:p>
    <w:p w14:paraId="5C05A240" w14:textId="77777777" w:rsidR="006E5B18" w:rsidRPr="001F4ECA" w:rsidRDefault="006E5B18" w:rsidP="006E5B18">
      <w:pPr>
        <w:numPr>
          <w:ilvl w:val="0"/>
          <w:numId w:val="38"/>
        </w:numPr>
        <w:rPr>
          <w:rFonts w:ascii="Times New Roman" w:hAnsi="Times New Roman"/>
          <w:sz w:val="24"/>
          <w:szCs w:val="24"/>
        </w:rPr>
      </w:pPr>
      <w:r w:rsidRPr="001F4ECA">
        <w:rPr>
          <w:rFonts w:ascii="Times New Roman" w:hAnsi="Times New Roman"/>
          <w:sz w:val="24"/>
          <w:szCs w:val="24"/>
        </w:rPr>
        <w:t>enhance the foundational working environment for women employees (developing leadership support, workplace policies, social norms, and infrastructure).</w:t>
      </w:r>
    </w:p>
    <w:p w14:paraId="2EE89E7C" w14:textId="2FB9DCCB" w:rsidR="001549E9" w:rsidRPr="001F4ECA" w:rsidRDefault="001549E9" w:rsidP="00ED38BC">
      <w:pPr>
        <w:contextualSpacing/>
        <w:rPr>
          <w:rFonts w:ascii="Times New Roman" w:hAnsi="Times New Roman"/>
          <w:sz w:val="24"/>
          <w:szCs w:val="24"/>
        </w:rPr>
      </w:pPr>
    </w:p>
    <w:p w14:paraId="6BE65DF3" w14:textId="25984F45" w:rsidR="006E5B18" w:rsidRPr="001F4ECA" w:rsidRDefault="006E5B18" w:rsidP="006E5B18">
      <w:pPr>
        <w:contextualSpacing/>
        <w:rPr>
          <w:rFonts w:ascii="Times New Roman" w:hAnsi="Times New Roman"/>
          <w:b/>
          <w:sz w:val="24"/>
          <w:szCs w:val="24"/>
        </w:rPr>
      </w:pPr>
      <w:r w:rsidRPr="001F4ECA">
        <w:rPr>
          <w:rFonts w:ascii="Times New Roman" w:hAnsi="Times New Roman"/>
          <w:b/>
          <w:sz w:val="24"/>
          <w:szCs w:val="24"/>
        </w:rPr>
        <w:t>Human rights implications</w:t>
      </w:r>
    </w:p>
    <w:p w14:paraId="3F09481F" w14:textId="77777777" w:rsidR="001549E9" w:rsidRPr="001F4ECA" w:rsidRDefault="001549E9" w:rsidP="00ED38BC">
      <w:pPr>
        <w:contextualSpacing/>
        <w:rPr>
          <w:rFonts w:ascii="Times New Roman" w:hAnsi="Times New Roman"/>
          <w:sz w:val="24"/>
          <w:szCs w:val="24"/>
        </w:rPr>
      </w:pPr>
    </w:p>
    <w:p w14:paraId="173D01BE" w14:textId="7B648155"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 xml:space="preserve">Table item </w:t>
      </w:r>
      <w:r w:rsidR="00A21711" w:rsidRPr="001F4ECA">
        <w:rPr>
          <w:rFonts w:ascii="Times New Roman" w:hAnsi="Times New Roman"/>
          <w:sz w:val="24"/>
          <w:szCs w:val="24"/>
        </w:rPr>
        <w:t>499</w:t>
      </w:r>
      <w:r w:rsidRPr="001F4ECA">
        <w:rPr>
          <w:rFonts w:ascii="Times New Roman" w:hAnsi="Times New Roman"/>
          <w:sz w:val="24"/>
          <w:szCs w:val="24"/>
        </w:rPr>
        <w:t xml:space="preserve"> engages the following rights:</w:t>
      </w:r>
    </w:p>
    <w:p w14:paraId="1A7890FF" w14:textId="1C39A561" w:rsidR="006E5B18" w:rsidRPr="001F4ECA" w:rsidRDefault="006E5B18" w:rsidP="006E5B18">
      <w:pPr>
        <w:numPr>
          <w:ilvl w:val="0"/>
          <w:numId w:val="37"/>
        </w:numPr>
        <w:contextualSpacing/>
        <w:rPr>
          <w:rFonts w:ascii="Times New Roman" w:hAnsi="Times New Roman"/>
          <w:sz w:val="24"/>
          <w:szCs w:val="24"/>
        </w:rPr>
      </w:pPr>
      <w:r w:rsidRPr="001F4ECA">
        <w:rPr>
          <w:rFonts w:ascii="Times New Roman" w:hAnsi="Times New Roman"/>
          <w:sz w:val="24"/>
          <w:szCs w:val="24"/>
        </w:rPr>
        <w:t xml:space="preserve">the right to equality and non-discrimination – Articles 1, 2, 3 and 11 of the </w:t>
      </w:r>
      <w:r w:rsidRPr="001F4ECA">
        <w:rPr>
          <w:rFonts w:ascii="Times New Roman" w:hAnsi="Times New Roman"/>
          <w:i/>
          <w:sz w:val="24"/>
          <w:szCs w:val="24"/>
        </w:rPr>
        <w:t>Convention on the Elimination of All Forms of Discrimination against Women</w:t>
      </w:r>
      <w:r w:rsidRPr="001F4ECA">
        <w:rPr>
          <w:rFonts w:ascii="Times New Roman" w:hAnsi="Times New Roman"/>
          <w:sz w:val="24"/>
          <w:szCs w:val="24"/>
        </w:rPr>
        <w:t xml:space="preserve"> (CEDAW);</w:t>
      </w:r>
    </w:p>
    <w:p w14:paraId="1E5F383E" w14:textId="5F8D550F" w:rsidR="006E5B18" w:rsidRPr="001F4ECA" w:rsidRDefault="006E5B18" w:rsidP="006E5B18">
      <w:pPr>
        <w:numPr>
          <w:ilvl w:val="0"/>
          <w:numId w:val="37"/>
        </w:numPr>
        <w:contextualSpacing/>
        <w:rPr>
          <w:rFonts w:ascii="Times New Roman" w:hAnsi="Times New Roman"/>
          <w:sz w:val="24"/>
          <w:szCs w:val="24"/>
        </w:rPr>
      </w:pPr>
      <w:r w:rsidRPr="001F4ECA">
        <w:rPr>
          <w:rFonts w:ascii="Times New Roman" w:hAnsi="Times New Roman"/>
          <w:sz w:val="24"/>
          <w:szCs w:val="24"/>
        </w:rPr>
        <w:lastRenderedPageBreak/>
        <w:t>the right to an adequate standard of living – Article 11 of the</w:t>
      </w:r>
      <w:r w:rsidR="00907CE6" w:rsidRPr="001F4ECA">
        <w:rPr>
          <w:rFonts w:ascii="Times New Roman" w:hAnsi="Times New Roman"/>
          <w:sz w:val="24"/>
          <w:szCs w:val="24"/>
        </w:rPr>
        <w:t xml:space="preserve"> </w:t>
      </w:r>
      <w:r w:rsidRPr="001F4ECA">
        <w:rPr>
          <w:rFonts w:ascii="Times New Roman" w:hAnsi="Times New Roman"/>
          <w:sz w:val="24"/>
          <w:szCs w:val="24"/>
        </w:rPr>
        <w:t xml:space="preserve">ICESCR, read with Article 2; and </w:t>
      </w:r>
    </w:p>
    <w:p w14:paraId="45FD5F71" w14:textId="77777777" w:rsidR="006E5B18" w:rsidRPr="001F4ECA" w:rsidRDefault="006E5B18" w:rsidP="006E5B18">
      <w:pPr>
        <w:numPr>
          <w:ilvl w:val="0"/>
          <w:numId w:val="37"/>
        </w:numPr>
        <w:contextualSpacing/>
        <w:rPr>
          <w:rFonts w:ascii="Times New Roman" w:hAnsi="Times New Roman"/>
          <w:sz w:val="24"/>
          <w:szCs w:val="24"/>
        </w:rPr>
      </w:pPr>
      <w:r w:rsidRPr="001F4ECA">
        <w:rPr>
          <w:rFonts w:ascii="Times New Roman" w:hAnsi="Times New Roman"/>
          <w:sz w:val="24"/>
          <w:szCs w:val="24"/>
        </w:rPr>
        <w:t>the right to work – Article 6 of the ICESCR and Article 11 of the CEDAW.</w:t>
      </w:r>
    </w:p>
    <w:p w14:paraId="24433F61" w14:textId="77777777" w:rsidR="006E5B18" w:rsidRPr="001F4ECA" w:rsidRDefault="006E5B18" w:rsidP="006E5B18">
      <w:pPr>
        <w:contextualSpacing/>
        <w:rPr>
          <w:rFonts w:ascii="Times New Roman" w:hAnsi="Times New Roman"/>
          <w:sz w:val="24"/>
          <w:szCs w:val="24"/>
        </w:rPr>
      </w:pPr>
    </w:p>
    <w:p w14:paraId="42E33119" w14:textId="77777777" w:rsidR="006E5B18" w:rsidRPr="001F4ECA" w:rsidRDefault="006E5B18" w:rsidP="006E5B18">
      <w:pPr>
        <w:contextualSpacing/>
        <w:rPr>
          <w:rFonts w:ascii="Times New Roman" w:hAnsi="Times New Roman"/>
          <w:i/>
          <w:iCs/>
          <w:sz w:val="24"/>
          <w:szCs w:val="24"/>
        </w:rPr>
      </w:pPr>
      <w:r w:rsidRPr="001F4ECA">
        <w:rPr>
          <w:rFonts w:ascii="Times New Roman" w:hAnsi="Times New Roman"/>
          <w:i/>
          <w:iCs/>
          <w:sz w:val="24"/>
          <w:szCs w:val="24"/>
        </w:rPr>
        <w:t>Right to equality and non-discrimination</w:t>
      </w:r>
    </w:p>
    <w:p w14:paraId="20DF6327" w14:textId="77777777" w:rsidR="006E5B18" w:rsidRPr="001F4ECA" w:rsidRDefault="006E5B18" w:rsidP="006E5B18">
      <w:pPr>
        <w:contextualSpacing/>
        <w:rPr>
          <w:rFonts w:ascii="Times New Roman" w:hAnsi="Times New Roman"/>
          <w:sz w:val="24"/>
          <w:szCs w:val="24"/>
        </w:rPr>
      </w:pPr>
    </w:p>
    <w:p w14:paraId="34EB8531" w14:textId="2665E237"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 xml:space="preserve">Article 1 of the CEDAW defines ‘discrimination against women’ to mean ‘any distinction, exclusion or restriction made on the basis of sex which has the effect or purpose of impairing or nullifying the recognition, enjoyment or exercise by women… on a basis of equality of men and women, of human rights and fundamental freedoms’. </w:t>
      </w:r>
    </w:p>
    <w:p w14:paraId="4A618137" w14:textId="77777777" w:rsidR="006E5B18" w:rsidRPr="001F4ECA" w:rsidRDefault="006E5B18" w:rsidP="006E5B18">
      <w:pPr>
        <w:contextualSpacing/>
        <w:rPr>
          <w:rFonts w:ascii="Times New Roman" w:hAnsi="Times New Roman"/>
          <w:sz w:val="24"/>
          <w:szCs w:val="24"/>
        </w:rPr>
      </w:pPr>
    </w:p>
    <w:p w14:paraId="19A701B6" w14:textId="03574BEE"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Article 2 of the CEDAW requires the pursuit of the elimination of discrimination against women and Article 3 of the CEDAW requires States Parties to take all appropriate me</w:t>
      </w:r>
      <w:r w:rsidR="00902CE3" w:rsidRPr="001F4ECA">
        <w:rPr>
          <w:rFonts w:ascii="Times New Roman" w:hAnsi="Times New Roman"/>
          <w:sz w:val="24"/>
          <w:szCs w:val="24"/>
        </w:rPr>
        <w:t>asures, including legislation, ‘</w:t>
      </w:r>
      <w:r w:rsidRPr="001F4ECA">
        <w:rPr>
          <w:rFonts w:ascii="Times New Roman" w:hAnsi="Times New Roman"/>
          <w:sz w:val="24"/>
          <w:szCs w:val="24"/>
        </w:rPr>
        <w:t>to ensure the full development and advancement of women, for the purpose of guaranteeing them the exercise and enjoyment of human rights and fundamental freedoms on a basis of equality with men</w:t>
      </w:r>
      <w:r w:rsidR="00902CE3" w:rsidRPr="001F4ECA">
        <w:rPr>
          <w:rFonts w:ascii="Times New Roman" w:hAnsi="Times New Roman"/>
          <w:sz w:val="24"/>
          <w:szCs w:val="24"/>
        </w:rPr>
        <w:t>’</w:t>
      </w:r>
      <w:r w:rsidRPr="001F4ECA">
        <w:rPr>
          <w:rFonts w:ascii="Times New Roman" w:hAnsi="Times New Roman"/>
          <w:sz w:val="24"/>
          <w:szCs w:val="24"/>
        </w:rPr>
        <w:t xml:space="preserve">.  </w:t>
      </w:r>
    </w:p>
    <w:p w14:paraId="36F957B8" w14:textId="77777777" w:rsidR="006E5B18" w:rsidRPr="001F4ECA" w:rsidRDefault="006E5B18" w:rsidP="006E5B18">
      <w:pPr>
        <w:contextualSpacing/>
        <w:rPr>
          <w:rFonts w:ascii="Times New Roman" w:hAnsi="Times New Roman"/>
          <w:sz w:val="24"/>
          <w:szCs w:val="24"/>
        </w:rPr>
      </w:pPr>
    </w:p>
    <w:p w14:paraId="223A79F0" w14:textId="544BD928" w:rsidR="008B49E9" w:rsidRPr="001F4ECA" w:rsidRDefault="006E5B18" w:rsidP="006E5B18">
      <w:pPr>
        <w:contextualSpacing/>
        <w:rPr>
          <w:rFonts w:ascii="Times New Roman" w:hAnsi="Times New Roman"/>
          <w:sz w:val="24"/>
          <w:szCs w:val="24"/>
        </w:rPr>
      </w:pPr>
      <w:r w:rsidRPr="001F4ECA">
        <w:rPr>
          <w:rFonts w:ascii="Times New Roman" w:hAnsi="Times New Roman"/>
          <w:sz w:val="24"/>
          <w:szCs w:val="24"/>
        </w:rPr>
        <w:t>Article 11 of the CEDAW requires States Parties to take appropriate measures to eliminate discrimination against women in the field of employment in order to ensure, on a basis of equality of men and women, the same rights. In particular, Article 11 of the CEDAW recognises the right to work as an inalienable right of all human beings and the right to free choice of profession and employment.</w:t>
      </w:r>
    </w:p>
    <w:p w14:paraId="7CD6C69E" w14:textId="5B38BADD" w:rsidR="006E5B18" w:rsidRPr="001F4ECA" w:rsidRDefault="006E5B18" w:rsidP="006E5B18">
      <w:pPr>
        <w:contextualSpacing/>
        <w:rPr>
          <w:rFonts w:ascii="Times New Roman" w:hAnsi="Times New Roman"/>
          <w:sz w:val="24"/>
          <w:szCs w:val="24"/>
        </w:rPr>
      </w:pPr>
    </w:p>
    <w:p w14:paraId="3F286DC1" w14:textId="7CA47D7C" w:rsidR="006E5B18" w:rsidRPr="001F4ECA" w:rsidRDefault="006E5B18" w:rsidP="006E5B18">
      <w:pPr>
        <w:contextualSpacing/>
        <w:rPr>
          <w:rFonts w:ascii="Times New Roman" w:hAnsi="Times New Roman"/>
          <w:sz w:val="24"/>
          <w:szCs w:val="24"/>
        </w:rPr>
      </w:pPr>
      <w:bookmarkStart w:id="4" w:name="_Hlk76647980"/>
      <w:r w:rsidRPr="001F4ECA">
        <w:rPr>
          <w:rFonts w:ascii="Times New Roman" w:hAnsi="Times New Roman"/>
          <w:sz w:val="24"/>
          <w:szCs w:val="24"/>
        </w:rPr>
        <w:t xml:space="preserve">While women’s labour force participation rates have increased significantly over recent decades, the factors that underpin the gap between women’s and men’s labour force participation remain. As noted in the </w:t>
      </w:r>
      <w:r w:rsidRPr="001F4ECA">
        <w:rPr>
          <w:rFonts w:ascii="Times New Roman" w:hAnsi="Times New Roman"/>
          <w:i/>
          <w:sz w:val="24"/>
          <w:szCs w:val="24"/>
        </w:rPr>
        <w:t>Women’s Economic Security Statement</w:t>
      </w:r>
      <w:r w:rsidR="00902CE3" w:rsidRPr="001F4ECA">
        <w:rPr>
          <w:rFonts w:ascii="Times New Roman" w:hAnsi="Times New Roman"/>
          <w:i/>
          <w:sz w:val="24"/>
          <w:szCs w:val="24"/>
        </w:rPr>
        <w:t xml:space="preserve"> 2020</w:t>
      </w:r>
      <w:r w:rsidRPr="001F4ECA">
        <w:rPr>
          <w:rFonts w:ascii="Times New Roman" w:hAnsi="Times New Roman"/>
          <w:sz w:val="24"/>
          <w:szCs w:val="24"/>
        </w:rPr>
        <w:t>, Australia’s workforce is highly segregated by gender, with only 9 out of 19 industries having at least 40 per cent men and women.</w:t>
      </w:r>
      <w:r w:rsidRPr="001F4ECA" w:rsidDel="004254FD">
        <w:rPr>
          <w:rFonts w:ascii="Times New Roman" w:hAnsi="Times New Roman"/>
          <w:sz w:val="24"/>
          <w:szCs w:val="24"/>
        </w:rPr>
        <w:t xml:space="preserve"> </w:t>
      </w:r>
      <w:r w:rsidRPr="001F4ECA">
        <w:rPr>
          <w:rFonts w:ascii="Times New Roman" w:hAnsi="Times New Roman"/>
          <w:sz w:val="24"/>
          <w:szCs w:val="24"/>
        </w:rPr>
        <w:t xml:space="preserve">Women also continue to undertake significantly more unpaid domestic and care work than men, and are far more likely to take time out of the workforce and work part time.  </w:t>
      </w:r>
      <w:bookmarkEnd w:id="4"/>
    </w:p>
    <w:p w14:paraId="0D074ACD" w14:textId="77777777" w:rsidR="006E5B18" w:rsidRPr="001F4ECA" w:rsidRDefault="006E5B18" w:rsidP="006E5B18">
      <w:pPr>
        <w:contextualSpacing/>
        <w:rPr>
          <w:rFonts w:ascii="Times New Roman" w:hAnsi="Times New Roman"/>
          <w:sz w:val="24"/>
          <w:szCs w:val="24"/>
        </w:rPr>
      </w:pPr>
    </w:p>
    <w:p w14:paraId="6BCD4B19" w14:textId="289F82ED"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The program seeks to work with employers to address discrepancies that exist in women’s workforce participation when returning to work and support women’s career progression in their chosen employment. The program is aimed at addressing difficulties faced by women who wish to return to work after a caring</w:t>
      </w:r>
      <w:r w:rsidR="00902CE3" w:rsidRPr="001F4ECA">
        <w:rPr>
          <w:rFonts w:ascii="Times New Roman" w:hAnsi="Times New Roman"/>
          <w:sz w:val="24"/>
          <w:szCs w:val="24"/>
        </w:rPr>
        <w:t xml:space="preserve"> </w:t>
      </w:r>
      <w:r w:rsidRPr="001F4ECA">
        <w:rPr>
          <w:rFonts w:ascii="Times New Roman" w:hAnsi="Times New Roman"/>
          <w:sz w:val="24"/>
          <w:szCs w:val="24"/>
        </w:rPr>
        <w:t>related break and increasing women’s workforce participation by providing assistance to prospective employers.</w:t>
      </w:r>
    </w:p>
    <w:p w14:paraId="3DC6F9DD" w14:textId="77777777" w:rsidR="006E5B18" w:rsidRPr="001F4ECA" w:rsidRDefault="006E5B18" w:rsidP="006E5B18">
      <w:pPr>
        <w:contextualSpacing/>
        <w:rPr>
          <w:rFonts w:ascii="Times New Roman" w:hAnsi="Times New Roman"/>
          <w:sz w:val="24"/>
          <w:szCs w:val="24"/>
        </w:rPr>
      </w:pPr>
    </w:p>
    <w:p w14:paraId="156C6FD3" w14:textId="41EEDD90"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The program furthers the right to equality and non-discrimination for women re-entering the workforce after caring</w:t>
      </w:r>
      <w:r w:rsidR="00902CE3" w:rsidRPr="001F4ECA">
        <w:rPr>
          <w:rFonts w:ascii="Times New Roman" w:hAnsi="Times New Roman"/>
          <w:sz w:val="24"/>
          <w:szCs w:val="24"/>
        </w:rPr>
        <w:t xml:space="preserve"> </w:t>
      </w:r>
      <w:r w:rsidRPr="001F4ECA">
        <w:rPr>
          <w:rFonts w:ascii="Times New Roman" w:hAnsi="Times New Roman"/>
          <w:sz w:val="24"/>
          <w:szCs w:val="24"/>
        </w:rPr>
        <w:t>related breaks. While this positive discrimination in favour of women may result in discrimination against men seeking the same job opportunities, it is permissible as a means of addressing the disparity between gender employment figures. </w:t>
      </w:r>
    </w:p>
    <w:p w14:paraId="2A6598E3" w14:textId="5F9EC2A0" w:rsidR="006E5B18" w:rsidRPr="001F4ECA" w:rsidRDefault="006E5B18" w:rsidP="006E5B18">
      <w:pPr>
        <w:contextualSpacing/>
        <w:rPr>
          <w:rFonts w:ascii="Times New Roman" w:hAnsi="Times New Roman"/>
          <w:sz w:val="24"/>
          <w:szCs w:val="24"/>
        </w:rPr>
      </w:pPr>
    </w:p>
    <w:p w14:paraId="2BFD5CC1" w14:textId="77777777" w:rsidR="006E5B18" w:rsidRPr="001F4ECA" w:rsidRDefault="006E5B18" w:rsidP="006E5B18">
      <w:pPr>
        <w:contextualSpacing/>
        <w:rPr>
          <w:rFonts w:ascii="Times New Roman" w:hAnsi="Times New Roman"/>
          <w:i/>
          <w:iCs/>
          <w:sz w:val="24"/>
          <w:szCs w:val="24"/>
        </w:rPr>
      </w:pPr>
      <w:r w:rsidRPr="001F4ECA">
        <w:rPr>
          <w:rFonts w:ascii="Times New Roman" w:hAnsi="Times New Roman"/>
          <w:i/>
          <w:iCs/>
          <w:sz w:val="24"/>
          <w:szCs w:val="24"/>
        </w:rPr>
        <w:t>Right to an adequate standard of living</w:t>
      </w:r>
    </w:p>
    <w:p w14:paraId="31DC304E" w14:textId="77777777" w:rsidR="006E5B18" w:rsidRPr="001F4ECA" w:rsidRDefault="006E5B18" w:rsidP="006E5B18">
      <w:pPr>
        <w:contextualSpacing/>
        <w:rPr>
          <w:rFonts w:ascii="Times New Roman" w:hAnsi="Times New Roman"/>
          <w:sz w:val="24"/>
          <w:szCs w:val="24"/>
        </w:rPr>
      </w:pPr>
    </w:p>
    <w:p w14:paraId="6735F228" w14:textId="6C9FD473"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Article 11 of the ICESCR recognises the right of everyone to an adequate standard of living and to the continuous improvement of living conditions. Article 11 should be read with Article 2 of the ICESCR.</w:t>
      </w:r>
    </w:p>
    <w:p w14:paraId="1B97CFDC" w14:textId="77777777" w:rsidR="006E5B18" w:rsidRPr="001F4ECA" w:rsidRDefault="006E5B18" w:rsidP="006E5B18">
      <w:pPr>
        <w:contextualSpacing/>
        <w:rPr>
          <w:rFonts w:ascii="Times New Roman" w:hAnsi="Times New Roman"/>
          <w:sz w:val="24"/>
          <w:szCs w:val="24"/>
        </w:rPr>
      </w:pPr>
    </w:p>
    <w:p w14:paraId="2A0DF0E8" w14:textId="77777777"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 xml:space="preserve">The program promotes the right to an adequate standard of living by increasing women’s workforce participation by encouraging, and providing assistance to, medium to large </w:t>
      </w:r>
      <w:r w:rsidRPr="001F4ECA">
        <w:rPr>
          <w:rFonts w:ascii="Times New Roman" w:hAnsi="Times New Roman"/>
          <w:sz w:val="24"/>
          <w:szCs w:val="24"/>
        </w:rPr>
        <w:lastRenderedPageBreak/>
        <w:t xml:space="preserve">businesses to employ women returning to work and support women in their workforce. This in turn promotes the continuous improvement of living conditions of women. </w:t>
      </w:r>
    </w:p>
    <w:p w14:paraId="73DFC0C8" w14:textId="77777777" w:rsidR="006E5B18" w:rsidRPr="001F4ECA" w:rsidRDefault="006E5B18" w:rsidP="006E5B18">
      <w:pPr>
        <w:contextualSpacing/>
        <w:rPr>
          <w:rFonts w:ascii="Times New Roman" w:hAnsi="Times New Roman"/>
          <w:i/>
          <w:iCs/>
          <w:sz w:val="24"/>
          <w:szCs w:val="24"/>
          <w:u w:val="single"/>
        </w:rPr>
      </w:pPr>
    </w:p>
    <w:p w14:paraId="69F3A3F4" w14:textId="77777777" w:rsidR="006E5B18" w:rsidRPr="001F4ECA" w:rsidRDefault="006E5B18" w:rsidP="006E5B18">
      <w:pPr>
        <w:contextualSpacing/>
        <w:rPr>
          <w:rFonts w:ascii="Times New Roman" w:hAnsi="Times New Roman"/>
          <w:i/>
          <w:iCs/>
          <w:sz w:val="24"/>
          <w:szCs w:val="24"/>
        </w:rPr>
      </w:pPr>
      <w:r w:rsidRPr="001F4ECA">
        <w:rPr>
          <w:rFonts w:ascii="Times New Roman" w:hAnsi="Times New Roman"/>
          <w:i/>
          <w:iCs/>
          <w:sz w:val="24"/>
          <w:szCs w:val="24"/>
        </w:rPr>
        <w:t xml:space="preserve">Right to work </w:t>
      </w:r>
    </w:p>
    <w:p w14:paraId="42E5A5AD" w14:textId="77777777" w:rsidR="006E5B18" w:rsidRPr="001F4ECA" w:rsidRDefault="006E5B18" w:rsidP="006E5B18">
      <w:pPr>
        <w:contextualSpacing/>
        <w:rPr>
          <w:rFonts w:ascii="Times New Roman" w:hAnsi="Times New Roman"/>
          <w:sz w:val="24"/>
          <w:szCs w:val="24"/>
        </w:rPr>
      </w:pPr>
    </w:p>
    <w:p w14:paraId="7F11B61C" w14:textId="77777777"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 xml:space="preserve">Article 6 of the ICESCR and Article 11 of the CEDAW recognise the right to work. </w:t>
      </w:r>
    </w:p>
    <w:p w14:paraId="65844F53" w14:textId="77777777" w:rsidR="006E5B18" w:rsidRPr="001F4ECA" w:rsidRDefault="006E5B18" w:rsidP="006E5B18">
      <w:pPr>
        <w:contextualSpacing/>
        <w:rPr>
          <w:rFonts w:ascii="Times New Roman" w:hAnsi="Times New Roman"/>
          <w:sz w:val="24"/>
          <w:szCs w:val="24"/>
        </w:rPr>
      </w:pPr>
    </w:p>
    <w:p w14:paraId="1FE4066F" w14:textId="77777777"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 xml:space="preserve">The program encourages and incentivises medium and large businesses to support, attract and retain women returning to work. The process encourages women to transition back to the workforce and engage with their right to work. </w:t>
      </w:r>
    </w:p>
    <w:p w14:paraId="09D79DA7" w14:textId="77777777" w:rsidR="006E5B18" w:rsidRPr="001F4ECA" w:rsidRDefault="006E5B18" w:rsidP="006E5B18">
      <w:pPr>
        <w:contextualSpacing/>
        <w:rPr>
          <w:rFonts w:ascii="Times New Roman" w:hAnsi="Times New Roman"/>
          <w:sz w:val="24"/>
          <w:szCs w:val="24"/>
        </w:rPr>
      </w:pPr>
    </w:p>
    <w:p w14:paraId="2FC7D487" w14:textId="77777777"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 xml:space="preserve">The program creates a strong incentive for medium and large employers to participate by gaining expert advice provided by the consultant at no cost. Through participation in the initiative, employers will gain a competitive advantage through an increased ability to attract and retain skilled women from a wider talent pool. </w:t>
      </w:r>
    </w:p>
    <w:p w14:paraId="2031161D" w14:textId="77777777" w:rsidR="006E5B18" w:rsidRPr="001F4ECA" w:rsidRDefault="006E5B18" w:rsidP="006E5B18">
      <w:pPr>
        <w:contextualSpacing/>
        <w:rPr>
          <w:rFonts w:ascii="Times New Roman" w:hAnsi="Times New Roman"/>
          <w:sz w:val="24"/>
          <w:szCs w:val="24"/>
        </w:rPr>
      </w:pPr>
    </w:p>
    <w:p w14:paraId="162A0C90" w14:textId="77777777"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 xml:space="preserve">The program will support participant employers by providing assistance and resources to enable those employers to identify and address barriers in their businesses that impact or impede women returning to work. </w:t>
      </w:r>
    </w:p>
    <w:p w14:paraId="6630A25D" w14:textId="77777777" w:rsidR="006E5B18" w:rsidRPr="001F4ECA" w:rsidRDefault="006E5B18" w:rsidP="006E5B18">
      <w:pPr>
        <w:contextualSpacing/>
        <w:rPr>
          <w:rFonts w:ascii="Times New Roman" w:hAnsi="Times New Roman"/>
          <w:sz w:val="24"/>
          <w:szCs w:val="24"/>
        </w:rPr>
      </w:pPr>
    </w:p>
    <w:p w14:paraId="72D1B082" w14:textId="65A4D56E"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Consultants support the participant businesses to make significant cultural changes within the workplace including establishing gender action plans and gender awareness committees to engage employe</w:t>
      </w:r>
      <w:r w:rsidR="00E001B9" w:rsidRPr="001F4ECA">
        <w:rPr>
          <w:rFonts w:ascii="Times New Roman" w:hAnsi="Times New Roman"/>
          <w:sz w:val="24"/>
          <w:szCs w:val="24"/>
        </w:rPr>
        <w:t>r</w:t>
      </w:r>
      <w:r w:rsidRPr="001F4ECA">
        <w:rPr>
          <w:rFonts w:ascii="Times New Roman" w:hAnsi="Times New Roman"/>
          <w:sz w:val="24"/>
          <w:szCs w:val="24"/>
        </w:rPr>
        <w:t xml:space="preserve">s to support women in leadership positions and </w:t>
      </w:r>
      <w:r w:rsidR="00E001B9" w:rsidRPr="001F4ECA">
        <w:rPr>
          <w:rFonts w:ascii="Times New Roman" w:hAnsi="Times New Roman"/>
          <w:sz w:val="24"/>
          <w:szCs w:val="24"/>
        </w:rPr>
        <w:t>in</w:t>
      </w:r>
      <w:r w:rsidRPr="001F4ECA">
        <w:rPr>
          <w:rFonts w:ascii="Times New Roman" w:hAnsi="Times New Roman"/>
          <w:sz w:val="24"/>
          <w:szCs w:val="24"/>
        </w:rPr>
        <w:t xml:space="preserve"> male-dominated professions.</w:t>
      </w:r>
    </w:p>
    <w:p w14:paraId="716D6C8D" w14:textId="77777777" w:rsidR="006E5B18" w:rsidRPr="001F4ECA" w:rsidRDefault="006E5B18" w:rsidP="006E5B18">
      <w:pPr>
        <w:contextualSpacing/>
        <w:rPr>
          <w:rFonts w:ascii="Times New Roman" w:hAnsi="Times New Roman"/>
          <w:sz w:val="24"/>
          <w:szCs w:val="24"/>
        </w:rPr>
      </w:pPr>
    </w:p>
    <w:p w14:paraId="0DEA4AD9" w14:textId="41AAFABA"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 xml:space="preserve">Table item </w:t>
      </w:r>
      <w:r w:rsidR="00A21711" w:rsidRPr="001F4ECA">
        <w:rPr>
          <w:rFonts w:ascii="Times New Roman" w:hAnsi="Times New Roman"/>
          <w:sz w:val="24"/>
          <w:szCs w:val="24"/>
        </w:rPr>
        <w:t>499</w:t>
      </w:r>
      <w:r w:rsidRPr="001F4ECA">
        <w:rPr>
          <w:rFonts w:ascii="Times New Roman" w:hAnsi="Times New Roman"/>
          <w:sz w:val="24"/>
          <w:szCs w:val="24"/>
        </w:rPr>
        <w:t xml:space="preserve"> will therefore promote full, productive and freely chosen employment by promoting practices that support women’s return to the workforce and right to work.</w:t>
      </w:r>
    </w:p>
    <w:p w14:paraId="7046106A" w14:textId="77777777" w:rsidR="006E5B18" w:rsidRPr="001F4ECA" w:rsidRDefault="006E5B18" w:rsidP="006E5B18">
      <w:pPr>
        <w:contextualSpacing/>
        <w:rPr>
          <w:rFonts w:ascii="Times New Roman" w:hAnsi="Times New Roman"/>
          <w:sz w:val="24"/>
          <w:szCs w:val="24"/>
        </w:rPr>
      </w:pPr>
    </w:p>
    <w:p w14:paraId="4AF0AB71" w14:textId="77777777" w:rsidR="006E5B18" w:rsidRPr="001F4ECA" w:rsidRDefault="006E5B18" w:rsidP="006E5B18">
      <w:pPr>
        <w:contextualSpacing/>
        <w:rPr>
          <w:rFonts w:ascii="Times New Roman" w:hAnsi="Times New Roman"/>
          <w:sz w:val="24"/>
          <w:szCs w:val="24"/>
        </w:rPr>
      </w:pPr>
      <w:r w:rsidRPr="001F4ECA">
        <w:rPr>
          <w:rFonts w:ascii="Times New Roman" w:hAnsi="Times New Roman"/>
          <w:b/>
          <w:sz w:val="24"/>
          <w:szCs w:val="24"/>
        </w:rPr>
        <w:t>Conclusion</w:t>
      </w:r>
    </w:p>
    <w:p w14:paraId="0DEDEE7D" w14:textId="77777777" w:rsidR="006E5B18" w:rsidRPr="001F4ECA" w:rsidRDefault="006E5B18" w:rsidP="006E5B18">
      <w:pPr>
        <w:contextualSpacing/>
        <w:rPr>
          <w:rFonts w:ascii="Times New Roman" w:hAnsi="Times New Roman"/>
          <w:sz w:val="24"/>
          <w:szCs w:val="24"/>
        </w:rPr>
      </w:pPr>
    </w:p>
    <w:p w14:paraId="7BE2DC1E" w14:textId="06B7A69A" w:rsidR="006E5B18" w:rsidRPr="001F4ECA" w:rsidRDefault="006E5B18" w:rsidP="006E5B18">
      <w:pPr>
        <w:contextualSpacing/>
        <w:rPr>
          <w:rFonts w:ascii="Times New Roman" w:hAnsi="Times New Roman"/>
          <w:sz w:val="24"/>
          <w:szCs w:val="24"/>
        </w:rPr>
      </w:pPr>
      <w:r w:rsidRPr="001F4ECA">
        <w:rPr>
          <w:rFonts w:ascii="Times New Roman" w:hAnsi="Times New Roman"/>
          <w:sz w:val="24"/>
          <w:szCs w:val="24"/>
        </w:rPr>
        <w:t xml:space="preserve">Table item </w:t>
      </w:r>
      <w:r w:rsidR="00A21711" w:rsidRPr="001F4ECA">
        <w:rPr>
          <w:rFonts w:ascii="Times New Roman" w:hAnsi="Times New Roman"/>
          <w:sz w:val="24"/>
          <w:szCs w:val="24"/>
        </w:rPr>
        <w:t>499</w:t>
      </w:r>
      <w:r w:rsidRPr="001F4ECA">
        <w:rPr>
          <w:rFonts w:ascii="Times New Roman" w:hAnsi="Times New Roman"/>
          <w:sz w:val="24"/>
          <w:szCs w:val="24"/>
        </w:rPr>
        <w:t xml:space="preserve"> is compatible with human rights because it promotes the protection of human rights. </w:t>
      </w:r>
    </w:p>
    <w:p w14:paraId="49235945" w14:textId="77777777" w:rsidR="006E5B18" w:rsidRPr="001F4ECA" w:rsidRDefault="006E5B18" w:rsidP="006E5B18">
      <w:pPr>
        <w:contextualSpacing/>
        <w:rPr>
          <w:rFonts w:ascii="Times New Roman" w:hAnsi="Times New Roman"/>
          <w:sz w:val="24"/>
          <w:szCs w:val="24"/>
        </w:rPr>
      </w:pPr>
    </w:p>
    <w:p w14:paraId="329B89F4" w14:textId="58DC9C4C" w:rsidR="000F3BC8" w:rsidRPr="001F4ECA" w:rsidRDefault="000F3BC8" w:rsidP="00ED38BC">
      <w:pPr>
        <w:pStyle w:val="paranumbering0"/>
        <w:spacing w:before="0" w:beforeAutospacing="0" w:after="0" w:afterAutospacing="0"/>
        <w:contextualSpacing/>
        <w:jc w:val="center"/>
      </w:pPr>
    </w:p>
    <w:p w14:paraId="2264E1F5" w14:textId="22A24488" w:rsidR="004B510A" w:rsidRPr="001F4ECA" w:rsidRDefault="004B510A" w:rsidP="00ED38BC">
      <w:pPr>
        <w:pStyle w:val="paranumbering0"/>
        <w:spacing w:before="0" w:beforeAutospacing="0" w:after="0" w:afterAutospacing="0"/>
        <w:contextualSpacing/>
        <w:jc w:val="center"/>
      </w:pPr>
    </w:p>
    <w:p w14:paraId="462BD9F7" w14:textId="77777777" w:rsidR="004B510A" w:rsidRPr="001F4ECA" w:rsidRDefault="004B510A" w:rsidP="00ED38BC">
      <w:pPr>
        <w:pStyle w:val="paranumbering0"/>
        <w:spacing w:before="0" w:beforeAutospacing="0" w:after="0" w:afterAutospacing="0"/>
        <w:contextualSpacing/>
        <w:jc w:val="center"/>
      </w:pPr>
    </w:p>
    <w:p w14:paraId="74621111" w14:textId="77777777" w:rsidR="00E001B9" w:rsidRPr="001F4ECA" w:rsidRDefault="00E001B9" w:rsidP="00ED38BC">
      <w:pPr>
        <w:pStyle w:val="paranumbering0"/>
        <w:spacing w:before="0" w:beforeAutospacing="0" w:after="0" w:afterAutospacing="0"/>
        <w:contextualSpacing/>
        <w:jc w:val="center"/>
        <w:rPr>
          <w:b/>
        </w:rPr>
      </w:pPr>
    </w:p>
    <w:p w14:paraId="42AE62D7" w14:textId="5733AC33" w:rsidR="00ED38BC" w:rsidRPr="001F4ECA" w:rsidRDefault="00ED38BC" w:rsidP="00ED38BC">
      <w:pPr>
        <w:pStyle w:val="paranumbering0"/>
        <w:spacing w:before="0" w:beforeAutospacing="0" w:after="0" w:afterAutospacing="0"/>
        <w:contextualSpacing/>
        <w:jc w:val="center"/>
        <w:rPr>
          <w:b/>
        </w:rPr>
      </w:pPr>
      <w:r w:rsidRPr="001F4ECA">
        <w:rPr>
          <w:b/>
        </w:rPr>
        <w:t>Senator the Hon Simon Birmingham</w:t>
      </w:r>
    </w:p>
    <w:p w14:paraId="3712B948" w14:textId="77777777" w:rsidR="00ED38BC" w:rsidRDefault="00ED38BC" w:rsidP="00ED38BC">
      <w:pPr>
        <w:contextualSpacing/>
        <w:jc w:val="center"/>
        <w:rPr>
          <w:rFonts w:ascii="Times New Roman" w:hAnsi="Times New Roman"/>
          <w:b/>
          <w:sz w:val="24"/>
          <w:szCs w:val="24"/>
        </w:rPr>
      </w:pPr>
      <w:r w:rsidRPr="001F4ECA">
        <w:rPr>
          <w:rFonts w:ascii="Times New Roman" w:hAnsi="Times New Roman"/>
          <w:b/>
          <w:sz w:val="24"/>
          <w:szCs w:val="24"/>
        </w:rPr>
        <w:t>Minister for Finance</w:t>
      </w:r>
      <w:bookmarkStart w:id="5" w:name="_GoBack"/>
      <w:bookmarkEnd w:id="5"/>
    </w:p>
    <w:p w14:paraId="01BC467A" w14:textId="4392C4F9" w:rsidR="006818C0" w:rsidRPr="00904F8A" w:rsidRDefault="006818C0" w:rsidP="00D57BF8">
      <w:pPr>
        <w:pStyle w:val="paranumbering0"/>
        <w:spacing w:before="0" w:beforeAutospacing="0" w:after="120" w:afterAutospacing="0"/>
        <w:contextualSpacing/>
        <w:jc w:val="center"/>
      </w:pPr>
    </w:p>
    <w:sectPr w:rsidR="006818C0" w:rsidRPr="00904F8A" w:rsidSect="004D676F">
      <w:headerReference w:type="even" r:id="rId20"/>
      <w:headerReference w:type="default" r:id="rId21"/>
      <w:headerReference w:type="first" r:id="rId22"/>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E734" w16cex:dateUtc="2021-05-26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7FA779" w16cid:durableId="2458E7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2DEB7" w14:textId="77777777" w:rsidR="00E306A8" w:rsidRDefault="00E306A8" w:rsidP="00A739E5">
      <w:r>
        <w:separator/>
      </w:r>
    </w:p>
  </w:endnote>
  <w:endnote w:type="continuationSeparator" w:id="0">
    <w:p w14:paraId="714C9F6B" w14:textId="77777777" w:rsidR="00E306A8" w:rsidRDefault="00E306A8" w:rsidP="00A739E5">
      <w:r>
        <w:continuationSeparator/>
      </w:r>
    </w:p>
  </w:endnote>
  <w:endnote w:type="continuationNotice" w:id="1">
    <w:p w14:paraId="6C891A8B" w14:textId="77777777" w:rsidR="00E306A8" w:rsidRDefault="00E30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1DB8" w14:textId="38CFE876" w:rsidR="00E306A8" w:rsidRDefault="00E306A8">
    <w:pPr>
      <w:pStyle w:val="Footer"/>
    </w:pPr>
    <w:r>
      <w:rPr>
        <w:noProof/>
      </w:rPr>
      <mc:AlternateContent>
        <mc:Choice Requires="wps">
          <w:drawing>
            <wp:anchor distT="0" distB="0" distL="114300" distR="114300" simplePos="0" relativeHeight="251659264" behindDoc="0" locked="1" layoutInCell="0" allowOverlap="1" wp14:anchorId="1B15C877" wp14:editId="50A224FB">
              <wp:simplePos x="0" y="0"/>
              <wp:positionH relativeFrom="margin">
                <wp:align>center</wp:align>
              </wp:positionH>
              <wp:positionV relativeFrom="bottomMargin">
                <wp:align>center</wp:align>
              </wp:positionV>
              <wp:extent cx="892175" cy="273050"/>
              <wp:effectExtent l="0" t="0" r="0" b="0"/>
              <wp:wrapNone/>
              <wp:docPr id="1"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1FFAE1" w14:textId="01C28EBE" w:rsidR="00E306A8" w:rsidRPr="00007BB5" w:rsidRDefault="00E306A8" w:rsidP="00007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15C877" id="_x0000_t202" coordsize="21600,21600" o:spt="202" path="m,l,21600r21600,l21600,xe">
              <v:stroke joinstyle="miter"/>
              <v:path gradientshapeok="t" o:connecttype="rect"/>
            </v:shapetype>
            <v:shape id="janusSEAL SC Footer" o:spid="_x0000_s1026" type="#_x0000_t202" style="position:absolute;margin-left:0;margin-top:0;width:70.25pt;height:21.5pt;z-index:25165926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" o:allowincell="f" filled="f" stroked="f" strokeweight=".5pt">
              <v:textbox style="mso-fit-shape-to-text:t">
                <w:txbxContent>
                  <w:p w14:paraId="141FFAE1" w14:textId="01C28EBE" w:rsidR="00E306A8" w:rsidRPr="00007BB5" w:rsidRDefault="00E306A8" w:rsidP="00007BB5">
                    <w:pPr>
                      <w:jc w:val="center"/>
                      <w:rPr>
                        <w:rFonts w:ascii="Arial" w:hAnsi="Arial" w:cs="Arial"/>
                        <w:b/>
                        <w:color w:val="FF0000"/>
                        <w:sz w:val="24"/>
                      </w:rPr>
                    </w:pP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6FAF" w14:textId="0A4AED40" w:rsidR="00E306A8" w:rsidRDefault="00E306A8">
    <w:pPr>
      <w:pStyle w:val="Footer"/>
    </w:pPr>
    <w:r>
      <w:rPr>
        <w:noProof/>
      </w:rPr>
      <mc:AlternateContent>
        <mc:Choice Requires="wps">
          <w:drawing>
            <wp:anchor distT="0" distB="0" distL="114300" distR="114300" simplePos="0" relativeHeight="251660288" behindDoc="0" locked="1" layoutInCell="0" allowOverlap="1" wp14:anchorId="777C5E67" wp14:editId="1A011D3B">
              <wp:simplePos x="0" y="0"/>
              <wp:positionH relativeFrom="margin">
                <wp:align>center</wp:align>
              </wp:positionH>
              <wp:positionV relativeFrom="bottomMargin">
                <wp:align>center</wp:align>
              </wp:positionV>
              <wp:extent cx="892175" cy="273050"/>
              <wp:effectExtent l="0" t="0" r="0" b="0"/>
              <wp:wrapNone/>
              <wp:docPr id="2"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B1FC8" w14:textId="370D2E1B" w:rsidR="00E306A8" w:rsidRPr="00007BB5" w:rsidRDefault="00E306A8" w:rsidP="00007BB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7C5E67" id="_x0000_t202" coordsize="21600,21600" o:spt="202" path="m,l,21600r21600,l21600,xe">
              <v:stroke joinstyle="miter"/>
              <v:path gradientshapeok="t" o:connecttype="rect"/>
            </v:shapetype>
            <v:shape id="janusSEAL SC F_FirstPage" o:spid="_x0000_s1027" type="#_x0000_t202" style="position:absolute;margin-left:0;margin-top:0;width:70.25pt;height:21.5pt;z-index:25166028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" o:allowincell="f" filled="f" stroked="f" strokeweight=".5pt">
              <v:textbox style="mso-fit-shape-to-text:t">
                <w:txbxContent>
                  <w:p w14:paraId="59AB1FC8" w14:textId="370D2E1B" w:rsidR="00E306A8" w:rsidRPr="00007BB5" w:rsidRDefault="00E306A8" w:rsidP="00007BB5">
                    <w:pPr>
                      <w:jc w:val="center"/>
                      <w:rPr>
                        <w:rFonts w:ascii="Arial" w:hAnsi="Arial" w:cs="Arial"/>
                        <w:b/>
                        <w:color w:val="FF0000"/>
                        <w:sz w:val="24"/>
                      </w:rPr>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11190" w14:textId="77777777" w:rsidR="00E306A8" w:rsidRDefault="00E306A8" w:rsidP="00A739E5">
      <w:r>
        <w:separator/>
      </w:r>
    </w:p>
  </w:footnote>
  <w:footnote w:type="continuationSeparator" w:id="0">
    <w:p w14:paraId="5F59E637" w14:textId="77777777" w:rsidR="00E306A8" w:rsidRDefault="00E306A8" w:rsidP="00A739E5">
      <w:r>
        <w:continuationSeparator/>
      </w:r>
    </w:p>
  </w:footnote>
  <w:footnote w:type="continuationNotice" w:id="1">
    <w:p w14:paraId="6C9FD88F" w14:textId="77777777" w:rsidR="00E306A8" w:rsidRDefault="00E306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44E5C" w14:textId="7D8C6323" w:rsidR="00E306A8" w:rsidRDefault="001F4ECA">
    <w:pPr>
      <w:pStyle w:val="Header"/>
      <w:jc w:val="center"/>
    </w:pPr>
    <w:sdt>
      <w:sdtPr>
        <w:id w:val="8403760"/>
        <w:docPartObj>
          <w:docPartGallery w:val="Page Numbers (Top of Page)"/>
          <w:docPartUnique/>
        </w:docPartObj>
      </w:sdtPr>
      <w:sdtEndPr/>
      <w:sdtContent>
        <w:r w:rsidR="00E306A8">
          <w:fldChar w:fldCharType="begin"/>
        </w:r>
        <w:r w:rsidR="00E306A8">
          <w:instrText xml:space="preserve"> PAGE   \* MERGEFORMAT </w:instrText>
        </w:r>
        <w:r w:rsidR="00E306A8">
          <w:fldChar w:fldCharType="separate"/>
        </w:r>
        <w:r>
          <w:rPr>
            <w:noProof/>
          </w:rPr>
          <w:t>2</w:t>
        </w:r>
        <w:r w:rsidR="00E306A8">
          <w:rPr>
            <w:noProof/>
          </w:rPr>
          <w:fldChar w:fldCharType="end"/>
        </w:r>
      </w:sdtContent>
    </w:sdt>
  </w:p>
  <w:p w14:paraId="128EFE22" w14:textId="77777777" w:rsidR="00E306A8" w:rsidRDefault="00E30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E8F3" w14:textId="77777777" w:rsidR="00E306A8" w:rsidRDefault="00E306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34E7" w14:textId="77777777" w:rsidR="00E306A8" w:rsidRDefault="00E306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BD4B" w14:textId="3DF45F47" w:rsidR="00E306A8" w:rsidRDefault="001F4ECA">
    <w:pPr>
      <w:pStyle w:val="Header"/>
      <w:jc w:val="center"/>
    </w:pPr>
    <w:sdt>
      <w:sdtPr>
        <w:id w:val="8403761"/>
        <w:docPartObj>
          <w:docPartGallery w:val="Page Numbers (Top of Page)"/>
          <w:docPartUnique/>
        </w:docPartObj>
      </w:sdtPr>
      <w:sdtEndPr/>
      <w:sdtContent>
        <w:r w:rsidR="00E306A8">
          <w:fldChar w:fldCharType="begin"/>
        </w:r>
        <w:r w:rsidR="00E306A8">
          <w:instrText xml:space="preserve"> PAGE   \* MERGEFORMAT </w:instrText>
        </w:r>
        <w:r w:rsidR="00E306A8">
          <w:fldChar w:fldCharType="separate"/>
        </w:r>
        <w:r>
          <w:rPr>
            <w:noProof/>
          </w:rPr>
          <w:t>29</w:t>
        </w:r>
        <w:r w:rsidR="00E306A8">
          <w:rPr>
            <w:noProof/>
          </w:rPr>
          <w:fldChar w:fldCharType="end"/>
        </w:r>
      </w:sdtContent>
    </w:sdt>
  </w:p>
  <w:p w14:paraId="08B3B9B8" w14:textId="77777777" w:rsidR="00E306A8" w:rsidRDefault="00E306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7372" w14:textId="717A3491" w:rsidR="00E306A8" w:rsidRPr="00CA76CF" w:rsidRDefault="00E306A8" w:rsidP="004D676F">
    <w:pPr>
      <w:pStyle w:val="Header"/>
      <w:jc w:val="right"/>
      <w:rPr>
        <w:b/>
        <w:u w:val="single"/>
      </w:rPr>
    </w:pPr>
    <w:r w:rsidRPr="0088187F">
      <w:rPr>
        <w:b/>
        <w:u w:val="single"/>
      </w:rPr>
      <w:t>Attachment A</w:t>
    </w:r>
  </w:p>
  <w:p w14:paraId="318C8ACC" w14:textId="77777777" w:rsidR="00E306A8" w:rsidRDefault="00E306A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4C5D4" w14:textId="77777777" w:rsidR="00E306A8" w:rsidRDefault="00E306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1CC5" w14:textId="42C1010F" w:rsidR="00E306A8" w:rsidRDefault="001F4ECA">
    <w:pPr>
      <w:pStyle w:val="Header"/>
      <w:jc w:val="center"/>
    </w:pPr>
    <w:sdt>
      <w:sdtPr>
        <w:id w:val="8403763"/>
        <w:docPartObj>
          <w:docPartGallery w:val="Page Numbers (Top of Page)"/>
          <w:docPartUnique/>
        </w:docPartObj>
      </w:sdtPr>
      <w:sdtEndPr/>
      <w:sdtContent>
        <w:r w:rsidR="00E306A8">
          <w:fldChar w:fldCharType="begin"/>
        </w:r>
        <w:r w:rsidR="00E306A8">
          <w:instrText xml:space="preserve"> PAGE   \* MERGEFORMAT </w:instrText>
        </w:r>
        <w:r w:rsidR="00E306A8">
          <w:fldChar w:fldCharType="separate"/>
        </w:r>
        <w:r>
          <w:rPr>
            <w:noProof/>
          </w:rPr>
          <w:t>12</w:t>
        </w:r>
        <w:r w:rsidR="00E306A8">
          <w:rPr>
            <w:noProof/>
          </w:rPr>
          <w:fldChar w:fldCharType="end"/>
        </w:r>
      </w:sdtContent>
    </w:sdt>
  </w:p>
  <w:p w14:paraId="4BA28B68" w14:textId="77777777" w:rsidR="00E306A8" w:rsidRDefault="00E306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C988" w14:textId="77262DEE" w:rsidR="00E306A8" w:rsidRPr="00CA76CF" w:rsidRDefault="00E306A8" w:rsidP="004D676F">
    <w:pPr>
      <w:pStyle w:val="Header"/>
      <w:jc w:val="right"/>
      <w:rPr>
        <w:b/>
        <w:u w:val="single"/>
      </w:rPr>
    </w:pPr>
    <w:r w:rsidRPr="0088187F">
      <w:rPr>
        <w:b/>
        <w:u w:val="single"/>
      </w:rPr>
      <w:t xml:space="preserve">Attachment </w:t>
    </w:r>
    <w:r>
      <w:rPr>
        <w:b/>
        <w:u w:val="single"/>
      </w:rPr>
      <w:t>B</w:t>
    </w:r>
  </w:p>
  <w:p w14:paraId="13FB34A2" w14:textId="77777777" w:rsidR="00E306A8" w:rsidRDefault="00E306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D1"/>
    <w:multiLevelType w:val="hybridMultilevel"/>
    <w:tmpl w:val="9ECA17D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E2DC6"/>
    <w:multiLevelType w:val="hybridMultilevel"/>
    <w:tmpl w:val="BCF24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24EF4"/>
    <w:multiLevelType w:val="hybridMultilevel"/>
    <w:tmpl w:val="7E9C8B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5" w15:restartNumberingAfterBreak="0">
    <w:nsid w:val="0D826984"/>
    <w:multiLevelType w:val="hybridMultilevel"/>
    <w:tmpl w:val="74A8C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601925"/>
    <w:multiLevelType w:val="hybridMultilevel"/>
    <w:tmpl w:val="8E503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EA532F"/>
    <w:multiLevelType w:val="hybridMultilevel"/>
    <w:tmpl w:val="FED00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56358B"/>
    <w:multiLevelType w:val="hybridMultilevel"/>
    <w:tmpl w:val="A9FC9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2"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3" w15:restartNumberingAfterBreak="0">
    <w:nsid w:val="1C965051"/>
    <w:multiLevelType w:val="hybridMultilevel"/>
    <w:tmpl w:val="D8749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BD3624"/>
    <w:multiLevelType w:val="hybridMultilevel"/>
    <w:tmpl w:val="8F02A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37879AC"/>
    <w:multiLevelType w:val="hybridMultilevel"/>
    <w:tmpl w:val="86A86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9"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20" w15:restartNumberingAfterBreak="0">
    <w:nsid w:val="2A801ABE"/>
    <w:multiLevelType w:val="hybridMultilevel"/>
    <w:tmpl w:val="B70CD56C"/>
    <w:lvl w:ilvl="0" w:tplc="2612C91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F35514"/>
    <w:multiLevelType w:val="hybridMultilevel"/>
    <w:tmpl w:val="5180F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BD6310"/>
    <w:multiLevelType w:val="multilevel"/>
    <w:tmpl w:val="569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952180"/>
    <w:multiLevelType w:val="hybridMultilevel"/>
    <w:tmpl w:val="C5F86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056F8A"/>
    <w:multiLevelType w:val="hybridMultilevel"/>
    <w:tmpl w:val="89F857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B39426F"/>
    <w:multiLevelType w:val="hybridMultilevel"/>
    <w:tmpl w:val="0A56DFAC"/>
    <w:lvl w:ilvl="0" w:tplc="0C090001">
      <w:start w:val="1"/>
      <w:numFmt w:val="bullet"/>
      <w:lvlText w:val=""/>
      <w:lvlJc w:val="left"/>
      <w:pPr>
        <w:ind w:left="717" w:hanging="360"/>
      </w:pPr>
      <w:rPr>
        <w:rFonts w:ascii="Symbol" w:hAnsi="Symbol"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7" w15:restartNumberingAfterBreak="0">
    <w:nsid w:val="3E755DD2"/>
    <w:multiLevelType w:val="hybridMultilevel"/>
    <w:tmpl w:val="82987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D0B4D"/>
    <w:multiLevelType w:val="hybridMultilevel"/>
    <w:tmpl w:val="02FE197E"/>
    <w:lvl w:ilvl="0" w:tplc="F4CCF5B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687187"/>
    <w:multiLevelType w:val="hybridMultilevel"/>
    <w:tmpl w:val="0BB2F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6D63D7"/>
    <w:multiLevelType w:val="hybridMultilevel"/>
    <w:tmpl w:val="F114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8906C1"/>
    <w:multiLevelType w:val="hybridMultilevel"/>
    <w:tmpl w:val="8D9E7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58207BE9"/>
    <w:multiLevelType w:val="hybridMultilevel"/>
    <w:tmpl w:val="63B0B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6" w15:restartNumberingAfterBreak="0">
    <w:nsid w:val="65664296"/>
    <w:multiLevelType w:val="hybridMultilevel"/>
    <w:tmpl w:val="7A06C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C25B7A"/>
    <w:multiLevelType w:val="hybridMultilevel"/>
    <w:tmpl w:val="3D1A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9" w15:restartNumberingAfterBreak="0">
    <w:nsid w:val="764574CC"/>
    <w:multiLevelType w:val="hybridMultilevel"/>
    <w:tmpl w:val="F7B81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417A74"/>
    <w:multiLevelType w:val="hybridMultilevel"/>
    <w:tmpl w:val="23525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18"/>
  </w:num>
  <w:num w:numId="4">
    <w:abstractNumId w:val="19"/>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5"/>
  </w:num>
  <w:num w:numId="9">
    <w:abstractNumId w:val="17"/>
  </w:num>
  <w:num w:numId="10">
    <w:abstractNumId w:val="12"/>
  </w:num>
  <w:num w:numId="11">
    <w:abstractNumId w:val="10"/>
  </w:num>
  <w:num w:numId="12">
    <w:abstractNumId w:val="24"/>
  </w:num>
  <w:num w:numId="13">
    <w:abstractNumId w:val="15"/>
  </w:num>
  <w:num w:numId="14">
    <w:abstractNumId w:val="36"/>
  </w:num>
  <w:num w:numId="15">
    <w:abstractNumId w:val="0"/>
  </w:num>
  <w:num w:numId="16">
    <w:abstractNumId w:val="3"/>
  </w:num>
  <w:num w:numId="17">
    <w:abstractNumId w:val="37"/>
  </w:num>
  <w:num w:numId="18">
    <w:abstractNumId w:val="1"/>
  </w:num>
  <w:num w:numId="19">
    <w:abstractNumId w:val="25"/>
  </w:num>
  <w:num w:numId="20">
    <w:abstractNumId w:val="2"/>
  </w:num>
  <w:num w:numId="21">
    <w:abstractNumId w:val="14"/>
  </w:num>
  <w:num w:numId="22">
    <w:abstractNumId w:val="9"/>
  </w:num>
  <w:num w:numId="23">
    <w:abstractNumId w:val="26"/>
  </w:num>
  <w:num w:numId="24">
    <w:abstractNumId w:val="20"/>
  </w:num>
  <w:num w:numId="25">
    <w:abstractNumId w:val="29"/>
  </w:num>
  <w:num w:numId="26">
    <w:abstractNumId w:val="8"/>
  </w:num>
  <w:num w:numId="27">
    <w:abstractNumId w:val="32"/>
  </w:num>
  <w:num w:numId="28">
    <w:abstractNumId w:val="22"/>
  </w:num>
  <w:num w:numId="29">
    <w:abstractNumId w:val="21"/>
  </w:num>
  <w:num w:numId="30">
    <w:abstractNumId w:val="23"/>
  </w:num>
  <w:num w:numId="31">
    <w:abstractNumId w:val="39"/>
  </w:num>
  <w:num w:numId="32">
    <w:abstractNumId w:val="28"/>
  </w:num>
  <w:num w:numId="33">
    <w:abstractNumId w:val="34"/>
  </w:num>
  <w:num w:numId="34">
    <w:abstractNumId w:val="5"/>
  </w:num>
  <w:num w:numId="35">
    <w:abstractNumId w:val="27"/>
  </w:num>
  <w:num w:numId="36">
    <w:abstractNumId w:val="30"/>
  </w:num>
  <w:num w:numId="37">
    <w:abstractNumId w:val="6"/>
  </w:num>
  <w:num w:numId="38">
    <w:abstractNumId w:val="7"/>
  </w:num>
  <w:num w:numId="39">
    <w:abstractNumId w:val="40"/>
  </w:num>
  <w:num w:numId="40">
    <w:abstractNumId w:val="13"/>
  </w:num>
  <w:num w:numId="4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498"/>
    <w:rsid w:val="0000354E"/>
    <w:rsid w:val="000037DD"/>
    <w:rsid w:val="000039E8"/>
    <w:rsid w:val="000044F9"/>
    <w:rsid w:val="00004A33"/>
    <w:rsid w:val="0000562B"/>
    <w:rsid w:val="000059AA"/>
    <w:rsid w:val="00005E8F"/>
    <w:rsid w:val="00006070"/>
    <w:rsid w:val="00006B56"/>
    <w:rsid w:val="00007BB5"/>
    <w:rsid w:val="00007DF9"/>
    <w:rsid w:val="00010243"/>
    <w:rsid w:val="00011BF2"/>
    <w:rsid w:val="00012C74"/>
    <w:rsid w:val="00012CB9"/>
    <w:rsid w:val="00012D44"/>
    <w:rsid w:val="00014FFC"/>
    <w:rsid w:val="0001526E"/>
    <w:rsid w:val="00015510"/>
    <w:rsid w:val="00016219"/>
    <w:rsid w:val="00016690"/>
    <w:rsid w:val="000170EF"/>
    <w:rsid w:val="00017136"/>
    <w:rsid w:val="000173B6"/>
    <w:rsid w:val="00017611"/>
    <w:rsid w:val="00017E5D"/>
    <w:rsid w:val="000209F7"/>
    <w:rsid w:val="00020BD0"/>
    <w:rsid w:val="00021273"/>
    <w:rsid w:val="000217C4"/>
    <w:rsid w:val="00021EAF"/>
    <w:rsid w:val="000223BC"/>
    <w:rsid w:val="00023015"/>
    <w:rsid w:val="000236C9"/>
    <w:rsid w:val="000236DD"/>
    <w:rsid w:val="000241F5"/>
    <w:rsid w:val="000242C5"/>
    <w:rsid w:val="00024813"/>
    <w:rsid w:val="00024D0A"/>
    <w:rsid w:val="00025954"/>
    <w:rsid w:val="00025D05"/>
    <w:rsid w:val="00026219"/>
    <w:rsid w:val="00026F4B"/>
    <w:rsid w:val="00027364"/>
    <w:rsid w:val="000274FF"/>
    <w:rsid w:val="00027A9C"/>
    <w:rsid w:val="00030505"/>
    <w:rsid w:val="000305FA"/>
    <w:rsid w:val="0003061C"/>
    <w:rsid w:val="00031029"/>
    <w:rsid w:val="000311CA"/>
    <w:rsid w:val="000317F0"/>
    <w:rsid w:val="00031D99"/>
    <w:rsid w:val="00031DE1"/>
    <w:rsid w:val="000323DA"/>
    <w:rsid w:val="00032586"/>
    <w:rsid w:val="00032EE7"/>
    <w:rsid w:val="0003356E"/>
    <w:rsid w:val="00034CEB"/>
    <w:rsid w:val="00035EF5"/>
    <w:rsid w:val="00036986"/>
    <w:rsid w:val="00036A66"/>
    <w:rsid w:val="00036C71"/>
    <w:rsid w:val="00036E07"/>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1D3C"/>
    <w:rsid w:val="00052381"/>
    <w:rsid w:val="00052A24"/>
    <w:rsid w:val="00052A3D"/>
    <w:rsid w:val="00053020"/>
    <w:rsid w:val="00053970"/>
    <w:rsid w:val="000540D6"/>
    <w:rsid w:val="000549D1"/>
    <w:rsid w:val="00055BA8"/>
    <w:rsid w:val="00055BC4"/>
    <w:rsid w:val="00055F73"/>
    <w:rsid w:val="000564BF"/>
    <w:rsid w:val="0005650D"/>
    <w:rsid w:val="00056EB6"/>
    <w:rsid w:val="00060D28"/>
    <w:rsid w:val="00061187"/>
    <w:rsid w:val="00061729"/>
    <w:rsid w:val="00061DCB"/>
    <w:rsid w:val="00061E47"/>
    <w:rsid w:val="00062673"/>
    <w:rsid w:val="000626E9"/>
    <w:rsid w:val="00062D90"/>
    <w:rsid w:val="00062DC0"/>
    <w:rsid w:val="0006315A"/>
    <w:rsid w:val="00064EEB"/>
    <w:rsid w:val="0006530B"/>
    <w:rsid w:val="00066049"/>
    <w:rsid w:val="00066E99"/>
    <w:rsid w:val="00067DC2"/>
    <w:rsid w:val="00070FB9"/>
    <w:rsid w:val="00070FD3"/>
    <w:rsid w:val="0007110A"/>
    <w:rsid w:val="00071211"/>
    <w:rsid w:val="0007164D"/>
    <w:rsid w:val="000723CA"/>
    <w:rsid w:val="00072616"/>
    <w:rsid w:val="00072B13"/>
    <w:rsid w:val="0007310C"/>
    <w:rsid w:val="0007329E"/>
    <w:rsid w:val="00073645"/>
    <w:rsid w:val="00074977"/>
    <w:rsid w:val="00075BE7"/>
    <w:rsid w:val="00076717"/>
    <w:rsid w:val="00077072"/>
    <w:rsid w:val="00077283"/>
    <w:rsid w:val="000772A0"/>
    <w:rsid w:val="00077F72"/>
    <w:rsid w:val="00080C63"/>
    <w:rsid w:val="00082051"/>
    <w:rsid w:val="00082367"/>
    <w:rsid w:val="0008291F"/>
    <w:rsid w:val="00082966"/>
    <w:rsid w:val="00082A3E"/>
    <w:rsid w:val="00082DAC"/>
    <w:rsid w:val="0008306F"/>
    <w:rsid w:val="00083596"/>
    <w:rsid w:val="000836F6"/>
    <w:rsid w:val="00083C8A"/>
    <w:rsid w:val="00084C7A"/>
    <w:rsid w:val="00084E7A"/>
    <w:rsid w:val="00084F95"/>
    <w:rsid w:val="00085179"/>
    <w:rsid w:val="00085AB1"/>
    <w:rsid w:val="00085B09"/>
    <w:rsid w:val="00085F8B"/>
    <w:rsid w:val="00087665"/>
    <w:rsid w:val="000917B1"/>
    <w:rsid w:val="00092960"/>
    <w:rsid w:val="00092C3A"/>
    <w:rsid w:val="000935B0"/>
    <w:rsid w:val="00093C26"/>
    <w:rsid w:val="00093DFC"/>
    <w:rsid w:val="00093E05"/>
    <w:rsid w:val="00093EE2"/>
    <w:rsid w:val="0009495E"/>
    <w:rsid w:val="00094AD1"/>
    <w:rsid w:val="00094AF3"/>
    <w:rsid w:val="00095215"/>
    <w:rsid w:val="00095F54"/>
    <w:rsid w:val="0009611E"/>
    <w:rsid w:val="000962A2"/>
    <w:rsid w:val="0009723B"/>
    <w:rsid w:val="00097451"/>
    <w:rsid w:val="00097ABA"/>
    <w:rsid w:val="00097B24"/>
    <w:rsid w:val="00097F1F"/>
    <w:rsid w:val="00097F3F"/>
    <w:rsid w:val="000A07C5"/>
    <w:rsid w:val="000A103A"/>
    <w:rsid w:val="000A1E0A"/>
    <w:rsid w:val="000A2A3A"/>
    <w:rsid w:val="000A2CE1"/>
    <w:rsid w:val="000A36D9"/>
    <w:rsid w:val="000A387D"/>
    <w:rsid w:val="000A3D7F"/>
    <w:rsid w:val="000A3DC8"/>
    <w:rsid w:val="000A3E03"/>
    <w:rsid w:val="000A43CB"/>
    <w:rsid w:val="000A460A"/>
    <w:rsid w:val="000A472D"/>
    <w:rsid w:val="000A54AE"/>
    <w:rsid w:val="000A62FE"/>
    <w:rsid w:val="000A6332"/>
    <w:rsid w:val="000A661F"/>
    <w:rsid w:val="000A7502"/>
    <w:rsid w:val="000A786A"/>
    <w:rsid w:val="000A7D59"/>
    <w:rsid w:val="000B06E3"/>
    <w:rsid w:val="000B07F7"/>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5E6D"/>
    <w:rsid w:val="000B5F64"/>
    <w:rsid w:val="000B6EB5"/>
    <w:rsid w:val="000B7134"/>
    <w:rsid w:val="000B7AA7"/>
    <w:rsid w:val="000C0497"/>
    <w:rsid w:val="000C1A6B"/>
    <w:rsid w:val="000C1C2C"/>
    <w:rsid w:val="000C1FE0"/>
    <w:rsid w:val="000C2460"/>
    <w:rsid w:val="000C2A3C"/>
    <w:rsid w:val="000C2B91"/>
    <w:rsid w:val="000C33DA"/>
    <w:rsid w:val="000C3B55"/>
    <w:rsid w:val="000C5154"/>
    <w:rsid w:val="000C5AF4"/>
    <w:rsid w:val="000C60C7"/>
    <w:rsid w:val="000C62FE"/>
    <w:rsid w:val="000C6D33"/>
    <w:rsid w:val="000C6DE2"/>
    <w:rsid w:val="000C6E0B"/>
    <w:rsid w:val="000C7715"/>
    <w:rsid w:val="000D02E1"/>
    <w:rsid w:val="000D0ADB"/>
    <w:rsid w:val="000D0BCE"/>
    <w:rsid w:val="000D11F7"/>
    <w:rsid w:val="000D14BF"/>
    <w:rsid w:val="000D1B54"/>
    <w:rsid w:val="000D2900"/>
    <w:rsid w:val="000D293C"/>
    <w:rsid w:val="000D30EE"/>
    <w:rsid w:val="000D3732"/>
    <w:rsid w:val="000D3914"/>
    <w:rsid w:val="000D43E7"/>
    <w:rsid w:val="000D4820"/>
    <w:rsid w:val="000D5752"/>
    <w:rsid w:val="000D5E62"/>
    <w:rsid w:val="000D640B"/>
    <w:rsid w:val="000D6597"/>
    <w:rsid w:val="000D6730"/>
    <w:rsid w:val="000D6DCF"/>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03FE"/>
    <w:rsid w:val="000F1065"/>
    <w:rsid w:val="000F1448"/>
    <w:rsid w:val="000F15EF"/>
    <w:rsid w:val="000F1863"/>
    <w:rsid w:val="000F1883"/>
    <w:rsid w:val="000F23AE"/>
    <w:rsid w:val="000F2CB7"/>
    <w:rsid w:val="000F37EC"/>
    <w:rsid w:val="000F3BC8"/>
    <w:rsid w:val="000F3E9A"/>
    <w:rsid w:val="000F42A0"/>
    <w:rsid w:val="000F491B"/>
    <w:rsid w:val="000F52A2"/>
    <w:rsid w:val="001000C4"/>
    <w:rsid w:val="00101F19"/>
    <w:rsid w:val="00102970"/>
    <w:rsid w:val="00103439"/>
    <w:rsid w:val="00103DDF"/>
    <w:rsid w:val="001041E9"/>
    <w:rsid w:val="00104359"/>
    <w:rsid w:val="001048A8"/>
    <w:rsid w:val="00104AF1"/>
    <w:rsid w:val="0010579B"/>
    <w:rsid w:val="00105AD5"/>
    <w:rsid w:val="00105BB0"/>
    <w:rsid w:val="00105FB4"/>
    <w:rsid w:val="00106606"/>
    <w:rsid w:val="00107AA9"/>
    <w:rsid w:val="0011057D"/>
    <w:rsid w:val="00110858"/>
    <w:rsid w:val="00111072"/>
    <w:rsid w:val="0011126F"/>
    <w:rsid w:val="00111288"/>
    <w:rsid w:val="001119CE"/>
    <w:rsid w:val="00111A6E"/>
    <w:rsid w:val="00111AE1"/>
    <w:rsid w:val="00111F31"/>
    <w:rsid w:val="00111FEC"/>
    <w:rsid w:val="00112B6A"/>
    <w:rsid w:val="001135BE"/>
    <w:rsid w:val="00113CEA"/>
    <w:rsid w:val="00114236"/>
    <w:rsid w:val="00115FE2"/>
    <w:rsid w:val="0011618C"/>
    <w:rsid w:val="001168C2"/>
    <w:rsid w:val="001173BD"/>
    <w:rsid w:val="001211B9"/>
    <w:rsid w:val="001221AC"/>
    <w:rsid w:val="00122856"/>
    <w:rsid w:val="00122A23"/>
    <w:rsid w:val="00123073"/>
    <w:rsid w:val="0012357A"/>
    <w:rsid w:val="00123D6F"/>
    <w:rsid w:val="00124676"/>
    <w:rsid w:val="00124D06"/>
    <w:rsid w:val="00125FF4"/>
    <w:rsid w:val="00130C06"/>
    <w:rsid w:val="00131C9C"/>
    <w:rsid w:val="00131E4E"/>
    <w:rsid w:val="00131FD7"/>
    <w:rsid w:val="00132218"/>
    <w:rsid w:val="00133007"/>
    <w:rsid w:val="00133362"/>
    <w:rsid w:val="00133AF4"/>
    <w:rsid w:val="00134043"/>
    <w:rsid w:val="001340F9"/>
    <w:rsid w:val="001340FA"/>
    <w:rsid w:val="00134890"/>
    <w:rsid w:val="0013533A"/>
    <w:rsid w:val="001354C0"/>
    <w:rsid w:val="0013575E"/>
    <w:rsid w:val="00135D7E"/>
    <w:rsid w:val="00135EAD"/>
    <w:rsid w:val="001367DE"/>
    <w:rsid w:val="00136BFC"/>
    <w:rsid w:val="001400F7"/>
    <w:rsid w:val="00140566"/>
    <w:rsid w:val="001415CE"/>
    <w:rsid w:val="00141FE8"/>
    <w:rsid w:val="00142531"/>
    <w:rsid w:val="0014294F"/>
    <w:rsid w:val="00143BAD"/>
    <w:rsid w:val="00144863"/>
    <w:rsid w:val="00145522"/>
    <w:rsid w:val="00145D31"/>
    <w:rsid w:val="00145E67"/>
    <w:rsid w:val="00146362"/>
    <w:rsid w:val="0014644B"/>
    <w:rsid w:val="00146A4F"/>
    <w:rsid w:val="00147325"/>
    <w:rsid w:val="00147703"/>
    <w:rsid w:val="0014791A"/>
    <w:rsid w:val="00151E88"/>
    <w:rsid w:val="001523C5"/>
    <w:rsid w:val="00152C36"/>
    <w:rsid w:val="001549E9"/>
    <w:rsid w:val="00154A87"/>
    <w:rsid w:val="0015523A"/>
    <w:rsid w:val="00155C82"/>
    <w:rsid w:val="00155D89"/>
    <w:rsid w:val="00156676"/>
    <w:rsid w:val="00157054"/>
    <w:rsid w:val="00157320"/>
    <w:rsid w:val="0016015E"/>
    <w:rsid w:val="00162539"/>
    <w:rsid w:val="00163A4A"/>
    <w:rsid w:val="00165011"/>
    <w:rsid w:val="00166488"/>
    <w:rsid w:val="0016663B"/>
    <w:rsid w:val="00166E6A"/>
    <w:rsid w:val="00166E74"/>
    <w:rsid w:val="001677B9"/>
    <w:rsid w:val="001678F1"/>
    <w:rsid w:val="00167DE0"/>
    <w:rsid w:val="00167F79"/>
    <w:rsid w:val="0017031A"/>
    <w:rsid w:val="00170C11"/>
    <w:rsid w:val="00171EF0"/>
    <w:rsid w:val="00172470"/>
    <w:rsid w:val="001724DF"/>
    <w:rsid w:val="00172950"/>
    <w:rsid w:val="001729C7"/>
    <w:rsid w:val="00172ACE"/>
    <w:rsid w:val="00172D79"/>
    <w:rsid w:val="00174992"/>
    <w:rsid w:val="00174A68"/>
    <w:rsid w:val="00174A9E"/>
    <w:rsid w:val="00174BA7"/>
    <w:rsid w:val="0017524C"/>
    <w:rsid w:val="00175555"/>
    <w:rsid w:val="00175817"/>
    <w:rsid w:val="001758EE"/>
    <w:rsid w:val="001760D6"/>
    <w:rsid w:val="001762E1"/>
    <w:rsid w:val="00176537"/>
    <w:rsid w:val="00176A40"/>
    <w:rsid w:val="00176BE6"/>
    <w:rsid w:val="00176E66"/>
    <w:rsid w:val="00176FFE"/>
    <w:rsid w:val="00177302"/>
    <w:rsid w:val="00177828"/>
    <w:rsid w:val="001778AF"/>
    <w:rsid w:val="00180923"/>
    <w:rsid w:val="00180E64"/>
    <w:rsid w:val="0018198C"/>
    <w:rsid w:val="00182074"/>
    <w:rsid w:val="001820FC"/>
    <w:rsid w:val="00182172"/>
    <w:rsid w:val="0018284A"/>
    <w:rsid w:val="001828A4"/>
    <w:rsid w:val="001829EF"/>
    <w:rsid w:val="00182A0F"/>
    <w:rsid w:val="00183372"/>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97C51"/>
    <w:rsid w:val="001A11F0"/>
    <w:rsid w:val="001A12D0"/>
    <w:rsid w:val="001A135A"/>
    <w:rsid w:val="001A14A8"/>
    <w:rsid w:val="001A1ABB"/>
    <w:rsid w:val="001A1D63"/>
    <w:rsid w:val="001A2864"/>
    <w:rsid w:val="001A2E7A"/>
    <w:rsid w:val="001A2FB3"/>
    <w:rsid w:val="001A3199"/>
    <w:rsid w:val="001A3271"/>
    <w:rsid w:val="001A3CEF"/>
    <w:rsid w:val="001A3FE0"/>
    <w:rsid w:val="001A4917"/>
    <w:rsid w:val="001A4B54"/>
    <w:rsid w:val="001A4F0D"/>
    <w:rsid w:val="001A59B4"/>
    <w:rsid w:val="001A5B13"/>
    <w:rsid w:val="001A5F1A"/>
    <w:rsid w:val="001A6323"/>
    <w:rsid w:val="001A69CE"/>
    <w:rsid w:val="001A6E59"/>
    <w:rsid w:val="001A70B2"/>
    <w:rsid w:val="001A776C"/>
    <w:rsid w:val="001A77C4"/>
    <w:rsid w:val="001B017E"/>
    <w:rsid w:val="001B0762"/>
    <w:rsid w:val="001B0E11"/>
    <w:rsid w:val="001B1033"/>
    <w:rsid w:val="001B122D"/>
    <w:rsid w:val="001B1AAD"/>
    <w:rsid w:val="001B2C4F"/>
    <w:rsid w:val="001B36A9"/>
    <w:rsid w:val="001B4646"/>
    <w:rsid w:val="001B473A"/>
    <w:rsid w:val="001B4AC4"/>
    <w:rsid w:val="001B4B2C"/>
    <w:rsid w:val="001B4B84"/>
    <w:rsid w:val="001B5199"/>
    <w:rsid w:val="001B52F2"/>
    <w:rsid w:val="001B5AF4"/>
    <w:rsid w:val="001B5B8E"/>
    <w:rsid w:val="001B5F32"/>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3FC5"/>
    <w:rsid w:val="001C4C20"/>
    <w:rsid w:val="001C563A"/>
    <w:rsid w:val="001C6CDB"/>
    <w:rsid w:val="001C6DAB"/>
    <w:rsid w:val="001C7119"/>
    <w:rsid w:val="001C73B2"/>
    <w:rsid w:val="001C748B"/>
    <w:rsid w:val="001D0C07"/>
    <w:rsid w:val="001D111F"/>
    <w:rsid w:val="001D1390"/>
    <w:rsid w:val="001D1A63"/>
    <w:rsid w:val="001D1C35"/>
    <w:rsid w:val="001D3224"/>
    <w:rsid w:val="001D362C"/>
    <w:rsid w:val="001D419F"/>
    <w:rsid w:val="001D48F5"/>
    <w:rsid w:val="001D4D1B"/>
    <w:rsid w:val="001D5C68"/>
    <w:rsid w:val="001D5D55"/>
    <w:rsid w:val="001D66FE"/>
    <w:rsid w:val="001D6903"/>
    <w:rsid w:val="001D6E1F"/>
    <w:rsid w:val="001D7161"/>
    <w:rsid w:val="001D74F4"/>
    <w:rsid w:val="001D7A67"/>
    <w:rsid w:val="001E0BDF"/>
    <w:rsid w:val="001E1456"/>
    <w:rsid w:val="001E1A6F"/>
    <w:rsid w:val="001E1B51"/>
    <w:rsid w:val="001E1C6F"/>
    <w:rsid w:val="001E1EAD"/>
    <w:rsid w:val="001E2290"/>
    <w:rsid w:val="001E2495"/>
    <w:rsid w:val="001E257C"/>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47"/>
    <w:rsid w:val="001F14AF"/>
    <w:rsid w:val="001F1595"/>
    <w:rsid w:val="001F239C"/>
    <w:rsid w:val="001F31CE"/>
    <w:rsid w:val="001F39FA"/>
    <w:rsid w:val="001F3F32"/>
    <w:rsid w:val="001F4ECA"/>
    <w:rsid w:val="001F5641"/>
    <w:rsid w:val="001F6043"/>
    <w:rsid w:val="001F64DE"/>
    <w:rsid w:val="001F6715"/>
    <w:rsid w:val="001F6815"/>
    <w:rsid w:val="001F72DF"/>
    <w:rsid w:val="001F7C52"/>
    <w:rsid w:val="002021CE"/>
    <w:rsid w:val="00202352"/>
    <w:rsid w:val="0020244E"/>
    <w:rsid w:val="00202D71"/>
    <w:rsid w:val="002030CC"/>
    <w:rsid w:val="00203112"/>
    <w:rsid w:val="00203224"/>
    <w:rsid w:val="002034DF"/>
    <w:rsid w:val="002038E5"/>
    <w:rsid w:val="00203D4C"/>
    <w:rsid w:val="002048F4"/>
    <w:rsid w:val="00204A9E"/>
    <w:rsid w:val="002051F2"/>
    <w:rsid w:val="0020679A"/>
    <w:rsid w:val="00207DAE"/>
    <w:rsid w:val="00210582"/>
    <w:rsid w:val="00210714"/>
    <w:rsid w:val="00210868"/>
    <w:rsid w:val="00211094"/>
    <w:rsid w:val="0021123D"/>
    <w:rsid w:val="00211BE0"/>
    <w:rsid w:val="00212BD9"/>
    <w:rsid w:val="00212E24"/>
    <w:rsid w:val="00212EBC"/>
    <w:rsid w:val="002136D8"/>
    <w:rsid w:val="00213D7B"/>
    <w:rsid w:val="00214860"/>
    <w:rsid w:val="002149E8"/>
    <w:rsid w:val="00214F61"/>
    <w:rsid w:val="00215120"/>
    <w:rsid w:val="00215279"/>
    <w:rsid w:val="00215EC2"/>
    <w:rsid w:val="002160D0"/>
    <w:rsid w:val="0021681C"/>
    <w:rsid w:val="002169C1"/>
    <w:rsid w:val="00217B96"/>
    <w:rsid w:val="00217F16"/>
    <w:rsid w:val="0022001C"/>
    <w:rsid w:val="00221032"/>
    <w:rsid w:val="00221768"/>
    <w:rsid w:val="002220E6"/>
    <w:rsid w:val="002225FB"/>
    <w:rsid w:val="00224860"/>
    <w:rsid w:val="002255DE"/>
    <w:rsid w:val="00225C4C"/>
    <w:rsid w:val="00227FDC"/>
    <w:rsid w:val="002307E1"/>
    <w:rsid w:val="002317C4"/>
    <w:rsid w:val="00232638"/>
    <w:rsid w:val="00233F03"/>
    <w:rsid w:val="002342AE"/>
    <w:rsid w:val="002346F4"/>
    <w:rsid w:val="002360E8"/>
    <w:rsid w:val="00236862"/>
    <w:rsid w:val="0023698E"/>
    <w:rsid w:val="00237628"/>
    <w:rsid w:val="0023776C"/>
    <w:rsid w:val="00237ACA"/>
    <w:rsid w:val="00240005"/>
    <w:rsid w:val="002405B7"/>
    <w:rsid w:val="00240D28"/>
    <w:rsid w:val="002410E9"/>
    <w:rsid w:val="0024130E"/>
    <w:rsid w:val="00241A02"/>
    <w:rsid w:val="00241A61"/>
    <w:rsid w:val="00241C06"/>
    <w:rsid w:val="0024227E"/>
    <w:rsid w:val="002427DC"/>
    <w:rsid w:val="00242DCE"/>
    <w:rsid w:val="00243B3D"/>
    <w:rsid w:val="002442C0"/>
    <w:rsid w:val="00244891"/>
    <w:rsid w:val="00244D35"/>
    <w:rsid w:val="00245233"/>
    <w:rsid w:val="002453AB"/>
    <w:rsid w:val="002459FF"/>
    <w:rsid w:val="00246D70"/>
    <w:rsid w:val="00247151"/>
    <w:rsid w:val="0024783E"/>
    <w:rsid w:val="00247A21"/>
    <w:rsid w:val="002510C4"/>
    <w:rsid w:val="002514A4"/>
    <w:rsid w:val="0025195A"/>
    <w:rsid w:val="00252B4B"/>
    <w:rsid w:val="00252F4A"/>
    <w:rsid w:val="002539B4"/>
    <w:rsid w:val="00253B0E"/>
    <w:rsid w:val="00253D00"/>
    <w:rsid w:val="00254139"/>
    <w:rsid w:val="00254250"/>
    <w:rsid w:val="00254F43"/>
    <w:rsid w:val="00254FE5"/>
    <w:rsid w:val="0025530F"/>
    <w:rsid w:val="00255713"/>
    <w:rsid w:val="0025583D"/>
    <w:rsid w:val="002559BC"/>
    <w:rsid w:val="00256C00"/>
    <w:rsid w:val="002573BB"/>
    <w:rsid w:val="002575F9"/>
    <w:rsid w:val="00257D05"/>
    <w:rsid w:val="002610DA"/>
    <w:rsid w:val="002632A8"/>
    <w:rsid w:val="0026427D"/>
    <w:rsid w:val="00265A16"/>
    <w:rsid w:val="00265C8C"/>
    <w:rsid w:val="00265D94"/>
    <w:rsid w:val="002663BC"/>
    <w:rsid w:val="0026654E"/>
    <w:rsid w:val="00266F53"/>
    <w:rsid w:val="00266FCD"/>
    <w:rsid w:val="00267075"/>
    <w:rsid w:val="002673F1"/>
    <w:rsid w:val="00267A7C"/>
    <w:rsid w:val="002707FB"/>
    <w:rsid w:val="00270DB3"/>
    <w:rsid w:val="00270F41"/>
    <w:rsid w:val="00271039"/>
    <w:rsid w:val="0027154E"/>
    <w:rsid w:val="00272E52"/>
    <w:rsid w:val="00274345"/>
    <w:rsid w:val="00274435"/>
    <w:rsid w:val="00274BF1"/>
    <w:rsid w:val="00275443"/>
    <w:rsid w:val="00275B02"/>
    <w:rsid w:val="00276C15"/>
    <w:rsid w:val="0027799D"/>
    <w:rsid w:val="002800CE"/>
    <w:rsid w:val="00281C57"/>
    <w:rsid w:val="00281EAE"/>
    <w:rsid w:val="00282AF7"/>
    <w:rsid w:val="00282E8D"/>
    <w:rsid w:val="00282FC3"/>
    <w:rsid w:val="002839F9"/>
    <w:rsid w:val="00284284"/>
    <w:rsid w:val="00285236"/>
    <w:rsid w:val="0028530A"/>
    <w:rsid w:val="0028700A"/>
    <w:rsid w:val="0028720B"/>
    <w:rsid w:val="00291511"/>
    <w:rsid w:val="002915A2"/>
    <w:rsid w:val="00291E24"/>
    <w:rsid w:val="00291FBF"/>
    <w:rsid w:val="00293442"/>
    <w:rsid w:val="002936F2"/>
    <w:rsid w:val="00294039"/>
    <w:rsid w:val="00294B3F"/>
    <w:rsid w:val="00294F19"/>
    <w:rsid w:val="00294FBA"/>
    <w:rsid w:val="0029618A"/>
    <w:rsid w:val="00296DB2"/>
    <w:rsid w:val="002974F9"/>
    <w:rsid w:val="00297FF0"/>
    <w:rsid w:val="002A0740"/>
    <w:rsid w:val="002A0F8F"/>
    <w:rsid w:val="002A11E3"/>
    <w:rsid w:val="002A17CD"/>
    <w:rsid w:val="002A2651"/>
    <w:rsid w:val="002A2726"/>
    <w:rsid w:val="002A2CB1"/>
    <w:rsid w:val="002A35ED"/>
    <w:rsid w:val="002A365B"/>
    <w:rsid w:val="002A36CC"/>
    <w:rsid w:val="002A3BC9"/>
    <w:rsid w:val="002A57EA"/>
    <w:rsid w:val="002A7EDE"/>
    <w:rsid w:val="002B005C"/>
    <w:rsid w:val="002B0922"/>
    <w:rsid w:val="002B0C05"/>
    <w:rsid w:val="002B0D32"/>
    <w:rsid w:val="002B11A6"/>
    <w:rsid w:val="002B1F96"/>
    <w:rsid w:val="002B1FF0"/>
    <w:rsid w:val="002B2301"/>
    <w:rsid w:val="002B264E"/>
    <w:rsid w:val="002B2880"/>
    <w:rsid w:val="002B3900"/>
    <w:rsid w:val="002B43E7"/>
    <w:rsid w:val="002B4444"/>
    <w:rsid w:val="002B4900"/>
    <w:rsid w:val="002B4B18"/>
    <w:rsid w:val="002B4DD0"/>
    <w:rsid w:val="002B4F1E"/>
    <w:rsid w:val="002B531A"/>
    <w:rsid w:val="002B6363"/>
    <w:rsid w:val="002B78E2"/>
    <w:rsid w:val="002C0748"/>
    <w:rsid w:val="002C1B59"/>
    <w:rsid w:val="002C20B7"/>
    <w:rsid w:val="002C2383"/>
    <w:rsid w:val="002C2877"/>
    <w:rsid w:val="002C2AD3"/>
    <w:rsid w:val="002C34DF"/>
    <w:rsid w:val="002C411F"/>
    <w:rsid w:val="002C4233"/>
    <w:rsid w:val="002C534F"/>
    <w:rsid w:val="002C56CD"/>
    <w:rsid w:val="002C5867"/>
    <w:rsid w:val="002C5EC0"/>
    <w:rsid w:val="002C7B17"/>
    <w:rsid w:val="002D0977"/>
    <w:rsid w:val="002D130F"/>
    <w:rsid w:val="002D241B"/>
    <w:rsid w:val="002D3B48"/>
    <w:rsid w:val="002D4100"/>
    <w:rsid w:val="002D45E6"/>
    <w:rsid w:val="002D5218"/>
    <w:rsid w:val="002D5314"/>
    <w:rsid w:val="002D5F8B"/>
    <w:rsid w:val="002D6705"/>
    <w:rsid w:val="002D6ECD"/>
    <w:rsid w:val="002D76F1"/>
    <w:rsid w:val="002D7E6C"/>
    <w:rsid w:val="002E06CD"/>
    <w:rsid w:val="002E1499"/>
    <w:rsid w:val="002E1A6F"/>
    <w:rsid w:val="002E26BB"/>
    <w:rsid w:val="002E28D2"/>
    <w:rsid w:val="002E48C1"/>
    <w:rsid w:val="002E4B31"/>
    <w:rsid w:val="002E4C10"/>
    <w:rsid w:val="002E4CAE"/>
    <w:rsid w:val="002E56EA"/>
    <w:rsid w:val="002E5DC9"/>
    <w:rsid w:val="002E61B8"/>
    <w:rsid w:val="002E61C7"/>
    <w:rsid w:val="002E725A"/>
    <w:rsid w:val="002E7359"/>
    <w:rsid w:val="002E7F60"/>
    <w:rsid w:val="002F0593"/>
    <w:rsid w:val="002F0877"/>
    <w:rsid w:val="002F0D29"/>
    <w:rsid w:val="002F0DB1"/>
    <w:rsid w:val="002F13F0"/>
    <w:rsid w:val="002F1FB2"/>
    <w:rsid w:val="002F2A39"/>
    <w:rsid w:val="002F2D93"/>
    <w:rsid w:val="002F35FC"/>
    <w:rsid w:val="002F3E1A"/>
    <w:rsid w:val="002F3F7A"/>
    <w:rsid w:val="002F4E47"/>
    <w:rsid w:val="002F57AE"/>
    <w:rsid w:val="002F5B33"/>
    <w:rsid w:val="002F67C9"/>
    <w:rsid w:val="002F6EFE"/>
    <w:rsid w:val="002F74CD"/>
    <w:rsid w:val="0030125B"/>
    <w:rsid w:val="00301A16"/>
    <w:rsid w:val="0030226A"/>
    <w:rsid w:val="0030240E"/>
    <w:rsid w:val="003027FA"/>
    <w:rsid w:val="00302A8F"/>
    <w:rsid w:val="00302AA3"/>
    <w:rsid w:val="00302CAB"/>
    <w:rsid w:val="0030381B"/>
    <w:rsid w:val="00304A1C"/>
    <w:rsid w:val="00305C2C"/>
    <w:rsid w:val="00306B69"/>
    <w:rsid w:val="00306F20"/>
    <w:rsid w:val="003070DE"/>
    <w:rsid w:val="00307270"/>
    <w:rsid w:val="00307571"/>
    <w:rsid w:val="00307D7F"/>
    <w:rsid w:val="00307D96"/>
    <w:rsid w:val="0031066F"/>
    <w:rsid w:val="003118C6"/>
    <w:rsid w:val="00311902"/>
    <w:rsid w:val="00311B2D"/>
    <w:rsid w:val="00312786"/>
    <w:rsid w:val="003142A3"/>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4F2"/>
    <w:rsid w:val="0032298D"/>
    <w:rsid w:val="00322DF1"/>
    <w:rsid w:val="00322E17"/>
    <w:rsid w:val="003239EB"/>
    <w:rsid w:val="00323A46"/>
    <w:rsid w:val="00324561"/>
    <w:rsid w:val="003246E5"/>
    <w:rsid w:val="00324AF2"/>
    <w:rsid w:val="00324F39"/>
    <w:rsid w:val="00325624"/>
    <w:rsid w:val="00325776"/>
    <w:rsid w:val="003257D6"/>
    <w:rsid w:val="00325FD5"/>
    <w:rsid w:val="003263B5"/>
    <w:rsid w:val="003264FB"/>
    <w:rsid w:val="00326B52"/>
    <w:rsid w:val="00326D32"/>
    <w:rsid w:val="00326E83"/>
    <w:rsid w:val="003279E0"/>
    <w:rsid w:val="00327E9A"/>
    <w:rsid w:val="00330711"/>
    <w:rsid w:val="00330FB9"/>
    <w:rsid w:val="00331210"/>
    <w:rsid w:val="00331C96"/>
    <w:rsid w:val="00331DA7"/>
    <w:rsid w:val="00332724"/>
    <w:rsid w:val="0033409E"/>
    <w:rsid w:val="00334196"/>
    <w:rsid w:val="0033422E"/>
    <w:rsid w:val="00334389"/>
    <w:rsid w:val="00334C56"/>
    <w:rsid w:val="00334D0B"/>
    <w:rsid w:val="00335A0A"/>
    <w:rsid w:val="00335AFF"/>
    <w:rsid w:val="0033726B"/>
    <w:rsid w:val="00337A28"/>
    <w:rsid w:val="00340440"/>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579"/>
    <w:rsid w:val="00350A2C"/>
    <w:rsid w:val="00350DF7"/>
    <w:rsid w:val="00350EA6"/>
    <w:rsid w:val="0035120E"/>
    <w:rsid w:val="003518AA"/>
    <w:rsid w:val="00352766"/>
    <w:rsid w:val="00352D90"/>
    <w:rsid w:val="00352EC3"/>
    <w:rsid w:val="00354382"/>
    <w:rsid w:val="00354A02"/>
    <w:rsid w:val="0035572C"/>
    <w:rsid w:val="00355C60"/>
    <w:rsid w:val="00356127"/>
    <w:rsid w:val="003570EA"/>
    <w:rsid w:val="00357D1F"/>
    <w:rsid w:val="00357DEF"/>
    <w:rsid w:val="00360F30"/>
    <w:rsid w:val="0036198B"/>
    <w:rsid w:val="003620B0"/>
    <w:rsid w:val="003625AD"/>
    <w:rsid w:val="00363243"/>
    <w:rsid w:val="003639EE"/>
    <w:rsid w:val="00364AD1"/>
    <w:rsid w:val="00364AE8"/>
    <w:rsid w:val="003661C2"/>
    <w:rsid w:val="003662F7"/>
    <w:rsid w:val="00366B0D"/>
    <w:rsid w:val="00367C0D"/>
    <w:rsid w:val="00367FBF"/>
    <w:rsid w:val="003700A6"/>
    <w:rsid w:val="003708B8"/>
    <w:rsid w:val="003710CA"/>
    <w:rsid w:val="00371321"/>
    <w:rsid w:val="00371574"/>
    <w:rsid w:val="003715C9"/>
    <w:rsid w:val="00371E23"/>
    <w:rsid w:val="00372C7B"/>
    <w:rsid w:val="0037306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D1C"/>
    <w:rsid w:val="00385EF6"/>
    <w:rsid w:val="003864E9"/>
    <w:rsid w:val="003875A7"/>
    <w:rsid w:val="00387766"/>
    <w:rsid w:val="003878EE"/>
    <w:rsid w:val="00387CD3"/>
    <w:rsid w:val="00387EB5"/>
    <w:rsid w:val="00387F66"/>
    <w:rsid w:val="003900FF"/>
    <w:rsid w:val="00390B32"/>
    <w:rsid w:val="00391270"/>
    <w:rsid w:val="003916BA"/>
    <w:rsid w:val="0039176D"/>
    <w:rsid w:val="003918BB"/>
    <w:rsid w:val="00391979"/>
    <w:rsid w:val="00391DF9"/>
    <w:rsid w:val="00391E4F"/>
    <w:rsid w:val="0039227C"/>
    <w:rsid w:val="00392EF1"/>
    <w:rsid w:val="00393B66"/>
    <w:rsid w:val="00393DDB"/>
    <w:rsid w:val="003947DE"/>
    <w:rsid w:val="00395155"/>
    <w:rsid w:val="00396162"/>
    <w:rsid w:val="00396775"/>
    <w:rsid w:val="00396A7F"/>
    <w:rsid w:val="00396D66"/>
    <w:rsid w:val="00397BAA"/>
    <w:rsid w:val="00397DE6"/>
    <w:rsid w:val="003A0018"/>
    <w:rsid w:val="003A07A5"/>
    <w:rsid w:val="003A084B"/>
    <w:rsid w:val="003A0A31"/>
    <w:rsid w:val="003A10F5"/>
    <w:rsid w:val="003A16BB"/>
    <w:rsid w:val="003A1787"/>
    <w:rsid w:val="003A1BBA"/>
    <w:rsid w:val="003A2329"/>
    <w:rsid w:val="003A2761"/>
    <w:rsid w:val="003A279B"/>
    <w:rsid w:val="003A3516"/>
    <w:rsid w:val="003A36E7"/>
    <w:rsid w:val="003A36F3"/>
    <w:rsid w:val="003A4805"/>
    <w:rsid w:val="003A48F5"/>
    <w:rsid w:val="003A4C51"/>
    <w:rsid w:val="003A578D"/>
    <w:rsid w:val="003A61F1"/>
    <w:rsid w:val="003A73FB"/>
    <w:rsid w:val="003A760B"/>
    <w:rsid w:val="003A7EF1"/>
    <w:rsid w:val="003B0522"/>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0E05"/>
    <w:rsid w:val="003C1231"/>
    <w:rsid w:val="003C1913"/>
    <w:rsid w:val="003C1F37"/>
    <w:rsid w:val="003C2514"/>
    <w:rsid w:val="003C26D0"/>
    <w:rsid w:val="003C2D83"/>
    <w:rsid w:val="003C3251"/>
    <w:rsid w:val="003C474E"/>
    <w:rsid w:val="003C4DF6"/>
    <w:rsid w:val="003C5654"/>
    <w:rsid w:val="003C5FC3"/>
    <w:rsid w:val="003C7169"/>
    <w:rsid w:val="003C744C"/>
    <w:rsid w:val="003C76D7"/>
    <w:rsid w:val="003C7A02"/>
    <w:rsid w:val="003D00A7"/>
    <w:rsid w:val="003D0CD6"/>
    <w:rsid w:val="003D1183"/>
    <w:rsid w:val="003D17E2"/>
    <w:rsid w:val="003D2E45"/>
    <w:rsid w:val="003D2F27"/>
    <w:rsid w:val="003D4FC8"/>
    <w:rsid w:val="003D4FE0"/>
    <w:rsid w:val="003D542A"/>
    <w:rsid w:val="003D5689"/>
    <w:rsid w:val="003D588E"/>
    <w:rsid w:val="003D597E"/>
    <w:rsid w:val="003D6DAB"/>
    <w:rsid w:val="003D6EA6"/>
    <w:rsid w:val="003D6F9E"/>
    <w:rsid w:val="003D7B87"/>
    <w:rsid w:val="003E0291"/>
    <w:rsid w:val="003E07D6"/>
    <w:rsid w:val="003E0C9C"/>
    <w:rsid w:val="003E0ECF"/>
    <w:rsid w:val="003E1CF8"/>
    <w:rsid w:val="003E2003"/>
    <w:rsid w:val="003E23A6"/>
    <w:rsid w:val="003E253F"/>
    <w:rsid w:val="003E331E"/>
    <w:rsid w:val="003E3370"/>
    <w:rsid w:val="003E371F"/>
    <w:rsid w:val="003E4EAB"/>
    <w:rsid w:val="003E4FAE"/>
    <w:rsid w:val="003E5BCD"/>
    <w:rsid w:val="003E6A13"/>
    <w:rsid w:val="003E6C4C"/>
    <w:rsid w:val="003E6DC2"/>
    <w:rsid w:val="003E7942"/>
    <w:rsid w:val="003E7B14"/>
    <w:rsid w:val="003E7BB4"/>
    <w:rsid w:val="003E7C11"/>
    <w:rsid w:val="003F0270"/>
    <w:rsid w:val="003F0ECD"/>
    <w:rsid w:val="003F146C"/>
    <w:rsid w:val="003F18BE"/>
    <w:rsid w:val="003F1E18"/>
    <w:rsid w:val="003F216A"/>
    <w:rsid w:val="003F2E7A"/>
    <w:rsid w:val="003F34C8"/>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3D12"/>
    <w:rsid w:val="004043FA"/>
    <w:rsid w:val="00404DE6"/>
    <w:rsid w:val="004058CD"/>
    <w:rsid w:val="004059E0"/>
    <w:rsid w:val="004061A6"/>
    <w:rsid w:val="0040747B"/>
    <w:rsid w:val="0040786A"/>
    <w:rsid w:val="004078F0"/>
    <w:rsid w:val="00407EAD"/>
    <w:rsid w:val="00410B45"/>
    <w:rsid w:val="00410BA9"/>
    <w:rsid w:val="00410F2E"/>
    <w:rsid w:val="00411432"/>
    <w:rsid w:val="00411596"/>
    <w:rsid w:val="00411B47"/>
    <w:rsid w:val="004124BB"/>
    <w:rsid w:val="004127F8"/>
    <w:rsid w:val="00412E9A"/>
    <w:rsid w:val="00413743"/>
    <w:rsid w:val="00413F33"/>
    <w:rsid w:val="0041410B"/>
    <w:rsid w:val="004148E2"/>
    <w:rsid w:val="00414EA2"/>
    <w:rsid w:val="00415313"/>
    <w:rsid w:val="004158D2"/>
    <w:rsid w:val="004166F1"/>
    <w:rsid w:val="004172E6"/>
    <w:rsid w:val="00417632"/>
    <w:rsid w:val="00420558"/>
    <w:rsid w:val="00420B58"/>
    <w:rsid w:val="00421312"/>
    <w:rsid w:val="00421DA5"/>
    <w:rsid w:val="0042269F"/>
    <w:rsid w:val="00422B59"/>
    <w:rsid w:val="00422DEC"/>
    <w:rsid w:val="004230A1"/>
    <w:rsid w:val="004238EE"/>
    <w:rsid w:val="00423D78"/>
    <w:rsid w:val="004240D5"/>
    <w:rsid w:val="00424471"/>
    <w:rsid w:val="0042468B"/>
    <w:rsid w:val="00424FED"/>
    <w:rsid w:val="0042615E"/>
    <w:rsid w:val="00426688"/>
    <w:rsid w:val="00427064"/>
    <w:rsid w:val="00427E9B"/>
    <w:rsid w:val="00427FD1"/>
    <w:rsid w:val="0043058C"/>
    <w:rsid w:val="004307B6"/>
    <w:rsid w:val="00430A36"/>
    <w:rsid w:val="004314EA"/>
    <w:rsid w:val="00431599"/>
    <w:rsid w:val="00431C76"/>
    <w:rsid w:val="00431D96"/>
    <w:rsid w:val="00432AAB"/>
    <w:rsid w:val="00432E2D"/>
    <w:rsid w:val="00433165"/>
    <w:rsid w:val="00433FED"/>
    <w:rsid w:val="00434996"/>
    <w:rsid w:val="00434A2B"/>
    <w:rsid w:val="00435B5A"/>
    <w:rsid w:val="00435F84"/>
    <w:rsid w:val="00436553"/>
    <w:rsid w:val="004368A7"/>
    <w:rsid w:val="004374C9"/>
    <w:rsid w:val="004403BB"/>
    <w:rsid w:val="00440464"/>
    <w:rsid w:val="004409B8"/>
    <w:rsid w:val="004419DF"/>
    <w:rsid w:val="00441D97"/>
    <w:rsid w:val="00443662"/>
    <w:rsid w:val="00445E1A"/>
    <w:rsid w:val="0044615C"/>
    <w:rsid w:val="00446AEF"/>
    <w:rsid w:val="00446D75"/>
    <w:rsid w:val="0044702A"/>
    <w:rsid w:val="004474ED"/>
    <w:rsid w:val="00447732"/>
    <w:rsid w:val="0044773F"/>
    <w:rsid w:val="004478A4"/>
    <w:rsid w:val="00452111"/>
    <w:rsid w:val="004525E4"/>
    <w:rsid w:val="00452C3D"/>
    <w:rsid w:val="004534F2"/>
    <w:rsid w:val="00453C0E"/>
    <w:rsid w:val="00453D5E"/>
    <w:rsid w:val="00456099"/>
    <w:rsid w:val="00456A96"/>
    <w:rsid w:val="00457DD1"/>
    <w:rsid w:val="00460480"/>
    <w:rsid w:val="00460734"/>
    <w:rsid w:val="00460793"/>
    <w:rsid w:val="00460979"/>
    <w:rsid w:val="00460C80"/>
    <w:rsid w:val="00460CD6"/>
    <w:rsid w:val="0046101A"/>
    <w:rsid w:val="00461256"/>
    <w:rsid w:val="00461442"/>
    <w:rsid w:val="0046279E"/>
    <w:rsid w:val="004627ED"/>
    <w:rsid w:val="00463D98"/>
    <w:rsid w:val="00464E36"/>
    <w:rsid w:val="00466717"/>
    <w:rsid w:val="00466769"/>
    <w:rsid w:val="004668D5"/>
    <w:rsid w:val="004676F4"/>
    <w:rsid w:val="00467791"/>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0B19"/>
    <w:rsid w:val="00481F47"/>
    <w:rsid w:val="00481FA8"/>
    <w:rsid w:val="00482872"/>
    <w:rsid w:val="00482B16"/>
    <w:rsid w:val="00482C9F"/>
    <w:rsid w:val="00483E0D"/>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6AE"/>
    <w:rsid w:val="004916B2"/>
    <w:rsid w:val="00491B5D"/>
    <w:rsid w:val="00491D82"/>
    <w:rsid w:val="00492408"/>
    <w:rsid w:val="00493093"/>
    <w:rsid w:val="00493A8C"/>
    <w:rsid w:val="00494148"/>
    <w:rsid w:val="0049533F"/>
    <w:rsid w:val="004958D3"/>
    <w:rsid w:val="00495C0F"/>
    <w:rsid w:val="00496D4E"/>
    <w:rsid w:val="00496DED"/>
    <w:rsid w:val="00497454"/>
    <w:rsid w:val="0049786D"/>
    <w:rsid w:val="004A0471"/>
    <w:rsid w:val="004A0F06"/>
    <w:rsid w:val="004A0F94"/>
    <w:rsid w:val="004A1542"/>
    <w:rsid w:val="004A15A6"/>
    <w:rsid w:val="004A1633"/>
    <w:rsid w:val="004A2D1E"/>
    <w:rsid w:val="004A32FF"/>
    <w:rsid w:val="004A34F8"/>
    <w:rsid w:val="004A3779"/>
    <w:rsid w:val="004A4F38"/>
    <w:rsid w:val="004A4F82"/>
    <w:rsid w:val="004A513B"/>
    <w:rsid w:val="004A5FBC"/>
    <w:rsid w:val="004A63AF"/>
    <w:rsid w:val="004A6CCC"/>
    <w:rsid w:val="004A7090"/>
    <w:rsid w:val="004A7097"/>
    <w:rsid w:val="004A7274"/>
    <w:rsid w:val="004A7F5A"/>
    <w:rsid w:val="004B0CD2"/>
    <w:rsid w:val="004B14CB"/>
    <w:rsid w:val="004B24D1"/>
    <w:rsid w:val="004B2D2B"/>
    <w:rsid w:val="004B2D45"/>
    <w:rsid w:val="004B3077"/>
    <w:rsid w:val="004B3705"/>
    <w:rsid w:val="004B3BC6"/>
    <w:rsid w:val="004B412D"/>
    <w:rsid w:val="004B463A"/>
    <w:rsid w:val="004B4986"/>
    <w:rsid w:val="004B4B40"/>
    <w:rsid w:val="004B4BE0"/>
    <w:rsid w:val="004B510A"/>
    <w:rsid w:val="004B5808"/>
    <w:rsid w:val="004B6664"/>
    <w:rsid w:val="004B68A9"/>
    <w:rsid w:val="004B6B5D"/>
    <w:rsid w:val="004B7A7B"/>
    <w:rsid w:val="004B7B49"/>
    <w:rsid w:val="004C01B1"/>
    <w:rsid w:val="004C041F"/>
    <w:rsid w:val="004C0A94"/>
    <w:rsid w:val="004C0EA0"/>
    <w:rsid w:val="004C1081"/>
    <w:rsid w:val="004C1A7F"/>
    <w:rsid w:val="004C1F0D"/>
    <w:rsid w:val="004C24EE"/>
    <w:rsid w:val="004C2503"/>
    <w:rsid w:val="004C2E20"/>
    <w:rsid w:val="004C2E59"/>
    <w:rsid w:val="004C3BF7"/>
    <w:rsid w:val="004C4026"/>
    <w:rsid w:val="004C4182"/>
    <w:rsid w:val="004C4360"/>
    <w:rsid w:val="004C54ED"/>
    <w:rsid w:val="004C56B6"/>
    <w:rsid w:val="004C5856"/>
    <w:rsid w:val="004C6568"/>
    <w:rsid w:val="004C70CC"/>
    <w:rsid w:val="004C7A94"/>
    <w:rsid w:val="004C7FCD"/>
    <w:rsid w:val="004D059A"/>
    <w:rsid w:val="004D142A"/>
    <w:rsid w:val="004D14CB"/>
    <w:rsid w:val="004D15F7"/>
    <w:rsid w:val="004D1ED2"/>
    <w:rsid w:val="004D23B2"/>
    <w:rsid w:val="004D2B97"/>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2E1"/>
    <w:rsid w:val="004E34E4"/>
    <w:rsid w:val="004E354F"/>
    <w:rsid w:val="004E3E50"/>
    <w:rsid w:val="004E3E72"/>
    <w:rsid w:val="004E494B"/>
    <w:rsid w:val="004E49B1"/>
    <w:rsid w:val="004E4AD1"/>
    <w:rsid w:val="004E538D"/>
    <w:rsid w:val="004E56E2"/>
    <w:rsid w:val="004E6ED9"/>
    <w:rsid w:val="004E6FB9"/>
    <w:rsid w:val="004E729A"/>
    <w:rsid w:val="004E7CFB"/>
    <w:rsid w:val="004F12E9"/>
    <w:rsid w:val="004F2BFB"/>
    <w:rsid w:val="004F324E"/>
    <w:rsid w:val="004F338B"/>
    <w:rsid w:val="004F39E4"/>
    <w:rsid w:val="004F3A5E"/>
    <w:rsid w:val="004F401C"/>
    <w:rsid w:val="004F49A5"/>
    <w:rsid w:val="004F573E"/>
    <w:rsid w:val="004F7E1B"/>
    <w:rsid w:val="0050044A"/>
    <w:rsid w:val="00500BA5"/>
    <w:rsid w:val="00500F12"/>
    <w:rsid w:val="005011DD"/>
    <w:rsid w:val="00501CDD"/>
    <w:rsid w:val="00501D0A"/>
    <w:rsid w:val="00501E38"/>
    <w:rsid w:val="00502E49"/>
    <w:rsid w:val="00503CCA"/>
    <w:rsid w:val="0050484C"/>
    <w:rsid w:val="00505162"/>
    <w:rsid w:val="005051A0"/>
    <w:rsid w:val="005052D1"/>
    <w:rsid w:val="00505482"/>
    <w:rsid w:val="005057E9"/>
    <w:rsid w:val="00506B6A"/>
    <w:rsid w:val="00506DF2"/>
    <w:rsid w:val="005070AE"/>
    <w:rsid w:val="005100A5"/>
    <w:rsid w:val="005103D9"/>
    <w:rsid w:val="0051153F"/>
    <w:rsid w:val="00511CFF"/>
    <w:rsid w:val="00512A98"/>
    <w:rsid w:val="005137B9"/>
    <w:rsid w:val="00513B8D"/>
    <w:rsid w:val="00514733"/>
    <w:rsid w:val="00515217"/>
    <w:rsid w:val="00515507"/>
    <w:rsid w:val="00515539"/>
    <w:rsid w:val="00515663"/>
    <w:rsid w:val="00516E4E"/>
    <w:rsid w:val="00517AE1"/>
    <w:rsid w:val="00517AEB"/>
    <w:rsid w:val="0052002F"/>
    <w:rsid w:val="00520131"/>
    <w:rsid w:val="0052032C"/>
    <w:rsid w:val="00520BAD"/>
    <w:rsid w:val="00520D23"/>
    <w:rsid w:val="00522250"/>
    <w:rsid w:val="00522364"/>
    <w:rsid w:val="005224E4"/>
    <w:rsid w:val="0052331A"/>
    <w:rsid w:val="00523344"/>
    <w:rsid w:val="0052493C"/>
    <w:rsid w:val="00525576"/>
    <w:rsid w:val="00525A2B"/>
    <w:rsid w:val="00525CB3"/>
    <w:rsid w:val="00525D3F"/>
    <w:rsid w:val="00525F2D"/>
    <w:rsid w:val="00526203"/>
    <w:rsid w:val="005264AB"/>
    <w:rsid w:val="00526DFE"/>
    <w:rsid w:val="00527395"/>
    <w:rsid w:val="00530DFB"/>
    <w:rsid w:val="00532D0E"/>
    <w:rsid w:val="00532DB2"/>
    <w:rsid w:val="00534774"/>
    <w:rsid w:val="00534B73"/>
    <w:rsid w:val="00534DC6"/>
    <w:rsid w:val="00534E27"/>
    <w:rsid w:val="00535D85"/>
    <w:rsid w:val="00535DF5"/>
    <w:rsid w:val="00537611"/>
    <w:rsid w:val="00537A0D"/>
    <w:rsid w:val="00540011"/>
    <w:rsid w:val="005401A5"/>
    <w:rsid w:val="005402E9"/>
    <w:rsid w:val="005405D4"/>
    <w:rsid w:val="005417D4"/>
    <w:rsid w:val="0054192A"/>
    <w:rsid w:val="00541D81"/>
    <w:rsid w:val="00541E48"/>
    <w:rsid w:val="00541EE7"/>
    <w:rsid w:val="00541F59"/>
    <w:rsid w:val="00542E7D"/>
    <w:rsid w:val="0054316D"/>
    <w:rsid w:val="005431B0"/>
    <w:rsid w:val="00543DE0"/>
    <w:rsid w:val="00543E65"/>
    <w:rsid w:val="0054436D"/>
    <w:rsid w:val="005446D9"/>
    <w:rsid w:val="00544E22"/>
    <w:rsid w:val="005457B9"/>
    <w:rsid w:val="00545E3D"/>
    <w:rsid w:val="005461E1"/>
    <w:rsid w:val="0054683E"/>
    <w:rsid w:val="005473A7"/>
    <w:rsid w:val="00547905"/>
    <w:rsid w:val="00547BCD"/>
    <w:rsid w:val="00547E92"/>
    <w:rsid w:val="00550720"/>
    <w:rsid w:val="005521B0"/>
    <w:rsid w:val="00552437"/>
    <w:rsid w:val="00553029"/>
    <w:rsid w:val="00554F4A"/>
    <w:rsid w:val="00555186"/>
    <w:rsid w:val="005559D2"/>
    <w:rsid w:val="0055623C"/>
    <w:rsid w:val="00557342"/>
    <w:rsid w:val="00561302"/>
    <w:rsid w:val="0056140D"/>
    <w:rsid w:val="00561ECC"/>
    <w:rsid w:val="00561F55"/>
    <w:rsid w:val="00562074"/>
    <w:rsid w:val="00563508"/>
    <w:rsid w:val="00563D71"/>
    <w:rsid w:val="00563F6B"/>
    <w:rsid w:val="00564C1F"/>
    <w:rsid w:val="00564FCA"/>
    <w:rsid w:val="005655C1"/>
    <w:rsid w:val="00565EC3"/>
    <w:rsid w:val="00566197"/>
    <w:rsid w:val="005664FB"/>
    <w:rsid w:val="00566CB8"/>
    <w:rsid w:val="0056722B"/>
    <w:rsid w:val="0056762E"/>
    <w:rsid w:val="00567A1E"/>
    <w:rsid w:val="0057022C"/>
    <w:rsid w:val="00570F17"/>
    <w:rsid w:val="0057130C"/>
    <w:rsid w:val="0057258D"/>
    <w:rsid w:val="00572EC8"/>
    <w:rsid w:val="005732B9"/>
    <w:rsid w:val="005733B9"/>
    <w:rsid w:val="005750EE"/>
    <w:rsid w:val="0057516A"/>
    <w:rsid w:val="005763FF"/>
    <w:rsid w:val="00576B68"/>
    <w:rsid w:val="00577155"/>
    <w:rsid w:val="0057717E"/>
    <w:rsid w:val="00577E08"/>
    <w:rsid w:val="00580CFD"/>
    <w:rsid w:val="005815CB"/>
    <w:rsid w:val="0058251E"/>
    <w:rsid w:val="00582963"/>
    <w:rsid w:val="00583C97"/>
    <w:rsid w:val="00584763"/>
    <w:rsid w:val="0058552C"/>
    <w:rsid w:val="005863C0"/>
    <w:rsid w:val="00586C1E"/>
    <w:rsid w:val="00586C46"/>
    <w:rsid w:val="00586D7C"/>
    <w:rsid w:val="00586EEC"/>
    <w:rsid w:val="005904F7"/>
    <w:rsid w:val="00590951"/>
    <w:rsid w:val="005913FC"/>
    <w:rsid w:val="0059147C"/>
    <w:rsid w:val="00591C93"/>
    <w:rsid w:val="005925CB"/>
    <w:rsid w:val="00593281"/>
    <w:rsid w:val="005935B6"/>
    <w:rsid w:val="005935EE"/>
    <w:rsid w:val="0059381A"/>
    <w:rsid w:val="005946B5"/>
    <w:rsid w:val="00594D11"/>
    <w:rsid w:val="0059541F"/>
    <w:rsid w:val="005959C1"/>
    <w:rsid w:val="00597C86"/>
    <w:rsid w:val="005A0723"/>
    <w:rsid w:val="005A0D88"/>
    <w:rsid w:val="005A1F98"/>
    <w:rsid w:val="005A2A49"/>
    <w:rsid w:val="005A3A71"/>
    <w:rsid w:val="005A4BEA"/>
    <w:rsid w:val="005A529D"/>
    <w:rsid w:val="005A561C"/>
    <w:rsid w:val="005A5762"/>
    <w:rsid w:val="005A5837"/>
    <w:rsid w:val="005A6727"/>
    <w:rsid w:val="005A6C58"/>
    <w:rsid w:val="005B0597"/>
    <w:rsid w:val="005B1C52"/>
    <w:rsid w:val="005B1D4C"/>
    <w:rsid w:val="005B1EA7"/>
    <w:rsid w:val="005B1FAE"/>
    <w:rsid w:val="005B2320"/>
    <w:rsid w:val="005B2507"/>
    <w:rsid w:val="005B2F89"/>
    <w:rsid w:val="005B31A6"/>
    <w:rsid w:val="005B345F"/>
    <w:rsid w:val="005B3B68"/>
    <w:rsid w:val="005B407C"/>
    <w:rsid w:val="005B4BBB"/>
    <w:rsid w:val="005B4CFC"/>
    <w:rsid w:val="005B4D87"/>
    <w:rsid w:val="005B4E77"/>
    <w:rsid w:val="005B4EC5"/>
    <w:rsid w:val="005B5852"/>
    <w:rsid w:val="005B592B"/>
    <w:rsid w:val="005B5998"/>
    <w:rsid w:val="005B5D4C"/>
    <w:rsid w:val="005B62AC"/>
    <w:rsid w:val="005B6917"/>
    <w:rsid w:val="005B789F"/>
    <w:rsid w:val="005B78E5"/>
    <w:rsid w:val="005C09AE"/>
    <w:rsid w:val="005C2442"/>
    <w:rsid w:val="005C24DE"/>
    <w:rsid w:val="005C3790"/>
    <w:rsid w:val="005C3EFF"/>
    <w:rsid w:val="005C43F4"/>
    <w:rsid w:val="005C457B"/>
    <w:rsid w:val="005C4C17"/>
    <w:rsid w:val="005C5ADF"/>
    <w:rsid w:val="005C5E00"/>
    <w:rsid w:val="005C613C"/>
    <w:rsid w:val="005C62D7"/>
    <w:rsid w:val="005C677A"/>
    <w:rsid w:val="005C6994"/>
    <w:rsid w:val="005C6AF7"/>
    <w:rsid w:val="005C6B7F"/>
    <w:rsid w:val="005C7017"/>
    <w:rsid w:val="005C7342"/>
    <w:rsid w:val="005C7B35"/>
    <w:rsid w:val="005D006B"/>
    <w:rsid w:val="005D0AAC"/>
    <w:rsid w:val="005D147D"/>
    <w:rsid w:val="005D199D"/>
    <w:rsid w:val="005D266E"/>
    <w:rsid w:val="005D312C"/>
    <w:rsid w:val="005D328F"/>
    <w:rsid w:val="005D3CB9"/>
    <w:rsid w:val="005D3D8F"/>
    <w:rsid w:val="005D3EBF"/>
    <w:rsid w:val="005D47F5"/>
    <w:rsid w:val="005D63E3"/>
    <w:rsid w:val="005D6FEF"/>
    <w:rsid w:val="005D7114"/>
    <w:rsid w:val="005D7BFB"/>
    <w:rsid w:val="005E08B2"/>
    <w:rsid w:val="005E08EA"/>
    <w:rsid w:val="005E11A0"/>
    <w:rsid w:val="005E26B6"/>
    <w:rsid w:val="005E2C75"/>
    <w:rsid w:val="005E2F2E"/>
    <w:rsid w:val="005E34DA"/>
    <w:rsid w:val="005E34FC"/>
    <w:rsid w:val="005E3771"/>
    <w:rsid w:val="005E3931"/>
    <w:rsid w:val="005E3C2A"/>
    <w:rsid w:val="005E3C5F"/>
    <w:rsid w:val="005E48E8"/>
    <w:rsid w:val="005E5613"/>
    <w:rsid w:val="005E5934"/>
    <w:rsid w:val="005E789B"/>
    <w:rsid w:val="005F0FAB"/>
    <w:rsid w:val="005F181B"/>
    <w:rsid w:val="005F35AA"/>
    <w:rsid w:val="005F36F0"/>
    <w:rsid w:val="005F3977"/>
    <w:rsid w:val="005F47C2"/>
    <w:rsid w:val="005F4DB3"/>
    <w:rsid w:val="005F5180"/>
    <w:rsid w:val="005F5244"/>
    <w:rsid w:val="005F5640"/>
    <w:rsid w:val="005F5D24"/>
    <w:rsid w:val="005F5F64"/>
    <w:rsid w:val="005F6539"/>
    <w:rsid w:val="005F72CD"/>
    <w:rsid w:val="00600DDE"/>
    <w:rsid w:val="006012C1"/>
    <w:rsid w:val="006012CF"/>
    <w:rsid w:val="00602440"/>
    <w:rsid w:val="00602B88"/>
    <w:rsid w:val="00602EA0"/>
    <w:rsid w:val="0060302A"/>
    <w:rsid w:val="00603450"/>
    <w:rsid w:val="00603853"/>
    <w:rsid w:val="00603DDC"/>
    <w:rsid w:val="006041E5"/>
    <w:rsid w:val="0060461B"/>
    <w:rsid w:val="00605AC8"/>
    <w:rsid w:val="00606085"/>
    <w:rsid w:val="006068E2"/>
    <w:rsid w:val="00606B83"/>
    <w:rsid w:val="006070F3"/>
    <w:rsid w:val="006071BC"/>
    <w:rsid w:val="00610743"/>
    <w:rsid w:val="00610B65"/>
    <w:rsid w:val="0061110A"/>
    <w:rsid w:val="006118E6"/>
    <w:rsid w:val="00612863"/>
    <w:rsid w:val="006129C6"/>
    <w:rsid w:val="0061392F"/>
    <w:rsid w:val="00614CBD"/>
    <w:rsid w:val="00614E76"/>
    <w:rsid w:val="00615984"/>
    <w:rsid w:val="00616D4A"/>
    <w:rsid w:val="00617608"/>
    <w:rsid w:val="0061769A"/>
    <w:rsid w:val="00617B0E"/>
    <w:rsid w:val="0062121F"/>
    <w:rsid w:val="00621407"/>
    <w:rsid w:val="0062181F"/>
    <w:rsid w:val="0062193D"/>
    <w:rsid w:val="00621AF3"/>
    <w:rsid w:val="00621CA3"/>
    <w:rsid w:val="00622E16"/>
    <w:rsid w:val="006232D8"/>
    <w:rsid w:val="00623433"/>
    <w:rsid w:val="00624BB5"/>
    <w:rsid w:val="006253A9"/>
    <w:rsid w:val="006253CE"/>
    <w:rsid w:val="00625AF4"/>
    <w:rsid w:val="006265DD"/>
    <w:rsid w:val="00626BFD"/>
    <w:rsid w:val="00627087"/>
    <w:rsid w:val="006272FD"/>
    <w:rsid w:val="00627CE0"/>
    <w:rsid w:val="00630B73"/>
    <w:rsid w:val="00631035"/>
    <w:rsid w:val="006314AD"/>
    <w:rsid w:val="00631662"/>
    <w:rsid w:val="00631BD5"/>
    <w:rsid w:val="00633011"/>
    <w:rsid w:val="00633F45"/>
    <w:rsid w:val="0063482C"/>
    <w:rsid w:val="006356F1"/>
    <w:rsid w:val="00635CD2"/>
    <w:rsid w:val="0063630B"/>
    <w:rsid w:val="00636367"/>
    <w:rsid w:val="00636417"/>
    <w:rsid w:val="0063666B"/>
    <w:rsid w:val="00636F71"/>
    <w:rsid w:val="00637643"/>
    <w:rsid w:val="00637B22"/>
    <w:rsid w:val="00637DF8"/>
    <w:rsid w:val="0064042E"/>
    <w:rsid w:val="006404F6"/>
    <w:rsid w:val="00640DD8"/>
    <w:rsid w:val="00640E12"/>
    <w:rsid w:val="006419D1"/>
    <w:rsid w:val="006438A8"/>
    <w:rsid w:val="0064390D"/>
    <w:rsid w:val="00643D8F"/>
    <w:rsid w:val="00644F4F"/>
    <w:rsid w:val="00644FDD"/>
    <w:rsid w:val="00645405"/>
    <w:rsid w:val="00645CA6"/>
    <w:rsid w:val="00645E35"/>
    <w:rsid w:val="006463DD"/>
    <w:rsid w:val="006466FC"/>
    <w:rsid w:val="00646723"/>
    <w:rsid w:val="0064758D"/>
    <w:rsid w:val="00647A9C"/>
    <w:rsid w:val="0065121B"/>
    <w:rsid w:val="006512AB"/>
    <w:rsid w:val="0065144E"/>
    <w:rsid w:val="00652786"/>
    <w:rsid w:val="006531E5"/>
    <w:rsid w:val="00653AD7"/>
    <w:rsid w:val="00653BA0"/>
    <w:rsid w:val="00653CFB"/>
    <w:rsid w:val="0065424E"/>
    <w:rsid w:val="006544BE"/>
    <w:rsid w:val="00654E77"/>
    <w:rsid w:val="006552CF"/>
    <w:rsid w:val="00655B79"/>
    <w:rsid w:val="0065648C"/>
    <w:rsid w:val="006571D0"/>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18D"/>
    <w:rsid w:val="00666BC6"/>
    <w:rsid w:val="00666FEC"/>
    <w:rsid w:val="006672FA"/>
    <w:rsid w:val="0066767D"/>
    <w:rsid w:val="00667D94"/>
    <w:rsid w:val="00670836"/>
    <w:rsid w:val="00671878"/>
    <w:rsid w:val="00671D38"/>
    <w:rsid w:val="0067241A"/>
    <w:rsid w:val="00672B7E"/>
    <w:rsid w:val="006731B3"/>
    <w:rsid w:val="00673620"/>
    <w:rsid w:val="006737BD"/>
    <w:rsid w:val="00673C57"/>
    <w:rsid w:val="00674311"/>
    <w:rsid w:val="006749F9"/>
    <w:rsid w:val="00674F1F"/>
    <w:rsid w:val="00675CCC"/>
    <w:rsid w:val="0067666C"/>
    <w:rsid w:val="006768BF"/>
    <w:rsid w:val="00677949"/>
    <w:rsid w:val="006802DC"/>
    <w:rsid w:val="006809C5"/>
    <w:rsid w:val="00680C17"/>
    <w:rsid w:val="00680ED8"/>
    <w:rsid w:val="006812F1"/>
    <w:rsid w:val="006816E2"/>
    <w:rsid w:val="006818C0"/>
    <w:rsid w:val="00681919"/>
    <w:rsid w:val="00681F83"/>
    <w:rsid w:val="0068216C"/>
    <w:rsid w:val="00682275"/>
    <w:rsid w:val="006822C0"/>
    <w:rsid w:val="006833CF"/>
    <w:rsid w:val="00683F5A"/>
    <w:rsid w:val="006846E9"/>
    <w:rsid w:val="00684738"/>
    <w:rsid w:val="006847E9"/>
    <w:rsid w:val="00684995"/>
    <w:rsid w:val="00684BDD"/>
    <w:rsid w:val="00686571"/>
    <w:rsid w:val="00686BA7"/>
    <w:rsid w:val="00686C58"/>
    <w:rsid w:val="00687D43"/>
    <w:rsid w:val="0069011E"/>
    <w:rsid w:val="00690B3B"/>
    <w:rsid w:val="006915F0"/>
    <w:rsid w:val="0069161F"/>
    <w:rsid w:val="0069167A"/>
    <w:rsid w:val="00692B91"/>
    <w:rsid w:val="00692DEA"/>
    <w:rsid w:val="00692E2B"/>
    <w:rsid w:val="00692F41"/>
    <w:rsid w:val="00693275"/>
    <w:rsid w:val="00693BE0"/>
    <w:rsid w:val="006943B7"/>
    <w:rsid w:val="0069466A"/>
    <w:rsid w:val="0069492C"/>
    <w:rsid w:val="006950AD"/>
    <w:rsid w:val="006964C4"/>
    <w:rsid w:val="00696D10"/>
    <w:rsid w:val="006970AD"/>
    <w:rsid w:val="006979BA"/>
    <w:rsid w:val="006A0252"/>
    <w:rsid w:val="006A0858"/>
    <w:rsid w:val="006A0BCB"/>
    <w:rsid w:val="006A0C4D"/>
    <w:rsid w:val="006A150A"/>
    <w:rsid w:val="006A1958"/>
    <w:rsid w:val="006A1DD8"/>
    <w:rsid w:val="006A1FF2"/>
    <w:rsid w:val="006A320A"/>
    <w:rsid w:val="006A39E8"/>
    <w:rsid w:val="006A3A4A"/>
    <w:rsid w:val="006A3AB6"/>
    <w:rsid w:val="006A400E"/>
    <w:rsid w:val="006A445C"/>
    <w:rsid w:val="006A4475"/>
    <w:rsid w:val="006A5E2B"/>
    <w:rsid w:val="006A5EE5"/>
    <w:rsid w:val="006A5EFF"/>
    <w:rsid w:val="006A6327"/>
    <w:rsid w:val="006A66BD"/>
    <w:rsid w:val="006A72D5"/>
    <w:rsid w:val="006A7E39"/>
    <w:rsid w:val="006B1218"/>
    <w:rsid w:val="006B1231"/>
    <w:rsid w:val="006B1796"/>
    <w:rsid w:val="006B1BF7"/>
    <w:rsid w:val="006B1DDF"/>
    <w:rsid w:val="006B315E"/>
    <w:rsid w:val="006B33C0"/>
    <w:rsid w:val="006B365F"/>
    <w:rsid w:val="006B3C19"/>
    <w:rsid w:val="006B46B6"/>
    <w:rsid w:val="006B4E0D"/>
    <w:rsid w:val="006B5DA9"/>
    <w:rsid w:val="006B5F38"/>
    <w:rsid w:val="006B607F"/>
    <w:rsid w:val="006B6172"/>
    <w:rsid w:val="006B62FF"/>
    <w:rsid w:val="006B6C0B"/>
    <w:rsid w:val="006B6DBC"/>
    <w:rsid w:val="006B7092"/>
    <w:rsid w:val="006B71BC"/>
    <w:rsid w:val="006B71F7"/>
    <w:rsid w:val="006B775A"/>
    <w:rsid w:val="006B7A5C"/>
    <w:rsid w:val="006C0328"/>
    <w:rsid w:val="006C0923"/>
    <w:rsid w:val="006C0A26"/>
    <w:rsid w:val="006C0B55"/>
    <w:rsid w:val="006C0D75"/>
    <w:rsid w:val="006C1A95"/>
    <w:rsid w:val="006C3F12"/>
    <w:rsid w:val="006C43D8"/>
    <w:rsid w:val="006C4985"/>
    <w:rsid w:val="006C5846"/>
    <w:rsid w:val="006C5847"/>
    <w:rsid w:val="006C5852"/>
    <w:rsid w:val="006C5EC9"/>
    <w:rsid w:val="006C6525"/>
    <w:rsid w:val="006C67BF"/>
    <w:rsid w:val="006C6A79"/>
    <w:rsid w:val="006C6D2E"/>
    <w:rsid w:val="006C7637"/>
    <w:rsid w:val="006C7ABB"/>
    <w:rsid w:val="006C7B1A"/>
    <w:rsid w:val="006C7B4B"/>
    <w:rsid w:val="006D0641"/>
    <w:rsid w:val="006D0C94"/>
    <w:rsid w:val="006D0CBB"/>
    <w:rsid w:val="006D0E83"/>
    <w:rsid w:val="006D1D2F"/>
    <w:rsid w:val="006D2A1D"/>
    <w:rsid w:val="006D2B88"/>
    <w:rsid w:val="006D3CEE"/>
    <w:rsid w:val="006D490C"/>
    <w:rsid w:val="006D5437"/>
    <w:rsid w:val="006D63EB"/>
    <w:rsid w:val="006D7043"/>
    <w:rsid w:val="006D741F"/>
    <w:rsid w:val="006D7F9A"/>
    <w:rsid w:val="006E0058"/>
    <w:rsid w:val="006E071B"/>
    <w:rsid w:val="006E14FE"/>
    <w:rsid w:val="006E222E"/>
    <w:rsid w:val="006E332E"/>
    <w:rsid w:val="006E3595"/>
    <w:rsid w:val="006E3865"/>
    <w:rsid w:val="006E3924"/>
    <w:rsid w:val="006E3995"/>
    <w:rsid w:val="006E529E"/>
    <w:rsid w:val="006E5B18"/>
    <w:rsid w:val="006E5FC0"/>
    <w:rsid w:val="006E671B"/>
    <w:rsid w:val="006E6A19"/>
    <w:rsid w:val="006E6DA7"/>
    <w:rsid w:val="006E6E19"/>
    <w:rsid w:val="006E7723"/>
    <w:rsid w:val="006F00BE"/>
    <w:rsid w:val="006F027D"/>
    <w:rsid w:val="006F07D4"/>
    <w:rsid w:val="006F1336"/>
    <w:rsid w:val="006F1F81"/>
    <w:rsid w:val="006F382F"/>
    <w:rsid w:val="006F3AB2"/>
    <w:rsid w:val="006F3EF7"/>
    <w:rsid w:val="006F3FDA"/>
    <w:rsid w:val="006F41BE"/>
    <w:rsid w:val="006F4803"/>
    <w:rsid w:val="006F5260"/>
    <w:rsid w:val="006F5331"/>
    <w:rsid w:val="006F5396"/>
    <w:rsid w:val="006F6216"/>
    <w:rsid w:val="006F6F86"/>
    <w:rsid w:val="006F7A4D"/>
    <w:rsid w:val="006F7D5C"/>
    <w:rsid w:val="006F7F63"/>
    <w:rsid w:val="0070112F"/>
    <w:rsid w:val="00702246"/>
    <w:rsid w:val="00702666"/>
    <w:rsid w:val="0070299A"/>
    <w:rsid w:val="00702D11"/>
    <w:rsid w:val="007036DD"/>
    <w:rsid w:val="0070423D"/>
    <w:rsid w:val="00704915"/>
    <w:rsid w:val="00704D1B"/>
    <w:rsid w:val="00704E45"/>
    <w:rsid w:val="007054BA"/>
    <w:rsid w:val="00705681"/>
    <w:rsid w:val="00706594"/>
    <w:rsid w:val="007072D2"/>
    <w:rsid w:val="007072E4"/>
    <w:rsid w:val="0071005E"/>
    <w:rsid w:val="0071016D"/>
    <w:rsid w:val="007101BD"/>
    <w:rsid w:val="007103FB"/>
    <w:rsid w:val="00712306"/>
    <w:rsid w:val="007123AF"/>
    <w:rsid w:val="0071301D"/>
    <w:rsid w:val="00713090"/>
    <w:rsid w:val="00713106"/>
    <w:rsid w:val="0071364A"/>
    <w:rsid w:val="007138EC"/>
    <w:rsid w:val="0071395D"/>
    <w:rsid w:val="00713B27"/>
    <w:rsid w:val="00713FA3"/>
    <w:rsid w:val="0071486F"/>
    <w:rsid w:val="00714BF2"/>
    <w:rsid w:val="007155D9"/>
    <w:rsid w:val="00715CF1"/>
    <w:rsid w:val="00715FA2"/>
    <w:rsid w:val="0071668D"/>
    <w:rsid w:val="00716869"/>
    <w:rsid w:val="00721065"/>
    <w:rsid w:val="0072130D"/>
    <w:rsid w:val="00721542"/>
    <w:rsid w:val="0072187D"/>
    <w:rsid w:val="0072193A"/>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5955"/>
    <w:rsid w:val="00736210"/>
    <w:rsid w:val="00736372"/>
    <w:rsid w:val="0073653E"/>
    <w:rsid w:val="007371F1"/>
    <w:rsid w:val="007371F2"/>
    <w:rsid w:val="007401CE"/>
    <w:rsid w:val="007403A3"/>
    <w:rsid w:val="0074096E"/>
    <w:rsid w:val="00740AD7"/>
    <w:rsid w:val="00741793"/>
    <w:rsid w:val="00741A5A"/>
    <w:rsid w:val="00741B82"/>
    <w:rsid w:val="00742D36"/>
    <w:rsid w:val="00743E2A"/>
    <w:rsid w:val="0074410E"/>
    <w:rsid w:val="00746A1F"/>
    <w:rsid w:val="00746D24"/>
    <w:rsid w:val="00747C2E"/>
    <w:rsid w:val="00750B21"/>
    <w:rsid w:val="00750BC1"/>
    <w:rsid w:val="00751706"/>
    <w:rsid w:val="00751EAF"/>
    <w:rsid w:val="00752BF6"/>
    <w:rsid w:val="00752C95"/>
    <w:rsid w:val="007544A8"/>
    <w:rsid w:val="00754CBD"/>
    <w:rsid w:val="00754D24"/>
    <w:rsid w:val="007553C2"/>
    <w:rsid w:val="0075565B"/>
    <w:rsid w:val="00755CF6"/>
    <w:rsid w:val="00755D9A"/>
    <w:rsid w:val="00756595"/>
    <w:rsid w:val="00756625"/>
    <w:rsid w:val="007568CD"/>
    <w:rsid w:val="007569C0"/>
    <w:rsid w:val="007571B6"/>
    <w:rsid w:val="00757923"/>
    <w:rsid w:val="00757F8D"/>
    <w:rsid w:val="0076005E"/>
    <w:rsid w:val="00760335"/>
    <w:rsid w:val="00760435"/>
    <w:rsid w:val="00760455"/>
    <w:rsid w:val="00760C65"/>
    <w:rsid w:val="00760F88"/>
    <w:rsid w:val="0076102C"/>
    <w:rsid w:val="00761103"/>
    <w:rsid w:val="00761254"/>
    <w:rsid w:val="00762077"/>
    <w:rsid w:val="007620EB"/>
    <w:rsid w:val="00763306"/>
    <w:rsid w:val="00763CC6"/>
    <w:rsid w:val="00763CD6"/>
    <w:rsid w:val="007643C1"/>
    <w:rsid w:val="00764C5A"/>
    <w:rsid w:val="00764C97"/>
    <w:rsid w:val="007659B6"/>
    <w:rsid w:val="00765CA2"/>
    <w:rsid w:val="0076618F"/>
    <w:rsid w:val="007675DC"/>
    <w:rsid w:val="007677D8"/>
    <w:rsid w:val="007678E9"/>
    <w:rsid w:val="00770FDB"/>
    <w:rsid w:val="00771682"/>
    <w:rsid w:val="0077174A"/>
    <w:rsid w:val="00773341"/>
    <w:rsid w:val="00773832"/>
    <w:rsid w:val="00773FF0"/>
    <w:rsid w:val="007745D0"/>
    <w:rsid w:val="00775586"/>
    <w:rsid w:val="00776496"/>
    <w:rsid w:val="007805EF"/>
    <w:rsid w:val="00781635"/>
    <w:rsid w:val="0078167A"/>
    <w:rsid w:val="00781B8C"/>
    <w:rsid w:val="007821DA"/>
    <w:rsid w:val="007824B9"/>
    <w:rsid w:val="00782682"/>
    <w:rsid w:val="00782D4D"/>
    <w:rsid w:val="007834F6"/>
    <w:rsid w:val="0078466E"/>
    <w:rsid w:val="007850F7"/>
    <w:rsid w:val="0078650B"/>
    <w:rsid w:val="00787342"/>
    <w:rsid w:val="00787FC7"/>
    <w:rsid w:val="00790126"/>
    <w:rsid w:val="007905D9"/>
    <w:rsid w:val="00790FFD"/>
    <w:rsid w:val="00791256"/>
    <w:rsid w:val="007923D8"/>
    <w:rsid w:val="00792638"/>
    <w:rsid w:val="0079285F"/>
    <w:rsid w:val="0079327D"/>
    <w:rsid w:val="00793559"/>
    <w:rsid w:val="00793E5B"/>
    <w:rsid w:val="007944BB"/>
    <w:rsid w:val="00794988"/>
    <w:rsid w:val="007967FF"/>
    <w:rsid w:val="00796A4C"/>
    <w:rsid w:val="00796A68"/>
    <w:rsid w:val="007978D0"/>
    <w:rsid w:val="00797B1F"/>
    <w:rsid w:val="007A0CCF"/>
    <w:rsid w:val="007A0D8C"/>
    <w:rsid w:val="007A1645"/>
    <w:rsid w:val="007A1C7C"/>
    <w:rsid w:val="007A1F4E"/>
    <w:rsid w:val="007A1F66"/>
    <w:rsid w:val="007A2026"/>
    <w:rsid w:val="007A24A9"/>
    <w:rsid w:val="007A270C"/>
    <w:rsid w:val="007A28B7"/>
    <w:rsid w:val="007A2B1F"/>
    <w:rsid w:val="007A2C23"/>
    <w:rsid w:val="007A2E24"/>
    <w:rsid w:val="007A4DB0"/>
    <w:rsid w:val="007A537F"/>
    <w:rsid w:val="007A55FD"/>
    <w:rsid w:val="007A61A7"/>
    <w:rsid w:val="007A6F11"/>
    <w:rsid w:val="007A73DC"/>
    <w:rsid w:val="007A7845"/>
    <w:rsid w:val="007B000E"/>
    <w:rsid w:val="007B0126"/>
    <w:rsid w:val="007B12E3"/>
    <w:rsid w:val="007B1456"/>
    <w:rsid w:val="007B14C9"/>
    <w:rsid w:val="007B1FD8"/>
    <w:rsid w:val="007B20CE"/>
    <w:rsid w:val="007B229F"/>
    <w:rsid w:val="007B23A5"/>
    <w:rsid w:val="007B315B"/>
    <w:rsid w:val="007B3498"/>
    <w:rsid w:val="007B49CE"/>
    <w:rsid w:val="007B4C92"/>
    <w:rsid w:val="007B5451"/>
    <w:rsid w:val="007B573A"/>
    <w:rsid w:val="007B5F32"/>
    <w:rsid w:val="007B6140"/>
    <w:rsid w:val="007B6ACE"/>
    <w:rsid w:val="007B6D7D"/>
    <w:rsid w:val="007B6F85"/>
    <w:rsid w:val="007B6FA8"/>
    <w:rsid w:val="007C022B"/>
    <w:rsid w:val="007C0693"/>
    <w:rsid w:val="007C08A3"/>
    <w:rsid w:val="007C0C1F"/>
    <w:rsid w:val="007C14A4"/>
    <w:rsid w:val="007C17C2"/>
    <w:rsid w:val="007C1E30"/>
    <w:rsid w:val="007C282E"/>
    <w:rsid w:val="007C297B"/>
    <w:rsid w:val="007C36B9"/>
    <w:rsid w:val="007C3B16"/>
    <w:rsid w:val="007C410C"/>
    <w:rsid w:val="007C5774"/>
    <w:rsid w:val="007C5FCC"/>
    <w:rsid w:val="007C6BBA"/>
    <w:rsid w:val="007C6FB5"/>
    <w:rsid w:val="007C73DD"/>
    <w:rsid w:val="007C7407"/>
    <w:rsid w:val="007D0017"/>
    <w:rsid w:val="007D12E0"/>
    <w:rsid w:val="007D15F5"/>
    <w:rsid w:val="007D1725"/>
    <w:rsid w:val="007D1F8A"/>
    <w:rsid w:val="007D239D"/>
    <w:rsid w:val="007D256C"/>
    <w:rsid w:val="007D2776"/>
    <w:rsid w:val="007D3CA2"/>
    <w:rsid w:val="007D635B"/>
    <w:rsid w:val="007E0D86"/>
    <w:rsid w:val="007E0F33"/>
    <w:rsid w:val="007E1764"/>
    <w:rsid w:val="007E1DA8"/>
    <w:rsid w:val="007E2796"/>
    <w:rsid w:val="007E2D1E"/>
    <w:rsid w:val="007E320E"/>
    <w:rsid w:val="007E3261"/>
    <w:rsid w:val="007E387C"/>
    <w:rsid w:val="007E39B6"/>
    <w:rsid w:val="007E4341"/>
    <w:rsid w:val="007E4456"/>
    <w:rsid w:val="007E5CF0"/>
    <w:rsid w:val="007E5D24"/>
    <w:rsid w:val="007E6CCF"/>
    <w:rsid w:val="007E73CD"/>
    <w:rsid w:val="007E7FE4"/>
    <w:rsid w:val="007F02AE"/>
    <w:rsid w:val="007F0D2E"/>
    <w:rsid w:val="007F125F"/>
    <w:rsid w:val="007F13F7"/>
    <w:rsid w:val="007F1749"/>
    <w:rsid w:val="007F1B53"/>
    <w:rsid w:val="007F2602"/>
    <w:rsid w:val="007F28C7"/>
    <w:rsid w:val="007F2DF5"/>
    <w:rsid w:val="007F4823"/>
    <w:rsid w:val="007F4DA7"/>
    <w:rsid w:val="007F5CCC"/>
    <w:rsid w:val="007F61A7"/>
    <w:rsid w:val="007F6750"/>
    <w:rsid w:val="007F787F"/>
    <w:rsid w:val="007F7B08"/>
    <w:rsid w:val="00800372"/>
    <w:rsid w:val="00800651"/>
    <w:rsid w:val="00800AE8"/>
    <w:rsid w:val="00801054"/>
    <w:rsid w:val="00801202"/>
    <w:rsid w:val="00801400"/>
    <w:rsid w:val="008014C6"/>
    <w:rsid w:val="0080290E"/>
    <w:rsid w:val="00802CE1"/>
    <w:rsid w:val="00802D0C"/>
    <w:rsid w:val="008038F4"/>
    <w:rsid w:val="00803BBA"/>
    <w:rsid w:val="00803C8E"/>
    <w:rsid w:val="00804A5E"/>
    <w:rsid w:val="00806F1B"/>
    <w:rsid w:val="008070B4"/>
    <w:rsid w:val="008078E1"/>
    <w:rsid w:val="00812250"/>
    <w:rsid w:val="00812834"/>
    <w:rsid w:val="00813851"/>
    <w:rsid w:val="00814297"/>
    <w:rsid w:val="00814301"/>
    <w:rsid w:val="00814ED3"/>
    <w:rsid w:val="008167C0"/>
    <w:rsid w:val="00816ED2"/>
    <w:rsid w:val="0081710E"/>
    <w:rsid w:val="00817671"/>
    <w:rsid w:val="00817AB9"/>
    <w:rsid w:val="00820E8F"/>
    <w:rsid w:val="00820F76"/>
    <w:rsid w:val="0082192F"/>
    <w:rsid w:val="0082359E"/>
    <w:rsid w:val="00823863"/>
    <w:rsid w:val="0082435A"/>
    <w:rsid w:val="00824924"/>
    <w:rsid w:val="008250F8"/>
    <w:rsid w:val="0082577C"/>
    <w:rsid w:val="00825E39"/>
    <w:rsid w:val="00826C73"/>
    <w:rsid w:val="00827235"/>
    <w:rsid w:val="00830857"/>
    <w:rsid w:val="008313A2"/>
    <w:rsid w:val="00831A49"/>
    <w:rsid w:val="00832125"/>
    <w:rsid w:val="008347E3"/>
    <w:rsid w:val="008352A5"/>
    <w:rsid w:val="008353C5"/>
    <w:rsid w:val="00835470"/>
    <w:rsid w:val="00835499"/>
    <w:rsid w:val="00835749"/>
    <w:rsid w:val="0083583A"/>
    <w:rsid w:val="00835A38"/>
    <w:rsid w:val="00835DFB"/>
    <w:rsid w:val="008363FC"/>
    <w:rsid w:val="008370D4"/>
    <w:rsid w:val="00842723"/>
    <w:rsid w:val="00842E86"/>
    <w:rsid w:val="0084304D"/>
    <w:rsid w:val="0084394F"/>
    <w:rsid w:val="00844062"/>
    <w:rsid w:val="0084492F"/>
    <w:rsid w:val="00844CDD"/>
    <w:rsid w:val="0084548D"/>
    <w:rsid w:val="00845682"/>
    <w:rsid w:val="008459F0"/>
    <w:rsid w:val="00845F2D"/>
    <w:rsid w:val="00846260"/>
    <w:rsid w:val="0084707F"/>
    <w:rsid w:val="00847623"/>
    <w:rsid w:val="00850AE4"/>
    <w:rsid w:val="00850E18"/>
    <w:rsid w:val="00851F0C"/>
    <w:rsid w:val="0085237A"/>
    <w:rsid w:val="0085292F"/>
    <w:rsid w:val="00853D6C"/>
    <w:rsid w:val="0085417E"/>
    <w:rsid w:val="008550AF"/>
    <w:rsid w:val="0085616F"/>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045"/>
    <w:rsid w:val="00871C6D"/>
    <w:rsid w:val="00872323"/>
    <w:rsid w:val="00872570"/>
    <w:rsid w:val="008728D5"/>
    <w:rsid w:val="00872B41"/>
    <w:rsid w:val="00872DA4"/>
    <w:rsid w:val="00873C44"/>
    <w:rsid w:val="00874C99"/>
    <w:rsid w:val="0087651A"/>
    <w:rsid w:val="00876756"/>
    <w:rsid w:val="008769C1"/>
    <w:rsid w:val="00877589"/>
    <w:rsid w:val="00880540"/>
    <w:rsid w:val="00881914"/>
    <w:rsid w:val="008822FB"/>
    <w:rsid w:val="00882D00"/>
    <w:rsid w:val="00883C73"/>
    <w:rsid w:val="008853BE"/>
    <w:rsid w:val="008854BF"/>
    <w:rsid w:val="00887F22"/>
    <w:rsid w:val="00887F29"/>
    <w:rsid w:val="00887F71"/>
    <w:rsid w:val="008901BF"/>
    <w:rsid w:val="00890A6A"/>
    <w:rsid w:val="00890C40"/>
    <w:rsid w:val="008910CA"/>
    <w:rsid w:val="0089125E"/>
    <w:rsid w:val="00891D5D"/>
    <w:rsid w:val="00892C65"/>
    <w:rsid w:val="0089331C"/>
    <w:rsid w:val="008936C4"/>
    <w:rsid w:val="00893777"/>
    <w:rsid w:val="00893D33"/>
    <w:rsid w:val="0089486B"/>
    <w:rsid w:val="008951F4"/>
    <w:rsid w:val="00895476"/>
    <w:rsid w:val="008969A7"/>
    <w:rsid w:val="008A028D"/>
    <w:rsid w:val="008A05A8"/>
    <w:rsid w:val="008A06F3"/>
    <w:rsid w:val="008A09E3"/>
    <w:rsid w:val="008A1B49"/>
    <w:rsid w:val="008A227C"/>
    <w:rsid w:val="008A264E"/>
    <w:rsid w:val="008A26EF"/>
    <w:rsid w:val="008A2AEB"/>
    <w:rsid w:val="008A30D7"/>
    <w:rsid w:val="008A596C"/>
    <w:rsid w:val="008A5B54"/>
    <w:rsid w:val="008A5EF9"/>
    <w:rsid w:val="008A691A"/>
    <w:rsid w:val="008A6FAF"/>
    <w:rsid w:val="008A7579"/>
    <w:rsid w:val="008A7F38"/>
    <w:rsid w:val="008B043D"/>
    <w:rsid w:val="008B07EB"/>
    <w:rsid w:val="008B14D8"/>
    <w:rsid w:val="008B1B47"/>
    <w:rsid w:val="008B2A52"/>
    <w:rsid w:val="008B2F57"/>
    <w:rsid w:val="008B301A"/>
    <w:rsid w:val="008B37A6"/>
    <w:rsid w:val="008B3AB2"/>
    <w:rsid w:val="008B418F"/>
    <w:rsid w:val="008B49E9"/>
    <w:rsid w:val="008B4D54"/>
    <w:rsid w:val="008B5F1B"/>
    <w:rsid w:val="008B65E3"/>
    <w:rsid w:val="008B6818"/>
    <w:rsid w:val="008B6B7E"/>
    <w:rsid w:val="008C2308"/>
    <w:rsid w:val="008C262C"/>
    <w:rsid w:val="008C2E1F"/>
    <w:rsid w:val="008C2EA0"/>
    <w:rsid w:val="008C3650"/>
    <w:rsid w:val="008C3861"/>
    <w:rsid w:val="008C3B27"/>
    <w:rsid w:val="008C413C"/>
    <w:rsid w:val="008C5046"/>
    <w:rsid w:val="008C5145"/>
    <w:rsid w:val="008C5680"/>
    <w:rsid w:val="008C61CB"/>
    <w:rsid w:val="008C62F5"/>
    <w:rsid w:val="008C77DB"/>
    <w:rsid w:val="008D12F2"/>
    <w:rsid w:val="008D284A"/>
    <w:rsid w:val="008D325D"/>
    <w:rsid w:val="008D35CD"/>
    <w:rsid w:val="008D42C8"/>
    <w:rsid w:val="008D4534"/>
    <w:rsid w:val="008D4E63"/>
    <w:rsid w:val="008D5B36"/>
    <w:rsid w:val="008D64AB"/>
    <w:rsid w:val="008D65B8"/>
    <w:rsid w:val="008D6A33"/>
    <w:rsid w:val="008D794A"/>
    <w:rsid w:val="008D7980"/>
    <w:rsid w:val="008D7B7B"/>
    <w:rsid w:val="008E1241"/>
    <w:rsid w:val="008E1301"/>
    <w:rsid w:val="008E179E"/>
    <w:rsid w:val="008E1886"/>
    <w:rsid w:val="008E1EB1"/>
    <w:rsid w:val="008E2052"/>
    <w:rsid w:val="008E21BE"/>
    <w:rsid w:val="008E2809"/>
    <w:rsid w:val="008E2C5E"/>
    <w:rsid w:val="008E2DE9"/>
    <w:rsid w:val="008E34F7"/>
    <w:rsid w:val="008E4DDF"/>
    <w:rsid w:val="008E5D68"/>
    <w:rsid w:val="008E661B"/>
    <w:rsid w:val="008E6D0E"/>
    <w:rsid w:val="008E6E70"/>
    <w:rsid w:val="008E7A84"/>
    <w:rsid w:val="008F01ED"/>
    <w:rsid w:val="008F18EB"/>
    <w:rsid w:val="008F1A60"/>
    <w:rsid w:val="008F1DF9"/>
    <w:rsid w:val="008F1F7F"/>
    <w:rsid w:val="008F28BC"/>
    <w:rsid w:val="008F2D16"/>
    <w:rsid w:val="008F3055"/>
    <w:rsid w:val="008F3157"/>
    <w:rsid w:val="008F34F9"/>
    <w:rsid w:val="008F4129"/>
    <w:rsid w:val="008F4226"/>
    <w:rsid w:val="008F4AFC"/>
    <w:rsid w:val="008F4B39"/>
    <w:rsid w:val="008F4D31"/>
    <w:rsid w:val="008F4FE0"/>
    <w:rsid w:val="008F59A8"/>
    <w:rsid w:val="008F628F"/>
    <w:rsid w:val="008F6500"/>
    <w:rsid w:val="008F6A9D"/>
    <w:rsid w:val="008F7C45"/>
    <w:rsid w:val="00900635"/>
    <w:rsid w:val="00900EF9"/>
    <w:rsid w:val="009018FC"/>
    <w:rsid w:val="00901A22"/>
    <w:rsid w:val="00901B29"/>
    <w:rsid w:val="009022CB"/>
    <w:rsid w:val="00902CE3"/>
    <w:rsid w:val="00902E6D"/>
    <w:rsid w:val="009033E6"/>
    <w:rsid w:val="00903C05"/>
    <w:rsid w:val="0090404E"/>
    <w:rsid w:val="0090446C"/>
    <w:rsid w:val="00904F8A"/>
    <w:rsid w:val="009059F1"/>
    <w:rsid w:val="00905D60"/>
    <w:rsid w:val="00905DAA"/>
    <w:rsid w:val="00906338"/>
    <w:rsid w:val="00906409"/>
    <w:rsid w:val="009064E8"/>
    <w:rsid w:val="0090689A"/>
    <w:rsid w:val="00907136"/>
    <w:rsid w:val="009076A2"/>
    <w:rsid w:val="00907CE6"/>
    <w:rsid w:val="0091094D"/>
    <w:rsid w:val="00910BA7"/>
    <w:rsid w:val="00911119"/>
    <w:rsid w:val="009111CB"/>
    <w:rsid w:val="009117A9"/>
    <w:rsid w:val="00911AD0"/>
    <w:rsid w:val="0091218D"/>
    <w:rsid w:val="009124D8"/>
    <w:rsid w:val="00912996"/>
    <w:rsid w:val="009129D5"/>
    <w:rsid w:val="00912ACB"/>
    <w:rsid w:val="0091432D"/>
    <w:rsid w:val="00914523"/>
    <w:rsid w:val="00914878"/>
    <w:rsid w:val="009148C0"/>
    <w:rsid w:val="009149B6"/>
    <w:rsid w:val="00914DAE"/>
    <w:rsid w:val="00915153"/>
    <w:rsid w:val="009153AE"/>
    <w:rsid w:val="00915FB0"/>
    <w:rsid w:val="0091655B"/>
    <w:rsid w:val="009167F8"/>
    <w:rsid w:val="00916DF0"/>
    <w:rsid w:val="009170BF"/>
    <w:rsid w:val="00917776"/>
    <w:rsid w:val="0092016A"/>
    <w:rsid w:val="00920263"/>
    <w:rsid w:val="009211A4"/>
    <w:rsid w:val="009217A0"/>
    <w:rsid w:val="00921836"/>
    <w:rsid w:val="00921A26"/>
    <w:rsid w:val="00922147"/>
    <w:rsid w:val="009221E9"/>
    <w:rsid w:val="00922287"/>
    <w:rsid w:val="00922409"/>
    <w:rsid w:val="00922860"/>
    <w:rsid w:val="00922972"/>
    <w:rsid w:val="00923096"/>
    <w:rsid w:val="009236DC"/>
    <w:rsid w:val="00923E7F"/>
    <w:rsid w:val="00924E9B"/>
    <w:rsid w:val="009254B2"/>
    <w:rsid w:val="0092586C"/>
    <w:rsid w:val="00926922"/>
    <w:rsid w:val="00927303"/>
    <w:rsid w:val="0093093F"/>
    <w:rsid w:val="00931395"/>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4B4"/>
    <w:rsid w:val="00940AC3"/>
    <w:rsid w:val="00940B26"/>
    <w:rsid w:val="00940E38"/>
    <w:rsid w:val="00940FD5"/>
    <w:rsid w:val="0094112A"/>
    <w:rsid w:val="00941BDB"/>
    <w:rsid w:val="00942830"/>
    <w:rsid w:val="00942E54"/>
    <w:rsid w:val="009435C1"/>
    <w:rsid w:val="00943B4D"/>
    <w:rsid w:val="0094431A"/>
    <w:rsid w:val="0094491F"/>
    <w:rsid w:val="00944B96"/>
    <w:rsid w:val="00944EF4"/>
    <w:rsid w:val="00945890"/>
    <w:rsid w:val="00945EBC"/>
    <w:rsid w:val="00946B46"/>
    <w:rsid w:val="00950089"/>
    <w:rsid w:val="00950718"/>
    <w:rsid w:val="0095282E"/>
    <w:rsid w:val="009531A0"/>
    <w:rsid w:val="0095357A"/>
    <w:rsid w:val="009537F9"/>
    <w:rsid w:val="009539D5"/>
    <w:rsid w:val="00953A39"/>
    <w:rsid w:val="00953D4D"/>
    <w:rsid w:val="00954BD7"/>
    <w:rsid w:val="00954E7F"/>
    <w:rsid w:val="00955368"/>
    <w:rsid w:val="0095610E"/>
    <w:rsid w:val="0095613B"/>
    <w:rsid w:val="009563C9"/>
    <w:rsid w:val="0095647D"/>
    <w:rsid w:val="009567BD"/>
    <w:rsid w:val="00956866"/>
    <w:rsid w:val="00956B57"/>
    <w:rsid w:val="0095740E"/>
    <w:rsid w:val="009575E3"/>
    <w:rsid w:val="0096025D"/>
    <w:rsid w:val="00960ABD"/>
    <w:rsid w:val="00960D4E"/>
    <w:rsid w:val="00960F8F"/>
    <w:rsid w:val="00961727"/>
    <w:rsid w:val="009623CF"/>
    <w:rsid w:val="009628BF"/>
    <w:rsid w:val="00964658"/>
    <w:rsid w:val="0096591C"/>
    <w:rsid w:val="00965D89"/>
    <w:rsid w:val="00966E1C"/>
    <w:rsid w:val="00966E25"/>
    <w:rsid w:val="009670E1"/>
    <w:rsid w:val="00967413"/>
    <w:rsid w:val="0096752B"/>
    <w:rsid w:val="00967ED6"/>
    <w:rsid w:val="00970015"/>
    <w:rsid w:val="0097104F"/>
    <w:rsid w:val="00971F9B"/>
    <w:rsid w:val="009722E4"/>
    <w:rsid w:val="009725DD"/>
    <w:rsid w:val="00972A5E"/>
    <w:rsid w:val="00972A5F"/>
    <w:rsid w:val="00972FDB"/>
    <w:rsid w:val="009734AC"/>
    <w:rsid w:val="009736EB"/>
    <w:rsid w:val="0097395E"/>
    <w:rsid w:val="00974044"/>
    <w:rsid w:val="00975795"/>
    <w:rsid w:val="00977958"/>
    <w:rsid w:val="00981017"/>
    <w:rsid w:val="0098191E"/>
    <w:rsid w:val="00981D5E"/>
    <w:rsid w:val="00982ACA"/>
    <w:rsid w:val="00983486"/>
    <w:rsid w:val="00983677"/>
    <w:rsid w:val="00984227"/>
    <w:rsid w:val="00984418"/>
    <w:rsid w:val="009851F5"/>
    <w:rsid w:val="00985A34"/>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60D"/>
    <w:rsid w:val="009A0A86"/>
    <w:rsid w:val="009A11F0"/>
    <w:rsid w:val="009A1575"/>
    <w:rsid w:val="009A1AA9"/>
    <w:rsid w:val="009A210E"/>
    <w:rsid w:val="009A2D8F"/>
    <w:rsid w:val="009A35BF"/>
    <w:rsid w:val="009A35C8"/>
    <w:rsid w:val="009A3941"/>
    <w:rsid w:val="009A5257"/>
    <w:rsid w:val="009A5FAA"/>
    <w:rsid w:val="009A64B4"/>
    <w:rsid w:val="009A6655"/>
    <w:rsid w:val="009A6775"/>
    <w:rsid w:val="009A7C24"/>
    <w:rsid w:val="009B06E6"/>
    <w:rsid w:val="009B0DEA"/>
    <w:rsid w:val="009B1604"/>
    <w:rsid w:val="009B16BA"/>
    <w:rsid w:val="009B1D75"/>
    <w:rsid w:val="009B20DE"/>
    <w:rsid w:val="009B2300"/>
    <w:rsid w:val="009B26B4"/>
    <w:rsid w:val="009B27D8"/>
    <w:rsid w:val="009B281D"/>
    <w:rsid w:val="009B40FB"/>
    <w:rsid w:val="009B51F4"/>
    <w:rsid w:val="009B5856"/>
    <w:rsid w:val="009B5FC5"/>
    <w:rsid w:val="009B62BC"/>
    <w:rsid w:val="009B68D9"/>
    <w:rsid w:val="009B69C6"/>
    <w:rsid w:val="009B74A1"/>
    <w:rsid w:val="009B7B9A"/>
    <w:rsid w:val="009B7DD3"/>
    <w:rsid w:val="009C01DC"/>
    <w:rsid w:val="009C03BB"/>
    <w:rsid w:val="009C1699"/>
    <w:rsid w:val="009C1C87"/>
    <w:rsid w:val="009C2D6E"/>
    <w:rsid w:val="009C435A"/>
    <w:rsid w:val="009C4366"/>
    <w:rsid w:val="009C44AE"/>
    <w:rsid w:val="009C4DAB"/>
    <w:rsid w:val="009C51F0"/>
    <w:rsid w:val="009C5207"/>
    <w:rsid w:val="009C5FC0"/>
    <w:rsid w:val="009C6B49"/>
    <w:rsid w:val="009C6EBD"/>
    <w:rsid w:val="009C71E9"/>
    <w:rsid w:val="009C7ACF"/>
    <w:rsid w:val="009D056B"/>
    <w:rsid w:val="009D095B"/>
    <w:rsid w:val="009D18F9"/>
    <w:rsid w:val="009D20A5"/>
    <w:rsid w:val="009D2206"/>
    <w:rsid w:val="009D276A"/>
    <w:rsid w:val="009D29F4"/>
    <w:rsid w:val="009D2C3E"/>
    <w:rsid w:val="009D3602"/>
    <w:rsid w:val="009D3634"/>
    <w:rsid w:val="009D3879"/>
    <w:rsid w:val="009D52A2"/>
    <w:rsid w:val="009D52C3"/>
    <w:rsid w:val="009D538F"/>
    <w:rsid w:val="009D63BB"/>
    <w:rsid w:val="009D68E3"/>
    <w:rsid w:val="009D69D5"/>
    <w:rsid w:val="009D702D"/>
    <w:rsid w:val="009D7152"/>
    <w:rsid w:val="009D7612"/>
    <w:rsid w:val="009D782E"/>
    <w:rsid w:val="009D7994"/>
    <w:rsid w:val="009D7E0C"/>
    <w:rsid w:val="009E0361"/>
    <w:rsid w:val="009E0AEE"/>
    <w:rsid w:val="009E0B46"/>
    <w:rsid w:val="009E0E9A"/>
    <w:rsid w:val="009E1081"/>
    <w:rsid w:val="009E14BF"/>
    <w:rsid w:val="009E1535"/>
    <w:rsid w:val="009E257F"/>
    <w:rsid w:val="009E2864"/>
    <w:rsid w:val="009E2C74"/>
    <w:rsid w:val="009E2E66"/>
    <w:rsid w:val="009E30ED"/>
    <w:rsid w:val="009E3342"/>
    <w:rsid w:val="009E4104"/>
    <w:rsid w:val="009E455D"/>
    <w:rsid w:val="009E53CA"/>
    <w:rsid w:val="009E6979"/>
    <w:rsid w:val="009E6A37"/>
    <w:rsid w:val="009E6BF4"/>
    <w:rsid w:val="009E7903"/>
    <w:rsid w:val="009E7D34"/>
    <w:rsid w:val="009E7EEC"/>
    <w:rsid w:val="009F017E"/>
    <w:rsid w:val="009F0220"/>
    <w:rsid w:val="009F15A1"/>
    <w:rsid w:val="009F1DB2"/>
    <w:rsid w:val="009F1E43"/>
    <w:rsid w:val="009F1FDE"/>
    <w:rsid w:val="009F2300"/>
    <w:rsid w:val="009F25AA"/>
    <w:rsid w:val="009F2E6A"/>
    <w:rsid w:val="009F31C8"/>
    <w:rsid w:val="009F3698"/>
    <w:rsid w:val="009F4832"/>
    <w:rsid w:val="009F4EA3"/>
    <w:rsid w:val="009F5B7F"/>
    <w:rsid w:val="009F5CB2"/>
    <w:rsid w:val="009F6229"/>
    <w:rsid w:val="009F68FE"/>
    <w:rsid w:val="009F74BF"/>
    <w:rsid w:val="00A001D4"/>
    <w:rsid w:val="00A002A6"/>
    <w:rsid w:val="00A0059A"/>
    <w:rsid w:val="00A0187E"/>
    <w:rsid w:val="00A018CB"/>
    <w:rsid w:val="00A022CD"/>
    <w:rsid w:val="00A026D5"/>
    <w:rsid w:val="00A03864"/>
    <w:rsid w:val="00A03F4F"/>
    <w:rsid w:val="00A044E9"/>
    <w:rsid w:val="00A047BF"/>
    <w:rsid w:val="00A04FAA"/>
    <w:rsid w:val="00A0651C"/>
    <w:rsid w:val="00A0680C"/>
    <w:rsid w:val="00A06A55"/>
    <w:rsid w:val="00A06E6C"/>
    <w:rsid w:val="00A10E84"/>
    <w:rsid w:val="00A11724"/>
    <w:rsid w:val="00A11DCE"/>
    <w:rsid w:val="00A11EBD"/>
    <w:rsid w:val="00A13878"/>
    <w:rsid w:val="00A138C1"/>
    <w:rsid w:val="00A14D0F"/>
    <w:rsid w:val="00A15375"/>
    <w:rsid w:val="00A16497"/>
    <w:rsid w:val="00A166EB"/>
    <w:rsid w:val="00A16792"/>
    <w:rsid w:val="00A167D9"/>
    <w:rsid w:val="00A16AE1"/>
    <w:rsid w:val="00A20040"/>
    <w:rsid w:val="00A2010D"/>
    <w:rsid w:val="00A20538"/>
    <w:rsid w:val="00A2077F"/>
    <w:rsid w:val="00A21581"/>
    <w:rsid w:val="00A2171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6FB"/>
    <w:rsid w:val="00A32CD7"/>
    <w:rsid w:val="00A331E1"/>
    <w:rsid w:val="00A33DED"/>
    <w:rsid w:val="00A3493E"/>
    <w:rsid w:val="00A351F9"/>
    <w:rsid w:val="00A355FC"/>
    <w:rsid w:val="00A35A13"/>
    <w:rsid w:val="00A35A50"/>
    <w:rsid w:val="00A36000"/>
    <w:rsid w:val="00A36523"/>
    <w:rsid w:val="00A36AB8"/>
    <w:rsid w:val="00A36D9A"/>
    <w:rsid w:val="00A40040"/>
    <w:rsid w:val="00A40709"/>
    <w:rsid w:val="00A41068"/>
    <w:rsid w:val="00A42474"/>
    <w:rsid w:val="00A4282D"/>
    <w:rsid w:val="00A4406D"/>
    <w:rsid w:val="00A44CEC"/>
    <w:rsid w:val="00A4642F"/>
    <w:rsid w:val="00A50E73"/>
    <w:rsid w:val="00A511D1"/>
    <w:rsid w:val="00A514E9"/>
    <w:rsid w:val="00A515FF"/>
    <w:rsid w:val="00A51A41"/>
    <w:rsid w:val="00A5326C"/>
    <w:rsid w:val="00A538DF"/>
    <w:rsid w:val="00A538F9"/>
    <w:rsid w:val="00A53D36"/>
    <w:rsid w:val="00A54581"/>
    <w:rsid w:val="00A54BE2"/>
    <w:rsid w:val="00A55020"/>
    <w:rsid w:val="00A5562F"/>
    <w:rsid w:val="00A558BC"/>
    <w:rsid w:val="00A565F1"/>
    <w:rsid w:val="00A5693C"/>
    <w:rsid w:val="00A56DAA"/>
    <w:rsid w:val="00A571F0"/>
    <w:rsid w:val="00A601AD"/>
    <w:rsid w:val="00A6076B"/>
    <w:rsid w:val="00A60E6C"/>
    <w:rsid w:val="00A61574"/>
    <w:rsid w:val="00A61740"/>
    <w:rsid w:val="00A61F01"/>
    <w:rsid w:val="00A61FEB"/>
    <w:rsid w:val="00A623BB"/>
    <w:rsid w:val="00A63191"/>
    <w:rsid w:val="00A635DE"/>
    <w:rsid w:val="00A64ADB"/>
    <w:rsid w:val="00A650CC"/>
    <w:rsid w:val="00A6516F"/>
    <w:rsid w:val="00A6638C"/>
    <w:rsid w:val="00A664A1"/>
    <w:rsid w:val="00A66852"/>
    <w:rsid w:val="00A672F7"/>
    <w:rsid w:val="00A6744D"/>
    <w:rsid w:val="00A675F5"/>
    <w:rsid w:val="00A676D0"/>
    <w:rsid w:val="00A71CED"/>
    <w:rsid w:val="00A72605"/>
    <w:rsid w:val="00A72B84"/>
    <w:rsid w:val="00A72BAA"/>
    <w:rsid w:val="00A7316C"/>
    <w:rsid w:val="00A739E5"/>
    <w:rsid w:val="00A759C8"/>
    <w:rsid w:val="00A763D0"/>
    <w:rsid w:val="00A7686A"/>
    <w:rsid w:val="00A779A2"/>
    <w:rsid w:val="00A80343"/>
    <w:rsid w:val="00A80826"/>
    <w:rsid w:val="00A809BB"/>
    <w:rsid w:val="00A80D93"/>
    <w:rsid w:val="00A8112D"/>
    <w:rsid w:val="00A817D4"/>
    <w:rsid w:val="00A81A21"/>
    <w:rsid w:val="00A82DBB"/>
    <w:rsid w:val="00A83181"/>
    <w:rsid w:val="00A83393"/>
    <w:rsid w:val="00A83E2C"/>
    <w:rsid w:val="00A841D4"/>
    <w:rsid w:val="00A8425E"/>
    <w:rsid w:val="00A84416"/>
    <w:rsid w:val="00A84608"/>
    <w:rsid w:val="00A848BE"/>
    <w:rsid w:val="00A84A7E"/>
    <w:rsid w:val="00A84E73"/>
    <w:rsid w:val="00A855B7"/>
    <w:rsid w:val="00A869C1"/>
    <w:rsid w:val="00A86D2A"/>
    <w:rsid w:val="00A9007D"/>
    <w:rsid w:val="00A900EC"/>
    <w:rsid w:val="00A905EC"/>
    <w:rsid w:val="00A90A74"/>
    <w:rsid w:val="00A90DA6"/>
    <w:rsid w:val="00A919E0"/>
    <w:rsid w:val="00A91B21"/>
    <w:rsid w:val="00A92D77"/>
    <w:rsid w:val="00A92E00"/>
    <w:rsid w:val="00A93905"/>
    <w:rsid w:val="00A93AEC"/>
    <w:rsid w:val="00A93BDC"/>
    <w:rsid w:val="00A94C54"/>
    <w:rsid w:val="00A95B37"/>
    <w:rsid w:val="00A95B9E"/>
    <w:rsid w:val="00A95C37"/>
    <w:rsid w:val="00A95EAF"/>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B0"/>
    <w:rsid w:val="00AA606E"/>
    <w:rsid w:val="00AA67D6"/>
    <w:rsid w:val="00AA69AF"/>
    <w:rsid w:val="00AA6F7D"/>
    <w:rsid w:val="00AB0D21"/>
    <w:rsid w:val="00AB104B"/>
    <w:rsid w:val="00AB12B6"/>
    <w:rsid w:val="00AB155D"/>
    <w:rsid w:val="00AB19E8"/>
    <w:rsid w:val="00AB1BFB"/>
    <w:rsid w:val="00AB27C4"/>
    <w:rsid w:val="00AB2B34"/>
    <w:rsid w:val="00AB2E2F"/>
    <w:rsid w:val="00AB3260"/>
    <w:rsid w:val="00AB3E4A"/>
    <w:rsid w:val="00AB4C7A"/>
    <w:rsid w:val="00AB4FA9"/>
    <w:rsid w:val="00AB5612"/>
    <w:rsid w:val="00AB56DB"/>
    <w:rsid w:val="00AB57F4"/>
    <w:rsid w:val="00AB5A1F"/>
    <w:rsid w:val="00AB5ED6"/>
    <w:rsid w:val="00AB6C84"/>
    <w:rsid w:val="00AB7C28"/>
    <w:rsid w:val="00AB7C44"/>
    <w:rsid w:val="00AC1BC7"/>
    <w:rsid w:val="00AC1D25"/>
    <w:rsid w:val="00AC2169"/>
    <w:rsid w:val="00AC24E8"/>
    <w:rsid w:val="00AC2938"/>
    <w:rsid w:val="00AC302B"/>
    <w:rsid w:val="00AC3CAA"/>
    <w:rsid w:val="00AC425A"/>
    <w:rsid w:val="00AC4453"/>
    <w:rsid w:val="00AC447D"/>
    <w:rsid w:val="00AC4A4A"/>
    <w:rsid w:val="00AC4B18"/>
    <w:rsid w:val="00AC5A05"/>
    <w:rsid w:val="00AC604E"/>
    <w:rsid w:val="00AC617F"/>
    <w:rsid w:val="00AC6528"/>
    <w:rsid w:val="00AC6ED6"/>
    <w:rsid w:val="00AC70F9"/>
    <w:rsid w:val="00AC7B95"/>
    <w:rsid w:val="00AD0D23"/>
    <w:rsid w:val="00AD3A40"/>
    <w:rsid w:val="00AD42A7"/>
    <w:rsid w:val="00AD46E2"/>
    <w:rsid w:val="00AD5055"/>
    <w:rsid w:val="00AD5CC5"/>
    <w:rsid w:val="00AD5E46"/>
    <w:rsid w:val="00AD605A"/>
    <w:rsid w:val="00AD6108"/>
    <w:rsid w:val="00AD641C"/>
    <w:rsid w:val="00AD717A"/>
    <w:rsid w:val="00AD75F2"/>
    <w:rsid w:val="00AE0429"/>
    <w:rsid w:val="00AE0832"/>
    <w:rsid w:val="00AE13ED"/>
    <w:rsid w:val="00AE1413"/>
    <w:rsid w:val="00AE171F"/>
    <w:rsid w:val="00AE1CC5"/>
    <w:rsid w:val="00AE1D9B"/>
    <w:rsid w:val="00AE3735"/>
    <w:rsid w:val="00AE3A0A"/>
    <w:rsid w:val="00AE3B35"/>
    <w:rsid w:val="00AE3C37"/>
    <w:rsid w:val="00AE49A9"/>
    <w:rsid w:val="00AE4C91"/>
    <w:rsid w:val="00AE543A"/>
    <w:rsid w:val="00AE54D5"/>
    <w:rsid w:val="00AE5709"/>
    <w:rsid w:val="00AE5C2E"/>
    <w:rsid w:val="00AE7610"/>
    <w:rsid w:val="00AE7AC8"/>
    <w:rsid w:val="00AE7C3E"/>
    <w:rsid w:val="00AF0558"/>
    <w:rsid w:val="00AF18D2"/>
    <w:rsid w:val="00AF1A1B"/>
    <w:rsid w:val="00AF1DE6"/>
    <w:rsid w:val="00AF22F0"/>
    <w:rsid w:val="00AF255F"/>
    <w:rsid w:val="00AF2838"/>
    <w:rsid w:val="00AF2926"/>
    <w:rsid w:val="00AF3AE2"/>
    <w:rsid w:val="00AF45D2"/>
    <w:rsid w:val="00AF4702"/>
    <w:rsid w:val="00AF4D25"/>
    <w:rsid w:val="00AF5478"/>
    <w:rsid w:val="00AF58DD"/>
    <w:rsid w:val="00AF5B9A"/>
    <w:rsid w:val="00AF5FF2"/>
    <w:rsid w:val="00AF60CD"/>
    <w:rsid w:val="00AF6517"/>
    <w:rsid w:val="00AF6D72"/>
    <w:rsid w:val="00AF6DC7"/>
    <w:rsid w:val="00AF715A"/>
    <w:rsid w:val="00AF7C41"/>
    <w:rsid w:val="00AF7F0A"/>
    <w:rsid w:val="00B007AA"/>
    <w:rsid w:val="00B00C60"/>
    <w:rsid w:val="00B012F5"/>
    <w:rsid w:val="00B01886"/>
    <w:rsid w:val="00B01E4B"/>
    <w:rsid w:val="00B022B3"/>
    <w:rsid w:val="00B02B26"/>
    <w:rsid w:val="00B03820"/>
    <w:rsid w:val="00B039B5"/>
    <w:rsid w:val="00B03CF8"/>
    <w:rsid w:val="00B03F9D"/>
    <w:rsid w:val="00B044BA"/>
    <w:rsid w:val="00B0463D"/>
    <w:rsid w:val="00B04DEA"/>
    <w:rsid w:val="00B04F52"/>
    <w:rsid w:val="00B05054"/>
    <w:rsid w:val="00B05DE0"/>
    <w:rsid w:val="00B05F77"/>
    <w:rsid w:val="00B05FF9"/>
    <w:rsid w:val="00B0632F"/>
    <w:rsid w:val="00B06642"/>
    <w:rsid w:val="00B0730B"/>
    <w:rsid w:val="00B073A9"/>
    <w:rsid w:val="00B077DD"/>
    <w:rsid w:val="00B1001A"/>
    <w:rsid w:val="00B10B7E"/>
    <w:rsid w:val="00B10BB1"/>
    <w:rsid w:val="00B1126D"/>
    <w:rsid w:val="00B11BEB"/>
    <w:rsid w:val="00B126A7"/>
    <w:rsid w:val="00B12D16"/>
    <w:rsid w:val="00B131AB"/>
    <w:rsid w:val="00B13D45"/>
    <w:rsid w:val="00B13F16"/>
    <w:rsid w:val="00B1426D"/>
    <w:rsid w:val="00B14583"/>
    <w:rsid w:val="00B1499D"/>
    <w:rsid w:val="00B15379"/>
    <w:rsid w:val="00B172C5"/>
    <w:rsid w:val="00B177EF"/>
    <w:rsid w:val="00B20237"/>
    <w:rsid w:val="00B21125"/>
    <w:rsid w:val="00B21714"/>
    <w:rsid w:val="00B21974"/>
    <w:rsid w:val="00B21D44"/>
    <w:rsid w:val="00B22324"/>
    <w:rsid w:val="00B22422"/>
    <w:rsid w:val="00B22E34"/>
    <w:rsid w:val="00B237AA"/>
    <w:rsid w:val="00B2383B"/>
    <w:rsid w:val="00B23890"/>
    <w:rsid w:val="00B268E8"/>
    <w:rsid w:val="00B27AAC"/>
    <w:rsid w:val="00B307D7"/>
    <w:rsid w:val="00B31744"/>
    <w:rsid w:val="00B31CD7"/>
    <w:rsid w:val="00B323DA"/>
    <w:rsid w:val="00B328BF"/>
    <w:rsid w:val="00B32F40"/>
    <w:rsid w:val="00B3345D"/>
    <w:rsid w:val="00B33EB3"/>
    <w:rsid w:val="00B341A9"/>
    <w:rsid w:val="00B34A41"/>
    <w:rsid w:val="00B35765"/>
    <w:rsid w:val="00B372DB"/>
    <w:rsid w:val="00B37398"/>
    <w:rsid w:val="00B37810"/>
    <w:rsid w:val="00B3798A"/>
    <w:rsid w:val="00B404E4"/>
    <w:rsid w:val="00B4140C"/>
    <w:rsid w:val="00B41A93"/>
    <w:rsid w:val="00B4204D"/>
    <w:rsid w:val="00B4310A"/>
    <w:rsid w:val="00B44300"/>
    <w:rsid w:val="00B44ABE"/>
    <w:rsid w:val="00B45182"/>
    <w:rsid w:val="00B4669C"/>
    <w:rsid w:val="00B46853"/>
    <w:rsid w:val="00B468BD"/>
    <w:rsid w:val="00B470B2"/>
    <w:rsid w:val="00B479BD"/>
    <w:rsid w:val="00B47C5E"/>
    <w:rsid w:val="00B47EE9"/>
    <w:rsid w:val="00B51F4C"/>
    <w:rsid w:val="00B522D0"/>
    <w:rsid w:val="00B52F19"/>
    <w:rsid w:val="00B52F91"/>
    <w:rsid w:val="00B53F69"/>
    <w:rsid w:val="00B54A8D"/>
    <w:rsid w:val="00B552AB"/>
    <w:rsid w:val="00B55B74"/>
    <w:rsid w:val="00B567E8"/>
    <w:rsid w:val="00B56948"/>
    <w:rsid w:val="00B56F73"/>
    <w:rsid w:val="00B576F8"/>
    <w:rsid w:val="00B57D33"/>
    <w:rsid w:val="00B60B04"/>
    <w:rsid w:val="00B61391"/>
    <w:rsid w:val="00B6195F"/>
    <w:rsid w:val="00B62C2A"/>
    <w:rsid w:val="00B62E23"/>
    <w:rsid w:val="00B65199"/>
    <w:rsid w:val="00B65208"/>
    <w:rsid w:val="00B65403"/>
    <w:rsid w:val="00B6636D"/>
    <w:rsid w:val="00B66569"/>
    <w:rsid w:val="00B67B45"/>
    <w:rsid w:val="00B67C18"/>
    <w:rsid w:val="00B7082C"/>
    <w:rsid w:val="00B7090F"/>
    <w:rsid w:val="00B70F54"/>
    <w:rsid w:val="00B714BC"/>
    <w:rsid w:val="00B71AF2"/>
    <w:rsid w:val="00B71ED1"/>
    <w:rsid w:val="00B71F06"/>
    <w:rsid w:val="00B72115"/>
    <w:rsid w:val="00B72151"/>
    <w:rsid w:val="00B72721"/>
    <w:rsid w:val="00B729BC"/>
    <w:rsid w:val="00B73E78"/>
    <w:rsid w:val="00B74AD7"/>
    <w:rsid w:val="00B75120"/>
    <w:rsid w:val="00B76DE0"/>
    <w:rsid w:val="00B76E0D"/>
    <w:rsid w:val="00B76FFF"/>
    <w:rsid w:val="00B77445"/>
    <w:rsid w:val="00B77911"/>
    <w:rsid w:val="00B8027D"/>
    <w:rsid w:val="00B80CE1"/>
    <w:rsid w:val="00B8121D"/>
    <w:rsid w:val="00B8129E"/>
    <w:rsid w:val="00B81850"/>
    <w:rsid w:val="00B81DFF"/>
    <w:rsid w:val="00B81EAB"/>
    <w:rsid w:val="00B82326"/>
    <w:rsid w:val="00B828F6"/>
    <w:rsid w:val="00B82A1D"/>
    <w:rsid w:val="00B82A89"/>
    <w:rsid w:val="00B82BA7"/>
    <w:rsid w:val="00B8461D"/>
    <w:rsid w:val="00B86CD5"/>
    <w:rsid w:val="00B87004"/>
    <w:rsid w:val="00B87730"/>
    <w:rsid w:val="00B87986"/>
    <w:rsid w:val="00B87A5C"/>
    <w:rsid w:val="00B87F88"/>
    <w:rsid w:val="00B90D76"/>
    <w:rsid w:val="00B90FE9"/>
    <w:rsid w:val="00B9156E"/>
    <w:rsid w:val="00B923D7"/>
    <w:rsid w:val="00B92817"/>
    <w:rsid w:val="00B92AB1"/>
    <w:rsid w:val="00B94825"/>
    <w:rsid w:val="00B95003"/>
    <w:rsid w:val="00B9595C"/>
    <w:rsid w:val="00B96208"/>
    <w:rsid w:val="00B96267"/>
    <w:rsid w:val="00B96B4D"/>
    <w:rsid w:val="00B9723B"/>
    <w:rsid w:val="00B9750D"/>
    <w:rsid w:val="00B97E38"/>
    <w:rsid w:val="00BA0150"/>
    <w:rsid w:val="00BA094D"/>
    <w:rsid w:val="00BA0CCE"/>
    <w:rsid w:val="00BA2BF4"/>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009"/>
    <w:rsid w:val="00BB763D"/>
    <w:rsid w:val="00BB7DF1"/>
    <w:rsid w:val="00BB7E89"/>
    <w:rsid w:val="00BC03D7"/>
    <w:rsid w:val="00BC0E65"/>
    <w:rsid w:val="00BC141E"/>
    <w:rsid w:val="00BC2223"/>
    <w:rsid w:val="00BC2BDF"/>
    <w:rsid w:val="00BC2D7F"/>
    <w:rsid w:val="00BC309E"/>
    <w:rsid w:val="00BC30E3"/>
    <w:rsid w:val="00BC37ED"/>
    <w:rsid w:val="00BC4F7B"/>
    <w:rsid w:val="00BC5437"/>
    <w:rsid w:val="00BC564E"/>
    <w:rsid w:val="00BC5919"/>
    <w:rsid w:val="00BC5B33"/>
    <w:rsid w:val="00BC6300"/>
    <w:rsid w:val="00BC6528"/>
    <w:rsid w:val="00BC67F1"/>
    <w:rsid w:val="00BC69D7"/>
    <w:rsid w:val="00BC6E1F"/>
    <w:rsid w:val="00BC7D91"/>
    <w:rsid w:val="00BD0144"/>
    <w:rsid w:val="00BD020C"/>
    <w:rsid w:val="00BD0413"/>
    <w:rsid w:val="00BD0988"/>
    <w:rsid w:val="00BD12D4"/>
    <w:rsid w:val="00BD1562"/>
    <w:rsid w:val="00BD294E"/>
    <w:rsid w:val="00BD3314"/>
    <w:rsid w:val="00BD4E3C"/>
    <w:rsid w:val="00BD4F8D"/>
    <w:rsid w:val="00BD5D0B"/>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333"/>
    <w:rsid w:val="00BE24E7"/>
    <w:rsid w:val="00BE29DB"/>
    <w:rsid w:val="00BE2A62"/>
    <w:rsid w:val="00BE349A"/>
    <w:rsid w:val="00BE3694"/>
    <w:rsid w:val="00BE4DD5"/>
    <w:rsid w:val="00BE5B2E"/>
    <w:rsid w:val="00BE62E0"/>
    <w:rsid w:val="00BE652D"/>
    <w:rsid w:val="00BE740B"/>
    <w:rsid w:val="00BE7574"/>
    <w:rsid w:val="00BE79E8"/>
    <w:rsid w:val="00BF0216"/>
    <w:rsid w:val="00BF05BE"/>
    <w:rsid w:val="00BF1D7E"/>
    <w:rsid w:val="00BF206D"/>
    <w:rsid w:val="00BF2422"/>
    <w:rsid w:val="00BF2700"/>
    <w:rsid w:val="00BF2831"/>
    <w:rsid w:val="00BF34F4"/>
    <w:rsid w:val="00BF490F"/>
    <w:rsid w:val="00BF4E9D"/>
    <w:rsid w:val="00BF519C"/>
    <w:rsid w:val="00BF5224"/>
    <w:rsid w:val="00BF526C"/>
    <w:rsid w:val="00BF550C"/>
    <w:rsid w:val="00BF55B1"/>
    <w:rsid w:val="00BF56B5"/>
    <w:rsid w:val="00BF5799"/>
    <w:rsid w:val="00BF63E8"/>
    <w:rsid w:val="00BF6ADB"/>
    <w:rsid w:val="00BF6BA6"/>
    <w:rsid w:val="00BF6F4D"/>
    <w:rsid w:val="00BF7557"/>
    <w:rsid w:val="00C003C6"/>
    <w:rsid w:val="00C00410"/>
    <w:rsid w:val="00C00742"/>
    <w:rsid w:val="00C013BC"/>
    <w:rsid w:val="00C02474"/>
    <w:rsid w:val="00C02C04"/>
    <w:rsid w:val="00C03378"/>
    <w:rsid w:val="00C03C4E"/>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4C3"/>
    <w:rsid w:val="00C11698"/>
    <w:rsid w:val="00C117C5"/>
    <w:rsid w:val="00C1284C"/>
    <w:rsid w:val="00C13956"/>
    <w:rsid w:val="00C13D84"/>
    <w:rsid w:val="00C14312"/>
    <w:rsid w:val="00C14CF2"/>
    <w:rsid w:val="00C15743"/>
    <w:rsid w:val="00C162AD"/>
    <w:rsid w:val="00C1691E"/>
    <w:rsid w:val="00C16A45"/>
    <w:rsid w:val="00C16AE5"/>
    <w:rsid w:val="00C16C9B"/>
    <w:rsid w:val="00C16D42"/>
    <w:rsid w:val="00C1741B"/>
    <w:rsid w:val="00C17A99"/>
    <w:rsid w:val="00C201CC"/>
    <w:rsid w:val="00C20401"/>
    <w:rsid w:val="00C21330"/>
    <w:rsid w:val="00C217F7"/>
    <w:rsid w:val="00C22276"/>
    <w:rsid w:val="00C228B8"/>
    <w:rsid w:val="00C22C14"/>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550A"/>
    <w:rsid w:val="00C35688"/>
    <w:rsid w:val="00C359A1"/>
    <w:rsid w:val="00C35C3A"/>
    <w:rsid w:val="00C35D09"/>
    <w:rsid w:val="00C36856"/>
    <w:rsid w:val="00C36BAB"/>
    <w:rsid w:val="00C37508"/>
    <w:rsid w:val="00C40091"/>
    <w:rsid w:val="00C40A4F"/>
    <w:rsid w:val="00C41BBE"/>
    <w:rsid w:val="00C41C61"/>
    <w:rsid w:val="00C41CC4"/>
    <w:rsid w:val="00C43179"/>
    <w:rsid w:val="00C4340B"/>
    <w:rsid w:val="00C4378E"/>
    <w:rsid w:val="00C4418B"/>
    <w:rsid w:val="00C447AA"/>
    <w:rsid w:val="00C44A6B"/>
    <w:rsid w:val="00C44AFD"/>
    <w:rsid w:val="00C44F77"/>
    <w:rsid w:val="00C4507A"/>
    <w:rsid w:val="00C460F5"/>
    <w:rsid w:val="00C4628C"/>
    <w:rsid w:val="00C46909"/>
    <w:rsid w:val="00C469C2"/>
    <w:rsid w:val="00C46ACE"/>
    <w:rsid w:val="00C47430"/>
    <w:rsid w:val="00C476CA"/>
    <w:rsid w:val="00C47B8B"/>
    <w:rsid w:val="00C47C16"/>
    <w:rsid w:val="00C47CAD"/>
    <w:rsid w:val="00C50596"/>
    <w:rsid w:val="00C51074"/>
    <w:rsid w:val="00C51334"/>
    <w:rsid w:val="00C516C6"/>
    <w:rsid w:val="00C52300"/>
    <w:rsid w:val="00C52790"/>
    <w:rsid w:val="00C5292C"/>
    <w:rsid w:val="00C52BAE"/>
    <w:rsid w:val="00C52C71"/>
    <w:rsid w:val="00C52F01"/>
    <w:rsid w:val="00C5312C"/>
    <w:rsid w:val="00C55113"/>
    <w:rsid w:val="00C558DC"/>
    <w:rsid w:val="00C5690E"/>
    <w:rsid w:val="00C5692C"/>
    <w:rsid w:val="00C5740A"/>
    <w:rsid w:val="00C57506"/>
    <w:rsid w:val="00C57E0C"/>
    <w:rsid w:val="00C57FAB"/>
    <w:rsid w:val="00C607D4"/>
    <w:rsid w:val="00C609D0"/>
    <w:rsid w:val="00C60F23"/>
    <w:rsid w:val="00C60FD8"/>
    <w:rsid w:val="00C61BA4"/>
    <w:rsid w:val="00C61FE2"/>
    <w:rsid w:val="00C6209A"/>
    <w:rsid w:val="00C622BC"/>
    <w:rsid w:val="00C637C7"/>
    <w:rsid w:val="00C63986"/>
    <w:rsid w:val="00C63AC3"/>
    <w:rsid w:val="00C63BA8"/>
    <w:rsid w:val="00C640F5"/>
    <w:rsid w:val="00C642C7"/>
    <w:rsid w:val="00C6484D"/>
    <w:rsid w:val="00C65030"/>
    <w:rsid w:val="00C650C9"/>
    <w:rsid w:val="00C654DA"/>
    <w:rsid w:val="00C65BD7"/>
    <w:rsid w:val="00C661C3"/>
    <w:rsid w:val="00C662DF"/>
    <w:rsid w:val="00C670B3"/>
    <w:rsid w:val="00C67F76"/>
    <w:rsid w:val="00C701D1"/>
    <w:rsid w:val="00C70352"/>
    <w:rsid w:val="00C706A4"/>
    <w:rsid w:val="00C71E29"/>
    <w:rsid w:val="00C723BE"/>
    <w:rsid w:val="00C7327A"/>
    <w:rsid w:val="00C7376E"/>
    <w:rsid w:val="00C74051"/>
    <w:rsid w:val="00C7439D"/>
    <w:rsid w:val="00C743CF"/>
    <w:rsid w:val="00C744A9"/>
    <w:rsid w:val="00C74CF1"/>
    <w:rsid w:val="00C75A77"/>
    <w:rsid w:val="00C75A78"/>
    <w:rsid w:val="00C76322"/>
    <w:rsid w:val="00C769AC"/>
    <w:rsid w:val="00C76A6E"/>
    <w:rsid w:val="00C77F9F"/>
    <w:rsid w:val="00C804C3"/>
    <w:rsid w:val="00C81C15"/>
    <w:rsid w:val="00C821BE"/>
    <w:rsid w:val="00C82ABD"/>
    <w:rsid w:val="00C82F3B"/>
    <w:rsid w:val="00C83499"/>
    <w:rsid w:val="00C83B21"/>
    <w:rsid w:val="00C8407C"/>
    <w:rsid w:val="00C84245"/>
    <w:rsid w:val="00C8462F"/>
    <w:rsid w:val="00C8567A"/>
    <w:rsid w:val="00C8613C"/>
    <w:rsid w:val="00C86B26"/>
    <w:rsid w:val="00C86E3E"/>
    <w:rsid w:val="00C9030D"/>
    <w:rsid w:val="00C9094E"/>
    <w:rsid w:val="00C90E8A"/>
    <w:rsid w:val="00C911F1"/>
    <w:rsid w:val="00C912B9"/>
    <w:rsid w:val="00C915FB"/>
    <w:rsid w:val="00C91BAE"/>
    <w:rsid w:val="00C91E06"/>
    <w:rsid w:val="00C92374"/>
    <w:rsid w:val="00C92FCB"/>
    <w:rsid w:val="00C937E5"/>
    <w:rsid w:val="00C93AFA"/>
    <w:rsid w:val="00C94465"/>
    <w:rsid w:val="00C94987"/>
    <w:rsid w:val="00C94CFC"/>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AFD"/>
    <w:rsid w:val="00CA3DC4"/>
    <w:rsid w:val="00CA4058"/>
    <w:rsid w:val="00CA408E"/>
    <w:rsid w:val="00CA4655"/>
    <w:rsid w:val="00CA4888"/>
    <w:rsid w:val="00CA49F7"/>
    <w:rsid w:val="00CA4A88"/>
    <w:rsid w:val="00CA4BC1"/>
    <w:rsid w:val="00CA54EE"/>
    <w:rsid w:val="00CA5BB0"/>
    <w:rsid w:val="00CA6113"/>
    <w:rsid w:val="00CA6958"/>
    <w:rsid w:val="00CB0300"/>
    <w:rsid w:val="00CB0B81"/>
    <w:rsid w:val="00CB136F"/>
    <w:rsid w:val="00CB17A6"/>
    <w:rsid w:val="00CB3C8F"/>
    <w:rsid w:val="00CB46E8"/>
    <w:rsid w:val="00CB49AB"/>
    <w:rsid w:val="00CB4A1B"/>
    <w:rsid w:val="00CB50A6"/>
    <w:rsid w:val="00CB50C4"/>
    <w:rsid w:val="00CB603F"/>
    <w:rsid w:val="00CB6D6E"/>
    <w:rsid w:val="00CB7196"/>
    <w:rsid w:val="00CB774E"/>
    <w:rsid w:val="00CC00C9"/>
    <w:rsid w:val="00CC02F6"/>
    <w:rsid w:val="00CC06A0"/>
    <w:rsid w:val="00CC1700"/>
    <w:rsid w:val="00CC1F0A"/>
    <w:rsid w:val="00CC1F3D"/>
    <w:rsid w:val="00CC240B"/>
    <w:rsid w:val="00CC2695"/>
    <w:rsid w:val="00CC2733"/>
    <w:rsid w:val="00CC33B3"/>
    <w:rsid w:val="00CC375D"/>
    <w:rsid w:val="00CC44C3"/>
    <w:rsid w:val="00CC4DA1"/>
    <w:rsid w:val="00CC51DF"/>
    <w:rsid w:val="00CC72D7"/>
    <w:rsid w:val="00CC7632"/>
    <w:rsid w:val="00CC77D9"/>
    <w:rsid w:val="00CC798F"/>
    <w:rsid w:val="00CC7D6A"/>
    <w:rsid w:val="00CC7E72"/>
    <w:rsid w:val="00CD0653"/>
    <w:rsid w:val="00CD1168"/>
    <w:rsid w:val="00CD15EE"/>
    <w:rsid w:val="00CD160B"/>
    <w:rsid w:val="00CD1CA9"/>
    <w:rsid w:val="00CD1EF2"/>
    <w:rsid w:val="00CD222E"/>
    <w:rsid w:val="00CD2C29"/>
    <w:rsid w:val="00CD2C92"/>
    <w:rsid w:val="00CD2C94"/>
    <w:rsid w:val="00CD2D4A"/>
    <w:rsid w:val="00CD300A"/>
    <w:rsid w:val="00CD3476"/>
    <w:rsid w:val="00CD3A55"/>
    <w:rsid w:val="00CD4173"/>
    <w:rsid w:val="00CD4760"/>
    <w:rsid w:val="00CD56C7"/>
    <w:rsid w:val="00CD596E"/>
    <w:rsid w:val="00CD6297"/>
    <w:rsid w:val="00CD6635"/>
    <w:rsid w:val="00CD674A"/>
    <w:rsid w:val="00CD685D"/>
    <w:rsid w:val="00CD6B80"/>
    <w:rsid w:val="00CD7485"/>
    <w:rsid w:val="00CE077E"/>
    <w:rsid w:val="00CE0D3F"/>
    <w:rsid w:val="00CE1B9C"/>
    <w:rsid w:val="00CE219A"/>
    <w:rsid w:val="00CE2743"/>
    <w:rsid w:val="00CE2B91"/>
    <w:rsid w:val="00CE4492"/>
    <w:rsid w:val="00CE49FB"/>
    <w:rsid w:val="00CE4D30"/>
    <w:rsid w:val="00CE598E"/>
    <w:rsid w:val="00CE5C6B"/>
    <w:rsid w:val="00CE6389"/>
    <w:rsid w:val="00CE66F8"/>
    <w:rsid w:val="00CE6D8E"/>
    <w:rsid w:val="00CE717D"/>
    <w:rsid w:val="00CE7577"/>
    <w:rsid w:val="00CE7BBB"/>
    <w:rsid w:val="00CF026E"/>
    <w:rsid w:val="00CF04F1"/>
    <w:rsid w:val="00CF1100"/>
    <w:rsid w:val="00CF11EC"/>
    <w:rsid w:val="00CF1AA6"/>
    <w:rsid w:val="00CF1AB4"/>
    <w:rsid w:val="00CF2843"/>
    <w:rsid w:val="00CF37EE"/>
    <w:rsid w:val="00CF43DA"/>
    <w:rsid w:val="00CF45BA"/>
    <w:rsid w:val="00CF4725"/>
    <w:rsid w:val="00CF5527"/>
    <w:rsid w:val="00CF5F07"/>
    <w:rsid w:val="00CF60A8"/>
    <w:rsid w:val="00CF6116"/>
    <w:rsid w:val="00CF6D66"/>
    <w:rsid w:val="00CF7CA5"/>
    <w:rsid w:val="00D0160E"/>
    <w:rsid w:val="00D022CF"/>
    <w:rsid w:val="00D02338"/>
    <w:rsid w:val="00D023EC"/>
    <w:rsid w:val="00D02806"/>
    <w:rsid w:val="00D02E81"/>
    <w:rsid w:val="00D042E2"/>
    <w:rsid w:val="00D0440D"/>
    <w:rsid w:val="00D0459F"/>
    <w:rsid w:val="00D053C7"/>
    <w:rsid w:val="00D05492"/>
    <w:rsid w:val="00D05AFD"/>
    <w:rsid w:val="00D06934"/>
    <w:rsid w:val="00D06942"/>
    <w:rsid w:val="00D06E62"/>
    <w:rsid w:val="00D07009"/>
    <w:rsid w:val="00D07DB9"/>
    <w:rsid w:val="00D07EE8"/>
    <w:rsid w:val="00D10B40"/>
    <w:rsid w:val="00D10C36"/>
    <w:rsid w:val="00D12877"/>
    <w:rsid w:val="00D1293D"/>
    <w:rsid w:val="00D132C5"/>
    <w:rsid w:val="00D13B8C"/>
    <w:rsid w:val="00D14946"/>
    <w:rsid w:val="00D1526A"/>
    <w:rsid w:val="00D152CC"/>
    <w:rsid w:val="00D15C23"/>
    <w:rsid w:val="00D15C3C"/>
    <w:rsid w:val="00D163AE"/>
    <w:rsid w:val="00D169C0"/>
    <w:rsid w:val="00D16E09"/>
    <w:rsid w:val="00D17613"/>
    <w:rsid w:val="00D17EFC"/>
    <w:rsid w:val="00D20109"/>
    <w:rsid w:val="00D202CD"/>
    <w:rsid w:val="00D205F7"/>
    <w:rsid w:val="00D20779"/>
    <w:rsid w:val="00D20DEA"/>
    <w:rsid w:val="00D224DB"/>
    <w:rsid w:val="00D23D79"/>
    <w:rsid w:val="00D23DD8"/>
    <w:rsid w:val="00D23FD7"/>
    <w:rsid w:val="00D2425F"/>
    <w:rsid w:val="00D24BDB"/>
    <w:rsid w:val="00D25025"/>
    <w:rsid w:val="00D257F2"/>
    <w:rsid w:val="00D26ADC"/>
    <w:rsid w:val="00D3028B"/>
    <w:rsid w:val="00D30800"/>
    <w:rsid w:val="00D30CB1"/>
    <w:rsid w:val="00D3160C"/>
    <w:rsid w:val="00D3185A"/>
    <w:rsid w:val="00D322DD"/>
    <w:rsid w:val="00D32C2F"/>
    <w:rsid w:val="00D32FC2"/>
    <w:rsid w:val="00D333C1"/>
    <w:rsid w:val="00D3382E"/>
    <w:rsid w:val="00D33928"/>
    <w:rsid w:val="00D33C0B"/>
    <w:rsid w:val="00D33E30"/>
    <w:rsid w:val="00D33EFD"/>
    <w:rsid w:val="00D340E0"/>
    <w:rsid w:val="00D34847"/>
    <w:rsid w:val="00D3500B"/>
    <w:rsid w:val="00D35E52"/>
    <w:rsid w:val="00D35F0A"/>
    <w:rsid w:val="00D3619E"/>
    <w:rsid w:val="00D36274"/>
    <w:rsid w:val="00D3685A"/>
    <w:rsid w:val="00D37166"/>
    <w:rsid w:val="00D3754F"/>
    <w:rsid w:val="00D40196"/>
    <w:rsid w:val="00D4118C"/>
    <w:rsid w:val="00D416B9"/>
    <w:rsid w:val="00D41F6D"/>
    <w:rsid w:val="00D422FD"/>
    <w:rsid w:val="00D42CAF"/>
    <w:rsid w:val="00D4312F"/>
    <w:rsid w:val="00D432A4"/>
    <w:rsid w:val="00D43B4D"/>
    <w:rsid w:val="00D43F23"/>
    <w:rsid w:val="00D44716"/>
    <w:rsid w:val="00D450B1"/>
    <w:rsid w:val="00D455BC"/>
    <w:rsid w:val="00D4572F"/>
    <w:rsid w:val="00D46A7A"/>
    <w:rsid w:val="00D475A1"/>
    <w:rsid w:val="00D4770C"/>
    <w:rsid w:val="00D47865"/>
    <w:rsid w:val="00D47D13"/>
    <w:rsid w:val="00D47D83"/>
    <w:rsid w:val="00D50547"/>
    <w:rsid w:val="00D50908"/>
    <w:rsid w:val="00D511EB"/>
    <w:rsid w:val="00D516F0"/>
    <w:rsid w:val="00D51958"/>
    <w:rsid w:val="00D51E40"/>
    <w:rsid w:val="00D52290"/>
    <w:rsid w:val="00D522A2"/>
    <w:rsid w:val="00D536C5"/>
    <w:rsid w:val="00D545F1"/>
    <w:rsid w:val="00D54BAC"/>
    <w:rsid w:val="00D5539C"/>
    <w:rsid w:val="00D55858"/>
    <w:rsid w:val="00D5619C"/>
    <w:rsid w:val="00D561A0"/>
    <w:rsid w:val="00D56439"/>
    <w:rsid w:val="00D56DCC"/>
    <w:rsid w:val="00D56E70"/>
    <w:rsid w:val="00D56F7A"/>
    <w:rsid w:val="00D5708A"/>
    <w:rsid w:val="00D5726C"/>
    <w:rsid w:val="00D578E9"/>
    <w:rsid w:val="00D57B89"/>
    <w:rsid w:val="00D57BF8"/>
    <w:rsid w:val="00D60714"/>
    <w:rsid w:val="00D608FC"/>
    <w:rsid w:val="00D60C6F"/>
    <w:rsid w:val="00D60C97"/>
    <w:rsid w:val="00D61588"/>
    <w:rsid w:val="00D61EF1"/>
    <w:rsid w:val="00D6271C"/>
    <w:rsid w:val="00D62A11"/>
    <w:rsid w:val="00D63101"/>
    <w:rsid w:val="00D632AE"/>
    <w:rsid w:val="00D63B14"/>
    <w:rsid w:val="00D63E0A"/>
    <w:rsid w:val="00D64361"/>
    <w:rsid w:val="00D644FB"/>
    <w:rsid w:val="00D6473D"/>
    <w:rsid w:val="00D64838"/>
    <w:rsid w:val="00D64DA5"/>
    <w:rsid w:val="00D65FCD"/>
    <w:rsid w:val="00D66866"/>
    <w:rsid w:val="00D67530"/>
    <w:rsid w:val="00D67709"/>
    <w:rsid w:val="00D67F41"/>
    <w:rsid w:val="00D70A61"/>
    <w:rsid w:val="00D70DB6"/>
    <w:rsid w:val="00D7239C"/>
    <w:rsid w:val="00D72AC1"/>
    <w:rsid w:val="00D73735"/>
    <w:rsid w:val="00D74927"/>
    <w:rsid w:val="00D74E8E"/>
    <w:rsid w:val="00D75483"/>
    <w:rsid w:val="00D76BEB"/>
    <w:rsid w:val="00D76EA4"/>
    <w:rsid w:val="00D771D0"/>
    <w:rsid w:val="00D77526"/>
    <w:rsid w:val="00D77A92"/>
    <w:rsid w:val="00D77C40"/>
    <w:rsid w:val="00D77FA8"/>
    <w:rsid w:val="00D8041C"/>
    <w:rsid w:val="00D81ACE"/>
    <w:rsid w:val="00D81E36"/>
    <w:rsid w:val="00D82616"/>
    <w:rsid w:val="00D82D56"/>
    <w:rsid w:val="00D8339E"/>
    <w:rsid w:val="00D83C22"/>
    <w:rsid w:val="00D844A5"/>
    <w:rsid w:val="00D85109"/>
    <w:rsid w:val="00D856C8"/>
    <w:rsid w:val="00D859E2"/>
    <w:rsid w:val="00D86019"/>
    <w:rsid w:val="00D862F3"/>
    <w:rsid w:val="00D86D26"/>
    <w:rsid w:val="00D87553"/>
    <w:rsid w:val="00D87769"/>
    <w:rsid w:val="00D87B15"/>
    <w:rsid w:val="00D901A0"/>
    <w:rsid w:val="00D9069A"/>
    <w:rsid w:val="00D90E8A"/>
    <w:rsid w:val="00D914F0"/>
    <w:rsid w:val="00D91D21"/>
    <w:rsid w:val="00D91F86"/>
    <w:rsid w:val="00D9258E"/>
    <w:rsid w:val="00D925C9"/>
    <w:rsid w:val="00D92911"/>
    <w:rsid w:val="00D92992"/>
    <w:rsid w:val="00D9345D"/>
    <w:rsid w:val="00D93FA5"/>
    <w:rsid w:val="00D941B3"/>
    <w:rsid w:val="00D94460"/>
    <w:rsid w:val="00D94BC5"/>
    <w:rsid w:val="00D94EBE"/>
    <w:rsid w:val="00D95074"/>
    <w:rsid w:val="00D955AD"/>
    <w:rsid w:val="00D95A9B"/>
    <w:rsid w:val="00D95FC5"/>
    <w:rsid w:val="00D960E8"/>
    <w:rsid w:val="00D96BAC"/>
    <w:rsid w:val="00D97576"/>
    <w:rsid w:val="00D97B08"/>
    <w:rsid w:val="00D97B3E"/>
    <w:rsid w:val="00D97C50"/>
    <w:rsid w:val="00DA043C"/>
    <w:rsid w:val="00DA05D8"/>
    <w:rsid w:val="00DA0872"/>
    <w:rsid w:val="00DA0B80"/>
    <w:rsid w:val="00DA164C"/>
    <w:rsid w:val="00DA2594"/>
    <w:rsid w:val="00DA2A39"/>
    <w:rsid w:val="00DA2F2B"/>
    <w:rsid w:val="00DA30BD"/>
    <w:rsid w:val="00DA3329"/>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17FF"/>
    <w:rsid w:val="00DB23AE"/>
    <w:rsid w:val="00DB2733"/>
    <w:rsid w:val="00DB2B95"/>
    <w:rsid w:val="00DB4883"/>
    <w:rsid w:val="00DB6CAA"/>
    <w:rsid w:val="00DB6CB7"/>
    <w:rsid w:val="00DB7170"/>
    <w:rsid w:val="00DB755B"/>
    <w:rsid w:val="00DB7575"/>
    <w:rsid w:val="00DC01C1"/>
    <w:rsid w:val="00DC0392"/>
    <w:rsid w:val="00DC0AB0"/>
    <w:rsid w:val="00DC18FB"/>
    <w:rsid w:val="00DC25AA"/>
    <w:rsid w:val="00DC262C"/>
    <w:rsid w:val="00DC29C0"/>
    <w:rsid w:val="00DC2F23"/>
    <w:rsid w:val="00DC2FF6"/>
    <w:rsid w:val="00DC398C"/>
    <w:rsid w:val="00DC3C41"/>
    <w:rsid w:val="00DC3E32"/>
    <w:rsid w:val="00DC47CA"/>
    <w:rsid w:val="00DC4B8E"/>
    <w:rsid w:val="00DC4CBD"/>
    <w:rsid w:val="00DC57BF"/>
    <w:rsid w:val="00DC5F23"/>
    <w:rsid w:val="00DC6CA7"/>
    <w:rsid w:val="00DC797F"/>
    <w:rsid w:val="00DC7A07"/>
    <w:rsid w:val="00DC7C2A"/>
    <w:rsid w:val="00DD0038"/>
    <w:rsid w:val="00DD0194"/>
    <w:rsid w:val="00DD0B56"/>
    <w:rsid w:val="00DD2E08"/>
    <w:rsid w:val="00DD3433"/>
    <w:rsid w:val="00DD3635"/>
    <w:rsid w:val="00DD3981"/>
    <w:rsid w:val="00DD451B"/>
    <w:rsid w:val="00DD4F65"/>
    <w:rsid w:val="00DD5497"/>
    <w:rsid w:val="00DD5FF8"/>
    <w:rsid w:val="00DD6ED6"/>
    <w:rsid w:val="00DE02F3"/>
    <w:rsid w:val="00DE0410"/>
    <w:rsid w:val="00DE063A"/>
    <w:rsid w:val="00DE15BC"/>
    <w:rsid w:val="00DE15F4"/>
    <w:rsid w:val="00DE1674"/>
    <w:rsid w:val="00DE1D03"/>
    <w:rsid w:val="00DE205F"/>
    <w:rsid w:val="00DE22E9"/>
    <w:rsid w:val="00DE52C2"/>
    <w:rsid w:val="00DE5335"/>
    <w:rsid w:val="00DE5B56"/>
    <w:rsid w:val="00DE5DC5"/>
    <w:rsid w:val="00DE6ABF"/>
    <w:rsid w:val="00DE70EC"/>
    <w:rsid w:val="00DE7487"/>
    <w:rsid w:val="00DE77D3"/>
    <w:rsid w:val="00DE7D88"/>
    <w:rsid w:val="00DF060D"/>
    <w:rsid w:val="00DF0854"/>
    <w:rsid w:val="00DF0F46"/>
    <w:rsid w:val="00DF141D"/>
    <w:rsid w:val="00DF33A0"/>
    <w:rsid w:val="00DF42D8"/>
    <w:rsid w:val="00DF46B3"/>
    <w:rsid w:val="00DF530E"/>
    <w:rsid w:val="00DF59A9"/>
    <w:rsid w:val="00DF5D1D"/>
    <w:rsid w:val="00DF6902"/>
    <w:rsid w:val="00DF768B"/>
    <w:rsid w:val="00DF7FEB"/>
    <w:rsid w:val="00E0005D"/>
    <w:rsid w:val="00E001B9"/>
    <w:rsid w:val="00E006C8"/>
    <w:rsid w:val="00E00707"/>
    <w:rsid w:val="00E0080B"/>
    <w:rsid w:val="00E01247"/>
    <w:rsid w:val="00E01841"/>
    <w:rsid w:val="00E018F5"/>
    <w:rsid w:val="00E02272"/>
    <w:rsid w:val="00E02557"/>
    <w:rsid w:val="00E02A4B"/>
    <w:rsid w:val="00E02C70"/>
    <w:rsid w:val="00E032B1"/>
    <w:rsid w:val="00E0350D"/>
    <w:rsid w:val="00E0380C"/>
    <w:rsid w:val="00E03971"/>
    <w:rsid w:val="00E03E4C"/>
    <w:rsid w:val="00E047C6"/>
    <w:rsid w:val="00E0535F"/>
    <w:rsid w:val="00E055D4"/>
    <w:rsid w:val="00E057C4"/>
    <w:rsid w:val="00E05AFB"/>
    <w:rsid w:val="00E06A39"/>
    <w:rsid w:val="00E078C9"/>
    <w:rsid w:val="00E10C11"/>
    <w:rsid w:val="00E10F80"/>
    <w:rsid w:val="00E11245"/>
    <w:rsid w:val="00E11D6D"/>
    <w:rsid w:val="00E11E2F"/>
    <w:rsid w:val="00E1238F"/>
    <w:rsid w:val="00E129DD"/>
    <w:rsid w:val="00E12A13"/>
    <w:rsid w:val="00E12A8C"/>
    <w:rsid w:val="00E1404C"/>
    <w:rsid w:val="00E145A2"/>
    <w:rsid w:val="00E14623"/>
    <w:rsid w:val="00E148B4"/>
    <w:rsid w:val="00E15E69"/>
    <w:rsid w:val="00E16003"/>
    <w:rsid w:val="00E16CB0"/>
    <w:rsid w:val="00E16D40"/>
    <w:rsid w:val="00E170DA"/>
    <w:rsid w:val="00E173A8"/>
    <w:rsid w:val="00E17674"/>
    <w:rsid w:val="00E2014F"/>
    <w:rsid w:val="00E212C2"/>
    <w:rsid w:val="00E213A3"/>
    <w:rsid w:val="00E215F9"/>
    <w:rsid w:val="00E2197B"/>
    <w:rsid w:val="00E21EB2"/>
    <w:rsid w:val="00E230D9"/>
    <w:rsid w:val="00E248C4"/>
    <w:rsid w:val="00E24D09"/>
    <w:rsid w:val="00E2515A"/>
    <w:rsid w:val="00E254E9"/>
    <w:rsid w:val="00E26CD2"/>
    <w:rsid w:val="00E26DB6"/>
    <w:rsid w:val="00E26F4C"/>
    <w:rsid w:val="00E270C4"/>
    <w:rsid w:val="00E2720A"/>
    <w:rsid w:val="00E27D64"/>
    <w:rsid w:val="00E30155"/>
    <w:rsid w:val="00E306A8"/>
    <w:rsid w:val="00E307AC"/>
    <w:rsid w:val="00E308C9"/>
    <w:rsid w:val="00E30F3A"/>
    <w:rsid w:val="00E318C6"/>
    <w:rsid w:val="00E31DEC"/>
    <w:rsid w:val="00E31F7B"/>
    <w:rsid w:val="00E3252B"/>
    <w:rsid w:val="00E32947"/>
    <w:rsid w:val="00E32EBE"/>
    <w:rsid w:val="00E33902"/>
    <w:rsid w:val="00E34C1A"/>
    <w:rsid w:val="00E34CFE"/>
    <w:rsid w:val="00E34E82"/>
    <w:rsid w:val="00E34ED5"/>
    <w:rsid w:val="00E35968"/>
    <w:rsid w:val="00E3655A"/>
    <w:rsid w:val="00E36B43"/>
    <w:rsid w:val="00E408E6"/>
    <w:rsid w:val="00E4090A"/>
    <w:rsid w:val="00E40ACD"/>
    <w:rsid w:val="00E40B5A"/>
    <w:rsid w:val="00E40D2C"/>
    <w:rsid w:val="00E412E0"/>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40CD"/>
    <w:rsid w:val="00E54461"/>
    <w:rsid w:val="00E54D2B"/>
    <w:rsid w:val="00E5546D"/>
    <w:rsid w:val="00E5546E"/>
    <w:rsid w:val="00E5567A"/>
    <w:rsid w:val="00E5587E"/>
    <w:rsid w:val="00E56C8A"/>
    <w:rsid w:val="00E57BD0"/>
    <w:rsid w:val="00E6032A"/>
    <w:rsid w:val="00E60365"/>
    <w:rsid w:val="00E603EF"/>
    <w:rsid w:val="00E60A8A"/>
    <w:rsid w:val="00E60FE5"/>
    <w:rsid w:val="00E6152C"/>
    <w:rsid w:val="00E61A92"/>
    <w:rsid w:val="00E61FAE"/>
    <w:rsid w:val="00E62BDC"/>
    <w:rsid w:val="00E62C07"/>
    <w:rsid w:val="00E63429"/>
    <w:rsid w:val="00E637AB"/>
    <w:rsid w:val="00E640F8"/>
    <w:rsid w:val="00E64FC2"/>
    <w:rsid w:val="00E65037"/>
    <w:rsid w:val="00E65C02"/>
    <w:rsid w:val="00E6696A"/>
    <w:rsid w:val="00E66B42"/>
    <w:rsid w:val="00E678DC"/>
    <w:rsid w:val="00E67DD3"/>
    <w:rsid w:val="00E7013A"/>
    <w:rsid w:val="00E7057C"/>
    <w:rsid w:val="00E70CEA"/>
    <w:rsid w:val="00E713DA"/>
    <w:rsid w:val="00E73520"/>
    <w:rsid w:val="00E73932"/>
    <w:rsid w:val="00E7425F"/>
    <w:rsid w:val="00E7468A"/>
    <w:rsid w:val="00E747ED"/>
    <w:rsid w:val="00E74812"/>
    <w:rsid w:val="00E74E14"/>
    <w:rsid w:val="00E7580D"/>
    <w:rsid w:val="00E758D4"/>
    <w:rsid w:val="00E75F41"/>
    <w:rsid w:val="00E76060"/>
    <w:rsid w:val="00E76A7D"/>
    <w:rsid w:val="00E76C25"/>
    <w:rsid w:val="00E76E16"/>
    <w:rsid w:val="00E77A1D"/>
    <w:rsid w:val="00E77CA6"/>
    <w:rsid w:val="00E80375"/>
    <w:rsid w:val="00E80DE4"/>
    <w:rsid w:val="00E80EA4"/>
    <w:rsid w:val="00E8231E"/>
    <w:rsid w:val="00E82345"/>
    <w:rsid w:val="00E8234E"/>
    <w:rsid w:val="00E82A8E"/>
    <w:rsid w:val="00E82C32"/>
    <w:rsid w:val="00E82C8D"/>
    <w:rsid w:val="00E831EA"/>
    <w:rsid w:val="00E83498"/>
    <w:rsid w:val="00E83A22"/>
    <w:rsid w:val="00E83C9B"/>
    <w:rsid w:val="00E84509"/>
    <w:rsid w:val="00E846D0"/>
    <w:rsid w:val="00E84C16"/>
    <w:rsid w:val="00E8582E"/>
    <w:rsid w:val="00E862C4"/>
    <w:rsid w:val="00E86AE7"/>
    <w:rsid w:val="00E86EBE"/>
    <w:rsid w:val="00E8768D"/>
    <w:rsid w:val="00E87C73"/>
    <w:rsid w:val="00E87DBE"/>
    <w:rsid w:val="00E90E73"/>
    <w:rsid w:val="00E9204D"/>
    <w:rsid w:val="00E9228A"/>
    <w:rsid w:val="00E92B78"/>
    <w:rsid w:val="00E933C8"/>
    <w:rsid w:val="00E93773"/>
    <w:rsid w:val="00E94873"/>
    <w:rsid w:val="00E94CA6"/>
    <w:rsid w:val="00E94F78"/>
    <w:rsid w:val="00E96000"/>
    <w:rsid w:val="00E9613A"/>
    <w:rsid w:val="00E963B2"/>
    <w:rsid w:val="00E96ED1"/>
    <w:rsid w:val="00E976F6"/>
    <w:rsid w:val="00E9776D"/>
    <w:rsid w:val="00E97E45"/>
    <w:rsid w:val="00EA000A"/>
    <w:rsid w:val="00EA06E0"/>
    <w:rsid w:val="00EA1143"/>
    <w:rsid w:val="00EA162E"/>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201A"/>
    <w:rsid w:val="00EB2584"/>
    <w:rsid w:val="00EB2E7A"/>
    <w:rsid w:val="00EB364B"/>
    <w:rsid w:val="00EB3871"/>
    <w:rsid w:val="00EB412A"/>
    <w:rsid w:val="00EB47BA"/>
    <w:rsid w:val="00EB5309"/>
    <w:rsid w:val="00EB54F3"/>
    <w:rsid w:val="00EB6031"/>
    <w:rsid w:val="00EB674E"/>
    <w:rsid w:val="00EC0491"/>
    <w:rsid w:val="00EC066C"/>
    <w:rsid w:val="00EC0ABC"/>
    <w:rsid w:val="00EC0FD9"/>
    <w:rsid w:val="00EC14C2"/>
    <w:rsid w:val="00EC1545"/>
    <w:rsid w:val="00EC1C14"/>
    <w:rsid w:val="00EC1D6C"/>
    <w:rsid w:val="00EC2E76"/>
    <w:rsid w:val="00EC36AB"/>
    <w:rsid w:val="00EC3700"/>
    <w:rsid w:val="00EC43E4"/>
    <w:rsid w:val="00EC4730"/>
    <w:rsid w:val="00EC4D70"/>
    <w:rsid w:val="00EC53B0"/>
    <w:rsid w:val="00EC676D"/>
    <w:rsid w:val="00EC6A24"/>
    <w:rsid w:val="00EC6CCE"/>
    <w:rsid w:val="00EC6FEB"/>
    <w:rsid w:val="00EC744F"/>
    <w:rsid w:val="00EC7AAD"/>
    <w:rsid w:val="00EC7CB9"/>
    <w:rsid w:val="00ED0120"/>
    <w:rsid w:val="00ED07BB"/>
    <w:rsid w:val="00ED095E"/>
    <w:rsid w:val="00ED0A66"/>
    <w:rsid w:val="00ED0D6F"/>
    <w:rsid w:val="00ED178B"/>
    <w:rsid w:val="00ED1E40"/>
    <w:rsid w:val="00ED200D"/>
    <w:rsid w:val="00ED2123"/>
    <w:rsid w:val="00ED237A"/>
    <w:rsid w:val="00ED2585"/>
    <w:rsid w:val="00ED2C44"/>
    <w:rsid w:val="00ED2D7E"/>
    <w:rsid w:val="00ED2E25"/>
    <w:rsid w:val="00ED3645"/>
    <w:rsid w:val="00ED38BC"/>
    <w:rsid w:val="00ED3A9C"/>
    <w:rsid w:val="00ED3C1C"/>
    <w:rsid w:val="00ED400A"/>
    <w:rsid w:val="00ED4152"/>
    <w:rsid w:val="00ED4609"/>
    <w:rsid w:val="00ED4BAF"/>
    <w:rsid w:val="00ED761C"/>
    <w:rsid w:val="00ED771B"/>
    <w:rsid w:val="00EE0602"/>
    <w:rsid w:val="00EE073E"/>
    <w:rsid w:val="00EE11C5"/>
    <w:rsid w:val="00EE24A9"/>
    <w:rsid w:val="00EE24EE"/>
    <w:rsid w:val="00EE2DC0"/>
    <w:rsid w:val="00EE33E5"/>
    <w:rsid w:val="00EE358B"/>
    <w:rsid w:val="00EE463C"/>
    <w:rsid w:val="00EE4B12"/>
    <w:rsid w:val="00EE4D60"/>
    <w:rsid w:val="00EE5426"/>
    <w:rsid w:val="00EE5D35"/>
    <w:rsid w:val="00EE5F3F"/>
    <w:rsid w:val="00EE61F5"/>
    <w:rsid w:val="00EE61FC"/>
    <w:rsid w:val="00EE682A"/>
    <w:rsid w:val="00EE686F"/>
    <w:rsid w:val="00EE6A94"/>
    <w:rsid w:val="00EE7EF7"/>
    <w:rsid w:val="00EE7F06"/>
    <w:rsid w:val="00EF051E"/>
    <w:rsid w:val="00EF217D"/>
    <w:rsid w:val="00EF22F6"/>
    <w:rsid w:val="00EF2793"/>
    <w:rsid w:val="00EF28EC"/>
    <w:rsid w:val="00EF327E"/>
    <w:rsid w:val="00EF3348"/>
    <w:rsid w:val="00EF3B97"/>
    <w:rsid w:val="00EF43BA"/>
    <w:rsid w:val="00EF4D9E"/>
    <w:rsid w:val="00EF538A"/>
    <w:rsid w:val="00EF5AB0"/>
    <w:rsid w:val="00EF5EA0"/>
    <w:rsid w:val="00EF5F06"/>
    <w:rsid w:val="00EF693F"/>
    <w:rsid w:val="00EF7B76"/>
    <w:rsid w:val="00EF7C58"/>
    <w:rsid w:val="00F00495"/>
    <w:rsid w:val="00F00797"/>
    <w:rsid w:val="00F00A78"/>
    <w:rsid w:val="00F0144C"/>
    <w:rsid w:val="00F01CB2"/>
    <w:rsid w:val="00F01E43"/>
    <w:rsid w:val="00F03802"/>
    <w:rsid w:val="00F03921"/>
    <w:rsid w:val="00F03AC4"/>
    <w:rsid w:val="00F03C1F"/>
    <w:rsid w:val="00F03F9D"/>
    <w:rsid w:val="00F04236"/>
    <w:rsid w:val="00F04E65"/>
    <w:rsid w:val="00F05AAD"/>
    <w:rsid w:val="00F05E8F"/>
    <w:rsid w:val="00F064E2"/>
    <w:rsid w:val="00F066CE"/>
    <w:rsid w:val="00F072B5"/>
    <w:rsid w:val="00F0796D"/>
    <w:rsid w:val="00F07A58"/>
    <w:rsid w:val="00F10456"/>
    <w:rsid w:val="00F10888"/>
    <w:rsid w:val="00F11D1E"/>
    <w:rsid w:val="00F1269F"/>
    <w:rsid w:val="00F1298D"/>
    <w:rsid w:val="00F12CF3"/>
    <w:rsid w:val="00F1317B"/>
    <w:rsid w:val="00F1354F"/>
    <w:rsid w:val="00F13FED"/>
    <w:rsid w:val="00F1452A"/>
    <w:rsid w:val="00F1471F"/>
    <w:rsid w:val="00F14958"/>
    <w:rsid w:val="00F15891"/>
    <w:rsid w:val="00F15AD2"/>
    <w:rsid w:val="00F166B7"/>
    <w:rsid w:val="00F16FAA"/>
    <w:rsid w:val="00F17BBA"/>
    <w:rsid w:val="00F200A4"/>
    <w:rsid w:val="00F200EA"/>
    <w:rsid w:val="00F207B2"/>
    <w:rsid w:val="00F21060"/>
    <w:rsid w:val="00F213D0"/>
    <w:rsid w:val="00F21828"/>
    <w:rsid w:val="00F21879"/>
    <w:rsid w:val="00F21AE7"/>
    <w:rsid w:val="00F21D8F"/>
    <w:rsid w:val="00F22664"/>
    <w:rsid w:val="00F22922"/>
    <w:rsid w:val="00F24D24"/>
    <w:rsid w:val="00F24D6C"/>
    <w:rsid w:val="00F24ED2"/>
    <w:rsid w:val="00F251E9"/>
    <w:rsid w:val="00F25211"/>
    <w:rsid w:val="00F254E5"/>
    <w:rsid w:val="00F26AA7"/>
    <w:rsid w:val="00F272A5"/>
    <w:rsid w:val="00F32483"/>
    <w:rsid w:val="00F32F43"/>
    <w:rsid w:val="00F34189"/>
    <w:rsid w:val="00F35207"/>
    <w:rsid w:val="00F3560B"/>
    <w:rsid w:val="00F35D7E"/>
    <w:rsid w:val="00F361B4"/>
    <w:rsid w:val="00F36AD4"/>
    <w:rsid w:val="00F3720E"/>
    <w:rsid w:val="00F374C3"/>
    <w:rsid w:val="00F37DFF"/>
    <w:rsid w:val="00F40692"/>
    <w:rsid w:val="00F41418"/>
    <w:rsid w:val="00F42BAC"/>
    <w:rsid w:val="00F43BB5"/>
    <w:rsid w:val="00F43C4E"/>
    <w:rsid w:val="00F43E39"/>
    <w:rsid w:val="00F458FA"/>
    <w:rsid w:val="00F45B28"/>
    <w:rsid w:val="00F4632A"/>
    <w:rsid w:val="00F469CA"/>
    <w:rsid w:val="00F500E0"/>
    <w:rsid w:val="00F508C6"/>
    <w:rsid w:val="00F51F87"/>
    <w:rsid w:val="00F5265D"/>
    <w:rsid w:val="00F52C2B"/>
    <w:rsid w:val="00F52E28"/>
    <w:rsid w:val="00F5310E"/>
    <w:rsid w:val="00F54501"/>
    <w:rsid w:val="00F54B9D"/>
    <w:rsid w:val="00F550E4"/>
    <w:rsid w:val="00F563F5"/>
    <w:rsid w:val="00F56EC3"/>
    <w:rsid w:val="00F5719E"/>
    <w:rsid w:val="00F57DDC"/>
    <w:rsid w:val="00F57F49"/>
    <w:rsid w:val="00F57F79"/>
    <w:rsid w:val="00F607E4"/>
    <w:rsid w:val="00F61179"/>
    <w:rsid w:val="00F61861"/>
    <w:rsid w:val="00F625DC"/>
    <w:rsid w:val="00F6420E"/>
    <w:rsid w:val="00F64938"/>
    <w:rsid w:val="00F64C9E"/>
    <w:rsid w:val="00F6626E"/>
    <w:rsid w:val="00F66501"/>
    <w:rsid w:val="00F670B6"/>
    <w:rsid w:val="00F673D8"/>
    <w:rsid w:val="00F675C5"/>
    <w:rsid w:val="00F67AD3"/>
    <w:rsid w:val="00F715C6"/>
    <w:rsid w:val="00F71B34"/>
    <w:rsid w:val="00F72560"/>
    <w:rsid w:val="00F728CB"/>
    <w:rsid w:val="00F72D0A"/>
    <w:rsid w:val="00F72E79"/>
    <w:rsid w:val="00F73459"/>
    <w:rsid w:val="00F73EAF"/>
    <w:rsid w:val="00F7414C"/>
    <w:rsid w:val="00F74BFD"/>
    <w:rsid w:val="00F7534E"/>
    <w:rsid w:val="00F754B5"/>
    <w:rsid w:val="00F75FD7"/>
    <w:rsid w:val="00F7605B"/>
    <w:rsid w:val="00F760DD"/>
    <w:rsid w:val="00F761BB"/>
    <w:rsid w:val="00F77A66"/>
    <w:rsid w:val="00F77B8A"/>
    <w:rsid w:val="00F803DB"/>
    <w:rsid w:val="00F805C7"/>
    <w:rsid w:val="00F80A17"/>
    <w:rsid w:val="00F80CD4"/>
    <w:rsid w:val="00F80D8D"/>
    <w:rsid w:val="00F8123A"/>
    <w:rsid w:val="00F81909"/>
    <w:rsid w:val="00F83821"/>
    <w:rsid w:val="00F83D1C"/>
    <w:rsid w:val="00F849CB"/>
    <w:rsid w:val="00F851E0"/>
    <w:rsid w:val="00F85950"/>
    <w:rsid w:val="00F862D6"/>
    <w:rsid w:val="00F87E70"/>
    <w:rsid w:val="00F90776"/>
    <w:rsid w:val="00F908DA"/>
    <w:rsid w:val="00F90C25"/>
    <w:rsid w:val="00F9305C"/>
    <w:rsid w:val="00F93BD3"/>
    <w:rsid w:val="00F94801"/>
    <w:rsid w:val="00F9482B"/>
    <w:rsid w:val="00F949D8"/>
    <w:rsid w:val="00F953F0"/>
    <w:rsid w:val="00F9610C"/>
    <w:rsid w:val="00F96824"/>
    <w:rsid w:val="00F96A1F"/>
    <w:rsid w:val="00F97D28"/>
    <w:rsid w:val="00FA016B"/>
    <w:rsid w:val="00FA0619"/>
    <w:rsid w:val="00FA11B6"/>
    <w:rsid w:val="00FA1D85"/>
    <w:rsid w:val="00FA270C"/>
    <w:rsid w:val="00FA2BAE"/>
    <w:rsid w:val="00FA3909"/>
    <w:rsid w:val="00FA401E"/>
    <w:rsid w:val="00FA40ED"/>
    <w:rsid w:val="00FA4A00"/>
    <w:rsid w:val="00FA4BC6"/>
    <w:rsid w:val="00FA4F52"/>
    <w:rsid w:val="00FA5224"/>
    <w:rsid w:val="00FA540D"/>
    <w:rsid w:val="00FA5469"/>
    <w:rsid w:val="00FA6B3B"/>
    <w:rsid w:val="00FA6D2D"/>
    <w:rsid w:val="00FA6E99"/>
    <w:rsid w:val="00FB1BC8"/>
    <w:rsid w:val="00FB2221"/>
    <w:rsid w:val="00FB445D"/>
    <w:rsid w:val="00FB55A1"/>
    <w:rsid w:val="00FB5C65"/>
    <w:rsid w:val="00FB6641"/>
    <w:rsid w:val="00FB6C93"/>
    <w:rsid w:val="00FB7969"/>
    <w:rsid w:val="00FB7DEC"/>
    <w:rsid w:val="00FC207D"/>
    <w:rsid w:val="00FC2A1E"/>
    <w:rsid w:val="00FC2AD6"/>
    <w:rsid w:val="00FC2C59"/>
    <w:rsid w:val="00FC2F0A"/>
    <w:rsid w:val="00FC3033"/>
    <w:rsid w:val="00FC34A5"/>
    <w:rsid w:val="00FC3968"/>
    <w:rsid w:val="00FC42B4"/>
    <w:rsid w:val="00FC5175"/>
    <w:rsid w:val="00FC52F4"/>
    <w:rsid w:val="00FC5C80"/>
    <w:rsid w:val="00FC61C5"/>
    <w:rsid w:val="00FC7709"/>
    <w:rsid w:val="00FC79D8"/>
    <w:rsid w:val="00FC7E65"/>
    <w:rsid w:val="00FC7EE0"/>
    <w:rsid w:val="00FD0288"/>
    <w:rsid w:val="00FD06EA"/>
    <w:rsid w:val="00FD1E92"/>
    <w:rsid w:val="00FD1ED9"/>
    <w:rsid w:val="00FD1F6D"/>
    <w:rsid w:val="00FD1FA7"/>
    <w:rsid w:val="00FD23E5"/>
    <w:rsid w:val="00FD3F6F"/>
    <w:rsid w:val="00FD3FEF"/>
    <w:rsid w:val="00FD56C5"/>
    <w:rsid w:val="00FD580E"/>
    <w:rsid w:val="00FD5C1A"/>
    <w:rsid w:val="00FD5E7D"/>
    <w:rsid w:val="00FD6BF2"/>
    <w:rsid w:val="00FE0579"/>
    <w:rsid w:val="00FE073A"/>
    <w:rsid w:val="00FE0834"/>
    <w:rsid w:val="00FE0E3E"/>
    <w:rsid w:val="00FE1333"/>
    <w:rsid w:val="00FE186D"/>
    <w:rsid w:val="00FE2031"/>
    <w:rsid w:val="00FE2185"/>
    <w:rsid w:val="00FE231F"/>
    <w:rsid w:val="00FE2354"/>
    <w:rsid w:val="00FE23B6"/>
    <w:rsid w:val="00FE26E0"/>
    <w:rsid w:val="00FE26F4"/>
    <w:rsid w:val="00FE2D10"/>
    <w:rsid w:val="00FE37FF"/>
    <w:rsid w:val="00FE436E"/>
    <w:rsid w:val="00FE44F8"/>
    <w:rsid w:val="00FE4501"/>
    <w:rsid w:val="00FE4588"/>
    <w:rsid w:val="00FE5098"/>
    <w:rsid w:val="00FE56A9"/>
    <w:rsid w:val="00FE6204"/>
    <w:rsid w:val="00FE6228"/>
    <w:rsid w:val="00FE645C"/>
    <w:rsid w:val="00FE67BA"/>
    <w:rsid w:val="00FE6E8E"/>
    <w:rsid w:val="00FE6EE9"/>
    <w:rsid w:val="00FE757F"/>
    <w:rsid w:val="00FE79A1"/>
    <w:rsid w:val="00FE79FF"/>
    <w:rsid w:val="00FE7F57"/>
    <w:rsid w:val="00FF0300"/>
    <w:rsid w:val="00FF0EDC"/>
    <w:rsid w:val="00FF1408"/>
    <w:rsid w:val="00FF170A"/>
    <w:rsid w:val="00FF219D"/>
    <w:rsid w:val="00FF23AB"/>
    <w:rsid w:val="00FF23D8"/>
    <w:rsid w:val="00FF3A71"/>
    <w:rsid w:val="00FF3C3F"/>
    <w:rsid w:val="00FF42B4"/>
    <w:rsid w:val="00FF449F"/>
    <w:rsid w:val="00FF48CB"/>
    <w:rsid w:val="00FF5CBF"/>
    <w:rsid w:val="00FF6586"/>
    <w:rsid w:val="00FF65BC"/>
    <w:rsid w:val="00FF6A66"/>
    <w:rsid w:val="00FF6C6A"/>
    <w:rsid w:val="00FF6DD3"/>
    <w:rsid w:val="00FF6DF8"/>
    <w:rsid w:val="00FF6E90"/>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4AB4F1"/>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2">
    <w:name w:val="heading 2"/>
    <w:basedOn w:val="Normal"/>
    <w:next w:val="Normal"/>
    <w:link w:val="Heading2Char"/>
    <w:uiPriority w:val="9"/>
    <w:semiHidden/>
    <w:unhideWhenUsed/>
    <w:qFormat/>
    <w:rsid w:val="00350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99"/>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99"/>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99"/>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99"/>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uiPriority w:val="99"/>
    <w:rsid w:val="00355C60"/>
    <w:pPr>
      <w:numPr>
        <w:ilvl w:val="5"/>
      </w:numPr>
    </w:pPr>
  </w:style>
  <w:style w:type="paragraph" w:customStyle="1" w:styleId="NumberLevel7">
    <w:name w:val="Number Level 7"/>
    <w:basedOn w:val="NumberLevel6"/>
    <w:uiPriority w:val="99"/>
    <w:rsid w:val="00355C60"/>
    <w:pPr>
      <w:numPr>
        <w:ilvl w:val="6"/>
      </w:numPr>
    </w:pPr>
  </w:style>
  <w:style w:type="paragraph" w:customStyle="1" w:styleId="NumberLevel8">
    <w:name w:val="Number Level 8"/>
    <w:basedOn w:val="NumberLevel7"/>
    <w:uiPriority w:val="99"/>
    <w:rsid w:val="00355C60"/>
    <w:pPr>
      <w:numPr>
        <w:ilvl w:val="7"/>
      </w:numPr>
    </w:pPr>
  </w:style>
  <w:style w:type="paragraph" w:customStyle="1" w:styleId="NumberLevel9">
    <w:name w:val="Number Level 9"/>
    <w:basedOn w:val="NumberLevel8"/>
    <w:uiPriority w:val="99"/>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paragraph" w:customStyle="1" w:styleId="BoswellMediaHeader">
    <w:name w:val="BoswellMediaHeader"/>
    <w:rsid w:val="00D87769"/>
    <w:pPr>
      <w:spacing w:after="0" w:line="240" w:lineRule="auto"/>
      <w:jc w:val="right"/>
    </w:pPr>
    <w:rPr>
      <w:rFonts w:ascii="Arial" w:eastAsia="Times New Roman" w:hAnsi="Arial" w:cs="Times New Roman"/>
      <w:noProof/>
      <w:sz w:val="23"/>
      <w:szCs w:val="20"/>
      <w:lang w:eastAsia="en-AU"/>
    </w:rPr>
  </w:style>
  <w:style w:type="paragraph" w:customStyle="1" w:styleId="NumberedList-DOTARS">
    <w:name w:val="Numbered List - DOTARS"/>
    <w:basedOn w:val="Normal"/>
    <w:rsid w:val="000C1C2C"/>
    <w:pPr>
      <w:tabs>
        <w:tab w:val="num" w:pos="360"/>
      </w:tabs>
      <w:ind w:left="357" w:hanging="357"/>
    </w:pPr>
    <w:rPr>
      <w:rFonts w:ascii="Times New Roman" w:eastAsia="Times New Roman" w:hAnsi="Times New Roman"/>
      <w:sz w:val="24"/>
      <w:szCs w:val="20"/>
      <w:lang w:eastAsia="en-US"/>
    </w:rPr>
  </w:style>
  <w:style w:type="paragraph" w:customStyle="1" w:styleId="TLPNotebullet">
    <w:name w:val="TLPNote(bullet)"/>
    <w:basedOn w:val="Normal"/>
    <w:rsid w:val="006F5396"/>
    <w:pPr>
      <w:numPr>
        <w:numId w:val="12"/>
      </w:numPr>
      <w:tabs>
        <w:tab w:val="clear" w:pos="2517"/>
        <w:tab w:val="left" w:pos="357"/>
      </w:tabs>
      <w:spacing w:before="60" w:line="198" w:lineRule="exact"/>
      <w:ind w:left="0" w:firstLine="0"/>
    </w:pPr>
    <w:rPr>
      <w:rFonts w:ascii="Times New Roman" w:eastAsia="Times New Roman" w:hAnsi="Times New Roman"/>
      <w:sz w:val="18"/>
      <w:szCs w:val="20"/>
    </w:rPr>
  </w:style>
  <w:style w:type="character" w:customStyle="1" w:styleId="Heading2Char">
    <w:name w:val="Heading 2 Char"/>
    <w:basedOn w:val="DefaultParagraphFont"/>
    <w:link w:val="Heading2"/>
    <w:uiPriority w:val="9"/>
    <w:semiHidden/>
    <w:rsid w:val="00350EA6"/>
    <w:rPr>
      <w:rFonts w:asciiTheme="majorHAnsi" w:eastAsiaTheme="majorEastAsia" w:hAnsiTheme="majorHAnsi" w:cstheme="majorBidi"/>
      <w:color w:val="365F91" w:themeColor="accent1" w:themeShade="BF"/>
      <w:sz w:val="26"/>
      <w:szCs w:val="26"/>
      <w:lang w:eastAsia="en-AU"/>
    </w:rPr>
  </w:style>
  <w:style w:type="paragraph" w:customStyle="1" w:styleId="Bulletlevel1">
    <w:name w:val="Bullet level 1"/>
    <w:basedOn w:val="Normal"/>
    <w:qFormat/>
    <w:rsid w:val="004E32E1"/>
    <w:pPr>
      <w:numPr>
        <w:numId w:val="13"/>
      </w:numPr>
      <w:spacing w:after="240"/>
      <w:ind w:left="567" w:hanging="567"/>
      <w:contextualSpacing/>
    </w:pPr>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rsid w:val="00D10C36"/>
    <w:rPr>
      <w:rFonts w:ascii="Times New Roman" w:eastAsia="Times New Roman" w:hAnsi="Times New Roman" w:cs="Times New Roman"/>
      <w:sz w:val="24"/>
      <w:szCs w:val="20"/>
      <w:lang w:eastAsia="en-AU"/>
    </w:rPr>
  </w:style>
  <w:style w:type="character" w:customStyle="1" w:styleId="UnresolvedMention">
    <w:name w:val="Unresolved Mention"/>
    <w:basedOn w:val="DefaultParagraphFont"/>
    <w:uiPriority w:val="99"/>
    <w:semiHidden/>
    <w:unhideWhenUsed/>
    <w:rsid w:val="009D5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227301024">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3989931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FIN34055-2137779915-4955</_dlc_DocId>
    <_dlc_DocIdUrl xmlns="79e5d1b8-31fe-4abb-b9ad-c81c29576083">
      <Url>https://f1.prdmgd.finance.gov.au/sites/50034055/_layouts/15/DocIdRedir.aspx?ID=FIN34055-2137779915-4955</Url>
      <Description>FIN34055-2137779915-4955</Description>
    </_dlc_DocIdUrl>
    <Original_x0020_Date_x0020_Created xmlns="82ff9d9b-d3fc-4aad-bc42-9949ee83b815"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A366C-1F14-422C-966D-7087A518A799}">
  <ds:schemaRefs>
    <ds:schemaRef ds:uri="Microsoft.SharePoint.Taxonomy.ContentTypeSync"/>
  </ds:schemaRefs>
</ds:datastoreItem>
</file>

<file path=customXml/itemProps2.xml><?xml version="1.0" encoding="utf-8"?>
<ds:datastoreItem xmlns:ds="http://schemas.openxmlformats.org/officeDocument/2006/customXml" ds:itemID="{6A4D3789-A082-474D-9E6A-59CBC078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4.xml><?xml version="1.0" encoding="utf-8"?>
<ds:datastoreItem xmlns:ds="http://schemas.openxmlformats.org/officeDocument/2006/customXml" ds:itemID="{4FB7F7D5-A7D8-4A0A-95C8-7B13D94251B8}">
  <ds:schemaRefs>
    <ds:schemaRef ds:uri="http://purl.org/dc/terms/"/>
    <ds:schemaRef ds:uri="82ff9d9b-d3fc-4aad-bc42-9949ee83b815"/>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79e5d1b8-31fe-4abb-b9ad-c81c29576083"/>
    <ds:schemaRef ds:uri="http://www.w3.org/XML/1998/namespace"/>
  </ds:schemaRefs>
</ds:datastoreItem>
</file>

<file path=customXml/itemProps5.xml><?xml version="1.0" encoding="utf-8"?>
<ds:datastoreItem xmlns:ds="http://schemas.openxmlformats.org/officeDocument/2006/customXml" ds:itemID="{2E1E0158-4DB8-40E3-B26A-4AF6427490A3}">
  <ds:schemaRefs>
    <ds:schemaRef ds:uri="http://schemas.microsoft.com/sharepoint/events"/>
  </ds:schemaRefs>
</ds:datastoreItem>
</file>

<file path=customXml/itemProps6.xml><?xml version="1.0" encoding="utf-8"?>
<ds:datastoreItem xmlns:ds="http://schemas.openxmlformats.org/officeDocument/2006/customXml" ds:itemID="{7B17BE01-A198-4FB6-A345-D892822C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43</Pages>
  <Words>19398</Words>
  <Characters>110573</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Four Arts Programs</vt:lpstr>
    </vt:vector>
  </TitlesOfParts>
  <Company>FINANCE</Company>
  <LinksUpToDate>false</LinksUpToDate>
  <CharactersWithSpaces>129712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Arts Programs</dc:title>
  <dc:creator>Eric Shek</dc:creator>
  <cp:keywords>[SEC=OFFICIAL]</cp:keywords>
  <cp:lastModifiedBy>Johnston, Tayliah</cp:lastModifiedBy>
  <cp:revision>81</cp:revision>
  <cp:lastPrinted>2020-02-09T22:30:00Z</cp:lastPrinted>
  <dcterms:created xsi:type="dcterms:W3CDTF">2021-07-18T00:30:00Z</dcterms:created>
  <dcterms:modified xsi:type="dcterms:W3CDTF">2021-08-17T07:36:00Z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evisionNumber">
    <vt:i4>5</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y fmtid="{D5CDD505-2E9C-101B-9397-08002B2CF9AE}" pid="14" name="TaxKeyword">
    <vt:lpwstr>4;#[SEC=OFFICIAL]|8e527117-644d-41f8-9dde-86ae0840a820</vt:lpwstr>
  </property>
  <property fmtid="{D5CDD505-2E9C-101B-9397-08002B2CF9AE}" pid="15" name="AbtEntity">
    <vt:lpwstr>1;#Department of Finance|fd660e8f-8f31-49bd-92a3-d31d4da31afe</vt:lpwstr>
  </property>
  <property fmtid="{D5CDD505-2E9C-101B-9397-08002B2CF9AE}" pid="16" name="OrgUnit">
    <vt:lpwstr>2;#Financial Framework Supplementary Powers|379d9d29-c01c-4de9-a4ea-4a1c8eabf1a8</vt:lpwstr>
  </property>
  <property fmtid="{D5CDD505-2E9C-101B-9397-08002B2CF9AE}" pid="17" name="_dlc_DocIdItemGuid">
    <vt:lpwstr>b9da8d1b-f173-4552-aeaa-47fc73ea0cee</vt:lpwstr>
  </property>
  <property fmtid="{D5CDD505-2E9C-101B-9397-08002B2CF9AE}" pid="18" name="InitiatingEntity">
    <vt:lpwstr>1;#Department of Finance|fd660e8f-8f31-49bd-92a3-d31d4da31afe</vt:lpwstr>
  </property>
  <property fmtid="{D5CDD505-2E9C-101B-9397-08002B2CF9AE}" pid="19" name="Function and Activity">
    <vt:lpwstr/>
  </property>
  <property fmtid="{D5CDD505-2E9C-101B-9397-08002B2CF9AE}" pid="20" name="gf53def832c84e7cae27ba43c0ddcfb1">
    <vt:lpwstr/>
  </property>
  <property fmtid="{D5CDD505-2E9C-101B-9397-08002B2CF9AE}" pid="21" name="Document">
    <vt:lpwstr/>
  </property>
  <property fmtid="{D5CDD505-2E9C-101B-9397-08002B2CF9AE}" pid="22" name="PM_ProtectiveMarkingImage_Header">
    <vt:lpwstr>C:\Program Files\Common Files\janusNET Shared\janusSEAL\Images\DocumentSlashBlue.png</vt:lpwstr>
  </property>
  <property fmtid="{D5CDD505-2E9C-101B-9397-08002B2CF9AE}" pid="23" name="PM_Caveats_Count">
    <vt:lpwstr>0</vt:lpwstr>
  </property>
  <property fmtid="{D5CDD505-2E9C-101B-9397-08002B2CF9AE}" pid="24" name="PM_DisplayValueSecClassificationWithQualifier">
    <vt:lpwstr>OFFICIAL</vt:lpwstr>
  </property>
  <property fmtid="{D5CDD505-2E9C-101B-9397-08002B2CF9AE}" pid="25" name="PM_Qualifier">
    <vt:lpwstr/>
  </property>
  <property fmtid="{D5CDD505-2E9C-101B-9397-08002B2CF9AE}" pid="26" name="PM_SecurityClassification">
    <vt:lpwstr>OFFICIAL</vt:lpwstr>
  </property>
  <property fmtid="{D5CDD505-2E9C-101B-9397-08002B2CF9AE}" pid="27" name="PM_InsertionValue">
    <vt:lpwstr>OFFICIAL</vt:lpwstr>
  </property>
  <property fmtid="{D5CDD505-2E9C-101B-9397-08002B2CF9AE}" pid="28" name="PM_Originating_FileId">
    <vt:lpwstr>879B4E30272C4C129C14067B6D0CBF0B</vt:lpwstr>
  </property>
  <property fmtid="{D5CDD505-2E9C-101B-9397-08002B2CF9AE}" pid="29" name="PM_ProtectiveMarkingValue_Footer">
    <vt:lpwstr>OFFICIAL</vt:lpwstr>
  </property>
  <property fmtid="{D5CDD505-2E9C-101B-9397-08002B2CF9AE}" pid="30" name="PM_Originator_Hash_SHA1">
    <vt:lpwstr>4F9D2016B8E3CE4B3C9558D184FE789F5383E294</vt:lpwstr>
  </property>
  <property fmtid="{D5CDD505-2E9C-101B-9397-08002B2CF9AE}" pid="31" name="PM_OriginationTimeStamp">
    <vt:lpwstr>2021-05-26T06:13:14Z</vt:lpwstr>
  </property>
  <property fmtid="{D5CDD505-2E9C-101B-9397-08002B2CF9AE}" pid="32" name="PM_ProtectiveMarkingValue_Header">
    <vt:lpwstr>OFFICIAL</vt:lpwstr>
  </property>
  <property fmtid="{D5CDD505-2E9C-101B-9397-08002B2CF9AE}" pid="33" name="PM_ProtectiveMarkingImage_Footer">
    <vt:lpwstr>C:\Program Files\Common Files\janusNET Shared\janusSEAL\Images\DocumentSlashBlue.png</vt:lpwstr>
  </property>
  <property fmtid="{D5CDD505-2E9C-101B-9397-08002B2CF9AE}" pid="34" name="PM_Namespace">
    <vt:lpwstr>gov.au</vt:lpwstr>
  </property>
  <property fmtid="{D5CDD505-2E9C-101B-9397-08002B2CF9AE}" pid="35" name="PM_Version">
    <vt:lpwstr>2018.4</vt:lpwstr>
  </property>
  <property fmtid="{D5CDD505-2E9C-101B-9397-08002B2CF9AE}" pid="36" name="PM_Note">
    <vt:lpwstr/>
  </property>
  <property fmtid="{D5CDD505-2E9C-101B-9397-08002B2CF9AE}" pid="37" name="PM_Markers">
    <vt:lpwstr/>
  </property>
  <property fmtid="{D5CDD505-2E9C-101B-9397-08002B2CF9AE}" pid="38" name="PM_Hash_Version">
    <vt:lpwstr>2018.0</vt:lpwstr>
  </property>
  <property fmtid="{D5CDD505-2E9C-101B-9397-08002B2CF9AE}" pid="39" name="PM_Hash_Salt_Prev">
    <vt:lpwstr>0443C9353A3E0C0DCB184DC7AB3EA6E6</vt:lpwstr>
  </property>
  <property fmtid="{D5CDD505-2E9C-101B-9397-08002B2CF9AE}" pid="40" name="PM_Hash_Salt">
    <vt:lpwstr>C28F32160811D3C19014F1CE204450E0</vt:lpwstr>
  </property>
  <property fmtid="{D5CDD505-2E9C-101B-9397-08002B2CF9AE}" pid="41" name="PM_Hash_SHA1">
    <vt:lpwstr>51D509AF9DC00B9A7943A944909620056FC2AB13</vt:lpwstr>
  </property>
  <property fmtid="{D5CDD505-2E9C-101B-9397-08002B2CF9AE}" pid="42" name="PM_SecurityClassification_Prev">
    <vt:lpwstr>OFFICIAL</vt:lpwstr>
  </property>
  <property fmtid="{D5CDD505-2E9C-101B-9397-08002B2CF9AE}" pid="43" name="PM_Qualifier_Prev">
    <vt:lpwstr/>
  </property>
</Properties>
</file>