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68DB" w14:textId="77777777" w:rsidR="00B43943" w:rsidRPr="003321FA" w:rsidRDefault="00B43943" w:rsidP="00A85DBC">
      <w:pPr>
        <w:spacing w:before="0" w:after="240"/>
        <w:ind w:right="91"/>
        <w:jc w:val="center"/>
        <w:rPr>
          <w:rFonts w:ascii="Arial" w:hAnsi="Arial" w:cs="Arial"/>
          <w:b/>
          <w:szCs w:val="24"/>
          <w:u w:val="single"/>
        </w:rPr>
      </w:pPr>
      <w:r w:rsidRPr="003321FA">
        <w:rPr>
          <w:rFonts w:ascii="Arial" w:hAnsi="Arial" w:cs="Arial"/>
          <w:b/>
          <w:szCs w:val="24"/>
          <w:u w:val="single"/>
        </w:rPr>
        <w:t>EXPLANATORY STATEMENT</w:t>
      </w:r>
    </w:p>
    <w:p w14:paraId="2C0473EC" w14:textId="148633E0" w:rsidR="00B43943" w:rsidRPr="003321FA" w:rsidRDefault="00B43943" w:rsidP="00A85DBC">
      <w:pPr>
        <w:spacing w:before="0" w:after="240"/>
        <w:ind w:right="91"/>
        <w:jc w:val="center"/>
        <w:rPr>
          <w:rFonts w:ascii="Arial" w:hAnsi="Arial" w:cs="Arial"/>
          <w:szCs w:val="24"/>
        </w:rPr>
      </w:pPr>
      <w:r w:rsidRPr="003321FA">
        <w:rPr>
          <w:rFonts w:ascii="Arial" w:hAnsi="Arial" w:cs="Arial"/>
          <w:szCs w:val="24"/>
        </w:rPr>
        <w:t>Issued by the authority of the Minister f</w:t>
      </w:r>
      <w:r w:rsidR="007617AA" w:rsidRPr="003321FA">
        <w:rPr>
          <w:rFonts w:ascii="Arial" w:hAnsi="Arial" w:cs="Arial"/>
          <w:szCs w:val="24"/>
        </w:rPr>
        <w:t xml:space="preserve">or </w:t>
      </w:r>
      <w:r w:rsidR="00584275" w:rsidRPr="003321FA">
        <w:rPr>
          <w:rFonts w:ascii="Arial" w:hAnsi="Arial" w:cs="Arial"/>
          <w:szCs w:val="24"/>
        </w:rPr>
        <w:t>Government</w:t>
      </w:r>
      <w:r w:rsidR="007617AA" w:rsidRPr="003321FA">
        <w:rPr>
          <w:rFonts w:ascii="Arial" w:hAnsi="Arial" w:cs="Arial"/>
          <w:szCs w:val="24"/>
        </w:rPr>
        <w:t xml:space="preserve"> Services</w:t>
      </w:r>
    </w:p>
    <w:p w14:paraId="41E000D2" w14:textId="77777777" w:rsidR="007617AA" w:rsidRPr="003321FA" w:rsidRDefault="007617AA" w:rsidP="00A85DBC">
      <w:pPr>
        <w:spacing w:before="0" w:after="240"/>
        <w:ind w:right="91"/>
        <w:jc w:val="center"/>
        <w:rPr>
          <w:rFonts w:ascii="Arial" w:hAnsi="Arial" w:cs="Arial"/>
          <w:szCs w:val="24"/>
        </w:rPr>
      </w:pPr>
    </w:p>
    <w:p w14:paraId="498C5B32" w14:textId="6A27BB47" w:rsidR="00B43943" w:rsidRPr="003321FA" w:rsidRDefault="00AF3915" w:rsidP="00A85DBC">
      <w:pPr>
        <w:spacing w:before="0" w:after="240"/>
        <w:ind w:right="91"/>
        <w:jc w:val="center"/>
        <w:rPr>
          <w:rFonts w:ascii="Arial" w:hAnsi="Arial" w:cs="Arial"/>
          <w:i/>
          <w:szCs w:val="24"/>
        </w:rPr>
      </w:pPr>
      <w:r w:rsidRPr="003321FA">
        <w:rPr>
          <w:rFonts w:ascii="Arial" w:hAnsi="Arial" w:cs="Arial"/>
          <w:i/>
          <w:szCs w:val="24"/>
          <w:lang w:val="en-US"/>
        </w:rPr>
        <w:t>Human Services (Medicare) Act 1973</w:t>
      </w:r>
    </w:p>
    <w:p w14:paraId="28935E03" w14:textId="77777777" w:rsidR="00B43943" w:rsidRPr="003321FA" w:rsidRDefault="00AF3915" w:rsidP="00A85DBC">
      <w:pPr>
        <w:spacing w:before="0" w:after="240"/>
        <w:ind w:right="91"/>
        <w:jc w:val="center"/>
        <w:rPr>
          <w:rFonts w:ascii="Arial" w:hAnsi="Arial" w:cs="Arial"/>
          <w:i/>
          <w:iCs/>
          <w:szCs w:val="24"/>
        </w:rPr>
      </w:pPr>
      <w:r w:rsidRPr="003321FA">
        <w:rPr>
          <w:rFonts w:ascii="Arial" w:hAnsi="Arial" w:cs="Arial"/>
          <w:i/>
          <w:iCs/>
          <w:szCs w:val="24"/>
        </w:rPr>
        <w:t>Human Services (Medicare) (Medicare Programs) Specification 2021</w:t>
      </w:r>
    </w:p>
    <w:p w14:paraId="388A728E" w14:textId="77777777" w:rsidR="002533F0" w:rsidRPr="003321FA" w:rsidRDefault="002533F0" w:rsidP="00A85DBC">
      <w:pPr>
        <w:spacing w:before="0" w:after="240"/>
        <w:ind w:right="91"/>
        <w:jc w:val="center"/>
        <w:rPr>
          <w:rFonts w:ascii="Arial" w:hAnsi="Arial" w:cs="Arial"/>
          <w:i/>
          <w:szCs w:val="24"/>
        </w:rPr>
      </w:pPr>
    </w:p>
    <w:p w14:paraId="325986C8" w14:textId="77777777" w:rsidR="0015134A" w:rsidRPr="003321FA" w:rsidRDefault="0015134A" w:rsidP="007617AA">
      <w:pPr>
        <w:spacing w:before="0" w:after="240"/>
        <w:jc w:val="both"/>
        <w:rPr>
          <w:rStyle w:val="BookTitle"/>
          <w:rFonts w:ascii="Arial" w:hAnsi="Arial" w:cs="Arial"/>
          <w:b/>
          <w:i w:val="0"/>
          <w:iCs w:val="0"/>
          <w:smallCaps w:val="0"/>
          <w:spacing w:val="0"/>
          <w:szCs w:val="24"/>
        </w:rPr>
      </w:pPr>
      <w:r w:rsidRPr="003321FA">
        <w:rPr>
          <w:rStyle w:val="BookTitle"/>
          <w:rFonts w:ascii="Arial" w:hAnsi="Arial" w:cs="Arial"/>
          <w:b/>
          <w:i w:val="0"/>
          <w:iCs w:val="0"/>
          <w:smallCaps w:val="0"/>
          <w:spacing w:val="0"/>
          <w:szCs w:val="24"/>
        </w:rPr>
        <w:t>Background</w:t>
      </w:r>
    </w:p>
    <w:p w14:paraId="6C57D93B" w14:textId="32E1F251" w:rsidR="0046183D" w:rsidRPr="003321FA" w:rsidRDefault="0046183D" w:rsidP="007617AA">
      <w:pPr>
        <w:spacing w:before="0" w:after="240"/>
        <w:jc w:val="both"/>
        <w:rPr>
          <w:rFonts w:ascii="Arial" w:hAnsi="Arial" w:cs="Arial"/>
          <w:szCs w:val="24"/>
        </w:rPr>
      </w:pPr>
      <w:r w:rsidRPr="003321FA">
        <w:rPr>
          <w:rFonts w:ascii="Arial" w:hAnsi="Arial" w:cs="Arial"/>
          <w:szCs w:val="24"/>
        </w:rPr>
        <w:t xml:space="preserve">A number of Commonwealth laws </w:t>
      </w:r>
      <w:r w:rsidR="005F4826" w:rsidRPr="003321FA">
        <w:rPr>
          <w:rFonts w:ascii="Arial" w:hAnsi="Arial" w:cs="Arial"/>
          <w:szCs w:val="24"/>
        </w:rPr>
        <w:t xml:space="preserve">allow information that has been obtained </w:t>
      </w:r>
      <w:r w:rsidR="00D64037" w:rsidRPr="003321FA">
        <w:rPr>
          <w:rFonts w:ascii="Arial" w:hAnsi="Arial" w:cs="Arial"/>
          <w:szCs w:val="24"/>
        </w:rPr>
        <w:t xml:space="preserve">in administering </w:t>
      </w:r>
      <w:r w:rsidR="005F4826" w:rsidRPr="003321FA">
        <w:rPr>
          <w:rFonts w:ascii="Arial" w:hAnsi="Arial" w:cs="Arial"/>
          <w:szCs w:val="24"/>
        </w:rPr>
        <w:t xml:space="preserve">one program to be used or disclosed </w:t>
      </w:r>
      <w:r w:rsidR="00D64037" w:rsidRPr="003321FA">
        <w:rPr>
          <w:rFonts w:ascii="Arial" w:hAnsi="Arial" w:cs="Arial"/>
          <w:szCs w:val="24"/>
        </w:rPr>
        <w:t xml:space="preserve">to </w:t>
      </w:r>
      <w:r w:rsidR="0058062A" w:rsidRPr="003321FA">
        <w:rPr>
          <w:rFonts w:ascii="Arial" w:hAnsi="Arial" w:cs="Arial"/>
          <w:szCs w:val="24"/>
        </w:rPr>
        <w:t>enable the administration of another program</w:t>
      </w:r>
      <w:r w:rsidR="00D64037" w:rsidRPr="003321FA">
        <w:rPr>
          <w:rFonts w:ascii="Arial" w:hAnsi="Arial" w:cs="Arial"/>
          <w:szCs w:val="24"/>
        </w:rPr>
        <w:t>, where that other program is a</w:t>
      </w:r>
      <w:r w:rsidR="00A67EAE" w:rsidRPr="003321FA">
        <w:rPr>
          <w:rFonts w:ascii="Arial" w:hAnsi="Arial" w:cs="Arial"/>
          <w:szCs w:val="24"/>
        </w:rPr>
        <w:t xml:space="preserve"> medicare program</w:t>
      </w:r>
      <w:r w:rsidR="00D20C42" w:rsidRPr="003321FA">
        <w:rPr>
          <w:rFonts w:ascii="Arial" w:hAnsi="Arial" w:cs="Arial"/>
          <w:szCs w:val="24"/>
        </w:rPr>
        <w:t xml:space="preserve">.  </w:t>
      </w:r>
      <w:r w:rsidRPr="003321FA">
        <w:rPr>
          <w:rFonts w:ascii="Arial" w:hAnsi="Arial" w:cs="Arial"/>
          <w:szCs w:val="24"/>
        </w:rPr>
        <w:t xml:space="preserve">For example, the </w:t>
      </w:r>
      <w:r w:rsidR="00BD22FA" w:rsidRPr="003321FA">
        <w:rPr>
          <w:rFonts w:ascii="Arial" w:hAnsi="Arial" w:cs="Arial"/>
          <w:i/>
          <w:szCs w:val="24"/>
        </w:rPr>
        <w:t>Health Insurance Act 1973</w:t>
      </w:r>
      <w:r w:rsidR="00BD22FA" w:rsidRPr="003321FA">
        <w:rPr>
          <w:rFonts w:ascii="Arial" w:hAnsi="Arial" w:cs="Arial"/>
          <w:szCs w:val="24"/>
        </w:rPr>
        <w:t xml:space="preserve"> and the </w:t>
      </w:r>
      <w:r w:rsidRPr="003321FA">
        <w:rPr>
          <w:rFonts w:ascii="Arial" w:hAnsi="Arial" w:cs="Arial"/>
          <w:i/>
          <w:szCs w:val="24"/>
        </w:rPr>
        <w:t>National Health Act 1953</w:t>
      </w:r>
      <w:r w:rsidRPr="003321FA">
        <w:rPr>
          <w:rFonts w:ascii="Arial" w:hAnsi="Arial" w:cs="Arial"/>
          <w:szCs w:val="24"/>
        </w:rPr>
        <w:t xml:space="preserve"> authorise persons to disclose information </w:t>
      </w:r>
      <w:r w:rsidR="005A28A3" w:rsidRPr="003321FA">
        <w:rPr>
          <w:rFonts w:ascii="Arial" w:hAnsi="Arial" w:cs="Arial"/>
          <w:szCs w:val="24"/>
        </w:rPr>
        <w:t xml:space="preserve">obtained under those Acts </w:t>
      </w:r>
      <w:r w:rsidRPr="003321FA">
        <w:rPr>
          <w:rFonts w:ascii="Arial" w:hAnsi="Arial" w:cs="Arial"/>
          <w:szCs w:val="24"/>
        </w:rPr>
        <w:t xml:space="preserve">for the purposes of enabling </w:t>
      </w:r>
      <w:r w:rsidR="005A28A3" w:rsidRPr="003321FA">
        <w:rPr>
          <w:rFonts w:ascii="Arial" w:hAnsi="Arial" w:cs="Arial"/>
          <w:szCs w:val="24"/>
        </w:rPr>
        <w:t xml:space="preserve">a </w:t>
      </w:r>
      <w:r w:rsidRPr="003321FA">
        <w:rPr>
          <w:rFonts w:ascii="Arial" w:hAnsi="Arial" w:cs="Arial"/>
          <w:szCs w:val="24"/>
        </w:rPr>
        <w:t>person to perform functions in relation to a ‘medicare program’.</w:t>
      </w:r>
      <w:r w:rsidR="00A67EAE" w:rsidRPr="003321FA">
        <w:rPr>
          <w:rFonts w:ascii="Arial" w:hAnsi="Arial" w:cs="Arial"/>
          <w:szCs w:val="24"/>
        </w:rPr>
        <w:t xml:space="preserve">  These laws rely on the definition of ‘medicare program’ in section 41G of the </w:t>
      </w:r>
      <w:r w:rsidR="00A67EAE" w:rsidRPr="003321FA">
        <w:rPr>
          <w:rFonts w:ascii="Arial" w:hAnsi="Arial" w:cs="Arial"/>
          <w:i/>
          <w:szCs w:val="24"/>
        </w:rPr>
        <w:t xml:space="preserve">Human Services (Medicare) Act 1973 </w:t>
      </w:r>
      <w:r w:rsidR="00A67EAE" w:rsidRPr="003321FA">
        <w:rPr>
          <w:rFonts w:ascii="Arial" w:hAnsi="Arial" w:cs="Arial"/>
          <w:szCs w:val="24"/>
        </w:rPr>
        <w:t xml:space="preserve">to identify the programs for which information may be used or disclosed.  </w:t>
      </w:r>
    </w:p>
    <w:p w14:paraId="0135B029" w14:textId="2A42ABE5" w:rsidR="00CA7E45" w:rsidRPr="003321FA" w:rsidRDefault="0046183D" w:rsidP="007617AA">
      <w:pPr>
        <w:spacing w:before="0" w:after="240"/>
        <w:jc w:val="both"/>
        <w:rPr>
          <w:rFonts w:ascii="Arial" w:hAnsi="Arial" w:cs="Arial"/>
          <w:szCs w:val="24"/>
        </w:rPr>
      </w:pPr>
      <w:r w:rsidRPr="003321FA">
        <w:rPr>
          <w:rFonts w:ascii="Arial" w:hAnsi="Arial" w:cs="Arial"/>
          <w:szCs w:val="24"/>
        </w:rPr>
        <w:t xml:space="preserve">Section 41G </w:t>
      </w:r>
      <w:r w:rsidR="00524A48" w:rsidRPr="003321FA">
        <w:rPr>
          <w:rFonts w:ascii="Arial" w:hAnsi="Arial" w:cs="Arial"/>
          <w:szCs w:val="24"/>
        </w:rPr>
        <w:t xml:space="preserve">of the </w:t>
      </w:r>
      <w:r w:rsidR="00524A48" w:rsidRPr="003321FA">
        <w:rPr>
          <w:rFonts w:ascii="Arial" w:hAnsi="Arial" w:cs="Arial"/>
          <w:i/>
          <w:szCs w:val="24"/>
        </w:rPr>
        <w:t>Human Services (Medicare) Act 1973</w:t>
      </w:r>
      <w:r w:rsidR="00524A48" w:rsidRPr="003321FA">
        <w:rPr>
          <w:rFonts w:ascii="Arial" w:hAnsi="Arial" w:cs="Arial"/>
          <w:szCs w:val="24"/>
        </w:rPr>
        <w:t xml:space="preserve"> </w:t>
      </w:r>
      <w:r w:rsidRPr="003321FA">
        <w:rPr>
          <w:rFonts w:ascii="Arial" w:hAnsi="Arial" w:cs="Arial"/>
          <w:szCs w:val="24"/>
        </w:rPr>
        <w:t xml:space="preserve">defines a </w:t>
      </w:r>
      <w:r w:rsidR="00F1740C" w:rsidRPr="003321FA">
        <w:rPr>
          <w:rFonts w:ascii="Arial" w:hAnsi="Arial" w:cs="Arial"/>
          <w:szCs w:val="24"/>
        </w:rPr>
        <w:t>m</w:t>
      </w:r>
      <w:r w:rsidRPr="003321FA">
        <w:rPr>
          <w:rFonts w:ascii="Arial" w:hAnsi="Arial" w:cs="Arial"/>
          <w:szCs w:val="24"/>
        </w:rPr>
        <w:t>edicare program as a service, benefit, program or facility that is provided under certain health-related legislation referred to in paragraph 41G(a)</w:t>
      </w:r>
      <w:r w:rsidR="00D05C93" w:rsidRPr="003321FA">
        <w:rPr>
          <w:rFonts w:ascii="Arial" w:hAnsi="Arial" w:cs="Arial"/>
          <w:szCs w:val="24"/>
        </w:rPr>
        <w:t>,</w:t>
      </w:r>
      <w:r w:rsidRPr="003321FA">
        <w:rPr>
          <w:rFonts w:ascii="Arial" w:hAnsi="Arial" w:cs="Arial"/>
          <w:szCs w:val="24"/>
        </w:rPr>
        <w:t xml:space="preserve"> or that is specified in a legislative instrument made </w:t>
      </w:r>
      <w:r w:rsidR="00BD44CB" w:rsidRPr="003321FA">
        <w:rPr>
          <w:rFonts w:ascii="Arial" w:hAnsi="Arial" w:cs="Arial"/>
          <w:szCs w:val="24"/>
        </w:rPr>
        <w:t xml:space="preserve">by the Minister </w:t>
      </w:r>
      <w:r w:rsidRPr="003321FA">
        <w:rPr>
          <w:rFonts w:ascii="Arial" w:hAnsi="Arial" w:cs="Arial"/>
          <w:szCs w:val="24"/>
        </w:rPr>
        <w:t xml:space="preserve">under paragraph 41G(b). </w:t>
      </w:r>
    </w:p>
    <w:p w14:paraId="03B3D4F6" w14:textId="4250202A" w:rsidR="00B43943" w:rsidRPr="003321FA" w:rsidRDefault="0046183D" w:rsidP="007617AA">
      <w:pPr>
        <w:spacing w:before="0" w:after="240"/>
        <w:jc w:val="both"/>
        <w:rPr>
          <w:rFonts w:ascii="Arial" w:hAnsi="Arial" w:cs="Arial"/>
          <w:szCs w:val="24"/>
        </w:rPr>
      </w:pPr>
      <w:r w:rsidRPr="003321FA">
        <w:rPr>
          <w:rFonts w:ascii="Arial" w:hAnsi="Arial" w:cs="Arial"/>
          <w:szCs w:val="24"/>
        </w:rPr>
        <w:t xml:space="preserve">By enabling the definition of </w:t>
      </w:r>
      <w:r w:rsidR="005A28A3" w:rsidRPr="003321FA">
        <w:rPr>
          <w:rFonts w:ascii="Arial" w:hAnsi="Arial" w:cs="Arial"/>
          <w:szCs w:val="24"/>
        </w:rPr>
        <w:t xml:space="preserve">medicare </w:t>
      </w:r>
      <w:r w:rsidRPr="003321FA">
        <w:rPr>
          <w:rFonts w:ascii="Arial" w:hAnsi="Arial" w:cs="Arial"/>
          <w:szCs w:val="24"/>
        </w:rPr>
        <w:t>program to include programs specified in a legislative instrument, section 41G provides a mechanism for updating, from time to time, the list of programs that are c</w:t>
      </w:r>
      <w:r w:rsidR="00A85DBC" w:rsidRPr="003321FA">
        <w:rPr>
          <w:rFonts w:ascii="Arial" w:hAnsi="Arial" w:cs="Arial"/>
          <w:szCs w:val="24"/>
        </w:rPr>
        <w:t xml:space="preserve">lassified as </w:t>
      </w:r>
      <w:r w:rsidR="005A28A3" w:rsidRPr="003321FA">
        <w:rPr>
          <w:rFonts w:ascii="Arial" w:hAnsi="Arial" w:cs="Arial"/>
          <w:szCs w:val="24"/>
        </w:rPr>
        <w:t>m</w:t>
      </w:r>
      <w:r w:rsidR="00A85DBC" w:rsidRPr="003321FA">
        <w:rPr>
          <w:rFonts w:ascii="Arial" w:hAnsi="Arial" w:cs="Arial"/>
          <w:szCs w:val="24"/>
        </w:rPr>
        <w:t>edicare programs</w:t>
      </w:r>
      <w:r w:rsidR="00A57CD1" w:rsidRPr="003321FA">
        <w:rPr>
          <w:rFonts w:ascii="Arial" w:hAnsi="Arial" w:cs="Arial"/>
          <w:szCs w:val="24"/>
        </w:rPr>
        <w:t xml:space="preserve"> and in relation to which information can be used and disclosed</w:t>
      </w:r>
      <w:r w:rsidR="00A85DBC" w:rsidRPr="003321FA">
        <w:rPr>
          <w:rFonts w:ascii="Arial" w:hAnsi="Arial" w:cs="Arial"/>
          <w:szCs w:val="24"/>
        </w:rPr>
        <w:t>.</w:t>
      </w:r>
    </w:p>
    <w:p w14:paraId="24FDA076" w14:textId="77777777" w:rsidR="00B43943" w:rsidRPr="003321FA" w:rsidRDefault="00B43943" w:rsidP="00631637">
      <w:pPr>
        <w:keepNext/>
        <w:spacing w:before="0" w:after="240"/>
        <w:ind w:right="91"/>
        <w:jc w:val="both"/>
        <w:rPr>
          <w:rFonts w:ascii="Arial" w:hAnsi="Arial" w:cs="Arial"/>
          <w:b/>
          <w:szCs w:val="24"/>
        </w:rPr>
      </w:pPr>
      <w:r w:rsidRPr="003321FA">
        <w:rPr>
          <w:rFonts w:ascii="Arial" w:hAnsi="Arial" w:cs="Arial"/>
          <w:b/>
          <w:szCs w:val="24"/>
        </w:rPr>
        <w:t>Purpose</w:t>
      </w:r>
    </w:p>
    <w:p w14:paraId="79F10ED3" w14:textId="77777777" w:rsidR="00E066F3" w:rsidRPr="003321FA" w:rsidRDefault="0075492F" w:rsidP="007617AA">
      <w:pPr>
        <w:spacing w:before="0" w:after="240"/>
        <w:jc w:val="both"/>
        <w:rPr>
          <w:rFonts w:ascii="Arial" w:hAnsi="Arial" w:cs="Arial"/>
          <w:szCs w:val="24"/>
        </w:rPr>
      </w:pPr>
      <w:r w:rsidRPr="003321FA">
        <w:rPr>
          <w:rFonts w:ascii="Arial" w:hAnsi="Arial" w:cs="Arial"/>
          <w:szCs w:val="24"/>
        </w:rPr>
        <w:t>The</w:t>
      </w:r>
      <w:r w:rsidR="00E84259" w:rsidRPr="003321FA">
        <w:rPr>
          <w:rFonts w:ascii="Arial" w:hAnsi="Arial" w:cs="Arial"/>
          <w:szCs w:val="24"/>
        </w:rPr>
        <w:t xml:space="preserve"> </w:t>
      </w:r>
      <w:r w:rsidR="00E84259" w:rsidRPr="003321FA">
        <w:rPr>
          <w:rFonts w:ascii="Arial" w:hAnsi="Arial" w:cs="Arial"/>
          <w:i/>
          <w:iCs/>
          <w:szCs w:val="24"/>
        </w:rPr>
        <w:t>Human Services (Medicare) (Medicare Programs) Specification 2021</w:t>
      </w:r>
      <w:r w:rsidR="00E84259" w:rsidRPr="003321FA">
        <w:rPr>
          <w:rFonts w:ascii="Arial" w:hAnsi="Arial" w:cs="Arial"/>
          <w:szCs w:val="24"/>
        </w:rPr>
        <w:t xml:space="preserve"> (the 2021 Specification)</w:t>
      </w:r>
      <w:r w:rsidRPr="003321FA">
        <w:rPr>
          <w:rFonts w:ascii="Arial" w:hAnsi="Arial" w:cs="Arial"/>
          <w:szCs w:val="24"/>
        </w:rPr>
        <w:t xml:space="preserve"> repeals and replaces the </w:t>
      </w:r>
      <w:r w:rsidRPr="003321FA">
        <w:rPr>
          <w:rFonts w:ascii="Arial" w:hAnsi="Arial" w:cs="Arial"/>
          <w:i/>
          <w:szCs w:val="24"/>
        </w:rPr>
        <w:t>Human Services (Medicare) (Medicare Programs) Specification 201</w:t>
      </w:r>
      <w:r w:rsidR="00CA7E45" w:rsidRPr="003321FA">
        <w:rPr>
          <w:rFonts w:ascii="Arial" w:hAnsi="Arial" w:cs="Arial"/>
          <w:i/>
          <w:szCs w:val="24"/>
        </w:rPr>
        <w:t>9</w:t>
      </w:r>
      <w:r w:rsidRPr="003321FA">
        <w:rPr>
          <w:rFonts w:ascii="Arial" w:hAnsi="Arial" w:cs="Arial"/>
          <w:szCs w:val="24"/>
        </w:rPr>
        <w:t xml:space="preserve"> (the </w:t>
      </w:r>
      <w:r w:rsidR="00EF768C" w:rsidRPr="003321FA">
        <w:rPr>
          <w:rFonts w:ascii="Arial" w:hAnsi="Arial" w:cs="Arial"/>
          <w:szCs w:val="24"/>
        </w:rPr>
        <w:t xml:space="preserve">2019 </w:t>
      </w:r>
      <w:r w:rsidRPr="003321FA">
        <w:rPr>
          <w:rFonts w:ascii="Arial" w:hAnsi="Arial" w:cs="Arial"/>
          <w:szCs w:val="24"/>
        </w:rPr>
        <w:t>Specification)</w:t>
      </w:r>
      <w:r w:rsidR="00524A48" w:rsidRPr="003321FA">
        <w:rPr>
          <w:rFonts w:ascii="Arial" w:hAnsi="Arial" w:cs="Arial"/>
          <w:szCs w:val="24"/>
        </w:rPr>
        <w:t>.  S</w:t>
      </w:r>
      <w:r w:rsidRPr="003321FA">
        <w:rPr>
          <w:rFonts w:ascii="Arial" w:hAnsi="Arial" w:cs="Arial"/>
          <w:szCs w:val="24"/>
        </w:rPr>
        <w:t xml:space="preserve">ubsection 33(3) of the </w:t>
      </w:r>
      <w:r w:rsidRPr="003321FA">
        <w:rPr>
          <w:rFonts w:ascii="Arial" w:hAnsi="Arial" w:cs="Arial"/>
          <w:i/>
          <w:szCs w:val="24"/>
        </w:rPr>
        <w:t>Acts Interpretation Act 1901</w:t>
      </w:r>
      <w:r w:rsidRPr="003321FA">
        <w:rPr>
          <w:rFonts w:ascii="Arial" w:hAnsi="Arial" w:cs="Arial"/>
          <w:szCs w:val="24"/>
        </w:rPr>
        <w:t xml:space="preserve">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524A48" w:rsidRPr="003321FA">
        <w:rPr>
          <w:rFonts w:ascii="Arial" w:hAnsi="Arial" w:cs="Arial"/>
          <w:szCs w:val="24"/>
        </w:rPr>
        <w:t xml:space="preserve">  </w:t>
      </w:r>
      <w:r w:rsidR="00EF768C" w:rsidRPr="003321FA">
        <w:rPr>
          <w:rFonts w:ascii="Arial" w:hAnsi="Arial" w:cs="Arial"/>
          <w:szCs w:val="24"/>
        </w:rPr>
        <w:t>This gives the Minister power under p</w:t>
      </w:r>
      <w:r w:rsidR="00524A48" w:rsidRPr="003321FA">
        <w:rPr>
          <w:rFonts w:ascii="Arial" w:hAnsi="Arial" w:cs="Arial"/>
          <w:szCs w:val="24"/>
        </w:rPr>
        <w:t>aragraph 41G(b)</w:t>
      </w:r>
      <w:r w:rsidR="00EF768C" w:rsidRPr="003321FA">
        <w:rPr>
          <w:rFonts w:ascii="Arial" w:hAnsi="Arial" w:cs="Arial"/>
          <w:szCs w:val="24"/>
        </w:rPr>
        <w:t xml:space="preserve"> of the </w:t>
      </w:r>
      <w:r w:rsidR="00EF768C" w:rsidRPr="003321FA">
        <w:rPr>
          <w:rFonts w:ascii="Arial" w:hAnsi="Arial" w:cs="Arial"/>
          <w:i/>
          <w:szCs w:val="24"/>
        </w:rPr>
        <w:t>Human Services (Medicare) Act</w:t>
      </w:r>
      <w:r w:rsidR="00997585" w:rsidRPr="003321FA">
        <w:rPr>
          <w:rFonts w:ascii="Arial" w:hAnsi="Arial" w:cs="Arial"/>
          <w:i/>
          <w:szCs w:val="24"/>
        </w:rPr>
        <w:t xml:space="preserve"> 1973</w:t>
      </w:r>
      <w:r w:rsidR="00EF768C" w:rsidRPr="003321FA">
        <w:rPr>
          <w:rFonts w:ascii="Arial" w:hAnsi="Arial" w:cs="Arial"/>
          <w:i/>
          <w:szCs w:val="24"/>
        </w:rPr>
        <w:t xml:space="preserve"> </w:t>
      </w:r>
      <w:r w:rsidR="00EF768C" w:rsidRPr="003321FA">
        <w:rPr>
          <w:rFonts w:ascii="Arial" w:hAnsi="Arial" w:cs="Arial"/>
          <w:szCs w:val="24"/>
        </w:rPr>
        <w:t xml:space="preserve">to repeal and replace the 2019 Specification.  </w:t>
      </w:r>
    </w:p>
    <w:p w14:paraId="23550DAA" w14:textId="653127FC" w:rsidR="001050CB" w:rsidRPr="003321FA" w:rsidRDefault="0098388E" w:rsidP="007617AA">
      <w:pPr>
        <w:spacing w:before="0" w:after="240"/>
        <w:jc w:val="both"/>
        <w:rPr>
          <w:rFonts w:ascii="Arial" w:hAnsi="Arial" w:cs="Arial"/>
          <w:szCs w:val="24"/>
        </w:rPr>
      </w:pPr>
      <w:r w:rsidRPr="003321FA">
        <w:rPr>
          <w:rFonts w:ascii="Arial" w:hAnsi="Arial" w:cs="Arial"/>
          <w:szCs w:val="24"/>
        </w:rPr>
        <w:t xml:space="preserve">The changes to the </w:t>
      </w:r>
      <w:r w:rsidR="00E84259" w:rsidRPr="003321FA">
        <w:rPr>
          <w:rFonts w:ascii="Arial" w:hAnsi="Arial" w:cs="Arial"/>
          <w:szCs w:val="24"/>
        </w:rPr>
        <w:t>2019 S</w:t>
      </w:r>
      <w:r w:rsidRPr="003321FA">
        <w:rPr>
          <w:rFonts w:ascii="Arial" w:hAnsi="Arial" w:cs="Arial"/>
          <w:szCs w:val="24"/>
        </w:rPr>
        <w:t xml:space="preserve">pecification </w:t>
      </w:r>
      <w:r w:rsidR="00D05C93" w:rsidRPr="003321FA">
        <w:rPr>
          <w:rFonts w:ascii="Arial" w:hAnsi="Arial" w:cs="Arial"/>
          <w:szCs w:val="24"/>
        </w:rPr>
        <w:t xml:space="preserve">in making the 2021 Specification </w:t>
      </w:r>
      <w:r w:rsidR="00B4402A" w:rsidRPr="003321FA">
        <w:rPr>
          <w:rFonts w:ascii="Arial" w:hAnsi="Arial" w:cs="Arial"/>
          <w:szCs w:val="24"/>
        </w:rPr>
        <w:t>involve</w:t>
      </w:r>
      <w:r w:rsidRPr="003321FA">
        <w:rPr>
          <w:rFonts w:ascii="Arial" w:hAnsi="Arial" w:cs="Arial"/>
          <w:szCs w:val="24"/>
        </w:rPr>
        <w:t xml:space="preserve"> specifying </w:t>
      </w:r>
      <w:r w:rsidR="00BD44CB" w:rsidRPr="003321FA">
        <w:rPr>
          <w:rFonts w:ascii="Arial" w:hAnsi="Arial" w:cs="Arial"/>
          <w:szCs w:val="24"/>
        </w:rPr>
        <w:t xml:space="preserve">an </w:t>
      </w:r>
      <w:r w:rsidR="00EB4793" w:rsidRPr="003321FA">
        <w:rPr>
          <w:rFonts w:ascii="Arial" w:hAnsi="Arial" w:cs="Arial"/>
          <w:szCs w:val="24"/>
        </w:rPr>
        <w:t>additional</w:t>
      </w:r>
      <w:r w:rsidRPr="003321FA">
        <w:rPr>
          <w:rFonts w:ascii="Arial" w:hAnsi="Arial" w:cs="Arial"/>
          <w:szCs w:val="24"/>
        </w:rPr>
        <w:t xml:space="preserve"> program as </w:t>
      </w:r>
      <w:r w:rsidR="00BD44CB" w:rsidRPr="003321FA">
        <w:rPr>
          <w:rFonts w:ascii="Arial" w:hAnsi="Arial" w:cs="Arial"/>
          <w:szCs w:val="24"/>
        </w:rPr>
        <w:t xml:space="preserve">a </w:t>
      </w:r>
      <w:r w:rsidRPr="003321FA">
        <w:rPr>
          <w:rFonts w:ascii="Arial" w:hAnsi="Arial" w:cs="Arial"/>
          <w:szCs w:val="24"/>
        </w:rPr>
        <w:t>medicare program</w:t>
      </w:r>
      <w:r w:rsidR="00793785" w:rsidRPr="003321FA">
        <w:rPr>
          <w:rFonts w:ascii="Arial" w:hAnsi="Arial" w:cs="Arial"/>
          <w:szCs w:val="24"/>
        </w:rPr>
        <w:t xml:space="preserve"> and removing two programs that are no longer required to be classified as medicare programs</w:t>
      </w:r>
      <w:r w:rsidRPr="003321FA">
        <w:rPr>
          <w:rFonts w:ascii="Arial" w:hAnsi="Arial" w:cs="Arial"/>
          <w:szCs w:val="24"/>
        </w:rPr>
        <w:t xml:space="preserve">. </w:t>
      </w:r>
    </w:p>
    <w:p w14:paraId="56FF3589" w14:textId="0FAE12AA" w:rsidR="00E066F3" w:rsidRPr="003321FA" w:rsidRDefault="0075492F" w:rsidP="00E066F3">
      <w:pPr>
        <w:rPr>
          <w:rFonts w:ascii="Arial" w:hAnsi="Arial" w:cs="Arial"/>
          <w:szCs w:val="24"/>
        </w:rPr>
      </w:pPr>
      <w:r w:rsidRPr="003321FA">
        <w:rPr>
          <w:rFonts w:ascii="Arial" w:hAnsi="Arial" w:cs="Arial"/>
          <w:szCs w:val="24"/>
        </w:rPr>
        <w:t xml:space="preserve">The program being added </w:t>
      </w:r>
      <w:r w:rsidR="00BB2DA5" w:rsidRPr="003321FA">
        <w:rPr>
          <w:rFonts w:ascii="Arial" w:hAnsi="Arial" w:cs="Arial"/>
          <w:szCs w:val="24"/>
        </w:rPr>
        <w:t xml:space="preserve">as a medicare program is </w:t>
      </w:r>
      <w:r w:rsidRPr="003321FA">
        <w:rPr>
          <w:rFonts w:ascii="Arial" w:hAnsi="Arial" w:cs="Arial"/>
          <w:szCs w:val="24"/>
        </w:rPr>
        <w:t xml:space="preserve">the </w:t>
      </w:r>
      <w:r w:rsidR="00804684" w:rsidRPr="003321FA">
        <w:rPr>
          <w:rFonts w:ascii="Arial" w:hAnsi="Arial" w:cs="Arial"/>
          <w:szCs w:val="24"/>
        </w:rPr>
        <w:t xml:space="preserve">Australian </w:t>
      </w:r>
      <w:r w:rsidR="006B3510" w:rsidRPr="003321FA">
        <w:rPr>
          <w:rFonts w:ascii="Arial" w:hAnsi="Arial" w:cs="Arial"/>
          <w:szCs w:val="24"/>
        </w:rPr>
        <w:t xml:space="preserve">Thalidomide Survivors Support Program </w:t>
      </w:r>
      <w:r w:rsidR="00804684" w:rsidRPr="003321FA">
        <w:rPr>
          <w:rFonts w:ascii="Arial" w:hAnsi="Arial" w:cs="Arial"/>
          <w:szCs w:val="24"/>
        </w:rPr>
        <w:t>(ATSSP)</w:t>
      </w:r>
      <w:r w:rsidRPr="003321FA">
        <w:rPr>
          <w:rFonts w:ascii="Arial" w:hAnsi="Arial" w:cs="Arial"/>
          <w:szCs w:val="24"/>
        </w:rPr>
        <w:t>.</w:t>
      </w:r>
      <w:r w:rsidR="007617AA" w:rsidRPr="003321FA">
        <w:rPr>
          <w:rFonts w:ascii="Arial" w:hAnsi="Arial" w:cs="Arial"/>
          <w:szCs w:val="24"/>
        </w:rPr>
        <w:t xml:space="preserve"> </w:t>
      </w:r>
      <w:r w:rsidR="00E066F3" w:rsidRPr="003321FA">
        <w:rPr>
          <w:rFonts w:ascii="Arial" w:hAnsi="Arial" w:cs="Arial"/>
          <w:szCs w:val="24"/>
        </w:rPr>
        <w:t xml:space="preserve">The programs being removed are the Rural Procedural Grants Program and the Western Australian Visiting Medical Practitioner </w:t>
      </w:r>
      <w:r w:rsidR="00E066F3" w:rsidRPr="003321FA">
        <w:rPr>
          <w:rFonts w:ascii="Arial" w:hAnsi="Arial" w:cs="Arial"/>
          <w:szCs w:val="24"/>
        </w:rPr>
        <w:lastRenderedPageBreak/>
        <w:t>Program.  The Rural Procedural Grants Program and the Western Australian Visiting Medical Practitioner Program</w:t>
      </w:r>
      <w:r w:rsidR="00E066F3" w:rsidRPr="003321FA" w:rsidDel="00E066F3">
        <w:rPr>
          <w:rFonts w:ascii="Arial" w:hAnsi="Arial" w:cs="Arial"/>
          <w:szCs w:val="24"/>
        </w:rPr>
        <w:t xml:space="preserve"> </w:t>
      </w:r>
      <w:r w:rsidR="00AF012B" w:rsidRPr="003321FA">
        <w:rPr>
          <w:rFonts w:ascii="Arial" w:hAnsi="Arial" w:cs="Arial"/>
          <w:szCs w:val="24"/>
        </w:rPr>
        <w:t xml:space="preserve">were </w:t>
      </w:r>
      <w:r w:rsidR="0034653B" w:rsidRPr="003321FA">
        <w:rPr>
          <w:rFonts w:ascii="Arial" w:hAnsi="Arial" w:cs="Arial"/>
          <w:szCs w:val="24"/>
        </w:rPr>
        <w:t>previously specified as medicare programs as</w:t>
      </w:r>
      <w:r w:rsidR="00674057" w:rsidRPr="003321FA">
        <w:rPr>
          <w:rFonts w:ascii="Arial" w:hAnsi="Arial" w:cs="Arial"/>
          <w:szCs w:val="24"/>
        </w:rPr>
        <w:t xml:space="preserve"> they were administered by</w:t>
      </w:r>
      <w:r w:rsidR="0034653B" w:rsidRPr="003321FA">
        <w:rPr>
          <w:rFonts w:ascii="Arial" w:hAnsi="Arial" w:cs="Arial"/>
          <w:szCs w:val="24"/>
        </w:rPr>
        <w:t xml:space="preserve"> </w:t>
      </w:r>
      <w:r w:rsidR="00AF012B" w:rsidRPr="003321FA">
        <w:rPr>
          <w:rFonts w:ascii="Arial" w:hAnsi="Arial" w:cs="Arial"/>
          <w:szCs w:val="24"/>
        </w:rPr>
        <w:t xml:space="preserve">Services Australia </w:t>
      </w:r>
      <w:r w:rsidR="00674057" w:rsidRPr="003321FA">
        <w:rPr>
          <w:rFonts w:ascii="Arial" w:hAnsi="Arial" w:cs="Arial"/>
          <w:szCs w:val="24"/>
        </w:rPr>
        <w:t>using</w:t>
      </w:r>
      <w:r w:rsidR="0034653B" w:rsidRPr="003321FA">
        <w:rPr>
          <w:rFonts w:ascii="Arial" w:hAnsi="Arial" w:cs="Arial"/>
          <w:szCs w:val="24"/>
        </w:rPr>
        <w:t xml:space="preserve"> information obtained under other programs</w:t>
      </w:r>
      <w:r w:rsidR="006311AD" w:rsidRPr="003321FA">
        <w:rPr>
          <w:rFonts w:ascii="Arial" w:hAnsi="Arial" w:cs="Arial"/>
          <w:szCs w:val="24"/>
        </w:rPr>
        <w:t xml:space="preserve">. </w:t>
      </w:r>
      <w:r w:rsidR="00674057" w:rsidRPr="003321FA">
        <w:rPr>
          <w:rFonts w:ascii="Arial" w:hAnsi="Arial" w:cs="Arial"/>
          <w:szCs w:val="24"/>
        </w:rPr>
        <w:t>The Rural Procedural Grants Program and the Western Australian Visiting Medical Practitioner Program</w:t>
      </w:r>
      <w:r w:rsidR="00674057" w:rsidRPr="003321FA" w:rsidDel="00E066F3">
        <w:rPr>
          <w:rFonts w:ascii="Arial" w:hAnsi="Arial" w:cs="Arial"/>
          <w:szCs w:val="24"/>
        </w:rPr>
        <w:t xml:space="preserve"> </w:t>
      </w:r>
      <w:r w:rsidR="0034653B" w:rsidRPr="003321FA">
        <w:rPr>
          <w:rFonts w:ascii="Arial" w:hAnsi="Arial" w:cs="Arial"/>
          <w:szCs w:val="24"/>
        </w:rPr>
        <w:t xml:space="preserve">are </w:t>
      </w:r>
      <w:r w:rsidR="00E066F3" w:rsidRPr="003321FA">
        <w:rPr>
          <w:rFonts w:ascii="Arial" w:hAnsi="Arial" w:cs="Arial"/>
          <w:szCs w:val="24"/>
        </w:rPr>
        <w:t>being removed as they are no longer administered by Services Australia and accordingly are not required to be specified to be medicare programs.</w:t>
      </w:r>
    </w:p>
    <w:p w14:paraId="0A424A81" w14:textId="77777777" w:rsidR="00E066F3" w:rsidRPr="003321FA" w:rsidRDefault="00E066F3" w:rsidP="00240E8C">
      <w:pPr>
        <w:spacing w:before="0"/>
        <w:rPr>
          <w:rFonts w:ascii="Arial" w:hAnsi="Arial" w:cs="Arial"/>
          <w:szCs w:val="24"/>
        </w:rPr>
      </w:pPr>
    </w:p>
    <w:p w14:paraId="796E431D" w14:textId="388610E1" w:rsidR="006E0DF9" w:rsidRPr="003321FA" w:rsidRDefault="00804684" w:rsidP="00240E8C">
      <w:pPr>
        <w:spacing w:before="0"/>
        <w:rPr>
          <w:rFonts w:ascii="Arial" w:hAnsi="Arial" w:cs="Arial"/>
        </w:rPr>
      </w:pPr>
      <w:r w:rsidRPr="003321FA">
        <w:rPr>
          <w:rFonts w:ascii="Arial" w:hAnsi="Arial" w:cs="Arial"/>
          <w:szCs w:val="24"/>
        </w:rPr>
        <w:t>The ATSSP is a lifetime support package for recognised thalidomide survivors that</w:t>
      </w:r>
      <w:r w:rsidR="008A7108" w:rsidRPr="003321FA">
        <w:rPr>
          <w:rFonts w:ascii="Arial" w:hAnsi="Arial" w:cs="Arial"/>
          <w:szCs w:val="24"/>
        </w:rPr>
        <w:t xml:space="preserve"> helps with out of pocket health care costs and daily living costs.</w:t>
      </w:r>
      <w:r w:rsidR="00240E8C" w:rsidRPr="003321FA">
        <w:rPr>
          <w:rFonts w:ascii="Arial" w:hAnsi="Arial" w:cs="Arial"/>
          <w:szCs w:val="24"/>
        </w:rPr>
        <w:t xml:space="preserve">  </w:t>
      </w:r>
      <w:r w:rsidR="006E0DF9" w:rsidRPr="003321FA">
        <w:rPr>
          <w:rFonts w:ascii="Arial" w:hAnsi="Arial" w:cs="Arial"/>
          <w:szCs w:val="24"/>
        </w:rPr>
        <w:t>Under the program, survivors may be eligible to:</w:t>
      </w:r>
    </w:p>
    <w:p w14:paraId="1611A22E" w14:textId="7F0BA760" w:rsidR="006E0DF9" w:rsidRPr="003321FA" w:rsidRDefault="006E0DF9" w:rsidP="0046596D">
      <w:pPr>
        <w:pStyle w:val="ListParagraph"/>
        <w:numPr>
          <w:ilvl w:val="0"/>
          <w:numId w:val="22"/>
        </w:numPr>
        <w:spacing w:before="0"/>
        <w:rPr>
          <w:rFonts w:ascii="Arial" w:hAnsi="Arial" w:cs="Arial"/>
          <w:szCs w:val="24"/>
        </w:rPr>
      </w:pPr>
      <w:r w:rsidRPr="003321FA">
        <w:rPr>
          <w:rFonts w:ascii="Arial" w:hAnsi="Arial" w:cs="Arial"/>
          <w:szCs w:val="24"/>
        </w:rPr>
        <w:t>receive a lump sum payment and ongoing annual payments</w:t>
      </w:r>
      <w:r w:rsidR="00E84259" w:rsidRPr="003321FA">
        <w:rPr>
          <w:rFonts w:ascii="Arial" w:hAnsi="Arial" w:cs="Arial"/>
          <w:szCs w:val="24"/>
        </w:rPr>
        <w:t>;</w:t>
      </w:r>
    </w:p>
    <w:p w14:paraId="3D876EE4" w14:textId="13F7BB2F" w:rsidR="006E0DF9" w:rsidRPr="003321FA" w:rsidRDefault="006E0DF9" w:rsidP="0046596D">
      <w:pPr>
        <w:pStyle w:val="ListParagraph"/>
        <w:numPr>
          <w:ilvl w:val="0"/>
          <w:numId w:val="22"/>
        </w:numPr>
        <w:spacing w:before="0"/>
        <w:rPr>
          <w:rFonts w:ascii="Arial" w:hAnsi="Arial" w:cs="Arial"/>
          <w:szCs w:val="24"/>
        </w:rPr>
      </w:pPr>
      <w:r w:rsidRPr="003321FA">
        <w:rPr>
          <w:rFonts w:ascii="Arial" w:hAnsi="Arial" w:cs="Arial"/>
          <w:szCs w:val="24"/>
        </w:rPr>
        <w:t>access an Extraordinary Assistance Fund (EAF)</w:t>
      </w:r>
      <w:r w:rsidR="00194354" w:rsidRPr="003321FA">
        <w:rPr>
          <w:rFonts w:ascii="Arial" w:hAnsi="Arial" w:cs="Arial"/>
          <w:szCs w:val="24"/>
        </w:rPr>
        <w:t>.  The EAF helps cover the costs of goods and services to assist with activities of daily living, impacted as a result of thalidomide-related injuries</w:t>
      </w:r>
      <w:r w:rsidR="00E84259" w:rsidRPr="003321FA">
        <w:rPr>
          <w:rFonts w:ascii="Arial" w:hAnsi="Arial" w:cs="Arial"/>
          <w:szCs w:val="24"/>
        </w:rPr>
        <w:t>; and</w:t>
      </w:r>
    </w:p>
    <w:p w14:paraId="0FB5F2CE" w14:textId="7BD3620B" w:rsidR="006E0DF9" w:rsidRPr="003321FA" w:rsidRDefault="006E0DF9" w:rsidP="006E0DF9">
      <w:pPr>
        <w:pStyle w:val="ListParagraph"/>
        <w:numPr>
          <w:ilvl w:val="0"/>
          <w:numId w:val="22"/>
        </w:numPr>
        <w:spacing w:before="0"/>
        <w:rPr>
          <w:rFonts w:ascii="Arial" w:hAnsi="Arial" w:cs="Arial"/>
          <w:szCs w:val="24"/>
        </w:rPr>
      </w:pPr>
      <w:r w:rsidRPr="003321FA">
        <w:rPr>
          <w:rFonts w:ascii="Arial" w:hAnsi="Arial" w:cs="Arial"/>
          <w:szCs w:val="24"/>
        </w:rPr>
        <w:t>access a Health Care Assistance Fund (HCAF).</w:t>
      </w:r>
      <w:r w:rsidR="00194354" w:rsidRPr="003321FA">
        <w:rPr>
          <w:rFonts w:ascii="Arial" w:hAnsi="Arial" w:cs="Arial"/>
          <w:szCs w:val="24"/>
        </w:rPr>
        <w:t xml:space="preserve">  The HCAF helps cover out-of-pocket health care costs that are associated with thalidomide-related injuries.</w:t>
      </w:r>
    </w:p>
    <w:p w14:paraId="1534D3A7" w14:textId="5A3DE3FB" w:rsidR="004A1329" w:rsidRPr="003321FA" w:rsidRDefault="004A1329" w:rsidP="0046596D">
      <w:pPr>
        <w:rPr>
          <w:rFonts w:ascii="Arial" w:hAnsi="Arial" w:cs="Arial"/>
          <w:szCs w:val="24"/>
        </w:rPr>
      </w:pPr>
      <w:r w:rsidRPr="003321FA">
        <w:rPr>
          <w:rFonts w:ascii="Arial" w:hAnsi="Arial" w:cs="Arial"/>
          <w:szCs w:val="24"/>
        </w:rPr>
        <w:t>W</w:t>
      </w:r>
      <w:r w:rsidR="006E571C" w:rsidRPr="003321FA">
        <w:rPr>
          <w:rFonts w:ascii="Arial" w:hAnsi="Arial" w:cs="Arial"/>
          <w:szCs w:val="24"/>
        </w:rPr>
        <w:t xml:space="preserve">hile </w:t>
      </w:r>
      <w:r w:rsidR="00B164CA" w:rsidRPr="003321FA">
        <w:rPr>
          <w:rFonts w:ascii="Arial" w:hAnsi="Arial" w:cs="Arial"/>
          <w:szCs w:val="24"/>
        </w:rPr>
        <w:t>the ATSSP</w:t>
      </w:r>
      <w:r w:rsidR="00B164CA" w:rsidRPr="003321FA" w:rsidDel="00B164CA">
        <w:rPr>
          <w:rFonts w:ascii="Arial" w:hAnsi="Arial" w:cs="Arial"/>
          <w:szCs w:val="24"/>
        </w:rPr>
        <w:t xml:space="preserve"> </w:t>
      </w:r>
      <w:r w:rsidR="00B164CA" w:rsidRPr="003321FA">
        <w:rPr>
          <w:rFonts w:ascii="Arial" w:hAnsi="Arial" w:cs="Arial"/>
          <w:szCs w:val="24"/>
        </w:rPr>
        <w:t xml:space="preserve">obtains </w:t>
      </w:r>
      <w:r w:rsidRPr="003321FA">
        <w:rPr>
          <w:rFonts w:ascii="Arial" w:hAnsi="Arial" w:cs="Arial"/>
          <w:szCs w:val="24"/>
        </w:rPr>
        <w:t>customer</w:t>
      </w:r>
      <w:r w:rsidR="001B147C" w:rsidRPr="003321FA">
        <w:rPr>
          <w:rFonts w:ascii="Arial" w:hAnsi="Arial" w:cs="Arial"/>
          <w:szCs w:val="24"/>
        </w:rPr>
        <w:t>s’</w:t>
      </w:r>
      <w:r w:rsidRPr="003321FA">
        <w:rPr>
          <w:rFonts w:ascii="Arial" w:hAnsi="Arial" w:cs="Arial"/>
          <w:szCs w:val="24"/>
        </w:rPr>
        <w:t xml:space="preserve"> consent </w:t>
      </w:r>
      <w:r w:rsidR="001B147C" w:rsidRPr="003321FA">
        <w:rPr>
          <w:rFonts w:ascii="Arial" w:hAnsi="Arial" w:cs="Arial"/>
          <w:szCs w:val="24"/>
        </w:rPr>
        <w:t>to</w:t>
      </w:r>
      <w:r w:rsidRPr="003321FA">
        <w:rPr>
          <w:rFonts w:ascii="Arial" w:hAnsi="Arial" w:cs="Arial"/>
          <w:szCs w:val="24"/>
        </w:rPr>
        <w:t xml:space="preserve"> use of their information for </w:t>
      </w:r>
      <w:r w:rsidR="00450664" w:rsidRPr="003321FA">
        <w:rPr>
          <w:rFonts w:ascii="Arial" w:hAnsi="Arial" w:cs="Arial"/>
          <w:szCs w:val="24"/>
        </w:rPr>
        <w:t xml:space="preserve">the </w:t>
      </w:r>
      <w:r w:rsidRPr="003321FA">
        <w:rPr>
          <w:rFonts w:ascii="Arial" w:hAnsi="Arial" w:cs="Arial"/>
          <w:szCs w:val="24"/>
        </w:rPr>
        <w:t xml:space="preserve">administration of the ATSSP, adding the program to the list of medicare programs will provide additional authority to use and disclose information for the purposes of administering the program.  </w:t>
      </w:r>
      <w:r w:rsidR="00231972" w:rsidRPr="003321FA">
        <w:rPr>
          <w:rFonts w:ascii="Arial" w:hAnsi="Arial" w:cs="Arial"/>
          <w:szCs w:val="24"/>
        </w:rPr>
        <w:t xml:space="preserve">For example, </w:t>
      </w:r>
      <w:r w:rsidR="00192C06" w:rsidRPr="003321FA">
        <w:rPr>
          <w:rFonts w:ascii="Arial" w:hAnsi="Arial" w:cs="Arial"/>
          <w:szCs w:val="24"/>
        </w:rPr>
        <w:t xml:space="preserve">it will enable information obtained under other programs, such as under Medicare, to be disclosed for the purpose of </w:t>
      </w:r>
      <w:r w:rsidR="00231972" w:rsidRPr="003321FA">
        <w:rPr>
          <w:rFonts w:ascii="Arial" w:hAnsi="Arial" w:cs="Arial"/>
          <w:szCs w:val="24"/>
        </w:rPr>
        <w:t>assessing eligibility for the ATSSP, delivering the program to people and for compliance purposes.</w:t>
      </w:r>
    </w:p>
    <w:p w14:paraId="04C83E1C" w14:textId="3B317074" w:rsidR="00192C06" w:rsidRPr="003321FA" w:rsidRDefault="00536D8C" w:rsidP="00536D8C">
      <w:pPr>
        <w:rPr>
          <w:rFonts w:ascii="Arial" w:hAnsi="Arial" w:cs="Arial"/>
          <w:szCs w:val="24"/>
        </w:rPr>
      </w:pPr>
      <w:r w:rsidRPr="003321FA">
        <w:rPr>
          <w:rFonts w:ascii="Arial" w:hAnsi="Arial" w:cs="Arial"/>
          <w:szCs w:val="24"/>
        </w:rPr>
        <w:t xml:space="preserve">The 2021 Specification is a disallowable legislative instrument for the purposes of the </w:t>
      </w:r>
      <w:r w:rsidRPr="003321FA">
        <w:rPr>
          <w:rFonts w:ascii="Arial" w:hAnsi="Arial" w:cs="Arial"/>
          <w:i/>
          <w:szCs w:val="24"/>
        </w:rPr>
        <w:t>Legislation Act 2003</w:t>
      </w:r>
      <w:r w:rsidRPr="003321FA">
        <w:rPr>
          <w:rFonts w:ascii="Arial" w:hAnsi="Arial" w:cs="Arial"/>
          <w:szCs w:val="24"/>
        </w:rPr>
        <w:t>.</w:t>
      </w:r>
    </w:p>
    <w:p w14:paraId="774BFE3E" w14:textId="77777777" w:rsidR="00536D8C" w:rsidRPr="003321FA" w:rsidRDefault="00536D8C" w:rsidP="00631637">
      <w:pPr>
        <w:keepNext/>
        <w:spacing w:before="0" w:after="240"/>
        <w:jc w:val="both"/>
        <w:rPr>
          <w:rFonts w:ascii="Arial" w:hAnsi="Arial" w:cs="Arial"/>
          <w:szCs w:val="24"/>
        </w:rPr>
      </w:pPr>
    </w:p>
    <w:p w14:paraId="26332824" w14:textId="2116807D" w:rsidR="000B4130" w:rsidRPr="003321FA" w:rsidRDefault="000B4130" w:rsidP="00631637">
      <w:pPr>
        <w:keepNext/>
        <w:spacing w:before="0" w:after="240"/>
        <w:jc w:val="both"/>
        <w:rPr>
          <w:rStyle w:val="BookTitle"/>
          <w:rFonts w:ascii="Arial" w:hAnsi="Arial" w:cs="Arial"/>
          <w:i w:val="0"/>
          <w:iCs w:val="0"/>
          <w:smallCaps w:val="0"/>
          <w:spacing w:val="0"/>
          <w:szCs w:val="24"/>
        </w:rPr>
      </w:pPr>
      <w:r w:rsidRPr="003321FA">
        <w:rPr>
          <w:rStyle w:val="BookTitle"/>
          <w:rFonts w:ascii="Arial" w:hAnsi="Arial" w:cs="Arial"/>
          <w:b/>
          <w:i w:val="0"/>
          <w:iCs w:val="0"/>
          <w:smallCaps w:val="0"/>
          <w:spacing w:val="0"/>
          <w:szCs w:val="24"/>
        </w:rPr>
        <w:t>Commencement</w:t>
      </w:r>
    </w:p>
    <w:p w14:paraId="1397A2BB" w14:textId="77777777" w:rsidR="00053986" w:rsidRPr="003321FA" w:rsidRDefault="00631637" w:rsidP="007617AA">
      <w:pPr>
        <w:spacing w:before="0" w:after="240"/>
        <w:jc w:val="both"/>
        <w:rPr>
          <w:rFonts w:ascii="Arial" w:hAnsi="Arial" w:cs="Arial"/>
          <w:szCs w:val="24"/>
        </w:rPr>
      </w:pPr>
      <w:r w:rsidRPr="003321FA">
        <w:rPr>
          <w:rFonts w:ascii="Arial" w:hAnsi="Arial" w:cs="Arial"/>
          <w:szCs w:val="24"/>
        </w:rPr>
        <w:t xml:space="preserve">The instrument commences the day after registration on the Federal Register of Legislation.  </w:t>
      </w:r>
    </w:p>
    <w:p w14:paraId="3B4A9582" w14:textId="77777777" w:rsidR="006A6D51" w:rsidRPr="003321FA" w:rsidRDefault="006A6D51" w:rsidP="00631637">
      <w:pPr>
        <w:keepNext/>
        <w:spacing w:before="0" w:after="240"/>
        <w:jc w:val="both"/>
        <w:rPr>
          <w:rStyle w:val="BookTitle"/>
          <w:rFonts w:ascii="Arial" w:hAnsi="Arial" w:cs="Arial"/>
          <w:b/>
          <w:i w:val="0"/>
          <w:iCs w:val="0"/>
          <w:smallCaps w:val="0"/>
          <w:spacing w:val="0"/>
          <w:szCs w:val="24"/>
        </w:rPr>
      </w:pPr>
      <w:r w:rsidRPr="003321FA">
        <w:rPr>
          <w:rStyle w:val="BookTitle"/>
          <w:rFonts w:ascii="Arial" w:hAnsi="Arial" w:cs="Arial"/>
          <w:b/>
          <w:i w:val="0"/>
          <w:iCs w:val="0"/>
          <w:smallCaps w:val="0"/>
          <w:spacing w:val="0"/>
          <w:szCs w:val="24"/>
        </w:rPr>
        <w:t>Consultation</w:t>
      </w:r>
    </w:p>
    <w:p w14:paraId="37567132" w14:textId="5DE74348" w:rsidR="0075492F" w:rsidRPr="003321FA" w:rsidRDefault="0075492F" w:rsidP="007617AA">
      <w:pPr>
        <w:spacing w:before="0" w:after="240"/>
        <w:jc w:val="both"/>
        <w:rPr>
          <w:rFonts w:ascii="Arial" w:hAnsi="Arial" w:cs="Arial"/>
          <w:szCs w:val="24"/>
        </w:rPr>
      </w:pPr>
      <w:r w:rsidRPr="003321FA">
        <w:rPr>
          <w:rFonts w:ascii="Arial" w:hAnsi="Arial" w:cs="Arial"/>
          <w:szCs w:val="24"/>
        </w:rPr>
        <w:t xml:space="preserve">The specification is of a machinery nature and ensures that the list of programs that are </w:t>
      </w:r>
      <w:r w:rsidR="003A0C31" w:rsidRPr="003321FA">
        <w:rPr>
          <w:rFonts w:ascii="Arial" w:hAnsi="Arial" w:cs="Arial"/>
          <w:szCs w:val="24"/>
        </w:rPr>
        <w:t>m</w:t>
      </w:r>
      <w:r w:rsidRPr="003321FA">
        <w:rPr>
          <w:rFonts w:ascii="Arial" w:hAnsi="Arial" w:cs="Arial"/>
          <w:szCs w:val="24"/>
        </w:rPr>
        <w:t>edicare programs is updated. As the instrument does no</w:t>
      </w:r>
      <w:r w:rsidR="006E571C" w:rsidRPr="003321FA">
        <w:rPr>
          <w:rFonts w:ascii="Arial" w:hAnsi="Arial" w:cs="Arial"/>
          <w:szCs w:val="24"/>
        </w:rPr>
        <w:t xml:space="preserve">t alter existing arrangements, </w:t>
      </w:r>
      <w:r w:rsidRPr="003321FA">
        <w:rPr>
          <w:rFonts w:ascii="Arial" w:hAnsi="Arial" w:cs="Arial"/>
          <w:szCs w:val="24"/>
        </w:rPr>
        <w:t>no public consultation on the specification was considered necessary.</w:t>
      </w:r>
    </w:p>
    <w:p w14:paraId="0A416442" w14:textId="77777777" w:rsidR="0046183D" w:rsidRPr="003321FA" w:rsidRDefault="0075492F" w:rsidP="007617AA">
      <w:pPr>
        <w:spacing w:before="0" w:after="240"/>
        <w:jc w:val="both"/>
        <w:rPr>
          <w:rFonts w:ascii="Arial" w:hAnsi="Arial" w:cs="Arial"/>
          <w:szCs w:val="24"/>
        </w:rPr>
      </w:pPr>
      <w:r w:rsidRPr="003321FA">
        <w:rPr>
          <w:rFonts w:ascii="Arial" w:hAnsi="Arial" w:cs="Arial"/>
          <w:szCs w:val="24"/>
        </w:rPr>
        <w:t xml:space="preserve">Services Australia and </w:t>
      </w:r>
      <w:r w:rsidR="0046183D" w:rsidRPr="003321FA">
        <w:rPr>
          <w:rFonts w:ascii="Arial" w:hAnsi="Arial" w:cs="Arial"/>
          <w:szCs w:val="24"/>
        </w:rPr>
        <w:t xml:space="preserve">the Department of Health </w:t>
      </w:r>
      <w:r w:rsidR="005178D8" w:rsidRPr="003321FA">
        <w:rPr>
          <w:rFonts w:ascii="Arial" w:hAnsi="Arial" w:cs="Arial"/>
          <w:szCs w:val="24"/>
        </w:rPr>
        <w:t xml:space="preserve">were consulted </w:t>
      </w:r>
      <w:r w:rsidR="0046183D" w:rsidRPr="003321FA">
        <w:rPr>
          <w:rFonts w:ascii="Arial" w:hAnsi="Arial" w:cs="Arial"/>
          <w:szCs w:val="24"/>
        </w:rPr>
        <w:t>on the changes to the specification.</w:t>
      </w:r>
    </w:p>
    <w:p w14:paraId="4B34DA97" w14:textId="77777777" w:rsidR="00946E6D" w:rsidRPr="003321FA" w:rsidRDefault="0006693F" w:rsidP="00631637">
      <w:pPr>
        <w:keepNext/>
        <w:spacing w:before="0" w:after="240"/>
        <w:jc w:val="both"/>
        <w:rPr>
          <w:rStyle w:val="BookTitle"/>
          <w:rFonts w:ascii="Arial" w:hAnsi="Arial" w:cs="Arial"/>
          <w:b/>
          <w:i w:val="0"/>
          <w:iCs w:val="0"/>
          <w:smallCaps w:val="0"/>
          <w:spacing w:val="0"/>
          <w:szCs w:val="24"/>
        </w:rPr>
      </w:pPr>
      <w:r w:rsidRPr="003321FA">
        <w:rPr>
          <w:rStyle w:val="BookTitle"/>
          <w:rFonts w:ascii="Arial" w:hAnsi="Arial" w:cs="Arial"/>
          <w:b/>
          <w:i w:val="0"/>
          <w:iCs w:val="0"/>
          <w:smallCaps w:val="0"/>
          <w:spacing w:val="0"/>
          <w:szCs w:val="24"/>
        </w:rPr>
        <w:t>Availability of independent review</w:t>
      </w:r>
    </w:p>
    <w:p w14:paraId="45B2C1D3" w14:textId="77777777" w:rsidR="00F7526E" w:rsidRPr="003321FA" w:rsidRDefault="00A80B4F" w:rsidP="007617AA">
      <w:pPr>
        <w:spacing w:before="0" w:after="240"/>
        <w:jc w:val="both"/>
        <w:rPr>
          <w:rFonts w:ascii="Arial" w:hAnsi="Arial" w:cs="Arial"/>
          <w:szCs w:val="24"/>
        </w:rPr>
      </w:pPr>
      <w:r w:rsidRPr="003321FA">
        <w:rPr>
          <w:rFonts w:ascii="Arial" w:hAnsi="Arial" w:cs="Arial"/>
          <w:szCs w:val="24"/>
        </w:rPr>
        <w:t xml:space="preserve">The changes to the specification do not </w:t>
      </w:r>
      <w:r w:rsidR="0019088C" w:rsidRPr="003321FA">
        <w:rPr>
          <w:rFonts w:ascii="Arial" w:hAnsi="Arial" w:cs="Arial"/>
          <w:szCs w:val="24"/>
        </w:rPr>
        <w:t xml:space="preserve">affect the availability of independent review, or authorise any new non-reviewable decisions.  </w:t>
      </w:r>
    </w:p>
    <w:p w14:paraId="75C295DD" w14:textId="77777777" w:rsidR="006A6D51" w:rsidRPr="003321FA" w:rsidRDefault="006A6D51" w:rsidP="00241EBA">
      <w:pPr>
        <w:keepNext/>
        <w:keepLines/>
        <w:spacing w:before="0" w:after="240"/>
        <w:jc w:val="both"/>
        <w:rPr>
          <w:rStyle w:val="BookTitle"/>
          <w:rFonts w:ascii="Arial" w:hAnsi="Arial" w:cs="Arial"/>
          <w:b/>
          <w:i w:val="0"/>
          <w:iCs w:val="0"/>
          <w:smallCaps w:val="0"/>
          <w:spacing w:val="0"/>
          <w:szCs w:val="24"/>
        </w:rPr>
      </w:pPr>
      <w:r w:rsidRPr="003321FA">
        <w:rPr>
          <w:rStyle w:val="BookTitle"/>
          <w:rFonts w:ascii="Arial" w:hAnsi="Arial" w:cs="Arial"/>
          <w:b/>
          <w:i w:val="0"/>
          <w:iCs w:val="0"/>
          <w:smallCaps w:val="0"/>
          <w:spacing w:val="0"/>
          <w:szCs w:val="24"/>
        </w:rPr>
        <w:lastRenderedPageBreak/>
        <w:t>Explanation of the provisions</w:t>
      </w:r>
    </w:p>
    <w:p w14:paraId="44FC33CC" w14:textId="7259D3D2" w:rsidR="009F393D" w:rsidRPr="003321FA" w:rsidRDefault="009F393D" w:rsidP="007617AA">
      <w:pPr>
        <w:keepNext/>
        <w:shd w:val="clear" w:color="auto" w:fill="FFFFFF"/>
        <w:spacing w:before="0" w:after="240"/>
        <w:jc w:val="both"/>
        <w:rPr>
          <w:rFonts w:ascii="Arial" w:hAnsi="Arial" w:cs="Arial"/>
          <w:szCs w:val="24"/>
          <w:lang w:val="en-US"/>
        </w:rPr>
      </w:pPr>
      <w:r w:rsidRPr="003321FA">
        <w:rPr>
          <w:rFonts w:ascii="Arial" w:hAnsi="Arial" w:cs="Arial"/>
          <w:b/>
          <w:szCs w:val="24"/>
        </w:rPr>
        <w:t>Section 1</w:t>
      </w:r>
      <w:r w:rsidRPr="003321FA">
        <w:rPr>
          <w:rFonts w:ascii="Arial" w:hAnsi="Arial" w:cs="Arial"/>
          <w:szCs w:val="24"/>
        </w:rPr>
        <w:t xml:space="preserve"> provides </w:t>
      </w:r>
      <w:r w:rsidR="00A17693" w:rsidRPr="003321FA">
        <w:rPr>
          <w:rFonts w:ascii="Arial" w:hAnsi="Arial" w:cs="Arial"/>
          <w:szCs w:val="24"/>
        </w:rPr>
        <w:t xml:space="preserve">that </w:t>
      </w:r>
      <w:r w:rsidRPr="003321FA">
        <w:rPr>
          <w:rFonts w:ascii="Arial" w:hAnsi="Arial" w:cs="Arial"/>
          <w:szCs w:val="24"/>
        </w:rPr>
        <w:t>the name of this</w:t>
      </w:r>
      <w:r w:rsidR="00EE5DD5" w:rsidRPr="003321FA">
        <w:rPr>
          <w:rFonts w:ascii="Arial" w:hAnsi="Arial" w:cs="Arial"/>
          <w:szCs w:val="24"/>
        </w:rPr>
        <w:t xml:space="preserve"> instrument</w:t>
      </w:r>
      <w:r w:rsidR="00A17693" w:rsidRPr="003321FA">
        <w:rPr>
          <w:rFonts w:ascii="Arial" w:hAnsi="Arial" w:cs="Arial"/>
          <w:szCs w:val="24"/>
        </w:rPr>
        <w:t xml:space="preserve"> is</w:t>
      </w:r>
      <w:r w:rsidR="00231972" w:rsidRPr="003321FA">
        <w:rPr>
          <w:rFonts w:ascii="Arial" w:hAnsi="Arial" w:cs="Arial"/>
          <w:szCs w:val="24"/>
        </w:rPr>
        <w:t xml:space="preserve"> </w:t>
      </w:r>
      <w:r w:rsidRPr="003321FA">
        <w:rPr>
          <w:rFonts w:ascii="Arial" w:hAnsi="Arial" w:cs="Arial"/>
          <w:szCs w:val="24"/>
        </w:rPr>
        <w:t xml:space="preserve">the </w:t>
      </w:r>
      <w:r w:rsidR="00A83EB7" w:rsidRPr="003321FA">
        <w:rPr>
          <w:rFonts w:ascii="Arial" w:hAnsi="Arial" w:cs="Arial"/>
          <w:i/>
          <w:iCs/>
          <w:szCs w:val="24"/>
        </w:rPr>
        <w:t>Human Services (Medicare) (Medicare Programs) Specification 2021</w:t>
      </w:r>
      <w:r w:rsidRPr="003321FA">
        <w:rPr>
          <w:rFonts w:ascii="Arial" w:hAnsi="Arial" w:cs="Arial"/>
          <w:szCs w:val="24"/>
        </w:rPr>
        <w:t>.</w:t>
      </w:r>
    </w:p>
    <w:p w14:paraId="1A5C0456" w14:textId="77777777" w:rsidR="00AD6084" w:rsidRPr="003321FA" w:rsidRDefault="009F393D" w:rsidP="007617AA">
      <w:pPr>
        <w:shd w:val="clear" w:color="auto" w:fill="FFFFFF"/>
        <w:spacing w:before="0" w:after="240"/>
        <w:jc w:val="both"/>
        <w:rPr>
          <w:rFonts w:ascii="Arial" w:hAnsi="Arial" w:cs="Arial"/>
          <w:szCs w:val="24"/>
        </w:rPr>
      </w:pPr>
      <w:r w:rsidRPr="003321FA">
        <w:rPr>
          <w:rFonts w:ascii="Arial" w:hAnsi="Arial" w:cs="Arial"/>
          <w:b/>
          <w:szCs w:val="24"/>
        </w:rPr>
        <w:t>Section 2</w:t>
      </w:r>
      <w:r w:rsidRPr="003321FA">
        <w:rPr>
          <w:rFonts w:ascii="Arial" w:hAnsi="Arial" w:cs="Arial"/>
          <w:szCs w:val="24"/>
        </w:rPr>
        <w:t xml:space="preserve"> </w:t>
      </w:r>
      <w:r w:rsidR="00EE5DD5" w:rsidRPr="003321FA">
        <w:rPr>
          <w:rFonts w:ascii="Arial" w:hAnsi="Arial" w:cs="Arial"/>
          <w:szCs w:val="24"/>
        </w:rPr>
        <w:t>provides that the instrument commences the day after it is registered on the Federal Register of Legislation</w:t>
      </w:r>
      <w:r w:rsidR="00120E1F" w:rsidRPr="003321FA">
        <w:rPr>
          <w:rFonts w:ascii="Arial" w:hAnsi="Arial" w:cs="Arial"/>
          <w:szCs w:val="24"/>
        </w:rPr>
        <w:t>.</w:t>
      </w:r>
      <w:r w:rsidR="00AD6084" w:rsidRPr="003321FA">
        <w:rPr>
          <w:rFonts w:ascii="Arial" w:hAnsi="Arial" w:cs="Arial"/>
          <w:szCs w:val="24"/>
        </w:rPr>
        <w:t xml:space="preserve"> </w:t>
      </w:r>
    </w:p>
    <w:p w14:paraId="571F07F2" w14:textId="77777777" w:rsidR="00053986" w:rsidRPr="003321FA" w:rsidRDefault="001173FA" w:rsidP="007617AA">
      <w:pPr>
        <w:shd w:val="clear" w:color="auto" w:fill="FFFFFF"/>
        <w:spacing w:before="0" w:after="240"/>
        <w:jc w:val="both"/>
        <w:rPr>
          <w:rFonts w:ascii="Arial" w:hAnsi="Arial" w:cs="Arial"/>
          <w:szCs w:val="24"/>
          <w:lang w:val="en-US"/>
        </w:rPr>
      </w:pPr>
      <w:r w:rsidRPr="003321FA">
        <w:rPr>
          <w:rFonts w:ascii="Arial" w:hAnsi="Arial" w:cs="Arial"/>
          <w:b/>
          <w:szCs w:val="24"/>
        </w:rPr>
        <w:t>Section</w:t>
      </w:r>
      <w:r w:rsidR="009F393D" w:rsidRPr="003321FA">
        <w:rPr>
          <w:rFonts w:ascii="Arial" w:hAnsi="Arial" w:cs="Arial"/>
          <w:b/>
          <w:szCs w:val="24"/>
        </w:rPr>
        <w:t xml:space="preserve"> 3</w:t>
      </w:r>
      <w:r w:rsidR="009F393D" w:rsidRPr="003321FA">
        <w:rPr>
          <w:rFonts w:ascii="Arial" w:hAnsi="Arial" w:cs="Arial"/>
          <w:szCs w:val="24"/>
        </w:rPr>
        <w:t xml:space="preserve"> </w:t>
      </w:r>
      <w:r w:rsidR="009B41CA" w:rsidRPr="003321FA">
        <w:rPr>
          <w:rFonts w:ascii="Arial" w:hAnsi="Arial" w:cs="Arial"/>
          <w:szCs w:val="24"/>
        </w:rPr>
        <w:t xml:space="preserve">repeals the </w:t>
      </w:r>
      <w:r w:rsidR="009B41CA" w:rsidRPr="003321FA">
        <w:rPr>
          <w:rFonts w:ascii="Arial" w:hAnsi="Arial" w:cs="Arial"/>
          <w:i/>
          <w:szCs w:val="24"/>
        </w:rPr>
        <w:t>Human Services (Medicare) (Medicare Programs) Specification 2019</w:t>
      </w:r>
      <w:r w:rsidR="009B41CA" w:rsidRPr="003321FA">
        <w:rPr>
          <w:rFonts w:ascii="Arial" w:hAnsi="Arial" w:cs="Arial"/>
          <w:szCs w:val="24"/>
        </w:rPr>
        <w:t xml:space="preserve">, which is replaced by this instrument.  </w:t>
      </w:r>
      <w:r w:rsidR="00053986" w:rsidRPr="003321FA">
        <w:rPr>
          <w:rFonts w:ascii="Arial" w:hAnsi="Arial" w:cs="Arial"/>
          <w:szCs w:val="24"/>
        </w:rPr>
        <w:t xml:space="preserve"> </w:t>
      </w:r>
    </w:p>
    <w:p w14:paraId="5C80AB4D" w14:textId="523A7AC4" w:rsidR="001173FA" w:rsidRPr="003321FA" w:rsidRDefault="001173FA" w:rsidP="007617AA">
      <w:pPr>
        <w:shd w:val="clear" w:color="auto" w:fill="FFFFFF"/>
        <w:spacing w:before="0" w:after="240"/>
        <w:jc w:val="both"/>
        <w:rPr>
          <w:rFonts w:ascii="Arial" w:hAnsi="Arial" w:cs="Arial"/>
          <w:b/>
          <w:szCs w:val="24"/>
        </w:rPr>
      </w:pPr>
      <w:bookmarkStart w:id="0" w:name="_Toc47687447"/>
      <w:r w:rsidRPr="003321FA">
        <w:rPr>
          <w:rFonts w:ascii="Arial" w:hAnsi="Arial" w:cs="Arial"/>
          <w:b/>
          <w:szCs w:val="24"/>
        </w:rPr>
        <w:t>Section 4</w:t>
      </w:r>
      <w:r w:rsidRPr="003321FA">
        <w:rPr>
          <w:rFonts w:ascii="Arial" w:hAnsi="Arial" w:cs="Arial"/>
          <w:szCs w:val="24"/>
        </w:rPr>
        <w:t xml:space="preserve"> </w:t>
      </w:r>
      <w:bookmarkEnd w:id="0"/>
      <w:r w:rsidR="002F49EC" w:rsidRPr="003321FA">
        <w:rPr>
          <w:rFonts w:ascii="Arial" w:hAnsi="Arial" w:cs="Arial"/>
          <w:szCs w:val="24"/>
        </w:rPr>
        <w:t>prescribes the services, benefits, programs and facilities in Schedule 1 to be ‘</w:t>
      </w:r>
      <w:r w:rsidR="00686744" w:rsidRPr="003321FA">
        <w:rPr>
          <w:rFonts w:ascii="Arial" w:hAnsi="Arial" w:cs="Arial"/>
          <w:szCs w:val="24"/>
        </w:rPr>
        <w:t>m</w:t>
      </w:r>
      <w:r w:rsidR="002F49EC" w:rsidRPr="003321FA">
        <w:rPr>
          <w:rFonts w:ascii="Arial" w:hAnsi="Arial" w:cs="Arial"/>
          <w:szCs w:val="24"/>
        </w:rPr>
        <w:t>edicare programs’ for paragraph 41G(b) of the Act</w:t>
      </w:r>
      <w:r w:rsidRPr="003321FA">
        <w:rPr>
          <w:rFonts w:ascii="Arial" w:hAnsi="Arial" w:cs="Arial"/>
          <w:szCs w:val="24"/>
        </w:rPr>
        <w:t>.</w:t>
      </w:r>
    </w:p>
    <w:p w14:paraId="4F388163" w14:textId="77777777" w:rsidR="00871F28" w:rsidRPr="003321FA" w:rsidRDefault="00871F28" w:rsidP="00241EBA">
      <w:pPr>
        <w:keepNext/>
        <w:spacing w:before="0" w:after="240"/>
        <w:jc w:val="both"/>
        <w:rPr>
          <w:rFonts w:ascii="Arial" w:hAnsi="Arial" w:cs="Arial"/>
          <w:u w:val="single"/>
        </w:rPr>
      </w:pPr>
      <w:r w:rsidRPr="003321FA">
        <w:rPr>
          <w:rFonts w:ascii="Arial" w:hAnsi="Arial" w:cs="Arial"/>
          <w:u w:val="single"/>
        </w:rPr>
        <w:t xml:space="preserve">Schedule </w:t>
      </w:r>
      <w:r w:rsidR="00446D6C" w:rsidRPr="003321FA">
        <w:rPr>
          <w:rFonts w:ascii="Arial" w:hAnsi="Arial" w:cs="Arial"/>
          <w:u w:val="single"/>
        </w:rPr>
        <w:t>1</w:t>
      </w:r>
      <w:r w:rsidRPr="003321FA">
        <w:rPr>
          <w:rFonts w:ascii="Arial" w:hAnsi="Arial" w:cs="Arial"/>
          <w:u w:val="single"/>
        </w:rPr>
        <w:t xml:space="preserve"> </w:t>
      </w:r>
      <w:r w:rsidR="002F49EC" w:rsidRPr="003321FA">
        <w:rPr>
          <w:rFonts w:ascii="Arial" w:hAnsi="Arial" w:cs="Arial"/>
          <w:u w:val="single"/>
        </w:rPr>
        <w:t>–</w:t>
      </w:r>
      <w:r w:rsidR="00B7405F" w:rsidRPr="003321FA">
        <w:rPr>
          <w:rFonts w:ascii="Arial" w:hAnsi="Arial" w:cs="Arial"/>
          <w:u w:val="single"/>
        </w:rPr>
        <w:t xml:space="preserve"> </w:t>
      </w:r>
      <w:r w:rsidR="002F49EC" w:rsidRPr="003321FA">
        <w:rPr>
          <w:rFonts w:ascii="Arial" w:hAnsi="Arial" w:cs="Arial"/>
          <w:u w:val="single"/>
        </w:rPr>
        <w:t>Medicare programs</w:t>
      </w:r>
      <w:r w:rsidR="00B7405F" w:rsidRPr="003321FA">
        <w:rPr>
          <w:rFonts w:ascii="Arial" w:hAnsi="Arial" w:cs="Arial"/>
          <w:u w:val="single"/>
        </w:rPr>
        <w:t xml:space="preserve"> </w:t>
      </w:r>
    </w:p>
    <w:p w14:paraId="01D7AA9A" w14:textId="04559708" w:rsidR="00D82D12" w:rsidRPr="003321FA" w:rsidRDefault="003A0C31" w:rsidP="007617AA">
      <w:pPr>
        <w:spacing w:before="0" w:after="240"/>
        <w:jc w:val="both"/>
        <w:rPr>
          <w:rFonts w:ascii="Arial" w:hAnsi="Arial" w:cs="Arial"/>
        </w:rPr>
      </w:pPr>
      <w:r w:rsidRPr="003321FA">
        <w:rPr>
          <w:rFonts w:ascii="Arial" w:hAnsi="Arial" w:cs="Arial"/>
        </w:rPr>
        <w:t xml:space="preserve">Schedule 1 </w:t>
      </w:r>
      <w:r w:rsidR="00C74B23" w:rsidRPr="003321FA">
        <w:rPr>
          <w:rFonts w:ascii="Arial" w:hAnsi="Arial" w:cs="Arial"/>
        </w:rPr>
        <w:t xml:space="preserve">contains the full list of </w:t>
      </w:r>
      <w:r w:rsidRPr="003321FA">
        <w:rPr>
          <w:rFonts w:ascii="Arial" w:hAnsi="Arial" w:cs="Arial"/>
        </w:rPr>
        <w:t>Medicare programs</w:t>
      </w:r>
      <w:r w:rsidR="00C74B23" w:rsidRPr="003321FA">
        <w:rPr>
          <w:rFonts w:ascii="Arial" w:hAnsi="Arial" w:cs="Arial"/>
        </w:rPr>
        <w:t xml:space="preserve">.  </w:t>
      </w:r>
      <w:r w:rsidR="00D82D12" w:rsidRPr="003321FA">
        <w:rPr>
          <w:rFonts w:ascii="Arial" w:hAnsi="Arial" w:cs="Arial"/>
        </w:rPr>
        <w:t xml:space="preserve">The </w:t>
      </w:r>
      <w:r w:rsidR="002F5596" w:rsidRPr="003321FA">
        <w:rPr>
          <w:rFonts w:ascii="Arial" w:hAnsi="Arial" w:cs="Arial"/>
        </w:rPr>
        <w:t>programs listed in the 2019 Specification are included</w:t>
      </w:r>
      <w:r w:rsidR="00D82D12" w:rsidRPr="003321FA">
        <w:rPr>
          <w:rFonts w:ascii="Arial" w:hAnsi="Arial" w:cs="Arial"/>
        </w:rPr>
        <w:t xml:space="preserve"> with the exception of the Rural Procedural Grants Program and the Western Australian Visiting Medical Practitioner Program.</w:t>
      </w:r>
    </w:p>
    <w:p w14:paraId="45C899B1" w14:textId="4D8CA065" w:rsidR="00B7405F" w:rsidRPr="003321FA" w:rsidRDefault="00D82D12" w:rsidP="007617AA">
      <w:pPr>
        <w:spacing w:before="0" w:after="240"/>
        <w:jc w:val="both"/>
        <w:rPr>
          <w:rFonts w:ascii="Arial" w:hAnsi="Arial" w:cs="Arial"/>
        </w:rPr>
      </w:pPr>
      <w:r w:rsidRPr="003321FA">
        <w:rPr>
          <w:rFonts w:ascii="Arial" w:hAnsi="Arial" w:cs="Arial"/>
        </w:rPr>
        <w:t xml:space="preserve">The </w:t>
      </w:r>
      <w:r w:rsidR="00E84259" w:rsidRPr="003321FA">
        <w:rPr>
          <w:rFonts w:ascii="Arial" w:hAnsi="Arial" w:cs="Arial"/>
        </w:rPr>
        <w:t xml:space="preserve">2021 </w:t>
      </w:r>
      <w:r w:rsidRPr="003321FA">
        <w:rPr>
          <w:rFonts w:ascii="Arial" w:hAnsi="Arial" w:cs="Arial"/>
        </w:rPr>
        <w:t>Specification includes</w:t>
      </w:r>
      <w:r w:rsidR="002F5596" w:rsidRPr="003321FA">
        <w:rPr>
          <w:rFonts w:ascii="Arial" w:hAnsi="Arial" w:cs="Arial"/>
        </w:rPr>
        <w:t xml:space="preserve"> </w:t>
      </w:r>
      <w:r w:rsidR="00B164CA" w:rsidRPr="003321FA">
        <w:rPr>
          <w:rFonts w:ascii="Arial" w:hAnsi="Arial" w:cs="Arial"/>
        </w:rPr>
        <w:t xml:space="preserve">one </w:t>
      </w:r>
      <w:r w:rsidR="002F5596" w:rsidRPr="003321FA">
        <w:rPr>
          <w:rFonts w:ascii="Arial" w:hAnsi="Arial" w:cs="Arial"/>
        </w:rPr>
        <w:t xml:space="preserve">additional program – the </w:t>
      </w:r>
      <w:r w:rsidR="002F5596" w:rsidRPr="003321FA">
        <w:rPr>
          <w:rFonts w:ascii="Arial" w:hAnsi="Arial" w:cs="Arial"/>
          <w:szCs w:val="24"/>
        </w:rPr>
        <w:t xml:space="preserve">Thalidomide Survivors Support Program.  </w:t>
      </w:r>
    </w:p>
    <w:p w14:paraId="3BBCF644" w14:textId="77777777" w:rsidR="00634737" w:rsidRPr="003321FA" w:rsidRDefault="00634737" w:rsidP="00A85DBC">
      <w:pPr>
        <w:spacing w:before="0" w:after="240"/>
        <w:rPr>
          <w:rStyle w:val="BookTitle"/>
          <w:rFonts w:ascii="Arial" w:hAnsi="Arial" w:cs="Arial"/>
          <w:i w:val="0"/>
          <w:iCs w:val="0"/>
          <w:smallCaps w:val="0"/>
          <w:spacing w:val="0"/>
          <w:szCs w:val="24"/>
        </w:rPr>
      </w:pPr>
    </w:p>
    <w:p w14:paraId="5B4055CF" w14:textId="77777777" w:rsidR="00634737" w:rsidRPr="003321FA" w:rsidRDefault="00634737" w:rsidP="00A85DBC">
      <w:pPr>
        <w:spacing w:before="0" w:after="240"/>
        <w:jc w:val="center"/>
        <w:rPr>
          <w:rStyle w:val="BookTitle"/>
          <w:rFonts w:ascii="Arial" w:hAnsi="Arial" w:cs="Arial"/>
          <w:i w:val="0"/>
          <w:iCs w:val="0"/>
          <w:smallCaps w:val="0"/>
          <w:spacing w:val="0"/>
          <w:szCs w:val="24"/>
        </w:rPr>
        <w:sectPr w:rsidR="00634737" w:rsidRPr="003321FA">
          <w:pgSz w:w="11906" w:h="16838"/>
          <w:pgMar w:top="1440" w:right="1440" w:bottom="1440" w:left="1440" w:header="708" w:footer="708" w:gutter="0"/>
          <w:cols w:space="708"/>
          <w:docGrid w:linePitch="360"/>
        </w:sectPr>
      </w:pPr>
    </w:p>
    <w:p w14:paraId="4E28CE80" w14:textId="77777777" w:rsidR="006546B7" w:rsidRPr="003321FA" w:rsidRDefault="006546B7" w:rsidP="00A85DBC">
      <w:pPr>
        <w:spacing w:before="0" w:after="240"/>
        <w:jc w:val="center"/>
        <w:rPr>
          <w:rFonts w:ascii="Arial" w:hAnsi="Arial" w:cs="Arial"/>
          <w:b/>
          <w:szCs w:val="24"/>
        </w:rPr>
      </w:pPr>
      <w:bookmarkStart w:id="1" w:name="_Toc290210739"/>
      <w:r w:rsidRPr="003321FA">
        <w:rPr>
          <w:rFonts w:ascii="Arial" w:hAnsi="Arial" w:cs="Arial"/>
          <w:b/>
          <w:szCs w:val="24"/>
        </w:rPr>
        <w:lastRenderedPageBreak/>
        <w:t>Statement of Compatibility with Human Rights</w:t>
      </w:r>
    </w:p>
    <w:p w14:paraId="0E86D859" w14:textId="77777777" w:rsidR="006546B7" w:rsidRPr="003321FA" w:rsidRDefault="006546B7" w:rsidP="00A85DBC">
      <w:pPr>
        <w:spacing w:before="0" w:after="240"/>
        <w:jc w:val="center"/>
        <w:rPr>
          <w:rFonts w:ascii="Arial" w:hAnsi="Arial" w:cs="Arial"/>
          <w:szCs w:val="24"/>
        </w:rPr>
      </w:pPr>
      <w:r w:rsidRPr="003321FA">
        <w:rPr>
          <w:rFonts w:ascii="Arial" w:hAnsi="Arial" w:cs="Arial"/>
          <w:i/>
          <w:szCs w:val="24"/>
        </w:rPr>
        <w:t>Prepared in accordance with Part 3 of the Human Rights (Parliamentary Scrutiny) Act 2011</w:t>
      </w:r>
    </w:p>
    <w:p w14:paraId="66268B9F" w14:textId="77777777" w:rsidR="006546B7" w:rsidRPr="003321FA" w:rsidRDefault="006546B7" w:rsidP="00A85DBC">
      <w:pPr>
        <w:spacing w:before="0" w:after="240"/>
        <w:jc w:val="center"/>
        <w:rPr>
          <w:rFonts w:ascii="Arial" w:hAnsi="Arial" w:cs="Arial"/>
          <w:szCs w:val="24"/>
        </w:rPr>
      </w:pPr>
    </w:p>
    <w:p w14:paraId="6FC742ED" w14:textId="77777777" w:rsidR="006546B7" w:rsidRPr="003321FA" w:rsidRDefault="004C2BD2" w:rsidP="00A85DBC">
      <w:pPr>
        <w:spacing w:before="0" w:after="240"/>
        <w:jc w:val="center"/>
        <w:rPr>
          <w:rFonts w:ascii="Arial" w:hAnsi="Arial" w:cs="Arial"/>
          <w:b/>
          <w:i/>
          <w:iCs/>
          <w:szCs w:val="24"/>
        </w:rPr>
      </w:pPr>
      <w:r w:rsidRPr="003321FA">
        <w:rPr>
          <w:rFonts w:ascii="Arial" w:hAnsi="Arial" w:cs="Arial"/>
          <w:b/>
          <w:i/>
          <w:iCs/>
          <w:szCs w:val="24"/>
        </w:rPr>
        <w:t>Human Services (Medicare) (Medicare Programs) Specification 2021</w:t>
      </w:r>
      <w:r w:rsidR="006546B7" w:rsidRPr="003321FA">
        <w:rPr>
          <w:rFonts w:ascii="Arial" w:hAnsi="Arial" w:cs="Arial"/>
          <w:b/>
          <w:i/>
          <w:iCs/>
          <w:szCs w:val="24"/>
        </w:rPr>
        <w:t xml:space="preserve"> </w:t>
      </w:r>
    </w:p>
    <w:p w14:paraId="4A5F7B14" w14:textId="77777777" w:rsidR="006546B7" w:rsidRPr="003321FA" w:rsidRDefault="006546B7" w:rsidP="00A85DBC">
      <w:pPr>
        <w:spacing w:before="0" w:after="240"/>
        <w:jc w:val="center"/>
        <w:rPr>
          <w:rFonts w:ascii="Arial" w:hAnsi="Arial" w:cs="Arial"/>
          <w:szCs w:val="24"/>
        </w:rPr>
      </w:pPr>
    </w:p>
    <w:p w14:paraId="4C018735" w14:textId="3242F350" w:rsidR="006546B7" w:rsidRPr="003321FA" w:rsidRDefault="00374A77" w:rsidP="00A85DBC">
      <w:pPr>
        <w:spacing w:before="0" w:after="240"/>
        <w:jc w:val="center"/>
        <w:rPr>
          <w:rFonts w:ascii="Arial" w:hAnsi="Arial" w:cs="Arial"/>
          <w:szCs w:val="24"/>
        </w:rPr>
      </w:pPr>
      <w:r w:rsidRPr="003321FA">
        <w:rPr>
          <w:rFonts w:ascii="Arial" w:hAnsi="Arial" w:cs="Arial"/>
          <w:szCs w:val="24"/>
        </w:rPr>
        <w:t xml:space="preserve">The </w:t>
      </w:r>
      <w:r w:rsidR="00C33CF4" w:rsidRPr="003321FA">
        <w:rPr>
          <w:rFonts w:ascii="Arial" w:hAnsi="Arial" w:cs="Arial"/>
          <w:szCs w:val="24"/>
        </w:rPr>
        <w:t xml:space="preserve">specification </w:t>
      </w:r>
      <w:r w:rsidR="005428E5" w:rsidRPr="003321FA">
        <w:rPr>
          <w:rFonts w:ascii="Arial" w:hAnsi="Arial" w:cs="Arial"/>
          <w:szCs w:val="24"/>
        </w:rPr>
        <w:t>is</w:t>
      </w:r>
      <w:r w:rsidR="006546B7" w:rsidRPr="003321FA">
        <w:rPr>
          <w:rFonts w:ascii="Arial" w:hAnsi="Arial" w:cs="Arial"/>
          <w:szCs w:val="24"/>
        </w:rPr>
        <w:t xml:space="preserve"> compatible with the human rights and freedoms recognised or declared in the internationa</w:t>
      </w:r>
      <w:r w:rsidR="006C5E5E" w:rsidRPr="003321FA">
        <w:rPr>
          <w:rFonts w:ascii="Arial" w:hAnsi="Arial" w:cs="Arial"/>
          <w:szCs w:val="24"/>
        </w:rPr>
        <w:t>l instruments listed in section </w:t>
      </w:r>
      <w:r w:rsidR="006546B7" w:rsidRPr="003321FA">
        <w:rPr>
          <w:rFonts w:ascii="Arial" w:hAnsi="Arial" w:cs="Arial"/>
          <w:szCs w:val="24"/>
        </w:rPr>
        <w:t xml:space="preserve">3 of the </w:t>
      </w:r>
      <w:r w:rsidR="006546B7" w:rsidRPr="003321FA">
        <w:rPr>
          <w:rFonts w:ascii="Arial" w:hAnsi="Arial" w:cs="Arial"/>
          <w:i/>
          <w:szCs w:val="24"/>
        </w:rPr>
        <w:t>Human Rights (Parliamentary Scrutiny) Act 2011</w:t>
      </w:r>
      <w:r w:rsidR="006546B7" w:rsidRPr="003321FA">
        <w:rPr>
          <w:rFonts w:ascii="Arial" w:hAnsi="Arial" w:cs="Arial"/>
          <w:szCs w:val="24"/>
        </w:rPr>
        <w:t>.</w:t>
      </w:r>
    </w:p>
    <w:p w14:paraId="71ACC708" w14:textId="77777777" w:rsidR="006546B7" w:rsidRPr="003321FA" w:rsidRDefault="002A63EA" w:rsidP="00241EBA">
      <w:pPr>
        <w:keepNext/>
        <w:spacing w:before="0" w:after="240"/>
        <w:jc w:val="both"/>
        <w:rPr>
          <w:rFonts w:ascii="Arial" w:hAnsi="Arial" w:cs="Arial"/>
          <w:b/>
          <w:szCs w:val="24"/>
        </w:rPr>
      </w:pPr>
      <w:r w:rsidRPr="003321FA">
        <w:rPr>
          <w:rFonts w:ascii="Arial" w:hAnsi="Arial" w:cs="Arial"/>
          <w:b/>
          <w:szCs w:val="24"/>
        </w:rPr>
        <w:t>Overview of the legislative i</w:t>
      </w:r>
      <w:r w:rsidR="006546B7" w:rsidRPr="003321FA">
        <w:rPr>
          <w:rFonts w:ascii="Arial" w:hAnsi="Arial" w:cs="Arial"/>
          <w:b/>
          <w:szCs w:val="24"/>
        </w:rPr>
        <w:t>nstrument</w:t>
      </w:r>
    </w:p>
    <w:p w14:paraId="4A8558A6" w14:textId="77777777" w:rsidR="00B60CE7" w:rsidRPr="003321FA" w:rsidRDefault="005E7D63" w:rsidP="00583669">
      <w:pPr>
        <w:spacing w:before="0" w:after="240"/>
        <w:jc w:val="both"/>
        <w:rPr>
          <w:rFonts w:ascii="Arial" w:hAnsi="Arial" w:cs="Arial"/>
          <w:szCs w:val="24"/>
          <w:lang w:val="en-US"/>
        </w:rPr>
      </w:pPr>
      <w:r w:rsidRPr="003321FA">
        <w:rPr>
          <w:rFonts w:ascii="Arial" w:hAnsi="Arial" w:cs="Arial"/>
          <w:szCs w:val="24"/>
          <w:lang w:val="en-US"/>
        </w:rPr>
        <w:t xml:space="preserve">The </w:t>
      </w:r>
      <w:r w:rsidRPr="003321FA">
        <w:rPr>
          <w:rFonts w:ascii="Arial" w:hAnsi="Arial" w:cs="Arial"/>
          <w:i/>
          <w:iCs/>
          <w:szCs w:val="24"/>
          <w:lang w:val="en-US"/>
        </w:rPr>
        <w:t>Human Services (Medicare) (Medicare Programs) Specification 2021</w:t>
      </w:r>
      <w:r w:rsidRPr="003321FA">
        <w:rPr>
          <w:rFonts w:ascii="Arial" w:hAnsi="Arial" w:cs="Arial"/>
          <w:szCs w:val="24"/>
          <w:lang w:val="en-US"/>
        </w:rPr>
        <w:t xml:space="preserve"> </w:t>
      </w:r>
      <w:r w:rsidR="00E84259" w:rsidRPr="003321FA">
        <w:rPr>
          <w:rFonts w:ascii="Arial" w:hAnsi="Arial" w:cs="Arial"/>
          <w:szCs w:val="24"/>
          <w:lang w:val="en-US"/>
        </w:rPr>
        <w:t>(</w:t>
      </w:r>
      <w:r w:rsidR="00BB2DA5" w:rsidRPr="003321FA">
        <w:rPr>
          <w:rFonts w:ascii="Arial" w:hAnsi="Arial" w:cs="Arial"/>
          <w:szCs w:val="24"/>
          <w:lang w:val="en-US"/>
        </w:rPr>
        <w:t xml:space="preserve">the </w:t>
      </w:r>
      <w:r w:rsidR="00E84259" w:rsidRPr="003321FA">
        <w:rPr>
          <w:rFonts w:ascii="Arial" w:hAnsi="Arial" w:cs="Arial"/>
          <w:szCs w:val="24"/>
          <w:lang w:val="en-US"/>
        </w:rPr>
        <w:t xml:space="preserve">2021 Specification) </w:t>
      </w:r>
      <w:r w:rsidRPr="003321FA">
        <w:rPr>
          <w:rFonts w:ascii="Arial" w:hAnsi="Arial" w:cs="Arial"/>
          <w:szCs w:val="24"/>
          <w:lang w:val="en-US"/>
        </w:rPr>
        <w:t xml:space="preserve">specifies, for the purposes of paragraph 41G(b) of the </w:t>
      </w:r>
      <w:r w:rsidRPr="003321FA">
        <w:rPr>
          <w:rFonts w:ascii="Arial" w:hAnsi="Arial" w:cs="Arial"/>
          <w:i/>
          <w:szCs w:val="24"/>
          <w:lang w:val="en-US"/>
        </w:rPr>
        <w:t>Human Services (Medicare) Act 1973</w:t>
      </w:r>
      <w:r w:rsidRPr="003321FA">
        <w:rPr>
          <w:rFonts w:ascii="Arial" w:hAnsi="Arial" w:cs="Arial"/>
          <w:szCs w:val="24"/>
          <w:lang w:val="en-US"/>
        </w:rPr>
        <w:t xml:space="preserve">, programs as ‘medicare programs’. </w:t>
      </w:r>
    </w:p>
    <w:p w14:paraId="4C916A5D" w14:textId="11F8FAF5" w:rsidR="00B60CE7" w:rsidRPr="003321FA" w:rsidRDefault="00686744" w:rsidP="00B60CE7">
      <w:pPr>
        <w:spacing w:before="0" w:after="240"/>
        <w:jc w:val="both"/>
        <w:rPr>
          <w:rFonts w:ascii="Arial" w:hAnsi="Arial" w:cs="Arial"/>
          <w:szCs w:val="24"/>
        </w:rPr>
      </w:pPr>
      <w:r w:rsidRPr="003321FA">
        <w:rPr>
          <w:rFonts w:ascii="Arial" w:hAnsi="Arial" w:cs="Arial"/>
          <w:szCs w:val="24"/>
        </w:rPr>
        <w:t xml:space="preserve">A number of Commonwealth laws allow information that has been obtained in administering one program to be used or disclosed to enable the administration of another program, where that other program is a medicare program.  </w:t>
      </w:r>
      <w:r w:rsidR="00B60CE7" w:rsidRPr="003321FA">
        <w:rPr>
          <w:rFonts w:ascii="Arial" w:hAnsi="Arial" w:cs="Arial"/>
          <w:szCs w:val="24"/>
        </w:rPr>
        <w:t xml:space="preserve">For example, the </w:t>
      </w:r>
      <w:r w:rsidR="00B60CE7" w:rsidRPr="003321FA">
        <w:rPr>
          <w:rFonts w:ascii="Arial" w:hAnsi="Arial" w:cs="Arial"/>
          <w:i/>
          <w:szCs w:val="24"/>
        </w:rPr>
        <w:t>Health Insurance Act 1973</w:t>
      </w:r>
      <w:r w:rsidR="00B60CE7" w:rsidRPr="003321FA">
        <w:rPr>
          <w:rFonts w:ascii="Arial" w:hAnsi="Arial" w:cs="Arial"/>
          <w:szCs w:val="24"/>
        </w:rPr>
        <w:t xml:space="preserve"> and the </w:t>
      </w:r>
      <w:r w:rsidR="00B60CE7" w:rsidRPr="003321FA">
        <w:rPr>
          <w:rFonts w:ascii="Arial" w:hAnsi="Arial" w:cs="Arial"/>
          <w:i/>
          <w:szCs w:val="24"/>
        </w:rPr>
        <w:t>National Health Act 1953</w:t>
      </w:r>
      <w:r w:rsidR="00B60CE7" w:rsidRPr="003321FA">
        <w:rPr>
          <w:rFonts w:ascii="Arial" w:hAnsi="Arial" w:cs="Arial"/>
          <w:szCs w:val="24"/>
        </w:rPr>
        <w:t xml:space="preserve"> authorise persons to disclose information obtained under those Acts for the purposes of enabling a person to perform functions in relation to a ‘medicare program’.  These laws rely on the definition of ‘medicare program’ in section 41G of the </w:t>
      </w:r>
      <w:r w:rsidR="00B60CE7" w:rsidRPr="003321FA">
        <w:rPr>
          <w:rFonts w:ascii="Arial" w:hAnsi="Arial" w:cs="Arial"/>
          <w:i/>
          <w:szCs w:val="24"/>
        </w:rPr>
        <w:t xml:space="preserve">Human Services (Medicare) Act 1973 </w:t>
      </w:r>
      <w:r w:rsidR="00B60CE7" w:rsidRPr="003321FA">
        <w:rPr>
          <w:rFonts w:ascii="Arial" w:hAnsi="Arial" w:cs="Arial"/>
          <w:szCs w:val="24"/>
        </w:rPr>
        <w:t xml:space="preserve">to identify the programs for which information may be used or disclosed.  </w:t>
      </w:r>
    </w:p>
    <w:p w14:paraId="4F3739C5" w14:textId="4085D4D9" w:rsidR="005E7D63" w:rsidRPr="003321FA" w:rsidRDefault="005E7D63" w:rsidP="005E7D63">
      <w:pPr>
        <w:keepNext/>
        <w:spacing w:before="0" w:after="240"/>
        <w:jc w:val="both"/>
        <w:rPr>
          <w:rFonts w:ascii="Arial" w:hAnsi="Arial" w:cs="Arial"/>
          <w:szCs w:val="24"/>
          <w:lang w:val="en-US"/>
        </w:rPr>
      </w:pPr>
      <w:r w:rsidRPr="003321FA">
        <w:rPr>
          <w:rFonts w:ascii="Arial" w:hAnsi="Arial" w:cs="Arial"/>
          <w:szCs w:val="24"/>
          <w:lang w:val="en-US"/>
        </w:rPr>
        <w:t xml:space="preserve">Section 41G defines a </w:t>
      </w:r>
      <w:r w:rsidR="002B5EB3" w:rsidRPr="003321FA">
        <w:rPr>
          <w:rFonts w:ascii="Arial" w:hAnsi="Arial" w:cs="Arial"/>
          <w:szCs w:val="24"/>
          <w:lang w:val="en-US"/>
        </w:rPr>
        <w:t>m</w:t>
      </w:r>
      <w:r w:rsidRPr="003321FA">
        <w:rPr>
          <w:rFonts w:ascii="Arial" w:hAnsi="Arial" w:cs="Arial"/>
          <w:szCs w:val="24"/>
          <w:lang w:val="en-US"/>
        </w:rPr>
        <w:t>edicare program as a service, benefit, program or facility that is provided under certain health-related legislation referred to in paragraph 41G(a) or that is specified in a legislative instrument made under section 41G(b).</w:t>
      </w:r>
    </w:p>
    <w:p w14:paraId="60274826" w14:textId="77777777" w:rsidR="00A57CD1" w:rsidRPr="003321FA" w:rsidRDefault="00A57CD1" w:rsidP="00A57CD1">
      <w:pPr>
        <w:spacing w:before="0" w:after="240"/>
        <w:jc w:val="both"/>
        <w:rPr>
          <w:rFonts w:ascii="Arial" w:hAnsi="Arial" w:cs="Arial"/>
          <w:szCs w:val="24"/>
        </w:rPr>
      </w:pPr>
      <w:r w:rsidRPr="003321FA">
        <w:rPr>
          <w:rFonts w:ascii="Arial" w:hAnsi="Arial" w:cs="Arial"/>
          <w:szCs w:val="24"/>
        </w:rPr>
        <w:t>By enabling the definition of medicare program to include programs specified in a legislative instrument, section 41G provides a mechanism for updating, from time to time, the list of programs that are classified as medicare programs and in relation to which information can be used and disclosed.</w:t>
      </w:r>
    </w:p>
    <w:p w14:paraId="7EC221CE" w14:textId="2924F671" w:rsidR="000F35A5" w:rsidRPr="003321FA" w:rsidRDefault="005E7D63" w:rsidP="000F35A5">
      <w:pPr>
        <w:keepNext/>
        <w:spacing w:before="0" w:after="240"/>
        <w:jc w:val="both"/>
        <w:rPr>
          <w:rFonts w:ascii="Arial" w:hAnsi="Arial" w:cs="Arial"/>
          <w:szCs w:val="24"/>
        </w:rPr>
      </w:pPr>
      <w:r w:rsidRPr="003321FA">
        <w:rPr>
          <w:rFonts w:ascii="Arial" w:hAnsi="Arial" w:cs="Arial"/>
          <w:szCs w:val="24"/>
          <w:lang w:val="en-US"/>
        </w:rPr>
        <w:t xml:space="preserve">The </w:t>
      </w:r>
      <w:r w:rsidR="00A560C3" w:rsidRPr="003321FA">
        <w:rPr>
          <w:rFonts w:ascii="Arial" w:hAnsi="Arial" w:cs="Arial"/>
          <w:szCs w:val="24"/>
          <w:lang w:val="en-US"/>
        </w:rPr>
        <w:t>2021 S</w:t>
      </w:r>
      <w:r w:rsidRPr="003321FA">
        <w:rPr>
          <w:rFonts w:ascii="Arial" w:hAnsi="Arial" w:cs="Arial"/>
          <w:szCs w:val="24"/>
          <w:lang w:val="en-US"/>
        </w:rPr>
        <w:t xml:space="preserve">pecification repeals and replaces the </w:t>
      </w:r>
      <w:r w:rsidRPr="003321FA">
        <w:rPr>
          <w:rFonts w:ascii="Arial" w:hAnsi="Arial" w:cs="Arial"/>
          <w:i/>
          <w:szCs w:val="24"/>
          <w:lang w:val="en-US"/>
        </w:rPr>
        <w:t>Human Services (Medicare) (Medicare Programs) Specification 2019</w:t>
      </w:r>
      <w:r w:rsidRPr="003321FA">
        <w:rPr>
          <w:rFonts w:ascii="Arial" w:hAnsi="Arial" w:cs="Arial"/>
          <w:szCs w:val="24"/>
          <w:lang w:val="en-US"/>
        </w:rPr>
        <w:t xml:space="preserve">.  The changes </w:t>
      </w:r>
      <w:r w:rsidR="00181FFC" w:rsidRPr="003321FA">
        <w:rPr>
          <w:rFonts w:ascii="Arial" w:hAnsi="Arial" w:cs="Arial"/>
          <w:szCs w:val="24"/>
          <w:lang w:val="en-US"/>
        </w:rPr>
        <w:t xml:space="preserve">made by </w:t>
      </w:r>
      <w:r w:rsidRPr="003321FA">
        <w:rPr>
          <w:rFonts w:ascii="Arial" w:hAnsi="Arial" w:cs="Arial"/>
          <w:szCs w:val="24"/>
          <w:lang w:val="en-US"/>
        </w:rPr>
        <w:t xml:space="preserve">the </w:t>
      </w:r>
      <w:r w:rsidR="00800394" w:rsidRPr="003321FA">
        <w:rPr>
          <w:rFonts w:ascii="Arial" w:hAnsi="Arial" w:cs="Arial"/>
          <w:szCs w:val="24"/>
          <w:lang w:val="en-US"/>
        </w:rPr>
        <w:t xml:space="preserve">instrument </w:t>
      </w:r>
      <w:r w:rsidR="000F35A5" w:rsidRPr="003321FA">
        <w:rPr>
          <w:rFonts w:ascii="Arial" w:hAnsi="Arial" w:cs="Arial"/>
          <w:szCs w:val="24"/>
          <w:lang w:val="en-US"/>
        </w:rPr>
        <w:t>involve removing</w:t>
      </w:r>
      <w:r w:rsidR="00DB15F8" w:rsidRPr="003321FA">
        <w:rPr>
          <w:rFonts w:ascii="Arial" w:hAnsi="Arial" w:cs="Arial"/>
          <w:szCs w:val="24"/>
          <w:lang w:val="en-US"/>
        </w:rPr>
        <w:t xml:space="preserve"> </w:t>
      </w:r>
      <w:r w:rsidR="000F35A5" w:rsidRPr="003321FA">
        <w:rPr>
          <w:rFonts w:ascii="Arial" w:hAnsi="Arial" w:cs="Arial"/>
          <w:szCs w:val="24"/>
        </w:rPr>
        <w:t>the Rural Procedural Grants Program and the Western Australian Visiting Medical Practitioner Program</w:t>
      </w:r>
      <w:r w:rsidR="00DB15F8" w:rsidRPr="003321FA">
        <w:rPr>
          <w:rFonts w:ascii="Arial" w:hAnsi="Arial" w:cs="Arial"/>
          <w:szCs w:val="24"/>
          <w:lang w:val="en-US"/>
        </w:rPr>
        <w:t xml:space="preserve"> as medicare programs and </w:t>
      </w:r>
      <w:r w:rsidR="000F35A5" w:rsidRPr="003321FA">
        <w:rPr>
          <w:rFonts w:ascii="Arial" w:hAnsi="Arial" w:cs="Arial"/>
          <w:szCs w:val="24"/>
          <w:lang w:val="en-US"/>
        </w:rPr>
        <w:t xml:space="preserve">including the </w:t>
      </w:r>
      <w:r w:rsidR="000F35A5" w:rsidRPr="003321FA">
        <w:rPr>
          <w:rFonts w:ascii="Arial" w:hAnsi="Arial" w:cs="Arial"/>
          <w:szCs w:val="24"/>
        </w:rPr>
        <w:t>Australian Thalidomide Survivors Support Program (ATSSP)</w:t>
      </w:r>
      <w:r w:rsidR="000F35A5" w:rsidRPr="003321FA" w:rsidDel="00DB15F8">
        <w:rPr>
          <w:rFonts w:ascii="Arial" w:hAnsi="Arial" w:cs="Arial"/>
          <w:szCs w:val="24"/>
          <w:lang w:val="en-US"/>
        </w:rPr>
        <w:t xml:space="preserve"> </w:t>
      </w:r>
      <w:r w:rsidRPr="003321FA">
        <w:rPr>
          <w:rFonts w:ascii="Arial" w:hAnsi="Arial" w:cs="Arial"/>
          <w:szCs w:val="24"/>
          <w:lang w:val="en-US"/>
        </w:rPr>
        <w:t xml:space="preserve">program as </w:t>
      </w:r>
      <w:r w:rsidR="000F35A5" w:rsidRPr="003321FA">
        <w:rPr>
          <w:rFonts w:ascii="Arial" w:hAnsi="Arial" w:cs="Arial"/>
          <w:szCs w:val="24"/>
          <w:lang w:val="en-US"/>
        </w:rPr>
        <w:t xml:space="preserve">a </w:t>
      </w:r>
      <w:r w:rsidRPr="003321FA">
        <w:rPr>
          <w:rFonts w:ascii="Arial" w:hAnsi="Arial" w:cs="Arial"/>
          <w:szCs w:val="24"/>
          <w:lang w:val="en-US"/>
        </w:rPr>
        <w:t>medicare program.</w:t>
      </w:r>
      <w:r w:rsidR="000F35A5" w:rsidRPr="003321FA">
        <w:rPr>
          <w:rFonts w:ascii="Arial" w:hAnsi="Arial" w:cs="Arial"/>
          <w:szCs w:val="24"/>
          <w:lang w:val="en-US"/>
        </w:rPr>
        <w:t xml:space="preserve"> </w:t>
      </w:r>
      <w:r w:rsidR="00CD14CE" w:rsidRPr="003321FA">
        <w:rPr>
          <w:rFonts w:ascii="Arial" w:hAnsi="Arial" w:cs="Arial"/>
          <w:szCs w:val="24"/>
        </w:rPr>
        <w:t>The Rural Procedural Grants Program and the Western Australian Visiting Medical Practitioner Program</w:t>
      </w:r>
      <w:r w:rsidR="00CD14CE" w:rsidRPr="003321FA" w:rsidDel="00E066F3">
        <w:rPr>
          <w:rFonts w:ascii="Arial" w:hAnsi="Arial" w:cs="Arial"/>
          <w:szCs w:val="24"/>
        </w:rPr>
        <w:t xml:space="preserve"> </w:t>
      </w:r>
      <w:r w:rsidR="00CD14CE" w:rsidRPr="003321FA">
        <w:rPr>
          <w:rFonts w:ascii="Arial" w:hAnsi="Arial" w:cs="Arial"/>
          <w:szCs w:val="24"/>
        </w:rPr>
        <w:t>were previously specified as medicare programs as they were administered by Services Australia using information obtained under other programs. The Rural Procedural Grants Program and the Western Australian Visiting Medical Practitioner Program</w:t>
      </w:r>
      <w:r w:rsidR="00CD14CE" w:rsidRPr="003321FA" w:rsidDel="00E066F3">
        <w:rPr>
          <w:rFonts w:ascii="Arial" w:hAnsi="Arial" w:cs="Arial"/>
          <w:szCs w:val="24"/>
        </w:rPr>
        <w:t xml:space="preserve"> </w:t>
      </w:r>
      <w:r w:rsidR="00CD14CE" w:rsidRPr="003321FA">
        <w:rPr>
          <w:rFonts w:ascii="Arial" w:hAnsi="Arial" w:cs="Arial"/>
          <w:szCs w:val="24"/>
        </w:rPr>
        <w:t xml:space="preserve">are being removed as they are no longer administered </w:t>
      </w:r>
      <w:r w:rsidR="00CD14CE" w:rsidRPr="003321FA">
        <w:rPr>
          <w:rFonts w:ascii="Arial" w:hAnsi="Arial" w:cs="Arial"/>
          <w:szCs w:val="24"/>
        </w:rPr>
        <w:lastRenderedPageBreak/>
        <w:t>by Services Australia and accordingly are not required to be specified to be medicare programs.</w:t>
      </w:r>
    </w:p>
    <w:p w14:paraId="41901104" w14:textId="77777777" w:rsidR="006546B7" w:rsidRPr="003321FA" w:rsidRDefault="006546B7" w:rsidP="00241EBA">
      <w:pPr>
        <w:keepNext/>
        <w:spacing w:before="0" w:after="240"/>
        <w:jc w:val="both"/>
        <w:rPr>
          <w:rFonts w:ascii="Arial" w:hAnsi="Arial" w:cs="Arial"/>
          <w:b/>
          <w:szCs w:val="24"/>
        </w:rPr>
      </w:pPr>
      <w:r w:rsidRPr="003321FA">
        <w:rPr>
          <w:rFonts w:ascii="Arial" w:hAnsi="Arial" w:cs="Arial"/>
          <w:b/>
          <w:szCs w:val="24"/>
        </w:rPr>
        <w:t>Human rights implications</w:t>
      </w:r>
    </w:p>
    <w:p w14:paraId="4EE9913B" w14:textId="36A756EA" w:rsidR="00E466B8" w:rsidRPr="003321FA" w:rsidRDefault="00A560C3" w:rsidP="009674EA">
      <w:pPr>
        <w:shd w:val="clear" w:color="auto" w:fill="FFFFFF"/>
        <w:spacing w:before="0" w:after="240"/>
        <w:jc w:val="both"/>
        <w:rPr>
          <w:rFonts w:ascii="Arial" w:hAnsi="Arial" w:cs="Arial"/>
          <w:szCs w:val="24"/>
        </w:rPr>
      </w:pPr>
      <w:r w:rsidRPr="003321FA">
        <w:rPr>
          <w:rFonts w:ascii="Arial" w:hAnsi="Arial" w:cs="Arial"/>
          <w:szCs w:val="24"/>
        </w:rPr>
        <w:t>The 2021 S</w:t>
      </w:r>
      <w:r w:rsidR="00E466B8" w:rsidRPr="003321FA">
        <w:rPr>
          <w:rFonts w:ascii="Arial" w:hAnsi="Arial" w:cs="Arial"/>
          <w:szCs w:val="24"/>
        </w:rPr>
        <w:t xml:space="preserve">pecification </w:t>
      </w:r>
      <w:r w:rsidR="00790A43" w:rsidRPr="003321FA">
        <w:rPr>
          <w:rFonts w:ascii="Arial" w:hAnsi="Arial" w:cs="Arial"/>
          <w:szCs w:val="24"/>
        </w:rPr>
        <w:t>engages the right to health (</w:t>
      </w:r>
      <w:r w:rsidR="00790A43" w:rsidRPr="003321FA">
        <w:rPr>
          <w:rFonts w:ascii="Arial" w:hAnsi="Arial" w:cs="Arial"/>
          <w:szCs w:val="24"/>
          <w:lang w:val="en-US"/>
        </w:rPr>
        <w:t xml:space="preserve">in article 12(1) of the </w:t>
      </w:r>
      <w:r w:rsidR="00790A43" w:rsidRPr="003321FA">
        <w:rPr>
          <w:rFonts w:ascii="Arial" w:hAnsi="Arial" w:cs="Arial"/>
          <w:i/>
          <w:szCs w:val="24"/>
          <w:lang w:val="en-US"/>
        </w:rPr>
        <w:t>International Covenant on Economic Social and Cultural Rights</w:t>
      </w:r>
      <w:r w:rsidR="00790A43" w:rsidRPr="003321FA">
        <w:rPr>
          <w:rFonts w:ascii="Arial" w:hAnsi="Arial" w:cs="Arial"/>
          <w:szCs w:val="24"/>
          <w:lang w:val="en-US"/>
        </w:rPr>
        <w:t xml:space="preserve"> (ICESCR))</w:t>
      </w:r>
      <w:r w:rsidR="00790A43" w:rsidRPr="003321FA">
        <w:rPr>
          <w:rFonts w:ascii="Arial" w:hAnsi="Arial" w:cs="Arial"/>
          <w:szCs w:val="24"/>
        </w:rPr>
        <w:t xml:space="preserve"> and the right to privacy (in article 17 of the </w:t>
      </w:r>
      <w:r w:rsidR="00790A43" w:rsidRPr="003321FA">
        <w:rPr>
          <w:rFonts w:ascii="Arial" w:hAnsi="Arial" w:cs="Arial"/>
          <w:i/>
          <w:szCs w:val="24"/>
        </w:rPr>
        <w:t>International Covenant on Civil and Political Rights</w:t>
      </w:r>
      <w:r w:rsidR="00790A43" w:rsidRPr="003321FA">
        <w:rPr>
          <w:rFonts w:ascii="Arial" w:hAnsi="Arial" w:cs="Arial"/>
          <w:szCs w:val="24"/>
        </w:rPr>
        <w:t xml:space="preserve"> (ICCPR)).  </w:t>
      </w:r>
    </w:p>
    <w:p w14:paraId="51CACD56" w14:textId="78859581" w:rsidR="00DB15F8" w:rsidRPr="003321FA" w:rsidRDefault="006B74E7" w:rsidP="00181FFC">
      <w:pPr>
        <w:spacing w:before="0" w:after="240"/>
        <w:rPr>
          <w:rFonts w:ascii="Arial" w:hAnsi="Arial" w:cs="Arial"/>
          <w:szCs w:val="24"/>
        </w:rPr>
      </w:pPr>
      <w:r w:rsidRPr="003321FA">
        <w:rPr>
          <w:rFonts w:ascii="Arial" w:hAnsi="Arial" w:cs="Arial"/>
          <w:szCs w:val="24"/>
        </w:rPr>
        <w:t xml:space="preserve">The </w:t>
      </w:r>
      <w:r w:rsidR="006D346C" w:rsidRPr="003321FA">
        <w:rPr>
          <w:rFonts w:ascii="Arial" w:hAnsi="Arial" w:cs="Arial"/>
          <w:szCs w:val="24"/>
        </w:rPr>
        <w:t xml:space="preserve">effect of the </w:t>
      </w:r>
      <w:r w:rsidR="00A560C3" w:rsidRPr="003321FA">
        <w:rPr>
          <w:rFonts w:ascii="Arial" w:hAnsi="Arial" w:cs="Arial"/>
          <w:szCs w:val="24"/>
        </w:rPr>
        <w:t>2021 S</w:t>
      </w:r>
      <w:r w:rsidR="006F4974" w:rsidRPr="003321FA">
        <w:rPr>
          <w:rFonts w:ascii="Arial" w:hAnsi="Arial" w:cs="Arial"/>
          <w:szCs w:val="24"/>
        </w:rPr>
        <w:t>pecification</w:t>
      </w:r>
      <w:r w:rsidRPr="003321FA">
        <w:rPr>
          <w:rFonts w:ascii="Arial" w:hAnsi="Arial" w:cs="Arial"/>
          <w:szCs w:val="24"/>
        </w:rPr>
        <w:t xml:space="preserve"> </w:t>
      </w:r>
      <w:r w:rsidR="006D346C" w:rsidRPr="003321FA">
        <w:rPr>
          <w:rFonts w:ascii="Arial" w:hAnsi="Arial" w:cs="Arial"/>
          <w:szCs w:val="24"/>
        </w:rPr>
        <w:t xml:space="preserve">is to make </w:t>
      </w:r>
      <w:r w:rsidR="006D346C" w:rsidRPr="003321FA">
        <w:rPr>
          <w:rFonts w:ascii="Arial" w:hAnsi="Arial" w:cs="Arial"/>
        </w:rPr>
        <w:t xml:space="preserve">the </w:t>
      </w:r>
      <w:r w:rsidR="00B80A30" w:rsidRPr="003321FA">
        <w:rPr>
          <w:rFonts w:ascii="Arial" w:hAnsi="Arial" w:cs="Arial"/>
          <w:szCs w:val="24"/>
        </w:rPr>
        <w:t>A</w:t>
      </w:r>
      <w:r w:rsidR="0043422C" w:rsidRPr="003321FA">
        <w:rPr>
          <w:rFonts w:ascii="Arial" w:hAnsi="Arial" w:cs="Arial"/>
          <w:szCs w:val="24"/>
        </w:rPr>
        <w:t>TSSP</w:t>
      </w:r>
      <w:r w:rsidR="000F35A5" w:rsidRPr="003321FA">
        <w:rPr>
          <w:rFonts w:ascii="Arial" w:hAnsi="Arial" w:cs="Arial"/>
          <w:szCs w:val="24"/>
        </w:rPr>
        <w:t xml:space="preserve"> a</w:t>
      </w:r>
      <w:r w:rsidR="0043422C" w:rsidRPr="003321FA">
        <w:rPr>
          <w:rFonts w:ascii="Arial" w:hAnsi="Arial" w:cs="Arial"/>
          <w:szCs w:val="24"/>
        </w:rPr>
        <w:t xml:space="preserve"> </w:t>
      </w:r>
      <w:r w:rsidR="006D346C" w:rsidRPr="003321FA">
        <w:rPr>
          <w:rFonts w:ascii="Arial" w:hAnsi="Arial" w:cs="Arial"/>
          <w:szCs w:val="24"/>
        </w:rPr>
        <w:t xml:space="preserve">medicare program for the </w:t>
      </w:r>
      <w:r w:rsidR="000F35A5" w:rsidRPr="003321FA">
        <w:rPr>
          <w:rFonts w:ascii="Arial" w:hAnsi="Arial" w:cs="Arial"/>
          <w:szCs w:val="24"/>
        </w:rPr>
        <w:t xml:space="preserve">purpose of definition of ‘medicare program’ in section 41G of the </w:t>
      </w:r>
      <w:r w:rsidR="006D346C" w:rsidRPr="003321FA">
        <w:rPr>
          <w:rFonts w:ascii="Arial" w:hAnsi="Arial" w:cs="Arial"/>
          <w:i/>
          <w:iCs/>
          <w:szCs w:val="24"/>
        </w:rPr>
        <w:t>Human Services (Medicare) Act</w:t>
      </w:r>
      <w:r w:rsidR="00A560C3" w:rsidRPr="003321FA">
        <w:rPr>
          <w:rFonts w:ascii="Arial" w:hAnsi="Arial" w:cs="Arial"/>
          <w:i/>
          <w:iCs/>
          <w:szCs w:val="24"/>
        </w:rPr>
        <w:t xml:space="preserve"> 1973</w:t>
      </w:r>
      <w:r w:rsidR="006D346C" w:rsidRPr="003321FA">
        <w:rPr>
          <w:rFonts w:ascii="Arial" w:hAnsi="Arial" w:cs="Arial"/>
          <w:szCs w:val="24"/>
        </w:rPr>
        <w:t>.</w:t>
      </w:r>
    </w:p>
    <w:p w14:paraId="62F30EA2" w14:textId="4B5C1713" w:rsidR="009674EA" w:rsidRPr="003321FA" w:rsidRDefault="00413A8F" w:rsidP="009674EA">
      <w:pPr>
        <w:shd w:val="clear" w:color="auto" w:fill="FFFFFF"/>
        <w:spacing w:before="0" w:after="240"/>
        <w:jc w:val="both"/>
        <w:rPr>
          <w:rFonts w:ascii="Arial" w:hAnsi="Arial" w:cs="Arial"/>
          <w:szCs w:val="24"/>
          <w:lang w:val="en-US"/>
        </w:rPr>
      </w:pPr>
      <w:r w:rsidRPr="003321FA">
        <w:rPr>
          <w:rFonts w:ascii="Arial" w:hAnsi="Arial" w:cs="Arial"/>
          <w:szCs w:val="24"/>
        </w:rPr>
        <w:t>The ATSSP is a lifetime support package for recognised thalidomide survivors that</w:t>
      </w:r>
      <w:r w:rsidR="00C62A16" w:rsidRPr="003321FA">
        <w:rPr>
          <w:rFonts w:ascii="Arial" w:hAnsi="Arial" w:cs="Arial"/>
          <w:szCs w:val="24"/>
        </w:rPr>
        <w:t xml:space="preserve"> helps with out of pocket health care costs and daily living costs.</w:t>
      </w:r>
      <w:r w:rsidR="00A57CD1" w:rsidRPr="003321FA">
        <w:rPr>
          <w:rFonts w:ascii="Arial" w:hAnsi="Arial" w:cs="Arial"/>
          <w:szCs w:val="24"/>
          <w:lang w:val="en-US"/>
        </w:rPr>
        <w:t xml:space="preserve">  </w:t>
      </w:r>
      <w:r w:rsidR="00E066F3" w:rsidRPr="003321FA">
        <w:rPr>
          <w:rFonts w:ascii="Arial" w:hAnsi="Arial" w:cs="Arial"/>
          <w:szCs w:val="24"/>
          <w:lang w:val="en-US"/>
        </w:rPr>
        <w:t xml:space="preserve">This </w:t>
      </w:r>
      <w:r w:rsidR="00A3181F" w:rsidRPr="003321FA">
        <w:rPr>
          <w:rFonts w:ascii="Arial" w:hAnsi="Arial" w:cs="Arial"/>
          <w:szCs w:val="24"/>
          <w:lang w:val="en-US"/>
        </w:rPr>
        <w:t>program support</w:t>
      </w:r>
      <w:r w:rsidR="00E066F3" w:rsidRPr="003321FA">
        <w:rPr>
          <w:rFonts w:ascii="Arial" w:hAnsi="Arial" w:cs="Arial"/>
          <w:szCs w:val="24"/>
          <w:lang w:val="en-US"/>
        </w:rPr>
        <w:t>s</w:t>
      </w:r>
      <w:r w:rsidR="00A3181F" w:rsidRPr="003321FA">
        <w:rPr>
          <w:rFonts w:ascii="Arial" w:hAnsi="Arial" w:cs="Arial"/>
          <w:szCs w:val="24"/>
          <w:lang w:val="en-US"/>
        </w:rPr>
        <w:t xml:space="preserve"> the right to health</w:t>
      </w:r>
      <w:r w:rsidR="00074414" w:rsidRPr="003321FA">
        <w:rPr>
          <w:rFonts w:ascii="Arial" w:hAnsi="Arial" w:cs="Arial"/>
          <w:szCs w:val="24"/>
          <w:lang w:val="en-US"/>
        </w:rPr>
        <w:t xml:space="preserve">.  </w:t>
      </w:r>
    </w:p>
    <w:p w14:paraId="0F1FB003" w14:textId="77777777" w:rsidR="00793785" w:rsidRPr="003321FA" w:rsidRDefault="009674EA" w:rsidP="00606ADB">
      <w:pPr>
        <w:shd w:val="clear" w:color="auto" w:fill="FFFFFF"/>
        <w:spacing w:before="0" w:after="240"/>
        <w:jc w:val="both"/>
        <w:rPr>
          <w:rFonts w:ascii="Arial" w:hAnsi="Arial" w:cs="Arial"/>
          <w:szCs w:val="24"/>
        </w:rPr>
      </w:pPr>
      <w:r w:rsidRPr="003321FA">
        <w:rPr>
          <w:rFonts w:ascii="Arial" w:hAnsi="Arial" w:cs="Arial"/>
          <w:szCs w:val="24"/>
        </w:rPr>
        <w:t xml:space="preserve">Adding the </w:t>
      </w:r>
      <w:r w:rsidR="00413A8F" w:rsidRPr="003321FA">
        <w:rPr>
          <w:rFonts w:ascii="Arial" w:hAnsi="Arial" w:cs="Arial"/>
          <w:szCs w:val="24"/>
        </w:rPr>
        <w:t>A</w:t>
      </w:r>
      <w:r w:rsidRPr="003321FA">
        <w:rPr>
          <w:rFonts w:ascii="Arial" w:hAnsi="Arial" w:cs="Arial"/>
          <w:szCs w:val="24"/>
        </w:rPr>
        <w:t xml:space="preserve">TSSP to the list of medicare programs </w:t>
      </w:r>
      <w:r w:rsidR="006D346C" w:rsidRPr="003321FA">
        <w:rPr>
          <w:rFonts w:ascii="Arial" w:hAnsi="Arial" w:cs="Arial"/>
          <w:szCs w:val="24"/>
        </w:rPr>
        <w:t xml:space="preserve">will </w:t>
      </w:r>
      <w:r w:rsidR="00E066F3" w:rsidRPr="003321FA">
        <w:rPr>
          <w:rFonts w:ascii="Arial" w:hAnsi="Arial" w:cs="Arial"/>
          <w:szCs w:val="24"/>
        </w:rPr>
        <w:t>provide</w:t>
      </w:r>
      <w:r w:rsidR="00583669" w:rsidRPr="003321FA">
        <w:rPr>
          <w:rFonts w:ascii="Arial" w:hAnsi="Arial" w:cs="Arial"/>
          <w:szCs w:val="24"/>
        </w:rPr>
        <w:t xml:space="preserve"> </w:t>
      </w:r>
      <w:r w:rsidR="00E539F4" w:rsidRPr="003321FA">
        <w:rPr>
          <w:rFonts w:ascii="Arial" w:hAnsi="Arial" w:cs="Arial"/>
          <w:szCs w:val="24"/>
        </w:rPr>
        <w:t>authority to use and disclose information</w:t>
      </w:r>
      <w:r w:rsidR="00A3181F" w:rsidRPr="003321FA">
        <w:rPr>
          <w:rFonts w:ascii="Arial" w:hAnsi="Arial" w:cs="Arial"/>
          <w:szCs w:val="24"/>
        </w:rPr>
        <w:t xml:space="preserve"> </w:t>
      </w:r>
      <w:r w:rsidR="005C1C66" w:rsidRPr="003321FA">
        <w:rPr>
          <w:rFonts w:ascii="Arial" w:hAnsi="Arial" w:cs="Arial"/>
          <w:szCs w:val="24"/>
        </w:rPr>
        <w:t xml:space="preserve">obtained under particular laws </w:t>
      </w:r>
      <w:r w:rsidR="00A3181F" w:rsidRPr="003321FA">
        <w:rPr>
          <w:rFonts w:ascii="Arial" w:hAnsi="Arial" w:cs="Arial"/>
          <w:szCs w:val="24"/>
        </w:rPr>
        <w:t>(for example</w:t>
      </w:r>
      <w:r w:rsidR="005C1C66" w:rsidRPr="003321FA">
        <w:rPr>
          <w:rFonts w:ascii="Arial" w:hAnsi="Arial" w:cs="Arial"/>
          <w:szCs w:val="24"/>
        </w:rPr>
        <w:t xml:space="preserve"> information obtained in administering</w:t>
      </w:r>
      <w:r w:rsidR="00A3181F" w:rsidRPr="003321FA">
        <w:rPr>
          <w:rFonts w:ascii="Arial" w:hAnsi="Arial" w:cs="Arial"/>
          <w:szCs w:val="24"/>
        </w:rPr>
        <w:t xml:space="preserve"> Medicare or</w:t>
      </w:r>
      <w:r w:rsidR="005C1C66" w:rsidRPr="003321FA">
        <w:rPr>
          <w:rFonts w:ascii="Arial" w:hAnsi="Arial" w:cs="Arial"/>
          <w:szCs w:val="24"/>
        </w:rPr>
        <w:t xml:space="preserve"> the</w:t>
      </w:r>
      <w:r w:rsidR="00A3181F" w:rsidRPr="003321FA">
        <w:rPr>
          <w:rFonts w:ascii="Arial" w:hAnsi="Arial" w:cs="Arial"/>
          <w:szCs w:val="24"/>
        </w:rPr>
        <w:t xml:space="preserve"> P</w:t>
      </w:r>
      <w:r w:rsidR="005C1C66" w:rsidRPr="003321FA">
        <w:rPr>
          <w:rFonts w:ascii="Arial" w:hAnsi="Arial" w:cs="Arial"/>
          <w:szCs w:val="24"/>
        </w:rPr>
        <w:t xml:space="preserve">harmaceutical </w:t>
      </w:r>
      <w:r w:rsidR="00A3181F" w:rsidRPr="003321FA">
        <w:rPr>
          <w:rFonts w:ascii="Arial" w:hAnsi="Arial" w:cs="Arial"/>
          <w:szCs w:val="24"/>
        </w:rPr>
        <w:t>B</w:t>
      </w:r>
      <w:r w:rsidR="005C1C66" w:rsidRPr="003321FA">
        <w:rPr>
          <w:rFonts w:ascii="Arial" w:hAnsi="Arial" w:cs="Arial"/>
          <w:szCs w:val="24"/>
        </w:rPr>
        <w:t xml:space="preserve">enefits </w:t>
      </w:r>
      <w:r w:rsidR="00A3181F" w:rsidRPr="003321FA">
        <w:rPr>
          <w:rFonts w:ascii="Arial" w:hAnsi="Arial" w:cs="Arial"/>
          <w:szCs w:val="24"/>
        </w:rPr>
        <w:t>S</w:t>
      </w:r>
      <w:r w:rsidR="005C1C66" w:rsidRPr="003321FA">
        <w:rPr>
          <w:rFonts w:ascii="Arial" w:hAnsi="Arial" w:cs="Arial"/>
          <w:szCs w:val="24"/>
        </w:rPr>
        <w:t>cheme</w:t>
      </w:r>
      <w:r w:rsidR="00A3181F" w:rsidRPr="003321FA">
        <w:rPr>
          <w:rFonts w:ascii="Arial" w:hAnsi="Arial" w:cs="Arial"/>
          <w:szCs w:val="24"/>
        </w:rPr>
        <w:t>)</w:t>
      </w:r>
      <w:r w:rsidR="00E539F4" w:rsidRPr="003321FA">
        <w:rPr>
          <w:rFonts w:ascii="Arial" w:hAnsi="Arial" w:cs="Arial"/>
          <w:szCs w:val="24"/>
        </w:rPr>
        <w:t xml:space="preserve">, </w:t>
      </w:r>
      <w:r w:rsidR="000F35A5" w:rsidRPr="003321FA">
        <w:rPr>
          <w:rFonts w:ascii="Arial" w:hAnsi="Arial" w:cs="Arial"/>
          <w:szCs w:val="24"/>
        </w:rPr>
        <w:t xml:space="preserve">in administering </w:t>
      </w:r>
      <w:r w:rsidR="00A3181F" w:rsidRPr="003321FA">
        <w:rPr>
          <w:rFonts w:ascii="Arial" w:hAnsi="Arial" w:cs="Arial"/>
          <w:szCs w:val="24"/>
        </w:rPr>
        <w:t xml:space="preserve">the </w:t>
      </w:r>
      <w:r w:rsidR="00413A8F" w:rsidRPr="003321FA">
        <w:rPr>
          <w:rFonts w:ascii="Arial" w:hAnsi="Arial" w:cs="Arial"/>
          <w:szCs w:val="24"/>
        </w:rPr>
        <w:t>A</w:t>
      </w:r>
      <w:r w:rsidR="00A3181F" w:rsidRPr="003321FA">
        <w:rPr>
          <w:rFonts w:ascii="Arial" w:hAnsi="Arial" w:cs="Arial"/>
          <w:szCs w:val="24"/>
        </w:rPr>
        <w:t>TSSP</w:t>
      </w:r>
      <w:r w:rsidR="00E539F4" w:rsidRPr="003321FA">
        <w:rPr>
          <w:rFonts w:ascii="Arial" w:hAnsi="Arial" w:cs="Arial"/>
          <w:szCs w:val="24"/>
        </w:rPr>
        <w:t xml:space="preserve">.  </w:t>
      </w:r>
      <w:r w:rsidR="00E066F3" w:rsidRPr="003321FA">
        <w:rPr>
          <w:rFonts w:ascii="Arial" w:hAnsi="Arial" w:cs="Arial"/>
          <w:szCs w:val="24"/>
        </w:rPr>
        <w:t>While the ATSSP</w:t>
      </w:r>
      <w:r w:rsidR="00E066F3" w:rsidRPr="003321FA" w:rsidDel="00B164CA">
        <w:rPr>
          <w:rFonts w:ascii="Arial" w:hAnsi="Arial" w:cs="Arial"/>
          <w:szCs w:val="24"/>
        </w:rPr>
        <w:t xml:space="preserve"> </w:t>
      </w:r>
      <w:r w:rsidR="00E066F3" w:rsidRPr="003321FA">
        <w:rPr>
          <w:rFonts w:ascii="Arial" w:hAnsi="Arial" w:cs="Arial"/>
          <w:szCs w:val="24"/>
        </w:rPr>
        <w:t xml:space="preserve">obtains customers’ consent to use of their information </w:t>
      </w:r>
      <w:r w:rsidR="00F02A18" w:rsidRPr="003321FA">
        <w:rPr>
          <w:rFonts w:ascii="Arial" w:hAnsi="Arial" w:cs="Arial"/>
          <w:szCs w:val="24"/>
        </w:rPr>
        <w:t xml:space="preserve">for the </w:t>
      </w:r>
      <w:r w:rsidR="00E066F3" w:rsidRPr="003321FA">
        <w:rPr>
          <w:rFonts w:ascii="Arial" w:hAnsi="Arial" w:cs="Arial"/>
          <w:szCs w:val="24"/>
        </w:rPr>
        <w:t xml:space="preserve">administration of the ATSSP, adding the program to the list of medicare programs will provide additional authority to use and disclose information for the purposes of administering the program.  </w:t>
      </w:r>
      <w:r w:rsidR="008155E5" w:rsidRPr="003321FA">
        <w:rPr>
          <w:rFonts w:ascii="Arial" w:hAnsi="Arial" w:cs="Arial"/>
          <w:szCs w:val="24"/>
        </w:rPr>
        <w:t xml:space="preserve">Such </w:t>
      </w:r>
      <w:r w:rsidR="007A37E6" w:rsidRPr="003321FA">
        <w:rPr>
          <w:rFonts w:ascii="Arial" w:hAnsi="Arial" w:cs="Arial"/>
          <w:szCs w:val="24"/>
        </w:rPr>
        <w:t xml:space="preserve">information could be used for assessing eligibility </w:t>
      </w:r>
      <w:r w:rsidR="00A3181F" w:rsidRPr="003321FA">
        <w:rPr>
          <w:rFonts w:ascii="Arial" w:hAnsi="Arial" w:cs="Arial"/>
          <w:szCs w:val="24"/>
        </w:rPr>
        <w:t xml:space="preserve">for the </w:t>
      </w:r>
      <w:r w:rsidR="00413A8F" w:rsidRPr="003321FA">
        <w:rPr>
          <w:rFonts w:ascii="Arial" w:hAnsi="Arial" w:cs="Arial"/>
          <w:szCs w:val="24"/>
        </w:rPr>
        <w:t>A</w:t>
      </w:r>
      <w:r w:rsidR="00A3181F" w:rsidRPr="003321FA">
        <w:rPr>
          <w:rFonts w:ascii="Arial" w:hAnsi="Arial" w:cs="Arial"/>
          <w:szCs w:val="24"/>
        </w:rPr>
        <w:t>TSSP</w:t>
      </w:r>
      <w:r w:rsidR="00447F5F" w:rsidRPr="003321FA">
        <w:rPr>
          <w:rFonts w:ascii="Arial" w:hAnsi="Arial" w:cs="Arial"/>
          <w:szCs w:val="24"/>
        </w:rPr>
        <w:t xml:space="preserve">, </w:t>
      </w:r>
      <w:r w:rsidR="0077214F" w:rsidRPr="003321FA">
        <w:rPr>
          <w:rFonts w:ascii="Arial" w:hAnsi="Arial" w:cs="Arial"/>
          <w:szCs w:val="24"/>
        </w:rPr>
        <w:t xml:space="preserve">delivering </w:t>
      </w:r>
      <w:r w:rsidR="00A57CD1" w:rsidRPr="003321FA">
        <w:rPr>
          <w:rFonts w:ascii="Arial" w:hAnsi="Arial" w:cs="Arial"/>
          <w:szCs w:val="24"/>
        </w:rPr>
        <w:t xml:space="preserve">the </w:t>
      </w:r>
      <w:r w:rsidR="0077214F" w:rsidRPr="003321FA">
        <w:rPr>
          <w:rFonts w:ascii="Arial" w:hAnsi="Arial" w:cs="Arial"/>
          <w:szCs w:val="24"/>
        </w:rPr>
        <w:t xml:space="preserve">program to people </w:t>
      </w:r>
      <w:r w:rsidR="00447F5F" w:rsidRPr="003321FA">
        <w:rPr>
          <w:rFonts w:ascii="Arial" w:hAnsi="Arial" w:cs="Arial"/>
          <w:szCs w:val="24"/>
        </w:rPr>
        <w:t>or for compliance purposes.</w:t>
      </w:r>
    </w:p>
    <w:p w14:paraId="66405E10" w14:textId="2AFC105E" w:rsidR="00793785" w:rsidRPr="003321FA" w:rsidRDefault="00793785" w:rsidP="00793785">
      <w:pPr>
        <w:shd w:val="clear" w:color="auto" w:fill="FFFFFF"/>
        <w:spacing w:before="0" w:after="240"/>
        <w:jc w:val="both"/>
        <w:rPr>
          <w:rFonts w:ascii="Arial" w:hAnsi="Arial" w:cs="Arial"/>
          <w:szCs w:val="24"/>
        </w:rPr>
      </w:pPr>
      <w:r w:rsidRPr="003321FA">
        <w:rPr>
          <w:rFonts w:ascii="Arial" w:hAnsi="Arial" w:cs="Arial"/>
          <w:szCs w:val="24"/>
        </w:rPr>
        <w:t>For the purposes of Article 17 of the ICCPR, the collection or use of any personal information would not be “unlawful” as it would be provided for and authorised under legislation. Further, this would not be arbitrary interference with the right to privacy, as it would be for the legitimate and necessary objective of implementing the statutory medicare program and the Pharmaceutical Benefits Scheme. The listing of ATSSP, as well as continuing programs</w:t>
      </w:r>
      <w:r w:rsidR="003A4F63" w:rsidRPr="003321FA">
        <w:rPr>
          <w:rFonts w:ascii="Arial" w:hAnsi="Arial" w:cs="Arial"/>
          <w:szCs w:val="24"/>
        </w:rPr>
        <w:t>, is necessary for ensuring the</w:t>
      </w:r>
      <w:r w:rsidRPr="003321FA">
        <w:rPr>
          <w:rFonts w:ascii="Arial" w:hAnsi="Arial" w:cs="Arial"/>
          <w:szCs w:val="24"/>
        </w:rPr>
        <w:t xml:space="preserve"> administration of medicare programs.</w:t>
      </w:r>
    </w:p>
    <w:p w14:paraId="4E33DBD0" w14:textId="1EA5DA01" w:rsidR="003A4F63" w:rsidRPr="003321FA" w:rsidRDefault="00B01DB3" w:rsidP="00793785">
      <w:pPr>
        <w:shd w:val="clear" w:color="auto" w:fill="FFFFFF"/>
        <w:spacing w:before="0" w:after="240"/>
        <w:jc w:val="both"/>
        <w:rPr>
          <w:rFonts w:ascii="Arial" w:hAnsi="Arial" w:cs="Arial"/>
          <w:szCs w:val="24"/>
        </w:rPr>
      </w:pPr>
      <w:r w:rsidRPr="003321FA">
        <w:rPr>
          <w:rFonts w:ascii="Arial" w:hAnsi="Arial" w:cs="Arial"/>
          <w:szCs w:val="24"/>
        </w:rPr>
        <w:t>T</w:t>
      </w:r>
      <w:r w:rsidR="00793785" w:rsidRPr="003321FA">
        <w:rPr>
          <w:rFonts w:ascii="Arial" w:hAnsi="Arial" w:cs="Arial"/>
          <w:szCs w:val="24"/>
        </w:rPr>
        <w:t>he limitation on the right to privacy is proportionate as the provision of any personal information would only be triggered for administering the relevant programs, including payment of a medicare benefit. Information collection would be subject to robust safeguards preventing unauthorised disclosure</w:t>
      </w:r>
      <w:r w:rsidR="003A4F63" w:rsidRPr="003321FA">
        <w:rPr>
          <w:rFonts w:ascii="Arial" w:hAnsi="Arial" w:cs="Arial"/>
          <w:szCs w:val="24"/>
        </w:rPr>
        <w:t xml:space="preserve">. For example, the Australian Privacy Principles in section 14 of the </w:t>
      </w:r>
      <w:r w:rsidR="003A4F63" w:rsidRPr="003321FA">
        <w:rPr>
          <w:rFonts w:ascii="Arial" w:hAnsi="Arial" w:cs="Arial"/>
          <w:i/>
          <w:szCs w:val="24"/>
        </w:rPr>
        <w:t xml:space="preserve">Privacy Act 1988 </w:t>
      </w:r>
      <w:r w:rsidR="003A4F63" w:rsidRPr="003321FA">
        <w:rPr>
          <w:rFonts w:ascii="Arial" w:hAnsi="Arial" w:cs="Arial"/>
          <w:szCs w:val="24"/>
        </w:rPr>
        <w:t>govern all stages of the processing of personal information in applicable cases (including health information that is sensitive information), setting out standards for the collection, storage, use, disclosure and quality of personal information. A breach of an Australian Privacy Principle is an interference with t</w:t>
      </w:r>
      <w:bookmarkStart w:id="2" w:name="_GoBack"/>
      <w:bookmarkEnd w:id="2"/>
      <w:r w:rsidR="003A4F63" w:rsidRPr="003321FA">
        <w:rPr>
          <w:rFonts w:ascii="Arial" w:hAnsi="Arial" w:cs="Arial"/>
          <w:szCs w:val="24"/>
        </w:rPr>
        <w:t xml:space="preserve">he privacy of an individual and can lead to regulatory action and penalties. </w:t>
      </w:r>
    </w:p>
    <w:p w14:paraId="39884FE2" w14:textId="42D51B01" w:rsidR="009B01AA" w:rsidRPr="003321FA" w:rsidRDefault="009B01AA" w:rsidP="00793785">
      <w:pPr>
        <w:shd w:val="clear" w:color="auto" w:fill="FFFFFF"/>
        <w:spacing w:before="0" w:after="240"/>
        <w:jc w:val="both"/>
        <w:rPr>
          <w:rFonts w:ascii="Arial" w:hAnsi="Arial" w:cs="Arial"/>
          <w:i/>
          <w:szCs w:val="24"/>
        </w:rPr>
      </w:pPr>
      <w:r w:rsidRPr="003321FA">
        <w:rPr>
          <w:rFonts w:ascii="Arial" w:hAnsi="Arial" w:cs="Arial"/>
          <w:szCs w:val="24"/>
        </w:rPr>
        <w:t xml:space="preserve">By way of further example, the </w:t>
      </w:r>
      <w:r w:rsidRPr="003321FA">
        <w:rPr>
          <w:rFonts w:ascii="Arial" w:hAnsi="Arial" w:cs="Arial"/>
          <w:i/>
          <w:szCs w:val="24"/>
        </w:rPr>
        <w:t>National Health (Privacy Rules) 2018</w:t>
      </w:r>
      <w:r w:rsidR="00C52604" w:rsidRPr="003321FA">
        <w:rPr>
          <w:rFonts w:ascii="Arial" w:hAnsi="Arial" w:cs="Arial"/>
          <w:szCs w:val="24"/>
        </w:rPr>
        <w:t xml:space="preserve">, made by the Australian Information Commissioner under section 135AA of the </w:t>
      </w:r>
      <w:r w:rsidR="00C52604" w:rsidRPr="003321FA">
        <w:rPr>
          <w:rFonts w:ascii="Arial" w:hAnsi="Arial" w:cs="Arial"/>
          <w:i/>
          <w:szCs w:val="24"/>
        </w:rPr>
        <w:t>National Health Act 1953</w:t>
      </w:r>
      <w:r w:rsidR="00C52604" w:rsidRPr="003321FA">
        <w:rPr>
          <w:rFonts w:ascii="Arial" w:hAnsi="Arial" w:cs="Arial"/>
          <w:szCs w:val="24"/>
        </w:rPr>
        <w:t xml:space="preserve">, also regulates the use of Medicare and Pharmaceutical Benefits Scheme information. This framework covers all Australian Government agencies handling such information, including </w:t>
      </w:r>
      <w:r w:rsidR="00B01DB3" w:rsidRPr="003321FA">
        <w:rPr>
          <w:rFonts w:ascii="Arial" w:hAnsi="Arial" w:cs="Arial"/>
          <w:szCs w:val="24"/>
        </w:rPr>
        <w:t xml:space="preserve">storage and handling procedures, </w:t>
      </w:r>
      <w:r w:rsidR="00C52604" w:rsidRPr="003321FA">
        <w:rPr>
          <w:rFonts w:ascii="Arial" w:hAnsi="Arial" w:cs="Arial"/>
          <w:szCs w:val="24"/>
        </w:rPr>
        <w:t xml:space="preserve">reporting obligations to the Information Commissioner, and a complaints mechanism should a person think that a </w:t>
      </w:r>
      <w:r w:rsidR="00C52604" w:rsidRPr="003321FA">
        <w:rPr>
          <w:rFonts w:ascii="Arial" w:hAnsi="Arial" w:cs="Arial"/>
          <w:szCs w:val="24"/>
        </w:rPr>
        <w:lastRenderedPageBreak/>
        <w:t xml:space="preserve">breach of the rules has occurred. </w:t>
      </w:r>
      <w:r w:rsidR="00545208" w:rsidRPr="003321FA">
        <w:rPr>
          <w:rFonts w:ascii="Arial" w:hAnsi="Arial" w:cs="Arial"/>
          <w:szCs w:val="24"/>
        </w:rPr>
        <w:t xml:space="preserve">Under section 135AB of the </w:t>
      </w:r>
      <w:r w:rsidR="00545208" w:rsidRPr="003321FA">
        <w:rPr>
          <w:rFonts w:ascii="Arial" w:hAnsi="Arial" w:cs="Arial"/>
          <w:i/>
          <w:szCs w:val="24"/>
        </w:rPr>
        <w:t xml:space="preserve">National Health Act 1953, </w:t>
      </w:r>
      <w:r w:rsidR="00545208" w:rsidRPr="003321FA">
        <w:rPr>
          <w:rFonts w:ascii="Arial" w:hAnsi="Arial" w:cs="Arial"/>
          <w:szCs w:val="24"/>
        </w:rPr>
        <w:t>a b</w:t>
      </w:r>
      <w:r w:rsidR="00B01DB3" w:rsidRPr="003321FA">
        <w:rPr>
          <w:rFonts w:ascii="Arial" w:hAnsi="Arial" w:cs="Arial"/>
          <w:szCs w:val="24"/>
        </w:rPr>
        <w:t>reach of the rules is an interfere</w:t>
      </w:r>
      <w:r w:rsidR="00545208" w:rsidRPr="003321FA">
        <w:rPr>
          <w:rFonts w:ascii="Arial" w:hAnsi="Arial" w:cs="Arial"/>
          <w:szCs w:val="24"/>
        </w:rPr>
        <w:t xml:space="preserve"> with the privacy of an individual for the purposes of the </w:t>
      </w:r>
      <w:r w:rsidR="00545208" w:rsidRPr="003321FA">
        <w:rPr>
          <w:rFonts w:ascii="Arial" w:hAnsi="Arial" w:cs="Arial"/>
          <w:i/>
          <w:szCs w:val="24"/>
        </w:rPr>
        <w:t xml:space="preserve">Privacy Act 1988. </w:t>
      </w:r>
    </w:p>
    <w:p w14:paraId="10A0E9A5" w14:textId="77777777" w:rsidR="006546B7" w:rsidRPr="003321FA" w:rsidRDefault="006546B7" w:rsidP="00241EBA">
      <w:pPr>
        <w:keepNext/>
        <w:spacing w:before="0" w:after="240"/>
        <w:jc w:val="both"/>
        <w:rPr>
          <w:rFonts w:ascii="Arial" w:hAnsi="Arial" w:cs="Arial"/>
          <w:b/>
          <w:szCs w:val="24"/>
        </w:rPr>
      </w:pPr>
      <w:r w:rsidRPr="003321FA">
        <w:rPr>
          <w:rFonts w:ascii="Arial" w:hAnsi="Arial" w:cs="Arial"/>
          <w:b/>
          <w:szCs w:val="24"/>
        </w:rPr>
        <w:t xml:space="preserve">Conclusion </w:t>
      </w:r>
    </w:p>
    <w:p w14:paraId="083012F2" w14:textId="65B7FBC6" w:rsidR="006546B7" w:rsidRPr="003321FA" w:rsidRDefault="00374A77" w:rsidP="00606ADB">
      <w:pPr>
        <w:spacing w:before="0" w:after="240"/>
        <w:jc w:val="both"/>
        <w:rPr>
          <w:rFonts w:ascii="Arial" w:hAnsi="Arial" w:cs="Arial"/>
          <w:szCs w:val="24"/>
        </w:rPr>
      </w:pPr>
      <w:r w:rsidRPr="003321FA">
        <w:rPr>
          <w:rFonts w:ascii="Arial" w:hAnsi="Arial" w:cs="Arial"/>
          <w:szCs w:val="24"/>
        </w:rPr>
        <w:t xml:space="preserve">The </w:t>
      </w:r>
      <w:r w:rsidR="00E84259" w:rsidRPr="003321FA">
        <w:rPr>
          <w:rFonts w:ascii="Arial" w:hAnsi="Arial" w:cs="Arial"/>
          <w:szCs w:val="24"/>
        </w:rPr>
        <w:t>2021 S</w:t>
      </w:r>
      <w:r w:rsidR="00C33CF4" w:rsidRPr="003321FA">
        <w:rPr>
          <w:rFonts w:ascii="Arial" w:hAnsi="Arial" w:cs="Arial"/>
          <w:szCs w:val="24"/>
        </w:rPr>
        <w:t xml:space="preserve">pecification </w:t>
      </w:r>
      <w:r w:rsidR="006B74E7" w:rsidRPr="003321FA">
        <w:rPr>
          <w:rFonts w:ascii="Arial" w:hAnsi="Arial" w:cs="Arial"/>
          <w:szCs w:val="24"/>
        </w:rPr>
        <w:t>is</w:t>
      </w:r>
      <w:r w:rsidR="006546B7" w:rsidRPr="003321FA">
        <w:rPr>
          <w:rFonts w:ascii="Arial" w:hAnsi="Arial" w:cs="Arial"/>
          <w:szCs w:val="24"/>
        </w:rPr>
        <w:t xml:space="preserve"> compatible with human rights because </w:t>
      </w:r>
      <w:r w:rsidR="006B74E7" w:rsidRPr="003321FA">
        <w:rPr>
          <w:rFonts w:ascii="Arial" w:hAnsi="Arial" w:cs="Arial"/>
          <w:szCs w:val="24"/>
        </w:rPr>
        <w:t>it advances</w:t>
      </w:r>
      <w:r w:rsidR="006546B7" w:rsidRPr="003321FA">
        <w:rPr>
          <w:rFonts w:ascii="Arial" w:hAnsi="Arial" w:cs="Arial"/>
          <w:szCs w:val="24"/>
        </w:rPr>
        <w:t xml:space="preserve"> the protection of </w:t>
      </w:r>
      <w:r w:rsidR="00367239" w:rsidRPr="003321FA">
        <w:rPr>
          <w:rFonts w:ascii="Arial" w:hAnsi="Arial" w:cs="Arial"/>
          <w:szCs w:val="24"/>
        </w:rPr>
        <w:t>the right to health</w:t>
      </w:r>
      <w:r w:rsidR="006B74E7" w:rsidRPr="003321FA">
        <w:rPr>
          <w:rFonts w:ascii="Arial" w:hAnsi="Arial" w:cs="Arial"/>
          <w:szCs w:val="24"/>
        </w:rPr>
        <w:t xml:space="preserve">. </w:t>
      </w:r>
      <w:r w:rsidR="00FB56AA" w:rsidRPr="003321FA">
        <w:rPr>
          <w:rFonts w:ascii="Arial" w:hAnsi="Arial" w:cs="Arial"/>
          <w:szCs w:val="24"/>
        </w:rPr>
        <w:t xml:space="preserve"> </w:t>
      </w:r>
      <w:r w:rsidR="006B74E7" w:rsidRPr="003321FA">
        <w:rPr>
          <w:rFonts w:ascii="Arial" w:hAnsi="Arial" w:cs="Arial"/>
          <w:szCs w:val="24"/>
        </w:rPr>
        <w:t>T</w:t>
      </w:r>
      <w:r w:rsidR="006546B7" w:rsidRPr="003321FA">
        <w:rPr>
          <w:rFonts w:ascii="Arial" w:hAnsi="Arial" w:cs="Arial"/>
          <w:szCs w:val="24"/>
        </w:rPr>
        <w:t xml:space="preserve">o the extent </w:t>
      </w:r>
      <w:r w:rsidR="006B74E7" w:rsidRPr="003321FA">
        <w:rPr>
          <w:rFonts w:ascii="Arial" w:hAnsi="Arial" w:cs="Arial"/>
          <w:szCs w:val="24"/>
        </w:rPr>
        <w:t xml:space="preserve">that it </w:t>
      </w:r>
      <w:r w:rsidR="006B74E7" w:rsidRPr="003321FA">
        <w:rPr>
          <w:rFonts w:ascii="Arial" w:hAnsi="Arial" w:cs="Arial"/>
          <w:szCs w:val="24"/>
          <w:lang w:val="en-GB"/>
        </w:rPr>
        <w:t>limits</w:t>
      </w:r>
      <w:r w:rsidR="006546B7" w:rsidRPr="003321FA">
        <w:rPr>
          <w:rFonts w:ascii="Arial" w:hAnsi="Arial" w:cs="Arial"/>
          <w:szCs w:val="24"/>
          <w:lang w:val="en-GB"/>
        </w:rPr>
        <w:t xml:space="preserve"> </w:t>
      </w:r>
      <w:r w:rsidR="00367239" w:rsidRPr="003321FA">
        <w:rPr>
          <w:rFonts w:ascii="Arial" w:hAnsi="Arial" w:cs="Arial"/>
          <w:szCs w:val="24"/>
          <w:lang w:val="en-GB"/>
        </w:rPr>
        <w:t>the right to privacy to that end</w:t>
      </w:r>
      <w:r w:rsidR="006546B7" w:rsidRPr="003321FA">
        <w:rPr>
          <w:rFonts w:ascii="Arial" w:hAnsi="Arial" w:cs="Arial"/>
          <w:szCs w:val="24"/>
          <w:lang w:val="en-GB"/>
        </w:rPr>
        <w:t xml:space="preserve">, those limitations are reasonable, necessary and </w:t>
      </w:r>
      <w:r w:rsidR="006B74E7" w:rsidRPr="003321FA">
        <w:rPr>
          <w:rFonts w:ascii="Arial" w:hAnsi="Arial" w:cs="Arial"/>
          <w:szCs w:val="24"/>
        </w:rPr>
        <w:t>proportionate</w:t>
      </w:r>
      <w:r w:rsidR="006546B7" w:rsidRPr="003321FA">
        <w:rPr>
          <w:rFonts w:ascii="Arial" w:hAnsi="Arial" w:cs="Arial"/>
          <w:szCs w:val="24"/>
        </w:rPr>
        <w:t>.</w:t>
      </w:r>
    </w:p>
    <w:p w14:paraId="375383A3" w14:textId="77777777" w:rsidR="006546B7" w:rsidRPr="003321FA" w:rsidRDefault="006546B7" w:rsidP="00A85DBC">
      <w:pPr>
        <w:spacing w:before="0" w:after="240"/>
        <w:rPr>
          <w:rFonts w:ascii="Arial" w:hAnsi="Arial" w:cs="Arial"/>
          <w:szCs w:val="24"/>
        </w:rPr>
      </w:pPr>
    </w:p>
    <w:p w14:paraId="19EDE71F" w14:textId="77777777" w:rsidR="00A85DBC" w:rsidRPr="003321FA" w:rsidRDefault="00A85DBC" w:rsidP="00A85DBC">
      <w:pPr>
        <w:spacing w:before="0" w:after="240"/>
        <w:rPr>
          <w:rFonts w:ascii="Arial" w:hAnsi="Arial" w:cs="Arial"/>
          <w:szCs w:val="24"/>
        </w:rPr>
      </w:pPr>
    </w:p>
    <w:bookmarkEnd w:id="1"/>
    <w:p w14:paraId="56C8611C" w14:textId="44C98570" w:rsidR="002810A5" w:rsidRPr="003321FA" w:rsidRDefault="00584275" w:rsidP="00A85DBC">
      <w:pPr>
        <w:spacing w:before="0" w:after="240"/>
        <w:jc w:val="center"/>
        <w:rPr>
          <w:rStyle w:val="BookTitle"/>
          <w:rFonts w:ascii="Arial" w:hAnsi="Arial" w:cs="Arial"/>
          <w:i w:val="0"/>
          <w:iCs w:val="0"/>
          <w:smallCaps w:val="0"/>
          <w:spacing w:val="0"/>
          <w:szCs w:val="24"/>
        </w:rPr>
      </w:pPr>
      <w:r w:rsidRPr="003321FA">
        <w:rPr>
          <w:rFonts w:ascii="Arial" w:hAnsi="Arial" w:cs="Arial"/>
          <w:b/>
          <w:szCs w:val="24"/>
        </w:rPr>
        <w:t>Linda Reynolds</w:t>
      </w:r>
      <w:r w:rsidR="006B74E7" w:rsidRPr="003321FA">
        <w:rPr>
          <w:rFonts w:ascii="Arial" w:hAnsi="Arial" w:cs="Arial"/>
          <w:b/>
          <w:szCs w:val="24"/>
        </w:rPr>
        <w:t xml:space="preserve">, Minister for </w:t>
      </w:r>
      <w:r w:rsidRPr="003321FA">
        <w:rPr>
          <w:rFonts w:ascii="Arial" w:hAnsi="Arial" w:cs="Arial"/>
          <w:b/>
          <w:szCs w:val="24"/>
        </w:rPr>
        <w:t>Government</w:t>
      </w:r>
      <w:r w:rsidR="006B74E7" w:rsidRPr="003321FA">
        <w:rPr>
          <w:rFonts w:ascii="Arial" w:hAnsi="Arial" w:cs="Arial"/>
          <w:b/>
          <w:szCs w:val="24"/>
        </w:rPr>
        <w:t xml:space="preserve"> Services</w:t>
      </w:r>
    </w:p>
    <w:sectPr w:rsidR="002810A5" w:rsidRPr="003321FA">
      <w:footnotePr>
        <w:numRestart w:val="eachSect"/>
      </w:foot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1C61" w16cex:dateUtc="2021-06-24T04:59:00Z"/>
  <w16cex:commentExtensible w16cex:durableId="247F1F0C" w16cex:dateUtc="2021-06-24T05:11:00Z"/>
  <w16cex:commentExtensible w16cex:durableId="247F21E0" w16cex:dateUtc="2021-06-24T05:23:00Z"/>
  <w16cex:commentExtensible w16cex:durableId="247F28CA" w16cex:dateUtc="2021-06-2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715908" w16cid:durableId="247F1C61"/>
  <w16cid:commentId w16cid:paraId="46433A6B" w16cid:durableId="247F1F0C"/>
  <w16cid:commentId w16cid:paraId="552DBAD5" w16cid:durableId="247F21E0"/>
  <w16cid:commentId w16cid:paraId="69E96A68" w16cid:durableId="247EF0F0"/>
  <w16cid:commentId w16cid:paraId="0E946DA2" w16cid:durableId="247F28CA"/>
  <w16cid:commentId w16cid:paraId="49938453" w16cid:durableId="247EF0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2106" w14:textId="77777777" w:rsidR="00F204D3" w:rsidRDefault="00F204D3" w:rsidP="00AD1645">
      <w:pPr>
        <w:spacing w:before="0"/>
      </w:pPr>
      <w:r>
        <w:separator/>
      </w:r>
    </w:p>
  </w:endnote>
  <w:endnote w:type="continuationSeparator" w:id="0">
    <w:p w14:paraId="766FE377" w14:textId="77777777" w:rsidR="00F204D3" w:rsidRDefault="00F204D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5EF3" w14:textId="77777777" w:rsidR="00F204D3" w:rsidRDefault="00F204D3" w:rsidP="00AD1645">
      <w:pPr>
        <w:spacing w:before="0"/>
      </w:pPr>
      <w:r>
        <w:separator/>
      </w:r>
    </w:p>
  </w:footnote>
  <w:footnote w:type="continuationSeparator" w:id="0">
    <w:p w14:paraId="4F6410C2" w14:textId="77777777" w:rsidR="00F204D3" w:rsidRDefault="00F204D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E67B3"/>
    <w:multiLevelType w:val="hybridMultilevel"/>
    <w:tmpl w:val="0DEA4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41B9D"/>
    <w:multiLevelType w:val="hybridMultilevel"/>
    <w:tmpl w:val="3F48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14713"/>
    <w:multiLevelType w:val="multilevel"/>
    <w:tmpl w:val="D76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B018D"/>
    <w:multiLevelType w:val="hybridMultilevel"/>
    <w:tmpl w:val="72D4B5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8C0A89"/>
    <w:multiLevelType w:val="hybridMultilevel"/>
    <w:tmpl w:val="D1264498"/>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CB56C3"/>
    <w:multiLevelType w:val="hybridMultilevel"/>
    <w:tmpl w:val="8180A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B51E67"/>
    <w:multiLevelType w:val="multilevel"/>
    <w:tmpl w:val="213A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6"/>
  </w:num>
  <w:num w:numId="5">
    <w:abstractNumId w:val="15"/>
  </w:num>
  <w:num w:numId="6">
    <w:abstractNumId w:val="2"/>
  </w:num>
  <w:num w:numId="7">
    <w:abstractNumId w:val="12"/>
  </w:num>
  <w:num w:numId="8">
    <w:abstractNumId w:val="18"/>
  </w:num>
  <w:num w:numId="9">
    <w:abstractNumId w:val="10"/>
  </w:num>
  <w:num w:numId="10">
    <w:abstractNumId w:val="19"/>
  </w:num>
  <w:num w:numId="11">
    <w:abstractNumId w:val="3"/>
  </w:num>
  <w:num w:numId="12">
    <w:abstractNumId w:val="7"/>
  </w:num>
  <w:num w:numId="13">
    <w:abstractNumId w:val="0"/>
  </w:num>
  <w:num w:numId="14">
    <w:abstractNumId w:val="11"/>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 w:numId="19">
    <w:abstractNumId w:val="17"/>
  </w:num>
  <w:num w:numId="20">
    <w:abstractNumId w:val="4"/>
  </w:num>
  <w:num w:numId="21">
    <w:abstractNumId w:val="1"/>
  </w:num>
  <w:num w:numId="22">
    <w:abstractNumId w:val="8"/>
  </w:num>
  <w:num w:numId="23">
    <w:abstractNumId w:val="20"/>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4122"/>
    <w:rsid w:val="0000668E"/>
    <w:rsid w:val="00006F27"/>
    <w:rsid w:val="00010C03"/>
    <w:rsid w:val="00021ED2"/>
    <w:rsid w:val="00030972"/>
    <w:rsid w:val="00030B79"/>
    <w:rsid w:val="00031D0B"/>
    <w:rsid w:val="00043B6D"/>
    <w:rsid w:val="00045BF2"/>
    <w:rsid w:val="00051C3F"/>
    <w:rsid w:val="00053986"/>
    <w:rsid w:val="00053CE7"/>
    <w:rsid w:val="00054814"/>
    <w:rsid w:val="0006693F"/>
    <w:rsid w:val="00066DAE"/>
    <w:rsid w:val="00070603"/>
    <w:rsid w:val="00070F07"/>
    <w:rsid w:val="00071029"/>
    <w:rsid w:val="00074414"/>
    <w:rsid w:val="00074C1A"/>
    <w:rsid w:val="00076055"/>
    <w:rsid w:val="000760DC"/>
    <w:rsid w:val="000824C2"/>
    <w:rsid w:val="000844AF"/>
    <w:rsid w:val="00084B46"/>
    <w:rsid w:val="00085730"/>
    <w:rsid w:val="00096B8D"/>
    <w:rsid w:val="000A3595"/>
    <w:rsid w:val="000A388C"/>
    <w:rsid w:val="000A772F"/>
    <w:rsid w:val="000B4130"/>
    <w:rsid w:val="000B42D4"/>
    <w:rsid w:val="000B6B23"/>
    <w:rsid w:val="000C0647"/>
    <w:rsid w:val="000C2DDB"/>
    <w:rsid w:val="000C5204"/>
    <w:rsid w:val="000D365F"/>
    <w:rsid w:val="000E02A0"/>
    <w:rsid w:val="000E1DC4"/>
    <w:rsid w:val="000E3915"/>
    <w:rsid w:val="000F35A5"/>
    <w:rsid w:val="000F7951"/>
    <w:rsid w:val="0010136D"/>
    <w:rsid w:val="001050CB"/>
    <w:rsid w:val="0011719D"/>
    <w:rsid w:val="001173FA"/>
    <w:rsid w:val="00117936"/>
    <w:rsid w:val="00120E1F"/>
    <w:rsid w:val="0012560E"/>
    <w:rsid w:val="0012617A"/>
    <w:rsid w:val="00126356"/>
    <w:rsid w:val="00126429"/>
    <w:rsid w:val="001310C6"/>
    <w:rsid w:val="001336CE"/>
    <w:rsid w:val="00137AA7"/>
    <w:rsid w:val="00140359"/>
    <w:rsid w:val="00145B99"/>
    <w:rsid w:val="00150138"/>
    <w:rsid w:val="001502F9"/>
    <w:rsid w:val="0015134A"/>
    <w:rsid w:val="00152472"/>
    <w:rsid w:val="00157014"/>
    <w:rsid w:val="00163809"/>
    <w:rsid w:val="0016653C"/>
    <w:rsid w:val="0016757F"/>
    <w:rsid w:val="001728DD"/>
    <w:rsid w:val="00173C1B"/>
    <w:rsid w:val="00175BC6"/>
    <w:rsid w:val="00181FFC"/>
    <w:rsid w:val="0019055E"/>
    <w:rsid w:val="0019088C"/>
    <w:rsid w:val="00191AEC"/>
    <w:rsid w:val="001920F3"/>
    <w:rsid w:val="00192C06"/>
    <w:rsid w:val="00194354"/>
    <w:rsid w:val="001A737C"/>
    <w:rsid w:val="001B02D6"/>
    <w:rsid w:val="001B147C"/>
    <w:rsid w:val="001B413B"/>
    <w:rsid w:val="001B5379"/>
    <w:rsid w:val="001C64F9"/>
    <w:rsid w:val="001D69AF"/>
    <w:rsid w:val="001D7745"/>
    <w:rsid w:val="001E0D0B"/>
    <w:rsid w:val="001E5B72"/>
    <w:rsid w:val="001E5D12"/>
    <w:rsid w:val="001E630D"/>
    <w:rsid w:val="001E684F"/>
    <w:rsid w:val="001E7422"/>
    <w:rsid w:val="001F4805"/>
    <w:rsid w:val="001F4E3C"/>
    <w:rsid w:val="001F5467"/>
    <w:rsid w:val="00204AE6"/>
    <w:rsid w:val="002154EE"/>
    <w:rsid w:val="00215E62"/>
    <w:rsid w:val="0022294A"/>
    <w:rsid w:val="00224887"/>
    <w:rsid w:val="00227C20"/>
    <w:rsid w:val="00231972"/>
    <w:rsid w:val="002329E1"/>
    <w:rsid w:val="002334D9"/>
    <w:rsid w:val="00234F9E"/>
    <w:rsid w:val="002400F1"/>
    <w:rsid w:val="00240E8C"/>
    <w:rsid w:val="00241EBA"/>
    <w:rsid w:val="0024465E"/>
    <w:rsid w:val="002466D1"/>
    <w:rsid w:val="0024760C"/>
    <w:rsid w:val="0025209E"/>
    <w:rsid w:val="002533F0"/>
    <w:rsid w:val="00253B00"/>
    <w:rsid w:val="00262505"/>
    <w:rsid w:val="002642C7"/>
    <w:rsid w:val="00264C31"/>
    <w:rsid w:val="002741BD"/>
    <w:rsid w:val="00274CAF"/>
    <w:rsid w:val="00275980"/>
    <w:rsid w:val="00276D06"/>
    <w:rsid w:val="00276F09"/>
    <w:rsid w:val="002804D5"/>
    <w:rsid w:val="002810A5"/>
    <w:rsid w:val="00281529"/>
    <w:rsid w:val="00283079"/>
    <w:rsid w:val="002914BF"/>
    <w:rsid w:val="002926E3"/>
    <w:rsid w:val="0029652C"/>
    <w:rsid w:val="002A0E63"/>
    <w:rsid w:val="002A2A71"/>
    <w:rsid w:val="002A46E4"/>
    <w:rsid w:val="002A523B"/>
    <w:rsid w:val="002A6007"/>
    <w:rsid w:val="002A63EA"/>
    <w:rsid w:val="002B0175"/>
    <w:rsid w:val="002B5EB3"/>
    <w:rsid w:val="002C0F57"/>
    <w:rsid w:val="002C1403"/>
    <w:rsid w:val="002C1938"/>
    <w:rsid w:val="002C2252"/>
    <w:rsid w:val="002C6177"/>
    <w:rsid w:val="002C6BF8"/>
    <w:rsid w:val="002D0F1C"/>
    <w:rsid w:val="002D35D8"/>
    <w:rsid w:val="002D4522"/>
    <w:rsid w:val="002D5EEB"/>
    <w:rsid w:val="002E0BB1"/>
    <w:rsid w:val="002E431D"/>
    <w:rsid w:val="002E45E2"/>
    <w:rsid w:val="002E74E8"/>
    <w:rsid w:val="002F49EC"/>
    <w:rsid w:val="002F5596"/>
    <w:rsid w:val="002F7128"/>
    <w:rsid w:val="002F7C44"/>
    <w:rsid w:val="00300D8B"/>
    <w:rsid w:val="003119FD"/>
    <w:rsid w:val="003142B8"/>
    <w:rsid w:val="003321FA"/>
    <w:rsid w:val="00333A9C"/>
    <w:rsid w:val="00334F9D"/>
    <w:rsid w:val="00337065"/>
    <w:rsid w:val="00340AD0"/>
    <w:rsid w:val="003430FC"/>
    <w:rsid w:val="003434E2"/>
    <w:rsid w:val="0034562D"/>
    <w:rsid w:val="00345FFE"/>
    <w:rsid w:val="00346238"/>
    <w:rsid w:val="0034653B"/>
    <w:rsid w:val="003469EB"/>
    <w:rsid w:val="0035169E"/>
    <w:rsid w:val="0035189D"/>
    <w:rsid w:val="00351E79"/>
    <w:rsid w:val="0035378F"/>
    <w:rsid w:val="00356644"/>
    <w:rsid w:val="0036053A"/>
    <w:rsid w:val="003606C5"/>
    <w:rsid w:val="00365424"/>
    <w:rsid w:val="00365B87"/>
    <w:rsid w:val="00367239"/>
    <w:rsid w:val="00373DFA"/>
    <w:rsid w:val="00374A77"/>
    <w:rsid w:val="00380666"/>
    <w:rsid w:val="00384E93"/>
    <w:rsid w:val="003854CD"/>
    <w:rsid w:val="00387D89"/>
    <w:rsid w:val="00392EB6"/>
    <w:rsid w:val="00393D4E"/>
    <w:rsid w:val="00394743"/>
    <w:rsid w:val="003A04AD"/>
    <w:rsid w:val="003A0C31"/>
    <w:rsid w:val="003A1413"/>
    <w:rsid w:val="003A49D4"/>
    <w:rsid w:val="003A4F63"/>
    <w:rsid w:val="003B2BB8"/>
    <w:rsid w:val="003B44E1"/>
    <w:rsid w:val="003C3368"/>
    <w:rsid w:val="003C54B6"/>
    <w:rsid w:val="003C78E3"/>
    <w:rsid w:val="003D34FF"/>
    <w:rsid w:val="003D71F6"/>
    <w:rsid w:val="003E1784"/>
    <w:rsid w:val="003F2A7F"/>
    <w:rsid w:val="003F77B3"/>
    <w:rsid w:val="003F7AB8"/>
    <w:rsid w:val="00400273"/>
    <w:rsid w:val="00412349"/>
    <w:rsid w:val="00413A8F"/>
    <w:rsid w:val="00420387"/>
    <w:rsid w:val="0042132E"/>
    <w:rsid w:val="004240BB"/>
    <w:rsid w:val="0043422C"/>
    <w:rsid w:val="00436897"/>
    <w:rsid w:val="0044393A"/>
    <w:rsid w:val="00446D6C"/>
    <w:rsid w:val="00447F5F"/>
    <w:rsid w:val="0045012A"/>
    <w:rsid w:val="00450664"/>
    <w:rsid w:val="0045240C"/>
    <w:rsid w:val="00453FC9"/>
    <w:rsid w:val="00454405"/>
    <w:rsid w:val="004561ED"/>
    <w:rsid w:val="00456FBD"/>
    <w:rsid w:val="00457792"/>
    <w:rsid w:val="0046183D"/>
    <w:rsid w:val="004646E1"/>
    <w:rsid w:val="0046596D"/>
    <w:rsid w:val="004666AF"/>
    <w:rsid w:val="00470C3D"/>
    <w:rsid w:val="004726FF"/>
    <w:rsid w:val="00474262"/>
    <w:rsid w:val="00474F6A"/>
    <w:rsid w:val="0048034F"/>
    <w:rsid w:val="004814F1"/>
    <w:rsid w:val="00482411"/>
    <w:rsid w:val="004956ED"/>
    <w:rsid w:val="0049646F"/>
    <w:rsid w:val="00497768"/>
    <w:rsid w:val="004A0C19"/>
    <w:rsid w:val="004A126A"/>
    <w:rsid w:val="004A1329"/>
    <w:rsid w:val="004A24AF"/>
    <w:rsid w:val="004A3A44"/>
    <w:rsid w:val="004B3147"/>
    <w:rsid w:val="004B54CA"/>
    <w:rsid w:val="004C15FC"/>
    <w:rsid w:val="004C163F"/>
    <w:rsid w:val="004C2BD2"/>
    <w:rsid w:val="004D336A"/>
    <w:rsid w:val="004D4440"/>
    <w:rsid w:val="004D50AC"/>
    <w:rsid w:val="004D5723"/>
    <w:rsid w:val="004E2A64"/>
    <w:rsid w:val="004E3A61"/>
    <w:rsid w:val="004E5CBF"/>
    <w:rsid w:val="004F1CD0"/>
    <w:rsid w:val="004F264A"/>
    <w:rsid w:val="004F5308"/>
    <w:rsid w:val="004F69ED"/>
    <w:rsid w:val="004F7C0F"/>
    <w:rsid w:val="00511520"/>
    <w:rsid w:val="005178D8"/>
    <w:rsid w:val="00521782"/>
    <w:rsid w:val="00524A48"/>
    <w:rsid w:val="00527238"/>
    <w:rsid w:val="00532D2E"/>
    <w:rsid w:val="005332C8"/>
    <w:rsid w:val="00534DBC"/>
    <w:rsid w:val="00536060"/>
    <w:rsid w:val="00536D8C"/>
    <w:rsid w:val="00537157"/>
    <w:rsid w:val="00537B26"/>
    <w:rsid w:val="005407BB"/>
    <w:rsid w:val="00540BD8"/>
    <w:rsid w:val="005428E5"/>
    <w:rsid w:val="00545208"/>
    <w:rsid w:val="00546665"/>
    <w:rsid w:val="00551AFE"/>
    <w:rsid w:val="00554667"/>
    <w:rsid w:val="0055503B"/>
    <w:rsid w:val="005554DB"/>
    <w:rsid w:val="005622E6"/>
    <w:rsid w:val="00562CBC"/>
    <w:rsid w:val="00564DAE"/>
    <w:rsid w:val="00566538"/>
    <w:rsid w:val="00566BF6"/>
    <w:rsid w:val="00567263"/>
    <w:rsid w:val="00570884"/>
    <w:rsid w:val="0057237A"/>
    <w:rsid w:val="00576330"/>
    <w:rsid w:val="0057641C"/>
    <w:rsid w:val="005766D2"/>
    <w:rsid w:val="0058062A"/>
    <w:rsid w:val="0058161E"/>
    <w:rsid w:val="00583669"/>
    <w:rsid w:val="00584275"/>
    <w:rsid w:val="00591D1A"/>
    <w:rsid w:val="00594251"/>
    <w:rsid w:val="005943D3"/>
    <w:rsid w:val="00594D89"/>
    <w:rsid w:val="005967C5"/>
    <w:rsid w:val="0059795A"/>
    <w:rsid w:val="005A28A3"/>
    <w:rsid w:val="005B2B9C"/>
    <w:rsid w:val="005C1972"/>
    <w:rsid w:val="005C1C66"/>
    <w:rsid w:val="005C390A"/>
    <w:rsid w:val="005C3AA9"/>
    <w:rsid w:val="005C54B4"/>
    <w:rsid w:val="005C78B2"/>
    <w:rsid w:val="005D164D"/>
    <w:rsid w:val="005D443B"/>
    <w:rsid w:val="005E1D9B"/>
    <w:rsid w:val="005E4167"/>
    <w:rsid w:val="005E4362"/>
    <w:rsid w:val="005E4607"/>
    <w:rsid w:val="005E7B26"/>
    <w:rsid w:val="005E7D63"/>
    <w:rsid w:val="005F41C9"/>
    <w:rsid w:val="005F4826"/>
    <w:rsid w:val="005F5E17"/>
    <w:rsid w:val="005F7EA1"/>
    <w:rsid w:val="00606ADB"/>
    <w:rsid w:val="00612E33"/>
    <w:rsid w:val="00614C63"/>
    <w:rsid w:val="00620404"/>
    <w:rsid w:val="00622668"/>
    <w:rsid w:val="00622B71"/>
    <w:rsid w:val="00622D63"/>
    <w:rsid w:val="00623607"/>
    <w:rsid w:val="00624E34"/>
    <w:rsid w:val="00624FB0"/>
    <w:rsid w:val="006311AD"/>
    <w:rsid w:val="00631637"/>
    <w:rsid w:val="00632F44"/>
    <w:rsid w:val="00634737"/>
    <w:rsid w:val="006402A6"/>
    <w:rsid w:val="006407D3"/>
    <w:rsid w:val="0064167D"/>
    <w:rsid w:val="00642B33"/>
    <w:rsid w:val="00642EF5"/>
    <w:rsid w:val="00646403"/>
    <w:rsid w:val="00650B9C"/>
    <w:rsid w:val="00650C1C"/>
    <w:rsid w:val="006516E5"/>
    <w:rsid w:val="00653597"/>
    <w:rsid w:val="006546B7"/>
    <w:rsid w:val="006622D1"/>
    <w:rsid w:val="006643AB"/>
    <w:rsid w:val="00670444"/>
    <w:rsid w:val="0067070B"/>
    <w:rsid w:val="00674057"/>
    <w:rsid w:val="00681C7F"/>
    <w:rsid w:val="00683FF5"/>
    <w:rsid w:val="00684BEF"/>
    <w:rsid w:val="00686744"/>
    <w:rsid w:val="00687351"/>
    <w:rsid w:val="00687DEB"/>
    <w:rsid w:val="006A1F70"/>
    <w:rsid w:val="006A4CE7"/>
    <w:rsid w:val="006A5D55"/>
    <w:rsid w:val="006A6D51"/>
    <w:rsid w:val="006A72D4"/>
    <w:rsid w:val="006B3510"/>
    <w:rsid w:val="006B74E7"/>
    <w:rsid w:val="006B7901"/>
    <w:rsid w:val="006C2BAC"/>
    <w:rsid w:val="006C5E5E"/>
    <w:rsid w:val="006C634E"/>
    <w:rsid w:val="006D346C"/>
    <w:rsid w:val="006D7E0F"/>
    <w:rsid w:val="006E0DF9"/>
    <w:rsid w:val="006E1B19"/>
    <w:rsid w:val="006E3F24"/>
    <w:rsid w:val="006E571C"/>
    <w:rsid w:val="006F0769"/>
    <w:rsid w:val="006F4974"/>
    <w:rsid w:val="00701486"/>
    <w:rsid w:val="00716029"/>
    <w:rsid w:val="00720E42"/>
    <w:rsid w:val="0073766B"/>
    <w:rsid w:val="0075492F"/>
    <w:rsid w:val="00756D1B"/>
    <w:rsid w:val="007617AA"/>
    <w:rsid w:val="00762A05"/>
    <w:rsid w:val="0076523C"/>
    <w:rsid w:val="00770BB8"/>
    <w:rsid w:val="00771003"/>
    <w:rsid w:val="0077214F"/>
    <w:rsid w:val="0077461F"/>
    <w:rsid w:val="0078126B"/>
    <w:rsid w:val="0078159B"/>
    <w:rsid w:val="00785261"/>
    <w:rsid w:val="007907A8"/>
    <w:rsid w:val="00790A43"/>
    <w:rsid w:val="00793785"/>
    <w:rsid w:val="007938F3"/>
    <w:rsid w:val="0079557B"/>
    <w:rsid w:val="00795D10"/>
    <w:rsid w:val="007A37E6"/>
    <w:rsid w:val="007A53DD"/>
    <w:rsid w:val="007B0256"/>
    <w:rsid w:val="007B1035"/>
    <w:rsid w:val="007B69DD"/>
    <w:rsid w:val="007B6C37"/>
    <w:rsid w:val="007C21AE"/>
    <w:rsid w:val="007C4060"/>
    <w:rsid w:val="007C5234"/>
    <w:rsid w:val="007D6273"/>
    <w:rsid w:val="007E01C7"/>
    <w:rsid w:val="007E15BE"/>
    <w:rsid w:val="007E4FAD"/>
    <w:rsid w:val="007E7792"/>
    <w:rsid w:val="007F44F6"/>
    <w:rsid w:val="007F6F78"/>
    <w:rsid w:val="00800394"/>
    <w:rsid w:val="00804684"/>
    <w:rsid w:val="00807CD7"/>
    <w:rsid w:val="00807E19"/>
    <w:rsid w:val="008155E5"/>
    <w:rsid w:val="00816CFA"/>
    <w:rsid w:val="0083135C"/>
    <w:rsid w:val="00831EAE"/>
    <w:rsid w:val="00841C22"/>
    <w:rsid w:val="00843C2F"/>
    <w:rsid w:val="008541F6"/>
    <w:rsid w:val="00860BE9"/>
    <w:rsid w:val="008669B7"/>
    <w:rsid w:val="008707FE"/>
    <w:rsid w:val="00871F28"/>
    <w:rsid w:val="0087318C"/>
    <w:rsid w:val="008761FF"/>
    <w:rsid w:val="00880063"/>
    <w:rsid w:val="00880E92"/>
    <w:rsid w:val="008843DA"/>
    <w:rsid w:val="008873E1"/>
    <w:rsid w:val="0088774F"/>
    <w:rsid w:val="008954BF"/>
    <w:rsid w:val="0089567E"/>
    <w:rsid w:val="00896466"/>
    <w:rsid w:val="008A7108"/>
    <w:rsid w:val="008B026E"/>
    <w:rsid w:val="008B1AA5"/>
    <w:rsid w:val="008B315F"/>
    <w:rsid w:val="008B4CF1"/>
    <w:rsid w:val="008D04D6"/>
    <w:rsid w:val="008D14F6"/>
    <w:rsid w:val="008D2D41"/>
    <w:rsid w:val="008D2FC2"/>
    <w:rsid w:val="008D5154"/>
    <w:rsid w:val="008D59CA"/>
    <w:rsid w:val="008D5B2E"/>
    <w:rsid w:val="008D68B6"/>
    <w:rsid w:val="008D7A97"/>
    <w:rsid w:val="008E1D0E"/>
    <w:rsid w:val="008E2AA8"/>
    <w:rsid w:val="008E2E06"/>
    <w:rsid w:val="008E320A"/>
    <w:rsid w:val="008F5702"/>
    <w:rsid w:val="0090001F"/>
    <w:rsid w:val="00900FC5"/>
    <w:rsid w:val="00901728"/>
    <w:rsid w:val="00901A83"/>
    <w:rsid w:val="009033EA"/>
    <w:rsid w:val="0090702B"/>
    <w:rsid w:val="009135DA"/>
    <w:rsid w:val="009140F6"/>
    <w:rsid w:val="00915A96"/>
    <w:rsid w:val="009225F0"/>
    <w:rsid w:val="00925633"/>
    <w:rsid w:val="00926288"/>
    <w:rsid w:val="00930624"/>
    <w:rsid w:val="00932E4A"/>
    <w:rsid w:val="00932E80"/>
    <w:rsid w:val="009332B3"/>
    <w:rsid w:val="00935A03"/>
    <w:rsid w:val="009370EC"/>
    <w:rsid w:val="009426E4"/>
    <w:rsid w:val="00943D3A"/>
    <w:rsid w:val="00946730"/>
    <w:rsid w:val="00946E6D"/>
    <w:rsid w:val="00950ACB"/>
    <w:rsid w:val="00950C24"/>
    <w:rsid w:val="0095196E"/>
    <w:rsid w:val="00956519"/>
    <w:rsid w:val="009577B0"/>
    <w:rsid w:val="00966756"/>
    <w:rsid w:val="00966F79"/>
    <w:rsid w:val="009674EA"/>
    <w:rsid w:val="009679E1"/>
    <w:rsid w:val="00970249"/>
    <w:rsid w:val="00970C88"/>
    <w:rsid w:val="0098388E"/>
    <w:rsid w:val="00985038"/>
    <w:rsid w:val="0099649B"/>
    <w:rsid w:val="00997585"/>
    <w:rsid w:val="009A1FBD"/>
    <w:rsid w:val="009A231F"/>
    <w:rsid w:val="009A2E52"/>
    <w:rsid w:val="009A3057"/>
    <w:rsid w:val="009A4EAB"/>
    <w:rsid w:val="009A4F37"/>
    <w:rsid w:val="009A5D3E"/>
    <w:rsid w:val="009A74B4"/>
    <w:rsid w:val="009A7CBA"/>
    <w:rsid w:val="009B01AA"/>
    <w:rsid w:val="009B0BF5"/>
    <w:rsid w:val="009B41CA"/>
    <w:rsid w:val="009B6083"/>
    <w:rsid w:val="009B71A9"/>
    <w:rsid w:val="009C2C5F"/>
    <w:rsid w:val="009C63A9"/>
    <w:rsid w:val="009C63B6"/>
    <w:rsid w:val="009C69EF"/>
    <w:rsid w:val="009D1BE5"/>
    <w:rsid w:val="009D29AE"/>
    <w:rsid w:val="009F393D"/>
    <w:rsid w:val="009F39CB"/>
    <w:rsid w:val="009F3C43"/>
    <w:rsid w:val="009F7AC5"/>
    <w:rsid w:val="00A00173"/>
    <w:rsid w:val="00A06B72"/>
    <w:rsid w:val="00A10A03"/>
    <w:rsid w:val="00A10CDF"/>
    <w:rsid w:val="00A17693"/>
    <w:rsid w:val="00A240B6"/>
    <w:rsid w:val="00A24D12"/>
    <w:rsid w:val="00A24F3C"/>
    <w:rsid w:val="00A27E85"/>
    <w:rsid w:val="00A3181F"/>
    <w:rsid w:val="00A3456A"/>
    <w:rsid w:val="00A367B4"/>
    <w:rsid w:val="00A375D4"/>
    <w:rsid w:val="00A37984"/>
    <w:rsid w:val="00A42690"/>
    <w:rsid w:val="00A4616D"/>
    <w:rsid w:val="00A5571A"/>
    <w:rsid w:val="00A560C3"/>
    <w:rsid w:val="00A570F9"/>
    <w:rsid w:val="00A57CD1"/>
    <w:rsid w:val="00A6045B"/>
    <w:rsid w:val="00A63D74"/>
    <w:rsid w:val="00A66DD0"/>
    <w:rsid w:val="00A67EAE"/>
    <w:rsid w:val="00A719D2"/>
    <w:rsid w:val="00A729A8"/>
    <w:rsid w:val="00A763EC"/>
    <w:rsid w:val="00A77427"/>
    <w:rsid w:val="00A80B4F"/>
    <w:rsid w:val="00A83A67"/>
    <w:rsid w:val="00A83EB7"/>
    <w:rsid w:val="00A85DBC"/>
    <w:rsid w:val="00A8767B"/>
    <w:rsid w:val="00A926E9"/>
    <w:rsid w:val="00A94C22"/>
    <w:rsid w:val="00A9635E"/>
    <w:rsid w:val="00AA0F80"/>
    <w:rsid w:val="00AA37AC"/>
    <w:rsid w:val="00AA45C6"/>
    <w:rsid w:val="00AA51E7"/>
    <w:rsid w:val="00AB2048"/>
    <w:rsid w:val="00AB7356"/>
    <w:rsid w:val="00AC271F"/>
    <w:rsid w:val="00AC635D"/>
    <w:rsid w:val="00AD1347"/>
    <w:rsid w:val="00AD1645"/>
    <w:rsid w:val="00AD49A6"/>
    <w:rsid w:val="00AD6084"/>
    <w:rsid w:val="00AD69FE"/>
    <w:rsid w:val="00AE11F6"/>
    <w:rsid w:val="00AE19FA"/>
    <w:rsid w:val="00AE3176"/>
    <w:rsid w:val="00AF012B"/>
    <w:rsid w:val="00AF0651"/>
    <w:rsid w:val="00AF0E6A"/>
    <w:rsid w:val="00AF3915"/>
    <w:rsid w:val="00AF7C2B"/>
    <w:rsid w:val="00B01538"/>
    <w:rsid w:val="00B01DB3"/>
    <w:rsid w:val="00B036B3"/>
    <w:rsid w:val="00B04EB0"/>
    <w:rsid w:val="00B164CA"/>
    <w:rsid w:val="00B2556B"/>
    <w:rsid w:val="00B261D9"/>
    <w:rsid w:val="00B306B8"/>
    <w:rsid w:val="00B30EF2"/>
    <w:rsid w:val="00B33E33"/>
    <w:rsid w:val="00B376E6"/>
    <w:rsid w:val="00B41CE8"/>
    <w:rsid w:val="00B43943"/>
    <w:rsid w:val="00B4402A"/>
    <w:rsid w:val="00B52B87"/>
    <w:rsid w:val="00B54C30"/>
    <w:rsid w:val="00B55B78"/>
    <w:rsid w:val="00B57278"/>
    <w:rsid w:val="00B60CE7"/>
    <w:rsid w:val="00B62C00"/>
    <w:rsid w:val="00B63D50"/>
    <w:rsid w:val="00B6472A"/>
    <w:rsid w:val="00B73680"/>
    <w:rsid w:val="00B7405F"/>
    <w:rsid w:val="00B74531"/>
    <w:rsid w:val="00B777D9"/>
    <w:rsid w:val="00B80A30"/>
    <w:rsid w:val="00B81AE8"/>
    <w:rsid w:val="00B821A0"/>
    <w:rsid w:val="00B94734"/>
    <w:rsid w:val="00B94925"/>
    <w:rsid w:val="00BA2DB9"/>
    <w:rsid w:val="00BB0D37"/>
    <w:rsid w:val="00BB0F00"/>
    <w:rsid w:val="00BB28EC"/>
    <w:rsid w:val="00BB2DA5"/>
    <w:rsid w:val="00BC35F6"/>
    <w:rsid w:val="00BC76EB"/>
    <w:rsid w:val="00BD22FA"/>
    <w:rsid w:val="00BD25AE"/>
    <w:rsid w:val="00BD44CB"/>
    <w:rsid w:val="00BD6467"/>
    <w:rsid w:val="00BD7E9D"/>
    <w:rsid w:val="00BE0170"/>
    <w:rsid w:val="00BE56A0"/>
    <w:rsid w:val="00BE5967"/>
    <w:rsid w:val="00BE7148"/>
    <w:rsid w:val="00BF2FB3"/>
    <w:rsid w:val="00BF3060"/>
    <w:rsid w:val="00BF5D5D"/>
    <w:rsid w:val="00C06E47"/>
    <w:rsid w:val="00C06E8F"/>
    <w:rsid w:val="00C07C9F"/>
    <w:rsid w:val="00C16B33"/>
    <w:rsid w:val="00C21C68"/>
    <w:rsid w:val="00C23C4A"/>
    <w:rsid w:val="00C2733D"/>
    <w:rsid w:val="00C3204C"/>
    <w:rsid w:val="00C33CF4"/>
    <w:rsid w:val="00C3470C"/>
    <w:rsid w:val="00C37944"/>
    <w:rsid w:val="00C37BA8"/>
    <w:rsid w:val="00C4511C"/>
    <w:rsid w:val="00C455A2"/>
    <w:rsid w:val="00C46758"/>
    <w:rsid w:val="00C52604"/>
    <w:rsid w:val="00C559BF"/>
    <w:rsid w:val="00C62A16"/>
    <w:rsid w:val="00C62A28"/>
    <w:rsid w:val="00C64F25"/>
    <w:rsid w:val="00C66CFA"/>
    <w:rsid w:val="00C7238E"/>
    <w:rsid w:val="00C73D6B"/>
    <w:rsid w:val="00C74B23"/>
    <w:rsid w:val="00C75283"/>
    <w:rsid w:val="00C77B41"/>
    <w:rsid w:val="00C84F3B"/>
    <w:rsid w:val="00C9063D"/>
    <w:rsid w:val="00C92272"/>
    <w:rsid w:val="00C94E45"/>
    <w:rsid w:val="00C967F4"/>
    <w:rsid w:val="00C96C6B"/>
    <w:rsid w:val="00CA33B2"/>
    <w:rsid w:val="00CA37A8"/>
    <w:rsid w:val="00CA3D78"/>
    <w:rsid w:val="00CA43C4"/>
    <w:rsid w:val="00CA5148"/>
    <w:rsid w:val="00CA6F15"/>
    <w:rsid w:val="00CA7E45"/>
    <w:rsid w:val="00CB344C"/>
    <w:rsid w:val="00CB42CE"/>
    <w:rsid w:val="00CC417E"/>
    <w:rsid w:val="00CC7EC4"/>
    <w:rsid w:val="00CD0DDB"/>
    <w:rsid w:val="00CD14CE"/>
    <w:rsid w:val="00CE1802"/>
    <w:rsid w:val="00CE36BF"/>
    <w:rsid w:val="00CF0527"/>
    <w:rsid w:val="00D00F6A"/>
    <w:rsid w:val="00D05C93"/>
    <w:rsid w:val="00D072C9"/>
    <w:rsid w:val="00D1706F"/>
    <w:rsid w:val="00D2075E"/>
    <w:rsid w:val="00D20C42"/>
    <w:rsid w:val="00D21D83"/>
    <w:rsid w:val="00D22C32"/>
    <w:rsid w:val="00D243C5"/>
    <w:rsid w:val="00D263BD"/>
    <w:rsid w:val="00D3071D"/>
    <w:rsid w:val="00D31C51"/>
    <w:rsid w:val="00D367AA"/>
    <w:rsid w:val="00D37C2C"/>
    <w:rsid w:val="00D42483"/>
    <w:rsid w:val="00D459E0"/>
    <w:rsid w:val="00D520A1"/>
    <w:rsid w:val="00D61C4B"/>
    <w:rsid w:val="00D637EC"/>
    <w:rsid w:val="00D64037"/>
    <w:rsid w:val="00D670FF"/>
    <w:rsid w:val="00D708CA"/>
    <w:rsid w:val="00D72F4B"/>
    <w:rsid w:val="00D82D12"/>
    <w:rsid w:val="00D849AE"/>
    <w:rsid w:val="00DB15F8"/>
    <w:rsid w:val="00DB1A4E"/>
    <w:rsid w:val="00DB6E7A"/>
    <w:rsid w:val="00DC517C"/>
    <w:rsid w:val="00DC765C"/>
    <w:rsid w:val="00DD3BC1"/>
    <w:rsid w:val="00DE0717"/>
    <w:rsid w:val="00DE3A1F"/>
    <w:rsid w:val="00DE5E13"/>
    <w:rsid w:val="00E003E0"/>
    <w:rsid w:val="00E00D9C"/>
    <w:rsid w:val="00E01E71"/>
    <w:rsid w:val="00E027AF"/>
    <w:rsid w:val="00E066F3"/>
    <w:rsid w:val="00E13E7F"/>
    <w:rsid w:val="00E15CFF"/>
    <w:rsid w:val="00E230ED"/>
    <w:rsid w:val="00E23AD2"/>
    <w:rsid w:val="00E23C53"/>
    <w:rsid w:val="00E2763B"/>
    <w:rsid w:val="00E32139"/>
    <w:rsid w:val="00E40645"/>
    <w:rsid w:val="00E44FD4"/>
    <w:rsid w:val="00E466B8"/>
    <w:rsid w:val="00E501F6"/>
    <w:rsid w:val="00E50FCA"/>
    <w:rsid w:val="00E539F4"/>
    <w:rsid w:val="00E675B0"/>
    <w:rsid w:val="00E708B1"/>
    <w:rsid w:val="00E72DC6"/>
    <w:rsid w:val="00E745BB"/>
    <w:rsid w:val="00E7583E"/>
    <w:rsid w:val="00E7675B"/>
    <w:rsid w:val="00E84259"/>
    <w:rsid w:val="00E87016"/>
    <w:rsid w:val="00E907A4"/>
    <w:rsid w:val="00E937B5"/>
    <w:rsid w:val="00E9738E"/>
    <w:rsid w:val="00EA0674"/>
    <w:rsid w:val="00EA16F9"/>
    <w:rsid w:val="00EA2DDC"/>
    <w:rsid w:val="00EA3666"/>
    <w:rsid w:val="00EA677D"/>
    <w:rsid w:val="00EA6829"/>
    <w:rsid w:val="00EA76C2"/>
    <w:rsid w:val="00EA7B56"/>
    <w:rsid w:val="00EB4793"/>
    <w:rsid w:val="00EB4E58"/>
    <w:rsid w:val="00EB51BC"/>
    <w:rsid w:val="00EC0C59"/>
    <w:rsid w:val="00EC25F5"/>
    <w:rsid w:val="00EC2CB9"/>
    <w:rsid w:val="00EC47F6"/>
    <w:rsid w:val="00EC5CFA"/>
    <w:rsid w:val="00ED022A"/>
    <w:rsid w:val="00ED1D5E"/>
    <w:rsid w:val="00ED6613"/>
    <w:rsid w:val="00EE043B"/>
    <w:rsid w:val="00EE2764"/>
    <w:rsid w:val="00EE5DD5"/>
    <w:rsid w:val="00EE6353"/>
    <w:rsid w:val="00EF54F0"/>
    <w:rsid w:val="00EF768C"/>
    <w:rsid w:val="00F0188B"/>
    <w:rsid w:val="00F02A18"/>
    <w:rsid w:val="00F0576D"/>
    <w:rsid w:val="00F108ED"/>
    <w:rsid w:val="00F10EC2"/>
    <w:rsid w:val="00F16E29"/>
    <w:rsid w:val="00F1740C"/>
    <w:rsid w:val="00F17E55"/>
    <w:rsid w:val="00F204D3"/>
    <w:rsid w:val="00F227A4"/>
    <w:rsid w:val="00F23C01"/>
    <w:rsid w:val="00F2540F"/>
    <w:rsid w:val="00F267A6"/>
    <w:rsid w:val="00F328DA"/>
    <w:rsid w:val="00F35271"/>
    <w:rsid w:val="00F35580"/>
    <w:rsid w:val="00F37190"/>
    <w:rsid w:val="00F41055"/>
    <w:rsid w:val="00F502A9"/>
    <w:rsid w:val="00F52853"/>
    <w:rsid w:val="00F56AE0"/>
    <w:rsid w:val="00F61A88"/>
    <w:rsid w:val="00F62582"/>
    <w:rsid w:val="00F66B31"/>
    <w:rsid w:val="00F73F55"/>
    <w:rsid w:val="00F7526E"/>
    <w:rsid w:val="00F754A3"/>
    <w:rsid w:val="00F878FA"/>
    <w:rsid w:val="00F910F6"/>
    <w:rsid w:val="00F925B9"/>
    <w:rsid w:val="00FA1E8C"/>
    <w:rsid w:val="00FA3952"/>
    <w:rsid w:val="00FA59B5"/>
    <w:rsid w:val="00FA6F53"/>
    <w:rsid w:val="00FA7196"/>
    <w:rsid w:val="00FB030F"/>
    <w:rsid w:val="00FB56AA"/>
    <w:rsid w:val="00FC34CF"/>
    <w:rsid w:val="00FD2F20"/>
    <w:rsid w:val="00FD368E"/>
    <w:rsid w:val="00FD55F1"/>
    <w:rsid w:val="00FD6BF4"/>
    <w:rsid w:val="00FD7A80"/>
    <w:rsid w:val="00FE2339"/>
    <w:rsid w:val="00FE5C69"/>
    <w:rsid w:val="00FE6624"/>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2E8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ActHead5Char">
    <w:name w:val="ActHead 5 Char"/>
    <w:aliases w:val="s Char"/>
    <w:link w:val="ActHead5"/>
    <w:locked/>
    <w:rsid w:val="001173FA"/>
    <w:rPr>
      <w:rFonts w:ascii="Times New Roman" w:eastAsia="Times New Roman" w:hAnsi="Times New Roman" w:cs="Times New Roman"/>
      <w:b/>
      <w:kern w:val="28"/>
      <w:sz w:val="24"/>
      <w:lang w:eastAsia="en-AU"/>
    </w:rPr>
  </w:style>
  <w:style w:type="paragraph" w:customStyle="1" w:styleId="subsection">
    <w:name w:val="subsection"/>
    <w:aliases w:val="ss"/>
    <w:basedOn w:val="Normal"/>
    <w:link w:val="subsectionChar"/>
    <w:rsid w:val="001173FA"/>
    <w:pPr>
      <w:tabs>
        <w:tab w:val="right" w:pos="1021"/>
      </w:tabs>
      <w:spacing w:before="180"/>
      <w:ind w:left="1134" w:hanging="1134"/>
    </w:pPr>
    <w:rPr>
      <w:sz w:val="22"/>
    </w:rPr>
  </w:style>
  <w:style w:type="paragraph" w:customStyle="1" w:styleId="ActHead5">
    <w:name w:val="ActHead 5"/>
    <w:aliases w:val="s"/>
    <w:basedOn w:val="Normal"/>
    <w:next w:val="subsection"/>
    <w:link w:val="ActHead5Char"/>
    <w:qFormat/>
    <w:rsid w:val="001173FA"/>
    <w:pPr>
      <w:keepNext/>
      <w:keepLines/>
      <w:spacing w:before="280"/>
      <w:ind w:left="1134" w:hanging="1134"/>
      <w:outlineLvl w:val="4"/>
    </w:pPr>
    <w:rPr>
      <w:b/>
      <w:kern w:val="28"/>
      <w:szCs w:val="22"/>
    </w:rPr>
  </w:style>
  <w:style w:type="character" w:customStyle="1" w:styleId="subsectionChar">
    <w:name w:val="subsection Char"/>
    <w:aliases w:val="ss Char"/>
    <w:basedOn w:val="DefaultParagraphFont"/>
    <w:link w:val="subsection"/>
    <w:locked/>
    <w:rsid w:val="001173FA"/>
    <w:rPr>
      <w:rFonts w:ascii="Times New Roman" w:eastAsia="Times New Roman" w:hAnsi="Times New Roman" w:cs="Times New Roman"/>
      <w:szCs w:val="20"/>
      <w:lang w:eastAsia="en-AU"/>
    </w:rPr>
  </w:style>
  <w:style w:type="character" w:customStyle="1" w:styleId="CharSectno">
    <w:name w:val="CharSectno"/>
    <w:basedOn w:val="DefaultParagraphFont"/>
    <w:qFormat/>
    <w:rsid w:val="001173FA"/>
  </w:style>
  <w:style w:type="paragraph" w:customStyle="1" w:styleId="dotpoint">
    <w:name w:val="dotpoint"/>
    <w:basedOn w:val="Normal"/>
    <w:rsid w:val="006B74E7"/>
    <w:pPr>
      <w:spacing w:before="100" w:beforeAutospacing="1" w:after="100" w:afterAutospacing="1"/>
    </w:pPr>
    <w:rPr>
      <w:szCs w:val="24"/>
    </w:rPr>
  </w:style>
  <w:style w:type="paragraph" w:customStyle="1" w:styleId="base-text-paragraph">
    <w:name w:val="base-text-paragraph"/>
    <w:basedOn w:val="Normal"/>
    <w:rsid w:val="006B74E7"/>
    <w:pPr>
      <w:spacing w:before="100" w:beforeAutospacing="1" w:after="100" w:afterAutospacing="1"/>
    </w:pPr>
    <w:rPr>
      <w:szCs w:val="24"/>
    </w:rPr>
  </w:style>
  <w:style w:type="paragraph" w:styleId="Revision">
    <w:name w:val="Revision"/>
    <w:hidden/>
    <w:uiPriority w:val="99"/>
    <w:semiHidden/>
    <w:rsid w:val="00E4064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727">
      <w:bodyDiv w:val="1"/>
      <w:marLeft w:val="0"/>
      <w:marRight w:val="0"/>
      <w:marTop w:val="0"/>
      <w:marBottom w:val="0"/>
      <w:divBdr>
        <w:top w:val="none" w:sz="0" w:space="0" w:color="auto"/>
        <w:left w:val="none" w:sz="0" w:space="0" w:color="auto"/>
        <w:bottom w:val="none" w:sz="0" w:space="0" w:color="auto"/>
        <w:right w:val="none" w:sz="0" w:space="0" w:color="auto"/>
      </w:divBdr>
    </w:div>
    <w:div w:id="243683870">
      <w:bodyDiv w:val="1"/>
      <w:marLeft w:val="0"/>
      <w:marRight w:val="0"/>
      <w:marTop w:val="0"/>
      <w:marBottom w:val="0"/>
      <w:divBdr>
        <w:top w:val="none" w:sz="0" w:space="0" w:color="auto"/>
        <w:left w:val="none" w:sz="0" w:space="0" w:color="auto"/>
        <w:bottom w:val="none" w:sz="0" w:space="0" w:color="auto"/>
        <w:right w:val="none" w:sz="0" w:space="0" w:color="auto"/>
      </w:divBdr>
    </w:div>
    <w:div w:id="374042032">
      <w:bodyDiv w:val="1"/>
      <w:marLeft w:val="0"/>
      <w:marRight w:val="0"/>
      <w:marTop w:val="0"/>
      <w:marBottom w:val="0"/>
      <w:divBdr>
        <w:top w:val="none" w:sz="0" w:space="0" w:color="auto"/>
        <w:left w:val="none" w:sz="0" w:space="0" w:color="auto"/>
        <w:bottom w:val="none" w:sz="0" w:space="0" w:color="auto"/>
        <w:right w:val="none" w:sz="0" w:space="0" w:color="auto"/>
      </w:divBdr>
    </w:div>
    <w:div w:id="394088551">
      <w:bodyDiv w:val="1"/>
      <w:marLeft w:val="0"/>
      <w:marRight w:val="0"/>
      <w:marTop w:val="0"/>
      <w:marBottom w:val="0"/>
      <w:divBdr>
        <w:top w:val="none" w:sz="0" w:space="0" w:color="auto"/>
        <w:left w:val="none" w:sz="0" w:space="0" w:color="auto"/>
        <w:bottom w:val="none" w:sz="0" w:space="0" w:color="auto"/>
        <w:right w:val="none" w:sz="0" w:space="0" w:color="auto"/>
      </w:divBdr>
    </w:div>
    <w:div w:id="573515499">
      <w:bodyDiv w:val="1"/>
      <w:marLeft w:val="0"/>
      <w:marRight w:val="0"/>
      <w:marTop w:val="0"/>
      <w:marBottom w:val="0"/>
      <w:divBdr>
        <w:top w:val="none" w:sz="0" w:space="0" w:color="auto"/>
        <w:left w:val="none" w:sz="0" w:space="0" w:color="auto"/>
        <w:bottom w:val="none" w:sz="0" w:space="0" w:color="auto"/>
        <w:right w:val="none" w:sz="0" w:space="0" w:color="auto"/>
      </w:divBdr>
    </w:div>
    <w:div w:id="583689349">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433927">
      <w:bodyDiv w:val="1"/>
      <w:marLeft w:val="0"/>
      <w:marRight w:val="0"/>
      <w:marTop w:val="0"/>
      <w:marBottom w:val="0"/>
      <w:divBdr>
        <w:top w:val="none" w:sz="0" w:space="0" w:color="auto"/>
        <w:left w:val="none" w:sz="0" w:space="0" w:color="auto"/>
        <w:bottom w:val="none" w:sz="0" w:space="0" w:color="auto"/>
        <w:right w:val="none" w:sz="0" w:space="0" w:color="auto"/>
      </w:divBdr>
    </w:div>
    <w:div w:id="1193763659">
      <w:bodyDiv w:val="1"/>
      <w:marLeft w:val="0"/>
      <w:marRight w:val="0"/>
      <w:marTop w:val="0"/>
      <w:marBottom w:val="0"/>
      <w:divBdr>
        <w:top w:val="none" w:sz="0" w:space="0" w:color="auto"/>
        <w:left w:val="none" w:sz="0" w:space="0" w:color="auto"/>
        <w:bottom w:val="none" w:sz="0" w:space="0" w:color="auto"/>
        <w:right w:val="none" w:sz="0" w:space="0" w:color="auto"/>
      </w:divBdr>
    </w:div>
    <w:div w:id="1282808276">
      <w:bodyDiv w:val="1"/>
      <w:marLeft w:val="0"/>
      <w:marRight w:val="0"/>
      <w:marTop w:val="0"/>
      <w:marBottom w:val="0"/>
      <w:divBdr>
        <w:top w:val="none" w:sz="0" w:space="0" w:color="auto"/>
        <w:left w:val="none" w:sz="0" w:space="0" w:color="auto"/>
        <w:bottom w:val="none" w:sz="0" w:space="0" w:color="auto"/>
        <w:right w:val="none" w:sz="0" w:space="0" w:color="auto"/>
      </w:divBdr>
    </w:div>
    <w:div w:id="1397120253">
      <w:bodyDiv w:val="1"/>
      <w:marLeft w:val="0"/>
      <w:marRight w:val="0"/>
      <w:marTop w:val="0"/>
      <w:marBottom w:val="0"/>
      <w:divBdr>
        <w:top w:val="none" w:sz="0" w:space="0" w:color="auto"/>
        <w:left w:val="none" w:sz="0" w:space="0" w:color="auto"/>
        <w:bottom w:val="none" w:sz="0" w:space="0" w:color="auto"/>
        <w:right w:val="none" w:sz="0" w:space="0" w:color="auto"/>
      </w:divBdr>
      <w:divsChild>
        <w:div w:id="1360475779">
          <w:marLeft w:val="0"/>
          <w:marRight w:val="0"/>
          <w:marTop w:val="0"/>
          <w:marBottom w:val="0"/>
          <w:divBdr>
            <w:top w:val="none" w:sz="0" w:space="0" w:color="auto"/>
            <w:left w:val="none" w:sz="0" w:space="0" w:color="auto"/>
            <w:bottom w:val="none" w:sz="0" w:space="0" w:color="auto"/>
            <w:right w:val="none" w:sz="0" w:space="0" w:color="auto"/>
          </w:divBdr>
          <w:divsChild>
            <w:div w:id="372048628">
              <w:marLeft w:val="0"/>
              <w:marRight w:val="0"/>
              <w:marTop w:val="0"/>
              <w:marBottom w:val="0"/>
              <w:divBdr>
                <w:top w:val="none" w:sz="0" w:space="0" w:color="auto"/>
                <w:left w:val="none" w:sz="0" w:space="0" w:color="auto"/>
                <w:bottom w:val="none" w:sz="0" w:space="0" w:color="auto"/>
                <w:right w:val="none" w:sz="0" w:space="0" w:color="auto"/>
              </w:divBdr>
              <w:divsChild>
                <w:div w:id="184371446">
                  <w:marLeft w:val="0"/>
                  <w:marRight w:val="0"/>
                  <w:marTop w:val="0"/>
                  <w:marBottom w:val="0"/>
                  <w:divBdr>
                    <w:top w:val="none" w:sz="0" w:space="0" w:color="auto"/>
                    <w:left w:val="none" w:sz="0" w:space="0" w:color="auto"/>
                    <w:bottom w:val="none" w:sz="0" w:space="0" w:color="auto"/>
                    <w:right w:val="none" w:sz="0" w:space="0" w:color="auto"/>
                  </w:divBdr>
                  <w:divsChild>
                    <w:div w:id="2127456090">
                      <w:marLeft w:val="0"/>
                      <w:marRight w:val="0"/>
                      <w:marTop w:val="0"/>
                      <w:marBottom w:val="0"/>
                      <w:divBdr>
                        <w:top w:val="none" w:sz="0" w:space="0" w:color="auto"/>
                        <w:left w:val="none" w:sz="0" w:space="0" w:color="auto"/>
                        <w:bottom w:val="none" w:sz="0" w:space="0" w:color="auto"/>
                        <w:right w:val="none" w:sz="0" w:space="0" w:color="auto"/>
                      </w:divBdr>
                      <w:divsChild>
                        <w:div w:id="95176205">
                          <w:marLeft w:val="0"/>
                          <w:marRight w:val="0"/>
                          <w:marTop w:val="0"/>
                          <w:marBottom w:val="0"/>
                          <w:divBdr>
                            <w:top w:val="none" w:sz="0" w:space="0" w:color="auto"/>
                            <w:left w:val="none" w:sz="0" w:space="0" w:color="auto"/>
                            <w:bottom w:val="none" w:sz="0" w:space="0" w:color="auto"/>
                            <w:right w:val="none" w:sz="0" w:space="0" w:color="auto"/>
                          </w:divBdr>
                          <w:divsChild>
                            <w:div w:id="1982424712">
                              <w:marLeft w:val="0"/>
                              <w:marRight w:val="0"/>
                              <w:marTop w:val="0"/>
                              <w:marBottom w:val="0"/>
                              <w:divBdr>
                                <w:top w:val="none" w:sz="0" w:space="0" w:color="auto"/>
                                <w:left w:val="none" w:sz="0" w:space="0" w:color="auto"/>
                                <w:bottom w:val="none" w:sz="0" w:space="0" w:color="auto"/>
                                <w:right w:val="none" w:sz="0" w:space="0" w:color="auto"/>
                              </w:divBdr>
                              <w:divsChild>
                                <w:div w:id="878519241">
                                  <w:marLeft w:val="0"/>
                                  <w:marRight w:val="0"/>
                                  <w:marTop w:val="0"/>
                                  <w:marBottom w:val="0"/>
                                  <w:divBdr>
                                    <w:top w:val="none" w:sz="0" w:space="0" w:color="auto"/>
                                    <w:left w:val="none" w:sz="0" w:space="0" w:color="auto"/>
                                    <w:bottom w:val="none" w:sz="0" w:space="0" w:color="auto"/>
                                    <w:right w:val="none" w:sz="0" w:space="0" w:color="auto"/>
                                  </w:divBdr>
                                  <w:divsChild>
                                    <w:div w:id="411701197">
                                      <w:marLeft w:val="0"/>
                                      <w:marRight w:val="0"/>
                                      <w:marTop w:val="0"/>
                                      <w:marBottom w:val="0"/>
                                      <w:divBdr>
                                        <w:top w:val="none" w:sz="0" w:space="0" w:color="auto"/>
                                        <w:left w:val="none" w:sz="0" w:space="0" w:color="auto"/>
                                        <w:bottom w:val="none" w:sz="0" w:space="0" w:color="auto"/>
                                        <w:right w:val="none" w:sz="0" w:space="0" w:color="auto"/>
                                      </w:divBdr>
                                      <w:divsChild>
                                        <w:div w:id="1792237222">
                                          <w:marLeft w:val="0"/>
                                          <w:marRight w:val="0"/>
                                          <w:marTop w:val="0"/>
                                          <w:marBottom w:val="0"/>
                                          <w:divBdr>
                                            <w:top w:val="none" w:sz="0" w:space="0" w:color="auto"/>
                                            <w:left w:val="none" w:sz="0" w:space="0" w:color="auto"/>
                                            <w:bottom w:val="none" w:sz="0" w:space="0" w:color="auto"/>
                                            <w:right w:val="none" w:sz="0" w:space="0" w:color="auto"/>
                                          </w:divBdr>
                                          <w:divsChild>
                                            <w:div w:id="2019382668">
                                              <w:marLeft w:val="0"/>
                                              <w:marRight w:val="0"/>
                                              <w:marTop w:val="0"/>
                                              <w:marBottom w:val="0"/>
                                              <w:divBdr>
                                                <w:top w:val="none" w:sz="0" w:space="0" w:color="auto"/>
                                                <w:left w:val="none" w:sz="0" w:space="0" w:color="auto"/>
                                                <w:bottom w:val="none" w:sz="0" w:space="0" w:color="auto"/>
                                                <w:right w:val="none" w:sz="0" w:space="0" w:color="auto"/>
                                              </w:divBdr>
                                              <w:divsChild>
                                                <w:div w:id="466823701">
                                                  <w:marLeft w:val="0"/>
                                                  <w:marRight w:val="0"/>
                                                  <w:marTop w:val="0"/>
                                                  <w:marBottom w:val="0"/>
                                                  <w:divBdr>
                                                    <w:top w:val="none" w:sz="0" w:space="0" w:color="auto"/>
                                                    <w:left w:val="none" w:sz="0" w:space="0" w:color="auto"/>
                                                    <w:bottom w:val="none" w:sz="0" w:space="0" w:color="auto"/>
                                                    <w:right w:val="none" w:sz="0" w:space="0" w:color="auto"/>
                                                  </w:divBdr>
                                                  <w:divsChild>
                                                    <w:div w:id="871116480">
                                                      <w:marLeft w:val="0"/>
                                                      <w:marRight w:val="0"/>
                                                      <w:marTop w:val="0"/>
                                                      <w:marBottom w:val="0"/>
                                                      <w:divBdr>
                                                        <w:top w:val="none" w:sz="0" w:space="0" w:color="auto"/>
                                                        <w:left w:val="none" w:sz="0" w:space="0" w:color="auto"/>
                                                        <w:bottom w:val="none" w:sz="0" w:space="0" w:color="auto"/>
                                                        <w:right w:val="none" w:sz="0" w:space="0" w:color="auto"/>
                                                      </w:divBdr>
                                                      <w:divsChild>
                                                        <w:div w:id="13901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380954">
      <w:bodyDiv w:val="1"/>
      <w:marLeft w:val="0"/>
      <w:marRight w:val="0"/>
      <w:marTop w:val="0"/>
      <w:marBottom w:val="0"/>
      <w:divBdr>
        <w:top w:val="none" w:sz="0" w:space="0" w:color="auto"/>
        <w:left w:val="none" w:sz="0" w:space="0" w:color="auto"/>
        <w:bottom w:val="none" w:sz="0" w:space="0" w:color="auto"/>
        <w:right w:val="none" w:sz="0" w:space="0" w:color="auto"/>
      </w:divBdr>
    </w:div>
    <w:div w:id="1596161991">
      <w:bodyDiv w:val="1"/>
      <w:marLeft w:val="0"/>
      <w:marRight w:val="0"/>
      <w:marTop w:val="0"/>
      <w:marBottom w:val="0"/>
      <w:divBdr>
        <w:top w:val="none" w:sz="0" w:space="0" w:color="auto"/>
        <w:left w:val="none" w:sz="0" w:space="0" w:color="auto"/>
        <w:bottom w:val="none" w:sz="0" w:space="0" w:color="auto"/>
        <w:right w:val="none" w:sz="0" w:space="0" w:color="auto"/>
      </w:divBdr>
    </w:div>
    <w:div w:id="1603563456">
      <w:bodyDiv w:val="1"/>
      <w:marLeft w:val="0"/>
      <w:marRight w:val="0"/>
      <w:marTop w:val="0"/>
      <w:marBottom w:val="0"/>
      <w:divBdr>
        <w:top w:val="none" w:sz="0" w:space="0" w:color="auto"/>
        <w:left w:val="none" w:sz="0" w:space="0" w:color="auto"/>
        <w:bottom w:val="none" w:sz="0" w:space="0" w:color="auto"/>
        <w:right w:val="none" w:sz="0" w:space="0" w:color="auto"/>
      </w:divBdr>
      <w:divsChild>
        <w:div w:id="1398549336">
          <w:marLeft w:val="0"/>
          <w:marRight w:val="0"/>
          <w:marTop w:val="0"/>
          <w:marBottom w:val="0"/>
          <w:divBdr>
            <w:top w:val="none" w:sz="0" w:space="0" w:color="auto"/>
            <w:left w:val="none" w:sz="0" w:space="0" w:color="auto"/>
            <w:bottom w:val="none" w:sz="0" w:space="0" w:color="auto"/>
            <w:right w:val="none" w:sz="0" w:space="0" w:color="auto"/>
          </w:divBdr>
          <w:divsChild>
            <w:div w:id="485248848">
              <w:marLeft w:val="0"/>
              <w:marRight w:val="0"/>
              <w:marTop w:val="0"/>
              <w:marBottom w:val="0"/>
              <w:divBdr>
                <w:top w:val="none" w:sz="0" w:space="0" w:color="auto"/>
                <w:left w:val="none" w:sz="0" w:space="0" w:color="auto"/>
                <w:bottom w:val="none" w:sz="0" w:space="0" w:color="auto"/>
                <w:right w:val="none" w:sz="0" w:space="0" w:color="auto"/>
              </w:divBdr>
              <w:divsChild>
                <w:div w:id="107094076">
                  <w:marLeft w:val="0"/>
                  <w:marRight w:val="0"/>
                  <w:marTop w:val="0"/>
                  <w:marBottom w:val="0"/>
                  <w:divBdr>
                    <w:top w:val="none" w:sz="0" w:space="0" w:color="auto"/>
                    <w:left w:val="none" w:sz="0" w:space="0" w:color="auto"/>
                    <w:bottom w:val="none" w:sz="0" w:space="0" w:color="auto"/>
                    <w:right w:val="none" w:sz="0" w:space="0" w:color="auto"/>
                  </w:divBdr>
                  <w:divsChild>
                    <w:div w:id="288512640">
                      <w:marLeft w:val="0"/>
                      <w:marRight w:val="0"/>
                      <w:marTop w:val="0"/>
                      <w:marBottom w:val="0"/>
                      <w:divBdr>
                        <w:top w:val="none" w:sz="0" w:space="0" w:color="auto"/>
                        <w:left w:val="none" w:sz="0" w:space="0" w:color="auto"/>
                        <w:bottom w:val="none" w:sz="0" w:space="0" w:color="auto"/>
                        <w:right w:val="none" w:sz="0" w:space="0" w:color="auto"/>
                      </w:divBdr>
                      <w:divsChild>
                        <w:div w:id="1865316424">
                          <w:marLeft w:val="0"/>
                          <w:marRight w:val="0"/>
                          <w:marTop w:val="0"/>
                          <w:marBottom w:val="0"/>
                          <w:divBdr>
                            <w:top w:val="none" w:sz="0" w:space="0" w:color="auto"/>
                            <w:left w:val="none" w:sz="0" w:space="0" w:color="auto"/>
                            <w:bottom w:val="none" w:sz="0" w:space="0" w:color="auto"/>
                            <w:right w:val="none" w:sz="0" w:space="0" w:color="auto"/>
                          </w:divBdr>
                          <w:divsChild>
                            <w:div w:id="602999431">
                              <w:marLeft w:val="0"/>
                              <w:marRight w:val="0"/>
                              <w:marTop w:val="0"/>
                              <w:marBottom w:val="0"/>
                              <w:divBdr>
                                <w:top w:val="none" w:sz="0" w:space="0" w:color="auto"/>
                                <w:left w:val="none" w:sz="0" w:space="0" w:color="auto"/>
                                <w:bottom w:val="none" w:sz="0" w:space="0" w:color="auto"/>
                                <w:right w:val="none" w:sz="0" w:space="0" w:color="auto"/>
                              </w:divBdr>
                              <w:divsChild>
                                <w:div w:id="1009983751">
                                  <w:marLeft w:val="0"/>
                                  <w:marRight w:val="0"/>
                                  <w:marTop w:val="0"/>
                                  <w:marBottom w:val="0"/>
                                  <w:divBdr>
                                    <w:top w:val="none" w:sz="0" w:space="0" w:color="auto"/>
                                    <w:left w:val="none" w:sz="0" w:space="0" w:color="auto"/>
                                    <w:bottom w:val="none" w:sz="0" w:space="0" w:color="auto"/>
                                    <w:right w:val="none" w:sz="0" w:space="0" w:color="auto"/>
                                  </w:divBdr>
                                  <w:divsChild>
                                    <w:div w:id="825784954">
                                      <w:marLeft w:val="0"/>
                                      <w:marRight w:val="0"/>
                                      <w:marTop w:val="0"/>
                                      <w:marBottom w:val="0"/>
                                      <w:divBdr>
                                        <w:top w:val="none" w:sz="0" w:space="0" w:color="auto"/>
                                        <w:left w:val="none" w:sz="0" w:space="0" w:color="auto"/>
                                        <w:bottom w:val="none" w:sz="0" w:space="0" w:color="auto"/>
                                        <w:right w:val="none" w:sz="0" w:space="0" w:color="auto"/>
                                      </w:divBdr>
                                      <w:divsChild>
                                        <w:div w:id="44106230">
                                          <w:marLeft w:val="0"/>
                                          <w:marRight w:val="0"/>
                                          <w:marTop w:val="0"/>
                                          <w:marBottom w:val="0"/>
                                          <w:divBdr>
                                            <w:top w:val="none" w:sz="0" w:space="0" w:color="auto"/>
                                            <w:left w:val="none" w:sz="0" w:space="0" w:color="auto"/>
                                            <w:bottom w:val="none" w:sz="0" w:space="0" w:color="auto"/>
                                            <w:right w:val="none" w:sz="0" w:space="0" w:color="auto"/>
                                          </w:divBdr>
                                          <w:divsChild>
                                            <w:div w:id="311103142">
                                              <w:marLeft w:val="0"/>
                                              <w:marRight w:val="0"/>
                                              <w:marTop w:val="0"/>
                                              <w:marBottom w:val="0"/>
                                              <w:divBdr>
                                                <w:top w:val="none" w:sz="0" w:space="0" w:color="auto"/>
                                                <w:left w:val="none" w:sz="0" w:space="0" w:color="auto"/>
                                                <w:bottom w:val="none" w:sz="0" w:space="0" w:color="auto"/>
                                                <w:right w:val="none" w:sz="0" w:space="0" w:color="auto"/>
                                              </w:divBdr>
                                              <w:divsChild>
                                                <w:div w:id="837694598">
                                                  <w:marLeft w:val="0"/>
                                                  <w:marRight w:val="0"/>
                                                  <w:marTop w:val="0"/>
                                                  <w:marBottom w:val="0"/>
                                                  <w:divBdr>
                                                    <w:top w:val="none" w:sz="0" w:space="0" w:color="auto"/>
                                                    <w:left w:val="none" w:sz="0" w:space="0" w:color="auto"/>
                                                    <w:bottom w:val="none" w:sz="0" w:space="0" w:color="auto"/>
                                                    <w:right w:val="none" w:sz="0" w:space="0" w:color="auto"/>
                                                  </w:divBdr>
                                                  <w:divsChild>
                                                    <w:div w:id="1579441236">
                                                      <w:marLeft w:val="0"/>
                                                      <w:marRight w:val="0"/>
                                                      <w:marTop w:val="0"/>
                                                      <w:marBottom w:val="0"/>
                                                      <w:divBdr>
                                                        <w:top w:val="none" w:sz="0" w:space="0" w:color="auto"/>
                                                        <w:left w:val="none" w:sz="0" w:space="0" w:color="auto"/>
                                                        <w:bottom w:val="none" w:sz="0" w:space="0" w:color="auto"/>
                                                        <w:right w:val="none" w:sz="0" w:space="0" w:color="auto"/>
                                                      </w:divBdr>
                                                      <w:divsChild>
                                                        <w:div w:id="6823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45305">
      <w:bodyDiv w:val="1"/>
      <w:marLeft w:val="0"/>
      <w:marRight w:val="0"/>
      <w:marTop w:val="0"/>
      <w:marBottom w:val="0"/>
      <w:divBdr>
        <w:top w:val="none" w:sz="0" w:space="0" w:color="auto"/>
        <w:left w:val="none" w:sz="0" w:space="0" w:color="auto"/>
        <w:bottom w:val="none" w:sz="0" w:space="0" w:color="auto"/>
        <w:right w:val="none" w:sz="0" w:space="0" w:color="auto"/>
      </w:divBdr>
    </w:div>
    <w:div w:id="1677731994">
      <w:bodyDiv w:val="1"/>
      <w:marLeft w:val="0"/>
      <w:marRight w:val="0"/>
      <w:marTop w:val="0"/>
      <w:marBottom w:val="0"/>
      <w:divBdr>
        <w:top w:val="none" w:sz="0" w:space="0" w:color="auto"/>
        <w:left w:val="none" w:sz="0" w:space="0" w:color="auto"/>
        <w:bottom w:val="none" w:sz="0" w:space="0" w:color="auto"/>
        <w:right w:val="none" w:sz="0" w:space="0" w:color="auto"/>
      </w:divBdr>
    </w:div>
    <w:div w:id="1677880183">
      <w:bodyDiv w:val="1"/>
      <w:marLeft w:val="0"/>
      <w:marRight w:val="0"/>
      <w:marTop w:val="0"/>
      <w:marBottom w:val="0"/>
      <w:divBdr>
        <w:top w:val="none" w:sz="0" w:space="0" w:color="auto"/>
        <w:left w:val="none" w:sz="0" w:space="0" w:color="auto"/>
        <w:bottom w:val="none" w:sz="0" w:space="0" w:color="auto"/>
        <w:right w:val="none" w:sz="0" w:space="0" w:color="auto"/>
      </w:divBdr>
    </w:div>
    <w:div w:id="174807343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427690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9019">
      <w:bodyDiv w:val="1"/>
      <w:marLeft w:val="0"/>
      <w:marRight w:val="0"/>
      <w:marTop w:val="0"/>
      <w:marBottom w:val="0"/>
      <w:divBdr>
        <w:top w:val="none" w:sz="0" w:space="0" w:color="auto"/>
        <w:left w:val="none" w:sz="0" w:space="0" w:color="auto"/>
        <w:bottom w:val="none" w:sz="0" w:space="0" w:color="auto"/>
        <w:right w:val="none" w:sz="0" w:space="0" w:color="auto"/>
      </w:divBdr>
    </w:div>
    <w:div w:id="2082756111">
      <w:bodyDiv w:val="1"/>
      <w:marLeft w:val="0"/>
      <w:marRight w:val="0"/>
      <w:marTop w:val="0"/>
      <w:marBottom w:val="0"/>
      <w:divBdr>
        <w:top w:val="none" w:sz="0" w:space="0" w:color="auto"/>
        <w:left w:val="none" w:sz="0" w:space="0" w:color="auto"/>
        <w:bottom w:val="none" w:sz="0" w:space="0" w:color="auto"/>
        <w:right w:val="none" w:sz="0" w:space="0" w:color="auto"/>
      </w:divBdr>
      <w:divsChild>
        <w:div w:id="1382368617">
          <w:marLeft w:val="0"/>
          <w:marRight w:val="0"/>
          <w:marTop w:val="0"/>
          <w:marBottom w:val="0"/>
          <w:divBdr>
            <w:top w:val="none" w:sz="0" w:space="0" w:color="auto"/>
            <w:left w:val="none" w:sz="0" w:space="0" w:color="auto"/>
            <w:bottom w:val="none" w:sz="0" w:space="0" w:color="auto"/>
            <w:right w:val="none" w:sz="0" w:space="0" w:color="auto"/>
          </w:divBdr>
          <w:divsChild>
            <w:div w:id="883519504">
              <w:marLeft w:val="0"/>
              <w:marRight w:val="0"/>
              <w:marTop w:val="0"/>
              <w:marBottom w:val="0"/>
              <w:divBdr>
                <w:top w:val="none" w:sz="0" w:space="0" w:color="auto"/>
                <w:left w:val="none" w:sz="0" w:space="0" w:color="auto"/>
                <w:bottom w:val="none" w:sz="0" w:space="0" w:color="auto"/>
                <w:right w:val="none" w:sz="0" w:space="0" w:color="auto"/>
              </w:divBdr>
              <w:divsChild>
                <w:div w:id="1493718677">
                  <w:marLeft w:val="0"/>
                  <w:marRight w:val="0"/>
                  <w:marTop w:val="0"/>
                  <w:marBottom w:val="0"/>
                  <w:divBdr>
                    <w:top w:val="none" w:sz="0" w:space="0" w:color="auto"/>
                    <w:left w:val="none" w:sz="0" w:space="0" w:color="auto"/>
                    <w:bottom w:val="none" w:sz="0" w:space="0" w:color="auto"/>
                    <w:right w:val="none" w:sz="0" w:space="0" w:color="auto"/>
                  </w:divBdr>
                  <w:divsChild>
                    <w:div w:id="329404631">
                      <w:marLeft w:val="0"/>
                      <w:marRight w:val="0"/>
                      <w:marTop w:val="0"/>
                      <w:marBottom w:val="0"/>
                      <w:divBdr>
                        <w:top w:val="none" w:sz="0" w:space="0" w:color="auto"/>
                        <w:left w:val="none" w:sz="0" w:space="0" w:color="auto"/>
                        <w:bottom w:val="none" w:sz="0" w:space="0" w:color="auto"/>
                        <w:right w:val="none" w:sz="0" w:space="0" w:color="auto"/>
                      </w:divBdr>
                      <w:divsChild>
                        <w:div w:id="173305714">
                          <w:marLeft w:val="0"/>
                          <w:marRight w:val="0"/>
                          <w:marTop w:val="0"/>
                          <w:marBottom w:val="0"/>
                          <w:divBdr>
                            <w:top w:val="none" w:sz="0" w:space="0" w:color="auto"/>
                            <w:left w:val="none" w:sz="0" w:space="0" w:color="auto"/>
                            <w:bottom w:val="none" w:sz="0" w:space="0" w:color="auto"/>
                            <w:right w:val="none" w:sz="0" w:space="0" w:color="auto"/>
                          </w:divBdr>
                          <w:divsChild>
                            <w:div w:id="1162545620">
                              <w:marLeft w:val="0"/>
                              <w:marRight w:val="0"/>
                              <w:marTop w:val="0"/>
                              <w:marBottom w:val="0"/>
                              <w:divBdr>
                                <w:top w:val="none" w:sz="0" w:space="0" w:color="auto"/>
                                <w:left w:val="none" w:sz="0" w:space="0" w:color="auto"/>
                                <w:bottom w:val="none" w:sz="0" w:space="0" w:color="auto"/>
                                <w:right w:val="none" w:sz="0" w:space="0" w:color="auto"/>
                              </w:divBdr>
                              <w:divsChild>
                                <w:div w:id="1649506838">
                                  <w:marLeft w:val="0"/>
                                  <w:marRight w:val="0"/>
                                  <w:marTop w:val="0"/>
                                  <w:marBottom w:val="0"/>
                                  <w:divBdr>
                                    <w:top w:val="none" w:sz="0" w:space="0" w:color="auto"/>
                                    <w:left w:val="none" w:sz="0" w:space="0" w:color="auto"/>
                                    <w:bottom w:val="none" w:sz="0" w:space="0" w:color="auto"/>
                                    <w:right w:val="none" w:sz="0" w:space="0" w:color="auto"/>
                                  </w:divBdr>
                                  <w:divsChild>
                                    <w:div w:id="1755129050">
                                      <w:marLeft w:val="0"/>
                                      <w:marRight w:val="0"/>
                                      <w:marTop w:val="0"/>
                                      <w:marBottom w:val="0"/>
                                      <w:divBdr>
                                        <w:top w:val="none" w:sz="0" w:space="0" w:color="auto"/>
                                        <w:left w:val="none" w:sz="0" w:space="0" w:color="auto"/>
                                        <w:bottom w:val="none" w:sz="0" w:space="0" w:color="auto"/>
                                        <w:right w:val="none" w:sz="0" w:space="0" w:color="auto"/>
                                      </w:divBdr>
                                      <w:divsChild>
                                        <w:div w:id="1333489584">
                                          <w:marLeft w:val="0"/>
                                          <w:marRight w:val="0"/>
                                          <w:marTop w:val="0"/>
                                          <w:marBottom w:val="0"/>
                                          <w:divBdr>
                                            <w:top w:val="none" w:sz="0" w:space="0" w:color="auto"/>
                                            <w:left w:val="none" w:sz="0" w:space="0" w:color="auto"/>
                                            <w:bottom w:val="none" w:sz="0" w:space="0" w:color="auto"/>
                                            <w:right w:val="none" w:sz="0" w:space="0" w:color="auto"/>
                                          </w:divBdr>
                                          <w:divsChild>
                                            <w:div w:id="24409332">
                                              <w:marLeft w:val="0"/>
                                              <w:marRight w:val="0"/>
                                              <w:marTop w:val="0"/>
                                              <w:marBottom w:val="0"/>
                                              <w:divBdr>
                                                <w:top w:val="none" w:sz="0" w:space="0" w:color="auto"/>
                                                <w:left w:val="none" w:sz="0" w:space="0" w:color="auto"/>
                                                <w:bottom w:val="none" w:sz="0" w:space="0" w:color="auto"/>
                                                <w:right w:val="none" w:sz="0" w:space="0" w:color="auto"/>
                                              </w:divBdr>
                                              <w:divsChild>
                                                <w:div w:id="492992183">
                                                  <w:marLeft w:val="0"/>
                                                  <w:marRight w:val="0"/>
                                                  <w:marTop w:val="0"/>
                                                  <w:marBottom w:val="0"/>
                                                  <w:divBdr>
                                                    <w:top w:val="none" w:sz="0" w:space="0" w:color="auto"/>
                                                    <w:left w:val="none" w:sz="0" w:space="0" w:color="auto"/>
                                                    <w:bottom w:val="none" w:sz="0" w:space="0" w:color="auto"/>
                                                    <w:right w:val="none" w:sz="0" w:space="0" w:color="auto"/>
                                                  </w:divBdr>
                                                  <w:divsChild>
                                                    <w:div w:id="332798458">
                                                      <w:marLeft w:val="0"/>
                                                      <w:marRight w:val="0"/>
                                                      <w:marTop w:val="0"/>
                                                      <w:marBottom w:val="0"/>
                                                      <w:divBdr>
                                                        <w:top w:val="none" w:sz="0" w:space="0" w:color="auto"/>
                                                        <w:left w:val="none" w:sz="0" w:space="0" w:color="auto"/>
                                                        <w:bottom w:val="none" w:sz="0" w:space="0" w:color="auto"/>
                                                        <w:right w:val="none" w:sz="0" w:space="0" w:color="auto"/>
                                                      </w:divBdr>
                                                      <w:divsChild>
                                                        <w:div w:id="2133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84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BBDB-7FC9-4C1A-BB5F-D009158233CC}">
  <ds:schemaRefs>
    <ds:schemaRef ds:uri="http://schemas.microsoft.com/sharepoint/v3/contenttype/forms"/>
  </ds:schemaRefs>
</ds:datastoreItem>
</file>

<file path=customXml/itemProps2.xml><?xml version="1.0" encoding="utf-8"?>
<ds:datastoreItem xmlns:ds="http://schemas.openxmlformats.org/officeDocument/2006/customXml" ds:itemID="{40CAC3CF-65FB-4DEE-810D-1A2F35F07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3ACB7-51B7-48EB-A1AD-725D7095ADF7}">
  <ds:schemaRefs>
    <ds:schemaRef ds:uri="http://schemas.microsoft.com/office/2006/metadata/properties"/>
    <ds:schemaRef ds:uri="http://schemas.microsoft.com/office/infopath/2007/PartnerControls"/>
    <ds:schemaRef ds:uri="5C4094CD-E5F4-4026-BE8E-5F0F677F1268"/>
  </ds:schemaRefs>
</ds:datastoreItem>
</file>

<file path=customXml/itemProps4.xml><?xml version="1.0" encoding="utf-8"?>
<ds:datastoreItem xmlns:ds="http://schemas.openxmlformats.org/officeDocument/2006/customXml" ds:itemID="{F702C3CC-8F2E-4B0A-833B-C0DA637C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10451</Characters>
  <Application>Microsoft Office Word</Application>
  <DocSecurity>0</DocSecurity>
  <Lines>186</Lines>
  <Paragraphs>54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RUBENSTEIN, Sarah</cp:lastModifiedBy>
  <cp:revision>2</cp:revision>
  <cp:lastPrinted>2021-06-30T03:23:00Z</cp:lastPrinted>
  <dcterms:created xsi:type="dcterms:W3CDTF">2021-08-19T01:56:00Z</dcterms:created>
  <dcterms:modified xsi:type="dcterms:W3CDTF">2021-08-19T01:56:00Z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0x010100266966F133664895A6EE3632470D45F5006FF336696875B542A78E86E46E07A142</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 Sensitive</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InsertionValue">
    <vt:lpwstr>OFFICIAL: Sensitive</vt:lpwstr>
  </property>
  <property fmtid="{D5CDD505-2E9C-101B-9397-08002B2CF9AE}" pid="9" name="PM_Originating_FileId">
    <vt:lpwstr>214CE234235741A49F6DAEEAC458478F</vt:lpwstr>
  </property>
  <property fmtid="{D5CDD505-2E9C-101B-9397-08002B2CF9AE}" pid="10" name="PM_ProtectiveMarkingValue_Footer">
    <vt:lpwstr>OFFICIAL: Sensitive</vt:lpwstr>
  </property>
  <property fmtid="{D5CDD505-2E9C-101B-9397-08002B2CF9AE}" pid="11" name="PM_Originator_Hash_SHA1">
    <vt:lpwstr>86DF37FEDADEB87644F12A773FE34210645B7F60</vt:lpwstr>
  </property>
  <property fmtid="{D5CDD505-2E9C-101B-9397-08002B2CF9AE}" pid="12" name="PM_OriginationTimeStamp">
    <vt:lpwstr>2021-08-19T01:56:17Z</vt:lpwstr>
  </property>
  <property fmtid="{D5CDD505-2E9C-101B-9397-08002B2CF9AE}" pid="13" name="PM_ProtectiveMarkingValue_Header">
    <vt:lpwstr>OFFICIAL: Sensitive</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59C7D7283A6331FE8261747192CA8F71</vt:lpwstr>
  </property>
  <property fmtid="{D5CDD505-2E9C-101B-9397-08002B2CF9AE}" pid="21" name="PM_Hash_Salt">
    <vt:lpwstr>239D850D84AAB159F122A81938CDD21C</vt:lpwstr>
  </property>
  <property fmtid="{D5CDD505-2E9C-101B-9397-08002B2CF9AE}" pid="22" name="PM_Hash_SHA1">
    <vt:lpwstr>DDF34BA3073EA2B22B2B0FDBBC12FFFC5D29AE60</vt:lpwstr>
  </property>
  <property fmtid="{D5CDD505-2E9C-101B-9397-08002B2CF9AE}" pid="23" name="PM_SecurityClassification_Prev">
    <vt:lpwstr>OFFICIAL:Sensitive</vt:lpwstr>
  </property>
  <property fmtid="{D5CDD505-2E9C-101B-9397-08002B2CF9AE}" pid="24" name="PM_Qualifier_Prev">
    <vt:lpwstr/>
  </property>
</Properties>
</file>