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2E95E9F3" w:rsidR="004C58B9" w:rsidRDefault="00E50312" w:rsidP="004C58B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C58B9">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72ED6CCE" w14:textId="77777777" w:rsidR="006607B0" w:rsidRPr="00C37381" w:rsidRDefault="006607B0" w:rsidP="006607B0">
      <w:pPr>
        <w:jc w:val="center"/>
        <w:rPr>
          <w:rFonts w:ascii="Times New Roman" w:hAnsi="Times New Roman" w:cs="Times New Roman"/>
          <w:i/>
        </w:rPr>
      </w:pPr>
      <w:bookmarkStart w:id="0" w:name="_Hlk70675980"/>
      <w:r w:rsidRPr="00243313">
        <w:rPr>
          <w:rFonts w:ascii="Times New Roman" w:hAnsi="Times New Roman" w:cs="Times New Roman"/>
          <w:i/>
          <w:iCs/>
        </w:rPr>
        <w:t>Telecommunications Act 1997</w:t>
      </w:r>
    </w:p>
    <w:bookmarkEnd w:id="0"/>
    <w:p w14:paraId="784F2A86" w14:textId="77777777" w:rsidR="00705715" w:rsidRPr="00705715" w:rsidRDefault="00705715" w:rsidP="00705715">
      <w:pPr>
        <w:spacing w:before="280"/>
        <w:jc w:val="center"/>
        <w:rPr>
          <w:rFonts w:ascii="Times New Roman" w:hAnsi="Times New Roman" w:cs="Times New Roman"/>
          <w:b/>
          <w:i/>
        </w:rPr>
      </w:pPr>
      <w:r w:rsidRPr="00705715">
        <w:rPr>
          <w:rFonts w:ascii="Times New Roman" w:hAnsi="Times New Roman" w:cs="Times New Roman"/>
          <w:b/>
          <w:bCs/>
          <w:i/>
          <w:iCs/>
        </w:rPr>
        <w:t>Telecommunications (Prohibition of Mobile Phone Boosters) Declaration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26642C2D"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705715" w:rsidRPr="00243313">
        <w:rPr>
          <w:rFonts w:ascii="Times New Roman" w:hAnsi="Times New Roman" w:cs="Times New Roman"/>
          <w:i/>
          <w:iCs/>
        </w:rPr>
        <w:t>Telecommunications (Prohibition of Mobile Phone Boosters) Declaration 2021</w:t>
      </w:r>
      <w:r w:rsidR="00705715">
        <w:rPr>
          <w:rFonts w:ascii="Times New Roman" w:hAnsi="Times New Roman" w:cs="Times New Roman"/>
          <w:b/>
          <w:bCs/>
          <w:i/>
          <w:iCs/>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464D76">
        <w:rPr>
          <w:rFonts w:ascii="Times New Roman" w:hAnsi="Times New Roman" w:cs="Times New Roman"/>
        </w:rPr>
        <w:t>subsection</w:t>
      </w:r>
      <w:r w:rsidR="00E3272B">
        <w:rPr>
          <w:rFonts w:ascii="Times New Roman" w:hAnsi="Times New Roman" w:cs="Times New Roman"/>
        </w:rPr>
        <w:t xml:space="preserve"> </w:t>
      </w:r>
      <w:r w:rsidR="005819EA">
        <w:rPr>
          <w:rFonts w:ascii="Times New Roman" w:hAnsi="Times New Roman" w:cs="Times New Roman"/>
        </w:rPr>
        <w:t>450</w:t>
      </w:r>
      <w:r w:rsidR="00123DCD">
        <w:rPr>
          <w:rFonts w:ascii="Times New Roman" w:hAnsi="Times New Roman" w:cs="Times New Roman"/>
        </w:rPr>
        <w:t>(1)</w:t>
      </w:r>
      <w:r>
        <w:rPr>
          <w:rFonts w:ascii="Times New Roman" w:hAnsi="Times New Roman" w:cs="Times New Roman"/>
        </w:rPr>
        <w:t xml:space="preserve"> of the </w:t>
      </w:r>
      <w:r w:rsidR="00123DCD" w:rsidRPr="006607B0">
        <w:rPr>
          <w:rFonts w:ascii="Times New Roman" w:hAnsi="Times New Roman" w:cs="Times New Roman"/>
          <w:i/>
          <w:iCs/>
        </w:rPr>
        <w:t>Telecommunications Act 1997</w:t>
      </w:r>
      <w:r w:rsidR="00123DCD">
        <w:rPr>
          <w:rFonts w:ascii="Times New Roman" w:hAnsi="Times New Roman" w:cs="Times New Roman"/>
          <w:b/>
          <w:bCs/>
          <w:i/>
          <w:iCs/>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03D6A24D" w14:textId="2A5CDB0F" w:rsidR="002D0189" w:rsidRDefault="009D5697" w:rsidP="009D5697">
      <w:pPr>
        <w:rPr>
          <w:rFonts w:ascii="Times New Roman" w:hAnsi="Times New Roman" w:cs="Times New Roman"/>
        </w:rPr>
      </w:pPr>
      <w:r w:rsidRPr="009D5697">
        <w:rPr>
          <w:rFonts w:ascii="Times New Roman" w:hAnsi="Times New Roman" w:cs="Times New Roman"/>
        </w:rPr>
        <w:t xml:space="preserve">Subsection 450(1) of the Act </w:t>
      </w:r>
      <w:r w:rsidR="00804733">
        <w:rPr>
          <w:rFonts w:ascii="Times New Roman" w:hAnsi="Times New Roman" w:cs="Times New Roman"/>
        </w:rPr>
        <w:t xml:space="preserve">relevantly </w:t>
      </w:r>
      <w:r w:rsidRPr="009D5697">
        <w:rPr>
          <w:rFonts w:ascii="Times New Roman" w:hAnsi="Times New Roman" w:cs="Times New Roman"/>
        </w:rPr>
        <w:t>provides that the ACMA</w:t>
      </w:r>
      <w:r w:rsidR="00474C4E">
        <w:rPr>
          <w:rFonts w:ascii="Times New Roman" w:hAnsi="Times New Roman" w:cs="Times New Roman"/>
        </w:rPr>
        <w:t xml:space="preserve"> </w:t>
      </w:r>
      <w:r w:rsidRPr="009D5697">
        <w:rPr>
          <w:rFonts w:ascii="Times New Roman" w:hAnsi="Times New Roman" w:cs="Times New Roman"/>
        </w:rPr>
        <w:t xml:space="preserve">may, by </w:t>
      </w:r>
      <w:r w:rsidR="00C37381">
        <w:rPr>
          <w:rFonts w:ascii="Times New Roman" w:hAnsi="Times New Roman" w:cs="Times New Roman"/>
        </w:rPr>
        <w:t>legislative</w:t>
      </w:r>
      <w:r w:rsidR="00C37381" w:rsidRPr="009D5697">
        <w:rPr>
          <w:rFonts w:ascii="Times New Roman" w:hAnsi="Times New Roman" w:cs="Times New Roman"/>
        </w:rPr>
        <w:t xml:space="preserve"> </w:t>
      </w:r>
      <w:r w:rsidRPr="009D5697">
        <w:rPr>
          <w:rFonts w:ascii="Times New Roman" w:hAnsi="Times New Roman" w:cs="Times New Roman"/>
        </w:rPr>
        <w:t xml:space="preserve">instrument, declare that the operation or supply, or possession for the purpose of operation or supply, of a specified device is prohibited for the reasons set out in the instrument. </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AEB116C" w14:textId="0CBADC15" w:rsidR="00735885" w:rsidRPr="00735885" w:rsidRDefault="00735885" w:rsidP="00735885">
      <w:pPr>
        <w:rPr>
          <w:rFonts w:ascii="Times New Roman" w:hAnsi="Times New Roman" w:cs="Times New Roman"/>
        </w:rPr>
      </w:pPr>
      <w:r>
        <w:rPr>
          <w:rFonts w:ascii="Times New Roman" w:hAnsi="Times New Roman" w:cs="Times New Roman"/>
        </w:rPr>
        <w:t xml:space="preserve">The instrument </w:t>
      </w:r>
      <w:r w:rsidRPr="00735885">
        <w:rPr>
          <w:rFonts w:ascii="Times New Roman" w:hAnsi="Times New Roman" w:cs="Times New Roman"/>
        </w:rPr>
        <w:t>prohibit</w:t>
      </w:r>
      <w:r>
        <w:rPr>
          <w:rFonts w:ascii="Times New Roman" w:hAnsi="Times New Roman" w:cs="Times New Roman"/>
        </w:rPr>
        <w:t>s</w:t>
      </w:r>
      <w:r w:rsidRPr="00735885">
        <w:rPr>
          <w:rFonts w:ascii="Times New Roman" w:hAnsi="Times New Roman" w:cs="Times New Roman"/>
        </w:rPr>
        <w:t xml:space="preserve"> the operation or supply, or the possession for the purpose of operation or supply, of mobile phone boosters which are designed or intended to be used in connection with public mobile telecommunication services (</w:t>
      </w:r>
      <w:r w:rsidRPr="00243313">
        <w:rPr>
          <w:rFonts w:ascii="Times New Roman" w:hAnsi="Times New Roman" w:cs="Times New Roman"/>
          <w:b/>
          <w:bCs/>
        </w:rPr>
        <w:t>PMTS</w:t>
      </w:r>
      <w:r w:rsidRPr="00735885">
        <w:rPr>
          <w:rFonts w:ascii="Times New Roman" w:hAnsi="Times New Roman" w:cs="Times New Roman"/>
        </w:rPr>
        <w:t>).</w:t>
      </w:r>
    </w:p>
    <w:p w14:paraId="643287E4" w14:textId="6093AB11" w:rsidR="007E3C02" w:rsidRPr="00735885" w:rsidRDefault="007E3C02" w:rsidP="007E3C02">
      <w:pPr>
        <w:rPr>
          <w:rFonts w:ascii="Times New Roman" w:hAnsi="Times New Roman" w:cs="Times New Roman"/>
        </w:rPr>
      </w:pPr>
      <w:bookmarkStart w:id="1" w:name="_Hlk70685644"/>
      <w:r w:rsidRPr="00735885">
        <w:rPr>
          <w:rFonts w:ascii="Times New Roman" w:hAnsi="Times New Roman" w:cs="Times New Roman"/>
        </w:rPr>
        <w:t>The use of mobile phone boosters has been identified as a cause of significant interference to mobile telecommunications networks, affecting coverage and therefore consumer access to mobile networks. In the worst case, the use of mobile phone boosters can restrict access to the emergency call service.</w:t>
      </w:r>
    </w:p>
    <w:p w14:paraId="01941DAF" w14:textId="21906EAD" w:rsidR="007E3C02" w:rsidRPr="00735885" w:rsidRDefault="007E3C02" w:rsidP="007E3C02">
      <w:pPr>
        <w:rPr>
          <w:rFonts w:ascii="Times New Roman" w:hAnsi="Times New Roman" w:cs="Times New Roman"/>
        </w:rPr>
      </w:pPr>
      <w:r w:rsidRPr="00735885">
        <w:rPr>
          <w:rFonts w:ascii="Times New Roman" w:hAnsi="Times New Roman" w:cs="Times New Roman"/>
        </w:rPr>
        <w:t xml:space="preserve">The purpose of the </w:t>
      </w:r>
      <w:r>
        <w:rPr>
          <w:rFonts w:ascii="Times New Roman" w:hAnsi="Times New Roman" w:cs="Times New Roman"/>
        </w:rPr>
        <w:t>instrument</w:t>
      </w:r>
      <w:r w:rsidRPr="00735885">
        <w:rPr>
          <w:rFonts w:ascii="Times New Roman" w:hAnsi="Times New Roman" w:cs="Times New Roman"/>
        </w:rPr>
        <w:t xml:space="preserve"> is to protect PMTS from substantial interference</w:t>
      </w:r>
      <w:r w:rsidR="0051486F">
        <w:rPr>
          <w:rFonts w:ascii="Times New Roman" w:hAnsi="Times New Roman" w:cs="Times New Roman"/>
        </w:rPr>
        <w:t>,</w:t>
      </w:r>
      <w:r w:rsidRPr="00735885">
        <w:rPr>
          <w:rFonts w:ascii="Times New Roman" w:hAnsi="Times New Roman" w:cs="Times New Roman"/>
        </w:rPr>
        <w:t xml:space="preserve"> </w:t>
      </w:r>
      <w:proofErr w:type="gramStart"/>
      <w:r w:rsidRPr="00735885">
        <w:rPr>
          <w:rFonts w:ascii="Times New Roman" w:hAnsi="Times New Roman" w:cs="Times New Roman"/>
        </w:rPr>
        <w:t>disruption</w:t>
      </w:r>
      <w:proofErr w:type="gramEnd"/>
      <w:r w:rsidRPr="00735885">
        <w:rPr>
          <w:rFonts w:ascii="Times New Roman" w:hAnsi="Times New Roman" w:cs="Times New Roman"/>
        </w:rPr>
        <w:t xml:space="preserve"> or disturbance.</w:t>
      </w:r>
    </w:p>
    <w:bookmarkEnd w:id="1"/>
    <w:p w14:paraId="065EEB68" w14:textId="6CB64B82" w:rsidR="00735885" w:rsidRPr="00735885" w:rsidRDefault="00735885" w:rsidP="004D756E">
      <w:pPr>
        <w:rPr>
          <w:rFonts w:ascii="Times New Roman" w:hAnsi="Times New Roman" w:cs="Times New Roman"/>
        </w:rPr>
      </w:pPr>
      <w:r w:rsidRPr="00735885">
        <w:rPr>
          <w:rFonts w:ascii="Times New Roman" w:hAnsi="Times New Roman" w:cs="Times New Roman"/>
        </w:rPr>
        <w:t xml:space="preserve">The </w:t>
      </w:r>
      <w:r w:rsidR="00D314FE">
        <w:rPr>
          <w:rFonts w:ascii="Times New Roman" w:hAnsi="Times New Roman" w:cs="Times New Roman"/>
        </w:rPr>
        <w:t>instrument</w:t>
      </w:r>
      <w:r w:rsidRPr="00735885">
        <w:rPr>
          <w:rFonts w:ascii="Times New Roman" w:hAnsi="Times New Roman" w:cs="Times New Roman"/>
        </w:rPr>
        <w:t xml:space="preserve"> </w:t>
      </w:r>
      <w:r w:rsidR="00127048">
        <w:rPr>
          <w:rFonts w:ascii="Times New Roman" w:hAnsi="Times New Roman" w:cs="Times New Roman"/>
        </w:rPr>
        <w:t>repeals</w:t>
      </w:r>
      <w:r w:rsidR="00127048" w:rsidRPr="00735885">
        <w:rPr>
          <w:rFonts w:ascii="Times New Roman" w:hAnsi="Times New Roman" w:cs="Times New Roman"/>
        </w:rPr>
        <w:t xml:space="preserve"> </w:t>
      </w:r>
      <w:r w:rsidRPr="00735885">
        <w:rPr>
          <w:rFonts w:ascii="Times New Roman" w:hAnsi="Times New Roman" w:cs="Times New Roman"/>
        </w:rPr>
        <w:t xml:space="preserve">the </w:t>
      </w:r>
      <w:r w:rsidRPr="00735885">
        <w:rPr>
          <w:rFonts w:ascii="Times New Roman" w:hAnsi="Times New Roman" w:cs="Times New Roman"/>
          <w:i/>
          <w:iCs/>
        </w:rPr>
        <w:t>Telecommunications (Prohibition of Mobile Phone Boosters) Declaration 2011</w:t>
      </w:r>
      <w:r w:rsidRPr="00735885">
        <w:rPr>
          <w:rFonts w:ascii="Times New Roman" w:hAnsi="Times New Roman" w:cs="Times New Roman"/>
        </w:rPr>
        <w:t xml:space="preserve"> (the </w:t>
      </w:r>
      <w:r w:rsidRPr="000C0134">
        <w:rPr>
          <w:rFonts w:ascii="Times New Roman" w:hAnsi="Times New Roman" w:cs="Times New Roman"/>
          <w:b/>
          <w:bCs/>
        </w:rPr>
        <w:t xml:space="preserve">2011 </w:t>
      </w:r>
      <w:r w:rsidR="00D314FE" w:rsidRPr="000C0134">
        <w:rPr>
          <w:rFonts w:ascii="Times New Roman" w:hAnsi="Times New Roman" w:cs="Times New Roman"/>
          <w:b/>
          <w:bCs/>
        </w:rPr>
        <w:t>instrument</w:t>
      </w:r>
      <w:r w:rsidRPr="00735885">
        <w:rPr>
          <w:rFonts w:ascii="Times New Roman" w:hAnsi="Times New Roman" w:cs="Times New Roman"/>
        </w:rPr>
        <w:t>)</w:t>
      </w:r>
      <w:r w:rsidR="004E6BE3">
        <w:rPr>
          <w:rFonts w:ascii="Times New Roman" w:hAnsi="Times New Roman" w:cs="Times New Roman"/>
        </w:rPr>
        <w:t xml:space="preserve"> which is due to sunset on 1 October 2021 in accordance with Part 4 of the </w:t>
      </w:r>
      <w:r w:rsidR="004E6BE3">
        <w:rPr>
          <w:rFonts w:ascii="Times New Roman" w:hAnsi="Times New Roman" w:cs="Times New Roman"/>
          <w:i/>
          <w:iCs/>
        </w:rPr>
        <w:t xml:space="preserve">Legislation Act 2003 </w:t>
      </w:r>
      <w:r w:rsidR="004E6BE3">
        <w:rPr>
          <w:rFonts w:ascii="Times New Roman" w:hAnsi="Times New Roman" w:cs="Times New Roman"/>
        </w:rPr>
        <w:t>(</w:t>
      </w:r>
      <w:r w:rsidR="004E6BE3" w:rsidRPr="000C0134">
        <w:rPr>
          <w:rFonts w:ascii="Times New Roman" w:hAnsi="Times New Roman" w:cs="Times New Roman"/>
          <w:b/>
          <w:bCs/>
        </w:rPr>
        <w:t>LA</w:t>
      </w:r>
      <w:r w:rsidR="004E6BE3">
        <w:rPr>
          <w:rFonts w:ascii="Times New Roman" w:hAnsi="Times New Roman" w:cs="Times New Roman"/>
        </w:rPr>
        <w:t xml:space="preserve">). </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7828C9E7" w:rsidR="004C58B9" w:rsidRDefault="004C58B9" w:rsidP="004C58B9">
      <w:pPr>
        <w:rPr>
          <w:rFonts w:ascii="Times New Roman" w:hAnsi="Times New Roman" w:cs="Times New Roman"/>
        </w:rPr>
      </w:pPr>
      <w:r>
        <w:rPr>
          <w:rFonts w:ascii="Times New Roman" w:hAnsi="Times New Roman" w:cs="Times New Roman"/>
        </w:rPr>
        <w:t>The instrument is a</w:t>
      </w:r>
      <w:r w:rsidR="004E6BE3">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sidRPr="00A158AC">
        <w:rPr>
          <w:rFonts w:ascii="Times New Roman" w:hAnsi="Times New Roman" w:cs="Times New Roman"/>
          <w:bCs/>
        </w:rPr>
        <w:t>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724BFED6" w14:textId="26C9CCF6" w:rsidR="0067793A" w:rsidRDefault="0067793A" w:rsidP="004C58B9">
      <w:pPr>
        <w:rPr>
          <w:rFonts w:ascii="Times New Roman" w:hAnsi="Times New Roman" w:cs="Times New Roman"/>
          <w:bCs/>
        </w:rPr>
      </w:pPr>
      <w:r w:rsidRPr="0067793A">
        <w:rPr>
          <w:rFonts w:ascii="Times New Roman" w:hAnsi="Times New Roman" w:cs="Times New Roman"/>
          <w:bCs/>
        </w:rPr>
        <w:t xml:space="preserve">The </w:t>
      </w:r>
      <w:r>
        <w:rPr>
          <w:rFonts w:ascii="Times New Roman" w:hAnsi="Times New Roman" w:cs="Times New Roman"/>
          <w:bCs/>
        </w:rPr>
        <w:t xml:space="preserve">instrument </w:t>
      </w:r>
      <w:r w:rsidR="00744199">
        <w:rPr>
          <w:rFonts w:ascii="Times New Roman" w:hAnsi="Times New Roman" w:cs="Times New Roman"/>
          <w:bCs/>
        </w:rPr>
        <w:t>incorp</w:t>
      </w:r>
      <w:r w:rsidR="00527377">
        <w:rPr>
          <w:rFonts w:ascii="Times New Roman" w:hAnsi="Times New Roman" w:cs="Times New Roman"/>
          <w:bCs/>
        </w:rPr>
        <w:t xml:space="preserve">orates by reference the following </w:t>
      </w:r>
      <w:r w:rsidR="004E6BE3">
        <w:rPr>
          <w:rFonts w:ascii="Times New Roman" w:hAnsi="Times New Roman" w:cs="Times New Roman"/>
          <w:bCs/>
        </w:rPr>
        <w:t xml:space="preserve">Act and </w:t>
      </w:r>
      <w:r w:rsidR="00D75941">
        <w:rPr>
          <w:rFonts w:ascii="Times New Roman" w:hAnsi="Times New Roman" w:cs="Times New Roman"/>
          <w:bCs/>
        </w:rPr>
        <w:t>legislative instrument as in force from time to time</w:t>
      </w:r>
      <w:r w:rsidR="008220A7">
        <w:rPr>
          <w:rFonts w:ascii="Times New Roman" w:hAnsi="Times New Roman" w:cs="Times New Roman"/>
          <w:bCs/>
        </w:rPr>
        <w:t>:</w:t>
      </w:r>
    </w:p>
    <w:p w14:paraId="7084CE65" w14:textId="2F56D89C" w:rsidR="004D756E" w:rsidRPr="00F36CC5" w:rsidRDefault="004D756E" w:rsidP="00F36CC5">
      <w:pPr>
        <w:pStyle w:val="ListParagraph"/>
        <w:numPr>
          <w:ilvl w:val="0"/>
          <w:numId w:val="18"/>
        </w:numPr>
        <w:rPr>
          <w:rFonts w:ascii="Times New Roman" w:hAnsi="Times New Roman" w:cs="Times New Roman"/>
          <w:bCs/>
        </w:rPr>
      </w:pPr>
      <w:r>
        <w:rPr>
          <w:rFonts w:ascii="Times New Roman" w:hAnsi="Times New Roman" w:cs="Times New Roman"/>
          <w:bCs/>
          <w:i/>
          <w:iCs/>
        </w:rPr>
        <w:t>Radiocommunications Act 1992</w:t>
      </w:r>
    </w:p>
    <w:p w14:paraId="1CB758A1" w14:textId="42335D6B" w:rsidR="008220A7" w:rsidRPr="00243313" w:rsidRDefault="007919E1" w:rsidP="00B53E64">
      <w:pPr>
        <w:pStyle w:val="ListParagraph"/>
        <w:numPr>
          <w:ilvl w:val="0"/>
          <w:numId w:val="18"/>
        </w:numPr>
        <w:rPr>
          <w:rFonts w:ascii="Times New Roman" w:hAnsi="Times New Roman" w:cs="Times New Roman"/>
          <w:bCs/>
          <w:i/>
          <w:iCs/>
        </w:rPr>
      </w:pPr>
      <w:r w:rsidRPr="00243313">
        <w:rPr>
          <w:rFonts w:ascii="Times New Roman" w:hAnsi="Times New Roman" w:cs="Times New Roman"/>
          <w:bCs/>
          <w:i/>
          <w:iCs/>
        </w:rPr>
        <w:t xml:space="preserve">Radiocommunications </w:t>
      </w:r>
      <w:r w:rsidR="00B53E64" w:rsidRPr="00243313">
        <w:rPr>
          <w:rFonts w:ascii="Times New Roman" w:hAnsi="Times New Roman" w:cs="Times New Roman"/>
          <w:bCs/>
          <w:i/>
          <w:iCs/>
        </w:rPr>
        <w:t>(Interpretation) Determination 2015</w:t>
      </w:r>
    </w:p>
    <w:p w14:paraId="4793B11B" w14:textId="011369CD" w:rsidR="00B53E64" w:rsidRDefault="00943DE7" w:rsidP="004C58B9">
      <w:pPr>
        <w:rPr>
          <w:rFonts w:ascii="Times New Roman" w:hAnsi="Times New Roman" w:cs="Times New Roman"/>
          <w:bCs/>
        </w:rPr>
      </w:pPr>
      <w:r>
        <w:rPr>
          <w:rFonts w:ascii="Times New Roman" w:hAnsi="Times New Roman" w:cs="Times New Roman"/>
          <w:bCs/>
        </w:rPr>
        <w:t>T</w:t>
      </w:r>
      <w:r w:rsidR="007B4DD6">
        <w:rPr>
          <w:rFonts w:ascii="Times New Roman" w:hAnsi="Times New Roman" w:cs="Times New Roman"/>
          <w:bCs/>
        </w:rPr>
        <w:t>h</w:t>
      </w:r>
      <w:r w:rsidR="003618A5">
        <w:rPr>
          <w:rFonts w:ascii="Times New Roman" w:hAnsi="Times New Roman" w:cs="Times New Roman"/>
          <w:bCs/>
        </w:rPr>
        <w:t>at</w:t>
      </w:r>
      <w:r w:rsidR="007B4DD6">
        <w:rPr>
          <w:rFonts w:ascii="Times New Roman" w:hAnsi="Times New Roman" w:cs="Times New Roman"/>
          <w:bCs/>
        </w:rPr>
        <w:t xml:space="preserve"> Act and </w:t>
      </w:r>
      <w:r w:rsidR="003618A5">
        <w:rPr>
          <w:rFonts w:ascii="Times New Roman" w:hAnsi="Times New Roman" w:cs="Times New Roman"/>
          <w:bCs/>
        </w:rPr>
        <w:t xml:space="preserve">that legislative </w:t>
      </w:r>
      <w:r>
        <w:rPr>
          <w:rFonts w:ascii="Times New Roman" w:hAnsi="Times New Roman" w:cs="Times New Roman"/>
          <w:bCs/>
        </w:rPr>
        <w:t xml:space="preserve">instrument </w:t>
      </w:r>
      <w:r w:rsidR="003473C0">
        <w:rPr>
          <w:rFonts w:ascii="Times New Roman" w:hAnsi="Times New Roman" w:cs="Times New Roman"/>
          <w:bCs/>
        </w:rPr>
        <w:t xml:space="preserve">can </w:t>
      </w:r>
      <w:r>
        <w:rPr>
          <w:rFonts w:ascii="Times New Roman" w:hAnsi="Times New Roman" w:cs="Times New Roman"/>
          <w:bCs/>
        </w:rPr>
        <w:t>be acce</w:t>
      </w:r>
      <w:r w:rsidR="003473C0">
        <w:rPr>
          <w:rFonts w:ascii="Times New Roman" w:hAnsi="Times New Roman" w:cs="Times New Roman"/>
          <w:bCs/>
        </w:rPr>
        <w:t>ssed</w:t>
      </w:r>
      <w:r w:rsidR="000D179D">
        <w:rPr>
          <w:rFonts w:ascii="Times New Roman" w:hAnsi="Times New Roman" w:cs="Times New Roman"/>
          <w:bCs/>
        </w:rPr>
        <w:t>,</w:t>
      </w:r>
      <w:r w:rsidR="003473C0">
        <w:rPr>
          <w:rFonts w:ascii="Times New Roman" w:hAnsi="Times New Roman" w:cs="Times New Roman"/>
          <w:bCs/>
        </w:rPr>
        <w:t xml:space="preserve"> free of charge</w:t>
      </w:r>
      <w:r w:rsidR="000D179D">
        <w:rPr>
          <w:rFonts w:ascii="Times New Roman" w:hAnsi="Times New Roman" w:cs="Times New Roman"/>
          <w:bCs/>
        </w:rPr>
        <w:t>,</w:t>
      </w:r>
      <w:r w:rsidR="00085945">
        <w:rPr>
          <w:rFonts w:ascii="Times New Roman" w:hAnsi="Times New Roman" w:cs="Times New Roman"/>
          <w:bCs/>
        </w:rPr>
        <w:t xml:space="preserve"> from the </w:t>
      </w:r>
      <w:r w:rsidR="00F17B2B">
        <w:rPr>
          <w:rFonts w:ascii="Times New Roman" w:hAnsi="Times New Roman" w:cs="Times New Roman"/>
          <w:bCs/>
        </w:rPr>
        <w:t xml:space="preserve">Federal Register of Legislation: </w:t>
      </w:r>
      <w:hyperlink r:id="rId12" w:history="1">
        <w:r w:rsidR="00271312" w:rsidRPr="00B770E3">
          <w:rPr>
            <w:rStyle w:val="Hyperlink"/>
            <w:rFonts w:ascii="Times New Roman" w:hAnsi="Times New Roman" w:cs="Times New Roman"/>
            <w:bCs/>
          </w:rPr>
          <w:t>https://www.legislation.gov.au/</w:t>
        </w:r>
      </w:hyperlink>
    </w:p>
    <w:p w14:paraId="2EFDFDBF" w14:textId="1F253AC3"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77777777"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8A01B46" w14:textId="1DC79D7B" w:rsidR="0014600D" w:rsidRDefault="00AB3E28" w:rsidP="004C58B9">
      <w:pPr>
        <w:rPr>
          <w:rFonts w:ascii="Times New Roman" w:hAnsi="Times New Roman" w:cs="Times New Roman"/>
          <w:bCs/>
        </w:rPr>
      </w:pPr>
      <w:r w:rsidRPr="00AB3E28">
        <w:rPr>
          <w:rFonts w:ascii="Times New Roman" w:hAnsi="Times New Roman" w:cs="Times New Roman"/>
          <w:bCs/>
        </w:rPr>
        <w:t>The</w:t>
      </w:r>
      <w:r>
        <w:rPr>
          <w:rFonts w:ascii="Times New Roman" w:hAnsi="Times New Roman" w:cs="Times New Roman"/>
          <w:bCs/>
        </w:rPr>
        <w:t xml:space="preserve"> ACMA conducted a public consultation process in relation to </w:t>
      </w:r>
      <w:r w:rsidR="0090185B">
        <w:rPr>
          <w:rFonts w:ascii="Times New Roman" w:hAnsi="Times New Roman" w:cs="Times New Roman"/>
          <w:bCs/>
        </w:rPr>
        <w:t>the making of the instrument during the period</w:t>
      </w:r>
      <w:r w:rsidR="00B00A02">
        <w:rPr>
          <w:rFonts w:ascii="Times New Roman" w:hAnsi="Times New Roman" w:cs="Times New Roman"/>
          <w:bCs/>
        </w:rPr>
        <w:t xml:space="preserve"> 19 April 2021 </w:t>
      </w:r>
      <w:r w:rsidR="003839D7">
        <w:rPr>
          <w:rFonts w:ascii="Times New Roman" w:hAnsi="Times New Roman" w:cs="Times New Roman"/>
          <w:bCs/>
        </w:rPr>
        <w:t xml:space="preserve">to 18 May 2021. </w:t>
      </w:r>
      <w:r w:rsidR="007B4DD6">
        <w:rPr>
          <w:rFonts w:ascii="Times New Roman" w:hAnsi="Times New Roman" w:cs="Times New Roman"/>
          <w:bCs/>
        </w:rPr>
        <w:t xml:space="preserve">A </w:t>
      </w:r>
      <w:r w:rsidR="003839D7">
        <w:rPr>
          <w:rFonts w:ascii="Times New Roman" w:hAnsi="Times New Roman" w:cs="Times New Roman"/>
          <w:bCs/>
        </w:rPr>
        <w:t xml:space="preserve">draft of the instrument and a consultation paper were </w:t>
      </w:r>
      <w:r w:rsidR="003839D7">
        <w:rPr>
          <w:rFonts w:ascii="Times New Roman" w:hAnsi="Times New Roman" w:cs="Times New Roman"/>
          <w:bCs/>
        </w:rPr>
        <w:lastRenderedPageBreak/>
        <w:t xml:space="preserve">made available </w:t>
      </w:r>
      <w:r w:rsidR="00BA2637">
        <w:rPr>
          <w:rFonts w:ascii="Times New Roman" w:hAnsi="Times New Roman" w:cs="Times New Roman"/>
          <w:bCs/>
        </w:rPr>
        <w:t>on the ACMA website for a period of four weeks. Potential interested parties were</w:t>
      </w:r>
      <w:r w:rsidR="00C55A10">
        <w:rPr>
          <w:rFonts w:ascii="Times New Roman" w:hAnsi="Times New Roman" w:cs="Times New Roman"/>
          <w:bCs/>
        </w:rPr>
        <w:t xml:space="preserve"> also</w:t>
      </w:r>
      <w:r w:rsidR="00BA2637">
        <w:rPr>
          <w:rFonts w:ascii="Times New Roman" w:hAnsi="Times New Roman" w:cs="Times New Roman"/>
          <w:bCs/>
        </w:rPr>
        <w:t xml:space="preserve"> notified of the release of the draft instrument and invited to comment.</w:t>
      </w:r>
    </w:p>
    <w:p w14:paraId="6E9477B2" w14:textId="70C0BEC2" w:rsidR="00D9211E" w:rsidRPr="00D9211E" w:rsidRDefault="00464436" w:rsidP="00D9211E">
      <w:pPr>
        <w:rPr>
          <w:rFonts w:ascii="Times New Roman" w:hAnsi="Times New Roman" w:cs="Times New Roman"/>
          <w:bCs/>
        </w:rPr>
      </w:pPr>
      <w:r>
        <w:rPr>
          <w:rFonts w:ascii="Times New Roman" w:hAnsi="Times New Roman" w:cs="Times New Roman"/>
          <w:bCs/>
        </w:rPr>
        <w:t>Three</w:t>
      </w:r>
      <w:r w:rsidR="00D9211E" w:rsidRPr="00D9211E">
        <w:rPr>
          <w:rFonts w:ascii="Times New Roman" w:hAnsi="Times New Roman" w:cs="Times New Roman"/>
          <w:bCs/>
        </w:rPr>
        <w:t xml:space="preserve"> submissions were received in response to the invitation for public comment and the ACMA has given due consideration to all the submissions received.</w:t>
      </w:r>
      <w:r w:rsidR="00744868">
        <w:rPr>
          <w:rFonts w:ascii="Times New Roman" w:hAnsi="Times New Roman" w:cs="Times New Roman"/>
          <w:bCs/>
        </w:rPr>
        <w:t xml:space="preserve"> </w:t>
      </w:r>
      <w:r w:rsidR="007B4DD6">
        <w:rPr>
          <w:rFonts w:ascii="Times New Roman" w:hAnsi="Times New Roman" w:cs="Times New Roman"/>
          <w:bCs/>
        </w:rPr>
        <w:t xml:space="preserve">No changes were made to the draft instrument </w:t>
      </w:r>
      <w:proofErr w:type="gramStart"/>
      <w:r w:rsidR="007B4DD6">
        <w:rPr>
          <w:rFonts w:ascii="Times New Roman" w:hAnsi="Times New Roman" w:cs="Times New Roman"/>
          <w:bCs/>
        </w:rPr>
        <w:t>as a result of</w:t>
      </w:r>
      <w:proofErr w:type="gramEnd"/>
      <w:r w:rsidR="007B4DD6">
        <w:rPr>
          <w:rFonts w:ascii="Times New Roman" w:hAnsi="Times New Roman" w:cs="Times New Roman"/>
          <w:bCs/>
        </w:rPr>
        <w:t xml:space="preserve"> the consultation. </w:t>
      </w:r>
      <w:r w:rsidR="007F7799">
        <w:rPr>
          <w:rFonts w:ascii="Times New Roman" w:hAnsi="Times New Roman" w:cs="Times New Roman"/>
          <w:bCs/>
        </w:rPr>
        <w:t>One submission requested that a plain English description of both a mobile phone booster and a cellular mobile repeater be included in th</w:t>
      </w:r>
      <w:r w:rsidR="002E4B63">
        <w:rPr>
          <w:rFonts w:ascii="Times New Roman" w:hAnsi="Times New Roman" w:cs="Times New Roman"/>
          <w:bCs/>
        </w:rPr>
        <w:t>is</w:t>
      </w:r>
      <w:r w:rsidR="007F7799">
        <w:rPr>
          <w:rFonts w:ascii="Times New Roman" w:hAnsi="Times New Roman" w:cs="Times New Roman"/>
          <w:bCs/>
        </w:rPr>
        <w:t xml:space="preserve"> explanatory statement. These descriptions have been included in </w:t>
      </w:r>
      <w:r w:rsidR="00DE6E52">
        <w:rPr>
          <w:rFonts w:ascii="Times New Roman" w:hAnsi="Times New Roman" w:cs="Times New Roman"/>
          <w:bCs/>
        </w:rPr>
        <w:t xml:space="preserve">the notes to </w:t>
      </w:r>
      <w:r w:rsidR="003B3D5D">
        <w:rPr>
          <w:rFonts w:ascii="Times New Roman" w:hAnsi="Times New Roman" w:cs="Times New Roman"/>
          <w:bCs/>
        </w:rPr>
        <w:t>s</w:t>
      </w:r>
      <w:r w:rsidR="007F7799">
        <w:rPr>
          <w:rFonts w:ascii="Times New Roman" w:hAnsi="Times New Roman" w:cs="Times New Roman"/>
          <w:bCs/>
        </w:rPr>
        <w:t xml:space="preserve">ection 6 </w:t>
      </w:r>
      <w:r w:rsidR="003B3D5D">
        <w:rPr>
          <w:rFonts w:ascii="Times New Roman" w:hAnsi="Times New Roman" w:cs="Times New Roman"/>
          <w:bCs/>
        </w:rPr>
        <w:t xml:space="preserve">of the instrument </w:t>
      </w:r>
      <w:r w:rsidR="0028674F">
        <w:rPr>
          <w:rFonts w:ascii="Times New Roman" w:hAnsi="Times New Roman" w:cs="Times New Roman"/>
          <w:bCs/>
        </w:rPr>
        <w:t>in</w:t>
      </w:r>
      <w:r w:rsidR="007F7799">
        <w:rPr>
          <w:rFonts w:ascii="Times New Roman" w:hAnsi="Times New Roman" w:cs="Times New Roman"/>
          <w:bCs/>
        </w:rPr>
        <w:t xml:space="preserve"> Attachment A.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5D7D2D37" w:rsidR="004C58B9" w:rsidRDefault="00906B83" w:rsidP="004C58B9">
      <w:pPr>
        <w:rPr>
          <w:rFonts w:ascii="Times New Roman" w:hAnsi="Times New Roman" w:cs="Times New Roman"/>
        </w:rPr>
      </w:pPr>
      <w:r w:rsidRPr="00906B83">
        <w:rPr>
          <w:rFonts w:ascii="Times New Roman" w:hAnsi="Times New Roman" w:cs="Times New Roman"/>
        </w:rPr>
        <w:t>A preliminary assessment of the proposal to make the instrument was conducted by the Office of Best Practice Regulation (</w:t>
      </w:r>
      <w:r w:rsidRPr="00906B83">
        <w:rPr>
          <w:rFonts w:ascii="Times New Roman" w:hAnsi="Times New Roman" w:cs="Times New Roman"/>
          <w:b/>
        </w:rPr>
        <w:t>OBPR</w:t>
      </w:r>
      <w:r w:rsidRPr="00906B83">
        <w:rPr>
          <w:rFonts w:ascii="Times New Roman" w:hAnsi="Times New Roman" w:cs="Times New Roman"/>
        </w:rPr>
        <w:t>), based on information provided by the ACMA, for the purposes of determining whether a Regulation Impact Statement (</w:t>
      </w:r>
      <w:r w:rsidRPr="00906B83">
        <w:rPr>
          <w:rFonts w:ascii="Times New Roman" w:hAnsi="Times New Roman" w:cs="Times New Roman"/>
          <w:b/>
        </w:rPr>
        <w:t>RIS</w:t>
      </w:r>
      <w:r w:rsidRPr="00906B83">
        <w:rPr>
          <w:rFonts w:ascii="Times New Roman" w:hAnsi="Times New Roman" w:cs="Times New Roman"/>
        </w:rPr>
        <w:t>) would be required. OBPR advised that a RIS would not be required because the proposed regulatory change is minor or machinery in nature</w:t>
      </w:r>
      <w:r w:rsidR="002D2383">
        <w:rPr>
          <w:rFonts w:ascii="Times New Roman" w:hAnsi="Times New Roman" w:cs="Times New Roman"/>
        </w:rPr>
        <w:t xml:space="preserve"> (OBPR reference number 43583).</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1721954A"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F32003">
        <w:rPr>
          <w:rFonts w:ascii="Times New Roman" w:hAnsi="Times New Roman" w:cs="Times New Roman"/>
        </w:rPr>
        <w:t xml:space="preserve"> </w:t>
      </w:r>
      <w:r w:rsidR="00C12B6E">
        <w:rPr>
          <w:rFonts w:ascii="Times New Roman" w:hAnsi="Times New Roman" w:cs="Times New Roman"/>
        </w:rPr>
        <w:t xml:space="preserve">with </w:t>
      </w:r>
      <w:r w:rsidR="00F32003">
        <w:rPr>
          <w:rFonts w:ascii="Times New Roman" w:hAnsi="Times New Roman" w:cs="Times New Roman"/>
        </w:rPr>
        <w:t>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232342A6" w14:textId="7E68FE50" w:rsidR="009B4238" w:rsidRPr="009B4238" w:rsidRDefault="009B4238" w:rsidP="009B4238">
      <w:pPr>
        <w:rPr>
          <w:rFonts w:ascii="Times New Roman" w:hAnsi="Times New Roman" w:cs="Times New Roman"/>
          <w:bCs/>
          <w:iCs/>
        </w:rPr>
      </w:pPr>
      <w:r>
        <w:rPr>
          <w:rFonts w:ascii="Times New Roman" w:hAnsi="Times New Roman" w:cs="Times New Roman"/>
          <w:bCs/>
          <w:iCs/>
        </w:rPr>
        <w:t xml:space="preserve">The instrument </w:t>
      </w:r>
      <w:r w:rsidRPr="009B4238">
        <w:rPr>
          <w:rFonts w:ascii="Times New Roman" w:hAnsi="Times New Roman" w:cs="Times New Roman"/>
          <w:bCs/>
          <w:iCs/>
        </w:rPr>
        <w:t>prohibit</w:t>
      </w:r>
      <w:r>
        <w:rPr>
          <w:rFonts w:ascii="Times New Roman" w:hAnsi="Times New Roman" w:cs="Times New Roman"/>
          <w:bCs/>
          <w:iCs/>
        </w:rPr>
        <w:t>s</w:t>
      </w:r>
      <w:r w:rsidRPr="009B4238">
        <w:rPr>
          <w:rFonts w:ascii="Times New Roman" w:hAnsi="Times New Roman" w:cs="Times New Roman"/>
          <w:bCs/>
          <w:iCs/>
        </w:rPr>
        <w:t xml:space="preserve"> the operation or supply, or the possession for the purpose of operation or supply, of mobile phone boosters which are designed or intended to be used in connection with the PMTS.</w:t>
      </w:r>
    </w:p>
    <w:p w14:paraId="1AC097C0" w14:textId="65031A46" w:rsidR="009B4238" w:rsidRDefault="009B4238" w:rsidP="009B4238">
      <w:pPr>
        <w:rPr>
          <w:rFonts w:ascii="Times New Roman" w:hAnsi="Times New Roman" w:cs="Times New Roman"/>
          <w:bCs/>
          <w:iCs/>
        </w:rPr>
      </w:pPr>
      <w:r w:rsidRPr="009B4238">
        <w:rPr>
          <w:rFonts w:ascii="Times New Roman" w:hAnsi="Times New Roman" w:cs="Times New Roman"/>
          <w:bCs/>
          <w:iCs/>
        </w:rPr>
        <w:t>The</w:t>
      </w:r>
      <w:r w:rsidR="00AA0E50">
        <w:rPr>
          <w:rFonts w:ascii="Times New Roman" w:hAnsi="Times New Roman" w:cs="Times New Roman"/>
          <w:bCs/>
          <w:iCs/>
        </w:rPr>
        <w:t xml:space="preserve"> instrument also</w:t>
      </w:r>
      <w:r w:rsidRPr="009B4238">
        <w:rPr>
          <w:rFonts w:ascii="Times New Roman" w:hAnsi="Times New Roman" w:cs="Times New Roman"/>
          <w:bCs/>
          <w:iCs/>
        </w:rPr>
        <w:t xml:space="preserve"> re</w:t>
      </w:r>
      <w:r w:rsidR="00695F7E">
        <w:rPr>
          <w:rFonts w:ascii="Times New Roman" w:hAnsi="Times New Roman" w:cs="Times New Roman"/>
          <w:bCs/>
          <w:iCs/>
        </w:rPr>
        <w:t>peals</w:t>
      </w:r>
      <w:r w:rsidRPr="009B4238">
        <w:rPr>
          <w:rFonts w:ascii="Times New Roman" w:hAnsi="Times New Roman" w:cs="Times New Roman"/>
          <w:bCs/>
          <w:iCs/>
        </w:rPr>
        <w:t xml:space="preserve"> the existing 2011 </w:t>
      </w:r>
      <w:r w:rsidR="00AA0E50">
        <w:rPr>
          <w:rFonts w:ascii="Times New Roman" w:hAnsi="Times New Roman" w:cs="Times New Roman"/>
          <w:bCs/>
          <w:iCs/>
        </w:rPr>
        <w:t>instrument</w:t>
      </w:r>
      <w:r w:rsidRPr="009B4238">
        <w:rPr>
          <w:rFonts w:ascii="Times New Roman" w:hAnsi="Times New Roman" w:cs="Times New Roman"/>
          <w:bCs/>
          <w:iCs/>
        </w:rPr>
        <w:t>.</w:t>
      </w:r>
    </w:p>
    <w:p w14:paraId="7F41274F" w14:textId="3B70038E" w:rsidR="000B2F16" w:rsidRPr="000B2F16" w:rsidRDefault="000B2F16" w:rsidP="000B2F16">
      <w:pPr>
        <w:rPr>
          <w:rFonts w:ascii="Times New Roman" w:hAnsi="Times New Roman" w:cs="Times New Roman"/>
          <w:bCs/>
          <w:iCs/>
        </w:rPr>
      </w:pPr>
      <w:r w:rsidRPr="000B2F16">
        <w:rPr>
          <w:rFonts w:ascii="Times New Roman" w:hAnsi="Times New Roman" w:cs="Times New Roman"/>
          <w:bCs/>
          <w:iCs/>
        </w:rPr>
        <w:t>The purpose of the instrument is to protect PMTS from substantial interference</w:t>
      </w:r>
      <w:r w:rsidR="00F32003">
        <w:rPr>
          <w:rFonts w:ascii="Times New Roman" w:hAnsi="Times New Roman" w:cs="Times New Roman"/>
          <w:bCs/>
          <w:iCs/>
        </w:rPr>
        <w:t>,</w:t>
      </w:r>
      <w:r w:rsidRPr="000B2F16">
        <w:rPr>
          <w:rFonts w:ascii="Times New Roman" w:hAnsi="Times New Roman" w:cs="Times New Roman"/>
          <w:bCs/>
          <w:iCs/>
        </w:rPr>
        <w:t xml:space="preserve"> </w:t>
      </w:r>
      <w:proofErr w:type="gramStart"/>
      <w:r w:rsidRPr="000B2F16">
        <w:rPr>
          <w:rFonts w:ascii="Times New Roman" w:hAnsi="Times New Roman" w:cs="Times New Roman"/>
          <w:bCs/>
          <w:iCs/>
        </w:rPr>
        <w:t>disruption</w:t>
      </w:r>
      <w:proofErr w:type="gramEnd"/>
      <w:r w:rsidRPr="000B2F16">
        <w:rPr>
          <w:rFonts w:ascii="Times New Roman" w:hAnsi="Times New Roman" w:cs="Times New Roman"/>
          <w:bCs/>
          <w:iCs/>
        </w:rPr>
        <w:t xml:space="preserve"> or disturbance.</w:t>
      </w:r>
    </w:p>
    <w:p w14:paraId="62B66CB7" w14:textId="505F46B9"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750CD0E2" w14:textId="4CAFD9A6" w:rsidR="00B26FD3"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529383EE" w14:textId="75E21FD8" w:rsidR="004C58B9" w:rsidRPr="009A05E0"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r>
        <w:rPr>
          <w:rFonts w:ascii="Times New Roman" w:hAnsi="Times New Roman" w:cs="Times New Roman"/>
          <w:b/>
        </w:rPr>
        <w:br w:type="page"/>
      </w:r>
    </w:p>
    <w:p w14:paraId="00392EC9" w14:textId="77777777" w:rsidR="004C58B9" w:rsidRPr="00AC18C3" w:rsidRDefault="004C58B9" w:rsidP="004C58B9">
      <w:pPr>
        <w:jc w:val="right"/>
        <w:rPr>
          <w:rFonts w:ascii="Times New Roman" w:hAnsi="Times New Roman" w:cs="Times New Roman"/>
          <w:b/>
          <w:sz w:val="24"/>
          <w:szCs w:val="24"/>
        </w:rPr>
      </w:pPr>
      <w:r w:rsidRPr="00AC18C3">
        <w:rPr>
          <w:rFonts w:ascii="Times New Roman" w:hAnsi="Times New Roman" w:cs="Times New Roman"/>
          <w:b/>
          <w:sz w:val="24"/>
          <w:szCs w:val="24"/>
        </w:rPr>
        <w:lastRenderedPageBreak/>
        <w:t>Attachment A</w:t>
      </w:r>
    </w:p>
    <w:p w14:paraId="1C8DF131" w14:textId="5D18D51B" w:rsidR="00695F7E" w:rsidRPr="00AC18C3" w:rsidRDefault="004C58B9" w:rsidP="00AC18C3">
      <w:pPr>
        <w:rPr>
          <w:rFonts w:ascii="Times New Roman" w:hAnsi="Times New Roman" w:cs="Times New Roman"/>
          <w:b/>
          <w:sz w:val="24"/>
          <w:szCs w:val="24"/>
        </w:rPr>
      </w:pPr>
      <w:r w:rsidRPr="00AC18C3">
        <w:rPr>
          <w:rFonts w:ascii="Times New Roman" w:hAnsi="Times New Roman" w:cs="Times New Roman"/>
          <w:b/>
          <w:sz w:val="24"/>
          <w:szCs w:val="24"/>
        </w:rPr>
        <w:t>Notes to the</w:t>
      </w:r>
      <w:r w:rsidR="00695F7E" w:rsidRPr="00AC18C3">
        <w:rPr>
          <w:rFonts w:ascii="Times New Roman" w:eastAsia="Times New Roman" w:hAnsi="Times New Roman" w:cs="Times New Roman"/>
          <w:i/>
          <w:iCs/>
          <w:sz w:val="24"/>
          <w:szCs w:val="24"/>
          <w:lang w:eastAsia="en-AU"/>
        </w:rPr>
        <w:t xml:space="preserve"> </w:t>
      </w:r>
      <w:r w:rsidR="00695F7E" w:rsidRPr="00AC18C3">
        <w:rPr>
          <w:rFonts w:ascii="Times New Roman" w:hAnsi="Times New Roman" w:cs="Times New Roman"/>
          <w:b/>
          <w:i/>
          <w:iCs/>
          <w:sz w:val="24"/>
          <w:szCs w:val="24"/>
        </w:rPr>
        <w:t>Telecommunications (Prohibition of Mobile Phone Boosters) Declaration 2021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97B6467" w14:textId="388F3173" w:rsidR="00EF2734" w:rsidRPr="00EF2734" w:rsidRDefault="004C58B9" w:rsidP="00EF2734">
      <w:pPr>
        <w:rPr>
          <w:rFonts w:ascii="Times New Roman" w:hAnsi="Times New Roman" w:cs="Times New Roman"/>
        </w:rPr>
      </w:pPr>
      <w:r>
        <w:rPr>
          <w:rFonts w:ascii="Times New Roman" w:hAnsi="Times New Roman" w:cs="Times New Roman"/>
        </w:rPr>
        <w:t xml:space="preserve">This section provides for the instrument to be cited as the </w:t>
      </w:r>
      <w:r w:rsidR="00EF2734" w:rsidRPr="00EF2734">
        <w:rPr>
          <w:rFonts w:ascii="Times New Roman" w:hAnsi="Times New Roman" w:cs="Times New Roman"/>
          <w:i/>
          <w:iCs/>
        </w:rPr>
        <w:t>Telecommunications (Prohibition of Mobile Phone Boosters) Declaration 2021.</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4AAE350E"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EF2734">
        <w:rPr>
          <w:rFonts w:ascii="Times New Roman" w:hAnsi="Times New Roman" w:cs="Times New Roman"/>
        </w:rPr>
        <w:t>subsection 450</w:t>
      </w:r>
      <w:r w:rsidR="000D3CDC">
        <w:rPr>
          <w:rFonts w:ascii="Times New Roman" w:hAnsi="Times New Roman" w:cs="Times New Roman"/>
        </w:rPr>
        <w:t xml:space="preserve">(1) </w:t>
      </w:r>
      <w:r>
        <w:rPr>
          <w:rFonts w:ascii="Times New Roman" w:hAnsi="Times New Roman" w:cs="Times New Roman"/>
        </w:rPr>
        <w:t xml:space="preserve">of the </w:t>
      </w:r>
      <w:r w:rsidR="00B80C1A">
        <w:rPr>
          <w:rFonts w:ascii="Times New Roman" w:hAnsi="Times New Roman" w:cs="Times New Roman"/>
        </w:rPr>
        <w:t>Act</w:t>
      </w:r>
      <w:r>
        <w:rPr>
          <w:rFonts w:ascii="Times New Roman" w:hAnsi="Times New Roman" w:cs="Times New Roman"/>
        </w:rPr>
        <w:t>.</w:t>
      </w:r>
    </w:p>
    <w:p w14:paraId="76C5D880" w14:textId="77777777" w:rsidR="0042426A" w:rsidRPr="0042426A" w:rsidRDefault="004C58B9" w:rsidP="0042426A">
      <w:pPr>
        <w:rPr>
          <w:rFonts w:ascii="Times New Roman" w:hAnsi="Times New Roman" w:cs="Times New Roman"/>
          <w:b/>
          <w:bCs/>
          <w:i/>
        </w:rPr>
      </w:pPr>
      <w:r>
        <w:rPr>
          <w:rFonts w:ascii="Times New Roman" w:hAnsi="Times New Roman" w:cs="Times New Roman"/>
          <w:b/>
        </w:rPr>
        <w:t>Section 4</w:t>
      </w:r>
      <w:r>
        <w:rPr>
          <w:rFonts w:ascii="Times New Roman" w:hAnsi="Times New Roman" w:cs="Times New Roman"/>
          <w:b/>
        </w:rPr>
        <w:tab/>
        <w:t xml:space="preserve">Repeal of the </w:t>
      </w:r>
      <w:r w:rsidR="0042426A" w:rsidRPr="0042426A">
        <w:rPr>
          <w:rFonts w:ascii="Times New Roman" w:hAnsi="Times New Roman" w:cs="Times New Roman"/>
          <w:b/>
          <w:bCs/>
          <w:i/>
        </w:rPr>
        <w:t>Telecommunications (Prohibition of Mobile Phone Boosters) Declaration 2011</w:t>
      </w:r>
    </w:p>
    <w:p w14:paraId="734B9C26" w14:textId="54B4E079" w:rsidR="004C58B9" w:rsidRPr="00B5789D" w:rsidRDefault="004C58B9" w:rsidP="00AC18C3">
      <w:pPr>
        <w:rPr>
          <w:rFonts w:ascii="Times New Roman" w:hAnsi="Times New Roman" w:cs="Times New Roman"/>
        </w:rPr>
      </w:pPr>
      <w:r w:rsidRPr="00B5789D">
        <w:rPr>
          <w:rFonts w:ascii="Times New Roman" w:hAnsi="Times New Roman" w:cs="Times New Roman"/>
        </w:rPr>
        <w:t xml:space="preserve">This section provides that the </w:t>
      </w:r>
      <w:r w:rsidR="0042426A" w:rsidRPr="00B5789D">
        <w:rPr>
          <w:rFonts w:ascii="Times New Roman" w:hAnsi="Times New Roman" w:cs="Times New Roman"/>
          <w:i/>
        </w:rPr>
        <w:t>Telecommunications (Prohibition of Mobile Phone Boosters) Declaration 2011</w:t>
      </w:r>
      <w:r w:rsidR="0042426A" w:rsidRPr="00B5789D">
        <w:rPr>
          <w:rFonts w:ascii="Times New Roman" w:hAnsi="Times New Roman" w:cs="Times New Roman"/>
          <w:b/>
          <w:bCs/>
          <w:i/>
        </w:rPr>
        <w:t xml:space="preserve"> </w:t>
      </w:r>
      <w:r w:rsidRPr="00B5789D">
        <w:rPr>
          <w:rFonts w:ascii="Times New Roman" w:hAnsi="Times New Roman" w:cs="Times New Roman"/>
        </w:rPr>
        <w:t>[Registration No</w:t>
      </w:r>
      <w:r w:rsidR="000469A0">
        <w:rPr>
          <w:rFonts w:ascii="Times New Roman" w:hAnsi="Times New Roman" w:cs="Times New Roman"/>
        </w:rPr>
        <w:t>.</w:t>
      </w:r>
      <w:r w:rsidR="00B5789D" w:rsidRPr="00B5789D">
        <w:rPr>
          <w:rFonts w:ascii="Open Sans" w:eastAsia="Times New Roman" w:hAnsi="Open Sans" w:cs="Open Sans"/>
          <w:color w:val="000000"/>
          <w:sz w:val="21"/>
          <w:szCs w:val="21"/>
          <w:lang w:eastAsia="en-AU"/>
        </w:rPr>
        <w:t xml:space="preserve"> </w:t>
      </w:r>
      <w:r w:rsidR="00B5789D" w:rsidRPr="000469A0">
        <w:rPr>
          <w:rFonts w:ascii="Times New Roman" w:hAnsi="Times New Roman" w:cs="Times New Roman"/>
        </w:rPr>
        <w:t>F2011L00866</w:t>
      </w:r>
      <w:r w:rsidR="00E26E40">
        <w:rPr>
          <w:rFonts w:ascii="Times New Roman" w:hAnsi="Times New Roman" w:cs="Times New Roman"/>
        </w:rPr>
        <w:t>]</w:t>
      </w:r>
      <w:r w:rsidRPr="00B5789D">
        <w:rPr>
          <w:rFonts w:ascii="Times New Roman" w:hAnsi="Times New Roman" w:cs="Times New Roman"/>
        </w:rPr>
        <w:t xml:space="preserve"> is repealed.</w:t>
      </w:r>
    </w:p>
    <w:p w14:paraId="092F5492" w14:textId="4077DB64" w:rsidR="004C58B9" w:rsidRDefault="004C58B9" w:rsidP="004C58B9">
      <w:pPr>
        <w:rPr>
          <w:rFonts w:ascii="Times New Roman" w:hAnsi="Times New Roman" w:cs="Times New Roman"/>
          <w:b/>
        </w:rPr>
      </w:pPr>
      <w:r>
        <w:rPr>
          <w:rFonts w:ascii="Times New Roman" w:hAnsi="Times New Roman" w:cs="Times New Roman"/>
          <w:b/>
        </w:rPr>
        <w:t xml:space="preserve">Section </w:t>
      </w:r>
      <w:r w:rsidR="00CE0D93">
        <w:rPr>
          <w:rFonts w:ascii="Times New Roman" w:hAnsi="Times New Roman" w:cs="Times New Roman"/>
          <w:b/>
        </w:rPr>
        <w:t>5</w:t>
      </w:r>
      <w:r>
        <w:rPr>
          <w:rFonts w:ascii="Times New Roman" w:hAnsi="Times New Roman" w:cs="Times New Roman"/>
          <w:b/>
        </w:rPr>
        <w:tab/>
        <w:t>Definitions</w:t>
      </w:r>
    </w:p>
    <w:p w14:paraId="25B9504C" w14:textId="6B8937B8" w:rsidR="00DF51F2" w:rsidRPr="00DF51F2" w:rsidRDefault="004C58B9" w:rsidP="00DF51F2">
      <w:pPr>
        <w:rPr>
          <w:rFonts w:ascii="Times New Roman" w:hAnsi="Times New Roman" w:cs="Times New Roman"/>
        </w:rPr>
      </w:pPr>
      <w:r>
        <w:rPr>
          <w:rFonts w:ascii="Times New Roman" w:hAnsi="Times New Roman" w:cs="Times New Roman"/>
        </w:rPr>
        <w:t xml:space="preserve">This section defines </w:t>
      </w:r>
      <w:proofErr w:type="gramStart"/>
      <w:r>
        <w:rPr>
          <w:rFonts w:ascii="Times New Roman" w:hAnsi="Times New Roman" w:cs="Times New Roman"/>
        </w:rPr>
        <w:t>a number of</w:t>
      </w:r>
      <w:proofErr w:type="gramEnd"/>
      <w:r>
        <w:rPr>
          <w:rFonts w:ascii="Times New Roman" w:hAnsi="Times New Roman" w:cs="Times New Roman"/>
        </w:rPr>
        <w:t xml:space="preserve"> key terms used </w:t>
      </w:r>
      <w:r w:rsidR="00837B7A">
        <w:rPr>
          <w:rFonts w:ascii="Times New Roman" w:hAnsi="Times New Roman" w:cs="Times New Roman"/>
        </w:rPr>
        <w:t xml:space="preserve">in </w:t>
      </w:r>
      <w:r>
        <w:rPr>
          <w:rFonts w:ascii="Times New Roman" w:hAnsi="Times New Roman" w:cs="Times New Roman"/>
        </w:rPr>
        <w:t xml:space="preserve">the instrument. </w:t>
      </w:r>
      <w:r w:rsidR="00DF51F2" w:rsidRPr="00DF51F2">
        <w:rPr>
          <w:rFonts w:ascii="Times New Roman" w:hAnsi="Times New Roman" w:cs="Times New Roman"/>
        </w:rPr>
        <w:t xml:space="preserve">These </w:t>
      </w:r>
      <w:proofErr w:type="gramStart"/>
      <w:r w:rsidR="00DF51F2" w:rsidRPr="00DF51F2">
        <w:rPr>
          <w:rFonts w:ascii="Times New Roman" w:hAnsi="Times New Roman" w:cs="Times New Roman"/>
        </w:rPr>
        <w:t>include  ‘</w:t>
      </w:r>
      <w:proofErr w:type="gramEnd"/>
      <w:r w:rsidR="00DF51F2" w:rsidRPr="00DF51F2">
        <w:rPr>
          <w:rFonts w:ascii="Times New Roman" w:hAnsi="Times New Roman" w:cs="Times New Roman"/>
        </w:rPr>
        <w:t>base station’, ‘frequency band’, ‘mobile station’, ‘radio emission’ and ‘station’.</w:t>
      </w:r>
    </w:p>
    <w:p w14:paraId="1D177220" w14:textId="6C3447D3" w:rsidR="000A5D03" w:rsidRPr="000A5D03" w:rsidRDefault="000A5D03" w:rsidP="000A5D03">
      <w:pPr>
        <w:rPr>
          <w:rFonts w:ascii="Times New Roman" w:hAnsi="Times New Roman" w:cs="Times New Roman"/>
        </w:rPr>
      </w:pPr>
      <w:r w:rsidRPr="000A5D03">
        <w:rPr>
          <w:rFonts w:ascii="Times New Roman" w:hAnsi="Times New Roman" w:cs="Times New Roman"/>
        </w:rPr>
        <w:t xml:space="preserve">The </w:t>
      </w:r>
      <w:r w:rsidR="00931312">
        <w:rPr>
          <w:rFonts w:ascii="Times New Roman" w:hAnsi="Times New Roman" w:cs="Times New Roman"/>
        </w:rPr>
        <w:t xml:space="preserve">definition of ‘mobile phone booster’ in the </w:t>
      </w:r>
      <w:r>
        <w:rPr>
          <w:rFonts w:ascii="Times New Roman" w:hAnsi="Times New Roman" w:cs="Times New Roman"/>
        </w:rPr>
        <w:t>instrument</w:t>
      </w:r>
      <w:r w:rsidRPr="000A5D03">
        <w:rPr>
          <w:rFonts w:ascii="Times New Roman" w:hAnsi="Times New Roman" w:cs="Times New Roman"/>
        </w:rPr>
        <w:t xml:space="preserve"> </w:t>
      </w:r>
      <w:r w:rsidR="00931312">
        <w:rPr>
          <w:rFonts w:ascii="Times New Roman" w:hAnsi="Times New Roman" w:cs="Times New Roman"/>
        </w:rPr>
        <w:t xml:space="preserve">(section 6 – see discussion below) now specifically excludes </w:t>
      </w:r>
      <w:r w:rsidRPr="000A5D03">
        <w:rPr>
          <w:rFonts w:ascii="Times New Roman" w:hAnsi="Times New Roman" w:cs="Times New Roman"/>
        </w:rPr>
        <w:t xml:space="preserve">cellular mobile repeaters. As a result, the following new definitions have been </w:t>
      </w:r>
      <w:r w:rsidR="00931312">
        <w:rPr>
          <w:rFonts w:ascii="Times New Roman" w:hAnsi="Times New Roman" w:cs="Times New Roman"/>
        </w:rPr>
        <w:t>included</w:t>
      </w:r>
      <w:r w:rsidRPr="000A5D03">
        <w:rPr>
          <w:rFonts w:ascii="Times New Roman" w:hAnsi="Times New Roman" w:cs="Times New Roman"/>
        </w:rPr>
        <w:t xml:space="preserve"> </w:t>
      </w:r>
      <w:r w:rsidR="009E0DC0">
        <w:rPr>
          <w:rFonts w:ascii="Times New Roman" w:hAnsi="Times New Roman" w:cs="Times New Roman"/>
        </w:rPr>
        <w:t xml:space="preserve">- </w:t>
      </w:r>
      <w:r w:rsidRPr="000A5D03">
        <w:rPr>
          <w:rFonts w:ascii="Times New Roman" w:hAnsi="Times New Roman" w:cs="Times New Roman"/>
        </w:rPr>
        <w:t>‘cellular mobile repeater’, ‘radiocommunications device’, ‘radiocommunications receiver’ and ‘radiocommunications transmitter’.</w:t>
      </w:r>
    </w:p>
    <w:p w14:paraId="17F7700A" w14:textId="19C1A480" w:rsidR="00DA09B7" w:rsidRDefault="004C58B9" w:rsidP="004C58B9">
      <w:pPr>
        <w:rPr>
          <w:rFonts w:ascii="Times New Roman" w:hAnsi="Times New Roman" w:cs="Times New Roman"/>
          <w:b/>
        </w:rPr>
      </w:pPr>
      <w:r>
        <w:rPr>
          <w:rFonts w:ascii="Times New Roman" w:hAnsi="Times New Roman" w:cs="Times New Roman"/>
          <w:b/>
        </w:rPr>
        <w:t xml:space="preserve">Section </w:t>
      </w:r>
      <w:r w:rsidR="00DA09B7">
        <w:rPr>
          <w:rFonts w:ascii="Times New Roman" w:hAnsi="Times New Roman" w:cs="Times New Roman"/>
          <w:b/>
        </w:rPr>
        <w:t>6</w:t>
      </w:r>
      <w:r w:rsidR="00DA09B7">
        <w:rPr>
          <w:rFonts w:ascii="Times New Roman" w:hAnsi="Times New Roman" w:cs="Times New Roman"/>
          <w:b/>
        </w:rPr>
        <w:tab/>
      </w:r>
      <w:r w:rsidR="00600AD8">
        <w:rPr>
          <w:rFonts w:ascii="Times New Roman" w:hAnsi="Times New Roman" w:cs="Times New Roman"/>
          <w:b/>
        </w:rPr>
        <w:t xml:space="preserve">Meaning of </w:t>
      </w:r>
      <w:r w:rsidR="00600AD8" w:rsidRPr="000C0134">
        <w:rPr>
          <w:rFonts w:ascii="Times New Roman" w:hAnsi="Times New Roman" w:cs="Times New Roman"/>
          <w:b/>
          <w:i/>
          <w:iCs/>
        </w:rPr>
        <w:t>mobile phone booster</w:t>
      </w:r>
    </w:p>
    <w:p w14:paraId="392D1D0E" w14:textId="4B9DD39F" w:rsidR="00DF221D" w:rsidRDefault="0042140A" w:rsidP="00EF5FBA">
      <w:pPr>
        <w:rPr>
          <w:rFonts w:ascii="Times New Roman" w:hAnsi="Times New Roman" w:cs="Times New Roman"/>
          <w:bCs/>
        </w:rPr>
      </w:pPr>
      <w:r>
        <w:rPr>
          <w:rFonts w:ascii="Times New Roman" w:hAnsi="Times New Roman" w:cs="Times New Roman"/>
          <w:bCs/>
        </w:rPr>
        <w:t xml:space="preserve">Section 6 </w:t>
      </w:r>
      <w:r w:rsidR="007125EF">
        <w:rPr>
          <w:rFonts w:ascii="Times New Roman" w:hAnsi="Times New Roman" w:cs="Times New Roman"/>
          <w:bCs/>
        </w:rPr>
        <w:t>defines</w:t>
      </w:r>
      <w:r>
        <w:rPr>
          <w:rFonts w:ascii="Times New Roman" w:hAnsi="Times New Roman" w:cs="Times New Roman"/>
          <w:bCs/>
        </w:rPr>
        <w:t xml:space="preserve"> the term ‘mobile phone booster’. </w:t>
      </w:r>
      <w:r w:rsidR="007125EF">
        <w:rPr>
          <w:rFonts w:ascii="Times New Roman" w:hAnsi="Times New Roman" w:cs="Times New Roman"/>
          <w:bCs/>
        </w:rPr>
        <w:t xml:space="preserve">The definition differs from the definition in the 2011 instrument in that the definition now specifically excludes cellular mobile repeaters. </w:t>
      </w:r>
      <w:r w:rsidR="00EF5FBA" w:rsidRPr="00EF5FBA">
        <w:rPr>
          <w:rFonts w:ascii="Times New Roman" w:hAnsi="Times New Roman" w:cs="Times New Roman"/>
          <w:bCs/>
        </w:rPr>
        <w:t xml:space="preserve">As mobile phone boosters and cellular mobile repeaters have similar end functionality, there is a potential that repeaters may be inadvertently captured </w:t>
      </w:r>
      <w:proofErr w:type="gramStart"/>
      <w:r w:rsidR="00EF5FBA" w:rsidRPr="00EF5FBA">
        <w:rPr>
          <w:rFonts w:ascii="Times New Roman" w:hAnsi="Times New Roman" w:cs="Times New Roman"/>
          <w:bCs/>
        </w:rPr>
        <w:t>by definition of</w:t>
      </w:r>
      <w:proofErr w:type="gramEnd"/>
      <w:r w:rsidR="00EF5FBA" w:rsidRPr="00EF5FBA">
        <w:rPr>
          <w:rFonts w:ascii="Times New Roman" w:hAnsi="Times New Roman" w:cs="Times New Roman"/>
          <w:bCs/>
        </w:rPr>
        <w:t xml:space="preserve"> mobile phone booster</w:t>
      </w:r>
      <w:r w:rsidR="00C81591">
        <w:rPr>
          <w:rFonts w:ascii="Times New Roman" w:hAnsi="Times New Roman" w:cs="Times New Roman"/>
          <w:bCs/>
        </w:rPr>
        <w:t>, unless they are expressly excluded from the definition</w:t>
      </w:r>
      <w:r w:rsidR="00EF5FBA" w:rsidRPr="00EF5FBA">
        <w:rPr>
          <w:rFonts w:ascii="Times New Roman" w:hAnsi="Times New Roman" w:cs="Times New Roman"/>
          <w:bCs/>
        </w:rPr>
        <w:t xml:space="preserve">. </w:t>
      </w:r>
    </w:p>
    <w:p w14:paraId="1E393DAF" w14:textId="72A3BA91" w:rsidR="00EF5FBA" w:rsidRDefault="00DF221D" w:rsidP="00EF5FBA">
      <w:pPr>
        <w:rPr>
          <w:rFonts w:ascii="Times New Roman" w:hAnsi="Times New Roman" w:cs="Times New Roman"/>
          <w:bCs/>
        </w:rPr>
      </w:pPr>
      <w:r>
        <w:rPr>
          <w:rFonts w:ascii="Times New Roman" w:hAnsi="Times New Roman" w:cs="Times New Roman"/>
          <w:bCs/>
        </w:rPr>
        <w:t>Typically, a mobile phone booster uses a wired connection to a single mobile station</w:t>
      </w:r>
      <w:r w:rsidR="00C02D41">
        <w:rPr>
          <w:rFonts w:ascii="Times New Roman" w:hAnsi="Times New Roman" w:cs="Times New Roman"/>
          <w:bCs/>
        </w:rPr>
        <w:t xml:space="preserve"> to boost its signal</w:t>
      </w:r>
      <w:r>
        <w:rPr>
          <w:rFonts w:ascii="Times New Roman" w:hAnsi="Times New Roman" w:cs="Times New Roman"/>
          <w:bCs/>
        </w:rPr>
        <w:t xml:space="preserve">. </w:t>
      </w:r>
      <w:r w:rsidR="00D8013B">
        <w:rPr>
          <w:rFonts w:ascii="Times New Roman" w:hAnsi="Times New Roman" w:cs="Times New Roman"/>
          <w:bCs/>
        </w:rPr>
        <w:t>By contrast</w:t>
      </w:r>
      <w:r w:rsidR="00016CDA">
        <w:rPr>
          <w:rFonts w:ascii="Times New Roman" w:hAnsi="Times New Roman" w:cs="Times New Roman"/>
          <w:bCs/>
        </w:rPr>
        <w:t>,</w:t>
      </w:r>
      <w:r>
        <w:rPr>
          <w:rFonts w:ascii="Times New Roman" w:hAnsi="Times New Roman" w:cs="Times New Roman"/>
          <w:bCs/>
        </w:rPr>
        <w:t xml:space="preserve"> a cellular mobile repeater</w:t>
      </w:r>
      <w:r w:rsidR="00C02D41">
        <w:rPr>
          <w:rFonts w:ascii="Times New Roman" w:hAnsi="Times New Roman" w:cs="Times New Roman"/>
          <w:bCs/>
        </w:rPr>
        <w:t xml:space="preserve"> is typically used by carriers as a network extension </w:t>
      </w:r>
      <w:proofErr w:type="gramStart"/>
      <w:r w:rsidR="00F02532">
        <w:rPr>
          <w:rFonts w:ascii="Times New Roman" w:hAnsi="Times New Roman" w:cs="Times New Roman"/>
          <w:bCs/>
        </w:rPr>
        <w:t>device</w:t>
      </w:r>
      <w:proofErr w:type="gramEnd"/>
      <w:r w:rsidR="00F02532">
        <w:rPr>
          <w:rFonts w:ascii="Times New Roman" w:hAnsi="Times New Roman" w:cs="Times New Roman"/>
          <w:bCs/>
        </w:rPr>
        <w:t xml:space="preserve"> and it</w:t>
      </w:r>
      <w:r>
        <w:rPr>
          <w:rFonts w:ascii="Times New Roman" w:hAnsi="Times New Roman" w:cs="Times New Roman"/>
          <w:bCs/>
        </w:rPr>
        <w:t xml:space="preserve"> communicates wirelessly with a mobile station or another base station</w:t>
      </w:r>
      <w:r w:rsidR="00F02532">
        <w:rPr>
          <w:rFonts w:ascii="Times New Roman" w:hAnsi="Times New Roman" w:cs="Times New Roman"/>
          <w:bCs/>
        </w:rPr>
        <w:t>.</w:t>
      </w:r>
      <w:r w:rsidR="00C81591">
        <w:rPr>
          <w:rFonts w:ascii="Times New Roman" w:hAnsi="Times New Roman" w:cs="Times New Roman"/>
          <w:bCs/>
        </w:rPr>
        <w:t xml:space="preserve"> C</w:t>
      </w:r>
      <w:r w:rsidR="00C81591" w:rsidRPr="00EF5FBA">
        <w:rPr>
          <w:rFonts w:ascii="Times New Roman" w:hAnsi="Times New Roman" w:cs="Times New Roman"/>
          <w:bCs/>
        </w:rPr>
        <w:t>ellular mobile repeaters are not a prohibited device</w:t>
      </w:r>
      <w:r w:rsidR="00C81591">
        <w:rPr>
          <w:rFonts w:ascii="Times New Roman" w:hAnsi="Times New Roman" w:cs="Times New Roman"/>
          <w:bCs/>
        </w:rPr>
        <w:t xml:space="preserve"> under the Act</w:t>
      </w:r>
      <w:r w:rsidR="00C81591" w:rsidRPr="00EF5FBA">
        <w:rPr>
          <w:rFonts w:ascii="Times New Roman" w:hAnsi="Times New Roman" w:cs="Times New Roman"/>
          <w:bCs/>
        </w:rPr>
        <w:t xml:space="preserve"> and </w:t>
      </w:r>
      <w:r w:rsidR="00C81591">
        <w:rPr>
          <w:rFonts w:ascii="Times New Roman" w:hAnsi="Times New Roman" w:cs="Times New Roman"/>
          <w:bCs/>
        </w:rPr>
        <w:t xml:space="preserve">are typically </w:t>
      </w:r>
      <w:r w:rsidR="00C81591" w:rsidRPr="00EF5FBA">
        <w:rPr>
          <w:rFonts w:ascii="Times New Roman" w:hAnsi="Times New Roman" w:cs="Times New Roman"/>
          <w:bCs/>
        </w:rPr>
        <w:t xml:space="preserve">used by </w:t>
      </w:r>
      <w:r w:rsidR="00C81591">
        <w:rPr>
          <w:rFonts w:ascii="Times New Roman" w:hAnsi="Times New Roman" w:cs="Times New Roman"/>
          <w:bCs/>
        </w:rPr>
        <w:t xml:space="preserve">telecommunications </w:t>
      </w:r>
      <w:r w:rsidR="00C81591" w:rsidRPr="00EF5FBA">
        <w:rPr>
          <w:rFonts w:ascii="Times New Roman" w:hAnsi="Times New Roman" w:cs="Times New Roman"/>
          <w:bCs/>
        </w:rPr>
        <w:t>carriers for network management purposes.</w:t>
      </w:r>
      <w:r w:rsidR="00C81591">
        <w:rPr>
          <w:rFonts w:ascii="Times New Roman" w:hAnsi="Times New Roman" w:cs="Times New Roman"/>
          <w:bCs/>
        </w:rPr>
        <w:t xml:space="preserve"> </w:t>
      </w:r>
    </w:p>
    <w:p w14:paraId="0E39531A" w14:textId="4835BAD3" w:rsidR="000C0134" w:rsidRDefault="000C0134" w:rsidP="00EF5FBA">
      <w:pPr>
        <w:rPr>
          <w:rFonts w:ascii="Times New Roman" w:hAnsi="Times New Roman" w:cs="Times New Roman"/>
          <w:bCs/>
        </w:rPr>
      </w:pPr>
    </w:p>
    <w:p w14:paraId="504D1B33" w14:textId="3919589B" w:rsidR="000C0134" w:rsidRDefault="000C0134" w:rsidP="00EF5FBA">
      <w:pPr>
        <w:rPr>
          <w:rFonts w:ascii="Times New Roman" w:hAnsi="Times New Roman" w:cs="Times New Roman"/>
          <w:bCs/>
        </w:rPr>
      </w:pPr>
    </w:p>
    <w:p w14:paraId="1C690D6D" w14:textId="77777777" w:rsidR="000C0134" w:rsidRPr="00EF5FBA" w:rsidRDefault="000C0134" w:rsidP="00EF5FBA">
      <w:pPr>
        <w:rPr>
          <w:rFonts w:ascii="Times New Roman" w:hAnsi="Times New Roman" w:cs="Times New Roman"/>
          <w:bCs/>
        </w:rPr>
      </w:pPr>
    </w:p>
    <w:p w14:paraId="4E744EA9" w14:textId="5B5E983F" w:rsidR="004C58B9" w:rsidRDefault="00DA09B7" w:rsidP="004C58B9">
      <w:pPr>
        <w:rPr>
          <w:rFonts w:ascii="Times New Roman" w:hAnsi="Times New Roman" w:cs="Times New Roman"/>
          <w:b/>
        </w:rPr>
      </w:pPr>
      <w:r>
        <w:rPr>
          <w:rFonts w:ascii="Times New Roman" w:hAnsi="Times New Roman" w:cs="Times New Roman"/>
          <w:b/>
        </w:rPr>
        <w:lastRenderedPageBreak/>
        <w:t>Section</w:t>
      </w:r>
      <w:r w:rsidR="004C58B9">
        <w:rPr>
          <w:rFonts w:ascii="Times New Roman" w:hAnsi="Times New Roman" w:cs="Times New Roman"/>
          <w:b/>
        </w:rPr>
        <w:tab/>
      </w:r>
      <w:r w:rsidR="0095346D">
        <w:rPr>
          <w:rFonts w:ascii="Times New Roman" w:hAnsi="Times New Roman" w:cs="Times New Roman"/>
          <w:b/>
        </w:rPr>
        <w:t>7</w:t>
      </w:r>
      <w:r w:rsidR="0095346D">
        <w:rPr>
          <w:rFonts w:ascii="Times New Roman" w:hAnsi="Times New Roman" w:cs="Times New Roman"/>
          <w:b/>
        </w:rPr>
        <w:tab/>
      </w:r>
      <w:r w:rsidR="004C58B9">
        <w:rPr>
          <w:rFonts w:ascii="Times New Roman" w:hAnsi="Times New Roman" w:cs="Times New Roman"/>
          <w:b/>
        </w:rPr>
        <w:t>References to other instruments</w:t>
      </w:r>
    </w:p>
    <w:p w14:paraId="1C3706A9" w14:textId="3D262C91" w:rsidR="006D0FC4" w:rsidRDefault="004C58B9" w:rsidP="00AC18C3">
      <w:pPr>
        <w:rPr>
          <w:rFonts w:ascii="Times New Roman" w:hAnsi="Times New Roman" w:cs="Times New Roman"/>
        </w:rPr>
      </w:pPr>
      <w:r>
        <w:rPr>
          <w:rFonts w:ascii="Times New Roman" w:hAnsi="Times New Roman" w:cs="Times New Roman"/>
        </w:rPr>
        <w:t>This section provides that in the instrument, unless the contrary intention appears</w:t>
      </w:r>
      <w:r w:rsidR="0042140A">
        <w:rPr>
          <w:rFonts w:ascii="Times New Roman" w:hAnsi="Times New Roman" w:cs="Times New Roman"/>
        </w:rPr>
        <w:t xml:space="preserve">, </w:t>
      </w:r>
      <w:r w:rsidRPr="00AC18C3">
        <w:rPr>
          <w:rFonts w:ascii="Times New Roman" w:hAnsi="Times New Roman" w:cs="Times New Roman"/>
        </w:rPr>
        <w:t>a reference to any other legislative instrument is a reference to that other legislative instrument as in force from time to time</w:t>
      </w:r>
      <w:r w:rsidR="004E10B3" w:rsidRPr="00AC18C3">
        <w:rPr>
          <w:rFonts w:ascii="Times New Roman" w:hAnsi="Times New Roman" w:cs="Times New Roman"/>
        </w:rPr>
        <w:t>.</w:t>
      </w:r>
    </w:p>
    <w:p w14:paraId="4D2F3B49" w14:textId="7F4B3414" w:rsidR="006D0FC4" w:rsidRDefault="006D0FC4" w:rsidP="006D0FC4">
      <w:pPr>
        <w:rPr>
          <w:rFonts w:ascii="Times New Roman" w:hAnsi="Times New Roman" w:cs="Times New Roman"/>
          <w:b/>
        </w:rPr>
      </w:pPr>
      <w:r>
        <w:rPr>
          <w:rFonts w:ascii="Times New Roman" w:hAnsi="Times New Roman" w:cs="Times New Roman"/>
          <w:b/>
        </w:rPr>
        <w:t>Section</w:t>
      </w:r>
      <w:r>
        <w:rPr>
          <w:rFonts w:ascii="Times New Roman" w:hAnsi="Times New Roman" w:cs="Times New Roman"/>
          <w:b/>
        </w:rPr>
        <w:tab/>
        <w:t>8</w:t>
      </w:r>
      <w:r>
        <w:rPr>
          <w:rFonts w:ascii="Times New Roman" w:hAnsi="Times New Roman" w:cs="Times New Roman"/>
          <w:b/>
        </w:rPr>
        <w:tab/>
        <w:t>Prohibition of mobile phone boosters</w:t>
      </w:r>
    </w:p>
    <w:p w14:paraId="28BD66E8" w14:textId="42145A68" w:rsidR="001317D4" w:rsidRDefault="006D0FC4" w:rsidP="00AC18C3">
      <w:pPr>
        <w:rPr>
          <w:rFonts w:ascii="Times New Roman" w:hAnsi="Times New Roman" w:cs="Times New Roman"/>
        </w:rPr>
      </w:pPr>
      <w:r>
        <w:rPr>
          <w:rFonts w:ascii="Times New Roman" w:hAnsi="Times New Roman" w:cs="Times New Roman"/>
        </w:rPr>
        <w:t>This section</w:t>
      </w:r>
      <w:r w:rsidRPr="006D0FC4">
        <w:rPr>
          <w:rFonts w:ascii="Times New Roman" w:hAnsi="Times New Roman" w:cs="Times New Roman"/>
        </w:rPr>
        <w:t xml:space="preserve"> </w:t>
      </w:r>
      <w:r w:rsidR="00DE6E52">
        <w:rPr>
          <w:rFonts w:ascii="Times New Roman" w:hAnsi="Times New Roman" w:cs="Times New Roman"/>
        </w:rPr>
        <w:t>declares</w:t>
      </w:r>
      <w:r w:rsidR="00DE6E52" w:rsidRPr="006D0FC4">
        <w:rPr>
          <w:rFonts w:ascii="Times New Roman" w:hAnsi="Times New Roman" w:cs="Times New Roman"/>
        </w:rPr>
        <w:t xml:space="preserve"> </w:t>
      </w:r>
      <w:r w:rsidRPr="006D0FC4">
        <w:rPr>
          <w:rFonts w:ascii="Times New Roman" w:hAnsi="Times New Roman" w:cs="Times New Roman"/>
        </w:rPr>
        <w:t>that the operation or supply, or possession for the purpose of operation or supply, of a mobile phone booster is prohibited</w:t>
      </w:r>
      <w:r>
        <w:rPr>
          <w:rFonts w:ascii="Times New Roman" w:hAnsi="Times New Roman" w:cs="Times New Roman"/>
        </w:rPr>
        <w:t xml:space="preserve"> for the reasons listed in Schedule 1.</w:t>
      </w:r>
      <w:r w:rsidR="002E4B63">
        <w:rPr>
          <w:rFonts w:ascii="Times New Roman" w:hAnsi="Times New Roman" w:cs="Times New Roman"/>
        </w:rPr>
        <w:t xml:space="preserve"> </w:t>
      </w:r>
    </w:p>
    <w:p w14:paraId="7A817785" w14:textId="21DD1DF3" w:rsidR="006D0FC4" w:rsidRPr="004C58B9" w:rsidRDefault="002E4B63" w:rsidP="00AC18C3">
      <w:r>
        <w:rPr>
          <w:rFonts w:ascii="Times New Roman" w:hAnsi="Times New Roman" w:cs="Times New Roman"/>
        </w:rPr>
        <w:t xml:space="preserve">Under subsection 452(1) of the </w:t>
      </w:r>
      <w:proofErr w:type="gramStart"/>
      <w:r>
        <w:rPr>
          <w:rFonts w:ascii="Times New Roman" w:hAnsi="Times New Roman" w:cs="Times New Roman"/>
        </w:rPr>
        <w:t>Act</w:t>
      </w:r>
      <w:proofErr w:type="gramEnd"/>
      <w:r>
        <w:rPr>
          <w:rFonts w:ascii="Times New Roman" w:hAnsi="Times New Roman" w:cs="Times New Roman"/>
        </w:rPr>
        <w:t xml:space="preserve"> it is an offence to operate or supply</w:t>
      </w:r>
      <w:r w:rsidR="00DE6E52">
        <w:rPr>
          <w:rFonts w:ascii="Times New Roman" w:hAnsi="Times New Roman" w:cs="Times New Roman"/>
        </w:rPr>
        <w:t>, or possess for the purposes of operation or supply,</w:t>
      </w:r>
      <w:r>
        <w:rPr>
          <w:rFonts w:ascii="Times New Roman" w:hAnsi="Times New Roman" w:cs="Times New Roman"/>
        </w:rPr>
        <w:t xml:space="preserve"> customer equipment or customer cabling, in respect of which a declaration is in force under section 450 of the Act. Subsection 452(2) states that a person who contravenes subsection (1) commits an o</w:t>
      </w:r>
      <w:r w:rsidR="001317D4">
        <w:rPr>
          <w:rFonts w:ascii="Times New Roman" w:hAnsi="Times New Roman" w:cs="Times New Roman"/>
        </w:rPr>
        <w:t xml:space="preserve">ffence punishable on conviction by a fine not exceeding 2,000 penalty units. </w:t>
      </w:r>
    </w:p>
    <w:p w14:paraId="79E9A026" w14:textId="5A7CE732" w:rsidR="006D0FC4" w:rsidRDefault="006D0FC4" w:rsidP="006D0FC4">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Reasons for Prohibition</w:t>
      </w:r>
    </w:p>
    <w:p w14:paraId="0EF096F2" w14:textId="134A2C2F" w:rsidR="006D0FC4" w:rsidRPr="006D0FC4" w:rsidRDefault="006D0FC4" w:rsidP="006D0FC4">
      <w:pPr>
        <w:rPr>
          <w:rFonts w:ascii="Times New Roman" w:hAnsi="Times New Roman" w:cs="Times New Roman"/>
        </w:rPr>
      </w:pPr>
      <w:r w:rsidRPr="006D0FC4">
        <w:rPr>
          <w:rFonts w:ascii="Times New Roman" w:hAnsi="Times New Roman" w:cs="Times New Roman"/>
        </w:rPr>
        <w:t>Th</w:t>
      </w:r>
      <w:r w:rsidR="00953C45">
        <w:rPr>
          <w:rFonts w:ascii="Times New Roman" w:hAnsi="Times New Roman" w:cs="Times New Roman"/>
        </w:rPr>
        <w:t>is</w:t>
      </w:r>
      <w:r w:rsidRPr="006D0FC4">
        <w:rPr>
          <w:rFonts w:ascii="Times New Roman" w:hAnsi="Times New Roman" w:cs="Times New Roman"/>
        </w:rPr>
        <w:t xml:space="preserve"> schedule sets out the reasons for prohibiting the operation or supply, or possession for the purposes of operation or supply, of mobile phone boosters. </w:t>
      </w:r>
    </w:p>
    <w:p w14:paraId="060D99AA" w14:textId="5DCB3C8B" w:rsidR="006D0FC4" w:rsidRPr="006D0FC4" w:rsidRDefault="006D0FC4" w:rsidP="006D0FC4">
      <w:pPr>
        <w:rPr>
          <w:rFonts w:ascii="Times New Roman" w:hAnsi="Times New Roman" w:cs="Times New Roman"/>
        </w:rPr>
      </w:pPr>
      <w:r w:rsidRPr="006D0FC4">
        <w:rPr>
          <w:rFonts w:ascii="Times New Roman" w:hAnsi="Times New Roman" w:cs="Times New Roman"/>
        </w:rPr>
        <w:t xml:space="preserve">These reasons include that the integrity of the telecommunications networks by means of which PMTS are supplied, is at risk from the operation of mobile phone boosters. Consequently, a mobile phone booster can substantially interfere with, </w:t>
      </w:r>
      <w:proofErr w:type="gramStart"/>
      <w:r w:rsidRPr="006D0FC4">
        <w:rPr>
          <w:rFonts w:ascii="Times New Roman" w:hAnsi="Times New Roman" w:cs="Times New Roman"/>
        </w:rPr>
        <w:t>disrupt</w:t>
      </w:r>
      <w:proofErr w:type="gramEnd"/>
      <w:r w:rsidRPr="006D0FC4">
        <w:rPr>
          <w:rFonts w:ascii="Times New Roman" w:hAnsi="Times New Roman" w:cs="Times New Roman"/>
        </w:rPr>
        <w:t xml:space="preserve"> or disturb PMTS by jeopardising the quality and coverage of carriage services. This can cause inconvenience to, or loss of business for</w:t>
      </w:r>
      <w:r w:rsidR="0003680F">
        <w:rPr>
          <w:rFonts w:ascii="Times New Roman" w:hAnsi="Times New Roman" w:cs="Times New Roman"/>
        </w:rPr>
        <w:t>,</w:t>
      </w:r>
      <w:r w:rsidRPr="006D0FC4">
        <w:rPr>
          <w:rFonts w:ascii="Times New Roman" w:hAnsi="Times New Roman" w:cs="Times New Roman"/>
        </w:rPr>
        <w:t xml:space="preserve"> mobile phone users.</w:t>
      </w:r>
    </w:p>
    <w:p w14:paraId="72B135B7" w14:textId="15C85803" w:rsidR="006D0FC4" w:rsidRPr="004C58B9" w:rsidRDefault="006D0FC4" w:rsidP="006D0FC4">
      <w:r w:rsidRPr="006D0FC4">
        <w:rPr>
          <w:rFonts w:ascii="Times New Roman" w:hAnsi="Times New Roman" w:cs="Times New Roman"/>
        </w:rPr>
        <w:t xml:space="preserve">The disruption caused to PMTS </w:t>
      </w:r>
      <w:proofErr w:type="gramStart"/>
      <w:r w:rsidRPr="006D0FC4">
        <w:rPr>
          <w:rFonts w:ascii="Times New Roman" w:hAnsi="Times New Roman" w:cs="Times New Roman"/>
        </w:rPr>
        <w:t>by the use of</w:t>
      </w:r>
      <w:proofErr w:type="gramEnd"/>
      <w:r w:rsidRPr="006D0FC4">
        <w:rPr>
          <w:rFonts w:ascii="Times New Roman" w:hAnsi="Times New Roman" w:cs="Times New Roman"/>
        </w:rPr>
        <w:t xml:space="preserve"> mobile phone boosters can also impede access to emergency call services from mobile phones, which creates a risk to public health and safety.</w:t>
      </w:r>
    </w:p>
    <w:sectPr w:rsidR="006D0FC4" w:rsidRPr="004C58B9"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BC02" w14:textId="77777777" w:rsidR="008C2B9B" w:rsidRDefault="008C2B9B" w:rsidP="00025ACE">
      <w:pPr>
        <w:spacing w:after="0" w:line="240" w:lineRule="auto"/>
      </w:pPr>
      <w:r>
        <w:separator/>
      </w:r>
    </w:p>
  </w:endnote>
  <w:endnote w:type="continuationSeparator" w:id="0">
    <w:p w14:paraId="791B6B5E" w14:textId="77777777" w:rsidR="008C2B9B" w:rsidRDefault="008C2B9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AD3414">
        <w:pPr>
          <w:pStyle w:val="Footer"/>
          <w:pBdr>
            <w:top w:val="single" w:sz="4" w:space="1" w:color="auto"/>
          </w:pBdr>
          <w:jc w:val="center"/>
        </w:pPr>
      </w:p>
      <w:p w14:paraId="561E6F14" w14:textId="77777777" w:rsidR="000304BA" w:rsidRPr="00AC18C3" w:rsidRDefault="00AD3414" w:rsidP="000304BA">
        <w:pPr>
          <w:pStyle w:val="Footer"/>
          <w:jc w:val="center"/>
          <w:rPr>
            <w:rFonts w:ascii="Times New Roman" w:hAnsi="Times New Roman" w:cs="Times New Roman"/>
            <w:b/>
            <w:sz w:val="20"/>
            <w:szCs w:val="20"/>
          </w:rPr>
        </w:pPr>
        <w:r w:rsidRPr="00AC18C3">
          <w:rPr>
            <w:rFonts w:ascii="Times New Roman" w:hAnsi="Times New Roman" w:cs="Times New Roman"/>
            <w:i/>
            <w:sz w:val="20"/>
            <w:szCs w:val="20"/>
          </w:rPr>
          <w:t>Explanatory Statement to the</w:t>
        </w:r>
        <w:r w:rsidRPr="00AC18C3">
          <w:rPr>
            <w:rFonts w:ascii="Times New Roman" w:hAnsi="Times New Roman" w:cs="Times New Roman"/>
            <w:sz w:val="20"/>
            <w:szCs w:val="20"/>
          </w:rPr>
          <w:t xml:space="preserve"> </w:t>
        </w:r>
        <w:r w:rsidR="000304BA" w:rsidRPr="00AC18C3">
          <w:rPr>
            <w:rFonts w:ascii="Times New Roman" w:hAnsi="Times New Roman" w:cs="Times New Roman"/>
            <w:bCs/>
            <w:i/>
            <w:iCs/>
            <w:sz w:val="20"/>
            <w:szCs w:val="20"/>
          </w:rPr>
          <w:t>Telecommunications (Prohibition of Mobile Phone Boosters) Declaration 2021</w:t>
        </w:r>
      </w:p>
      <w:p w14:paraId="556B0C98" w14:textId="77777777" w:rsidR="00AD3414" w:rsidRDefault="00AD3414">
        <w:pPr>
          <w:pStyle w:val="Footer"/>
          <w:jc w:val="right"/>
        </w:pPr>
      </w:p>
      <w:p w14:paraId="4E36910F" w14:textId="06CF02C2" w:rsidR="00025ACE" w:rsidRPr="00AC18C3" w:rsidRDefault="00025ACE">
        <w:pPr>
          <w:pStyle w:val="Footer"/>
          <w:jc w:val="right"/>
          <w:rPr>
            <w:iCs/>
            <w:sz w:val="20"/>
            <w:szCs w:val="20"/>
          </w:rPr>
        </w:pPr>
        <w:r w:rsidRPr="00AC18C3">
          <w:rPr>
            <w:rFonts w:ascii="Times New Roman" w:hAnsi="Times New Roman" w:cs="Times New Roman"/>
            <w:iCs/>
            <w:sz w:val="20"/>
            <w:szCs w:val="20"/>
          </w:rPr>
          <w:fldChar w:fldCharType="begin"/>
        </w:r>
        <w:r w:rsidRPr="00AC18C3">
          <w:rPr>
            <w:rFonts w:ascii="Times New Roman" w:hAnsi="Times New Roman" w:cs="Times New Roman"/>
            <w:iCs/>
            <w:sz w:val="20"/>
            <w:szCs w:val="20"/>
          </w:rPr>
          <w:instrText xml:space="preserve"> PAGE   \* MERGEFORMAT </w:instrText>
        </w:r>
        <w:r w:rsidRPr="00AC18C3">
          <w:rPr>
            <w:rFonts w:ascii="Times New Roman" w:hAnsi="Times New Roman" w:cs="Times New Roman"/>
            <w:iCs/>
            <w:sz w:val="20"/>
            <w:szCs w:val="20"/>
          </w:rPr>
          <w:fldChar w:fldCharType="separate"/>
        </w:r>
        <w:r w:rsidR="00D23BD5" w:rsidRPr="00AC18C3">
          <w:rPr>
            <w:rFonts w:ascii="Times New Roman" w:hAnsi="Times New Roman" w:cs="Times New Roman"/>
            <w:iCs/>
            <w:noProof/>
            <w:sz w:val="20"/>
            <w:szCs w:val="20"/>
          </w:rPr>
          <w:t>6</w:t>
        </w:r>
        <w:r w:rsidRPr="00AC18C3">
          <w:rPr>
            <w:rFonts w:ascii="Times New Roman" w:hAnsi="Times New Roman" w:cs="Times New Roman"/>
            <w:iCs/>
            <w:noProof/>
            <w:sz w:val="20"/>
            <w:szCs w:val="20"/>
          </w:rPr>
          <w:fldChar w:fldCharType="end"/>
        </w:r>
      </w:p>
    </w:sdtContent>
  </w:sdt>
  <w:p w14:paraId="180626A1" w14:textId="72B67B1A" w:rsidR="00025ACE" w:rsidRPr="00AD3414" w:rsidRDefault="00025ACE" w:rsidP="0042140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F5F1" w14:textId="77777777" w:rsidR="008C2B9B" w:rsidRDefault="008C2B9B" w:rsidP="00025ACE">
      <w:pPr>
        <w:spacing w:after="0" w:line="240" w:lineRule="auto"/>
      </w:pPr>
      <w:r>
        <w:separator/>
      </w:r>
    </w:p>
  </w:footnote>
  <w:footnote w:type="continuationSeparator" w:id="0">
    <w:p w14:paraId="3118B64C" w14:textId="77777777" w:rsidR="008C2B9B" w:rsidRDefault="008C2B9B"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D23"/>
    <w:multiLevelType w:val="hybridMultilevel"/>
    <w:tmpl w:val="4180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97E73"/>
    <w:multiLevelType w:val="hybridMultilevel"/>
    <w:tmpl w:val="4FC477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279BF"/>
    <w:multiLevelType w:val="multilevel"/>
    <w:tmpl w:val="C234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B053E1"/>
    <w:multiLevelType w:val="hybridMultilevel"/>
    <w:tmpl w:val="732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6"/>
  </w:num>
  <w:num w:numId="5">
    <w:abstractNumId w:val="5"/>
  </w:num>
  <w:num w:numId="6">
    <w:abstractNumId w:val="1"/>
  </w:num>
  <w:num w:numId="7">
    <w:abstractNumId w:val="3"/>
  </w:num>
  <w:num w:numId="8">
    <w:abstractNumId w:val="10"/>
  </w:num>
  <w:num w:numId="9">
    <w:abstractNumId w:val="2"/>
  </w:num>
  <w:num w:numId="10">
    <w:abstractNumId w:val="3"/>
  </w:num>
  <w:num w:numId="11">
    <w:abstractNumId w:val="6"/>
  </w:num>
  <w:num w:numId="12">
    <w:abstractNumId w:val="5"/>
  </w:num>
  <w:num w:numId="13">
    <w:abstractNumId w:val="10"/>
  </w:num>
  <w:num w:numId="14">
    <w:abstractNumId w:val="2"/>
  </w:num>
  <w:num w:numId="15">
    <w:abstractNumId w:val="3"/>
  </w:num>
  <w:num w:numId="16">
    <w:abstractNumId w:val="6"/>
  </w:num>
  <w:num w:numId="17">
    <w:abstractNumId w:val="5"/>
  </w:num>
  <w:num w:numId="18">
    <w:abstractNumId w:val="0"/>
  </w:num>
  <w:num w:numId="19">
    <w:abstractNumId w:val="7"/>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16CDA"/>
    <w:rsid w:val="00025ACE"/>
    <w:rsid w:val="000304BA"/>
    <w:rsid w:val="00035A00"/>
    <w:rsid w:val="0003680F"/>
    <w:rsid w:val="00037F0E"/>
    <w:rsid w:val="0004606D"/>
    <w:rsid w:val="000469A0"/>
    <w:rsid w:val="00055A78"/>
    <w:rsid w:val="00060B6E"/>
    <w:rsid w:val="00070D91"/>
    <w:rsid w:val="000726C7"/>
    <w:rsid w:val="00074A8D"/>
    <w:rsid w:val="00082354"/>
    <w:rsid w:val="00085945"/>
    <w:rsid w:val="00095AB3"/>
    <w:rsid w:val="000A3A94"/>
    <w:rsid w:val="000A5D03"/>
    <w:rsid w:val="000B0BA7"/>
    <w:rsid w:val="000B2F16"/>
    <w:rsid w:val="000B33B6"/>
    <w:rsid w:val="000B4B6C"/>
    <w:rsid w:val="000C0134"/>
    <w:rsid w:val="000C6436"/>
    <w:rsid w:val="000D179D"/>
    <w:rsid w:val="000D3CDC"/>
    <w:rsid w:val="000D4ECE"/>
    <w:rsid w:val="000E38C9"/>
    <w:rsid w:val="000E6F58"/>
    <w:rsid w:val="000F6255"/>
    <w:rsid w:val="00100F7A"/>
    <w:rsid w:val="00104130"/>
    <w:rsid w:val="00112987"/>
    <w:rsid w:val="00114C3B"/>
    <w:rsid w:val="001157F1"/>
    <w:rsid w:val="00117351"/>
    <w:rsid w:val="00121B9E"/>
    <w:rsid w:val="00122072"/>
    <w:rsid w:val="00123DCD"/>
    <w:rsid w:val="00127048"/>
    <w:rsid w:val="001317D4"/>
    <w:rsid w:val="00134705"/>
    <w:rsid w:val="0014600D"/>
    <w:rsid w:val="00146A0C"/>
    <w:rsid w:val="00161C73"/>
    <w:rsid w:val="00185BDC"/>
    <w:rsid w:val="001B08D1"/>
    <w:rsid w:val="001C1F2B"/>
    <w:rsid w:val="001C4BF8"/>
    <w:rsid w:val="001C5421"/>
    <w:rsid w:val="001D5C25"/>
    <w:rsid w:val="001E343E"/>
    <w:rsid w:val="00212847"/>
    <w:rsid w:val="00243313"/>
    <w:rsid w:val="002508F7"/>
    <w:rsid w:val="002674E7"/>
    <w:rsid w:val="00271312"/>
    <w:rsid w:val="0028674F"/>
    <w:rsid w:val="002A5CA0"/>
    <w:rsid w:val="002B6699"/>
    <w:rsid w:val="002C2256"/>
    <w:rsid w:val="002D0189"/>
    <w:rsid w:val="002D0361"/>
    <w:rsid w:val="002D2383"/>
    <w:rsid w:val="002E3B2A"/>
    <w:rsid w:val="002E4B63"/>
    <w:rsid w:val="002F36E0"/>
    <w:rsid w:val="003068E0"/>
    <w:rsid w:val="00342852"/>
    <w:rsid w:val="003434D4"/>
    <w:rsid w:val="003473C0"/>
    <w:rsid w:val="00360A82"/>
    <w:rsid w:val="003618A5"/>
    <w:rsid w:val="0036752E"/>
    <w:rsid w:val="00370620"/>
    <w:rsid w:val="00375FA7"/>
    <w:rsid w:val="003839D7"/>
    <w:rsid w:val="00385EF1"/>
    <w:rsid w:val="003A3635"/>
    <w:rsid w:val="003A7407"/>
    <w:rsid w:val="003B3D5D"/>
    <w:rsid w:val="003B3D92"/>
    <w:rsid w:val="003B74BE"/>
    <w:rsid w:val="003C2F82"/>
    <w:rsid w:val="003C3DEF"/>
    <w:rsid w:val="003C44B4"/>
    <w:rsid w:val="003D1104"/>
    <w:rsid w:val="003D74BE"/>
    <w:rsid w:val="003D7C6E"/>
    <w:rsid w:val="003F356B"/>
    <w:rsid w:val="003F3FE2"/>
    <w:rsid w:val="0041003E"/>
    <w:rsid w:val="00416386"/>
    <w:rsid w:val="0042140A"/>
    <w:rsid w:val="004235B9"/>
    <w:rsid w:val="0042426A"/>
    <w:rsid w:val="004362E3"/>
    <w:rsid w:val="00446CB7"/>
    <w:rsid w:val="00450F48"/>
    <w:rsid w:val="0045489F"/>
    <w:rsid w:val="00464436"/>
    <w:rsid w:val="00464D76"/>
    <w:rsid w:val="00474889"/>
    <w:rsid w:val="00474C4E"/>
    <w:rsid w:val="004826DD"/>
    <w:rsid w:val="004971D6"/>
    <w:rsid w:val="004A1064"/>
    <w:rsid w:val="004C58B9"/>
    <w:rsid w:val="004D2843"/>
    <w:rsid w:val="004D2A14"/>
    <w:rsid w:val="004D756E"/>
    <w:rsid w:val="004E10B3"/>
    <w:rsid w:val="004E6BE3"/>
    <w:rsid w:val="004E790E"/>
    <w:rsid w:val="0050389F"/>
    <w:rsid w:val="0051486F"/>
    <w:rsid w:val="0052687A"/>
    <w:rsid w:val="00527377"/>
    <w:rsid w:val="00570974"/>
    <w:rsid w:val="005819EA"/>
    <w:rsid w:val="005958D6"/>
    <w:rsid w:val="005964CF"/>
    <w:rsid w:val="005B3D83"/>
    <w:rsid w:val="005C65EB"/>
    <w:rsid w:val="005F5BE6"/>
    <w:rsid w:val="00600AD8"/>
    <w:rsid w:val="00603B3F"/>
    <w:rsid w:val="00641906"/>
    <w:rsid w:val="006607B0"/>
    <w:rsid w:val="00663AF2"/>
    <w:rsid w:val="00670716"/>
    <w:rsid w:val="00670E6F"/>
    <w:rsid w:val="00671216"/>
    <w:rsid w:val="0067793A"/>
    <w:rsid w:val="00681986"/>
    <w:rsid w:val="00686F06"/>
    <w:rsid w:val="00687290"/>
    <w:rsid w:val="006940DB"/>
    <w:rsid w:val="00695F7E"/>
    <w:rsid w:val="00696659"/>
    <w:rsid w:val="006A0BDF"/>
    <w:rsid w:val="006A53BB"/>
    <w:rsid w:val="006B33F5"/>
    <w:rsid w:val="006C59D5"/>
    <w:rsid w:val="006C7634"/>
    <w:rsid w:val="006D0FC4"/>
    <w:rsid w:val="006F32BF"/>
    <w:rsid w:val="00705715"/>
    <w:rsid w:val="00706F43"/>
    <w:rsid w:val="007125EF"/>
    <w:rsid w:val="00735885"/>
    <w:rsid w:val="00744199"/>
    <w:rsid w:val="00744868"/>
    <w:rsid w:val="0074661C"/>
    <w:rsid w:val="00750397"/>
    <w:rsid w:val="00766475"/>
    <w:rsid w:val="0077364D"/>
    <w:rsid w:val="00787CF4"/>
    <w:rsid w:val="007919E1"/>
    <w:rsid w:val="00794C5F"/>
    <w:rsid w:val="007A0103"/>
    <w:rsid w:val="007A2277"/>
    <w:rsid w:val="007B4DD6"/>
    <w:rsid w:val="007C096B"/>
    <w:rsid w:val="007E3C02"/>
    <w:rsid w:val="007E6BEF"/>
    <w:rsid w:val="007F7799"/>
    <w:rsid w:val="00804733"/>
    <w:rsid w:val="00805358"/>
    <w:rsid w:val="008070A8"/>
    <w:rsid w:val="00810499"/>
    <w:rsid w:val="0081166D"/>
    <w:rsid w:val="0081203C"/>
    <w:rsid w:val="00821F3F"/>
    <w:rsid w:val="008220A7"/>
    <w:rsid w:val="00837B7A"/>
    <w:rsid w:val="008441CF"/>
    <w:rsid w:val="0084470A"/>
    <w:rsid w:val="00852106"/>
    <w:rsid w:val="0087707C"/>
    <w:rsid w:val="008A1FDF"/>
    <w:rsid w:val="008C2B9B"/>
    <w:rsid w:val="008C584E"/>
    <w:rsid w:val="008C6365"/>
    <w:rsid w:val="008E3483"/>
    <w:rsid w:val="008F4C58"/>
    <w:rsid w:val="008F7F77"/>
    <w:rsid w:val="0090185B"/>
    <w:rsid w:val="0090572C"/>
    <w:rsid w:val="00906B83"/>
    <w:rsid w:val="0091080B"/>
    <w:rsid w:val="00925F75"/>
    <w:rsid w:val="00926833"/>
    <w:rsid w:val="00931312"/>
    <w:rsid w:val="009326AF"/>
    <w:rsid w:val="00943DE7"/>
    <w:rsid w:val="0095346D"/>
    <w:rsid w:val="00953C45"/>
    <w:rsid w:val="009670B7"/>
    <w:rsid w:val="009723D1"/>
    <w:rsid w:val="009732C1"/>
    <w:rsid w:val="00977705"/>
    <w:rsid w:val="009A05E0"/>
    <w:rsid w:val="009B4238"/>
    <w:rsid w:val="009C78B5"/>
    <w:rsid w:val="009D5697"/>
    <w:rsid w:val="009D5783"/>
    <w:rsid w:val="009D67A8"/>
    <w:rsid w:val="009E0DC0"/>
    <w:rsid w:val="009F7219"/>
    <w:rsid w:val="00A07A2F"/>
    <w:rsid w:val="00A158AC"/>
    <w:rsid w:val="00A213A8"/>
    <w:rsid w:val="00A21F3E"/>
    <w:rsid w:val="00A64EC4"/>
    <w:rsid w:val="00A7023B"/>
    <w:rsid w:val="00AA0E50"/>
    <w:rsid w:val="00AA1315"/>
    <w:rsid w:val="00AA6088"/>
    <w:rsid w:val="00AB3E28"/>
    <w:rsid w:val="00AB4DE6"/>
    <w:rsid w:val="00AB65E7"/>
    <w:rsid w:val="00AC18C3"/>
    <w:rsid w:val="00AD3414"/>
    <w:rsid w:val="00AD500F"/>
    <w:rsid w:val="00AE2CB4"/>
    <w:rsid w:val="00AE6898"/>
    <w:rsid w:val="00AF080D"/>
    <w:rsid w:val="00AF6545"/>
    <w:rsid w:val="00B00A02"/>
    <w:rsid w:val="00B00FC3"/>
    <w:rsid w:val="00B21404"/>
    <w:rsid w:val="00B26FD3"/>
    <w:rsid w:val="00B52584"/>
    <w:rsid w:val="00B52F5E"/>
    <w:rsid w:val="00B53E64"/>
    <w:rsid w:val="00B5789D"/>
    <w:rsid w:val="00B665E6"/>
    <w:rsid w:val="00B727F3"/>
    <w:rsid w:val="00B74B5B"/>
    <w:rsid w:val="00B80C1A"/>
    <w:rsid w:val="00B90F17"/>
    <w:rsid w:val="00B94B30"/>
    <w:rsid w:val="00BA1AD8"/>
    <w:rsid w:val="00BA2637"/>
    <w:rsid w:val="00BA796B"/>
    <w:rsid w:val="00BA7D17"/>
    <w:rsid w:val="00BB076E"/>
    <w:rsid w:val="00BB1CF2"/>
    <w:rsid w:val="00BB7A25"/>
    <w:rsid w:val="00BC0A3C"/>
    <w:rsid w:val="00BC37B8"/>
    <w:rsid w:val="00BC4222"/>
    <w:rsid w:val="00BC5916"/>
    <w:rsid w:val="00BC621F"/>
    <w:rsid w:val="00BD07FC"/>
    <w:rsid w:val="00C02D41"/>
    <w:rsid w:val="00C032F0"/>
    <w:rsid w:val="00C03503"/>
    <w:rsid w:val="00C06121"/>
    <w:rsid w:val="00C10E3A"/>
    <w:rsid w:val="00C12B6E"/>
    <w:rsid w:val="00C14388"/>
    <w:rsid w:val="00C20621"/>
    <w:rsid w:val="00C21933"/>
    <w:rsid w:val="00C37381"/>
    <w:rsid w:val="00C420F0"/>
    <w:rsid w:val="00C52681"/>
    <w:rsid w:val="00C55A10"/>
    <w:rsid w:val="00C57E29"/>
    <w:rsid w:val="00C63E8C"/>
    <w:rsid w:val="00C659A7"/>
    <w:rsid w:val="00C76FFC"/>
    <w:rsid w:val="00C81591"/>
    <w:rsid w:val="00C9259F"/>
    <w:rsid w:val="00CA3398"/>
    <w:rsid w:val="00CA40FA"/>
    <w:rsid w:val="00CA6926"/>
    <w:rsid w:val="00CA735C"/>
    <w:rsid w:val="00CB3AD5"/>
    <w:rsid w:val="00CD0D86"/>
    <w:rsid w:val="00CD71EB"/>
    <w:rsid w:val="00CE0D93"/>
    <w:rsid w:val="00CE3CC8"/>
    <w:rsid w:val="00CE5861"/>
    <w:rsid w:val="00D13D39"/>
    <w:rsid w:val="00D23BD5"/>
    <w:rsid w:val="00D2518B"/>
    <w:rsid w:val="00D27DE4"/>
    <w:rsid w:val="00D30A57"/>
    <w:rsid w:val="00D314FE"/>
    <w:rsid w:val="00D32E4E"/>
    <w:rsid w:val="00D35790"/>
    <w:rsid w:val="00D5385A"/>
    <w:rsid w:val="00D57387"/>
    <w:rsid w:val="00D75941"/>
    <w:rsid w:val="00D8013B"/>
    <w:rsid w:val="00D9211E"/>
    <w:rsid w:val="00DA09B7"/>
    <w:rsid w:val="00DA0D39"/>
    <w:rsid w:val="00DB4A50"/>
    <w:rsid w:val="00DE6E52"/>
    <w:rsid w:val="00DF221D"/>
    <w:rsid w:val="00DF2758"/>
    <w:rsid w:val="00DF51F2"/>
    <w:rsid w:val="00E10ED1"/>
    <w:rsid w:val="00E26E40"/>
    <w:rsid w:val="00E3272B"/>
    <w:rsid w:val="00E50312"/>
    <w:rsid w:val="00E81C4F"/>
    <w:rsid w:val="00E833DA"/>
    <w:rsid w:val="00EA03A3"/>
    <w:rsid w:val="00EB0C79"/>
    <w:rsid w:val="00EC54C3"/>
    <w:rsid w:val="00EC76A0"/>
    <w:rsid w:val="00EC7E13"/>
    <w:rsid w:val="00EE5E7F"/>
    <w:rsid w:val="00EF2734"/>
    <w:rsid w:val="00EF5FBA"/>
    <w:rsid w:val="00EF7E1B"/>
    <w:rsid w:val="00F017A1"/>
    <w:rsid w:val="00F02532"/>
    <w:rsid w:val="00F11B19"/>
    <w:rsid w:val="00F11FEE"/>
    <w:rsid w:val="00F17B2B"/>
    <w:rsid w:val="00F32003"/>
    <w:rsid w:val="00F33BD8"/>
    <w:rsid w:val="00F365B2"/>
    <w:rsid w:val="00F36CC5"/>
    <w:rsid w:val="00F406BB"/>
    <w:rsid w:val="00F4414D"/>
    <w:rsid w:val="00F675AA"/>
    <w:rsid w:val="00F70A32"/>
    <w:rsid w:val="00F76815"/>
    <w:rsid w:val="00FB4437"/>
    <w:rsid w:val="00FC0BF3"/>
    <w:rsid w:val="00FC67DA"/>
    <w:rsid w:val="00FD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71312"/>
    <w:rPr>
      <w:color w:val="605E5C"/>
      <w:shd w:val="clear" w:color="auto" w:fill="E1DFDD"/>
    </w:rPr>
  </w:style>
  <w:style w:type="character" w:styleId="FollowedHyperlink">
    <w:name w:val="FollowedHyperlink"/>
    <w:basedOn w:val="DefaultParagraphFont"/>
    <w:uiPriority w:val="99"/>
    <w:semiHidden/>
    <w:unhideWhenUsed/>
    <w:rsid w:val="000469A0"/>
    <w:rPr>
      <w:color w:val="954F72" w:themeColor="followedHyperlink"/>
      <w:u w:val="single"/>
    </w:rPr>
  </w:style>
  <w:style w:type="character" w:styleId="IntenseEmphasis">
    <w:name w:val="Intense Emphasis"/>
    <w:uiPriority w:val="21"/>
    <w:qFormat/>
    <w:rsid w:val="003068E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2759">
      <w:bodyDiv w:val="1"/>
      <w:marLeft w:val="0"/>
      <w:marRight w:val="0"/>
      <w:marTop w:val="0"/>
      <w:marBottom w:val="0"/>
      <w:divBdr>
        <w:top w:val="none" w:sz="0" w:space="0" w:color="auto"/>
        <w:left w:val="none" w:sz="0" w:space="0" w:color="auto"/>
        <w:bottom w:val="none" w:sz="0" w:space="0" w:color="auto"/>
        <w:right w:val="none" w:sz="0" w:space="0" w:color="auto"/>
      </w:divBdr>
      <w:divsChild>
        <w:div w:id="933368352">
          <w:marLeft w:val="0"/>
          <w:marRight w:val="0"/>
          <w:marTop w:val="0"/>
          <w:marBottom w:val="0"/>
          <w:divBdr>
            <w:top w:val="none" w:sz="0" w:space="0" w:color="auto"/>
            <w:left w:val="none" w:sz="0" w:space="0" w:color="auto"/>
            <w:bottom w:val="none" w:sz="0" w:space="0" w:color="auto"/>
            <w:right w:val="none" w:sz="0" w:space="0" w:color="auto"/>
          </w:divBdr>
          <w:divsChild>
            <w:div w:id="760954539">
              <w:marLeft w:val="0"/>
              <w:marRight w:val="0"/>
              <w:marTop w:val="0"/>
              <w:marBottom w:val="225"/>
              <w:divBdr>
                <w:top w:val="none" w:sz="0" w:space="0" w:color="auto"/>
                <w:left w:val="none" w:sz="0" w:space="0" w:color="auto"/>
                <w:bottom w:val="none" w:sz="0" w:space="0" w:color="auto"/>
                <w:right w:val="none" w:sz="0" w:space="0" w:color="auto"/>
              </w:divBdr>
            </w:div>
          </w:divsChild>
        </w:div>
        <w:div w:id="1390886176">
          <w:marLeft w:val="0"/>
          <w:marRight w:val="0"/>
          <w:marTop w:val="0"/>
          <w:marBottom w:val="0"/>
          <w:divBdr>
            <w:top w:val="none" w:sz="0" w:space="0" w:color="auto"/>
            <w:left w:val="none" w:sz="0" w:space="0" w:color="auto"/>
            <w:bottom w:val="none" w:sz="0" w:space="0" w:color="auto"/>
            <w:right w:val="none" w:sz="0" w:space="0" w:color="auto"/>
          </w:divBdr>
        </w:div>
      </w:divsChild>
    </w:div>
    <w:div w:id="804278180">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41002587">
      <w:bodyDiv w:val="1"/>
      <w:marLeft w:val="0"/>
      <w:marRight w:val="0"/>
      <w:marTop w:val="0"/>
      <w:marBottom w:val="0"/>
      <w:divBdr>
        <w:top w:val="none" w:sz="0" w:space="0" w:color="auto"/>
        <w:left w:val="none" w:sz="0" w:space="0" w:color="auto"/>
        <w:bottom w:val="none" w:sz="0" w:space="0" w:color="auto"/>
        <w:right w:val="none" w:sz="0" w:space="0" w:color="auto"/>
      </w:divBdr>
      <w:divsChild>
        <w:div w:id="962534942">
          <w:marLeft w:val="0"/>
          <w:marRight w:val="0"/>
          <w:marTop w:val="0"/>
          <w:marBottom w:val="0"/>
          <w:divBdr>
            <w:top w:val="none" w:sz="0" w:space="0" w:color="auto"/>
            <w:left w:val="none" w:sz="0" w:space="0" w:color="auto"/>
            <w:bottom w:val="none" w:sz="0" w:space="0" w:color="auto"/>
            <w:right w:val="none" w:sz="0" w:space="0" w:color="auto"/>
          </w:divBdr>
          <w:divsChild>
            <w:div w:id="707872678">
              <w:marLeft w:val="0"/>
              <w:marRight w:val="0"/>
              <w:marTop w:val="0"/>
              <w:marBottom w:val="225"/>
              <w:divBdr>
                <w:top w:val="none" w:sz="0" w:space="0" w:color="auto"/>
                <w:left w:val="none" w:sz="0" w:space="0" w:color="auto"/>
                <w:bottom w:val="none" w:sz="0" w:space="0" w:color="auto"/>
                <w:right w:val="none" w:sz="0" w:space="0" w:color="auto"/>
              </w:divBdr>
            </w:div>
          </w:divsChild>
        </w:div>
        <w:div w:id="1764646617">
          <w:marLeft w:val="0"/>
          <w:marRight w:val="0"/>
          <w:marTop w:val="0"/>
          <w:marBottom w:val="0"/>
          <w:divBdr>
            <w:top w:val="none" w:sz="0" w:space="0" w:color="auto"/>
            <w:left w:val="none" w:sz="0" w:space="0" w:color="auto"/>
            <w:bottom w:val="none" w:sz="0" w:space="0" w:color="auto"/>
            <w:right w:val="none" w:sz="0" w:space="0" w:color="auto"/>
          </w:divBdr>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3NE2HDV7HD6D-2038751701-9504</_dlc_DocId>
    <_dlc_DocIdUrl xmlns="1d983eb4-33f7-44b0-aea1-cbdcf0c55136">
      <Url>http://collaboration/organisation/cid/OB/TRDS/_layouts/15/DocIdRedir.aspx?ID=3NE2HDV7HD6D-2038751701-9504</Url>
      <Description>3NE2HDV7HD6D-2038751701-9504</Description>
    </_dlc_DocIdUrl>
    <RecordPoint_x0020_Number xmlns="17f777bc-f954-4adf-b685-9afef15c321e" xsi:nil="true"/>
    <Legacy_x0020_Record_x0020_Number xmlns="83630db1-6fc2-4dfd-b3fe-d61d34e1440c" xsi:nil="true"/>
  </documentManagement>
</p:properti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BCB5E0B2-3BD2-428B-B4A4-5129A34039F2}">
  <ds:schemaRefs>
    <ds:schemaRef ds:uri="http://schemas.microsoft.com/sharepoint/events"/>
  </ds:schemaRefs>
</ds:datastoreItem>
</file>

<file path=customXml/itemProps4.xml><?xml version="1.0" encoding="utf-8"?>
<ds:datastoreItem xmlns:ds="http://schemas.openxmlformats.org/officeDocument/2006/customXml" ds:itemID="{F9A215EF-A024-42CD-B8BA-68CF50EA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A20D3-5249-4064-B676-33B74048141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7f777bc-f954-4adf-b685-9afef15c321e"/>
    <ds:schemaRef ds:uri="83630db1-6fc2-4dfd-b3fe-d61d34e1440c"/>
    <ds:schemaRef ds:uri="1d983eb4-33f7-44b0-aea1-cbdcf0c551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Kristy Tehan</cp:lastModifiedBy>
  <cp:revision>3</cp:revision>
  <cp:lastPrinted>2016-07-25T00:08:00Z</cp:lastPrinted>
  <dcterms:created xsi:type="dcterms:W3CDTF">2021-08-17T04:06:00Z</dcterms:created>
  <dcterms:modified xsi:type="dcterms:W3CDTF">2021-08-17T04:15:00Z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6af4291b-cf93-4734-9f3a-657426352229</vt:lpwstr>
  </property>
</Properties>
</file>