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097CA" w14:textId="77777777" w:rsidR="00F15472" w:rsidRPr="006147BC" w:rsidRDefault="00F15472" w:rsidP="00F15472">
      <w:pPr>
        <w:pStyle w:val="LDClauseHeading"/>
        <w:spacing w:before="0"/>
        <w:rPr>
          <w:rFonts w:cs="Arial"/>
        </w:rPr>
      </w:pPr>
      <w:bookmarkStart w:id="0" w:name="_GoBack"/>
      <w:bookmarkEnd w:id="0"/>
      <w:r w:rsidRPr="006147BC">
        <w:rPr>
          <w:rFonts w:cs="Arial"/>
        </w:rPr>
        <w:t>Explanatory Statement</w:t>
      </w:r>
    </w:p>
    <w:p w14:paraId="1F6BD549" w14:textId="77777777" w:rsidR="00F15472" w:rsidRPr="006147BC" w:rsidRDefault="00F15472" w:rsidP="00F15472">
      <w:pPr>
        <w:pStyle w:val="LDClauseHeading"/>
        <w:rPr>
          <w:rFonts w:cs="Arial"/>
        </w:rPr>
      </w:pPr>
      <w:r w:rsidRPr="006147BC">
        <w:rPr>
          <w:rFonts w:cs="Arial"/>
        </w:rPr>
        <w:t>Civil Aviation Safety Regulations 1998</w:t>
      </w:r>
    </w:p>
    <w:p w14:paraId="7151D30E" w14:textId="023BBFCD" w:rsidR="00BE0002" w:rsidRPr="006147BC" w:rsidRDefault="00BE0002" w:rsidP="00BE0002">
      <w:pPr>
        <w:pStyle w:val="LDClauseHeading"/>
        <w:spacing w:after="0"/>
        <w:ind w:left="0" w:firstLine="0"/>
      </w:pPr>
      <w:r w:rsidRPr="006147BC">
        <w:rPr>
          <w:iCs/>
        </w:rPr>
        <w:t>CASA EX</w:t>
      </w:r>
      <w:r w:rsidR="0059591D" w:rsidRPr="006147BC">
        <w:rPr>
          <w:iCs/>
        </w:rPr>
        <w:t>100</w:t>
      </w:r>
      <w:r w:rsidRPr="006147BC">
        <w:rPr>
          <w:iCs/>
        </w:rPr>
        <w:t>/21 </w:t>
      </w:r>
      <w:r w:rsidR="00C76DC6">
        <w:rPr>
          <w:iCs/>
        </w:rPr>
        <w:t>ؘ–</w:t>
      </w:r>
      <w:r w:rsidRPr="006147BC">
        <w:rPr>
          <w:iCs/>
        </w:rPr>
        <w:t xml:space="preserve"> CASA EX92/21 </w:t>
      </w:r>
      <w:r w:rsidR="00C76DC6">
        <w:rPr>
          <w:iCs/>
        </w:rPr>
        <w:t>–</w:t>
      </w:r>
      <w:r w:rsidRPr="006147BC">
        <w:rPr>
          <w:iCs/>
        </w:rPr>
        <w:t xml:space="preserve"> Extension of COVID-19 Relief Measures </w:t>
      </w:r>
      <w:r w:rsidR="00C76DC6">
        <w:rPr>
          <w:iCs/>
        </w:rPr>
        <w:t>–</w:t>
      </w:r>
      <w:r w:rsidRPr="006147BC">
        <w:rPr>
          <w:iCs/>
        </w:rPr>
        <w:t xml:space="preserve"> Amendment Instrument 2021 (No. 1)</w:t>
      </w:r>
    </w:p>
    <w:p w14:paraId="5DCA32C0" w14:textId="77777777" w:rsidR="00F15472" w:rsidRPr="006147BC" w:rsidRDefault="00F15472" w:rsidP="00890FAE">
      <w:pPr>
        <w:pStyle w:val="LDBodytext"/>
        <w:spacing w:before="360"/>
        <w:rPr>
          <w:b/>
        </w:rPr>
      </w:pPr>
      <w:r w:rsidRPr="006147BC">
        <w:rPr>
          <w:b/>
        </w:rPr>
        <w:t>Purpose</w:t>
      </w:r>
    </w:p>
    <w:p w14:paraId="24943E29" w14:textId="06D210F3" w:rsidR="007A4B9B" w:rsidRPr="006147BC" w:rsidRDefault="00D61ED8" w:rsidP="00BE0002">
      <w:pPr>
        <w:pStyle w:val="BodyText"/>
        <w:rPr>
          <w:iCs/>
        </w:rPr>
      </w:pPr>
      <w:r w:rsidRPr="006147BC">
        <w:rPr>
          <w:rFonts w:ascii="Times New Roman" w:hAnsi="Times New Roman"/>
        </w:rPr>
        <w:t>The purpose of</w:t>
      </w:r>
      <w:r w:rsidR="00BE0002" w:rsidRPr="006147BC">
        <w:rPr>
          <w:rFonts w:ascii="Times New Roman" w:hAnsi="Times New Roman"/>
        </w:rPr>
        <w:t xml:space="preserve"> </w:t>
      </w:r>
      <w:r w:rsidR="00BE0002" w:rsidRPr="006147BC">
        <w:rPr>
          <w:i/>
        </w:rPr>
        <w:t>CASA EX</w:t>
      </w:r>
      <w:r w:rsidR="00C76DC6">
        <w:rPr>
          <w:i/>
        </w:rPr>
        <w:t>100</w:t>
      </w:r>
      <w:r w:rsidR="00BE0002" w:rsidRPr="006147BC">
        <w:rPr>
          <w:i/>
        </w:rPr>
        <w:t>/21 </w:t>
      </w:r>
      <w:r w:rsidR="00C76DC6">
        <w:rPr>
          <w:i/>
        </w:rPr>
        <w:t>–</w:t>
      </w:r>
      <w:r w:rsidR="00BE0002" w:rsidRPr="006147BC">
        <w:rPr>
          <w:i/>
        </w:rPr>
        <w:t xml:space="preserve"> CASA EX92/21 </w:t>
      </w:r>
      <w:r w:rsidR="00C76DC6">
        <w:rPr>
          <w:i/>
        </w:rPr>
        <w:t>–</w:t>
      </w:r>
      <w:r w:rsidR="00BE0002" w:rsidRPr="006147BC">
        <w:rPr>
          <w:i/>
        </w:rPr>
        <w:t xml:space="preserve"> Extension of COVID-19 Relief Measures </w:t>
      </w:r>
      <w:r w:rsidR="00C76DC6">
        <w:rPr>
          <w:i/>
        </w:rPr>
        <w:t>–</w:t>
      </w:r>
      <w:r w:rsidR="00BE0002" w:rsidRPr="006147BC">
        <w:rPr>
          <w:i/>
        </w:rPr>
        <w:t xml:space="preserve"> Amendment Instrument 2021 (No. 1) </w:t>
      </w:r>
      <w:r w:rsidR="00BE0002" w:rsidRPr="006147BC">
        <w:rPr>
          <w:iCs/>
        </w:rPr>
        <w:t xml:space="preserve">(the </w:t>
      </w:r>
      <w:r w:rsidR="00BE0002" w:rsidRPr="006147BC">
        <w:rPr>
          <w:b/>
          <w:bCs/>
          <w:i/>
        </w:rPr>
        <w:t>exemptions</w:t>
      </w:r>
      <w:r w:rsidR="00E81077" w:rsidRPr="006147BC">
        <w:rPr>
          <w:b/>
          <w:bCs/>
          <w:i/>
        </w:rPr>
        <w:t xml:space="preserve"> amendment</w:t>
      </w:r>
      <w:r w:rsidR="007A4B9B" w:rsidRPr="006147BC">
        <w:rPr>
          <w:b/>
          <w:bCs/>
          <w:i/>
        </w:rPr>
        <w:t xml:space="preserve"> instrument</w:t>
      </w:r>
      <w:r w:rsidR="00BE0002" w:rsidRPr="006147BC">
        <w:rPr>
          <w:iCs/>
        </w:rPr>
        <w:t>)</w:t>
      </w:r>
      <w:r w:rsidRPr="006147BC">
        <w:rPr>
          <w:rFonts w:ascii="Times New Roman" w:hAnsi="Times New Roman"/>
        </w:rPr>
        <w:t xml:space="preserve"> is to</w:t>
      </w:r>
      <w:r w:rsidR="00BE0002" w:rsidRPr="006147BC">
        <w:rPr>
          <w:rFonts w:ascii="Times New Roman" w:hAnsi="Times New Roman"/>
        </w:rPr>
        <w:t xml:space="preserve"> amend </w:t>
      </w:r>
      <w:r w:rsidR="00BE0002" w:rsidRPr="006147BC">
        <w:rPr>
          <w:i/>
        </w:rPr>
        <w:t>CASA EX92/21 — Flight Reviews, Proficiency Checks and Related Matters (Extensions of Time Due to COVID-19) Exemptions Instrument</w:t>
      </w:r>
      <w:r w:rsidR="00C76DC6">
        <w:rPr>
          <w:i/>
        </w:rPr>
        <w:t xml:space="preserve"> </w:t>
      </w:r>
      <w:r w:rsidR="00BE0002" w:rsidRPr="006147BC">
        <w:rPr>
          <w:i/>
        </w:rPr>
        <w:t xml:space="preserve">2021 </w:t>
      </w:r>
      <w:r w:rsidR="00BE0002" w:rsidRPr="006147BC">
        <w:rPr>
          <w:iCs/>
        </w:rPr>
        <w:t>(</w:t>
      </w:r>
      <w:r w:rsidR="00BE0002" w:rsidRPr="003C7BD5">
        <w:rPr>
          <w:bCs/>
        </w:rPr>
        <w:t xml:space="preserve">the </w:t>
      </w:r>
      <w:r w:rsidR="00E81077" w:rsidRPr="006147BC">
        <w:rPr>
          <w:b/>
          <w:bCs/>
          <w:i/>
        </w:rPr>
        <w:t>principal</w:t>
      </w:r>
      <w:r w:rsidR="00BE0002" w:rsidRPr="006147BC">
        <w:rPr>
          <w:b/>
          <w:bCs/>
          <w:i/>
        </w:rPr>
        <w:t xml:space="preserve"> exemption</w:t>
      </w:r>
      <w:r w:rsidR="007A4B9B" w:rsidRPr="006147BC">
        <w:rPr>
          <w:b/>
          <w:bCs/>
          <w:i/>
        </w:rPr>
        <w:t>s instrument</w:t>
      </w:r>
      <w:r w:rsidR="00BE0002" w:rsidRPr="006147BC">
        <w:rPr>
          <w:iCs/>
        </w:rPr>
        <w:t xml:space="preserve">). </w:t>
      </w:r>
    </w:p>
    <w:p w14:paraId="2A7BA52F" w14:textId="027B0C8A" w:rsidR="007A4B9B" w:rsidRPr="005F3EDA" w:rsidRDefault="007A4B9B" w:rsidP="00BE0002">
      <w:pPr>
        <w:pStyle w:val="BodyText"/>
        <w:rPr>
          <w:rFonts w:ascii="Times New Roman" w:hAnsi="Times New Roman"/>
          <w:iCs/>
          <w:sz w:val="20"/>
          <w:szCs w:val="20"/>
        </w:rPr>
      </w:pPr>
    </w:p>
    <w:p w14:paraId="459CB2AB" w14:textId="26A6F4EF" w:rsidR="003C7BD5" w:rsidRPr="003C7BD5" w:rsidRDefault="003C7BD5" w:rsidP="00BE0002">
      <w:pPr>
        <w:pStyle w:val="BodyText"/>
        <w:rPr>
          <w:b/>
          <w:bCs/>
          <w:iCs/>
        </w:rPr>
      </w:pPr>
      <w:r w:rsidRPr="003C7BD5">
        <w:rPr>
          <w:b/>
          <w:bCs/>
          <w:iCs/>
        </w:rPr>
        <w:t>Background</w:t>
      </w:r>
    </w:p>
    <w:p w14:paraId="61784DA0" w14:textId="29330E8D" w:rsidR="007A4B9B" w:rsidRPr="006147BC" w:rsidRDefault="00BE0002" w:rsidP="00BE0002">
      <w:pPr>
        <w:pStyle w:val="BodyText"/>
        <w:rPr>
          <w:rFonts w:ascii="Times New Roman" w:hAnsi="Times New Roman"/>
        </w:rPr>
      </w:pPr>
      <w:r w:rsidRPr="006147BC">
        <w:rPr>
          <w:iCs/>
        </w:rPr>
        <w:t>Th</w:t>
      </w:r>
      <w:r w:rsidR="007A4B9B" w:rsidRPr="006147BC">
        <w:rPr>
          <w:iCs/>
        </w:rPr>
        <w:t xml:space="preserve">e </w:t>
      </w:r>
      <w:r w:rsidR="00E81077" w:rsidRPr="006147BC">
        <w:rPr>
          <w:iCs/>
        </w:rPr>
        <w:t>principal</w:t>
      </w:r>
      <w:r w:rsidR="007A4B9B" w:rsidRPr="006147BC">
        <w:rPr>
          <w:iCs/>
        </w:rPr>
        <w:t xml:space="preserve"> exemptions instrument </w:t>
      </w:r>
      <w:r w:rsidRPr="006147BC">
        <w:rPr>
          <w:iCs/>
        </w:rPr>
        <w:t>was a</w:t>
      </w:r>
      <w:r w:rsidR="00E078B1" w:rsidRPr="006147BC">
        <w:rPr>
          <w:iCs/>
        </w:rPr>
        <w:t xml:space="preserve"> COVID-19 related,</w:t>
      </w:r>
      <w:r w:rsidRPr="006147BC">
        <w:rPr>
          <w:iCs/>
        </w:rPr>
        <w:t xml:space="preserve"> short-term relief measure, </w:t>
      </w:r>
      <w:r w:rsidR="00E81077" w:rsidRPr="006147BC">
        <w:rPr>
          <w:iCs/>
        </w:rPr>
        <w:t xml:space="preserve">originally planned </w:t>
      </w:r>
      <w:r w:rsidRPr="006147BC">
        <w:rPr>
          <w:iCs/>
        </w:rPr>
        <w:t>to be repealed on 31 October 20</w:t>
      </w:r>
      <w:r w:rsidR="00295129">
        <w:rPr>
          <w:iCs/>
        </w:rPr>
        <w:t>21</w:t>
      </w:r>
      <w:r w:rsidRPr="006147BC">
        <w:rPr>
          <w:iCs/>
        </w:rPr>
        <w:t xml:space="preserve">. It </w:t>
      </w:r>
      <w:r w:rsidR="00E078B1" w:rsidRPr="006147BC">
        <w:rPr>
          <w:iCs/>
        </w:rPr>
        <w:t>made</w:t>
      </w:r>
      <w:r w:rsidR="004375A7" w:rsidRPr="006147BC">
        <w:rPr>
          <w:rFonts w:ascii="Times New Roman" w:hAnsi="Times New Roman"/>
        </w:rPr>
        <w:t xml:space="preserve"> a</w:t>
      </w:r>
      <w:r w:rsidR="004A502E" w:rsidRPr="006147BC">
        <w:rPr>
          <w:rFonts w:ascii="Times New Roman" w:hAnsi="Times New Roman"/>
        </w:rPr>
        <w:t xml:space="preserve"> series of </w:t>
      </w:r>
      <w:r w:rsidR="004375A7" w:rsidRPr="006147BC">
        <w:rPr>
          <w:rFonts w:ascii="Times New Roman" w:hAnsi="Times New Roman"/>
        </w:rPr>
        <w:t>exemption</w:t>
      </w:r>
      <w:r w:rsidR="00CB44F5" w:rsidRPr="006147BC">
        <w:rPr>
          <w:rFonts w:ascii="Times New Roman" w:hAnsi="Times New Roman"/>
        </w:rPr>
        <w:t>s</w:t>
      </w:r>
      <w:r w:rsidR="00AA13CC" w:rsidRPr="006147BC">
        <w:rPr>
          <w:rFonts w:ascii="Times New Roman" w:hAnsi="Times New Roman"/>
        </w:rPr>
        <w:t xml:space="preserve"> from certain provisions of the</w:t>
      </w:r>
      <w:r w:rsidR="00E74C1F" w:rsidRPr="006147BC">
        <w:rPr>
          <w:rFonts w:ascii="Times New Roman" w:hAnsi="Times New Roman"/>
        </w:rPr>
        <w:t xml:space="preserve"> </w:t>
      </w:r>
      <w:r w:rsidR="00E74C1F" w:rsidRPr="006147BC">
        <w:rPr>
          <w:rFonts w:ascii="Times New Roman" w:hAnsi="Times New Roman"/>
          <w:i/>
        </w:rPr>
        <w:t xml:space="preserve">Civil Aviation Regulations 1988 </w:t>
      </w:r>
      <w:r w:rsidR="00E74C1F" w:rsidRPr="006147BC">
        <w:rPr>
          <w:rFonts w:ascii="Times New Roman" w:hAnsi="Times New Roman"/>
        </w:rPr>
        <w:t>(</w:t>
      </w:r>
      <w:r w:rsidR="00E74C1F" w:rsidRPr="006147BC">
        <w:rPr>
          <w:rFonts w:ascii="Times New Roman" w:hAnsi="Times New Roman"/>
          <w:b/>
          <w:i/>
        </w:rPr>
        <w:t>CAR</w:t>
      </w:r>
      <w:r w:rsidR="00E74C1F" w:rsidRPr="006147BC">
        <w:rPr>
          <w:rFonts w:ascii="Times New Roman" w:hAnsi="Times New Roman"/>
        </w:rPr>
        <w:t>), the</w:t>
      </w:r>
      <w:r w:rsidR="00AA13CC" w:rsidRPr="006147BC">
        <w:rPr>
          <w:rFonts w:ascii="Times New Roman" w:hAnsi="Times New Roman"/>
        </w:rPr>
        <w:t xml:space="preserve"> </w:t>
      </w:r>
      <w:r w:rsidR="00AA13CC" w:rsidRPr="006147BC">
        <w:rPr>
          <w:rFonts w:ascii="Times New Roman" w:hAnsi="Times New Roman"/>
          <w:i/>
        </w:rPr>
        <w:t xml:space="preserve">Civil Aviation Safety Regulations 1998 </w:t>
      </w:r>
      <w:r w:rsidR="00AA13CC" w:rsidRPr="006147BC">
        <w:rPr>
          <w:rFonts w:ascii="Times New Roman" w:hAnsi="Times New Roman"/>
        </w:rPr>
        <w:t>(</w:t>
      </w:r>
      <w:r w:rsidR="00AA13CC" w:rsidRPr="006147BC">
        <w:rPr>
          <w:rFonts w:ascii="Times New Roman" w:hAnsi="Times New Roman"/>
          <w:b/>
          <w:i/>
        </w:rPr>
        <w:t>CASR</w:t>
      </w:r>
      <w:r w:rsidR="00AA13CC" w:rsidRPr="006147BC">
        <w:rPr>
          <w:rFonts w:ascii="Times New Roman" w:hAnsi="Times New Roman"/>
        </w:rPr>
        <w:t>)</w:t>
      </w:r>
      <w:r w:rsidR="00E74C1F" w:rsidRPr="006147BC">
        <w:rPr>
          <w:rFonts w:ascii="Times New Roman" w:hAnsi="Times New Roman"/>
        </w:rPr>
        <w:t xml:space="preserve"> and Civil Aviation Order </w:t>
      </w:r>
      <w:r w:rsidR="006D3ED7">
        <w:rPr>
          <w:rFonts w:ascii="Times New Roman" w:hAnsi="Times New Roman"/>
        </w:rPr>
        <w:t>(</w:t>
      </w:r>
      <w:r w:rsidR="006D3ED7" w:rsidRPr="003C7BD5">
        <w:rPr>
          <w:rFonts w:ascii="Times New Roman" w:hAnsi="Times New Roman"/>
          <w:b/>
          <w:i/>
        </w:rPr>
        <w:t>CAO</w:t>
      </w:r>
      <w:r w:rsidR="006D3ED7">
        <w:rPr>
          <w:rFonts w:ascii="Times New Roman" w:hAnsi="Times New Roman"/>
        </w:rPr>
        <w:t xml:space="preserve">) </w:t>
      </w:r>
      <w:r w:rsidR="00C324EB" w:rsidRPr="006147BC">
        <w:rPr>
          <w:rFonts w:ascii="Times New Roman" w:hAnsi="Times New Roman"/>
        </w:rPr>
        <w:t>40.7</w:t>
      </w:r>
      <w:r w:rsidR="004375A7" w:rsidRPr="006147BC">
        <w:rPr>
          <w:rFonts w:ascii="Times New Roman" w:hAnsi="Times New Roman"/>
        </w:rPr>
        <w:t xml:space="preserve"> to </w:t>
      </w:r>
      <w:r w:rsidR="00AA13CC" w:rsidRPr="006147BC">
        <w:rPr>
          <w:rFonts w:ascii="Times New Roman" w:hAnsi="Times New Roman"/>
        </w:rPr>
        <w:t>extend</w:t>
      </w:r>
      <w:r w:rsidR="00C324EB" w:rsidRPr="006147BC">
        <w:rPr>
          <w:rFonts w:ascii="Times New Roman" w:hAnsi="Times New Roman"/>
        </w:rPr>
        <w:t xml:space="preserve"> the time</w:t>
      </w:r>
      <w:r w:rsidR="00D85C25">
        <w:rPr>
          <w:rFonts w:ascii="Times New Roman" w:hAnsi="Times New Roman"/>
        </w:rPr>
        <w:t xml:space="preserve"> </w:t>
      </w:r>
      <w:r w:rsidR="00C324EB" w:rsidRPr="006147BC">
        <w:rPr>
          <w:rFonts w:ascii="Times New Roman" w:hAnsi="Times New Roman"/>
        </w:rPr>
        <w:t>limits for compliance with</w:t>
      </w:r>
      <w:r w:rsidR="00CB44F5" w:rsidRPr="006147BC">
        <w:rPr>
          <w:rFonts w:ascii="Times New Roman" w:hAnsi="Times New Roman"/>
        </w:rPr>
        <w:t xml:space="preserve"> </w:t>
      </w:r>
      <w:r w:rsidR="00C324EB" w:rsidRPr="006147BC">
        <w:rPr>
          <w:rFonts w:ascii="Times New Roman" w:hAnsi="Times New Roman"/>
        </w:rPr>
        <w:t>pilot proficiency check and flight review obligations</w:t>
      </w:r>
      <w:r w:rsidRPr="006147BC">
        <w:rPr>
          <w:rFonts w:ascii="Times New Roman" w:hAnsi="Times New Roman"/>
        </w:rPr>
        <w:t xml:space="preserve"> because of constraints imposed by the social distancing, stay-at-home and lockdown rules applicable in parts of Australia because of the COVID-19 pandemic.</w:t>
      </w:r>
      <w:r w:rsidR="007A4B9B" w:rsidRPr="006147BC">
        <w:rPr>
          <w:rFonts w:ascii="Times New Roman" w:hAnsi="Times New Roman"/>
        </w:rPr>
        <w:t xml:space="preserve"> </w:t>
      </w:r>
    </w:p>
    <w:p w14:paraId="3ABBEB32" w14:textId="77777777" w:rsidR="007A4B9B" w:rsidRPr="005F3EDA" w:rsidRDefault="007A4B9B" w:rsidP="00BE0002">
      <w:pPr>
        <w:pStyle w:val="BodyText"/>
        <w:rPr>
          <w:rFonts w:ascii="Times New Roman" w:hAnsi="Times New Roman"/>
          <w:iCs/>
          <w:sz w:val="20"/>
          <w:szCs w:val="20"/>
        </w:rPr>
      </w:pPr>
    </w:p>
    <w:p w14:paraId="29C47A5A" w14:textId="2BD9E0AA" w:rsidR="0080080A" w:rsidRPr="006147BC" w:rsidRDefault="007A4B9B" w:rsidP="00BE0002">
      <w:pPr>
        <w:pStyle w:val="BodyText"/>
        <w:rPr>
          <w:iCs/>
        </w:rPr>
      </w:pPr>
      <w:r w:rsidRPr="006147BC">
        <w:rPr>
          <w:rFonts w:ascii="Times New Roman" w:hAnsi="Times New Roman"/>
        </w:rPr>
        <w:t xml:space="preserve">These </w:t>
      </w:r>
      <w:r w:rsidR="00E81077" w:rsidRPr="006147BC">
        <w:rPr>
          <w:rFonts w:ascii="Times New Roman" w:hAnsi="Times New Roman"/>
        </w:rPr>
        <w:t>COVID-19 constraints</w:t>
      </w:r>
      <w:r w:rsidRPr="006147BC">
        <w:rPr>
          <w:rFonts w:ascii="Times New Roman" w:hAnsi="Times New Roman"/>
        </w:rPr>
        <w:t xml:space="preserve"> have been extended in time, scope and area because of the continuing impact of the pandemic. It is, therefore, necessary to amend the </w:t>
      </w:r>
      <w:r w:rsidR="00E81077" w:rsidRPr="006147BC">
        <w:rPr>
          <w:iCs/>
        </w:rPr>
        <w:t xml:space="preserve">principal </w:t>
      </w:r>
      <w:r w:rsidRPr="006147BC">
        <w:rPr>
          <w:iCs/>
        </w:rPr>
        <w:t>exemptions instrument</w:t>
      </w:r>
      <w:r w:rsidR="00E078B1" w:rsidRPr="006147BC">
        <w:rPr>
          <w:iCs/>
        </w:rPr>
        <w:t>,</w:t>
      </w:r>
      <w:r w:rsidRPr="006147BC">
        <w:rPr>
          <w:iCs/>
        </w:rPr>
        <w:t xml:space="preserve"> in both duration and scope</w:t>
      </w:r>
      <w:r w:rsidR="00E078B1" w:rsidRPr="006147BC">
        <w:rPr>
          <w:iCs/>
        </w:rPr>
        <w:t>, to reflect the changed circumstances</w:t>
      </w:r>
      <w:r w:rsidRPr="006147BC">
        <w:rPr>
          <w:iCs/>
        </w:rPr>
        <w:t>.</w:t>
      </w:r>
    </w:p>
    <w:p w14:paraId="3A7C1093" w14:textId="77777777" w:rsidR="0080080A" w:rsidRPr="005F3EDA" w:rsidRDefault="0080080A" w:rsidP="00BE0002">
      <w:pPr>
        <w:pStyle w:val="BodyText"/>
        <w:rPr>
          <w:rFonts w:ascii="Times New Roman" w:hAnsi="Times New Roman"/>
          <w:iCs/>
          <w:sz w:val="20"/>
          <w:szCs w:val="20"/>
        </w:rPr>
      </w:pPr>
    </w:p>
    <w:p w14:paraId="582BCC95" w14:textId="26C20959" w:rsidR="0080080A" w:rsidRPr="006147BC" w:rsidRDefault="005C7915" w:rsidP="00BE0002">
      <w:pPr>
        <w:pStyle w:val="BodyText"/>
        <w:rPr>
          <w:iCs/>
        </w:rPr>
      </w:pPr>
      <w:r w:rsidRPr="006147BC">
        <w:rPr>
          <w:iCs/>
        </w:rPr>
        <w:t xml:space="preserve">This </w:t>
      </w:r>
      <w:r w:rsidR="00E078B1" w:rsidRPr="006147BC">
        <w:rPr>
          <w:iCs/>
        </w:rPr>
        <w:t xml:space="preserve">is </w:t>
      </w:r>
      <w:r w:rsidRPr="006147BC">
        <w:rPr>
          <w:iCs/>
        </w:rPr>
        <w:t>done by extending the duration of the principal exemptions instrument to 31</w:t>
      </w:r>
      <w:r w:rsidR="00E078B1" w:rsidRPr="006147BC">
        <w:rPr>
          <w:iCs/>
        </w:rPr>
        <w:t> </w:t>
      </w:r>
      <w:r w:rsidRPr="006147BC">
        <w:rPr>
          <w:iCs/>
        </w:rPr>
        <w:t xml:space="preserve">March 2022, by </w:t>
      </w:r>
      <w:r w:rsidR="0080080A" w:rsidRPr="006147BC">
        <w:rPr>
          <w:iCs/>
        </w:rPr>
        <w:t xml:space="preserve">providing </w:t>
      </w:r>
      <w:r w:rsidR="00E078B1" w:rsidRPr="006147BC">
        <w:rPr>
          <w:iCs/>
        </w:rPr>
        <w:t xml:space="preserve">further </w:t>
      </w:r>
      <w:r w:rsidR="0080080A" w:rsidRPr="006147BC">
        <w:rPr>
          <w:iCs/>
        </w:rPr>
        <w:t>short extensions of renewal periods for otherwise expiring cyclical checks, and by providing longer extensions of up to 31 March 2022 where relevant operators have safety mitigations in place in the form of CASA</w:t>
      </w:r>
      <w:r w:rsidR="00295129">
        <w:rPr>
          <w:iCs/>
        </w:rPr>
        <w:noBreakHyphen/>
      </w:r>
      <w:r w:rsidR="0080080A" w:rsidRPr="006147BC">
        <w:rPr>
          <w:iCs/>
        </w:rPr>
        <w:t>approved safety risk management plans.</w:t>
      </w:r>
    </w:p>
    <w:p w14:paraId="75EB26A4" w14:textId="77777777" w:rsidR="0080080A" w:rsidRPr="005F3EDA" w:rsidRDefault="0080080A" w:rsidP="00BE0002">
      <w:pPr>
        <w:pStyle w:val="BodyText"/>
        <w:rPr>
          <w:rFonts w:ascii="Times New Roman" w:hAnsi="Times New Roman"/>
          <w:iCs/>
          <w:sz w:val="20"/>
          <w:szCs w:val="20"/>
        </w:rPr>
      </w:pPr>
    </w:p>
    <w:p w14:paraId="116C5EEF" w14:textId="77777777" w:rsidR="00137848" w:rsidRPr="006147BC" w:rsidRDefault="00137848" w:rsidP="00137848">
      <w:pPr>
        <w:pStyle w:val="BodyText"/>
        <w:rPr>
          <w:rFonts w:ascii="Times New Roman" w:hAnsi="Times New Roman"/>
          <w:b/>
        </w:rPr>
      </w:pPr>
      <w:r w:rsidRPr="006147BC">
        <w:rPr>
          <w:rFonts w:ascii="Times New Roman" w:hAnsi="Times New Roman"/>
          <w:b/>
        </w:rPr>
        <w:t>Legislation — exemptions</w:t>
      </w:r>
    </w:p>
    <w:p w14:paraId="0582A2F6" w14:textId="2E791020" w:rsidR="00137848" w:rsidRPr="006147BC" w:rsidRDefault="00137848" w:rsidP="00137848">
      <w:pPr>
        <w:rPr>
          <w:rFonts w:ascii="Times New Roman" w:hAnsi="Times New Roman"/>
        </w:rPr>
      </w:pPr>
      <w:r w:rsidRPr="006147BC">
        <w:rPr>
          <w:rFonts w:ascii="Times New Roman" w:hAnsi="Times New Roman"/>
        </w:rPr>
        <w:t xml:space="preserve">Subpart 11.F of </w:t>
      </w:r>
      <w:r w:rsidRPr="003C7BD5">
        <w:rPr>
          <w:rFonts w:ascii="Times New Roman" w:hAnsi="Times New Roman"/>
          <w:bCs/>
          <w:iCs/>
        </w:rPr>
        <w:t>CASR</w:t>
      </w:r>
      <w:r w:rsidRPr="006147BC">
        <w:rPr>
          <w:rFonts w:ascii="Times New Roman" w:hAnsi="Times New Roman"/>
        </w:rPr>
        <w:t xml:space="preserve"> deals with exemptions. Under subregulation 11.160 (1), and for subsection 98 (5A) of the </w:t>
      </w:r>
      <w:r w:rsidR="00AC458E" w:rsidRPr="006147BC">
        <w:rPr>
          <w:rFonts w:ascii="Times New Roman" w:hAnsi="Times New Roman"/>
          <w:i/>
        </w:rPr>
        <w:t>Civil Aviation Act 1988</w:t>
      </w:r>
      <w:r w:rsidR="00AC458E" w:rsidRPr="006147BC">
        <w:rPr>
          <w:rFonts w:ascii="Times New Roman" w:hAnsi="Times New Roman"/>
        </w:rPr>
        <w:t xml:space="preserve"> (the </w:t>
      </w:r>
      <w:r w:rsidRPr="006147BC">
        <w:rPr>
          <w:rFonts w:ascii="Times New Roman" w:hAnsi="Times New Roman"/>
          <w:b/>
          <w:i/>
        </w:rPr>
        <w:t>Act</w:t>
      </w:r>
      <w:r w:rsidR="00AC458E" w:rsidRPr="006147BC">
        <w:rPr>
          <w:rFonts w:ascii="Times New Roman" w:hAnsi="Times New Roman"/>
        </w:rPr>
        <w:t>)</w:t>
      </w:r>
      <w:r w:rsidRPr="006147BC">
        <w:rPr>
          <w:rFonts w:ascii="Times New Roman" w:hAnsi="Times New Roman"/>
        </w:rPr>
        <w:t>, CASA may, by instrument, grant an exemption from a provision of CASR in relation to a matter mentioned in subsection 98 (5A). Subsection 98 (5A) matters are, in effect, those affecting the safety, airworthiness or design of aircraft.</w:t>
      </w:r>
    </w:p>
    <w:p w14:paraId="7FB26A51" w14:textId="77777777" w:rsidR="00137848" w:rsidRPr="005F3EDA" w:rsidRDefault="00137848" w:rsidP="00137848">
      <w:pPr>
        <w:pStyle w:val="LDBodytext"/>
        <w:rPr>
          <w:sz w:val="20"/>
          <w:szCs w:val="20"/>
        </w:rPr>
      </w:pPr>
    </w:p>
    <w:p w14:paraId="5116C058" w14:textId="3DEF1F4E" w:rsidR="00137848" w:rsidRPr="006147BC" w:rsidRDefault="00137848" w:rsidP="00137848">
      <w:pPr>
        <w:pStyle w:val="LDBodytext"/>
      </w:pPr>
      <w:r w:rsidRPr="006147BC">
        <w:t>Under subregulation 11.160 (2), an exemption may be granted to a person or a class of persons. Under subregulation 11.160 (3), CASA may grant an exemption on application, or on its own initiative. For an application for an exemption, CASA must regard as paramount the preservation of an acceptable level of safety.</w:t>
      </w:r>
      <w:r w:rsidR="008E3A0F" w:rsidRPr="006147BC">
        <w:t xml:space="preserve"> </w:t>
      </w:r>
      <w:r w:rsidRPr="006147BC">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5F3EDA" w:rsidRDefault="00137848" w:rsidP="005F3EDA">
      <w:pPr>
        <w:pStyle w:val="LDBodytext"/>
        <w:rPr>
          <w:sz w:val="20"/>
          <w:szCs w:val="20"/>
        </w:rPr>
      </w:pPr>
    </w:p>
    <w:p w14:paraId="099664BA" w14:textId="756C64D4" w:rsidR="00137848" w:rsidRPr="006147BC" w:rsidRDefault="00137848" w:rsidP="00137848">
      <w:pPr>
        <w:rPr>
          <w:rFonts w:ascii="Times New Roman" w:hAnsi="Times New Roman"/>
        </w:rPr>
      </w:pPr>
      <w:r w:rsidRPr="006147BC">
        <w:rPr>
          <w:rFonts w:ascii="Times New Roman" w:hAnsi="Times New Roman"/>
        </w:rPr>
        <w:t>Under regulation 11.205, CASA may impose conditions on an exemption</w:t>
      </w:r>
      <w:r w:rsidR="004A05BD" w:rsidRPr="006147BC">
        <w:rPr>
          <w:rFonts w:ascii="Times New Roman" w:hAnsi="Times New Roman"/>
        </w:rPr>
        <w:t>,</w:t>
      </w:r>
      <w:r w:rsidRPr="006147BC">
        <w:rPr>
          <w:rFonts w:ascii="Times New Roman" w:hAnsi="Times New Roman"/>
        </w:rPr>
        <w:t xml:space="preserve"> if </w:t>
      </w:r>
      <w:r w:rsidR="004A05BD" w:rsidRPr="006147BC">
        <w:rPr>
          <w:rFonts w:ascii="Times New Roman" w:hAnsi="Times New Roman"/>
        </w:rPr>
        <w:t xml:space="preserve">this is </w:t>
      </w:r>
      <w:r w:rsidRPr="006147BC">
        <w:rPr>
          <w:rFonts w:ascii="Times New Roman" w:hAnsi="Times New Roman"/>
        </w:rPr>
        <w:t xml:space="preserve">necessary in the interests of the safety of air navigation. Under regulation 11.210, it is a strict liability offence not to comply with the obligations imposed by a condition. Under regulation 11.225, CASA must, as soon as practicable, publish on the </w:t>
      </w:r>
      <w:r w:rsidR="006D3ED7">
        <w:rPr>
          <w:rFonts w:ascii="Times New Roman" w:hAnsi="Times New Roman"/>
        </w:rPr>
        <w:t>i</w:t>
      </w:r>
      <w:r w:rsidRPr="006147BC">
        <w:rPr>
          <w:rFonts w:ascii="Times New Roman" w:hAnsi="Times New Roman"/>
        </w:rPr>
        <w:t>nternet details of all exemptions under Subpart 11.F.</w:t>
      </w:r>
    </w:p>
    <w:p w14:paraId="2827D8D0" w14:textId="516CB14B" w:rsidR="00137848" w:rsidRPr="006147BC" w:rsidRDefault="00137848" w:rsidP="009D72C2">
      <w:pPr>
        <w:keepNext/>
        <w:rPr>
          <w:rFonts w:ascii="Times New Roman" w:hAnsi="Times New Roman"/>
        </w:rPr>
      </w:pPr>
      <w:r w:rsidRPr="006147BC">
        <w:rPr>
          <w:rFonts w:ascii="Times New Roman" w:hAnsi="Times New Roman"/>
        </w:rPr>
        <w:lastRenderedPageBreak/>
        <w:t>Under subregulation 11.230 (1), an exemption may remain in force for 3</w:t>
      </w:r>
      <w:r w:rsidR="001C3227" w:rsidRPr="006147BC">
        <w:rPr>
          <w:rFonts w:ascii="Times New Roman" w:hAnsi="Times New Roman"/>
        </w:rPr>
        <w:t xml:space="preserve"> </w:t>
      </w:r>
      <w:r w:rsidRPr="006147BC">
        <w:rPr>
          <w:rFonts w:ascii="Times New Roman" w:hAnsi="Times New Roman"/>
        </w:rPr>
        <w:t>years or for a shorter period specified in the instrument.</w:t>
      </w:r>
    </w:p>
    <w:p w14:paraId="1BB55AA3" w14:textId="77777777" w:rsidR="00137848" w:rsidRPr="006147BC" w:rsidRDefault="00137848" w:rsidP="00137848">
      <w:pPr>
        <w:rPr>
          <w:rFonts w:ascii="Times New Roman" w:hAnsi="Times New Roman"/>
        </w:rPr>
      </w:pPr>
    </w:p>
    <w:p w14:paraId="1762E61A" w14:textId="392D42D5" w:rsidR="00137848" w:rsidRPr="006147BC" w:rsidRDefault="00137848" w:rsidP="00137848">
      <w:pPr>
        <w:rPr>
          <w:rFonts w:ascii="Times New Roman" w:hAnsi="Times New Roman"/>
        </w:rPr>
      </w:pPr>
      <w:r w:rsidRPr="006147BC">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 etc.).</w:t>
      </w:r>
    </w:p>
    <w:p w14:paraId="1869B8C7" w14:textId="2AE26424" w:rsidR="00646118" w:rsidRPr="006147BC" w:rsidRDefault="00646118" w:rsidP="00646118">
      <w:pPr>
        <w:pStyle w:val="LDBodytext"/>
      </w:pPr>
    </w:p>
    <w:p w14:paraId="115A4170" w14:textId="2D203300" w:rsidR="007C41CC" w:rsidRPr="006147BC" w:rsidRDefault="008E3A0F" w:rsidP="00646118">
      <w:pPr>
        <w:pStyle w:val="LDBodytext"/>
      </w:pPr>
      <w:r w:rsidRPr="006147BC">
        <w:t>In making the</w:t>
      </w:r>
      <w:r w:rsidR="007C41CC" w:rsidRPr="006147BC">
        <w:t xml:space="preserve"> </w:t>
      </w:r>
      <w:r w:rsidR="00E61E37" w:rsidRPr="003C7BD5">
        <w:rPr>
          <w:bCs/>
        </w:rPr>
        <w:t>exemptions amendment</w:t>
      </w:r>
      <w:r w:rsidR="00E61E37" w:rsidRPr="006147BC">
        <w:rPr>
          <w:b/>
          <w:bCs/>
          <w:i/>
        </w:rPr>
        <w:t xml:space="preserve"> </w:t>
      </w:r>
      <w:r w:rsidR="007C41CC" w:rsidRPr="006147BC">
        <w:t>instrument</w:t>
      </w:r>
      <w:r w:rsidRPr="006147BC">
        <w:t xml:space="preserve">, CASA has </w:t>
      </w:r>
      <w:r w:rsidR="007C41CC" w:rsidRPr="006147BC">
        <w:t xml:space="preserve">arrived at exemption provisions which will preserve the highest level of aviation safety that is reasonably practicable in the circumstances of the COVID-19 </w:t>
      </w:r>
      <w:r w:rsidR="00A12704" w:rsidRPr="006147BC">
        <w:t>pan</w:t>
      </w:r>
      <w:r w:rsidR="007C41CC" w:rsidRPr="006147BC">
        <w:t>demic. Thus, both the paramountcy of aviation safety</w:t>
      </w:r>
      <w:r w:rsidR="00DB204F" w:rsidRPr="006147BC">
        <w:t>,</w:t>
      </w:r>
      <w:r w:rsidR="007C41CC" w:rsidRPr="006147BC">
        <w:t xml:space="preserve"> and the practicability of achieving it as the most important consideration in CASA’s assessment, have been preserved in the proportionate approach adopted and the conditions imposed.</w:t>
      </w:r>
    </w:p>
    <w:p w14:paraId="183E9896" w14:textId="77777777" w:rsidR="007C41CC" w:rsidRPr="006147BC" w:rsidRDefault="007C41CC" w:rsidP="00646118">
      <w:pPr>
        <w:pStyle w:val="LDBodytext"/>
      </w:pPr>
    </w:p>
    <w:p w14:paraId="6044C887" w14:textId="6B75F9EE" w:rsidR="00F15472" w:rsidRPr="006147BC" w:rsidRDefault="001F0BA3" w:rsidP="00D51583">
      <w:pPr>
        <w:pStyle w:val="LDBodytext"/>
        <w:rPr>
          <w:b/>
        </w:rPr>
      </w:pPr>
      <w:r w:rsidRPr="006147BC">
        <w:rPr>
          <w:b/>
        </w:rPr>
        <w:t>Other l</w:t>
      </w:r>
      <w:r w:rsidR="00F15472" w:rsidRPr="006147BC">
        <w:rPr>
          <w:b/>
        </w:rPr>
        <w:t>egislation</w:t>
      </w:r>
    </w:p>
    <w:p w14:paraId="49CDC593" w14:textId="77777777" w:rsidR="00F15472" w:rsidRPr="006147BC" w:rsidRDefault="00F15472" w:rsidP="00F15472">
      <w:pPr>
        <w:pStyle w:val="BodyText"/>
        <w:rPr>
          <w:rFonts w:ascii="Times New Roman" w:hAnsi="Times New Roman"/>
        </w:rPr>
      </w:pPr>
      <w:r w:rsidRPr="006147BC">
        <w:rPr>
          <w:rFonts w:ascii="Times New Roman" w:hAnsi="Times New Roman"/>
        </w:rPr>
        <w:t>Section 98 of the Act empowers the Governor-General to make regulations for the Act and the safety of air navigation.</w:t>
      </w:r>
    </w:p>
    <w:p w14:paraId="76216CC5" w14:textId="77777777" w:rsidR="00F15472" w:rsidRPr="006147BC" w:rsidRDefault="00F15472" w:rsidP="00F15472">
      <w:pPr>
        <w:pStyle w:val="BodyText"/>
        <w:rPr>
          <w:rFonts w:ascii="Times New Roman" w:hAnsi="Times New Roman"/>
        </w:rPr>
      </w:pPr>
    </w:p>
    <w:p w14:paraId="2B186905" w14:textId="7E41D2AE" w:rsidR="009C7F01" w:rsidRPr="006147BC" w:rsidRDefault="00A208DD" w:rsidP="009C7F01">
      <w:pPr>
        <w:pStyle w:val="LDBodytext"/>
      </w:pPr>
      <w:r w:rsidRPr="006147BC">
        <w:t>The regulations in Part 61</w:t>
      </w:r>
      <w:r w:rsidR="001F0BA3" w:rsidRPr="006147BC">
        <w:t xml:space="preserve"> of </w:t>
      </w:r>
      <w:r w:rsidR="001F0BA3" w:rsidRPr="003C7BD5">
        <w:rPr>
          <w:bCs/>
          <w:iCs/>
        </w:rPr>
        <w:t>CASR</w:t>
      </w:r>
      <w:r w:rsidRPr="006147BC">
        <w:t xml:space="preserve"> set out flight crew licensing requirements. </w:t>
      </w:r>
      <w:r w:rsidR="007F7FCE" w:rsidRPr="006147BC">
        <w:t>A series of provisions in Part 61 require that relevant pilots complete proficiency checks</w:t>
      </w:r>
      <w:r w:rsidR="00667C27" w:rsidRPr="006147BC">
        <w:t xml:space="preserve"> and flight reviews</w:t>
      </w:r>
      <w:r w:rsidR="007F7FCE" w:rsidRPr="006147BC">
        <w:t xml:space="preserve"> appropriate to their licence and rating</w:t>
      </w:r>
      <w:r w:rsidR="00491AE3" w:rsidRPr="006147BC">
        <w:t xml:space="preserve"> within certain time cycles which create expiry dates and the need </w:t>
      </w:r>
      <w:r w:rsidR="001F0BA3" w:rsidRPr="006147BC">
        <w:t>for renewals.</w:t>
      </w:r>
    </w:p>
    <w:p w14:paraId="25795058" w14:textId="77777777" w:rsidR="009C7F01" w:rsidRPr="006147BC" w:rsidRDefault="009C7F01" w:rsidP="009C7F01">
      <w:pPr>
        <w:pStyle w:val="LDBodytext"/>
      </w:pPr>
    </w:p>
    <w:p w14:paraId="292A8381" w14:textId="5177BD88" w:rsidR="00E25843" w:rsidRPr="006147BC" w:rsidRDefault="009C7F01" w:rsidP="009C7F01">
      <w:pPr>
        <w:pStyle w:val="LDBodytext"/>
        <w:rPr>
          <w:bCs/>
        </w:rPr>
      </w:pPr>
      <w:r w:rsidRPr="006147BC">
        <w:rPr>
          <w:bCs/>
        </w:rPr>
        <w:t xml:space="preserve">Under regulation </w:t>
      </w:r>
      <w:r w:rsidR="0022022E" w:rsidRPr="006147BC">
        <w:rPr>
          <w:bCs/>
        </w:rPr>
        <w:t xml:space="preserve">217 of </w:t>
      </w:r>
      <w:r w:rsidRPr="003C7BD5">
        <w:rPr>
          <w:bCs/>
          <w:iCs/>
        </w:rPr>
        <w:t>C</w:t>
      </w:r>
      <w:r w:rsidR="0022022E" w:rsidRPr="003C7BD5">
        <w:rPr>
          <w:bCs/>
          <w:iCs/>
        </w:rPr>
        <w:t>AR</w:t>
      </w:r>
      <w:r w:rsidR="00332B70" w:rsidRPr="006147BC">
        <w:t>,</w:t>
      </w:r>
      <w:r w:rsidR="0022022E" w:rsidRPr="006147BC">
        <w:rPr>
          <w:bCs/>
        </w:rPr>
        <w:t xml:space="preserve"> relevant operators</w:t>
      </w:r>
      <w:r w:rsidR="00E25843" w:rsidRPr="006147BC">
        <w:rPr>
          <w:bCs/>
        </w:rPr>
        <w:t xml:space="preserve"> must</w:t>
      </w:r>
      <w:r w:rsidR="00BC2975" w:rsidRPr="006147BC">
        <w:rPr>
          <w:bCs/>
        </w:rPr>
        <w:t xml:space="preserve"> ensure that</w:t>
      </w:r>
      <w:r w:rsidR="0022022E" w:rsidRPr="006147BC">
        <w:rPr>
          <w:bCs/>
        </w:rPr>
        <w:t xml:space="preserve"> their operating crew members</w:t>
      </w:r>
      <w:r w:rsidR="00BC2975" w:rsidRPr="006147BC">
        <w:rPr>
          <w:bCs/>
        </w:rPr>
        <w:t xml:space="preserve"> undergo</w:t>
      </w:r>
      <w:r w:rsidR="0022022E" w:rsidRPr="006147BC">
        <w:rPr>
          <w:bCs/>
        </w:rPr>
        <w:t xml:space="preserve"> 2 annual proficiency checks.</w:t>
      </w:r>
    </w:p>
    <w:p w14:paraId="7B4D02A1" w14:textId="77777777" w:rsidR="009C7F01" w:rsidRPr="006147BC" w:rsidRDefault="009C7F01" w:rsidP="008A284A">
      <w:pPr>
        <w:pStyle w:val="LDBodytext"/>
        <w:rPr>
          <w:bCs/>
        </w:rPr>
      </w:pPr>
    </w:p>
    <w:p w14:paraId="77F49697" w14:textId="45999502" w:rsidR="009C7F01" w:rsidRPr="006147BC" w:rsidRDefault="009C7F01" w:rsidP="009C7F01">
      <w:pPr>
        <w:pStyle w:val="LDBodytext"/>
      </w:pPr>
      <w:r w:rsidRPr="003C7BD5">
        <w:rPr>
          <w:bCs/>
          <w:iCs/>
        </w:rPr>
        <w:t>CAO</w:t>
      </w:r>
      <w:r w:rsidRPr="006147BC">
        <w:t xml:space="preserve"> 82.6 creates a code of safety rule for the use of night vision imaging systems</w:t>
      </w:r>
      <w:r w:rsidR="001F0BA3" w:rsidRPr="006147BC">
        <w:t xml:space="preserve"> (</w:t>
      </w:r>
      <w:r w:rsidR="001F0BA3" w:rsidRPr="006147BC">
        <w:rPr>
          <w:b/>
          <w:bCs/>
          <w:i/>
          <w:iCs/>
        </w:rPr>
        <w:t>NVIS</w:t>
      </w:r>
      <w:r w:rsidR="001F0BA3" w:rsidRPr="006147BC">
        <w:t>) which include NVIS pilot proficiency checks and NVIS aircrew member capability check flights (</w:t>
      </w:r>
      <w:r w:rsidR="001F0BA3" w:rsidRPr="006147BC">
        <w:rPr>
          <w:b/>
          <w:bCs/>
          <w:i/>
          <w:iCs/>
        </w:rPr>
        <w:t>NVIS CCF</w:t>
      </w:r>
      <w:r w:rsidR="001F0BA3" w:rsidRPr="003C7BD5">
        <w:rPr>
          <w:b/>
          <w:i/>
        </w:rPr>
        <w:t>s</w:t>
      </w:r>
      <w:r w:rsidR="001F0BA3" w:rsidRPr="006147BC">
        <w:t>).</w:t>
      </w:r>
    </w:p>
    <w:p w14:paraId="11CD3989" w14:textId="41FBFC04" w:rsidR="009C7F01" w:rsidRPr="006147BC" w:rsidRDefault="009C7F01" w:rsidP="009C7F01">
      <w:pPr>
        <w:pStyle w:val="LDBodytext"/>
      </w:pPr>
    </w:p>
    <w:p w14:paraId="112EC345" w14:textId="211BF319" w:rsidR="008A284A" w:rsidRPr="006147BC" w:rsidRDefault="001D7FB9" w:rsidP="008A284A">
      <w:pPr>
        <w:pStyle w:val="BodyText"/>
        <w:rPr>
          <w:rFonts w:ascii="Times New Roman" w:hAnsi="Times New Roman"/>
        </w:rPr>
      </w:pPr>
      <w:r w:rsidRPr="006147BC">
        <w:rPr>
          <w:rFonts w:ascii="Times New Roman" w:hAnsi="Times New Roman"/>
        </w:rPr>
        <w:t xml:space="preserve">The regulations in Part 65 of CASR deal with air traffic service </w:t>
      </w:r>
      <w:r w:rsidR="00C27A0A">
        <w:rPr>
          <w:rFonts w:ascii="Times New Roman" w:hAnsi="Times New Roman"/>
        </w:rPr>
        <w:t>(</w:t>
      </w:r>
      <w:r w:rsidR="00C27A0A" w:rsidRPr="003C7BD5">
        <w:rPr>
          <w:rFonts w:ascii="Times New Roman" w:hAnsi="Times New Roman"/>
          <w:b/>
          <w:i/>
        </w:rPr>
        <w:t>ATS</w:t>
      </w:r>
      <w:r w:rsidR="00C27A0A">
        <w:rPr>
          <w:rFonts w:ascii="Times New Roman" w:hAnsi="Times New Roman"/>
        </w:rPr>
        <w:t xml:space="preserve">) </w:t>
      </w:r>
      <w:r w:rsidRPr="006147BC">
        <w:rPr>
          <w:rFonts w:ascii="Times New Roman" w:hAnsi="Times New Roman"/>
        </w:rPr>
        <w:t>licensing and, relevantly</w:t>
      </w:r>
      <w:r w:rsidR="001F0BA3" w:rsidRPr="006147BC">
        <w:rPr>
          <w:rFonts w:ascii="Times New Roman" w:hAnsi="Times New Roman"/>
        </w:rPr>
        <w:t>,</w:t>
      </w:r>
      <w:r w:rsidRPr="006147BC">
        <w:rPr>
          <w:rFonts w:ascii="Times New Roman" w:hAnsi="Times New Roman"/>
        </w:rPr>
        <w:t xml:space="preserve"> the holders of air traffic control (</w:t>
      </w:r>
      <w:r w:rsidRPr="006147BC">
        <w:rPr>
          <w:rFonts w:ascii="Times New Roman" w:hAnsi="Times New Roman"/>
          <w:b/>
          <w:bCs/>
          <w:i/>
          <w:iCs/>
        </w:rPr>
        <w:t>ATC</w:t>
      </w:r>
      <w:r w:rsidRPr="006147BC">
        <w:rPr>
          <w:rFonts w:ascii="Times New Roman" w:hAnsi="Times New Roman"/>
        </w:rPr>
        <w:t>) licences and flight service licences,</w:t>
      </w:r>
      <w:r w:rsidR="005A25ED" w:rsidRPr="006147BC">
        <w:rPr>
          <w:rFonts w:ascii="Times New Roman" w:hAnsi="Times New Roman"/>
        </w:rPr>
        <w:t xml:space="preserve"> the maintenance of their competency through recency and currency requirements,</w:t>
      </w:r>
      <w:r w:rsidRPr="006147BC">
        <w:rPr>
          <w:rFonts w:ascii="Times New Roman" w:hAnsi="Times New Roman"/>
        </w:rPr>
        <w:t xml:space="preserve"> the persons they may supervise, and the offences that may be committed through failure to comply with the</w:t>
      </w:r>
      <w:r w:rsidR="005A25ED" w:rsidRPr="006147BC">
        <w:rPr>
          <w:rFonts w:ascii="Times New Roman" w:hAnsi="Times New Roman"/>
        </w:rPr>
        <w:t>se</w:t>
      </w:r>
      <w:r w:rsidRPr="006147BC">
        <w:rPr>
          <w:rFonts w:ascii="Times New Roman" w:hAnsi="Times New Roman"/>
        </w:rPr>
        <w:t xml:space="preserve"> regulat</w:t>
      </w:r>
      <w:r w:rsidR="005A25ED" w:rsidRPr="006147BC">
        <w:rPr>
          <w:rFonts w:ascii="Times New Roman" w:hAnsi="Times New Roman"/>
        </w:rPr>
        <w:t>ory requirements.</w:t>
      </w:r>
    </w:p>
    <w:p w14:paraId="5D7C90BF" w14:textId="77777777" w:rsidR="008A284A" w:rsidRPr="006147BC" w:rsidRDefault="008A284A" w:rsidP="008A284A">
      <w:pPr>
        <w:pStyle w:val="BodyText"/>
        <w:rPr>
          <w:rFonts w:ascii="Times New Roman" w:hAnsi="Times New Roman"/>
        </w:rPr>
      </w:pPr>
    </w:p>
    <w:p w14:paraId="2BDAEA5B" w14:textId="2FF63C2E" w:rsidR="00FB69E9" w:rsidRDefault="00FB69E9" w:rsidP="008A284A">
      <w:pPr>
        <w:pStyle w:val="BodyText"/>
      </w:pPr>
      <w:r w:rsidRPr="006147BC">
        <w:rPr>
          <w:bCs/>
          <w:iCs/>
        </w:rPr>
        <w:t>S</w:t>
      </w:r>
      <w:r w:rsidRPr="006147BC">
        <w:t xml:space="preserve">ubsection 12 of CAO 20.11 requires </w:t>
      </w:r>
      <w:r w:rsidR="00E078B1" w:rsidRPr="006147BC">
        <w:t xml:space="preserve">that </w:t>
      </w:r>
      <w:r w:rsidRPr="006147BC">
        <w:t xml:space="preserve">AOC holders engaged in charter operations or regular public transport operations </w:t>
      </w:r>
      <w:r w:rsidR="00E078B1" w:rsidRPr="006147BC">
        <w:t>must</w:t>
      </w:r>
      <w:r w:rsidRPr="006147BC">
        <w:t xml:space="preserve"> ensure that their relevant crew members</w:t>
      </w:r>
      <w:r w:rsidR="00E078B1" w:rsidRPr="006147BC">
        <w:t xml:space="preserve"> (usually, in effect, cabin crew)</w:t>
      </w:r>
      <w:r w:rsidR="000C7874">
        <w:t>,</w:t>
      </w:r>
      <w:r w:rsidRPr="006147BC">
        <w:t xml:space="preserve"> </w:t>
      </w:r>
      <w:r w:rsidR="00E078B1" w:rsidRPr="006147BC">
        <w:t xml:space="preserve">who are </w:t>
      </w:r>
      <w:r w:rsidRPr="006147BC">
        <w:t>assigned to emergency duties</w:t>
      </w:r>
      <w:r w:rsidR="00E078B1" w:rsidRPr="006147BC">
        <w:t>,</w:t>
      </w:r>
      <w:r w:rsidRPr="006147BC">
        <w:t xml:space="preserve"> complete </w:t>
      </w:r>
      <w:r w:rsidR="008A284A" w:rsidRPr="006147BC">
        <w:t xml:space="preserve">an </w:t>
      </w:r>
      <w:r w:rsidRPr="006147BC">
        <w:t xml:space="preserve">annual proficiency test in emergency procedures. </w:t>
      </w:r>
    </w:p>
    <w:p w14:paraId="1FED15D4" w14:textId="656B227B" w:rsidR="003C7BD5" w:rsidRDefault="003C7BD5" w:rsidP="008A284A">
      <w:pPr>
        <w:pStyle w:val="BodyText"/>
      </w:pPr>
    </w:p>
    <w:p w14:paraId="34C139AF" w14:textId="77777777" w:rsidR="003C7BD5" w:rsidRDefault="003C7BD5" w:rsidP="003C7BD5">
      <w:pPr>
        <w:rPr>
          <w:rFonts w:ascii="Times New Roman" w:hAnsi="Times New Roman"/>
        </w:rPr>
      </w:pPr>
      <w:r>
        <w:rPr>
          <w:rFonts w:ascii="Times New Roman" w:hAnsi="Times New Roman"/>
        </w:rPr>
        <w:t xml:space="preserve">Under subsection 33 (3) of the </w:t>
      </w:r>
      <w:r w:rsidRPr="00F408A1">
        <w:rPr>
          <w:rFonts w:ascii="Times New Roman" w:hAnsi="Times New Roman"/>
          <w:i/>
        </w:rPr>
        <w:t>Acts Interpretation Act 1901</w:t>
      </w:r>
      <w:r>
        <w:rPr>
          <w:rFonts w:ascii="Times New Roman" w:hAnsi="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14C0824" w14:textId="0CE138AE" w:rsidR="007D503C" w:rsidRPr="006147BC" w:rsidRDefault="007D503C" w:rsidP="007D503C">
      <w:pPr>
        <w:pStyle w:val="BodyText"/>
      </w:pPr>
    </w:p>
    <w:p w14:paraId="37481865" w14:textId="31F22131" w:rsidR="007D503C" w:rsidRPr="006147BC" w:rsidRDefault="007D503C" w:rsidP="007D503C">
      <w:pPr>
        <w:pStyle w:val="BodyText"/>
      </w:pPr>
      <w:r w:rsidRPr="006147BC">
        <w:t>Further details</w:t>
      </w:r>
      <w:r w:rsidR="00D21BB2" w:rsidRPr="006147BC">
        <w:t xml:space="preserve"> of legislation</w:t>
      </w:r>
      <w:r w:rsidRPr="006147BC">
        <w:t xml:space="preserve"> are set out in Appendix 1.</w:t>
      </w:r>
    </w:p>
    <w:p w14:paraId="149E861D" w14:textId="208BBFA2" w:rsidR="001F0BA3" w:rsidRPr="006147BC" w:rsidRDefault="001F0BA3" w:rsidP="001F0BA3">
      <w:pPr>
        <w:pStyle w:val="BodyText"/>
      </w:pPr>
    </w:p>
    <w:p w14:paraId="6522277C" w14:textId="77777777" w:rsidR="003C7BD5" w:rsidRPr="000E5ABF" w:rsidRDefault="003C7BD5" w:rsidP="002F1250">
      <w:pPr>
        <w:pStyle w:val="BodyText"/>
        <w:keepNext/>
        <w:rPr>
          <w:b/>
          <w:bCs/>
        </w:rPr>
      </w:pPr>
      <w:r w:rsidRPr="000E5ABF">
        <w:rPr>
          <w:b/>
          <w:bCs/>
        </w:rPr>
        <w:lastRenderedPageBreak/>
        <w:t>The exemptions amendment instrument</w:t>
      </w:r>
    </w:p>
    <w:p w14:paraId="10BA7757" w14:textId="3C66ACBA" w:rsidR="00E078B1" w:rsidRPr="006147BC" w:rsidRDefault="001F0BA3" w:rsidP="001F0BA3">
      <w:pPr>
        <w:pStyle w:val="BodyText"/>
        <w:rPr>
          <w:iCs/>
        </w:rPr>
      </w:pPr>
      <w:r w:rsidRPr="006147BC">
        <w:rPr>
          <w:rFonts w:ascii="Times New Roman" w:hAnsi="Times New Roman"/>
        </w:rPr>
        <w:t xml:space="preserve">Because COVID-19 constraints have been extended in time, scope and area, it is necessary to amend the </w:t>
      </w:r>
      <w:r w:rsidRPr="006147BC">
        <w:rPr>
          <w:iCs/>
        </w:rPr>
        <w:t>principal exemptions instrument in both duration and scope</w:t>
      </w:r>
      <w:r w:rsidR="00E078B1" w:rsidRPr="006147BC">
        <w:rPr>
          <w:iCs/>
        </w:rPr>
        <w:t xml:space="preserve"> as follows</w:t>
      </w:r>
      <w:r w:rsidRPr="006147BC">
        <w:rPr>
          <w:iCs/>
        </w:rPr>
        <w:t>.</w:t>
      </w:r>
    </w:p>
    <w:p w14:paraId="5BFC00D1" w14:textId="77777777" w:rsidR="00E078B1" w:rsidRPr="006147BC" w:rsidRDefault="00E078B1" w:rsidP="001F0BA3">
      <w:pPr>
        <w:pStyle w:val="BodyText"/>
        <w:rPr>
          <w:iCs/>
        </w:rPr>
      </w:pPr>
    </w:p>
    <w:p w14:paraId="7B6B13E6" w14:textId="4415DA02" w:rsidR="001F0BA3" w:rsidRPr="006147BC" w:rsidRDefault="00E078B1" w:rsidP="001F0BA3">
      <w:pPr>
        <w:pStyle w:val="BodyText"/>
        <w:rPr>
          <w:iCs/>
        </w:rPr>
      </w:pPr>
      <w:r w:rsidRPr="006147BC">
        <w:rPr>
          <w:iCs/>
        </w:rPr>
        <w:t>I</w:t>
      </w:r>
      <w:r w:rsidR="001F0BA3" w:rsidRPr="006147BC">
        <w:rPr>
          <w:iCs/>
        </w:rPr>
        <w:t xml:space="preserve">ts repeal date has been amended from 31 October 2021 </w:t>
      </w:r>
      <w:r w:rsidR="00F348E6" w:rsidRPr="006147BC">
        <w:rPr>
          <w:iCs/>
        </w:rPr>
        <w:t>to 31 March 2022.</w:t>
      </w:r>
    </w:p>
    <w:p w14:paraId="31A076A9" w14:textId="18A4D2F7" w:rsidR="001F0BA3" w:rsidRPr="006147BC" w:rsidRDefault="001F0BA3" w:rsidP="001F0BA3">
      <w:pPr>
        <w:pStyle w:val="BodyText"/>
      </w:pPr>
    </w:p>
    <w:p w14:paraId="79099825" w14:textId="77777777" w:rsidR="00E078B1" w:rsidRPr="006147BC" w:rsidRDefault="00F348E6" w:rsidP="001E75B7">
      <w:pPr>
        <w:pStyle w:val="BodyText"/>
      </w:pPr>
      <w:r w:rsidRPr="006147BC">
        <w:t>Section</w:t>
      </w:r>
      <w:r w:rsidR="001E75B7" w:rsidRPr="006147BC">
        <w:t>s</w:t>
      </w:r>
      <w:r w:rsidRPr="006147BC">
        <w:t xml:space="preserve"> 6</w:t>
      </w:r>
      <w:r w:rsidR="001E75B7" w:rsidRPr="006147BC">
        <w:t xml:space="preserve"> and 7</w:t>
      </w:r>
      <w:r w:rsidRPr="006147BC">
        <w:t xml:space="preserve"> of the principal exemptions instrument had the effect of extending the time within which pilots must complete cyclical proficiency checks</w:t>
      </w:r>
      <w:r w:rsidR="001E75B7" w:rsidRPr="006147BC">
        <w:t xml:space="preserve"> and flight reviews</w:t>
      </w:r>
      <w:r w:rsidRPr="006147BC">
        <w:t xml:space="preserve">. </w:t>
      </w:r>
      <w:r w:rsidR="001E75B7" w:rsidRPr="006147BC">
        <w:t>The exemptions amendment instrument extends this time so that</w:t>
      </w:r>
      <w:r w:rsidR="00E078B1" w:rsidRPr="006147BC">
        <w:t>:</w:t>
      </w:r>
    </w:p>
    <w:p w14:paraId="39CF7B92" w14:textId="1168EB58" w:rsidR="00E078B1" w:rsidRPr="006147BC" w:rsidRDefault="001E75B7" w:rsidP="00E078B1">
      <w:pPr>
        <w:pStyle w:val="BodyText"/>
        <w:numPr>
          <w:ilvl w:val="0"/>
          <w:numId w:val="17"/>
        </w:numPr>
      </w:pPr>
      <w:r w:rsidRPr="006147BC">
        <w:t>for a proficiency check or flight review that expires after 31</w:t>
      </w:r>
      <w:r w:rsidR="00D8527D">
        <w:t xml:space="preserve"> </w:t>
      </w:r>
      <w:r w:rsidRPr="006147BC">
        <w:t>July 2021 but on or before 31 December 2021 — the extension period is 2</w:t>
      </w:r>
      <w:r w:rsidR="00D8527D">
        <w:t xml:space="preserve"> </w:t>
      </w:r>
      <w:r w:rsidRPr="006147BC">
        <w:t>months from the expiry date</w:t>
      </w:r>
    </w:p>
    <w:p w14:paraId="51B4B488" w14:textId="01194A9E" w:rsidR="001E75B7" w:rsidRPr="006147BC" w:rsidRDefault="001E75B7" w:rsidP="00E078B1">
      <w:pPr>
        <w:pStyle w:val="BodyText"/>
        <w:numPr>
          <w:ilvl w:val="0"/>
          <w:numId w:val="17"/>
        </w:numPr>
      </w:pPr>
      <w:r w:rsidRPr="006147BC">
        <w:t>for a proficiency check that expires after 31 December 2021 but on or before 28</w:t>
      </w:r>
      <w:r w:rsidR="00D8527D">
        <w:t> </w:t>
      </w:r>
      <w:r w:rsidRPr="006147BC">
        <w:t xml:space="preserve">February 2022 — the extension period is 1 month from the expiry date. </w:t>
      </w:r>
    </w:p>
    <w:p w14:paraId="4236F3F8" w14:textId="77777777" w:rsidR="001E75B7" w:rsidRPr="006147BC" w:rsidRDefault="001E75B7" w:rsidP="001E75B7">
      <w:pPr>
        <w:pStyle w:val="BodyText"/>
      </w:pPr>
    </w:p>
    <w:p w14:paraId="0D8CF49D" w14:textId="425032FD" w:rsidR="00E078B1" w:rsidRPr="006147BC" w:rsidRDefault="001E75B7" w:rsidP="00ED271A">
      <w:pPr>
        <w:pStyle w:val="BodyText"/>
      </w:pPr>
      <w:r w:rsidRPr="006147BC">
        <w:t>However, if the pilot is conducting operations for an operator that has a safety risk management plan (</w:t>
      </w:r>
      <w:r w:rsidRPr="006147BC">
        <w:rPr>
          <w:b/>
          <w:bCs/>
          <w:i/>
          <w:iCs/>
        </w:rPr>
        <w:t>SRMP</w:t>
      </w:r>
      <w:r w:rsidRPr="006147BC">
        <w:t xml:space="preserve">), the extension period </w:t>
      </w:r>
      <w:r w:rsidR="00111147" w:rsidRPr="006147BC">
        <w:t xml:space="preserve">is </w:t>
      </w:r>
      <w:r w:rsidRPr="006147BC">
        <w:t>the end date in the SRMP or 31</w:t>
      </w:r>
      <w:r w:rsidR="00D8527D">
        <w:t> </w:t>
      </w:r>
      <w:r w:rsidRPr="006147BC">
        <w:t xml:space="preserve">March 2022, whichever occurs first. </w:t>
      </w:r>
    </w:p>
    <w:p w14:paraId="171F9FFD" w14:textId="77777777" w:rsidR="00E078B1" w:rsidRPr="006147BC" w:rsidRDefault="00E078B1" w:rsidP="00ED271A">
      <w:pPr>
        <w:pStyle w:val="BodyText"/>
      </w:pPr>
    </w:p>
    <w:p w14:paraId="5A7A4538" w14:textId="19C0F878" w:rsidR="00ED271A" w:rsidRPr="006147BC" w:rsidRDefault="001E75B7" w:rsidP="00ED271A">
      <w:pPr>
        <w:pStyle w:val="BodyText"/>
      </w:pPr>
      <w:r w:rsidRPr="006147BC">
        <w:t>A SRMP is a</w:t>
      </w:r>
      <w:r w:rsidR="00E078B1" w:rsidRPr="006147BC">
        <w:t>n</w:t>
      </w:r>
      <w:r w:rsidRPr="006147BC">
        <w:t xml:space="preserve"> operator</w:t>
      </w:r>
      <w:r w:rsidR="007275B9">
        <w:t>’s</w:t>
      </w:r>
      <w:r w:rsidRPr="006147BC">
        <w:t xml:space="preserve"> plan</w:t>
      </w:r>
      <w:r w:rsidR="00E078B1" w:rsidRPr="006147BC">
        <w:t>,</w:t>
      </w:r>
      <w:r w:rsidRPr="006147BC">
        <w:t xml:space="preserve"> approved in writing by CASA, that sets out the arrangements that operators, who have an approved training and checking organisation, must follow to enjoy the benefit of an extended exemption period. An SRMP extends an alleviation period up to 31 March 2022 and</w:t>
      </w:r>
      <w:r w:rsidR="00D8527D">
        <w:t>,</w:t>
      </w:r>
      <w:r w:rsidRPr="006147BC">
        <w:t xml:space="preserve"> as such</w:t>
      </w:r>
      <w:r w:rsidR="00D8527D">
        <w:t>,</w:t>
      </w:r>
      <w:r w:rsidRPr="006147BC">
        <w:t xml:space="preserve"> is considered by CASA to be an acceptable alternative method of achieving pilot proficiency outcomes that cannot be completed in the context of the COVID-19 pandemic.</w:t>
      </w:r>
    </w:p>
    <w:p w14:paraId="6591317B" w14:textId="77777777" w:rsidR="00ED271A" w:rsidRPr="006147BC" w:rsidRDefault="00ED271A" w:rsidP="00ED271A">
      <w:pPr>
        <w:pStyle w:val="BodyText"/>
      </w:pPr>
    </w:p>
    <w:p w14:paraId="2714AABE" w14:textId="62AE6C17" w:rsidR="00ED271A" w:rsidRPr="006147BC" w:rsidRDefault="00ED271A" w:rsidP="00ED271A">
      <w:pPr>
        <w:pStyle w:val="BodyText"/>
      </w:pPr>
      <w:r w:rsidRPr="006147BC">
        <w:t>Section 9 of the principal exemptions instrument had the effect of exempting operators with training and checking organisations from ensuring that</w:t>
      </w:r>
      <w:r w:rsidR="00503C74" w:rsidRPr="006147BC">
        <w:t>, as otherwise required by regulation 217 of CAR,</w:t>
      </w:r>
      <w:r w:rsidRPr="006147BC">
        <w:t xml:space="preserve"> their pilots undergo </w:t>
      </w:r>
      <w:r w:rsidRPr="006147BC">
        <w:rPr>
          <w:rFonts w:ascii="Times New Roman" w:hAnsi="Times New Roman"/>
        </w:rPr>
        <w:t xml:space="preserve">2 annual proficiency checks during the period that the pilots were taking </w:t>
      </w:r>
      <w:r w:rsidRPr="006147BC">
        <w:t xml:space="preserve">the benefit of another </w:t>
      </w:r>
      <w:r w:rsidRPr="006147BC">
        <w:rPr>
          <w:rFonts w:ascii="Times New Roman" w:hAnsi="Times New Roman"/>
        </w:rPr>
        <w:t xml:space="preserve">proficiency check </w:t>
      </w:r>
      <w:r w:rsidRPr="006147BC">
        <w:t>exemption in another provision of the instrument. This exemption</w:t>
      </w:r>
      <w:r w:rsidR="00503C74" w:rsidRPr="006147BC">
        <w:t xml:space="preserve"> was too narrow in scope and </w:t>
      </w:r>
      <w:r w:rsidRPr="006147BC">
        <w:t xml:space="preserve">is now modified to apply to a proficiency check that is required by regulation 217 of CAR, </w:t>
      </w:r>
      <w:r w:rsidR="00503C74" w:rsidRPr="006147BC">
        <w:t xml:space="preserve">but </w:t>
      </w:r>
      <w:r w:rsidRPr="006147BC">
        <w:t xml:space="preserve">not otherwise required by Part 61, </w:t>
      </w:r>
      <w:r w:rsidR="00503C74" w:rsidRPr="006147BC">
        <w:t xml:space="preserve">and </w:t>
      </w:r>
      <w:r w:rsidRPr="006147BC">
        <w:t xml:space="preserve">not the subject of an exemption under another section in the instrument, </w:t>
      </w:r>
      <w:r w:rsidR="00503C74" w:rsidRPr="006147BC">
        <w:t xml:space="preserve">provided the check </w:t>
      </w:r>
      <w:r w:rsidRPr="006147BC">
        <w:t>is covered by the operator’s SRMP.</w:t>
      </w:r>
    </w:p>
    <w:p w14:paraId="5875875E" w14:textId="2FD71943" w:rsidR="002B492F" w:rsidRPr="006147BC" w:rsidRDefault="002B492F" w:rsidP="00ED271A">
      <w:pPr>
        <w:pStyle w:val="BodyText"/>
      </w:pPr>
    </w:p>
    <w:p w14:paraId="08548287" w14:textId="544B5B4C" w:rsidR="00111147" w:rsidRPr="006147BC" w:rsidRDefault="002B492F" w:rsidP="002B492F">
      <w:pPr>
        <w:pStyle w:val="BodyText"/>
      </w:pPr>
      <w:r w:rsidRPr="006147BC">
        <w:t>New section 14 applies to NVIS pilots’ proficiency checks, and NVIS aircrew members’ NVIS CCFs</w:t>
      </w:r>
      <w:r w:rsidR="001C6A3E" w:rsidRPr="001C6A3E">
        <w:t xml:space="preserve"> </w:t>
      </w:r>
      <w:r w:rsidR="001C6A3E">
        <w:t>under CAO 82.6</w:t>
      </w:r>
      <w:r w:rsidRPr="006147BC">
        <w:t xml:space="preserve">, the same extensions as are described above. </w:t>
      </w:r>
    </w:p>
    <w:p w14:paraId="45F75577" w14:textId="77777777" w:rsidR="00111147" w:rsidRPr="006147BC" w:rsidRDefault="00111147" w:rsidP="002B492F">
      <w:pPr>
        <w:pStyle w:val="BodyText"/>
      </w:pPr>
    </w:p>
    <w:p w14:paraId="4D673A71" w14:textId="26C2FC7E" w:rsidR="00E078B1" w:rsidRPr="006147BC" w:rsidRDefault="002B492F" w:rsidP="002B492F">
      <w:pPr>
        <w:pStyle w:val="BodyText"/>
      </w:pPr>
      <w:r w:rsidRPr="006147BC">
        <w:t>Thus, for a NVIS proficiency check</w:t>
      </w:r>
      <w:r w:rsidR="00111147" w:rsidRPr="006147BC">
        <w:t xml:space="preserve"> that is in addition to, or at variance with, any such check required under Part 61 of CASR, and for an NVIS CCF,</w:t>
      </w:r>
      <w:r w:rsidRPr="006147BC">
        <w:t xml:space="preserve"> that</w:t>
      </w:r>
      <w:r w:rsidR="006B24A6" w:rsidRPr="006147BC">
        <w:t xml:space="preserve"> expires</w:t>
      </w:r>
      <w:r w:rsidR="00E078B1" w:rsidRPr="006147BC">
        <w:t>:</w:t>
      </w:r>
    </w:p>
    <w:p w14:paraId="425B79B6" w14:textId="1B08C965" w:rsidR="00E078B1" w:rsidRPr="006147BC" w:rsidRDefault="002B492F" w:rsidP="006B24A6">
      <w:pPr>
        <w:pStyle w:val="BodyText"/>
        <w:numPr>
          <w:ilvl w:val="0"/>
          <w:numId w:val="18"/>
        </w:numPr>
      </w:pPr>
      <w:r w:rsidRPr="006147BC">
        <w:t>after 31 July 2021 but on or before 31 December 2021 — the extension period is 2 months from the expiry date</w:t>
      </w:r>
    </w:p>
    <w:p w14:paraId="58A69423" w14:textId="77777777" w:rsidR="006B24A6" w:rsidRPr="006147BC" w:rsidRDefault="002B492F" w:rsidP="006B24A6">
      <w:pPr>
        <w:pStyle w:val="BodyText"/>
        <w:numPr>
          <w:ilvl w:val="0"/>
          <w:numId w:val="18"/>
        </w:numPr>
      </w:pPr>
      <w:r w:rsidRPr="006147BC">
        <w:t xml:space="preserve">after 31 December 2021 but on or before 28 February 2022 — the extension period is 1 month from the expiry date. </w:t>
      </w:r>
    </w:p>
    <w:p w14:paraId="218F8E0E" w14:textId="77777777" w:rsidR="006B24A6" w:rsidRPr="006147BC" w:rsidRDefault="006B24A6" w:rsidP="006B24A6">
      <w:pPr>
        <w:pStyle w:val="BodyText"/>
        <w:ind w:left="720"/>
      </w:pPr>
    </w:p>
    <w:p w14:paraId="337A85E0" w14:textId="098DD776" w:rsidR="00ED271A" w:rsidRPr="006147BC" w:rsidRDefault="002B492F" w:rsidP="006B24A6">
      <w:pPr>
        <w:pStyle w:val="BodyText"/>
      </w:pPr>
      <w:r w:rsidRPr="006147BC">
        <w:t>However, if the pilot is conducting operations for an operator that has a</w:t>
      </w:r>
      <w:r w:rsidR="00111147" w:rsidRPr="006147BC">
        <w:t>n</w:t>
      </w:r>
      <w:r w:rsidRPr="006147BC">
        <w:t xml:space="preserve"> SRMP</w:t>
      </w:r>
      <w:r w:rsidR="00111147" w:rsidRPr="006147BC">
        <w:t>,</w:t>
      </w:r>
      <w:r w:rsidRPr="006147BC">
        <w:t xml:space="preserve"> the extension period</w:t>
      </w:r>
      <w:r w:rsidR="00111147" w:rsidRPr="006147BC">
        <w:t xml:space="preserve"> is</w:t>
      </w:r>
      <w:r w:rsidRPr="006147BC">
        <w:t xml:space="preserve"> the end date in the SRMP or 31 March 2022, whichever occurs first.</w:t>
      </w:r>
    </w:p>
    <w:p w14:paraId="261993F4" w14:textId="0FA94814" w:rsidR="001E75B7" w:rsidRPr="006147BC" w:rsidRDefault="001E75B7" w:rsidP="001E75B7">
      <w:pPr>
        <w:pStyle w:val="BodyText"/>
      </w:pPr>
    </w:p>
    <w:p w14:paraId="63405164" w14:textId="45A5F69E" w:rsidR="005A2BDE" w:rsidRPr="006147BC" w:rsidRDefault="00246765" w:rsidP="005A2BDE">
      <w:pPr>
        <w:pStyle w:val="BodyText"/>
      </w:pPr>
      <w:r w:rsidRPr="006147BC">
        <w:t>New section 15</w:t>
      </w:r>
      <w:r w:rsidR="00540ADE" w:rsidRPr="006147BC">
        <w:t xml:space="preserve"> applies to the holder of an </w:t>
      </w:r>
      <w:r w:rsidR="000C7874">
        <w:t xml:space="preserve">ATC </w:t>
      </w:r>
      <w:r w:rsidR="00540ADE" w:rsidRPr="006147BC">
        <w:t>licence endorsed for certain duties for a particular aerodrome or in relation to particular airspace, and to the holder of a flight service licence similarly endorsed. These holder</w:t>
      </w:r>
      <w:r w:rsidR="005F17CB" w:rsidRPr="006147BC">
        <w:t>s</w:t>
      </w:r>
      <w:r w:rsidR="00540ADE" w:rsidRPr="006147BC">
        <w:t xml:space="preserve"> are required to mee</w:t>
      </w:r>
      <w:r w:rsidR="005A2BDE" w:rsidRPr="006147BC">
        <w:t>t</w:t>
      </w:r>
      <w:r w:rsidR="00540ADE" w:rsidRPr="006147BC">
        <w:t xml:space="preserve"> recency </w:t>
      </w:r>
      <w:r w:rsidR="00540ADE" w:rsidRPr="006147BC">
        <w:lastRenderedPageBreak/>
        <w:t>requirements</w:t>
      </w:r>
      <w:r w:rsidR="005A2BDE" w:rsidRPr="006147BC">
        <w:t xml:space="preserve"> based on 21-day cyclical performance, and currency requirements based on cyclical 6-monthly performance requirements. Without these, they are not authorised to carry out the relevant </w:t>
      </w:r>
      <w:r w:rsidR="000C7874">
        <w:t>ATC</w:t>
      </w:r>
      <w:r w:rsidR="005A2BDE" w:rsidRPr="006147BC">
        <w:t xml:space="preserve"> functions, and it would be an offence to do so. T</w:t>
      </w:r>
      <w:r w:rsidR="00540ADE" w:rsidRPr="006147BC">
        <w:t>he exemption applies the extent that the licence holder would commit an offence by failing, at a particular time, to satisfy</w:t>
      </w:r>
      <w:r w:rsidR="005A2BDE" w:rsidRPr="006147BC">
        <w:t xml:space="preserve"> the recency and currency requirements.</w:t>
      </w:r>
    </w:p>
    <w:p w14:paraId="72346CC4" w14:textId="77777777" w:rsidR="005A2BDE" w:rsidRPr="006147BC" w:rsidRDefault="005A2BDE" w:rsidP="005A2BDE">
      <w:pPr>
        <w:pStyle w:val="BodyText"/>
      </w:pPr>
    </w:p>
    <w:p w14:paraId="6169276D" w14:textId="0AF2E53E" w:rsidR="005A25ED" w:rsidRPr="006147BC" w:rsidRDefault="005A2BDE" w:rsidP="005A25ED">
      <w:pPr>
        <w:pStyle w:val="BodyText"/>
      </w:pPr>
      <w:r w:rsidRPr="006147BC">
        <w:t>The exemption applies</w:t>
      </w:r>
      <w:r w:rsidR="00540ADE" w:rsidRPr="006147BC">
        <w:t xml:space="preserve"> only if the licence holder</w:t>
      </w:r>
      <w:r w:rsidRPr="006147BC">
        <w:t xml:space="preserve"> </w:t>
      </w:r>
      <w:r w:rsidR="00540ADE" w:rsidRPr="006147BC">
        <w:t>is employed by Airservices Australia and</w:t>
      </w:r>
      <w:r w:rsidRPr="006147BC">
        <w:t xml:space="preserve"> </w:t>
      </w:r>
      <w:r w:rsidR="00540ADE" w:rsidRPr="006147BC">
        <w:t>was authorised to perform the duties on 1</w:t>
      </w:r>
      <w:r w:rsidRPr="006147BC">
        <w:t xml:space="preserve"> </w:t>
      </w:r>
      <w:r w:rsidR="00540ADE" w:rsidRPr="006147BC">
        <w:t>August 2021.</w:t>
      </w:r>
      <w:r w:rsidRPr="006147BC">
        <w:t xml:space="preserve"> </w:t>
      </w:r>
      <w:r w:rsidR="006B24A6" w:rsidRPr="006147BC">
        <w:t xml:space="preserve">By imposing conditions, </w:t>
      </w:r>
      <w:r w:rsidR="007275B9">
        <w:t>t</w:t>
      </w:r>
      <w:r w:rsidRPr="006147BC">
        <w:t>he</w:t>
      </w:r>
      <w:r w:rsidR="006B24A6" w:rsidRPr="006147BC">
        <w:t xml:space="preserve"> effect of the exemption is to</w:t>
      </w:r>
      <w:r w:rsidRPr="006147BC">
        <w:t xml:space="preserve"> extend the 21 days to 30 days and the 6 months to 9</w:t>
      </w:r>
      <w:r w:rsidR="006B24A6" w:rsidRPr="006147BC">
        <w:t> </w:t>
      </w:r>
      <w:r w:rsidRPr="006147BC">
        <w:t>months.</w:t>
      </w:r>
      <w:r w:rsidR="005A25ED" w:rsidRPr="006147BC">
        <w:t xml:space="preserve"> </w:t>
      </w:r>
    </w:p>
    <w:p w14:paraId="0433DC83" w14:textId="77777777" w:rsidR="005A25ED" w:rsidRPr="006147BC" w:rsidRDefault="005A25ED" w:rsidP="005A25ED">
      <w:pPr>
        <w:pStyle w:val="BodyText"/>
      </w:pPr>
    </w:p>
    <w:p w14:paraId="290A449A" w14:textId="1A1A762A" w:rsidR="005A25ED" w:rsidRPr="006147BC" w:rsidRDefault="005A25ED" w:rsidP="005A25ED">
      <w:pPr>
        <w:pStyle w:val="BodyText"/>
        <w:rPr>
          <w:rFonts w:ascii="Times New Roman" w:hAnsi="Times New Roman"/>
        </w:rPr>
      </w:pPr>
      <w:r w:rsidRPr="006147BC">
        <w:rPr>
          <w:rFonts w:ascii="Times New Roman" w:hAnsi="Times New Roman"/>
        </w:rPr>
        <w:t xml:space="preserve">Thus, under the exemption, these licence holders would satisfy their </w:t>
      </w:r>
      <w:r w:rsidRPr="006147BC">
        <w:rPr>
          <w:rFonts w:ascii="Times New Roman" w:hAnsi="Times New Roman"/>
          <w:b/>
          <w:bCs/>
        </w:rPr>
        <w:t>recency</w:t>
      </w:r>
      <w:r w:rsidRPr="006147BC">
        <w:rPr>
          <w:rFonts w:ascii="Times New Roman" w:hAnsi="Times New Roman"/>
        </w:rPr>
        <w:t xml:space="preserve"> requirement by performing relevant duties within the previous 30 days of last performance instead of the current 21 days. Under the exemptions, these licence holders would satisfy their </w:t>
      </w:r>
      <w:r w:rsidRPr="006147BC">
        <w:rPr>
          <w:rFonts w:ascii="Times New Roman" w:hAnsi="Times New Roman"/>
          <w:b/>
          <w:bCs/>
        </w:rPr>
        <w:t>currency</w:t>
      </w:r>
      <w:r w:rsidRPr="006147BC">
        <w:rPr>
          <w:rFonts w:ascii="Times New Roman" w:hAnsi="Times New Roman"/>
        </w:rPr>
        <w:t xml:space="preserve"> requirement by performing relevant functions within the previous 9 months rather than the previous 6 months.</w:t>
      </w:r>
    </w:p>
    <w:p w14:paraId="09F6968C" w14:textId="77777777" w:rsidR="005A25ED" w:rsidRPr="006147BC" w:rsidRDefault="005A25ED" w:rsidP="005A25ED">
      <w:pPr>
        <w:pStyle w:val="BodyText"/>
        <w:rPr>
          <w:rFonts w:ascii="Times New Roman" w:hAnsi="Times New Roman"/>
        </w:rPr>
      </w:pPr>
    </w:p>
    <w:p w14:paraId="53FA4117" w14:textId="77777777" w:rsidR="005A25ED" w:rsidRPr="006147BC" w:rsidRDefault="005A25ED" w:rsidP="005A25ED">
      <w:pPr>
        <w:pStyle w:val="BodyText"/>
        <w:rPr>
          <w:rFonts w:ascii="Times New Roman" w:hAnsi="Times New Roman"/>
        </w:rPr>
      </w:pPr>
      <w:r w:rsidRPr="006147BC">
        <w:rPr>
          <w:rFonts w:ascii="Times New Roman" w:hAnsi="Times New Roman"/>
        </w:rPr>
        <w:t>The exemptions also enable trainees to continue to be lawfully supervised by relevant licence holders who for recency and currency purposes take advantage of the exemptions.</w:t>
      </w:r>
    </w:p>
    <w:p w14:paraId="7B7AEDCC" w14:textId="77777777" w:rsidR="00540ADE" w:rsidRPr="006147BC" w:rsidRDefault="00540ADE" w:rsidP="001E75B7">
      <w:pPr>
        <w:pStyle w:val="BodyText"/>
      </w:pPr>
    </w:p>
    <w:p w14:paraId="1D3BC82D" w14:textId="235126D6" w:rsidR="00783ED7" w:rsidRPr="006147BC" w:rsidRDefault="002009EB" w:rsidP="00783ED7">
      <w:pPr>
        <w:pStyle w:val="BodyText"/>
      </w:pPr>
      <w:r w:rsidRPr="006147BC">
        <w:t>New</w:t>
      </w:r>
      <w:r w:rsidR="00783ED7" w:rsidRPr="006147BC">
        <w:t xml:space="preserve"> section 16</w:t>
      </w:r>
      <w:r w:rsidRPr="006147BC">
        <w:t xml:space="preserve"> deals with subsection 12 of </w:t>
      </w:r>
      <w:r w:rsidR="004E4A92">
        <w:t xml:space="preserve">CAO </w:t>
      </w:r>
      <w:r w:rsidRPr="006147BC">
        <w:t>20.11</w:t>
      </w:r>
      <w:r w:rsidR="005C7915" w:rsidRPr="006147BC">
        <w:t xml:space="preserve"> </w:t>
      </w:r>
      <w:r w:rsidRPr="006147BC">
        <w:t>under which</w:t>
      </w:r>
      <w:r w:rsidR="005C7915" w:rsidRPr="006147BC">
        <w:t xml:space="preserve"> a crew member shall not be assigned or accept assignment to emergency duties in an aircraft engaged in a charter or a regular public transport operation unless they have undertaken and passed a</w:t>
      </w:r>
      <w:r w:rsidR="006B24A6" w:rsidRPr="006147BC">
        <w:t>n annual</w:t>
      </w:r>
      <w:r w:rsidR="005C7915" w:rsidRPr="006147BC">
        <w:t xml:space="preserve"> proficiency test in emergency procedures on that type of aircraft. Under new section 16, such AOC holders and </w:t>
      </w:r>
      <w:r w:rsidR="00783ED7" w:rsidRPr="006147BC">
        <w:t>the</w:t>
      </w:r>
      <w:r w:rsidR="005C7915" w:rsidRPr="006147BC">
        <w:t>ir</w:t>
      </w:r>
      <w:r w:rsidR="00783ED7" w:rsidRPr="006147BC">
        <w:t xml:space="preserve"> relevant crew members are exempted from th</w:t>
      </w:r>
      <w:r w:rsidR="006B24A6" w:rsidRPr="006147BC">
        <w:t>is</w:t>
      </w:r>
      <w:r w:rsidR="00783ED7" w:rsidRPr="006147BC">
        <w:t xml:space="preserve"> requirement if the AOC holder has an SRMP which otherwise deals with proficiency in emergency procedures.</w:t>
      </w:r>
    </w:p>
    <w:p w14:paraId="05B663BC" w14:textId="411CC7DD" w:rsidR="00D21BB2" w:rsidRPr="006147BC" w:rsidRDefault="00D21BB2" w:rsidP="00783ED7">
      <w:pPr>
        <w:pStyle w:val="BodyText"/>
      </w:pPr>
    </w:p>
    <w:p w14:paraId="4852A640" w14:textId="18E29A25" w:rsidR="00D21BB2" w:rsidRPr="006147BC" w:rsidRDefault="006B24A6" w:rsidP="00D21BB2">
      <w:pPr>
        <w:pStyle w:val="BodyText"/>
      </w:pPr>
      <w:r w:rsidRPr="006147BC">
        <w:t>Other a</w:t>
      </w:r>
      <w:r w:rsidR="00D21BB2" w:rsidRPr="006147BC">
        <w:t>mendments</w:t>
      </w:r>
      <w:r w:rsidRPr="006147BC">
        <w:t>, made to</w:t>
      </w:r>
      <w:r w:rsidR="00D21BB2" w:rsidRPr="006147BC">
        <w:t xml:space="preserve"> section 4:</w:t>
      </w:r>
    </w:p>
    <w:p w14:paraId="41881FB7" w14:textId="7B4B92C4" w:rsidR="00D21BB2" w:rsidRPr="006147BC" w:rsidRDefault="00D21BB2" w:rsidP="00D21BB2">
      <w:pPr>
        <w:pStyle w:val="BodyText"/>
        <w:numPr>
          <w:ilvl w:val="0"/>
          <w:numId w:val="16"/>
        </w:numPr>
      </w:pPr>
      <w:r w:rsidRPr="006147BC">
        <w:t>add to the Application section persons covered by the new sections</w:t>
      </w:r>
      <w:r w:rsidR="006B24A6" w:rsidRPr="006147BC">
        <w:t xml:space="preserve"> mentioned above</w:t>
      </w:r>
    </w:p>
    <w:p w14:paraId="0AFEA5F6" w14:textId="1D4A5DCB" w:rsidR="00D21BB2" w:rsidRPr="006147BC" w:rsidRDefault="00D21BB2" w:rsidP="00D21BB2">
      <w:pPr>
        <w:pStyle w:val="BodyText"/>
        <w:numPr>
          <w:ilvl w:val="0"/>
          <w:numId w:val="16"/>
        </w:numPr>
      </w:pPr>
      <w:r w:rsidRPr="006147BC">
        <w:t xml:space="preserve">provide for the extra-territorial application of the principal </w:t>
      </w:r>
      <w:r w:rsidR="00E61E37">
        <w:t xml:space="preserve">exemptions </w:t>
      </w:r>
      <w:r w:rsidRPr="006147BC">
        <w:t>instrument if an operator has a relevant SRMP in relation to the exemption and the operation</w:t>
      </w:r>
    </w:p>
    <w:p w14:paraId="03D20AD7" w14:textId="48FD0080" w:rsidR="00783ED7" w:rsidRPr="006147BC" w:rsidRDefault="00D21BB2" w:rsidP="003C7BD5">
      <w:pPr>
        <w:pStyle w:val="BodyText"/>
        <w:numPr>
          <w:ilvl w:val="0"/>
          <w:numId w:val="16"/>
        </w:numPr>
      </w:pPr>
      <w:r w:rsidRPr="006147BC">
        <w:t xml:space="preserve">disapply </w:t>
      </w:r>
      <w:r w:rsidR="006B24A6" w:rsidRPr="006147BC">
        <w:t>an</w:t>
      </w:r>
      <w:r w:rsidRPr="006147BC">
        <w:t xml:space="preserve"> exemptions if a person fails to comply with any applicable requirements of their operator’s SRMP</w:t>
      </w:r>
      <w:r w:rsidR="006B24A6" w:rsidRPr="006147BC">
        <w:t xml:space="preserve"> that relates to that exemption</w:t>
      </w:r>
      <w:r w:rsidRPr="006147BC">
        <w:t>.</w:t>
      </w:r>
    </w:p>
    <w:p w14:paraId="2EF3EB78" w14:textId="7C5D29E0" w:rsidR="00BA2A63" w:rsidRPr="006147BC" w:rsidRDefault="00BA2A63" w:rsidP="001E7F3C">
      <w:pPr>
        <w:pStyle w:val="LDClause"/>
        <w:spacing w:before="0" w:after="0"/>
      </w:pPr>
    </w:p>
    <w:p w14:paraId="5736C871" w14:textId="1BD94831" w:rsidR="00D61249" w:rsidRPr="006147BC" w:rsidRDefault="00F445DE" w:rsidP="00D51583">
      <w:pPr>
        <w:pStyle w:val="LDBodytext"/>
        <w:rPr>
          <w:b/>
        </w:rPr>
      </w:pPr>
      <w:r w:rsidRPr="006147BC">
        <w:rPr>
          <w:b/>
          <w:i/>
        </w:rPr>
        <w:t>Legislation Act 2003</w:t>
      </w:r>
    </w:p>
    <w:p w14:paraId="0DA22CDE" w14:textId="79B346C1" w:rsidR="008A284A" w:rsidRPr="006147BC" w:rsidRDefault="00F15472" w:rsidP="00BC139D">
      <w:pPr>
        <w:pStyle w:val="BodyText"/>
        <w:rPr>
          <w:rFonts w:ascii="Times New Roman" w:hAnsi="Times New Roman"/>
        </w:rPr>
      </w:pPr>
      <w:r w:rsidRPr="006147BC">
        <w:rPr>
          <w:rFonts w:ascii="Times New Roman" w:hAnsi="Times New Roman"/>
        </w:rPr>
        <w:t>As noted above, exemptions under Subpart 11.F of CASR are “for subsection</w:t>
      </w:r>
      <w:r w:rsidR="009B2686">
        <w:rPr>
          <w:rFonts w:ascii="Times New Roman" w:hAnsi="Times New Roman"/>
        </w:rPr>
        <w:t xml:space="preserve"> </w:t>
      </w:r>
      <w:r w:rsidRPr="006147BC">
        <w:rPr>
          <w:rFonts w:ascii="Times New Roman" w:hAnsi="Times New Roman"/>
        </w:rPr>
        <w:t>98</w:t>
      </w:r>
      <w:r w:rsidR="0087565B" w:rsidRPr="006147BC">
        <w:rPr>
          <w:rFonts w:ascii="Times New Roman" w:hAnsi="Times New Roman"/>
        </w:rPr>
        <w:t> </w:t>
      </w:r>
      <w:r w:rsidRPr="006147BC">
        <w:rPr>
          <w:rFonts w:ascii="Times New Roman" w:hAnsi="Times New Roman"/>
        </w:rPr>
        <w:t>(5A)”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131FC1E0" w14:textId="77777777" w:rsidR="008A284A" w:rsidRPr="006147BC" w:rsidRDefault="008A284A" w:rsidP="00BC139D">
      <w:pPr>
        <w:pStyle w:val="BodyText"/>
        <w:rPr>
          <w:rFonts w:ascii="Times New Roman" w:hAnsi="Times New Roman"/>
        </w:rPr>
      </w:pPr>
    </w:p>
    <w:p w14:paraId="3C89F8E5" w14:textId="6E421812" w:rsidR="008A284A" w:rsidRPr="006147BC" w:rsidRDefault="00F15472" w:rsidP="00BC139D">
      <w:pPr>
        <w:pStyle w:val="BodyText"/>
        <w:rPr>
          <w:rFonts w:ascii="Times New Roman" w:hAnsi="Times New Roman"/>
        </w:rPr>
      </w:pPr>
      <w:r w:rsidRPr="006147BC">
        <w:rPr>
          <w:rFonts w:ascii="Times New Roman" w:hAnsi="Times New Roman"/>
        </w:rPr>
        <w:t xml:space="preserve">The </w:t>
      </w:r>
      <w:r w:rsidR="00E81077" w:rsidRPr="006147BC">
        <w:rPr>
          <w:iCs/>
        </w:rPr>
        <w:t>exemptions amendment instrument</w:t>
      </w:r>
      <w:r w:rsidR="00E81077" w:rsidRPr="006147BC">
        <w:rPr>
          <w:rFonts w:ascii="Times New Roman" w:hAnsi="Times New Roman"/>
        </w:rPr>
        <w:t xml:space="preserve"> </w:t>
      </w:r>
      <w:r w:rsidRPr="006147BC">
        <w:rPr>
          <w:rFonts w:ascii="Times New Roman" w:hAnsi="Times New Roman"/>
        </w:rPr>
        <w:t>is clearly one in relation to matters affecting the safe navigation and operation of aircraft. Under subsection 98</w:t>
      </w:r>
      <w:r w:rsidR="003F6830" w:rsidRPr="006147BC">
        <w:rPr>
          <w:rFonts w:ascii="Times New Roman" w:hAnsi="Times New Roman"/>
        </w:rPr>
        <w:t> </w:t>
      </w:r>
      <w:r w:rsidRPr="006147BC">
        <w:rPr>
          <w:rFonts w:ascii="Times New Roman" w:hAnsi="Times New Roman"/>
        </w:rPr>
        <w:t>(5AA) of the Act, an exemption issued under paragraph 98</w:t>
      </w:r>
      <w:r w:rsidR="003F6830" w:rsidRPr="006147BC">
        <w:rPr>
          <w:rFonts w:ascii="Times New Roman" w:hAnsi="Times New Roman"/>
        </w:rPr>
        <w:t> </w:t>
      </w:r>
      <w:r w:rsidRPr="006147BC">
        <w:rPr>
          <w:rFonts w:ascii="Times New Roman" w:hAnsi="Times New Roman"/>
        </w:rPr>
        <w:t>(5A)</w:t>
      </w:r>
      <w:r w:rsidR="003F6830" w:rsidRPr="006147BC">
        <w:rPr>
          <w:rFonts w:ascii="Times New Roman" w:hAnsi="Times New Roman"/>
        </w:rPr>
        <w:t> </w:t>
      </w:r>
      <w:r w:rsidRPr="006147BC">
        <w:rPr>
          <w:rFonts w:ascii="Times New Roman" w:hAnsi="Times New Roman"/>
        </w:rPr>
        <w:t>(a), for such matters, is a legislative instrument if expressed to apply in relation to a class of persons, a class of aircraft or a class of aeronautical products (as distinct f</w:t>
      </w:r>
      <w:r w:rsidR="0016073F" w:rsidRPr="006147BC">
        <w:rPr>
          <w:rFonts w:ascii="Times New Roman" w:hAnsi="Times New Roman"/>
        </w:rPr>
        <w:t>r</w:t>
      </w:r>
      <w:r w:rsidRPr="006147BC">
        <w:rPr>
          <w:rFonts w:ascii="Times New Roman" w:hAnsi="Times New Roman"/>
        </w:rPr>
        <w:t>om a particula</w:t>
      </w:r>
      <w:r w:rsidR="00F5444A" w:rsidRPr="006147BC">
        <w:rPr>
          <w:rFonts w:ascii="Times New Roman" w:hAnsi="Times New Roman"/>
        </w:rPr>
        <w:t>r person, aircraft or product).</w:t>
      </w:r>
    </w:p>
    <w:p w14:paraId="68463858" w14:textId="77777777" w:rsidR="008A284A" w:rsidRPr="006147BC" w:rsidRDefault="008A284A" w:rsidP="00BC139D">
      <w:pPr>
        <w:pStyle w:val="BodyText"/>
        <w:rPr>
          <w:rFonts w:ascii="Times New Roman" w:hAnsi="Times New Roman"/>
        </w:rPr>
      </w:pPr>
    </w:p>
    <w:p w14:paraId="50A15B79" w14:textId="6DAE5AD6" w:rsidR="003C7BD5" w:rsidRPr="003C7BD5" w:rsidRDefault="00F15472" w:rsidP="00BC139D">
      <w:pPr>
        <w:pStyle w:val="BodyText"/>
        <w:rPr>
          <w:rFonts w:ascii="Times New Roman" w:hAnsi="Times New Roman"/>
          <w:iCs/>
        </w:rPr>
      </w:pPr>
      <w:r w:rsidRPr="006147BC">
        <w:rPr>
          <w:rFonts w:ascii="Times New Roman" w:hAnsi="Times New Roman"/>
        </w:rPr>
        <w:lastRenderedPageBreak/>
        <w:t xml:space="preserve">The </w:t>
      </w:r>
      <w:r w:rsidR="00E81077" w:rsidRPr="006147BC">
        <w:rPr>
          <w:iCs/>
        </w:rPr>
        <w:t>exemptions amendment instrument</w:t>
      </w:r>
      <w:r w:rsidRPr="006147BC">
        <w:rPr>
          <w:rFonts w:ascii="Times New Roman" w:hAnsi="Times New Roman"/>
        </w:rPr>
        <w:t xml:space="preserve"> applies to </w:t>
      </w:r>
      <w:r w:rsidR="00F742BA" w:rsidRPr="006147BC">
        <w:rPr>
          <w:rFonts w:ascii="Times New Roman" w:hAnsi="Times New Roman"/>
        </w:rPr>
        <w:t>various</w:t>
      </w:r>
      <w:r w:rsidR="009E3D72" w:rsidRPr="006147BC">
        <w:rPr>
          <w:rFonts w:ascii="Times New Roman" w:hAnsi="Times New Roman"/>
        </w:rPr>
        <w:t xml:space="preserve"> </w:t>
      </w:r>
      <w:r w:rsidRPr="006147BC">
        <w:rPr>
          <w:rFonts w:ascii="Times New Roman" w:hAnsi="Times New Roman"/>
        </w:rPr>
        <w:t>class</w:t>
      </w:r>
      <w:r w:rsidR="00F742BA" w:rsidRPr="006147BC">
        <w:rPr>
          <w:rFonts w:ascii="Times New Roman" w:hAnsi="Times New Roman"/>
        </w:rPr>
        <w:t>es</w:t>
      </w:r>
      <w:r w:rsidRPr="006147BC">
        <w:rPr>
          <w:rFonts w:ascii="Times New Roman" w:hAnsi="Times New Roman"/>
        </w:rPr>
        <w:t xml:space="preserve"> of persons and is, therefore, a legislative instrument </w:t>
      </w:r>
      <w:r w:rsidRPr="006147BC">
        <w:rPr>
          <w:rFonts w:ascii="Times New Roman" w:hAnsi="Times New Roman"/>
          <w:iCs/>
        </w:rPr>
        <w:t xml:space="preserve">subject to registration, and tabling and disallowance in the Parliament, under sections </w:t>
      </w:r>
      <w:r w:rsidR="009D50CE" w:rsidRPr="006147BC">
        <w:rPr>
          <w:rFonts w:ascii="Times New Roman" w:hAnsi="Times New Roman"/>
          <w:iCs/>
        </w:rPr>
        <w:t>15G</w:t>
      </w:r>
      <w:r w:rsidRPr="006147BC">
        <w:rPr>
          <w:rFonts w:ascii="Times New Roman" w:hAnsi="Times New Roman"/>
          <w:iCs/>
        </w:rPr>
        <w:t>, and 38 and 42</w:t>
      </w:r>
      <w:r w:rsidR="009D50CE" w:rsidRPr="006147BC">
        <w:rPr>
          <w:rFonts w:ascii="Times New Roman" w:hAnsi="Times New Roman"/>
          <w:iCs/>
        </w:rPr>
        <w:t xml:space="preserve">, </w:t>
      </w:r>
      <w:r w:rsidRPr="006147BC">
        <w:rPr>
          <w:rFonts w:ascii="Times New Roman" w:hAnsi="Times New Roman"/>
          <w:iCs/>
        </w:rPr>
        <w:t>of the</w:t>
      </w:r>
      <w:r w:rsidR="007C3996" w:rsidRPr="006147BC">
        <w:rPr>
          <w:rFonts w:ascii="Times New Roman" w:hAnsi="Times New Roman"/>
          <w:iCs/>
        </w:rPr>
        <w:t xml:space="preserve"> </w:t>
      </w:r>
      <w:r w:rsidR="007C3996" w:rsidRPr="003C7BD5">
        <w:rPr>
          <w:rFonts w:ascii="Times New Roman" w:hAnsi="Times New Roman"/>
          <w:i/>
        </w:rPr>
        <w:t>L</w:t>
      </w:r>
      <w:r w:rsidR="003C7BD5" w:rsidRPr="003C7BD5">
        <w:rPr>
          <w:rFonts w:ascii="Times New Roman" w:hAnsi="Times New Roman"/>
          <w:i/>
        </w:rPr>
        <w:t>egislation Act 2003</w:t>
      </w:r>
      <w:r w:rsidR="003C7BD5" w:rsidRPr="003C7BD5">
        <w:rPr>
          <w:rFonts w:ascii="Times New Roman" w:hAnsi="Times New Roman"/>
          <w:iCs/>
        </w:rPr>
        <w:t>.</w:t>
      </w:r>
    </w:p>
    <w:p w14:paraId="0680E055" w14:textId="54DFC657" w:rsidR="00F15472" w:rsidRDefault="00F15472" w:rsidP="00BC139D">
      <w:pPr>
        <w:pStyle w:val="BodyText"/>
        <w:rPr>
          <w:rFonts w:ascii="Times New Roman" w:hAnsi="Times New Roman"/>
        </w:rPr>
      </w:pPr>
    </w:p>
    <w:p w14:paraId="452711BB" w14:textId="77777777" w:rsidR="003C7BD5" w:rsidRPr="006147BC" w:rsidRDefault="003C7BD5" w:rsidP="003C7BD5">
      <w:pPr>
        <w:pStyle w:val="BodyText"/>
        <w:rPr>
          <w:b/>
          <w:bCs/>
        </w:rPr>
      </w:pPr>
      <w:r w:rsidRPr="003C7BD5">
        <w:rPr>
          <w:b/>
          <w:bCs/>
        </w:rPr>
        <w:t>Not the same in substance as</w:t>
      </w:r>
      <w:r>
        <w:rPr>
          <w:b/>
          <w:bCs/>
        </w:rPr>
        <w:t xml:space="preserve"> the principal exemptions instrument</w:t>
      </w:r>
    </w:p>
    <w:p w14:paraId="06E00968" w14:textId="77777777" w:rsidR="003C7BD5" w:rsidRPr="006147BC" w:rsidRDefault="003C7BD5" w:rsidP="003C7BD5">
      <w:pPr>
        <w:pStyle w:val="BodyText"/>
        <w:rPr>
          <w:iCs/>
        </w:rPr>
      </w:pPr>
      <w:r w:rsidRPr="006147BC">
        <w:rPr>
          <w:iCs/>
        </w:rPr>
        <w:t>The principal exemptions instrument was made on 29 July 2021, registered on 3 August 2021 and tabled in the House of Representatives and the Senate on 3 August 2021. It was not, at the time of making, the subject of a disallowance motion in either House.</w:t>
      </w:r>
    </w:p>
    <w:p w14:paraId="5BD57F6B" w14:textId="77777777" w:rsidR="003C7BD5" w:rsidRPr="006147BC" w:rsidRDefault="003C7BD5" w:rsidP="003C7BD5">
      <w:pPr>
        <w:pStyle w:val="BodyText"/>
        <w:rPr>
          <w:iCs/>
        </w:rPr>
      </w:pPr>
    </w:p>
    <w:p w14:paraId="28862542" w14:textId="785B7ECA" w:rsidR="003C7BD5" w:rsidRPr="006147BC" w:rsidRDefault="003C7BD5" w:rsidP="003C7BD5">
      <w:pPr>
        <w:pStyle w:val="BodyText"/>
        <w:rPr>
          <w:iCs/>
        </w:rPr>
      </w:pPr>
      <w:r w:rsidRPr="006147BC">
        <w:rPr>
          <w:iCs/>
        </w:rPr>
        <w:t xml:space="preserve">For certain circumstances, the </w:t>
      </w:r>
      <w:r w:rsidRPr="006147BC">
        <w:rPr>
          <w:i/>
        </w:rPr>
        <w:t xml:space="preserve">Legislation Act </w:t>
      </w:r>
      <w:r w:rsidRPr="000E5ABF">
        <w:rPr>
          <w:i/>
          <w:iCs/>
        </w:rPr>
        <w:t>2003</w:t>
      </w:r>
      <w:r>
        <w:rPr>
          <w:i/>
          <w:iCs/>
        </w:rPr>
        <w:t xml:space="preserve"> </w:t>
      </w:r>
      <w:r w:rsidRPr="003C7BD5">
        <w:t xml:space="preserve">(the </w:t>
      </w:r>
      <w:r w:rsidRPr="003C7BD5">
        <w:rPr>
          <w:b/>
          <w:bCs/>
          <w:i/>
          <w:iCs/>
        </w:rPr>
        <w:t>LA</w:t>
      </w:r>
      <w:r w:rsidRPr="003C7BD5">
        <w:t>)</w:t>
      </w:r>
      <w:r>
        <w:rPr>
          <w:b/>
        </w:rPr>
        <w:t xml:space="preserve"> </w:t>
      </w:r>
      <w:r w:rsidRPr="006147BC">
        <w:rPr>
          <w:iCs/>
        </w:rPr>
        <w:t xml:space="preserve">contains prohibitions on making a legislative instrument that is the same in substance as a previous legislative instrument. The exemptions amendment instrument is not “the same in substance as” the principal exemptions instrument. </w:t>
      </w:r>
    </w:p>
    <w:p w14:paraId="3D501258" w14:textId="77777777" w:rsidR="003C7BD5" w:rsidRPr="006147BC" w:rsidRDefault="003C7BD5" w:rsidP="003C7BD5">
      <w:pPr>
        <w:pStyle w:val="BodyText"/>
        <w:rPr>
          <w:iCs/>
        </w:rPr>
      </w:pPr>
    </w:p>
    <w:p w14:paraId="43378CF3" w14:textId="691C08BC" w:rsidR="003C7BD5" w:rsidRPr="006147BC" w:rsidRDefault="003C7BD5" w:rsidP="00BC139D">
      <w:pPr>
        <w:pStyle w:val="BodyText"/>
        <w:rPr>
          <w:rFonts w:ascii="Times New Roman" w:hAnsi="Times New Roman"/>
        </w:rPr>
      </w:pPr>
      <w:r w:rsidRPr="006147BC">
        <w:rPr>
          <w:iCs/>
        </w:rPr>
        <w:t>Instead it adds new relief measures without affecting the existing measures other than to extend their duration. Consequently</w:t>
      </w:r>
      <w:r>
        <w:rPr>
          <w:iCs/>
        </w:rPr>
        <w:t>,</w:t>
      </w:r>
      <w:r w:rsidRPr="006147BC">
        <w:rPr>
          <w:iCs/>
        </w:rPr>
        <w:t xml:space="preserve"> neither section 46 (</w:t>
      </w:r>
      <w:r w:rsidRPr="006147BC">
        <w:t>Legislative instruments not to be remade while required to be tabled), section</w:t>
      </w:r>
      <w:r w:rsidRPr="006147BC">
        <w:rPr>
          <w:iCs/>
        </w:rPr>
        <w:t xml:space="preserve"> 47 (</w:t>
      </w:r>
      <w:r w:rsidRPr="006147BC">
        <w:t>Legislative instruments not to be remade while subject to disallowance), nor section</w:t>
      </w:r>
      <w:r w:rsidRPr="006147BC">
        <w:rPr>
          <w:iCs/>
        </w:rPr>
        <w:t xml:space="preserve"> 48 (</w:t>
      </w:r>
      <w:r w:rsidRPr="006147BC">
        <w:t>Remaking disallowed legislative instruments)</w:t>
      </w:r>
      <w:r w:rsidRPr="006147BC">
        <w:rPr>
          <w:iCs/>
        </w:rPr>
        <w:t xml:space="preserve"> of the</w:t>
      </w:r>
      <w:r>
        <w:rPr>
          <w:iCs/>
        </w:rPr>
        <w:t xml:space="preserve"> LA</w:t>
      </w:r>
      <w:r w:rsidRPr="006147BC">
        <w:rPr>
          <w:iCs/>
        </w:rPr>
        <w:t xml:space="preserve"> are enlivened to affect the making of the exemptions amendment instrument.</w:t>
      </w:r>
    </w:p>
    <w:p w14:paraId="192ACA70" w14:textId="77777777" w:rsidR="0095042D" w:rsidRPr="00C76DC6" w:rsidRDefault="0095042D" w:rsidP="00C76DC6">
      <w:pPr>
        <w:pStyle w:val="BodyText"/>
        <w:rPr>
          <w:rFonts w:ascii="Times New Roman" w:hAnsi="Times New Roman"/>
        </w:rPr>
      </w:pPr>
    </w:p>
    <w:p w14:paraId="19A4EEF3" w14:textId="77777777" w:rsidR="00487302" w:rsidRPr="006147BC" w:rsidRDefault="00487302" w:rsidP="00BC139D">
      <w:pPr>
        <w:pStyle w:val="LDBodytext"/>
        <w:keepNext/>
        <w:rPr>
          <w:b/>
        </w:rPr>
      </w:pPr>
      <w:r w:rsidRPr="006147BC">
        <w:rPr>
          <w:b/>
        </w:rPr>
        <w:t>Consultation</w:t>
      </w:r>
    </w:p>
    <w:p w14:paraId="3EB616CE" w14:textId="77777777" w:rsidR="00221CE9" w:rsidRPr="006147BC" w:rsidRDefault="00487302" w:rsidP="00BC139D">
      <w:pPr>
        <w:pStyle w:val="BodyText"/>
        <w:rPr>
          <w:rFonts w:ascii="Times New Roman" w:hAnsi="Times New Roman"/>
        </w:rPr>
      </w:pPr>
      <w:r w:rsidRPr="006147BC">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00014B80" w:rsidRPr="006147BC">
        <w:rPr>
          <w:rFonts w:ascii="Times New Roman" w:hAnsi="Times New Roman"/>
        </w:rPr>
        <w:t>, where possible,</w:t>
      </w:r>
      <w:r w:rsidRPr="006147BC">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0CD2D96B" w14:textId="77777777" w:rsidR="00221CE9" w:rsidRPr="006147BC" w:rsidRDefault="00221CE9" w:rsidP="00BC139D">
      <w:pPr>
        <w:pStyle w:val="BodyText"/>
        <w:rPr>
          <w:rFonts w:ascii="Times New Roman" w:hAnsi="Times New Roman"/>
        </w:rPr>
      </w:pPr>
    </w:p>
    <w:p w14:paraId="5C4964EB" w14:textId="77777777" w:rsidR="00221CE9" w:rsidRPr="006147BC" w:rsidRDefault="003646F4" w:rsidP="00BC139D">
      <w:pPr>
        <w:pStyle w:val="BodyText"/>
        <w:rPr>
          <w:rFonts w:ascii="Times New Roman" w:hAnsi="Times New Roman"/>
        </w:rPr>
      </w:pPr>
      <w:r w:rsidRPr="006147BC">
        <w:rPr>
          <w:rFonts w:ascii="Times New Roman" w:hAnsi="Times New Roman"/>
        </w:rPr>
        <w:t>The exceptions to this are when matters are urgent, and when CASA considers that the relevant state of affairs as well as informal feedback suggests that consultation would add little if anything to the proposed solution but would delay its promulgation to those who need to plan to take advantage of it.</w:t>
      </w:r>
    </w:p>
    <w:p w14:paraId="608FC2C0" w14:textId="77777777" w:rsidR="00221CE9" w:rsidRPr="006147BC" w:rsidRDefault="00221CE9" w:rsidP="00BC139D">
      <w:pPr>
        <w:pStyle w:val="BodyText"/>
        <w:rPr>
          <w:rFonts w:ascii="Times New Roman" w:hAnsi="Times New Roman"/>
        </w:rPr>
      </w:pPr>
    </w:p>
    <w:p w14:paraId="5FCEF58C" w14:textId="27C8E886" w:rsidR="00014B80" w:rsidRPr="006147BC" w:rsidRDefault="003646F4" w:rsidP="00BC139D">
      <w:pPr>
        <w:pStyle w:val="BodyText"/>
      </w:pPr>
      <w:r w:rsidRPr="006147BC">
        <w:t xml:space="preserve">In this case, CASA considers that no consultation is required because of the necessity to </w:t>
      </w:r>
      <w:r w:rsidR="00014B80" w:rsidRPr="006147BC">
        <w:t xml:space="preserve">make and register the </w:t>
      </w:r>
      <w:r w:rsidR="00E81077" w:rsidRPr="006147BC">
        <w:rPr>
          <w:iCs/>
        </w:rPr>
        <w:t>exemptions amendment instrument</w:t>
      </w:r>
      <w:r w:rsidR="00E81077" w:rsidRPr="006147BC">
        <w:t xml:space="preserve"> </w:t>
      </w:r>
      <w:r w:rsidR="00014B80" w:rsidRPr="006147BC">
        <w:t xml:space="preserve">as a matter of urgency in the present circumstances of the COVID-19 </w:t>
      </w:r>
      <w:r w:rsidR="00F742BA" w:rsidRPr="006147BC">
        <w:t>related lockdowns</w:t>
      </w:r>
      <w:r w:rsidR="00014B80" w:rsidRPr="006147BC">
        <w:t xml:space="preserve"> so that those in the aviation industry who are affected know as soon as possible where they stand and that relief has been provided for certain time</w:t>
      </w:r>
      <w:r w:rsidR="007E5BC0" w:rsidRPr="006147BC">
        <w:t>-</w:t>
      </w:r>
      <w:r w:rsidR="00014B80" w:rsidRPr="006147BC">
        <w:t>based obligations.</w:t>
      </w:r>
    </w:p>
    <w:p w14:paraId="56EEACAD" w14:textId="77777777" w:rsidR="00F742BA" w:rsidRPr="00C76DC6" w:rsidRDefault="00F742BA" w:rsidP="00C76DC6">
      <w:pPr>
        <w:pStyle w:val="BodyText"/>
        <w:rPr>
          <w:rFonts w:ascii="Times New Roman" w:hAnsi="Times New Roman"/>
        </w:rPr>
      </w:pPr>
    </w:p>
    <w:p w14:paraId="322B04EE" w14:textId="77777777" w:rsidR="00196951" w:rsidRPr="006147BC" w:rsidRDefault="00196951" w:rsidP="00F5042E">
      <w:pPr>
        <w:pStyle w:val="LDBodytext"/>
        <w:keepNext/>
        <w:rPr>
          <w:b/>
        </w:rPr>
      </w:pPr>
      <w:r w:rsidRPr="006147BC">
        <w:rPr>
          <w:b/>
        </w:rPr>
        <w:t>Office of Best Practice Regulation (</w:t>
      </w:r>
      <w:r w:rsidRPr="006147BC">
        <w:rPr>
          <w:b/>
          <w:i/>
        </w:rPr>
        <w:t>OBPR</w:t>
      </w:r>
      <w:r w:rsidRPr="006147BC">
        <w:rPr>
          <w:b/>
        </w:rPr>
        <w:t>)</w:t>
      </w:r>
    </w:p>
    <w:p w14:paraId="3768FD19" w14:textId="0294BBE8" w:rsidR="00196951" w:rsidRPr="006147BC" w:rsidRDefault="00196951" w:rsidP="00196951">
      <w:pPr>
        <w:pStyle w:val="LDBodytext"/>
      </w:pPr>
      <w:r w:rsidRPr="006147BC">
        <w:t>A Regulation Impact Statement (</w:t>
      </w:r>
      <w:r w:rsidRPr="006147BC">
        <w:rPr>
          <w:b/>
          <w:i/>
        </w:rPr>
        <w:t>RIS</w:t>
      </w:r>
      <w:r w:rsidRPr="006147BC">
        <w:t xml:space="preserve">) is not required because the </w:t>
      </w:r>
      <w:r w:rsidR="00E81077" w:rsidRPr="006147BC">
        <w:rPr>
          <w:iCs/>
        </w:rPr>
        <w:t>exemptions amendment instrument</w:t>
      </w:r>
      <w:r w:rsidR="00E81077" w:rsidRPr="006147BC">
        <w:t xml:space="preserve"> </w:t>
      </w:r>
      <w:r w:rsidRPr="006147BC">
        <w:t>is covered by a standing agreement between CASA and OBPR under which a RIS is not required for an exemption (OBPR id: 14507).</w:t>
      </w:r>
    </w:p>
    <w:p w14:paraId="51C26B5E" w14:textId="77777777" w:rsidR="00196951" w:rsidRPr="00C76DC6" w:rsidRDefault="00196951" w:rsidP="00C76DC6">
      <w:pPr>
        <w:pStyle w:val="BodyText"/>
        <w:rPr>
          <w:rFonts w:ascii="Times New Roman" w:hAnsi="Times New Roman"/>
        </w:rPr>
      </w:pPr>
    </w:p>
    <w:p w14:paraId="0DF3664E" w14:textId="77777777" w:rsidR="008752A7" w:rsidRPr="006147BC" w:rsidRDefault="008752A7" w:rsidP="008752A7">
      <w:pPr>
        <w:pStyle w:val="LDBodytext"/>
        <w:keepNext/>
        <w:rPr>
          <w:b/>
        </w:rPr>
      </w:pPr>
      <w:bookmarkStart w:id="1" w:name="_Hlk39478253"/>
      <w:r w:rsidRPr="006147BC">
        <w:rPr>
          <w:b/>
        </w:rPr>
        <w:t>Statement of Compatibility with Human Rights</w:t>
      </w:r>
    </w:p>
    <w:p w14:paraId="4DA871E3" w14:textId="003AFF67" w:rsidR="008752A7" w:rsidRPr="006147BC" w:rsidRDefault="008752A7" w:rsidP="008752A7">
      <w:pPr>
        <w:pStyle w:val="Default"/>
        <w:rPr>
          <w:color w:val="auto"/>
        </w:rPr>
      </w:pPr>
      <w:r w:rsidRPr="006147BC">
        <w:rPr>
          <w:iCs/>
          <w:color w:val="auto"/>
        </w:rPr>
        <w:t xml:space="preserve">The Statement in Appendix 1 is prepared in accordance with Part 3 of the </w:t>
      </w:r>
      <w:r w:rsidRPr="006147BC">
        <w:rPr>
          <w:i/>
          <w:iCs/>
          <w:color w:val="auto"/>
        </w:rPr>
        <w:t>Human Rights (Parliamentary Scrutiny) Act 2011</w:t>
      </w:r>
      <w:r w:rsidRPr="006147BC">
        <w:rPr>
          <w:iCs/>
          <w:color w:val="auto"/>
        </w:rPr>
        <w:t xml:space="preserve">. </w:t>
      </w:r>
      <w:r w:rsidRPr="006147BC">
        <w:rPr>
          <w:color w:val="auto"/>
        </w:rPr>
        <w:t xml:space="preserve">The </w:t>
      </w:r>
      <w:r w:rsidR="00E81077" w:rsidRPr="006147BC">
        <w:rPr>
          <w:iCs/>
          <w:color w:val="auto"/>
        </w:rPr>
        <w:t>exemptions amendment instrument</w:t>
      </w:r>
      <w:r w:rsidR="00E81077" w:rsidRPr="006147BC">
        <w:rPr>
          <w:color w:val="auto"/>
        </w:rPr>
        <w:t xml:space="preserve"> </w:t>
      </w:r>
      <w:r w:rsidRPr="006147BC">
        <w:rPr>
          <w:color w:val="auto"/>
        </w:rPr>
        <w:t>is compatible with human rights and, to the extent that it engages certain rights, it does so in a way that, in the context of the COVID-19 pandemic, as far as practicable, promotes rather than limits those rights.</w:t>
      </w:r>
    </w:p>
    <w:bookmarkEnd w:id="1"/>
    <w:p w14:paraId="2AC91A4E" w14:textId="0A271C58" w:rsidR="00F15472" w:rsidRPr="006147BC" w:rsidRDefault="00F15472" w:rsidP="005F3EDA">
      <w:pPr>
        <w:pStyle w:val="LDBodytext"/>
        <w:keepNext/>
        <w:rPr>
          <w:b/>
        </w:rPr>
      </w:pPr>
      <w:r w:rsidRPr="006147BC">
        <w:rPr>
          <w:b/>
        </w:rPr>
        <w:lastRenderedPageBreak/>
        <w:t>Commencement and makin</w:t>
      </w:r>
      <w:r w:rsidR="00E81077" w:rsidRPr="006147BC">
        <w:rPr>
          <w:b/>
        </w:rPr>
        <w:t>g</w:t>
      </w:r>
    </w:p>
    <w:p w14:paraId="0002E1A8" w14:textId="2989ECF3" w:rsidR="00F15472" w:rsidRPr="006147BC" w:rsidRDefault="00F15472" w:rsidP="001C6A4E">
      <w:pPr>
        <w:pStyle w:val="LDMinuteParagraph"/>
        <w:spacing w:after="0"/>
        <w:ind w:right="-142"/>
        <w:rPr>
          <w:rFonts w:ascii="Times New Roman" w:hAnsi="Times New Roman"/>
          <w:szCs w:val="24"/>
        </w:rPr>
      </w:pPr>
      <w:r w:rsidRPr="006147BC">
        <w:rPr>
          <w:rFonts w:ascii="Times New Roman" w:hAnsi="Times New Roman"/>
          <w:szCs w:val="24"/>
        </w:rPr>
        <w:t xml:space="preserve">The </w:t>
      </w:r>
      <w:r w:rsidR="00E81077" w:rsidRPr="006147BC">
        <w:rPr>
          <w:iCs/>
        </w:rPr>
        <w:t>exemptions amendment instrument</w:t>
      </w:r>
      <w:r w:rsidR="00E81077" w:rsidRPr="006147BC">
        <w:rPr>
          <w:rFonts w:ascii="Times New Roman" w:hAnsi="Times New Roman"/>
          <w:szCs w:val="24"/>
        </w:rPr>
        <w:t xml:space="preserve"> </w:t>
      </w:r>
      <w:r w:rsidRPr="006147BC">
        <w:rPr>
          <w:rFonts w:ascii="Times New Roman" w:hAnsi="Times New Roman"/>
          <w:szCs w:val="24"/>
        </w:rPr>
        <w:t>commences on</w:t>
      </w:r>
      <w:r w:rsidR="000E5E74" w:rsidRPr="006147BC">
        <w:rPr>
          <w:rFonts w:ascii="Times New Roman" w:hAnsi="Times New Roman"/>
          <w:szCs w:val="24"/>
        </w:rPr>
        <w:t xml:space="preserve"> </w:t>
      </w:r>
      <w:r w:rsidR="00AA7765" w:rsidRPr="006147BC">
        <w:rPr>
          <w:rFonts w:ascii="Times New Roman" w:hAnsi="Times New Roman"/>
          <w:szCs w:val="24"/>
        </w:rPr>
        <w:t>the day</w:t>
      </w:r>
      <w:r w:rsidR="00F84F51" w:rsidRPr="006147BC">
        <w:rPr>
          <w:rFonts w:ascii="Times New Roman" w:hAnsi="Times New Roman"/>
          <w:szCs w:val="24"/>
        </w:rPr>
        <w:t xml:space="preserve"> it is registered and the exemption</w:t>
      </w:r>
      <w:r w:rsidR="006B24A6" w:rsidRPr="006147BC">
        <w:rPr>
          <w:rFonts w:ascii="Times New Roman" w:hAnsi="Times New Roman"/>
          <w:szCs w:val="24"/>
        </w:rPr>
        <w:t xml:space="preserve"> amendments made by it</w:t>
      </w:r>
      <w:r w:rsidR="00F84F51" w:rsidRPr="006147BC">
        <w:rPr>
          <w:rFonts w:ascii="Times New Roman" w:hAnsi="Times New Roman"/>
          <w:szCs w:val="24"/>
        </w:rPr>
        <w:t xml:space="preserve"> commence then. The effect of the </w:t>
      </w:r>
      <w:r w:rsidR="00E81077" w:rsidRPr="006147BC">
        <w:rPr>
          <w:rFonts w:ascii="Times New Roman" w:hAnsi="Times New Roman"/>
          <w:szCs w:val="24"/>
        </w:rPr>
        <w:t>instrument</w:t>
      </w:r>
      <w:r w:rsidR="000E5E74" w:rsidRPr="006147BC">
        <w:rPr>
          <w:rFonts w:ascii="Times New Roman" w:hAnsi="Times New Roman"/>
          <w:szCs w:val="24"/>
        </w:rPr>
        <w:t xml:space="preserve"> </w:t>
      </w:r>
      <w:r w:rsidR="00F84F51" w:rsidRPr="006147BC">
        <w:rPr>
          <w:rFonts w:ascii="Times New Roman" w:hAnsi="Times New Roman"/>
          <w:szCs w:val="24"/>
        </w:rPr>
        <w:t xml:space="preserve">is that the </w:t>
      </w:r>
      <w:r w:rsidR="00E81077" w:rsidRPr="006147BC">
        <w:rPr>
          <w:iCs/>
        </w:rPr>
        <w:t xml:space="preserve">principal </w:t>
      </w:r>
      <w:r w:rsidR="00F84F51" w:rsidRPr="006147BC">
        <w:rPr>
          <w:iCs/>
        </w:rPr>
        <w:t xml:space="preserve">exemptions instrument </w:t>
      </w:r>
      <w:r w:rsidR="00F84F51" w:rsidRPr="006147BC">
        <w:rPr>
          <w:rFonts w:ascii="Times New Roman" w:hAnsi="Times New Roman"/>
          <w:szCs w:val="24"/>
        </w:rPr>
        <w:t>will be</w:t>
      </w:r>
      <w:r w:rsidR="00E81077" w:rsidRPr="006147BC">
        <w:rPr>
          <w:rFonts w:ascii="Times New Roman" w:hAnsi="Times New Roman"/>
          <w:szCs w:val="24"/>
        </w:rPr>
        <w:t xml:space="preserve"> expanded</w:t>
      </w:r>
      <w:r w:rsidR="006B24A6" w:rsidRPr="006147BC">
        <w:rPr>
          <w:rFonts w:ascii="Times New Roman" w:hAnsi="Times New Roman"/>
          <w:szCs w:val="24"/>
        </w:rPr>
        <w:t xml:space="preserve"> and extended,</w:t>
      </w:r>
      <w:r w:rsidR="00E81077" w:rsidRPr="006147BC">
        <w:rPr>
          <w:rFonts w:ascii="Times New Roman" w:hAnsi="Times New Roman"/>
          <w:szCs w:val="24"/>
        </w:rPr>
        <w:t xml:space="preserve"> and</w:t>
      </w:r>
      <w:r w:rsidR="001C4F02" w:rsidRPr="006147BC">
        <w:rPr>
          <w:rFonts w:ascii="Times New Roman" w:hAnsi="Times New Roman"/>
          <w:szCs w:val="24"/>
        </w:rPr>
        <w:t xml:space="preserve"> </w:t>
      </w:r>
      <w:r w:rsidR="006B24A6" w:rsidRPr="006147BC">
        <w:rPr>
          <w:rFonts w:ascii="Times New Roman" w:hAnsi="Times New Roman"/>
          <w:szCs w:val="24"/>
        </w:rPr>
        <w:t xml:space="preserve">then be </w:t>
      </w:r>
      <w:r w:rsidR="001C4F02" w:rsidRPr="006147BC">
        <w:rPr>
          <w:rFonts w:ascii="Times New Roman" w:hAnsi="Times New Roman"/>
          <w:szCs w:val="24"/>
        </w:rPr>
        <w:t>repealed</w:t>
      </w:r>
      <w:r w:rsidR="003118B6" w:rsidRPr="006147BC">
        <w:rPr>
          <w:rFonts w:ascii="Times New Roman" w:hAnsi="Times New Roman"/>
          <w:szCs w:val="24"/>
        </w:rPr>
        <w:t xml:space="preserve"> </w:t>
      </w:r>
      <w:r w:rsidRPr="006147BC">
        <w:rPr>
          <w:rFonts w:ascii="Times New Roman" w:hAnsi="Times New Roman"/>
          <w:szCs w:val="24"/>
        </w:rPr>
        <w:t xml:space="preserve">at the end of </w:t>
      </w:r>
      <w:r w:rsidR="001C4F02" w:rsidRPr="006147BC">
        <w:rPr>
          <w:rFonts w:ascii="Times New Roman" w:hAnsi="Times New Roman"/>
          <w:szCs w:val="24"/>
        </w:rPr>
        <w:t>3</w:t>
      </w:r>
      <w:r w:rsidR="001C6A4E" w:rsidRPr="006147BC">
        <w:rPr>
          <w:rFonts w:ascii="Times New Roman" w:hAnsi="Times New Roman"/>
          <w:szCs w:val="24"/>
        </w:rPr>
        <w:t>1</w:t>
      </w:r>
      <w:r w:rsidR="00C27A0A">
        <w:rPr>
          <w:rFonts w:ascii="Times New Roman" w:hAnsi="Times New Roman"/>
          <w:szCs w:val="24"/>
        </w:rPr>
        <w:t xml:space="preserve"> </w:t>
      </w:r>
      <w:r w:rsidR="00F84F51" w:rsidRPr="006147BC">
        <w:rPr>
          <w:rFonts w:ascii="Times New Roman" w:hAnsi="Times New Roman"/>
          <w:szCs w:val="24"/>
        </w:rPr>
        <w:t>March</w:t>
      </w:r>
      <w:r w:rsidR="001C6A4E" w:rsidRPr="006147BC">
        <w:rPr>
          <w:rFonts w:ascii="Times New Roman" w:hAnsi="Times New Roman"/>
          <w:szCs w:val="24"/>
        </w:rPr>
        <w:t xml:space="preserve"> </w:t>
      </w:r>
      <w:r w:rsidR="00736945" w:rsidRPr="006147BC">
        <w:rPr>
          <w:rFonts w:ascii="Times New Roman" w:hAnsi="Times New Roman"/>
          <w:szCs w:val="24"/>
        </w:rPr>
        <w:t>20</w:t>
      </w:r>
      <w:r w:rsidR="00295588" w:rsidRPr="006147BC">
        <w:rPr>
          <w:rFonts w:ascii="Times New Roman" w:hAnsi="Times New Roman"/>
          <w:szCs w:val="24"/>
        </w:rPr>
        <w:t>2</w:t>
      </w:r>
      <w:r w:rsidR="00BA332B" w:rsidRPr="006147BC">
        <w:rPr>
          <w:rFonts w:ascii="Times New Roman" w:hAnsi="Times New Roman"/>
          <w:szCs w:val="24"/>
        </w:rPr>
        <w:t>1</w:t>
      </w:r>
      <w:r w:rsidR="001C4F02" w:rsidRPr="006147BC">
        <w:rPr>
          <w:rFonts w:ascii="Times New Roman" w:hAnsi="Times New Roman"/>
          <w:szCs w:val="24"/>
        </w:rPr>
        <w:t>.</w:t>
      </w:r>
      <w:r w:rsidR="00F84F51" w:rsidRPr="006147BC">
        <w:rPr>
          <w:rFonts w:ascii="Times New Roman" w:hAnsi="Times New Roman"/>
          <w:szCs w:val="24"/>
        </w:rPr>
        <w:t xml:space="preserve"> However, the commencement of various regulatory amendments on 2 December 2021 ma</w:t>
      </w:r>
      <w:r w:rsidR="00E81077" w:rsidRPr="006147BC">
        <w:rPr>
          <w:rFonts w:ascii="Times New Roman" w:hAnsi="Times New Roman"/>
          <w:szCs w:val="24"/>
        </w:rPr>
        <w:t xml:space="preserve">y have an impact on the application and operation of </w:t>
      </w:r>
      <w:r w:rsidR="006147BC" w:rsidRPr="006147BC">
        <w:rPr>
          <w:rFonts w:ascii="Times New Roman" w:hAnsi="Times New Roman"/>
          <w:szCs w:val="24"/>
        </w:rPr>
        <w:t>some</w:t>
      </w:r>
      <w:r w:rsidR="006B24A6" w:rsidRPr="006147BC">
        <w:rPr>
          <w:rFonts w:ascii="Times New Roman" w:hAnsi="Times New Roman"/>
          <w:szCs w:val="24"/>
        </w:rPr>
        <w:t xml:space="preserve"> of the</w:t>
      </w:r>
      <w:r w:rsidR="00E81077" w:rsidRPr="006147BC">
        <w:rPr>
          <w:rFonts w:ascii="Times New Roman" w:hAnsi="Times New Roman"/>
          <w:szCs w:val="24"/>
        </w:rPr>
        <w:t xml:space="preserve"> </w:t>
      </w:r>
      <w:r w:rsidR="00E81077" w:rsidRPr="006147BC">
        <w:rPr>
          <w:iCs/>
        </w:rPr>
        <w:t>exemptions and it is likely that a further exemptions amendment instrument will be made in November 2021 to address this.</w:t>
      </w:r>
    </w:p>
    <w:p w14:paraId="099789CE" w14:textId="77777777" w:rsidR="00F15472" w:rsidRPr="00C76DC6" w:rsidRDefault="00F15472" w:rsidP="00C76DC6">
      <w:pPr>
        <w:pStyle w:val="BodyText"/>
        <w:rPr>
          <w:rFonts w:ascii="Times New Roman" w:hAnsi="Times New Roman"/>
        </w:rPr>
      </w:pPr>
    </w:p>
    <w:p w14:paraId="158E57EA" w14:textId="11052655" w:rsidR="001F0BA3" w:rsidRPr="006147BC" w:rsidRDefault="00F15472" w:rsidP="0016073F">
      <w:pPr>
        <w:ind w:right="-1"/>
        <w:rPr>
          <w:rFonts w:ascii="Times New Roman" w:hAnsi="Times New Roman"/>
        </w:rPr>
      </w:pPr>
      <w:r w:rsidRPr="006147BC">
        <w:rPr>
          <w:rFonts w:ascii="Times New Roman" w:hAnsi="Times New Roman"/>
        </w:rPr>
        <w:t>The exemption has been made by the Director of Aviation Safety, on behalf of CASA, in accordance with subsection 73 (2) of the Act.</w:t>
      </w:r>
    </w:p>
    <w:p w14:paraId="0D9C55E3" w14:textId="77777777" w:rsidR="007D503C" w:rsidRPr="006147BC" w:rsidRDefault="007D503C" w:rsidP="007D503C">
      <w:pPr>
        <w:pStyle w:val="LDBodytext"/>
      </w:pPr>
    </w:p>
    <w:p w14:paraId="79DEEC55" w14:textId="4ED57D95" w:rsidR="007D503C" w:rsidRPr="006147BC" w:rsidRDefault="001F0BA3" w:rsidP="003C7BD5">
      <w:pPr>
        <w:pStyle w:val="LDBodytext"/>
        <w:pageBreakBefore/>
        <w:jc w:val="right"/>
        <w:rPr>
          <w:rFonts w:ascii="Arial" w:hAnsi="Arial" w:cs="Arial"/>
          <w:b/>
          <w:bCs/>
        </w:rPr>
      </w:pPr>
      <w:r w:rsidRPr="006147BC">
        <w:rPr>
          <w:rFonts w:ascii="Arial" w:hAnsi="Arial" w:cs="Arial"/>
          <w:b/>
          <w:bCs/>
        </w:rPr>
        <w:lastRenderedPageBreak/>
        <w:t>Appendix 1</w:t>
      </w:r>
    </w:p>
    <w:p w14:paraId="1ED77FA6" w14:textId="77777777" w:rsidR="007D503C" w:rsidRPr="006147BC" w:rsidRDefault="007D503C" w:rsidP="007D503C">
      <w:pPr>
        <w:pStyle w:val="LDBodytext"/>
        <w:rPr>
          <w:rFonts w:ascii="Arial" w:hAnsi="Arial" w:cs="Arial"/>
          <w:b/>
          <w:bCs/>
        </w:rPr>
      </w:pPr>
    </w:p>
    <w:p w14:paraId="56F1BFB0" w14:textId="61E6D312" w:rsidR="007D503C" w:rsidRPr="006147BC" w:rsidRDefault="00EA0E3B" w:rsidP="007D503C">
      <w:pPr>
        <w:pStyle w:val="LDBodytext"/>
        <w:rPr>
          <w:rFonts w:ascii="Arial" w:hAnsi="Arial" w:cs="Arial"/>
          <w:b/>
          <w:bCs/>
        </w:rPr>
      </w:pPr>
      <w:r w:rsidRPr="006147BC">
        <w:rPr>
          <w:rFonts w:ascii="Arial" w:hAnsi="Arial" w:cs="Arial"/>
          <w:b/>
          <w:bCs/>
        </w:rPr>
        <w:t>Further d</w:t>
      </w:r>
      <w:r w:rsidR="007D503C" w:rsidRPr="006147BC">
        <w:rPr>
          <w:rFonts w:ascii="Arial" w:hAnsi="Arial" w:cs="Arial"/>
          <w:b/>
          <w:bCs/>
        </w:rPr>
        <w:t>etails of relevant legislation</w:t>
      </w:r>
      <w:bookmarkStart w:id="2" w:name="_Hlk38268511"/>
    </w:p>
    <w:p w14:paraId="6F3C3C11" w14:textId="3B379258" w:rsidR="00EA0E3B" w:rsidRPr="006147BC" w:rsidRDefault="00EA0E3B" w:rsidP="007D503C">
      <w:pPr>
        <w:pStyle w:val="LDBodytext"/>
        <w:rPr>
          <w:rFonts w:ascii="Arial" w:hAnsi="Arial" w:cs="Arial"/>
          <w:b/>
          <w:bCs/>
        </w:rPr>
      </w:pPr>
    </w:p>
    <w:p w14:paraId="73A417BF" w14:textId="42E2F00B" w:rsidR="007D503C" w:rsidRPr="006147BC" w:rsidRDefault="003F20FB" w:rsidP="00EA0E3B">
      <w:pPr>
        <w:pStyle w:val="LDBodytext"/>
        <w:rPr>
          <w:rFonts w:ascii="Arial" w:hAnsi="Arial" w:cs="Arial"/>
          <w:b/>
          <w:bCs/>
        </w:rPr>
      </w:pPr>
      <w:r>
        <w:rPr>
          <w:rFonts w:ascii="Arial" w:hAnsi="Arial" w:cs="Arial"/>
          <w:b/>
          <w:bCs/>
        </w:rPr>
        <w:t xml:space="preserve">CASR </w:t>
      </w:r>
      <w:r w:rsidR="00EA0E3B" w:rsidRPr="006147BC">
        <w:rPr>
          <w:rFonts w:ascii="Arial" w:hAnsi="Arial" w:cs="Arial"/>
          <w:b/>
          <w:bCs/>
        </w:rPr>
        <w:t xml:space="preserve">Part 61 </w:t>
      </w:r>
      <w:r w:rsidR="007D503C" w:rsidRPr="006147BC">
        <w:rPr>
          <w:rFonts w:ascii="Arial" w:hAnsi="Arial" w:cs="Arial"/>
          <w:b/>
          <w:bCs/>
        </w:rPr>
        <w:t>proficiency checks</w:t>
      </w:r>
    </w:p>
    <w:p w14:paraId="792FEC0D" w14:textId="77777777" w:rsidR="007D503C" w:rsidRPr="006147BC" w:rsidRDefault="007D503C" w:rsidP="00EA0E3B">
      <w:pPr>
        <w:pStyle w:val="BodyText"/>
      </w:pPr>
      <w:r w:rsidRPr="006147BC">
        <w:rPr>
          <w:rFonts w:ascii="Times New Roman" w:hAnsi="Times New Roman"/>
        </w:rPr>
        <w:t xml:space="preserve">A series of provisions in Part 61 require that relevant pilots complete proficiency checks appropriate to their licence and rating, within certain time cycles which create expiry dates and the need to renew the proficiency check. </w:t>
      </w:r>
      <w:r w:rsidRPr="006147BC">
        <w:t>The provisions are the following:</w:t>
      </w:r>
    </w:p>
    <w:p w14:paraId="3E7F9DB1" w14:textId="77777777" w:rsidR="007D503C" w:rsidRPr="006147BC" w:rsidRDefault="007D503C" w:rsidP="007D503C">
      <w:pPr>
        <w:pStyle w:val="P1"/>
        <w:numPr>
          <w:ilvl w:val="0"/>
          <w:numId w:val="9"/>
        </w:numPr>
      </w:pPr>
      <w:r w:rsidRPr="006147BC">
        <w:t>61.650 — in relation to the requirement for the holder of a multi-crew pilot licence to have an instrument proficiency check;</w:t>
      </w:r>
    </w:p>
    <w:p w14:paraId="40D16997" w14:textId="77777777" w:rsidR="007D503C" w:rsidRPr="006147BC" w:rsidRDefault="007D503C" w:rsidP="007D503C">
      <w:pPr>
        <w:pStyle w:val="P1"/>
        <w:numPr>
          <w:ilvl w:val="0"/>
          <w:numId w:val="9"/>
        </w:numPr>
      </w:pPr>
      <w:r w:rsidRPr="006147BC">
        <w:t>61.695 — in relation to the requirement for the holder of an air transport pilot licence to have an instrument proficiency check;</w:t>
      </w:r>
    </w:p>
    <w:p w14:paraId="3CCC9AF9" w14:textId="77777777" w:rsidR="007D503C" w:rsidRPr="006147BC" w:rsidRDefault="007D503C" w:rsidP="007D503C">
      <w:pPr>
        <w:pStyle w:val="P1"/>
        <w:numPr>
          <w:ilvl w:val="0"/>
          <w:numId w:val="9"/>
        </w:numPr>
      </w:pPr>
      <w:r w:rsidRPr="006147BC">
        <w:t>61.805 — in relation to the requirement for the holder of a pilot type rating to have an instrument proficiency check;</w:t>
      </w:r>
    </w:p>
    <w:p w14:paraId="1062297D" w14:textId="77777777" w:rsidR="007D503C" w:rsidRPr="006147BC" w:rsidRDefault="007D503C" w:rsidP="007D503C">
      <w:pPr>
        <w:pStyle w:val="P1"/>
        <w:numPr>
          <w:ilvl w:val="0"/>
          <w:numId w:val="9"/>
        </w:numPr>
      </w:pPr>
      <w:r w:rsidRPr="006147BC">
        <w:t>61.880 — in relation to the requirement for the holder of an instrument rating to have an instrument proficiency check;</w:t>
      </w:r>
    </w:p>
    <w:p w14:paraId="20DE4A86" w14:textId="7180E147" w:rsidR="007D503C" w:rsidRPr="006147BC" w:rsidRDefault="007D503C" w:rsidP="007D503C">
      <w:pPr>
        <w:pStyle w:val="P1"/>
        <w:numPr>
          <w:ilvl w:val="0"/>
          <w:numId w:val="9"/>
        </w:numPr>
      </w:pPr>
      <w:r w:rsidRPr="006147BC">
        <w:t>61.1015 — in relation to the requirement for the holder of a</w:t>
      </w:r>
      <w:r w:rsidR="00D1284D">
        <w:t>n NVIS</w:t>
      </w:r>
      <w:r w:rsidRPr="006147BC">
        <w:t xml:space="preserve"> rating to have an NVIS proficiency check;</w:t>
      </w:r>
    </w:p>
    <w:p w14:paraId="0ADDAD4E" w14:textId="77777777" w:rsidR="007D503C" w:rsidRPr="006147BC" w:rsidRDefault="007D503C" w:rsidP="007D503C">
      <w:pPr>
        <w:pStyle w:val="P1"/>
        <w:numPr>
          <w:ilvl w:val="0"/>
          <w:numId w:val="9"/>
        </w:numPr>
      </w:pPr>
      <w:r w:rsidRPr="006147BC">
        <w:t>61.1110 — in relation to the requirement for the holder of an aerial application rating to have an aerial application rating instrument proficiency check;</w:t>
      </w:r>
    </w:p>
    <w:p w14:paraId="754E4CC5" w14:textId="77777777" w:rsidR="007D503C" w:rsidRPr="006147BC" w:rsidRDefault="007D503C" w:rsidP="007D503C">
      <w:pPr>
        <w:pStyle w:val="P1"/>
        <w:numPr>
          <w:ilvl w:val="0"/>
          <w:numId w:val="9"/>
        </w:numPr>
      </w:pPr>
      <w:r w:rsidRPr="006147BC">
        <w:t>61.1180 — in relation to the requirement for the holder of a flight instructor rating to have an instructor proficiency check;</w:t>
      </w:r>
    </w:p>
    <w:p w14:paraId="57E40DB0" w14:textId="77777777" w:rsidR="007D503C" w:rsidRPr="006147BC" w:rsidRDefault="007D503C" w:rsidP="007D503C">
      <w:pPr>
        <w:pStyle w:val="P1"/>
        <w:numPr>
          <w:ilvl w:val="0"/>
          <w:numId w:val="9"/>
        </w:numPr>
      </w:pPr>
      <w:r w:rsidRPr="006147BC">
        <w:t>61.1205 — in relation to the requirement for the holder of a simulator instructor rating to have an instructor proficiency check;</w:t>
      </w:r>
    </w:p>
    <w:p w14:paraId="5E2886B9" w14:textId="2A3F4BD6" w:rsidR="007D503C" w:rsidRPr="006147BC" w:rsidRDefault="007D503C" w:rsidP="007D503C">
      <w:pPr>
        <w:pStyle w:val="P1"/>
        <w:numPr>
          <w:ilvl w:val="0"/>
          <w:numId w:val="9"/>
        </w:numPr>
      </w:pPr>
      <w:r w:rsidRPr="006147BC">
        <w:t>61.1410 — in relation to the requirement for the holder of a flight engineer instructor rating to have an instructor proficiency check</w:t>
      </w:r>
      <w:r w:rsidR="004E4C92" w:rsidRPr="006147BC">
        <w:t>.</w:t>
      </w:r>
    </w:p>
    <w:p w14:paraId="5134FCD7" w14:textId="77777777" w:rsidR="007D503C" w:rsidRPr="006147BC" w:rsidRDefault="007D503C" w:rsidP="00C76DC6">
      <w:pPr>
        <w:pStyle w:val="BodyText"/>
        <w:rPr>
          <w:iCs/>
        </w:rPr>
      </w:pPr>
    </w:p>
    <w:p w14:paraId="47EA646E" w14:textId="3DC3992E" w:rsidR="00EA0E3B" w:rsidRPr="006147BC" w:rsidRDefault="003F20FB" w:rsidP="00D21BB2">
      <w:pPr>
        <w:pStyle w:val="BodyText"/>
        <w:rPr>
          <w:rFonts w:ascii="Arial" w:hAnsi="Arial" w:cs="Arial"/>
          <w:b/>
          <w:bCs/>
        </w:rPr>
      </w:pPr>
      <w:r>
        <w:rPr>
          <w:rFonts w:ascii="Arial" w:hAnsi="Arial" w:cs="Arial"/>
          <w:b/>
          <w:bCs/>
        </w:rPr>
        <w:t xml:space="preserve">CASR </w:t>
      </w:r>
      <w:r w:rsidR="00EA0E3B" w:rsidRPr="006147BC">
        <w:rPr>
          <w:rFonts w:ascii="Arial" w:hAnsi="Arial" w:cs="Arial"/>
          <w:b/>
          <w:bCs/>
        </w:rPr>
        <w:t>Part 61 flight reviews</w:t>
      </w:r>
    </w:p>
    <w:p w14:paraId="1354142B" w14:textId="77777777" w:rsidR="007D503C" w:rsidRPr="006147BC" w:rsidRDefault="007D503C" w:rsidP="00D21BB2">
      <w:pPr>
        <w:pStyle w:val="BodyText"/>
      </w:pPr>
      <w:r w:rsidRPr="006147BC">
        <w:rPr>
          <w:rFonts w:ascii="Times New Roman" w:hAnsi="Times New Roman"/>
        </w:rPr>
        <w:t xml:space="preserve">A series of provisions in Part 61 require that relevant pilots complete flight reviews appropriate to their licence and rating within certain time cycles which create expiry dates and the need to renew the flight review. </w:t>
      </w:r>
      <w:r w:rsidRPr="006147BC">
        <w:t>The provisions are the following regulations:</w:t>
      </w:r>
    </w:p>
    <w:p w14:paraId="1B96740A" w14:textId="77777777" w:rsidR="007D503C" w:rsidRPr="006147BC" w:rsidRDefault="007D503C" w:rsidP="007D503C">
      <w:pPr>
        <w:pStyle w:val="P1"/>
        <w:numPr>
          <w:ilvl w:val="0"/>
          <w:numId w:val="10"/>
        </w:numPr>
      </w:pPr>
      <w:r w:rsidRPr="006147BC">
        <w:t>61.745 — in relation to the requirement for the holder of an aircraft class rating to have a flight review for the rating;</w:t>
      </w:r>
    </w:p>
    <w:p w14:paraId="75EE62DF" w14:textId="77777777" w:rsidR="007D503C" w:rsidRPr="006147BC" w:rsidRDefault="007D503C" w:rsidP="007D503C">
      <w:pPr>
        <w:pStyle w:val="P1"/>
        <w:numPr>
          <w:ilvl w:val="0"/>
          <w:numId w:val="10"/>
        </w:numPr>
      </w:pPr>
      <w:r w:rsidRPr="006147BC">
        <w:t>61.800 — in relation to the requirement for the holder of a pilot type rating to have a flight review for the rating;</w:t>
      </w:r>
    </w:p>
    <w:p w14:paraId="5553EA8A" w14:textId="77777777" w:rsidR="007D503C" w:rsidRPr="006147BC" w:rsidRDefault="007D503C" w:rsidP="007D503C">
      <w:pPr>
        <w:pStyle w:val="P1"/>
        <w:numPr>
          <w:ilvl w:val="0"/>
          <w:numId w:val="10"/>
        </w:numPr>
      </w:pPr>
      <w:r w:rsidRPr="006147BC">
        <w:t>61.925 — in relation to the requirement for the holder of a private instrument rating to have a flight review for the rating;</w:t>
      </w:r>
    </w:p>
    <w:p w14:paraId="0F598EC5" w14:textId="784F486A" w:rsidR="007D503C" w:rsidRPr="006147BC" w:rsidRDefault="007D503C" w:rsidP="007D503C">
      <w:pPr>
        <w:pStyle w:val="P1"/>
        <w:numPr>
          <w:ilvl w:val="0"/>
          <w:numId w:val="10"/>
        </w:numPr>
      </w:pPr>
      <w:r w:rsidRPr="006147BC">
        <w:t>61.970 </w:t>
      </w:r>
      <w:r w:rsidR="001C6FAC">
        <w:t>—</w:t>
      </w:r>
      <w:r w:rsidRPr="006147BC">
        <w:t xml:space="preserve"> in relation to the requirement for the holder of a night VFR rating to have a flight review for the rating;</w:t>
      </w:r>
    </w:p>
    <w:p w14:paraId="34DE7C3D" w14:textId="6B614CA7" w:rsidR="007D503C" w:rsidRPr="003C7BD5" w:rsidRDefault="007D503C" w:rsidP="003C7BD5">
      <w:pPr>
        <w:pStyle w:val="P1"/>
        <w:numPr>
          <w:ilvl w:val="0"/>
          <w:numId w:val="10"/>
        </w:numPr>
      </w:pPr>
      <w:r w:rsidRPr="006147BC">
        <w:t>61.1060 — in relation to the requirement for the holder of a low-level rating to have a flight review for the rating.</w:t>
      </w:r>
    </w:p>
    <w:p w14:paraId="7DE274B4" w14:textId="77777777" w:rsidR="007D503C" w:rsidRPr="006147BC" w:rsidRDefault="007D503C" w:rsidP="007D503C">
      <w:pPr>
        <w:pStyle w:val="BodyText"/>
        <w:rPr>
          <w:rFonts w:ascii="Times New Roman" w:hAnsi="Times New Roman"/>
          <w:b/>
          <w:bCs/>
        </w:rPr>
      </w:pPr>
    </w:p>
    <w:p w14:paraId="25EF7985" w14:textId="799D4DE5" w:rsidR="007D503C" w:rsidRPr="006147BC" w:rsidRDefault="003F20FB" w:rsidP="007D503C">
      <w:pPr>
        <w:pStyle w:val="BodyText"/>
        <w:rPr>
          <w:rFonts w:ascii="Arial" w:hAnsi="Arial" w:cs="Arial"/>
          <w:b/>
          <w:bCs/>
        </w:rPr>
      </w:pPr>
      <w:r>
        <w:rPr>
          <w:rFonts w:ascii="Arial" w:hAnsi="Arial" w:cs="Arial"/>
          <w:b/>
          <w:bCs/>
        </w:rPr>
        <w:t xml:space="preserve">CASR </w:t>
      </w:r>
      <w:r w:rsidR="007D503C" w:rsidRPr="006147BC">
        <w:rPr>
          <w:rFonts w:ascii="Arial" w:hAnsi="Arial" w:cs="Arial"/>
          <w:b/>
          <w:bCs/>
        </w:rPr>
        <w:t>Part 65</w:t>
      </w:r>
      <w:r>
        <w:rPr>
          <w:rFonts w:ascii="Arial" w:hAnsi="Arial" w:cs="Arial"/>
          <w:b/>
          <w:bCs/>
        </w:rPr>
        <w:t xml:space="preserve"> recency and currency requirements</w:t>
      </w:r>
    </w:p>
    <w:p w14:paraId="72BFEE8A" w14:textId="6D16DCA7" w:rsidR="007D503C" w:rsidRPr="006147BC" w:rsidRDefault="007D503C" w:rsidP="007D503C">
      <w:pPr>
        <w:pStyle w:val="BodyText"/>
        <w:rPr>
          <w:rFonts w:ascii="Times New Roman" w:hAnsi="Times New Roman"/>
        </w:rPr>
      </w:pPr>
      <w:r w:rsidRPr="006147BC">
        <w:rPr>
          <w:rFonts w:ascii="Times New Roman" w:hAnsi="Times New Roman"/>
        </w:rPr>
        <w:t xml:space="preserve">Under subregulation 65.025 (1) of CASR, </w:t>
      </w:r>
      <w:bookmarkStart w:id="3" w:name="_Toc23855516"/>
      <w:r w:rsidRPr="006147BC">
        <w:rPr>
          <w:rFonts w:ascii="Times New Roman" w:hAnsi="Times New Roman"/>
        </w:rPr>
        <w:t>t</w:t>
      </w:r>
      <w:bookmarkEnd w:id="3"/>
      <w:r w:rsidRPr="006147BC">
        <w:rPr>
          <w:rFonts w:ascii="Times New Roman" w:hAnsi="Times New Roman"/>
        </w:rPr>
        <w:t xml:space="preserve">he holder of an ATC licence or a flight service licence satisfies the </w:t>
      </w:r>
      <w:r w:rsidRPr="006147BC">
        <w:rPr>
          <w:rFonts w:ascii="Times New Roman" w:hAnsi="Times New Roman"/>
          <w:b/>
          <w:i/>
        </w:rPr>
        <w:t>recency requirement</w:t>
      </w:r>
      <w:r w:rsidRPr="006147BC">
        <w:rPr>
          <w:rFonts w:ascii="Times New Roman" w:hAnsi="Times New Roman"/>
        </w:rPr>
        <w:t xml:space="preserve"> in relation to an endorsement at a particular time if he or she has performed the duties required by the relevant function at </w:t>
      </w:r>
      <w:r w:rsidRPr="006147BC">
        <w:rPr>
          <w:rFonts w:ascii="Times New Roman" w:hAnsi="Times New Roman"/>
        </w:rPr>
        <w:lastRenderedPageBreak/>
        <w:t>the aerodrome</w:t>
      </w:r>
      <w:r w:rsidR="00C27A0A">
        <w:rPr>
          <w:rFonts w:ascii="Times New Roman" w:hAnsi="Times New Roman"/>
        </w:rPr>
        <w:t>,</w:t>
      </w:r>
      <w:r w:rsidRPr="006147BC">
        <w:rPr>
          <w:rFonts w:ascii="Times New Roman" w:hAnsi="Times New Roman"/>
        </w:rPr>
        <w:t xml:space="preserve"> or in relation to the airspace to which the endorsement relates, for at least 5 hours </w:t>
      </w:r>
      <w:r w:rsidRPr="006147BC">
        <w:rPr>
          <w:rFonts w:ascii="Times New Roman" w:hAnsi="Times New Roman"/>
          <w:i/>
          <w:iCs/>
        </w:rPr>
        <w:t>within the previous 21 days</w:t>
      </w:r>
      <w:r w:rsidRPr="006147BC">
        <w:rPr>
          <w:rFonts w:ascii="Times New Roman" w:hAnsi="Times New Roman"/>
        </w:rPr>
        <w:t>.</w:t>
      </w:r>
    </w:p>
    <w:p w14:paraId="482F2575" w14:textId="77777777" w:rsidR="007D503C" w:rsidRPr="006147BC" w:rsidRDefault="007D503C" w:rsidP="007D503C">
      <w:pPr>
        <w:pStyle w:val="BodyText"/>
        <w:rPr>
          <w:rFonts w:ascii="Times New Roman" w:hAnsi="Times New Roman"/>
        </w:rPr>
      </w:pPr>
    </w:p>
    <w:p w14:paraId="53BCE720" w14:textId="77777777" w:rsidR="007D503C" w:rsidRPr="006147BC" w:rsidRDefault="007D503C" w:rsidP="007D503C">
      <w:pPr>
        <w:pStyle w:val="BodyText"/>
        <w:rPr>
          <w:rFonts w:ascii="Times New Roman" w:hAnsi="Times New Roman"/>
        </w:rPr>
      </w:pPr>
      <w:r w:rsidRPr="006147BC">
        <w:rPr>
          <w:rFonts w:ascii="Times New Roman" w:hAnsi="Times New Roman"/>
        </w:rPr>
        <w:t>Under subregulation 65.025 (2), if an ATS provider specifies in its operations manual that 2 or more endorsements are of like type, a licence holder who performed the duties of any of those endorsements for a total of at least 5 hours within the previous 21 days also satisfies the recency requirement.</w:t>
      </w:r>
    </w:p>
    <w:p w14:paraId="10FB8680" w14:textId="77777777" w:rsidR="007D503C" w:rsidRPr="006147BC" w:rsidRDefault="007D503C" w:rsidP="007D503C">
      <w:pPr>
        <w:pStyle w:val="BodyText"/>
        <w:rPr>
          <w:rFonts w:ascii="Times New Roman" w:hAnsi="Times New Roman"/>
        </w:rPr>
      </w:pPr>
    </w:p>
    <w:p w14:paraId="1C63A81B" w14:textId="0A09D04C" w:rsidR="007D503C" w:rsidRPr="006147BC" w:rsidRDefault="007D503C" w:rsidP="007D503C">
      <w:pPr>
        <w:pStyle w:val="BodyText"/>
        <w:rPr>
          <w:rFonts w:ascii="Times New Roman" w:hAnsi="Times New Roman"/>
        </w:rPr>
      </w:pPr>
      <w:r w:rsidRPr="006147BC">
        <w:rPr>
          <w:rFonts w:ascii="Times New Roman" w:hAnsi="Times New Roman"/>
        </w:rPr>
        <w:t xml:space="preserve">Under paragraph 65.030 (1) (b), the holder of an ATC licence or a flight service licence satisfies the </w:t>
      </w:r>
      <w:r w:rsidRPr="006147BC">
        <w:rPr>
          <w:rFonts w:ascii="Times New Roman" w:hAnsi="Times New Roman"/>
          <w:b/>
          <w:i/>
        </w:rPr>
        <w:t>currency requirement</w:t>
      </w:r>
      <w:r w:rsidRPr="006147BC">
        <w:rPr>
          <w:rFonts w:ascii="Times New Roman" w:hAnsi="Times New Roman"/>
        </w:rPr>
        <w:t xml:space="preserve"> in relation to an endorsement at a particular time if (among other things)</w:t>
      </w:r>
      <w:r w:rsidR="00A208D8">
        <w:rPr>
          <w:rFonts w:ascii="Times New Roman" w:hAnsi="Times New Roman"/>
        </w:rPr>
        <w:t>,</w:t>
      </w:r>
      <w:r w:rsidRPr="006147BC">
        <w:rPr>
          <w:rFonts w:ascii="Times New Roman" w:hAnsi="Times New Roman"/>
        </w:rPr>
        <w:t xml:space="preserve"> within the previous 6 months, his or her performance of the relevant function at the aerodrome, or in relation to the airspace, to which the endorsement relates, has been assessed as satisfactory.</w:t>
      </w:r>
    </w:p>
    <w:p w14:paraId="3634D1DA" w14:textId="77777777" w:rsidR="007D503C" w:rsidRPr="006147BC" w:rsidRDefault="007D503C" w:rsidP="007D503C">
      <w:pPr>
        <w:pStyle w:val="BodyText"/>
        <w:rPr>
          <w:rFonts w:ascii="Times New Roman" w:hAnsi="Times New Roman"/>
        </w:rPr>
      </w:pPr>
    </w:p>
    <w:p w14:paraId="23635AF5" w14:textId="77777777" w:rsidR="007D503C" w:rsidRPr="006147BC" w:rsidRDefault="007D503C" w:rsidP="007D503C">
      <w:pPr>
        <w:pStyle w:val="BodyText"/>
        <w:rPr>
          <w:rFonts w:ascii="Times New Roman" w:hAnsi="Times New Roman"/>
        </w:rPr>
      </w:pPr>
      <w:r w:rsidRPr="006147BC">
        <w:rPr>
          <w:rFonts w:ascii="Times New Roman" w:hAnsi="Times New Roman"/>
        </w:rPr>
        <w:t>Under subparagraph 65.035 (1) (c) (i), a person may carry out an ATC function in Australian territory if, at the time the person carries out the function (among other things), he or she satisfies the recency and currency requirements in relation to the endorsement.</w:t>
      </w:r>
    </w:p>
    <w:p w14:paraId="35A53CC6" w14:textId="77777777" w:rsidR="007D503C" w:rsidRPr="006147BC" w:rsidRDefault="007D503C" w:rsidP="007D503C">
      <w:pPr>
        <w:pStyle w:val="BodyText"/>
        <w:rPr>
          <w:rFonts w:ascii="Times New Roman" w:hAnsi="Times New Roman"/>
        </w:rPr>
      </w:pPr>
    </w:p>
    <w:p w14:paraId="1F19549E" w14:textId="77777777" w:rsidR="007D503C" w:rsidRPr="006147BC" w:rsidRDefault="007D503C" w:rsidP="007D503C">
      <w:pPr>
        <w:pStyle w:val="BodyText"/>
        <w:rPr>
          <w:rFonts w:ascii="Times New Roman" w:hAnsi="Times New Roman"/>
        </w:rPr>
      </w:pPr>
      <w:r w:rsidRPr="006147BC">
        <w:rPr>
          <w:rFonts w:ascii="Times New Roman" w:hAnsi="Times New Roman"/>
        </w:rPr>
        <w:t>Under subregulation 65.035 (2), a person to whom subregulation (3) applies may carry out an ATC function in Australian territory under the supervision of a person who meets the requirements of subregulation (1).</w:t>
      </w:r>
    </w:p>
    <w:p w14:paraId="29CFFF53" w14:textId="77777777" w:rsidR="007D503C" w:rsidRPr="006147BC" w:rsidRDefault="007D503C" w:rsidP="007D503C">
      <w:pPr>
        <w:pStyle w:val="BodyText"/>
        <w:rPr>
          <w:rFonts w:ascii="Times New Roman" w:hAnsi="Times New Roman"/>
        </w:rPr>
      </w:pPr>
    </w:p>
    <w:p w14:paraId="2B82E965" w14:textId="77777777" w:rsidR="007D503C" w:rsidRPr="006147BC" w:rsidRDefault="007D503C" w:rsidP="007D503C">
      <w:pPr>
        <w:pStyle w:val="BodyText"/>
        <w:rPr>
          <w:rFonts w:ascii="Times New Roman" w:hAnsi="Times New Roman"/>
        </w:rPr>
      </w:pPr>
      <w:r w:rsidRPr="006147BC">
        <w:rPr>
          <w:rFonts w:ascii="Times New Roman" w:hAnsi="Times New Roman"/>
        </w:rPr>
        <w:t>Subregulation 65.035 (3) applies to various prescribed classes of trainees who may carry out an ATC function under appropriate licence holder supervision.</w:t>
      </w:r>
    </w:p>
    <w:p w14:paraId="5840A427" w14:textId="77777777" w:rsidR="007D503C" w:rsidRPr="006147BC" w:rsidRDefault="007D503C" w:rsidP="007D503C">
      <w:pPr>
        <w:pStyle w:val="BodyText"/>
        <w:rPr>
          <w:rFonts w:ascii="Times New Roman" w:hAnsi="Times New Roman"/>
        </w:rPr>
      </w:pPr>
    </w:p>
    <w:p w14:paraId="42E64B8D" w14:textId="77777777" w:rsidR="007D503C" w:rsidRPr="006147BC" w:rsidRDefault="007D503C" w:rsidP="007D503C">
      <w:pPr>
        <w:pStyle w:val="BodyText"/>
        <w:rPr>
          <w:rFonts w:ascii="Times New Roman" w:hAnsi="Times New Roman"/>
        </w:rPr>
      </w:pPr>
      <w:r w:rsidRPr="006147BC">
        <w:rPr>
          <w:rFonts w:ascii="Times New Roman" w:hAnsi="Times New Roman"/>
        </w:rPr>
        <w:t>Under subregulations 65.040 (1) and (2), it is an offence if a person to whom subregulation 65.</w:t>
      </w:r>
      <w:r w:rsidRPr="006147BC">
        <w:rPr>
          <w:rFonts w:ascii="Times New Roman" w:hAnsi="Times New Roman"/>
          <w:noProof/>
        </w:rPr>
        <w:t>035 </w:t>
      </w:r>
      <w:r w:rsidRPr="006147BC">
        <w:rPr>
          <w:rFonts w:ascii="Times New Roman" w:hAnsi="Times New Roman"/>
        </w:rPr>
        <w:t xml:space="preserve">(3) applies (the </w:t>
      </w:r>
      <w:r w:rsidRPr="006147BC">
        <w:rPr>
          <w:rFonts w:ascii="Times New Roman" w:hAnsi="Times New Roman"/>
          <w:b/>
          <w:i/>
        </w:rPr>
        <w:t>trainee</w:t>
      </w:r>
      <w:r w:rsidRPr="006147BC">
        <w:rPr>
          <w:rFonts w:ascii="Times New Roman" w:hAnsi="Times New Roman"/>
        </w:rPr>
        <w:t>) fails to comply with the supervisor’s directions when carrying out an ATC function under the supervision of a person who meets the requirements of subregulation 65.</w:t>
      </w:r>
      <w:r w:rsidRPr="006147BC">
        <w:rPr>
          <w:rFonts w:ascii="Times New Roman" w:hAnsi="Times New Roman"/>
          <w:noProof/>
        </w:rPr>
        <w:t>035 </w:t>
      </w:r>
      <w:r w:rsidRPr="006147BC">
        <w:rPr>
          <w:rFonts w:ascii="Times New Roman" w:hAnsi="Times New Roman"/>
        </w:rPr>
        <w:t>(1).</w:t>
      </w:r>
    </w:p>
    <w:p w14:paraId="17ED42D5" w14:textId="77777777" w:rsidR="007D503C" w:rsidRPr="006147BC" w:rsidRDefault="007D503C" w:rsidP="007D503C">
      <w:pPr>
        <w:pStyle w:val="BodyText"/>
        <w:rPr>
          <w:rFonts w:ascii="Times New Roman" w:hAnsi="Times New Roman"/>
        </w:rPr>
      </w:pPr>
    </w:p>
    <w:p w14:paraId="04299A5B" w14:textId="77777777" w:rsidR="007D503C" w:rsidRPr="006147BC" w:rsidRDefault="007D503C" w:rsidP="007D503C">
      <w:pPr>
        <w:pStyle w:val="BodyText"/>
        <w:rPr>
          <w:rFonts w:ascii="Times New Roman" w:hAnsi="Times New Roman"/>
        </w:rPr>
      </w:pPr>
      <w:r w:rsidRPr="006147BC">
        <w:rPr>
          <w:rFonts w:ascii="Times New Roman" w:hAnsi="Times New Roman"/>
        </w:rPr>
        <w:t xml:space="preserve">Under subregulation 65.045 (1), </w:t>
      </w:r>
      <w:bookmarkStart w:id="4" w:name="_Toc23855522"/>
      <w:r w:rsidRPr="006147BC">
        <w:rPr>
          <w:rFonts w:ascii="Times New Roman" w:hAnsi="Times New Roman"/>
        </w:rPr>
        <w:t>it is an offence for a</w:t>
      </w:r>
      <w:bookmarkEnd w:id="4"/>
      <w:r w:rsidRPr="006147BC">
        <w:rPr>
          <w:rFonts w:ascii="Times New Roman" w:hAnsi="Times New Roman"/>
        </w:rPr>
        <w:t xml:space="preserve"> person who is not authorised to do so by subregulation 65.</w:t>
      </w:r>
      <w:r w:rsidRPr="006147BC">
        <w:rPr>
          <w:rFonts w:ascii="Times New Roman" w:hAnsi="Times New Roman"/>
          <w:noProof/>
        </w:rPr>
        <w:t>035 </w:t>
      </w:r>
      <w:r w:rsidRPr="006147BC">
        <w:rPr>
          <w:rFonts w:ascii="Times New Roman" w:hAnsi="Times New Roman"/>
        </w:rPr>
        <w:t>(1) or (2) to carry out an ATC function in Australian territory.</w:t>
      </w:r>
    </w:p>
    <w:p w14:paraId="4B1358A5" w14:textId="77777777" w:rsidR="007D503C" w:rsidRPr="006147BC" w:rsidRDefault="007D503C" w:rsidP="007D503C">
      <w:pPr>
        <w:pStyle w:val="BodyText"/>
        <w:rPr>
          <w:rFonts w:ascii="Times New Roman" w:hAnsi="Times New Roman"/>
        </w:rPr>
      </w:pPr>
    </w:p>
    <w:p w14:paraId="403C85A3" w14:textId="77777777" w:rsidR="007D503C" w:rsidRPr="006147BC" w:rsidRDefault="007D503C" w:rsidP="007D503C">
      <w:pPr>
        <w:pStyle w:val="BodyText"/>
        <w:rPr>
          <w:rFonts w:ascii="Times New Roman" w:hAnsi="Times New Roman"/>
        </w:rPr>
      </w:pPr>
      <w:r w:rsidRPr="006147BC">
        <w:rPr>
          <w:rFonts w:ascii="Times New Roman" w:hAnsi="Times New Roman"/>
        </w:rPr>
        <w:t>Under subregulation 65.045 (2), it is an offence for a person to whom subregulation 65.</w:t>
      </w:r>
      <w:r w:rsidRPr="006147BC">
        <w:rPr>
          <w:rFonts w:ascii="Times New Roman" w:hAnsi="Times New Roman"/>
          <w:noProof/>
        </w:rPr>
        <w:t>035 </w:t>
      </w:r>
      <w:r w:rsidRPr="006147BC">
        <w:rPr>
          <w:rFonts w:ascii="Times New Roman" w:hAnsi="Times New Roman"/>
        </w:rPr>
        <w:t>(3) applies to carry out an ATC function in Australian territory if the person is not acting under the supervision of a person who meets the requirements of subregulation 65.</w:t>
      </w:r>
      <w:r w:rsidRPr="006147BC">
        <w:rPr>
          <w:rFonts w:ascii="Times New Roman" w:hAnsi="Times New Roman"/>
          <w:noProof/>
        </w:rPr>
        <w:t>035 </w:t>
      </w:r>
      <w:r w:rsidRPr="006147BC">
        <w:rPr>
          <w:rFonts w:ascii="Times New Roman" w:hAnsi="Times New Roman"/>
        </w:rPr>
        <w:t>(1).</w:t>
      </w:r>
    </w:p>
    <w:p w14:paraId="6CDF93EE" w14:textId="77777777" w:rsidR="007D503C" w:rsidRPr="006147BC" w:rsidRDefault="007D503C" w:rsidP="007D503C">
      <w:pPr>
        <w:pStyle w:val="BodyText"/>
        <w:rPr>
          <w:rFonts w:ascii="Times New Roman" w:hAnsi="Times New Roman"/>
        </w:rPr>
      </w:pPr>
    </w:p>
    <w:p w14:paraId="583B09DF" w14:textId="77777777" w:rsidR="007D503C" w:rsidRPr="006147BC" w:rsidRDefault="007D503C" w:rsidP="007D503C">
      <w:pPr>
        <w:pStyle w:val="BodyText"/>
        <w:rPr>
          <w:rFonts w:ascii="Times New Roman" w:hAnsi="Times New Roman"/>
        </w:rPr>
      </w:pPr>
      <w:r w:rsidRPr="006147BC">
        <w:rPr>
          <w:rFonts w:ascii="Times New Roman" w:hAnsi="Times New Roman"/>
        </w:rPr>
        <w:t>Under subparagraph 65.050 (1) (c) (i), a person may carry out a flight service function in Australian territory if, at the time he or she carries out the function, he or she satisfies the recency and currency requirements in relation to the endorsement.</w:t>
      </w:r>
    </w:p>
    <w:p w14:paraId="6BF685F4" w14:textId="77777777" w:rsidR="007D503C" w:rsidRPr="006147BC" w:rsidRDefault="007D503C" w:rsidP="007D503C">
      <w:pPr>
        <w:pStyle w:val="BodyText"/>
        <w:rPr>
          <w:rFonts w:ascii="Times New Roman" w:hAnsi="Times New Roman"/>
        </w:rPr>
      </w:pPr>
    </w:p>
    <w:p w14:paraId="6B7DC897" w14:textId="77777777" w:rsidR="007D503C" w:rsidRPr="006147BC" w:rsidRDefault="007D503C" w:rsidP="007D503C">
      <w:pPr>
        <w:pStyle w:val="BodyText"/>
        <w:rPr>
          <w:rFonts w:ascii="Times New Roman" w:hAnsi="Times New Roman"/>
        </w:rPr>
      </w:pPr>
      <w:r w:rsidRPr="006147BC">
        <w:rPr>
          <w:rFonts w:ascii="Times New Roman" w:hAnsi="Times New Roman"/>
        </w:rPr>
        <w:t>Under subregulation 65.050 (2), a person to whom subregulation (3) applies may carry out a flight service function in Australian territory under the supervision of a person who meets the requirements of subregulation (1).</w:t>
      </w:r>
    </w:p>
    <w:p w14:paraId="538538DF" w14:textId="77777777" w:rsidR="007D503C" w:rsidRPr="006147BC" w:rsidRDefault="007D503C" w:rsidP="007D503C">
      <w:pPr>
        <w:pStyle w:val="BodyText"/>
        <w:rPr>
          <w:rFonts w:ascii="Times New Roman" w:hAnsi="Times New Roman"/>
        </w:rPr>
      </w:pPr>
    </w:p>
    <w:p w14:paraId="38E3B222" w14:textId="77777777" w:rsidR="007D503C" w:rsidRPr="006147BC" w:rsidRDefault="007D503C" w:rsidP="007D503C">
      <w:pPr>
        <w:pStyle w:val="BodyText"/>
        <w:rPr>
          <w:rFonts w:ascii="Times New Roman" w:hAnsi="Times New Roman"/>
        </w:rPr>
      </w:pPr>
      <w:r w:rsidRPr="006147BC">
        <w:rPr>
          <w:rFonts w:ascii="Times New Roman" w:hAnsi="Times New Roman"/>
        </w:rPr>
        <w:t>Subregulation 65.050 (3) applies to various prescribed classes of trainees who may carry out flight service functions under appropriate licence holder supervision.</w:t>
      </w:r>
    </w:p>
    <w:p w14:paraId="12358424" w14:textId="77777777" w:rsidR="007D503C" w:rsidRPr="006147BC" w:rsidRDefault="007D503C" w:rsidP="007D503C">
      <w:pPr>
        <w:pStyle w:val="BodyText"/>
        <w:rPr>
          <w:rFonts w:ascii="Times New Roman" w:hAnsi="Times New Roman"/>
        </w:rPr>
      </w:pPr>
    </w:p>
    <w:p w14:paraId="2A1B1EFD" w14:textId="77777777" w:rsidR="007D503C" w:rsidRPr="006147BC" w:rsidRDefault="007D503C" w:rsidP="007D503C">
      <w:pPr>
        <w:pStyle w:val="BodyText"/>
        <w:rPr>
          <w:rFonts w:ascii="Times New Roman" w:hAnsi="Times New Roman"/>
        </w:rPr>
      </w:pPr>
      <w:r w:rsidRPr="006147BC">
        <w:rPr>
          <w:rFonts w:ascii="Times New Roman" w:hAnsi="Times New Roman"/>
        </w:rPr>
        <w:t>Under subregulations 65.055 (1) and (2), it is an offence if a person to whom subregulation 65.</w:t>
      </w:r>
      <w:r w:rsidRPr="006147BC">
        <w:rPr>
          <w:rFonts w:ascii="Times New Roman" w:hAnsi="Times New Roman"/>
          <w:noProof/>
        </w:rPr>
        <w:t>050 </w:t>
      </w:r>
      <w:r w:rsidRPr="006147BC">
        <w:rPr>
          <w:rFonts w:ascii="Times New Roman" w:hAnsi="Times New Roman"/>
        </w:rPr>
        <w:t xml:space="preserve">(3) applies (the </w:t>
      </w:r>
      <w:r w:rsidRPr="006147BC">
        <w:rPr>
          <w:rFonts w:ascii="Times New Roman" w:hAnsi="Times New Roman"/>
          <w:b/>
          <w:i/>
        </w:rPr>
        <w:t>trainee</w:t>
      </w:r>
      <w:r w:rsidRPr="006147BC">
        <w:rPr>
          <w:rFonts w:ascii="Times New Roman" w:hAnsi="Times New Roman"/>
        </w:rPr>
        <w:t xml:space="preserve">) fails to comply with the supervisor’s </w:t>
      </w:r>
      <w:r w:rsidRPr="006147BC">
        <w:rPr>
          <w:rFonts w:ascii="Times New Roman" w:hAnsi="Times New Roman"/>
        </w:rPr>
        <w:lastRenderedPageBreak/>
        <w:t>directions when carrying out a flight service function under the supervision of a person who meets the requirements of subregulation 65.</w:t>
      </w:r>
      <w:r w:rsidRPr="006147BC">
        <w:rPr>
          <w:rFonts w:ascii="Times New Roman" w:hAnsi="Times New Roman"/>
          <w:noProof/>
        </w:rPr>
        <w:t>055 </w:t>
      </w:r>
      <w:r w:rsidRPr="006147BC">
        <w:rPr>
          <w:rFonts w:ascii="Times New Roman" w:hAnsi="Times New Roman"/>
        </w:rPr>
        <w:t>(1).</w:t>
      </w:r>
    </w:p>
    <w:p w14:paraId="6D809571" w14:textId="77777777" w:rsidR="007D503C" w:rsidRPr="006147BC" w:rsidRDefault="007D503C" w:rsidP="007D503C">
      <w:pPr>
        <w:pStyle w:val="BodyText"/>
        <w:rPr>
          <w:rFonts w:ascii="Times New Roman" w:hAnsi="Times New Roman"/>
        </w:rPr>
      </w:pPr>
    </w:p>
    <w:p w14:paraId="78F1FF77" w14:textId="77777777" w:rsidR="007D503C" w:rsidRPr="006147BC" w:rsidRDefault="007D503C" w:rsidP="007D503C">
      <w:pPr>
        <w:pStyle w:val="BodyText"/>
        <w:rPr>
          <w:rFonts w:ascii="Times New Roman" w:hAnsi="Times New Roman"/>
        </w:rPr>
      </w:pPr>
      <w:r w:rsidRPr="006147BC">
        <w:rPr>
          <w:rFonts w:ascii="Times New Roman" w:hAnsi="Times New Roman"/>
        </w:rPr>
        <w:t>Under subregulation 65.060 (1), it is an offence for a person who is not authorised to do so by subregulation 65.</w:t>
      </w:r>
      <w:r w:rsidRPr="006147BC">
        <w:rPr>
          <w:rFonts w:ascii="Times New Roman" w:hAnsi="Times New Roman"/>
          <w:noProof/>
        </w:rPr>
        <w:t>050 </w:t>
      </w:r>
      <w:r w:rsidRPr="006147BC">
        <w:rPr>
          <w:rFonts w:ascii="Times New Roman" w:hAnsi="Times New Roman"/>
        </w:rPr>
        <w:t>(1) or (2) to carry out a flight service function in Australian territory.</w:t>
      </w:r>
    </w:p>
    <w:p w14:paraId="76E27C53" w14:textId="77777777" w:rsidR="007D503C" w:rsidRPr="006147BC" w:rsidRDefault="007D503C" w:rsidP="007D503C">
      <w:pPr>
        <w:pStyle w:val="BodyText"/>
        <w:rPr>
          <w:rFonts w:ascii="Times New Roman" w:hAnsi="Times New Roman"/>
        </w:rPr>
      </w:pPr>
    </w:p>
    <w:p w14:paraId="69C88558" w14:textId="22C237D0" w:rsidR="00EA0E3B" w:rsidRDefault="007D503C" w:rsidP="007D503C">
      <w:pPr>
        <w:pStyle w:val="BodyText"/>
        <w:rPr>
          <w:rFonts w:ascii="Times New Roman" w:hAnsi="Times New Roman"/>
        </w:rPr>
      </w:pPr>
      <w:r w:rsidRPr="006147BC">
        <w:rPr>
          <w:rFonts w:ascii="Times New Roman" w:hAnsi="Times New Roman"/>
        </w:rPr>
        <w:t>Under subregulation 65.060 (2), it is an offence for a person to whom subregulation 65.</w:t>
      </w:r>
      <w:r w:rsidRPr="006147BC">
        <w:rPr>
          <w:rFonts w:ascii="Times New Roman" w:hAnsi="Times New Roman"/>
          <w:noProof/>
        </w:rPr>
        <w:t>050 </w:t>
      </w:r>
      <w:r w:rsidRPr="006147BC">
        <w:rPr>
          <w:rFonts w:ascii="Times New Roman" w:hAnsi="Times New Roman"/>
        </w:rPr>
        <w:t>(3) applies to carry out a flight service function in Australian territory if the person is not acting under the supervision of a person who meets the requirements of subregulation 65.</w:t>
      </w:r>
      <w:r w:rsidRPr="006147BC">
        <w:rPr>
          <w:rFonts w:ascii="Times New Roman" w:hAnsi="Times New Roman"/>
          <w:noProof/>
        </w:rPr>
        <w:t>050 </w:t>
      </w:r>
      <w:r w:rsidRPr="006147BC">
        <w:rPr>
          <w:rFonts w:ascii="Times New Roman" w:hAnsi="Times New Roman"/>
        </w:rPr>
        <w:t>(1).</w:t>
      </w:r>
    </w:p>
    <w:p w14:paraId="0FE3F684" w14:textId="3774D229" w:rsidR="003F20FB" w:rsidRDefault="003F20FB" w:rsidP="007D503C">
      <w:pPr>
        <w:pStyle w:val="BodyText"/>
        <w:rPr>
          <w:rFonts w:ascii="Times New Roman" w:hAnsi="Times New Roman"/>
        </w:rPr>
      </w:pPr>
    </w:p>
    <w:p w14:paraId="17AF4F2E" w14:textId="226C4B0B" w:rsidR="003F20FB" w:rsidRDefault="003F20FB" w:rsidP="007D503C">
      <w:pPr>
        <w:pStyle w:val="BodyText"/>
        <w:rPr>
          <w:rFonts w:ascii="Arial" w:hAnsi="Arial" w:cs="Arial"/>
          <w:b/>
          <w:bCs/>
        </w:rPr>
      </w:pPr>
      <w:r w:rsidRPr="00C76DC6">
        <w:rPr>
          <w:rFonts w:ascii="Arial" w:hAnsi="Arial" w:cs="Arial"/>
          <w:b/>
          <w:bCs/>
        </w:rPr>
        <w:t>CAO 82.6, Appendix 3 — NVIS pilot proficiency checks and NVIS aircrew member NVIS CCFs</w:t>
      </w:r>
    </w:p>
    <w:p w14:paraId="2F87B2D9" w14:textId="03E4FE1C" w:rsidR="003F20FB" w:rsidRPr="004E4A92" w:rsidRDefault="003F20FB" w:rsidP="007D503C">
      <w:pPr>
        <w:pStyle w:val="BodyText"/>
        <w:rPr>
          <w:rFonts w:ascii="Times New Roman" w:hAnsi="Times New Roman"/>
          <w:bCs/>
        </w:rPr>
      </w:pPr>
    </w:p>
    <w:p w14:paraId="66520179" w14:textId="1497522D" w:rsidR="003F20FB" w:rsidRPr="00C76DC6" w:rsidRDefault="003F20FB" w:rsidP="003F20FB">
      <w:pPr>
        <w:pStyle w:val="BodyText"/>
        <w:rPr>
          <w:rFonts w:ascii="Times New Roman" w:hAnsi="Times New Roman"/>
        </w:rPr>
      </w:pPr>
      <w:r w:rsidRPr="00C76DC6">
        <w:rPr>
          <w:rFonts w:ascii="Times New Roman" w:hAnsi="Times New Roman"/>
        </w:rPr>
        <w:t>Under clause 21, for an NVIS pilot with 50 hours or less of NVIS flight time as an NVIS PIC, NVIS co-pilot, NVIS PICUS or NVIS pilot dual</w:t>
      </w:r>
      <w:r w:rsidR="00B45C4A">
        <w:rPr>
          <w:rFonts w:ascii="Times New Roman" w:hAnsi="Times New Roman"/>
        </w:rPr>
        <w:t>,</w:t>
      </w:r>
      <w:r w:rsidRPr="00C76DC6">
        <w:rPr>
          <w:rFonts w:ascii="Times New Roman" w:hAnsi="Times New Roman"/>
        </w:rPr>
        <w:t xml:space="preserve"> the minimum NVIS recent experience requirements are modified:</w:t>
      </w:r>
    </w:p>
    <w:p w14:paraId="33352916" w14:textId="149A12CE" w:rsidR="003F20FB" w:rsidRPr="00C76DC6" w:rsidRDefault="003F20FB" w:rsidP="00C76DC6">
      <w:pPr>
        <w:pStyle w:val="BodyText"/>
        <w:numPr>
          <w:ilvl w:val="0"/>
          <w:numId w:val="19"/>
        </w:numPr>
        <w:rPr>
          <w:rFonts w:ascii="Times New Roman" w:hAnsi="Times New Roman"/>
        </w:rPr>
      </w:pPr>
      <w:r w:rsidRPr="00C76DC6">
        <w:rPr>
          <w:rFonts w:ascii="Times New Roman" w:hAnsi="Times New Roman"/>
        </w:rPr>
        <w:t>by reading each reference in regulation 61.1010 to “6 months”, as a reference to “3 months”</w:t>
      </w:r>
    </w:p>
    <w:p w14:paraId="5EEC7DAC" w14:textId="65E1C661" w:rsidR="003F20FB" w:rsidRDefault="003F20FB" w:rsidP="003F20FB">
      <w:pPr>
        <w:pStyle w:val="BodyText"/>
        <w:numPr>
          <w:ilvl w:val="0"/>
          <w:numId w:val="19"/>
        </w:numPr>
        <w:rPr>
          <w:rFonts w:ascii="Times New Roman" w:hAnsi="Times New Roman"/>
        </w:rPr>
      </w:pPr>
      <w:r w:rsidRPr="00C76DC6">
        <w:rPr>
          <w:rFonts w:ascii="Times New Roman" w:hAnsi="Times New Roman"/>
        </w:rPr>
        <w:t>the minimum NVIS proficiency check requirements are modified by reading each reference in regulation 61.1015 to “the 12</w:t>
      </w:r>
      <w:r w:rsidRPr="00C76DC6">
        <w:rPr>
          <w:rFonts w:ascii="Times New Roman" w:hAnsi="Times New Roman"/>
          <w:vertAlign w:val="superscript"/>
        </w:rPr>
        <w:t>th</w:t>
      </w:r>
      <w:r w:rsidRPr="00C76DC6">
        <w:rPr>
          <w:rFonts w:ascii="Times New Roman" w:hAnsi="Times New Roman"/>
        </w:rPr>
        <w:t xml:space="preserve"> month”, as a reference to “the 6</w:t>
      </w:r>
      <w:r w:rsidRPr="00C76DC6">
        <w:rPr>
          <w:rFonts w:ascii="Times New Roman" w:hAnsi="Times New Roman"/>
          <w:vertAlign w:val="superscript"/>
        </w:rPr>
        <w:t>th</w:t>
      </w:r>
      <w:r w:rsidRPr="00C76DC6">
        <w:rPr>
          <w:rFonts w:ascii="Times New Roman" w:hAnsi="Times New Roman"/>
        </w:rPr>
        <w:t xml:space="preserve"> month”.</w:t>
      </w:r>
    </w:p>
    <w:p w14:paraId="2184733F" w14:textId="77777777" w:rsidR="003F20FB" w:rsidRPr="00C76DC6" w:rsidRDefault="003F20FB" w:rsidP="004E4A92">
      <w:pPr>
        <w:pStyle w:val="BodyText"/>
        <w:rPr>
          <w:rFonts w:ascii="Times New Roman" w:hAnsi="Times New Roman"/>
        </w:rPr>
      </w:pPr>
    </w:p>
    <w:p w14:paraId="39714D55" w14:textId="41EB8551" w:rsidR="003F20FB" w:rsidRPr="00C76DC6" w:rsidRDefault="003F20FB" w:rsidP="003F20FB">
      <w:pPr>
        <w:pStyle w:val="BodyText"/>
        <w:rPr>
          <w:rFonts w:ascii="Times New Roman" w:hAnsi="Times New Roman"/>
        </w:rPr>
      </w:pPr>
      <w:r w:rsidRPr="00C76DC6">
        <w:rPr>
          <w:rFonts w:ascii="Times New Roman" w:hAnsi="Times New Roman"/>
        </w:rPr>
        <w:t>Clause 21 does not amend regulations 61.1010 and 61.1015 of Part 61 of CASR 1998. In the interests of safety, it impose</w:t>
      </w:r>
      <w:r w:rsidR="00A12E85">
        <w:rPr>
          <w:rFonts w:ascii="Times New Roman" w:hAnsi="Times New Roman"/>
        </w:rPr>
        <w:t>s</w:t>
      </w:r>
      <w:r w:rsidRPr="00C76DC6">
        <w:rPr>
          <w:rFonts w:ascii="Times New Roman" w:hAnsi="Times New Roman"/>
        </w:rPr>
        <w:t xml:space="preserve"> AOC conditions in the form of the additional recency and proficiency check obligations that an NVIS operator must ensure are met for the conduct of NVIS operations under this Order.</w:t>
      </w:r>
    </w:p>
    <w:p w14:paraId="0FE6EC0D" w14:textId="28FA77EE" w:rsidR="003F20FB" w:rsidRPr="00C76DC6" w:rsidRDefault="003F20FB" w:rsidP="003F20FB">
      <w:pPr>
        <w:pStyle w:val="BodyText"/>
        <w:rPr>
          <w:rFonts w:ascii="Times New Roman" w:hAnsi="Times New Roman"/>
        </w:rPr>
      </w:pPr>
    </w:p>
    <w:p w14:paraId="29E494EC" w14:textId="23C193DB" w:rsidR="003F20FB" w:rsidRPr="003F20FB" w:rsidRDefault="003F20FB" w:rsidP="007D503C">
      <w:pPr>
        <w:pStyle w:val="BodyText"/>
        <w:rPr>
          <w:rFonts w:ascii="Times New Roman" w:hAnsi="Times New Roman"/>
        </w:rPr>
      </w:pPr>
      <w:r w:rsidRPr="00C76DC6">
        <w:rPr>
          <w:rFonts w:ascii="Times New Roman" w:hAnsi="Times New Roman"/>
        </w:rPr>
        <w:t>Under clause 22, an NVIS aircrew member must meet minimum recency requirements or an NVIS CCF must be undertaken.</w:t>
      </w:r>
    </w:p>
    <w:bookmarkEnd w:id="2"/>
    <w:p w14:paraId="02032DEE" w14:textId="07D9BB90" w:rsidR="00F15472" w:rsidRPr="006147BC" w:rsidRDefault="00F15472" w:rsidP="00C76DC6">
      <w:pPr>
        <w:pStyle w:val="LDBodytext"/>
        <w:pageBreakBefore/>
        <w:ind w:left="7201"/>
        <w:rPr>
          <w:rFonts w:ascii="Arial" w:hAnsi="Arial" w:cs="Arial"/>
          <w:b/>
          <w:bCs/>
        </w:rPr>
      </w:pPr>
      <w:r w:rsidRPr="006147BC">
        <w:rPr>
          <w:rFonts w:ascii="Arial" w:hAnsi="Arial" w:cs="Arial"/>
          <w:b/>
          <w:bCs/>
        </w:rPr>
        <w:lastRenderedPageBreak/>
        <w:t xml:space="preserve">Appendix </w:t>
      </w:r>
      <w:r w:rsidR="001F0BA3" w:rsidRPr="006147BC">
        <w:rPr>
          <w:rFonts w:ascii="Arial" w:hAnsi="Arial" w:cs="Arial"/>
          <w:b/>
          <w:bCs/>
        </w:rPr>
        <w:t>2</w:t>
      </w:r>
    </w:p>
    <w:p w14:paraId="4F05B3DD" w14:textId="77777777" w:rsidR="00F15472" w:rsidRPr="006147BC" w:rsidRDefault="00F15472" w:rsidP="00F15472">
      <w:pPr>
        <w:spacing w:before="360" w:after="120"/>
        <w:jc w:val="center"/>
        <w:rPr>
          <w:rFonts w:ascii="Arial" w:hAnsi="Arial" w:cs="Arial"/>
          <w:b/>
        </w:rPr>
      </w:pPr>
      <w:r w:rsidRPr="006147BC">
        <w:rPr>
          <w:rFonts w:ascii="Arial" w:hAnsi="Arial" w:cs="Arial"/>
          <w:b/>
        </w:rPr>
        <w:t>Statement of Compatibility with Human Rights</w:t>
      </w:r>
    </w:p>
    <w:p w14:paraId="5FACF524" w14:textId="57A0DBAA" w:rsidR="00034F94" w:rsidRPr="006147BC" w:rsidRDefault="00F15472" w:rsidP="0075112C">
      <w:pPr>
        <w:spacing w:before="120" w:after="480"/>
        <w:jc w:val="center"/>
      </w:pPr>
      <w:r w:rsidRPr="006147BC">
        <w:rPr>
          <w:rFonts w:ascii="Times New Roman" w:hAnsi="Times New Roman"/>
          <w:i/>
        </w:rPr>
        <w:t>Prepared in accordance with Part 3 of the</w:t>
      </w:r>
      <w:r w:rsidRPr="006147BC">
        <w:rPr>
          <w:rFonts w:ascii="Times New Roman" w:hAnsi="Times New Roman"/>
          <w:i/>
        </w:rPr>
        <w:br/>
        <w:t>Human Rights (Parliamentary Scrutiny) Act 2011</w:t>
      </w:r>
    </w:p>
    <w:p w14:paraId="28009F3F" w14:textId="44ADE849" w:rsidR="0059591D" w:rsidRPr="003C7BD5" w:rsidRDefault="0059591D" w:rsidP="0059591D">
      <w:pPr>
        <w:spacing w:before="360" w:after="120"/>
        <w:jc w:val="center"/>
        <w:rPr>
          <w:rFonts w:ascii="Times New Roman" w:hAnsi="Times New Roman"/>
          <w:b/>
          <w:bCs/>
          <w:iCs/>
        </w:rPr>
      </w:pPr>
      <w:r w:rsidRPr="003C7BD5">
        <w:rPr>
          <w:rFonts w:ascii="Times New Roman" w:hAnsi="Times New Roman"/>
          <w:b/>
          <w:bCs/>
          <w:iCs/>
        </w:rPr>
        <w:t>CASA EX100/21 – CASA EX92/21 – Extension of COVID-19 Relief Measures – Amendment Instrument 2021 (No. 1).</w:t>
      </w:r>
    </w:p>
    <w:p w14:paraId="7E7D4D04" w14:textId="77777777" w:rsidR="0059591D" w:rsidRPr="006147BC" w:rsidRDefault="0059591D" w:rsidP="0059591D">
      <w:pPr>
        <w:pStyle w:val="LDBodytext"/>
      </w:pPr>
    </w:p>
    <w:p w14:paraId="7547B6F0" w14:textId="77777777" w:rsidR="00F15472" w:rsidRPr="006147BC" w:rsidRDefault="00F15472" w:rsidP="003C7BD5">
      <w:pPr>
        <w:spacing w:before="360" w:after="720"/>
        <w:jc w:val="center"/>
        <w:rPr>
          <w:rFonts w:ascii="Times New Roman" w:hAnsi="Times New Roman"/>
        </w:rPr>
      </w:pPr>
      <w:r w:rsidRPr="006147BC">
        <w:rPr>
          <w:rFonts w:ascii="Times New Roman" w:hAnsi="Times New Roman"/>
        </w:rPr>
        <w:t xml:space="preserve">This legislative instrument is compatible with the human rights and freedoms recognised or declared in the international instruments listed in section 3 of the </w:t>
      </w:r>
      <w:r w:rsidRPr="006147BC">
        <w:rPr>
          <w:rFonts w:ascii="Times New Roman" w:hAnsi="Times New Roman"/>
          <w:i/>
        </w:rPr>
        <w:t>Human Rights (Parliamentary Scrutiny) Act 2011</w:t>
      </w:r>
      <w:r w:rsidRPr="006147BC">
        <w:rPr>
          <w:rFonts w:ascii="Times New Roman" w:hAnsi="Times New Roman"/>
        </w:rPr>
        <w:t>.</w:t>
      </w:r>
    </w:p>
    <w:p w14:paraId="5B420847" w14:textId="77777777" w:rsidR="00F15472" w:rsidRPr="006147BC" w:rsidRDefault="00F15472" w:rsidP="00F15472">
      <w:pPr>
        <w:jc w:val="both"/>
        <w:rPr>
          <w:rFonts w:ascii="Times New Roman" w:hAnsi="Times New Roman"/>
          <w:b/>
        </w:rPr>
      </w:pPr>
      <w:r w:rsidRPr="006147BC">
        <w:rPr>
          <w:rFonts w:ascii="Times New Roman" w:hAnsi="Times New Roman"/>
          <w:b/>
        </w:rPr>
        <w:t>Overview of the legislative instrument</w:t>
      </w:r>
    </w:p>
    <w:p w14:paraId="3DE05A1D" w14:textId="77777777" w:rsidR="00890FAE" w:rsidRPr="006147BC" w:rsidRDefault="00890FAE" w:rsidP="00F742BA">
      <w:pPr>
        <w:pStyle w:val="LDBodytext"/>
        <w:rPr>
          <w:bCs/>
        </w:rPr>
      </w:pPr>
    </w:p>
    <w:p w14:paraId="177D6E4A" w14:textId="4D046D42" w:rsidR="00F742BA" w:rsidRPr="006147BC" w:rsidRDefault="00F742BA" w:rsidP="00F742BA">
      <w:pPr>
        <w:pStyle w:val="LDBodytext"/>
        <w:rPr>
          <w:b/>
        </w:rPr>
      </w:pPr>
      <w:r w:rsidRPr="006147BC">
        <w:rPr>
          <w:b/>
        </w:rPr>
        <w:t>Purpose</w:t>
      </w:r>
    </w:p>
    <w:p w14:paraId="6EFD0DBE" w14:textId="41EE9660" w:rsidR="0059591D" w:rsidRPr="006147BC" w:rsidRDefault="0059591D" w:rsidP="0059591D">
      <w:pPr>
        <w:pStyle w:val="BodyText"/>
        <w:rPr>
          <w:iCs/>
        </w:rPr>
      </w:pPr>
      <w:r w:rsidRPr="006147BC">
        <w:rPr>
          <w:rFonts w:ascii="Times New Roman" w:hAnsi="Times New Roman"/>
        </w:rPr>
        <w:t xml:space="preserve">The purpose of </w:t>
      </w:r>
      <w:r w:rsidRPr="006147BC">
        <w:rPr>
          <w:i/>
        </w:rPr>
        <w:t>CASA EX</w:t>
      </w:r>
      <w:r w:rsidR="002C162F">
        <w:rPr>
          <w:i/>
        </w:rPr>
        <w:t>100</w:t>
      </w:r>
      <w:r w:rsidRPr="006147BC">
        <w:rPr>
          <w:i/>
        </w:rPr>
        <w:t>/21 </w:t>
      </w:r>
      <w:r w:rsidR="002C162F">
        <w:rPr>
          <w:i/>
        </w:rPr>
        <w:t>–</w:t>
      </w:r>
      <w:r w:rsidRPr="006147BC">
        <w:rPr>
          <w:i/>
        </w:rPr>
        <w:t xml:space="preserve"> CASA EX92/21 </w:t>
      </w:r>
      <w:r w:rsidR="002C162F">
        <w:rPr>
          <w:i/>
        </w:rPr>
        <w:t>–</w:t>
      </w:r>
      <w:r w:rsidRPr="006147BC">
        <w:rPr>
          <w:i/>
        </w:rPr>
        <w:t xml:space="preserve"> Extension of COVID-19 Relief Measures </w:t>
      </w:r>
      <w:r w:rsidR="002C162F">
        <w:rPr>
          <w:i/>
        </w:rPr>
        <w:t>–</w:t>
      </w:r>
      <w:r w:rsidRPr="006147BC">
        <w:rPr>
          <w:i/>
        </w:rPr>
        <w:t xml:space="preserve"> Amendment Instrument 2021 (No. 1) </w:t>
      </w:r>
      <w:r w:rsidRPr="006147BC">
        <w:rPr>
          <w:iCs/>
        </w:rPr>
        <w:t xml:space="preserve">(the </w:t>
      </w:r>
      <w:r w:rsidRPr="006147BC">
        <w:rPr>
          <w:b/>
          <w:bCs/>
          <w:i/>
        </w:rPr>
        <w:t>exemptions amendment instrument</w:t>
      </w:r>
      <w:r w:rsidRPr="006147BC">
        <w:rPr>
          <w:iCs/>
        </w:rPr>
        <w:t>)</w:t>
      </w:r>
      <w:r w:rsidRPr="006147BC">
        <w:rPr>
          <w:rFonts w:ascii="Times New Roman" w:hAnsi="Times New Roman"/>
        </w:rPr>
        <w:t xml:space="preserve"> is to amend </w:t>
      </w:r>
      <w:r w:rsidRPr="006147BC">
        <w:rPr>
          <w:i/>
        </w:rPr>
        <w:t>CASA EX92/21 — Flight Reviews, Proficiency Checks and Related Matters (Extensions of Time Due to COVID-19) Exemptions Instrument</w:t>
      </w:r>
      <w:r w:rsidR="005F3EDA">
        <w:rPr>
          <w:i/>
        </w:rPr>
        <w:t xml:space="preserve"> </w:t>
      </w:r>
      <w:r w:rsidRPr="006147BC">
        <w:rPr>
          <w:i/>
        </w:rPr>
        <w:t xml:space="preserve">2021 </w:t>
      </w:r>
      <w:r w:rsidRPr="006147BC">
        <w:rPr>
          <w:iCs/>
        </w:rPr>
        <w:t>(</w:t>
      </w:r>
      <w:r w:rsidRPr="003C7BD5">
        <w:rPr>
          <w:bCs/>
        </w:rPr>
        <w:t xml:space="preserve">the </w:t>
      </w:r>
      <w:r w:rsidRPr="006147BC">
        <w:rPr>
          <w:b/>
          <w:bCs/>
          <w:i/>
        </w:rPr>
        <w:t>principal exemptions instrument</w:t>
      </w:r>
      <w:r w:rsidRPr="006147BC">
        <w:rPr>
          <w:iCs/>
        </w:rPr>
        <w:t xml:space="preserve">). </w:t>
      </w:r>
    </w:p>
    <w:p w14:paraId="7D052DBA" w14:textId="77777777" w:rsidR="0059591D" w:rsidRPr="006147BC" w:rsidRDefault="0059591D" w:rsidP="0059591D">
      <w:pPr>
        <w:pStyle w:val="BodyText"/>
        <w:rPr>
          <w:iCs/>
        </w:rPr>
      </w:pPr>
    </w:p>
    <w:p w14:paraId="4AB83494" w14:textId="47D6367B" w:rsidR="0059591D" w:rsidRPr="006147BC" w:rsidRDefault="0059591D" w:rsidP="0059591D">
      <w:pPr>
        <w:pStyle w:val="BodyText"/>
        <w:rPr>
          <w:rFonts w:ascii="Times New Roman" w:hAnsi="Times New Roman"/>
        </w:rPr>
      </w:pPr>
      <w:r w:rsidRPr="006147BC">
        <w:rPr>
          <w:iCs/>
        </w:rPr>
        <w:t>The principal exemptions instrument was a short-term relief measure, originally planned to be repealed on 31 October 20</w:t>
      </w:r>
      <w:r w:rsidR="00D85C25">
        <w:rPr>
          <w:iCs/>
        </w:rPr>
        <w:t>21</w:t>
      </w:r>
      <w:r w:rsidRPr="006147BC">
        <w:rPr>
          <w:iCs/>
        </w:rPr>
        <w:t>. It used</w:t>
      </w:r>
      <w:r w:rsidRPr="006147BC">
        <w:rPr>
          <w:rFonts w:ascii="Times New Roman" w:hAnsi="Times New Roman"/>
        </w:rPr>
        <w:t xml:space="preserve"> a series of exemptions from certain provisions of the </w:t>
      </w:r>
      <w:r w:rsidRPr="006147BC">
        <w:rPr>
          <w:rFonts w:ascii="Times New Roman" w:hAnsi="Times New Roman"/>
          <w:i/>
        </w:rPr>
        <w:t>Civil Aviation Regulations 1988</w:t>
      </w:r>
      <w:r w:rsidRPr="006147BC">
        <w:rPr>
          <w:rFonts w:ascii="Times New Roman" w:hAnsi="Times New Roman"/>
        </w:rPr>
        <w:t xml:space="preserve">, the </w:t>
      </w:r>
      <w:r w:rsidRPr="006147BC">
        <w:rPr>
          <w:rFonts w:ascii="Times New Roman" w:hAnsi="Times New Roman"/>
          <w:i/>
        </w:rPr>
        <w:t>Civil Aviation Safety Regulations 1998</w:t>
      </w:r>
      <w:r w:rsidRPr="006147BC">
        <w:rPr>
          <w:rFonts w:ascii="Times New Roman" w:hAnsi="Times New Roman"/>
        </w:rPr>
        <w:t xml:space="preserve"> and Civil Aviation Order 40.7 to extend the time</w:t>
      </w:r>
      <w:r w:rsidR="00D85C25">
        <w:rPr>
          <w:rFonts w:ascii="Times New Roman" w:hAnsi="Times New Roman"/>
        </w:rPr>
        <w:t xml:space="preserve"> </w:t>
      </w:r>
      <w:r w:rsidRPr="006147BC">
        <w:rPr>
          <w:rFonts w:ascii="Times New Roman" w:hAnsi="Times New Roman"/>
        </w:rPr>
        <w:t xml:space="preserve">limits for compliance with pilot proficiency check and flight review obligations because of constraints imposed by the social distancing, stay-at-home and lockdown rules applicable in parts of Australia because of the COVID-19 pandemic. </w:t>
      </w:r>
    </w:p>
    <w:p w14:paraId="17C5DCEC" w14:textId="77777777" w:rsidR="0059591D" w:rsidRPr="006147BC" w:rsidRDefault="0059591D" w:rsidP="0059591D">
      <w:pPr>
        <w:pStyle w:val="BodyText"/>
        <w:rPr>
          <w:rFonts w:ascii="Times New Roman" w:hAnsi="Times New Roman"/>
        </w:rPr>
      </w:pPr>
    </w:p>
    <w:p w14:paraId="1CB90455" w14:textId="3BCD0639" w:rsidR="0059591D" w:rsidRPr="006147BC" w:rsidRDefault="0059591D" w:rsidP="0059591D">
      <w:pPr>
        <w:pStyle w:val="BodyText"/>
        <w:rPr>
          <w:iCs/>
        </w:rPr>
      </w:pPr>
      <w:r w:rsidRPr="006147BC">
        <w:rPr>
          <w:rFonts w:ascii="Times New Roman" w:hAnsi="Times New Roman"/>
        </w:rPr>
        <w:t xml:space="preserve">These COVID-19 constraints have been extended in time, scope and area because of the continuing impact of the pandemic. It is, therefore, necessary to amend the </w:t>
      </w:r>
      <w:r w:rsidRPr="006147BC">
        <w:rPr>
          <w:iCs/>
        </w:rPr>
        <w:t>principal exemptions instrument in both duration and scope.</w:t>
      </w:r>
    </w:p>
    <w:p w14:paraId="437493BF" w14:textId="6A54D476" w:rsidR="0080080A" w:rsidRPr="006147BC" w:rsidRDefault="0080080A" w:rsidP="0059591D">
      <w:pPr>
        <w:pStyle w:val="BodyText"/>
        <w:rPr>
          <w:iCs/>
        </w:rPr>
      </w:pPr>
    </w:p>
    <w:p w14:paraId="481A7B94" w14:textId="7FF4EDB6" w:rsidR="0080080A" w:rsidRPr="006147BC" w:rsidRDefault="0080080A" w:rsidP="0080080A">
      <w:pPr>
        <w:pStyle w:val="BodyText"/>
        <w:rPr>
          <w:iCs/>
        </w:rPr>
      </w:pPr>
      <w:r w:rsidRPr="006147BC">
        <w:rPr>
          <w:iCs/>
        </w:rPr>
        <w:t xml:space="preserve">This </w:t>
      </w:r>
      <w:r w:rsidR="00D85C25">
        <w:rPr>
          <w:iCs/>
        </w:rPr>
        <w:t xml:space="preserve">is </w:t>
      </w:r>
      <w:r w:rsidRPr="006147BC">
        <w:rPr>
          <w:iCs/>
        </w:rPr>
        <w:t>done by extending the duration of the principal exemptions instrument to 31</w:t>
      </w:r>
      <w:r w:rsidR="00D85C25">
        <w:rPr>
          <w:iCs/>
        </w:rPr>
        <w:t> </w:t>
      </w:r>
      <w:r w:rsidRPr="006147BC">
        <w:rPr>
          <w:iCs/>
        </w:rPr>
        <w:t>March 2022, by providing short extensions of renewal periods for otherwise expiring cyclical checks, and by providing longer extensions of up to 31 March 2022 where relevant operators have safety mitigations in place in the form of CASA-approved safety risk management plans.</w:t>
      </w:r>
    </w:p>
    <w:p w14:paraId="00E7E602" w14:textId="77777777" w:rsidR="0059591D" w:rsidRPr="006147BC" w:rsidRDefault="0059591D" w:rsidP="0059591D">
      <w:pPr>
        <w:pStyle w:val="BodyText"/>
        <w:rPr>
          <w:iCs/>
        </w:rPr>
      </w:pPr>
    </w:p>
    <w:p w14:paraId="34736F41" w14:textId="77777777" w:rsidR="00F15472" w:rsidRPr="006147BC" w:rsidRDefault="00F15472" w:rsidP="00F15472">
      <w:pPr>
        <w:jc w:val="both"/>
        <w:rPr>
          <w:rFonts w:ascii="Times New Roman" w:hAnsi="Times New Roman"/>
          <w:b/>
        </w:rPr>
      </w:pPr>
      <w:r w:rsidRPr="006147BC">
        <w:rPr>
          <w:rFonts w:ascii="Times New Roman" w:hAnsi="Times New Roman"/>
          <w:b/>
        </w:rPr>
        <w:t>Human rights implications</w:t>
      </w:r>
    </w:p>
    <w:p w14:paraId="366DFCAB" w14:textId="0AA299CE" w:rsidR="007F365D" w:rsidRPr="006147BC" w:rsidRDefault="00C855DB" w:rsidP="007F365D">
      <w:pPr>
        <w:pStyle w:val="BodyText"/>
        <w:rPr>
          <w:rFonts w:ascii="Times New Roman" w:hAnsi="Times New Roman"/>
          <w:lang w:eastAsia="en-AU"/>
        </w:rPr>
      </w:pPr>
      <w:r w:rsidRPr="006147BC">
        <w:rPr>
          <w:rFonts w:ascii="Times New Roman" w:hAnsi="Times New Roman"/>
        </w:rPr>
        <w:t>T</w:t>
      </w:r>
      <w:r w:rsidR="00F15472" w:rsidRPr="006147BC">
        <w:rPr>
          <w:rFonts w:ascii="Times New Roman" w:hAnsi="Times New Roman"/>
        </w:rPr>
        <w:t xml:space="preserve">he legislative instrument </w:t>
      </w:r>
      <w:r w:rsidRPr="006147BC">
        <w:rPr>
          <w:rFonts w:ascii="Times New Roman" w:hAnsi="Times New Roman"/>
        </w:rPr>
        <w:t xml:space="preserve">engages </w:t>
      </w:r>
      <w:r w:rsidR="00F15472" w:rsidRPr="006147BC">
        <w:rPr>
          <w:rFonts w:ascii="Times New Roman" w:hAnsi="Times New Roman"/>
        </w:rPr>
        <w:t xml:space="preserve">with the human rights and freedoms recognised or declared in the international instruments listed in section 3 of the </w:t>
      </w:r>
      <w:r w:rsidR="00F15472" w:rsidRPr="006147BC">
        <w:rPr>
          <w:rFonts w:ascii="Times New Roman" w:hAnsi="Times New Roman"/>
          <w:i/>
          <w:iCs/>
        </w:rPr>
        <w:t>Human Rights (Parliamentary Scrutiny) Act 2011</w:t>
      </w:r>
      <w:r w:rsidR="00F15472" w:rsidRPr="006147BC">
        <w:rPr>
          <w:rFonts w:ascii="Times New Roman" w:hAnsi="Times New Roman"/>
        </w:rPr>
        <w:t xml:space="preserve"> </w:t>
      </w:r>
      <w:r w:rsidR="007F365D" w:rsidRPr="006147BC">
        <w:rPr>
          <w:rFonts w:ascii="Times New Roman" w:hAnsi="Times New Roman"/>
        </w:rPr>
        <w:t>because</w:t>
      </w:r>
      <w:r w:rsidR="00D85C25">
        <w:rPr>
          <w:rFonts w:ascii="Times New Roman" w:hAnsi="Times New Roman"/>
        </w:rPr>
        <w:t>,</w:t>
      </w:r>
      <w:r w:rsidR="007F365D" w:rsidRPr="006147BC">
        <w:rPr>
          <w:rFonts w:ascii="Times New Roman" w:hAnsi="Times New Roman"/>
        </w:rPr>
        <w:t xml:space="preserve"> b</w:t>
      </w:r>
      <w:r w:rsidR="00962CEC" w:rsidRPr="006147BC">
        <w:rPr>
          <w:rFonts w:ascii="Times New Roman" w:hAnsi="Times New Roman"/>
        </w:rPr>
        <w:t>y offering temporary relief from legislative obligations, t</w:t>
      </w:r>
      <w:r w:rsidR="00F15472" w:rsidRPr="006147BC">
        <w:rPr>
          <w:rFonts w:ascii="Times New Roman" w:hAnsi="Times New Roman"/>
        </w:rPr>
        <w:t xml:space="preserve">he instrument </w:t>
      </w:r>
      <w:r w:rsidR="007F365D" w:rsidRPr="006147BC">
        <w:rPr>
          <w:rFonts w:ascii="Times New Roman" w:hAnsi="Times New Roman"/>
          <w:lang w:eastAsia="en-AU"/>
        </w:rPr>
        <w:t>may be said to engage the following human rights:</w:t>
      </w:r>
    </w:p>
    <w:p w14:paraId="3483036A" w14:textId="77777777" w:rsidR="007F365D" w:rsidRPr="006147BC" w:rsidRDefault="007F365D" w:rsidP="007F365D">
      <w:pPr>
        <w:pStyle w:val="ListParagraph"/>
        <w:numPr>
          <w:ilvl w:val="0"/>
          <w:numId w:val="13"/>
        </w:numPr>
        <w:shd w:val="clear" w:color="auto" w:fill="FFFFFF"/>
        <w:tabs>
          <w:tab w:val="clear" w:pos="567"/>
        </w:tabs>
        <w:overflowPunct/>
        <w:autoSpaceDE/>
        <w:autoSpaceDN/>
        <w:adjustRightInd/>
        <w:spacing w:after="60"/>
        <w:ind w:left="714" w:hanging="357"/>
        <w:contextualSpacing w:val="0"/>
        <w:textAlignment w:val="auto"/>
        <w:rPr>
          <w:rFonts w:ascii="Times New Roman" w:hAnsi="Times New Roman"/>
          <w:lang w:eastAsia="en-AU"/>
        </w:rPr>
      </w:pPr>
      <w:r w:rsidRPr="006147BC">
        <w:rPr>
          <w:rFonts w:ascii="Times New Roman" w:hAnsi="Times New Roman"/>
          <w:lang w:eastAsia="en-AU"/>
        </w:rPr>
        <w:t xml:space="preserve">the right to life under Article 6 of the International Covenant on Civil and Political Rights (the </w:t>
      </w:r>
      <w:r w:rsidRPr="006147BC">
        <w:rPr>
          <w:rFonts w:ascii="Times New Roman" w:hAnsi="Times New Roman"/>
          <w:b/>
          <w:bCs/>
          <w:i/>
          <w:iCs/>
          <w:lang w:eastAsia="en-AU"/>
        </w:rPr>
        <w:t>ICCPR</w:t>
      </w:r>
      <w:r w:rsidRPr="006147BC">
        <w:rPr>
          <w:rFonts w:ascii="Times New Roman" w:hAnsi="Times New Roman"/>
          <w:lang w:eastAsia="en-AU"/>
        </w:rPr>
        <w:t>)</w:t>
      </w:r>
    </w:p>
    <w:p w14:paraId="2126C470" w14:textId="77777777" w:rsidR="007F365D" w:rsidRPr="006147BC" w:rsidRDefault="007F365D" w:rsidP="0075112C">
      <w:pPr>
        <w:pStyle w:val="ListParagraph"/>
        <w:numPr>
          <w:ilvl w:val="0"/>
          <w:numId w:val="13"/>
        </w:numPr>
        <w:shd w:val="clear" w:color="auto" w:fill="FFFFFF"/>
        <w:tabs>
          <w:tab w:val="clear" w:pos="567"/>
        </w:tabs>
        <w:overflowPunct/>
        <w:autoSpaceDE/>
        <w:autoSpaceDN/>
        <w:adjustRightInd/>
        <w:textAlignment w:val="auto"/>
        <w:rPr>
          <w:rFonts w:ascii="Times New Roman" w:hAnsi="Times New Roman"/>
        </w:rPr>
      </w:pPr>
      <w:r w:rsidRPr="006147BC">
        <w:rPr>
          <w:rFonts w:ascii="Times New Roman" w:hAnsi="Times New Roman"/>
          <w:lang w:eastAsia="en-AU"/>
        </w:rPr>
        <w:lastRenderedPageBreak/>
        <w:t xml:space="preserve">the right to safe and healthy working conditions under Article 7 of the International Covenant on Economic, Social and Cultural Rights (the </w:t>
      </w:r>
      <w:r w:rsidRPr="006147BC">
        <w:rPr>
          <w:rFonts w:ascii="Times New Roman" w:hAnsi="Times New Roman"/>
          <w:b/>
          <w:bCs/>
          <w:i/>
          <w:iCs/>
          <w:lang w:eastAsia="en-AU"/>
        </w:rPr>
        <w:t>ICESCR</w:t>
      </w:r>
      <w:r w:rsidRPr="006147BC">
        <w:rPr>
          <w:rFonts w:ascii="Times New Roman" w:hAnsi="Times New Roman"/>
          <w:lang w:eastAsia="en-AU"/>
        </w:rPr>
        <w:t>)</w:t>
      </w:r>
    </w:p>
    <w:p w14:paraId="674AC8BD" w14:textId="77777777" w:rsidR="007F365D" w:rsidRPr="006147BC" w:rsidRDefault="007F365D" w:rsidP="007F365D">
      <w:pPr>
        <w:pStyle w:val="ListParagraph"/>
        <w:numPr>
          <w:ilvl w:val="0"/>
          <w:numId w:val="13"/>
        </w:numPr>
        <w:shd w:val="clear" w:color="auto" w:fill="FFFFFF"/>
        <w:tabs>
          <w:tab w:val="clear" w:pos="567"/>
        </w:tabs>
        <w:overflowPunct/>
        <w:autoSpaceDE/>
        <w:autoSpaceDN/>
        <w:adjustRightInd/>
        <w:jc w:val="both"/>
        <w:textAlignment w:val="auto"/>
        <w:rPr>
          <w:rFonts w:ascii="Times New Roman" w:hAnsi="Times New Roman"/>
        </w:rPr>
      </w:pPr>
      <w:r w:rsidRPr="006147BC">
        <w:rPr>
          <w:rFonts w:ascii="Times New Roman" w:hAnsi="Times New Roman"/>
          <w:lang w:eastAsia="en-AU"/>
        </w:rPr>
        <w:t>the right to work under Article 6 (1) of the ICESCR.</w:t>
      </w:r>
    </w:p>
    <w:p w14:paraId="1F158BFE" w14:textId="77777777" w:rsidR="007F365D" w:rsidRPr="006147BC" w:rsidRDefault="007F365D" w:rsidP="003C7BD5">
      <w:pPr>
        <w:keepNext/>
        <w:spacing w:before="240"/>
        <w:rPr>
          <w:b/>
          <w:bCs/>
          <w:i/>
          <w:iCs/>
        </w:rPr>
      </w:pPr>
      <w:r w:rsidRPr="006147BC">
        <w:rPr>
          <w:b/>
          <w:bCs/>
          <w:i/>
          <w:iCs/>
        </w:rPr>
        <w:t>Right to life under the ICCPR</w:t>
      </w:r>
    </w:p>
    <w:p w14:paraId="18A83EEE" w14:textId="77777777" w:rsidR="007F365D" w:rsidRPr="006147BC" w:rsidRDefault="007F365D" w:rsidP="0075112C">
      <w:pPr>
        <w:keepNext/>
        <w:rPr>
          <w:b/>
          <w:bCs/>
          <w:i/>
          <w:iCs/>
        </w:rPr>
      </w:pPr>
      <w:r w:rsidRPr="006147BC">
        <w:rPr>
          <w:b/>
          <w:bCs/>
          <w:i/>
          <w:iCs/>
        </w:rPr>
        <w:t>Right to safe and healthy working conditions under the ICESCR</w:t>
      </w:r>
    </w:p>
    <w:p w14:paraId="0982F805" w14:textId="77777777" w:rsidR="007F365D" w:rsidRPr="006147BC" w:rsidRDefault="007F365D" w:rsidP="0075112C">
      <w:pPr>
        <w:pStyle w:val="LDBodytext"/>
        <w:keepNext/>
        <w:rPr>
          <w:b/>
          <w:bCs/>
          <w:i/>
          <w:iCs/>
        </w:rPr>
      </w:pPr>
      <w:r w:rsidRPr="006147BC">
        <w:rPr>
          <w:b/>
          <w:bCs/>
          <w:i/>
          <w:iCs/>
        </w:rPr>
        <w:t xml:space="preserve">Right to work under the </w:t>
      </w:r>
      <w:r w:rsidRPr="006147BC">
        <w:rPr>
          <w:b/>
          <w:bCs/>
          <w:i/>
          <w:iCs/>
          <w:lang w:eastAsia="en-AU"/>
        </w:rPr>
        <w:t>ICESCR</w:t>
      </w:r>
    </w:p>
    <w:p w14:paraId="00719D34" w14:textId="77777777" w:rsidR="007F365D" w:rsidRPr="006147BC" w:rsidRDefault="007F365D" w:rsidP="002C162F">
      <w:pPr>
        <w:pStyle w:val="LDBodytext"/>
      </w:pPr>
    </w:p>
    <w:p w14:paraId="3A829DFC" w14:textId="2C116D4F" w:rsidR="007F365D" w:rsidRPr="006147BC" w:rsidRDefault="007F365D" w:rsidP="007F365D">
      <w:pPr>
        <w:shd w:val="clear" w:color="auto" w:fill="FFFFFF"/>
        <w:rPr>
          <w:rFonts w:ascii="Times New Roman" w:hAnsi="Times New Roman"/>
        </w:rPr>
      </w:pPr>
      <w:r w:rsidRPr="006147BC">
        <w:rPr>
          <w:rFonts w:ascii="Times New Roman" w:hAnsi="Times New Roman"/>
        </w:rPr>
        <w:t>The COVID-19 pandemic has given rise to the need to observe Australian Government social distancing rules to prevent people contracting or spreading the virus. These rules apply to all, including to protect the life, health and safety of personnel engaged in aviation operations and associated activities like training.</w:t>
      </w:r>
    </w:p>
    <w:p w14:paraId="00124359" w14:textId="77777777" w:rsidR="007F365D" w:rsidRPr="006147BC" w:rsidRDefault="007F365D" w:rsidP="007F365D">
      <w:pPr>
        <w:shd w:val="clear" w:color="auto" w:fill="FFFFFF"/>
        <w:rPr>
          <w:rFonts w:ascii="Times New Roman" w:hAnsi="Times New Roman"/>
        </w:rPr>
      </w:pPr>
    </w:p>
    <w:p w14:paraId="21A88F03" w14:textId="3E6D29DC" w:rsidR="007F365D" w:rsidRPr="006147BC" w:rsidRDefault="007F365D" w:rsidP="007F365D">
      <w:pPr>
        <w:shd w:val="clear" w:color="auto" w:fill="FFFFFF"/>
        <w:rPr>
          <w:rFonts w:ascii="Times New Roman" w:hAnsi="Times New Roman"/>
        </w:rPr>
      </w:pPr>
      <w:r w:rsidRPr="006147BC">
        <w:rPr>
          <w:rFonts w:ascii="Times New Roman" w:hAnsi="Times New Roman"/>
        </w:rPr>
        <w:t>At the same time, aviation safety requires pilots and others to adhere to certain regulatory requirements concerning, for example, medical certification, ongoing operational review, proficiency, training, checking, cert</w:t>
      </w:r>
      <w:r w:rsidR="002C162F">
        <w:rPr>
          <w:rFonts w:ascii="Times New Roman" w:hAnsi="Times New Roman"/>
        </w:rPr>
        <w:t>ain</w:t>
      </w:r>
      <w:r w:rsidRPr="006147BC">
        <w:rPr>
          <w:rFonts w:ascii="Times New Roman" w:hAnsi="Times New Roman"/>
        </w:rPr>
        <w:t xml:space="preserve"> rating renewal and operations manual compliance.</w:t>
      </w:r>
    </w:p>
    <w:p w14:paraId="5A8325A1" w14:textId="77777777" w:rsidR="007F365D" w:rsidRPr="006147BC" w:rsidRDefault="007F365D" w:rsidP="007F365D">
      <w:pPr>
        <w:shd w:val="clear" w:color="auto" w:fill="FFFFFF"/>
        <w:rPr>
          <w:rFonts w:ascii="Times New Roman" w:hAnsi="Times New Roman"/>
        </w:rPr>
      </w:pPr>
    </w:p>
    <w:p w14:paraId="74D4814D" w14:textId="7E0EC611" w:rsidR="007F365D" w:rsidRPr="006147BC" w:rsidRDefault="007F365D" w:rsidP="007F365D">
      <w:pPr>
        <w:shd w:val="clear" w:color="auto" w:fill="FFFFFF"/>
        <w:rPr>
          <w:rFonts w:ascii="Times New Roman" w:hAnsi="Times New Roman"/>
        </w:rPr>
      </w:pPr>
      <w:r w:rsidRPr="006147BC">
        <w:rPr>
          <w:rFonts w:ascii="Times New Roman" w:hAnsi="Times New Roman"/>
        </w:rPr>
        <w:t xml:space="preserve">It follows that if essential aviation services are to be safely continued, under </w:t>
      </w:r>
      <w:r w:rsidRPr="006147BC">
        <w:t xml:space="preserve">safe and healthy working conditions, </w:t>
      </w:r>
      <w:r w:rsidRPr="006147BC">
        <w:rPr>
          <w:rFonts w:ascii="Times New Roman" w:hAnsi="Times New Roman"/>
        </w:rPr>
        <w:t>a careful and calculated balance has had to be struck between these competing objectives. Because of their temporary, calibrated and conditional nature, the range of exemptions in the exemption</w:t>
      </w:r>
      <w:r w:rsidR="0059591D" w:rsidRPr="006147BC">
        <w:rPr>
          <w:rFonts w:ascii="Times New Roman" w:hAnsi="Times New Roman"/>
        </w:rPr>
        <w:t>s amendment</w:t>
      </w:r>
      <w:r w:rsidRPr="006147BC">
        <w:rPr>
          <w:rFonts w:ascii="Times New Roman" w:hAnsi="Times New Roman"/>
        </w:rPr>
        <w:t xml:space="preserve"> instrument is considered to achieve an appropriate balance.</w:t>
      </w:r>
    </w:p>
    <w:p w14:paraId="28040D4E" w14:textId="77777777" w:rsidR="007F365D" w:rsidRPr="006147BC" w:rsidRDefault="007F365D" w:rsidP="007F365D">
      <w:pPr>
        <w:pStyle w:val="LDBodytext"/>
      </w:pPr>
    </w:p>
    <w:p w14:paraId="17716262" w14:textId="5D751472" w:rsidR="007F365D" w:rsidRPr="006147BC" w:rsidRDefault="007F365D" w:rsidP="007F365D">
      <w:pPr>
        <w:pStyle w:val="LDBodytext"/>
      </w:pPr>
      <w:r w:rsidRPr="006147BC">
        <w:t>A consequential effect of this balance is to protect the right to work of various categories of aviation personnel who might otherwise have lost that right, for example, by breaching proficiency</w:t>
      </w:r>
      <w:r w:rsidR="00E32421" w:rsidRPr="006147BC">
        <w:t xml:space="preserve"> or</w:t>
      </w:r>
      <w:r w:rsidRPr="006147BC">
        <w:t xml:space="preserve"> checking</w:t>
      </w:r>
      <w:r w:rsidR="00E32421" w:rsidRPr="006147BC">
        <w:t xml:space="preserve"> renewal requirements</w:t>
      </w:r>
      <w:r w:rsidRPr="006147BC">
        <w:t xml:space="preserve">, and operations manual compliance requirements. </w:t>
      </w:r>
      <w:r w:rsidR="00E32421" w:rsidRPr="006147BC">
        <w:t>Under the exemption</w:t>
      </w:r>
      <w:r w:rsidR="00B12A85">
        <w:t>s</w:t>
      </w:r>
      <w:r w:rsidR="00E32421" w:rsidRPr="006147BC">
        <w:t xml:space="preserve"> </w:t>
      </w:r>
      <w:r w:rsidR="00B12A85">
        <w:t xml:space="preserve">amendment </w:t>
      </w:r>
      <w:r w:rsidR="00E32421" w:rsidRPr="006147BC">
        <w:t>instrument, t</w:t>
      </w:r>
      <w:r w:rsidRPr="006147BC">
        <w:t>his is avoided</w:t>
      </w:r>
      <w:r w:rsidR="00E32421" w:rsidRPr="006147BC">
        <w:t>,</w:t>
      </w:r>
      <w:r w:rsidRPr="006147BC">
        <w:t xml:space="preserve"> for a temporary perio</w:t>
      </w:r>
      <w:r w:rsidR="00E32421" w:rsidRPr="006147BC">
        <w:t>d, by extending the time within which relevant renewal may be obtained.</w:t>
      </w:r>
    </w:p>
    <w:p w14:paraId="73D8035E" w14:textId="77777777" w:rsidR="007F365D" w:rsidRPr="006147BC" w:rsidRDefault="007F365D" w:rsidP="007F365D">
      <w:pPr>
        <w:pStyle w:val="LDBodytext"/>
      </w:pPr>
    </w:p>
    <w:p w14:paraId="41062F13" w14:textId="77777777" w:rsidR="007F365D" w:rsidRPr="006147BC" w:rsidRDefault="007F365D" w:rsidP="007F365D">
      <w:pPr>
        <w:jc w:val="both"/>
        <w:rPr>
          <w:rFonts w:ascii="Times New Roman" w:hAnsi="Times New Roman"/>
          <w:b/>
        </w:rPr>
      </w:pPr>
      <w:r w:rsidRPr="006147BC">
        <w:rPr>
          <w:rFonts w:ascii="Times New Roman" w:hAnsi="Times New Roman"/>
          <w:b/>
        </w:rPr>
        <w:t>Human rights implications</w:t>
      </w:r>
    </w:p>
    <w:p w14:paraId="2548C48B" w14:textId="620C257B" w:rsidR="007F365D" w:rsidRPr="006147BC" w:rsidRDefault="007F365D" w:rsidP="007F365D">
      <w:pPr>
        <w:pStyle w:val="BodyText"/>
        <w:rPr>
          <w:rFonts w:eastAsia="Calibri"/>
        </w:rPr>
      </w:pPr>
      <w:r w:rsidRPr="006147BC">
        <w:rPr>
          <w:rFonts w:ascii="Times New Roman" w:hAnsi="Times New Roman"/>
        </w:rPr>
        <w:t xml:space="preserve">The exemptions in the legislative instrument are compatible with the human rights and freedom recognised or declared in the international instruments listed in section 3 of the </w:t>
      </w:r>
      <w:r w:rsidRPr="006147BC">
        <w:rPr>
          <w:rFonts w:ascii="Times New Roman" w:hAnsi="Times New Roman"/>
          <w:i/>
          <w:iCs/>
        </w:rPr>
        <w:t>Human Rights (Parliamentary Scrutiny) Act 2011</w:t>
      </w:r>
      <w:r w:rsidRPr="006147BC">
        <w:rPr>
          <w:rFonts w:ascii="Times New Roman" w:hAnsi="Times New Roman"/>
        </w:rPr>
        <w:t xml:space="preserve">. To the extent that the instrument engages certain of these rights, it does so in a way that is </w:t>
      </w:r>
      <w:r w:rsidRPr="006147BC">
        <w:rPr>
          <w:rFonts w:eastAsia="Calibri"/>
        </w:rPr>
        <w:t>reasonable, necessary and proportionate to</w:t>
      </w:r>
      <w:r w:rsidR="0059591D" w:rsidRPr="006147BC">
        <w:rPr>
          <w:rFonts w:eastAsia="Calibri"/>
        </w:rPr>
        <w:t xml:space="preserve"> promote the right to life and</w:t>
      </w:r>
      <w:r w:rsidRPr="006147BC">
        <w:rPr>
          <w:rFonts w:eastAsia="Calibri"/>
        </w:rPr>
        <w:t xml:space="preserve"> ensure the safety of relevant aviation personnel during the COVID-19 pandemic</w:t>
      </w:r>
      <w:r w:rsidR="0059591D" w:rsidRPr="006147BC">
        <w:rPr>
          <w:rFonts w:eastAsia="Calibri"/>
        </w:rPr>
        <w:t xml:space="preserve">. This is done in a balanced </w:t>
      </w:r>
      <w:r w:rsidRPr="006147BC">
        <w:rPr>
          <w:rFonts w:eastAsia="Calibri"/>
        </w:rPr>
        <w:t>way that does not undermine aviation safety.</w:t>
      </w:r>
    </w:p>
    <w:p w14:paraId="73A8DDC3" w14:textId="77777777" w:rsidR="007F365D" w:rsidRPr="006147BC" w:rsidRDefault="007F365D" w:rsidP="007F365D">
      <w:pPr>
        <w:pStyle w:val="BodyText"/>
        <w:rPr>
          <w:rFonts w:ascii="Times New Roman" w:hAnsi="Times New Roman"/>
        </w:rPr>
      </w:pPr>
    </w:p>
    <w:p w14:paraId="305076CE" w14:textId="77777777" w:rsidR="007F365D" w:rsidRPr="006147BC" w:rsidRDefault="007F365D" w:rsidP="007F365D">
      <w:pPr>
        <w:jc w:val="both"/>
        <w:rPr>
          <w:rFonts w:ascii="Times New Roman" w:hAnsi="Times New Roman"/>
          <w:b/>
        </w:rPr>
      </w:pPr>
      <w:r w:rsidRPr="006147BC">
        <w:rPr>
          <w:rFonts w:ascii="Times New Roman" w:hAnsi="Times New Roman"/>
          <w:b/>
        </w:rPr>
        <w:t>Conclusion</w:t>
      </w:r>
    </w:p>
    <w:p w14:paraId="19EA8525" w14:textId="560A4ACA" w:rsidR="007F365D" w:rsidRPr="006147BC" w:rsidRDefault="007F365D" w:rsidP="007F365D">
      <w:pPr>
        <w:pStyle w:val="BodyText"/>
        <w:rPr>
          <w:rFonts w:ascii="Times New Roman" w:hAnsi="Times New Roman"/>
        </w:rPr>
      </w:pPr>
      <w:r w:rsidRPr="006147BC">
        <w:rPr>
          <w:rFonts w:ascii="Times New Roman" w:hAnsi="Times New Roman"/>
        </w:rPr>
        <w:t>This legislative instrument is compatible with human rights, and to the extent that it engages certain rights</w:t>
      </w:r>
      <w:r w:rsidR="005747E7" w:rsidRPr="006147BC">
        <w:rPr>
          <w:rFonts w:ascii="Times New Roman" w:hAnsi="Times New Roman"/>
        </w:rPr>
        <w:t>,</w:t>
      </w:r>
      <w:r w:rsidRPr="006147BC">
        <w:rPr>
          <w:rFonts w:ascii="Times New Roman" w:hAnsi="Times New Roman"/>
        </w:rPr>
        <w:t xml:space="preserve"> it does so in a way that, in the context of the COVID-19 pandemic, as far as practicable, promotes rather than limits those rights.</w:t>
      </w:r>
    </w:p>
    <w:p w14:paraId="4A40D7D5" w14:textId="77777777" w:rsidR="007F365D" w:rsidRPr="006147BC" w:rsidRDefault="007F365D" w:rsidP="00F15472">
      <w:pPr>
        <w:pStyle w:val="BodyText"/>
        <w:rPr>
          <w:rFonts w:ascii="Times New Roman" w:hAnsi="Times New Roman"/>
        </w:rPr>
      </w:pPr>
    </w:p>
    <w:p w14:paraId="0158A399" w14:textId="77777777" w:rsidR="00F15472" w:rsidRPr="006147BC" w:rsidRDefault="00F15472" w:rsidP="00F15472">
      <w:pPr>
        <w:pStyle w:val="BodyText"/>
        <w:rPr>
          <w:rFonts w:ascii="Times New Roman" w:hAnsi="Times New Roman"/>
        </w:rPr>
      </w:pPr>
    </w:p>
    <w:p w14:paraId="661C79BA" w14:textId="77777777" w:rsidR="00F15472" w:rsidRPr="006147BC" w:rsidRDefault="00F15472" w:rsidP="00F15472">
      <w:pPr>
        <w:spacing w:before="240" w:after="120"/>
        <w:jc w:val="center"/>
        <w:rPr>
          <w:rFonts w:ascii="Times New Roman" w:hAnsi="Times New Roman"/>
          <w:b/>
          <w:bCs/>
        </w:rPr>
      </w:pPr>
      <w:r w:rsidRPr="006147BC">
        <w:rPr>
          <w:rFonts w:ascii="Times New Roman" w:hAnsi="Times New Roman"/>
          <w:b/>
          <w:bCs/>
        </w:rPr>
        <w:t>Civil Aviation Safety Authority</w:t>
      </w:r>
    </w:p>
    <w:sectPr w:rsidR="00F15472" w:rsidRPr="006147BC" w:rsidSect="0087565B">
      <w:headerReference w:type="even" r:id="rId9"/>
      <w:headerReference w:type="default" r:id="rId10"/>
      <w:footerReference w:type="even" r:id="rId11"/>
      <w:footerReference w:type="default" r:id="rId12"/>
      <w:headerReference w:type="first" r:id="rId13"/>
      <w:footerReference w:type="first" r:id="rId14"/>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30CD4" w14:textId="77777777" w:rsidR="000E5F09" w:rsidRDefault="000E5F09">
      <w:r>
        <w:separator/>
      </w:r>
    </w:p>
  </w:endnote>
  <w:endnote w:type="continuationSeparator" w:id="0">
    <w:p w14:paraId="086CB272" w14:textId="77777777" w:rsidR="000E5F09" w:rsidRDefault="000E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3EAAD" w14:textId="77777777" w:rsidR="008E3A0F" w:rsidRDefault="008E3A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8D02F" w14:textId="77777777" w:rsidR="008E3A0F" w:rsidRDefault="008E3A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11F50" w14:textId="77777777" w:rsidR="008E3A0F" w:rsidRDefault="008E3A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3C650" w14:textId="77777777" w:rsidR="000E5F09" w:rsidRDefault="000E5F09">
      <w:r>
        <w:separator/>
      </w:r>
    </w:p>
  </w:footnote>
  <w:footnote w:type="continuationSeparator" w:id="0">
    <w:p w14:paraId="61E9B628" w14:textId="77777777" w:rsidR="000E5F09" w:rsidRDefault="000E5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FD88" w14:textId="77777777" w:rsidR="008E3A0F" w:rsidRDefault="008E3A0F"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8E3A0F" w:rsidRDefault="008E3A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AF45" w14:textId="3BBD5CA6" w:rsidR="008E3A0F" w:rsidRPr="00DE500D" w:rsidRDefault="000E5F09">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8E3A0F" w:rsidRPr="00DE500D">
          <w:rPr>
            <w:rFonts w:ascii="Times New Roman" w:hAnsi="Times New Roman"/>
          </w:rPr>
          <w:fldChar w:fldCharType="begin"/>
        </w:r>
        <w:r w:rsidR="008E3A0F" w:rsidRPr="00DE500D">
          <w:rPr>
            <w:rFonts w:ascii="Times New Roman" w:hAnsi="Times New Roman"/>
          </w:rPr>
          <w:instrText xml:space="preserve"> PAGE   \* MERGEFORMAT </w:instrText>
        </w:r>
        <w:r w:rsidR="008E3A0F" w:rsidRPr="00DE500D">
          <w:rPr>
            <w:rFonts w:ascii="Times New Roman" w:hAnsi="Times New Roman"/>
          </w:rPr>
          <w:fldChar w:fldCharType="separate"/>
        </w:r>
        <w:r w:rsidR="00951B0C">
          <w:rPr>
            <w:rFonts w:ascii="Times New Roman" w:hAnsi="Times New Roman"/>
            <w:noProof/>
          </w:rPr>
          <w:t>6</w:t>
        </w:r>
        <w:r w:rsidR="008E3A0F" w:rsidRPr="00DE500D">
          <w:rPr>
            <w:rFonts w:ascii="Times New Roman" w:hAnsi="Times New Roman"/>
            <w:noProof/>
          </w:rPr>
          <w:fldChar w:fldCharType="end"/>
        </w:r>
      </w:sdtContent>
    </w:sdt>
  </w:p>
  <w:p w14:paraId="3C79C794" w14:textId="77777777" w:rsidR="008E3A0F" w:rsidRPr="00DE500D" w:rsidRDefault="008E3A0F">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4718C" w14:textId="77777777" w:rsidR="008E3A0F" w:rsidRDefault="008E3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B9C"/>
    <w:multiLevelType w:val="hybridMultilevel"/>
    <w:tmpl w:val="B6960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9221AF9"/>
    <w:multiLevelType w:val="hybridMultilevel"/>
    <w:tmpl w:val="EEB09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57F355BF"/>
    <w:multiLevelType w:val="hybridMultilevel"/>
    <w:tmpl w:val="B2C83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nsid w:val="6630124F"/>
    <w:multiLevelType w:val="hybridMultilevel"/>
    <w:tmpl w:val="1584B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4540DD4"/>
    <w:multiLevelType w:val="hybridMultilevel"/>
    <w:tmpl w:val="729EA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5C55A5F"/>
    <w:multiLevelType w:val="hybridMultilevel"/>
    <w:tmpl w:val="6F7C8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10"/>
  </w:num>
  <w:num w:numId="5">
    <w:abstractNumId w:val="3"/>
  </w:num>
  <w:num w:numId="6">
    <w:abstractNumId w:val="7"/>
  </w:num>
  <w:num w:numId="7">
    <w:abstractNumId w:val="8"/>
  </w:num>
  <w:num w:numId="8">
    <w:abstractNumId w:val="18"/>
  </w:num>
  <w:num w:numId="9">
    <w:abstractNumId w:val="17"/>
  </w:num>
  <w:num w:numId="10">
    <w:abstractNumId w:val="13"/>
  </w:num>
  <w:num w:numId="11">
    <w:abstractNumId w:val="9"/>
  </w:num>
  <w:num w:numId="12">
    <w:abstractNumId w:val="2"/>
  </w:num>
  <w:num w:numId="13">
    <w:abstractNumId w:val="5"/>
  </w:num>
  <w:num w:numId="14">
    <w:abstractNumId w:val="6"/>
  </w:num>
  <w:num w:numId="15">
    <w:abstractNumId w:val="16"/>
  </w:num>
  <w:num w:numId="16">
    <w:abstractNumId w:val="14"/>
  </w:num>
  <w:num w:numId="17">
    <w:abstractNumId w:val="15"/>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2"/>
    <w:rsid w:val="00000CC6"/>
    <w:rsid w:val="00004406"/>
    <w:rsid w:val="00010B13"/>
    <w:rsid w:val="00011C42"/>
    <w:rsid w:val="000138B2"/>
    <w:rsid w:val="00014B80"/>
    <w:rsid w:val="00015467"/>
    <w:rsid w:val="00016A72"/>
    <w:rsid w:val="0001723C"/>
    <w:rsid w:val="00022831"/>
    <w:rsid w:val="000267B6"/>
    <w:rsid w:val="00034F94"/>
    <w:rsid w:val="00036A46"/>
    <w:rsid w:val="00040E9D"/>
    <w:rsid w:val="00041A34"/>
    <w:rsid w:val="00041C40"/>
    <w:rsid w:val="000506BA"/>
    <w:rsid w:val="00053356"/>
    <w:rsid w:val="000533BB"/>
    <w:rsid w:val="00055749"/>
    <w:rsid w:val="00060741"/>
    <w:rsid w:val="00060822"/>
    <w:rsid w:val="00060FAF"/>
    <w:rsid w:val="00061641"/>
    <w:rsid w:val="000621C3"/>
    <w:rsid w:val="00064A49"/>
    <w:rsid w:val="00070628"/>
    <w:rsid w:val="0007169F"/>
    <w:rsid w:val="00074414"/>
    <w:rsid w:val="000753DC"/>
    <w:rsid w:val="000755D1"/>
    <w:rsid w:val="00075A43"/>
    <w:rsid w:val="000800F9"/>
    <w:rsid w:val="000960ED"/>
    <w:rsid w:val="000A0DD4"/>
    <w:rsid w:val="000B158E"/>
    <w:rsid w:val="000B7CE3"/>
    <w:rsid w:val="000C0FB8"/>
    <w:rsid w:val="000C398B"/>
    <w:rsid w:val="000C49EA"/>
    <w:rsid w:val="000C7874"/>
    <w:rsid w:val="000E2632"/>
    <w:rsid w:val="000E2EDF"/>
    <w:rsid w:val="000E5E74"/>
    <w:rsid w:val="000E5F09"/>
    <w:rsid w:val="000F1625"/>
    <w:rsid w:val="000F2997"/>
    <w:rsid w:val="000F69D6"/>
    <w:rsid w:val="0010297C"/>
    <w:rsid w:val="001040D9"/>
    <w:rsid w:val="00111147"/>
    <w:rsid w:val="001117BC"/>
    <w:rsid w:val="00111F03"/>
    <w:rsid w:val="00112B87"/>
    <w:rsid w:val="0012048F"/>
    <w:rsid w:val="00122A90"/>
    <w:rsid w:val="0013404B"/>
    <w:rsid w:val="00137848"/>
    <w:rsid w:val="001416F8"/>
    <w:rsid w:val="00147014"/>
    <w:rsid w:val="00147A8F"/>
    <w:rsid w:val="00152AF9"/>
    <w:rsid w:val="0016073F"/>
    <w:rsid w:val="00165C94"/>
    <w:rsid w:val="00167A8B"/>
    <w:rsid w:val="00167F3C"/>
    <w:rsid w:val="0017091E"/>
    <w:rsid w:val="00171CBE"/>
    <w:rsid w:val="00175C40"/>
    <w:rsid w:val="00175FFD"/>
    <w:rsid w:val="00185F18"/>
    <w:rsid w:val="001915ED"/>
    <w:rsid w:val="00192345"/>
    <w:rsid w:val="00194C1C"/>
    <w:rsid w:val="00196951"/>
    <w:rsid w:val="001A04AD"/>
    <w:rsid w:val="001A3C7F"/>
    <w:rsid w:val="001A4BF8"/>
    <w:rsid w:val="001B2932"/>
    <w:rsid w:val="001B3925"/>
    <w:rsid w:val="001B6ADD"/>
    <w:rsid w:val="001C0A45"/>
    <w:rsid w:val="001C3227"/>
    <w:rsid w:val="001C4F02"/>
    <w:rsid w:val="001C6A3E"/>
    <w:rsid w:val="001C6A4E"/>
    <w:rsid w:val="001C6FAC"/>
    <w:rsid w:val="001C737A"/>
    <w:rsid w:val="001C7889"/>
    <w:rsid w:val="001D044C"/>
    <w:rsid w:val="001D185E"/>
    <w:rsid w:val="001D7FB9"/>
    <w:rsid w:val="001E2227"/>
    <w:rsid w:val="001E75B7"/>
    <w:rsid w:val="001E7F3C"/>
    <w:rsid w:val="001F0917"/>
    <w:rsid w:val="001F0BA3"/>
    <w:rsid w:val="001F1A52"/>
    <w:rsid w:val="001F6E08"/>
    <w:rsid w:val="002003CA"/>
    <w:rsid w:val="002009EB"/>
    <w:rsid w:val="00205BE7"/>
    <w:rsid w:val="0020678C"/>
    <w:rsid w:val="002079A0"/>
    <w:rsid w:val="002110B1"/>
    <w:rsid w:val="002113D6"/>
    <w:rsid w:val="00212DC3"/>
    <w:rsid w:val="0022022E"/>
    <w:rsid w:val="00221CE9"/>
    <w:rsid w:val="0022668C"/>
    <w:rsid w:val="00230527"/>
    <w:rsid w:val="00233C0F"/>
    <w:rsid w:val="00236271"/>
    <w:rsid w:val="00240BAB"/>
    <w:rsid w:val="002419B6"/>
    <w:rsid w:val="002426E8"/>
    <w:rsid w:val="00243DED"/>
    <w:rsid w:val="00246765"/>
    <w:rsid w:val="002472BB"/>
    <w:rsid w:val="00247B1B"/>
    <w:rsid w:val="0026718E"/>
    <w:rsid w:val="002700B5"/>
    <w:rsid w:val="00272EB4"/>
    <w:rsid w:val="00274D07"/>
    <w:rsid w:val="0028527D"/>
    <w:rsid w:val="002877C6"/>
    <w:rsid w:val="00293BB6"/>
    <w:rsid w:val="00295129"/>
    <w:rsid w:val="00295588"/>
    <w:rsid w:val="0029689B"/>
    <w:rsid w:val="002A06D3"/>
    <w:rsid w:val="002A1419"/>
    <w:rsid w:val="002A3C18"/>
    <w:rsid w:val="002A5299"/>
    <w:rsid w:val="002A64BF"/>
    <w:rsid w:val="002B417A"/>
    <w:rsid w:val="002B492F"/>
    <w:rsid w:val="002B6535"/>
    <w:rsid w:val="002B6899"/>
    <w:rsid w:val="002B6939"/>
    <w:rsid w:val="002C0F30"/>
    <w:rsid w:val="002C162F"/>
    <w:rsid w:val="002C7E6E"/>
    <w:rsid w:val="002D3638"/>
    <w:rsid w:val="002D5C0E"/>
    <w:rsid w:val="002E023A"/>
    <w:rsid w:val="002E292F"/>
    <w:rsid w:val="002E61C2"/>
    <w:rsid w:val="002F1250"/>
    <w:rsid w:val="002F6BA2"/>
    <w:rsid w:val="00301337"/>
    <w:rsid w:val="003068D0"/>
    <w:rsid w:val="003118B6"/>
    <w:rsid w:val="0031655F"/>
    <w:rsid w:val="003224BD"/>
    <w:rsid w:val="003231EC"/>
    <w:rsid w:val="003246CB"/>
    <w:rsid w:val="00324A5B"/>
    <w:rsid w:val="00332B70"/>
    <w:rsid w:val="00333DF9"/>
    <w:rsid w:val="00336E3A"/>
    <w:rsid w:val="003372FB"/>
    <w:rsid w:val="00340712"/>
    <w:rsid w:val="00341167"/>
    <w:rsid w:val="0034240C"/>
    <w:rsid w:val="00343AFC"/>
    <w:rsid w:val="00344148"/>
    <w:rsid w:val="003472DA"/>
    <w:rsid w:val="00347736"/>
    <w:rsid w:val="00355A26"/>
    <w:rsid w:val="00356DC6"/>
    <w:rsid w:val="003614EC"/>
    <w:rsid w:val="003625B5"/>
    <w:rsid w:val="003646F4"/>
    <w:rsid w:val="0037070B"/>
    <w:rsid w:val="00372AD9"/>
    <w:rsid w:val="00372CA1"/>
    <w:rsid w:val="0037388B"/>
    <w:rsid w:val="00375DDB"/>
    <w:rsid w:val="00385426"/>
    <w:rsid w:val="00395991"/>
    <w:rsid w:val="003A5769"/>
    <w:rsid w:val="003B18D6"/>
    <w:rsid w:val="003B259D"/>
    <w:rsid w:val="003B5D0D"/>
    <w:rsid w:val="003C7BD5"/>
    <w:rsid w:val="003D37BE"/>
    <w:rsid w:val="003D4005"/>
    <w:rsid w:val="003D6D7B"/>
    <w:rsid w:val="003E0426"/>
    <w:rsid w:val="003E054D"/>
    <w:rsid w:val="003E1083"/>
    <w:rsid w:val="003E1D92"/>
    <w:rsid w:val="003F1CE7"/>
    <w:rsid w:val="003F20FB"/>
    <w:rsid w:val="003F39B1"/>
    <w:rsid w:val="003F4408"/>
    <w:rsid w:val="003F6830"/>
    <w:rsid w:val="003F6A81"/>
    <w:rsid w:val="00402119"/>
    <w:rsid w:val="00405C77"/>
    <w:rsid w:val="00406E53"/>
    <w:rsid w:val="004144E5"/>
    <w:rsid w:val="00416CA5"/>
    <w:rsid w:val="004174CA"/>
    <w:rsid w:val="00426700"/>
    <w:rsid w:val="004303FA"/>
    <w:rsid w:val="0043264F"/>
    <w:rsid w:val="00432E63"/>
    <w:rsid w:val="00435589"/>
    <w:rsid w:val="00435656"/>
    <w:rsid w:val="004369E9"/>
    <w:rsid w:val="00437324"/>
    <w:rsid w:val="004375A7"/>
    <w:rsid w:val="0044009D"/>
    <w:rsid w:val="00444508"/>
    <w:rsid w:val="00456059"/>
    <w:rsid w:val="004642DB"/>
    <w:rsid w:val="00470FCF"/>
    <w:rsid w:val="00471EF8"/>
    <w:rsid w:val="00475DF8"/>
    <w:rsid w:val="00475EC3"/>
    <w:rsid w:val="00480771"/>
    <w:rsid w:val="0048144D"/>
    <w:rsid w:val="00485920"/>
    <w:rsid w:val="00486E67"/>
    <w:rsid w:val="00487302"/>
    <w:rsid w:val="00491AE3"/>
    <w:rsid w:val="00492881"/>
    <w:rsid w:val="004A05BD"/>
    <w:rsid w:val="004A2525"/>
    <w:rsid w:val="004A502E"/>
    <w:rsid w:val="004A5BF6"/>
    <w:rsid w:val="004A651B"/>
    <w:rsid w:val="004B029C"/>
    <w:rsid w:val="004C146B"/>
    <w:rsid w:val="004C227D"/>
    <w:rsid w:val="004C3D19"/>
    <w:rsid w:val="004D2ED2"/>
    <w:rsid w:val="004D561E"/>
    <w:rsid w:val="004D58BE"/>
    <w:rsid w:val="004D73F7"/>
    <w:rsid w:val="004E4A92"/>
    <w:rsid w:val="004E4C92"/>
    <w:rsid w:val="004E56B7"/>
    <w:rsid w:val="004F24BE"/>
    <w:rsid w:val="004F32BA"/>
    <w:rsid w:val="004F7996"/>
    <w:rsid w:val="0050045A"/>
    <w:rsid w:val="00500BB9"/>
    <w:rsid w:val="00503B3B"/>
    <w:rsid w:val="00503C74"/>
    <w:rsid w:val="00504AD0"/>
    <w:rsid w:val="00516E03"/>
    <w:rsid w:val="00517C49"/>
    <w:rsid w:val="00525061"/>
    <w:rsid w:val="00530009"/>
    <w:rsid w:val="0053048A"/>
    <w:rsid w:val="00533193"/>
    <w:rsid w:val="00533D49"/>
    <w:rsid w:val="005349BA"/>
    <w:rsid w:val="00534FE2"/>
    <w:rsid w:val="00540ADE"/>
    <w:rsid w:val="00540BF4"/>
    <w:rsid w:val="00544525"/>
    <w:rsid w:val="0054577B"/>
    <w:rsid w:val="00552BE3"/>
    <w:rsid w:val="0055487B"/>
    <w:rsid w:val="00556645"/>
    <w:rsid w:val="00556D7B"/>
    <w:rsid w:val="00557748"/>
    <w:rsid w:val="00561037"/>
    <w:rsid w:val="005622ED"/>
    <w:rsid w:val="00562641"/>
    <w:rsid w:val="00562C0B"/>
    <w:rsid w:val="0056477D"/>
    <w:rsid w:val="00567E05"/>
    <w:rsid w:val="005721FE"/>
    <w:rsid w:val="005747E7"/>
    <w:rsid w:val="00577D54"/>
    <w:rsid w:val="00582FEC"/>
    <w:rsid w:val="00585EAA"/>
    <w:rsid w:val="00586DE4"/>
    <w:rsid w:val="00591F19"/>
    <w:rsid w:val="00593649"/>
    <w:rsid w:val="0059591D"/>
    <w:rsid w:val="00597C08"/>
    <w:rsid w:val="005A028B"/>
    <w:rsid w:val="005A25ED"/>
    <w:rsid w:val="005A2AE9"/>
    <w:rsid w:val="005A2BDE"/>
    <w:rsid w:val="005B0126"/>
    <w:rsid w:val="005B3B9B"/>
    <w:rsid w:val="005C00DA"/>
    <w:rsid w:val="005C1BEF"/>
    <w:rsid w:val="005C2285"/>
    <w:rsid w:val="005C43E0"/>
    <w:rsid w:val="005C7863"/>
    <w:rsid w:val="005C7915"/>
    <w:rsid w:val="005D0C6B"/>
    <w:rsid w:val="005D0F3B"/>
    <w:rsid w:val="005D196C"/>
    <w:rsid w:val="005D2BD1"/>
    <w:rsid w:val="005D766B"/>
    <w:rsid w:val="005E70E1"/>
    <w:rsid w:val="005F17CB"/>
    <w:rsid w:val="005F24D7"/>
    <w:rsid w:val="005F27BE"/>
    <w:rsid w:val="005F37F8"/>
    <w:rsid w:val="005F3EDA"/>
    <w:rsid w:val="005F63CD"/>
    <w:rsid w:val="005F6CD9"/>
    <w:rsid w:val="005F79B2"/>
    <w:rsid w:val="006109DD"/>
    <w:rsid w:val="00610E66"/>
    <w:rsid w:val="00612DDB"/>
    <w:rsid w:val="006147BC"/>
    <w:rsid w:val="00615A68"/>
    <w:rsid w:val="00621729"/>
    <w:rsid w:val="00621B3D"/>
    <w:rsid w:val="0062346F"/>
    <w:rsid w:val="006237E3"/>
    <w:rsid w:val="00624ECD"/>
    <w:rsid w:val="00631BBA"/>
    <w:rsid w:val="00633B9C"/>
    <w:rsid w:val="00634603"/>
    <w:rsid w:val="006361BF"/>
    <w:rsid w:val="00637861"/>
    <w:rsid w:val="00642009"/>
    <w:rsid w:val="00643EE2"/>
    <w:rsid w:val="00646118"/>
    <w:rsid w:val="0064751B"/>
    <w:rsid w:val="00657652"/>
    <w:rsid w:val="0065771E"/>
    <w:rsid w:val="006615A1"/>
    <w:rsid w:val="00662F66"/>
    <w:rsid w:val="00664B8C"/>
    <w:rsid w:val="00665F76"/>
    <w:rsid w:val="00667C27"/>
    <w:rsid w:val="00671499"/>
    <w:rsid w:val="00674352"/>
    <w:rsid w:val="00676727"/>
    <w:rsid w:val="00677897"/>
    <w:rsid w:val="00677FE6"/>
    <w:rsid w:val="00681E76"/>
    <w:rsid w:val="006827C8"/>
    <w:rsid w:val="00695F02"/>
    <w:rsid w:val="006A1821"/>
    <w:rsid w:val="006A1D98"/>
    <w:rsid w:val="006B24A6"/>
    <w:rsid w:val="006B27EF"/>
    <w:rsid w:val="006C1EDB"/>
    <w:rsid w:val="006C28A3"/>
    <w:rsid w:val="006C293D"/>
    <w:rsid w:val="006C4A2A"/>
    <w:rsid w:val="006D3ED7"/>
    <w:rsid w:val="006D7D0C"/>
    <w:rsid w:val="006E2F37"/>
    <w:rsid w:val="006E7488"/>
    <w:rsid w:val="007004BB"/>
    <w:rsid w:val="00702806"/>
    <w:rsid w:val="00706280"/>
    <w:rsid w:val="0071261B"/>
    <w:rsid w:val="00715473"/>
    <w:rsid w:val="00717B27"/>
    <w:rsid w:val="007275B9"/>
    <w:rsid w:val="007320F0"/>
    <w:rsid w:val="00736558"/>
    <w:rsid w:val="00736945"/>
    <w:rsid w:val="007465DA"/>
    <w:rsid w:val="007472C1"/>
    <w:rsid w:val="00747B16"/>
    <w:rsid w:val="0075112C"/>
    <w:rsid w:val="00754F6A"/>
    <w:rsid w:val="007570F5"/>
    <w:rsid w:val="007635D5"/>
    <w:rsid w:val="00766056"/>
    <w:rsid w:val="00767F43"/>
    <w:rsid w:val="007770A5"/>
    <w:rsid w:val="00777A32"/>
    <w:rsid w:val="00777BFF"/>
    <w:rsid w:val="00783ED7"/>
    <w:rsid w:val="007845BA"/>
    <w:rsid w:val="007863CA"/>
    <w:rsid w:val="007871C5"/>
    <w:rsid w:val="007952BC"/>
    <w:rsid w:val="0079536A"/>
    <w:rsid w:val="00795A57"/>
    <w:rsid w:val="007A1161"/>
    <w:rsid w:val="007A3FDE"/>
    <w:rsid w:val="007A4B9B"/>
    <w:rsid w:val="007A671B"/>
    <w:rsid w:val="007B23C1"/>
    <w:rsid w:val="007B30C7"/>
    <w:rsid w:val="007B5027"/>
    <w:rsid w:val="007B6DA4"/>
    <w:rsid w:val="007C233D"/>
    <w:rsid w:val="007C3996"/>
    <w:rsid w:val="007C3E8A"/>
    <w:rsid w:val="007C41CC"/>
    <w:rsid w:val="007C437E"/>
    <w:rsid w:val="007C58FF"/>
    <w:rsid w:val="007D13DC"/>
    <w:rsid w:val="007D503C"/>
    <w:rsid w:val="007D6FFC"/>
    <w:rsid w:val="007E258F"/>
    <w:rsid w:val="007E5BC0"/>
    <w:rsid w:val="007E7BC0"/>
    <w:rsid w:val="007F1BC6"/>
    <w:rsid w:val="007F365D"/>
    <w:rsid w:val="007F7FCE"/>
    <w:rsid w:val="0080080A"/>
    <w:rsid w:val="00800AF8"/>
    <w:rsid w:val="00800D7E"/>
    <w:rsid w:val="008051C0"/>
    <w:rsid w:val="0080539E"/>
    <w:rsid w:val="008064CD"/>
    <w:rsid w:val="00810C28"/>
    <w:rsid w:val="00812257"/>
    <w:rsid w:val="008141E8"/>
    <w:rsid w:val="00814429"/>
    <w:rsid w:val="00815452"/>
    <w:rsid w:val="00815785"/>
    <w:rsid w:val="0081600E"/>
    <w:rsid w:val="00817B64"/>
    <w:rsid w:val="008216A3"/>
    <w:rsid w:val="0082694A"/>
    <w:rsid w:val="008344FB"/>
    <w:rsid w:val="0084550E"/>
    <w:rsid w:val="00847E5C"/>
    <w:rsid w:val="00851F50"/>
    <w:rsid w:val="008521DC"/>
    <w:rsid w:val="00853110"/>
    <w:rsid w:val="008641A5"/>
    <w:rsid w:val="00864336"/>
    <w:rsid w:val="00864CC1"/>
    <w:rsid w:val="008704AA"/>
    <w:rsid w:val="00870EE6"/>
    <w:rsid w:val="00871ECF"/>
    <w:rsid w:val="00872E2D"/>
    <w:rsid w:val="008752A7"/>
    <w:rsid w:val="0087565B"/>
    <w:rsid w:val="00882C48"/>
    <w:rsid w:val="00890FAE"/>
    <w:rsid w:val="0089111F"/>
    <w:rsid w:val="00892889"/>
    <w:rsid w:val="00893143"/>
    <w:rsid w:val="00893D88"/>
    <w:rsid w:val="00896022"/>
    <w:rsid w:val="008A18FE"/>
    <w:rsid w:val="008A284A"/>
    <w:rsid w:val="008A28F1"/>
    <w:rsid w:val="008A6853"/>
    <w:rsid w:val="008B5640"/>
    <w:rsid w:val="008C7BC7"/>
    <w:rsid w:val="008E3A0F"/>
    <w:rsid w:val="008E6A91"/>
    <w:rsid w:val="008E708F"/>
    <w:rsid w:val="008F0F14"/>
    <w:rsid w:val="008F31D4"/>
    <w:rsid w:val="00904AE6"/>
    <w:rsid w:val="00906644"/>
    <w:rsid w:val="0091681D"/>
    <w:rsid w:val="00917169"/>
    <w:rsid w:val="009222A7"/>
    <w:rsid w:val="0092322C"/>
    <w:rsid w:val="00924E49"/>
    <w:rsid w:val="00932AE2"/>
    <w:rsid w:val="00935C5F"/>
    <w:rsid w:val="00943CC6"/>
    <w:rsid w:val="0095042D"/>
    <w:rsid w:val="009508F4"/>
    <w:rsid w:val="00951B0C"/>
    <w:rsid w:val="00951D77"/>
    <w:rsid w:val="00952DF5"/>
    <w:rsid w:val="00962CEC"/>
    <w:rsid w:val="0096537F"/>
    <w:rsid w:val="0096714A"/>
    <w:rsid w:val="00974AD1"/>
    <w:rsid w:val="009950C9"/>
    <w:rsid w:val="009A20E4"/>
    <w:rsid w:val="009A649F"/>
    <w:rsid w:val="009B217F"/>
    <w:rsid w:val="009B2686"/>
    <w:rsid w:val="009B2DAA"/>
    <w:rsid w:val="009B5189"/>
    <w:rsid w:val="009C0971"/>
    <w:rsid w:val="009C1C50"/>
    <w:rsid w:val="009C4CB3"/>
    <w:rsid w:val="009C7BA5"/>
    <w:rsid w:val="009C7F01"/>
    <w:rsid w:val="009D1228"/>
    <w:rsid w:val="009D50CE"/>
    <w:rsid w:val="009D549B"/>
    <w:rsid w:val="009D5C44"/>
    <w:rsid w:val="009D72C2"/>
    <w:rsid w:val="009E1744"/>
    <w:rsid w:val="009E3D72"/>
    <w:rsid w:val="009E4DCF"/>
    <w:rsid w:val="009E614C"/>
    <w:rsid w:val="009E6431"/>
    <w:rsid w:val="009F0A6B"/>
    <w:rsid w:val="009F3823"/>
    <w:rsid w:val="009F7042"/>
    <w:rsid w:val="00A02592"/>
    <w:rsid w:val="00A02957"/>
    <w:rsid w:val="00A12704"/>
    <w:rsid w:val="00A12E85"/>
    <w:rsid w:val="00A15CF4"/>
    <w:rsid w:val="00A16F24"/>
    <w:rsid w:val="00A17EFC"/>
    <w:rsid w:val="00A208D8"/>
    <w:rsid w:val="00A208DD"/>
    <w:rsid w:val="00A21B0B"/>
    <w:rsid w:val="00A226D3"/>
    <w:rsid w:val="00A22F52"/>
    <w:rsid w:val="00A26DBA"/>
    <w:rsid w:val="00A30989"/>
    <w:rsid w:val="00A35842"/>
    <w:rsid w:val="00A36B4E"/>
    <w:rsid w:val="00A40C5E"/>
    <w:rsid w:val="00A44D37"/>
    <w:rsid w:val="00A45165"/>
    <w:rsid w:val="00A46A24"/>
    <w:rsid w:val="00A47524"/>
    <w:rsid w:val="00A5335F"/>
    <w:rsid w:val="00A53FE8"/>
    <w:rsid w:val="00A575EB"/>
    <w:rsid w:val="00A57DAF"/>
    <w:rsid w:val="00A623C3"/>
    <w:rsid w:val="00A6467E"/>
    <w:rsid w:val="00A7050F"/>
    <w:rsid w:val="00A71CFA"/>
    <w:rsid w:val="00A72877"/>
    <w:rsid w:val="00A779E2"/>
    <w:rsid w:val="00A81DA4"/>
    <w:rsid w:val="00A847DF"/>
    <w:rsid w:val="00A879D7"/>
    <w:rsid w:val="00A9048C"/>
    <w:rsid w:val="00A905B1"/>
    <w:rsid w:val="00A931C6"/>
    <w:rsid w:val="00AA0A0C"/>
    <w:rsid w:val="00AA0A0D"/>
    <w:rsid w:val="00AA13CC"/>
    <w:rsid w:val="00AA60F9"/>
    <w:rsid w:val="00AA76A4"/>
    <w:rsid w:val="00AA7765"/>
    <w:rsid w:val="00AB0410"/>
    <w:rsid w:val="00AB4998"/>
    <w:rsid w:val="00AB770F"/>
    <w:rsid w:val="00AC0919"/>
    <w:rsid w:val="00AC458E"/>
    <w:rsid w:val="00AD2C23"/>
    <w:rsid w:val="00AD3C07"/>
    <w:rsid w:val="00AE00B6"/>
    <w:rsid w:val="00AE253A"/>
    <w:rsid w:val="00AE5BB7"/>
    <w:rsid w:val="00AF498E"/>
    <w:rsid w:val="00AF5674"/>
    <w:rsid w:val="00AF663E"/>
    <w:rsid w:val="00B032F6"/>
    <w:rsid w:val="00B03D22"/>
    <w:rsid w:val="00B0578D"/>
    <w:rsid w:val="00B11BC6"/>
    <w:rsid w:val="00B11D80"/>
    <w:rsid w:val="00B12A85"/>
    <w:rsid w:val="00B165D4"/>
    <w:rsid w:val="00B21B83"/>
    <w:rsid w:val="00B22DF0"/>
    <w:rsid w:val="00B30311"/>
    <w:rsid w:val="00B34262"/>
    <w:rsid w:val="00B34AE2"/>
    <w:rsid w:val="00B36CC3"/>
    <w:rsid w:val="00B37E23"/>
    <w:rsid w:val="00B40843"/>
    <w:rsid w:val="00B44B9B"/>
    <w:rsid w:val="00B44C86"/>
    <w:rsid w:val="00B459A6"/>
    <w:rsid w:val="00B45C4A"/>
    <w:rsid w:val="00B4605E"/>
    <w:rsid w:val="00B470A0"/>
    <w:rsid w:val="00B54D78"/>
    <w:rsid w:val="00B550F9"/>
    <w:rsid w:val="00B55AD9"/>
    <w:rsid w:val="00B56336"/>
    <w:rsid w:val="00B564A2"/>
    <w:rsid w:val="00B65966"/>
    <w:rsid w:val="00B66A5E"/>
    <w:rsid w:val="00B66C5E"/>
    <w:rsid w:val="00B7029C"/>
    <w:rsid w:val="00B70A8F"/>
    <w:rsid w:val="00B73130"/>
    <w:rsid w:val="00B7571D"/>
    <w:rsid w:val="00B76185"/>
    <w:rsid w:val="00B77AF2"/>
    <w:rsid w:val="00B82A07"/>
    <w:rsid w:val="00B84780"/>
    <w:rsid w:val="00B85232"/>
    <w:rsid w:val="00B8767F"/>
    <w:rsid w:val="00B90FCD"/>
    <w:rsid w:val="00B93A57"/>
    <w:rsid w:val="00B93DF9"/>
    <w:rsid w:val="00BA13B8"/>
    <w:rsid w:val="00BA1892"/>
    <w:rsid w:val="00BA2455"/>
    <w:rsid w:val="00BA2A63"/>
    <w:rsid w:val="00BA3090"/>
    <w:rsid w:val="00BA332B"/>
    <w:rsid w:val="00BA57F6"/>
    <w:rsid w:val="00BA65BD"/>
    <w:rsid w:val="00BA6913"/>
    <w:rsid w:val="00BA79D6"/>
    <w:rsid w:val="00BB1B7C"/>
    <w:rsid w:val="00BB1E62"/>
    <w:rsid w:val="00BC139D"/>
    <w:rsid w:val="00BC2975"/>
    <w:rsid w:val="00BC68DC"/>
    <w:rsid w:val="00BC7C38"/>
    <w:rsid w:val="00BD50C3"/>
    <w:rsid w:val="00BD60B7"/>
    <w:rsid w:val="00BD6197"/>
    <w:rsid w:val="00BE0002"/>
    <w:rsid w:val="00BE18F4"/>
    <w:rsid w:val="00BF1698"/>
    <w:rsid w:val="00BF6839"/>
    <w:rsid w:val="00C14058"/>
    <w:rsid w:val="00C16780"/>
    <w:rsid w:val="00C22E2B"/>
    <w:rsid w:val="00C27A0A"/>
    <w:rsid w:val="00C318C1"/>
    <w:rsid w:val="00C324EB"/>
    <w:rsid w:val="00C32BFF"/>
    <w:rsid w:val="00C34EA0"/>
    <w:rsid w:val="00C43A67"/>
    <w:rsid w:val="00C4578B"/>
    <w:rsid w:val="00C52B73"/>
    <w:rsid w:val="00C56EED"/>
    <w:rsid w:val="00C608AA"/>
    <w:rsid w:val="00C60A76"/>
    <w:rsid w:val="00C62571"/>
    <w:rsid w:val="00C64EFB"/>
    <w:rsid w:val="00C748D0"/>
    <w:rsid w:val="00C7498B"/>
    <w:rsid w:val="00C76DC6"/>
    <w:rsid w:val="00C812B2"/>
    <w:rsid w:val="00C826A0"/>
    <w:rsid w:val="00C853F3"/>
    <w:rsid w:val="00C855DB"/>
    <w:rsid w:val="00C911C2"/>
    <w:rsid w:val="00CA0ECE"/>
    <w:rsid w:val="00CB44F5"/>
    <w:rsid w:val="00CE2087"/>
    <w:rsid w:val="00CE3F5E"/>
    <w:rsid w:val="00CE7249"/>
    <w:rsid w:val="00CE7578"/>
    <w:rsid w:val="00CF337F"/>
    <w:rsid w:val="00CF5D5E"/>
    <w:rsid w:val="00D0736B"/>
    <w:rsid w:val="00D10B05"/>
    <w:rsid w:val="00D1284D"/>
    <w:rsid w:val="00D13BA6"/>
    <w:rsid w:val="00D21BB2"/>
    <w:rsid w:val="00D23ACE"/>
    <w:rsid w:val="00D274B2"/>
    <w:rsid w:val="00D30A6B"/>
    <w:rsid w:val="00D312CD"/>
    <w:rsid w:val="00D324C7"/>
    <w:rsid w:val="00D341A6"/>
    <w:rsid w:val="00D3494A"/>
    <w:rsid w:val="00D3628D"/>
    <w:rsid w:val="00D40616"/>
    <w:rsid w:val="00D43FD9"/>
    <w:rsid w:val="00D46070"/>
    <w:rsid w:val="00D46DC1"/>
    <w:rsid w:val="00D479FB"/>
    <w:rsid w:val="00D51583"/>
    <w:rsid w:val="00D52167"/>
    <w:rsid w:val="00D5263A"/>
    <w:rsid w:val="00D5321F"/>
    <w:rsid w:val="00D5369E"/>
    <w:rsid w:val="00D54FC1"/>
    <w:rsid w:val="00D61249"/>
    <w:rsid w:val="00D61ED8"/>
    <w:rsid w:val="00D62405"/>
    <w:rsid w:val="00D802E3"/>
    <w:rsid w:val="00D81199"/>
    <w:rsid w:val="00D82DCF"/>
    <w:rsid w:val="00D82FB8"/>
    <w:rsid w:val="00D84210"/>
    <w:rsid w:val="00D84B83"/>
    <w:rsid w:val="00D8527D"/>
    <w:rsid w:val="00D85C25"/>
    <w:rsid w:val="00D90867"/>
    <w:rsid w:val="00D90C5B"/>
    <w:rsid w:val="00D91A18"/>
    <w:rsid w:val="00D91B40"/>
    <w:rsid w:val="00D940D6"/>
    <w:rsid w:val="00D95397"/>
    <w:rsid w:val="00D955DE"/>
    <w:rsid w:val="00DA131F"/>
    <w:rsid w:val="00DA27E3"/>
    <w:rsid w:val="00DA587F"/>
    <w:rsid w:val="00DA616F"/>
    <w:rsid w:val="00DB204F"/>
    <w:rsid w:val="00DB45C4"/>
    <w:rsid w:val="00DC00EE"/>
    <w:rsid w:val="00DC0ADF"/>
    <w:rsid w:val="00DC0B05"/>
    <w:rsid w:val="00DC428C"/>
    <w:rsid w:val="00DD5813"/>
    <w:rsid w:val="00DD5E59"/>
    <w:rsid w:val="00DD7872"/>
    <w:rsid w:val="00DE500D"/>
    <w:rsid w:val="00DE6BA8"/>
    <w:rsid w:val="00DF0906"/>
    <w:rsid w:val="00DF4389"/>
    <w:rsid w:val="00DF4EB9"/>
    <w:rsid w:val="00E02C05"/>
    <w:rsid w:val="00E06862"/>
    <w:rsid w:val="00E078B1"/>
    <w:rsid w:val="00E10030"/>
    <w:rsid w:val="00E12F38"/>
    <w:rsid w:val="00E16CFE"/>
    <w:rsid w:val="00E20EA4"/>
    <w:rsid w:val="00E25843"/>
    <w:rsid w:val="00E32421"/>
    <w:rsid w:val="00E364D8"/>
    <w:rsid w:val="00E36A50"/>
    <w:rsid w:val="00E42306"/>
    <w:rsid w:val="00E4261A"/>
    <w:rsid w:val="00E528D7"/>
    <w:rsid w:val="00E61E37"/>
    <w:rsid w:val="00E6565D"/>
    <w:rsid w:val="00E6687D"/>
    <w:rsid w:val="00E67D1C"/>
    <w:rsid w:val="00E70560"/>
    <w:rsid w:val="00E739D7"/>
    <w:rsid w:val="00E74C1F"/>
    <w:rsid w:val="00E81077"/>
    <w:rsid w:val="00E83263"/>
    <w:rsid w:val="00E83E2A"/>
    <w:rsid w:val="00E91B5F"/>
    <w:rsid w:val="00E9282E"/>
    <w:rsid w:val="00E92877"/>
    <w:rsid w:val="00EA0E3B"/>
    <w:rsid w:val="00EA4F6B"/>
    <w:rsid w:val="00EA7576"/>
    <w:rsid w:val="00EB2033"/>
    <w:rsid w:val="00EB7F22"/>
    <w:rsid w:val="00EC5D18"/>
    <w:rsid w:val="00ED2110"/>
    <w:rsid w:val="00ED271A"/>
    <w:rsid w:val="00ED38A8"/>
    <w:rsid w:val="00EE67A7"/>
    <w:rsid w:val="00EF08D3"/>
    <w:rsid w:val="00EF3A9F"/>
    <w:rsid w:val="00EF7666"/>
    <w:rsid w:val="00EF7DF2"/>
    <w:rsid w:val="00F00E34"/>
    <w:rsid w:val="00F03ED0"/>
    <w:rsid w:val="00F0469F"/>
    <w:rsid w:val="00F072B4"/>
    <w:rsid w:val="00F125C3"/>
    <w:rsid w:val="00F1294A"/>
    <w:rsid w:val="00F12A0B"/>
    <w:rsid w:val="00F15472"/>
    <w:rsid w:val="00F154A2"/>
    <w:rsid w:val="00F23009"/>
    <w:rsid w:val="00F3061F"/>
    <w:rsid w:val="00F31D77"/>
    <w:rsid w:val="00F31DB5"/>
    <w:rsid w:val="00F3359D"/>
    <w:rsid w:val="00F348E6"/>
    <w:rsid w:val="00F34C92"/>
    <w:rsid w:val="00F367A8"/>
    <w:rsid w:val="00F42CDE"/>
    <w:rsid w:val="00F430DD"/>
    <w:rsid w:val="00F445DE"/>
    <w:rsid w:val="00F44DF1"/>
    <w:rsid w:val="00F466C2"/>
    <w:rsid w:val="00F470A7"/>
    <w:rsid w:val="00F47F2C"/>
    <w:rsid w:val="00F500B0"/>
    <w:rsid w:val="00F5042E"/>
    <w:rsid w:val="00F50D31"/>
    <w:rsid w:val="00F52DEF"/>
    <w:rsid w:val="00F53B6C"/>
    <w:rsid w:val="00F5444A"/>
    <w:rsid w:val="00F6019F"/>
    <w:rsid w:val="00F60C0F"/>
    <w:rsid w:val="00F62B1A"/>
    <w:rsid w:val="00F65ED0"/>
    <w:rsid w:val="00F66C27"/>
    <w:rsid w:val="00F73FCD"/>
    <w:rsid w:val="00F74035"/>
    <w:rsid w:val="00F742BA"/>
    <w:rsid w:val="00F808A5"/>
    <w:rsid w:val="00F816A3"/>
    <w:rsid w:val="00F84C57"/>
    <w:rsid w:val="00F84F51"/>
    <w:rsid w:val="00F85539"/>
    <w:rsid w:val="00F875D2"/>
    <w:rsid w:val="00F9162D"/>
    <w:rsid w:val="00F9217B"/>
    <w:rsid w:val="00F92C44"/>
    <w:rsid w:val="00FA2F2F"/>
    <w:rsid w:val="00FA4ED5"/>
    <w:rsid w:val="00FA705F"/>
    <w:rsid w:val="00FB26C0"/>
    <w:rsid w:val="00FB2AD9"/>
    <w:rsid w:val="00FB677D"/>
    <w:rsid w:val="00FB69E9"/>
    <w:rsid w:val="00FC37C7"/>
    <w:rsid w:val="00FC741C"/>
    <w:rsid w:val="00FD69F6"/>
    <w:rsid w:val="00FD6D55"/>
    <w:rsid w:val="00FD6FCD"/>
    <w:rsid w:val="00FE57B6"/>
    <w:rsid w:val="00FE584A"/>
    <w:rsid w:val="00FE5966"/>
    <w:rsid w:val="00FE6D4B"/>
    <w:rsid w:val="00FE756B"/>
    <w:rsid w:val="00FF22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5472"/>
    <w:pPr>
      <w:tabs>
        <w:tab w:val="clear" w:pos="567"/>
        <w:tab w:val="center" w:pos="4153"/>
        <w:tab w:val="right" w:pos="8306"/>
      </w:tabs>
    </w:pPr>
  </w:style>
  <w:style w:type="character" w:customStyle="1" w:styleId="HeaderChar">
    <w:name w:val="Header Char"/>
    <w:basedOn w:val="DefaultParagraphFont"/>
    <w:link w:val="Header"/>
    <w:uiPriority w:val="99"/>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A">
    <w:name w:val="(A)"/>
    <w:basedOn w:val="i"/>
    <w:qFormat/>
    <w:rsid w:val="00AF498E"/>
    <w:pPr>
      <w:tabs>
        <w:tab w:val="clear" w:pos="1418"/>
        <w:tab w:val="clear" w:pos="1559"/>
        <w:tab w:val="left" w:pos="1985"/>
      </w:tabs>
      <w:ind w:left="1985" w:hanging="567"/>
    </w:pPr>
  </w:style>
  <w:style w:type="paragraph" w:customStyle="1" w:styleId="Note">
    <w:name w:val="Note"/>
    <w:basedOn w:val="Clause"/>
    <w:link w:val="NoteChar"/>
    <w:qFormat/>
    <w:rsid w:val="004E56B7"/>
    <w:pPr>
      <w:ind w:firstLine="0"/>
    </w:pPr>
    <w:rPr>
      <w:sz w:val="20"/>
    </w:rPr>
  </w:style>
  <w:style w:type="character" w:customStyle="1" w:styleId="NoteChar">
    <w:name w:val="Note Char"/>
    <w:link w:val="Note"/>
    <w:rsid w:val="004E56B7"/>
    <w:rPr>
      <w:rFonts w:ascii="Times New Roman" w:eastAsia="Times New Roman" w:hAnsi="Times New Roman" w:cs="Times New Roman"/>
      <w:sz w:val="20"/>
      <w:szCs w:val="24"/>
    </w:rPr>
  </w:style>
  <w:style w:type="character" w:customStyle="1" w:styleId="ActHead5Char">
    <w:name w:val="ActHead 5 Char"/>
    <w:aliases w:val="s Char"/>
    <w:link w:val="ActHead5"/>
    <w:rsid w:val="009F0A6B"/>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1F0BA3"/>
    <w:pPr>
      <w:tabs>
        <w:tab w:val="clear" w:pos="1418"/>
        <w:tab w:val="clear" w:pos="1559"/>
        <w:tab w:val="left" w:pos="1985"/>
      </w:tabs>
      <w:ind w:left="1985" w:hanging="567"/>
    </w:pPr>
  </w:style>
  <w:style w:type="paragraph" w:customStyle="1" w:styleId="LDScheduleClauseHead">
    <w:name w:val="LDScheduleClauseHead"/>
    <w:basedOn w:val="LDClauseHeading"/>
    <w:next w:val="Normal"/>
    <w:link w:val="LDScheduleClauseHeadChar"/>
    <w:rsid w:val="001F0BA3"/>
  </w:style>
  <w:style w:type="paragraph" w:customStyle="1" w:styleId="LDAmendText">
    <w:name w:val="LDAmendText"/>
    <w:basedOn w:val="LDBodytext"/>
    <w:next w:val="LDAmendInstruction"/>
    <w:link w:val="LDAmendTextChar"/>
    <w:rsid w:val="001F0BA3"/>
    <w:pPr>
      <w:spacing w:before="60" w:after="60"/>
      <w:ind w:left="964"/>
    </w:pPr>
  </w:style>
  <w:style w:type="paragraph" w:customStyle="1" w:styleId="LDAmendInstruction">
    <w:name w:val="LDAmendInstruction"/>
    <w:basedOn w:val="Normal"/>
    <w:next w:val="LDAmendText"/>
    <w:rsid w:val="001F0BA3"/>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character" w:customStyle="1" w:styleId="LDScheduleheadingChar">
    <w:name w:val="LDSchedule heading Char"/>
    <w:link w:val="LDScheduleheading"/>
    <w:rsid w:val="001F0BA3"/>
    <w:rPr>
      <w:rFonts w:ascii="Arial" w:eastAsia="Times New Roman" w:hAnsi="Arial" w:cs="Arial"/>
      <w:b/>
      <w:sz w:val="24"/>
      <w:szCs w:val="24"/>
    </w:rPr>
  </w:style>
  <w:style w:type="character" w:customStyle="1" w:styleId="LDAmendTextChar">
    <w:name w:val="LDAmendText Char"/>
    <w:link w:val="LDAmendText"/>
    <w:rsid w:val="001F0BA3"/>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rsid w:val="001F0BA3"/>
    <w:rPr>
      <w:rFonts w:ascii="Arial" w:eastAsia="Times New Roman" w:hAnsi="Arial" w:cs="Times New Roman"/>
      <w:b/>
      <w:sz w:val="24"/>
      <w:szCs w:val="24"/>
    </w:rPr>
  </w:style>
  <w:style w:type="character" w:customStyle="1" w:styleId="LDP3AChar">
    <w:name w:val="LDP3 (A) Char"/>
    <w:link w:val="LDP3A"/>
    <w:rsid w:val="001F0BA3"/>
    <w:rPr>
      <w:rFonts w:ascii="Times New Roman" w:eastAsia="Times New Roman" w:hAnsi="Times New Roman" w:cs="Times New Roman"/>
      <w:sz w:val="24"/>
      <w:szCs w:val="24"/>
    </w:rPr>
  </w:style>
  <w:style w:type="paragraph" w:customStyle="1" w:styleId="LDTableheading">
    <w:name w:val="LDTableheading"/>
    <w:basedOn w:val="LDBodytext"/>
    <w:link w:val="LDTableheadingChar"/>
    <w:rsid w:val="003F20F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3F20FB"/>
    <w:pPr>
      <w:tabs>
        <w:tab w:val="right" w:pos="1134"/>
        <w:tab w:val="left" w:pos="1276"/>
        <w:tab w:val="right" w:pos="1843"/>
        <w:tab w:val="left" w:pos="1985"/>
        <w:tab w:val="right" w:pos="2552"/>
        <w:tab w:val="left" w:pos="2693"/>
      </w:tabs>
      <w:spacing w:before="60" w:after="60"/>
    </w:pPr>
  </w:style>
  <w:style w:type="paragraph" w:customStyle="1" w:styleId="LDScheduleClause">
    <w:name w:val="LDScheduleClause"/>
    <w:basedOn w:val="LDClause"/>
    <w:link w:val="LDScheduleClauseChar"/>
    <w:rsid w:val="003F20FB"/>
    <w:pPr>
      <w:ind w:left="738" w:hanging="851"/>
    </w:pPr>
  </w:style>
  <w:style w:type="character" w:customStyle="1" w:styleId="LDTabletextChar">
    <w:name w:val="LDTabletext Char"/>
    <w:basedOn w:val="LDBodytextChar"/>
    <w:link w:val="LDTabletext"/>
    <w:rsid w:val="003F20FB"/>
    <w:rPr>
      <w:rFonts w:ascii="Times New Roman" w:eastAsia="Times New Roman" w:hAnsi="Times New Roman" w:cs="Times New Roman"/>
      <w:sz w:val="24"/>
      <w:szCs w:val="24"/>
    </w:rPr>
  </w:style>
  <w:style w:type="character" w:customStyle="1" w:styleId="LDTableheadingChar">
    <w:name w:val="LDTableheading Char"/>
    <w:link w:val="LDTableheading"/>
    <w:rsid w:val="003F20FB"/>
    <w:rPr>
      <w:rFonts w:ascii="Times New Roman" w:eastAsia="Times New Roman" w:hAnsi="Times New Roman" w:cs="Times New Roman"/>
      <w:b/>
      <w:sz w:val="24"/>
      <w:szCs w:val="24"/>
    </w:rPr>
  </w:style>
  <w:style w:type="character" w:customStyle="1" w:styleId="LDScheduleClauseChar">
    <w:name w:val="LDScheduleClause Char"/>
    <w:basedOn w:val="LDClauseChar"/>
    <w:link w:val="LDScheduleClause"/>
    <w:rsid w:val="003F20F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5472"/>
    <w:pPr>
      <w:tabs>
        <w:tab w:val="clear" w:pos="567"/>
        <w:tab w:val="center" w:pos="4153"/>
        <w:tab w:val="right" w:pos="8306"/>
      </w:tabs>
    </w:pPr>
  </w:style>
  <w:style w:type="character" w:customStyle="1" w:styleId="HeaderChar">
    <w:name w:val="Header Char"/>
    <w:basedOn w:val="DefaultParagraphFont"/>
    <w:link w:val="Header"/>
    <w:uiPriority w:val="99"/>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A">
    <w:name w:val="(A)"/>
    <w:basedOn w:val="i"/>
    <w:qFormat/>
    <w:rsid w:val="00AF498E"/>
    <w:pPr>
      <w:tabs>
        <w:tab w:val="clear" w:pos="1418"/>
        <w:tab w:val="clear" w:pos="1559"/>
        <w:tab w:val="left" w:pos="1985"/>
      </w:tabs>
      <w:ind w:left="1985" w:hanging="567"/>
    </w:pPr>
  </w:style>
  <w:style w:type="paragraph" w:customStyle="1" w:styleId="Note">
    <w:name w:val="Note"/>
    <w:basedOn w:val="Clause"/>
    <w:link w:val="NoteChar"/>
    <w:qFormat/>
    <w:rsid w:val="004E56B7"/>
    <w:pPr>
      <w:ind w:firstLine="0"/>
    </w:pPr>
    <w:rPr>
      <w:sz w:val="20"/>
    </w:rPr>
  </w:style>
  <w:style w:type="character" w:customStyle="1" w:styleId="NoteChar">
    <w:name w:val="Note Char"/>
    <w:link w:val="Note"/>
    <w:rsid w:val="004E56B7"/>
    <w:rPr>
      <w:rFonts w:ascii="Times New Roman" w:eastAsia="Times New Roman" w:hAnsi="Times New Roman" w:cs="Times New Roman"/>
      <w:sz w:val="20"/>
      <w:szCs w:val="24"/>
    </w:rPr>
  </w:style>
  <w:style w:type="character" w:customStyle="1" w:styleId="ActHead5Char">
    <w:name w:val="ActHead 5 Char"/>
    <w:aliases w:val="s Char"/>
    <w:link w:val="ActHead5"/>
    <w:rsid w:val="009F0A6B"/>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1F0BA3"/>
    <w:pPr>
      <w:tabs>
        <w:tab w:val="clear" w:pos="1418"/>
        <w:tab w:val="clear" w:pos="1559"/>
        <w:tab w:val="left" w:pos="1985"/>
      </w:tabs>
      <w:ind w:left="1985" w:hanging="567"/>
    </w:pPr>
  </w:style>
  <w:style w:type="paragraph" w:customStyle="1" w:styleId="LDScheduleClauseHead">
    <w:name w:val="LDScheduleClauseHead"/>
    <w:basedOn w:val="LDClauseHeading"/>
    <w:next w:val="Normal"/>
    <w:link w:val="LDScheduleClauseHeadChar"/>
    <w:rsid w:val="001F0BA3"/>
  </w:style>
  <w:style w:type="paragraph" w:customStyle="1" w:styleId="LDAmendText">
    <w:name w:val="LDAmendText"/>
    <w:basedOn w:val="LDBodytext"/>
    <w:next w:val="LDAmendInstruction"/>
    <w:link w:val="LDAmendTextChar"/>
    <w:rsid w:val="001F0BA3"/>
    <w:pPr>
      <w:spacing w:before="60" w:after="60"/>
      <w:ind w:left="964"/>
    </w:pPr>
  </w:style>
  <w:style w:type="paragraph" w:customStyle="1" w:styleId="LDAmendInstruction">
    <w:name w:val="LDAmendInstruction"/>
    <w:basedOn w:val="Normal"/>
    <w:next w:val="LDAmendText"/>
    <w:rsid w:val="001F0BA3"/>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character" w:customStyle="1" w:styleId="LDScheduleheadingChar">
    <w:name w:val="LDSchedule heading Char"/>
    <w:link w:val="LDScheduleheading"/>
    <w:rsid w:val="001F0BA3"/>
    <w:rPr>
      <w:rFonts w:ascii="Arial" w:eastAsia="Times New Roman" w:hAnsi="Arial" w:cs="Arial"/>
      <w:b/>
      <w:sz w:val="24"/>
      <w:szCs w:val="24"/>
    </w:rPr>
  </w:style>
  <w:style w:type="character" w:customStyle="1" w:styleId="LDAmendTextChar">
    <w:name w:val="LDAmendText Char"/>
    <w:link w:val="LDAmendText"/>
    <w:rsid w:val="001F0BA3"/>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rsid w:val="001F0BA3"/>
    <w:rPr>
      <w:rFonts w:ascii="Arial" w:eastAsia="Times New Roman" w:hAnsi="Arial" w:cs="Times New Roman"/>
      <w:b/>
      <w:sz w:val="24"/>
      <w:szCs w:val="24"/>
    </w:rPr>
  </w:style>
  <w:style w:type="character" w:customStyle="1" w:styleId="LDP3AChar">
    <w:name w:val="LDP3 (A) Char"/>
    <w:link w:val="LDP3A"/>
    <w:rsid w:val="001F0BA3"/>
    <w:rPr>
      <w:rFonts w:ascii="Times New Roman" w:eastAsia="Times New Roman" w:hAnsi="Times New Roman" w:cs="Times New Roman"/>
      <w:sz w:val="24"/>
      <w:szCs w:val="24"/>
    </w:rPr>
  </w:style>
  <w:style w:type="paragraph" w:customStyle="1" w:styleId="LDTableheading">
    <w:name w:val="LDTableheading"/>
    <w:basedOn w:val="LDBodytext"/>
    <w:link w:val="LDTableheadingChar"/>
    <w:rsid w:val="003F20F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3F20FB"/>
    <w:pPr>
      <w:tabs>
        <w:tab w:val="right" w:pos="1134"/>
        <w:tab w:val="left" w:pos="1276"/>
        <w:tab w:val="right" w:pos="1843"/>
        <w:tab w:val="left" w:pos="1985"/>
        <w:tab w:val="right" w:pos="2552"/>
        <w:tab w:val="left" w:pos="2693"/>
      </w:tabs>
      <w:spacing w:before="60" w:after="60"/>
    </w:pPr>
  </w:style>
  <w:style w:type="paragraph" w:customStyle="1" w:styleId="LDScheduleClause">
    <w:name w:val="LDScheduleClause"/>
    <w:basedOn w:val="LDClause"/>
    <w:link w:val="LDScheduleClauseChar"/>
    <w:rsid w:val="003F20FB"/>
    <w:pPr>
      <w:ind w:left="738" w:hanging="851"/>
    </w:pPr>
  </w:style>
  <w:style w:type="character" w:customStyle="1" w:styleId="LDTabletextChar">
    <w:name w:val="LDTabletext Char"/>
    <w:basedOn w:val="LDBodytextChar"/>
    <w:link w:val="LDTabletext"/>
    <w:rsid w:val="003F20FB"/>
    <w:rPr>
      <w:rFonts w:ascii="Times New Roman" w:eastAsia="Times New Roman" w:hAnsi="Times New Roman" w:cs="Times New Roman"/>
      <w:sz w:val="24"/>
      <w:szCs w:val="24"/>
    </w:rPr>
  </w:style>
  <w:style w:type="character" w:customStyle="1" w:styleId="LDTableheadingChar">
    <w:name w:val="LDTableheading Char"/>
    <w:link w:val="LDTableheading"/>
    <w:rsid w:val="003F20FB"/>
    <w:rPr>
      <w:rFonts w:ascii="Times New Roman" w:eastAsia="Times New Roman" w:hAnsi="Times New Roman" w:cs="Times New Roman"/>
      <w:b/>
      <w:sz w:val="24"/>
      <w:szCs w:val="24"/>
    </w:rPr>
  </w:style>
  <w:style w:type="character" w:customStyle="1" w:styleId="LDScheduleClauseChar">
    <w:name w:val="LDScheduleClause Char"/>
    <w:basedOn w:val="LDClauseChar"/>
    <w:link w:val="LDScheduleClause"/>
    <w:rsid w:val="003F20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19EB9-E135-43A2-ACD9-52932F30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4253</Words>
  <Characters>24248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CASA EX92/21 — Explanatory Statement</vt:lpstr>
    </vt:vector>
  </TitlesOfParts>
  <Company>Civil Aviation Safety Authority</Company>
  <LinksUpToDate>false</LinksUpToDate>
  <CharactersWithSpaces>28445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EX92/21 — Explanatory Statement</dc:title>
  <dc:subject>Flight Reviews, Proficiency Checks and Related Matters (Extensions of Time Due to COVID-19) Exemptions Instrument 2021</dc:subject>
  <dc:creator>Civil Aviation Safety Authority</dc:creator>
  <cp:lastModifiedBy>Nadia Spesyvy</cp:lastModifiedBy>
  <cp:revision>4</cp:revision>
  <cp:lastPrinted>2021-07-29T03:50:00Z</cp:lastPrinted>
  <dcterms:created xsi:type="dcterms:W3CDTF">2021-08-20T00:26:00Z</dcterms:created>
  <dcterms:modified xsi:type="dcterms:W3CDTF">2021-08-20T00:36:00Z</dcterms:modified>
  <cp:category>Exemptions</cp:category>
</cp:coreProperties>
</file>