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3A17B" w14:textId="75C5CF45" w:rsidR="001E55AF" w:rsidRDefault="001E55AF" w:rsidP="001E55AF">
      <w:pPr>
        <w:pStyle w:val="Heading"/>
        <w:spacing w:after="240"/>
        <w:jc w:val="center"/>
        <w:rPr>
          <w:rFonts w:ascii="Times New Roman" w:hAnsi="Times New Roman"/>
          <w:sz w:val="24"/>
          <w:szCs w:val="24"/>
        </w:rPr>
      </w:pPr>
      <w:bookmarkStart w:id="0" w:name="_GoBack"/>
      <w:bookmarkEnd w:id="0"/>
      <w:r w:rsidRPr="002C6D26">
        <w:rPr>
          <w:rFonts w:ascii="Times New Roman" w:hAnsi="Times New Roman"/>
          <w:sz w:val="24"/>
          <w:szCs w:val="24"/>
        </w:rPr>
        <w:t xml:space="preserve">Banking (prudential standard) determination </w:t>
      </w:r>
      <w:r w:rsidRPr="008C03D2">
        <w:rPr>
          <w:rFonts w:ascii="Times New Roman" w:hAnsi="Times New Roman"/>
          <w:sz w:val="24"/>
          <w:szCs w:val="24"/>
        </w:rPr>
        <w:t xml:space="preserve">No. </w:t>
      </w:r>
      <w:r w:rsidR="002322B4">
        <w:rPr>
          <w:rFonts w:ascii="Times New Roman" w:hAnsi="Times New Roman"/>
          <w:sz w:val="24"/>
          <w:szCs w:val="24"/>
        </w:rPr>
        <w:t>1</w:t>
      </w:r>
      <w:r w:rsidRPr="008C03D2">
        <w:rPr>
          <w:rFonts w:ascii="Times New Roman" w:hAnsi="Times New Roman"/>
          <w:sz w:val="24"/>
          <w:szCs w:val="24"/>
        </w:rPr>
        <w:t xml:space="preserve"> of 202</w:t>
      </w:r>
      <w:r>
        <w:rPr>
          <w:rFonts w:ascii="Times New Roman" w:hAnsi="Times New Roman"/>
          <w:sz w:val="24"/>
          <w:szCs w:val="24"/>
        </w:rPr>
        <w:t>1</w:t>
      </w:r>
    </w:p>
    <w:p w14:paraId="3046B7F6" w14:textId="77777777" w:rsidR="001E55AF" w:rsidRPr="002C6D26" w:rsidRDefault="001E55AF" w:rsidP="001E55AF">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240C2EC3" w14:textId="77777777" w:rsidR="001E55AF" w:rsidRPr="002C6D26" w:rsidRDefault="001E55AF" w:rsidP="001E55AF">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026AB2E1" w14:textId="77777777" w:rsidR="001E55AF" w:rsidRDefault="001E55AF" w:rsidP="001E55AF">
      <w:pPr>
        <w:pStyle w:val="Heading"/>
        <w:tabs>
          <w:tab w:val="left" w:pos="360"/>
        </w:tabs>
        <w:spacing w:after="240"/>
        <w:jc w:val="center"/>
        <w:rPr>
          <w:rFonts w:ascii="Times New Roman" w:hAnsi="Times New Roman"/>
          <w:b w:val="0"/>
          <w:color w:val="00000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525D1284" w14:textId="77777777" w:rsidR="001E55AF" w:rsidRPr="00094BDD" w:rsidRDefault="001E55AF" w:rsidP="001E55AF">
      <w:pPr>
        <w:widowControl w:val="0"/>
        <w:spacing w:after="240"/>
        <w:jc w:val="both"/>
        <w:rPr>
          <w:rFonts w:ascii="Times New Roman" w:hAnsi="Times New Roman"/>
          <w:sz w:val="24"/>
          <w:szCs w:val="24"/>
        </w:rPr>
      </w:pPr>
      <w:bookmarkStart w:id="2" w:name="bkAct"/>
      <w:bookmarkStart w:id="3" w:name="bkExplanatory"/>
      <w:bookmarkEnd w:id="2"/>
      <w:bookmarkEnd w:id="3"/>
      <w:r w:rsidRPr="00094BDD">
        <w:rPr>
          <w:rFonts w:ascii="Times New Roman" w:hAnsi="Times New Roman"/>
          <w:sz w:val="24"/>
          <w:szCs w:val="24"/>
        </w:rPr>
        <w:t xml:space="preserve">Under subsection 11AF(1) of the </w:t>
      </w:r>
      <w:r w:rsidRPr="007F557D">
        <w:rPr>
          <w:rFonts w:ascii="Times New Roman" w:hAnsi="Times New Roman"/>
          <w:i/>
          <w:sz w:val="24"/>
          <w:szCs w:val="24"/>
        </w:rPr>
        <w:t>Banking Act 1959</w:t>
      </w:r>
      <w:r w:rsidRPr="00094BDD">
        <w:rPr>
          <w:rFonts w:ascii="Times New Roman" w:hAnsi="Times New Roman"/>
          <w:sz w:val="24"/>
          <w:szCs w:val="24"/>
        </w:rPr>
        <w:t xml:space="preserve"> (the Act), APRA has the power to determine standards (prudential standards), in writing, in relation to prudential matters to be complied with by authorised deposit-taking institutions (ADIs) and authorised non-operating holding companies (authorised NOHCs). Under subsection 11AF(3) of the Act, APRA may, in writing, vary or revoke a prudential standard.</w:t>
      </w:r>
    </w:p>
    <w:p w14:paraId="579C354F" w14:textId="123368EB" w:rsidR="001E55AF" w:rsidRPr="00094BDD" w:rsidRDefault="001E55AF" w:rsidP="001E55AF">
      <w:pPr>
        <w:widowControl w:val="0"/>
        <w:spacing w:after="240"/>
        <w:jc w:val="both"/>
        <w:rPr>
          <w:rFonts w:ascii="Times New Roman" w:hAnsi="Times New Roman"/>
          <w:sz w:val="24"/>
          <w:szCs w:val="24"/>
        </w:rPr>
      </w:pPr>
      <w:r w:rsidRPr="00094BDD">
        <w:rPr>
          <w:rFonts w:ascii="Times New Roman" w:hAnsi="Times New Roman"/>
          <w:sz w:val="24"/>
          <w:szCs w:val="24"/>
        </w:rPr>
        <w:t xml:space="preserve">On </w:t>
      </w:r>
      <w:r w:rsidR="008107E8">
        <w:rPr>
          <w:rFonts w:ascii="Times New Roman" w:hAnsi="Times New Roman"/>
          <w:sz w:val="24"/>
          <w:szCs w:val="24"/>
        </w:rPr>
        <w:t>25</w:t>
      </w:r>
      <w:r>
        <w:rPr>
          <w:rFonts w:ascii="Times New Roman" w:hAnsi="Times New Roman"/>
          <w:sz w:val="24"/>
          <w:szCs w:val="24"/>
        </w:rPr>
        <w:t xml:space="preserve"> August 2021</w:t>
      </w:r>
      <w:r w:rsidRPr="00094BDD">
        <w:rPr>
          <w:rFonts w:ascii="Times New Roman" w:hAnsi="Times New Roman"/>
          <w:sz w:val="24"/>
          <w:szCs w:val="24"/>
        </w:rPr>
        <w:t xml:space="preserve">, APRA made Banking (prudential standard) determination </w:t>
      </w:r>
      <w:r w:rsidRPr="008C03D2">
        <w:rPr>
          <w:rFonts w:ascii="Times New Roman" w:hAnsi="Times New Roman"/>
          <w:sz w:val="24"/>
          <w:szCs w:val="24"/>
        </w:rPr>
        <w:t>No. </w:t>
      </w:r>
      <w:r w:rsidR="002322B4">
        <w:rPr>
          <w:rFonts w:ascii="Times New Roman" w:hAnsi="Times New Roman"/>
          <w:sz w:val="24"/>
          <w:szCs w:val="24"/>
        </w:rPr>
        <w:t>1</w:t>
      </w:r>
      <w:r w:rsidRPr="008C03D2">
        <w:rPr>
          <w:rFonts w:ascii="Times New Roman" w:hAnsi="Times New Roman"/>
          <w:sz w:val="24"/>
          <w:szCs w:val="24"/>
        </w:rPr>
        <w:t xml:space="preserve"> of 202</w:t>
      </w:r>
      <w:r>
        <w:rPr>
          <w:rFonts w:ascii="Times New Roman" w:hAnsi="Times New Roman"/>
          <w:sz w:val="24"/>
          <w:szCs w:val="24"/>
        </w:rPr>
        <w:t>1</w:t>
      </w:r>
      <w:r w:rsidRPr="00094BDD">
        <w:rPr>
          <w:rFonts w:ascii="Times New Roman" w:hAnsi="Times New Roman"/>
          <w:sz w:val="24"/>
          <w:szCs w:val="24"/>
        </w:rPr>
        <w:t xml:space="preserve"> (the instrument), which revokes </w:t>
      </w:r>
      <w:r w:rsidRPr="00C34B2D">
        <w:rPr>
          <w:rFonts w:ascii="Times New Roman" w:hAnsi="Times New Roman"/>
          <w:i/>
          <w:sz w:val="24"/>
          <w:szCs w:val="24"/>
        </w:rPr>
        <w:t xml:space="preserve">Prudential Standard APS 220 Credit </w:t>
      </w:r>
      <w:r w:rsidR="002322B4">
        <w:rPr>
          <w:rFonts w:ascii="Times New Roman" w:hAnsi="Times New Roman"/>
          <w:i/>
          <w:sz w:val="24"/>
          <w:szCs w:val="24"/>
        </w:rPr>
        <w:t>Quality</w:t>
      </w:r>
      <w:r w:rsidRPr="00094BDD">
        <w:rPr>
          <w:rFonts w:ascii="Times New Roman" w:hAnsi="Times New Roman"/>
          <w:sz w:val="24"/>
          <w:szCs w:val="24"/>
        </w:rPr>
        <w:t xml:space="preserve"> made under Banking (prudential standard) determination No.</w:t>
      </w:r>
      <w:r>
        <w:rPr>
          <w:rFonts w:ascii="Times New Roman" w:hAnsi="Times New Roman"/>
          <w:sz w:val="24"/>
          <w:szCs w:val="24"/>
        </w:rPr>
        <w:t> 4</w:t>
      </w:r>
      <w:r w:rsidRPr="00094BDD">
        <w:rPr>
          <w:rFonts w:ascii="Times New Roman" w:hAnsi="Times New Roman"/>
          <w:sz w:val="24"/>
          <w:szCs w:val="24"/>
        </w:rPr>
        <w:t xml:space="preserve"> of 20</w:t>
      </w:r>
      <w:r>
        <w:rPr>
          <w:rFonts w:ascii="Times New Roman" w:hAnsi="Times New Roman"/>
          <w:sz w:val="24"/>
          <w:szCs w:val="24"/>
        </w:rPr>
        <w:t>20</w:t>
      </w:r>
      <w:r w:rsidRPr="00094BDD">
        <w:rPr>
          <w:rFonts w:ascii="Times New Roman" w:hAnsi="Times New Roman"/>
          <w:sz w:val="24"/>
          <w:szCs w:val="24"/>
        </w:rPr>
        <w:t xml:space="preserve"> and determines </w:t>
      </w:r>
      <w:r w:rsidRPr="000F5A7A">
        <w:rPr>
          <w:rFonts w:ascii="Times New Roman" w:hAnsi="Times New Roman"/>
          <w:i/>
          <w:sz w:val="24"/>
          <w:szCs w:val="24"/>
        </w:rPr>
        <w:t>Prudential Standard APS 220 Credit Quality</w:t>
      </w:r>
      <w:r w:rsidRPr="00094BDD">
        <w:rPr>
          <w:rFonts w:ascii="Times New Roman" w:hAnsi="Times New Roman"/>
          <w:sz w:val="24"/>
          <w:szCs w:val="24"/>
        </w:rPr>
        <w:t xml:space="preserve"> (APS</w:t>
      </w:r>
      <w:r>
        <w:rPr>
          <w:rFonts w:ascii="Times New Roman" w:hAnsi="Times New Roman"/>
          <w:sz w:val="24"/>
          <w:szCs w:val="24"/>
        </w:rPr>
        <w:t> </w:t>
      </w:r>
      <w:r w:rsidRPr="00094BDD">
        <w:rPr>
          <w:rFonts w:ascii="Times New Roman" w:hAnsi="Times New Roman"/>
          <w:sz w:val="24"/>
          <w:szCs w:val="24"/>
        </w:rPr>
        <w:t>220).</w:t>
      </w:r>
    </w:p>
    <w:p w14:paraId="1EB60300" w14:textId="77777777" w:rsidR="001E55AF" w:rsidRDefault="001E55AF" w:rsidP="001E55AF">
      <w:pPr>
        <w:widowControl w:val="0"/>
        <w:spacing w:after="240"/>
        <w:jc w:val="both"/>
        <w:rPr>
          <w:rFonts w:ascii="Times New Roman" w:hAnsi="Times New Roman"/>
          <w:sz w:val="24"/>
          <w:szCs w:val="24"/>
        </w:rPr>
      </w:pPr>
      <w:r w:rsidRPr="00094BDD">
        <w:rPr>
          <w:rFonts w:ascii="Times New Roman" w:hAnsi="Times New Roman"/>
          <w:sz w:val="24"/>
          <w:szCs w:val="24"/>
        </w:rPr>
        <w:t xml:space="preserve">The instrument commences </w:t>
      </w:r>
      <w:r>
        <w:rPr>
          <w:rFonts w:ascii="Times New Roman" w:hAnsi="Times New Roman"/>
          <w:sz w:val="24"/>
          <w:szCs w:val="24"/>
        </w:rPr>
        <w:t>upon registration on the Federal Register of Legislation</w:t>
      </w:r>
      <w:r w:rsidRPr="00094BDD">
        <w:rPr>
          <w:rFonts w:ascii="Times New Roman" w:hAnsi="Times New Roman"/>
          <w:sz w:val="24"/>
          <w:szCs w:val="24"/>
        </w:rPr>
        <w:t>.</w:t>
      </w:r>
    </w:p>
    <w:p w14:paraId="479DCEAC" w14:textId="77777777" w:rsidR="001E55AF" w:rsidRDefault="001E55AF" w:rsidP="001E55AF">
      <w:pPr>
        <w:pStyle w:val="Heading"/>
        <w:keepNext/>
        <w:numPr>
          <w:ilvl w:val="0"/>
          <w:numId w:val="1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0C0E74C1" w14:textId="77777777" w:rsidR="001E55AF" w:rsidRDefault="001E55AF" w:rsidP="001E55AF">
      <w:pPr>
        <w:pStyle w:val="Heading"/>
        <w:spacing w:after="240"/>
        <w:rPr>
          <w:rFonts w:ascii="Times New Roman" w:hAnsi="Times New Roman"/>
          <w:b w:val="0"/>
          <w:sz w:val="24"/>
          <w:szCs w:val="24"/>
        </w:rPr>
      </w:pPr>
      <w:r w:rsidRPr="00663606">
        <w:rPr>
          <w:rFonts w:ascii="Times New Roman" w:hAnsi="Times New Roman"/>
          <w:b w:val="0"/>
          <w:sz w:val="24"/>
          <w:szCs w:val="24"/>
        </w:rPr>
        <w:t>APRA’s mandate is to ensure the safety and soundness of prudentially regulated financial institutions so that they can meet their financial promises to depositors, policyholders and fund members within a stable, efficient and competitive financial system.</w:t>
      </w:r>
      <w:r>
        <w:rPr>
          <w:rFonts w:ascii="Times New Roman" w:hAnsi="Times New Roman"/>
          <w:b w:val="0"/>
          <w:sz w:val="24"/>
          <w:szCs w:val="24"/>
        </w:rPr>
        <w:t xml:space="preserve"> APRA gives effect to its mandate by establishing minimum expectations for prudentially regulated financial institutions. In the banking industry, the Act allows APRA to issue legally binding prudential standards that set out specific prudential requirements with which ADIs and authorised NOHCs must comply.</w:t>
      </w:r>
    </w:p>
    <w:p w14:paraId="21A1C28B" w14:textId="6F9F389B" w:rsidR="001E55AF" w:rsidRDefault="001E55AF" w:rsidP="001E55AF">
      <w:pPr>
        <w:pStyle w:val="Heading"/>
        <w:spacing w:after="240"/>
        <w:rPr>
          <w:rFonts w:ascii="Times New Roman" w:hAnsi="Times New Roman"/>
          <w:b w:val="0"/>
          <w:sz w:val="24"/>
          <w:szCs w:val="24"/>
        </w:rPr>
      </w:pPr>
      <w:r>
        <w:rPr>
          <w:rFonts w:ascii="Times New Roman" w:hAnsi="Times New Roman"/>
          <w:b w:val="0"/>
          <w:sz w:val="24"/>
          <w:szCs w:val="24"/>
        </w:rPr>
        <w:t>A key component of APRA’s prudential framework for ADIs is the prudential standard for credit</w:t>
      </w:r>
      <w:r w:rsidR="000637CE">
        <w:rPr>
          <w:rFonts w:ascii="Times New Roman" w:hAnsi="Times New Roman"/>
          <w:b w:val="0"/>
          <w:sz w:val="24"/>
          <w:szCs w:val="24"/>
        </w:rPr>
        <w:t xml:space="preserve"> quality</w:t>
      </w:r>
      <w:r>
        <w:rPr>
          <w:rFonts w:ascii="Times New Roman" w:hAnsi="Times New Roman"/>
          <w:b w:val="0"/>
          <w:sz w:val="24"/>
          <w:szCs w:val="24"/>
        </w:rPr>
        <w:t xml:space="preserve">. Credit risk </w:t>
      </w:r>
      <w:r w:rsidR="00C63AD3">
        <w:rPr>
          <w:rFonts w:ascii="Times New Roman" w:hAnsi="Times New Roman"/>
          <w:b w:val="0"/>
          <w:sz w:val="24"/>
          <w:szCs w:val="24"/>
        </w:rPr>
        <w:t>is</w:t>
      </w:r>
      <w:r>
        <w:rPr>
          <w:rFonts w:ascii="Times New Roman" w:hAnsi="Times New Roman"/>
          <w:b w:val="0"/>
          <w:sz w:val="24"/>
          <w:szCs w:val="24"/>
        </w:rPr>
        <w:t xml:space="preserve"> the risk that a borrower will fail to meet its obligations in accordance with agreed terms. ADIs need to manage the credit risk of exposures to individual borrowers, as well as their loan portfolios as a whole. The effective management of credit risk is critical to the long-term financial safety of an ADI.</w:t>
      </w:r>
    </w:p>
    <w:p w14:paraId="55B10B56" w14:textId="77777777" w:rsidR="001E55AF" w:rsidRDefault="001E55AF" w:rsidP="001E55AF">
      <w:pPr>
        <w:pStyle w:val="Heading"/>
        <w:spacing w:after="240"/>
        <w:rPr>
          <w:rFonts w:ascii="Times New Roman" w:hAnsi="Times New Roman"/>
          <w:b w:val="0"/>
          <w:sz w:val="24"/>
          <w:szCs w:val="24"/>
        </w:rPr>
      </w:pPr>
      <w:r>
        <w:rPr>
          <w:rFonts w:ascii="Times New Roman" w:hAnsi="Times New Roman"/>
          <w:b w:val="0"/>
          <w:sz w:val="24"/>
          <w:szCs w:val="24"/>
        </w:rPr>
        <w:t xml:space="preserve">APS 220 </w:t>
      </w:r>
      <w:r w:rsidRPr="000F5A7A">
        <w:rPr>
          <w:rFonts w:ascii="Times New Roman" w:hAnsi="Times New Roman"/>
          <w:b w:val="0"/>
          <w:sz w:val="24"/>
          <w:szCs w:val="24"/>
        </w:rPr>
        <w:t xml:space="preserve">requires an ADI to control credit risk by adopting prudent credit risk management policies and procedures. These policies and procedures must </w:t>
      </w:r>
      <w:r>
        <w:rPr>
          <w:rFonts w:ascii="Times New Roman" w:hAnsi="Times New Roman"/>
          <w:b w:val="0"/>
          <w:sz w:val="24"/>
          <w:szCs w:val="24"/>
        </w:rPr>
        <w:t>be applied</w:t>
      </w:r>
      <w:r w:rsidRPr="000F5A7A">
        <w:rPr>
          <w:rFonts w:ascii="Times New Roman" w:hAnsi="Times New Roman"/>
          <w:b w:val="0"/>
          <w:sz w:val="24"/>
          <w:szCs w:val="24"/>
        </w:rPr>
        <w:t xml:space="preserve"> to the recognition, measurement and reporting of, and provisioning for, impaired exposures (e.g. bad loans).</w:t>
      </w:r>
      <w:r>
        <w:rPr>
          <w:rFonts w:ascii="Times New Roman" w:hAnsi="Times New Roman"/>
          <w:b w:val="0"/>
          <w:sz w:val="24"/>
          <w:szCs w:val="24"/>
        </w:rPr>
        <w:t xml:space="preserve"> </w:t>
      </w:r>
    </w:p>
    <w:p w14:paraId="040CCEF8" w14:textId="77777777" w:rsidR="001E55AF" w:rsidRDefault="001E55AF" w:rsidP="001E55AF">
      <w:pPr>
        <w:pStyle w:val="Heading"/>
        <w:spacing w:after="240"/>
        <w:rPr>
          <w:rFonts w:ascii="Times New Roman" w:hAnsi="Times New Roman"/>
          <w:b w:val="0"/>
          <w:sz w:val="24"/>
          <w:szCs w:val="24"/>
        </w:rPr>
      </w:pPr>
      <w:r>
        <w:rPr>
          <w:rFonts w:ascii="Times New Roman" w:hAnsi="Times New Roman"/>
          <w:b w:val="0"/>
          <w:sz w:val="24"/>
          <w:szCs w:val="24"/>
        </w:rPr>
        <w:t xml:space="preserve">To measure impaired exposures, ADIs must classify their loans as either performing or non-performing. A loan must be classified as non-performing where the borrower is 90 days past-due, or the ADI determines that they are otherwise unlikely to repay due to, for example, write-offs or insolvency. ADIs must hold additional regulatory capital for impaired loans. </w:t>
      </w:r>
    </w:p>
    <w:p w14:paraId="7A6CA2B5" w14:textId="77777777" w:rsidR="001E55AF" w:rsidRDefault="001E55AF" w:rsidP="001E55AF">
      <w:pPr>
        <w:pStyle w:val="Heading"/>
        <w:spacing w:after="240"/>
        <w:rPr>
          <w:rFonts w:ascii="Times New Roman" w:hAnsi="Times New Roman"/>
          <w:b w:val="0"/>
          <w:sz w:val="24"/>
          <w:szCs w:val="24"/>
        </w:rPr>
      </w:pPr>
      <w:bookmarkStart w:id="4" w:name="_Hlk49151351"/>
      <w:r>
        <w:rPr>
          <w:rFonts w:ascii="Times New Roman" w:hAnsi="Times New Roman"/>
          <w:b w:val="0"/>
          <w:sz w:val="24"/>
          <w:szCs w:val="24"/>
        </w:rPr>
        <w:t xml:space="preserve">In response to the unprecedented economic challenges presented by the COVID-19 pandemic, </w:t>
      </w:r>
      <w:r w:rsidRPr="001E55AF">
        <w:rPr>
          <w:rFonts w:ascii="Times New Roman" w:hAnsi="Times New Roman"/>
          <w:b w:val="0"/>
          <w:sz w:val="24"/>
          <w:szCs w:val="24"/>
        </w:rPr>
        <w:t>a number of ADIs have announced COVID-19 support packages that will provide affected borrowers with an option to defer their loan repayments. These packages have been offered to small business</w:t>
      </w:r>
      <w:r>
        <w:rPr>
          <w:rFonts w:ascii="Times New Roman" w:hAnsi="Times New Roman"/>
          <w:b w:val="0"/>
          <w:sz w:val="24"/>
          <w:szCs w:val="24"/>
        </w:rPr>
        <w:t>,</w:t>
      </w:r>
      <w:r w:rsidRPr="001E55AF">
        <w:rPr>
          <w:rFonts w:ascii="Times New Roman" w:hAnsi="Times New Roman"/>
          <w:b w:val="0"/>
          <w:sz w:val="24"/>
          <w:szCs w:val="24"/>
        </w:rPr>
        <w:t xml:space="preserve"> home loan </w:t>
      </w:r>
      <w:r>
        <w:rPr>
          <w:rFonts w:ascii="Times New Roman" w:hAnsi="Times New Roman"/>
          <w:b w:val="0"/>
          <w:sz w:val="24"/>
          <w:szCs w:val="24"/>
        </w:rPr>
        <w:t xml:space="preserve">and other retail </w:t>
      </w:r>
      <w:r w:rsidRPr="001E55AF">
        <w:rPr>
          <w:rFonts w:ascii="Times New Roman" w:hAnsi="Times New Roman"/>
          <w:b w:val="0"/>
          <w:sz w:val="24"/>
          <w:szCs w:val="24"/>
        </w:rPr>
        <w:t>customers.</w:t>
      </w:r>
      <w:bookmarkEnd w:id="4"/>
      <w:r>
        <w:rPr>
          <w:rFonts w:ascii="Times New Roman" w:hAnsi="Times New Roman"/>
          <w:b w:val="0"/>
          <w:sz w:val="24"/>
          <w:szCs w:val="24"/>
        </w:rPr>
        <w:t xml:space="preserve"> </w:t>
      </w:r>
    </w:p>
    <w:p w14:paraId="34AAF6CF" w14:textId="04BE0E1A" w:rsidR="001E55AF" w:rsidRDefault="002322B4" w:rsidP="001E55AF">
      <w:pPr>
        <w:pStyle w:val="Heading"/>
        <w:spacing w:after="240"/>
        <w:rPr>
          <w:rFonts w:ascii="Times New Roman" w:hAnsi="Times New Roman"/>
          <w:b w:val="0"/>
          <w:sz w:val="24"/>
          <w:szCs w:val="24"/>
        </w:rPr>
      </w:pPr>
      <w:r w:rsidRPr="002322B4">
        <w:rPr>
          <w:rFonts w:ascii="Times New Roman" w:hAnsi="Times New Roman"/>
          <w:b w:val="0"/>
          <w:sz w:val="24"/>
          <w:szCs w:val="24"/>
        </w:rPr>
        <w:lastRenderedPageBreak/>
        <w:t>In September 2020 APRA made Banking (prudential standard) determination No. 4 of 2020 to provide temporary concessional treatment for loans granted repayment deferrals or restructures due to COVID-19. The temporary treatment applied to the period 23 March 2020 to 31 March 2021. Attachment E to the new APS 220 replaces the previous Attachment E in order to provide temporary concessional treatment for the latest round of support packages.</w:t>
      </w:r>
    </w:p>
    <w:p w14:paraId="1DCB432F" w14:textId="77777777" w:rsidR="001E55AF" w:rsidRDefault="001E55AF" w:rsidP="001E55AF">
      <w:pPr>
        <w:pStyle w:val="Heading"/>
        <w:keepNext/>
        <w:numPr>
          <w:ilvl w:val="0"/>
          <w:numId w:val="12"/>
        </w:numPr>
        <w:spacing w:after="240"/>
        <w:ind w:left="0" w:firstLine="0"/>
        <w:outlineLvl w:val="0"/>
        <w:rPr>
          <w:rFonts w:ascii="Times New Roman" w:hAnsi="Times New Roman"/>
          <w:sz w:val="24"/>
          <w:szCs w:val="24"/>
        </w:rPr>
      </w:pPr>
      <w:bookmarkStart w:id="5" w:name="bkBackground"/>
      <w:bookmarkEnd w:id="5"/>
      <w:r w:rsidRPr="002C6D26">
        <w:rPr>
          <w:rFonts w:ascii="Times New Roman" w:hAnsi="Times New Roman"/>
          <w:sz w:val="24"/>
          <w:szCs w:val="24"/>
        </w:rPr>
        <w:t xml:space="preserve">Purpose </w:t>
      </w:r>
      <w:r>
        <w:rPr>
          <w:rFonts w:ascii="Times New Roman" w:hAnsi="Times New Roman"/>
          <w:sz w:val="24"/>
          <w:szCs w:val="24"/>
        </w:rPr>
        <w:t xml:space="preserve">and operation </w:t>
      </w:r>
      <w:r w:rsidRPr="002C6D26">
        <w:rPr>
          <w:rFonts w:ascii="Times New Roman" w:hAnsi="Times New Roman"/>
          <w:sz w:val="24"/>
          <w:szCs w:val="24"/>
        </w:rPr>
        <w:t>of the instrument</w:t>
      </w:r>
    </w:p>
    <w:p w14:paraId="19DD2FB4" w14:textId="5D91CFE7" w:rsidR="001E55AF" w:rsidRDefault="001E55AF" w:rsidP="001E55AF">
      <w:pPr>
        <w:spacing w:after="240"/>
        <w:jc w:val="both"/>
        <w:rPr>
          <w:rFonts w:ascii="Times New Roman" w:hAnsi="Times New Roman"/>
          <w:sz w:val="24"/>
          <w:szCs w:val="24"/>
        </w:rPr>
      </w:pPr>
      <w:r w:rsidRPr="00CD3CC6">
        <w:rPr>
          <w:rFonts w:ascii="Times New Roman" w:hAnsi="Times New Roman"/>
          <w:sz w:val="24"/>
          <w:szCs w:val="24"/>
        </w:rPr>
        <w:t xml:space="preserve">The purpose of the instrument is to revoke </w:t>
      </w:r>
      <w:r w:rsidRPr="00C34B2D">
        <w:rPr>
          <w:rFonts w:ascii="Times New Roman" w:hAnsi="Times New Roman"/>
          <w:i/>
          <w:sz w:val="24"/>
          <w:szCs w:val="24"/>
        </w:rPr>
        <w:t xml:space="preserve">Prudential Standard APS 220 Credit </w:t>
      </w:r>
      <w:r w:rsidR="00455B3C">
        <w:rPr>
          <w:rFonts w:ascii="Times New Roman" w:hAnsi="Times New Roman"/>
          <w:i/>
          <w:sz w:val="24"/>
          <w:szCs w:val="24"/>
        </w:rPr>
        <w:t>Quality</w:t>
      </w:r>
      <w:r w:rsidRPr="00094BDD">
        <w:rPr>
          <w:rFonts w:ascii="Times New Roman" w:hAnsi="Times New Roman"/>
          <w:sz w:val="24"/>
          <w:szCs w:val="24"/>
        </w:rPr>
        <w:t xml:space="preserve"> made under </w:t>
      </w:r>
      <w:r w:rsidRPr="00CD3CC6">
        <w:rPr>
          <w:rFonts w:ascii="Times New Roman" w:hAnsi="Times New Roman"/>
          <w:sz w:val="24"/>
          <w:szCs w:val="24"/>
        </w:rPr>
        <w:t xml:space="preserve">Banking (prudential standard) determination No. </w:t>
      </w:r>
      <w:r w:rsidR="00BA6187">
        <w:rPr>
          <w:rFonts w:ascii="Times New Roman" w:hAnsi="Times New Roman"/>
          <w:sz w:val="24"/>
          <w:szCs w:val="24"/>
        </w:rPr>
        <w:t>4</w:t>
      </w:r>
      <w:r w:rsidRPr="00CD3CC6">
        <w:rPr>
          <w:rFonts w:ascii="Times New Roman" w:hAnsi="Times New Roman"/>
          <w:sz w:val="24"/>
          <w:szCs w:val="24"/>
        </w:rPr>
        <w:t xml:space="preserve"> of 2020, and replace it with a modified</w:t>
      </w:r>
      <w:r>
        <w:rPr>
          <w:rFonts w:ascii="Times New Roman" w:hAnsi="Times New Roman"/>
          <w:sz w:val="24"/>
          <w:szCs w:val="24"/>
        </w:rPr>
        <w:t xml:space="preserve"> version of</w:t>
      </w:r>
      <w:r w:rsidRPr="00CD3CC6">
        <w:rPr>
          <w:rFonts w:ascii="Times New Roman" w:hAnsi="Times New Roman"/>
          <w:sz w:val="24"/>
          <w:szCs w:val="24"/>
        </w:rPr>
        <w:t xml:space="preserve"> </w:t>
      </w:r>
      <w:r>
        <w:rPr>
          <w:rFonts w:ascii="Times New Roman" w:hAnsi="Times New Roman"/>
          <w:sz w:val="24"/>
          <w:szCs w:val="24"/>
        </w:rPr>
        <w:t>the standard</w:t>
      </w:r>
      <w:r w:rsidRPr="00CD3CC6">
        <w:rPr>
          <w:rFonts w:ascii="Times New Roman" w:hAnsi="Times New Roman"/>
          <w:sz w:val="24"/>
          <w:szCs w:val="24"/>
        </w:rPr>
        <w:t xml:space="preserve">. </w:t>
      </w:r>
      <w:r>
        <w:rPr>
          <w:rFonts w:ascii="Times New Roman" w:hAnsi="Times New Roman"/>
          <w:sz w:val="24"/>
          <w:szCs w:val="24"/>
        </w:rPr>
        <w:t xml:space="preserve">The changes to the standard are limited to a new Attachment E to the standard, which will operate on a temporary basis until 31 </w:t>
      </w:r>
      <w:r w:rsidR="00706228">
        <w:rPr>
          <w:rFonts w:ascii="Times New Roman" w:hAnsi="Times New Roman"/>
          <w:sz w:val="24"/>
          <w:szCs w:val="24"/>
        </w:rPr>
        <w:t xml:space="preserve">December </w:t>
      </w:r>
      <w:r>
        <w:rPr>
          <w:rFonts w:ascii="Times New Roman" w:hAnsi="Times New Roman"/>
          <w:sz w:val="24"/>
          <w:szCs w:val="24"/>
        </w:rPr>
        <w:t xml:space="preserve">2021. </w:t>
      </w:r>
      <w:r w:rsidR="00455B3C">
        <w:rPr>
          <w:rFonts w:ascii="Times New Roman" w:hAnsi="Times New Roman"/>
          <w:sz w:val="24"/>
          <w:szCs w:val="24"/>
        </w:rPr>
        <w:t>In the absence of an extension of the modifications, f</w:t>
      </w:r>
      <w:r>
        <w:rPr>
          <w:rFonts w:ascii="Times New Roman" w:hAnsi="Times New Roman"/>
          <w:sz w:val="24"/>
          <w:szCs w:val="24"/>
        </w:rPr>
        <w:t xml:space="preserve">rom 1 </w:t>
      </w:r>
      <w:r w:rsidR="00706228">
        <w:rPr>
          <w:rFonts w:ascii="Times New Roman" w:hAnsi="Times New Roman"/>
          <w:sz w:val="24"/>
          <w:szCs w:val="24"/>
        </w:rPr>
        <w:t>January 2022</w:t>
      </w:r>
      <w:r>
        <w:rPr>
          <w:rFonts w:ascii="Times New Roman" w:hAnsi="Times New Roman"/>
          <w:sz w:val="24"/>
          <w:szCs w:val="24"/>
        </w:rPr>
        <w:t xml:space="preserve">, ADIs will be required to revert to applying the existing standard requirements to all loans; </w:t>
      </w:r>
      <w:bookmarkStart w:id="6" w:name="_Hlk50098074"/>
      <w:r>
        <w:rPr>
          <w:rFonts w:ascii="Times New Roman" w:hAnsi="Times New Roman"/>
          <w:sz w:val="24"/>
          <w:szCs w:val="24"/>
        </w:rPr>
        <w:t xml:space="preserve">however, this does not prevent or preclude ADIs from continuing to provide repayment deferrals or other types of restructures to borrowers where required. </w:t>
      </w:r>
      <w:bookmarkEnd w:id="6"/>
    </w:p>
    <w:p w14:paraId="557BC6C2" w14:textId="59E9077A" w:rsidR="00B76DD7" w:rsidRDefault="001E55AF" w:rsidP="001E55AF">
      <w:pPr>
        <w:spacing w:after="240"/>
        <w:jc w:val="both"/>
        <w:rPr>
          <w:rFonts w:ascii="Times New Roman" w:hAnsi="Times New Roman"/>
          <w:sz w:val="24"/>
          <w:szCs w:val="24"/>
        </w:rPr>
      </w:pPr>
      <w:r>
        <w:rPr>
          <w:rFonts w:ascii="Times New Roman" w:hAnsi="Times New Roman"/>
          <w:sz w:val="24"/>
          <w:szCs w:val="24"/>
        </w:rPr>
        <w:t>The new Attachment E to APS 220 temporarily adjusts the prudential treatment for loans granted repayment deferrals, or that are otherwise restructured, due to COVID-19.</w:t>
      </w:r>
      <w:r w:rsidR="00B76DD7" w:rsidRPr="00B76DD7">
        <w:t xml:space="preserve"> </w:t>
      </w:r>
      <w:r w:rsidR="00B76DD7" w:rsidRPr="00B76DD7">
        <w:rPr>
          <w:rFonts w:ascii="Times New Roman" w:hAnsi="Times New Roman"/>
          <w:sz w:val="24"/>
          <w:szCs w:val="24"/>
        </w:rPr>
        <w:t>For eligible borrowers, ADIs will not need to treat a repayment deferral as a loan restructuring or the period of deferral as a period of arrears.</w:t>
      </w:r>
    </w:p>
    <w:p w14:paraId="0884ED6D" w14:textId="6C4F6104" w:rsidR="001E55AF" w:rsidRDefault="00AB05F3" w:rsidP="001E55AF">
      <w:pPr>
        <w:spacing w:after="240"/>
        <w:jc w:val="both"/>
        <w:rPr>
          <w:rFonts w:ascii="Times New Roman" w:hAnsi="Times New Roman"/>
          <w:sz w:val="24"/>
          <w:szCs w:val="24"/>
        </w:rPr>
      </w:pPr>
      <w:r>
        <w:rPr>
          <w:rFonts w:ascii="Times New Roman" w:hAnsi="Times New Roman"/>
          <w:sz w:val="24"/>
          <w:szCs w:val="24"/>
        </w:rPr>
        <w:t xml:space="preserve">The </w:t>
      </w:r>
      <w:r w:rsidRPr="00AB05F3">
        <w:rPr>
          <w:rFonts w:ascii="Times New Roman" w:hAnsi="Times New Roman"/>
          <w:sz w:val="24"/>
          <w:szCs w:val="24"/>
        </w:rPr>
        <w:t xml:space="preserve">proposed amendments to APS 220 cover </w:t>
      </w:r>
      <w:r>
        <w:rPr>
          <w:rFonts w:ascii="Times New Roman" w:hAnsi="Times New Roman"/>
          <w:sz w:val="24"/>
          <w:szCs w:val="24"/>
        </w:rPr>
        <w:t xml:space="preserve">repayment </w:t>
      </w:r>
      <w:r w:rsidRPr="00AB05F3">
        <w:rPr>
          <w:rFonts w:ascii="Times New Roman" w:hAnsi="Times New Roman"/>
          <w:sz w:val="24"/>
          <w:szCs w:val="24"/>
        </w:rPr>
        <w:t xml:space="preserve">deferrals </w:t>
      </w:r>
      <w:r w:rsidR="00455B3C">
        <w:rPr>
          <w:rFonts w:ascii="Times New Roman" w:hAnsi="Times New Roman"/>
          <w:sz w:val="24"/>
          <w:szCs w:val="24"/>
        </w:rPr>
        <w:t xml:space="preserve">granted </w:t>
      </w:r>
      <w:r w:rsidRPr="00AB05F3">
        <w:rPr>
          <w:rFonts w:ascii="Times New Roman" w:hAnsi="Times New Roman"/>
          <w:sz w:val="24"/>
          <w:szCs w:val="24"/>
        </w:rPr>
        <w:t xml:space="preserve">on or after </w:t>
      </w:r>
      <w:r w:rsidR="009B564D" w:rsidRPr="00706228">
        <w:rPr>
          <w:rFonts w:ascii="Times New Roman" w:hAnsi="Times New Roman"/>
          <w:sz w:val="24"/>
          <w:szCs w:val="24"/>
        </w:rPr>
        <w:t>8</w:t>
      </w:r>
      <w:r w:rsidRPr="00AB05F3">
        <w:rPr>
          <w:rFonts w:ascii="Times New Roman" w:hAnsi="Times New Roman"/>
          <w:sz w:val="24"/>
          <w:szCs w:val="24"/>
        </w:rPr>
        <w:t xml:space="preserve"> July 2021</w:t>
      </w:r>
      <w:r>
        <w:rPr>
          <w:rFonts w:ascii="Times New Roman" w:hAnsi="Times New Roman"/>
          <w:sz w:val="24"/>
          <w:szCs w:val="24"/>
        </w:rPr>
        <w:t xml:space="preserve"> and </w:t>
      </w:r>
      <w:r w:rsidR="00B76DD7" w:rsidRPr="00B76DD7">
        <w:rPr>
          <w:rFonts w:ascii="Times New Roman" w:hAnsi="Times New Roman"/>
          <w:sz w:val="24"/>
          <w:szCs w:val="24"/>
        </w:rPr>
        <w:t>will apply to loans that are granted a repayment deferral of up to three months on or before 3</w:t>
      </w:r>
      <w:r w:rsidR="00706228">
        <w:rPr>
          <w:rFonts w:ascii="Times New Roman" w:hAnsi="Times New Roman"/>
          <w:sz w:val="24"/>
          <w:szCs w:val="24"/>
        </w:rPr>
        <w:t>0 September</w:t>
      </w:r>
      <w:r w:rsidR="00B76DD7" w:rsidRPr="00B76DD7">
        <w:rPr>
          <w:rFonts w:ascii="Times New Roman" w:hAnsi="Times New Roman"/>
          <w:sz w:val="24"/>
          <w:szCs w:val="24"/>
        </w:rPr>
        <w:t xml:space="preserve"> 2021, whether or not the borrower has previously been granted a repayment deferral. ADIs must still continue to provision for these loans under relevant accounting standards.</w:t>
      </w:r>
      <w:r w:rsidR="00B76DD7">
        <w:rPr>
          <w:rFonts w:ascii="Times New Roman" w:hAnsi="Times New Roman"/>
          <w:sz w:val="24"/>
          <w:szCs w:val="24"/>
        </w:rPr>
        <w:t xml:space="preserve"> </w:t>
      </w:r>
      <w:r w:rsidR="001E55AF">
        <w:rPr>
          <w:rFonts w:ascii="Times New Roman" w:hAnsi="Times New Roman"/>
          <w:sz w:val="24"/>
          <w:szCs w:val="24"/>
        </w:rPr>
        <w:t>The effect of these changes is to reduce the amount of regulatory capital that ADIs would otherwise have to hold against these exposures.</w:t>
      </w:r>
    </w:p>
    <w:p w14:paraId="447541DC" w14:textId="7DF223AA" w:rsidR="001F6070" w:rsidRDefault="001F6070" w:rsidP="001E55AF">
      <w:pPr>
        <w:spacing w:after="240"/>
        <w:jc w:val="both"/>
        <w:rPr>
          <w:rFonts w:ascii="Times New Roman" w:hAnsi="Times New Roman"/>
          <w:sz w:val="24"/>
          <w:szCs w:val="24"/>
        </w:rPr>
      </w:pPr>
      <w:r w:rsidRPr="00455B3C">
        <w:rPr>
          <w:rFonts w:ascii="Times New Roman" w:hAnsi="Times New Roman"/>
          <w:sz w:val="24"/>
          <w:szCs w:val="24"/>
        </w:rPr>
        <w:t xml:space="preserve">APS 220 has also been amended to provide APRA with the flexibility to </w:t>
      </w:r>
      <w:r w:rsidR="00455B3C" w:rsidRPr="00455B3C">
        <w:rPr>
          <w:rFonts w:ascii="Times New Roman" w:hAnsi="Times New Roman"/>
          <w:sz w:val="24"/>
          <w:szCs w:val="24"/>
        </w:rPr>
        <w:t>extend</w:t>
      </w:r>
      <w:r w:rsidRPr="00455B3C">
        <w:rPr>
          <w:rFonts w:ascii="Times New Roman" w:hAnsi="Times New Roman"/>
          <w:sz w:val="24"/>
          <w:szCs w:val="24"/>
        </w:rPr>
        <w:t xml:space="preserve"> the timing and operation of the temporary capital treatment where necessary and as relevant circumstances evolve</w:t>
      </w:r>
      <w:r w:rsidR="00706228" w:rsidRPr="00455B3C">
        <w:rPr>
          <w:rFonts w:ascii="Times New Roman" w:hAnsi="Times New Roman"/>
          <w:sz w:val="24"/>
          <w:szCs w:val="24"/>
        </w:rPr>
        <w:t>.</w:t>
      </w:r>
    </w:p>
    <w:p w14:paraId="6E95261E" w14:textId="77777777" w:rsidR="001E55AF" w:rsidRDefault="001E55AF" w:rsidP="001E55AF">
      <w:pPr>
        <w:spacing w:after="240"/>
        <w:jc w:val="both"/>
        <w:rPr>
          <w:rFonts w:ascii="Times New Roman" w:hAnsi="Times New Roman"/>
          <w:sz w:val="24"/>
          <w:szCs w:val="24"/>
        </w:rPr>
      </w:pPr>
      <w:r w:rsidRPr="00C22687">
        <w:rPr>
          <w:rFonts w:ascii="Times New Roman" w:hAnsi="Times New Roman"/>
          <w:sz w:val="24"/>
          <w:szCs w:val="24"/>
        </w:rPr>
        <w:t xml:space="preserve">APRA considers that </w:t>
      </w:r>
      <w:r>
        <w:rPr>
          <w:rFonts w:ascii="Times New Roman" w:hAnsi="Times New Roman"/>
          <w:sz w:val="24"/>
          <w:szCs w:val="24"/>
        </w:rPr>
        <w:t>the</w:t>
      </w:r>
      <w:r w:rsidRPr="00C22687">
        <w:rPr>
          <w:rFonts w:ascii="Times New Roman" w:hAnsi="Times New Roman"/>
          <w:sz w:val="24"/>
          <w:szCs w:val="24"/>
        </w:rPr>
        <w:t xml:space="preserve"> temporary adjustment</w:t>
      </w:r>
      <w:r>
        <w:rPr>
          <w:rFonts w:ascii="Times New Roman" w:hAnsi="Times New Roman"/>
          <w:sz w:val="24"/>
          <w:szCs w:val="24"/>
        </w:rPr>
        <w:t>s</w:t>
      </w:r>
      <w:r w:rsidRPr="00C22687">
        <w:rPr>
          <w:rFonts w:ascii="Times New Roman" w:hAnsi="Times New Roman"/>
          <w:sz w:val="24"/>
          <w:szCs w:val="24"/>
        </w:rPr>
        <w:t xml:space="preserve"> to </w:t>
      </w:r>
      <w:r>
        <w:rPr>
          <w:rFonts w:ascii="Times New Roman" w:hAnsi="Times New Roman"/>
          <w:sz w:val="24"/>
          <w:szCs w:val="24"/>
        </w:rPr>
        <w:t>the existing standard</w:t>
      </w:r>
      <w:r w:rsidRPr="00C22687">
        <w:rPr>
          <w:rFonts w:ascii="Times New Roman" w:hAnsi="Times New Roman"/>
          <w:sz w:val="24"/>
          <w:szCs w:val="24"/>
        </w:rPr>
        <w:t xml:space="preserve"> </w:t>
      </w:r>
      <w:r>
        <w:rPr>
          <w:rFonts w:ascii="Times New Roman" w:hAnsi="Times New Roman"/>
          <w:sz w:val="24"/>
          <w:szCs w:val="24"/>
        </w:rPr>
        <w:t>are</w:t>
      </w:r>
      <w:r w:rsidRPr="00C22687">
        <w:rPr>
          <w:rFonts w:ascii="Times New Roman" w:hAnsi="Times New Roman"/>
          <w:sz w:val="24"/>
          <w:szCs w:val="24"/>
        </w:rPr>
        <w:t xml:space="preserve"> appropriate in response to</w:t>
      </w:r>
      <w:r>
        <w:rPr>
          <w:rFonts w:ascii="Times New Roman" w:hAnsi="Times New Roman"/>
          <w:sz w:val="24"/>
          <w:szCs w:val="24"/>
        </w:rPr>
        <w:t xml:space="preserve"> the COVID-19 pandemic. The changes are intended to provide ADIs with greater flexibility in supporting borrowers through the COVID-19 pandemic. The instrument does not </w:t>
      </w:r>
      <w:r w:rsidRPr="004110B6">
        <w:rPr>
          <w:rFonts w:ascii="Times New Roman" w:hAnsi="Times New Roman"/>
          <w:sz w:val="24"/>
          <w:szCs w:val="24"/>
        </w:rPr>
        <w:t>trespass on personal rights or liberties, or amend or modify the operation of primary legislation.</w:t>
      </w:r>
    </w:p>
    <w:p w14:paraId="6AE43D97" w14:textId="77777777" w:rsidR="001E55AF" w:rsidRDefault="001E55AF" w:rsidP="001E55AF">
      <w:pPr>
        <w:pStyle w:val="Heading"/>
        <w:spacing w:after="240"/>
        <w:rPr>
          <w:rFonts w:ascii="Times New Roman" w:hAnsi="Times New Roman"/>
          <w:b w:val="0"/>
          <w:sz w:val="24"/>
          <w:szCs w:val="24"/>
        </w:rPr>
      </w:pPr>
      <w:r>
        <w:rPr>
          <w:rFonts w:ascii="Times New Roman" w:hAnsi="Times New Roman"/>
          <w:b w:val="0"/>
          <w:sz w:val="24"/>
          <w:szCs w:val="24"/>
        </w:rPr>
        <w:t xml:space="preserve">Where APS 220 refers to an Act, Regulation, </w:t>
      </w:r>
      <w:r w:rsidRPr="00195547">
        <w:rPr>
          <w:rFonts w:ascii="Times New Roman" w:hAnsi="Times New Roman"/>
          <w:b w:val="0"/>
          <w:sz w:val="24"/>
          <w:szCs w:val="24"/>
        </w:rPr>
        <w:t>prudential standard</w:t>
      </w:r>
      <w:r>
        <w:rPr>
          <w:rFonts w:ascii="Times New Roman" w:hAnsi="Times New Roman"/>
          <w:b w:val="0"/>
          <w:sz w:val="24"/>
          <w:szCs w:val="24"/>
        </w:rPr>
        <w:t xml:space="preserve"> or Australian Accounting Standard</w:t>
      </w:r>
      <w:r w:rsidRPr="00195547">
        <w:rPr>
          <w:rFonts w:ascii="Times New Roman" w:hAnsi="Times New Roman"/>
          <w:b w:val="0"/>
          <w:sz w:val="24"/>
          <w:szCs w:val="24"/>
        </w:rPr>
        <w:t>,</w:t>
      </w:r>
      <w:r>
        <w:rPr>
          <w:rStyle w:val="FootnoteReference"/>
          <w:rFonts w:ascii="Times New Roman" w:hAnsi="Times New Roman"/>
          <w:b w:val="0"/>
          <w:sz w:val="24"/>
          <w:szCs w:val="24"/>
        </w:rPr>
        <w:footnoteReference w:id="1"/>
      </w:r>
      <w:r w:rsidRPr="00195547">
        <w:rPr>
          <w:rFonts w:ascii="Times New Roman" w:hAnsi="Times New Roman"/>
          <w:b w:val="0"/>
          <w:sz w:val="24"/>
          <w:szCs w:val="24"/>
        </w:rPr>
        <w:t xml:space="preserve"> this is a reference to the document as it exists from time to time</w:t>
      </w:r>
      <w:r>
        <w:rPr>
          <w:rFonts w:ascii="Times New Roman" w:hAnsi="Times New Roman"/>
          <w:b w:val="0"/>
          <w:sz w:val="24"/>
          <w:szCs w:val="24"/>
        </w:rPr>
        <w:t>,</w:t>
      </w:r>
      <w:r w:rsidRPr="00C97AB3">
        <w:rPr>
          <w:b w:val="0"/>
          <w:sz w:val="22"/>
          <w:szCs w:val="20"/>
        </w:rPr>
        <w:t xml:space="preserve"> </w:t>
      </w:r>
      <w:r w:rsidRPr="00C97AB3">
        <w:rPr>
          <w:rFonts w:ascii="Times New Roman" w:hAnsi="Times New Roman"/>
          <w:b w:val="0"/>
          <w:sz w:val="24"/>
          <w:szCs w:val="24"/>
        </w:rPr>
        <w:t xml:space="preserve">and </w:t>
      </w:r>
      <w:r>
        <w:rPr>
          <w:rFonts w:ascii="Times New Roman" w:hAnsi="Times New Roman"/>
          <w:b w:val="0"/>
          <w:sz w:val="24"/>
          <w:szCs w:val="24"/>
        </w:rPr>
        <w:t>which is</w:t>
      </w:r>
      <w:r w:rsidRPr="00C97AB3">
        <w:rPr>
          <w:rFonts w:ascii="Times New Roman" w:hAnsi="Times New Roman"/>
          <w:b w:val="0"/>
          <w:sz w:val="24"/>
          <w:szCs w:val="24"/>
        </w:rPr>
        <w:t xml:space="preserve"> available on the Federal Register of Legislation at </w:t>
      </w:r>
      <w:hyperlink r:id="rId13" w:history="1">
        <w:r w:rsidRPr="00C97AB3">
          <w:rPr>
            <w:rStyle w:val="Hyperlink"/>
            <w:rFonts w:ascii="Times New Roman" w:hAnsi="Times New Roman"/>
            <w:b w:val="0"/>
            <w:sz w:val="24"/>
            <w:szCs w:val="24"/>
          </w:rPr>
          <w:t>www.legislation.gov.au</w:t>
        </w:r>
      </w:hyperlink>
      <w:r>
        <w:rPr>
          <w:rFonts w:ascii="Times New Roman" w:hAnsi="Times New Roman"/>
          <w:b w:val="0"/>
          <w:sz w:val="24"/>
          <w:szCs w:val="24"/>
        </w:rPr>
        <w:t>.</w:t>
      </w:r>
    </w:p>
    <w:p w14:paraId="0247645D" w14:textId="778DB29B" w:rsidR="008F45DF" w:rsidRDefault="008F45DF" w:rsidP="001E55AF">
      <w:pPr>
        <w:spacing w:after="240"/>
        <w:jc w:val="both"/>
        <w:rPr>
          <w:rFonts w:ascii="Times New Roman" w:hAnsi="Times New Roman"/>
          <w:sz w:val="24"/>
          <w:szCs w:val="24"/>
        </w:rPr>
      </w:pPr>
      <w:r w:rsidRPr="008F45DF">
        <w:rPr>
          <w:rFonts w:ascii="Times New Roman" w:hAnsi="Times New Roman"/>
          <w:sz w:val="24"/>
          <w:szCs w:val="24"/>
        </w:rPr>
        <w:t xml:space="preserve">APS 220 provides for APRA to exercise various discretions. Decisions made by APRA exercising those discretions are not subject to merits review. This is because these </w:t>
      </w:r>
      <w:r w:rsidRPr="008F45DF">
        <w:rPr>
          <w:rFonts w:ascii="Times New Roman" w:hAnsi="Times New Roman"/>
          <w:sz w:val="24"/>
          <w:szCs w:val="24"/>
        </w:rPr>
        <w:lastRenderedPageBreak/>
        <w:t>decisions are preliminary decisions that may facilitate or lead to substantive decisions which are subject to merits review.</w:t>
      </w:r>
    </w:p>
    <w:p w14:paraId="7234FB6E" w14:textId="78A58E0C" w:rsidR="001E55AF" w:rsidRDefault="001E55AF" w:rsidP="001E55AF">
      <w:pPr>
        <w:spacing w:after="240"/>
        <w:jc w:val="both"/>
        <w:rPr>
          <w:rFonts w:ascii="Times New Roman" w:hAnsi="Times New Roman"/>
          <w:sz w:val="24"/>
          <w:szCs w:val="24"/>
        </w:rPr>
      </w:pPr>
      <w:r>
        <w:rPr>
          <w:rFonts w:ascii="Times New Roman" w:hAnsi="Times New Roman"/>
          <w:sz w:val="24"/>
          <w:szCs w:val="24"/>
        </w:rPr>
        <w:t xml:space="preserve">A breach of a prudential standard is a breach of the Act, </w:t>
      </w:r>
      <w:r w:rsidRPr="006D2FA5">
        <w:rPr>
          <w:rFonts w:ascii="Times New Roman" w:hAnsi="Times New Roman"/>
          <w:sz w:val="24"/>
          <w:szCs w:val="24"/>
        </w:rPr>
        <w:t>as section 11AG of the Act provides that ADIs must comply with applicable prudential standards. However, there are no penalties prescribed for breach of a prudential standard. Instead, an ADI’s breach of a provision in the Act is grounds for APRA to make further, substantive decisions under the Act in relation to the ADI. Those decisions are:</w:t>
      </w:r>
    </w:p>
    <w:p w14:paraId="759EA4A4" w14:textId="77777777" w:rsidR="001E55AF" w:rsidRDefault="001E55AF" w:rsidP="001E55AF">
      <w:pPr>
        <w:pStyle w:val="Heading"/>
        <w:numPr>
          <w:ilvl w:val="0"/>
          <w:numId w:val="14"/>
        </w:numPr>
        <w:spacing w:after="240"/>
        <w:ind w:left="360"/>
        <w:rPr>
          <w:rFonts w:ascii="Times New Roman" w:hAnsi="Times New Roman"/>
          <w:b w:val="0"/>
          <w:sz w:val="24"/>
          <w:szCs w:val="24"/>
        </w:rPr>
      </w:pPr>
      <w:r>
        <w:rPr>
          <w:rFonts w:ascii="Times New Roman" w:hAnsi="Times New Roman"/>
          <w:b w:val="0"/>
          <w:sz w:val="24"/>
          <w:szCs w:val="24"/>
        </w:rPr>
        <w:t>to revoke an authority to carry on banking business (section 9A of the Act); and</w:t>
      </w:r>
    </w:p>
    <w:p w14:paraId="621F272E" w14:textId="77777777" w:rsidR="001E55AF" w:rsidRDefault="001E55AF" w:rsidP="001E55AF">
      <w:pPr>
        <w:pStyle w:val="Heading"/>
        <w:numPr>
          <w:ilvl w:val="0"/>
          <w:numId w:val="14"/>
        </w:numPr>
        <w:spacing w:after="240"/>
        <w:ind w:left="360"/>
        <w:rPr>
          <w:rFonts w:ascii="Times New Roman" w:hAnsi="Times New Roman"/>
          <w:b w:val="0"/>
          <w:sz w:val="24"/>
          <w:szCs w:val="24"/>
        </w:rPr>
      </w:pPr>
      <w:r>
        <w:rPr>
          <w:rFonts w:ascii="Times New Roman" w:hAnsi="Times New Roman"/>
          <w:b w:val="0"/>
          <w:sz w:val="24"/>
          <w:szCs w:val="24"/>
        </w:rPr>
        <w:t>to issue a direction to the ADI, including a direction to comply with the whole or part of a prudential standard (section 11CA of the Act).</w:t>
      </w:r>
    </w:p>
    <w:p w14:paraId="602EF670" w14:textId="77777777" w:rsidR="001E55AF" w:rsidRDefault="001E55AF" w:rsidP="001E55AF">
      <w:pPr>
        <w:spacing w:after="240"/>
        <w:jc w:val="both"/>
        <w:rPr>
          <w:rFonts w:ascii="Times New Roman" w:hAnsi="Times New Roman"/>
          <w:sz w:val="24"/>
          <w:szCs w:val="24"/>
        </w:rPr>
      </w:pPr>
      <w:r w:rsidRPr="006D2FA5">
        <w:rPr>
          <w:rFonts w:ascii="Times New Roman" w:hAnsi="Times New Roman"/>
          <w:sz w:val="24"/>
          <w:szCs w:val="24"/>
        </w:rPr>
        <w:t xml:space="preserve">It is only at this stage that an ADI is exposed to a penalty: loss of its authority under section 9A or 50 penalty units if it breaches the direction (section 11CG of the Act). </w:t>
      </w:r>
      <w:r w:rsidRPr="00D14060">
        <w:rPr>
          <w:rFonts w:ascii="Times New Roman" w:hAnsi="Times New Roman"/>
          <w:sz w:val="24"/>
          <w:szCs w:val="24"/>
        </w:rPr>
        <w:t xml:space="preserve">The subsequent substantive decisions of APRA to impose a direction or revoke </w:t>
      </w:r>
      <w:r>
        <w:rPr>
          <w:rFonts w:ascii="Times New Roman" w:hAnsi="Times New Roman"/>
          <w:sz w:val="24"/>
          <w:szCs w:val="24"/>
        </w:rPr>
        <w:t>an authority</w:t>
      </w:r>
      <w:r w:rsidRPr="00D14060">
        <w:rPr>
          <w:rFonts w:ascii="Times New Roman" w:hAnsi="Times New Roman"/>
          <w:sz w:val="24"/>
          <w:szCs w:val="24"/>
        </w:rPr>
        <w:t xml:space="preserve"> are subject to merits review. In nearly all cases</w:t>
      </w:r>
      <w:r>
        <w:rPr>
          <w:rFonts w:ascii="Times New Roman" w:hAnsi="Times New Roman"/>
          <w:sz w:val="24"/>
          <w:szCs w:val="24"/>
        </w:rPr>
        <w:t>,</w:t>
      </w:r>
      <w:r>
        <w:rPr>
          <w:rStyle w:val="FootnoteReference"/>
          <w:rFonts w:ascii="Times New Roman" w:hAnsi="Times New Roman"/>
          <w:sz w:val="24"/>
          <w:szCs w:val="24"/>
        </w:rPr>
        <w:footnoteReference w:id="2"/>
      </w:r>
      <w:r w:rsidRPr="00D14060">
        <w:rPr>
          <w:rFonts w:ascii="Times New Roman" w:hAnsi="Times New Roman"/>
          <w:sz w:val="24"/>
          <w:szCs w:val="24"/>
        </w:rPr>
        <w:t xml:space="preserve"> the decisions are preceded by a full consultation with the </w:t>
      </w:r>
      <w:r>
        <w:rPr>
          <w:rFonts w:ascii="Times New Roman" w:hAnsi="Times New Roman"/>
          <w:sz w:val="24"/>
          <w:szCs w:val="24"/>
        </w:rPr>
        <w:t>ADI</w:t>
      </w:r>
      <w:r w:rsidRPr="00D14060">
        <w:rPr>
          <w:rFonts w:ascii="Times New Roman" w:hAnsi="Times New Roman"/>
          <w:sz w:val="24"/>
          <w:szCs w:val="24"/>
        </w:rPr>
        <w:t xml:space="preserve"> to raise any concerns </w:t>
      </w:r>
      <w:r>
        <w:rPr>
          <w:rFonts w:ascii="Times New Roman" w:hAnsi="Times New Roman"/>
          <w:sz w:val="24"/>
          <w:szCs w:val="24"/>
        </w:rPr>
        <w:t>it</w:t>
      </w:r>
      <w:r w:rsidRPr="00D14060">
        <w:rPr>
          <w:rFonts w:ascii="Times New Roman" w:hAnsi="Times New Roman"/>
          <w:sz w:val="24"/>
          <w:szCs w:val="24"/>
        </w:rPr>
        <w:t xml:space="preserve"> may have in relation to the decision.</w:t>
      </w:r>
    </w:p>
    <w:p w14:paraId="15992AC7" w14:textId="77777777" w:rsidR="001E55AF" w:rsidRDefault="001E55AF" w:rsidP="001E55AF">
      <w:pPr>
        <w:pStyle w:val="Heading"/>
        <w:keepNext/>
        <w:numPr>
          <w:ilvl w:val="0"/>
          <w:numId w:val="12"/>
        </w:numPr>
        <w:spacing w:after="240"/>
        <w:ind w:left="357" w:hanging="357"/>
        <w:rPr>
          <w:rFonts w:ascii="Times New Roman" w:hAnsi="Times New Roman"/>
          <w:sz w:val="24"/>
          <w:szCs w:val="24"/>
        </w:rPr>
      </w:pPr>
      <w:bookmarkStart w:id="7" w:name="bkPurpose"/>
      <w:bookmarkStart w:id="8" w:name="bkoperation"/>
      <w:bookmarkStart w:id="9" w:name="bkConsultationNo"/>
      <w:bookmarkEnd w:id="7"/>
      <w:bookmarkEnd w:id="8"/>
      <w:bookmarkEnd w:id="9"/>
      <w:r w:rsidRPr="002C6D26">
        <w:rPr>
          <w:rFonts w:ascii="Times New Roman" w:hAnsi="Times New Roman"/>
          <w:sz w:val="24"/>
          <w:szCs w:val="24"/>
        </w:rPr>
        <w:t>Consultation</w:t>
      </w:r>
    </w:p>
    <w:p w14:paraId="300AD63B" w14:textId="155DE91D" w:rsidR="001E55AF" w:rsidRPr="00630F45" w:rsidRDefault="001E55AF" w:rsidP="001E55AF">
      <w:pPr>
        <w:pStyle w:val="Heading"/>
        <w:tabs>
          <w:tab w:val="left" w:pos="360"/>
        </w:tabs>
        <w:spacing w:after="240"/>
        <w:rPr>
          <w:rFonts w:ascii="Times New Roman" w:hAnsi="Times New Roman"/>
          <w:b w:val="0"/>
          <w:sz w:val="24"/>
          <w:szCs w:val="24"/>
        </w:rPr>
      </w:pPr>
      <w:bookmarkStart w:id="10" w:name="_Hlk48656188"/>
      <w:r>
        <w:rPr>
          <w:rFonts w:ascii="Times New Roman" w:hAnsi="Times New Roman"/>
          <w:b w:val="0"/>
          <w:sz w:val="24"/>
          <w:szCs w:val="24"/>
        </w:rPr>
        <w:t xml:space="preserve">APRA </w:t>
      </w:r>
      <w:r w:rsidR="00630F45">
        <w:rPr>
          <w:rFonts w:ascii="Times New Roman" w:hAnsi="Times New Roman"/>
          <w:b w:val="0"/>
          <w:sz w:val="24"/>
          <w:szCs w:val="24"/>
        </w:rPr>
        <w:t xml:space="preserve">urgently </w:t>
      </w:r>
      <w:r>
        <w:rPr>
          <w:rFonts w:ascii="Times New Roman" w:hAnsi="Times New Roman"/>
          <w:b w:val="0"/>
          <w:sz w:val="24"/>
          <w:szCs w:val="24"/>
        </w:rPr>
        <w:t>engaged in a short one-week public consultation on the proposed temporary adjustments to the prudential treatment of loans impacted by COVID-19 under the existing standard prior to amending the standard</w:t>
      </w:r>
      <w:r w:rsidRPr="00630F45">
        <w:rPr>
          <w:rFonts w:ascii="Times New Roman" w:hAnsi="Times New Roman"/>
          <w:b w:val="0"/>
          <w:sz w:val="24"/>
          <w:szCs w:val="24"/>
        </w:rPr>
        <w:t>.</w:t>
      </w:r>
      <w:r w:rsidRPr="00630F45">
        <w:rPr>
          <w:rStyle w:val="FootnoteReference"/>
          <w:rFonts w:ascii="Times New Roman" w:hAnsi="Times New Roman"/>
          <w:b w:val="0"/>
          <w:sz w:val="24"/>
          <w:szCs w:val="24"/>
        </w:rPr>
        <w:footnoteReference w:id="3"/>
      </w:r>
      <w:r w:rsidRPr="00630F45">
        <w:rPr>
          <w:rFonts w:ascii="Times New Roman" w:hAnsi="Times New Roman"/>
          <w:b w:val="0"/>
          <w:sz w:val="24"/>
          <w:szCs w:val="24"/>
        </w:rPr>
        <w:t xml:space="preserve"> APRA received </w:t>
      </w:r>
      <w:r w:rsidR="00166EB2" w:rsidRPr="00630F45">
        <w:rPr>
          <w:rFonts w:ascii="Times New Roman" w:hAnsi="Times New Roman"/>
          <w:b w:val="0"/>
          <w:sz w:val="24"/>
          <w:szCs w:val="24"/>
        </w:rPr>
        <w:t>five</w:t>
      </w:r>
      <w:r w:rsidRPr="00630F45">
        <w:rPr>
          <w:rFonts w:ascii="Times New Roman" w:hAnsi="Times New Roman"/>
          <w:b w:val="0"/>
          <w:sz w:val="24"/>
          <w:szCs w:val="24"/>
        </w:rPr>
        <w:t xml:space="preserve"> submissions on its proposals from industry associations and ADIs.</w:t>
      </w:r>
    </w:p>
    <w:p w14:paraId="0BD8AC73" w14:textId="77777777" w:rsidR="001E55AF" w:rsidRDefault="001E55AF" w:rsidP="001E55AF">
      <w:pPr>
        <w:pStyle w:val="Heading"/>
        <w:tabs>
          <w:tab w:val="left" w:pos="360"/>
        </w:tabs>
        <w:spacing w:after="240"/>
        <w:rPr>
          <w:rFonts w:ascii="Times New Roman" w:hAnsi="Times New Roman"/>
          <w:b w:val="0"/>
          <w:sz w:val="24"/>
          <w:szCs w:val="24"/>
        </w:rPr>
      </w:pPr>
      <w:r w:rsidRPr="00630F45">
        <w:rPr>
          <w:rFonts w:ascii="Times New Roman" w:hAnsi="Times New Roman"/>
          <w:b w:val="0"/>
          <w:sz w:val="24"/>
          <w:szCs w:val="24"/>
        </w:rPr>
        <w:t>Respondents were broadly supportive of APRA’s proposal to formalise previously announced measures through temporary adjustments to the existing standard.</w:t>
      </w:r>
      <w:r w:rsidRPr="00630F45">
        <w:rPr>
          <w:rStyle w:val="FootnoteReference"/>
          <w:rFonts w:ascii="Times New Roman" w:hAnsi="Times New Roman"/>
          <w:b w:val="0"/>
          <w:sz w:val="24"/>
          <w:szCs w:val="24"/>
        </w:rPr>
        <w:footnoteReference w:id="4"/>
      </w:r>
    </w:p>
    <w:p w14:paraId="01E407C0" w14:textId="77777777" w:rsidR="001E55AF" w:rsidRDefault="001E55AF" w:rsidP="001E55AF">
      <w:pPr>
        <w:pStyle w:val="Heading"/>
        <w:keepNext/>
        <w:tabs>
          <w:tab w:val="left" w:pos="360"/>
        </w:tabs>
        <w:spacing w:after="240"/>
        <w:rPr>
          <w:rFonts w:ascii="Times New Roman" w:hAnsi="Times New Roman"/>
          <w:sz w:val="24"/>
          <w:szCs w:val="24"/>
        </w:rPr>
      </w:pPr>
      <w:bookmarkStart w:id="11" w:name="bkConsultation"/>
      <w:bookmarkStart w:id="12" w:name="bkRISNO"/>
      <w:bookmarkStart w:id="13" w:name="bkRIS"/>
      <w:bookmarkEnd w:id="10"/>
      <w:bookmarkEnd w:id="11"/>
      <w:bookmarkEnd w:id="12"/>
      <w:r>
        <w:rPr>
          <w:rFonts w:ascii="Times New Roman" w:hAnsi="Times New Roman"/>
          <w:sz w:val="24"/>
          <w:szCs w:val="24"/>
        </w:rPr>
        <w:t>4</w:t>
      </w:r>
      <w:r w:rsidRPr="002C6D26">
        <w:rPr>
          <w:rFonts w:ascii="Times New Roman" w:hAnsi="Times New Roman"/>
          <w:sz w:val="24"/>
          <w:szCs w:val="24"/>
        </w:rPr>
        <w:t xml:space="preserve">. </w:t>
      </w:r>
      <w:r w:rsidRPr="002C6D26">
        <w:rPr>
          <w:rFonts w:ascii="Times New Roman" w:hAnsi="Times New Roman"/>
          <w:sz w:val="24"/>
          <w:szCs w:val="24"/>
        </w:rPr>
        <w:tab/>
        <w:t>R</w:t>
      </w:r>
      <w:r>
        <w:rPr>
          <w:rFonts w:ascii="Times New Roman" w:hAnsi="Times New Roman"/>
          <w:sz w:val="24"/>
          <w:szCs w:val="24"/>
        </w:rPr>
        <w:t xml:space="preserve">egulation </w:t>
      </w:r>
      <w:r w:rsidRPr="002C6D26">
        <w:rPr>
          <w:rFonts w:ascii="Times New Roman" w:hAnsi="Times New Roman"/>
          <w:sz w:val="24"/>
          <w:szCs w:val="24"/>
        </w:rPr>
        <w:t>I</w:t>
      </w:r>
      <w:r>
        <w:rPr>
          <w:rFonts w:ascii="Times New Roman" w:hAnsi="Times New Roman"/>
          <w:sz w:val="24"/>
          <w:szCs w:val="24"/>
        </w:rPr>
        <w:t xml:space="preserve">mpact </w:t>
      </w:r>
      <w:r w:rsidRPr="002C6D26">
        <w:rPr>
          <w:rFonts w:ascii="Times New Roman" w:hAnsi="Times New Roman"/>
          <w:sz w:val="24"/>
          <w:szCs w:val="24"/>
        </w:rPr>
        <w:t>S</w:t>
      </w:r>
      <w:r>
        <w:rPr>
          <w:rFonts w:ascii="Times New Roman" w:hAnsi="Times New Roman"/>
          <w:sz w:val="24"/>
          <w:szCs w:val="24"/>
        </w:rPr>
        <w:t>tatement</w:t>
      </w:r>
    </w:p>
    <w:bookmarkEnd w:id="13"/>
    <w:p w14:paraId="240A0354" w14:textId="77777777" w:rsidR="001E55AF" w:rsidRDefault="001E55AF" w:rsidP="001E55AF">
      <w:pPr>
        <w:pStyle w:val="Heading"/>
        <w:spacing w:after="240"/>
        <w:rPr>
          <w:rFonts w:ascii="Times New Roman" w:hAnsi="Times New Roman"/>
          <w:b w:val="0"/>
          <w:sz w:val="24"/>
          <w:szCs w:val="24"/>
        </w:rPr>
      </w:pPr>
      <w:r w:rsidRPr="0026634D">
        <w:rPr>
          <w:rFonts w:ascii="Times New Roman" w:hAnsi="Times New Roman"/>
          <w:b w:val="0"/>
          <w:sz w:val="24"/>
          <w:szCs w:val="24"/>
        </w:rPr>
        <w:t>The Office of Best Practice Regulation has advised that no Regulat</w:t>
      </w:r>
      <w:r>
        <w:rPr>
          <w:rFonts w:ascii="Times New Roman" w:hAnsi="Times New Roman"/>
          <w:b w:val="0"/>
          <w:sz w:val="24"/>
          <w:szCs w:val="24"/>
        </w:rPr>
        <w:t>ion</w:t>
      </w:r>
      <w:r w:rsidRPr="0026634D">
        <w:rPr>
          <w:rFonts w:ascii="Times New Roman" w:hAnsi="Times New Roman"/>
          <w:b w:val="0"/>
          <w:sz w:val="24"/>
          <w:szCs w:val="24"/>
        </w:rPr>
        <w:t xml:space="preserve"> Impact </w:t>
      </w:r>
      <w:r>
        <w:rPr>
          <w:rFonts w:ascii="Times New Roman" w:hAnsi="Times New Roman"/>
          <w:b w:val="0"/>
          <w:sz w:val="24"/>
          <w:szCs w:val="24"/>
        </w:rPr>
        <w:t>S</w:t>
      </w:r>
      <w:r w:rsidRPr="0026634D">
        <w:rPr>
          <w:rFonts w:ascii="Times New Roman" w:hAnsi="Times New Roman"/>
          <w:b w:val="0"/>
          <w:sz w:val="24"/>
          <w:szCs w:val="24"/>
        </w:rPr>
        <w:t>tatement is required</w:t>
      </w:r>
      <w:r w:rsidR="000D2BC4">
        <w:rPr>
          <w:rFonts w:ascii="Times New Roman" w:hAnsi="Times New Roman"/>
          <w:b w:val="0"/>
          <w:sz w:val="24"/>
          <w:szCs w:val="24"/>
        </w:rPr>
        <w:t xml:space="preserve"> as it</w:t>
      </w:r>
      <w:r w:rsidR="000D2BC4" w:rsidRPr="000D2BC4">
        <w:rPr>
          <w:rFonts w:ascii="Times New Roman" w:hAnsi="Times New Roman"/>
          <w:b w:val="0"/>
          <w:sz w:val="24"/>
          <w:szCs w:val="24"/>
        </w:rPr>
        <w:t xml:space="preserve"> is unlikely to have a more than minor regulatory impact. </w:t>
      </w:r>
      <w:r>
        <w:rPr>
          <w:rFonts w:ascii="Times New Roman" w:hAnsi="Times New Roman"/>
          <w:b w:val="0"/>
          <w:sz w:val="24"/>
          <w:szCs w:val="24"/>
        </w:rPr>
        <w:t xml:space="preserve">(Reference ID </w:t>
      </w:r>
      <w:r w:rsidR="000D2BC4" w:rsidRPr="000D2BC4">
        <w:rPr>
          <w:rFonts w:ascii="Times New Roman" w:hAnsi="Times New Roman"/>
          <w:b w:val="0"/>
          <w:sz w:val="24"/>
          <w:szCs w:val="24"/>
        </w:rPr>
        <w:t>44272</w:t>
      </w:r>
      <w:r>
        <w:rPr>
          <w:rFonts w:ascii="Times New Roman" w:hAnsi="Times New Roman"/>
          <w:b w:val="0"/>
          <w:sz w:val="24"/>
          <w:szCs w:val="24"/>
        </w:rPr>
        <w:t>)</w:t>
      </w:r>
      <w:r w:rsidRPr="0026634D">
        <w:rPr>
          <w:rFonts w:ascii="Times New Roman" w:hAnsi="Times New Roman"/>
          <w:b w:val="0"/>
          <w:sz w:val="24"/>
          <w:szCs w:val="24"/>
        </w:rPr>
        <w:t>.</w:t>
      </w:r>
    </w:p>
    <w:p w14:paraId="2F2E784C" w14:textId="77777777" w:rsidR="001E55AF" w:rsidRPr="00B3165F" w:rsidRDefault="001E55AF" w:rsidP="001E55AF">
      <w:pPr>
        <w:pStyle w:val="Heading"/>
        <w:keepNext/>
        <w:tabs>
          <w:tab w:val="left" w:pos="360"/>
        </w:tabs>
        <w:spacing w:after="240"/>
        <w:rPr>
          <w:rFonts w:ascii="Times New Roman" w:hAnsi="Times New Roman"/>
          <w:sz w:val="24"/>
          <w:szCs w:val="24"/>
        </w:rPr>
      </w:pPr>
      <w:r>
        <w:rPr>
          <w:rFonts w:ascii="Times New Roman" w:hAnsi="Times New Roman"/>
          <w:sz w:val="24"/>
          <w:szCs w:val="24"/>
        </w:rPr>
        <w:t>5</w:t>
      </w:r>
      <w:r w:rsidRPr="00B3165F">
        <w:rPr>
          <w:rFonts w:ascii="Times New Roman" w:hAnsi="Times New Roman"/>
          <w:sz w:val="24"/>
          <w:szCs w:val="24"/>
        </w:rPr>
        <w:t>.</w:t>
      </w:r>
      <w:r w:rsidRPr="00B3165F">
        <w:rPr>
          <w:rFonts w:ascii="Times New Roman" w:hAnsi="Times New Roman"/>
          <w:sz w:val="24"/>
          <w:szCs w:val="24"/>
        </w:rPr>
        <w:tab/>
        <w:t>Statement of compatibility prepared in accordance with Part 3 of the Human Rights (Parliamentary Scrutiny) Act 2011</w:t>
      </w:r>
    </w:p>
    <w:p w14:paraId="24C9D0BB" w14:textId="77777777" w:rsidR="001E55AF" w:rsidRDefault="001E55AF" w:rsidP="001E55AF">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75BFC0F" w14:textId="46682A44" w:rsidR="001E55AF" w:rsidRDefault="001E55AF" w:rsidP="00205D27">
      <w:pPr>
        <w:rPr>
          <w:rFonts w:ascii="Times New Roman" w:hAnsi="Times New Roman"/>
          <w:sz w:val="24"/>
          <w:szCs w:val="24"/>
          <w:u w:val="single"/>
        </w:rPr>
      </w:pPr>
      <w:r>
        <w:rPr>
          <w:rFonts w:ascii="Times New Roman" w:hAnsi="Times New Roman"/>
          <w:b/>
          <w:sz w:val="24"/>
          <w:szCs w:val="24"/>
        </w:rPr>
        <w:br w:type="page"/>
      </w:r>
      <w:r>
        <w:rPr>
          <w:rFonts w:ascii="Times New Roman" w:hAnsi="Times New Roman"/>
          <w:sz w:val="24"/>
          <w:szCs w:val="24"/>
          <w:u w:val="single"/>
        </w:rPr>
        <w:lastRenderedPageBreak/>
        <w:t>ATTACHMENT A</w:t>
      </w:r>
    </w:p>
    <w:p w14:paraId="3EE18239" w14:textId="77777777" w:rsidR="001E55AF" w:rsidRDefault="001E55AF" w:rsidP="001E55AF">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Statement of Compatibility with Human Rights</w:t>
      </w:r>
    </w:p>
    <w:p w14:paraId="6C4D9614" w14:textId="77777777" w:rsidR="001E55AF" w:rsidRDefault="001E55AF" w:rsidP="001E55AF">
      <w:pPr>
        <w:shd w:val="clear" w:color="auto" w:fill="FFFFFF"/>
        <w:spacing w:before="100" w:beforeAutospacing="1" w:after="240"/>
        <w:jc w:val="center"/>
        <w:rPr>
          <w:rFonts w:ascii="Times New Roman" w:hAnsi="Times New Roman"/>
          <w:sz w:val="24"/>
          <w:szCs w:val="24"/>
          <w:lang w:val="en-US"/>
        </w:rPr>
      </w:pPr>
      <w:r>
        <w:rPr>
          <w:rFonts w:ascii="Times New Roman" w:hAnsi="Times New Roman"/>
          <w:sz w:val="24"/>
          <w:szCs w:val="24"/>
        </w:rPr>
        <w:t xml:space="preserve">Prepared in accordance with Part 3 of the </w:t>
      </w:r>
      <w:r>
        <w:rPr>
          <w:rFonts w:ascii="Times New Roman" w:hAnsi="Times New Roman"/>
          <w:i/>
          <w:iCs/>
          <w:sz w:val="24"/>
          <w:szCs w:val="24"/>
        </w:rPr>
        <w:t>Human Rights (Parliamentary Scrutiny) Act 2011</w:t>
      </w:r>
    </w:p>
    <w:p w14:paraId="77836124" w14:textId="272764CA" w:rsidR="001E55AF" w:rsidRDefault="001E55AF" w:rsidP="001E55AF">
      <w:pPr>
        <w:shd w:val="clear" w:color="auto" w:fill="FFFFFF"/>
        <w:spacing w:before="100" w:beforeAutospacing="1" w:after="240"/>
        <w:jc w:val="center"/>
        <w:rPr>
          <w:rFonts w:ascii="Times New Roman" w:hAnsi="Times New Roman"/>
          <w:b/>
          <w:bCs/>
          <w:sz w:val="24"/>
          <w:szCs w:val="24"/>
        </w:rPr>
      </w:pPr>
      <w:r>
        <w:rPr>
          <w:rFonts w:ascii="Times New Roman" w:hAnsi="Times New Roman"/>
          <w:b/>
          <w:bCs/>
          <w:sz w:val="24"/>
          <w:szCs w:val="24"/>
        </w:rPr>
        <w:t xml:space="preserve">Banking (prudential standard) determination </w:t>
      </w:r>
      <w:r w:rsidRPr="008C03D2">
        <w:rPr>
          <w:rFonts w:ascii="Times New Roman" w:hAnsi="Times New Roman"/>
          <w:b/>
          <w:bCs/>
          <w:sz w:val="24"/>
          <w:szCs w:val="24"/>
        </w:rPr>
        <w:t xml:space="preserve">No. </w:t>
      </w:r>
      <w:r w:rsidR="00630F45">
        <w:rPr>
          <w:rFonts w:ascii="Times New Roman" w:hAnsi="Times New Roman"/>
          <w:b/>
          <w:bCs/>
          <w:sz w:val="24"/>
          <w:szCs w:val="24"/>
        </w:rPr>
        <w:t>1</w:t>
      </w:r>
      <w:r w:rsidRPr="008C03D2">
        <w:rPr>
          <w:rFonts w:ascii="Times New Roman" w:hAnsi="Times New Roman"/>
          <w:b/>
          <w:bCs/>
          <w:sz w:val="24"/>
          <w:szCs w:val="24"/>
        </w:rPr>
        <w:t xml:space="preserve"> of 202</w:t>
      </w:r>
      <w:r w:rsidR="00B76DD7">
        <w:rPr>
          <w:rFonts w:ascii="Times New Roman" w:hAnsi="Times New Roman"/>
          <w:b/>
          <w:bCs/>
          <w:sz w:val="24"/>
          <w:szCs w:val="24"/>
        </w:rPr>
        <w:t>1</w:t>
      </w:r>
    </w:p>
    <w:p w14:paraId="0632A73B" w14:textId="77777777" w:rsidR="001E55AF" w:rsidRDefault="001E55AF" w:rsidP="001E55AF">
      <w:pPr>
        <w:shd w:val="clear" w:color="auto" w:fill="FFFFFF"/>
        <w:spacing w:after="240"/>
        <w:jc w:val="both"/>
        <w:rPr>
          <w:rFonts w:ascii="Times New Roman" w:hAnsi="Times New Roman"/>
          <w:sz w:val="24"/>
          <w:szCs w:val="24"/>
          <w:lang w:val="en-US"/>
        </w:rPr>
      </w:pPr>
      <w:r>
        <w:rPr>
          <w:rFonts w:ascii="Times New Roman" w:hAnsi="Times New Roman"/>
          <w:sz w:val="24"/>
          <w:szCs w:val="24"/>
        </w:rPr>
        <w:t xml:space="preserve">The instrument is 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(HRPS Act).</w:t>
      </w:r>
    </w:p>
    <w:p w14:paraId="60462D5E" w14:textId="77777777" w:rsidR="001E55AF" w:rsidRDefault="001E55AF" w:rsidP="001E55AF">
      <w:pPr>
        <w:keepNext/>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Overview of the legislative instrument</w:t>
      </w:r>
    </w:p>
    <w:p w14:paraId="7F474C0E" w14:textId="1BB7C3E5" w:rsidR="001E55AF" w:rsidRDefault="001E55AF" w:rsidP="001E55AF">
      <w:pPr>
        <w:spacing w:after="240"/>
        <w:jc w:val="both"/>
        <w:rPr>
          <w:rFonts w:ascii="Times New Roman" w:hAnsi="Times New Roman"/>
          <w:sz w:val="24"/>
          <w:szCs w:val="24"/>
        </w:rPr>
      </w:pPr>
      <w:r>
        <w:rPr>
          <w:rFonts w:ascii="Times New Roman" w:hAnsi="Times New Roman"/>
          <w:sz w:val="24"/>
          <w:szCs w:val="24"/>
        </w:rPr>
        <w:t xml:space="preserve">The purpose of Banking (prudential standard) determination </w:t>
      </w:r>
      <w:r w:rsidRPr="008C03D2">
        <w:rPr>
          <w:rFonts w:ascii="Times New Roman" w:hAnsi="Times New Roman"/>
          <w:sz w:val="24"/>
          <w:szCs w:val="24"/>
        </w:rPr>
        <w:t xml:space="preserve">No. </w:t>
      </w:r>
      <w:r w:rsidR="00630F45">
        <w:rPr>
          <w:rFonts w:ascii="Times New Roman" w:hAnsi="Times New Roman"/>
          <w:sz w:val="24"/>
          <w:szCs w:val="24"/>
        </w:rPr>
        <w:t>1</w:t>
      </w:r>
      <w:r w:rsidR="00B76DD7">
        <w:rPr>
          <w:rFonts w:ascii="Times New Roman" w:hAnsi="Times New Roman"/>
          <w:sz w:val="24"/>
          <w:szCs w:val="24"/>
        </w:rPr>
        <w:t xml:space="preserve"> </w:t>
      </w:r>
      <w:r w:rsidRPr="008C03D2">
        <w:rPr>
          <w:rFonts w:ascii="Times New Roman" w:hAnsi="Times New Roman"/>
          <w:sz w:val="24"/>
          <w:szCs w:val="24"/>
        </w:rPr>
        <w:t>of 202</w:t>
      </w:r>
      <w:r w:rsidR="00B76DD7">
        <w:rPr>
          <w:rFonts w:ascii="Times New Roman" w:hAnsi="Times New Roman"/>
          <w:sz w:val="24"/>
          <w:szCs w:val="24"/>
        </w:rPr>
        <w:t>1</w:t>
      </w:r>
      <w:r>
        <w:rPr>
          <w:rFonts w:ascii="Times New Roman" w:hAnsi="Times New Roman"/>
          <w:sz w:val="24"/>
          <w:szCs w:val="24"/>
        </w:rPr>
        <w:t xml:space="preserve"> is to revoke </w:t>
      </w:r>
      <w:r w:rsidRPr="00C34B2D">
        <w:rPr>
          <w:rFonts w:ascii="Times New Roman" w:hAnsi="Times New Roman"/>
          <w:i/>
          <w:sz w:val="24"/>
          <w:szCs w:val="24"/>
        </w:rPr>
        <w:t xml:space="preserve">Prudential Standard APS 220 Credit </w:t>
      </w:r>
      <w:r w:rsidR="00630F45">
        <w:rPr>
          <w:rFonts w:ascii="Times New Roman" w:hAnsi="Times New Roman"/>
          <w:i/>
          <w:sz w:val="24"/>
          <w:szCs w:val="24"/>
        </w:rPr>
        <w:t>Quality</w:t>
      </w:r>
      <w:r w:rsidRPr="00094BDD">
        <w:rPr>
          <w:rFonts w:ascii="Times New Roman" w:hAnsi="Times New Roman"/>
          <w:sz w:val="24"/>
          <w:szCs w:val="24"/>
        </w:rPr>
        <w:t xml:space="preserve"> made under Banking (prudential standard) determination No.</w:t>
      </w:r>
      <w:r>
        <w:rPr>
          <w:rFonts w:ascii="Times New Roman" w:hAnsi="Times New Roman"/>
          <w:sz w:val="24"/>
          <w:szCs w:val="24"/>
        </w:rPr>
        <w:t> </w:t>
      </w:r>
      <w:r w:rsidR="00B76DD7">
        <w:rPr>
          <w:rFonts w:ascii="Times New Roman" w:hAnsi="Times New Roman"/>
          <w:sz w:val="24"/>
          <w:szCs w:val="24"/>
        </w:rPr>
        <w:t>4</w:t>
      </w:r>
      <w:r w:rsidRPr="00094BDD">
        <w:rPr>
          <w:rFonts w:ascii="Times New Roman" w:hAnsi="Times New Roman"/>
          <w:sz w:val="24"/>
          <w:szCs w:val="24"/>
        </w:rPr>
        <w:t xml:space="preserve"> of 20</w:t>
      </w:r>
      <w:r>
        <w:rPr>
          <w:rFonts w:ascii="Times New Roman" w:hAnsi="Times New Roman"/>
          <w:sz w:val="24"/>
          <w:szCs w:val="24"/>
        </w:rPr>
        <w:t xml:space="preserve">20 and replace it with a new </w:t>
      </w:r>
      <w:r w:rsidRPr="000F5A7A">
        <w:rPr>
          <w:rFonts w:ascii="Times New Roman" w:hAnsi="Times New Roman"/>
          <w:i/>
          <w:sz w:val="24"/>
          <w:szCs w:val="24"/>
        </w:rPr>
        <w:t>Prudential Standard APS 220 Credit Quality</w:t>
      </w:r>
      <w:r w:rsidRPr="00094BDD">
        <w:rPr>
          <w:rFonts w:ascii="Times New Roman" w:hAnsi="Times New Roman"/>
          <w:sz w:val="24"/>
          <w:szCs w:val="24"/>
        </w:rPr>
        <w:t xml:space="preserve"> (APS</w:t>
      </w:r>
      <w:r>
        <w:rPr>
          <w:rFonts w:ascii="Times New Roman" w:hAnsi="Times New Roman"/>
          <w:sz w:val="24"/>
          <w:szCs w:val="24"/>
        </w:rPr>
        <w:t> </w:t>
      </w:r>
      <w:r w:rsidRPr="00094BDD">
        <w:rPr>
          <w:rFonts w:ascii="Times New Roman" w:hAnsi="Times New Roman"/>
          <w:sz w:val="24"/>
          <w:szCs w:val="24"/>
        </w:rPr>
        <w:t>220)</w:t>
      </w:r>
      <w:r>
        <w:rPr>
          <w:rFonts w:ascii="Times New Roman" w:hAnsi="Times New Roman"/>
          <w:sz w:val="24"/>
          <w:szCs w:val="24"/>
        </w:rPr>
        <w:t xml:space="preserve">. The changes incorporate temporary prudential treatments for loans with repayment deferrals or that are otherwise restructured due to the COVID-19 pandemic. The changes are limited to imposing obligations on ADIs. </w:t>
      </w:r>
    </w:p>
    <w:p w14:paraId="6D3DBE47" w14:textId="77777777" w:rsidR="001E55AF" w:rsidRDefault="001E55AF" w:rsidP="001E55AF">
      <w:pPr>
        <w:keepNext/>
        <w:shd w:val="clear" w:color="auto" w:fill="FFFFFF"/>
        <w:spacing w:after="240"/>
        <w:jc w:val="both"/>
        <w:rPr>
          <w:rFonts w:ascii="Times New Roman" w:hAnsi="Times New Roman"/>
          <w:sz w:val="24"/>
          <w:szCs w:val="24"/>
          <w:lang w:val="en-US"/>
        </w:rPr>
      </w:pPr>
      <w:r>
        <w:rPr>
          <w:rFonts w:ascii="Times New Roman" w:hAnsi="Times New Roman"/>
          <w:b/>
          <w:bCs/>
          <w:sz w:val="24"/>
          <w:szCs w:val="24"/>
        </w:rPr>
        <w:t>Human rights implications</w:t>
      </w:r>
    </w:p>
    <w:p w14:paraId="74B99A1C" w14:textId="77777777" w:rsidR="001E55AF" w:rsidRDefault="001E55AF" w:rsidP="001E55AF">
      <w:pPr>
        <w:shd w:val="clear" w:color="auto" w:fill="FFFFFF"/>
        <w:spacing w:after="240"/>
        <w:jc w:val="both"/>
        <w:rPr>
          <w:rFonts w:ascii="Times New Roman" w:hAnsi="Times New Roman"/>
          <w:sz w:val="24"/>
          <w:szCs w:val="24"/>
        </w:rPr>
      </w:pPr>
      <w:r>
        <w:rPr>
          <w:rFonts w:ascii="Times New Roman" w:hAnsi="Times New Roman"/>
          <w:sz w:val="24"/>
          <w:szCs w:val="24"/>
        </w:rPr>
        <w:t>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0F5A08CE" w14:textId="77777777" w:rsidR="001E55AF" w:rsidRPr="00452143" w:rsidRDefault="001E55AF" w:rsidP="001E55AF">
      <w:pPr>
        <w:keepNext/>
        <w:spacing w:after="240"/>
        <w:rPr>
          <w:rFonts w:ascii="Times New Roman" w:hAnsi="Times New Roman"/>
          <w:b/>
          <w:sz w:val="24"/>
          <w:szCs w:val="24"/>
          <w:lang w:val="en-US"/>
        </w:rPr>
      </w:pPr>
      <w:r>
        <w:rPr>
          <w:rFonts w:ascii="Times New Roman" w:hAnsi="Times New Roman"/>
          <w:b/>
          <w:bCs/>
          <w:sz w:val="24"/>
          <w:szCs w:val="24"/>
        </w:rPr>
        <w:t>Conclusion</w:t>
      </w:r>
    </w:p>
    <w:p w14:paraId="0C107838" w14:textId="77777777" w:rsidR="001E55AF" w:rsidRDefault="001E55AF" w:rsidP="001E55AF">
      <w:pPr>
        <w:spacing w:after="240"/>
        <w:jc w:val="both"/>
        <w:rPr>
          <w:rFonts w:ascii="Times New Roman" w:hAnsi="Times New Roman"/>
          <w:sz w:val="24"/>
          <w:szCs w:val="24"/>
        </w:rPr>
      </w:pPr>
      <w:r>
        <w:rPr>
          <w:rFonts w:ascii="Times New Roman" w:hAnsi="Times New Roman"/>
          <w:sz w:val="24"/>
          <w:szCs w:val="24"/>
        </w:rPr>
        <w:t>The instrument is compatible with human rights as it does not raise any human rights issues.</w:t>
      </w:r>
    </w:p>
    <w:p w14:paraId="6EE0A45A" w14:textId="77777777" w:rsidR="00A533A9" w:rsidRPr="00A34ADD" w:rsidRDefault="00A533A9" w:rsidP="00A34ADD"/>
    <w:sectPr w:rsidR="00A533A9" w:rsidRPr="00A34ADD"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C71D4" w14:textId="77777777" w:rsidR="001E55AF" w:rsidRPr="000D4EDE" w:rsidRDefault="001E55AF" w:rsidP="000D4EDE">
      <w:r>
        <w:separator/>
      </w:r>
    </w:p>
  </w:endnote>
  <w:endnote w:type="continuationSeparator" w:id="0">
    <w:p w14:paraId="3777A5A3" w14:textId="77777777" w:rsidR="001E55AF" w:rsidRPr="000D4EDE" w:rsidRDefault="001E55AF"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25A55990" w14:textId="77777777" w:rsidR="0052756D" w:rsidRPr="00DF7DA0" w:rsidRDefault="000D2BC4"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Pr>
            <w:rFonts w:ascii="Times New Roman" w:hAnsi="Times New Roman"/>
            <w:bCs/>
            <w:noProof/>
            <w:sz w:val="24"/>
            <w:szCs w:val="24"/>
          </w:rPr>
          <w:t>5</w:t>
        </w:r>
        <w:r w:rsidRPr="00DF7DA0">
          <w:rPr>
            <w:rFonts w:ascii="Times New Roman" w:hAnsi="Times New Roman"/>
            <w:bCs/>
            <w:sz w:val="24"/>
            <w:szCs w:val="24"/>
          </w:rPr>
          <w:fldChar w:fldCharType="end"/>
        </w:r>
      </w:p>
    </w:sdtContent>
  </w:sdt>
  <w:p w14:paraId="5369AB8C" w14:textId="77777777" w:rsidR="0052756D" w:rsidRDefault="00DA4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70995" w14:textId="77777777" w:rsidR="001E55AF" w:rsidRPr="000D4EDE" w:rsidRDefault="001E55AF" w:rsidP="000D4EDE">
      <w:r>
        <w:separator/>
      </w:r>
    </w:p>
  </w:footnote>
  <w:footnote w:type="continuationSeparator" w:id="0">
    <w:p w14:paraId="156745F0" w14:textId="77777777" w:rsidR="001E55AF" w:rsidRPr="000D4EDE" w:rsidRDefault="001E55AF" w:rsidP="000D4EDE">
      <w:r>
        <w:continuationSeparator/>
      </w:r>
    </w:p>
  </w:footnote>
  <w:footnote w:id="1">
    <w:p w14:paraId="35F2D37E" w14:textId="77777777" w:rsidR="001E55AF" w:rsidRPr="00A824C6" w:rsidRDefault="001E55AF" w:rsidP="001E55AF">
      <w:pPr>
        <w:pStyle w:val="FootnoteText"/>
        <w:jc w:val="both"/>
        <w:rPr>
          <w:rFonts w:ascii="Times New Roman" w:hAnsi="Times New Roman"/>
        </w:rPr>
      </w:pPr>
      <w:r w:rsidRPr="00A824C6">
        <w:rPr>
          <w:rStyle w:val="FootnoteReference"/>
          <w:rFonts w:ascii="Times New Roman" w:hAnsi="Times New Roman"/>
        </w:rPr>
        <w:footnoteRef/>
      </w:r>
      <w:r w:rsidRPr="00A824C6">
        <w:rPr>
          <w:rFonts w:ascii="Times New Roman" w:hAnsi="Times New Roman"/>
        </w:rPr>
        <w:t xml:space="preserve"> Australian </w:t>
      </w:r>
      <w:r>
        <w:rPr>
          <w:rFonts w:ascii="Times New Roman" w:hAnsi="Times New Roman"/>
        </w:rPr>
        <w:t xml:space="preserve">Accounting Standards is defined in </w:t>
      </w:r>
      <w:r w:rsidRPr="00A824C6">
        <w:rPr>
          <w:rFonts w:ascii="Times New Roman" w:hAnsi="Times New Roman"/>
          <w:i/>
        </w:rPr>
        <w:t>Prudential Standard APS</w:t>
      </w:r>
      <w:r>
        <w:rPr>
          <w:rFonts w:ascii="Times New Roman" w:hAnsi="Times New Roman"/>
          <w:i/>
        </w:rPr>
        <w:t> </w:t>
      </w:r>
      <w:r w:rsidRPr="00A824C6">
        <w:rPr>
          <w:rFonts w:ascii="Times New Roman" w:hAnsi="Times New Roman"/>
          <w:i/>
        </w:rPr>
        <w:t>001 Definitions</w:t>
      </w:r>
      <w:r>
        <w:rPr>
          <w:rFonts w:ascii="Times New Roman" w:hAnsi="Times New Roman"/>
        </w:rPr>
        <w:t xml:space="preserve"> as the Australian Accounting Standards issued by the Australian Accounting Standards Board as may be amended from time to time. </w:t>
      </w:r>
    </w:p>
  </w:footnote>
  <w:footnote w:id="2">
    <w:p w14:paraId="3FA8514E" w14:textId="77777777" w:rsidR="001E55AF" w:rsidRDefault="001E55AF" w:rsidP="001E55AF">
      <w:pPr>
        <w:pStyle w:val="FootnoteText"/>
        <w:jc w:val="both"/>
      </w:pPr>
      <w:r w:rsidRPr="00550E24">
        <w:rPr>
          <w:rStyle w:val="FootnoteReference"/>
          <w:rFonts w:ascii="Times New Roman" w:hAnsi="Times New Roman"/>
        </w:rPr>
        <w:footnoteRef/>
      </w:r>
      <w:r w:rsidRPr="00550E24">
        <w:rPr>
          <w:rFonts w:ascii="Times New Roman" w:hAnsi="Times New Roman"/>
        </w:rPr>
        <w:t xml:space="preserve"> </w:t>
      </w:r>
      <w:r>
        <w:rPr>
          <w:rFonts w:ascii="Times New Roman" w:hAnsi="Times New Roman"/>
        </w:rPr>
        <w:t xml:space="preserve">Subsection 9A(4) of the Act </w:t>
      </w:r>
      <w:r w:rsidRPr="00550E24">
        <w:rPr>
          <w:rFonts w:ascii="Times New Roman" w:hAnsi="Times New Roman"/>
        </w:rPr>
        <w:t>specifically provide</w:t>
      </w:r>
      <w:r>
        <w:rPr>
          <w:rFonts w:ascii="Times New Roman" w:hAnsi="Times New Roman"/>
        </w:rPr>
        <w:t>s</w:t>
      </w:r>
      <w:r w:rsidRPr="00550E24">
        <w:rPr>
          <w:rFonts w:ascii="Times New Roman" w:hAnsi="Times New Roman"/>
        </w:rPr>
        <w:t xml:space="preserve"> that APRA does not need to consult where APRA is satisfied that doing so could result in a delay in revocation that would be contrary to the national interest or the interests of depositors with th</w:t>
      </w:r>
      <w:r>
        <w:rPr>
          <w:rFonts w:ascii="Times New Roman" w:hAnsi="Times New Roman"/>
        </w:rPr>
        <w:t xml:space="preserve">e ADI. </w:t>
      </w:r>
    </w:p>
  </w:footnote>
  <w:footnote w:id="3">
    <w:p w14:paraId="3743F095" w14:textId="77777777" w:rsidR="001E55AF" w:rsidRPr="008A6D07" w:rsidRDefault="001E55AF" w:rsidP="001E55AF">
      <w:pPr>
        <w:pStyle w:val="FootnoteText"/>
        <w:rPr>
          <w:rFonts w:ascii="Times New Roman" w:hAnsi="Times New Roman"/>
        </w:rPr>
      </w:pPr>
      <w:r w:rsidRPr="008A6D07">
        <w:rPr>
          <w:rStyle w:val="FootnoteReference"/>
          <w:rFonts w:ascii="Times New Roman" w:hAnsi="Times New Roman"/>
        </w:rPr>
        <w:footnoteRef/>
      </w:r>
      <w:r w:rsidRPr="008A6D07">
        <w:rPr>
          <w:rFonts w:ascii="Times New Roman" w:hAnsi="Times New Roman"/>
        </w:rPr>
        <w:t xml:space="preserve"> The consultation letter is available on APRA’s website at </w:t>
      </w:r>
      <w:hyperlink r:id="rId1" w:history="1">
        <w:r w:rsidR="00B76DD7" w:rsidRPr="00B76DD7">
          <w:rPr>
            <w:rStyle w:val="Hyperlink"/>
            <w:rFonts w:ascii="Times New Roman" w:hAnsi="Times New Roman"/>
          </w:rPr>
          <w:t>Consultation on loans impacted by COVID-19: Regulatory support | APRA</w:t>
        </w:r>
      </w:hyperlink>
      <w:r w:rsidRPr="008A6D07">
        <w:rPr>
          <w:rFonts w:ascii="Times New Roman" w:hAnsi="Times New Roman"/>
        </w:rPr>
        <w:t xml:space="preserve">. </w:t>
      </w:r>
    </w:p>
  </w:footnote>
  <w:footnote w:id="4">
    <w:p w14:paraId="44715666" w14:textId="43BF0C60" w:rsidR="001E55AF" w:rsidRPr="008A6D07" w:rsidRDefault="001E55AF" w:rsidP="001E55AF">
      <w:pPr>
        <w:pStyle w:val="FootnoteText"/>
        <w:rPr>
          <w:rFonts w:ascii="Times New Roman" w:hAnsi="Times New Roman"/>
        </w:rPr>
      </w:pPr>
      <w:r w:rsidRPr="008A6D07">
        <w:rPr>
          <w:rStyle w:val="FootnoteReference"/>
          <w:rFonts w:ascii="Times New Roman" w:hAnsi="Times New Roman"/>
        </w:rPr>
        <w:footnoteRef/>
      </w:r>
      <w:r w:rsidRPr="008A6D07">
        <w:rPr>
          <w:rFonts w:ascii="Times New Roman" w:hAnsi="Times New Roman"/>
        </w:rPr>
        <w:t xml:space="preserve"> </w:t>
      </w:r>
      <w:r w:rsidRPr="008107E8">
        <w:rPr>
          <w:rFonts w:ascii="Times New Roman" w:hAnsi="Times New Roman"/>
        </w:rPr>
        <w:t>APRA’s full response and non-confidential submissions are available on APRA’s website at</w:t>
      </w:r>
      <w:r w:rsidR="00B76DD7" w:rsidRPr="008107E8">
        <w:rPr>
          <w:rFonts w:ascii="Times New Roman" w:hAnsi="Times New Roman"/>
        </w:rPr>
        <w:t>:</w:t>
      </w:r>
      <w:r w:rsidRPr="008107E8">
        <w:rPr>
          <w:rFonts w:ascii="Times New Roman" w:hAnsi="Times New Roman"/>
        </w:rPr>
        <w:t xml:space="preserve"> </w:t>
      </w:r>
      <w:hyperlink r:id="rId2" w:history="1">
        <w:r w:rsidR="008107E8" w:rsidRPr="008107E8">
          <w:rPr>
            <w:rStyle w:val="Hyperlink"/>
            <w:rFonts w:ascii="Times New Roman" w:hAnsi="Times New Roman"/>
          </w:rPr>
          <w:t>APRA releases response letter on its proposed treatment of loans impacted by COVID-19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0"/>
  </w:num>
  <w:num w:numId="3">
    <w:abstractNumId w:val="5"/>
  </w:num>
  <w:num w:numId="4">
    <w:abstractNumId w:val="12"/>
  </w:num>
  <w:num w:numId="5">
    <w:abstractNumId w:val="13"/>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6"/>
  </w:num>
  <w:num w:numId="11">
    <w:abstractNumId w:val="4"/>
  </w:num>
  <w:num w:numId="12">
    <w:abstractNumId w:val="7"/>
  </w:num>
  <w:num w:numId="13">
    <w:abstractNumId w:val="10"/>
  </w:num>
  <w:num w:numId="14">
    <w:abstractNumId w:val="9"/>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styleLockTheme/>
  <w:styleLockQFSet/>
  <w:defaultTabStop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AF"/>
    <w:rsid w:val="00004ED1"/>
    <w:rsid w:val="00005D98"/>
    <w:rsid w:val="00005F96"/>
    <w:rsid w:val="00007262"/>
    <w:rsid w:val="00011C96"/>
    <w:rsid w:val="000141B9"/>
    <w:rsid w:val="00034A19"/>
    <w:rsid w:val="00036F9E"/>
    <w:rsid w:val="000413B3"/>
    <w:rsid w:val="000453D9"/>
    <w:rsid w:val="000573E5"/>
    <w:rsid w:val="00057B71"/>
    <w:rsid w:val="000637CE"/>
    <w:rsid w:val="0007202C"/>
    <w:rsid w:val="00072B30"/>
    <w:rsid w:val="0007319C"/>
    <w:rsid w:val="000732AA"/>
    <w:rsid w:val="000767DD"/>
    <w:rsid w:val="0008011A"/>
    <w:rsid w:val="00084F8B"/>
    <w:rsid w:val="000851D0"/>
    <w:rsid w:val="00086D07"/>
    <w:rsid w:val="00086F71"/>
    <w:rsid w:val="00093915"/>
    <w:rsid w:val="000949AD"/>
    <w:rsid w:val="00095109"/>
    <w:rsid w:val="00096B0F"/>
    <w:rsid w:val="000A490E"/>
    <w:rsid w:val="000B04C5"/>
    <w:rsid w:val="000B63CA"/>
    <w:rsid w:val="000B752A"/>
    <w:rsid w:val="000C14D9"/>
    <w:rsid w:val="000C15C7"/>
    <w:rsid w:val="000D2BC4"/>
    <w:rsid w:val="000D4EDE"/>
    <w:rsid w:val="000E2460"/>
    <w:rsid w:val="000E43AC"/>
    <w:rsid w:val="000E6E37"/>
    <w:rsid w:val="000F0E6F"/>
    <w:rsid w:val="001018A5"/>
    <w:rsid w:val="00106F56"/>
    <w:rsid w:val="00115A39"/>
    <w:rsid w:val="00117479"/>
    <w:rsid w:val="00123576"/>
    <w:rsid w:val="001241CB"/>
    <w:rsid w:val="00124B21"/>
    <w:rsid w:val="001327B8"/>
    <w:rsid w:val="0013471B"/>
    <w:rsid w:val="001352D4"/>
    <w:rsid w:val="00155789"/>
    <w:rsid w:val="00157C98"/>
    <w:rsid w:val="001653B6"/>
    <w:rsid w:val="00165BF6"/>
    <w:rsid w:val="00166EB2"/>
    <w:rsid w:val="00174B0F"/>
    <w:rsid w:val="0018235E"/>
    <w:rsid w:val="00184187"/>
    <w:rsid w:val="001A4EA4"/>
    <w:rsid w:val="001A664F"/>
    <w:rsid w:val="001A7B3A"/>
    <w:rsid w:val="001B2DB7"/>
    <w:rsid w:val="001B3A9F"/>
    <w:rsid w:val="001D0C02"/>
    <w:rsid w:val="001D3D43"/>
    <w:rsid w:val="001E0F51"/>
    <w:rsid w:val="001E55AF"/>
    <w:rsid w:val="001E55BF"/>
    <w:rsid w:val="001F6070"/>
    <w:rsid w:val="001F6E1A"/>
    <w:rsid w:val="001F780A"/>
    <w:rsid w:val="001F7917"/>
    <w:rsid w:val="00200613"/>
    <w:rsid w:val="00205D27"/>
    <w:rsid w:val="00214883"/>
    <w:rsid w:val="002156F6"/>
    <w:rsid w:val="00220550"/>
    <w:rsid w:val="002301A2"/>
    <w:rsid w:val="002322B4"/>
    <w:rsid w:val="00236C2D"/>
    <w:rsid w:val="002374B7"/>
    <w:rsid w:val="00240126"/>
    <w:rsid w:val="00241D16"/>
    <w:rsid w:val="00242384"/>
    <w:rsid w:val="0024304D"/>
    <w:rsid w:val="00244826"/>
    <w:rsid w:val="00247ACA"/>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7504"/>
    <w:rsid w:val="002C0D97"/>
    <w:rsid w:val="002C66D1"/>
    <w:rsid w:val="002C7065"/>
    <w:rsid w:val="002C7F4A"/>
    <w:rsid w:val="002D2804"/>
    <w:rsid w:val="002D4B6C"/>
    <w:rsid w:val="002D5274"/>
    <w:rsid w:val="002E1EE3"/>
    <w:rsid w:val="002F0135"/>
    <w:rsid w:val="002F0C2C"/>
    <w:rsid w:val="00300655"/>
    <w:rsid w:val="00303D18"/>
    <w:rsid w:val="00307ADD"/>
    <w:rsid w:val="00307E55"/>
    <w:rsid w:val="00312A66"/>
    <w:rsid w:val="003130CA"/>
    <w:rsid w:val="0032180D"/>
    <w:rsid w:val="003306A5"/>
    <w:rsid w:val="00355D40"/>
    <w:rsid w:val="00371AAC"/>
    <w:rsid w:val="00371F54"/>
    <w:rsid w:val="0037770C"/>
    <w:rsid w:val="00377C8B"/>
    <w:rsid w:val="00383A95"/>
    <w:rsid w:val="00385CA0"/>
    <w:rsid w:val="003A2733"/>
    <w:rsid w:val="003A3021"/>
    <w:rsid w:val="003A627E"/>
    <w:rsid w:val="003A79EE"/>
    <w:rsid w:val="003B6E16"/>
    <w:rsid w:val="003C180A"/>
    <w:rsid w:val="003C1E25"/>
    <w:rsid w:val="003D27CB"/>
    <w:rsid w:val="003D329D"/>
    <w:rsid w:val="003E6BF6"/>
    <w:rsid w:val="003F0F0D"/>
    <w:rsid w:val="0040173E"/>
    <w:rsid w:val="00435339"/>
    <w:rsid w:val="004410DC"/>
    <w:rsid w:val="0044447D"/>
    <w:rsid w:val="00450C67"/>
    <w:rsid w:val="00455B3C"/>
    <w:rsid w:val="00460CF7"/>
    <w:rsid w:val="00463FA8"/>
    <w:rsid w:val="00466648"/>
    <w:rsid w:val="00472CBC"/>
    <w:rsid w:val="004765B3"/>
    <w:rsid w:val="004843CA"/>
    <w:rsid w:val="00493DAA"/>
    <w:rsid w:val="00494335"/>
    <w:rsid w:val="00495A4C"/>
    <w:rsid w:val="004967A1"/>
    <w:rsid w:val="004B584E"/>
    <w:rsid w:val="004C1106"/>
    <w:rsid w:val="004C6D4B"/>
    <w:rsid w:val="004C766B"/>
    <w:rsid w:val="004D33E3"/>
    <w:rsid w:val="004D76C1"/>
    <w:rsid w:val="004D7C22"/>
    <w:rsid w:val="004E2269"/>
    <w:rsid w:val="004E451A"/>
    <w:rsid w:val="004F3339"/>
    <w:rsid w:val="004F72A2"/>
    <w:rsid w:val="004F78E5"/>
    <w:rsid w:val="005026D4"/>
    <w:rsid w:val="00503A51"/>
    <w:rsid w:val="00506774"/>
    <w:rsid w:val="00512309"/>
    <w:rsid w:val="00541D54"/>
    <w:rsid w:val="00542522"/>
    <w:rsid w:val="0054526E"/>
    <w:rsid w:val="00545CE1"/>
    <w:rsid w:val="005476B5"/>
    <w:rsid w:val="0055095F"/>
    <w:rsid w:val="005549D7"/>
    <w:rsid w:val="005602DA"/>
    <w:rsid w:val="00562087"/>
    <w:rsid w:val="005678FC"/>
    <w:rsid w:val="0057138A"/>
    <w:rsid w:val="00573327"/>
    <w:rsid w:val="00592F64"/>
    <w:rsid w:val="005A3F63"/>
    <w:rsid w:val="005A59D0"/>
    <w:rsid w:val="005B073E"/>
    <w:rsid w:val="005B227F"/>
    <w:rsid w:val="005B7801"/>
    <w:rsid w:val="005C5891"/>
    <w:rsid w:val="005D04CC"/>
    <w:rsid w:val="005D5FAE"/>
    <w:rsid w:val="005E4BC9"/>
    <w:rsid w:val="005F29B7"/>
    <w:rsid w:val="00606EB5"/>
    <w:rsid w:val="00606FC8"/>
    <w:rsid w:val="00616C90"/>
    <w:rsid w:val="00617FDA"/>
    <w:rsid w:val="0062116F"/>
    <w:rsid w:val="00623FD7"/>
    <w:rsid w:val="00626087"/>
    <w:rsid w:val="00630F45"/>
    <w:rsid w:val="00634E4C"/>
    <w:rsid w:val="00636B8B"/>
    <w:rsid w:val="00641EAA"/>
    <w:rsid w:val="006427FE"/>
    <w:rsid w:val="006506C1"/>
    <w:rsid w:val="00657459"/>
    <w:rsid w:val="0065747A"/>
    <w:rsid w:val="00662E28"/>
    <w:rsid w:val="0066674D"/>
    <w:rsid w:val="00666A78"/>
    <w:rsid w:val="00676C12"/>
    <w:rsid w:val="0069375D"/>
    <w:rsid w:val="0069407C"/>
    <w:rsid w:val="0069574E"/>
    <w:rsid w:val="006969C0"/>
    <w:rsid w:val="006A1921"/>
    <w:rsid w:val="006A2303"/>
    <w:rsid w:val="006A2C82"/>
    <w:rsid w:val="006D2A45"/>
    <w:rsid w:val="006D315C"/>
    <w:rsid w:val="006D71B8"/>
    <w:rsid w:val="006E4272"/>
    <w:rsid w:val="006F145A"/>
    <w:rsid w:val="006F27CB"/>
    <w:rsid w:val="006F359B"/>
    <w:rsid w:val="006F5865"/>
    <w:rsid w:val="00701EC6"/>
    <w:rsid w:val="00706179"/>
    <w:rsid w:val="00706228"/>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A0EB7"/>
    <w:rsid w:val="007B6871"/>
    <w:rsid w:val="007B7899"/>
    <w:rsid w:val="007C08B1"/>
    <w:rsid w:val="007C2CC2"/>
    <w:rsid w:val="007C38BD"/>
    <w:rsid w:val="007C79AA"/>
    <w:rsid w:val="007D31DA"/>
    <w:rsid w:val="007D72C5"/>
    <w:rsid w:val="007E525D"/>
    <w:rsid w:val="007F0323"/>
    <w:rsid w:val="007F379E"/>
    <w:rsid w:val="007F471C"/>
    <w:rsid w:val="00800C90"/>
    <w:rsid w:val="008107E8"/>
    <w:rsid w:val="008125F8"/>
    <w:rsid w:val="008208A8"/>
    <w:rsid w:val="00826012"/>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47BF"/>
    <w:rsid w:val="008A0CBE"/>
    <w:rsid w:val="008A1CA8"/>
    <w:rsid w:val="008A214D"/>
    <w:rsid w:val="008A72D2"/>
    <w:rsid w:val="008A74A3"/>
    <w:rsid w:val="008B6868"/>
    <w:rsid w:val="008B6D24"/>
    <w:rsid w:val="008C34F7"/>
    <w:rsid w:val="008C6A43"/>
    <w:rsid w:val="008D080C"/>
    <w:rsid w:val="008D1867"/>
    <w:rsid w:val="008D6437"/>
    <w:rsid w:val="008D6EDF"/>
    <w:rsid w:val="008E3EF5"/>
    <w:rsid w:val="008F33B5"/>
    <w:rsid w:val="008F45DF"/>
    <w:rsid w:val="00901414"/>
    <w:rsid w:val="00906799"/>
    <w:rsid w:val="00922193"/>
    <w:rsid w:val="00924152"/>
    <w:rsid w:val="0093194D"/>
    <w:rsid w:val="00934C3F"/>
    <w:rsid w:val="009417AE"/>
    <w:rsid w:val="00945B3F"/>
    <w:rsid w:val="00950DCB"/>
    <w:rsid w:val="00952D47"/>
    <w:rsid w:val="00952D4C"/>
    <w:rsid w:val="00960246"/>
    <w:rsid w:val="009720E1"/>
    <w:rsid w:val="00974F0E"/>
    <w:rsid w:val="00975CD7"/>
    <w:rsid w:val="00980CA1"/>
    <w:rsid w:val="00985E70"/>
    <w:rsid w:val="0098783B"/>
    <w:rsid w:val="00993C2B"/>
    <w:rsid w:val="009979F4"/>
    <w:rsid w:val="009A246D"/>
    <w:rsid w:val="009A45B2"/>
    <w:rsid w:val="009A5585"/>
    <w:rsid w:val="009A59D5"/>
    <w:rsid w:val="009B2CB7"/>
    <w:rsid w:val="009B564D"/>
    <w:rsid w:val="009C2198"/>
    <w:rsid w:val="009D2DDD"/>
    <w:rsid w:val="009E0C10"/>
    <w:rsid w:val="009E4116"/>
    <w:rsid w:val="009E529F"/>
    <w:rsid w:val="00A10DA6"/>
    <w:rsid w:val="00A151E9"/>
    <w:rsid w:val="00A15DBB"/>
    <w:rsid w:val="00A259F2"/>
    <w:rsid w:val="00A2758A"/>
    <w:rsid w:val="00A33802"/>
    <w:rsid w:val="00A34ADD"/>
    <w:rsid w:val="00A37162"/>
    <w:rsid w:val="00A37E51"/>
    <w:rsid w:val="00A51E2D"/>
    <w:rsid w:val="00A5319F"/>
    <w:rsid w:val="00A533A9"/>
    <w:rsid w:val="00A53690"/>
    <w:rsid w:val="00A62D31"/>
    <w:rsid w:val="00A63380"/>
    <w:rsid w:val="00A8129D"/>
    <w:rsid w:val="00A82188"/>
    <w:rsid w:val="00A865C7"/>
    <w:rsid w:val="00A909CC"/>
    <w:rsid w:val="00A964A5"/>
    <w:rsid w:val="00A97E3B"/>
    <w:rsid w:val="00AA00CB"/>
    <w:rsid w:val="00AA20A1"/>
    <w:rsid w:val="00AA41F2"/>
    <w:rsid w:val="00AB039E"/>
    <w:rsid w:val="00AB05F3"/>
    <w:rsid w:val="00AB4206"/>
    <w:rsid w:val="00AC7E54"/>
    <w:rsid w:val="00AE6A4E"/>
    <w:rsid w:val="00AE7B98"/>
    <w:rsid w:val="00AF129F"/>
    <w:rsid w:val="00B12DC9"/>
    <w:rsid w:val="00B13F84"/>
    <w:rsid w:val="00B14604"/>
    <w:rsid w:val="00B15ABA"/>
    <w:rsid w:val="00B20FA0"/>
    <w:rsid w:val="00B24DD4"/>
    <w:rsid w:val="00B34339"/>
    <w:rsid w:val="00B40B7D"/>
    <w:rsid w:val="00B42B2F"/>
    <w:rsid w:val="00B44900"/>
    <w:rsid w:val="00B467F6"/>
    <w:rsid w:val="00B472E1"/>
    <w:rsid w:val="00B52821"/>
    <w:rsid w:val="00B56C63"/>
    <w:rsid w:val="00B664C7"/>
    <w:rsid w:val="00B71170"/>
    <w:rsid w:val="00B76DD7"/>
    <w:rsid w:val="00B80BCE"/>
    <w:rsid w:val="00B81524"/>
    <w:rsid w:val="00B81740"/>
    <w:rsid w:val="00B83542"/>
    <w:rsid w:val="00B85D7B"/>
    <w:rsid w:val="00B900EA"/>
    <w:rsid w:val="00B91069"/>
    <w:rsid w:val="00B92842"/>
    <w:rsid w:val="00BA2713"/>
    <w:rsid w:val="00BA2941"/>
    <w:rsid w:val="00BA4C61"/>
    <w:rsid w:val="00BA6187"/>
    <w:rsid w:val="00BA627A"/>
    <w:rsid w:val="00BB22FA"/>
    <w:rsid w:val="00BD12A1"/>
    <w:rsid w:val="00BD1D09"/>
    <w:rsid w:val="00BD7B83"/>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62BF5"/>
    <w:rsid w:val="00C636DA"/>
    <w:rsid w:val="00C63AD3"/>
    <w:rsid w:val="00C67E22"/>
    <w:rsid w:val="00C72271"/>
    <w:rsid w:val="00C72A17"/>
    <w:rsid w:val="00C81356"/>
    <w:rsid w:val="00C813CD"/>
    <w:rsid w:val="00C858D9"/>
    <w:rsid w:val="00C87DA0"/>
    <w:rsid w:val="00CA4E4D"/>
    <w:rsid w:val="00CA6FF9"/>
    <w:rsid w:val="00CB4238"/>
    <w:rsid w:val="00CB5938"/>
    <w:rsid w:val="00CB5B27"/>
    <w:rsid w:val="00CC13F5"/>
    <w:rsid w:val="00CC1A64"/>
    <w:rsid w:val="00CC34EB"/>
    <w:rsid w:val="00CC66EA"/>
    <w:rsid w:val="00CD36B6"/>
    <w:rsid w:val="00CD3C17"/>
    <w:rsid w:val="00CE1F9C"/>
    <w:rsid w:val="00CE2E48"/>
    <w:rsid w:val="00CF0184"/>
    <w:rsid w:val="00CF55F6"/>
    <w:rsid w:val="00CF59E0"/>
    <w:rsid w:val="00CF6672"/>
    <w:rsid w:val="00D021F7"/>
    <w:rsid w:val="00D069C7"/>
    <w:rsid w:val="00D078A2"/>
    <w:rsid w:val="00D21123"/>
    <w:rsid w:val="00D26BB7"/>
    <w:rsid w:val="00D367EB"/>
    <w:rsid w:val="00D36C91"/>
    <w:rsid w:val="00D41871"/>
    <w:rsid w:val="00D45954"/>
    <w:rsid w:val="00D461C2"/>
    <w:rsid w:val="00D61AAE"/>
    <w:rsid w:val="00D64CB8"/>
    <w:rsid w:val="00D720AE"/>
    <w:rsid w:val="00D72FD8"/>
    <w:rsid w:val="00D92A45"/>
    <w:rsid w:val="00D9697A"/>
    <w:rsid w:val="00DA3023"/>
    <w:rsid w:val="00DA4A97"/>
    <w:rsid w:val="00DA4C48"/>
    <w:rsid w:val="00DA727D"/>
    <w:rsid w:val="00DB53A7"/>
    <w:rsid w:val="00DD170F"/>
    <w:rsid w:val="00DE0A8A"/>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51672"/>
    <w:rsid w:val="00E522FC"/>
    <w:rsid w:val="00E55EE5"/>
    <w:rsid w:val="00E61784"/>
    <w:rsid w:val="00E625B3"/>
    <w:rsid w:val="00E64743"/>
    <w:rsid w:val="00E7257D"/>
    <w:rsid w:val="00E728CB"/>
    <w:rsid w:val="00E7336F"/>
    <w:rsid w:val="00E74F3B"/>
    <w:rsid w:val="00E76262"/>
    <w:rsid w:val="00E84A6B"/>
    <w:rsid w:val="00E92385"/>
    <w:rsid w:val="00E93F74"/>
    <w:rsid w:val="00E96DEA"/>
    <w:rsid w:val="00EA1585"/>
    <w:rsid w:val="00EA48AE"/>
    <w:rsid w:val="00EB09E2"/>
    <w:rsid w:val="00EB74A5"/>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57F7A"/>
    <w:rsid w:val="00F62D33"/>
    <w:rsid w:val="00F64AB3"/>
    <w:rsid w:val="00F6570B"/>
    <w:rsid w:val="00F67615"/>
    <w:rsid w:val="00F76C98"/>
    <w:rsid w:val="00F804CD"/>
    <w:rsid w:val="00F80750"/>
    <w:rsid w:val="00F85F59"/>
    <w:rsid w:val="00F86538"/>
    <w:rsid w:val="00F86717"/>
    <w:rsid w:val="00F86DD4"/>
    <w:rsid w:val="00F97C7A"/>
    <w:rsid w:val="00FA2909"/>
    <w:rsid w:val="00FA3CEC"/>
    <w:rsid w:val="00FB4CF2"/>
    <w:rsid w:val="00FC4845"/>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A36D0B"/>
  <w15:chartTrackingRefBased/>
  <w15:docId w15:val="{ECD2D0C1-AC89-45B7-A698-C577A154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5AF"/>
    <w:pPr>
      <w:spacing w:after="0"/>
      <w:jc w:val="left"/>
    </w:pPr>
    <w:rPr>
      <w:rFonts w:ascii="Trebuchet MS" w:eastAsia="Times New Roman" w:hAnsi="Trebuchet MS" w:cs="Times New Roman"/>
      <w:color w:val="auto"/>
      <w:szCs w:val="20"/>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aliases w:val="Char"/>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aliases w:val="Char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ind w:left="190" w:hanging="190"/>
    </w:pPr>
  </w:style>
  <w:style w:type="paragraph" w:styleId="Index2">
    <w:name w:val="index 2"/>
    <w:basedOn w:val="Normal"/>
    <w:next w:val="Normal"/>
    <w:autoRedefine/>
    <w:uiPriority w:val="99"/>
    <w:semiHidden/>
    <w:unhideWhenUsed/>
    <w:locked/>
    <w:rsid w:val="00F80750"/>
    <w:pPr>
      <w:ind w:left="380" w:hanging="190"/>
    </w:pPr>
  </w:style>
  <w:style w:type="paragraph" w:styleId="Index3">
    <w:name w:val="index 3"/>
    <w:basedOn w:val="Normal"/>
    <w:next w:val="Normal"/>
    <w:autoRedefine/>
    <w:uiPriority w:val="99"/>
    <w:semiHidden/>
    <w:unhideWhenUsed/>
    <w:locked/>
    <w:rsid w:val="00F80750"/>
    <w:pPr>
      <w:ind w:left="570" w:hanging="190"/>
    </w:pPr>
  </w:style>
  <w:style w:type="paragraph" w:styleId="Index4">
    <w:name w:val="index 4"/>
    <w:basedOn w:val="Normal"/>
    <w:next w:val="Normal"/>
    <w:autoRedefine/>
    <w:uiPriority w:val="99"/>
    <w:semiHidden/>
    <w:unhideWhenUsed/>
    <w:locked/>
    <w:rsid w:val="00F80750"/>
    <w:pPr>
      <w:ind w:left="760" w:hanging="190"/>
    </w:pPr>
  </w:style>
  <w:style w:type="paragraph" w:styleId="Index5">
    <w:name w:val="index 5"/>
    <w:basedOn w:val="Normal"/>
    <w:next w:val="Normal"/>
    <w:autoRedefine/>
    <w:uiPriority w:val="99"/>
    <w:semiHidden/>
    <w:unhideWhenUsed/>
    <w:locked/>
    <w:rsid w:val="00F80750"/>
    <w:pPr>
      <w:ind w:left="950" w:hanging="190"/>
    </w:pPr>
  </w:style>
  <w:style w:type="paragraph" w:styleId="Index6">
    <w:name w:val="index 6"/>
    <w:basedOn w:val="Normal"/>
    <w:next w:val="Normal"/>
    <w:autoRedefine/>
    <w:uiPriority w:val="99"/>
    <w:semiHidden/>
    <w:unhideWhenUsed/>
    <w:locked/>
    <w:rsid w:val="00F80750"/>
    <w:pPr>
      <w:ind w:left="1140" w:hanging="190"/>
    </w:pPr>
  </w:style>
  <w:style w:type="paragraph" w:styleId="Index7">
    <w:name w:val="index 7"/>
    <w:basedOn w:val="Normal"/>
    <w:next w:val="Normal"/>
    <w:autoRedefine/>
    <w:uiPriority w:val="99"/>
    <w:semiHidden/>
    <w:unhideWhenUsed/>
    <w:locked/>
    <w:rsid w:val="00F80750"/>
    <w:pPr>
      <w:ind w:left="1330" w:hanging="190"/>
    </w:pPr>
  </w:style>
  <w:style w:type="paragraph" w:styleId="Index8">
    <w:name w:val="index 8"/>
    <w:basedOn w:val="Normal"/>
    <w:next w:val="Normal"/>
    <w:autoRedefine/>
    <w:uiPriority w:val="99"/>
    <w:semiHidden/>
    <w:unhideWhenUsed/>
    <w:locked/>
    <w:rsid w:val="00F80750"/>
    <w:pPr>
      <w:ind w:left="1520" w:hanging="190"/>
    </w:pPr>
  </w:style>
  <w:style w:type="paragraph" w:styleId="Index9">
    <w:name w:val="index 9"/>
    <w:basedOn w:val="Normal"/>
    <w:next w:val="Normal"/>
    <w:autoRedefine/>
    <w:uiPriority w:val="99"/>
    <w:semiHidden/>
    <w:unhideWhenUsed/>
    <w:locked/>
    <w:rsid w:val="00F80750"/>
    <w:pPr>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ind w:left="190" w:hanging="190"/>
    </w:pPr>
  </w:style>
  <w:style w:type="paragraph" w:styleId="TableofFigures">
    <w:name w:val="table of figures"/>
    <w:basedOn w:val="Normal"/>
    <w:next w:val="Normal"/>
    <w:uiPriority w:val="99"/>
    <w:semiHidden/>
    <w:unhideWhenUsed/>
    <w:rsid w:val="00F80750"/>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pPr>
  </w:style>
  <w:style w:type="paragraph" w:customStyle="1" w:styleId="Postscript">
    <w:name w:val="Postscript"/>
    <w:basedOn w:val="Normal"/>
    <w:uiPriority w:val="19"/>
    <w:qFormat/>
    <w:rsid w:val="00B40B7D"/>
    <w:rPr>
      <w:sz w:val="20"/>
    </w:rPr>
  </w:style>
  <w:style w:type="paragraph" w:customStyle="1" w:styleId="Heading">
    <w:name w:val="Heading"/>
    <w:basedOn w:val="Normal"/>
    <w:rsid w:val="001E55AF"/>
    <w:pPr>
      <w:jc w:val="both"/>
    </w:pPr>
    <w:rPr>
      <w:b/>
      <w:sz w:val="26"/>
      <w:szCs w:val="22"/>
    </w:rPr>
  </w:style>
  <w:style w:type="character" w:styleId="UnresolvedMention">
    <w:name w:val="Unresolved Mention"/>
    <w:basedOn w:val="DefaultParagraphFont"/>
    <w:uiPriority w:val="99"/>
    <w:semiHidden/>
    <w:unhideWhenUsed/>
    <w:locked/>
    <w:rsid w:val="00B76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news-and-publications/apra-releases-response-letter-on-its-proposed-treatment-of-loans-impacted-by" TargetMode="External"/><Relationship Id="rId1" Type="http://schemas.openxmlformats.org/officeDocument/2006/relationships/hyperlink" Target="https://www.apra.gov.au/consultation-on-loans-impacted-by-covid-19-regulatory-support"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1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5JENXJJSCC7A-445999044-11538</_dlc_DocId>
    <_dlc_DocIdUrl xmlns="814d62cb-2db6-4c25-ab62-b9075facbc11">
      <Url>https://im/teams/LEGAL/_layouts/15/DocIdRedir.aspx?ID=5JENXJJSCC7A-445999044-11538</Url>
      <Description>5JENXJJSCC7A-445999044-11538</Description>
    </_dlc_DocIdUrl>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99300-BBBA-4908-956A-A541E91E202A}">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814d62cb-2db6-4c25-ab62-b9075facbc11"/>
    <ds:schemaRef ds:uri="http://schemas.microsoft.com/office/2006/metadata/properties"/>
  </ds:schemaRefs>
</ds:datastoreItem>
</file>

<file path=customXml/itemProps2.xml><?xml version="1.0" encoding="utf-8"?>
<ds:datastoreItem xmlns:ds="http://schemas.openxmlformats.org/officeDocument/2006/customXml" ds:itemID="{2EA204E5-6CE6-42A8-841C-1C41BEBD3DB5}">
  <ds:schemaRefs>
    <ds:schemaRef ds:uri="Microsoft.SharePoint.Taxonomy.ContentTypeSync"/>
  </ds:schemaRefs>
</ds:datastoreItem>
</file>

<file path=customXml/itemProps3.xml><?xml version="1.0" encoding="utf-8"?>
<ds:datastoreItem xmlns:ds="http://schemas.openxmlformats.org/officeDocument/2006/customXml" ds:itemID="{196EBE87-7452-4476-BE72-AF00FE74940D}">
  <ds:schemaRefs>
    <ds:schemaRef ds:uri="http://schemas.microsoft.com/sharepoint/events"/>
  </ds:schemaRefs>
</ds:datastoreItem>
</file>

<file path=customXml/itemProps4.xml><?xml version="1.0" encoding="utf-8"?>
<ds:datastoreItem xmlns:ds="http://schemas.openxmlformats.org/officeDocument/2006/customXml" ds:itemID="{DFF7FBCC-C550-4CF0-A51D-89F2FAF83003}">
  <ds:schemaRefs>
    <ds:schemaRef ds:uri="http://schemas.microsoft.com/sharepoint/v3/contenttype/forms"/>
  </ds:schemaRefs>
</ds:datastoreItem>
</file>

<file path=customXml/itemProps5.xml><?xml version="1.0" encoding="utf-8"?>
<ds:datastoreItem xmlns:ds="http://schemas.openxmlformats.org/officeDocument/2006/customXml" ds:itemID="{E5742118-8516-45CD-8D5E-DB96FD3AE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FA264C-DA12-4AEC-A7C2-8D4656B4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1475</Words>
  <Characters>8014</Characters>
  <Application>Microsoft Office Word</Application>
  <DocSecurity>0</DocSecurity>
  <Lines>138</Lines>
  <Paragraphs>52</Paragraphs>
  <ScaleCrop>false</ScaleCrop>
  <HeadingPairs>
    <vt:vector size="2" baseType="variant">
      <vt:variant>
        <vt:lpstr>Title</vt:lpstr>
      </vt:variant>
      <vt:variant>
        <vt:i4>1</vt:i4>
      </vt:variant>
    </vt:vector>
  </HeadingPairs>
  <TitlesOfParts>
    <vt:vector size="1" baseType="lpstr">
      <vt:lpstr>COVID-19 amendments</vt:lpstr>
    </vt:vector>
  </TitlesOfParts>
  <Company>APRA</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1 of 2021</dc:title>
  <dc:subject/>
  <dc:creator>Riley, Paul</dc:creator>
  <cp:keywords>[SEC=UNOFFICIAL]</cp:keywords>
  <dc:description/>
  <cp:lastModifiedBy>Michalis, Toni</cp:lastModifiedBy>
  <cp:revision>2</cp:revision>
  <cp:lastPrinted>2014-02-02T12:10:00Z</cp:lastPrinted>
  <dcterms:created xsi:type="dcterms:W3CDTF">2021-08-25T09:59:00Z</dcterms:created>
  <dcterms:modified xsi:type="dcterms:W3CDTF">2021-08-25T09:59:00Z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Personal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Personal</vt:lpwstr>
  </property>
  <property fmtid="{D5CDD505-2E9C-101B-9397-08002B2CF9AE}" pid="8" name="PM_Originating_FileId">
    <vt:lpwstr>804A94A13B30490AB2C59A397DD63719</vt:lpwstr>
  </property>
  <property fmtid="{D5CDD505-2E9C-101B-9397-08002B2CF9AE}" pid="9" name="PM_ProtectiveMarkingValue_Footer">
    <vt:lpwstr>Personal</vt:lpwstr>
  </property>
  <property fmtid="{D5CDD505-2E9C-101B-9397-08002B2CF9AE}" pid="10" name="PM_Originator_Hash_SHA1">
    <vt:lpwstr>C3AD57350F36D8E1BD75F8F67CB06D435C9C43CA</vt:lpwstr>
  </property>
  <property fmtid="{D5CDD505-2E9C-101B-9397-08002B2CF9AE}" pid="11" name="PM_OriginationTimeStamp">
    <vt:lpwstr>2021-08-25T09:58:52Z</vt:lpwstr>
  </property>
  <property fmtid="{D5CDD505-2E9C-101B-9397-08002B2CF9AE}" pid="12" name="PM_ProtectiveMarkingValue_Header">
    <vt:lpwstr>Personal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E842E1241EBF0A180EF7616BB8B7220E</vt:lpwstr>
  </property>
  <property fmtid="{D5CDD505-2E9C-101B-9397-08002B2CF9AE}" pid="20" name="PM_Hash_Salt">
    <vt:lpwstr>0A6AE3122F08717523CE609AC716CF33</vt:lpwstr>
  </property>
  <property fmtid="{D5CDD505-2E9C-101B-9397-08002B2CF9AE}" pid="21" name="PM_Hash_SHA1">
    <vt:lpwstr>18500E73878DA0EABC67DE59094D6D5D6CEEC78A</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APRAPeriod">
    <vt:lpwstr/>
  </property>
  <property fmtid="{D5CDD505-2E9C-101B-9397-08002B2CF9AE}" pid="26" name="APRAYear">
    <vt:lpwstr>230;#2021|0e1e43df-81ea-47af-89d8-970d5d5956ff</vt:lpwstr>
  </property>
  <property fmtid="{D5CDD505-2E9C-101B-9397-08002B2CF9AE}" pid="27" name="APRAIndustry">
    <vt:lpwstr/>
  </property>
  <property fmtid="{D5CDD505-2E9C-101B-9397-08002B2CF9AE}" pid="28" name="APRAPRSG">
    <vt:lpwstr/>
  </property>
  <property fmtid="{D5CDD505-2E9C-101B-9397-08002B2CF9AE}" pid="29" name="APRAActivity">
    <vt:lpwstr>10;#Registration|390476ce-d76d-4e8d-905f-28e32d2df127;#109;#Statutory instrument|fe68928c-5a9c-4caf-bc8c-6c18cedcb17f</vt:lpwstr>
  </property>
  <property fmtid="{D5CDD505-2E9C-101B-9397-08002B2CF9AE}" pid="30" name="_dlc_DocIdItemGuid">
    <vt:lpwstr>e7994c08-a8a9-4466-8cad-473d9eff04f0</vt:lpwstr>
  </property>
  <property fmtid="{D5CDD505-2E9C-101B-9397-08002B2CF9AE}" pid="31" name="IsLocked">
    <vt:lpwstr>False</vt:lpwstr>
  </property>
  <property fmtid="{D5CDD505-2E9C-101B-9397-08002B2CF9AE}" pid="32"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33" name="IT system type">
    <vt:lpwstr/>
  </property>
  <property fmtid="{D5CDD505-2E9C-101B-9397-08002B2CF9AE}" pid="34" name="APRACategory">
    <vt:lpwstr/>
  </property>
  <property fmtid="{D5CDD505-2E9C-101B-9397-08002B2CF9AE}" pid="35" name="APRADocumentType">
    <vt:lpwstr>234;#Explanatory statement|b22f2e2f-3f73-411b-9a7c-34264d26fa25</vt:lpwstr>
  </property>
  <property fmtid="{D5CDD505-2E9C-101B-9397-08002B2CF9AE}" pid="36" name="APRAStatus">
    <vt:lpwstr>19;#Final|84d6b2d0-8498-4d62-bf46-bab38babbe9e</vt:lpwstr>
  </property>
  <property fmtid="{D5CDD505-2E9C-101B-9397-08002B2CF9AE}" pid="37" name="APRAEntityAdviceSupport">
    <vt:lpwstr/>
  </property>
  <property fmtid="{D5CDD505-2E9C-101B-9397-08002B2CF9AE}" pid="38" name="APRALegislation">
    <vt:lpwstr/>
  </property>
  <property fmtid="{D5CDD505-2E9C-101B-9397-08002B2CF9AE}" pid="39" name="APRAExternalOrganisation">
    <vt:lpwstr/>
  </property>
  <property fmtid="{D5CDD505-2E9C-101B-9397-08002B2CF9AE}" pid="40" name="APRAIRTR">
    <vt:lpwstr/>
  </property>
  <property fmtid="{D5CDD505-2E9C-101B-9397-08002B2CF9AE}" pid="41" name="RecordPoint_WorkflowType">
    <vt:lpwstr>ActiveSubmitStub</vt:lpwstr>
  </property>
  <property fmtid="{D5CDD505-2E9C-101B-9397-08002B2CF9AE}" pid="42" name="RecordPoint_ActiveItemWebId">
    <vt:lpwstr>{75a71c27-8d66-4282-ae60-1bfc22a83be1}</vt:lpwstr>
  </property>
  <property fmtid="{D5CDD505-2E9C-101B-9397-08002B2CF9AE}" pid="43" name="RecordPoint_ActiveItemSiteId">
    <vt:lpwstr>{88691c01-5bbb-4215-adc0-66cb7065b0af}</vt:lpwstr>
  </property>
  <property fmtid="{D5CDD505-2E9C-101B-9397-08002B2CF9AE}" pid="44" name="RecordPoint_ActiveItemListId">
    <vt:lpwstr>{0e59e171-09d8-4401-800a-327154450cb3}</vt:lpwstr>
  </property>
  <property fmtid="{D5CDD505-2E9C-101B-9397-08002B2CF9AE}" pid="45" name="RecordPoint_ActiveItemUniqueId">
    <vt:lpwstr>{e7994c08-a8a9-4466-8cad-473d9eff04f0}</vt:lpwstr>
  </property>
  <property fmtid="{D5CDD505-2E9C-101B-9397-08002B2CF9AE}" pid="46" name="RecordPoint_RecordNumberSubmitted">
    <vt:lpwstr/>
  </property>
  <property fmtid="{D5CDD505-2E9C-101B-9397-08002B2CF9AE}" pid="47" name="RecordPoint_SubmissionCompleted">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