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C10CE" w14:textId="77777777" w:rsidR="00FB640B" w:rsidRPr="008B24C8" w:rsidRDefault="0057002B" w:rsidP="00BB0CF2">
      <w:pPr>
        <w:pStyle w:val="ESTitleHeader"/>
      </w:pPr>
      <w:bookmarkStart w:id="0" w:name="_GoBack"/>
      <w:bookmarkEnd w:id="0"/>
      <w:r w:rsidRPr="008B24C8">
        <w:t>EXPLANATORY STATEMENT</w:t>
      </w:r>
    </w:p>
    <w:p w14:paraId="66ED8441" w14:textId="77777777" w:rsidR="0057002B" w:rsidRPr="008B24C8" w:rsidRDefault="0057002B" w:rsidP="00BB0CF2">
      <w:pPr>
        <w:pStyle w:val="ESTitleDecisionMaker"/>
      </w:pPr>
      <w:r w:rsidRPr="008B24C8">
        <w:t xml:space="preserve">Issued by authority of the </w:t>
      </w:r>
      <w:r w:rsidR="003E4500">
        <w:t>Minister for Home Affairs</w:t>
      </w:r>
    </w:p>
    <w:p w14:paraId="40F78E26" w14:textId="77777777" w:rsidR="0057002B" w:rsidRPr="008B24C8" w:rsidRDefault="003E4500" w:rsidP="00BB0CF2">
      <w:pPr>
        <w:pStyle w:val="ESTitleEnablingLegislation"/>
      </w:pPr>
      <w:proofErr w:type="spellStart"/>
      <w:r>
        <w:t>AusCheck</w:t>
      </w:r>
      <w:proofErr w:type="spellEnd"/>
      <w:r>
        <w:t xml:space="preserve"> Act 2007</w:t>
      </w:r>
    </w:p>
    <w:p w14:paraId="74152E27" w14:textId="77777777" w:rsidR="0057002B" w:rsidRPr="008B24C8" w:rsidRDefault="003E4500" w:rsidP="00BB0CF2">
      <w:pPr>
        <w:pStyle w:val="ESTitleInstrumentName"/>
      </w:pPr>
      <w:proofErr w:type="spellStart"/>
      <w:r>
        <w:t>AusCheck</w:t>
      </w:r>
      <w:proofErr w:type="spellEnd"/>
      <w:r>
        <w:t xml:space="preserve"> (Major National Event—ICC Men’s T20 World Cup Australia 2022) Declaration 2021</w:t>
      </w:r>
    </w:p>
    <w:p w14:paraId="6B989303" w14:textId="53A28482" w:rsidR="0057002B" w:rsidRDefault="003E4500" w:rsidP="003E4500">
      <w:pPr>
        <w:pStyle w:val="ESPara"/>
      </w:pPr>
      <w:r>
        <w:t xml:space="preserve">The </w:t>
      </w:r>
      <w:proofErr w:type="spellStart"/>
      <w:r>
        <w:rPr>
          <w:i/>
        </w:rPr>
        <w:t>AusCheck</w:t>
      </w:r>
      <w:proofErr w:type="spellEnd"/>
      <w:r>
        <w:rPr>
          <w:i/>
        </w:rPr>
        <w:t xml:space="preserve"> Act 2007</w:t>
      </w:r>
      <w:r>
        <w:t xml:space="preserve"> (the </w:t>
      </w:r>
      <w:proofErr w:type="spellStart"/>
      <w:r>
        <w:t>AusCheck</w:t>
      </w:r>
      <w:proofErr w:type="spellEnd"/>
      <w:r>
        <w:t xml:space="preserve"> Act) establishes a background checking function within the Department of Home Affairs</w:t>
      </w:r>
      <w:r w:rsidR="00C53683">
        <w:t xml:space="preserve"> (the Department</w:t>
      </w:r>
      <w:r w:rsidR="001324A3">
        <w:t>)</w:t>
      </w:r>
      <w:r>
        <w:t xml:space="preserve">. </w:t>
      </w:r>
      <w:r w:rsidRPr="003E4500">
        <w:t xml:space="preserve">The purpose of the </w:t>
      </w:r>
      <w:proofErr w:type="spellStart"/>
      <w:r w:rsidRPr="003E4500">
        <w:t>AusCheck</w:t>
      </w:r>
      <w:proofErr w:type="spellEnd"/>
      <w:r w:rsidRPr="003E4500">
        <w:t xml:space="preserve"> Act is to provide a regulatory framework for coordinating and conducting centralised criminal, security and other background and identity checking and for related purposes.</w:t>
      </w:r>
      <w:r>
        <w:t xml:space="preserve"> These functions may be exercised by the Department in relation to </w:t>
      </w:r>
      <w:r w:rsidRPr="00D87104">
        <w:rPr>
          <w:i/>
        </w:rPr>
        <w:t>major national events</w:t>
      </w:r>
      <w:r>
        <w:t xml:space="preserve">. </w:t>
      </w:r>
    </w:p>
    <w:p w14:paraId="574CDC3D" w14:textId="52813756" w:rsidR="003E4500" w:rsidRPr="003E4500" w:rsidRDefault="003E4500" w:rsidP="003E4500">
      <w:pPr>
        <w:pStyle w:val="ESPara"/>
      </w:pPr>
      <w:r w:rsidRPr="003E4500">
        <w:t xml:space="preserve">An event is a </w:t>
      </w:r>
      <w:r w:rsidRPr="00D87104">
        <w:rPr>
          <w:i/>
        </w:rPr>
        <w:t>major national event</w:t>
      </w:r>
      <w:r w:rsidRPr="003E4500">
        <w:t xml:space="preserve"> for the purposes of the </w:t>
      </w:r>
      <w:proofErr w:type="spellStart"/>
      <w:r w:rsidRPr="003E4500">
        <w:t>AusCheck</w:t>
      </w:r>
      <w:proofErr w:type="spellEnd"/>
      <w:r w:rsidRPr="003E4500">
        <w:t xml:space="preserve"> Act when the Minister </w:t>
      </w:r>
      <w:r w:rsidR="00C53683">
        <w:t xml:space="preserve">for Home Affairs </w:t>
      </w:r>
      <w:r w:rsidRPr="003E4500">
        <w:t>makes a declaration</w:t>
      </w:r>
      <w:r w:rsidR="00D87104">
        <w:t>, by legislative instrument,</w:t>
      </w:r>
      <w:r w:rsidRPr="003E4500">
        <w:t xml:space="preserve"> under subsection 5A(1) </w:t>
      </w:r>
      <w:r w:rsidR="00D87104">
        <w:t xml:space="preserve">of that Act </w:t>
      </w:r>
      <w:r w:rsidRPr="003E4500">
        <w:t xml:space="preserve">that a specified event is a major national event. The Minister cannot make </w:t>
      </w:r>
      <w:r>
        <w:t xml:space="preserve">such </w:t>
      </w:r>
      <w:r w:rsidRPr="003E4500">
        <w:t xml:space="preserve">a declaration </w:t>
      </w:r>
      <w:r>
        <w:t>unless the Minister</w:t>
      </w:r>
      <w:r w:rsidRPr="003E4500">
        <w:t xml:space="preserve"> is satisfied that it is in the national interest that the Commonwealth be involved in the conduct and coordination of background checks in connection with the accreditation of individuals in relation to the event</w:t>
      </w:r>
      <w:r>
        <w:t xml:space="preserve"> (see subsection 5A(2))</w:t>
      </w:r>
      <w:r w:rsidRPr="003E4500">
        <w:t>.</w:t>
      </w:r>
      <w:r>
        <w:t xml:space="preserve"> Under subsection 5A(3), Minister may also have regard to</w:t>
      </w:r>
      <w:r w:rsidR="00D87104">
        <w:t>, among other things,</w:t>
      </w:r>
      <w:r>
        <w:t xml:space="preserve"> the significance of the event, </w:t>
      </w:r>
      <w:r w:rsidR="00D87104">
        <w:t>any</w:t>
      </w:r>
      <w:r>
        <w:t xml:space="preserve"> risk assessment relating to the event and the potential </w:t>
      </w:r>
      <w:proofErr w:type="gramStart"/>
      <w:r>
        <w:t>impact</w:t>
      </w:r>
      <w:proofErr w:type="gramEnd"/>
      <w:r>
        <w:t xml:space="preserve"> of any security incident relating to the event on Australia’s reputation</w:t>
      </w:r>
      <w:r w:rsidR="00D87104">
        <w:t>,</w:t>
      </w:r>
      <w:r>
        <w:t xml:space="preserve"> when making a declaration.  </w:t>
      </w:r>
    </w:p>
    <w:p w14:paraId="3AA9FDA2" w14:textId="5919AEED" w:rsidR="003E4500" w:rsidRPr="003E4500" w:rsidRDefault="003E4500" w:rsidP="003E4500">
      <w:pPr>
        <w:pStyle w:val="ESPara"/>
      </w:pPr>
      <w:r w:rsidRPr="003E4500">
        <w:t xml:space="preserve">The </w:t>
      </w:r>
      <w:r>
        <w:t xml:space="preserve">instrument declares that </w:t>
      </w:r>
      <w:r w:rsidRPr="003E4500">
        <w:t>the I</w:t>
      </w:r>
      <w:r w:rsidR="00C53683">
        <w:t xml:space="preserve">nternational </w:t>
      </w:r>
      <w:r w:rsidRPr="003E4500">
        <w:t>C</w:t>
      </w:r>
      <w:r w:rsidR="00C53683">
        <w:t xml:space="preserve">ricket </w:t>
      </w:r>
      <w:r w:rsidRPr="003E4500">
        <w:t>C</w:t>
      </w:r>
      <w:r w:rsidR="00C53683">
        <w:t>ouncil</w:t>
      </w:r>
      <w:r w:rsidRPr="003E4500">
        <w:t xml:space="preserve"> Men’s T20 World Cup Australia 2022 </w:t>
      </w:r>
      <w:r>
        <w:t>is</w:t>
      </w:r>
      <w:r w:rsidRPr="003E4500">
        <w:t xml:space="preserve"> a </w:t>
      </w:r>
      <w:r w:rsidRPr="00D87104">
        <w:rPr>
          <w:i/>
        </w:rPr>
        <w:t>major national event</w:t>
      </w:r>
      <w:r>
        <w:t xml:space="preserve"> under subsection </w:t>
      </w:r>
      <w:proofErr w:type="gramStart"/>
      <w:r>
        <w:t>5A(</w:t>
      </w:r>
      <w:proofErr w:type="gramEnd"/>
      <w:r>
        <w:t xml:space="preserve">1) of the </w:t>
      </w:r>
      <w:proofErr w:type="spellStart"/>
      <w:r>
        <w:t>AusCheck</w:t>
      </w:r>
      <w:proofErr w:type="spellEnd"/>
      <w:r>
        <w:t xml:space="preserve"> Act</w:t>
      </w:r>
      <w:r w:rsidRPr="003E4500">
        <w:t xml:space="preserve">.   </w:t>
      </w:r>
    </w:p>
    <w:p w14:paraId="2673F1CA" w14:textId="1B62925F" w:rsidR="003E4500" w:rsidRPr="00DF7B99" w:rsidRDefault="003E4500" w:rsidP="003E4500">
      <w:pPr>
        <w:pStyle w:val="ESSubparaHeader"/>
        <w:keepNext w:val="0"/>
      </w:pPr>
      <w:r w:rsidRPr="00DF7B99">
        <w:t xml:space="preserve">The </w:t>
      </w:r>
      <w:r w:rsidR="00D87104">
        <w:t xml:space="preserve">ICC </w:t>
      </w:r>
      <w:r w:rsidRPr="00DF7B99">
        <w:t xml:space="preserve">Men’s </w:t>
      </w:r>
      <w:r w:rsidR="003153D9" w:rsidRPr="003E4500">
        <w:t xml:space="preserve">T20 World Cup Australia 2022 </w:t>
      </w:r>
      <w:r w:rsidRPr="00DF7B99">
        <w:t xml:space="preserve">is a major sporting event that will take place in Australia in 2022. This instrument enables </w:t>
      </w:r>
      <w:r w:rsidR="00B15DB0">
        <w:t xml:space="preserve">the Department </w:t>
      </w:r>
      <w:r w:rsidRPr="00DF7B99">
        <w:t xml:space="preserve">to conduct and coordinate background checks in connection with the accreditation of individuals who are working or volunteering at the </w:t>
      </w:r>
      <w:r w:rsidR="00D87104">
        <w:t>event</w:t>
      </w:r>
      <w:r w:rsidRPr="00DF7B99">
        <w:t>.</w:t>
      </w:r>
    </w:p>
    <w:p w14:paraId="6ACEC35F" w14:textId="42E8AD99" w:rsidR="00BD598E" w:rsidRPr="008B24C8" w:rsidRDefault="003E4500" w:rsidP="002D167E">
      <w:pPr>
        <w:pStyle w:val="ESPara"/>
      </w:pPr>
      <w:r>
        <w:t>The instrument commences the day after registration on the Federal Register of Legislation</w:t>
      </w:r>
      <w:r w:rsidR="00AA4557">
        <w:t>, and i</w:t>
      </w:r>
      <w:r w:rsidR="00BD598E" w:rsidRPr="008B24C8">
        <w:t xml:space="preserve">s a </w:t>
      </w:r>
      <w:r w:rsidR="00AA4557">
        <w:t>legislative</w:t>
      </w:r>
      <w:r w:rsidR="00BD598E" w:rsidRPr="008B24C8">
        <w:t xml:space="preserve"> instrument for </w:t>
      </w:r>
      <w:r w:rsidR="00B75478">
        <w:t>the</w:t>
      </w:r>
      <w:r w:rsidR="003153D9">
        <w:t xml:space="preserve"> purposes of the</w:t>
      </w:r>
      <w:r w:rsidR="00B75478">
        <w:t xml:space="preserve"> </w:t>
      </w:r>
      <w:r w:rsidR="00100DFC">
        <w:rPr>
          <w:i/>
        </w:rPr>
        <w:t>Legislation Act 2003</w:t>
      </w:r>
      <w:r w:rsidR="00100DFC">
        <w:t xml:space="preserve"> (the Legislation Act)</w:t>
      </w:r>
      <w:r w:rsidR="00BD598E" w:rsidRPr="008B24C8">
        <w:t xml:space="preserve">.  </w:t>
      </w:r>
    </w:p>
    <w:p w14:paraId="192A1092" w14:textId="77777777" w:rsidR="008B24C8" w:rsidRDefault="008B24C8" w:rsidP="00100DFC">
      <w:pPr>
        <w:pStyle w:val="ESHeading"/>
      </w:pPr>
      <w:r w:rsidRPr="008B24C8">
        <w:t>Consultation</w:t>
      </w:r>
    </w:p>
    <w:p w14:paraId="7DCA6AA8" w14:textId="77777777" w:rsidR="008B24C8" w:rsidRDefault="00E07143" w:rsidP="002D167E">
      <w:pPr>
        <w:pStyle w:val="ESPara"/>
      </w:pPr>
      <w:r>
        <w:t xml:space="preserve">Consultation on the instrument has been undertaken with the following stakeholders, who were all supportive of the instrument being made: </w:t>
      </w:r>
    </w:p>
    <w:p w14:paraId="596AA305" w14:textId="2FBF98E9" w:rsidR="00E07143" w:rsidRDefault="00E07143" w:rsidP="00E07143">
      <w:pPr>
        <w:pStyle w:val="ESSubparaList"/>
        <w:contextualSpacing/>
      </w:pPr>
      <w:r>
        <w:t xml:space="preserve">Immigration </w:t>
      </w:r>
      <w:r w:rsidR="00281983">
        <w:t>Programs</w:t>
      </w:r>
      <w:r>
        <w:t xml:space="preserve"> Division and Emergency Management Australia </w:t>
      </w:r>
      <w:r w:rsidR="00281983">
        <w:t>Group</w:t>
      </w:r>
      <w:r>
        <w:t xml:space="preserve"> within the Department of Home Affairs</w:t>
      </w:r>
    </w:p>
    <w:p w14:paraId="6AFCD78C" w14:textId="77777777" w:rsidR="00E07143" w:rsidRDefault="00E07143" w:rsidP="00E07143">
      <w:pPr>
        <w:pStyle w:val="ESSubparaList"/>
        <w:contextualSpacing/>
      </w:pPr>
      <w:r>
        <w:t>Office of Sport, Department of Health</w:t>
      </w:r>
    </w:p>
    <w:p w14:paraId="00E602CF" w14:textId="77777777" w:rsidR="00E07143" w:rsidRDefault="00E07143" w:rsidP="00E07143">
      <w:pPr>
        <w:pStyle w:val="ESSubparaList"/>
        <w:contextualSpacing/>
      </w:pPr>
      <w:r>
        <w:t>Australian Security Intelligence Organisation</w:t>
      </w:r>
    </w:p>
    <w:p w14:paraId="130676E0" w14:textId="77777777" w:rsidR="00E07143" w:rsidRDefault="00E07143" w:rsidP="00E07143">
      <w:pPr>
        <w:pStyle w:val="ESSubparaList"/>
        <w:contextualSpacing/>
      </w:pPr>
      <w:r>
        <w:t>Australian Federal Police</w:t>
      </w:r>
    </w:p>
    <w:p w14:paraId="7A0B2146" w14:textId="77777777" w:rsidR="00E07143" w:rsidRDefault="00E07143" w:rsidP="00E07143">
      <w:pPr>
        <w:pStyle w:val="ESSubparaList"/>
        <w:contextualSpacing/>
      </w:pPr>
      <w:r>
        <w:t xml:space="preserve">Australian Criminal Intelligence Commission, and </w:t>
      </w:r>
    </w:p>
    <w:p w14:paraId="18088516" w14:textId="77777777" w:rsidR="00E07143" w:rsidRDefault="00E07143" w:rsidP="00E07143">
      <w:pPr>
        <w:pStyle w:val="ESSubparaList"/>
      </w:pPr>
      <w:proofErr w:type="gramStart"/>
      <w:r>
        <w:t>the</w:t>
      </w:r>
      <w:proofErr w:type="gramEnd"/>
      <w:r>
        <w:t xml:space="preserve"> Men’s T20 World Cup Local Organising Committee.  </w:t>
      </w:r>
    </w:p>
    <w:p w14:paraId="19E66899" w14:textId="77777777" w:rsidR="008B24C8" w:rsidRPr="008B24C8" w:rsidRDefault="008B24C8" w:rsidP="002D167E">
      <w:pPr>
        <w:pStyle w:val="ESPara"/>
      </w:pPr>
      <w:r w:rsidRPr="008B24C8">
        <w:t xml:space="preserve">The Office of Best Practice Regulation (OBPR) was also consulted and </w:t>
      </w:r>
      <w:r w:rsidR="003E4500">
        <w:t>advised</w:t>
      </w:r>
      <w:r w:rsidRPr="008B24C8">
        <w:t xml:space="preserve"> that </w:t>
      </w:r>
      <w:r w:rsidR="003E4500">
        <w:t>a regulatory impact statement is not required for declarations under subsection </w:t>
      </w:r>
      <w:proofErr w:type="gramStart"/>
      <w:r w:rsidR="003E4500">
        <w:t>5A(</w:t>
      </w:r>
      <w:proofErr w:type="gramEnd"/>
      <w:r w:rsidR="003E4500">
        <w:t xml:space="preserve">1) of the </w:t>
      </w:r>
      <w:proofErr w:type="spellStart"/>
      <w:r w:rsidR="003E4500">
        <w:t>AusCheck</w:t>
      </w:r>
      <w:proofErr w:type="spellEnd"/>
      <w:r w:rsidR="003E4500">
        <w:t xml:space="preserve"> Act where the event </w:t>
      </w:r>
      <w:r w:rsidR="003E4500">
        <w:lastRenderedPageBreak/>
        <w:t>meets certain criteria. The event in this instrument meets those criteria</w:t>
      </w:r>
      <w:r w:rsidRPr="008B24C8">
        <w:t xml:space="preserve">.  </w:t>
      </w:r>
      <w:r>
        <w:t>The OBPR re</w:t>
      </w:r>
      <w:r w:rsidR="003E4500">
        <w:t>ference number is 25680</w:t>
      </w:r>
      <w:r w:rsidRPr="008B24C8">
        <w:t>.</w:t>
      </w:r>
    </w:p>
    <w:p w14:paraId="374773A0" w14:textId="77777777" w:rsidR="00AA4557" w:rsidRPr="00AA4557" w:rsidRDefault="00AA4557" w:rsidP="00100DFC">
      <w:pPr>
        <w:pStyle w:val="ESHeading"/>
      </w:pPr>
      <w:r>
        <w:t xml:space="preserve">Parliamentary scrutiny etc.  </w:t>
      </w:r>
    </w:p>
    <w:p w14:paraId="2B488530" w14:textId="70E0B45A" w:rsidR="00B17428" w:rsidRPr="0043350C" w:rsidRDefault="00B17428" w:rsidP="00B17428">
      <w:pPr>
        <w:pStyle w:val="ESSubparaHeader"/>
        <w:keepNext w:val="0"/>
      </w:pPr>
      <w:r w:rsidRPr="0043350C">
        <w:t>The instrument is subject to disallowance under section 42 of the Legislation Act.  A Statement of Compatibility with Human Rights has been prepared in relation to the instrument, and provides that</w:t>
      </w:r>
      <w:r w:rsidR="00E947D2">
        <w:t>,</w:t>
      </w:r>
      <w:r w:rsidRPr="0043350C">
        <w:t xml:space="preserve"> to the extent that the instrument impacts human rights, the impact is reasonable</w:t>
      </w:r>
      <w:r w:rsidR="00E76610">
        <w:t>, necessary</w:t>
      </w:r>
      <w:r w:rsidRPr="0043350C">
        <w:t xml:space="preserve"> and proportiona</w:t>
      </w:r>
      <w:r w:rsidR="00E76610">
        <w:t>te</w:t>
      </w:r>
      <w:r w:rsidRPr="0043350C">
        <w:t xml:space="preserve">.  The Statement is included at </w:t>
      </w:r>
      <w:r w:rsidRPr="0043350C">
        <w:rPr>
          <w:b/>
          <w:u w:val="single"/>
        </w:rPr>
        <w:t>Attachment A</w:t>
      </w:r>
      <w:r w:rsidRPr="0043350C">
        <w:t xml:space="preserve"> to this explanatory statement.  </w:t>
      </w:r>
    </w:p>
    <w:p w14:paraId="5F6F6F3C" w14:textId="7568B9A1" w:rsidR="00915032" w:rsidRDefault="00B75478" w:rsidP="00015729">
      <w:pPr>
        <w:pStyle w:val="ESSubparaHeader"/>
        <w:keepNext w:val="0"/>
      </w:pPr>
      <w:r w:rsidRPr="00015729">
        <w:t>The instru</w:t>
      </w:r>
      <w:r w:rsidR="003E4500" w:rsidRPr="00015729">
        <w:t>ment was made by the Minister for Home Affairs</w:t>
      </w:r>
      <w:r w:rsidRPr="00015729">
        <w:t>, in accordance</w:t>
      </w:r>
      <w:r w:rsidR="003E4500" w:rsidRPr="00015729">
        <w:t xml:space="preserve"> with the section 5A of the </w:t>
      </w:r>
      <w:proofErr w:type="spellStart"/>
      <w:r w:rsidR="003153D9">
        <w:t>AusCheck</w:t>
      </w:r>
      <w:proofErr w:type="spellEnd"/>
      <w:r w:rsidR="003153D9">
        <w:t xml:space="preserve"> </w:t>
      </w:r>
      <w:r w:rsidR="003E4500" w:rsidRPr="00015729">
        <w:t>Act</w:t>
      </w:r>
      <w:r w:rsidRPr="00015729">
        <w:t xml:space="preserve">.  </w:t>
      </w:r>
    </w:p>
    <w:p w14:paraId="5659BF1B" w14:textId="4C054DAB" w:rsidR="00B17428" w:rsidRDefault="00B17428" w:rsidP="00B17428">
      <w:pPr>
        <w:pStyle w:val="ESSubparaList"/>
        <w:numPr>
          <w:ilvl w:val="0"/>
          <w:numId w:val="0"/>
        </w:numPr>
      </w:pPr>
    </w:p>
    <w:p w14:paraId="5110B4D7" w14:textId="77777777" w:rsidR="00B17428" w:rsidRPr="00B17428" w:rsidRDefault="00B17428" w:rsidP="00B17428">
      <w:pPr>
        <w:pageBreakBefore/>
        <w:spacing w:before="220" w:after="220" w:line="276" w:lineRule="auto"/>
        <w:jc w:val="right"/>
        <w:rPr>
          <w:rFonts w:ascii="Times New Roman" w:hAnsi="Times New Roman" w:cs="Times New Roman"/>
          <w:b/>
        </w:rPr>
      </w:pPr>
      <w:r w:rsidRPr="00B17428">
        <w:rPr>
          <w:rFonts w:ascii="Times New Roman" w:hAnsi="Times New Roman" w:cs="Times New Roman"/>
          <w:b/>
        </w:rPr>
        <w:lastRenderedPageBreak/>
        <w:t>ATTACHMENT A</w:t>
      </w:r>
    </w:p>
    <w:p w14:paraId="08F67E7D" w14:textId="77777777" w:rsidR="00B17428" w:rsidRPr="00B17428" w:rsidRDefault="00B17428" w:rsidP="00B17428">
      <w:pPr>
        <w:pStyle w:val="Heading2"/>
        <w:rPr>
          <w:b/>
          <w:sz w:val="28"/>
        </w:rPr>
      </w:pPr>
      <w:r w:rsidRPr="00B17428">
        <w:rPr>
          <w:b/>
          <w:sz w:val="28"/>
        </w:rPr>
        <w:t>Statement of Compatibility with Human Rights</w:t>
      </w:r>
    </w:p>
    <w:p w14:paraId="735F47D7" w14:textId="77777777" w:rsidR="00B17428" w:rsidRPr="00B17428" w:rsidRDefault="00B17428" w:rsidP="00B17428">
      <w:pPr>
        <w:spacing w:before="120" w:after="120"/>
        <w:jc w:val="center"/>
        <w:rPr>
          <w:rFonts w:ascii="Times New Roman" w:hAnsi="Times New Roman" w:cs="Times New Roman"/>
          <w:i/>
          <w:sz w:val="24"/>
          <w:szCs w:val="24"/>
        </w:rPr>
      </w:pPr>
      <w:r w:rsidRPr="00B17428">
        <w:rPr>
          <w:rFonts w:ascii="Times New Roman" w:hAnsi="Times New Roman" w:cs="Times New Roman"/>
          <w:i/>
          <w:sz w:val="24"/>
          <w:szCs w:val="24"/>
        </w:rPr>
        <w:t>Prepared in accordance with Part 3 of the Human Rights (Parliamentary Scrutiny) Act 2011</w:t>
      </w:r>
    </w:p>
    <w:p w14:paraId="2953F96B" w14:textId="77777777" w:rsidR="00B17428" w:rsidRPr="00B17428" w:rsidRDefault="00B17428" w:rsidP="00B17428">
      <w:pPr>
        <w:spacing w:before="120" w:after="120"/>
        <w:jc w:val="center"/>
        <w:rPr>
          <w:rFonts w:ascii="Times New Roman" w:hAnsi="Times New Roman" w:cs="Times New Roman"/>
          <w:i/>
          <w:sz w:val="24"/>
          <w:szCs w:val="24"/>
        </w:rPr>
      </w:pPr>
    </w:p>
    <w:p w14:paraId="15945085" w14:textId="2F1175D6" w:rsidR="00B17428" w:rsidRPr="00B17428" w:rsidRDefault="00B17428" w:rsidP="00B17428">
      <w:pPr>
        <w:spacing w:after="480"/>
        <w:ind w:hanging="23"/>
        <w:jc w:val="center"/>
        <w:rPr>
          <w:rFonts w:ascii="Times New Roman" w:hAnsi="Times New Roman" w:cs="Times New Roman"/>
          <w:i/>
          <w:sz w:val="24"/>
          <w:szCs w:val="20"/>
        </w:rPr>
      </w:pPr>
      <w:proofErr w:type="spellStart"/>
      <w:r w:rsidRPr="00B17428">
        <w:rPr>
          <w:rFonts w:ascii="Times New Roman" w:hAnsi="Times New Roman" w:cs="Times New Roman"/>
          <w:b/>
          <w:bCs/>
          <w:i/>
          <w:sz w:val="24"/>
        </w:rPr>
        <w:t>AusCheck</w:t>
      </w:r>
      <w:proofErr w:type="spellEnd"/>
      <w:r w:rsidRPr="00B17428">
        <w:rPr>
          <w:rFonts w:ascii="Times New Roman" w:hAnsi="Times New Roman" w:cs="Times New Roman"/>
          <w:b/>
          <w:bCs/>
          <w:i/>
          <w:sz w:val="24"/>
        </w:rPr>
        <w:t xml:space="preserve"> (Major National Event—ICC Men’s T20 World Cup Australia 2022) Declaration 2021</w:t>
      </w:r>
    </w:p>
    <w:p w14:paraId="75E1BF34" w14:textId="77777777" w:rsidR="00B17428" w:rsidRPr="00B17428" w:rsidRDefault="00B17428" w:rsidP="00B17428">
      <w:pPr>
        <w:spacing w:before="120" w:after="120"/>
        <w:jc w:val="center"/>
        <w:rPr>
          <w:rFonts w:ascii="Times New Roman" w:hAnsi="Times New Roman" w:cs="Times New Roman"/>
          <w:sz w:val="24"/>
          <w:szCs w:val="24"/>
        </w:rPr>
      </w:pPr>
      <w:r w:rsidRPr="00B17428">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B17428">
        <w:rPr>
          <w:rFonts w:ascii="Times New Roman" w:hAnsi="Times New Roman" w:cs="Times New Roman"/>
          <w:i/>
          <w:sz w:val="24"/>
          <w:szCs w:val="24"/>
        </w:rPr>
        <w:t>Human Rights (Parliamentary Scrutiny) Act 2011</w:t>
      </w:r>
      <w:r w:rsidRPr="00B17428">
        <w:rPr>
          <w:rFonts w:ascii="Times New Roman" w:hAnsi="Times New Roman" w:cs="Times New Roman"/>
          <w:sz w:val="24"/>
          <w:szCs w:val="24"/>
        </w:rPr>
        <w:t>.</w:t>
      </w:r>
    </w:p>
    <w:p w14:paraId="70711344" w14:textId="77777777" w:rsidR="00B17428" w:rsidRPr="00B17428" w:rsidRDefault="00B17428" w:rsidP="00B17428">
      <w:pPr>
        <w:spacing w:before="120" w:after="120"/>
        <w:jc w:val="center"/>
        <w:rPr>
          <w:rFonts w:ascii="Times New Roman" w:hAnsi="Times New Roman" w:cs="Times New Roman"/>
          <w:sz w:val="24"/>
          <w:szCs w:val="24"/>
        </w:rPr>
      </w:pPr>
    </w:p>
    <w:p w14:paraId="3CFD0EC4" w14:textId="77777777" w:rsidR="00B17428" w:rsidRPr="00B17428" w:rsidRDefault="00B17428" w:rsidP="00B17428">
      <w:pPr>
        <w:spacing w:before="120" w:after="120"/>
        <w:rPr>
          <w:rFonts w:ascii="Times New Roman" w:hAnsi="Times New Roman" w:cs="Times New Roman"/>
          <w:b/>
          <w:sz w:val="24"/>
          <w:szCs w:val="24"/>
        </w:rPr>
      </w:pPr>
      <w:r w:rsidRPr="00B17428">
        <w:rPr>
          <w:rFonts w:ascii="Times New Roman" w:hAnsi="Times New Roman" w:cs="Times New Roman"/>
          <w:b/>
          <w:sz w:val="24"/>
          <w:szCs w:val="24"/>
        </w:rPr>
        <w:t>Overview of the Disallowable Legislative Instrument</w:t>
      </w:r>
    </w:p>
    <w:p w14:paraId="63BF033D" w14:textId="5ED26656" w:rsidR="00B17428" w:rsidRPr="00B17428" w:rsidRDefault="00B17428" w:rsidP="00B17428">
      <w:pPr>
        <w:rPr>
          <w:rFonts w:ascii="Times New Roman" w:hAnsi="Times New Roman" w:cs="Times New Roman"/>
          <w:sz w:val="24"/>
          <w:szCs w:val="24"/>
        </w:rPr>
      </w:pPr>
      <w:r w:rsidRPr="00E947D2">
        <w:rPr>
          <w:rFonts w:ascii="Times New Roman" w:hAnsi="Times New Roman" w:cs="Times New Roman"/>
          <w:sz w:val="24"/>
          <w:szCs w:val="24"/>
        </w:rPr>
        <w:t xml:space="preserve">The </w:t>
      </w:r>
      <w:proofErr w:type="spellStart"/>
      <w:r w:rsidRPr="00E947D2">
        <w:rPr>
          <w:rFonts w:ascii="Times New Roman" w:hAnsi="Times New Roman" w:cs="Times New Roman"/>
          <w:i/>
          <w:sz w:val="24"/>
          <w:szCs w:val="24"/>
        </w:rPr>
        <w:t>AusCheck</w:t>
      </w:r>
      <w:proofErr w:type="spellEnd"/>
      <w:r w:rsidRPr="00E947D2">
        <w:rPr>
          <w:rFonts w:ascii="Times New Roman" w:hAnsi="Times New Roman" w:cs="Times New Roman"/>
          <w:i/>
          <w:sz w:val="24"/>
          <w:szCs w:val="24"/>
        </w:rPr>
        <w:t xml:space="preserve"> Act 2007 </w:t>
      </w:r>
      <w:r w:rsidRPr="00E947D2">
        <w:rPr>
          <w:rFonts w:ascii="Times New Roman" w:hAnsi="Times New Roman" w:cs="Times New Roman"/>
          <w:sz w:val="24"/>
          <w:szCs w:val="24"/>
        </w:rPr>
        <w:t xml:space="preserve">(the </w:t>
      </w:r>
      <w:proofErr w:type="spellStart"/>
      <w:r w:rsidRPr="00E947D2">
        <w:rPr>
          <w:rFonts w:ascii="Times New Roman" w:hAnsi="Times New Roman" w:cs="Times New Roman"/>
          <w:sz w:val="24"/>
          <w:szCs w:val="24"/>
        </w:rPr>
        <w:t>AusCheck</w:t>
      </w:r>
      <w:proofErr w:type="spellEnd"/>
      <w:r w:rsidRPr="00E947D2">
        <w:rPr>
          <w:rFonts w:ascii="Times New Roman" w:hAnsi="Times New Roman" w:cs="Times New Roman"/>
          <w:sz w:val="24"/>
          <w:szCs w:val="24"/>
        </w:rPr>
        <w:t xml:space="preserve"> Act) enable</w:t>
      </w:r>
      <w:r w:rsidR="00795E86" w:rsidRPr="00E947D2">
        <w:rPr>
          <w:rFonts w:ascii="Times New Roman" w:hAnsi="Times New Roman" w:cs="Times New Roman"/>
          <w:sz w:val="24"/>
          <w:szCs w:val="24"/>
        </w:rPr>
        <w:t>s</w:t>
      </w:r>
      <w:r w:rsidRPr="00E947D2">
        <w:rPr>
          <w:rFonts w:ascii="Times New Roman" w:hAnsi="Times New Roman" w:cs="Times New Roman"/>
          <w:sz w:val="24"/>
          <w:szCs w:val="24"/>
        </w:rPr>
        <w:t xml:space="preserve"> </w:t>
      </w:r>
      <w:proofErr w:type="spellStart"/>
      <w:r w:rsidRPr="00E947D2">
        <w:rPr>
          <w:rFonts w:ascii="Times New Roman" w:hAnsi="Times New Roman" w:cs="Times New Roman"/>
          <w:sz w:val="24"/>
          <w:szCs w:val="24"/>
        </w:rPr>
        <w:t>AusCheck</w:t>
      </w:r>
      <w:proofErr w:type="spellEnd"/>
      <w:r w:rsidRPr="00E947D2">
        <w:rPr>
          <w:rFonts w:ascii="Times New Roman" w:hAnsi="Times New Roman" w:cs="Times New Roman"/>
          <w:sz w:val="24"/>
          <w:szCs w:val="24"/>
        </w:rPr>
        <w:t xml:space="preserve"> to conduct and coordinate background checks </w:t>
      </w:r>
      <w:r w:rsidR="00E947D2" w:rsidRPr="00E947D2">
        <w:rPr>
          <w:rFonts w:ascii="Times New Roman" w:hAnsi="Times New Roman" w:cs="Times New Roman"/>
          <w:sz w:val="24"/>
          <w:szCs w:val="24"/>
        </w:rPr>
        <w:t xml:space="preserve">in connection with the accreditation of individuals </w:t>
      </w:r>
      <w:r w:rsidRPr="00E947D2">
        <w:rPr>
          <w:rFonts w:ascii="Times New Roman" w:hAnsi="Times New Roman" w:cs="Times New Roman"/>
          <w:sz w:val="24"/>
          <w:szCs w:val="24"/>
        </w:rPr>
        <w:t>in relation to a major national event (MNE), through a declaration by the Minister that a particular event is an</w:t>
      </w:r>
      <w:r w:rsidRPr="00B17428">
        <w:rPr>
          <w:rFonts w:ascii="Times New Roman" w:hAnsi="Times New Roman" w:cs="Times New Roman"/>
          <w:sz w:val="24"/>
          <w:szCs w:val="24"/>
        </w:rPr>
        <w:t xml:space="preserve"> MNE. The Minister will declare an event an MNE if satisfied that it is in the national interest that the Commonwealth be involved in the conduct and coordination of background checks in connection with the accreditation of individuals in relation to the event. </w:t>
      </w:r>
    </w:p>
    <w:p w14:paraId="4B38D84A" w14:textId="24DBC7EA" w:rsidR="00B17428" w:rsidRPr="00B17428" w:rsidRDefault="00B17428" w:rsidP="00B17428">
      <w:pPr>
        <w:jc w:val="both"/>
        <w:rPr>
          <w:rFonts w:ascii="Times New Roman" w:hAnsi="Times New Roman" w:cs="Times New Roman"/>
          <w:sz w:val="24"/>
          <w:szCs w:val="24"/>
        </w:rPr>
      </w:pPr>
      <w:r w:rsidRPr="00B17428">
        <w:rPr>
          <w:rFonts w:ascii="Times New Roman" w:hAnsi="Times New Roman" w:cs="Times New Roman"/>
          <w:sz w:val="24"/>
          <w:szCs w:val="24"/>
        </w:rPr>
        <w:t xml:space="preserve">This Disallowable Legislative Instrument operates to declare, for the purposes of subsection </w:t>
      </w:r>
      <w:proofErr w:type="gramStart"/>
      <w:r w:rsidRPr="00B17428">
        <w:rPr>
          <w:rFonts w:ascii="Times New Roman" w:hAnsi="Times New Roman" w:cs="Times New Roman"/>
          <w:sz w:val="24"/>
          <w:szCs w:val="24"/>
        </w:rPr>
        <w:t>5A(</w:t>
      </w:r>
      <w:proofErr w:type="gramEnd"/>
      <w:r w:rsidRPr="00B17428">
        <w:rPr>
          <w:rFonts w:ascii="Times New Roman" w:hAnsi="Times New Roman" w:cs="Times New Roman"/>
          <w:sz w:val="24"/>
          <w:szCs w:val="24"/>
        </w:rPr>
        <w:t xml:space="preserve">1)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Act, the I</w:t>
      </w:r>
      <w:r w:rsidR="00C53683">
        <w:rPr>
          <w:rFonts w:ascii="Times New Roman" w:hAnsi="Times New Roman" w:cs="Times New Roman"/>
          <w:sz w:val="24"/>
          <w:szCs w:val="24"/>
        </w:rPr>
        <w:t xml:space="preserve">nternational </w:t>
      </w:r>
      <w:r w:rsidRPr="00B17428">
        <w:rPr>
          <w:rFonts w:ascii="Times New Roman" w:hAnsi="Times New Roman" w:cs="Times New Roman"/>
          <w:sz w:val="24"/>
          <w:szCs w:val="24"/>
        </w:rPr>
        <w:t>C</w:t>
      </w:r>
      <w:r w:rsidR="00C53683">
        <w:rPr>
          <w:rFonts w:ascii="Times New Roman" w:hAnsi="Times New Roman" w:cs="Times New Roman"/>
          <w:sz w:val="24"/>
          <w:szCs w:val="24"/>
        </w:rPr>
        <w:t xml:space="preserve">ricket </w:t>
      </w:r>
      <w:r w:rsidRPr="00B17428">
        <w:rPr>
          <w:rFonts w:ascii="Times New Roman" w:hAnsi="Times New Roman" w:cs="Times New Roman"/>
          <w:sz w:val="24"/>
          <w:szCs w:val="24"/>
        </w:rPr>
        <w:t>C</w:t>
      </w:r>
      <w:r w:rsidR="00C53683">
        <w:rPr>
          <w:rFonts w:ascii="Times New Roman" w:hAnsi="Times New Roman" w:cs="Times New Roman"/>
          <w:sz w:val="24"/>
          <w:szCs w:val="24"/>
        </w:rPr>
        <w:t>ouncil</w:t>
      </w:r>
      <w:r w:rsidRPr="00B17428">
        <w:rPr>
          <w:rFonts w:ascii="Times New Roman" w:hAnsi="Times New Roman" w:cs="Times New Roman"/>
          <w:sz w:val="24"/>
          <w:szCs w:val="24"/>
        </w:rPr>
        <w:t xml:space="preserve"> Men’s T20 World Cup Australia 2022 a MNE. The effect of </w:t>
      </w:r>
      <w:r w:rsidR="00E947D2">
        <w:rPr>
          <w:rFonts w:ascii="Times New Roman" w:hAnsi="Times New Roman" w:cs="Times New Roman"/>
          <w:sz w:val="24"/>
          <w:szCs w:val="24"/>
        </w:rPr>
        <w:t xml:space="preserve">the </w:t>
      </w:r>
      <w:r w:rsidRPr="00B17428">
        <w:rPr>
          <w:rFonts w:ascii="Times New Roman" w:hAnsi="Times New Roman" w:cs="Times New Roman"/>
          <w:sz w:val="24"/>
          <w:szCs w:val="24"/>
        </w:rPr>
        <w:t xml:space="preserve">declaration is to allow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to coordinate and conduct a background check in connection with the accreditation of individuals in relation to the </w:t>
      </w:r>
      <w:r w:rsidR="00E947D2">
        <w:rPr>
          <w:rFonts w:ascii="Times New Roman" w:hAnsi="Times New Roman" w:cs="Times New Roman"/>
          <w:sz w:val="24"/>
          <w:szCs w:val="24"/>
        </w:rPr>
        <w:t xml:space="preserve">ICC </w:t>
      </w:r>
      <w:r w:rsidR="003153D9" w:rsidRPr="00B17428">
        <w:rPr>
          <w:rFonts w:ascii="Times New Roman" w:hAnsi="Times New Roman" w:cs="Times New Roman"/>
          <w:sz w:val="24"/>
          <w:szCs w:val="24"/>
        </w:rPr>
        <w:t>T20 World Cup Australia 2022</w:t>
      </w:r>
      <w:r w:rsidRPr="00B17428">
        <w:rPr>
          <w:rFonts w:ascii="Times New Roman" w:hAnsi="Times New Roman" w:cs="Times New Roman"/>
          <w:sz w:val="24"/>
          <w:szCs w:val="24"/>
        </w:rPr>
        <w:t xml:space="preserve">. </w:t>
      </w:r>
    </w:p>
    <w:p w14:paraId="30018DF7" w14:textId="2CC917BE" w:rsidR="00B17428" w:rsidRPr="00B17428" w:rsidRDefault="00B17428" w:rsidP="00B17428">
      <w:pPr>
        <w:shd w:val="clear" w:color="auto" w:fill="FFFFFF"/>
        <w:rPr>
          <w:rFonts w:ascii="Times New Roman" w:hAnsi="Times New Roman" w:cs="Times New Roman"/>
          <w:sz w:val="24"/>
          <w:szCs w:val="24"/>
        </w:rPr>
      </w:pPr>
      <w:r w:rsidRPr="00B17428">
        <w:rPr>
          <w:rFonts w:ascii="Times New Roman" w:hAnsi="Times New Roman" w:cs="Times New Roman"/>
          <w:sz w:val="24"/>
          <w:szCs w:val="24"/>
        </w:rPr>
        <w:t xml:space="preserve">Section 21F of the </w:t>
      </w:r>
      <w:proofErr w:type="spellStart"/>
      <w:r w:rsidRPr="00B17428">
        <w:rPr>
          <w:rFonts w:ascii="Times New Roman" w:hAnsi="Times New Roman" w:cs="Times New Roman"/>
          <w:i/>
          <w:sz w:val="24"/>
          <w:szCs w:val="24"/>
        </w:rPr>
        <w:t>AusCheck</w:t>
      </w:r>
      <w:proofErr w:type="spellEnd"/>
      <w:r w:rsidRPr="00B17428">
        <w:rPr>
          <w:rFonts w:ascii="Times New Roman" w:hAnsi="Times New Roman" w:cs="Times New Roman"/>
          <w:i/>
          <w:sz w:val="24"/>
          <w:szCs w:val="24"/>
        </w:rPr>
        <w:t xml:space="preserve"> Regulations 2017 </w:t>
      </w:r>
      <w:r w:rsidRPr="00B17428">
        <w:rPr>
          <w:rFonts w:ascii="Times New Roman" w:hAnsi="Times New Roman" w:cs="Times New Roman"/>
          <w:sz w:val="24"/>
          <w:szCs w:val="24"/>
        </w:rPr>
        <w:t>(</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Regulations) specifies that the Minister may, by notifiable instrument, declare that a background check of individuals in connection with MNE accreditation must include assessment of information relating to one or more of the matters mentioned in paragraphs 5(a), (b), (c) and (d)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Act – those matters being an assessment of the individual’s criminal history, matters relevant to a security assessment</w:t>
      </w:r>
      <w:r w:rsidR="00D31CA2">
        <w:rPr>
          <w:rFonts w:ascii="Times New Roman" w:hAnsi="Times New Roman" w:cs="Times New Roman"/>
          <w:sz w:val="24"/>
          <w:szCs w:val="24"/>
        </w:rPr>
        <w:t xml:space="preserve"> of the individual</w:t>
      </w:r>
      <w:r w:rsidRPr="00B17428">
        <w:rPr>
          <w:rFonts w:ascii="Times New Roman" w:hAnsi="Times New Roman" w:cs="Times New Roman"/>
          <w:sz w:val="24"/>
          <w:szCs w:val="24"/>
        </w:rPr>
        <w:t xml:space="preserve">, </w:t>
      </w:r>
      <w:r w:rsidR="00D31CA2">
        <w:rPr>
          <w:rFonts w:ascii="Times New Roman" w:hAnsi="Times New Roman" w:cs="Times New Roman"/>
          <w:sz w:val="24"/>
          <w:szCs w:val="24"/>
        </w:rPr>
        <w:t xml:space="preserve">the individual’s </w:t>
      </w:r>
      <w:r w:rsidRPr="00B17428">
        <w:rPr>
          <w:rFonts w:ascii="Times New Roman" w:hAnsi="Times New Roman" w:cs="Times New Roman"/>
          <w:sz w:val="24"/>
          <w:szCs w:val="24"/>
        </w:rPr>
        <w:t>citizenship or residency status or the</w:t>
      </w:r>
      <w:r w:rsidR="00D31CA2">
        <w:rPr>
          <w:rFonts w:ascii="Times New Roman" w:hAnsi="Times New Roman" w:cs="Times New Roman"/>
          <w:sz w:val="24"/>
          <w:szCs w:val="24"/>
        </w:rPr>
        <w:t xml:space="preserve">ir </w:t>
      </w:r>
      <w:r w:rsidRPr="00B17428">
        <w:rPr>
          <w:rFonts w:ascii="Times New Roman" w:hAnsi="Times New Roman" w:cs="Times New Roman"/>
          <w:sz w:val="24"/>
          <w:szCs w:val="24"/>
        </w:rPr>
        <w:t xml:space="preserve">entitlement to work in Australia, and </w:t>
      </w:r>
      <w:r w:rsidR="00D31CA2">
        <w:rPr>
          <w:rFonts w:ascii="Times New Roman" w:hAnsi="Times New Roman" w:cs="Times New Roman"/>
          <w:sz w:val="24"/>
          <w:szCs w:val="24"/>
        </w:rPr>
        <w:t xml:space="preserve">the individual’s </w:t>
      </w:r>
      <w:r w:rsidRPr="00B17428">
        <w:rPr>
          <w:rFonts w:ascii="Times New Roman" w:hAnsi="Times New Roman" w:cs="Times New Roman"/>
          <w:sz w:val="24"/>
          <w:szCs w:val="24"/>
        </w:rPr>
        <w:t xml:space="preserve">identity. </w:t>
      </w:r>
    </w:p>
    <w:p w14:paraId="46B012F9" w14:textId="2B663221" w:rsidR="00B17428" w:rsidRPr="00B17428" w:rsidRDefault="00B17428" w:rsidP="00B17428">
      <w:pPr>
        <w:shd w:val="clear" w:color="auto" w:fill="FFFFFF"/>
        <w:rPr>
          <w:rFonts w:ascii="Times New Roman" w:hAnsi="Times New Roman" w:cs="Times New Roman"/>
          <w:sz w:val="24"/>
          <w:szCs w:val="24"/>
        </w:rPr>
      </w:pPr>
      <w:r w:rsidRPr="00B17428">
        <w:rPr>
          <w:rFonts w:ascii="Times New Roman" w:hAnsi="Times New Roman" w:cs="Times New Roman"/>
          <w:sz w:val="24"/>
          <w:szCs w:val="24"/>
        </w:rPr>
        <w:t xml:space="preserve">The declaration of </w:t>
      </w:r>
      <w:r w:rsidR="003153D9" w:rsidRPr="00B17428">
        <w:rPr>
          <w:rFonts w:ascii="Times New Roman" w:hAnsi="Times New Roman" w:cs="Times New Roman"/>
          <w:sz w:val="24"/>
          <w:szCs w:val="24"/>
        </w:rPr>
        <w:t xml:space="preserve">T20 World Cup Australia 2022 </w:t>
      </w:r>
      <w:r w:rsidRPr="00B17428">
        <w:rPr>
          <w:rFonts w:ascii="Times New Roman" w:hAnsi="Times New Roman" w:cs="Times New Roman"/>
          <w:sz w:val="24"/>
          <w:szCs w:val="24"/>
        </w:rPr>
        <w:t xml:space="preserve">as an MNE will enliven relevant provisions in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Regulations. For the purposes of </w:t>
      </w:r>
      <w:r w:rsidR="003153D9" w:rsidRPr="00B17428">
        <w:rPr>
          <w:rFonts w:ascii="Times New Roman" w:hAnsi="Times New Roman" w:cs="Times New Roman"/>
          <w:sz w:val="24"/>
          <w:szCs w:val="24"/>
        </w:rPr>
        <w:t>T20 World Cup Australia 2022</w:t>
      </w:r>
      <w:r w:rsidRPr="00B17428">
        <w:rPr>
          <w:rFonts w:ascii="Times New Roman" w:hAnsi="Times New Roman" w:cs="Times New Roman"/>
          <w:sz w:val="24"/>
          <w:szCs w:val="24"/>
        </w:rPr>
        <w:t>, the Section 21F notifiable instrument will specify that a background check will include an assessment of:</w:t>
      </w:r>
    </w:p>
    <w:p w14:paraId="6BD4B6EB" w14:textId="0A9DD696" w:rsidR="00B17428" w:rsidRPr="001324A3" w:rsidRDefault="00B17428" w:rsidP="001324A3">
      <w:pPr>
        <w:pStyle w:val="ListParagraph"/>
        <w:numPr>
          <w:ilvl w:val="0"/>
          <w:numId w:val="7"/>
        </w:numPr>
        <w:shd w:val="clear" w:color="auto" w:fill="FFFFFF"/>
        <w:spacing w:after="240" w:line="240" w:lineRule="auto"/>
        <w:ind w:left="714" w:hanging="357"/>
        <w:rPr>
          <w:rFonts w:ascii="Times New Roman" w:eastAsia="Times New Roman" w:hAnsi="Times New Roman" w:cs="Times New Roman"/>
          <w:sz w:val="24"/>
          <w:szCs w:val="24"/>
          <w:lang w:eastAsia="en-AU"/>
        </w:rPr>
      </w:pPr>
      <w:r w:rsidRPr="001324A3">
        <w:rPr>
          <w:rFonts w:ascii="Times New Roman" w:eastAsia="Times New Roman" w:hAnsi="Times New Roman" w:cs="Times New Roman"/>
          <w:sz w:val="24"/>
          <w:szCs w:val="24"/>
          <w:lang w:eastAsia="en-AU"/>
        </w:rPr>
        <w:t>the individual’s criminal history, if the individual is aged over 18 years of age</w:t>
      </w:r>
      <w:r w:rsidR="003153D9">
        <w:rPr>
          <w:rFonts w:ascii="Times New Roman" w:eastAsia="Times New Roman" w:hAnsi="Times New Roman" w:cs="Times New Roman"/>
          <w:sz w:val="24"/>
          <w:szCs w:val="24"/>
          <w:lang w:eastAsia="en-AU"/>
        </w:rPr>
        <w:t>,</w:t>
      </w:r>
    </w:p>
    <w:p w14:paraId="5A7A34C1" w14:textId="643DED9D" w:rsidR="00B17428" w:rsidRPr="00B17428" w:rsidRDefault="00B17428" w:rsidP="001324A3">
      <w:pPr>
        <w:pStyle w:val="ListParagraph"/>
        <w:numPr>
          <w:ilvl w:val="0"/>
          <w:numId w:val="7"/>
        </w:numPr>
        <w:shd w:val="clear" w:color="auto" w:fill="FFFFFF"/>
        <w:spacing w:after="240" w:line="240" w:lineRule="auto"/>
        <w:ind w:left="714" w:hanging="357"/>
        <w:rPr>
          <w:rFonts w:ascii="Times New Roman" w:eastAsia="Times New Roman" w:hAnsi="Times New Roman" w:cs="Times New Roman"/>
          <w:sz w:val="24"/>
          <w:szCs w:val="24"/>
          <w:lang w:eastAsia="en-AU"/>
        </w:rPr>
      </w:pPr>
      <w:r w:rsidRPr="00B17428">
        <w:rPr>
          <w:rFonts w:ascii="Times New Roman" w:eastAsia="Times New Roman" w:hAnsi="Times New Roman" w:cs="Times New Roman"/>
          <w:sz w:val="24"/>
          <w:szCs w:val="24"/>
          <w:lang w:eastAsia="en-AU"/>
        </w:rPr>
        <w:t>matters relevant to a security assessment</w:t>
      </w:r>
      <w:r w:rsidR="003153D9">
        <w:rPr>
          <w:rFonts w:ascii="Times New Roman" w:eastAsia="Times New Roman" w:hAnsi="Times New Roman" w:cs="Times New Roman"/>
          <w:sz w:val="24"/>
          <w:szCs w:val="24"/>
          <w:lang w:eastAsia="en-AU"/>
        </w:rPr>
        <w:t>,</w:t>
      </w:r>
      <w:r w:rsidRPr="00B17428">
        <w:rPr>
          <w:rFonts w:ascii="Times New Roman" w:eastAsia="Times New Roman" w:hAnsi="Times New Roman" w:cs="Times New Roman"/>
          <w:sz w:val="24"/>
          <w:szCs w:val="24"/>
          <w:lang w:eastAsia="en-AU"/>
        </w:rPr>
        <w:t xml:space="preserve"> and</w:t>
      </w:r>
    </w:p>
    <w:p w14:paraId="1D46B2CC" w14:textId="77777777" w:rsidR="00B17428" w:rsidRPr="00B17428" w:rsidRDefault="00B17428" w:rsidP="001324A3">
      <w:pPr>
        <w:pStyle w:val="ListParagraph"/>
        <w:numPr>
          <w:ilvl w:val="0"/>
          <w:numId w:val="7"/>
        </w:numPr>
        <w:shd w:val="clear" w:color="auto" w:fill="FFFFFF"/>
        <w:spacing w:after="240" w:line="240" w:lineRule="auto"/>
        <w:ind w:left="714" w:hanging="357"/>
        <w:rPr>
          <w:rFonts w:ascii="Times New Roman" w:eastAsia="Times New Roman" w:hAnsi="Times New Roman" w:cs="Times New Roman"/>
          <w:sz w:val="24"/>
          <w:szCs w:val="24"/>
          <w:lang w:eastAsia="en-AU"/>
        </w:rPr>
      </w:pPr>
      <w:proofErr w:type="gramStart"/>
      <w:r w:rsidRPr="00B17428">
        <w:rPr>
          <w:rFonts w:ascii="Times New Roman" w:eastAsia="Times New Roman" w:hAnsi="Times New Roman" w:cs="Times New Roman"/>
          <w:sz w:val="24"/>
          <w:szCs w:val="24"/>
          <w:lang w:eastAsia="en-AU"/>
        </w:rPr>
        <w:t>an</w:t>
      </w:r>
      <w:proofErr w:type="gramEnd"/>
      <w:r w:rsidRPr="00B17428">
        <w:rPr>
          <w:rFonts w:ascii="Times New Roman" w:eastAsia="Times New Roman" w:hAnsi="Times New Roman" w:cs="Times New Roman"/>
          <w:sz w:val="24"/>
          <w:szCs w:val="24"/>
          <w:lang w:eastAsia="en-AU"/>
        </w:rPr>
        <w:t xml:space="preserve"> electronic identity verification check. </w:t>
      </w:r>
    </w:p>
    <w:p w14:paraId="42582679" w14:textId="77777777" w:rsidR="00795E86" w:rsidRPr="00B17428" w:rsidRDefault="00795E86" w:rsidP="00B17428">
      <w:pPr>
        <w:jc w:val="both"/>
        <w:rPr>
          <w:rFonts w:ascii="Times New Roman" w:eastAsia="Times New Roman" w:hAnsi="Times New Roman" w:cs="Times New Roman"/>
          <w:sz w:val="24"/>
          <w:szCs w:val="24"/>
          <w:lang w:eastAsia="en-AU"/>
        </w:rPr>
      </w:pPr>
    </w:p>
    <w:p w14:paraId="6349F08C" w14:textId="77777777" w:rsidR="00B17428" w:rsidRPr="00B17428" w:rsidRDefault="00B17428" w:rsidP="00B17428">
      <w:pPr>
        <w:spacing w:before="120" w:after="240"/>
        <w:rPr>
          <w:rFonts w:ascii="Times New Roman" w:hAnsi="Times New Roman" w:cs="Times New Roman"/>
          <w:b/>
          <w:sz w:val="24"/>
          <w:szCs w:val="24"/>
        </w:rPr>
      </w:pPr>
      <w:r w:rsidRPr="00B17428">
        <w:rPr>
          <w:rFonts w:ascii="Times New Roman" w:hAnsi="Times New Roman" w:cs="Times New Roman"/>
          <w:b/>
          <w:sz w:val="24"/>
          <w:szCs w:val="24"/>
        </w:rPr>
        <w:t>Human rights implications</w:t>
      </w:r>
    </w:p>
    <w:p w14:paraId="269E254B" w14:textId="77777777" w:rsidR="00B17428" w:rsidRPr="00B17428" w:rsidRDefault="00B17428" w:rsidP="00B17428">
      <w:pPr>
        <w:spacing w:before="120" w:after="240"/>
        <w:rPr>
          <w:rFonts w:ascii="Times New Roman" w:hAnsi="Times New Roman" w:cs="Times New Roman"/>
          <w:sz w:val="24"/>
          <w:szCs w:val="24"/>
        </w:rPr>
      </w:pPr>
      <w:r w:rsidRPr="00B17428">
        <w:rPr>
          <w:rFonts w:ascii="Times New Roman" w:hAnsi="Times New Roman" w:cs="Times New Roman"/>
          <w:sz w:val="24"/>
          <w:szCs w:val="24"/>
        </w:rPr>
        <w:t>This Disallowable Legislative Instrument engages the following rights:</w:t>
      </w:r>
    </w:p>
    <w:p w14:paraId="1C098072" w14:textId="36D197EC" w:rsidR="00B17428" w:rsidRDefault="003153D9" w:rsidP="00B17428">
      <w:pPr>
        <w:pStyle w:val="ListParagraph"/>
        <w:numPr>
          <w:ilvl w:val="0"/>
          <w:numId w:val="7"/>
        </w:numPr>
        <w:shd w:val="clear" w:color="auto" w:fill="FFFFFF"/>
        <w:spacing w:after="120" w:line="240" w:lineRule="auto"/>
        <w:ind w:left="714" w:hanging="35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r</w:t>
      </w:r>
      <w:r w:rsidR="00B17428" w:rsidRPr="00B17428">
        <w:rPr>
          <w:rFonts w:ascii="Times New Roman" w:eastAsia="Times New Roman" w:hAnsi="Times New Roman" w:cs="Times New Roman"/>
          <w:sz w:val="24"/>
          <w:szCs w:val="24"/>
          <w:lang w:eastAsia="en-AU"/>
        </w:rPr>
        <w:t xml:space="preserve">ight to equality and non-discrimination – Article 2(1) and Article 26 of the </w:t>
      </w:r>
      <w:r w:rsidR="00B17428" w:rsidRPr="00B17428">
        <w:rPr>
          <w:rFonts w:ascii="Times New Roman" w:eastAsia="Times New Roman" w:hAnsi="Times New Roman" w:cs="Times New Roman"/>
          <w:i/>
          <w:sz w:val="24"/>
          <w:szCs w:val="24"/>
          <w:lang w:eastAsia="en-AU"/>
        </w:rPr>
        <w:t>International Covenant on Civil and Political Rights</w:t>
      </w:r>
      <w:r w:rsidR="00B17428" w:rsidRPr="00B17428">
        <w:rPr>
          <w:rFonts w:ascii="Times New Roman" w:eastAsia="Times New Roman" w:hAnsi="Times New Roman" w:cs="Times New Roman"/>
          <w:sz w:val="24"/>
          <w:szCs w:val="24"/>
          <w:lang w:eastAsia="en-AU"/>
        </w:rPr>
        <w:t xml:space="preserve"> (ICCPR), Article 2(2) of the </w:t>
      </w:r>
      <w:r w:rsidR="00B17428" w:rsidRPr="00B17428">
        <w:rPr>
          <w:rFonts w:ascii="Times New Roman" w:eastAsia="Times New Roman" w:hAnsi="Times New Roman" w:cs="Times New Roman"/>
          <w:i/>
          <w:sz w:val="24"/>
          <w:szCs w:val="24"/>
          <w:lang w:eastAsia="en-AU"/>
        </w:rPr>
        <w:t>International Covenant on Economic, Social and Cultural Rights</w:t>
      </w:r>
      <w:r w:rsidR="00B17428" w:rsidRPr="00B17428">
        <w:rPr>
          <w:rFonts w:ascii="Times New Roman" w:eastAsia="Times New Roman" w:hAnsi="Times New Roman" w:cs="Times New Roman"/>
          <w:sz w:val="24"/>
          <w:szCs w:val="24"/>
          <w:lang w:eastAsia="en-AU"/>
        </w:rPr>
        <w:t xml:space="preserve"> (ICESCR), Right to an effective remedy – Article 2(3) of the ICCPR</w:t>
      </w:r>
      <w:r>
        <w:rPr>
          <w:rFonts w:ascii="Times New Roman" w:eastAsia="Times New Roman" w:hAnsi="Times New Roman" w:cs="Times New Roman"/>
          <w:sz w:val="24"/>
          <w:szCs w:val="24"/>
          <w:lang w:eastAsia="en-AU"/>
        </w:rPr>
        <w:t>,</w:t>
      </w:r>
    </w:p>
    <w:p w14:paraId="5B7628DA" w14:textId="0FD48752" w:rsidR="003153D9" w:rsidRPr="00B17428" w:rsidRDefault="003153D9" w:rsidP="00B17428">
      <w:pPr>
        <w:pStyle w:val="ListParagraph"/>
        <w:numPr>
          <w:ilvl w:val="0"/>
          <w:numId w:val="7"/>
        </w:numPr>
        <w:shd w:val="clear" w:color="auto" w:fill="FFFFFF"/>
        <w:spacing w:after="120" w:line="240" w:lineRule="auto"/>
        <w:ind w:left="714" w:hanging="35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right to an effective remedy—Article 2(3) of the ICCPR,</w:t>
      </w:r>
    </w:p>
    <w:p w14:paraId="339152DB" w14:textId="11B37BE8" w:rsidR="00B17428" w:rsidRPr="00B17428" w:rsidRDefault="003153D9" w:rsidP="00B17428">
      <w:pPr>
        <w:pStyle w:val="ListParagraph"/>
        <w:numPr>
          <w:ilvl w:val="0"/>
          <w:numId w:val="7"/>
        </w:numPr>
        <w:shd w:val="clear" w:color="auto" w:fill="FFFFFF"/>
        <w:spacing w:after="120" w:line="240" w:lineRule="auto"/>
        <w:ind w:left="714" w:hanging="35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w:t>
      </w:r>
      <w:r w:rsidR="00B17428" w:rsidRPr="00B17428">
        <w:rPr>
          <w:rFonts w:ascii="Times New Roman" w:eastAsia="Times New Roman" w:hAnsi="Times New Roman" w:cs="Times New Roman"/>
          <w:sz w:val="24"/>
          <w:szCs w:val="24"/>
          <w:lang w:eastAsia="en-AU"/>
        </w:rPr>
        <w:t>ight to privacy– Article 17(1) of the ICCPR</w:t>
      </w:r>
      <w:r>
        <w:rPr>
          <w:rFonts w:ascii="Times New Roman" w:eastAsia="Times New Roman" w:hAnsi="Times New Roman" w:cs="Times New Roman"/>
          <w:sz w:val="24"/>
          <w:szCs w:val="24"/>
          <w:lang w:eastAsia="en-AU"/>
        </w:rPr>
        <w:t>, and</w:t>
      </w:r>
    </w:p>
    <w:p w14:paraId="6924734C" w14:textId="2DA53E49" w:rsidR="00B17428" w:rsidRPr="00B17428" w:rsidRDefault="003153D9" w:rsidP="00B17428">
      <w:pPr>
        <w:pStyle w:val="ListParagraph"/>
        <w:numPr>
          <w:ilvl w:val="0"/>
          <w:numId w:val="7"/>
        </w:numPr>
        <w:shd w:val="clear" w:color="auto" w:fill="FFFFFF"/>
        <w:spacing w:after="240" w:line="240" w:lineRule="auto"/>
        <w:ind w:left="714" w:hanging="357"/>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r</w:t>
      </w:r>
      <w:r w:rsidR="00B17428" w:rsidRPr="00B17428">
        <w:rPr>
          <w:rFonts w:ascii="Times New Roman" w:eastAsia="Times New Roman" w:hAnsi="Times New Roman" w:cs="Times New Roman"/>
          <w:sz w:val="24"/>
          <w:szCs w:val="24"/>
          <w:lang w:eastAsia="en-AU"/>
        </w:rPr>
        <w:t>ight</w:t>
      </w:r>
      <w:proofErr w:type="gramEnd"/>
      <w:r w:rsidR="00B17428" w:rsidRPr="00B17428">
        <w:rPr>
          <w:rFonts w:ascii="Times New Roman" w:eastAsia="Times New Roman" w:hAnsi="Times New Roman" w:cs="Times New Roman"/>
          <w:sz w:val="24"/>
          <w:szCs w:val="24"/>
          <w:lang w:eastAsia="en-AU"/>
        </w:rPr>
        <w:t xml:space="preserve"> to work– Article 6(1) of the ICESCR</w:t>
      </w:r>
      <w:r>
        <w:rPr>
          <w:rFonts w:ascii="Times New Roman" w:eastAsia="Times New Roman" w:hAnsi="Times New Roman" w:cs="Times New Roman"/>
          <w:sz w:val="24"/>
          <w:szCs w:val="24"/>
          <w:lang w:eastAsia="en-AU"/>
        </w:rPr>
        <w:t>.</w:t>
      </w:r>
    </w:p>
    <w:p w14:paraId="5AA068F8" w14:textId="77777777" w:rsidR="00795E86" w:rsidRDefault="00795E86" w:rsidP="00B17428">
      <w:pPr>
        <w:shd w:val="clear" w:color="auto" w:fill="FFFFFF"/>
        <w:spacing w:after="240"/>
        <w:rPr>
          <w:rFonts w:ascii="Times New Roman" w:hAnsi="Times New Roman" w:cs="Times New Roman"/>
          <w:b/>
          <w:i/>
        </w:rPr>
      </w:pPr>
    </w:p>
    <w:p w14:paraId="36681F59" w14:textId="242C82BE" w:rsidR="00B17428" w:rsidRPr="001324A3" w:rsidRDefault="00B17428" w:rsidP="00B17428">
      <w:pPr>
        <w:shd w:val="clear" w:color="auto" w:fill="FFFFFF"/>
        <w:spacing w:after="240"/>
        <w:rPr>
          <w:rFonts w:ascii="Times New Roman" w:hAnsi="Times New Roman" w:cs="Times New Roman"/>
          <w:b/>
          <w:i/>
        </w:rPr>
      </w:pPr>
      <w:r w:rsidRPr="001324A3">
        <w:rPr>
          <w:rFonts w:ascii="Times New Roman" w:hAnsi="Times New Roman" w:cs="Times New Roman"/>
          <w:b/>
          <w:i/>
        </w:rPr>
        <w:t>Rights to equality and non</w:t>
      </w:r>
      <w:r w:rsidRPr="001324A3">
        <w:rPr>
          <w:rFonts w:ascii="Times New Roman" w:hAnsi="Times New Roman" w:cs="Times New Roman"/>
          <w:b/>
          <w:i/>
        </w:rPr>
        <w:noBreakHyphen/>
        <w:t>discrimination</w:t>
      </w:r>
    </w:p>
    <w:p w14:paraId="53877305" w14:textId="77777777" w:rsidR="00B17428" w:rsidRPr="00B17428" w:rsidRDefault="00B17428" w:rsidP="00B17428">
      <w:pPr>
        <w:shd w:val="clear" w:color="auto" w:fill="FFFFFF"/>
        <w:spacing w:after="240"/>
        <w:rPr>
          <w:rFonts w:ascii="Times New Roman" w:hAnsi="Times New Roman" w:cs="Times New Roman"/>
          <w:sz w:val="24"/>
          <w:szCs w:val="24"/>
        </w:rPr>
      </w:pPr>
      <w:r w:rsidRPr="00B17428">
        <w:rPr>
          <w:rFonts w:ascii="Times New Roman" w:hAnsi="Times New Roman" w:cs="Times New Roman"/>
          <w:sz w:val="24"/>
          <w:szCs w:val="24"/>
        </w:rPr>
        <w:t xml:space="preserve">The declaration of an event as an MNE enables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to conduct background checks for the accreditation of individuals in relation to the declared MNE. To the extent that the declaration of an MNE enlivens the background check provisions in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Regulations, the rights to equality and non-discrimination are engaged. Article 2(1) of the ICCPR and Article 2(2) of the ICESCR provide that the rights in both covenants are to be exercised without discrimination of any kind as to race, colour, sex, language, religion, political or other opinion, national or social origin, property, birth or other status. Similarly, Article 26 of the ICCPR provides that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0E5470EB" w14:textId="77777777" w:rsidR="00B17428" w:rsidRPr="00B17428" w:rsidRDefault="00B17428" w:rsidP="00B17428">
      <w:pPr>
        <w:shd w:val="clear" w:color="auto" w:fill="FFFFFF"/>
        <w:spacing w:after="240"/>
        <w:rPr>
          <w:rFonts w:ascii="Times New Roman" w:hAnsi="Times New Roman" w:cs="Times New Roman"/>
          <w:sz w:val="24"/>
          <w:szCs w:val="20"/>
        </w:rPr>
      </w:pPr>
      <w:r w:rsidRPr="00B17428">
        <w:rPr>
          <w:rFonts w:ascii="Times New Roman" w:hAnsi="Times New Roman" w:cs="Times New Roman"/>
          <w:sz w:val="24"/>
          <w:szCs w:val="24"/>
        </w:rPr>
        <w:t xml:space="preserve">The differential treatment by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of individuals on the basis of criminal history engages the rights of equality and non</w:t>
      </w:r>
      <w:r w:rsidRPr="00B17428">
        <w:rPr>
          <w:rFonts w:ascii="Times New Roman" w:hAnsi="Times New Roman" w:cs="Times New Roman"/>
          <w:sz w:val="24"/>
          <w:szCs w:val="24"/>
        </w:rPr>
        <w:noBreakHyphen/>
        <w:t xml:space="preserve">discrimination. Subdivision C of Division 5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Regulations allows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to give advice about MNE background checks of individuals including an assessment of an individual’s criminal history information.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will assess the individual’s criminal history information against MNE-security-relevant offences, which are contained in Schedule 1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Regulations. </w:t>
      </w:r>
    </w:p>
    <w:p w14:paraId="587CA2A3" w14:textId="77777777" w:rsidR="00B17428" w:rsidRPr="00B17428" w:rsidRDefault="00B17428" w:rsidP="00B17428">
      <w:pPr>
        <w:shd w:val="clear" w:color="auto" w:fill="FFFFFF"/>
        <w:spacing w:after="240"/>
        <w:rPr>
          <w:rFonts w:ascii="Times New Roman" w:hAnsi="Times New Roman" w:cs="Times New Roman"/>
          <w:sz w:val="24"/>
          <w:szCs w:val="24"/>
        </w:rPr>
      </w:pPr>
      <w:r w:rsidRPr="00B17428">
        <w:rPr>
          <w:rFonts w:ascii="Times New Roman" w:hAnsi="Times New Roman" w:cs="Times New Roman"/>
          <w:sz w:val="24"/>
          <w:szCs w:val="24"/>
        </w:rPr>
        <w:t xml:space="preserve">The objective of this assessment is to identify individuals who have been convicted of MNE security-relevant offences, which indicate that the individual is a threat or risk to national security, or has the propensity to commit a serious offence which increases the likelihood or risk that the individual will cause harm at the MNE. This assessment informs the eligibility of an individual to be accredited to work or volunteer at MNEs. </w:t>
      </w:r>
    </w:p>
    <w:p w14:paraId="40783B0E" w14:textId="77777777" w:rsidR="00B17428" w:rsidRPr="00B17428" w:rsidRDefault="00B17428" w:rsidP="00B17428">
      <w:pPr>
        <w:shd w:val="clear" w:color="auto" w:fill="FFFFFF"/>
        <w:spacing w:after="240"/>
        <w:rPr>
          <w:rFonts w:ascii="Times New Roman" w:hAnsi="Times New Roman" w:cs="Times New Roman"/>
          <w:sz w:val="24"/>
          <w:szCs w:val="24"/>
        </w:rPr>
      </w:pPr>
      <w:r w:rsidRPr="00B17428">
        <w:rPr>
          <w:rFonts w:ascii="Times New Roman" w:hAnsi="Times New Roman" w:cs="Times New Roman"/>
          <w:sz w:val="24"/>
          <w:szCs w:val="24"/>
        </w:rPr>
        <w:t xml:space="preserve">Subdivision C of Division 5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Regulations is a reasonable, necessary and proportionate limitation on the rights to equality and non-discrimination as it does not capture all individuals with a criminal history. Distinctions made on the basis of criminal history are only necessary for individuals who have MNE-security</w:t>
      </w:r>
      <w:r w:rsidRPr="00B17428">
        <w:rPr>
          <w:rFonts w:ascii="Times New Roman" w:hAnsi="Times New Roman" w:cs="Times New Roman"/>
          <w:sz w:val="24"/>
          <w:szCs w:val="24"/>
        </w:rPr>
        <w:noBreakHyphen/>
        <w:t>relevant offences that appear in their criminal history. This is the least restrictive means, in the context of background checks, of identifying individuals who may threaten national security. The criterion for MNE-security</w:t>
      </w:r>
      <w:r w:rsidRPr="00B17428">
        <w:rPr>
          <w:rFonts w:ascii="Times New Roman" w:hAnsi="Times New Roman" w:cs="Times New Roman"/>
          <w:sz w:val="24"/>
          <w:szCs w:val="24"/>
        </w:rPr>
        <w:noBreakHyphen/>
        <w:t>relevant offences is explicitly stated in legislation and therefore is lawful and non-arbitrary.</w:t>
      </w:r>
    </w:p>
    <w:p w14:paraId="1584D6AE" w14:textId="77777777" w:rsidR="00795E86" w:rsidRDefault="00795E86" w:rsidP="001324A3">
      <w:pPr>
        <w:shd w:val="clear" w:color="auto" w:fill="FFFFFF"/>
        <w:spacing w:after="240"/>
        <w:rPr>
          <w:rFonts w:ascii="Times New Roman" w:hAnsi="Times New Roman" w:cs="Times New Roman"/>
          <w:b/>
          <w:i/>
        </w:rPr>
      </w:pPr>
    </w:p>
    <w:p w14:paraId="5F7E5AE1" w14:textId="4AC8D449" w:rsidR="00B17428" w:rsidRPr="001324A3" w:rsidRDefault="00B17428" w:rsidP="001324A3">
      <w:pPr>
        <w:shd w:val="clear" w:color="auto" w:fill="FFFFFF"/>
        <w:spacing w:after="240"/>
        <w:rPr>
          <w:rFonts w:ascii="Times New Roman" w:hAnsi="Times New Roman" w:cs="Times New Roman"/>
          <w:b/>
          <w:i/>
        </w:rPr>
      </w:pPr>
      <w:r w:rsidRPr="001324A3">
        <w:rPr>
          <w:rFonts w:ascii="Times New Roman" w:hAnsi="Times New Roman" w:cs="Times New Roman"/>
          <w:b/>
          <w:i/>
        </w:rPr>
        <w:t>Right to an effective remedy</w:t>
      </w:r>
    </w:p>
    <w:p w14:paraId="0D715EEE" w14:textId="77777777" w:rsidR="00B17428" w:rsidRPr="00B17428" w:rsidRDefault="00B17428" w:rsidP="00B17428">
      <w:pPr>
        <w:shd w:val="clear" w:color="auto" w:fill="FFFFFF"/>
        <w:spacing w:before="100" w:beforeAutospacing="1" w:after="100" w:afterAutospacing="1"/>
        <w:rPr>
          <w:rFonts w:ascii="Times New Roman" w:hAnsi="Times New Roman" w:cs="Times New Roman"/>
          <w:sz w:val="19"/>
          <w:szCs w:val="19"/>
          <w:lang w:val="en-US"/>
        </w:rPr>
      </w:pPr>
      <w:r w:rsidRPr="00B17428">
        <w:rPr>
          <w:rFonts w:ascii="Times New Roman" w:hAnsi="Times New Roman" w:cs="Times New Roman"/>
          <w:sz w:val="24"/>
          <w:szCs w:val="24"/>
        </w:rPr>
        <w:lastRenderedPageBreak/>
        <w:t xml:space="preserve">Article 2(3) of the ICCPR provides that an individual should have an effective remedy for any violation of rights or freedoms recognised in the ICCPR. The article also provides that the remedy shall be determined and enforced by a competent judicial, administrative or legislative authority. </w:t>
      </w:r>
    </w:p>
    <w:p w14:paraId="5153873C" w14:textId="77777777" w:rsidR="00B17428" w:rsidRPr="00B17428" w:rsidRDefault="00B17428" w:rsidP="00B17428">
      <w:pPr>
        <w:shd w:val="clear" w:color="auto" w:fill="FFFFFF"/>
        <w:spacing w:before="100" w:beforeAutospacing="1" w:after="100" w:afterAutospacing="1"/>
        <w:rPr>
          <w:rFonts w:ascii="Times New Roman" w:hAnsi="Times New Roman" w:cs="Times New Roman"/>
          <w:sz w:val="24"/>
          <w:szCs w:val="24"/>
        </w:rPr>
      </w:pPr>
      <w:r w:rsidRPr="00B17428">
        <w:rPr>
          <w:rFonts w:ascii="Times New Roman" w:hAnsi="Times New Roman" w:cs="Times New Roman"/>
          <w:sz w:val="24"/>
          <w:szCs w:val="24"/>
        </w:rPr>
        <w:t xml:space="preserve">To the extent that the declaration of an MNE enlivens the background check provisions in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Regulations, the rights to effective remedy will be engaged. Section 26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Regulations provides a right of review by the Administrative Appeals Tribunal (AAT) for an applicant who is refused an exemption under Section </w:t>
      </w:r>
      <w:proofErr w:type="gramStart"/>
      <w:r w:rsidRPr="00B17428">
        <w:rPr>
          <w:rFonts w:ascii="Times New Roman" w:hAnsi="Times New Roman" w:cs="Times New Roman"/>
          <w:sz w:val="24"/>
          <w:szCs w:val="24"/>
        </w:rPr>
        <w:t>21K(</w:t>
      </w:r>
      <w:proofErr w:type="gramEnd"/>
      <w:r w:rsidRPr="00B17428">
        <w:rPr>
          <w:rFonts w:ascii="Times New Roman" w:hAnsi="Times New Roman" w:cs="Times New Roman"/>
          <w:sz w:val="24"/>
          <w:szCs w:val="24"/>
        </w:rPr>
        <w:t xml:space="preserve">7)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Regulations in relation to identity verification requirements, or receives an unfavourable criminal history decision. The definition of ‘unfavourable criminal history’ in section 6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Regulations includes an ‘MNE criminal record’. ‘MNE criminal record’ is defined in Section 4 to be where there is a conviction of an MNE level 1 disqualifying offence, or conviction and imprisonment for an MNE level 2 or 3 offence. </w:t>
      </w:r>
    </w:p>
    <w:p w14:paraId="0C77DA2C" w14:textId="77777777" w:rsidR="00B17428" w:rsidRPr="00B17428" w:rsidRDefault="00B17428" w:rsidP="00B17428">
      <w:pPr>
        <w:shd w:val="clear" w:color="auto" w:fill="FFFFFF"/>
        <w:spacing w:before="100" w:beforeAutospacing="1" w:after="100" w:afterAutospacing="1"/>
        <w:rPr>
          <w:rFonts w:ascii="Times New Roman" w:hAnsi="Times New Roman" w:cs="Times New Roman"/>
          <w:sz w:val="24"/>
          <w:szCs w:val="24"/>
        </w:rPr>
      </w:pPr>
      <w:r w:rsidRPr="00B17428">
        <w:rPr>
          <w:rFonts w:ascii="Times New Roman" w:hAnsi="Times New Roman" w:cs="Times New Roman"/>
          <w:sz w:val="24"/>
          <w:szCs w:val="24"/>
        </w:rPr>
        <w:t xml:space="preserve">Where an applicant is refused an exemption in relation to identity verification requirements or receives an unfavourable criminal history decision, the applicant may apply to the AAT for a review of that decision. The AAT is a competent administrative authority which has the power to review a decision made by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and to set aside, remit or affirm that decision. </w:t>
      </w:r>
    </w:p>
    <w:p w14:paraId="6CF98780" w14:textId="77777777" w:rsidR="00B17428" w:rsidRPr="00B17428" w:rsidRDefault="00B17428" w:rsidP="00B17428">
      <w:pPr>
        <w:shd w:val="clear" w:color="auto" w:fill="FFFFFF"/>
        <w:spacing w:before="100" w:beforeAutospacing="1" w:after="100" w:afterAutospacing="1"/>
        <w:rPr>
          <w:rFonts w:ascii="Times New Roman" w:hAnsi="Times New Roman" w:cs="Times New Roman"/>
          <w:sz w:val="24"/>
          <w:szCs w:val="24"/>
        </w:rPr>
      </w:pPr>
      <w:r w:rsidRPr="00B17428">
        <w:rPr>
          <w:rFonts w:ascii="Times New Roman" w:hAnsi="Times New Roman" w:cs="Times New Roman"/>
          <w:sz w:val="24"/>
          <w:szCs w:val="24"/>
        </w:rPr>
        <w:t xml:space="preserve">To the extent that an individual’s rights under the ICCPR may be violated, section 26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Regulations promotes the right to an effective remedy.</w:t>
      </w:r>
    </w:p>
    <w:p w14:paraId="3BD01836" w14:textId="77777777" w:rsidR="00B17428" w:rsidRPr="001324A3" w:rsidRDefault="00B17428" w:rsidP="001324A3">
      <w:pPr>
        <w:shd w:val="clear" w:color="auto" w:fill="FFFFFF"/>
        <w:spacing w:after="240"/>
        <w:rPr>
          <w:rFonts w:ascii="Times New Roman" w:hAnsi="Times New Roman" w:cs="Times New Roman"/>
          <w:b/>
          <w:i/>
        </w:rPr>
      </w:pPr>
      <w:r w:rsidRPr="001324A3">
        <w:rPr>
          <w:rFonts w:ascii="Times New Roman" w:hAnsi="Times New Roman" w:cs="Times New Roman"/>
          <w:b/>
          <w:i/>
        </w:rPr>
        <w:t xml:space="preserve">Right to privacy </w:t>
      </w:r>
    </w:p>
    <w:p w14:paraId="393D99DF" w14:textId="77777777" w:rsidR="00B17428" w:rsidRPr="00B17428" w:rsidRDefault="00B17428" w:rsidP="00B17428">
      <w:pPr>
        <w:keepNext/>
        <w:shd w:val="clear" w:color="auto" w:fill="FFFFFF"/>
        <w:spacing w:before="100" w:beforeAutospacing="1" w:after="100" w:afterAutospacing="1"/>
        <w:rPr>
          <w:rFonts w:ascii="Times New Roman" w:hAnsi="Times New Roman" w:cs="Times New Roman"/>
          <w:sz w:val="19"/>
          <w:szCs w:val="19"/>
          <w:lang w:val="en-US"/>
        </w:rPr>
      </w:pPr>
      <w:r w:rsidRPr="00B17428">
        <w:rPr>
          <w:rFonts w:ascii="Times New Roman" w:hAnsi="Times New Roman" w:cs="Times New Roman"/>
          <w:sz w:val="24"/>
          <w:szCs w:val="24"/>
        </w:rPr>
        <w:t>Article 17(1) of the ICCPR provides that no one shall be subjected to arbitrary or unlawful interference with their privacy. Parts 1, 2 and 3 of the instrument engage the right to privacy by providing for the collection, use, storage and disclosure of personal information including criminal history information.</w:t>
      </w:r>
    </w:p>
    <w:p w14:paraId="0B44DA14" w14:textId="77777777" w:rsidR="00B17428" w:rsidRPr="00B17428" w:rsidRDefault="00B17428" w:rsidP="00B17428">
      <w:pPr>
        <w:shd w:val="clear" w:color="auto" w:fill="FFFFFF"/>
        <w:spacing w:before="100" w:beforeAutospacing="1" w:after="100" w:afterAutospacing="1"/>
        <w:rPr>
          <w:rFonts w:ascii="Times New Roman" w:hAnsi="Times New Roman" w:cs="Times New Roman"/>
          <w:sz w:val="24"/>
          <w:szCs w:val="24"/>
        </w:rPr>
      </w:pPr>
      <w:r w:rsidRPr="00B17428">
        <w:rPr>
          <w:rFonts w:ascii="Times New Roman" w:hAnsi="Times New Roman" w:cs="Times New Roman"/>
          <w:sz w:val="24"/>
          <w:szCs w:val="24"/>
        </w:rPr>
        <w:t xml:space="preserve">Part 3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Act deals with the collection, retention, use, disclosure and protection of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scheme personal information.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scheme personal information’ is defined in Section 4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Act as personal information obtained under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scheme, or that relates to the administration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scheme. Section 8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Act establishes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scheme, and subsection 8(1</w:t>
      </w:r>
      <w:proofErr w:type="gramStart"/>
      <w:r w:rsidRPr="00B17428">
        <w:rPr>
          <w:rFonts w:ascii="Times New Roman" w:hAnsi="Times New Roman" w:cs="Times New Roman"/>
          <w:sz w:val="24"/>
          <w:szCs w:val="24"/>
        </w:rPr>
        <w:t>)(</w:t>
      </w:r>
      <w:proofErr w:type="gramEnd"/>
      <w:r w:rsidRPr="00B17428">
        <w:rPr>
          <w:rFonts w:ascii="Times New Roman" w:hAnsi="Times New Roman" w:cs="Times New Roman"/>
          <w:sz w:val="24"/>
          <w:szCs w:val="24"/>
        </w:rPr>
        <w:t xml:space="preserve">d) notes that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scheme includes any background checks of individuals if the check is of an individual in connection with the accreditation of the individual in relation to a MNE. To the extent that the declaration of an MNE enlivens the relevant provisions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Act in relation to an MNE, the right to privacy will be engaged. </w:t>
      </w:r>
      <w:r w:rsidRPr="00B17428">
        <w:rPr>
          <w:rFonts w:ascii="Times New Roman" w:hAnsi="Times New Roman" w:cs="Times New Roman"/>
          <w:sz w:val="19"/>
          <w:szCs w:val="19"/>
        </w:rPr>
        <w:t xml:space="preserve"> </w:t>
      </w:r>
    </w:p>
    <w:p w14:paraId="6B6EF17A" w14:textId="77777777" w:rsidR="00B17428" w:rsidRPr="00B17428" w:rsidRDefault="00B17428" w:rsidP="00B17428">
      <w:pPr>
        <w:shd w:val="clear" w:color="auto" w:fill="FFFFFF"/>
        <w:spacing w:before="100" w:beforeAutospacing="1" w:after="100" w:afterAutospacing="1"/>
        <w:rPr>
          <w:rFonts w:ascii="Times New Roman" w:hAnsi="Times New Roman" w:cs="Times New Roman"/>
          <w:sz w:val="24"/>
          <w:szCs w:val="24"/>
        </w:rPr>
      </w:pPr>
      <w:r w:rsidRPr="00B17428">
        <w:rPr>
          <w:rFonts w:ascii="Times New Roman" w:hAnsi="Times New Roman" w:cs="Times New Roman"/>
          <w:sz w:val="24"/>
          <w:szCs w:val="24"/>
        </w:rPr>
        <w:t xml:space="preserve">The limitation on the right to privacy is legitimately authorised by section 13 of the </w:t>
      </w:r>
      <w:proofErr w:type="spellStart"/>
      <w:r w:rsidRPr="00B17428">
        <w:rPr>
          <w:rFonts w:ascii="Times New Roman" w:hAnsi="Times New Roman" w:cs="Times New Roman"/>
          <w:iCs/>
          <w:sz w:val="24"/>
          <w:szCs w:val="24"/>
        </w:rPr>
        <w:t>AusCheck</w:t>
      </w:r>
      <w:proofErr w:type="spellEnd"/>
      <w:r w:rsidRPr="00B17428">
        <w:rPr>
          <w:rFonts w:ascii="Times New Roman" w:hAnsi="Times New Roman" w:cs="Times New Roman"/>
          <w:iCs/>
          <w:sz w:val="24"/>
          <w:szCs w:val="24"/>
        </w:rPr>
        <w:t xml:space="preserve"> Act</w:t>
      </w:r>
      <w:r w:rsidRPr="00B17428">
        <w:rPr>
          <w:rFonts w:ascii="Times New Roman" w:hAnsi="Times New Roman" w:cs="Times New Roman"/>
          <w:sz w:val="24"/>
          <w:szCs w:val="24"/>
        </w:rPr>
        <w:t xml:space="preserve">. The purpose of the authorisation in relation to the MNE background checking scheme within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scheme is to:</w:t>
      </w:r>
    </w:p>
    <w:p w14:paraId="1A32C8B6" w14:textId="77777777" w:rsidR="00B17428" w:rsidRPr="00B17428" w:rsidRDefault="00B17428" w:rsidP="00B17428">
      <w:pPr>
        <w:pStyle w:val="ListParagraph"/>
        <w:numPr>
          <w:ilvl w:val="0"/>
          <w:numId w:val="7"/>
        </w:numPr>
        <w:shd w:val="clear" w:color="auto" w:fill="FFFFFF"/>
        <w:spacing w:after="120" w:line="240" w:lineRule="auto"/>
        <w:ind w:left="714" w:hanging="357"/>
        <w:rPr>
          <w:rFonts w:ascii="Times New Roman" w:eastAsia="Times New Roman" w:hAnsi="Times New Roman" w:cs="Times New Roman"/>
          <w:sz w:val="24"/>
          <w:szCs w:val="24"/>
          <w:lang w:eastAsia="en-AU"/>
        </w:rPr>
      </w:pPr>
      <w:r w:rsidRPr="00B17428">
        <w:rPr>
          <w:rFonts w:ascii="Times New Roman" w:eastAsia="Times New Roman" w:hAnsi="Times New Roman" w:cs="Times New Roman"/>
          <w:sz w:val="24"/>
          <w:szCs w:val="24"/>
          <w:lang w:eastAsia="en-AU"/>
        </w:rPr>
        <w:t>determine whether a background check is required or permitted</w:t>
      </w:r>
    </w:p>
    <w:p w14:paraId="294ABD78" w14:textId="77777777" w:rsidR="00B17428" w:rsidRPr="00B17428" w:rsidRDefault="00B17428" w:rsidP="00B17428">
      <w:pPr>
        <w:pStyle w:val="ListParagraph"/>
        <w:numPr>
          <w:ilvl w:val="0"/>
          <w:numId w:val="7"/>
        </w:numPr>
        <w:shd w:val="clear" w:color="auto" w:fill="FFFFFF"/>
        <w:spacing w:after="120" w:line="240" w:lineRule="auto"/>
        <w:ind w:left="714" w:hanging="357"/>
        <w:rPr>
          <w:rFonts w:ascii="Times New Roman" w:eastAsia="Times New Roman" w:hAnsi="Times New Roman" w:cs="Times New Roman"/>
          <w:sz w:val="24"/>
          <w:szCs w:val="24"/>
          <w:lang w:eastAsia="en-AU"/>
        </w:rPr>
      </w:pPr>
      <w:r w:rsidRPr="00B17428">
        <w:rPr>
          <w:rFonts w:ascii="Times New Roman" w:eastAsia="Times New Roman" w:hAnsi="Times New Roman" w:cs="Times New Roman"/>
          <w:sz w:val="24"/>
          <w:szCs w:val="24"/>
          <w:lang w:eastAsia="en-AU"/>
        </w:rPr>
        <w:t>conduct or advise on the outcome of a background check</w:t>
      </w:r>
    </w:p>
    <w:p w14:paraId="335365C8" w14:textId="77777777" w:rsidR="00B17428" w:rsidRPr="00B17428" w:rsidRDefault="00B17428" w:rsidP="00B17428">
      <w:pPr>
        <w:pStyle w:val="ListParagraph"/>
        <w:numPr>
          <w:ilvl w:val="0"/>
          <w:numId w:val="7"/>
        </w:numPr>
        <w:shd w:val="clear" w:color="auto" w:fill="FFFFFF"/>
        <w:spacing w:after="120" w:line="240" w:lineRule="auto"/>
        <w:ind w:left="714" w:hanging="357"/>
        <w:rPr>
          <w:rFonts w:ascii="Times New Roman" w:eastAsia="Times New Roman" w:hAnsi="Times New Roman" w:cs="Times New Roman"/>
          <w:sz w:val="24"/>
          <w:szCs w:val="24"/>
          <w:lang w:eastAsia="en-AU"/>
        </w:rPr>
      </w:pPr>
      <w:r w:rsidRPr="00B17428">
        <w:rPr>
          <w:rFonts w:ascii="Times New Roman" w:eastAsia="Times New Roman" w:hAnsi="Times New Roman" w:cs="Times New Roman"/>
          <w:sz w:val="24"/>
          <w:szCs w:val="24"/>
          <w:lang w:eastAsia="en-AU"/>
        </w:rPr>
        <w:t>update information on an individual who has undertaken a background check, and</w:t>
      </w:r>
    </w:p>
    <w:p w14:paraId="2174848C" w14:textId="77777777" w:rsidR="00B17428" w:rsidRPr="00B17428" w:rsidRDefault="00B17428" w:rsidP="00B17428">
      <w:pPr>
        <w:pStyle w:val="ListParagraph"/>
        <w:numPr>
          <w:ilvl w:val="0"/>
          <w:numId w:val="7"/>
        </w:numPr>
        <w:shd w:val="clear" w:color="auto" w:fill="FFFFFF"/>
        <w:spacing w:after="120" w:line="240" w:lineRule="auto"/>
        <w:ind w:left="714" w:hanging="357"/>
        <w:rPr>
          <w:rFonts w:ascii="Times New Roman" w:eastAsia="Times New Roman" w:hAnsi="Times New Roman" w:cs="Times New Roman"/>
          <w:sz w:val="24"/>
          <w:szCs w:val="24"/>
          <w:lang w:eastAsia="en-AU"/>
        </w:rPr>
      </w:pPr>
      <w:proofErr w:type="gramStart"/>
      <w:r w:rsidRPr="00B17428">
        <w:rPr>
          <w:rFonts w:ascii="Times New Roman" w:eastAsia="Times New Roman" w:hAnsi="Times New Roman" w:cs="Times New Roman"/>
          <w:sz w:val="24"/>
          <w:szCs w:val="24"/>
          <w:lang w:eastAsia="en-AU"/>
        </w:rPr>
        <w:t>verify</w:t>
      </w:r>
      <w:proofErr w:type="gramEnd"/>
      <w:r w:rsidRPr="00B17428">
        <w:rPr>
          <w:rFonts w:ascii="Times New Roman" w:eastAsia="Times New Roman" w:hAnsi="Times New Roman" w:cs="Times New Roman"/>
          <w:sz w:val="24"/>
          <w:szCs w:val="24"/>
          <w:lang w:eastAsia="en-AU"/>
        </w:rPr>
        <w:t xml:space="preserve"> the identity of an individual.</w:t>
      </w:r>
    </w:p>
    <w:p w14:paraId="0E0DAF00" w14:textId="77777777" w:rsidR="00B17428" w:rsidRPr="00B17428" w:rsidRDefault="00B17428" w:rsidP="00B17428">
      <w:pPr>
        <w:shd w:val="clear" w:color="auto" w:fill="FFFFFF"/>
        <w:spacing w:after="120"/>
        <w:rPr>
          <w:rFonts w:ascii="Times New Roman" w:eastAsia="Times New Roman" w:hAnsi="Times New Roman" w:cs="Times New Roman"/>
          <w:sz w:val="24"/>
          <w:szCs w:val="24"/>
          <w:lang w:eastAsia="en-AU"/>
        </w:rPr>
      </w:pPr>
      <w:r w:rsidRPr="00B17428">
        <w:rPr>
          <w:rFonts w:ascii="Times New Roman" w:hAnsi="Times New Roman" w:cs="Times New Roman"/>
          <w:sz w:val="24"/>
          <w:szCs w:val="24"/>
        </w:rPr>
        <w:lastRenderedPageBreak/>
        <w:t xml:space="preserve">Personal information collected for a MNE background check may be used or disclosed under section 14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w:t>
      </w:r>
      <w:proofErr w:type="gramStart"/>
      <w:r w:rsidRPr="00B17428">
        <w:rPr>
          <w:rFonts w:ascii="Times New Roman" w:hAnsi="Times New Roman" w:cs="Times New Roman"/>
          <w:sz w:val="24"/>
          <w:szCs w:val="24"/>
        </w:rPr>
        <w:t>Act  for</w:t>
      </w:r>
      <w:proofErr w:type="gramEnd"/>
      <w:r w:rsidRPr="00B17428">
        <w:rPr>
          <w:rFonts w:ascii="Times New Roman" w:hAnsi="Times New Roman" w:cs="Times New Roman"/>
          <w:sz w:val="24"/>
          <w:szCs w:val="24"/>
        </w:rPr>
        <w:t xml:space="preserve"> the following purposes:</w:t>
      </w:r>
    </w:p>
    <w:p w14:paraId="3DFF590F" w14:textId="77777777" w:rsidR="00B17428" w:rsidRPr="00B17428" w:rsidRDefault="00B17428" w:rsidP="00B17428">
      <w:pPr>
        <w:numPr>
          <w:ilvl w:val="0"/>
          <w:numId w:val="8"/>
        </w:numPr>
        <w:shd w:val="clear" w:color="auto" w:fill="FFFFFF"/>
        <w:spacing w:after="120" w:line="240" w:lineRule="auto"/>
        <w:rPr>
          <w:rFonts w:ascii="Times New Roman" w:hAnsi="Times New Roman" w:cs="Times New Roman"/>
          <w:sz w:val="24"/>
          <w:szCs w:val="24"/>
        </w:rPr>
      </w:pPr>
      <w:r w:rsidRPr="00B17428">
        <w:rPr>
          <w:rFonts w:ascii="Times New Roman" w:hAnsi="Times New Roman" w:cs="Times New Roman"/>
          <w:sz w:val="24"/>
          <w:szCs w:val="24"/>
        </w:rPr>
        <w:t xml:space="preserve">carrying out a subsequent background check in relation to the individual under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scheme</w:t>
      </w:r>
    </w:p>
    <w:p w14:paraId="080867EC" w14:textId="77777777" w:rsidR="00B17428" w:rsidRPr="00B17428" w:rsidRDefault="00B17428" w:rsidP="00B17428">
      <w:pPr>
        <w:numPr>
          <w:ilvl w:val="0"/>
          <w:numId w:val="8"/>
        </w:numPr>
        <w:shd w:val="clear" w:color="auto" w:fill="FFFFFF"/>
        <w:spacing w:after="120" w:line="240" w:lineRule="auto"/>
        <w:rPr>
          <w:rFonts w:ascii="Times New Roman" w:hAnsi="Times New Roman" w:cs="Times New Roman"/>
          <w:sz w:val="24"/>
          <w:szCs w:val="24"/>
        </w:rPr>
      </w:pPr>
      <w:r w:rsidRPr="00B17428">
        <w:rPr>
          <w:rFonts w:ascii="Times New Roman" w:hAnsi="Times New Roman" w:cs="Times New Roman"/>
          <w:sz w:val="24"/>
          <w:szCs w:val="24"/>
        </w:rPr>
        <w:t>responding to an incident that poses a threat to national security</w:t>
      </w:r>
    </w:p>
    <w:p w14:paraId="4587898C" w14:textId="77777777" w:rsidR="00B17428" w:rsidRPr="00B17428" w:rsidRDefault="00B17428" w:rsidP="00B17428">
      <w:pPr>
        <w:numPr>
          <w:ilvl w:val="0"/>
          <w:numId w:val="8"/>
        </w:numPr>
        <w:shd w:val="clear" w:color="auto" w:fill="FFFFFF"/>
        <w:spacing w:after="120" w:line="240" w:lineRule="auto"/>
        <w:rPr>
          <w:rFonts w:ascii="Times New Roman" w:hAnsi="Times New Roman" w:cs="Times New Roman"/>
          <w:sz w:val="24"/>
          <w:szCs w:val="24"/>
        </w:rPr>
      </w:pPr>
      <w:proofErr w:type="gramStart"/>
      <w:r w:rsidRPr="00B17428">
        <w:rPr>
          <w:rFonts w:ascii="Times New Roman" w:hAnsi="Times New Roman" w:cs="Times New Roman"/>
          <w:sz w:val="24"/>
          <w:szCs w:val="24"/>
        </w:rPr>
        <w:t>performance</w:t>
      </w:r>
      <w:proofErr w:type="gramEnd"/>
      <w:r w:rsidRPr="00B17428">
        <w:rPr>
          <w:rFonts w:ascii="Times New Roman" w:hAnsi="Times New Roman" w:cs="Times New Roman"/>
          <w:sz w:val="24"/>
          <w:szCs w:val="24"/>
        </w:rPr>
        <w:t xml:space="preserve"> of functions relating to law enforcement or national security.</w:t>
      </w:r>
    </w:p>
    <w:p w14:paraId="7BB49E44" w14:textId="77777777" w:rsidR="00B17428" w:rsidRPr="00B17428" w:rsidRDefault="00B17428" w:rsidP="00B17428">
      <w:pPr>
        <w:shd w:val="clear" w:color="auto" w:fill="FFFFFF"/>
        <w:spacing w:after="120"/>
        <w:rPr>
          <w:rFonts w:ascii="Times New Roman" w:hAnsi="Times New Roman" w:cs="Times New Roman"/>
          <w:sz w:val="24"/>
          <w:szCs w:val="24"/>
        </w:rPr>
      </w:pPr>
      <w:r w:rsidRPr="00B17428">
        <w:rPr>
          <w:rFonts w:ascii="Times New Roman" w:hAnsi="Times New Roman" w:cs="Times New Roman"/>
          <w:sz w:val="24"/>
          <w:szCs w:val="24"/>
        </w:rPr>
        <w:t xml:space="preserve">The instrument also engages the right to privacy through the prescription of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as excluded from restrictions under Division 3 of Part VIIC of the </w:t>
      </w:r>
      <w:r w:rsidRPr="00B17428">
        <w:rPr>
          <w:rFonts w:ascii="Times New Roman" w:hAnsi="Times New Roman" w:cs="Times New Roman"/>
          <w:i/>
          <w:sz w:val="24"/>
          <w:szCs w:val="24"/>
        </w:rPr>
        <w:t>Crimes Act 1914</w:t>
      </w:r>
      <w:r w:rsidRPr="00B17428">
        <w:rPr>
          <w:rFonts w:ascii="Times New Roman" w:hAnsi="Times New Roman" w:cs="Times New Roman"/>
          <w:sz w:val="24"/>
          <w:szCs w:val="24"/>
        </w:rPr>
        <w:t xml:space="preserve">, which provides a person a right of non-disclosure for offences that have been spent and limits the use and disclosure of information about those offences in certain circumstances. </w:t>
      </w:r>
    </w:p>
    <w:p w14:paraId="5B2891CF" w14:textId="77777777" w:rsidR="00B17428" w:rsidRPr="00B17428" w:rsidRDefault="00B17428" w:rsidP="00B17428">
      <w:pPr>
        <w:autoSpaceDE w:val="0"/>
        <w:autoSpaceDN w:val="0"/>
        <w:adjustRightInd w:val="0"/>
        <w:rPr>
          <w:rFonts w:ascii="Times New Roman" w:hAnsi="Times New Roman" w:cs="Times New Roman"/>
          <w:sz w:val="24"/>
          <w:szCs w:val="24"/>
        </w:rPr>
      </w:pPr>
      <w:r w:rsidRPr="00B17428">
        <w:rPr>
          <w:rFonts w:ascii="Times New Roman" w:hAnsi="Times New Roman" w:cs="Times New Roman"/>
          <w:sz w:val="24"/>
          <w:szCs w:val="24"/>
        </w:rPr>
        <w:t xml:space="preserve">The </w:t>
      </w:r>
      <w:r w:rsidRPr="00B17428">
        <w:rPr>
          <w:rFonts w:ascii="Times New Roman" w:hAnsi="Times New Roman" w:cs="Times New Roman"/>
          <w:i/>
          <w:sz w:val="24"/>
          <w:szCs w:val="24"/>
        </w:rPr>
        <w:t xml:space="preserve">Crimes Regulations 2019 </w:t>
      </w:r>
      <w:r w:rsidRPr="00B17428">
        <w:rPr>
          <w:rFonts w:ascii="Times New Roman" w:hAnsi="Times New Roman" w:cs="Times New Roman"/>
          <w:sz w:val="24"/>
          <w:szCs w:val="24"/>
        </w:rPr>
        <w:t xml:space="preserve">prescribes an exclusion at Schedule 2 of Division 3 of Part VIIC in relation to MNE level 1 disqualifying offences for the purpose of an MNE background check. This limitation to the right of privacy is necessary to ensure that a conviction for an MNE level 1 disqualifying offence can be taken into account when assessing an individual’s criminal history, even where it would otherwise be considered spent. These offences are directly related to national security and considered to be so serious in nature that disclosure is in the national interest. This enhances and protects the integrity of background checks conducted for MNE purposes under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scheme. Without such an exclusion,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would not have capacity to direct that an MNE accreditation not be issued or be revoked in circumstances where a person has been convicted of such an offence and it would have otherwise have been spent.</w:t>
      </w:r>
      <w:r w:rsidRPr="00B17428">
        <w:rPr>
          <w:rFonts w:ascii="Times New Roman" w:hAnsi="Times New Roman" w:cs="Times New Roman"/>
          <w:color w:val="1F497D"/>
        </w:rPr>
        <w:t xml:space="preserve"> </w:t>
      </w:r>
    </w:p>
    <w:p w14:paraId="3E6E9CD3" w14:textId="77777777" w:rsidR="00B17428" w:rsidRPr="00B17428" w:rsidRDefault="00B17428" w:rsidP="00B17428">
      <w:pPr>
        <w:shd w:val="clear" w:color="auto" w:fill="FFFFFF"/>
        <w:spacing w:before="100" w:beforeAutospacing="1" w:after="100" w:afterAutospacing="1"/>
        <w:rPr>
          <w:rFonts w:ascii="Times New Roman" w:hAnsi="Times New Roman" w:cs="Times New Roman"/>
          <w:sz w:val="19"/>
          <w:szCs w:val="19"/>
          <w:lang w:val="en-US"/>
        </w:rPr>
      </w:pPr>
      <w:r w:rsidRPr="00B17428">
        <w:rPr>
          <w:rFonts w:ascii="Times New Roman" w:hAnsi="Times New Roman" w:cs="Times New Roman"/>
          <w:sz w:val="24"/>
          <w:szCs w:val="24"/>
        </w:rPr>
        <w:t>The purpose of collecting, using, storing and disclosing information is reasonable and necessary to pursue the objective of national security and public order. This is achieved by using an individual’s personal information, such as their criminal record, to identify and disclose whether they would constitute a threat to secure areas, systems, processes or people. The collection and storage of personal information also assists law enforcement agencies respond to security incidents by providing an up</w:t>
      </w:r>
      <w:r w:rsidRPr="00B17428">
        <w:rPr>
          <w:rFonts w:ascii="Times New Roman" w:hAnsi="Times New Roman" w:cs="Times New Roman"/>
          <w:sz w:val="24"/>
          <w:szCs w:val="24"/>
        </w:rPr>
        <w:noBreakHyphen/>
        <w:t>to</w:t>
      </w:r>
      <w:r w:rsidRPr="00B17428">
        <w:rPr>
          <w:rFonts w:ascii="Times New Roman" w:hAnsi="Times New Roman" w:cs="Times New Roman"/>
          <w:sz w:val="24"/>
          <w:szCs w:val="24"/>
        </w:rPr>
        <w:noBreakHyphen/>
        <w:t>date database of individuals who hold an MNE accreditation check as a result of an MNE background check.</w:t>
      </w:r>
    </w:p>
    <w:p w14:paraId="34831056" w14:textId="77777777" w:rsidR="00B17428" w:rsidRPr="00B17428" w:rsidRDefault="00B17428" w:rsidP="00B17428">
      <w:pPr>
        <w:shd w:val="clear" w:color="auto" w:fill="FFFFFF"/>
        <w:spacing w:before="100" w:beforeAutospacing="1" w:after="100" w:afterAutospacing="1"/>
        <w:rPr>
          <w:rFonts w:ascii="Times New Roman" w:hAnsi="Times New Roman" w:cs="Times New Roman"/>
          <w:sz w:val="19"/>
          <w:szCs w:val="19"/>
          <w:lang w:val="en-US"/>
        </w:rPr>
      </w:pPr>
      <w:r w:rsidRPr="00B17428">
        <w:rPr>
          <w:rFonts w:ascii="Times New Roman" w:hAnsi="Times New Roman" w:cs="Times New Roman"/>
          <w:sz w:val="24"/>
          <w:szCs w:val="24"/>
        </w:rPr>
        <w:t xml:space="preserve">Appropriate safeguards exist to ensure that use of an individual’s personal information is reasonable and proportionate. Personal information is provided voluntarily by an individual with their consent, or the consent of their parent or guardian if the individual is less than 16 years of age, to be used for a background check. An individual will be provided with a privacy notice by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detailing how their information will be utilised to ensure informed consent.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will update the privacy notice to capture the amendments in this instrument. Section 29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Regulations allows the Secretary of the Department to issue guidelines about the use and disclosure of information in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database. The guidelines are currently publically available on the Department’s website. All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staff members are required to comply with the guidelines. Section 15 of the </w:t>
      </w:r>
      <w:proofErr w:type="spellStart"/>
      <w:r w:rsidRPr="00B17428">
        <w:rPr>
          <w:rFonts w:ascii="Times New Roman" w:hAnsi="Times New Roman" w:cs="Times New Roman"/>
          <w:iCs/>
          <w:sz w:val="24"/>
          <w:szCs w:val="24"/>
        </w:rPr>
        <w:t>AusCheck</w:t>
      </w:r>
      <w:proofErr w:type="spellEnd"/>
      <w:r w:rsidRPr="00B17428">
        <w:rPr>
          <w:rFonts w:ascii="Times New Roman" w:hAnsi="Times New Roman" w:cs="Times New Roman"/>
          <w:iCs/>
          <w:sz w:val="24"/>
          <w:szCs w:val="24"/>
        </w:rPr>
        <w:t xml:space="preserve"> Act </w:t>
      </w:r>
      <w:r w:rsidRPr="00B17428">
        <w:rPr>
          <w:rFonts w:ascii="Times New Roman" w:hAnsi="Times New Roman" w:cs="Times New Roman"/>
          <w:sz w:val="24"/>
          <w:szCs w:val="24"/>
        </w:rPr>
        <w:t xml:space="preserve">also provides an offence provision for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staff members who unlawfully disclose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scheme personal information.</w:t>
      </w:r>
    </w:p>
    <w:p w14:paraId="23168A3C" w14:textId="77777777" w:rsidR="00B17428" w:rsidRPr="001324A3" w:rsidRDefault="00B17428" w:rsidP="001324A3">
      <w:pPr>
        <w:shd w:val="clear" w:color="auto" w:fill="FFFFFF"/>
        <w:spacing w:after="240"/>
        <w:rPr>
          <w:rFonts w:ascii="Times New Roman" w:hAnsi="Times New Roman" w:cs="Times New Roman"/>
          <w:b/>
          <w:i/>
        </w:rPr>
      </w:pPr>
      <w:r w:rsidRPr="001324A3">
        <w:rPr>
          <w:rFonts w:ascii="Times New Roman" w:hAnsi="Times New Roman" w:cs="Times New Roman"/>
          <w:b/>
          <w:i/>
        </w:rPr>
        <w:t>Right to work</w:t>
      </w:r>
    </w:p>
    <w:p w14:paraId="32C1F537" w14:textId="77777777" w:rsidR="00B17428" w:rsidRPr="00B17428" w:rsidRDefault="00B17428" w:rsidP="00B17428">
      <w:pPr>
        <w:shd w:val="clear" w:color="auto" w:fill="FFFFFF"/>
        <w:spacing w:before="100" w:beforeAutospacing="1" w:after="100" w:afterAutospacing="1"/>
        <w:rPr>
          <w:rFonts w:ascii="Times New Roman" w:hAnsi="Times New Roman" w:cs="Times New Roman"/>
          <w:sz w:val="24"/>
          <w:szCs w:val="24"/>
        </w:rPr>
      </w:pPr>
      <w:r w:rsidRPr="00B17428">
        <w:rPr>
          <w:rFonts w:ascii="Times New Roman" w:hAnsi="Times New Roman" w:cs="Times New Roman"/>
          <w:sz w:val="24"/>
          <w:szCs w:val="24"/>
        </w:rPr>
        <w:t xml:space="preserve">Article 6(1) of the ICESCR provides for the right to work, including the right of everyone to the opportunity to gain a living by work which the persons freely chooses or accepts. To the extent that </w:t>
      </w:r>
      <w:r w:rsidRPr="00B17428">
        <w:rPr>
          <w:rFonts w:ascii="Times New Roman" w:hAnsi="Times New Roman" w:cs="Times New Roman"/>
          <w:sz w:val="24"/>
          <w:szCs w:val="24"/>
        </w:rPr>
        <w:lastRenderedPageBreak/>
        <w:t xml:space="preserve">the declaration of an MNE enlivens the relevant provisions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Act in relation to an MNE, the right to work may be engaged. </w:t>
      </w:r>
      <w:r w:rsidRPr="00B17428">
        <w:rPr>
          <w:rFonts w:ascii="Times New Roman" w:hAnsi="Times New Roman" w:cs="Times New Roman"/>
          <w:sz w:val="19"/>
          <w:szCs w:val="19"/>
        </w:rPr>
        <w:t xml:space="preserve"> </w:t>
      </w:r>
      <w:r w:rsidRPr="00B17428">
        <w:rPr>
          <w:rFonts w:ascii="Times New Roman" w:hAnsi="Times New Roman" w:cs="Times New Roman"/>
          <w:sz w:val="24"/>
          <w:szCs w:val="24"/>
        </w:rPr>
        <w:t xml:space="preserve">The assessment by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of an individual’s criminal history or a national security assessment may lead to an obligation on an organising body not to issue an MNE accreditation, or to cancel an MNE accreditation, if the person has been convicted of an MNE level 1 disqualifying offence. Holding an MNE accreditation may be an essential requirement for people who work or volunteer at MNE, for example, people who work in secure areas of an MNE. Therefore </w:t>
      </w:r>
      <w:proofErr w:type="spellStart"/>
      <w:r w:rsidRPr="00B17428">
        <w:rPr>
          <w:rFonts w:ascii="Times New Roman" w:hAnsi="Times New Roman" w:cs="Times New Roman"/>
          <w:sz w:val="24"/>
          <w:szCs w:val="24"/>
        </w:rPr>
        <w:t>AusCheck’s</w:t>
      </w:r>
      <w:proofErr w:type="spellEnd"/>
      <w:r w:rsidRPr="00B17428">
        <w:rPr>
          <w:rFonts w:ascii="Times New Roman" w:hAnsi="Times New Roman" w:cs="Times New Roman"/>
          <w:sz w:val="24"/>
          <w:szCs w:val="24"/>
        </w:rPr>
        <w:t xml:space="preserve"> assessment could limit the right to work of some individuals, particularly if an individual has been convicted of an MNE level 1 disqualifying offence or has an adverse or qualified security assessment. </w:t>
      </w:r>
    </w:p>
    <w:p w14:paraId="55E91B84" w14:textId="77777777" w:rsidR="00B17428" w:rsidRPr="00B17428" w:rsidRDefault="00B17428" w:rsidP="00B17428">
      <w:pPr>
        <w:shd w:val="clear" w:color="auto" w:fill="FFFFFF"/>
        <w:spacing w:before="100" w:beforeAutospacing="1" w:after="100" w:afterAutospacing="1"/>
        <w:rPr>
          <w:rFonts w:ascii="Times New Roman" w:hAnsi="Times New Roman" w:cs="Times New Roman"/>
          <w:sz w:val="24"/>
          <w:szCs w:val="24"/>
        </w:rPr>
      </w:pPr>
      <w:r w:rsidRPr="00B17428">
        <w:rPr>
          <w:rFonts w:ascii="Times New Roman" w:hAnsi="Times New Roman" w:cs="Times New Roman"/>
          <w:sz w:val="24"/>
          <w:szCs w:val="24"/>
        </w:rPr>
        <w:t xml:space="preserve">In these circumstances, section 21M of the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Regulations provides that if the Secretary advises the organising body that a person has been convicted of an MNE level 1 disqualifying offence, or has an adverse or qualified security assessment, then the organising body must not issue an MNE accreditation for that person. It further provides that if the person has already been accredited, the MNE accreditation must be cancelled. It is an offence for the organising body to issue an MNE accreditation or to fail to cancel an MNE accreditation after receiving the Secretary’s advice. For persons convicted and sentenced for MNE level 2 and 3 offences, the organising body has a discretion as to whether to issue or cancel an MNE accreditation. The organising body may, with the express consent of the person, request that </w:t>
      </w:r>
      <w:proofErr w:type="spellStart"/>
      <w:r w:rsidRPr="00B17428">
        <w:rPr>
          <w:rFonts w:ascii="Times New Roman" w:hAnsi="Times New Roman" w:cs="Times New Roman"/>
          <w:sz w:val="24"/>
          <w:szCs w:val="24"/>
        </w:rPr>
        <w:t>AusCheck</w:t>
      </w:r>
      <w:proofErr w:type="spellEnd"/>
      <w:r w:rsidRPr="00B17428">
        <w:rPr>
          <w:rFonts w:ascii="Times New Roman" w:hAnsi="Times New Roman" w:cs="Times New Roman"/>
          <w:sz w:val="24"/>
          <w:szCs w:val="24"/>
        </w:rPr>
        <w:t xml:space="preserve"> provide details of the relevant MNE level 2 or 3 offence to help the organising body exercise this discretion. </w:t>
      </w:r>
    </w:p>
    <w:p w14:paraId="6AD17D4E" w14:textId="77777777" w:rsidR="00B17428" w:rsidRPr="00B17428" w:rsidRDefault="00B17428" w:rsidP="00B17428">
      <w:pPr>
        <w:shd w:val="clear" w:color="auto" w:fill="FFFFFF"/>
        <w:spacing w:before="100" w:beforeAutospacing="1" w:after="100" w:afterAutospacing="1"/>
        <w:rPr>
          <w:rFonts w:ascii="Times New Roman" w:hAnsi="Times New Roman" w:cs="Times New Roman"/>
          <w:sz w:val="19"/>
          <w:szCs w:val="19"/>
          <w:lang w:val="en-US"/>
        </w:rPr>
      </w:pPr>
      <w:r w:rsidRPr="00B17428">
        <w:rPr>
          <w:rFonts w:ascii="Times New Roman" w:hAnsi="Times New Roman" w:cs="Times New Roman"/>
          <w:sz w:val="24"/>
          <w:szCs w:val="24"/>
        </w:rPr>
        <w:t xml:space="preserve">To the extent that these provisions may limit the right to work, the limitation is proportionate, as the failure to be issued an MNE accreditation (or the cancellation of an MNE accreditation) only affects the person’s ability to work or volunteer at a declared MNE and does not impact any other employment. MNE offences are serious offences that present a threat to national security and public order. Given the risks associated with large scale events, it is reasonable to conduct background checks on individuals who may work or volunteer at an MNE. The limitations are also the least rights restrictive option. An organising body will only be required to not issue an MNE accreditation if the Secretary advises the organising body that a person has been convicted of an MNE level 1 disqualifying offence, or has an adverse or qualified security assessment. This reflects the serious nature of those offences and of national security risks. MNE level 2 and 3 offences will not be automatically disqualifying. The amendments in this instrument are aimed at ensuring that persons who work or volunteer at an MNE do not pose a risk to national security or public order. </w:t>
      </w:r>
    </w:p>
    <w:p w14:paraId="01C0F7D3" w14:textId="77777777" w:rsidR="00B17428" w:rsidRPr="00B17428" w:rsidRDefault="00B17428" w:rsidP="00B17428">
      <w:pPr>
        <w:shd w:val="clear" w:color="auto" w:fill="FFFFFF"/>
        <w:spacing w:before="100" w:beforeAutospacing="1" w:after="100" w:afterAutospacing="1"/>
        <w:rPr>
          <w:rFonts w:ascii="Times New Roman" w:hAnsi="Times New Roman" w:cs="Times New Roman"/>
          <w:sz w:val="24"/>
          <w:szCs w:val="24"/>
        </w:rPr>
      </w:pPr>
      <w:r w:rsidRPr="00B17428">
        <w:rPr>
          <w:rFonts w:ascii="Times New Roman" w:hAnsi="Times New Roman" w:cs="Times New Roman"/>
          <w:sz w:val="24"/>
          <w:szCs w:val="24"/>
        </w:rPr>
        <w:t xml:space="preserve">Article 4 of the ICESCR provides that countries may limit economic, social and cultural rights if those limits are determined by law only in so far as this may be compatible with the nature of these rights and solely for the purpose of promoting the general welfare in a democratic society. The outcome of advice from the Secretary that a person has an unfavourable criminal history or a security assessment and should not be issued an MNE accreditation is an appealable decision. The outcome of an unfavourable criminal history or adverse or qualified security assessment is based on the threat of the individual to national security and public order and therefore the limitation is considered to be reasonable and necessary to promote national security and public order. </w:t>
      </w:r>
    </w:p>
    <w:p w14:paraId="62F00F13" w14:textId="77777777" w:rsidR="00B17428" w:rsidRPr="00B17428" w:rsidRDefault="00B17428" w:rsidP="00B17428">
      <w:pPr>
        <w:shd w:val="clear" w:color="auto" w:fill="FFFFFF"/>
        <w:spacing w:before="100" w:beforeAutospacing="1" w:after="100" w:afterAutospacing="1"/>
        <w:rPr>
          <w:rFonts w:ascii="Times New Roman" w:hAnsi="Times New Roman" w:cs="Times New Roman"/>
          <w:b/>
          <w:sz w:val="24"/>
          <w:szCs w:val="24"/>
        </w:rPr>
      </w:pPr>
      <w:r w:rsidRPr="00B17428">
        <w:rPr>
          <w:rFonts w:ascii="Times New Roman" w:hAnsi="Times New Roman" w:cs="Times New Roman"/>
          <w:b/>
          <w:sz w:val="24"/>
          <w:szCs w:val="24"/>
        </w:rPr>
        <w:t>Conclusion</w:t>
      </w:r>
    </w:p>
    <w:p w14:paraId="02817151" w14:textId="1A052DC5" w:rsidR="00B17428" w:rsidRPr="00B17428" w:rsidRDefault="00B17428" w:rsidP="00B17428">
      <w:pPr>
        <w:pStyle w:val="ESSubparaList"/>
        <w:numPr>
          <w:ilvl w:val="0"/>
          <w:numId w:val="0"/>
        </w:numPr>
      </w:pPr>
      <w:r w:rsidRPr="00B17428">
        <w:rPr>
          <w:sz w:val="24"/>
          <w:szCs w:val="24"/>
        </w:rPr>
        <w:t>The Disallowable Legislation Instrument is compatible with human rights because to the extent that it may limit human rights, those limitations are reasonable, necessary and proportionate.</w:t>
      </w:r>
    </w:p>
    <w:sectPr w:rsidR="00B17428" w:rsidRPr="00B17428"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3044"/>
    <w:multiLevelType w:val="hybridMultilevel"/>
    <w:tmpl w:val="070E1FB8"/>
    <w:lvl w:ilvl="0" w:tplc="EEB6804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9618C4"/>
    <w:multiLevelType w:val="hybridMultilevel"/>
    <w:tmpl w:val="85B60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E36E4E"/>
    <w:multiLevelType w:val="hybridMultilevel"/>
    <w:tmpl w:val="E3CCB5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C1B1CA5"/>
    <w:multiLevelType w:val="hybridMultilevel"/>
    <w:tmpl w:val="447EEFCA"/>
    <w:lvl w:ilvl="0" w:tplc="C43CBD3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00"/>
    <w:rsid w:val="00015729"/>
    <w:rsid w:val="000C4E74"/>
    <w:rsid w:val="000D014F"/>
    <w:rsid w:val="00100DFC"/>
    <w:rsid w:val="001324A3"/>
    <w:rsid w:val="0019164E"/>
    <w:rsid w:val="002402E0"/>
    <w:rsid w:val="002439F8"/>
    <w:rsid w:val="00281983"/>
    <w:rsid w:val="002D167E"/>
    <w:rsid w:val="002E6148"/>
    <w:rsid w:val="003153D9"/>
    <w:rsid w:val="003E4500"/>
    <w:rsid w:val="00457D4A"/>
    <w:rsid w:val="00464080"/>
    <w:rsid w:val="004F5CE4"/>
    <w:rsid w:val="005320EF"/>
    <w:rsid w:val="00560B24"/>
    <w:rsid w:val="0057002B"/>
    <w:rsid w:val="00597303"/>
    <w:rsid w:val="005C5CB0"/>
    <w:rsid w:val="005D51FA"/>
    <w:rsid w:val="00604E06"/>
    <w:rsid w:val="006F4D5B"/>
    <w:rsid w:val="00795E86"/>
    <w:rsid w:val="007E4691"/>
    <w:rsid w:val="0088407D"/>
    <w:rsid w:val="008B24C8"/>
    <w:rsid w:val="00915032"/>
    <w:rsid w:val="00AA4557"/>
    <w:rsid w:val="00B15DB0"/>
    <w:rsid w:val="00B17428"/>
    <w:rsid w:val="00B445D9"/>
    <w:rsid w:val="00B56781"/>
    <w:rsid w:val="00B65A06"/>
    <w:rsid w:val="00B75478"/>
    <w:rsid w:val="00BB0CF2"/>
    <w:rsid w:val="00BD598E"/>
    <w:rsid w:val="00C53683"/>
    <w:rsid w:val="00C81A5E"/>
    <w:rsid w:val="00C930F2"/>
    <w:rsid w:val="00CB19CC"/>
    <w:rsid w:val="00D13886"/>
    <w:rsid w:val="00D31CA2"/>
    <w:rsid w:val="00D40E1E"/>
    <w:rsid w:val="00D87104"/>
    <w:rsid w:val="00E03DCC"/>
    <w:rsid w:val="00E07143"/>
    <w:rsid w:val="00E45FE2"/>
    <w:rsid w:val="00E76610"/>
    <w:rsid w:val="00E947D2"/>
    <w:rsid w:val="00EA12C9"/>
    <w:rsid w:val="00F06572"/>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BC6"/>
  <w15:chartTrackingRefBased/>
  <w15:docId w15:val="{B4916FDC-5DD0-4F9E-A9DF-269CCAE5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B17428"/>
    <w:pPr>
      <w:keepNext/>
      <w:spacing w:after="0" w:line="240" w:lineRule="auto"/>
      <w:ind w:left="1440" w:hanging="1440"/>
      <w:jc w:val="center"/>
      <w:outlineLvl w:val="1"/>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styleId="BalloonText">
    <w:name w:val="Balloon Text"/>
    <w:basedOn w:val="Normal"/>
    <w:link w:val="BalloonTextChar"/>
    <w:uiPriority w:val="99"/>
    <w:semiHidden/>
    <w:unhideWhenUsed/>
    <w:rsid w:val="003E4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500"/>
    <w:rPr>
      <w:rFonts w:ascii="Segoe UI" w:hAnsi="Segoe UI" w:cs="Segoe UI"/>
      <w:sz w:val="18"/>
      <w:szCs w:val="18"/>
    </w:rPr>
  </w:style>
  <w:style w:type="paragraph" w:customStyle="1" w:styleId="CharChar">
    <w:name w:val="Char Char"/>
    <w:basedOn w:val="Normal"/>
    <w:rsid w:val="003E4500"/>
    <w:pPr>
      <w:spacing w:before="120" w:after="120" w:line="240" w:lineRule="auto"/>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5D51FA"/>
    <w:rPr>
      <w:sz w:val="16"/>
      <w:szCs w:val="16"/>
    </w:rPr>
  </w:style>
  <w:style w:type="paragraph" w:styleId="CommentText">
    <w:name w:val="annotation text"/>
    <w:basedOn w:val="Normal"/>
    <w:link w:val="CommentTextChar"/>
    <w:uiPriority w:val="99"/>
    <w:semiHidden/>
    <w:unhideWhenUsed/>
    <w:rsid w:val="005D51FA"/>
    <w:pPr>
      <w:spacing w:line="240" w:lineRule="auto"/>
    </w:pPr>
    <w:rPr>
      <w:sz w:val="20"/>
      <w:szCs w:val="20"/>
    </w:rPr>
  </w:style>
  <w:style w:type="character" w:customStyle="1" w:styleId="CommentTextChar">
    <w:name w:val="Comment Text Char"/>
    <w:basedOn w:val="DefaultParagraphFont"/>
    <w:link w:val="CommentText"/>
    <w:uiPriority w:val="99"/>
    <w:semiHidden/>
    <w:rsid w:val="005D51FA"/>
    <w:rPr>
      <w:sz w:val="20"/>
      <w:szCs w:val="20"/>
    </w:rPr>
  </w:style>
  <w:style w:type="paragraph" w:styleId="CommentSubject">
    <w:name w:val="annotation subject"/>
    <w:basedOn w:val="CommentText"/>
    <w:next w:val="CommentText"/>
    <w:link w:val="CommentSubjectChar"/>
    <w:uiPriority w:val="99"/>
    <w:semiHidden/>
    <w:unhideWhenUsed/>
    <w:rsid w:val="005D51FA"/>
    <w:rPr>
      <w:b/>
      <w:bCs/>
    </w:rPr>
  </w:style>
  <w:style w:type="character" w:customStyle="1" w:styleId="CommentSubjectChar">
    <w:name w:val="Comment Subject Char"/>
    <w:basedOn w:val="CommentTextChar"/>
    <w:link w:val="CommentSubject"/>
    <w:uiPriority w:val="99"/>
    <w:semiHidden/>
    <w:rsid w:val="005D51FA"/>
    <w:rPr>
      <w:b/>
      <w:bCs/>
      <w:sz w:val="20"/>
      <w:szCs w:val="20"/>
    </w:rPr>
  </w:style>
  <w:style w:type="character" w:customStyle="1" w:styleId="Heading2Char">
    <w:name w:val="Heading 2 Char"/>
    <w:basedOn w:val="DefaultParagraphFont"/>
    <w:link w:val="Heading2"/>
    <w:semiHidden/>
    <w:rsid w:val="00B17428"/>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94636">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56F6C9E34F2AC4A9FA708B00A3F9468" ma:contentTypeVersion="" ma:contentTypeDescription="PDMS Document Site Content Type" ma:contentTypeScope="" ma:versionID="5f309518c8f31bc9c66a7cfb2a8bf007">
  <xsd:schema xmlns:xsd="http://www.w3.org/2001/XMLSchema" xmlns:xs="http://www.w3.org/2001/XMLSchema" xmlns:p="http://schemas.microsoft.com/office/2006/metadata/properties" xmlns:ns2="0DF83724-3B51-4F63-84D9-52BDE90E1F9B" targetNamespace="http://schemas.microsoft.com/office/2006/metadata/properties" ma:root="true" ma:fieldsID="f694d142904899d6f137527e930ddf89" ns2:_="">
    <xsd:import namespace="0DF83724-3B51-4F63-84D9-52BDE90E1F9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3724-3B51-4F63-84D9-52BDE90E1F9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DF83724-3B51-4F63-84D9-52BDE90E1F9B" xsi:nil="true"/>
  </documentManagement>
</p:properties>
</file>

<file path=customXml/itemProps1.xml><?xml version="1.0" encoding="utf-8"?>
<ds:datastoreItem xmlns:ds="http://schemas.openxmlformats.org/officeDocument/2006/customXml" ds:itemID="{3C8DAB74-AD0E-48F7-913C-E90F143891F6}">
  <ds:schemaRefs>
    <ds:schemaRef ds:uri="http://schemas.microsoft.com/sharepoint/v3/contenttype/forms"/>
  </ds:schemaRefs>
</ds:datastoreItem>
</file>

<file path=customXml/itemProps2.xml><?xml version="1.0" encoding="utf-8"?>
<ds:datastoreItem xmlns:ds="http://schemas.openxmlformats.org/officeDocument/2006/customXml" ds:itemID="{F43046AD-950F-40E0-A759-2A2A9552C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3724-3B51-4F63-84D9-52BDE90E1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97A37-56E8-41B7-9CAE-8D00EA749199}">
  <ds:schemaRefs>
    <ds:schemaRef ds:uri="http://schemas.openxmlformats.org/package/2006/metadata/core-properties"/>
    <ds:schemaRef ds:uri="http://schemas.microsoft.com/office/2006/documentManagement/types"/>
    <ds:schemaRef ds:uri="0DF83724-3B51-4F63-84D9-52BDE90E1F9B"/>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2936</Words>
  <Characters>16736</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MCKILLOP</dc:creator>
  <cp:keywords/>
  <dc:description/>
  <cp:lastModifiedBy>Ally PERRY</cp:lastModifiedBy>
  <cp:revision>2</cp:revision>
  <dcterms:created xsi:type="dcterms:W3CDTF">2021-08-26T05:52:00Z</dcterms:created>
  <dcterms:modified xsi:type="dcterms:W3CDTF">2021-08-26T05:52:00Z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0x010100266966F133664895A6EE3632470D45F500156F6C9E34F2AC4A9FA708B00A3F9468</vt:lpwstr>
  </property>
</Properties>
</file>