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663C" w14:textId="77777777" w:rsidR="00A67D51" w:rsidRPr="009628E9" w:rsidRDefault="00A67D51" w:rsidP="00F52CDE">
      <w:pPr>
        <w:jc w:val="center"/>
        <w:rPr>
          <w:b/>
        </w:rPr>
      </w:pPr>
      <w:r w:rsidRPr="009628E9">
        <w:rPr>
          <w:b/>
        </w:rPr>
        <w:t>EXPLANATORY STATEMENT</w:t>
      </w:r>
    </w:p>
    <w:p w14:paraId="50F1DB12" w14:textId="77777777" w:rsidR="00A67D51" w:rsidRPr="009628E9" w:rsidRDefault="00A67D51" w:rsidP="00F52CDE">
      <w:pPr>
        <w:rPr>
          <w:b/>
        </w:rPr>
      </w:pPr>
    </w:p>
    <w:p w14:paraId="696E221F" w14:textId="4F522210" w:rsidR="00A67D51" w:rsidRPr="009628E9" w:rsidRDefault="00A67D51" w:rsidP="00F52CDE">
      <w:pPr>
        <w:jc w:val="center"/>
        <w:rPr>
          <w:b/>
        </w:rPr>
      </w:pPr>
      <w:r w:rsidRPr="009628E9">
        <w:rPr>
          <w:b/>
        </w:rPr>
        <w:t>INSTRUMENT NUMBER PB</w:t>
      </w:r>
      <w:r w:rsidR="00053ED9" w:rsidRPr="009628E9">
        <w:rPr>
          <w:b/>
        </w:rPr>
        <w:t xml:space="preserve"> </w:t>
      </w:r>
      <w:r w:rsidR="00521A58" w:rsidRPr="009628E9">
        <w:rPr>
          <w:b/>
        </w:rPr>
        <w:t>86</w:t>
      </w:r>
      <w:r w:rsidR="00EC3306" w:rsidRPr="009628E9">
        <w:rPr>
          <w:b/>
        </w:rPr>
        <w:t xml:space="preserve"> </w:t>
      </w:r>
      <w:r w:rsidR="0016619D" w:rsidRPr="009628E9">
        <w:rPr>
          <w:b/>
        </w:rPr>
        <w:t xml:space="preserve">OF </w:t>
      </w:r>
      <w:r w:rsidR="0011547D" w:rsidRPr="009628E9">
        <w:rPr>
          <w:b/>
        </w:rPr>
        <w:t>202</w:t>
      </w:r>
      <w:r w:rsidR="00EC3306" w:rsidRPr="009628E9">
        <w:rPr>
          <w:b/>
        </w:rPr>
        <w:t>1</w:t>
      </w:r>
    </w:p>
    <w:p w14:paraId="411FDE45" w14:textId="77777777" w:rsidR="00A67D51" w:rsidRPr="009628E9" w:rsidRDefault="00A67D51" w:rsidP="00F52CDE">
      <w:pPr>
        <w:rPr>
          <w:b/>
        </w:rPr>
      </w:pPr>
    </w:p>
    <w:p w14:paraId="7E9EE331" w14:textId="77777777" w:rsidR="00A67D51" w:rsidRPr="009628E9" w:rsidRDefault="00A67D51" w:rsidP="00F52CDE">
      <w:pPr>
        <w:jc w:val="center"/>
        <w:rPr>
          <w:b/>
          <w:i/>
        </w:rPr>
      </w:pPr>
      <w:r w:rsidRPr="009628E9">
        <w:rPr>
          <w:b/>
          <w:i/>
        </w:rPr>
        <w:t>NATIONAL HEALTH ACT 1953</w:t>
      </w:r>
    </w:p>
    <w:p w14:paraId="307EBEBF" w14:textId="77777777" w:rsidR="00A67D51" w:rsidRPr="009628E9" w:rsidRDefault="00A67D51" w:rsidP="00F52CDE">
      <w:pPr>
        <w:rPr>
          <w:b/>
        </w:rPr>
      </w:pPr>
    </w:p>
    <w:p w14:paraId="09686741" w14:textId="143B7B01" w:rsidR="00A67D51" w:rsidRPr="009628E9" w:rsidRDefault="00EC3306" w:rsidP="00F52CDE">
      <w:pPr>
        <w:jc w:val="center"/>
        <w:rPr>
          <w:b/>
          <w:i/>
        </w:rPr>
      </w:pPr>
      <w:r w:rsidRPr="009628E9">
        <w:rPr>
          <w:b/>
          <w:i/>
        </w:rPr>
        <w:t xml:space="preserve">National Health (Weighted average disclosed price – </w:t>
      </w:r>
      <w:r w:rsidR="00521A58" w:rsidRPr="009628E9">
        <w:rPr>
          <w:b/>
          <w:i/>
        </w:rPr>
        <w:t>October</w:t>
      </w:r>
      <w:r w:rsidRPr="009628E9">
        <w:rPr>
          <w:b/>
          <w:i/>
        </w:rPr>
        <w:t xml:space="preserve"> 2021 reduction day) Amendment Determination 2021</w:t>
      </w:r>
      <w:r w:rsidR="0011547D" w:rsidRPr="009628E9">
        <w:rPr>
          <w:b/>
          <w:i/>
        </w:rPr>
        <w:t xml:space="preserve"> </w:t>
      </w:r>
    </w:p>
    <w:p w14:paraId="054DCF21" w14:textId="5261C6D7" w:rsidR="0071790E" w:rsidRPr="009628E9" w:rsidRDefault="0089756D" w:rsidP="00FF169C">
      <w:pPr>
        <w:spacing w:before="120" w:after="120"/>
        <w:rPr>
          <w:b/>
          <w:szCs w:val="24"/>
        </w:rPr>
      </w:pPr>
      <w:r w:rsidRPr="009628E9">
        <w:rPr>
          <w:b/>
          <w:szCs w:val="24"/>
        </w:rPr>
        <w:br/>
      </w:r>
      <w:r w:rsidR="00FF2C8F" w:rsidRPr="009628E9">
        <w:rPr>
          <w:b/>
          <w:szCs w:val="24"/>
        </w:rPr>
        <w:t>Authority</w:t>
      </w:r>
    </w:p>
    <w:p w14:paraId="150FE667" w14:textId="77777777" w:rsidR="004E236A" w:rsidRPr="009628E9" w:rsidRDefault="007C63B5" w:rsidP="00FF169C">
      <w:pPr>
        <w:spacing w:after="120"/>
      </w:pPr>
      <w:r w:rsidRPr="009628E9">
        <w:t>This legislative instrument is made pursuant to</w:t>
      </w:r>
      <w:r w:rsidR="007D4824" w:rsidRPr="009628E9">
        <w:t xml:space="preserve"> </w:t>
      </w:r>
      <w:r w:rsidRPr="009628E9">
        <w:t xml:space="preserve">subsection 99ADB(4) of the </w:t>
      </w:r>
      <w:r w:rsidRPr="009628E9">
        <w:rPr>
          <w:i/>
        </w:rPr>
        <w:t>National Health Act 1953</w:t>
      </w:r>
      <w:r w:rsidRPr="009628E9">
        <w:t xml:space="preserve"> (the Act), which provides that the Minister may, by legislative instrument, determine the weighted average disclosed price (WADP) of a brand of a pharmaceutical item (listed brand) in accordance with the </w:t>
      </w:r>
      <w:r w:rsidRPr="009628E9">
        <w:rPr>
          <w:i/>
        </w:rPr>
        <w:t xml:space="preserve">National Health (Pharmaceutical Benefits) Regulations </w:t>
      </w:r>
      <w:r w:rsidR="00B7646E" w:rsidRPr="009628E9">
        <w:rPr>
          <w:i/>
        </w:rPr>
        <w:t>2017</w:t>
      </w:r>
      <w:r w:rsidRPr="009628E9">
        <w:t xml:space="preserve"> (the Regulations)</w:t>
      </w:r>
      <w:r w:rsidR="00BD1F9F" w:rsidRPr="009628E9">
        <w:t>.</w:t>
      </w:r>
    </w:p>
    <w:p w14:paraId="1E06C6DA" w14:textId="77777777" w:rsidR="004E236A" w:rsidRPr="009628E9" w:rsidRDefault="004E236A" w:rsidP="00FF169C">
      <w:pPr>
        <w:spacing w:after="120"/>
      </w:pPr>
      <w:r w:rsidRPr="009628E9">
        <w:t>Subsection 99</w:t>
      </w:r>
      <w:proofErr w:type="gramStart"/>
      <w:r w:rsidRPr="009628E9">
        <w:t>ADB(</w:t>
      </w:r>
      <w:proofErr w:type="gramEnd"/>
      <w:r w:rsidRPr="009628E9">
        <w:t>7) of the Act further provides that a subsection 99ADB(4) determination for a listed brand may include the adjusted approved ex-manufacturer price (AAEMP) for the listed brand.</w:t>
      </w:r>
    </w:p>
    <w:p w14:paraId="05074CFA" w14:textId="77777777" w:rsidR="00FF2C8F" w:rsidRPr="009628E9" w:rsidRDefault="00FF2C8F" w:rsidP="00FF169C">
      <w:pPr>
        <w:spacing w:before="120" w:after="120"/>
        <w:rPr>
          <w:b/>
          <w:szCs w:val="24"/>
        </w:rPr>
      </w:pPr>
      <w:r w:rsidRPr="009628E9">
        <w:rPr>
          <w:b/>
          <w:szCs w:val="24"/>
        </w:rPr>
        <w:t>Purpose</w:t>
      </w:r>
    </w:p>
    <w:p w14:paraId="0420B3A5" w14:textId="6CC3211B" w:rsidR="00C73414" w:rsidRPr="009628E9" w:rsidRDefault="007E3BBC" w:rsidP="00FF169C">
      <w:pPr>
        <w:spacing w:before="120" w:after="120"/>
      </w:pPr>
      <w:r w:rsidRPr="009628E9">
        <w:rPr>
          <w:szCs w:val="24"/>
        </w:rPr>
        <w:t>This legislative</w:t>
      </w:r>
      <w:r w:rsidR="0085563B" w:rsidRPr="009628E9">
        <w:rPr>
          <w:szCs w:val="24"/>
        </w:rPr>
        <w:t xml:space="preserve"> instrument</w:t>
      </w:r>
      <w:r w:rsidR="007D4824" w:rsidRPr="009628E9">
        <w:rPr>
          <w:szCs w:val="24"/>
        </w:rPr>
        <w:t xml:space="preserve"> </w:t>
      </w:r>
      <w:r w:rsidRPr="009628E9">
        <w:t xml:space="preserve">amends the </w:t>
      </w:r>
      <w:r w:rsidR="00EC3306" w:rsidRPr="009628E9">
        <w:rPr>
          <w:i/>
        </w:rPr>
        <w:t xml:space="preserve">National Health (Weighted average disclosed price – </w:t>
      </w:r>
      <w:r w:rsidR="00521A58" w:rsidRPr="009628E9">
        <w:rPr>
          <w:i/>
        </w:rPr>
        <w:t>October</w:t>
      </w:r>
      <w:r w:rsidR="00EC3306" w:rsidRPr="009628E9">
        <w:rPr>
          <w:i/>
        </w:rPr>
        <w:t xml:space="preserve"> 2021 reduction day) Determination 202</w:t>
      </w:r>
      <w:r w:rsidR="00521A58" w:rsidRPr="009628E9">
        <w:rPr>
          <w:i/>
        </w:rPr>
        <w:t>1</w:t>
      </w:r>
      <w:r w:rsidR="00EC3306" w:rsidRPr="009628E9">
        <w:rPr>
          <w:i/>
        </w:rPr>
        <w:t xml:space="preserve"> </w:t>
      </w:r>
      <w:r w:rsidR="00EC3306" w:rsidRPr="009628E9">
        <w:t xml:space="preserve">(PB </w:t>
      </w:r>
      <w:r w:rsidR="000E0456" w:rsidRPr="009628E9">
        <w:t>72</w:t>
      </w:r>
      <w:r w:rsidR="00EC3306" w:rsidRPr="009628E9">
        <w:t xml:space="preserve"> of 202</w:t>
      </w:r>
      <w:r w:rsidR="00521A58" w:rsidRPr="009628E9">
        <w:t>1</w:t>
      </w:r>
      <w:r w:rsidR="00EC3306" w:rsidRPr="009628E9">
        <w:t>)</w:t>
      </w:r>
      <w:r w:rsidRPr="009628E9">
        <w:t xml:space="preserve"> (the Principal Instrument)</w:t>
      </w:r>
      <w:r w:rsidR="00C73414" w:rsidRPr="009628E9">
        <w:t xml:space="preserve"> by:</w:t>
      </w:r>
    </w:p>
    <w:p w14:paraId="2C17E367" w14:textId="36B7B1DF" w:rsidR="000521B9" w:rsidRPr="009628E9" w:rsidRDefault="000521B9" w:rsidP="000521B9">
      <w:pPr>
        <w:pStyle w:val="ListParagraph"/>
        <w:numPr>
          <w:ilvl w:val="0"/>
          <w:numId w:val="30"/>
        </w:numPr>
        <w:spacing w:before="120" w:after="120"/>
      </w:pPr>
      <w:r w:rsidRPr="009628E9">
        <w:t xml:space="preserve">removing from Schedule 1 </w:t>
      </w:r>
      <w:r w:rsidR="006A7275" w:rsidRPr="009628E9">
        <w:t xml:space="preserve">and inserting in Schedule 2 </w:t>
      </w:r>
      <w:r w:rsidR="00853747" w:rsidRPr="009628E9">
        <w:t xml:space="preserve">WADPs </w:t>
      </w:r>
      <w:r w:rsidRPr="009628E9">
        <w:t>for brands of pharmaceu</w:t>
      </w:r>
      <w:r w:rsidR="0042423B" w:rsidRPr="009628E9">
        <w:t>tical</w:t>
      </w:r>
      <w:r w:rsidR="006A7275" w:rsidRPr="009628E9">
        <w:t xml:space="preserve"> items</w:t>
      </w:r>
      <w:r w:rsidRPr="009628E9">
        <w:t xml:space="preserve"> containing:</w:t>
      </w:r>
    </w:p>
    <w:p w14:paraId="26233016" w14:textId="133CC5F8" w:rsidR="000F4CC4" w:rsidRPr="009628E9" w:rsidRDefault="00B04595" w:rsidP="00B7431B">
      <w:pPr>
        <w:pStyle w:val="ListParagraph"/>
        <w:numPr>
          <w:ilvl w:val="2"/>
          <w:numId w:val="30"/>
        </w:numPr>
        <w:spacing w:before="120" w:after="120"/>
      </w:pPr>
      <w:proofErr w:type="spellStart"/>
      <w:r w:rsidRPr="009628E9">
        <w:t>pegfilgrastim</w:t>
      </w:r>
      <w:proofErr w:type="spellEnd"/>
      <w:r w:rsidR="00B7431B" w:rsidRPr="009628E9">
        <w:t xml:space="preserve">, </w:t>
      </w:r>
      <w:r w:rsidRPr="009628E9">
        <w:t>injection 6 mg in 0.6 mL single use pre-filled syringe</w:t>
      </w:r>
      <w:r w:rsidR="00B7431B" w:rsidRPr="009628E9">
        <w:t xml:space="preserve">, </w:t>
      </w:r>
      <w:proofErr w:type="gramStart"/>
      <w:r w:rsidR="00B7431B" w:rsidRPr="009628E9">
        <w:t>injection;</w:t>
      </w:r>
      <w:proofErr w:type="gramEnd"/>
    </w:p>
    <w:p w14:paraId="6E74AB89" w14:textId="75B54725" w:rsidR="00E85C6C" w:rsidRPr="009628E9" w:rsidRDefault="00B04595" w:rsidP="00F9058E">
      <w:pPr>
        <w:pStyle w:val="ListParagraph"/>
        <w:numPr>
          <w:ilvl w:val="2"/>
          <w:numId w:val="30"/>
        </w:numPr>
        <w:spacing w:before="120" w:after="120"/>
      </w:pPr>
      <w:r w:rsidRPr="009628E9">
        <w:t>clonidine</w:t>
      </w:r>
      <w:r w:rsidR="00EC3306" w:rsidRPr="009628E9">
        <w:t xml:space="preserve">, </w:t>
      </w:r>
      <w:r w:rsidRPr="009628E9">
        <w:t>tablet containing clonidine hydrochloride 100 micrograms</w:t>
      </w:r>
      <w:r w:rsidR="001142F7" w:rsidRPr="009628E9">
        <w:t>, oral</w:t>
      </w:r>
      <w:r w:rsidRPr="009628E9">
        <w:t xml:space="preserve"> </w:t>
      </w:r>
      <w:proofErr w:type="gramStart"/>
      <w:r w:rsidRPr="009628E9">
        <w:t>and</w:t>
      </w:r>
      <w:r w:rsidR="001142F7" w:rsidRPr="009628E9">
        <w:t>;</w:t>
      </w:r>
      <w:proofErr w:type="gramEnd"/>
      <w:r w:rsidR="00EC3306" w:rsidRPr="009628E9">
        <w:t xml:space="preserve"> </w:t>
      </w:r>
    </w:p>
    <w:p w14:paraId="0488ABEE" w14:textId="45F20DDC" w:rsidR="001142F7" w:rsidRPr="009628E9" w:rsidRDefault="00B04595" w:rsidP="00F9058E">
      <w:pPr>
        <w:pStyle w:val="ListParagraph"/>
        <w:numPr>
          <w:ilvl w:val="2"/>
          <w:numId w:val="30"/>
        </w:numPr>
        <w:spacing w:before="120" w:after="120"/>
      </w:pPr>
      <w:r w:rsidRPr="009628E9">
        <w:t xml:space="preserve">clonidine, tablet containing clonidine hydrochloride 150 micrograms, oral. </w:t>
      </w:r>
    </w:p>
    <w:p w14:paraId="5E01AA64" w14:textId="44007E60" w:rsidR="006A7275" w:rsidRPr="009628E9" w:rsidRDefault="00016EAC" w:rsidP="00F9058E">
      <w:pPr>
        <w:pStyle w:val="ListParagraph"/>
        <w:numPr>
          <w:ilvl w:val="0"/>
          <w:numId w:val="36"/>
        </w:numPr>
        <w:spacing w:after="120"/>
      </w:pPr>
      <w:r w:rsidRPr="009628E9">
        <w:t>inserting</w:t>
      </w:r>
      <w:r w:rsidR="00C73414" w:rsidRPr="009628E9">
        <w:t xml:space="preserve"> WADP</w:t>
      </w:r>
      <w:r w:rsidR="006A7275" w:rsidRPr="009628E9">
        <w:t>s</w:t>
      </w:r>
      <w:r w:rsidR="006A2F46" w:rsidRPr="009628E9">
        <w:t xml:space="preserve"> for brand</w:t>
      </w:r>
      <w:r w:rsidR="004F5889" w:rsidRPr="009628E9">
        <w:t>s</w:t>
      </w:r>
      <w:r w:rsidR="006A2F46" w:rsidRPr="009628E9">
        <w:t xml:space="preserve"> of </w:t>
      </w:r>
      <w:r w:rsidR="002870A9" w:rsidRPr="009628E9">
        <w:t xml:space="preserve">new </w:t>
      </w:r>
      <w:r w:rsidR="00C73414" w:rsidRPr="009628E9">
        <w:t>pharmaceutical item</w:t>
      </w:r>
      <w:r w:rsidR="006A7275" w:rsidRPr="009628E9">
        <w:t>s</w:t>
      </w:r>
      <w:r w:rsidR="004F5889" w:rsidRPr="009628E9">
        <w:t xml:space="preserve"> </w:t>
      </w:r>
      <w:r w:rsidR="002870A9" w:rsidRPr="009628E9">
        <w:t>that listed</w:t>
      </w:r>
      <w:r w:rsidR="004F5889" w:rsidRPr="009628E9">
        <w:t xml:space="preserve"> after </w:t>
      </w:r>
      <w:r w:rsidR="006C6C65" w:rsidRPr="009628E9">
        <w:t>publication of the Principle Instrument</w:t>
      </w:r>
      <w:r w:rsidR="006A7275" w:rsidRPr="009628E9">
        <w:t>:</w:t>
      </w:r>
    </w:p>
    <w:p w14:paraId="078BC6ED" w14:textId="7CCAFC4A" w:rsidR="00106045" w:rsidRPr="009628E9" w:rsidRDefault="00106045" w:rsidP="00B04595">
      <w:pPr>
        <w:pStyle w:val="ListParagraph"/>
        <w:numPr>
          <w:ilvl w:val="2"/>
          <w:numId w:val="30"/>
        </w:numPr>
        <w:spacing w:before="120" w:after="120"/>
      </w:pPr>
      <w:proofErr w:type="spellStart"/>
      <w:r w:rsidRPr="009628E9">
        <w:t>aciclovir</w:t>
      </w:r>
      <w:proofErr w:type="spellEnd"/>
      <w:r w:rsidRPr="009628E9">
        <w:t xml:space="preserve">, eye ointment 30 mg per g, 4.5 g, application to the </w:t>
      </w:r>
      <w:proofErr w:type="gramStart"/>
      <w:r w:rsidRPr="009628E9">
        <w:t>eye;</w:t>
      </w:r>
      <w:proofErr w:type="gramEnd"/>
    </w:p>
    <w:p w14:paraId="185B3011" w14:textId="5FAF625F" w:rsidR="00106045" w:rsidRPr="009628E9" w:rsidRDefault="00106045" w:rsidP="00B04595">
      <w:pPr>
        <w:pStyle w:val="ListParagraph"/>
        <w:numPr>
          <w:ilvl w:val="2"/>
          <w:numId w:val="30"/>
        </w:numPr>
        <w:spacing w:before="120" w:after="120"/>
      </w:pPr>
      <w:r w:rsidRPr="009628E9">
        <w:t>adrenaline (epinephrine), injection:</w:t>
      </w:r>
    </w:p>
    <w:p w14:paraId="7D4FB7F7" w14:textId="77777777" w:rsidR="00106045" w:rsidRPr="009628E9" w:rsidRDefault="00106045" w:rsidP="00B04595">
      <w:pPr>
        <w:pStyle w:val="ListParagraph"/>
        <w:numPr>
          <w:ilvl w:val="4"/>
          <w:numId w:val="30"/>
        </w:numPr>
        <w:spacing w:before="120" w:after="120"/>
      </w:pPr>
      <w:r w:rsidRPr="009628E9">
        <w:t>I.M. injection 500 micrograms in 0.3 mL single dose syringe auto-</w:t>
      </w:r>
      <w:proofErr w:type="gramStart"/>
      <w:r w:rsidRPr="009628E9">
        <w:t>injector;</w:t>
      </w:r>
      <w:proofErr w:type="gramEnd"/>
    </w:p>
    <w:p w14:paraId="76517CFB" w14:textId="77777777" w:rsidR="00106045" w:rsidRPr="009628E9" w:rsidRDefault="00106045" w:rsidP="00B04595">
      <w:pPr>
        <w:pStyle w:val="ListParagraph"/>
        <w:numPr>
          <w:ilvl w:val="4"/>
          <w:numId w:val="30"/>
        </w:numPr>
        <w:spacing w:before="120" w:after="120"/>
      </w:pPr>
      <w:r w:rsidRPr="009628E9">
        <w:t>Solution for injection 1 mg (as tartrate) in 1 mL (1 in 1,000</w:t>
      </w:r>
      <w:proofErr w:type="gramStart"/>
      <w:r w:rsidRPr="009628E9">
        <w:t>);</w:t>
      </w:r>
      <w:proofErr w:type="gramEnd"/>
    </w:p>
    <w:p w14:paraId="2F34ABEF" w14:textId="37792DDF" w:rsidR="00106045" w:rsidRPr="009628E9" w:rsidRDefault="00106045" w:rsidP="00B04595">
      <w:pPr>
        <w:pStyle w:val="ListParagraph"/>
        <w:numPr>
          <w:ilvl w:val="2"/>
          <w:numId w:val="30"/>
        </w:numPr>
        <w:spacing w:before="120" w:after="120"/>
      </w:pPr>
      <w:r w:rsidRPr="009628E9">
        <w:t xml:space="preserve">hydromorphone, oral solution containing hydromorphone hydrochloride 1 mg per mL, 473 ml, </w:t>
      </w:r>
      <w:proofErr w:type="gramStart"/>
      <w:r w:rsidRPr="009628E9">
        <w:t>oral;</w:t>
      </w:r>
      <w:proofErr w:type="gramEnd"/>
    </w:p>
    <w:p w14:paraId="12B4C851" w14:textId="6EBF7965" w:rsidR="00106045" w:rsidRPr="009628E9" w:rsidRDefault="00106045" w:rsidP="00B04595">
      <w:pPr>
        <w:pStyle w:val="ListParagraph"/>
        <w:numPr>
          <w:ilvl w:val="2"/>
          <w:numId w:val="30"/>
        </w:numPr>
        <w:spacing w:before="120" w:after="120"/>
      </w:pPr>
      <w:r w:rsidRPr="009628E9">
        <w:t xml:space="preserve">imipramine, tablet containing imipramine hydrochloride 10 mg USP, </w:t>
      </w:r>
      <w:proofErr w:type="gramStart"/>
      <w:r w:rsidRPr="009628E9">
        <w:t>oral;</w:t>
      </w:r>
      <w:proofErr w:type="gramEnd"/>
    </w:p>
    <w:p w14:paraId="3C7592C2" w14:textId="34925264" w:rsidR="00106045" w:rsidRPr="009628E9" w:rsidRDefault="00106045" w:rsidP="00B04595">
      <w:pPr>
        <w:pStyle w:val="ListParagraph"/>
        <w:numPr>
          <w:ilvl w:val="2"/>
          <w:numId w:val="30"/>
        </w:numPr>
        <w:spacing w:before="120" w:after="120"/>
      </w:pPr>
      <w:r w:rsidRPr="009628E9">
        <w:t>infliximab, injection:</w:t>
      </w:r>
    </w:p>
    <w:p w14:paraId="058BF353" w14:textId="77777777" w:rsidR="00106045" w:rsidRPr="009628E9" w:rsidRDefault="00106045" w:rsidP="00B04595">
      <w:pPr>
        <w:pStyle w:val="ListParagraph"/>
        <w:numPr>
          <w:ilvl w:val="4"/>
          <w:numId w:val="30"/>
        </w:numPr>
        <w:spacing w:before="120" w:after="120"/>
      </w:pPr>
      <w:r w:rsidRPr="009628E9">
        <w:t xml:space="preserve">Solution for injection 120 mg in 1 mL pre-filled </w:t>
      </w:r>
      <w:proofErr w:type="gramStart"/>
      <w:r w:rsidRPr="009628E9">
        <w:t>pen;</w:t>
      </w:r>
      <w:proofErr w:type="gramEnd"/>
    </w:p>
    <w:p w14:paraId="65025845" w14:textId="77777777" w:rsidR="00106045" w:rsidRPr="009628E9" w:rsidRDefault="00106045" w:rsidP="00B04595">
      <w:pPr>
        <w:pStyle w:val="ListParagraph"/>
        <w:numPr>
          <w:ilvl w:val="4"/>
          <w:numId w:val="30"/>
        </w:numPr>
        <w:spacing w:before="120" w:after="120"/>
      </w:pPr>
      <w:r w:rsidRPr="009628E9">
        <w:t xml:space="preserve">Solution for injection 120 mg in 1 mL pre-filled </w:t>
      </w:r>
      <w:proofErr w:type="gramStart"/>
      <w:r w:rsidRPr="009628E9">
        <w:t>syringe;</w:t>
      </w:r>
      <w:proofErr w:type="gramEnd"/>
    </w:p>
    <w:p w14:paraId="260133D9" w14:textId="108E8CBD" w:rsidR="00106045" w:rsidRPr="009628E9" w:rsidRDefault="00106045" w:rsidP="00B04595">
      <w:pPr>
        <w:pStyle w:val="ListParagraph"/>
        <w:numPr>
          <w:ilvl w:val="2"/>
          <w:numId w:val="30"/>
        </w:numPr>
        <w:spacing w:before="120" w:after="120"/>
      </w:pPr>
      <w:r w:rsidRPr="009628E9">
        <w:t>paraffin, eye drops containing liquid paraffin, glycerol, tyloxapol, poloxamer-188, trometamol hydrochloride, trometamol, cetalkonium chloride, 10 mL (preservative free), application to the eye; and</w:t>
      </w:r>
    </w:p>
    <w:p w14:paraId="172ECB13" w14:textId="402DF582" w:rsidR="00106045" w:rsidRPr="009628E9" w:rsidRDefault="00106045" w:rsidP="00B04595">
      <w:pPr>
        <w:pStyle w:val="ListParagraph"/>
        <w:numPr>
          <w:ilvl w:val="2"/>
          <w:numId w:val="30"/>
        </w:numPr>
        <w:spacing w:before="120" w:after="120"/>
      </w:pPr>
      <w:r w:rsidRPr="009628E9">
        <w:t>tenofovir with emtricitabine, tablet containing tenofovir disoproxil succinate 301 mg with emtricitabine 200 mg, oral.</w:t>
      </w:r>
    </w:p>
    <w:p w14:paraId="32C1BB7C" w14:textId="77777777" w:rsidR="00E85C6C" w:rsidRPr="009628E9" w:rsidRDefault="00E85C6C" w:rsidP="00E85C6C">
      <w:pPr>
        <w:pStyle w:val="ListParagraph"/>
        <w:spacing w:after="120"/>
        <w:ind w:left="714"/>
        <w:rPr>
          <w:color w:val="FF0000"/>
        </w:rPr>
      </w:pPr>
    </w:p>
    <w:p w14:paraId="1C67A710" w14:textId="265F9416" w:rsidR="00F137C0" w:rsidRPr="009628E9" w:rsidRDefault="00227BFC" w:rsidP="00B05AEB">
      <w:pPr>
        <w:spacing w:after="120"/>
        <w:rPr>
          <w:szCs w:val="24"/>
        </w:rPr>
      </w:pPr>
      <w:r w:rsidRPr="009628E9">
        <w:lastRenderedPageBreak/>
        <w:t>T</w:t>
      </w:r>
      <w:r w:rsidR="007E3BBC" w:rsidRPr="009628E9">
        <w:t xml:space="preserve">he Principal Instrument was made pursuant to </w:t>
      </w:r>
      <w:r w:rsidR="007E3BBC" w:rsidRPr="009628E9">
        <w:rPr>
          <w:szCs w:val="24"/>
        </w:rPr>
        <w:t>subsection 99</w:t>
      </w:r>
      <w:proofErr w:type="gramStart"/>
      <w:r w:rsidR="007E3BBC" w:rsidRPr="009628E9">
        <w:rPr>
          <w:szCs w:val="24"/>
        </w:rPr>
        <w:t>ADB(</w:t>
      </w:r>
      <w:proofErr w:type="gramEnd"/>
      <w:r w:rsidR="007E3BBC" w:rsidRPr="009628E9">
        <w:rPr>
          <w:szCs w:val="24"/>
        </w:rPr>
        <w:t>4) and paragraph 99ADH(1)(aa) of the</w:t>
      </w:r>
      <w:r w:rsidR="007C63B5" w:rsidRPr="009628E9">
        <w:rPr>
          <w:szCs w:val="24"/>
        </w:rPr>
        <w:t xml:space="preserve"> Act for brands of pharmaceutical items with a data collection period ending</w:t>
      </w:r>
      <w:r w:rsidR="00D1438E" w:rsidRPr="009628E9">
        <w:rPr>
          <w:szCs w:val="24"/>
        </w:rPr>
        <w:t xml:space="preserve"> </w:t>
      </w:r>
      <w:r w:rsidR="00552572" w:rsidRPr="009628E9">
        <w:rPr>
          <w:szCs w:val="24"/>
        </w:rPr>
        <w:t>3</w:t>
      </w:r>
      <w:r w:rsidR="000E0456" w:rsidRPr="009628E9">
        <w:rPr>
          <w:szCs w:val="24"/>
        </w:rPr>
        <w:t>1</w:t>
      </w:r>
      <w:r w:rsidR="00552572" w:rsidRPr="009628E9">
        <w:rPr>
          <w:szCs w:val="24"/>
        </w:rPr>
        <w:t xml:space="preserve"> </w:t>
      </w:r>
      <w:r w:rsidR="000E0456" w:rsidRPr="009628E9">
        <w:rPr>
          <w:szCs w:val="24"/>
        </w:rPr>
        <w:t>March 2021</w:t>
      </w:r>
      <w:r w:rsidR="001F35B1" w:rsidRPr="009628E9">
        <w:rPr>
          <w:szCs w:val="24"/>
        </w:rPr>
        <w:t xml:space="preserve"> </w:t>
      </w:r>
      <w:r w:rsidR="0044245A" w:rsidRPr="009628E9">
        <w:rPr>
          <w:szCs w:val="24"/>
        </w:rPr>
        <w:t>(</w:t>
      </w:r>
      <w:r w:rsidR="0011547D" w:rsidRPr="009628E9">
        <w:rPr>
          <w:szCs w:val="24"/>
        </w:rPr>
        <w:t>202</w:t>
      </w:r>
      <w:r w:rsidR="00EC3306" w:rsidRPr="009628E9">
        <w:rPr>
          <w:szCs w:val="24"/>
        </w:rPr>
        <w:t>1</w:t>
      </w:r>
      <w:r w:rsidR="0011547D" w:rsidRPr="009628E9">
        <w:rPr>
          <w:szCs w:val="24"/>
        </w:rPr>
        <w:t xml:space="preserve"> </w:t>
      </w:r>
      <w:r w:rsidR="000E0456" w:rsidRPr="009628E9">
        <w:rPr>
          <w:szCs w:val="24"/>
        </w:rPr>
        <w:t>October</w:t>
      </w:r>
      <w:r w:rsidR="0011547D" w:rsidRPr="009628E9">
        <w:rPr>
          <w:szCs w:val="24"/>
        </w:rPr>
        <w:t xml:space="preserve"> </w:t>
      </w:r>
      <w:r w:rsidR="007C63B5" w:rsidRPr="009628E9">
        <w:rPr>
          <w:szCs w:val="24"/>
        </w:rPr>
        <w:t>cycle)</w:t>
      </w:r>
      <w:r w:rsidR="007E3BBC" w:rsidRPr="009628E9">
        <w:rPr>
          <w:szCs w:val="24"/>
        </w:rPr>
        <w:t>.</w:t>
      </w:r>
    </w:p>
    <w:p w14:paraId="51267898" w14:textId="25467E4A" w:rsidR="00552183" w:rsidRPr="009628E9" w:rsidRDefault="00CC0026" w:rsidP="00FF169C">
      <w:pPr>
        <w:spacing w:before="120" w:after="120"/>
        <w:rPr>
          <w:b/>
          <w:i/>
          <w:szCs w:val="24"/>
        </w:rPr>
      </w:pPr>
      <w:r w:rsidRPr="009628E9">
        <w:rPr>
          <w:b/>
          <w:szCs w:val="24"/>
        </w:rPr>
        <w:t>Amendment</w:t>
      </w:r>
      <w:r w:rsidR="00AB5DA0" w:rsidRPr="009628E9">
        <w:rPr>
          <w:b/>
          <w:szCs w:val="24"/>
        </w:rPr>
        <w:t>s</w:t>
      </w:r>
    </w:p>
    <w:p w14:paraId="32A89C88" w14:textId="34C117F7" w:rsidR="00745389" w:rsidRPr="009628E9" w:rsidRDefault="00745389" w:rsidP="00FF169C">
      <w:pPr>
        <w:spacing w:after="120"/>
        <w:rPr>
          <w:i/>
          <w:szCs w:val="24"/>
        </w:rPr>
      </w:pPr>
      <w:r w:rsidRPr="009628E9">
        <w:rPr>
          <w:i/>
          <w:szCs w:val="24"/>
        </w:rPr>
        <w:t xml:space="preserve">Revision of WADP determinations for </w:t>
      </w:r>
      <w:r w:rsidR="00106045" w:rsidRPr="009628E9">
        <w:rPr>
          <w:i/>
          <w:szCs w:val="24"/>
        </w:rPr>
        <w:t xml:space="preserve">brands </w:t>
      </w:r>
      <w:r w:rsidRPr="009628E9">
        <w:rPr>
          <w:i/>
          <w:szCs w:val="24"/>
        </w:rPr>
        <w:t>of Pharmaceutical Items</w:t>
      </w:r>
    </w:p>
    <w:p w14:paraId="0015B284" w14:textId="33465473" w:rsidR="00745389" w:rsidRPr="009628E9" w:rsidRDefault="00745389" w:rsidP="0042423B">
      <w:pPr>
        <w:spacing w:after="120"/>
        <w:rPr>
          <w:color w:val="FF0000"/>
        </w:rPr>
      </w:pPr>
      <w:r w:rsidRPr="009628E9">
        <w:t xml:space="preserve">Amendments are being made following consideration of matters raised by </w:t>
      </w:r>
      <w:r w:rsidR="002870A9" w:rsidRPr="009628E9">
        <w:t>Responsible Person</w:t>
      </w:r>
      <w:r w:rsidRPr="009628E9">
        <w:t xml:space="preserve">s concerning the determinations in the Principal Instrument for brands of pharmaceutical items containing </w:t>
      </w:r>
      <w:r w:rsidR="00B04595" w:rsidRPr="009628E9">
        <w:t xml:space="preserve">clonidine and </w:t>
      </w:r>
      <w:proofErr w:type="spellStart"/>
      <w:r w:rsidR="00B04595" w:rsidRPr="009628E9">
        <w:t>pegfilgrastim</w:t>
      </w:r>
      <w:proofErr w:type="spellEnd"/>
      <w:r w:rsidR="009B7983" w:rsidRPr="009628E9">
        <w:t>.</w:t>
      </w:r>
    </w:p>
    <w:p w14:paraId="0E4F2CE8" w14:textId="2D975FE0" w:rsidR="00B05AEB" w:rsidRPr="009628E9" w:rsidRDefault="00745389" w:rsidP="0042423B">
      <w:pPr>
        <w:spacing w:after="120"/>
      </w:pPr>
      <w:r w:rsidRPr="009628E9">
        <w:t xml:space="preserve">A review of determinations in response to matters raised by </w:t>
      </w:r>
      <w:r w:rsidR="002870A9" w:rsidRPr="009628E9">
        <w:t>Responsible Person</w:t>
      </w:r>
      <w:r w:rsidR="00B05AEB" w:rsidRPr="009628E9">
        <w:t>s revealed that</w:t>
      </w:r>
      <w:r w:rsidR="00853747" w:rsidRPr="009628E9">
        <w:t>:</w:t>
      </w:r>
      <w:r w:rsidR="00B05AEB" w:rsidRPr="009628E9">
        <w:t xml:space="preserve"> </w:t>
      </w:r>
    </w:p>
    <w:p w14:paraId="2F38027A" w14:textId="7E9C7C20" w:rsidR="00476719" w:rsidRPr="009628E9" w:rsidRDefault="002870A9" w:rsidP="005A1243">
      <w:pPr>
        <w:pStyle w:val="ListParagraph"/>
        <w:numPr>
          <w:ilvl w:val="0"/>
          <w:numId w:val="34"/>
        </w:numPr>
        <w:spacing w:after="120"/>
      </w:pPr>
      <w:r w:rsidRPr="009628E9">
        <w:t>Responsible Person</w:t>
      </w:r>
      <w:r w:rsidR="009B7983" w:rsidRPr="009628E9">
        <w:t>s</w:t>
      </w:r>
      <w:r w:rsidR="002A02F4" w:rsidRPr="009628E9">
        <w:t xml:space="preserve"> for </w:t>
      </w:r>
      <w:r w:rsidR="005A1243" w:rsidRPr="009628E9">
        <w:t>brand</w:t>
      </w:r>
      <w:r w:rsidR="009B7983" w:rsidRPr="009628E9">
        <w:t>s</w:t>
      </w:r>
      <w:r w:rsidR="005A1243" w:rsidRPr="009628E9">
        <w:t xml:space="preserve"> </w:t>
      </w:r>
      <w:r w:rsidR="005B491A" w:rsidRPr="009628E9">
        <w:t xml:space="preserve">of </w:t>
      </w:r>
      <w:r w:rsidR="00B04595" w:rsidRPr="009628E9">
        <w:t>clonidine</w:t>
      </w:r>
      <w:r w:rsidR="005A1243" w:rsidRPr="009628E9">
        <w:t xml:space="preserve"> </w:t>
      </w:r>
      <w:r w:rsidR="002A02F4" w:rsidRPr="009628E9">
        <w:t>had submitted incorrect data</w:t>
      </w:r>
      <w:r w:rsidR="00D409CC" w:rsidRPr="009628E9">
        <w:t>.</w:t>
      </w:r>
      <w:r w:rsidR="00745389" w:rsidRPr="009628E9">
        <w:t xml:space="preserve"> Corrected data was </w:t>
      </w:r>
      <w:r w:rsidR="005B491A" w:rsidRPr="009628E9">
        <w:t>re</w:t>
      </w:r>
      <w:r w:rsidR="00745389" w:rsidRPr="009628E9">
        <w:t>submitted. New calculations for the WADPs set out in this amending determination were completed in accordan</w:t>
      </w:r>
      <w:r w:rsidR="00195AC0" w:rsidRPr="009628E9">
        <w:t>ce with the Act and Regulations</w:t>
      </w:r>
      <w:r w:rsidR="005A1243" w:rsidRPr="009628E9">
        <w:t>, moving this drug from Schedule 1 to Schedule 2</w:t>
      </w:r>
      <w:r w:rsidR="009B7983" w:rsidRPr="009628E9">
        <w:t>;</w:t>
      </w:r>
      <w:r w:rsidR="00B04595" w:rsidRPr="009628E9">
        <w:t xml:space="preserve"> and</w:t>
      </w:r>
    </w:p>
    <w:p w14:paraId="6D676992" w14:textId="4187BCD9" w:rsidR="00B05AEB" w:rsidRPr="009628E9" w:rsidRDefault="00B04595" w:rsidP="0042423B">
      <w:pPr>
        <w:pStyle w:val="ListParagraph"/>
        <w:numPr>
          <w:ilvl w:val="0"/>
          <w:numId w:val="34"/>
        </w:numPr>
        <w:spacing w:after="120"/>
      </w:pPr>
      <w:proofErr w:type="spellStart"/>
      <w:r w:rsidRPr="009628E9">
        <w:t>pegfilgrastim</w:t>
      </w:r>
      <w:proofErr w:type="spellEnd"/>
      <w:r w:rsidR="00B05AEB" w:rsidRPr="009628E9">
        <w:t xml:space="preserve"> will not take </w:t>
      </w:r>
      <w:r w:rsidR="00B7431B" w:rsidRPr="009628E9">
        <w:t xml:space="preserve">a scheduled </w:t>
      </w:r>
      <w:r w:rsidR="00B05AEB" w:rsidRPr="009628E9">
        <w:t xml:space="preserve">reduction due to the </w:t>
      </w:r>
      <w:r w:rsidR="00195AC0" w:rsidRPr="009628E9">
        <w:t xml:space="preserve">correct </w:t>
      </w:r>
      <w:r w:rsidR="00CD5A06" w:rsidRPr="009628E9">
        <w:t xml:space="preserve">threshold </w:t>
      </w:r>
      <w:r w:rsidR="00195AC0" w:rsidRPr="009628E9">
        <w:t xml:space="preserve">for its calculations being </w:t>
      </w:r>
      <w:r w:rsidR="00CD5A06" w:rsidRPr="009628E9">
        <w:t>30</w:t>
      </w:r>
      <w:r w:rsidR="00195AC0" w:rsidRPr="009628E9">
        <w:t xml:space="preserve"> per cent</w:t>
      </w:r>
      <w:r w:rsidR="00CD5A06" w:rsidRPr="009628E9">
        <w:t xml:space="preserve">, moving the drug from </w:t>
      </w:r>
      <w:r w:rsidR="00195AC0" w:rsidRPr="009628E9">
        <w:t>S</w:t>
      </w:r>
      <w:r w:rsidR="00CD5A06" w:rsidRPr="009628E9">
        <w:t xml:space="preserve">chedule 1 to </w:t>
      </w:r>
      <w:r w:rsidR="00195AC0" w:rsidRPr="009628E9">
        <w:t>Schedule 2.</w:t>
      </w:r>
    </w:p>
    <w:p w14:paraId="4BED4BF0" w14:textId="4B44D659" w:rsidR="00AC069B" w:rsidRPr="009628E9" w:rsidRDefault="00AC069B" w:rsidP="00FF169C">
      <w:pPr>
        <w:spacing w:after="120"/>
        <w:rPr>
          <w:i/>
          <w:szCs w:val="24"/>
        </w:rPr>
      </w:pPr>
      <w:r w:rsidRPr="009628E9">
        <w:rPr>
          <w:i/>
          <w:szCs w:val="24"/>
        </w:rPr>
        <w:t xml:space="preserve">Insertion of </w:t>
      </w:r>
      <w:r w:rsidRPr="009628E9">
        <w:rPr>
          <w:i/>
        </w:rPr>
        <w:t xml:space="preserve">WADP determinations for </w:t>
      </w:r>
      <w:r w:rsidR="00106045" w:rsidRPr="009628E9">
        <w:rPr>
          <w:i/>
          <w:szCs w:val="24"/>
        </w:rPr>
        <w:t xml:space="preserve">new brands </w:t>
      </w:r>
      <w:r w:rsidRPr="009628E9">
        <w:rPr>
          <w:i/>
          <w:szCs w:val="24"/>
        </w:rPr>
        <w:t xml:space="preserve">of </w:t>
      </w:r>
      <w:r w:rsidR="00106045" w:rsidRPr="009628E9">
        <w:rPr>
          <w:i/>
          <w:szCs w:val="24"/>
        </w:rPr>
        <w:t>new pharmaceutical items</w:t>
      </w:r>
    </w:p>
    <w:p w14:paraId="274B9DE4" w14:textId="5452D6A1" w:rsidR="006D4CE4" w:rsidRPr="009628E9" w:rsidRDefault="00B85D22" w:rsidP="009D1B19">
      <w:pPr>
        <w:tabs>
          <w:tab w:val="left" w:pos="709"/>
        </w:tabs>
      </w:pPr>
      <w:r w:rsidRPr="009628E9">
        <w:t xml:space="preserve">WADPs need to be determined for new pharmaceutical items that listed on the F2 formulary between </w:t>
      </w:r>
      <w:r w:rsidR="000E0456" w:rsidRPr="009628E9">
        <w:t xml:space="preserve">1 </w:t>
      </w:r>
      <w:r w:rsidR="00106045" w:rsidRPr="009628E9">
        <w:t xml:space="preserve">April </w:t>
      </w:r>
      <w:r w:rsidR="000E0456" w:rsidRPr="009628E9">
        <w:t>2021</w:t>
      </w:r>
      <w:r w:rsidRPr="009628E9">
        <w:t xml:space="preserve"> and </w:t>
      </w:r>
      <w:r w:rsidR="000E0456" w:rsidRPr="009628E9">
        <w:t>30 September 2021</w:t>
      </w:r>
      <w:r w:rsidRPr="009628E9">
        <w:t xml:space="preserve">. </w:t>
      </w:r>
      <w:r w:rsidR="00106045" w:rsidRPr="009628E9">
        <w:t>Examples are s19A temporary listings (adrenaline (epinephrine), imipramine), new forms of drugs (</w:t>
      </w:r>
      <w:proofErr w:type="spellStart"/>
      <w:r w:rsidR="009B7983" w:rsidRPr="009628E9">
        <w:t>aciclovir</w:t>
      </w:r>
      <w:proofErr w:type="spellEnd"/>
      <w:r w:rsidR="00106045" w:rsidRPr="009628E9">
        <w:t>, adrenaline (epinephrine), infliximab, paraffin, tenofovir with emtricitabine), and formerly exempt items (hydromorphone).</w:t>
      </w:r>
    </w:p>
    <w:p w14:paraId="411E7A9B" w14:textId="28658021" w:rsidR="00087024" w:rsidRPr="009628E9" w:rsidRDefault="00AC069B" w:rsidP="009D1B19">
      <w:pPr>
        <w:spacing w:before="240" w:after="120"/>
      </w:pPr>
      <w:r w:rsidRPr="009628E9">
        <w:t xml:space="preserve">There </w:t>
      </w:r>
      <w:r w:rsidR="003F6987" w:rsidRPr="009628E9">
        <w:t xml:space="preserve">are </w:t>
      </w:r>
      <w:r w:rsidR="00B04595" w:rsidRPr="009628E9">
        <w:t>nine</w:t>
      </w:r>
      <w:r w:rsidR="002870A9" w:rsidRPr="009628E9">
        <w:t xml:space="preserve"> </w:t>
      </w:r>
      <w:r w:rsidRPr="009628E9">
        <w:t>new pharmaceutical item</w:t>
      </w:r>
      <w:r w:rsidR="003F6987" w:rsidRPr="009628E9">
        <w:t>s</w:t>
      </w:r>
      <w:r w:rsidRPr="009628E9">
        <w:t xml:space="preserve"> that </w:t>
      </w:r>
      <w:r w:rsidR="003F6987" w:rsidRPr="009628E9">
        <w:t xml:space="preserve">are </w:t>
      </w:r>
      <w:r w:rsidRPr="009628E9">
        <w:t>included in this amending instrument, as follows:</w:t>
      </w:r>
    </w:p>
    <w:p w14:paraId="6A34239B" w14:textId="60B00CD8" w:rsidR="00106045" w:rsidRPr="009628E9" w:rsidRDefault="00106045" w:rsidP="00106045">
      <w:pPr>
        <w:pStyle w:val="ListParagraph"/>
        <w:numPr>
          <w:ilvl w:val="0"/>
          <w:numId w:val="33"/>
        </w:numPr>
        <w:contextualSpacing w:val="0"/>
        <w:rPr>
          <w:szCs w:val="24"/>
        </w:rPr>
      </w:pPr>
      <w:proofErr w:type="spellStart"/>
      <w:r w:rsidRPr="009628E9">
        <w:rPr>
          <w:szCs w:val="24"/>
        </w:rPr>
        <w:t>aciclovir</w:t>
      </w:r>
      <w:proofErr w:type="spellEnd"/>
      <w:r w:rsidRPr="009628E9">
        <w:rPr>
          <w:szCs w:val="24"/>
        </w:rPr>
        <w:t xml:space="preserve">, eye ointment 30 mg per g, 4.5 g, application to the </w:t>
      </w:r>
      <w:proofErr w:type="gramStart"/>
      <w:r w:rsidRPr="009628E9">
        <w:rPr>
          <w:szCs w:val="24"/>
        </w:rPr>
        <w:t>eye;</w:t>
      </w:r>
      <w:proofErr w:type="gramEnd"/>
    </w:p>
    <w:p w14:paraId="7D25EA10" w14:textId="0AF38975" w:rsidR="00106045" w:rsidRPr="009628E9" w:rsidRDefault="00106045" w:rsidP="00106045">
      <w:pPr>
        <w:pStyle w:val="ListParagraph"/>
        <w:numPr>
          <w:ilvl w:val="0"/>
          <w:numId w:val="33"/>
        </w:numPr>
        <w:contextualSpacing w:val="0"/>
        <w:rPr>
          <w:szCs w:val="24"/>
        </w:rPr>
      </w:pPr>
      <w:r w:rsidRPr="009628E9">
        <w:rPr>
          <w:szCs w:val="24"/>
        </w:rPr>
        <w:t>adrenaline (epinephrine), injection:</w:t>
      </w:r>
    </w:p>
    <w:p w14:paraId="0018FA87" w14:textId="2E55CCC7" w:rsidR="00106045" w:rsidRPr="009628E9" w:rsidRDefault="00106045" w:rsidP="00B04595">
      <w:pPr>
        <w:pStyle w:val="ListParagraph"/>
        <w:numPr>
          <w:ilvl w:val="1"/>
          <w:numId w:val="33"/>
        </w:numPr>
        <w:contextualSpacing w:val="0"/>
        <w:rPr>
          <w:szCs w:val="24"/>
        </w:rPr>
      </w:pPr>
      <w:r w:rsidRPr="009628E9">
        <w:rPr>
          <w:szCs w:val="24"/>
        </w:rPr>
        <w:t>I.M. injection 500 micrograms in 0.3 mL single dose syringe auto-</w:t>
      </w:r>
      <w:proofErr w:type="gramStart"/>
      <w:r w:rsidRPr="009628E9">
        <w:rPr>
          <w:szCs w:val="24"/>
        </w:rPr>
        <w:t>injector;</w:t>
      </w:r>
      <w:proofErr w:type="gramEnd"/>
    </w:p>
    <w:p w14:paraId="5564237E" w14:textId="0E346FE5" w:rsidR="00106045" w:rsidRPr="009628E9" w:rsidRDefault="00106045" w:rsidP="00B04595">
      <w:pPr>
        <w:pStyle w:val="ListParagraph"/>
        <w:numPr>
          <w:ilvl w:val="1"/>
          <w:numId w:val="33"/>
        </w:numPr>
        <w:contextualSpacing w:val="0"/>
        <w:rPr>
          <w:szCs w:val="24"/>
        </w:rPr>
      </w:pPr>
      <w:r w:rsidRPr="009628E9">
        <w:rPr>
          <w:szCs w:val="24"/>
        </w:rPr>
        <w:t>solution for injection 1 mg (as tartrate) in 1 mL (1 in 1,000</w:t>
      </w:r>
      <w:proofErr w:type="gramStart"/>
      <w:r w:rsidRPr="009628E9">
        <w:rPr>
          <w:szCs w:val="24"/>
        </w:rPr>
        <w:t>);</w:t>
      </w:r>
      <w:proofErr w:type="gramEnd"/>
    </w:p>
    <w:p w14:paraId="7DB28C89" w14:textId="2310D6E2" w:rsidR="00106045" w:rsidRPr="009628E9" w:rsidRDefault="00106045" w:rsidP="00106045">
      <w:pPr>
        <w:pStyle w:val="ListParagraph"/>
        <w:numPr>
          <w:ilvl w:val="0"/>
          <w:numId w:val="33"/>
        </w:numPr>
        <w:contextualSpacing w:val="0"/>
        <w:rPr>
          <w:szCs w:val="24"/>
        </w:rPr>
      </w:pPr>
      <w:r w:rsidRPr="009628E9">
        <w:rPr>
          <w:szCs w:val="24"/>
        </w:rPr>
        <w:t xml:space="preserve">hydromorphone, oral solution containing hydromorphone hydrochloride 1 mg per mL, 473 ml, </w:t>
      </w:r>
      <w:proofErr w:type="gramStart"/>
      <w:r w:rsidRPr="009628E9">
        <w:rPr>
          <w:szCs w:val="24"/>
        </w:rPr>
        <w:t>oral;</w:t>
      </w:r>
      <w:proofErr w:type="gramEnd"/>
    </w:p>
    <w:p w14:paraId="45C655F6" w14:textId="06E61A21" w:rsidR="00106045" w:rsidRPr="009628E9" w:rsidRDefault="00106045" w:rsidP="00106045">
      <w:pPr>
        <w:pStyle w:val="ListParagraph"/>
        <w:numPr>
          <w:ilvl w:val="0"/>
          <w:numId w:val="33"/>
        </w:numPr>
        <w:contextualSpacing w:val="0"/>
        <w:rPr>
          <w:szCs w:val="24"/>
        </w:rPr>
      </w:pPr>
      <w:r w:rsidRPr="009628E9">
        <w:rPr>
          <w:szCs w:val="24"/>
        </w:rPr>
        <w:t xml:space="preserve">imipramine, tablet containing imipramine hydrochloride 10 mg USP, </w:t>
      </w:r>
      <w:proofErr w:type="gramStart"/>
      <w:r w:rsidRPr="009628E9">
        <w:rPr>
          <w:szCs w:val="24"/>
        </w:rPr>
        <w:t>oral;</w:t>
      </w:r>
      <w:proofErr w:type="gramEnd"/>
    </w:p>
    <w:p w14:paraId="4995C837" w14:textId="3FB14F9C" w:rsidR="00106045" w:rsidRPr="009628E9" w:rsidRDefault="00106045" w:rsidP="00106045">
      <w:pPr>
        <w:pStyle w:val="ListParagraph"/>
        <w:numPr>
          <w:ilvl w:val="0"/>
          <w:numId w:val="33"/>
        </w:numPr>
        <w:contextualSpacing w:val="0"/>
        <w:rPr>
          <w:szCs w:val="24"/>
        </w:rPr>
      </w:pPr>
      <w:r w:rsidRPr="009628E9">
        <w:rPr>
          <w:szCs w:val="24"/>
        </w:rPr>
        <w:t>infliximab, injection:</w:t>
      </w:r>
    </w:p>
    <w:p w14:paraId="64DC9150" w14:textId="3497736F" w:rsidR="00106045" w:rsidRPr="009628E9" w:rsidRDefault="00106045" w:rsidP="00B04595">
      <w:pPr>
        <w:pStyle w:val="ListParagraph"/>
        <w:numPr>
          <w:ilvl w:val="1"/>
          <w:numId w:val="33"/>
        </w:numPr>
        <w:contextualSpacing w:val="0"/>
        <w:rPr>
          <w:szCs w:val="24"/>
        </w:rPr>
      </w:pPr>
      <w:r w:rsidRPr="009628E9">
        <w:rPr>
          <w:szCs w:val="24"/>
        </w:rPr>
        <w:t xml:space="preserve">solution for injection 120 mg in 1 mL pre-filled </w:t>
      </w:r>
      <w:proofErr w:type="gramStart"/>
      <w:r w:rsidRPr="009628E9">
        <w:rPr>
          <w:szCs w:val="24"/>
        </w:rPr>
        <w:t>pen;</w:t>
      </w:r>
      <w:proofErr w:type="gramEnd"/>
    </w:p>
    <w:p w14:paraId="7CBF86D2" w14:textId="39585E17" w:rsidR="00106045" w:rsidRPr="009628E9" w:rsidRDefault="00106045" w:rsidP="00B04595">
      <w:pPr>
        <w:pStyle w:val="ListParagraph"/>
        <w:numPr>
          <w:ilvl w:val="1"/>
          <w:numId w:val="33"/>
        </w:numPr>
        <w:contextualSpacing w:val="0"/>
        <w:rPr>
          <w:szCs w:val="24"/>
        </w:rPr>
      </w:pPr>
      <w:r w:rsidRPr="009628E9">
        <w:rPr>
          <w:szCs w:val="24"/>
        </w:rPr>
        <w:t xml:space="preserve">solution for injection 120 mg in 1 mL pre-filled </w:t>
      </w:r>
      <w:proofErr w:type="gramStart"/>
      <w:r w:rsidRPr="009628E9">
        <w:rPr>
          <w:szCs w:val="24"/>
        </w:rPr>
        <w:t>syringe;</w:t>
      </w:r>
      <w:proofErr w:type="gramEnd"/>
    </w:p>
    <w:p w14:paraId="5AA4218B" w14:textId="411B3952" w:rsidR="00106045" w:rsidRPr="009628E9" w:rsidRDefault="00106045" w:rsidP="00106045">
      <w:pPr>
        <w:pStyle w:val="ListParagraph"/>
        <w:numPr>
          <w:ilvl w:val="0"/>
          <w:numId w:val="33"/>
        </w:numPr>
        <w:contextualSpacing w:val="0"/>
        <w:rPr>
          <w:szCs w:val="24"/>
        </w:rPr>
      </w:pPr>
      <w:r w:rsidRPr="009628E9">
        <w:rPr>
          <w:szCs w:val="24"/>
        </w:rPr>
        <w:t>paraffin, eye drops containing liquid paraffin, glycerol, tyloxapol, poloxamer-188, trometamol hydrochloride, trometamol, cetalkonium chloride, 10 mL (preservative free), application to the eye; and</w:t>
      </w:r>
    </w:p>
    <w:p w14:paraId="65A7CA0E" w14:textId="6A63C763" w:rsidR="00106045" w:rsidRPr="009628E9" w:rsidRDefault="00106045" w:rsidP="00106045">
      <w:pPr>
        <w:pStyle w:val="ListParagraph"/>
        <w:numPr>
          <w:ilvl w:val="0"/>
          <w:numId w:val="33"/>
        </w:numPr>
        <w:contextualSpacing w:val="0"/>
        <w:rPr>
          <w:szCs w:val="24"/>
        </w:rPr>
      </w:pPr>
      <w:r w:rsidRPr="009628E9">
        <w:rPr>
          <w:szCs w:val="24"/>
        </w:rPr>
        <w:t>tenofovir with emtricitabine, tablet containing tenofovir disoproxil succinate 301 mg with emtricitabine 200 mg, oral.</w:t>
      </w:r>
    </w:p>
    <w:p w14:paraId="65591EB7" w14:textId="6FDE25AC" w:rsidR="00B85D22" w:rsidRPr="009628E9" w:rsidRDefault="00B85D22" w:rsidP="00B85D22">
      <w:pPr>
        <w:pStyle w:val="ListParagraph"/>
        <w:spacing w:before="120" w:after="120"/>
        <w:ind w:left="1069"/>
        <w:rPr>
          <w:i/>
        </w:rPr>
      </w:pPr>
    </w:p>
    <w:p w14:paraId="41A67963" w14:textId="4DCB0646" w:rsidR="009B7983" w:rsidRPr="009628E9" w:rsidRDefault="008A7404" w:rsidP="009B7983">
      <w:pPr>
        <w:spacing w:before="120" w:after="120"/>
        <w:rPr>
          <w:i/>
        </w:rPr>
      </w:pPr>
      <w:r w:rsidRPr="009628E9">
        <w:rPr>
          <w:i/>
        </w:rPr>
        <w:t>Basis for amendments</w:t>
      </w:r>
    </w:p>
    <w:p w14:paraId="174B2DC9" w14:textId="7AFFC7F2" w:rsidR="00E56AA0" w:rsidRPr="009628E9" w:rsidRDefault="003F0712" w:rsidP="009B7983">
      <w:pPr>
        <w:spacing w:before="120" w:after="120"/>
      </w:pPr>
      <w:r w:rsidRPr="009628E9">
        <w:t xml:space="preserve">Subsection 33(3) of the </w:t>
      </w:r>
      <w:r w:rsidRPr="009628E9">
        <w:rPr>
          <w:i/>
        </w:rPr>
        <w:t>Acts Interpretation Act 1901</w:t>
      </w:r>
      <w:r w:rsidRPr="009628E9">
        <w:t xml:space="preserve"> is relied upon to vary</w:t>
      </w:r>
      <w:r w:rsidR="008A7404" w:rsidRPr="009628E9">
        <w:t xml:space="preserve"> or revoke</w:t>
      </w:r>
      <w:r w:rsidRPr="009628E9">
        <w:t xml:space="preserve"> the determination made under subsection 99</w:t>
      </w:r>
      <w:proofErr w:type="gramStart"/>
      <w:r w:rsidRPr="009628E9">
        <w:t>ADB(</w:t>
      </w:r>
      <w:proofErr w:type="gramEnd"/>
      <w:r w:rsidRPr="009628E9">
        <w:t>4) for</w:t>
      </w:r>
      <w:r w:rsidR="008A7404" w:rsidRPr="009628E9">
        <w:t xml:space="preserve"> the medicines affected by this amending instrument</w:t>
      </w:r>
      <w:r w:rsidRPr="009628E9">
        <w:t xml:space="preserve">. </w:t>
      </w:r>
    </w:p>
    <w:p w14:paraId="2DAAB8E4" w14:textId="33389DF3" w:rsidR="00017E2D" w:rsidRPr="009628E9" w:rsidRDefault="00391FA2" w:rsidP="00E31CC0">
      <w:pPr>
        <w:rPr>
          <w:b/>
          <w:szCs w:val="24"/>
        </w:rPr>
      </w:pPr>
      <w:r w:rsidRPr="009628E9">
        <w:rPr>
          <w:b/>
          <w:szCs w:val="24"/>
        </w:rPr>
        <w:lastRenderedPageBreak/>
        <w:t>Consultation</w:t>
      </w:r>
    </w:p>
    <w:p w14:paraId="5DA36C70" w14:textId="03D1139F" w:rsidR="00B04595" w:rsidRPr="009628E9" w:rsidRDefault="0042423B" w:rsidP="00B04595">
      <w:pPr>
        <w:spacing w:after="120"/>
        <w:rPr>
          <w:color w:val="FF0000"/>
        </w:rPr>
      </w:pPr>
      <w:r w:rsidRPr="009628E9">
        <w:rPr>
          <w:szCs w:val="24"/>
        </w:rPr>
        <w:t xml:space="preserve">This instrument affects companies that are </w:t>
      </w:r>
      <w:r w:rsidR="002870A9" w:rsidRPr="009628E9">
        <w:rPr>
          <w:szCs w:val="24"/>
        </w:rPr>
        <w:t>Responsible Person</w:t>
      </w:r>
      <w:r w:rsidRPr="009628E9">
        <w:rPr>
          <w:szCs w:val="24"/>
        </w:rPr>
        <w:t xml:space="preserve">s for all brands of all pharmaceutical items containing </w:t>
      </w:r>
      <w:r w:rsidR="00B04595" w:rsidRPr="009628E9">
        <w:t xml:space="preserve">clonidine and </w:t>
      </w:r>
      <w:proofErr w:type="spellStart"/>
      <w:r w:rsidR="00B04595" w:rsidRPr="009628E9">
        <w:t>pegfilgrastim</w:t>
      </w:r>
      <w:proofErr w:type="spellEnd"/>
      <w:r w:rsidR="009B7983" w:rsidRPr="009628E9">
        <w:t>.</w:t>
      </w:r>
    </w:p>
    <w:p w14:paraId="7B4E5004" w14:textId="6183FB26" w:rsidR="009424B9" w:rsidRPr="009628E9" w:rsidRDefault="00440D18" w:rsidP="00B04595">
      <w:pPr>
        <w:spacing w:after="120"/>
        <w:rPr>
          <w:szCs w:val="24"/>
        </w:rPr>
      </w:pPr>
      <w:r w:rsidRPr="009628E9">
        <w:rPr>
          <w:szCs w:val="24"/>
        </w:rPr>
        <w:t xml:space="preserve">All of the affected </w:t>
      </w:r>
      <w:r w:rsidR="002870A9" w:rsidRPr="009628E9">
        <w:rPr>
          <w:szCs w:val="24"/>
        </w:rPr>
        <w:t>Responsible Person</w:t>
      </w:r>
      <w:r w:rsidR="009424B9" w:rsidRPr="009628E9">
        <w:rPr>
          <w:szCs w:val="24"/>
        </w:rPr>
        <w:t xml:space="preserve">s </w:t>
      </w:r>
      <w:r w:rsidRPr="009628E9">
        <w:rPr>
          <w:szCs w:val="24"/>
        </w:rPr>
        <w:t xml:space="preserve">were consulted about the amendments. </w:t>
      </w:r>
      <w:r w:rsidR="009424B9" w:rsidRPr="009628E9">
        <w:rPr>
          <w:szCs w:val="24"/>
        </w:rPr>
        <w:t xml:space="preserve">No additional consultation with experts was undertaken, as consultation with affected </w:t>
      </w:r>
      <w:r w:rsidR="002870A9" w:rsidRPr="009628E9">
        <w:rPr>
          <w:szCs w:val="24"/>
        </w:rPr>
        <w:t>Responsible Person</w:t>
      </w:r>
      <w:r w:rsidR="009424B9" w:rsidRPr="009628E9">
        <w:rPr>
          <w:szCs w:val="24"/>
        </w:rPr>
        <w:t>s drew on the knowledge of persons with relevant expertise.</w:t>
      </w:r>
    </w:p>
    <w:p w14:paraId="7AB53698" w14:textId="10CF65F1" w:rsidR="00185C7F" w:rsidRPr="009628E9" w:rsidRDefault="002A3381" w:rsidP="00FF169C">
      <w:pPr>
        <w:spacing w:after="120"/>
        <w:rPr>
          <w:i/>
        </w:rPr>
      </w:pPr>
      <w:r w:rsidRPr="009628E9">
        <w:rPr>
          <w:szCs w:val="24"/>
        </w:rPr>
        <w:t>This instrument commences on the day after it is registered on th</w:t>
      </w:r>
      <w:r w:rsidR="00C43E16" w:rsidRPr="009628E9">
        <w:rPr>
          <w:szCs w:val="24"/>
        </w:rPr>
        <w:t>e Federal Register of Legislation</w:t>
      </w:r>
      <w:r w:rsidR="003F11C4" w:rsidRPr="009628E9">
        <w:rPr>
          <w:szCs w:val="24"/>
        </w:rPr>
        <w:t xml:space="preserve">. </w:t>
      </w:r>
      <w:r w:rsidRPr="009628E9">
        <w:t xml:space="preserve">This instrument is a legislative instrument for the purposes of the </w:t>
      </w:r>
      <w:r w:rsidR="00C43E16" w:rsidRPr="009628E9">
        <w:rPr>
          <w:i/>
        </w:rPr>
        <w:t>Legislation</w:t>
      </w:r>
      <w:r w:rsidR="00E31CC0" w:rsidRPr="009628E9">
        <w:rPr>
          <w:i/>
        </w:rPr>
        <w:t> </w:t>
      </w:r>
      <w:r w:rsidRPr="009628E9">
        <w:rPr>
          <w:i/>
        </w:rPr>
        <w:t>Act</w:t>
      </w:r>
      <w:r w:rsidR="00E31CC0" w:rsidRPr="009628E9">
        <w:rPr>
          <w:i/>
        </w:rPr>
        <w:t> </w:t>
      </w:r>
      <w:r w:rsidRPr="009628E9">
        <w:rPr>
          <w:i/>
        </w:rPr>
        <w:t>2003.</w:t>
      </w:r>
    </w:p>
    <w:p w14:paraId="14FC53AB" w14:textId="77777777" w:rsidR="00185C7F" w:rsidRPr="009628E9" w:rsidRDefault="00185C7F" w:rsidP="00FF169C">
      <w:pPr>
        <w:spacing w:after="120"/>
        <w:rPr>
          <w:i/>
        </w:rPr>
      </w:pPr>
      <w:r w:rsidRPr="009628E9">
        <w:rPr>
          <w:i/>
        </w:rPr>
        <w:br w:type="page"/>
      </w:r>
    </w:p>
    <w:p w14:paraId="2F2270B5" w14:textId="77777777" w:rsidR="009B7B48" w:rsidRPr="000D3A43" w:rsidRDefault="00185C7F" w:rsidP="00FF169C">
      <w:pPr>
        <w:spacing w:after="120"/>
        <w:rPr>
          <w:i/>
        </w:rPr>
      </w:pPr>
      <w:r w:rsidRPr="009628E9">
        <w:rPr>
          <w:noProof/>
          <w:szCs w:val="24"/>
        </w:rPr>
        <w:lastRenderedPageBreak/>
        <mc:AlternateContent>
          <mc:Choice Requires="wps">
            <w:drawing>
              <wp:anchor distT="0" distB="0" distL="114300" distR="114300" simplePos="0" relativeHeight="251659776" behindDoc="0" locked="0" layoutInCell="1" allowOverlap="1" wp14:anchorId="574AA253" wp14:editId="65422A6F">
                <wp:simplePos x="0" y="0"/>
                <wp:positionH relativeFrom="column">
                  <wp:posOffset>-180753</wp:posOffset>
                </wp:positionH>
                <wp:positionV relativeFrom="paragraph">
                  <wp:posOffset>-223284</wp:posOffset>
                </wp:positionV>
                <wp:extent cx="6118860" cy="9440722"/>
                <wp:effectExtent l="38100" t="38100" r="34290" b="463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440722"/>
                        </a:xfrm>
                        <a:prstGeom prst="rect">
                          <a:avLst/>
                        </a:prstGeom>
                        <a:solidFill>
                          <a:srgbClr val="FFFFFF"/>
                        </a:solidFill>
                        <a:ln w="76200" cmpd="tri">
                          <a:solidFill>
                            <a:srgbClr val="000000"/>
                          </a:solidFill>
                          <a:miter lim="800000"/>
                          <a:headEnd/>
                          <a:tailEnd/>
                        </a:ln>
                      </wps:spPr>
                      <wps:txbx>
                        <w:txbxContent>
                          <w:p w14:paraId="5648CDCA" w14:textId="77777777" w:rsidR="006B4542" w:rsidRPr="00953EC8" w:rsidRDefault="006B4542" w:rsidP="00CC1263">
                            <w:pPr>
                              <w:spacing w:before="60" w:after="60"/>
                              <w:jc w:val="center"/>
                              <w:rPr>
                                <w:b/>
                                <w:szCs w:val="24"/>
                              </w:rPr>
                            </w:pPr>
                            <w:r w:rsidRPr="00953EC8">
                              <w:rPr>
                                <w:b/>
                                <w:szCs w:val="24"/>
                              </w:rPr>
                              <w:t>Statement of Compatibility with Human Rights</w:t>
                            </w:r>
                          </w:p>
                          <w:p w14:paraId="420B924D" w14:textId="77777777"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14:paraId="4FC35627" w14:textId="0A9640EA" w:rsidR="005A1243" w:rsidRDefault="005A1243" w:rsidP="00CC1263">
                            <w:pPr>
                              <w:spacing w:before="60" w:after="120"/>
                              <w:jc w:val="center"/>
                              <w:rPr>
                                <w:b/>
                                <w:i/>
                                <w:szCs w:val="24"/>
                              </w:rPr>
                            </w:pPr>
                            <w:r w:rsidRPr="005A1243">
                              <w:rPr>
                                <w:b/>
                                <w:i/>
                                <w:szCs w:val="24"/>
                              </w:rPr>
                              <w:t xml:space="preserve">National Health (Weighted average disclosed price – </w:t>
                            </w:r>
                            <w:r w:rsidR="000E0456">
                              <w:rPr>
                                <w:b/>
                                <w:i/>
                                <w:szCs w:val="24"/>
                              </w:rPr>
                              <w:t>October</w:t>
                            </w:r>
                            <w:r w:rsidRPr="005A1243">
                              <w:rPr>
                                <w:b/>
                                <w:i/>
                                <w:szCs w:val="24"/>
                              </w:rPr>
                              <w:t xml:space="preserve"> 2021 reduction day) Amendment Determination 2021 </w:t>
                            </w:r>
                          </w:p>
                          <w:p w14:paraId="681D7943" w14:textId="705A3580"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4DC1FCB2" w14:textId="77777777" w:rsidR="006B4542" w:rsidRPr="00953EC8" w:rsidRDefault="006B4542" w:rsidP="00CC1263">
                            <w:pPr>
                              <w:spacing w:before="60" w:after="60"/>
                              <w:jc w:val="both"/>
                              <w:rPr>
                                <w:b/>
                                <w:szCs w:val="24"/>
                              </w:rPr>
                            </w:pPr>
                            <w:r w:rsidRPr="00953EC8">
                              <w:rPr>
                                <w:b/>
                                <w:szCs w:val="24"/>
                              </w:rPr>
                              <w:t>Overview of the Legislative Instrument</w:t>
                            </w:r>
                          </w:p>
                          <w:p w14:paraId="26080E16" w14:textId="37494586" w:rsidR="006B4542" w:rsidRDefault="006B4542" w:rsidP="00CC1263">
                            <w:pPr>
                              <w:spacing w:before="60" w:after="120"/>
                              <w:rPr>
                                <w:szCs w:val="24"/>
                              </w:rPr>
                            </w:pPr>
                            <w:r w:rsidRPr="00953EC8">
                              <w:rPr>
                                <w:szCs w:val="24"/>
                              </w:rPr>
                              <w:t>This</w:t>
                            </w:r>
                            <w:r>
                              <w:rPr>
                                <w:szCs w:val="24"/>
                              </w:rPr>
                              <w:t xml:space="preserve"> instrument amends the </w:t>
                            </w:r>
                            <w:r w:rsidR="005A1243" w:rsidRPr="005A1243">
                              <w:rPr>
                                <w:i/>
                                <w:szCs w:val="24"/>
                              </w:rPr>
                              <w:t xml:space="preserve">National Health (Weighted average disclosed price – </w:t>
                            </w:r>
                            <w:r w:rsidR="000E0456">
                              <w:rPr>
                                <w:i/>
                                <w:szCs w:val="24"/>
                              </w:rPr>
                              <w:t>October</w:t>
                            </w:r>
                            <w:r w:rsidR="005A1243" w:rsidRPr="005A1243">
                              <w:rPr>
                                <w:i/>
                                <w:szCs w:val="24"/>
                              </w:rPr>
                              <w:t xml:space="preserve"> 2021 reduction day) Determination 202</w:t>
                            </w:r>
                            <w:r w:rsidR="000E0456">
                              <w:rPr>
                                <w:i/>
                                <w:szCs w:val="24"/>
                              </w:rPr>
                              <w:t>1</w:t>
                            </w:r>
                            <w:r w:rsidR="002A02F4" w:rsidRPr="002A02F4">
                              <w:rPr>
                                <w:i/>
                                <w:szCs w:val="24"/>
                              </w:rPr>
                              <w:t xml:space="preserve"> </w:t>
                            </w:r>
                            <w:r w:rsidRPr="002A4FEE">
                              <w:rPr>
                                <w:szCs w:val="24"/>
                              </w:rPr>
                              <w:t>(the Principal Instrum</w:t>
                            </w:r>
                            <w:r w:rsidR="00C27CBD">
                              <w:rPr>
                                <w:szCs w:val="24"/>
                              </w:rPr>
                              <w:t xml:space="preserve">ent) to: </w:t>
                            </w:r>
                            <w:r w:rsidR="003F6987">
                              <w:rPr>
                                <w:szCs w:val="24"/>
                              </w:rPr>
                              <w:t xml:space="preserve">a) amend prices of brands of pharmaceutical items which continue to have a price reduction on reduction day, </w:t>
                            </w:r>
                            <w:r w:rsidR="003F6987" w:rsidRPr="00BF1CA0">
                              <w:rPr>
                                <w:szCs w:val="24"/>
                              </w:rPr>
                              <w:t>b</w:t>
                            </w:r>
                            <w:r w:rsidR="004644B7" w:rsidRPr="003F6987">
                              <w:rPr>
                                <w:szCs w:val="24"/>
                              </w:rPr>
                              <w:t xml:space="preserve">) remove brands of pharmaceutical items which will no longer have a price reduction on reduction day, </w:t>
                            </w:r>
                            <w:r w:rsidR="00E31CC0" w:rsidRPr="003F6987">
                              <w:rPr>
                                <w:szCs w:val="24"/>
                              </w:rPr>
                              <w:t xml:space="preserve">and </w:t>
                            </w:r>
                            <w:r w:rsidR="003F6987">
                              <w:rPr>
                                <w:szCs w:val="24"/>
                              </w:rPr>
                              <w:t>c</w:t>
                            </w:r>
                            <w:r w:rsidR="00C27CBD" w:rsidRPr="003F6987">
                              <w:rPr>
                                <w:szCs w:val="24"/>
                              </w:rPr>
                              <w:t>)</w:t>
                            </w:r>
                            <w:r w:rsidR="006E787F" w:rsidRPr="003F6987">
                              <w:rPr>
                                <w:szCs w:val="24"/>
                              </w:rPr>
                              <w:t xml:space="preserve"> insert prices for new brand</w:t>
                            </w:r>
                            <w:r w:rsidR="003F6987">
                              <w:rPr>
                                <w:szCs w:val="24"/>
                              </w:rPr>
                              <w:t>s</w:t>
                            </w:r>
                            <w:r w:rsidR="006E787F" w:rsidRPr="003F6987">
                              <w:rPr>
                                <w:szCs w:val="24"/>
                              </w:rPr>
                              <w:t xml:space="preserve"> of new pharmaceutical item</w:t>
                            </w:r>
                            <w:r w:rsidR="003F6987">
                              <w:rPr>
                                <w:szCs w:val="24"/>
                              </w:rPr>
                              <w:t>s</w:t>
                            </w:r>
                            <w:r w:rsidR="006E787F" w:rsidRPr="003F6987">
                              <w:rPr>
                                <w:szCs w:val="24"/>
                              </w:rPr>
                              <w:t>.</w:t>
                            </w:r>
                          </w:p>
                          <w:p w14:paraId="1E11182B" w14:textId="77777777"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14:paraId="22A552F1" w14:textId="77777777" w:rsidR="00592E67" w:rsidRDefault="00592E67" w:rsidP="00CC1263">
                            <w:pPr>
                              <w:spacing w:before="60" w:after="120"/>
                              <w:rPr>
                                <w:szCs w:val="24"/>
                              </w:rPr>
                            </w:pPr>
                            <w:r w:rsidRPr="00953EC8">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Pr>
                                <w:i/>
                                <w:szCs w:val="24"/>
                              </w:rPr>
                              <w:t>2017</w:t>
                            </w:r>
                            <w:r w:rsidRPr="00953EC8">
                              <w:rPr>
                                <w:szCs w:val="24"/>
                              </w:rPr>
                              <w:t>.</w:t>
                            </w:r>
                          </w:p>
                          <w:p w14:paraId="6C86E427" w14:textId="0B2EEF77"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w:t>
                            </w:r>
                            <w:r w:rsidR="000E0456">
                              <w:rPr>
                                <w:szCs w:val="24"/>
                              </w:rPr>
                              <w:t xml:space="preserve">October </w:t>
                            </w:r>
                            <w:r w:rsidR="005A1243">
                              <w:rPr>
                                <w:szCs w:val="24"/>
                              </w:rPr>
                              <w:t>2021</w:t>
                            </w:r>
                            <w:r w:rsidR="0011547D">
                              <w:rPr>
                                <w:szCs w:val="24"/>
                              </w:rPr>
                              <w:t xml:space="preserve"> </w:t>
                            </w:r>
                            <w:r w:rsidRPr="00154759">
                              <w:rPr>
                                <w:szCs w:val="24"/>
                              </w:rPr>
                              <w:t>under the statutory provisions for price disclosure</w:t>
                            </w:r>
                            <w:r>
                              <w:rPr>
                                <w:szCs w:val="24"/>
                              </w:rPr>
                              <w:t>.</w:t>
                            </w:r>
                          </w:p>
                          <w:p w14:paraId="0DEBAE3F" w14:textId="77777777" w:rsidR="006B4542" w:rsidRPr="00953EC8" w:rsidRDefault="006B4542" w:rsidP="00CC1263">
                            <w:pPr>
                              <w:spacing w:before="60" w:after="60"/>
                              <w:rPr>
                                <w:b/>
                                <w:szCs w:val="24"/>
                              </w:rPr>
                            </w:pPr>
                            <w:r w:rsidRPr="00953EC8">
                              <w:rPr>
                                <w:b/>
                                <w:szCs w:val="24"/>
                              </w:rPr>
                              <w:t>Human rights implications</w:t>
                            </w:r>
                          </w:p>
                          <w:p w14:paraId="02BEA76F" w14:textId="77777777" w:rsidR="00592E67" w:rsidRPr="00953EC8" w:rsidRDefault="00592E67" w:rsidP="00592E67">
                            <w:pPr>
                              <w:spacing w:before="120" w:after="120"/>
                              <w:rPr>
                                <w:szCs w:val="24"/>
                              </w:rPr>
                            </w:pPr>
                            <w:r w:rsidRPr="00953EC8">
                              <w:rPr>
                                <w:szCs w:val="24"/>
                              </w:rPr>
                              <w:t xml:space="preserve">This </w:t>
                            </w:r>
                            <w:r>
                              <w:rPr>
                                <w:szCs w:val="24"/>
                              </w:rPr>
                              <w:t>Determination</w:t>
                            </w:r>
                            <w:r w:rsidRPr="00953EC8">
                              <w:rPr>
                                <w:szCs w:val="24"/>
                              </w:rPr>
                              <w:t xml:space="preserve"> 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6729F94E" w14:textId="77777777" w:rsidR="00592E67" w:rsidRPr="00953EC8" w:rsidRDefault="00592E67" w:rsidP="00592E67">
                            <w:pPr>
                              <w:spacing w:before="120" w:after="120"/>
                              <w:rPr>
                                <w:szCs w:val="24"/>
                              </w:rPr>
                            </w:pPr>
                            <w:r w:rsidRPr="00953EC8">
                              <w:rPr>
                                <w:szCs w:val="24"/>
                              </w:rPr>
                              <w:t xml:space="preserve">The PBS is a benefit scheme </w:t>
                            </w:r>
                            <w:r>
                              <w:rPr>
                                <w:szCs w:val="24"/>
                              </w:rPr>
                              <w:t>that</w:t>
                            </w:r>
                            <w:r w:rsidRPr="00953EC8">
                              <w:rPr>
                                <w:szCs w:val="24"/>
                              </w:rPr>
                              <w:t xml:space="preserve"> assists </w:t>
                            </w:r>
                            <w:r>
                              <w:rPr>
                                <w:szCs w:val="24"/>
                              </w:rPr>
                              <w:t xml:space="preserve">providing subsidised access to medicines for people. This is a positive and supportive step towards attaining the highest standard of health for all Australians. </w:t>
                            </w: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14:paraId="192B498F" w14:textId="77777777" w:rsidR="006B4542" w:rsidRPr="00953EC8" w:rsidRDefault="006B4542" w:rsidP="00CC1263">
                            <w:pPr>
                              <w:spacing w:before="60" w:after="60"/>
                              <w:rPr>
                                <w:b/>
                                <w:szCs w:val="24"/>
                              </w:rPr>
                            </w:pPr>
                            <w:r w:rsidRPr="00953EC8">
                              <w:rPr>
                                <w:b/>
                                <w:szCs w:val="24"/>
                              </w:rPr>
                              <w:t>Conclusion</w:t>
                            </w:r>
                          </w:p>
                          <w:p w14:paraId="2CB1B57D" w14:textId="3BAB45D3" w:rsidR="006B4542" w:rsidRPr="00953EC8" w:rsidRDefault="006B4542" w:rsidP="00CC1263">
                            <w:pPr>
                              <w:autoSpaceDE w:val="0"/>
                              <w:autoSpaceDN w:val="0"/>
                              <w:adjustRightInd w:val="0"/>
                              <w:spacing w:before="60" w:after="120"/>
                              <w:rPr>
                                <w:szCs w:val="24"/>
                              </w:rPr>
                            </w:pPr>
                            <w:r w:rsidRPr="00953EC8">
                              <w:rPr>
                                <w:szCs w:val="24"/>
                              </w:rPr>
                              <w:t xml:space="preserve">This </w:t>
                            </w:r>
                            <w:r w:rsidR="00592E67">
                              <w:rPr>
                                <w:szCs w:val="24"/>
                              </w:rPr>
                              <w:t>Determination</w:t>
                            </w:r>
                            <w:r w:rsidRPr="00953EC8">
                              <w:rPr>
                                <w:szCs w:val="24"/>
                              </w:rPr>
                              <w:t xml:space="preserve"> is compatible with human rights because it advances the protection of human rights.</w:t>
                            </w:r>
                          </w:p>
                          <w:p w14:paraId="388C3B47" w14:textId="77777777" w:rsidR="006B4542" w:rsidRPr="00953EC8" w:rsidRDefault="00CC041D" w:rsidP="00712852">
                            <w:pPr>
                              <w:widowControl w:val="0"/>
                              <w:tabs>
                                <w:tab w:val="left" w:pos="3119"/>
                              </w:tabs>
                              <w:spacing w:line="300" w:lineRule="atLeast"/>
                              <w:jc w:val="center"/>
                              <w:rPr>
                                <w:b/>
                                <w:szCs w:val="24"/>
                              </w:rPr>
                            </w:pPr>
                            <w:r>
                              <w:rPr>
                                <w:b/>
                                <w:szCs w:val="24"/>
                              </w:rPr>
                              <w:t xml:space="preserve">Adriana </w:t>
                            </w:r>
                            <w:proofErr w:type="spellStart"/>
                            <w:r>
                              <w:rPr>
                                <w:b/>
                                <w:szCs w:val="24"/>
                              </w:rPr>
                              <w:t>Platona</w:t>
                            </w:r>
                            <w:proofErr w:type="spellEnd"/>
                            <w:r w:rsidR="006B4542" w:rsidRPr="00953EC8">
                              <w:rPr>
                                <w:b/>
                                <w:szCs w:val="24"/>
                              </w:rPr>
                              <w:br/>
                              <w:t>First Assistant Secretary</w:t>
                            </w:r>
                            <w:r w:rsidR="006B4542" w:rsidRPr="00953EC8">
                              <w:rPr>
                                <w:b/>
                                <w:szCs w:val="24"/>
                              </w:rPr>
                              <w:br/>
                            </w:r>
                            <w:r w:rsidR="006B4542">
                              <w:rPr>
                                <w:b/>
                                <w:szCs w:val="24"/>
                              </w:rPr>
                              <w:t>Technology Assessment and Access</w:t>
                            </w:r>
                            <w:r w:rsidR="006B4542" w:rsidRPr="00953EC8">
                              <w:rPr>
                                <w:b/>
                                <w:szCs w:val="24"/>
                              </w:rPr>
                              <w:t xml:space="preserve"> Division</w:t>
                            </w:r>
                            <w:r w:rsidR="006B4542"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A253" id="Rectangle 2" o:spid="_x0000_s1026" style="position:absolute;margin-left:-14.25pt;margin-top:-17.6pt;width:481.8pt;height:74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" strokeweight="6pt">
                <v:stroke linestyle="thickBetweenThin"/>
                <v:textbox inset="5mm,,5mm">
                  <w:txbxContent>
                    <w:p w14:paraId="5648CDCA" w14:textId="77777777" w:rsidR="006B4542" w:rsidRPr="00953EC8" w:rsidRDefault="006B4542" w:rsidP="00CC1263">
                      <w:pPr>
                        <w:spacing w:before="60" w:after="60"/>
                        <w:jc w:val="center"/>
                        <w:rPr>
                          <w:b/>
                          <w:szCs w:val="24"/>
                        </w:rPr>
                      </w:pPr>
                      <w:r w:rsidRPr="00953EC8">
                        <w:rPr>
                          <w:b/>
                          <w:szCs w:val="24"/>
                        </w:rPr>
                        <w:t>Statement of Compatibility with Human Rights</w:t>
                      </w:r>
                    </w:p>
                    <w:p w14:paraId="420B924D" w14:textId="77777777"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14:paraId="4FC35627" w14:textId="0A9640EA" w:rsidR="005A1243" w:rsidRDefault="005A1243" w:rsidP="00CC1263">
                      <w:pPr>
                        <w:spacing w:before="60" w:after="120"/>
                        <w:jc w:val="center"/>
                        <w:rPr>
                          <w:b/>
                          <w:i/>
                          <w:szCs w:val="24"/>
                        </w:rPr>
                      </w:pPr>
                      <w:r w:rsidRPr="005A1243">
                        <w:rPr>
                          <w:b/>
                          <w:i/>
                          <w:szCs w:val="24"/>
                        </w:rPr>
                        <w:t xml:space="preserve">National Health (Weighted average disclosed price – </w:t>
                      </w:r>
                      <w:r w:rsidR="000E0456">
                        <w:rPr>
                          <w:b/>
                          <w:i/>
                          <w:szCs w:val="24"/>
                        </w:rPr>
                        <w:t>October</w:t>
                      </w:r>
                      <w:r w:rsidRPr="005A1243">
                        <w:rPr>
                          <w:b/>
                          <w:i/>
                          <w:szCs w:val="24"/>
                        </w:rPr>
                        <w:t xml:space="preserve"> 2021 reduction day) Amendment Determination 2021 </w:t>
                      </w:r>
                    </w:p>
                    <w:p w14:paraId="681D7943" w14:textId="705A3580"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4DC1FCB2" w14:textId="77777777" w:rsidR="006B4542" w:rsidRPr="00953EC8" w:rsidRDefault="006B4542" w:rsidP="00CC1263">
                      <w:pPr>
                        <w:spacing w:before="60" w:after="60"/>
                        <w:jc w:val="both"/>
                        <w:rPr>
                          <w:b/>
                          <w:szCs w:val="24"/>
                        </w:rPr>
                      </w:pPr>
                      <w:r w:rsidRPr="00953EC8">
                        <w:rPr>
                          <w:b/>
                          <w:szCs w:val="24"/>
                        </w:rPr>
                        <w:t>Overview of the Legislative Instrument</w:t>
                      </w:r>
                    </w:p>
                    <w:p w14:paraId="26080E16" w14:textId="37494586" w:rsidR="006B4542" w:rsidRDefault="006B4542" w:rsidP="00CC1263">
                      <w:pPr>
                        <w:spacing w:before="60" w:after="120"/>
                        <w:rPr>
                          <w:szCs w:val="24"/>
                        </w:rPr>
                      </w:pPr>
                      <w:r w:rsidRPr="00953EC8">
                        <w:rPr>
                          <w:szCs w:val="24"/>
                        </w:rPr>
                        <w:t>This</w:t>
                      </w:r>
                      <w:r>
                        <w:rPr>
                          <w:szCs w:val="24"/>
                        </w:rPr>
                        <w:t xml:space="preserve"> instrument amends the </w:t>
                      </w:r>
                      <w:r w:rsidR="005A1243" w:rsidRPr="005A1243">
                        <w:rPr>
                          <w:i/>
                          <w:szCs w:val="24"/>
                        </w:rPr>
                        <w:t xml:space="preserve">National Health (Weighted average disclosed price – </w:t>
                      </w:r>
                      <w:r w:rsidR="000E0456">
                        <w:rPr>
                          <w:i/>
                          <w:szCs w:val="24"/>
                        </w:rPr>
                        <w:t>October</w:t>
                      </w:r>
                      <w:r w:rsidR="005A1243" w:rsidRPr="005A1243">
                        <w:rPr>
                          <w:i/>
                          <w:szCs w:val="24"/>
                        </w:rPr>
                        <w:t xml:space="preserve"> 2021 reduction day) Determination 202</w:t>
                      </w:r>
                      <w:r w:rsidR="000E0456">
                        <w:rPr>
                          <w:i/>
                          <w:szCs w:val="24"/>
                        </w:rPr>
                        <w:t>1</w:t>
                      </w:r>
                      <w:r w:rsidR="002A02F4" w:rsidRPr="002A02F4">
                        <w:rPr>
                          <w:i/>
                          <w:szCs w:val="24"/>
                        </w:rPr>
                        <w:t xml:space="preserve"> </w:t>
                      </w:r>
                      <w:r w:rsidRPr="002A4FEE">
                        <w:rPr>
                          <w:szCs w:val="24"/>
                        </w:rPr>
                        <w:t>(the Principal Instrum</w:t>
                      </w:r>
                      <w:r w:rsidR="00C27CBD">
                        <w:rPr>
                          <w:szCs w:val="24"/>
                        </w:rPr>
                        <w:t xml:space="preserve">ent) to: </w:t>
                      </w:r>
                      <w:r w:rsidR="003F6987">
                        <w:rPr>
                          <w:szCs w:val="24"/>
                        </w:rPr>
                        <w:t xml:space="preserve">a) amend prices of brands of pharmaceutical items which continue to have a price reduction on reduction day, </w:t>
                      </w:r>
                      <w:r w:rsidR="003F6987" w:rsidRPr="00BF1CA0">
                        <w:rPr>
                          <w:szCs w:val="24"/>
                        </w:rPr>
                        <w:t>b</w:t>
                      </w:r>
                      <w:r w:rsidR="004644B7" w:rsidRPr="003F6987">
                        <w:rPr>
                          <w:szCs w:val="24"/>
                        </w:rPr>
                        <w:t xml:space="preserve">) remove brands of pharmaceutical items which will no longer have a price reduction on reduction day, </w:t>
                      </w:r>
                      <w:r w:rsidR="00E31CC0" w:rsidRPr="003F6987">
                        <w:rPr>
                          <w:szCs w:val="24"/>
                        </w:rPr>
                        <w:t xml:space="preserve">and </w:t>
                      </w:r>
                      <w:r w:rsidR="003F6987">
                        <w:rPr>
                          <w:szCs w:val="24"/>
                        </w:rPr>
                        <w:t>c</w:t>
                      </w:r>
                      <w:r w:rsidR="00C27CBD" w:rsidRPr="003F6987">
                        <w:rPr>
                          <w:szCs w:val="24"/>
                        </w:rPr>
                        <w:t>)</w:t>
                      </w:r>
                      <w:r w:rsidR="006E787F" w:rsidRPr="003F6987">
                        <w:rPr>
                          <w:szCs w:val="24"/>
                        </w:rPr>
                        <w:t xml:space="preserve"> insert prices for new brand</w:t>
                      </w:r>
                      <w:r w:rsidR="003F6987">
                        <w:rPr>
                          <w:szCs w:val="24"/>
                        </w:rPr>
                        <w:t>s</w:t>
                      </w:r>
                      <w:r w:rsidR="006E787F" w:rsidRPr="003F6987">
                        <w:rPr>
                          <w:szCs w:val="24"/>
                        </w:rPr>
                        <w:t xml:space="preserve"> of new pharmaceutical item</w:t>
                      </w:r>
                      <w:r w:rsidR="003F6987">
                        <w:rPr>
                          <w:szCs w:val="24"/>
                        </w:rPr>
                        <w:t>s</w:t>
                      </w:r>
                      <w:r w:rsidR="006E787F" w:rsidRPr="003F6987">
                        <w:rPr>
                          <w:szCs w:val="24"/>
                        </w:rPr>
                        <w:t>.</w:t>
                      </w:r>
                    </w:p>
                    <w:p w14:paraId="1E11182B" w14:textId="77777777"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14:paraId="22A552F1" w14:textId="77777777" w:rsidR="00592E67" w:rsidRDefault="00592E67" w:rsidP="00CC1263">
                      <w:pPr>
                        <w:spacing w:before="60" w:after="120"/>
                        <w:rPr>
                          <w:szCs w:val="24"/>
                        </w:rPr>
                      </w:pPr>
                      <w:r w:rsidRPr="00953EC8">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Pr>
                          <w:i/>
                          <w:szCs w:val="24"/>
                        </w:rPr>
                        <w:t>2017</w:t>
                      </w:r>
                      <w:r w:rsidRPr="00953EC8">
                        <w:rPr>
                          <w:szCs w:val="24"/>
                        </w:rPr>
                        <w:t>.</w:t>
                      </w:r>
                    </w:p>
                    <w:p w14:paraId="6C86E427" w14:textId="0B2EEF77"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w:t>
                      </w:r>
                      <w:r w:rsidR="000E0456">
                        <w:rPr>
                          <w:szCs w:val="24"/>
                        </w:rPr>
                        <w:t xml:space="preserve">October </w:t>
                      </w:r>
                      <w:r w:rsidR="005A1243">
                        <w:rPr>
                          <w:szCs w:val="24"/>
                        </w:rPr>
                        <w:t>2021</w:t>
                      </w:r>
                      <w:r w:rsidR="0011547D">
                        <w:rPr>
                          <w:szCs w:val="24"/>
                        </w:rPr>
                        <w:t xml:space="preserve"> </w:t>
                      </w:r>
                      <w:r w:rsidRPr="00154759">
                        <w:rPr>
                          <w:szCs w:val="24"/>
                        </w:rPr>
                        <w:t>under the statutory provisions for price disclosure</w:t>
                      </w:r>
                      <w:r>
                        <w:rPr>
                          <w:szCs w:val="24"/>
                        </w:rPr>
                        <w:t>.</w:t>
                      </w:r>
                    </w:p>
                    <w:p w14:paraId="0DEBAE3F" w14:textId="77777777" w:rsidR="006B4542" w:rsidRPr="00953EC8" w:rsidRDefault="006B4542" w:rsidP="00CC1263">
                      <w:pPr>
                        <w:spacing w:before="60" w:after="60"/>
                        <w:rPr>
                          <w:b/>
                          <w:szCs w:val="24"/>
                        </w:rPr>
                      </w:pPr>
                      <w:r w:rsidRPr="00953EC8">
                        <w:rPr>
                          <w:b/>
                          <w:szCs w:val="24"/>
                        </w:rPr>
                        <w:t>Human rights implications</w:t>
                      </w:r>
                    </w:p>
                    <w:p w14:paraId="02BEA76F" w14:textId="77777777" w:rsidR="00592E67" w:rsidRPr="00953EC8" w:rsidRDefault="00592E67" w:rsidP="00592E67">
                      <w:pPr>
                        <w:spacing w:before="120" w:after="120"/>
                        <w:rPr>
                          <w:szCs w:val="24"/>
                        </w:rPr>
                      </w:pPr>
                      <w:r w:rsidRPr="00953EC8">
                        <w:rPr>
                          <w:szCs w:val="24"/>
                        </w:rPr>
                        <w:t xml:space="preserve">This </w:t>
                      </w:r>
                      <w:r>
                        <w:rPr>
                          <w:szCs w:val="24"/>
                        </w:rPr>
                        <w:t>Determination</w:t>
                      </w:r>
                      <w:r w:rsidRPr="00953EC8">
                        <w:rPr>
                          <w:szCs w:val="24"/>
                        </w:rPr>
                        <w:t xml:space="preserve"> 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6729F94E" w14:textId="77777777" w:rsidR="00592E67" w:rsidRPr="00953EC8" w:rsidRDefault="00592E67" w:rsidP="00592E67">
                      <w:pPr>
                        <w:spacing w:before="120" w:after="120"/>
                        <w:rPr>
                          <w:szCs w:val="24"/>
                        </w:rPr>
                      </w:pPr>
                      <w:r w:rsidRPr="00953EC8">
                        <w:rPr>
                          <w:szCs w:val="24"/>
                        </w:rPr>
                        <w:t xml:space="preserve">The PBS is a benefit scheme </w:t>
                      </w:r>
                      <w:r>
                        <w:rPr>
                          <w:szCs w:val="24"/>
                        </w:rPr>
                        <w:t>that</w:t>
                      </w:r>
                      <w:r w:rsidRPr="00953EC8">
                        <w:rPr>
                          <w:szCs w:val="24"/>
                        </w:rPr>
                        <w:t xml:space="preserve"> assists </w:t>
                      </w:r>
                      <w:r>
                        <w:rPr>
                          <w:szCs w:val="24"/>
                        </w:rPr>
                        <w:t xml:space="preserve">providing subsidised access to medicines for people. This is a positive and supportive step towards attaining the highest standard of health for all Australians. </w:t>
                      </w: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14:paraId="192B498F" w14:textId="77777777" w:rsidR="006B4542" w:rsidRPr="00953EC8" w:rsidRDefault="006B4542" w:rsidP="00CC1263">
                      <w:pPr>
                        <w:spacing w:before="60" w:after="60"/>
                        <w:rPr>
                          <w:b/>
                          <w:szCs w:val="24"/>
                        </w:rPr>
                      </w:pPr>
                      <w:r w:rsidRPr="00953EC8">
                        <w:rPr>
                          <w:b/>
                          <w:szCs w:val="24"/>
                        </w:rPr>
                        <w:t>Conclusion</w:t>
                      </w:r>
                    </w:p>
                    <w:p w14:paraId="2CB1B57D" w14:textId="3BAB45D3" w:rsidR="006B4542" w:rsidRPr="00953EC8" w:rsidRDefault="006B4542" w:rsidP="00CC1263">
                      <w:pPr>
                        <w:autoSpaceDE w:val="0"/>
                        <w:autoSpaceDN w:val="0"/>
                        <w:adjustRightInd w:val="0"/>
                        <w:spacing w:before="60" w:after="120"/>
                        <w:rPr>
                          <w:szCs w:val="24"/>
                        </w:rPr>
                      </w:pPr>
                      <w:r w:rsidRPr="00953EC8">
                        <w:rPr>
                          <w:szCs w:val="24"/>
                        </w:rPr>
                        <w:t xml:space="preserve">This </w:t>
                      </w:r>
                      <w:r w:rsidR="00592E67">
                        <w:rPr>
                          <w:szCs w:val="24"/>
                        </w:rPr>
                        <w:t>Determination</w:t>
                      </w:r>
                      <w:r w:rsidRPr="00953EC8">
                        <w:rPr>
                          <w:szCs w:val="24"/>
                        </w:rPr>
                        <w:t xml:space="preserve"> is compatible with human rights because it advances the protection of human rights.</w:t>
                      </w:r>
                    </w:p>
                    <w:p w14:paraId="388C3B47" w14:textId="77777777" w:rsidR="006B4542" w:rsidRPr="00953EC8" w:rsidRDefault="00CC041D" w:rsidP="00712852">
                      <w:pPr>
                        <w:widowControl w:val="0"/>
                        <w:tabs>
                          <w:tab w:val="left" w:pos="3119"/>
                        </w:tabs>
                        <w:spacing w:line="300" w:lineRule="atLeast"/>
                        <w:jc w:val="center"/>
                        <w:rPr>
                          <w:b/>
                          <w:szCs w:val="24"/>
                        </w:rPr>
                      </w:pPr>
                      <w:r>
                        <w:rPr>
                          <w:b/>
                          <w:szCs w:val="24"/>
                        </w:rPr>
                        <w:t xml:space="preserve">Adriana </w:t>
                      </w:r>
                      <w:proofErr w:type="spellStart"/>
                      <w:r>
                        <w:rPr>
                          <w:b/>
                          <w:szCs w:val="24"/>
                        </w:rPr>
                        <w:t>Platona</w:t>
                      </w:r>
                      <w:proofErr w:type="spellEnd"/>
                      <w:r w:rsidR="006B4542" w:rsidRPr="00953EC8">
                        <w:rPr>
                          <w:b/>
                          <w:szCs w:val="24"/>
                        </w:rPr>
                        <w:br/>
                        <w:t>First Assistant Secretary</w:t>
                      </w:r>
                      <w:r w:rsidR="006B4542" w:rsidRPr="00953EC8">
                        <w:rPr>
                          <w:b/>
                          <w:szCs w:val="24"/>
                        </w:rPr>
                        <w:br/>
                      </w:r>
                      <w:r w:rsidR="006B4542">
                        <w:rPr>
                          <w:b/>
                          <w:szCs w:val="24"/>
                        </w:rPr>
                        <w:t>Technology Assessment and Access</w:t>
                      </w:r>
                      <w:r w:rsidR="006B4542" w:rsidRPr="00953EC8">
                        <w:rPr>
                          <w:b/>
                          <w:szCs w:val="24"/>
                        </w:rPr>
                        <w:t xml:space="preserve"> Division</w:t>
                      </w:r>
                      <w:r w:rsidR="006B4542" w:rsidRPr="00953EC8">
                        <w:rPr>
                          <w:b/>
                          <w:szCs w:val="24"/>
                        </w:rPr>
                        <w:br/>
                        <w:t>Department of Health</w:t>
                      </w:r>
                    </w:p>
                  </w:txbxContent>
                </v:textbox>
              </v:rect>
            </w:pict>
          </mc:Fallback>
        </mc:AlternateContent>
      </w:r>
    </w:p>
    <w:sectPr w:rsidR="009B7B48" w:rsidRPr="000D3A43" w:rsidSect="001C2567">
      <w:headerReference w:type="default" r:id="rId8"/>
      <w:footerReference w:type="even" r:id="rId9"/>
      <w:footerReference w:type="default" r:id="rId10"/>
      <w:footerReference w:type="first" r:id="rId11"/>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9CB7B" w14:textId="77777777" w:rsidR="00ED3FB2" w:rsidRDefault="00ED3FB2">
      <w:r>
        <w:separator/>
      </w:r>
    </w:p>
  </w:endnote>
  <w:endnote w:type="continuationSeparator" w:id="0">
    <w:p w14:paraId="77334DF2" w14:textId="77777777" w:rsidR="00ED3FB2" w:rsidRDefault="00ED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FF17" w14:textId="77777777" w:rsidR="006B4542" w:rsidRDefault="006B4542"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23C589" w14:textId="77777777" w:rsidR="006B4542" w:rsidRDefault="006B4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349EC" w14:textId="77777777" w:rsidR="006B4542" w:rsidRDefault="006B4542" w:rsidP="00B724AB">
    <w:pPr>
      <w:pStyle w:val="Footer"/>
      <w:framePr w:wrap="around" w:vAnchor="text" w:hAnchor="margin" w:xAlign="center" w:y="1"/>
      <w:rPr>
        <w:rStyle w:val="PageNumber"/>
      </w:rPr>
    </w:pPr>
  </w:p>
  <w:p w14:paraId="1A37C6EB" w14:textId="77777777" w:rsidR="006B4542" w:rsidRDefault="006B4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D0D6" w14:textId="77777777" w:rsidR="006B4542" w:rsidRDefault="006B454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1486A" w14:textId="77777777" w:rsidR="00ED3FB2" w:rsidRDefault="00ED3FB2">
      <w:r>
        <w:separator/>
      </w:r>
    </w:p>
  </w:footnote>
  <w:footnote w:type="continuationSeparator" w:id="0">
    <w:p w14:paraId="6146FF1B" w14:textId="77777777" w:rsidR="00ED3FB2" w:rsidRDefault="00ED3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9F9A6" w14:textId="748E03FE" w:rsidR="006B4542" w:rsidRDefault="006B4542">
    <w:pPr>
      <w:pStyle w:val="Header"/>
      <w:jc w:val="center"/>
      <w:rPr>
        <w:noProof/>
      </w:rPr>
    </w:pPr>
    <w:r>
      <w:fldChar w:fldCharType="begin"/>
    </w:r>
    <w:r>
      <w:instrText xml:space="preserve"> PAGE   \* MERGEFORMAT </w:instrText>
    </w:r>
    <w:r>
      <w:fldChar w:fldCharType="separate"/>
    </w:r>
    <w:r w:rsidR="00F956D5">
      <w:rPr>
        <w:noProof/>
      </w:rPr>
      <w:t>2</w:t>
    </w:r>
    <w:r>
      <w:rPr>
        <w:noProof/>
      </w:rPr>
      <w:fldChar w:fldCharType="end"/>
    </w:r>
  </w:p>
  <w:p w14:paraId="55EB19CA" w14:textId="77777777" w:rsidR="006B4542" w:rsidRDefault="006B4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D000B"/>
    <w:multiLevelType w:val="hybridMultilevel"/>
    <w:tmpl w:val="BC34C3DA"/>
    <w:lvl w:ilvl="0" w:tplc="FEEAEB9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F7613"/>
    <w:multiLevelType w:val="hybridMultilevel"/>
    <w:tmpl w:val="1A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E6C8B"/>
    <w:multiLevelType w:val="hybridMultilevel"/>
    <w:tmpl w:val="BDF8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C2A13"/>
    <w:multiLevelType w:val="hybridMultilevel"/>
    <w:tmpl w:val="AA7495C6"/>
    <w:lvl w:ilvl="0" w:tplc="0C090001">
      <w:start w:val="1"/>
      <w:numFmt w:val="bullet"/>
      <w:lvlText w:val=""/>
      <w:lvlJc w:val="left"/>
      <w:pPr>
        <w:ind w:left="360" w:hanging="360"/>
      </w:pPr>
      <w:rPr>
        <w:rFonts w:ascii="Symbol" w:hAnsi="Symbol" w:hint="default"/>
        <w:i w:val="0"/>
      </w:rPr>
    </w:lvl>
    <w:lvl w:ilvl="1" w:tplc="0C090001">
      <w:start w:val="1"/>
      <w:numFmt w:val="bullet"/>
      <w:lvlText w:val=""/>
      <w:lvlJc w:val="left"/>
      <w:pPr>
        <w:ind w:left="785" w:hanging="360"/>
      </w:pPr>
      <w:rPr>
        <w:rFonts w:ascii="Symbol" w:hAnsi="Symbol" w:hint="default"/>
      </w:rPr>
    </w:lvl>
    <w:lvl w:ilvl="2" w:tplc="0C090003">
      <w:start w:val="1"/>
      <w:numFmt w:val="bullet"/>
      <w:lvlText w:val="o"/>
      <w:lvlJc w:val="left"/>
      <w:pPr>
        <w:ind w:left="747" w:hanging="180"/>
      </w:pPr>
      <w:rPr>
        <w:rFonts w:ascii="Courier New" w:hAnsi="Courier New" w:cs="Courier New" w:hint="default"/>
      </w:rPr>
    </w:lvl>
    <w:lvl w:ilvl="3" w:tplc="0C09000F">
      <w:start w:val="1"/>
      <w:numFmt w:val="decimal"/>
      <w:lvlText w:val="%4."/>
      <w:lvlJc w:val="left"/>
      <w:pPr>
        <w:ind w:left="2520" w:hanging="360"/>
      </w:pPr>
    </w:lvl>
    <w:lvl w:ilvl="4" w:tplc="91B2C4BC">
      <w:numFmt w:val="bullet"/>
      <w:lvlText w:val="•"/>
      <w:lvlJc w:val="left"/>
      <w:pPr>
        <w:ind w:left="3450" w:hanging="570"/>
      </w:pPr>
      <w:rPr>
        <w:rFonts w:ascii="Times New Roman" w:eastAsia="Times New Roman" w:hAnsi="Times New Roman" w:cs="Times New Roman"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7" w15:restartNumberingAfterBreak="0">
    <w:nsid w:val="1A630B6C"/>
    <w:multiLevelType w:val="hybridMultilevel"/>
    <w:tmpl w:val="A49C8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C61A7"/>
    <w:multiLevelType w:val="hybridMultilevel"/>
    <w:tmpl w:val="2A92A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1DA61426"/>
    <w:multiLevelType w:val="hybridMultilevel"/>
    <w:tmpl w:val="40AE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B66C4"/>
    <w:multiLevelType w:val="hybridMultilevel"/>
    <w:tmpl w:val="94249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98268C"/>
    <w:multiLevelType w:val="hybridMultilevel"/>
    <w:tmpl w:val="05DA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022B51"/>
    <w:multiLevelType w:val="hybridMultilevel"/>
    <w:tmpl w:val="1D0C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159EF"/>
    <w:multiLevelType w:val="hybridMultilevel"/>
    <w:tmpl w:val="CBF6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560660"/>
    <w:multiLevelType w:val="hybridMultilevel"/>
    <w:tmpl w:val="7334F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E7655"/>
    <w:multiLevelType w:val="hybridMultilevel"/>
    <w:tmpl w:val="FCB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712601"/>
    <w:multiLevelType w:val="hybridMultilevel"/>
    <w:tmpl w:val="5AEC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4A7FB3"/>
    <w:multiLevelType w:val="hybridMultilevel"/>
    <w:tmpl w:val="A984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172EF6"/>
    <w:multiLevelType w:val="hybridMultilevel"/>
    <w:tmpl w:val="A4F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E276F"/>
    <w:multiLevelType w:val="hybridMultilevel"/>
    <w:tmpl w:val="FD9C0B2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C6DE4"/>
    <w:multiLevelType w:val="hybridMultilevel"/>
    <w:tmpl w:val="3C9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602742"/>
    <w:multiLevelType w:val="hybridMultilevel"/>
    <w:tmpl w:val="ADC0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381A20"/>
    <w:multiLevelType w:val="hybridMultilevel"/>
    <w:tmpl w:val="0CB6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63093"/>
    <w:multiLevelType w:val="hybridMultilevel"/>
    <w:tmpl w:val="5434A3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577AAB"/>
    <w:multiLevelType w:val="hybridMultilevel"/>
    <w:tmpl w:val="AFD63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B555A3"/>
    <w:multiLevelType w:val="hybridMultilevel"/>
    <w:tmpl w:val="2EBA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914DFA"/>
    <w:multiLevelType w:val="hybridMultilevel"/>
    <w:tmpl w:val="CCF0AAFC"/>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3">
      <w:start w:val="1"/>
      <w:numFmt w:val="bullet"/>
      <w:lvlText w:val="o"/>
      <w:lvlJc w:val="left"/>
      <w:pPr>
        <w:ind w:left="708" w:hanging="360"/>
      </w:pPr>
      <w:rPr>
        <w:rFonts w:ascii="Courier New" w:hAnsi="Courier New" w:cs="Courier New" w:hint="default"/>
      </w:rPr>
    </w:lvl>
    <w:lvl w:ilvl="3" w:tplc="0C090003">
      <w:start w:val="1"/>
      <w:numFmt w:val="bullet"/>
      <w:lvlText w:val="o"/>
      <w:lvlJc w:val="left"/>
      <w:pPr>
        <w:ind w:left="567"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A7E70"/>
    <w:multiLevelType w:val="hybridMultilevel"/>
    <w:tmpl w:val="C25E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2"/>
  </w:num>
  <w:num w:numId="3">
    <w:abstractNumId w:val="30"/>
  </w:num>
  <w:num w:numId="4">
    <w:abstractNumId w:val="21"/>
  </w:num>
  <w:num w:numId="5">
    <w:abstractNumId w:val="12"/>
  </w:num>
  <w:num w:numId="6">
    <w:abstractNumId w:val="5"/>
  </w:num>
  <w:num w:numId="7">
    <w:abstractNumId w:val="12"/>
  </w:num>
  <w:num w:numId="8">
    <w:abstractNumId w:val="6"/>
  </w:num>
  <w:num w:numId="9">
    <w:abstractNumId w:val="22"/>
  </w:num>
  <w:num w:numId="10">
    <w:abstractNumId w:val="0"/>
  </w:num>
  <w:num w:numId="11">
    <w:abstractNumId w:val="31"/>
  </w:num>
  <w:num w:numId="12">
    <w:abstractNumId w:val="8"/>
  </w:num>
  <w:num w:numId="13">
    <w:abstractNumId w:val="11"/>
  </w:num>
  <w:num w:numId="14">
    <w:abstractNumId w:val="18"/>
  </w:num>
  <w:num w:numId="15">
    <w:abstractNumId w:val="23"/>
  </w:num>
  <w:num w:numId="16">
    <w:abstractNumId w:val="19"/>
  </w:num>
  <w:num w:numId="17">
    <w:abstractNumId w:val="13"/>
  </w:num>
  <w:num w:numId="18">
    <w:abstractNumId w:val="17"/>
  </w:num>
  <w:num w:numId="19">
    <w:abstractNumId w:val="2"/>
  </w:num>
  <w:num w:numId="20">
    <w:abstractNumId w:val="24"/>
  </w:num>
  <w:num w:numId="21">
    <w:abstractNumId w:val="15"/>
  </w:num>
  <w:num w:numId="22">
    <w:abstractNumId w:val="27"/>
  </w:num>
  <w:num w:numId="23">
    <w:abstractNumId w:val="14"/>
  </w:num>
  <w:num w:numId="24">
    <w:abstractNumId w:val="16"/>
  </w:num>
  <w:num w:numId="25">
    <w:abstractNumId w:val="25"/>
  </w:num>
  <w:num w:numId="26">
    <w:abstractNumId w:val="10"/>
  </w:num>
  <w:num w:numId="27">
    <w:abstractNumId w:val="28"/>
  </w:num>
  <w:num w:numId="28">
    <w:abstractNumId w:val="7"/>
  </w:num>
  <w:num w:numId="29">
    <w:abstractNumId w:val="33"/>
  </w:num>
  <w:num w:numId="30">
    <w:abstractNumId w:val="29"/>
  </w:num>
  <w:num w:numId="31">
    <w:abstractNumId w:val="3"/>
  </w:num>
  <w:num w:numId="32">
    <w:abstractNumId w:val="9"/>
  </w:num>
  <w:num w:numId="33">
    <w:abstractNumId w:val="4"/>
  </w:num>
  <w:num w:numId="34">
    <w:abstractNumId w:val="26"/>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51"/>
    <w:rsid w:val="0000196B"/>
    <w:rsid w:val="000026DE"/>
    <w:rsid w:val="0000291D"/>
    <w:rsid w:val="00002F6E"/>
    <w:rsid w:val="0000482A"/>
    <w:rsid w:val="00006F85"/>
    <w:rsid w:val="00007CC9"/>
    <w:rsid w:val="00010AA3"/>
    <w:rsid w:val="0001397F"/>
    <w:rsid w:val="00014219"/>
    <w:rsid w:val="00016EAC"/>
    <w:rsid w:val="00017E2D"/>
    <w:rsid w:val="0002109D"/>
    <w:rsid w:val="000215EC"/>
    <w:rsid w:val="00022A6F"/>
    <w:rsid w:val="0002352A"/>
    <w:rsid w:val="00030A8F"/>
    <w:rsid w:val="0003256F"/>
    <w:rsid w:val="000347BD"/>
    <w:rsid w:val="00045B6B"/>
    <w:rsid w:val="00046B26"/>
    <w:rsid w:val="0004729F"/>
    <w:rsid w:val="00047F23"/>
    <w:rsid w:val="000502CB"/>
    <w:rsid w:val="00051F6B"/>
    <w:rsid w:val="000521B9"/>
    <w:rsid w:val="00053ED9"/>
    <w:rsid w:val="0005652C"/>
    <w:rsid w:val="00056F12"/>
    <w:rsid w:val="000639F8"/>
    <w:rsid w:val="00064726"/>
    <w:rsid w:val="0006619C"/>
    <w:rsid w:val="000662DC"/>
    <w:rsid w:val="000674F6"/>
    <w:rsid w:val="000710B8"/>
    <w:rsid w:val="00072C11"/>
    <w:rsid w:val="00074047"/>
    <w:rsid w:val="00076874"/>
    <w:rsid w:val="000770CD"/>
    <w:rsid w:val="000841A2"/>
    <w:rsid w:val="00085562"/>
    <w:rsid w:val="000855A6"/>
    <w:rsid w:val="00085BCB"/>
    <w:rsid w:val="00087024"/>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6FF7"/>
    <w:rsid w:val="000C7081"/>
    <w:rsid w:val="000C7982"/>
    <w:rsid w:val="000D1C21"/>
    <w:rsid w:val="000D2975"/>
    <w:rsid w:val="000D3A43"/>
    <w:rsid w:val="000D4A64"/>
    <w:rsid w:val="000D4C1D"/>
    <w:rsid w:val="000D61BA"/>
    <w:rsid w:val="000D7518"/>
    <w:rsid w:val="000E0456"/>
    <w:rsid w:val="000E0DDD"/>
    <w:rsid w:val="000E1FA6"/>
    <w:rsid w:val="000E4411"/>
    <w:rsid w:val="000E77CA"/>
    <w:rsid w:val="000E7ECF"/>
    <w:rsid w:val="000F0AAE"/>
    <w:rsid w:val="000F2BEB"/>
    <w:rsid w:val="000F318E"/>
    <w:rsid w:val="000F32DF"/>
    <w:rsid w:val="000F32EA"/>
    <w:rsid w:val="000F42B6"/>
    <w:rsid w:val="000F4C58"/>
    <w:rsid w:val="000F4CC4"/>
    <w:rsid w:val="000F4F4D"/>
    <w:rsid w:val="00100DB2"/>
    <w:rsid w:val="00101367"/>
    <w:rsid w:val="001055A9"/>
    <w:rsid w:val="00106045"/>
    <w:rsid w:val="00110005"/>
    <w:rsid w:val="001109AF"/>
    <w:rsid w:val="00112C74"/>
    <w:rsid w:val="00113168"/>
    <w:rsid w:val="001142F7"/>
    <w:rsid w:val="00114969"/>
    <w:rsid w:val="00115060"/>
    <w:rsid w:val="0011547D"/>
    <w:rsid w:val="00117054"/>
    <w:rsid w:val="00117173"/>
    <w:rsid w:val="00117F23"/>
    <w:rsid w:val="001213EF"/>
    <w:rsid w:val="0012155E"/>
    <w:rsid w:val="00124E41"/>
    <w:rsid w:val="00125A22"/>
    <w:rsid w:val="00125D44"/>
    <w:rsid w:val="00126829"/>
    <w:rsid w:val="0013060B"/>
    <w:rsid w:val="00131E4E"/>
    <w:rsid w:val="00137812"/>
    <w:rsid w:val="001421D7"/>
    <w:rsid w:val="00143F8F"/>
    <w:rsid w:val="00146FB8"/>
    <w:rsid w:val="0015121E"/>
    <w:rsid w:val="00151492"/>
    <w:rsid w:val="00154671"/>
    <w:rsid w:val="00154759"/>
    <w:rsid w:val="00157F51"/>
    <w:rsid w:val="0016280F"/>
    <w:rsid w:val="0016524E"/>
    <w:rsid w:val="0016619D"/>
    <w:rsid w:val="00171F6F"/>
    <w:rsid w:val="0017212D"/>
    <w:rsid w:val="00174C04"/>
    <w:rsid w:val="00177960"/>
    <w:rsid w:val="00177BBC"/>
    <w:rsid w:val="00182370"/>
    <w:rsid w:val="00184579"/>
    <w:rsid w:val="001847A8"/>
    <w:rsid w:val="00185BF1"/>
    <w:rsid w:val="00185C7F"/>
    <w:rsid w:val="0018639D"/>
    <w:rsid w:val="0018656C"/>
    <w:rsid w:val="001868C0"/>
    <w:rsid w:val="00187D47"/>
    <w:rsid w:val="00190459"/>
    <w:rsid w:val="00190CE8"/>
    <w:rsid w:val="00191F6F"/>
    <w:rsid w:val="0019246A"/>
    <w:rsid w:val="00192618"/>
    <w:rsid w:val="0019272C"/>
    <w:rsid w:val="00192C18"/>
    <w:rsid w:val="00192E40"/>
    <w:rsid w:val="0019307F"/>
    <w:rsid w:val="00195AC0"/>
    <w:rsid w:val="001967CE"/>
    <w:rsid w:val="00196850"/>
    <w:rsid w:val="00197F3B"/>
    <w:rsid w:val="001A0848"/>
    <w:rsid w:val="001A108E"/>
    <w:rsid w:val="001A10B0"/>
    <w:rsid w:val="001A31CE"/>
    <w:rsid w:val="001A3516"/>
    <w:rsid w:val="001A3D5A"/>
    <w:rsid w:val="001A7978"/>
    <w:rsid w:val="001A7FF1"/>
    <w:rsid w:val="001B0492"/>
    <w:rsid w:val="001B2734"/>
    <w:rsid w:val="001B2A29"/>
    <w:rsid w:val="001B3E19"/>
    <w:rsid w:val="001B4088"/>
    <w:rsid w:val="001B45A6"/>
    <w:rsid w:val="001C11AF"/>
    <w:rsid w:val="001C2567"/>
    <w:rsid w:val="001C32BE"/>
    <w:rsid w:val="001C36E3"/>
    <w:rsid w:val="001C41B3"/>
    <w:rsid w:val="001C4C18"/>
    <w:rsid w:val="001C56CB"/>
    <w:rsid w:val="001C5E73"/>
    <w:rsid w:val="001C67D6"/>
    <w:rsid w:val="001D0BCA"/>
    <w:rsid w:val="001D20AF"/>
    <w:rsid w:val="001D431A"/>
    <w:rsid w:val="001D560B"/>
    <w:rsid w:val="001D6872"/>
    <w:rsid w:val="001E0886"/>
    <w:rsid w:val="001E244C"/>
    <w:rsid w:val="001E2C22"/>
    <w:rsid w:val="001E614C"/>
    <w:rsid w:val="001F2AFC"/>
    <w:rsid w:val="001F35B1"/>
    <w:rsid w:val="001F3B08"/>
    <w:rsid w:val="001F43EC"/>
    <w:rsid w:val="001F4913"/>
    <w:rsid w:val="001F4CCB"/>
    <w:rsid w:val="001F6CE7"/>
    <w:rsid w:val="001F7119"/>
    <w:rsid w:val="001F7F36"/>
    <w:rsid w:val="00204472"/>
    <w:rsid w:val="0020494A"/>
    <w:rsid w:val="00207DE7"/>
    <w:rsid w:val="00211983"/>
    <w:rsid w:val="00213E7A"/>
    <w:rsid w:val="00214F2C"/>
    <w:rsid w:val="00215DE0"/>
    <w:rsid w:val="002167E6"/>
    <w:rsid w:val="00217099"/>
    <w:rsid w:val="00220F2E"/>
    <w:rsid w:val="00223098"/>
    <w:rsid w:val="00224702"/>
    <w:rsid w:val="0022746D"/>
    <w:rsid w:val="00227BFC"/>
    <w:rsid w:val="0023061E"/>
    <w:rsid w:val="002312AB"/>
    <w:rsid w:val="002338C9"/>
    <w:rsid w:val="00233EE7"/>
    <w:rsid w:val="0023725F"/>
    <w:rsid w:val="002377E1"/>
    <w:rsid w:val="00237BC5"/>
    <w:rsid w:val="00241840"/>
    <w:rsid w:val="00242045"/>
    <w:rsid w:val="0024213B"/>
    <w:rsid w:val="002445CA"/>
    <w:rsid w:val="002457CC"/>
    <w:rsid w:val="00246E3E"/>
    <w:rsid w:val="0025102E"/>
    <w:rsid w:val="002525B9"/>
    <w:rsid w:val="00253452"/>
    <w:rsid w:val="00254ABD"/>
    <w:rsid w:val="00254F2A"/>
    <w:rsid w:val="0025597A"/>
    <w:rsid w:val="00260379"/>
    <w:rsid w:val="00263246"/>
    <w:rsid w:val="00263850"/>
    <w:rsid w:val="00264B37"/>
    <w:rsid w:val="00265D24"/>
    <w:rsid w:val="00265EBA"/>
    <w:rsid w:val="0027129B"/>
    <w:rsid w:val="00271593"/>
    <w:rsid w:val="002715A8"/>
    <w:rsid w:val="00271F04"/>
    <w:rsid w:val="002774CC"/>
    <w:rsid w:val="0028068D"/>
    <w:rsid w:val="00281ECA"/>
    <w:rsid w:val="002841FF"/>
    <w:rsid w:val="00285FEC"/>
    <w:rsid w:val="0028602A"/>
    <w:rsid w:val="00286B1C"/>
    <w:rsid w:val="002870A9"/>
    <w:rsid w:val="00291C4C"/>
    <w:rsid w:val="002932D0"/>
    <w:rsid w:val="0029379A"/>
    <w:rsid w:val="002937D3"/>
    <w:rsid w:val="00297880"/>
    <w:rsid w:val="002A02F4"/>
    <w:rsid w:val="002A3381"/>
    <w:rsid w:val="002A4FEE"/>
    <w:rsid w:val="002A7F88"/>
    <w:rsid w:val="002B084B"/>
    <w:rsid w:val="002B0AAE"/>
    <w:rsid w:val="002B1607"/>
    <w:rsid w:val="002B30FE"/>
    <w:rsid w:val="002B3768"/>
    <w:rsid w:val="002B72E4"/>
    <w:rsid w:val="002B7D10"/>
    <w:rsid w:val="002C4953"/>
    <w:rsid w:val="002C4A68"/>
    <w:rsid w:val="002C4E19"/>
    <w:rsid w:val="002C58DC"/>
    <w:rsid w:val="002C5AC5"/>
    <w:rsid w:val="002C6601"/>
    <w:rsid w:val="002C76E6"/>
    <w:rsid w:val="002D1142"/>
    <w:rsid w:val="002D1BC3"/>
    <w:rsid w:val="002D1E66"/>
    <w:rsid w:val="002D2139"/>
    <w:rsid w:val="002D2F03"/>
    <w:rsid w:val="002D3909"/>
    <w:rsid w:val="002D7CD7"/>
    <w:rsid w:val="002E00F6"/>
    <w:rsid w:val="002E0179"/>
    <w:rsid w:val="002E09BE"/>
    <w:rsid w:val="002E1251"/>
    <w:rsid w:val="002F599B"/>
    <w:rsid w:val="002F6828"/>
    <w:rsid w:val="002F7398"/>
    <w:rsid w:val="002F7A9D"/>
    <w:rsid w:val="0030718D"/>
    <w:rsid w:val="00314FB4"/>
    <w:rsid w:val="00316007"/>
    <w:rsid w:val="00316DE5"/>
    <w:rsid w:val="00317D0E"/>
    <w:rsid w:val="00320F17"/>
    <w:rsid w:val="00320F8E"/>
    <w:rsid w:val="00321F83"/>
    <w:rsid w:val="00322244"/>
    <w:rsid w:val="0032235F"/>
    <w:rsid w:val="00323C78"/>
    <w:rsid w:val="0033175F"/>
    <w:rsid w:val="0033258F"/>
    <w:rsid w:val="003356BC"/>
    <w:rsid w:val="003413F6"/>
    <w:rsid w:val="00341688"/>
    <w:rsid w:val="00341CC1"/>
    <w:rsid w:val="00343596"/>
    <w:rsid w:val="00343658"/>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5E4"/>
    <w:rsid w:val="00370821"/>
    <w:rsid w:val="00371AC1"/>
    <w:rsid w:val="00371C9F"/>
    <w:rsid w:val="0037202D"/>
    <w:rsid w:val="003720F0"/>
    <w:rsid w:val="0037503E"/>
    <w:rsid w:val="003759F9"/>
    <w:rsid w:val="00376230"/>
    <w:rsid w:val="003771EA"/>
    <w:rsid w:val="003801E8"/>
    <w:rsid w:val="00382123"/>
    <w:rsid w:val="00385BDF"/>
    <w:rsid w:val="00387DCB"/>
    <w:rsid w:val="00391FA2"/>
    <w:rsid w:val="0039510D"/>
    <w:rsid w:val="003A098E"/>
    <w:rsid w:val="003A3BCB"/>
    <w:rsid w:val="003A53D3"/>
    <w:rsid w:val="003A57DF"/>
    <w:rsid w:val="003B12E9"/>
    <w:rsid w:val="003B1F82"/>
    <w:rsid w:val="003B208B"/>
    <w:rsid w:val="003B3A99"/>
    <w:rsid w:val="003B3CE7"/>
    <w:rsid w:val="003B46B3"/>
    <w:rsid w:val="003B4B04"/>
    <w:rsid w:val="003B4FF5"/>
    <w:rsid w:val="003B68F3"/>
    <w:rsid w:val="003C0852"/>
    <w:rsid w:val="003C1FD0"/>
    <w:rsid w:val="003C359B"/>
    <w:rsid w:val="003C3CD3"/>
    <w:rsid w:val="003C70A8"/>
    <w:rsid w:val="003C7D91"/>
    <w:rsid w:val="003C7F4F"/>
    <w:rsid w:val="003D038E"/>
    <w:rsid w:val="003D0D69"/>
    <w:rsid w:val="003D23DF"/>
    <w:rsid w:val="003D2D5B"/>
    <w:rsid w:val="003D3580"/>
    <w:rsid w:val="003E156A"/>
    <w:rsid w:val="003E2B1F"/>
    <w:rsid w:val="003E360A"/>
    <w:rsid w:val="003E3BE5"/>
    <w:rsid w:val="003E40F9"/>
    <w:rsid w:val="003E5E35"/>
    <w:rsid w:val="003E74BC"/>
    <w:rsid w:val="003E7F5A"/>
    <w:rsid w:val="003F0712"/>
    <w:rsid w:val="003F11C4"/>
    <w:rsid w:val="003F67B6"/>
    <w:rsid w:val="003F6987"/>
    <w:rsid w:val="003F70CA"/>
    <w:rsid w:val="00400544"/>
    <w:rsid w:val="004021DB"/>
    <w:rsid w:val="00402D41"/>
    <w:rsid w:val="00404B93"/>
    <w:rsid w:val="0040727B"/>
    <w:rsid w:val="00407476"/>
    <w:rsid w:val="00412104"/>
    <w:rsid w:val="004167F4"/>
    <w:rsid w:val="00416E05"/>
    <w:rsid w:val="00417435"/>
    <w:rsid w:val="0042225F"/>
    <w:rsid w:val="00422C70"/>
    <w:rsid w:val="0042423B"/>
    <w:rsid w:val="0043162F"/>
    <w:rsid w:val="00432F89"/>
    <w:rsid w:val="00433BDD"/>
    <w:rsid w:val="004369CF"/>
    <w:rsid w:val="00436D92"/>
    <w:rsid w:val="00440D18"/>
    <w:rsid w:val="004410E3"/>
    <w:rsid w:val="0044245A"/>
    <w:rsid w:val="004442BE"/>
    <w:rsid w:val="00444D1E"/>
    <w:rsid w:val="00445768"/>
    <w:rsid w:val="004457BE"/>
    <w:rsid w:val="00446AE8"/>
    <w:rsid w:val="004517A7"/>
    <w:rsid w:val="00452908"/>
    <w:rsid w:val="00455199"/>
    <w:rsid w:val="00461D3E"/>
    <w:rsid w:val="00461D70"/>
    <w:rsid w:val="00462D4C"/>
    <w:rsid w:val="004644B7"/>
    <w:rsid w:val="00466422"/>
    <w:rsid w:val="00467181"/>
    <w:rsid w:val="00470C37"/>
    <w:rsid w:val="00476451"/>
    <w:rsid w:val="00476719"/>
    <w:rsid w:val="004775A8"/>
    <w:rsid w:val="004815C1"/>
    <w:rsid w:val="004821BE"/>
    <w:rsid w:val="004835AF"/>
    <w:rsid w:val="0048501C"/>
    <w:rsid w:val="004858B5"/>
    <w:rsid w:val="00486AEB"/>
    <w:rsid w:val="00486C97"/>
    <w:rsid w:val="00487FA7"/>
    <w:rsid w:val="004928F1"/>
    <w:rsid w:val="004937C8"/>
    <w:rsid w:val="00493E6F"/>
    <w:rsid w:val="004944D1"/>
    <w:rsid w:val="00494F61"/>
    <w:rsid w:val="004967FC"/>
    <w:rsid w:val="00497141"/>
    <w:rsid w:val="00497D0D"/>
    <w:rsid w:val="004A1221"/>
    <w:rsid w:val="004A1A83"/>
    <w:rsid w:val="004A23FF"/>
    <w:rsid w:val="004A29A3"/>
    <w:rsid w:val="004A35D6"/>
    <w:rsid w:val="004A5846"/>
    <w:rsid w:val="004A772F"/>
    <w:rsid w:val="004B60A6"/>
    <w:rsid w:val="004C3212"/>
    <w:rsid w:val="004C48D5"/>
    <w:rsid w:val="004C5329"/>
    <w:rsid w:val="004C604F"/>
    <w:rsid w:val="004C6130"/>
    <w:rsid w:val="004C690A"/>
    <w:rsid w:val="004C71D3"/>
    <w:rsid w:val="004D1452"/>
    <w:rsid w:val="004D2931"/>
    <w:rsid w:val="004D2E8F"/>
    <w:rsid w:val="004D517B"/>
    <w:rsid w:val="004D7518"/>
    <w:rsid w:val="004E13B2"/>
    <w:rsid w:val="004E236A"/>
    <w:rsid w:val="004E543B"/>
    <w:rsid w:val="004E7BF7"/>
    <w:rsid w:val="004F2D03"/>
    <w:rsid w:val="004F3290"/>
    <w:rsid w:val="004F4A37"/>
    <w:rsid w:val="004F4E91"/>
    <w:rsid w:val="004F5889"/>
    <w:rsid w:val="004F6C20"/>
    <w:rsid w:val="004F7E62"/>
    <w:rsid w:val="00501FF3"/>
    <w:rsid w:val="00502428"/>
    <w:rsid w:val="00504027"/>
    <w:rsid w:val="00507A8F"/>
    <w:rsid w:val="0051150B"/>
    <w:rsid w:val="005117B5"/>
    <w:rsid w:val="005133AC"/>
    <w:rsid w:val="00514971"/>
    <w:rsid w:val="00514E1F"/>
    <w:rsid w:val="005165BC"/>
    <w:rsid w:val="00516BD5"/>
    <w:rsid w:val="00516F30"/>
    <w:rsid w:val="00517322"/>
    <w:rsid w:val="00520D5C"/>
    <w:rsid w:val="00521A58"/>
    <w:rsid w:val="00521B79"/>
    <w:rsid w:val="00521FF5"/>
    <w:rsid w:val="00525909"/>
    <w:rsid w:val="0052622A"/>
    <w:rsid w:val="00526B69"/>
    <w:rsid w:val="005279B2"/>
    <w:rsid w:val="005300B4"/>
    <w:rsid w:val="005303C6"/>
    <w:rsid w:val="00531A01"/>
    <w:rsid w:val="005326C2"/>
    <w:rsid w:val="00533473"/>
    <w:rsid w:val="00534A9C"/>
    <w:rsid w:val="00535706"/>
    <w:rsid w:val="0053570B"/>
    <w:rsid w:val="005414E2"/>
    <w:rsid w:val="0054164F"/>
    <w:rsid w:val="00541BAE"/>
    <w:rsid w:val="00541CF1"/>
    <w:rsid w:val="00542530"/>
    <w:rsid w:val="005427EA"/>
    <w:rsid w:val="0054298B"/>
    <w:rsid w:val="005435C9"/>
    <w:rsid w:val="00543D32"/>
    <w:rsid w:val="0054422D"/>
    <w:rsid w:val="00544D41"/>
    <w:rsid w:val="00545EC8"/>
    <w:rsid w:val="00545F43"/>
    <w:rsid w:val="00545FD5"/>
    <w:rsid w:val="0055118D"/>
    <w:rsid w:val="00551425"/>
    <w:rsid w:val="00551970"/>
    <w:rsid w:val="005519F5"/>
    <w:rsid w:val="00552183"/>
    <w:rsid w:val="00552572"/>
    <w:rsid w:val="00552B53"/>
    <w:rsid w:val="00556FE3"/>
    <w:rsid w:val="00557216"/>
    <w:rsid w:val="005573CE"/>
    <w:rsid w:val="005631A5"/>
    <w:rsid w:val="00563952"/>
    <w:rsid w:val="005639EC"/>
    <w:rsid w:val="005657FE"/>
    <w:rsid w:val="00566592"/>
    <w:rsid w:val="00566F77"/>
    <w:rsid w:val="00567BD8"/>
    <w:rsid w:val="00570562"/>
    <w:rsid w:val="00573402"/>
    <w:rsid w:val="0057589D"/>
    <w:rsid w:val="00577A98"/>
    <w:rsid w:val="00577E89"/>
    <w:rsid w:val="00580346"/>
    <w:rsid w:val="00584687"/>
    <w:rsid w:val="005846DC"/>
    <w:rsid w:val="00585162"/>
    <w:rsid w:val="00585580"/>
    <w:rsid w:val="005865A8"/>
    <w:rsid w:val="00592C1D"/>
    <w:rsid w:val="00592E67"/>
    <w:rsid w:val="00597C33"/>
    <w:rsid w:val="005A1243"/>
    <w:rsid w:val="005A1883"/>
    <w:rsid w:val="005A3E8E"/>
    <w:rsid w:val="005B0755"/>
    <w:rsid w:val="005B26BB"/>
    <w:rsid w:val="005B291E"/>
    <w:rsid w:val="005B356B"/>
    <w:rsid w:val="005B3D51"/>
    <w:rsid w:val="005B4834"/>
    <w:rsid w:val="005B491A"/>
    <w:rsid w:val="005B5C28"/>
    <w:rsid w:val="005B70AE"/>
    <w:rsid w:val="005B7E10"/>
    <w:rsid w:val="005C0214"/>
    <w:rsid w:val="005C1408"/>
    <w:rsid w:val="005C238A"/>
    <w:rsid w:val="005C2F0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2E0"/>
    <w:rsid w:val="005F551B"/>
    <w:rsid w:val="005F59F2"/>
    <w:rsid w:val="005F5CFB"/>
    <w:rsid w:val="005F6DF0"/>
    <w:rsid w:val="006002D6"/>
    <w:rsid w:val="0060160F"/>
    <w:rsid w:val="00603008"/>
    <w:rsid w:val="00604758"/>
    <w:rsid w:val="00606640"/>
    <w:rsid w:val="00611CA2"/>
    <w:rsid w:val="00613E69"/>
    <w:rsid w:val="00614A44"/>
    <w:rsid w:val="006227CB"/>
    <w:rsid w:val="00624FB6"/>
    <w:rsid w:val="00627CEF"/>
    <w:rsid w:val="0063047E"/>
    <w:rsid w:val="0063363F"/>
    <w:rsid w:val="0063481B"/>
    <w:rsid w:val="00635B55"/>
    <w:rsid w:val="0063799E"/>
    <w:rsid w:val="006417FE"/>
    <w:rsid w:val="0064191F"/>
    <w:rsid w:val="00641D3B"/>
    <w:rsid w:val="006434BF"/>
    <w:rsid w:val="0064481A"/>
    <w:rsid w:val="0064584C"/>
    <w:rsid w:val="006463AB"/>
    <w:rsid w:val="00646485"/>
    <w:rsid w:val="00654308"/>
    <w:rsid w:val="00656AE3"/>
    <w:rsid w:val="0066172D"/>
    <w:rsid w:val="00661E9D"/>
    <w:rsid w:val="00664506"/>
    <w:rsid w:val="00665F3B"/>
    <w:rsid w:val="0066620E"/>
    <w:rsid w:val="006669A2"/>
    <w:rsid w:val="00667A0C"/>
    <w:rsid w:val="00671978"/>
    <w:rsid w:val="00672496"/>
    <w:rsid w:val="00673753"/>
    <w:rsid w:val="00674FD1"/>
    <w:rsid w:val="00675B76"/>
    <w:rsid w:val="006769AA"/>
    <w:rsid w:val="00680B6D"/>
    <w:rsid w:val="00681111"/>
    <w:rsid w:val="00681677"/>
    <w:rsid w:val="0068424B"/>
    <w:rsid w:val="00684432"/>
    <w:rsid w:val="006874C4"/>
    <w:rsid w:val="006907E5"/>
    <w:rsid w:val="00690B48"/>
    <w:rsid w:val="006929A0"/>
    <w:rsid w:val="00692A00"/>
    <w:rsid w:val="006939B9"/>
    <w:rsid w:val="0069586A"/>
    <w:rsid w:val="00695DC9"/>
    <w:rsid w:val="006966E6"/>
    <w:rsid w:val="00696C68"/>
    <w:rsid w:val="00696EB0"/>
    <w:rsid w:val="006A1D2F"/>
    <w:rsid w:val="006A2F46"/>
    <w:rsid w:val="006A44E9"/>
    <w:rsid w:val="006A49E6"/>
    <w:rsid w:val="006A64A5"/>
    <w:rsid w:val="006A6F67"/>
    <w:rsid w:val="006A71D3"/>
    <w:rsid w:val="006A7275"/>
    <w:rsid w:val="006A730D"/>
    <w:rsid w:val="006B021D"/>
    <w:rsid w:val="006B06FB"/>
    <w:rsid w:val="006B3CEF"/>
    <w:rsid w:val="006B4542"/>
    <w:rsid w:val="006B4605"/>
    <w:rsid w:val="006C0612"/>
    <w:rsid w:val="006C09D1"/>
    <w:rsid w:val="006C1726"/>
    <w:rsid w:val="006C1B70"/>
    <w:rsid w:val="006C3639"/>
    <w:rsid w:val="006C3D3B"/>
    <w:rsid w:val="006C5355"/>
    <w:rsid w:val="006C5EFF"/>
    <w:rsid w:val="006C6C65"/>
    <w:rsid w:val="006D0A45"/>
    <w:rsid w:val="006D0D71"/>
    <w:rsid w:val="006D130B"/>
    <w:rsid w:val="006D1D99"/>
    <w:rsid w:val="006D3606"/>
    <w:rsid w:val="006D4CE4"/>
    <w:rsid w:val="006D596A"/>
    <w:rsid w:val="006D7995"/>
    <w:rsid w:val="006E0215"/>
    <w:rsid w:val="006E0E2D"/>
    <w:rsid w:val="006E241E"/>
    <w:rsid w:val="006E6200"/>
    <w:rsid w:val="006E66A6"/>
    <w:rsid w:val="006E736A"/>
    <w:rsid w:val="006E787F"/>
    <w:rsid w:val="006E7DF3"/>
    <w:rsid w:val="006F113A"/>
    <w:rsid w:val="006F1BD2"/>
    <w:rsid w:val="006F24EF"/>
    <w:rsid w:val="006F29C9"/>
    <w:rsid w:val="006F2C20"/>
    <w:rsid w:val="006F44C7"/>
    <w:rsid w:val="006F53DF"/>
    <w:rsid w:val="006F7378"/>
    <w:rsid w:val="006F7497"/>
    <w:rsid w:val="007005DD"/>
    <w:rsid w:val="0070332B"/>
    <w:rsid w:val="00706819"/>
    <w:rsid w:val="00706B47"/>
    <w:rsid w:val="007075D0"/>
    <w:rsid w:val="00711F7E"/>
    <w:rsid w:val="00712077"/>
    <w:rsid w:val="007122AC"/>
    <w:rsid w:val="00712305"/>
    <w:rsid w:val="00712852"/>
    <w:rsid w:val="007134C4"/>
    <w:rsid w:val="007140B7"/>
    <w:rsid w:val="00716773"/>
    <w:rsid w:val="00717172"/>
    <w:rsid w:val="0071790E"/>
    <w:rsid w:val="007215AC"/>
    <w:rsid w:val="00722501"/>
    <w:rsid w:val="00724BFA"/>
    <w:rsid w:val="00725096"/>
    <w:rsid w:val="00730EF2"/>
    <w:rsid w:val="0073421F"/>
    <w:rsid w:val="00735264"/>
    <w:rsid w:val="00736590"/>
    <w:rsid w:val="00737215"/>
    <w:rsid w:val="00745389"/>
    <w:rsid w:val="00746973"/>
    <w:rsid w:val="00746D27"/>
    <w:rsid w:val="00747A81"/>
    <w:rsid w:val="0075012E"/>
    <w:rsid w:val="007503F6"/>
    <w:rsid w:val="00752D0B"/>
    <w:rsid w:val="00753CDB"/>
    <w:rsid w:val="007554E1"/>
    <w:rsid w:val="00755718"/>
    <w:rsid w:val="00756B4F"/>
    <w:rsid w:val="00757461"/>
    <w:rsid w:val="00757895"/>
    <w:rsid w:val="00757E0F"/>
    <w:rsid w:val="007615F4"/>
    <w:rsid w:val="007634D5"/>
    <w:rsid w:val="00767EE4"/>
    <w:rsid w:val="00770AD1"/>
    <w:rsid w:val="00770B61"/>
    <w:rsid w:val="007753FA"/>
    <w:rsid w:val="00776C01"/>
    <w:rsid w:val="00777555"/>
    <w:rsid w:val="007775EE"/>
    <w:rsid w:val="0078151D"/>
    <w:rsid w:val="00784633"/>
    <w:rsid w:val="00784E23"/>
    <w:rsid w:val="00784ED6"/>
    <w:rsid w:val="007860AC"/>
    <w:rsid w:val="007873EF"/>
    <w:rsid w:val="00787702"/>
    <w:rsid w:val="00787A82"/>
    <w:rsid w:val="00791976"/>
    <w:rsid w:val="0079228D"/>
    <w:rsid w:val="007926B3"/>
    <w:rsid w:val="0079301E"/>
    <w:rsid w:val="0079788F"/>
    <w:rsid w:val="007A0448"/>
    <w:rsid w:val="007A0EB9"/>
    <w:rsid w:val="007A46CD"/>
    <w:rsid w:val="007A52B3"/>
    <w:rsid w:val="007A78F4"/>
    <w:rsid w:val="007B12BE"/>
    <w:rsid w:val="007B1E98"/>
    <w:rsid w:val="007B439E"/>
    <w:rsid w:val="007B4E55"/>
    <w:rsid w:val="007B6546"/>
    <w:rsid w:val="007B78E3"/>
    <w:rsid w:val="007C01D3"/>
    <w:rsid w:val="007C162F"/>
    <w:rsid w:val="007C2B50"/>
    <w:rsid w:val="007C3F8A"/>
    <w:rsid w:val="007C4DED"/>
    <w:rsid w:val="007C63B5"/>
    <w:rsid w:val="007C657F"/>
    <w:rsid w:val="007D0EE4"/>
    <w:rsid w:val="007D15FB"/>
    <w:rsid w:val="007D21A1"/>
    <w:rsid w:val="007D428E"/>
    <w:rsid w:val="007D435E"/>
    <w:rsid w:val="007D4824"/>
    <w:rsid w:val="007D616F"/>
    <w:rsid w:val="007D6C2D"/>
    <w:rsid w:val="007E046E"/>
    <w:rsid w:val="007E08FC"/>
    <w:rsid w:val="007E1FAB"/>
    <w:rsid w:val="007E2B45"/>
    <w:rsid w:val="007E35A4"/>
    <w:rsid w:val="007E3BBC"/>
    <w:rsid w:val="007E515C"/>
    <w:rsid w:val="007E53C2"/>
    <w:rsid w:val="007E55F0"/>
    <w:rsid w:val="007F15F5"/>
    <w:rsid w:val="007F1D42"/>
    <w:rsid w:val="007F211F"/>
    <w:rsid w:val="007F23E5"/>
    <w:rsid w:val="007F275F"/>
    <w:rsid w:val="007F4D93"/>
    <w:rsid w:val="007F5200"/>
    <w:rsid w:val="007F72FA"/>
    <w:rsid w:val="007F7BA0"/>
    <w:rsid w:val="008013CB"/>
    <w:rsid w:val="00801F6F"/>
    <w:rsid w:val="0080337D"/>
    <w:rsid w:val="0080495B"/>
    <w:rsid w:val="0080791E"/>
    <w:rsid w:val="00807FB4"/>
    <w:rsid w:val="00810EDF"/>
    <w:rsid w:val="00813E8B"/>
    <w:rsid w:val="0081470C"/>
    <w:rsid w:val="00817CE6"/>
    <w:rsid w:val="0082177A"/>
    <w:rsid w:val="00824B99"/>
    <w:rsid w:val="00825F42"/>
    <w:rsid w:val="008275DE"/>
    <w:rsid w:val="008300D2"/>
    <w:rsid w:val="00830826"/>
    <w:rsid w:val="00830D58"/>
    <w:rsid w:val="00832B66"/>
    <w:rsid w:val="008342D3"/>
    <w:rsid w:val="008362FE"/>
    <w:rsid w:val="00841E89"/>
    <w:rsid w:val="008436F8"/>
    <w:rsid w:val="00843BFA"/>
    <w:rsid w:val="00847A2B"/>
    <w:rsid w:val="00851687"/>
    <w:rsid w:val="00851805"/>
    <w:rsid w:val="0085268C"/>
    <w:rsid w:val="0085295A"/>
    <w:rsid w:val="00852D10"/>
    <w:rsid w:val="00852D22"/>
    <w:rsid w:val="008531B0"/>
    <w:rsid w:val="00853747"/>
    <w:rsid w:val="0085470E"/>
    <w:rsid w:val="00854746"/>
    <w:rsid w:val="00854F2D"/>
    <w:rsid w:val="00855313"/>
    <w:rsid w:val="0085563B"/>
    <w:rsid w:val="008563D3"/>
    <w:rsid w:val="008568DC"/>
    <w:rsid w:val="00860CBC"/>
    <w:rsid w:val="008614DB"/>
    <w:rsid w:val="0086444B"/>
    <w:rsid w:val="00864AB5"/>
    <w:rsid w:val="00866177"/>
    <w:rsid w:val="00866449"/>
    <w:rsid w:val="00866A0F"/>
    <w:rsid w:val="008735F0"/>
    <w:rsid w:val="00877252"/>
    <w:rsid w:val="00880AB6"/>
    <w:rsid w:val="00882905"/>
    <w:rsid w:val="00885334"/>
    <w:rsid w:val="00886662"/>
    <w:rsid w:val="00886D56"/>
    <w:rsid w:val="00887808"/>
    <w:rsid w:val="0089155A"/>
    <w:rsid w:val="008925DA"/>
    <w:rsid w:val="0089691F"/>
    <w:rsid w:val="0089756D"/>
    <w:rsid w:val="008A0001"/>
    <w:rsid w:val="008A112C"/>
    <w:rsid w:val="008A1380"/>
    <w:rsid w:val="008A22AD"/>
    <w:rsid w:val="008A23D8"/>
    <w:rsid w:val="008A2E3D"/>
    <w:rsid w:val="008A4605"/>
    <w:rsid w:val="008A4ED9"/>
    <w:rsid w:val="008A4F96"/>
    <w:rsid w:val="008A7404"/>
    <w:rsid w:val="008A7BAD"/>
    <w:rsid w:val="008B1F14"/>
    <w:rsid w:val="008B54F9"/>
    <w:rsid w:val="008B6A79"/>
    <w:rsid w:val="008B6BDD"/>
    <w:rsid w:val="008B6CC0"/>
    <w:rsid w:val="008B72BB"/>
    <w:rsid w:val="008C0042"/>
    <w:rsid w:val="008C259E"/>
    <w:rsid w:val="008C276E"/>
    <w:rsid w:val="008C326D"/>
    <w:rsid w:val="008C4083"/>
    <w:rsid w:val="008C42CD"/>
    <w:rsid w:val="008C70F9"/>
    <w:rsid w:val="008C79CF"/>
    <w:rsid w:val="008C7C53"/>
    <w:rsid w:val="008D1E48"/>
    <w:rsid w:val="008D4156"/>
    <w:rsid w:val="008D4282"/>
    <w:rsid w:val="008D4D96"/>
    <w:rsid w:val="008D5A87"/>
    <w:rsid w:val="008E1B11"/>
    <w:rsid w:val="008E3641"/>
    <w:rsid w:val="008E3D0D"/>
    <w:rsid w:val="008E4142"/>
    <w:rsid w:val="008E55F9"/>
    <w:rsid w:val="008E7E90"/>
    <w:rsid w:val="008F02CE"/>
    <w:rsid w:val="008F0CEE"/>
    <w:rsid w:val="008F1093"/>
    <w:rsid w:val="008F1711"/>
    <w:rsid w:val="008F6E10"/>
    <w:rsid w:val="0090175F"/>
    <w:rsid w:val="00907D1B"/>
    <w:rsid w:val="009104B4"/>
    <w:rsid w:val="00911A04"/>
    <w:rsid w:val="00912AAA"/>
    <w:rsid w:val="00915A9A"/>
    <w:rsid w:val="009209FF"/>
    <w:rsid w:val="00923B09"/>
    <w:rsid w:val="009249E0"/>
    <w:rsid w:val="00926313"/>
    <w:rsid w:val="00930A29"/>
    <w:rsid w:val="00930BF8"/>
    <w:rsid w:val="0093307D"/>
    <w:rsid w:val="00933408"/>
    <w:rsid w:val="0093362A"/>
    <w:rsid w:val="00933C60"/>
    <w:rsid w:val="00936731"/>
    <w:rsid w:val="00937139"/>
    <w:rsid w:val="00937909"/>
    <w:rsid w:val="00937CEB"/>
    <w:rsid w:val="009424B9"/>
    <w:rsid w:val="009449F6"/>
    <w:rsid w:val="0095306A"/>
    <w:rsid w:val="00953EC8"/>
    <w:rsid w:val="00954194"/>
    <w:rsid w:val="0095439D"/>
    <w:rsid w:val="009559F2"/>
    <w:rsid w:val="00957BA7"/>
    <w:rsid w:val="00961A99"/>
    <w:rsid w:val="00961C0B"/>
    <w:rsid w:val="009628E9"/>
    <w:rsid w:val="00965F59"/>
    <w:rsid w:val="00965FCD"/>
    <w:rsid w:val="009667A6"/>
    <w:rsid w:val="00967D45"/>
    <w:rsid w:val="009735D8"/>
    <w:rsid w:val="00973A6E"/>
    <w:rsid w:val="00974B39"/>
    <w:rsid w:val="009760CB"/>
    <w:rsid w:val="00976259"/>
    <w:rsid w:val="00977FB0"/>
    <w:rsid w:val="0098097E"/>
    <w:rsid w:val="0098159E"/>
    <w:rsid w:val="00983670"/>
    <w:rsid w:val="00987896"/>
    <w:rsid w:val="009909D9"/>
    <w:rsid w:val="00991020"/>
    <w:rsid w:val="00991940"/>
    <w:rsid w:val="00991B1C"/>
    <w:rsid w:val="00992DAD"/>
    <w:rsid w:val="00992DEC"/>
    <w:rsid w:val="00992E7F"/>
    <w:rsid w:val="00995D7C"/>
    <w:rsid w:val="009A0B91"/>
    <w:rsid w:val="009A12D3"/>
    <w:rsid w:val="009A193D"/>
    <w:rsid w:val="009A605A"/>
    <w:rsid w:val="009A66CA"/>
    <w:rsid w:val="009B06CE"/>
    <w:rsid w:val="009B11A9"/>
    <w:rsid w:val="009B1648"/>
    <w:rsid w:val="009B294A"/>
    <w:rsid w:val="009B683B"/>
    <w:rsid w:val="009B78FD"/>
    <w:rsid w:val="009B7983"/>
    <w:rsid w:val="009B7B48"/>
    <w:rsid w:val="009C0136"/>
    <w:rsid w:val="009C0925"/>
    <w:rsid w:val="009C43CA"/>
    <w:rsid w:val="009C7A4C"/>
    <w:rsid w:val="009D04DD"/>
    <w:rsid w:val="009D09F3"/>
    <w:rsid w:val="009D1B19"/>
    <w:rsid w:val="009D35F8"/>
    <w:rsid w:val="009D3B4C"/>
    <w:rsid w:val="009D456E"/>
    <w:rsid w:val="009D736B"/>
    <w:rsid w:val="009D76AC"/>
    <w:rsid w:val="009E3457"/>
    <w:rsid w:val="009E5058"/>
    <w:rsid w:val="009E5F72"/>
    <w:rsid w:val="009F00F9"/>
    <w:rsid w:val="009F35FC"/>
    <w:rsid w:val="009F4399"/>
    <w:rsid w:val="009F48EE"/>
    <w:rsid w:val="009F4933"/>
    <w:rsid w:val="009F5222"/>
    <w:rsid w:val="009F5521"/>
    <w:rsid w:val="009F67CC"/>
    <w:rsid w:val="00A0045F"/>
    <w:rsid w:val="00A015DD"/>
    <w:rsid w:val="00A042AA"/>
    <w:rsid w:val="00A075C3"/>
    <w:rsid w:val="00A10DE0"/>
    <w:rsid w:val="00A13A6D"/>
    <w:rsid w:val="00A15420"/>
    <w:rsid w:val="00A157CE"/>
    <w:rsid w:val="00A20B62"/>
    <w:rsid w:val="00A215FC"/>
    <w:rsid w:val="00A23360"/>
    <w:rsid w:val="00A24C98"/>
    <w:rsid w:val="00A258B8"/>
    <w:rsid w:val="00A26EDC"/>
    <w:rsid w:val="00A26F61"/>
    <w:rsid w:val="00A32457"/>
    <w:rsid w:val="00A32880"/>
    <w:rsid w:val="00A3357E"/>
    <w:rsid w:val="00A365E2"/>
    <w:rsid w:val="00A37C62"/>
    <w:rsid w:val="00A4596D"/>
    <w:rsid w:val="00A4683C"/>
    <w:rsid w:val="00A46F35"/>
    <w:rsid w:val="00A50C62"/>
    <w:rsid w:val="00A52532"/>
    <w:rsid w:val="00A532FF"/>
    <w:rsid w:val="00A53FAB"/>
    <w:rsid w:val="00A563FB"/>
    <w:rsid w:val="00A607FF"/>
    <w:rsid w:val="00A62D19"/>
    <w:rsid w:val="00A63A1F"/>
    <w:rsid w:val="00A64559"/>
    <w:rsid w:val="00A64A4F"/>
    <w:rsid w:val="00A67D51"/>
    <w:rsid w:val="00A70B78"/>
    <w:rsid w:val="00A72FFB"/>
    <w:rsid w:val="00A74C98"/>
    <w:rsid w:val="00A75559"/>
    <w:rsid w:val="00A76EAB"/>
    <w:rsid w:val="00A8048B"/>
    <w:rsid w:val="00A80522"/>
    <w:rsid w:val="00A80F80"/>
    <w:rsid w:val="00A83542"/>
    <w:rsid w:val="00A83BC9"/>
    <w:rsid w:val="00A840CD"/>
    <w:rsid w:val="00A84331"/>
    <w:rsid w:val="00A84752"/>
    <w:rsid w:val="00A86446"/>
    <w:rsid w:val="00A865F7"/>
    <w:rsid w:val="00A86D76"/>
    <w:rsid w:val="00A86E44"/>
    <w:rsid w:val="00A96EBF"/>
    <w:rsid w:val="00A97B37"/>
    <w:rsid w:val="00AA0019"/>
    <w:rsid w:val="00AA0ABA"/>
    <w:rsid w:val="00AA12D0"/>
    <w:rsid w:val="00AA19F6"/>
    <w:rsid w:val="00AA2159"/>
    <w:rsid w:val="00AA30A8"/>
    <w:rsid w:val="00AA5847"/>
    <w:rsid w:val="00AA5DF7"/>
    <w:rsid w:val="00AA684A"/>
    <w:rsid w:val="00AA7FF1"/>
    <w:rsid w:val="00AB0625"/>
    <w:rsid w:val="00AB1A2A"/>
    <w:rsid w:val="00AB260C"/>
    <w:rsid w:val="00AB27A5"/>
    <w:rsid w:val="00AB442E"/>
    <w:rsid w:val="00AB5DA0"/>
    <w:rsid w:val="00AB7898"/>
    <w:rsid w:val="00AB79F3"/>
    <w:rsid w:val="00AB7BCF"/>
    <w:rsid w:val="00AC069B"/>
    <w:rsid w:val="00AC120B"/>
    <w:rsid w:val="00AC4756"/>
    <w:rsid w:val="00AC5017"/>
    <w:rsid w:val="00AC728C"/>
    <w:rsid w:val="00AC76AC"/>
    <w:rsid w:val="00AD18BB"/>
    <w:rsid w:val="00AD18C8"/>
    <w:rsid w:val="00AD2BB8"/>
    <w:rsid w:val="00AD3594"/>
    <w:rsid w:val="00AD4EF9"/>
    <w:rsid w:val="00AD58B2"/>
    <w:rsid w:val="00AD76D0"/>
    <w:rsid w:val="00AD7CD7"/>
    <w:rsid w:val="00AE1702"/>
    <w:rsid w:val="00AE3740"/>
    <w:rsid w:val="00AE72D3"/>
    <w:rsid w:val="00AF049D"/>
    <w:rsid w:val="00AF28F3"/>
    <w:rsid w:val="00AF2B93"/>
    <w:rsid w:val="00AF36B1"/>
    <w:rsid w:val="00AF3808"/>
    <w:rsid w:val="00AF736B"/>
    <w:rsid w:val="00AF7F33"/>
    <w:rsid w:val="00B015C5"/>
    <w:rsid w:val="00B02750"/>
    <w:rsid w:val="00B0329B"/>
    <w:rsid w:val="00B03AE4"/>
    <w:rsid w:val="00B04595"/>
    <w:rsid w:val="00B04683"/>
    <w:rsid w:val="00B0511B"/>
    <w:rsid w:val="00B05A86"/>
    <w:rsid w:val="00B05AEB"/>
    <w:rsid w:val="00B06776"/>
    <w:rsid w:val="00B1060D"/>
    <w:rsid w:val="00B12A20"/>
    <w:rsid w:val="00B135F0"/>
    <w:rsid w:val="00B14CA3"/>
    <w:rsid w:val="00B173E6"/>
    <w:rsid w:val="00B179D5"/>
    <w:rsid w:val="00B17B3C"/>
    <w:rsid w:val="00B20631"/>
    <w:rsid w:val="00B20FE1"/>
    <w:rsid w:val="00B213B5"/>
    <w:rsid w:val="00B25667"/>
    <w:rsid w:val="00B25AEC"/>
    <w:rsid w:val="00B25DDC"/>
    <w:rsid w:val="00B27B62"/>
    <w:rsid w:val="00B328EE"/>
    <w:rsid w:val="00B3350E"/>
    <w:rsid w:val="00B33A67"/>
    <w:rsid w:val="00B33F02"/>
    <w:rsid w:val="00B4020D"/>
    <w:rsid w:val="00B42D83"/>
    <w:rsid w:val="00B43FCC"/>
    <w:rsid w:val="00B448AB"/>
    <w:rsid w:val="00B44B4E"/>
    <w:rsid w:val="00B44D38"/>
    <w:rsid w:val="00B50FD0"/>
    <w:rsid w:val="00B55944"/>
    <w:rsid w:val="00B56D30"/>
    <w:rsid w:val="00B607F9"/>
    <w:rsid w:val="00B618BC"/>
    <w:rsid w:val="00B62A03"/>
    <w:rsid w:val="00B66BE2"/>
    <w:rsid w:val="00B677D2"/>
    <w:rsid w:val="00B712F5"/>
    <w:rsid w:val="00B720E8"/>
    <w:rsid w:val="00B724AB"/>
    <w:rsid w:val="00B73E4E"/>
    <w:rsid w:val="00B7431B"/>
    <w:rsid w:val="00B753A8"/>
    <w:rsid w:val="00B75856"/>
    <w:rsid w:val="00B7646E"/>
    <w:rsid w:val="00B80FB7"/>
    <w:rsid w:val="00B81591"/>
    <w:rsid w:val="00B85A31"/>
    <w:rsid w:val="00B85D22"/>
    <w:rsid w:val="00B8754C"/>
    <w:rsid w:val="00B87A9B"/>
    <w:rsid w:val="00B87F63"/>
    <w:rsid w:val="00B91C19"/>
    <w:rsid w:val="00B953D5"/>
    <w:rsid w:val="00B9643E"/>
    <w:rsid w:val="00B96FE8"/>
    <w:rsid w:val="00BA417F"/>
    <w:rsid w:val="00BA4498"/>
    <w:rsid w:val="00BA5088"/>
    <w:rsid w:val="00BB09BA"/>
    <w:rsid w:val="00BB28E2"/>
    <w:rsid w:val="00BB3DCB"/>
    <w:rsid w:val="00BB4543"/>
    <w:rsid w:val="00BB522C"/>
    <w:rsid w:val="00BB5AA7"/>
    <w:rsid w:val="00BC3298"/>
    <w:rsid w:val="00BC677B"/>
    <w:rsid w:val="00BC77D4"/>
    <w:rsid w:val="00BC796B"/>
    <w:rsid w:val="00BC7D05"/>
    <w:rsid w:val="00BD1510"/>
    <w:rsid w:val="00BD1F9F"/>
    <w:rsid w:val="00BD3D9B"/>
    <w:rsid w:val="00BD4AF3"/>
    <w:rsid w:val="00BD58F6"/>
    <w:rsid w:val="00BD5D76"/>
    <w:rsid w:val="00BE1A98"/>
    <w:rsid w:val="00BE2F95"/>
    <w:rsid w:val="00BE341B"/>
    <w:rsid w:val="00BE7EC5"/>
    <w:rsid w:val="00BF0728"/>
    <w:rsid w:val="00BF1CA0"/>
    <w:rsid w:val="00BF429C"/>
    <w:rsid w:val="00BF42AA"/>
    <w:rsid w:val="00BF4487"/>
    <w:rsid w:val="00BF6398"/>
    <w:rsid w:val="00BF798B"/>
    <w:rsid w:val="00C01A81"/>
    <w:rsid w:val="00C02FBD"/>
    <w:rsid w:val="00C0300B"/>
    <w:rsid w:val="00C03BB0"/>
    <w:rsid w:val="00C05C73"/>
    <w:rsid w:val="00C067E0"/>
    <w:rsid w:val="00C06BCF"/>
    <w:rsid w:val="00C105C1"/>
    <w:rsid w:val="00C10773"/>
    <w:rsid w:val="00C11ADC"/>
    <w:rsid w:val="00C11F69"/>
    <w:rsid w:val="00C13BB1"/>
    <w:rsid w:val="00C14319"/>
    <w:rsid w:val="00C14BAE"/>
    <w:rsid w:val="00C14E20"/>
    <w:rsid w:val="00C164AB"/>
    <w:rsid w:val="00C16A3A"/>
    <w:rsid w:val="00C1756A"/>
    <w:rsid w:val="00C20CFF"/>
    <w:rsid w:val="00C21866"/>
    <w:rsid w:val="00C21909"/>
    <w:rsid w:val="00C22FA0"/>
    <w:rsid w:val="00C25036"/>
    <w:rsid w:val="00C25840"/>
    <w:rsid w:val="00C25862"/>
    <w:rsid w:val="00C26421"/>
    <w:rsid w:val="00C27CBD"/>
    <w:rsid w:val="00C300D8"/>
    <w:rsid w:val="00C305BA"/>
    <w:rsid w:val="00C32A45"/>
    <w:rsid w:val="00C33857"/>
    <w:rsid w:val="00C35A9A"/>
    <w:rsid w:val="00C35DF2"/>
    <w:rsid w:val="00C37411"/>
    <w:rsid w:val="00C37B13"/>
    <w:rsid w:val="00C41346"/>
    <w:rsid w:val="00C414D1"/>
    <w:rsid w:val="00C4283D"/>
    <w:rsid w:val="00C43E16"/>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22B0"/>
    <w:rsid w:val="00C73414"/>
    <w:rsid w:val="00C73D20"/>
    <w:rsid w:val="00C748AB"/>
    <w:rsid w:val="00C76B1E"/>
    <w:rsid w:val="00C77CB8"/>
    <w:rsid w:val="00C80057"/>
    <w:rsid w:val="00C81649"/>
    <w:rsid w:val="00C81A08"/>
    <w:rsid w:val="00C83AFD"/>
    <w:rsid w:val="00C83FA9"/>
    <w:rsid w:val="00C851E8"/>
    <w:rsid w:val="00C92517"/>
    <w:rsid w:val="00C96ADD"/>
    <w:rsid w:val="00CA2445"/>
    <w:rsid w:val="00CA366F"/>
    <w:rsid w:val="00CA50ED"/>
    <w:rsid w:val="00CA66DC"/>
    <w:rsid w:val="00CB0161"/>
    <w:rsid w:val="00CB1099"/>
    <w:rsid w:val="00CB1310"/>
    <w:rsid w:val="00CB15EB"/>
    <w:rsid w:val="00CB189A"/>
    <w:rsid w:val="00CB1D4A"/>
    <w:rsid w:val="00CB2F27"/>
    <w:rsid w:val="00CB3A5D"/>
    <w:rsid w:val="00CB3E2A"/>
    <w:rsid w:val="00CB564C"/>
    <w:rsid w:val="00CB7318"/>
    <w:rsid w:val="00CC0026"/>
    <w:rsid w:val="00CC041D"/>
    <w:rsid w:val="00CC1204"/>
    <w:rsid w:val="00CC1263"/>
    <w:rsid w:val="00CC2265"/>
    <w:rsid w:val="00CC63AD"/>
    <w:rsid w:val="00CD0B26"/>
    <w:rsid w:val="00CD2650"/>
    <w:rsid w:val="00CD2BA3"/>
    <w:rsid w:val="00CD430A"/>
    <w:rsid w:val="00CD5A06"/>
    <w:rsid w:val="00CD7DE5"/>
    <w:rsid w:val="00CE152C"/>
    <w:rsid w:val="00CE184F"/>
    <w:rsid w:val="00CE77F4"/>
    <w:rsid w:val="00CF07CF"/>
    <w:rsid w:val="00CF2768"/>
    <w:rsid w:val="00CF2A6A"/>
    <w:rsid w:val="00CF38D8"/>
    <w:rsid w:val="00CF76B8"/>
    <w:rsid w:val="00CF7C0F"/>
    <w:rsid w:val="00D003A5"/>
    <w:rsid w:val="00D00B31"/>
    <w:rsid w:val="00D0154C"/>
    <w:rsid w:val="00D01E88"/>
    <w:rsid w:val="00D02C13"/>
    <w:rsid w:val="00D04F57"/>
    <w:rsid w:val="00D05288"/>
    <w:rsid w:val="00D1438E"/>
    <w:rsid w:val="00D145F5"/>
    <w:rsid w:val="00D22955"/>
    <w:rsid w:val="00D23604"/>
    <w:rsid w:val="00D23CD2"/>
    <w:rsid w:val="00D2681D"/>
    <w:rsid w:val="00D3057C"/>
    <w:rsid w:val="00D3235E"/>
    <w:rsid w:val="00D334FB"/>
    <w:rsid w:val="00D355B7"/>
    <w:rsid w:val="00D36031"/>
    <w:rsid w:val="00D3711B"/>
    <w:rsid w:val="00D3765A"/>
    <w:rsid w:val="00D37755"/>
    <w:rsid w:val="00D37E55"/>
    <w:rsid w:val="00D409CC"/>
    <w:rsid w:val="00D42AF3"/>
    <w:rsid w:val="00D43B0A"/>
    <w:rsid w:val="00D43E33"/>
    <w:rsid w:val="00D44B09"/>
    <w:rsid w:val="00D45419"/>
    <w:rsid w:val="00D4585D"/>
    <w:rsid w:val="00D4627E"/>
    <w:rsid w:val="00D46DFC"/>
    <w:rsid w:val="00D51EAA"/>
    <w:rsid w:val="00D55AC9"/>
    <w:rsid w:val="00D57360"/>
    <w:rsid w:val="00D5753D"/>
    <w:rsid w:val="00D71AE8"/>
    <w:rsid w:val="00D71DA4"/>
    <w:rsid w:val="00D724AE"/>
    <w:rsid w:val="00D73536"/>
    <w:rsid w:val="00D76F3F"/>
    <w:rsid w:val="00D800FB"/>
    <w:rsid w:val="00D8019F"/>
    <w:rsid w:val="00D8207F"/>
    <w:rsid w:val="00D824A7"/>
    <w:rsid w:val="00D83252"/>
    <w:rsid w:val="00D90450"/>
    <w:rsid w:val="00D92AD4"/>
    <w:rsid w:val="00D96317"/>
    <w:rsid w:val="00D973E5"/>
    <w:rsid w:val="00DA2301"/>
    <w:rsid w:val="00DA50A4"/>
    <w:rsid w:val="00DA5FC6"/>
    <w:rsid w:val="00DB140F"/>
    <w:rsid w:val="00DB2739"/>
    <w:rsid w:val="00DB2CDF"/>
    <w:rsid w:val="00DB323D"/>
    <w:rsid w:val="00DB3EA2"/>
    <w:rsid w:val="00DB6645"/>
    <w:rsid w:val="00DC1867"/>
    <w:rsid w:val="00DC1DBD"/>
    <w:rsid w:val="00DC1F41"/>
    <w:rsid w:val="00DC2D5A"/>
    <w:rsid w:val="00DC716E"/>
    <w:rsid w:val="00DC7C3B"/>
    <w:rsid w:val="00DD06D3"/>
    <w:rsid w:val="00DD4549"/>
    <w:rsid w:val="00DD77F2"/>
    <w:rsid w:val="00DE0530"/>
    <w:rsid w:val="00DE5644"/>
    <w:rsid w:val="00DE5DD6"/>
    <w:rsid w:val="00DE60B7"/>
    <w:rsid w:val="00DE68E1"/>
    <w:rsid w:val="00DE721D"/>
    <w:rsid w:val="00DF716C"/>
    <w:rsid w:val="00DF7D5B"/>
    <w:rsid w:val="00E00AF8"/>
    <w:rsid w:val="00E0224B"/>
    <w:rsid w:val="00E047FF"/>
    <w:rsid w:val="00E079EA"/>
    <w:rsid w:val="00E1182B"/>
    <w:rsid w:val="00E11E86"/>
    <w:rsid w:val="00E12AC5"/>
    <w:rsid w:val="00E12C9B"/>
    <w:rsid w:val="00E15EBD"/>
    <w:rsid w:val="00E2038B"/>
    <w:rsid w:val="00E2149F"/>
    <w:rsid w:val="00E25AAD"/>
    <w:rsid w:val="00E25E8A"/>
    <w:rsid w:val="00E27B87"/>
    <w:rsid w:val="00E30CC9"/>
    <w:rsid w:val="00E31CC0"/>
    <w:rsid w:val="00E33DCF"/>
    <w:rsid w:val="00E345B0"/>
    <w:rsid w:val="00E35E8C"/>
    <w:rsid w:val="00E36540"/>
    <w:rsid w:val="00E367F4"/>
    <w:rsid w:val="00E43AE3"/>
    <w:rsid w:val="00E44A06"/>
    <w:rsid w:val="00E46894"/>
    <w:rsid w:val="00E47A8E"/>
    <w:rsid w:val="00E5044D"/>
    <w:rsid w:val="00E50503"/>
    <w:rsid w:val="00E55ABB"/>
    <w:rsid w:val="00E56AA0"/>
    <w:rsid w:val="00E63FC8"/>
    <w:rsid w:val="00E70B41"/>
    <w:rsid w:val="00E7146E"/>
    <w:rsid w:val="00E733BA"/>
    <w:rsid w:val="00E74F9A"/>
    <w:rsid w:val="00E7634F"/>
    <w:rsid w:val="00E76D0B"/>
    <w:rsid w:val="00E835C9"/>
    <w:rsid w:val="00E838D7"/>
    <w:rsid w:val="00E83FBB"/>
    <w:rsid w:val="00E85C6C"/>
    <w:rsid w:val="00E8666C"/>
    <w:rsid w:val="00E86EA2"/>
    <w:rsid w:val="00E91F5F"/>
    <w:rsid w:val="00EA095F"/>
    <w:rsid w:val="00EA37F5"/>
    <w:rsid w:val="00EA4D0A"/>
    <w:rsid w:val="00EA735A"/>
    <w:rsid w:val="00EB08CC"/>
    <w:rsid w:val="00EB33FB"/>
    <w:rsid w:val="00EB3CDD"/>
    <w:rsid w:val="00EB5595"/>
    <w:rsid w:val="00EC04C1"/>
    <w:rsid w:val="00EC3306"/>
    <w:rsid w:val="00EC40D3"/>
    <w:rsid w:val="00EC440A"/>
    <w:rsid w:val="00EC47AF"/>
    <w:rsid w:val="00EC5578"/>
    <w:rsid w:val="00EC55AD"/>
    <w:rsid w:val="00EC6858"/>
    <w:rsid w:val="00EC747F"/>
    <w:rsid w:val="00EC7684"/>
    <w:rsid w:val="00ED2D8B"/>
    <w:rsid w:val="00ED3FB2"/>
    <w:rsid w:val="00ED4AA3"/>
    <w:rsid w:val="00ED5AE0"/>
    <w:rsid w:val="00ED5F4E"/>
    <w:rsid w:val="00EE2344"/>
    <w:rsid w:val="00EE272D"/>
    <w:rsid w:val="00EE4D2C"/>
    <w:rsid w:val="00EE503A"/>
    <w:rsid w:val="00EE55C0"/>
    <w:rsid w:val="00EE6575"/>
    <w:rsid w:val="00EE7D2C"/>
    <w:rsid w:val="00EF0278"/>
    <w:rsid w:val="00EF4331"/>
    <w:rsid w:val="00EF49AE"/>
    <w:rsid w:val="00EF7D59"/>
    <w:rsid w:val="00F03B1E"/>
    <w:rsid w:val="00F03BF9"/>
    <w:rsid w:val="00F03DAD"/>
    <w:rsid w:val="00F06A67"/>
    <w:rsid w:val="00F07290"/>
    <w:rsid w:val="00F078F8"/>
    <w:rsid w:val="00F10A4D"/>
    <w:rsid w:val="00F11D4F"/>
    <w:rsid w:val="00F12089"/>
    <w:rsid w:val="00F127AB"/>
    <w:rsid w:val="00F12833"/>
    <w:rsid w:val="00F12BE1"/>
    <w:rsid w:val="00F12F82"/>
    <w:rsid w:val="00F13061"/>
    <w:rsid w:val="00F137C0"/>
    <w:rsid w:val="00F146CB"/>
    <w:rsid w:val="00F15C72"/>
    <w:rsid w:val="00F16563"/>
    <w:rsid w:val="00F170A2"/>
    <w:rsid w:val="00F217E4"/>
    <w:rsid w:val="00F25831"/>
    <w:rsid w:val="00F27FE9"/>
    <w:rsid w:val="00F379A8"/>
    <w:rsid w:val="00F40093"/>
    <w:rsid w:val="00F413AF"/>
    <w:rsid w:val="00F42028"/>
    <w:rsid w:val="00F435C6"/>
    <w:rsid w:val="00F47236"/>
    <w:rsid w:val="00F4750C"/>
    <w:rsid w:val="00F51080"/>
    <w:rsid w:val="00F5279A"/>
    <w:rsid w:val="00F52CDE"/>
    <w:rsid w:val="00F545EA"/>
    <w:rsid w:val="00F606FE"/>
    <w:rsid w:val="00F62428"/>
    <w:rsid w:val="00F62682"/>
    <w:rsid w:val="00F6468C"/>
    <w:rsid w:val="00F64B80"/>
    <w:rsid w:val="00F66024"/>
    <w:rsid w:val="00F663AB"/>
    <w:rsid w:val="00F66C2D"/>
    <w:rsid w:val="00F66FAF"/>
    <w:rsid w:val="00F679A7"/>
    <w:rsid w:val="00F71374"/>
    <w:rsid w:val="00F74FF2"/>
    <w:rsid w:val="00F7512A"/>
    <w:rsid w:val="00F77178"/>
    <w:rsid w:val="00F8442C"/>
    <w:rsid w:val="00F873E6"/>
    <w:rsid w:val="00F9058E"/>
    <w:rsid w:val="00F90F13"/>
    <w:rsid w:val="00F9503A"/>
    <w:rsid w:val="00F9539D"/>
    <w:rsid w:val="00F956D5"/>
    <w:rsid w:val="00F96044"/>
    <w:rsid w:val="00F9613B"/>
    <w:rsid w:val="00F96BCB"/>
    <w:rsid w:val="00FA0E73"/>
    <w:rsid w:val="00FA1C0B"/>
    <w:rsid w:val="00FA328B"/>
    <w:rsid w:val="00FA3354"/>
    <w:rsid w:val="00FA3AB0"/>
    <w:rsid w:val="00FA64A9"/>
    <w:rsid w:val="00FA6A7E"/>
    <w:rsid w:val="00FA7174"/>
    <w:rsid w:val="00FA78E0"/>
    <w:rsid w:val="00FA7CA3"/>
    <w:rsid w:val="00FB09FA"/>
    <w:rsid w:val="00FB0CF9"/>
    <w:rsid w:val="00FB2101"/>
    <w:rsid w:val="00FB2453"/>
    <w:rsid w:val="00FB3525"/>
    <w:rsid w:val="00FB51CF"/>
    <w:rsid w:val="00FB6303"/>
    <w:rsid w:val="00FB7E6D"/>
    <w:rsid w:val="00FC0A88"/>
    <w:rsid w:val="00FC3B8C"/>
    <w:rsid w:val="00FC7B37"/>
    <w:rsid w:val="00FD0E3D"/>
    <w:rsid w:val="00FD1413"/>
    <w:rsid w:val="00FD1C13"/>
    <w:rsid w:val="00FD2E3F"/>
    <w:rsid w:val="00FD4AD3"/>
    <w:rsid w:val="00FD7CBE"/>
    <w:rsid w:val="00FE3B80"/>
    <w:rsid w:val="00FE42CD"/>
    <w:rsid w:val="00FE601F"/>
    <w:rsid w:val="00FF093A"/>
    <w:rsid w:val="00FF169C"/>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98D17"/>
  <w15:docId w15:val="{15408C5A-3959-48B5-8F68-F9B3488F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72"/>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 w:type="paragraph" w:styleId="Revision">
    <w:name w:val="Revision"/>
    <w:hidden/>
    <w:uiPriority w:val="99"/>
    <w:semiHidden/>
    <w:rsid w:val="00AB06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81512">
      <w:bodyDiv w:val="1"/>
      <w:marLeft w:val="0"/>
      <w:marRight w:val="0"/>
      <w:marTop w:val="0"/>
      <w:marBottom w:val="0"/>
      <w:divBdr>
        <w:top w:val="none" w:sz="0" w:space="0" w:color="auto"/>
        <w:left w:val="none" w:sz="0" w:space="0" w:color="auto"/>
        <w:bottom w:val="none" w:sz="0" w:space="0" w:color="auto"/>
        <w:right w:val="none" w:sz="0" w:space="0" w:color="auto"/>
      </w:divBdr>
    </w:div>
    <w:div w:id="631794017">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657996331">
      <w:bodyDiv w:val="1"/>
      <w:marLeft w:val="0"/>
      <w:marRight w:val="0"/>
      <w:marTop w:val="0"/>
      <w:marBottom w:val="0"/>
      <w:divBdr>
        <w:top w:val="none" w:sz="0" w:space="0" w:color="auto"/>
        <w:left w:val="none" w:sz="0" w:space="0" w:color="auto"/>
        <w:bottom w:val="none" w:sz="0" w:space="0" w:color="auto"/>
        <w:right w:val="none" w:sz="0" w:space="0" w:color="auto"/>
      </w:divBdr>
      <w:divsChild>
        <w:div w:id="81488224">
          <w:marLeft w:val="0"/>
          <w:marRight w:val="0"/>
          <w:marTop w:val="0"/>
          <w:marBottom w:val="0"/>
          <w:divBdr>
            <w:top w:val="none" w:sz="0" w:space="0" w:color="auto"/>
            <w:left w:val="none" w:sz="0" w:space="0" w:color="auto"/>
            <w:bottom w:val="none" w:sz="0" w:space="0" w:color="auto"/>
            <w:right w:val="none" w:sz="0" w:space="0" w:color="auto"/>
          </w:divBdr>
          <w:divsChild>
            <w:div w:id="483157613">
              <w:marLeft w:val="0"/>
              <w:marRight w:val="0"/>
              <w:marTop w:val="0"/>
              <w:marBottom w:val="0"/>
              <w:divBdr>
                <w:top w:val="none" w:sz="0" w:space="0" w:color="auto"/>
                <w:left w:val="none" w:sz="0" w:space="0" w:color="auto"/>
                <w:bottom w:val="none" w:sz="0" w:space="0" w:color="auto"/>
                <w:right w:val="none" w:sz="0" w:space="0" w:color="auto"/>
              </w:divBdr>
              <w:divsChild>
                <w:div w:id="1889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7158">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23883">
      <w:bodyDiv w:val="1"/>
      <w:marLeft w:val="0"/>
      <w:marRight w:val="0"/>
      <w:marTop w:val="0"/>
      <w:marBottom w:val="0"/>
      <w:divBdr>
        <w:top w:val="none" w:sz="0" w:space="0" w:color="auto"/>
        <w:left w:val="none" w:sz="0" w:space="0" w:color="auto"/>
        <w:bottom w:val="none" w:sz="0" w:space="0" w:color="auto"/>
        <w:right w:val="none" w:sz="0" w:space="0" w:color="auto"/>
      </w:divBdr>
      <w:divsChild>
        <w:div w:id="2084982758">
          <w:marLeft w:val="0"/>
          <w:marRight w:val="0"/>
          <w:marTop w:val="0"/>
          <w:marBottom w:val="0"/>
          <w:divBdr>
            <w:top w:val="none" w:sz="0" w:space="0" w:color="auto"/>
            <w:left w:val="none" w:sz="0" w:space="0" w:color="auto"/>
            <w:bottom w:val="none" w:sz="0" w:space="0" w:color="auto"/>
            <w:right w:val="none" w:sz="0" w:space="0" w:color="auto"/>
          </w:divBdr>
          <w:divsChild>
            <w:div w:id="416483869">
              <w:marLeft w:val="0"/>
              <w:marRight w:val="0"/>
              <w:marTop w:val="0"/>
              <w:marBottom w:val="0"/>
              <w:divBdr>
                <w:top w:val="none" w:sz="0" w:space="0" w:color="auto"/>
                <w:left w:val="none" w:sz="0" w:space="0" w:color="auto"/>
                <w:bottom w:val="none" w:sz="0" w:space="0" w:color="auto"/>
                <w:right w:val="none" w:sz="0" w:space="0" w:color="auto"/>
              </w:divBdr>
              <w:divsChild>
                <w:div w:id="1961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2911">
      <w:bodyDiv w:val="1"/>
      <w:marLeft w:val="0"/>
      <w:marRight w:val="0"/>
      <w:marTop w:val="0"/>
      <w:marBottom w:val="0"/>
      <w:divBdr>
        <w:top w:val="none" w:sz="0" w:space="0" w:color="auto"/>
        <w:left w:val="none" w:sz="0" w:space="0" w:color="auto"/>
        <w:bottom w:val="none" w:sz="0" w:space="0" w:color="auto"/>
        <w:right w:val="none" w:sz="0" w:space="0" w:color="auto"/>
      </w:divBdr>
    </w:div>
    <w:div w:id="1550458811">
      <w:bodyDiv w:val="1"/>
      <w:marLeft w:val="0"/>
      <w:marRight w:val="0"/>
      <w:marTop w:val="0"/>
      <w:marBottom w:val="0"/>
      <w:divBdr>
        <w:top w:val="none" w:sz="0" w:space="0" w:color="auto"/>
        <w:left w:val="none" w:sz="0" w:space="0" w:color="auto"/>
        <w:bottom w:val="none" w:sz="0" w:space="0" w:color="auto"/>
        <w:right w:val="none" w:sz="0" w:space="0" w:color="auto"/>
      </w:divBdr>
    </w:div>
    <w:div w:id="20559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A77E3-7D2D-4E71-AE36-574C9C8F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NG, Jason</cp:lastModifiedBy>
  <cp:revision>26</cp:revision>
  <cp:lastPrinted>2019-08-06T07:00:00Z</cp:lastPrinted>
  <dcterms:created xsi:type="dcterms:W3CDTF">2020-09-07T04:48:00Z</dcterms:created>
  <dcterms:modified xsi:type="dcterms:W3CDTF">2021-08-24T07:16:00Z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